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Default="00426092" w:rsidP="00A62BD0">
      <w:pPr>
        <w:tabs>
          <w:tab w:val="center" w:pos="4394"/>
          <w:tab w:val="left" w:pos="6735"/>
        </w:tabs>
        <w:spacing w:line="360" w:lineRule="auto"/>
        <w:ind w:left="567"/>
        <w:rPr>
          <w:rFonts w:ascii="Palatino Linotype" w:hAnsi="Palatino Linotype"/>
          <w:b/>
        </w:rPr>
      </w:pPr>
      <w:r w:rsidRPr="00A62BD0">
        <w:rPr>
          <w:rFonts w:ascii="Palatino Linotype" w:hAnsi="Palatino Linotype"/>
          <w:b/>
        </w:rPr>
        <w:tab/>
      </w:r>
      <w:r w:rsidR="005B118B" w:rsidRPr="00A62BD0">
        <w:rPr>
          <w:rFonts w:ascii="Palatino Linotype" w:hAnsi="Palatino Linotype"/>
          <w:b/>
        </w:rPr>
        <w:t xml:space="preserve">LÍNEAS </w:t>
      </w:r>
      <w:r w:rsidR="00777013" w:rsidRPr="00A62BD0">
        <w:rPr>
          <w:rFonts w:ascii="Palatino Linotype" w:hAnsi="Palatino Linotype"/>
          <w:b/>
        </w:rPr>
        <w:t>ARGUMENTATIVAS.</w:t>
      </w:r>
    </w:p>
    <w:p w14:paraId="0C8F5A53" w14:textId="77777777" w:rsidR="00A62BD0" w:rsidRPr="00A62BD0" w:rsidRDefault="00A62BD0" w:rsidP="00A62BD0">
      <w:pPr>
        <w:tabs>
          <w:tab w:val="center" w:pos="4394"/>
          <w:tab w:val="left" w:pos="6735"/>
        </w:tabs>
        <w:spacing w:line="360" w:lineRule="auto"/>
        <w:ind w:left="567"/>
        <w:rPr>
          <w:rFonts w:ascii="Palatino Linotype" w:hAnsi="Palatino Linotype"/>
          <w:b/>
        </w:rPr>
      </w:pPr>
    </w:p>
    <w:p w14:paraId="61C4D34E" w14:textId="6348ECFA" w:rsidR="00777013" w:rsidRPr="00A62BD0" w:rsidRDefault="00777013" w:rsidP="00A62BD0">
      <w:pPr>
        <w:spacing w:line="360" w:lineRule="auto"/>
        <w:contextualSpacing/>
        <w:jc w:val="both"/>
        <w:rPr>
          <w:rFonts w:ascii="Palatino Linotype" w:eastAsia="Times New Roman" w:hAnsi="Palatino Linotype"/>
        </w:rPr>
      </w:pPr>
      <w:r w:rsidRPr="00A62BD0">
        <w:rPr>
          <w:rFonts w:ascii="Palatino Linotype" w:eastAsia="Times New Roman" w:hAnsi="Palatino Linotype"/>
          <w:b/>
        </w:rPr>
        <w:t>DEBERES DE LAS AUTORIDADES.</w:t>
      </w:r>
      <w:r w:rsidRPr="00A62BD0">
        <w:rPr>
          <w:rFonts w:ascii="Palatino Linotype" w:eastAsia="Times New Roman" w:hAnsi="Palatino Linotype"/>
        </w:rPr>
        <w:t xml:space="preserve"> El derecho humano de acceso a la información pública es un derecho humano constitucionalmente reconocido en </w:t>
      </w:r>
      <w:proofErr w:type="gramStart"/>
      <w:r w:rsidRPr="00A62BD0">
        <w:rPr>
          <w:rFonts w:ascii="Palatino Linotype" w:eastAsia="Times New Roman" w:hAnsi="Palatino Linotype"/>
        </w:rPr>
        <w:t>consecuencia</w:t>
      </w:r>
      <w:proofErr w:type="gramEnd"/>
      <w:r w:rsidRPr="00A62BD0">
        <w:rPr>
          <w:rFonts w:ascii="Palatino Linotype" w:eastAsia="Times New Roman" w:hAnsi="Palatino Linotype"/>
        </w:rPr>
        <w:t xml:space="preserve"> todas las autoridades en el ámbito de sus competencias tienen la obligación de respetarlo, protegerlo y garantizarlo.</w:t>
      </w:r>
    </w:p>
    <w:p w14:paraId="7A2885B4" w14:textId="77777777" w:rsidR="00FB1F4A" w:rsidRPr="00A62BD0" w:rsidRDefault="00FB1F4A" w:rsidP="00A62BD0">
      <w:pPr>
        <w:spacing w:line="360" w:lineRule="auto"/>
        <w:contextualSpacing/>
        <w:jc w:val="both"/>
        <w:rPr>
          <w:rFonts w:ascii="Palatino Linotype" w:eastAsia="Times New Roman" w:hAnsi="Palatino Linotype"/>
        </w:rPr>
      </w:pPr>
    </w:p>
    <w:p w14:paraId="7CFC56E1" w14:textId="2755F1FF" w:rsidR="00030C45" w:rsidRPr="00A62BD0" w:rsidRDefault="00FB1F4A" w:rsidP="00A62BD0">
      <w:pPr>
        <w:spacing w:line="360" w:lineRule="auto"/>
        <w:contextualSpacing/>
        <w:jc w:val="both"/>
        <w:rPr>
          <w:rFonts w:ascii="Palatino Linotype" w:eastAsia="Times New Roman" w:hAnsi="Palatino Linotype"/>
        </w:rPr>
      </w:pPr>
      <w:r w:rsidRPr="00A62BD0">
        <w:rPr>
          <w:rFonts w:ascii="Palatino Linotype" w:eastAsia="Times New Roman" w:hAnsi="Palatino Linotype"/>
          <w:b/>
        </w:rPr>
        <w:t xml:space="preserve">DERECHO DE ACCESO A LA INFORMACIÓN PÚBLICA. </w:t>
      </w:r>
      <w:r w:rsidRPr="00A62BD0">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A62BD0" w:rsidRDefault="00FB1F4A" w:rsidP="00A62BD0">
      <w:pPr>
        <w:spacing w:line="360" w:lineRule="auto"/>
        <w:contextualSpacing/>
        <w:jc w:val="both"/>
        <w:rPr>
          <w:rFonts w:ascii="Palatino Linotype" w:eastAsia="Times New Roman" w:hAnsi="Palatino Linotype"/>
        </w:rPr>
      </w:pPr>
    </w:p>
    <w:p w14:paraId="5CA62E11" w14:textId="2F15BFE1" w:rsidR="006540A5" w:rsidRPr="00A62BD0" w:rsidRDefault="009A61AE" w:rsidP="00A62BD0">
      <w:pPr>
        <w:spacing w:line="360" w:lineRule="auto"/>
        <w:contextualSpacing/>
        <w:jc w:val="both"/>
        <w:rPr>
          <w:rFonts w:ascii="Palatino Linotype" w:eastAsia="Times New Roman" w:hAnsi="Palatino Linotype"/>
        </w:rPr>
      </w:pPr>
      <w:r w:rsidRPr="00A62BD0">
        <w:rPr>
          <w:rFonts w:ascii="Palatino Linotype" w:eastAsia="Times New Roman" w:hAnsi="Palatino Linotype"/>
          <w:b/>
        </w:rPr>
        <w:t>RESPUESTAS IMPRECISAS O INCOMPLETAS, DEBER DE REPARACIÓN.</w:t>
      </w:r>
      <w:r w:rsidRPr="00A62BD0">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9C52227" w14:textId="77777777" w:rsidR="00997B48" w:rsidRPr="00A62BD0" w:rsidRDefault="00997B48" w:rsidP="00A62BD0">
      <w:pPr>
        <w:spacing w:line="360" w:lineRule="auto"/>
        <w:contextualSpacing/>
        <w:jc w:val="both"/>
        <w:rPr>
          <w:rFonts w:ascii="Palatino Linotype" w:eastAsia="Times New Roman" w:hAnsi="Palatino Linotype"/>
        </w:rPr>
      </w:pPr>
    </w:p>
    <w:p w14:paraId="481D2994" w14:textId="77777777" w:rsidR="00997B48" w:rsidRPr="00A62BD0" w:rsidRDefault="00997B48" w:rsidP="00A62BD0">
      <w:pPr>
        <w:spacing w:line="360" w:lineRule="auto"/>
        <w:jc w:val="both"/>
        <w:rPr>
          <w:rFonts w:ascii="Palatino Linotype" w:eastAsia="MS Mincho" w:hAnsi="Palatino Linotype" w:cs="Times New Roman"/>
          <w:b/>
        </w:rPr>
      </w:pPr>
      <w:r w:rsidRPr="00A62BD0">
        <w:rPr>
          <w:rFonts w:ascii="Palatino Linotype" w:eastAsia="MS Mincho" w:hAnsi="Palatino Linotype" w:cs="Times New Roman"/>
          <w:b/>
        </w:rPr>
        <w:t xml:space="preserve">INFORMACIÓN CONFIDENCIAL, CLASIFICACIÓN DE LA. </w:t>
      </w:r>
      <w:r w:rsidRPr="00A62BD0">
        <w:rPr>
          <w:rFonts w:ascii="Palatino Linotype" w:eastAsia="MS Mincho" w:hAnsi="Palatino Linotype" w:cs="Times New Roman"/>
        </w:rPr>
        <w:t xml:space="preserve">Si la información, con la que se pueda responder a una solicitud de información, contiene datos personales se deberá de realizar su clasificación como información confidencial, </w:t>
      </w:r>
      <w:r w:rsidRPr="00A62BD0">
        <w:rPr>
          <w:rFonts w:ascii="Palatino Linotype" w:eastAsia="MS Mincho" w:hAnsi="Palatino Linotype" w:cs="Times New Roman"/>
        </w:rPr>
        <w:lastRenderedPageBreak/>
        <w:t>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1D0ED95" w14:textId="77777777" w:rsidR="00997B48" w:rsidRPr="00A62BD0" w:rsidRDefault="00997B48" w:rsidP="00A62BD0">
      <w:pPr>
        <w:spacing w:line="360" w:lineRule="auto"/>
        <w:contextualSpacing/>
        <w:jc w:val="both"/>
        <w:rPr>
          <w:rFonts w:ascii="Palatino Linotype" w:hAnsi="Palatino Linotype" w:cs="Arial"/>
        </w:rPr>
      </w:pPr>
    </w:p>
    <w:p w14:paraId="6737264C" w14:textId="77777777" w:rsidR="00997B48" w:rsidRPr="00A62BD0" w:rsidRDefault="00997B48" w:rsidP="00A62BD0">
      <w:pPr>
        <w:spacing w:line="360" w:lineRule="auto"/>
        <w:contextualSpacing/>
        <w:jc w:val="both"/>
        <w:rPr>
          <w:rFonts w:ascii="Palatino Linotype" w:hAnsi="Palatino Linotype" w:cs="Arial"/>
        </w:rPr>
      </w:pPr>
      <w:r w:rsidRPr="00A62BD0">
        <w:rPr>
          <w:rFonts w:ascii="Palatino Linotype" w:hAnsi="Palatino Linotype" w:cs="Arial"/>
          <w:b/>
        </w:rPr>
        <w:t>VERSIONES PÚBLICAS, DE LA ELABORACIÓN DE LAS</w:t>
      </w:r>
      <w:r w:rsidRPr="00A62BD0">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3B16585B" w14:textId="77777777" w:rsidR="009E2D04" w:rsidRPr="00A62BD0" w:rsidRDefault="009E2D04" w:rsidP="00A62BD0">
      <w:pPr>
        <w:spacing w:line="360" w:lineRule="auto"/>
        <w:contextualSpacing/>
        <w:jc w:val="both"/>
        <w:rPr>
          <w:rFonts w:ascii="Palatino Linotype" w:eastAsia="Times New Roman" w:hAnsi="Palatino Linotype"/>
        </w:rPr>
      </w:pPr>
    </w:p>
    <w:p w14:paraId="7FBE7F94" w14:textId="2ABC0544" w:rsidR="00F20CAD" w:rsidRDefault="009E2D04" w:rsidP="00A62BD0">
      <w:pPr>
        <w:spacing w:line="360" w:lineRule="auto"/>
        <w:jc w:val="both"/>
        <w:rPr>
          <w:rFonts w:ascii="Palatino Linotype" w:eastAsia="Times New Roman" w:hAnsi="Palatino Linotype" w:cs="Times New Roman"/>
        </w:rPr>
      </w:pPr>
      <w:r w:rsidRPr="00A62BD0">
        <w:rPr>
          <w:rFonts w:ascii="Palatino Linotype" w:eastAsia="Times New Roman" w:hAnsi="Palatino Linotype" w:cs="Times New Roman"/>
          <w:b/>
        </w:rPr>
        <w:t xml:space="preserve">INFORME JUSTIFICADO, FALTA DE. </w:t>
      </w:r>
      <w:r w:rsidRPr="00A62BD0">
        <w:rPr>
          <w:rFonts w:ascii="Palatino Linotype" w:eastAsia="Times New Roman" w:hAnsi="Palatino Linotype" w:cs="Times New Roman"/>
        </w:rPr>
        <w:t xml:space="preserve">La falta de informe justificado no impide que este Órgano Garante conozca y resuelva el recurso de revisión, solo propicia que el </w:t>
      </w:r>
      <w:r w:rsidRPr="00A62BD0">
        <w:rPr>
          <w:rFonts w:ascii="Palatino Linotype" w:eastAsia="Times New Roman" w:hAnsi="Palatino Linotype" w:cs="Times New Roman"/>
          <w:b/>
        </w:rPr>
        <w:t>SUJETO OBLIGADO</w:t>
      </w:r>
      <w:r w:rsidRPr="00A62BD0">
        <w:rPr>
          <w:rFonts w:ascii="Palatino Linotype" w:eastAsia="Times New Roman" w:hAnsi="Palatino Linotype" w:cs="Times New Roman"/>
        </w:rPr>
        <w:t xml:space="preserve"> pierda la oportunidad de justificar su respuesta y manifestar lo que a su derecho convenga.</w:t>
      </w:r>
    </w:p>
    <w:p w14:paraId="2590A797" w14:textId="77777777" w:rsidR="00A62BD0" w:rsidRPr="00A62BD0" w:rsidRDefault="00A62BD0" w:rsidP="00A62BD0">
      <w:pPr>
        <w:spacing w:line="360" w:lineRule="auto"/>
        <w:jc w:val="both"/>
        <w:rPr>
          <w:rFonts w:ascii="Palatino Linotype" w:eastAsia="Times New Roman" w:hAnsi="Palatino Linotype" w:cs="Times New Roman"/>
        </w:rPr>
      </w:pPr>
    </w:p>
    <w:p w14:paraId="30EBF954" w14:textId="77777777" w:rsidR="0052488D" w:rsidRDefault="0052488D" w:rsidP="00A62BD0">
      <w:pPr>
        <w:spacing w:line="360" w:lineRule="auto"/>
        <w:jc w:val="both"/>
        <w:rPr>
          <w:rFonts w:ascii="Palatino Linotype" w:eastAsia="MS Mincho" w:hAnsi="Palatino Linotype" w:cs="Arial"/>
          <w:b/>
          <w:noProof/>
          <w:color w:val="000000" w:themeColor="text1"/>
          <w:lang w:val="es-MX"/>
        </w:rPr>
      </w:pPr>
    </w:p>
    <w:p w14:paraId="5AC79A69" w14:textId="210A32F3" w:rsidR="00031591" w:rsidRPr="00A62BD0" w:rsidRDefault="00FB1F4A" w:rsidP="00A62BD0">
      <w:pPr>
        <w:spacing w:line="360" w:lineRule="auto"/>
        <w:jc w:val="both"/>
        <w:rPr>
          <w:rFonts w:ascii="Palatino Linotype" w:eastAsia="Times New Roman" w:hAnsi="Palatino Linotype" w:cs="Arial"/>
          <w:noProof/>
          <w:color w:val="000000" w:themeColor="text1"/>
          <w:lang w:val="es-MX"/>
        </w:rPr>
      </w:pPr>
      <w:r w:rsidRPr="00A62BD0">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A62BD0">
        <w:rPr>
          <w:rFonts w:ascii="Palatino Linotype" w:eastAsia="MS Mincho" w:hAnsi="Palatino Linotype" w:cs="Arial"/>
          <w:noProof/>
          <w:color w:val="000000" w:themeColor="text1"/>
          <w:lang w:val="es-MX"/>
        </w:rPr>
        <w:t>. L</w:t>
      </w:r>
      <w:r w:rsidRPr="00A62BD0">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A62BD0">
        <w:rPr>
          <w:rFonts w:ascii="Palatino Linotype" w:eastAsia="MS Mincho" w:hAnsi="Palatino Linotype" w:cs="Arial"/>
          <w:noProof/>
          <w:color w:val="000000" w:themeColor="text1"/>
          <w:lang w:val="es-MX"/>
        </w:rPr>
        <w:t xml:space="preserve"> </w:t>
      </w:r>
      <w:r w:rsidRPr="00A62BD0">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4174DB85" w14:textId="085EFC79" w:rsidR="009E2D04" w:rsidRPr="00A62BD0" w:rsidRDefault="009E2D04" w:rsidP="00A62BD0">
      <w:pPr>
        <w:spacing w:line="360" w:lineRule="auto"/>
        <w:jc w:val="both"/>
        <w:rPr>
          <w:rFonts w:ascii="Palatino Linotype" w:eastAsia="Times New Roman" w:hAnsi="Palatino Linotype" w:cs="Arial"/>
          <w:noProof/>
          <w:color w:val="000000" w:themeColor="text1"/>
          <w:lang w:val="es-MX"/>
        </w:rPr>
      </w:pPr>
    </w:p>
    <w:p w14:paraId="70E821D7" w14:textId="77777777" w:rsidR="009B359C" w:rsidRPr="00A62BD0" w:rsidRDefault="009B359C" w:rsidP="00A62BD0">
      <w:pPr>
        <w:spacing w:line="360" w:lineRule="auto"/>
        <w:jc w:val="center"/>
        <w:rPr>
          <w:rFonts w:ascii="Palatino Linotype" w:hAnsi="Palatino Linotype"/>
          <w:b/>
          <w:color w:val="000000" w:themeColor="text1"/>
        </w:rPr>
      </w:pPr>
    </w:p>
    <w:p w14:paraId="14673037" w14:textId="04A60F6D" w:rsidR="009B359C" w:rsidRPr="00A62BD0" w:rsidRDefault="004A4881" w:rsidP="00A62BD0">
      <w:pPr>
        <w:tabs>
          <w:tab w:val="left" w:pos="6915"/>
        </w:tabs>
        <w:spacing w:line="360" w:lineRule="auto"/>
        <w:rPr>
          <w:rFonts w:ascii="Palatino Linotype" w:hAnsi="Palatino Linotype"/>
          <w:b/>
          <w:color w:val="000000" w:themeColor="text1"/>
        </w:rPr>
      </w:pPr>
      <w:r w:rsidRPr="00A62BD0">
        <w:rPr>
          <w:rFonts w:ascii="Palatino Linotype" w:hAnsi="Palatino Linotype"/>
          <w:b/>
          <w:color w:val="000000" w:themeColor="text1"/>
        </w:rPr>
        <w:tab/>
      </w:r>
    </w:p>
    <w:p w14:paraId="672BF111" w14:textId="77777777" w:rsidR="00F574EA" w:rsidRPr="00A62BD0" w:rsidRDefault="00F574EA" w:rsidP="00A62BD0">
      <w:pPr>
        <w:spacing w:line="360" w:lineRule="auto"/>
        <w:jc w:val="center"/>
        <w:rPr>
          <w:rFonts w:ascii="Palatino Linotype" w:hAnsi="Palatino Linotype"/>
          <w:b/>
          <w:color w:val="000000" w:themeColor="text1"/>
        </w:rPr>
      </w:pPr>
    </w:p>
    <w:p w14:paraId="1BCC145D" w14:textId="77777777" w:rsidR="00F574EA" w:rsidRPr="00A62BD0" w:rsidRDefault="00F574EA" w:rsidP="00A62BD0">
      <w:pPr>
        <w:spacing w:line="360" w:lineRule="auto"/>
        <w:jc w:val="center"/>
        <w:rPr>
          <w:rFonts w:ascii="Palatino Linotype" w:hAnsi="Palatino Linotype"/>
          <w:b/>
          <w:color w:val="000000" w:themeColor="text1"/>
        </w:rPr>
      </w:pPr>
    </w:p>
    <w:p w14:paraId="7F35E409" w14:textId="77777777" w:rsidR="00F574EA" w:rsidRPr="00A62BD0" w:rsidRDefault="00F574EA" w:rsidP="00A62BD0">
      <w:pPr>
        <w:spacing w:line="360" w:lineRule="auto"/>
        <w:jc w:val="center"/>
        <w:rPr>
          <w:rFonts w:ascii="Palatino Linotype" w:hAnsi="Palatino Linotype"/>
          <w:b/>
          <w:color w:val="000000" w:themeColor="text1"/>
        </w:rPr>
      </w:pPr>
    </w:p>
    <w:p w14:paraId="55B1723D" w14:textId="77777777" w:rsidR="009B359C" w:rsidRPr="00A62BD0" w:rsidRDefault="009B359C" w:rsidP="00A62BD0">
      <w:pPr>
        <w:spacing w:line="360" w:lineRule="auto"/>
        <w:rPr>
          <w:rFonts w:ascii="Palatino Linotype" w:hAnsi="Palatino Linotype"/>
          <w:b/>
          <w:color w:val="000000" w:themeColor="text1"/>
        </w:rPr>
      </w:pPr>
    </w:p>
    <w:p w14:paraId="5C6AEE9C" w14:textId="294D36BB" w:rsidR="007C37D2" w:rsidRDefault="00474A9F" w:rsidP="00A62BD0">
      <w:pPr>
        <w:spacing w:line="360" w:lineRule="auto"/>
        <w:jc w:val="center"/>
        <w:rPr>
          <w:rFonts w:ascii="Palatino Linotype" w:hAnsi="Palatino Linotype"/>
          <w:color w:val="000000" w:themeColor="text1"/>
        </w:rPr>
      </w:pPr>
      <w:r w:rsidRPr="00A62BD0">
        <w:rPr>
          <w:rFonts w:ascii="Palatino Linotype" w:hAnsi="Palatino Linotype"/>
          <w:b/>
          <w:color w:val="000000" w:themeColor="text1"/>
        </w:rPr>
        <w:t>ÍNDICE</w:t>
      </w:r>
      <w:r w:rsidRPr="00A62BD0">
        <w:rPr>
          <w:rFonts w:ascii="Palatino Linotype" w:hAnsi="Palatino Linotype"/>
          <w:color w:val="000000" w:themeColor="text1"/>
        </w:rPr>
        <w:t>.</w:t>
      </w:r>
    </w:p>
    <w:p w14:paraId="7F447EA5" w14:textId="77777777" w:rsidR="00A62BD0" w:rsidRPr="00A62BD0" w:rsidRDefault="00A62BD0" w:rsidP="00A62BD0">
      <w:pPr>
        <w:spacing w:line="360" w:lineRule="auto"/>
        <w:jc w:val="center"/>
        <w:rPr>
          <w:rFonts w:ascii="Palatino Linotype" w:hAnsi="Palatino Linotype"/>
          <w:color w:val="000000" w:themeColor="text1"/>
        </w:rPr>
      </w:pPr>
    </w:p>
    <w:p w14:paraId="12396007" w14:textId="77777777" w:rsidR="00474A9F" w:rsidRPr="00A62BD0" w:rsidRDefault="00474A9F" w:rsidP="00A62BD0">
      <w:pPr>
        <w:spacing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7AB5FDCB" w14:textId="77777777" w:rsidR="00EC4BA6" w:rsidRDefault="00B828E4" w:rsidP="00A62BD0">
          <w:pPr>
            <w:pStyle w:val="TDC1"/>
            <w:spacing w:after="0" w:line="360" w:lineRule="auto"/>
            <w:ind w:left="0" w:firstLine="0"/>
            <w:rPr>
              <w:rFonts w:ascii="Palatino Linotype" w:hAnsi="Palatino Linotype"/>
              <w:noProof/>
            </w:rPr>
          </w:pPr>
          <w:r w:rsidRPr="00A62BD0">
            <w:rPr>
              <w:rFonts w:ascii="Palatino Linotype" w:hAnsi="Palatino Linotype"/>
              <w:color w:val="000000" w:themeColor="text1"/>
            </w:rPr>
            <w:fldChar w:fldCharType="begin"/>
          </w:r>
          <w:r w:rsidRPr="00A62BD0">
            <w:rPr>
              <w:rFonts w:ascii="Palatino Linotype" w:hAnsi="Palatino Linotype"/>
              <w:color w:val="000000" w:themeColor="text1"/>
            </w:rPr>
            <w:instrText xml:space="preserve"> TOC \o "1-3" \h \z \u </w:instrText>
          </w:r>
          <w:r w:rsidRPr="00A62BD0">
            <w:rPr>
              <w:rFonts w:ascii="Palatino Linotype" w:hAnsi="Palatino Linotype"/>
              <w:color w:val="000000" w:themeColor="text1"/>
            </w:rPr>
            <w:fldChar w:fldCharType="separate"/>
          </w:r>
          <w:hyperlink w:anchor="_Toc7037081" w:history="1">
            <w:r w:rsidR="00EC4BA6" w:rsidRPr="00A62BD0">
              <w:rPr>
                <w:rStyle w:val="Hipervnculo"/>
                <w:rFonts w:ascii="Palatino Linotype" w:hAnsi="Palatino Linotype"/>
                <w:b/>
                <w:noProof/>
              </w:rPr>
              <w:t>ANTECEDENTES</w:t>
            </w:r>
            <w:r w:rsidR="00EC4BA6" w:rsidRPr="00A62BD0">
              <w:rPr>
                <w:rFonts w:ascii="Palatino Linotype" w:hAnsi="Palatino Linotype"/>
                <w:noProof/>
                <w:webHidden/>
              </w:rPr>
              <w:tab/>
            </w:r>
            <w:r w:rsidR="00EC4BA6" w:rsidRPr="00A62BD0">
              <w:rPr>
                <w:rFonts w:ascii="Palatino Linotype" w:hAnsi="Palatino Linotype"/>
                <w:noProof/>
                <w:webHidden/>
              </w:rPr>
              <w:fldChar w:fldCharType="begin"/>
            </w:r>
            <w:r w:rsidR="00EC4BA6" w:rsidRPr="00A62BD0">
              <w:rPr>
                <w:rFonts w:ascii="Palatino Linotype" w:hAnsi="Palatino Linotype"/>
                <w:noProof/>
                <w:webHidden/>
              </w:rPr>
              <w:instrText xml:space="preserve"> PAGEREF _Toc7037081 \h </w:instrText>
            </w:r>
            <w:r w:rsidR="00EC4BA6" w:rsidRPr="00A62BD0">
              <w:rPr>
                <w:rFonts w:ascii="Palatino Linotype" w:hAnsi="Palatino Linotype"/>
                <w:noProof/>
                <w:webHidden/>
              </w:rPr>
            </w:r>
            <w:r w:rsidR="00EC4BA6" w:rsidRPr="00A62BD0">
              <w:rPr>
                <w:rFonts w:ascii="Palatino Linotype" w:hAnsi="Palatino Linotype"/>
                <w:noProof/>
                <w:webHidden/>
              </w:rPr>
              <w:fldChar w:fldCharType="separate"/>
            </w:r>
            <w:r w:rsidR="0052488D">
              <w:rPr>
                <w:rFonts w:ascii="Palatino Linotype" w:hAnsi="Palatino Linotype"/>
                <w:noProof/>
                <w:webHidden/>
              </w:rPr>
              <w:t>5</w:t>
            </w:r>
            <w:r w:rsidR="00EC4BA6" w:rsidRPr="00A62BD0">
              <w:rPr>
                <w:rFonts w:ascii="Palatino Linotype" w:hAnsi="Palatino Linotype"/>
                <w:noProof/>
                <w:webHidden/>
              </w:rPr>
              <w:fldChar w:fldCharType="end"/>
            </w:r>
          </w:hyperlink>
        </w:p>
        <w:p w14:paraId="01BB7B34" w14:textId="77777777" w:rsidR="00A62BD0" w:rsidRPr="00A62BD0" w:rsidRDefault="00A62BD0" w:rsidP="00A62BD0">
          <w:pPr>
            <w:spacing w:line="360" w:lineRule="auto"/>
            <w:rPr>
              <w:noProof/>
            </w:rPr>
          </w:pPr>
        </w:p>
        <w:p w14:paraId="13259DCB" w14:textId="77777777" w:rsidR="00EC4BA6" w:rsidRPr="00A62BD0" w:rsidRDefault="00D06D25" w:rsidP="00A62BD0">
          <w:pPr>
            <w:pStyle w:val="TDC1"/>
            <w:spacing w:after="0" w:line="360" w:lineRule="auto"/>
            <w:ind w:left="0" w:firstLine="0"/>
            <w:rPr>
              <w:rFonts w:ascii="Palatino Linotype" w:hAnsi="Palatino Linotype"/>
              <w:noProof/>
              <w:lang w:val="es-MX" w:eastAsia="es-MX"/>
            </w:rPr>
          </w:pPr>
          <w:hyperlink w:anchor="_Toc7037084" w:history="1">
            <w:r w:rsidR="00EC4BA6" w:rsidRPr="00A62BD0">
              <w:rPr>
                <w:rStyle w:val="Hipervnculo"/>
                <w:rFonts w:ascii="Palatino Linotype" w:hAnsi="Palatino Linotype"/>
                <w:b/>
                <w:noProof/>
              </w:rPr>
              <w:t>CONSIDERANDO</w:t>
            </w:r>
            <w:r w:rsidR="00EC4BA6" w:rsidRPr="00A62BD0">
              <w:rPr>
                <w:rFonts w:ascii="Palatino Linotype" w:hAnsi="Palatino Linotype"/>
                <w:noProof/>
                <w:webHidden/>
              </w:rPr>
              <w:tab/>
            </w:r>
            <w:r w:rsidR="00EC4BA6" w:rsidRPr="00A62BD0">
              <w:rPr>
                <w:rFonts w:ascii="Palatino Linotype" w:hAnsi="Palatino Linotype"/>
                <w:noProof/>
                <w:webHidden/>
              </w:rPr>
              <w:fldChar w:fldCharType="begin"/>
            </w:r>
            <w:r w:rsidR="00EC4BA6" w:rsidRPr="00A62BD0">
              <w:rPr>
                <w:rFonts w:ascii="Palatino Linotype" w:hAnsi="Palatino Linotype"/>
                <w:noProof/>
                <w:webHidden/>
              </w:rPr>
              <w:instrText xml:space="preserve"> PAGEREF _Toc7037084 \h </w:instrText>
            </w:r>
            <w:r w:rsidR="00EC4BA6" w:rsidRPr="00A62BD0">
              <w:rPr>
                <w:rFonts w:ascii="Palatino Linotype" w:hAnsi="Palatino Linotype"/>
                <w:noProof/>
                <w:webHidden/>
              </w:rPr>
            </w:r>
            <w:r w:rsidR="00EC4BA6" w:rsidRPr="00A62BD0">
              <w:rPr>
                <w:rFonts w:ascii="Palatino Linotype" w:hAnsi="Palatino Linotype"/>
                <w:noProof/>
                <w:webHidden/>
              </w:rPr>
              <w:fldChar w:fldCharType="separate"/>
            </w:r>
            <w:r w:rsidR="0052488D">
              <w:rPr>
                <w:rFonts w:ascii="Palatino Linotype" w:hAnsi="Palatino Linotype"/>
                <w:noProof/>
                <w:webHidden/>
              </w:rPr>
              <w:t>13</w:t>
            </w:r>
            <w:r w:rsidR="00EC4BA6" w:rsidRPr="00A62BD0">
              <w:rPr>
                <w:rFonts w:ascii="Palatino Linotype" w:hAnsi="Palatino Linotype"/>
                <w:noProof/>
                <w:webHidden/>
              </w:rPr>
              <w:fldChar w:fldCharType="end"/>
            </w:r>
          </w:hyperlink>
        </w:p>
        <w:p w14:paraId="25233676" w14:textId="77777777" w:rsidR="00EC4BA6" w:rsidRPr="00A62BD0" w:rsidRDefault="00D06D25" w:rsidP="00A62BD0">
          <w:pPr>
            <w:pStyle w:val="TDC2"/>
            <w:spacing w:line="360" w:lineRule="auto"/>
            <w:rPr>
              <w:noProof/>
              <w:lang w:val="es-MX" w:eastAsia="es-MX"/>
            </w:rPr>
          </w:pPr>
          <w:hyperlink w:anchor="_Toc7037085" w:history="1">
            <w:r w:rsidR="00EC4BA6" w:rsidRPr="00A62BD0">
              <w:rPr>
                <w:rStyle w:val="Hipervnculo"/>
                <w:rFonts w:ascii="Palatino Linotype" w:hAnsi="Palatino Linotype"/>
                <w:b/>
                <w:noProof/>
              </w:rPr>
              <w:t>PRIMERO. De la competencia</w:t>
            </w:r>
            <w:r w:rsidR="00EC4BA6" w:rsidRPr="00A62BD0">
              <w:rPr>
                <w:noProof/>
                <w:webHidden/>
              </w:rPr>
              <w:tab/>
            </w:r>
            <w:r w:rsidR="00EC4BA6" w:rsidRPr="00A62BD0">
              <w:rPr>
                <w:noProof/>
                <w:webHidden/>
              </w:rPr>
              <w:fldChar w:fldCharType="begin"/>
            </w:r>
            <w:r w:rsidR="00EC4BA6" w:rsidRPr="00A62BD0">
              <w:rPr>
                <w:noProof/>
                <w:webHidden/>
              </w:rPr>
              <w:instrText xml:space="preserve"> PAGEREF _Toc7037085 \h </w:instrText>
            </w:r>
            <w:r w:rsidR="00EC4BA6" w:rsidRPr="00A62BD0">
              <w:rPr>
                <w:noProof/>
                <w:webHidden/>
              </w:rPr>
            </w:r>
            <w:r w:rsidR="00EC4BA6" w:rsidRPr="00A62BD0">
              <w:rPr>
                <w:noProof/>
                <w:webHidden/>
              </w:rPr>
              <w:fldChar w:fldCharType="separate"/>
            </w:r>
            <w:r w:rsidR="0052488D">
              <w:rPr>
                <w:noProof/>
                <w:webHidden/>
              </w:rPr>
              <w:t>13</w:t>
            </w:r>
            <w:r w:rsidR="00EC4BA6" w:rsidRPr="00A62BD0">
              <w:rPr>
                <w:noProof/>
                <w:webHidden/>
              </w:rPr>
              <w:fldChar w:fldCharType="end"/>
            </w:r>
          </w:hyperlink>
        </w:p>
        <w:p w14:paraId="52ED0BCE" w14:textId="77777777" w:rsidR="00EC4BA6" w:rsidRPr="00A62BD0" w:rsidRDefault="00D06D25" w:rsidP="00A62BD0">
          <w:pPr>
            <w:pStyle w:val="TDC2"/>
            <w:spacing w:line="360" w:lineRule="auto"/>
            <w:rPr>
              <w:noProof/>
              <w:lang w:val="es-MX" w:eastAsia="es-MX"/>
            </w:rPr>
          </w:pPr>
          <w:hyperlink w:anchor="_Toc7037086" w:history="1">
            <w:r w:rsidR="00EC4BA6" w:rsidRPr="00A62BD0">
              <w:rPr>
                <w:rStyle w:val="Hipervnculo"/>
                <w:rFonts w:ascii="Palatino Linotype" w:hAnsi="Palatino Linotype"/>
                <w:b/>
                <w:noProof/>
              </w:rPr>
              <w:t>SEGUNDO. De la oportunidad y procedibilidad.</w:t>
            </w:r>
            <w:r w:rsidR="00EC4BA6" w:rsidRPr="00A62BD0">
              <w:rPr>
                <w:noProof/>
                <w:webHidden/>
              </w:rPr>
              <w:tab/>
            </w:r>
            <w:r w:rsidR="00EC4BA6" w:rsidRPr="00A62BD0">
              <w:rPr>
                <w:noProof/>
                <w:webHidden/>
              </w:rPr>
              <w:fldChar w:fldCharType="begin"/>
            </w:r>
            <w:r w:rsidR="00EC4BA6" w:rsidRPr="00A62BD0">
              <w:rPr>
                <w:noProof/>
                <w:webHidden/>
              </w:rPr>
              <w:instrText xml:space="preserve"> PAGEREF _Toc7037086 \h </w:instrText>
            </w:r>
            <w:r w:rsidR="00EC4BA6" w:rsidRPr="00A62BD0">
              <w:rPr>
                <w:noProof/>
                <w:webHidden/>
              </w:rPr>
            </w:r>
            <w:r w:rsidR="00EC4BA6" w:rsidRPr="00A62BD0">
              <w:rPr>
                <w:noProof/>
                <w:webHidden/>
              </w:rPr>
              <w:fldChar w:fldCharType="separate"/>
            </w:r>
            <w:r w:rsidR="0052488D">
              <w:rPr>
                <w:noProof/>
                <w:webHidden/>
              </w:rPr>
              <w:t>14</w:t>
            </w:r>
            <w:r w:rsidR="00EC4BA6" w:rsidRPr="00A62BD0">
              <w:rPr>
                <w:noProof/>
                <w:webHidden/>
              </w:rPr>
              <w:fldChar w:fldCharType="end"/>
            </w:r>
          </w:hyperlink>
        </w:p>
        <w:p w14:paraId="6AEACDDA" w14:textId="77777777" w:rsidR="00EC4BA6" w:rsidRPr="00A62BD0" w:rsidRDefault="00D06D25" w:rsidP="00A62BD0">
          <w:pPr>
            <w:pStyle w:val="TDC2"/>
            <w:spacing w:line="360" w:lineRule="auto"/>
            <w:rPr>
              <w:noProof/>
              <w:lang w:val="es-MX" w:eastAsia="es-MX"/>
            </w:rPr>
          </w:pPr>
          <w:hyperlink w:anchor="_Toc7037087" w:history="1">
            <w:r w:rsidR="00EC4BA6" w:rsidRPr="00A62BD0">
              <w:rPr>
                <w:rStyle w:val="Hipervnculo"/>
                <w:rFonts w:ascii="Palatino Linotype" w:hAnsi="Palatino Linotype"/>
                <w:b/>
                <w:noProof/>
              </w:rPr>
              <w:t xml:space="preserve">TERCERO. Del planteamiento de la </w:t>
            </w:r>
            <w:r w:rsidR="00EC4BA6" w:rsidRPr="00A62BD0">
              <w:rPr>
                <w:rStyle w:val="Hipervnculo"/>
                <w:rFonts w:ascii="Palatino Linotype" w:hAnsi="Palatino Linotype"/>
                <w:b/>
                <w:i/>
                <w:noProof/>
              </w:rPr>
              <w:t>Litis.</w:t>
            </w:r>
            <w:r w:rsidR="00EC4BA6" w:rsidRPr="00A62BD0">
              <w:rPr>
                <w:noProof/>
                <w:webHidden/>
              </w:rPr>
              <w:tab/>
            </w:r>
            <w:r w:rsidR="00EC4BA6" w:rsidRPr="00A62BD0">
              <w:rPr>
                <w:noProof/>
                <w:webHidden/>
              </w:rPr>
              <w:fldChar w:fldCharType="begin"/>
            </w:r>
            <w:r w:rsidR="00EC4BA6" w:rsidRPr="00A62BD0">
              <w:rPr>
                <w:noProof/>
                <w:webHidden/>
              </w:rPr>
              <w:instrText xml:space="preserve"> PAGEREF _Toc7037087 \h </w:instrText>
            </w:r>
            <w:r w:rsidR="00EC4BA6" w:rsidRPr="00A62BD0">
              <w:rPr>
                <w:noProof/>
                <w:webHidden/>
              </w:rPr>
            </w:r>
            <w:r w:rsidR="00EC4BA6" w:rsidRPr="00A62BD0">
              <w:rPr>
                <w:noProof/>
                <w:webHidden/>
              </w:rPr>
              <w:fldChar w:fldCharType="separate"/>
            </w:r>
            <w:r w:rsidR="0052488D">
              <w:rPr>
                <w:noProof/>
                <w:webHidden/>
              </w:rPr>
              <w:t>15</w:t>
            </w:r>
            <w:r w:rsidR="00EC4BA6" w:rsidRPr="00A62BD0">
              <w:rPr>
                <w:noProof/>
                <w:webHidden/>
              </w:rPr>
              <w:fldChar w:fldCharType="end"/>
            </w:r>
          </w:hyperlink>
        </w:p>
        <w:p w14:paraId="4CE8133D" w14:textId="77777777" w:rsidR="00EC4BA6" w:rsidRDefault="00D06D25" w:rsidP="00A62BD0">
          <w:pPr>
            <w:pStyle w:val="TDC1"/>
            <w:spacing w:after="0" w:line="360" w:lineRule="auto"/>
            <w:ind w:left="0" w:firstLine="0"/>
            <w:rPr>
              <w:rFonts w:ascii="Palatino Linotype" w:hAnsi="Palatino Linotype"/>
              <w:noProof/>
            </w:rPr>
          </w:pPr>
          <w:hyperlink w:anchor="_Toc7037088" w:history="1">
            <w:r w:rsidR="00EC4BA6" w:rsidRPr="00A62BD0">
              <w:rPr>
                <w:rStyle w:val="Hipervnculo"/>
                <w:rFonts w:ascii="Palatino Linotype" w:hAnsi="Palatino Linotype"/>
                <w:b/>
                <w:noProof/>
              </w:rPr>
              <w:t>CUARTO.  Del Estudio y resolución del asunto.</w:t>
            </w:r>
            <w:r w:rsidR="00EC4BA6" w:rsidRPr="00A62BD0">
              <w:rPr>
                <w:rFonts w:ascii="Palatino Linotype" w:hAnsi="Palatino Linotype"/>
                <w:noProof/>
                <w:webHidden/>
              </w:rPr>
              <w:tab/>
            </w:r>
            <w:r w:rsidR="00EC4BA6" w:rsidRPr="00A62BD0">
              <w:rPr>
                <w:rFonts w:ascii="Palatino Linotype" w:hAnsi="Palatino Linotype"/>
                <w:noProof/>
                <w:webHidden/>
              </w:rPr>
              <w:fldChar w:fldCharType="begin"/>
            </w:r>
            <w:r w:rsidR="00EC4BA6" w:rsidRPr="00A62BD0">
              <w:rPr>
                <w:rFonts w:ascii="Palatino Linotype" w:hAnsi="Palatino Linotype"/>
                <w:noProof/>
                <w:webHidden/>
              </w:rPr>
              <w:instrText xml:space="preserve"> PAGEREF _Toc7037088 \h </w:instrText>
            </w:r>
            <w:r w:rsidR="00EC4BA6" w:rsidRPr="00A62BD0">
              <w:rPr>
                <w:rFonts w:ascii="Palatino Linotype" w:hAnsi="Palatino Linotype"/>
                <w:noProof/>
                <w:webHidden/>
              </w:rPr>
            </w:r>
            <w:r w:rsidR="00EC4BA6" w:rsidRPr="00A62BD0">
              <w:rPr>
                <w:rFonts w:ascii="Palatino Linotype" w:hAnsi="Palatino Linotype"/>
                <w:noProof/>
                <w:webHidden/>
              </w:rPr>
              <w:fldChar w:fldCharType="separate"/>
            </w:r>
            <w:r w:rsidR="0052488D">
              <w:rPr>
                <w:rFonts w:ascii="Palatino Linotype" w:hAnsi="Palatino Linotype"/>
                <w:noProof/>
                <w:webHidden/>
              </w:rPr>
              <w:t>17</w:t>
            </w:r>
            <w:r w:rsidR="00EC4BA6" w:rsidRPr="00A62BD0">
              <w:rPr>
                <w:rFonts w:ascii="Palatino Linotype" w:hAnsi="Palatino Linotype"/>
                <w:noProof/>
                <w:webHidden/>
              </w:rPr>
              <w:fldChar w:fldCharType="end"/>
            </w:r>
          </w:hyperlink>
        </w:p>
        <w:p w14:paraId="28AD7CA8" w14:textId="77777777" w:rsidR="00A62BD0" w:rsidRPr="00A62BD0" w:rsidRDefault="00A62BD0" w:rsidP="00A62BD0">
          <w:pPr>
            <w:spacing w:line="360" w:lineRule="auto"/>
            <w:rPr>
              <w:noProof/>
            </w:rPr>
          </w:pPr>
        </w:p>
        <w:p w14:paraId="7E36EC7D" w14:textId="77777777" w:rsidR="00EC4BA6" w:rsidRPr="00A62BD0" w:rsidRDefault="00D06D25" w:rsidP="00A62BD0">
          <w:pPr>
            <w:pStyle w:val="TDC3"/>
            <w:tabs>
              <w:tab w:val="right" w:leader="dot" w:pos="8779"/>
            </w:tabs>
            <w:spacing w:after="0" w:line="360" w:lineRule="auto"/>
            <w:ind w:left="0"/>
            <w:rPr>
              <w:rFonts w:ascii="Palatino Linotype" w:hAnsi="Palatino Linotype"/>
              <w:noProof/>
              <w:lang w:val="es-MX" w:eastAsia="es-MX"/>
            </w:rPr>
          </w:pPr>
          <w:hyperlink w:anchor="_Toc7037089" w:history="1">
            <w:r w:rsidR="00EC4BA6" w:rsidRPr="00A62BD0">
              <w:rPr>
                <w:rStyle w:val="Hipervnculo"/>
                <w:rFonts w:ascii="Palatino Linotype" w:eastAsiaTheme="majorEastAsia" w:hAnsi="Palatino Linotype" w:cstheme="majorBidi"/>
                <w:b/>
                <w:noProof/>
                <w:lang w:val="es-MX" w:eastAsia="en-US"/>
              </w:rPr>
              <w:t>I. Del deber del SUJETO OBLIGADO de promover, respetar, proteger y garantizar el derecho de acceso a la información pública.</w:t>
            </w:r>
            <w:r w:rsidR="00EC4BA6" w:rsidRPr="00A62BD0">
              <w:rPr>
                <w:rFonts w:ascii="Palatino Linotype" w:hAnsi="Palatino Linotype"/>
                <w:noProof/>
                <w:webHidden/>
              </w:rPr>
              <w:tab/>
            </w:r>
            <w:r w:rsidR="00EC4BA6" w:rsidRPr="00A62BD0">
              <w:rPr>
                <w:rFonts w:ascii="Palatino Linotype" w:hAnsi="Palatino Linotype"/>
                <w:noProof/>
                <w:webHidden/>
              </w:rPr>
              <w:fldChar w:fldCharType="begin"/>
            </w:r>
            <w:r w:rsidR="00EC4BA6" w:rsidRPr="00A62BD0">
              <w:rPr>
                <w:rFonts w:ascii="Palatino Linotype" w:hAnsi="Palatino Linotype"/>
                <w:noProof/>
                <w:webHidden/>
              </w:rPr>
              <w:instrText xml:space="preserve"> PAGEREF _Toc7037089 \h </w:instrText>
            </w:r>
            <w:r w:rsidR="00EC4BA6" w:rsidRPr="00A62BD0">
              <w:rPr>
                <w:rFonts w:ascii="Palatino Linotype" w:hAnsi="Palatino Linotype"/>
                <w:noProof/>
                <w:webHidden/>
              </w:rPr>
            </w:r>
            <w:r w:rsidR="00EC4BA6" w:rsidRPr="00A62BD0">
              <w:rPr>
                <w:rFonts w:ascii="Palatino Linotype" w:hAnsi="Palatino Linotype"/>
                <w:noProof/>
                <w:webHidden/>
              </w:rPr>
              <w:fldChar w:fldCharType="separate"/>
            </w:r>
            <w:r w:rsidR="0052488D">
              <w:rPr>
                <w:rFonts w:ascii="Palatino Linotype" w:hAnsi="Palatino Linotype"/>
                <w:noProof/>
                <w:webHidden/>
              </w:rPr>
              <w:t>17</w:t>
            </w:r>
            <w:r w:rsidR="00EC4BA6" w:rsidRPr="00A62BD0">
              <w:rPr>
                <w:rFonts w:ascii="Palatino Linotype" w:hAnsi="Palatino Linotype"/>
                <w:noProof/>
                <w:webHidden/>
              </w:rPr>
              <w:fldChar w:fldCharType="end"/>
            </w:r>
          </w:hyperlink>
        </w:p>
        <w:p w14:paraId="1C1B75BE" w14:textId="77777777" w:rsidR="00EC4BA6" w:rsidRPr="00A62BD0" w:rsidRDefault="00D06D25" w:rsidP="00A62BD0">
          <w:pPr>
            <w:pStyle w:val="TDC2"/>
            <w:spacing w:line="360" w:lineRule="auto"/>
            <w:rPr>
              <w:noProof/>
              <w:lang w:val="es-MX" w:eastAsia="es-MX"/>
            </w:rPr>
          </w:pPr>
          <w:hyperlink w:anchor="_Toc7037090" w:history="1">
            <w:r w:rsidR="00EC4BA6" w:rsidRPr="00A62BD0">
              <w:rPr>
                <w:rStyle w:val="Hipervnculo"/>
                <w:rFonts w:ascii="Palatino Linotype" w:hAnsi="Palatino Linotype"/>
                <w:b/>
                <w:noProof/>
              </w:rPr>
              <w:t>II.  De la información solicitada.</w:t>
            </w:r>
            <w:r w:rsidR="00EC4BA6" w:rsidRPr="00A62BD0">
              <w:rPr>
                <w:noProof/>
                <w:webHidden/>
              </w:rPr>
              <w:tab/>
            </w:r>
            <w:r w:rsidR="00EC4BA6" w:rsidRPr="00A62BD0">
              <w:rPr>
                <w:noProof/>
                <w:webHidden/>
              </w:rPr>
              <w:fldChar w:fldCharType="begin"/>
            </w:r>
            <w:r w:rsidR="00EC4BA6" w:rsidRPr="00A62BD0">
              <w:rPr>
                <w:noProof/>
                <w:webHidden/>
              </w:rPr>
              <w:instrText xml:space="preserve"> PAGEREF _Toc7037090 \h </w:instrText>
            </w:r>
            <w:r w:rsidR="00EC4BA6" w:rsidRPr="00A62BD0">
              <w:rPr>
                <w:noProof/>
                <w:webHidden/>
              </w:rPr>
            </w:r>
            <w:r w:rsidR="00EC4BA6" w:rsidRPr="00A62BD0">
              <w:rPr>
                <w:noProof/>
                <w:webHidden/>
              </w:rPr>
              <w:fldChar w:fldCharType="separate"/>
            </w:r>
            <w:r w:rsidR="0052488D">
              <w:rPr>
                <w:noProof/>
                <w:webHidden/>
              </w:rPr>
              <w:t>23</w:t>
            </w:r>
            <w:r w:rsidR="00EC4BA6" w:rsidRPr="00A62BD0">
              <w:rPr>
                <w:noProof/>
                <w:webHidden/>
              </w:rPr>
              <w:fldChar w:fldCharType="end"/>
            </w:r>
          </w:hyperlink>
        </w:p>
        <w:p w14:paraId="6480B717" w14:textId="77777777" w:rsidR="00EC4BA6" w:rsidRDefault="00D06D25" w:rsidP="00A62BD0">
          <w:pPr>
            <w:pStyle w:val="TDC1"/>
            <w:spacing w:after="0" w:line="360" w:lineRule="auto"/>
            <w:ind w:left="0" w:firstLine="0"/>
            <w:rPr>
              <w:rFonts w:ascii="Palatino Linotype" w:hAnsi="Palatino Linotype"/>
              <w:noProof/>
            </w:rPr>
          </w:pPr>
          <w:hyperlink w:anchor="_Toc7037091" w:history="1">
            <w:r w:rsidR="00EC4BA6" w:rsidRPr="00A62BD0">
              <w:rPr>
                <w:rStyle w:val="Hipervnculo"/>
                <w:rFonts w:ascii="Palatino Linotype" w:hAnsi="Palatino Linotype" w:cs="Times New Roman"/>
                <w:b/>
                <w:noProof/>
                <w:lang w:eastAsia="es-ES_tradnl"/>
              </w:rPr>
              <w:t>QUINTO.</w:t>
            </w:r>
            <w:r w:rsidR="00EC4BA6" w:rsidRPr="00A62BD0">
              <w:rPr>
                <w:rStyle w:val="Hipervnculo"/>
                <w:rFonts w:ascii="Palatino Linotype" w:hAnsi="Palatino Linotype"/>
                <w:b/>
                <w:noProof/>
              </w:rPr>
              <w:t xml:space="preserve"> De la elaboración de la versión pública y el acuerdo de clasificación como información confidencial.</w:t>
            </w:r>
            <w:r w:rsidR="00EC4BA6" w:rsidRPr="00A62BD0">
              <w:rPr>
                <w:rFonts w:ascii="Palatino Linotype" w:hAnsi="Palatino Linotype"/>
                <w:noProof/>
                <w:webHidden/>
              </w:rPr>
              <w:tab/>
            </w:r>
            <w:r w:rsidR="00EC4BA6" w:rsidRPr="00A62BD0">
              <w:rPr>
                <w:rFonts w:ascii="Palatino Linotype" w:hAnsi="Palatino Linotype"/>
                <w:noProof/>
                <w:webHidden/>
              </w:rPr>
              <w:fldChar w:fldCharType="begin"/>
            </w:r>
            <w:r w:rsidR="00EC4BA6" w:rsidRPr="00A62BD0">
              <w:rPr>
                <w:rFonts w:ascii="Palatino Linotype" w:hAnsi="Palatino Linotype"/>
                <w:noProof/>
                <w:webHidden/>
              </w:rPr>
              <w:instrText xml:space="preserve"> PAGEREF _Toc7037091 \h </w:instrText>
            </w:r>
            <w:r w:rsidR="00EC4BA6" w:rsidRPr="00A62BD0">
              <w:rPr>
                <w:rFonts w:ascii="Palatino Linotype" w:hAnsi="Palatino Linotype"/>
                <w:noProof/>
                <w:webHidden/>
              </w:rPr>
            </w:r>
            <w:r w:rsidR="00EC4BA6" w:rsidRPr="00A62BD0">
              <w:rPr>
                <w:rFonts w:ascii="Palatino Linotype" w:hAnsi="Palatino Linotype"/>
                <w:noProof/>
                <w:webHidden/>
              </w:rPr>
              <w:fldChar w:fldCharType="separate"/>
            </w:r>
            <w:r w:rsidR="0052488D">
              <w:rPr>
                <w:rFonts w:ascii="Palatino Linotype" w:hAnsi="Palatino Linotype"/>
                <w:noProof/>
                <w:webHidden/>
              </w:rPr>
              <w:t>40</w:t>
            </w:r>
            <w:r w:rsidR="00EC4BA6" w:rsidRPr="00A62BD0">
              <w:rPr>
                <w:rFonts w:ascii="Palatino Linotype" w:hAnsi="Palatino Linotype"/>
                <w:noProof/>
                <w:webHidden/>
              </w:rPr>
              <w:fldChar w:fldCharType="end"/>
            </w:r>
          </w:hyperlink>
        </w:p>
        <w:p w14:paraId="22941259" w14:textId="77777777" w:rsidR="00A62BD0" w:rsidRPr="00A62BD0" w:rsidRDefault="00A62BD0" w:rsidP="00A62BD0">
          <w:pPr>
            <w:spacing w:line="360" w:lineRule="auto"/>
            <w:rPr>
              <w:noProof/>
            </w:rPr>
          </w:pPr>
        </w:p>
        <w:p w14:paraId="38FCC89E" w14:textId="77777777" w:rsidR="00EC4BA6" w:rsidRPr="00A62BD0" w:rsidRDefault="00D06D25" w:rsidP="00A62BD0">
          <w:pPr>
            <w:pStyle w:val="TDC1"/>
            <w:spacing w:after="0" w:line="360" w:lineRule="auto"/>
            <w:ind w:left="0" w:firstLine="0"/>
            <w:rPr>
              <w:rFonts w:ascii="Palatino Linotype" w:hAnsi="Palatino Linotype"/>
              <w:noProof/>
              <w:lang w:val="es-MX" w:eastAsia="es-MX"/>
            </w:rPr>
          </w:pPr>
          <w:hyperlink w:anchor="_Toc7037092" w:history="1">
            <w:r w:rsidR="00EC4BA6" w:rsidRPr="00A62BD0">
              <w:rPr>
                <w:rStyle w:val="Hipervnculo"/>
                <w:rFonts w:ascii="Palatino Linotype" w:eastAsia="Times New Roman" w:hAnsi="Palatino Linotype" w:cs="Times New Roman"/>
                <w:b/>
                <w:noProof/>
              </w:rPr>
              <w:t>R E S O L U T I V O S</w:t>
            </w:r>
            <w:r w:rsidR="00EC4BA6" w:rsidRPr="00A62BD0">
              <w:rPr>
                <w:rFonts w:ascii="Palatino Linotype" w:hAnsi="Palatino Linotype"/>
                <w:noProof/>
                <w:webHidden/>
              </w:rPr>
              <w:tab/>
            </w:r>
            <w:r w:rsidR="00EC4BA6" w:rsidRPr="00A62BD0">
              <w:rPr>
                <w:rFonts w:ascii="Palatino Linotype" w:hAnsi="Palatino Linotype"/>
                <w:noProof/>
                <w:webHidden/>
              </w:rPr>
              <w:fldChar w:fldCharType="begin"/>
            </w:r>
            <w:r w:rsidR="00EC4BA6" w:rsidRPr="00A62BD0">
              <w:rPr>
                <w:rFonts w:ascii="Palatino Linotype" w:hAnsi="Palatino Linotype"/>
                <w:noProof/>
                <w:webHidden/>
              </w:rPr>
              <w:instrText xml:space="preserve"> PAGEREF _Toc7037092 \h </w:instrText>
            </w:r>
            <w:r w:rsidR="00EC4BA6" w:rsidRPr="00A62BD0">
              <w:rPr>
                <w:rFonts w:ascii="Palatino Linotype" w:hAnsi="Palatino Linotype"/>
                <w:noProof/>
                <w:webHidden/>
              </w:rPr>
            </w:r>
            <w:r w:rsidR="00EC4BA6" w:rsidRPr="00A62BD0">
              <w:rPr>
                <w:rFonts w:ascii="Palatino Linotype" w:hAnsi="Palatino Linotype"/>
                <w:noProof/>
                <w:webHidden/>
              </w:rPr>
              <w:fldChar w:fldCharType="separate"/>
            </w:r>
            <w:r w:rsidR="0052488D">
              <w:rPr>
                <w:rFonts w:ascii="Palatino Linotype" w:hAnsi="Palatino Linotype"/>
                <w:noProof/>
                <w:webHidden/>
              </w:rPr>
              <w:t>53</w:t>
            </w:r>
            <w:r w:rsidR="00EC4BA6" w:rsidRPr="00A62BD0">
              <w:rPr>
                <w:rFonts w:ascii="Palatino Linotype" w:hAnsi="Palatino Linotype"/>
                <w:noProof/>
                <w:webHidden/>
              </w:rPr>
              <w:fldChar w:fldCharType="end"/>
            </w:r>
          </w:hyperlink>
        </w:p>
        <w:p w14:paraId="01098340" w14:textId="77777777" w:rsidR="0052488D" w:rsidRDefault="00B828E4" w:rsidP="0052488D">
          <w:pPr>
            <w:spacing w:line="360" w:lineRule="auto"/>
            <w:rPr>
              <w:rFonts w:ascii="Palatino Linotype" w:hAnsi="Palatino Linotype"/>
              <w:b/>
              <w:bCs/>
              <w:color w:val="000000" w:themeColor="text1"/>
              <w:lang w:val="es-ES"/>
            </w:rPr>
          </w:pPr>
          <w:r w:rsidRPr="00A62BD0">
            <w:rPr>
              <w:rFonts w:ascii="Palatino Linotype" w:hAnsi="Palatino Linotype"/>
              <w:b/>
              <w:bCs/>
              <w:color w:val="000000" w:themeColor="text1"/>
              <w:lang w:val="es-ES"/>
            </w:rPr>
            <w:lastRenderedPageBreak/>
            <w:fldChar w:fldCharType="end"/>
          </w:r>
        </w:p>
      </w:sdtContent>
    </w:sdt>
    <w:p w14:paraId="7A90298A" w14:textId="5B3E532B" w:rsidR="00AE1EB3" w:rsidRDefault="009B11D6" w:rsidP="0052488D">
      <w:pPr>
        <w:spacing w:line="360" w:lineRule="auto"/>
        <w:rPr>
          <w:rFonts w:ascii="Palatino Linotype" w:hAnsi="Palatino Linotype"/>
          <w:color w:val="000000" w:themeColor="text1"/>
        </w:rPr>
      </w:pPr>
      <w:r w:rsidRPr="00A62BD0">
        <w:rPr>
          <w:rFonts w:ascii="Palatino Linotype" w:hAnsi="Palatino Linotype"/>
          <w:color w:val="000000" w:themeColor="text1"/>
        </w:rPr>
        <w:t>R</w:t>
      </w:r>
      <w:r w:rsidR="00662C69" w:rsidRPr="00A62BD0">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A62BD0">
        <w:rPr>
          <w:rFonts w:ascii="Palatino Linotype" w:hAnsi="Palatino Linotype"/>
          <w:color w:val="000000" w:themeColor="text1"/>
        </w:rPr>
        <w:t xml:space="preserve">fecha </w:t>
      </w:r>
      <w:r w:rsidR="009E71F2" w:rsidRPr="00A62BD0">
        <w:rPr>
          <w:rFonts w:ascii="Palatino Linotype" w:hAnsi="Palatino Linotype"/>
          <w:color w:val="000000" w:themeColor="text1"/>
        </w:rPr>
        <w:t>(</w:t>
      </w:r>
      <w:r w:rsidR="007C5C50" w:rsidRPr="00A62BD0">
        <w:rPr>
          <w:rFonts w:ascii="Palatino Linotype" w:hAnsi="Palatino Linotype"/>
          <w:color w:val="000000" w:themeColor="text1"/>
        </w:rPr>
        <w:t>24</w:t>
      </w:r>
      <w:r w:rsidR="009A61AE" w:rsidRPr="00A62BD0">
        <w:rPr>
          <w:rFonts w:ascii="Palatino Linotype" w:hAnsi="Palatino Linotype"/>
          <w:color w:val="000000" w:themeColor="text1"/>
        </w:rPr>
        <w:t>)</w:t>
      </w:r>
      <w:r w:rsidR="007C5C50" w:rsidRPr="00A62BD0">
        <w:rPr>
          <w:rFonts w:ascii="Palatino Linotype" w:hAnsi="Palatino Linotype"/>
          <w:color w:val="000000" w:themeColor="text1"/>
        </w:rPr>
        <w:t xml:space="preserve"> veinticuatro</w:t>
      </w:r>
      <w:r w:rsidR="009E71F2" w:rsidRPr="00A62BD0">
        <w:rPr>
          <w:rFonts w:ascii="Palatino Linotype" w:hAnsi="Palatino Linotype"/>
          <w:color w:val="000000" w:themeColor="text1"/>
        </w:rPr>
        <w:t xml:space="preserve"> </w:t>
      </w:r>
      <w:r w:rsidR="004F180C" w:rsidRPr="00A62BD0">
        <w:rPr>
          <w:rFonts w:ascii="Palatino Linotype" w:hAnsi="Palatino Linotype"/>
          <w:color w:val="000000" w:themeColor="text1"/>
        </w:rPr>
        <w:t>de</w:t>
      </w:r>
      <w:r w:rsidR="007C5C50" w:rsidRPr="00A62BD0">
        <w:rPr>
          <w:rFonts w:ascii="Palatino Linotype" w:hAnsi="Palatino Linotype"/>
          <w:color w:val="000000" w:themeColor="text1"/>
        </w:rPr>
        <w:t xml:space="preserve"> abril </w:t>
      </w:r>
      <w:r w:rsidR="00662C69" w:rsidRPr="00A62BD0">
        <w:rPr>
          <w:rFonts w:ascii="Palatino Linotype" w:hAnsi="Palatino Linotype"/>
          <w:color w:val="000000" w:themeColor="text1"/>
        </w:rPr>
        <w:t xml:space="preserve">de dos mil </w:t>
      </w:r>
      <w:r w:rsidR="000A2F40" w:rsidRPr="00A62BD0">
        <w:rPr>
          <w:rFonts w:ascii="Palatino Linotype" w:hAnsi="Palatino Linotype"/>
          <w:color w:val="000000" w:themeColor="text1"/>
        </w:rPr>
        <w:t>diecinueve</w:t>
      </w:r>
      <w:r w:rsidR="009573B2" w:rsidRPr="00A62BD0">
        <w:rPr>
          <w:rFonts w:ascii="Palatino Linotype" w:hAnsi="Palatino Linotype"/>
          <w:color w:val="000000" w:themeColor="text1"/>
        </w:rPr>
        <w:t>.</w:t>
      </w:r>
    </w:p>
    <w:p w14:paraId="16135D1D" w14:textId="77777777" w:rsidR="00A62BD0" w:rsidRPr="00A62BD0" w:rsidRDefault="00A62BD0" w:rsidP="00A62BD0">
      <w:pPr>
        <w:spacing w:line="360" w:lineRule="auto"/>
        <w:jc w:val="both"/>
        <w:rPr>
          <w:rFonts w:ascii="Palatino Linotype" w:hAnsi="Palatino Linotype"/>
          <w:color w:val="000000" w:themeColor="text1"/>
        </w:rPr>
      </w:pPr>
    </w:p>
    <w:p w14:paraId="6206C24D" w14:textId="0FE7B0F4" w:rsidR="006F7CA6" w:rsidRDefault="00F56DBA" w:rsidP="00A62BD0">
      <w:pPr>
        <w:spacing w:line="360" w:lineRule="auto"/>
        <w:jc w:val="both"/>
        <w:rPr>
          <w:rFonts w:ascii="Palatino Linotype" w:hAnsi="Palatino Linotype"/>
          <w:color w:val="000000" w:themeColor="text1"/>
        </w:rPr>
      </w:pPr>
      <w:r w:rsidRPr="00A62BD0">
        <w:rPr>
          <w:rFonts w:ascii="Palatino Linotype" w:hAnsi="Palatino Linotype"/>
          <w:b/>
          <w:color w:val="000000" w:themeColor="text1"/>
        </w:rPr>
        <w:t>VISTO</w:t>
      </w:r>
      <w:r w:rsidRPr="00A62BD0">
        <w:rPr>
          <w:rFonts w:ascii="Palatino Linotype" w:hAnsi="Palatino Linotype"/>
          <w:color w:val="000000" w:themeColor="text1"/>
        </w:rPr>
        <w:t xml:space="preserve"> el expediente electrónico formado con motivo del recurso de revisión </w:t>
      </w:r>
      <w:r w:rsidR="0087585B" w:rsidRPr="00A62BD0">
        <w:rPr>
          <w:rFonts w:ascii="Palatino Linotype" w:hAnsi="Palatino Linotype" w:cs="Arial"/>
          <w:b/>
          <w:bCs/>
          <w:color w:val="000000" w:themeColor="text1"/>
        </w:rPr>
        <w:t>00503</w:t>
      </w:r>
      <w:r w:rsidR="00FA0EE3" w:rsidRPr="00A62BD0">
        <w:rPr>
          <w:rFonts w:ascii="Palatino Linotype" w:hAnsi="Palatino Linotype" w:cs="Arial"/>
          <w:b/>
          <w:bCs/>
          <w:color w:val="000000" w:themeColor="text1"/>
        </w:rPr>
        <w:t>/INFOEM/IP/RR/201</w:t>
      </w:r>
      <w:r w:rsidR="00F574EA" w:rsidRPr="00A62BD0">
        <w:rPr>
          <w:rFonts w:ascii="Palatino Linotype" w:hAnsi="Palatino Linotype" w:cs="Arial"/>
          <w:b/>
          <w:bCs/>
          <w:color w:val="000000" w:themeColor="text1"/>
        </w:rPr>
        <w:t>9</w:t>
      </w:r>
      <w:r w:rsidRPr="00A62BD0">
        <w:rPr>
          <w:rFonts w:ascii="Palatino Linotype" w:hAnsi="Palatino Linotype" w:cs="Arial"/>
          <w:b/>
          <w:bCs/>
          <w:color w:val="000000" w:themeColor="text1"/>
        </w:rPr>
        <w:t xml:space="preserve">, </w:t>
      </w:r>
      <w:r w:rsidRPr="00A62BD0">
        <w:rPr>
          <w:rFonts w:ascii="Palatino Linotype" w:hAnsi="Palatino Linotype"/>
          <w:color w:val="000000" w:themeColor="text1"/>
        </w:rPr>
        <w:t>promovido por</w:t>
      </w:r>
      <w:r w:rsidR="0075394A" w:rsidRPr="00A62BD0">
        <w:rPr>
          <w:rFonts w:ascii="Palatino Linotype" w:hAnsi="Palatino Linotype"/>
          <w:color w:val="000000" w:themeColor="text1"/>
        </w:rPr>
        <w:t xml:space="preserve"> </w:t>
      </w:r>
      <w:r w:rsidR="000D7FC5" w:rsidRPr="000D7FC5">
        <w:rPr>
          <w:rFonts w:ascii="Palatino Linotype" w:hAnsi="Palatino Linotype"/>
          <w:b/>
          <w:color w:val="000000" w:themeColor="text1"/>
          <w:highlight w:val="black"/>
        </w:rPr>
        <w:t>--------------------------------------</w:t>
      </w:r>
      <w:r w:rsidR="0075394A" w:rsidRPr="00A62BD0">
        <w:rPr>
          <w:rFonts w:ascii="Palatino Linotype" w:hAnsi="Palatino Linotype"/>
          <w:b/>
          <w:color w:val="000000" w:themeColor="text1"/>
        </w:rPr>
        <w:t xml:space="preserve">, </w:t>
      </w:r>
      <w:r w:rsidR="0075394A" w:rsidRPr="00A62BD0">
        <w:rPr>
          <w:rFonts w:ascii="Palatino Linotype" w:hAnsi="Palatino Linotype"/>
          <w:color w:val="000000" w:themeColor="text1"/>
        </w:rPr>
        <w:t xml:space="preserve">en su calidad de </w:t>
      </w:r>
      <w:r w:rsidR="0075394A" w:rsidRPr="00A62BD0">
        <w:rPr>
          <w:rFonts w:ascii="Palatino Linotype" w:hAnsi="Palatino Linotype"/>
          <w:b/>
          <w:color w:val="000000" w:themeColor="text1"/>
        </w:rPr>
        <w:t>RECURRENTE</w:t>
      </w:r>
      <w:r w:rsidR="0075394A" w:rsidRPr="00A62BD0">
        <w:rPr>
          <w:rFonts w:ascii="Palatino Linotype" w:hAnsi="Palatino Linotype"/>
          <w:color w:val="000000" w:themeColor="text1"/>
        </w:rPr>
        <w:t xml:space="preserve">, en contra de la respuesta del </w:t>
      </w:r>
      <w:r w:rsidR="00C80017" w:rsidRPr="00A62BD0">
        <w:rPr>
          <w:rFonts w:ascii="Palatino Linotype" w:hAnsi="Palatino Linotype"/>
          <w:b/>
          <w:color w:val="000000" w:themeColor="text1"/>
        </w:rPr>
        <w:t xml:space="preserve">Ayuntamiento de </w:t>
      </w:r>
      <w:r w:rsidR="00947536" w:rsidRPr="00A62BD0">
        <w:rPr>
          <w:rFonts w:ascii="Palatino Linotype" w:hAnsi="Palatino Linotype"/>
          <w:b/>
          <w:color w:val="000000" w:themeColor="text1"/>
        </w:rPr>
        <w:t>Ecatepec de Morelos</w:t>
      </w:r>
      <w:r w:rsidR="0075394A" w:rsidRPr="00A62BD0">
        <w:rPr>
          <w:rFonts w:ascii="Palatino Linotype" w:hAnsi="Palatino Linotype"/>
          <w:b/>
          <w:color w:val="000000" w:themeColor="text1"/>
        </w:rPr>
        <w:t xml:space="preserve"> </w:t>
      </w:r>
      <w:r w:rsidR="0075394A" w:rsidRPr="00A62BD0">
        <w:rPr>
          <w:rFonts w:ascii="Palatino Linotype" w:hAnsi="Palatino Linotype"/>
          <w:color w:val="000000" w:themeColor="text1"/>
        </w:rPr>
        <w:t xml:space="preserve">en lo sucesivo el </w:t>
      </w:r>
      <w:r w:rsidR="0075394A" w:rsidRPr="00A62BD0">
        <w:rPr>
          <w:rFonts w:ascii="Palatino Linotype" w:hAnsi="Palatino Linotype"/>
          <w:b/>
          <w:color w:val="000000" w:themeColor="text1"/>
        </w:rPr>
        <w:t xml:space="preserve">SUJETO OBLIGADO, </w:t>
      </w:r>
      <w:r w:rsidR="0075394A" w:rsidRPr="00A62BD0">
        <w:rPr>
          <w:rFonts w:ascii="Palatino Linotype" w:hAnsi="Palatino Linotype"/>
          <w:color w:val="000000" w:themeColor="text1"/>
        </w:rPr>
        <w:t xml:space="preserve"> se procede a dictar la presente resolución, con base en los siguientes:  </w:t>
      </w:r>
      <w:r w:rsidR="000A2F40" w:rsidRPr="00A62BD0">
        <w:rPr>
          <w:rFonts w:ascii="Palatino Linotype" w:hAnsi="Palatino Linotype"/>
          <w:color w:val="000000" w:themeColor="text1"/>
        </w:rPr>
        <w:t xml:space="preserve"> </w:t>
      </w:r>
    </w:p>
    <w:p w14:paraId="7AFDB01B" w14:textId="77777777" w:rsidR="00A62BD0" w:rsidRPr="00A62BD0" w:rsidRDefault="00A62BD0" w:rsidP="00A62BD0">
      <w:pPr>
        <w:spacing w:line="360" w:lineRule="auto"/>
        <w:jc w:val="both"/>
        <w:rPr>
          <w:rFonts w:ascii="Palatino Linotype" w:hAnsi="Palatino Linotype"/>
          <w:color w:val="000000" w:themeColor="text1"/>
        </w:rPr>
      </w:pPr>
    </w:p>
    <w:p w14:paraId="769E1410" w14:textId="5740327F" w:rsidR="00587366" w:rsidRPr="00A62BD0" w:rsidRDefault="00662C69" w:rsidP="00A62BD0">
      <w:pPr>
        <w:pStyle w:val="Ttulo1"/>
        <w:spacing w:before="0" w:line="360" w:lineRule="auto"/>
        <w:jc w:val="center"/>
        <w:rPr>
          <w:rFonts w:ascii="Palatino Linotype" w:hAnsi="Palatino Linotype"/>
          <w:b/>
          <w:color w:val="000000" w:themeColor="text1"/>
          <w:sz w:val="24"/>
          <w:szCs w:val="24"/>
        </w:rPr>
      </w:pPr>
      <w:bookmarkStart w:id="0" w:name="_Toc515555218"/>
      <w:bookmarkStart w:id="1" w:name="_Toc7037081"/>
      <w:r w:rsidRPr="00A62BD0">
        <w:rPr>
          <w:rFonts w:ascii="Palatino Linotype" w:hAnsi="Palatino Linotype"/>
          <w:b/>
          <w:color w:val="000000" w:themeColor="text1"/>
          <w:sz w:val="24"/>
          <w:szCs w:val="24"/>
        </w:rPr>
        <w:t>ANTECEDENTES</w:t>
      </w:r>
      <w:bookmarkEnd w:id="0"/>
      <w:bookmarkEnd w:id="1"/>
    </w:p>
    <w:p w14:paraId="6EF01D14" w14:textId="77777777" w:rsidR="00583131" w:rsidRPr="00A62BD0" w:rsidRDefault="00583131" w:rsidP="00A62BD0">
      <w:pPr>
        <w:spacing w:line="360" w:lineRule="auto"/>
        <w:rPr>
          <w:rFonts w:ascii="Palatino Linotype" w:hAnsi="Palatino Linotype"/>
          <w:lang w:val="es-MX" w:eastAsia="en-US"/>
        </w:rPr>
      </w:pPr>
    </w:p>
    <w:p w14:paraId="1FB60AE9" w14:textId="2AA3F9D3" w:rsidR="00DB4BEF" w:rsidRDefault="0075394A" w:rsidP="00A62BD0">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A62BD0">
        <w:rPr>
          <w:rFonts w:ascii="Palatino Linotype" w:eastAsia="Calibri" w:hAnsi="Palatino Linotype" w:cs="Arial"/>
          <w:color w:val="000000" w:themeColor="text1"/>
          <w:lang w:val="es-ES"/>
        </w:rPr>
        <w:t>El día siete</w:t>
      </w:r>
      <w:r w:rsidR="007258A0" w:rsidRPr="00A62BD0">
        <w:rPr>
          <w:rFonts w:ascii="Palatino Linotype" w:eastAsia="Calibri" w:hAnsi="Palatino Linotype" w:cs="Arial"/>
          <w:color w:val="000000" w:themeColor="text1"/>
          <w:lang w:val="es-ES"/>
        </w:rPr>
        <w:t xml:space="preserve"> </w:t>
      </w:r>
      <w:r w:rsidR="00A13811" w:rsidRPr="00A62BD0">
        <w:rPr>
          <w:rFonts w:ascii="Palatino Linotype" w:eastAsia="Calibri" w:hAnsi="Palatino Linotype" w:cs="Arial"/>
          <w:color w:val="000000" w:themeColor="text1"/>
          <w:lang w:val="es-ES"/>
        </w:rPr>
        <w:t>(</w:t>
      </w:r>
      <w:r w:rsidR="00EE7429" w:rsidRPr="00A62BD0">
        <w:rPr>
          <w:rFonts w:ascii="Palatino Linotype" w:eastAsia="Calibri" w:hAnsi="Palatino Linotype" w:cs="Arial"/>
          <w:color w:val="000000" w:themeColor="text1"/>
          <w:lang w:val="es-ES"/>
        </w:rPr>
        <w:t>07</w:t>
      </w:r>
      <w:r w:rsidR="007258A0" w:rsidRPr="00A62BD0">
        <w:rPr>
          <w:rFonts w:ascii="Palatino Linotype" w:eastAsia="Calibri" w:hAnsi="Palatino Linotype" w:cs="Arial"/>
          <w:color w:val="000000" w:themeColor="text1"/>
          <w:lang w:val="es-ES"/>
        </w:rPr>
        <w:t xml:space="preserve">) de enero </w:t>
      </w:r>
      <w:r w:rsidR="00AB274F" w:rsidRPr="00A62BD0">
        <w:rPr>
          <w:rFonts w:ascii="Palatino Linotype" w:eastAsia="Calibri" w:hAnsi="Palatino Linotype" w:cs="Arial"/>
          <w:color w:val="000000" w:themeColor="text1"/>
          <w:lang w:val="es-ES"/>
        </w:rPr>
        <w:t xml:space="preserve">de </w:t>
      </w:r>
      <w:r w:rsidR="00DB4BEF" w:rsidRPr="00A62BD0">
        <w:rPr>
          <w:rFonts w:ascii="Palatino Linotype" w:eastAsia="Calibri" w:hAnsi="Palatino Linotype" w:cs="Arial"/>
          <w:color w:val="000000" w:themeColor="text1"/>
          <w:lang w:val="es-ES"/>
        </w:rPr>
        <w:t xml:space="preserve">dos mil </w:t>
      </w:r>
      <w:r w:rsidR="009573B2" w:rsidRPr="00A62BD0">
        <w:rPr>
          <w:rFonts w:ascii="Palatino Linotype" w:eastAsia="Calibri" w:hAnsi="Palatino Linotype" w:cs="Arial"/>
          <w:color w:val="000000" w:themeColor="text1"/>
          <w:lang w:val="es-ES"/>
        </w:rPr>
        <w:t>dieci</w:t>
      </w:r>
      <w:r w:rsidR="007258A0" w:rsidRPr="00A62BD0">
        <w:rPr>
          <w:rFonts w:ascii="Palatino Linotype" w:eastAsia="Calibri" w:hAnsi="Palatino Linotype" w:cs="Arial"/>
          <w:color w:val="000000" w:themeColor="text1"/>
          <w:lang w:val="es-ES"/>
        </w:rPr>
        <w:t xml:space="preserve">nueve se </w:t>
      </w:r>
      <w:r w:rsidR="008F54B7" w:rsidRPr="00A62BD0">
        <w:rPr>
          <w:rFonts w:ascii="Palatino Linotype" w:hAnsi="Palatino Linotype"/>
          <w:color w:val="000000" w:themeColor="text1"/>
        </w:rPr>
        <w:t>presentó</w:t>
      </w:r>
      <w:r w:rsidR="007237BF" w:rsidRPr="00A62BD0">
        <w:rPr>
          <w:rFonts w:ascii="Palatino Linotype" w:hAnsi="Palatino Linotype"/>
          <w:b/>
          <w:color w:val="000000" w:themeColor="text1"/>
        </w:rPr>
        <w:t xml:space="preserve"> </w:t>
      </w:r>
      <w:r w:rsidR="003116A6" w:rsidRPr="00A62BD0">
        <w:rPr>
          <w:rFonts w:ascii="Palatino Linotype" w:eastAsia="Calibri" w:hAnsi="Palatino Linotype" w:cs="Arial"/>
          <w:color w:val="000000" w:themeColor="text1"/>
          <w:lang w:val="es-ES"/>
        </w:rPr>
        <w:t xml:space="preserve">ante el </w:t>
      </w:r>
      <w:r w:rsidR="003116A6" w:rsidRPr="00A62BD0">
        <w:rPr>
          <w:rFonts w:ascii="Palatino Linotype" w:eastAsia="Calibri" w:hAnsi="Palatino Linotype" w:cs="Arial"/>
          <w:b/>
          <w:color w:val="000000" w:themeColor="text1"/>
          <w:lang w:val="es-ES"/>
        </w:rPr>
        <w:t>SUJETO OBLIGADO</w:t>
      </w:r>
      <w:r w:rsidR="003116A6" w:rsidRPr="00A62BD0">
        <w:rPr>
          <w:rFonts w:ascii="Palatino Linotype" w:eastAsia="Calibri" w:hAnsi="Palatino Linotype" w:cs="Arial"/>
          <w:color w:val="000000" w:themeColor="text1"/>
        </w:rPr>
        <w:t xml:space="preserve"> vía</w:t>
      </w:r>
      <w:r w:rsidR="00DB4BEF" w:rsidRPr="00A62BD0">
        <w:rPr>
          <w:rFonts w:ascii="Palatino Linotype" w:eastAsia="Calibri" w:hAnsi="Palatino Linotype" w:cs="Arial"/>
          <w:color w:val="000000" w:themeColor="text1"/>
        </w:rPr>
        <w:t xml:space="preserve"> </w:t>
      </w:r>
      <w:r w:rsidR="00DB4BEF" w:rsidRPr="00A62BD0">
        <w:rPr>
          <w:rFonts w:ascii="Palatino Linotype" w:eastAsia="Calibri" w:hAnsi="Palatino Linotype" w:cs="Arial"/>
          <w:color w:val="000000" w:themeColor="text1"/>
          <w:lang w:val="es-ES"/>
        </w:rPr>
        <w:t xml:space="preserve">Sistema de Acceso a la Información Mexiquense </w:t>
      </w:r>
      <w:r w:rsidR="00DB4BEF" w:rsidRPr="00A62BD0">
        <w:rPr>
          <w:rFonts w:ascii="Palatino Linotype" w:eastAsia="Calibri" w:hAnsi="Palatino Linotype" w:cs="Arial"/>
          <w:b/>
          <w:color w:val="000000" w:themeColor="text1"/>
          <w:lang w:val="es-ES"/>
        </w:rPr>
        <w:t>SAIMEX</w:t>
      </w:r>
      <w:r w:rsidR="00DB4BEF" w:rsidRPr="00A62BD0">
        <w:rPr>
          <w:rFonts w:ascii="Palatino Linotype" w:eastAsia="Calibri" w:hAnsi="Palatino Linotype" w:cs="Arial"/>
          <w:color w:val="000000" w:themeColor="text1"/>
          <w:lang w:val="es-ES"/>
        </w:rPr>
        <w:t>, la solicitud de información pública registrada con el número</w:t>
      </w:r>
      <w:r w:rsidR="00EE7429" w:rsidRPr="00A62BD0">
        <w:rPr>
          <w:rFonts w:ascii="Palatino Linotype" w:eastAsia="Calibri" w:hAnsi="Palatino Linotype" w:cs="Arial"/>
          <w:b/>
          <w:color w:val="000000" w:themeColor="text1"/>
          <w:lang w:val="es-ES"/>
        </w:rPr>
        <w:t xml:space="preserve"> </w:t>
      </w:r>
      <w:r w:rsidR="009E3C58" w:rsidRPr="00A62BD0">
        <w:rPr>
          <w:rFonts w:ascii="Palatino Linotype" w:eastAsia="Calibri" w:hAnsi="Palatino Linotype" w:cs="Arial"/>
          <w:b/>
          <w:bCs/>
          <w:color w:val="000000" w:themeColor="text1"/>
        </w:rPr>
        <w:t>00008</w:t>
      </w:r>
      <w:r w:rsidR="00EE7429" w:rsidRPr="00A62BD0">
        <w:rPr>
          <w:rFonts w:ascii="Palatino Linotype" w:eastAsia="Calibri" w:hAnsi="Palatino Linotype" w:cs="Arial"/>
          <w:b/>
          <w:bCs/>
          <w:color w:val="000000" w:themeColor="text1"/>
        </w:rPr>
        <w:t>/</w:t>
      </w:r>
      <w:r w:rsidR="009E3C58" w:rsidRPr="00A62BD0">
        <w:rPr>
          <w:rFonts w:ascii="Palatino Linotype" w:eastAsia="Calibri" w:hAnsi="Palatino Linotype" w:cs="Arial"/>
          <w:b/>
          <w:bCs/>
          <w:color w:val="000000" w:themeColor="text1"/>
        </w:rPr>
        <w:t>ECATEPEC</w:t>
      </w:r>
      <w:r w:rsidR="00EE7429" w:rsidRPr="00A62BD0">
        <w:rPr>
          <w:rFonts w:ascii="Palatino Linotype" w:eastAsia="Calibri" w:hAnsi="Palatino Linotype" w:cs="Arial"/>
          <w:b/>
          <w:bCs/>
          <w:color w:val="000000" w:themeColor="text1"/>
        </w:rPr>
        <w:t>/IP/2019</w:t>
      </w:r>
      <w:r w:rsidR="007258A0" w:rsidRPr="00A62BD0">
        <w:rPr>
          <w:rFonts w:ascii="Palatino Linotype" w:eastAsia="Calibri" w:hAnsi="Palatino Linotype" w:cs="Arial"/>
          <w:color w:val="000000" w:themeColor="text1"/>
          <w:lang w:val="es-ES"/>
        </w:rPr>
        <w:t>, mediante la</w:t>
      </w:r>
      <w:r w:rsidR="00761992" w:rsidRPr="00A62BD0">
        <w:rPr>
          <w:rFonts w:ascii="Palatino Linotype" w:eastAsia="Calibri" w:hAnsi="Palatino Linotype" w:cs="Arial"/>
          <w:color w:val="000000" w:themeColor="text1"/>
          <w:lang w:val="es-ES"/>
        </w:rPr>
        <w:t xml:space="preserve"> cual</w:t>
      </w:r>
      <w:r w:rsidR="007258A0" w:rsidRPr="00A62BD0">
        <w:rPr>
          <w:rFonts w:ascii="Palatino Linotype" w:eastAsia="Calibri" w:hAnsi="Palatino Linotype" w:cs="Arial"/>
          <w:color w:val="000000" w:themeColor="text1"/>
          <w:lang w:val="es-ES"/>
        </w:rPr>
        <w:t xml:space="preserve"> se </w:t>
      </w:r>
      <w:r w:rsidR="009E3C58" w:rsidRPr="00A62BD0">
        <w:rPr>
          <w:rFonts w:ascii="Palatino Linotype" w:eastAsia="Calibri" w:hAnsi="Palatino Linotype" w:cs="Arial"/>
          <w:color w:val="000000" w:themeColor="text1"/>
          <w:lang w:val="es-ES"/>
        </w:rPr>
        <w:t>requirió lo siguiente</w:t>
      </w:r>
      <w:r w:rsidR="00DB4BEF" w:rsidRPr="00A62BD0">
        <w:rPr>
          <w:rFonts w:ascii="Palatino Linotype" w:eastAsia="Calibri" w:hAnsi="Palatino Linotype" w:cs="Arial"/>
          <w:color w:val="000000" w:themeColor="text1"/>
          <w:lang w:val="es-ES"/>
        </w:rPr>
        <w:t>:</w:t>
      </w:r>
    </w:p>
    <w:p w14:paraId="3785EA40" w14:textId="77777777" w:rsidR="00A62BD0" w:rsidRPr="00A62BD0" w:rsidRDefault="00A62BD0" w:rsidP="00A62BD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F7B51E7" w14:textId="7E53810D" w:rsidR="00D7312E" w:rsidRDefault="00E727B7" w:rsidP="00A62BD0">
      <w:pPr>
        <w:spacing w:line="360" w:lineRule="auto"/>
        <w:ind w:left="567" w:right="567"/>
        <w:jc w:val="both"/>
        <w:rPr>
          <w:rFonts w:ascii="Palatino Linotype" w:eastAsia="Calibri" w:hAnsi="Palatino Linotype" w:cs="Arial"/>
          <w:color w:val="000000" w:themeColor="text1"/>
          <w:lang w:val="es-ES"/>
        </w:rPr>
      </w:pPr>
      <w:r w:rsidRPr="00A62BD0">
        <w:rPr>
          <w:rFonts w:ascii="Palatino Linotype" w:hAnsi="Palatino Linotype"/>
          <w:i/>
          <w:color w:val="000000" w:themeColor="text1"/>
        </w:rPr>
        <w:t>“</w:t>
      </w:r>
      <w:r w:rsidR="009E3C58" w:rsidRPr="00A62BD0">
        <w:rPr>
          <w:rFonts w:ascii="Palatino Linotype" w:hAnsi="Palatino Linotype"/>
          <w:i/>
          <w:color w:val="000000" w:themeColor="text1"/>
        </w:rPr>
        <w:t xml:space="preserve">Solicito versión pública de todos los documentos relacionados con el documento adjunto como es el oficio 3616/2018, DJC/AMP/0231/2018, </w:t>
      </w:r>
      <w:r w:rsidR="009E3C58" w:rsidRPr="00A62BD0">
        <w:rPr>
          <w:rFonts w:ascii="Palatino Linotype" w:hAnsi="Palatino Linotype"/>
          <w:i/>
          <w:color w:val="000000" w:themeColor="text1"/>
        </w:rPr>
        <w:lastRenderedPageBreak/>
        <w:t>DJC/AMP/0278/2018, DJC/AMP/0279/2018 y las respuestas emitidas al respecto</w:t>
      </w:r>
      <w:r w:rsidR="00EF0894" w:rsidRPr="00A62BD0">
        <w:rPr>
          <w:rFonts w:ascii="Palatino Linotype" w:hAnsi="Palatino Linotype"/>
          <w:i/>
          <w:color w:val="000000" w:themeColor="text1"/>
        </w:rPr>
        <w:t>”</w:t>
      </w:r>
      <w:r w:rsidR="009573B2" w:rsidRPr="00A62BD0">
        <w:rPr>
          <w:rFonts w:ascii="Palatino Linotype" w:eastAsia="Calibri" w:hAnsi="Palatino Linotype" w:cs="Arial"/>
          <w:i/>
          <w:color w:val="000000" w:themeColor="text1"/>
          <w:lang w:val="es-ES"/>
        </w:rPr>
        <w:t xml:space="preserve"> </w:t>
      </w:r>
      <w:r w:rsidR="00EF0894" w:rsidRPr="00A62BD0">
        <w:rPr>
          <w:rFonts w:ascii="Palatino Linotype" w:eastAsia="Calibri" w:hAnsi="Palatino Linotype" w:cs="Arial"/>
          <w:color w:val="000000" w:themeColor="text1"/>
          <w:lang w:val="es-ES"/>
        </w:rPr>
        <w:t>(Sic)</w:t>
      </w:r>
    </w:p>
    <w:p w14:paraId="648AC6C8" w14:textId="77777777" w:rsidR="00A62BD0" w:rsidRPr="00A62BD0" w:rsidRDefault="00A62BD0" w:rsidP="00A62BD0">
      <w:pPr>
        <w:spacing w:line="360" w:lineRule="auto"/>
        <w:ind w:left="567" w:right="567"/>
        <w:jc w:val="both"/>
        <w:rPr>
          <w:rFonts w:ascii="Palatino Linotype" w:eastAsia="Calibri" w:hAnsi="Palatino Linotype" w:cs="Arial"/>
          <w:i/>
          <w:color w:val="000000" w:themeColor="text1"/>
          <w:lang w:val="es-ES"/>
        </w:rPr>
      </w:pPr>
    </w:p>
    <w:p w14:paraId="5ED2E19F" w14:textId="42607D60" w:rsidR="009A61AE" w:rsidRPr="00A62BD0" w:rsidRDefault="005F1C39" w:rsidP="00A62BD0">
      <w:pPr>
        <w:pStyle w:val="Prrafodelista"/>
        <w:numPr>
          <w:ilvl w:val="0"/>
          <w:numId w:val="1"/>
        </w:numPr>
        <w:tabs>
          <w:tab w:val="left" w:pos="426"/>
        </w:tabs>
        <w:spacing w:line="360" w:lineRule="auto"/>
        <w:ind w:left="0" w:right="34" w:firstLine="0"/>
        <w:jc w:val="both"/>
        <w:rPr>
          <w:rFonts w:ascii="Palatino Linotype" w:hAnsi="Palatino Linotype"/>
          <w:b/>
          <w:i/>
          <w:color w:val="000000" w:themeColor="text1"/>
        </w:rPr>
      </w:pPr>
      <w:r w:rsidRPr="00A62BD0">
        <w:rPr>
          <w:rFonts w:ascii="Palatino Linotype" w:eastAsia="Calibri" w:hAnsi="Palatino Linotype" w:cs="Arial"/>
          <w:color w:val="000000" w:themeColor="text1"/>
          <w:lang w:val="es-AR"/>
        </w:rPr>
        <w:t xml:space="preserve">Se </w:t>
      </w:r>
      <w:r w:rsidR="006668DC" w:rsidRPr="00A62BD0">
        <w:rPr>
          <w:rFonts w:ascii="Palatino Linotype" w:eastAsia="Calibri" w:hAnsi="Palatino Linotype" w:cs="Arial"/>
          <w:color w:val="000000" w:themeColor="text1"/>
          <w:lang w:val="es-AR"/>
        </w:rPr>
        <w:t xml:space="preserve">hace constar que se </w:t>
      </w:r>
      <w:r w:rsidR="00BB7BCB" w:rsidRPr="00A62BD0">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A62BD0">
        <w:rPr>
          <w:rFonts w:ascii="Palatino Linotype" w:eastAsia="Calibri" w:hAnsi="Palatino Linotype" w:cs="Arial"/>
          <w:b/>
          <w:color w:val="000000" w:themeColor="text1"/>
          <w:lang w:val="es-AR"/>
        </w:rPr>
        <w:t>(SAIMEX</w:t>
      </w:r>
      <w:r w:rsidR="00EF13FE" w:rsidRPr="00A62BD0">
        <w:rPr>
          <w:rFonts w:ascii="Palatino Linotype" w:eastAsia="Calibri" w:hAnsi="Palatino Linotype" w:cs="Arial"/>
          <w:b/>
          <w:color w:val="000000" w:themeColor="text1"/>
          <w:lang w:val="es-AR"/>
        </w:rPr>
        <w:t>)</w:t>
      </w:r>
      <w:r w:rsidR="00EF13FE" w:rsidRPr="00A62BD0">
        <w:rPr>
          <w:rFonts w:ascii="Palatino Linotype" w:eastAsia="Calibri" w:hAnsi="Palatino Linotype" w:cs="Arial"/>
          <w:color w:val="000000" w:themeColor="text1"/>
          <w:lang w:val="es-AR"/>
        </w:rPr>
        <w:t>.</w:t>
      </w:r>
    </w:p>
    <w:p w14:paraId="428B8F4D" w14:textId="77777777" w:rsidR="00A62BD0" w:rsidRPr="00A62BD0" w:rsidRDefault="00A62BD0" w:rsidP="00A62BD0">
      <w:pPr>
        <w:tabs>
          <w:tab w:val="left" w:pos="426"/>
        </w:tabs>
        <w:spacing w:line="360" w:lineRule="auto"/>
        <w:ind w:right="34"/>
        <w:jc w:val="both"/>
        <w:rPr>
          <w:rFonts w:ascii="Palatino Linotype" w:hAnsi="Palatino Linotype"/>
          <w:b/>
          <w:i/>
          <w:color w:val="000000" w:themeColor="text1"/>
        </w:rPr>
      </w:pPr>
    </w:p>
    <w:p w14:paraId="0AB6AFFC" w14:textId="15FCA0AD" w:rsidR="009E3C58" w:rsidRPr="00A62BD0" w:rsidRDefault="009E3C58" w:rsidP="00A62BD0">
      <w:pPr>
        <w:pStyle w:val="Prrafodelista"/>
        <w:numPr>
          <w:ilvl w:val="0"/>
          <w:numId w:val="1"/>
        </w:numPr>
        <w:tabs>
          <w:tab w:val="left" w:pos="426"/>
        </w:tabs>
        <w:spacing w:line="360" w:lineRule="auto"/>
        <w:ind w:left="0" w:right="34" w:firstLine="0"/>
        <w:jc w:val="both"/>
        <w:rPr>
          <w:rFonts w:ascii="Palatino Linotype" w:hAnsi="Palatino Linotype"/>
          <w:b/>
          <w:i/>
          <w:color w:val="000000" w:themeColor="text1"/>
        </w:rPr>
      </w:pPr>
      <w:r w:rsidRPr="00A62BD0">
        <w:rPr>
          <w:rFonts w:ascii="Palatino Linotype" w:hAnsi="Palatino Linotype"/>
          <w:color w:val="000000" w:themeColor="text1"/>
        </w:rPr>
        <w:t>Asimismo, remitió adjunto a su solicitud de información los siguientes docume</w:t>
      </w:r>
      <w:r w:rsidR="00191E11" w:rsidRPr="00A62BD0">
        <w:rPr>
          <w:rFonts w:ascii="Palatino Linotype" w:hAnsi="Palatino Linotype"/>
          <w:color w:val="000000" w:themeColor="text1"/>
        </w:rPr>
        <w:t xml:space="preserve">ntos en formato </w:t>
      </w:r>
      <w:r w:rsidR="006B417B" w:rsidRPr="00A62BD0">
        <w:rPr>
          <w:rFonts w:ascii="Palatino Linotype" w:hAnsi="Palatino Linotype"/>
          <w:i/>
          <w:color w:val="000000" w:themeColor="text1"/>
        </w:rPr>
        <w:t>PDF:</w:t>
      </w:r>
    </w:p>
    <w:p w14:paraId="7F3F0819" w14:textId="77777777" w:rsidR="00F57504" w:rsidRPr="00A62BD0" w:rsidRDefault="00F57504" w:rsidP="00A62BD0">
      <w:pPr>
        <w:pStyle w:val="Prrafodelista"/>
        <w:spacing w:line="360" w:lineRule="auto"/>
        <w:rPr>
          <w:rFonts w:ascii="Palatino Linotype" w:hAnsi="Palatino Linotype"/>
          <w:b/>
          <w:i/>
          <w:color w:val="000000" w:themeColor="text1"/>
        </w:rPr>
      </w:pPr>
    </w:p>
    <w:p w14:paraId="0283396F" w14:textId="77777777" w:rsidR="00F57504" w:rsidRPr="00A62BD0" w:rsidRDefault="00F57504" w:rsidP="00A62BD0">
      <w:pPr>
        <w:pStyle w:val="Prrafodelista"/>
        <w:tabs>
          <w:tab w:val="left" w:pos="426"/>
        </w:tabs>
        <w:spacing w:line="360" w:lineRule="auto"/>
        <w:ind w:left="426" w:right="567"/>
        <w:jc w:val="both"/>
        <w:rPr>
          <w:rFonts w:ascii="Palatino Linotype" w:hAnsi="Palatino Linotype"/>
          <w:b/>
          <w:i/>
          <w:color w:val="000000" w:themeColor="text1"/>
        </w:rPr>
      </w:pPr>
    </w:p>
    <w:p w14:paraId="5D2A8B6E" w14:textId="2B90CC03" w:rsidR="006B417B" w:rsidRPr="00A62BD0" w:rsidRDefault="006B417B" w:rsidP="00A62BD0">
      <w:pPr>
        <w:pStyle w:val="Prrafodelista"/>
        <w:numPr>
          <w:ilvl w:val="0"/>
          <w:numId w:val="30"/>
        </w:numPr>
        <w:tabs>
          <w:tab w:val="left" w:pos="426"/>
        </w:tabs>
        <w:spacing w:line="360" w:lineRule="auto"/>
        <w:ind w:right="567"/>
        <w:jc w:val="both"/>
        <w:rPr>
          <w:rFonts w:ascii="Palatino Linotype" w:hAnsi="Palatino Linotype"/>
          <w:b/>
          <w:i/>
          <w:color w:val="000000" w:themeColor="text1"/>
        </w:rPr>
      </w:pPr>
      <w:r w:rsidRPr="00A62BD0">
        <w:rPr>
          <w:rFonts w:ascii="Palatino Linotype" w:hAnsi="Palatino Linotype"/>
          <w:b/>
          <w:color w:val="000000" w:themeColor="text1"/>
        </w:rPr>
        <w:t xml:space="preserve">p50 01070000214575270040920037700017 </w:t>
      </w:r>
      <w:proofErr w:type="spellStart"/>
      <w:r w:rsidRPr="00A62BD0">
        <w:rPr>
          <w:rFonts w:ascii="Palatino Linotype" w:hAnsi="Palatino Linotype"/>
          <w:b/>
          <w:color w:val="000000" w:themeColor="text1"/>
        </w:rPr>
        <w:t>ecatepec</w:t>
      </w:r>
      <w:proofErr w:type="spellEnd"/>
      <w:r w:rsidRPr="00A62BD0">
        <w:rPr>
          <w:rFonts w:ascii="Palatino Linotype" w:hAnsi="Palatino Linotype"/>
          <w:b/>
          <w:color w:val="000000" w:themeColor="text1"/>
        </w:rPr>
        <w:t xml:space="preserve"> apercibimiento.pdf</w:t>
      </w:r>
      <w:r w:rsidRPr="00A62BD0">
        <w:rPr>
          <w:rFonts w:ascii="Palatino Linotype" w:hAnsi="Palatino Linotype"/>
          <w:i/>
          <w:color w:val="000000" w:themeColor="text1"/>
        </w:rPr>
        <w:t>:</w:t>
      </w:r>
      <w:r w:rsidRPr="00A62BD0">
        <w:rPr>
          <w:rFonts w:ascii="Palatino Linotype" w:hAnsi="Palatino Linotype"/>
          <w:color w:val="000000" w:themeColor="text1"/>
        </w:rPr>
        <w:t xml:space="preserve"> Documento constante de una foja que muestra el oficio 4339/2018, de nueve (09) de febrero de dos mil dieciocho, emitido por el Director Jurídico y Consultivo</w:t>
      </w:r>
      <w:r w:rsidR="006D4E9D" w:rsidRPr="00A62BD0">
        <w:rPr>
          <w:rFonts w:ascii="Palatino Linotype" w:hAnsi="Palatino Linotype"/>
          <w:color w:val="000000" w:themeColor="text1"/>
        </w:rPr>
        <w:t xml:space="preserve"> del Ayuntamiento de Ecatepec</w:t>
      </w:r>
      <w:r w:rsidRPr="00A62BD0">
        <w:rPr>
          <w:rFonts w:ascii="Palatino Linotype" w:hAnsi="Palatino Linotype"/>
          <w:color w:val="000000" w:themeColor="text1"/>
        </w:rPr>
        <w:t xml:space="preserve"> al Juez Segundo de Distrito en el Estado de México con sede en Naucalpan de Juárez, inmerso en el amparo indirecto</w:t>
      </w:r>
      <w:r w:rsidR="00A90B3F" w:rsidRPr="00A62BD0">
        <w:rPr>
          <w:rFonts w:ascii="Palatino Linotype" w:hAnsi="Palatino Linotype"/>
          <w:color w:val="000000" w:themeColor="text1"/>
        </w:rPr>
        <w:t xml:space="preserve"> 1147/2017, en cumplimiento al requerimiento realizado mediante el oficio 3616/2018.</w:t>
      </w:r>
    </w:p>
    <w:p w14:paraId="74DABE5A" w14:textId="77777777" w:rsidR="00F57504" w:rsidRPr="00A62BD0" w:rsidRDefault="00F57504" w:rsidP="00A62BD0">
      <w:pPr>
        <w:pStyle w:val="Prrafodelista"/>
        <w:tabs>
          <w:tab w:val="left" w:pos="426"/>
        </w:tabs>
        <w:spacing w:line="360" w:lineRule="auto"/>
        <w:ind w:left="426" w:right="567"/>
        <w:jc w:val="both"/>
        <w:rPr>
          <w:rFonts w:ascii="Palatino Linotype" w:hAnsi="Palatino Linotype"/>
          <w:b/>
          <w:i/>
          <w:color w:val="000000" w:themeColor="text1"/>
        </w:rPr>
      </w:pPr>
    </w:p>
    <w:p w14:paraId="2AE15BF4" w14:textId="1E969040" w:rsidR="009E3C58" w:rsidRPr="00A62BD0" w:rsidRDefault="00A90B3F" w:rsidP="00A62BD0">
      <w:pPr>
        <w:pStyle w:val="Prrafodelista"/>
        <w:numPr>
          <w:ilvl w:val="0"/>
          <w:numId w:val="30"/>
        </w:numPr>
        <w:tabs>
          <w:tab w:val="left" w:pos="426"/>
        </w:tabs>
        <w:spacing w:line="360" w:lineRule="auto"/>
        <w:ind w:right="567"/>
        <w:jc w:val="both"/>
        <w:rPr>
          <w:rFonts w:ascii="Palatino Linotype" w:hAnsi="Palatino Linotype"/>
          <w:b/>
          <w:i/>
          <w:color w:val="000000" w:themeColor="text1"/>
        </w:rPr>
      </w:pPr>
      <w:r w:rsidRPr="00A62BD0">
        <w:rPr>
          <w:rFonts w:ascii="Palatino Linotype" w:hAnsi="Palatino Linotype"/>
          <w:b/>
          <w:i/>
          <w:color w:val="000000" w:themeColor="text1"/>
        </w:rPr>
        <w:t xml:space="preserve">p46 01070000214575270037000034150017 </w:t>
      </w:r>
      <w:proofErr w:type="spellStart"/>
      <w:r w:rsidRPr="00A62BD0">
        <w:rPr>
          <w:rFonts w:ascii="Palatino Linotype" w:hAnsi="Palatino Linotype"/>
          <w:b/>
          <w:i/>
          <w:color w:val="000000" w:themeColor="text1"/>
        </w:rPr>
        <w:t>ecatepec</w:t>
      </w:r>
      <w:proofErr w:type="spellEnd"/>
      <w:r w:rsidRPr="00A62BD0">
        <w:rPr>
          <w:rFonts w:ascii="Palatino Linotype" w:hAnsi="Palatino Linotype"/>
          <w:b/>
          <w:i/>
          <w:color w:val="000000" w:themeColor="text1"/>
        </w:rPr>
        <w:t xml:space="preserve"> cumplimiento.pdf</w:t>
      </w:r>
      <w:r w:rsidRPr="00A62BD0">
        <w:rPr>
          <w:rFonts w:ascii="Palatino Linotype" w:hAnsi="Palatino Linotype"/>
          <w:color w:val="000000" w:themeColor="text1"/>
        </w:rPr>
        <w:t>: Documento constante de dos</w:t>
      </w:r>
      <w:r w:rsidR="006D4E9D" w:rsidRPr="00A62BD0">
        <w:rPr>
          <w:rFonts w:ascii="Palatino Linotype" w:hAnsi="Palatino Linotype"/>
          <w:color w:val="000000" w:themeColor="text1"/>
        </w:rPr>
        <w:t xml:space="preserve"> fojas, que muestra el oficio 3616/2018 y su similar con folio DJC/AMP/231/2018, ambos </w:t>
      </w:r>
      <w:r w:rsidR="006D4E9D" w:rsidRPr="00A62BD0">
        <w:rPr>
          <w:rFonts w:ascii="Palatino Linotype" w:hAnsi="Palatino Linotype"/>
          <w:color w:val="000000" w:themeColor="text1"/>
        </w:rPr>
        <w:lastRenderedPageBreak/>
        <w:t>de dos (02) de febrero de dos mil dieciocho y, signados por el Director Jurídico y Consultivo  del Ayuntamiento de Ecatepec, el primero dirigido al Juez Segundo de Distrito en el Estado de México con sede en Naucalpan de Juárez, inmerso en el amparo indirecto 1147/2017, en cumplimiento al requerimiento realizado mediante el oficio 3616/2018; el segundo dirigido al Subdirector de Control y Mantenimiento Vehicular de Ecatepec de Morelos, solicitándole que, en cumplimiento al oficio 3616/2018 suscrito por el Secretario del Juzgado Juez Segundo de Distrito en el Estado de México, ordene al Titular y/o Responsable de las grúas y/o corralón municipal, dé cumplimiento al requerimiento en comento.</w:t>
      </w:r>
    </w:p>
    <w:p w14:paraId="7F0561AC" w14:textId="77777777" w:rsidR="00A62BD0" w:rsidRPr="00A62BD0" w:rsidRDefault="00A62BD0" w:rsidP="00A62BD0">
      <w:pPr>
        <w:tabs>
          <w:tab w:val="left" w:pos="426"/>
        </w:tabs>
        <w:spacing w:line="360" w:lineRule="auto"/>
        <w:ind w:right="567"/>
        <w:jc w:val="both"/>
        <w:rPr>
          <w:rFonts w:ascii="Palatino Linotype" w:hAnsi="Palatino Linotype"/>
          <w:b/>
          <w:i/>
          <w:color w:val="000000" w:themeColor="text1"/>
        </w:rPr>
      </w:pPr>
    </w:p>
    <w:p w14:paraId="6B1AD677" w14:textId="4F96A991" w:rsidR="00256EB1" w:rsidRPr="00A62BD0" w:rsidRDefault="009E3C58" w:rsidP="00A62BD0">
      <w:pPr>
        <w:pStyle w:val="Prrafodelista"/>
        <w:numPr>
          <w:ilvl w:val="0"/>
          <w:numId w:val="1"/>
        </w:numPr>
        <w:tabs>
          <w:tab w:val="left" w:pos="426"/>
        </w:tabs>
        <w:spacing w:line="360" w:lineRule="auto"/>
        <w:ind w:left="0" w:right="34" w:firstLine="0"/>
        <w:jc w:val="both"/>
        <w:rPr>
          <w:rFonts w:ascii="Palatino Linotype" w:hAnsi="Palatino Linotype"/>
          <w:b/>
          <w:i/>
          <w:color w:val="000000" w:themeColor="text1"/>
        </w:rPr>
      </w:pPr>
      <w:r w:rsidRPr="00A62BD0">
        <w:rPr>
          <w:rFonts w:ascii="Palatino Linotype" w:hAnsi="Palatino Linotype"/>
          <w:color w:val="000000" w:themeColor="text1"/>
        </w:rPr>
        <w:t>E</w:t>
      </w:r>
      <w:r w:rsidR="00A12D58" w:rsidRPr="00A62BD0">
        <w:rPr>
          <w:rFonts w:ascii="Palatino Linotype" w:hAnsi="Palatino Linotype"/>
          <w:color w:val="000000" w:themeColor="text1"/>
        </w:rPr>
        <w:t>n fecha</w:t>
      </w:r>
      <w:r w:rsidR="00111226" w:rsidRPr="00A62BD0">
        <w:rPr>
          <w:rFonts w:ascii="Palatino Linotype" w:hAnsi="Palatino Linotype"/>
          <w:color w:val="000000" w:themeColor="text1"/>
        </w:rPr>
        <w:t xml:space="preserve"> </w:t>
      </w:r>
      <w:r w:rsidR="006D4E9D" w:rsidRPr="00A62BD0">
        <w:rPr>
          <w:rFonts w:ascii="Palatino Linotype" w:hAnsi="Palatino Linotype"/>
          <w:color w:val="000000" w:themeColor="text1"/>
        </w:rPr>
        <w:t>siete</w:t>
      </w:r>
      <w:r w:rsidR="00111226" w:rsidRPr="00A62BD0">
        <w:rPr>
          <w:rFonts w:ascii="Palatino Linotype" w:hAnsi="Palatino Linotype"/>
          <w:color w:val="000000" w:themeColor="text1"/>
        </w:rPr>
        <w:t xml:space="preserve"> (</w:t>
      </w:r>
      <w:r w:rsidR="006D4E9D" w:rsidRPr="00A62BD0">
        <w:rPr>
          <w:rFonts w:ascii="Palatino Linotype" w:hAnsi="Palatino Linotype"/>
          <w:color w:val="000000" w:themeColor="text1"/>
        </w:rPr>
        <w:t>07</w:t>
      </w:r>
      <w:r w:rsidR="00121627" w:rsidRPr="00A62BD0">
        <w:rPr>
          <w:rFonts w:ascii="Palatino Linotype" w:hAnsi="Palatino Linotype"/>
          <w:color w:val="000000" w:themeColor="text1"/>
        </w:rPr>
        <w:t>) de</w:t>
      </w:r>
      <w:r w:rsidR="007258A0" w:rsidRPr="00A62BD0">
        <w:rPr>
          <w:rFonts w:ascii="Palatino Linotype" w:hAnsi="Palatino Linotype"/>
          <w:color w:val="000000" w:themeColor="text1"/>
        </w:rPr>
        <w:t xml:space="preserve"> </w:t>
      </w:r>
      <w:r w:rsidR="006D4E9D" w:rsidRPr="00A62BD0">
        <w:rPr>
          <w:rFonts w:ascii="Palatino Linotype" w:hAnsi="Palatino Linotype"/>
          <w:color w:val="000000" w:themeColor="text1"/>
        </w:rPr>
        <w:t>febrero</w:t>
      </w:r>
      <w:r w:rsidR="007258A0" w:rsidRPr="00A62BD0">
        <w:rPr>
          <w:rFonts w:ascii="Palatino Linotype" w:hAnsi="Palatino Linotype"/>
          <w:color w:val="000000" w:themeColor="text1"/>
        </w:rPr>
        <w:t xml:space="preserve"> </w:t>
      </w:r>
      <w:r w:rsidR="00256EB1" w:rsidRPr="00A62BD0">
        <w:rPr>
          <w:rFonts w:ascii="Palatino Linotype" w:hAnsi="Palatino Linotype"/>
          <w:color w:val="000000" w:themeColor="text1"/>
        </w:rPr>
        <w:t>del año dos mil dieci</w:t>
      </w:r>
      <w:r w:rsidR="007D703F" w:rsidRPr="00A62BD0">
        <w:rPr>
          <w:rFonts w:ascii="Palatino Linotype" w:hAnsi="Palatino Linotype"/>
          <w:color w:val="000000" w:themeColor="text1"/>
        </w:rPr>
        <w:t>nueve</w:t>
      </w:r>
      <w:r w:rsidR="00256EB1" w:rsidRPr="00A62BD0">
        <w:rPr>
          <w:rFonts w:ascii="Palatino Linotype" w:hAnsi="Palatino Linotype"/>
          <w:color w:val="000000" w:themeColor="text1"/>
        </w:rPr>
        <w:t xml:space="preserve">, el </w:t>
      </w:r>
      <w:r w:rsidR="00256EB1" w:rsidRPr="00A62BD0">
        <w:rPr>
          <w:rFonts w:ascii="Palatino Linotype" w:hAnsi="Palatino Linotype"/>
          <w:b/>
          <w:color w:val="000000" w:themeColor="text1"/>
        </w:rPr>
        <w:t>SUJETO OBLIGADO</w:t>
      </w:r>
      <w:r w:rsidR="007D703F" w:rsidRPr="00A62BD0">
        <w:rPr>
          <w:rFonts w:ascii="Palatino Linotype" w:hAnsi="Palatino Linotype"/>
          <w:b/>
          <w:color w:val="000000" w:themeColor="text1"/>
        </w:rPr>
        <w:t xml:space="preserve"> </w:t>
      </w:r>
      <w:r w:rsidR="00256EB1" w:rsidRPr="00A62BD0">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A62BD0" w:rsidRDefault="00256EB1" w:rsidP="00A62BD0">
      <w:pPr>
        <w:pStyle w:val="Prrafodelista"/>
        <w:tabs>
          <w:tab w:val="left" w:pos="426"/>
        </w:tabs>
        <w:spacing w:line="360" w:lineRule="auto"/>
        <w:ind w:left="567" w:right="567"/>
        <w:jc w:val="both"/>
        <w:rPr>
          <w:rFonts w:ascii="Palatino Linotype" w:hAnsi="Palatino Linotype"/>
          <w:b/>
          <w:i/>
          <w:color w:val="000000" w:themeColor="text1"/>
        </w:rPr>
      </w:pPr>
    </w:p>
    <w:p w14:paraId="60FB83F7" w14:textId="77777777" w:rsidR="006D4E9D" w:rsidRPr="00A62BD0" w:rsidRDefault="00AB3FA7" w:rsidP="00A62BD0">
      <w:pPr>
        <w:tabs>
          <w:tab w:val="left" w:pos="426"/>
          <w:tab w:val="left" w:pos="8222"/>
        </w:tabs>
        <w:spacing w:line="360" w:lineRule="auto"/>
        <w:ind w:left="567" w:right="567"/>
        <w:jc w:val="right"/>
        <w:rPr>
          <w:rFonts w:ascii="Palatino Linotype" w:hAnsi="Palatino Linotype"/>
          <w:i/>
          <w:color w:val="000000" w:themeColor="text1"/>
        </w:rPr>
      </w:pPr>
      <w:r w:rsidRPr="00A62BD0">
        <w:rPr>
          <w:rFonts w:ascii="Palatino Linotype" w:hAnsi="Palatino Linotype"/>
          <w:i/>
          <w:color w:val="000000" w:themeColor="text1"/>
        </w:rPr>
        <w:t xml:space="preserve"> </w:t>
      </w:r>
      <w:r w:rsidR="00256EB1" w:rsidRPr="00A62BD0">
        <w:rPr>
          <w:rFonts w:ascii="Palatino Linotype" w:hAnsi="Palatino Linotype"/>
          <w:i/>
          <w:color w:val="000000" w:themeColor="text1"/>
        </w:rPr>
        <w:t>“</w:t>
      </w:r>
      <w:r w:rsidR="006D4E9D" w:rsidRPr="00A62BD0">
        <w:rPr>
          <w:rFonts w:ascii="Palatino Linotype" w:hAnsi="Palatino Linotype"/>
          <w:i/>
          <w:color w:val="000000" w:themeColor="text1"/>
        </w:rPr>
        <w:t>Ecatepec de Morelos, México a 07 de Febrero de 2019</w:t>
      </w:r>
    </w:p>
    <w:p w14:paraId="2C027F5C" w14:textId="1EDDBCA8" w:rsidR="006D4E9D" w:rsidRPr="00A62BD0" w:rsidRDefault="006D4E9D" w:rsidP="00A62BD0">
      <w:pPr>
        <w:tabs>
          <w:tab w:val="left" w:pos="426"/>
          <w:tab w:val="left" w:pos="8222"/>
        </w:tabs>
        <w:spacing w:line="360" w:lineRule="auto"/>
        <w:ind w:left="567" w:right="567"/>
        <w:jc w:val="right"/>
        <w:rPr>
          <w:rFonts w:ascii="Palatino Linotype" w:hAnsi="Palatino Linotype"/>
          <w:i/>
          <w:color w:val="000000" w:themeColor="text1"/>
        </w:rPr>
      </w:pPr>
      <w:r w:rsidRPr="00A62BD0">
        <w:rPr>
          <w:rFonts w:ascii="Palatino Linotype" w:hAnsi="Palatino Linotype"/>
          <w:i/>
          <w:color w:val="000000" w:themeColor="text1"/>
        </w:rPr>
        <w:t xml:space="preserve">Nombre del solicitante: </w:t>
      </w:r>
      <w:r w:rsidR="000D7FC5" w:rsidRPr="000D7FC5">
        <w:rPr>
          <w:rFonts w:ascii="Palatino Linotype" w:hAnsi="Palatino Linotype"/>
          <w:i/>
          <w:color w:val="000000" w:themeColor="text1"/>
          <w:highlight w:val="black"/>
        </w:rPr>
        <w:t>-----------------------------------------------</w:t>
      </w:r>
    </w:p>
    <w:p w14:paraId="76DCC416" w14:textId="77777777" w:rsidR="006D4E9D" w:rsidRPr="00A62BD0" w:rsidRDefault="006D4E9D" w:rsidP="00A62BD0">
      <w:pPr>
        <w:tabs>
          <w:tab w:val="left" w:pos="426"/>
          <w:tab w:val="left" w:pos="8222"/>
        </w:tabs>
        <w:spacing w:line="360" w:lineRule="auto"/>
        <w:ind w:left="567" w:right="567"/>
        <w:jc w:val="right"/>
        <w:rPr>
          <w:rFonts w:ascii="Palatino Linotype" w:hAnsi="Palatino Linotype"/>
          <w:i/>
          <w:color w:val="000000" w:themeColor="text1"/>
        </w:rPr>
      </w:pPr>
      <w:r w:rsidRPr="00A62BD0">
        <w:rPr>
          <w:rFonts w:ascii="Palatino Linotype" w:hAnsi="Palatino Linotype"/>
          <w:i/>
          <w:color w:val="000000" w:themeColor="text1"/>
        </w:rPr>
        <w:t>Folio de la solicitud: 00008/ECATEPEC/IP/2019</w:t>
      </w:r>
    </w:p>
    <w:p w14:paraId="0E5B6DC4" w14:textId="77777777" w:rsidR="006D4E9D" w:rsidRPr="00A62BD0" w:rsidRDefault="006D4E9D" w:rsidP="00A62BD0">
      <w:pPr>
        <w:tabs>
          <w:tab w:val="left" w:pos="426"/>
          <w:tab w:val="left" w:pos="8222"/>
        </w:tabs>
        <w:spacing w:line="360" w:lineRule="auto"/>
        <w:ind w:left="567" w:right="567"/>
        <w:jc w:val="both"/>
        <w:rPr>
          <w:rFonts w:ascii="Palatino Linotype" w:hAnsi="Palatino Linotype"/>
          <w:i/>
          <w:color w:val="000000" w:themeColor="text1"/>
        </w:rPr>
      </w:pPr>
      <w:r w:rsidRPr="00A62BD0">
        <w:rPr>
          <w:rFonts w:ascii="Palatino Linotype" w:hAnsi="Palatino Linotype"/>
          <w:i/>
          <w:color w:val="000000" w:themeColor="text1"/>
        </w:rPr>
        <w:t xml:space="preserve">En respuesta a la solicitud recibida, nos permitimos hacer de su conocimiento que con fundamento en el artículo 53, Fracciones: II, V y VI de la Ley de </w:t>
      </w:r>
      <w:r w:rsidRPr="00A62BD0">
        <w:rPr>
          <w:rFonts w:ascii="Palatino Linotype" w:hAnsi="Palatino Linotype"/>
          <w:i/>
          <w:color w:val="000000" w:themeColor="text1"/>
        </w:rPr>
        <w:lastRenderedPageBreak/>
        <w:t>Transparencia y Acceso a la Información Pública del Estado de México y Municipios, le contestamos que:</w:t>
      </w:r>
    </w:p>
    <w:p w14:paraId="648EAFB9" w14:textId="77777777" w:rsidR="006D4E9D" w:rsidRPr="00A62BD0" w:rsidRDefault="006D4E9D" w:rsidP="00A62BD0">
      <w:pPr>
        <w:tabs>
          <w:tab w:val="left" w:pos="426"/>
          <w:tab w:val="left" w:pos="8222"/>
        </w:tabs>
        <w:spacing w:line="360" w:lineRule="auto"/>
        <w:ind w:left="567" w:right="567"/>
        <w:jc w:val="both"/>
        <w:rPr>
          <w:rFonts w:ascii="Palatino Linotype" w:hAnsi="Palatino Linotype"/>
          <w:i/>
          <w:color w:val="000000" w:themeColor="text1"/>
        </w:rPr>
      </w:pPr>
      <w:r w:rsidRPr="00A62BD0">
        <w:rPr>
          <w:rFonts w:ascii="Palatino Linotype" w:hAnsi="Palatino Linotype"/>
          <w:i/>
          <w:color w:val="000000" w:themeColor="text1"/>
        </w:rPr>
        <w:t>EN ATENCIÓN A LO ANTERIOR ME PERMITO HACER DE SU CONOCIMIENTO QUE EN RELACIÓN A LOS OFICIOS DJC/AMP/231/2018,DJC/AMP/2078/2018, DJC/AMP/279/2018 SON DERIVADOS DEL JUICIO DE AMPARO 1147/2017 PROMOVIDO ANTE EL JUEZ SEGUNDO DE DISTRITO EN EL ESTADO DE MÉXICO CON SEDE EN NAUCALPAN DE JUAREZ, INFORMANDO A USTED QUE EN FECHA 8 DE FEBRERO DEL AÑO 2018 LA AUTORIDAD JUDICIAL DETERMINO NEGAR LA SUSPENSIÓN DEFINITIVA AL QUEJOSO DEL JUICIO DE AMPARO Y ADMINISTRATIVOS, POR LO QUE CON FUNDAMENTO EN EL ARTICULO 140 FRACCION VIII DE LA LEY DE TRANSPARENCIA Y ACCESO A LA INFORMACIÓN PUBLICA DEL ESTADO DE MÉXICO Y MUNICIPIOS, SOLICITO ATENTAMENTE DICHA INFORMACIÓN SEA CLASIFICADA COMO RESERVA.</w:t>
      </w:r>
    </w:p>
    <w:p w14:paraId="50F83CE6" w14:textId="77777777" w:rsidR="006D4E9D" w:rsidRPr="00A62BD0" w:rsidRDefault="006D4E9D" w:rsidP="00A62BD0">
      <w:pPr>
        <w:tabs>
          <w:tab w:val="left" w:pos="426"/>
          <w:tab w:val="left" w:pos="8222"/>
        </w:tabs>
        <w:spacing w:line="360" w:lineRule="auto"/>
        <w:ind w:left="567" w:right="567"/>
        <w:rPr>
          <w:rFonts w:ascii="Palatino Linotype" w:hAnsi="Palatino Linotype"/>
          <w:i/>
          <w:color w:val="000000" w:themeColor="text1"/>
        </w:rPr>
      </w:pPr>
      <w:r w:rsidRPr="00A62BD0">
        <w:rPr>
          <w:rFonts w:ascii="Palatino Linotype" w:hAnsi="Palatino Linotype"/>
          <w:i/>
          <w:color w:val="000000" w:themeColor="text1"/>
        </w:rPr>
        <w:t>ATENTAMENTE</w:t>
      </w:r>
    </w:p>
    <w:p w14:paraId="3B620C1C" w14:textId="3A0B88FC" w:rsidR="00256EB1" w:rsidRDefault="006D4E9D" w:rsidP="00A62BD0">
      <w:pPr>
        <w:tabs>
          <w:tab w:val="left" w:pos="426"/>
          <w:tab w:val="left" w:pos="8222"/>
        </w:tabs>
        <w:spacing w:line="360" w:lineRule="auto"/>
        <w:ind w:left="567" w:right="567"/>
        <w:rPr>
          <w:rFonts w:ascii="Palatino Linotype" w:hAnsi="Palatino Linotype"/>
          <w:i/>
          <w:color w:val="000000" w:themeColor="text1"/>
        </w:rPr>
      </w:pPr>
      <w:r w:rsidRPr="00A62BD0">
        <w:rPr>
          <w:rFonts w:ascii="Palatino Linotype" w:hAnsi="Palatino Linotype"/>
          <w:i/>
          <w:color w:val="000000" w:themeColor="text1"/>
        </w:rPr>
        <w:t>LIC. BRIANDA EUNICE IBERRI ESTRADA</w:t>
      </w:r>
      <w:r w:rsidR="00256EB1" w:rsidRPr="00A62BD0">
        <w:rPr>
          <w:rFonts w:ascii="Palatino Linotype" w:hAnsi="Palatino Linotype"/>
          <w:i/>
          <w:color w:val="000000" w:themeColor="text1"/>
        </w:rPr>
        <w:t xml:space="preserve">” </w:t>
      </w:r>
      <w:r w:rsidR="005846C9" w:rsidRPr="00A62BD0">
        <w:rPr>
          <w:rFonts w:ascii="Palatino Linotype" w:hAnsi="Palatino Linotype"/>
          <w:i/>
          <w:color w:val="000000" w:themeColor="text1"/>
        </w:rPr>
        <w:t>(Sic)</w:t>
      </w:r>
    </w:p>
    <w:p w14:paraId="6CDE7D21" w14:textId="77777777" w:rsidR="00256EB1" w:rsidRPr="00A62BD0" w:rsidRDefault="00256EB1" w:rsidP="00A62BD0">
      <w:pPr>
        <w:pStyle w:val="Prrafodelista"/>
        <w:tabs>
          <w:tab w:val="left" w:pos="426"/>
        </w:tabs>
        <w:spacing w:line="360" w:lineRule="auto"/>
        <w:ind w:left="284" w:right="34"/>
        <w:jc w:val="both"/>
        <w:rPr>
          <w:rFonts w:ascii="Palatino Linotype" w:hAnsi="Palatino Linotype"/>
          <w:b/>
          <w:i/>
          <w:color w:val="000000" w:themeColor="text1"/>
        </w:rPr>
      </w:pPr>
    </w:p>
    <w:p w14:paraId="0CDFD7F4" w14:textId="79F1315B" w:rsidR="001C0729" w:rsidRPr="00A62BD0" w:rsidRDefault="00121627" w:rsidP="00A62BD0">
      <w:pPr>
        <w:pStyle w:val="Prrafodelista"/>
        <w:numPr>
          <w:ilvl w:val="0"/>
          <w:numId w:val="1"/>
        </w:numPr>
        <w:tabs>
          <w:tab w:val="left" w:pos="426"/>
        </w:tabs>
        <w:spacing w:line="360" w:lineRule="auto"/>
        <w:ind w:left="0" w:firstLine="0"/>
        <w:jc w:val="both"/>
        <w:rPr>
          <w:rFonts w:ascii="Palatino Linotype" w:hAnsi="Palatino Linotype"/>
          <w:b/>
          <w:i/>
          <w:color w:val="000000" w:themeColor="text1"/>
        </w:rPr>
      </w:pPr>
      <w:r w:rsidRPr="00A62BD0">
        <w:rPr>
          <w:rFonts w:ascii="Palatino Linotype" w:hAnsi="Palatino Linotype"/>
          <w:color w:val="000000" w:themeColor="text1"/>
        </w:rPr>
        <w:t>A</w:t>
      </w:r>
      <w:r w:rsidR="00C80017" w:rsidRPr="00A62BD0">
        <w:rPr>
          <w:rFonts w:ascii="Palatino Linotype" w:hAnsi="Palatino Linotype"/>
          <w:color w:val="000000" w:themeColor="text1"/>
        </w:rPr>
        <w:t xml:space="preserve"> dicha respuesta </w:t>
      </w:r>
      <w:r w:rsidR="006D4E9D" w:rsidRPr="00A62BD0">
        <w:rPr>
          <w:rFonts w:ascii="Palatino Linotype" w:hAnsi="Palatino Linotype"/>
          <w:color w:val="000000" w:themeColor="text1"/>
        </w:rPr>
        <w:t xml:space="preserve">el </w:t>
      </w:r>
      <w:r w:rsidR="006D4E9D" w:rsidRPr="00A62BD0">
        <w:rPr>
          <w:rFonts w:ascii="Palatino Linotype" w:hAnsi="Palatino Linotype"/>
          <w:b/>
          <w:color w:val="000000" w:themeColor="text1"/>
        </w:rPr>
        <w:t>SUJETO OBLIGADO</w:t>
      </w:r>
      <w:r w:rsidR="00111226" w:rsidRPr="00A62BD0">
        <w:rPr>
          <w:rFonts w:ascii="Palatino Linotype" w:hAnsi="Palatino Linotype"/>
          <w:color w:val="000000" w:themeColor="text1"/>
        </w:rPr>
        <w:t xml:space="preserve"> </w:t>
      </w:r>
      <w:r w:rsidR="006D4E9D" w:rsidRPr="00A62BD0">
        <w:rPr>
          <w:rFonts w:ascii="Palatino Linotype" w:hAnsi="Palatino Linotype"/>
          <w:color w:val="000000" w:themeColor="text1"/>
        </w:rPr>
        <w:t>adjuntó</w:t>
      </w:r>
      <w:r w:rsidR="005846C9" w:rsidRPr="00A62BD0">
        <w:rPr>
          <w:rFonts w:ascii="Palatino Linotype" w:hAnsi="Palatino Linotype"/>
          <w:color w:val="000000" w:themeColor="text1"/>
        </w:rPr>
        <w:t xml:space="preserve"> la siguiente información:</w:t>
      </w:r>
      <w:r w:rsidR="006D4E9D" w:rsidRPr="00A62BD0">
        <w:rPr>
          <w:rFonts w:ascii="Palatino Linotype" w:hAnsi="Palatino Linotype"/>
          <w:color w:val="000000" w:themeColor="text1"/>
        </w:rPr>
        <w:t xml:space="preserve"> </w:t>
      </w:r>
    </w:p>
    <w:p w14:paraId="4D2F4068" w14:textId="77777777" w:rsidR="00A62BD0" w:rsidRPr="00A62BD0" w:rsidRDefault="00A62BD0" w:rsidP="00A62BD0">
      <w:pPr>
        <w:pStyle w:val="Prrafodelista"/>
        <w:tabs>
          <w:tab w:val="left" w:pos="426"/>
        </w:tabs>
        <w:spacing w:line="360" w:lineRule="auto"/>
        <w:ind w:left="0"/>
        <w:jc w:val="both"/>
        <w:rPr>
          <w:rFonts w:ascii="Palatino Linotype" w:hAnsi="Palatino Linotype"/>
          <w:b/>
          <w:i/>
          <w:color w:val="000000" w:themeColor="text1"/>
        </w:rPr>
      </w:pPr>
    </w:p>
    <w:p w14:paraId="34FF7595" w14:textId="77777777" w:rsidR="005846C9" w:rsidRPr="00A62BD0" w:rsidRDefault="005846C9" w:rsidP="00A62BD0">
      <w:pPr>
        <w:pStyle w:val="Prrafodelista"/>
        <w:tabs>
          <w:tab w:val="left" w:pos="426"/>
        </w:tabs>
        <w:spacing w:line="360" w:lineRule="auto"/>
        <w:ind w:left="0"/>
        <w:jc w:val="both"/>
        <w:rPr>
          <w:rFonts w:ascii="Palatino Linotype" w:hAnsi="Palatino Linotype"/>
          <w:b/>
          <w:i/>
          <w:color w:val="000000" w:themeColor="text1"/>
        </w:rPr>
      </w:pPr>
    </w:p>
    <w:p w14:paraId="0AEF8979" w14:textId="373C0058" w:rsidR="00414D36" w:rsidRPr="00A62BD0" w:rsidRDefault="00F23591" w:rsidP="00A62BD0">
      <w:pPr>
        <w:pStyle w:val="Prrafodelista"/>
        <w:numPr>
          <w:ilvl w:val="0"/>
          <w:numId w:val="9"/>
        </w:numPr>
        <w:tabs>
          <w:tab w:val="left" w:pos="426"/>
        </w:tabs>
        <w:spacing w:line="360" w:lineRule="auto"/>
        <w:ind w:right="567"/>
        <w:jc w:val="both"/>
        <w:rPr>
          <w:rFonts w:ascii="Palatino Linotype" w:hAnsi="Palatino Linotype"/>
          <w:b/>
          <w:color w:val="000000" w:themeColor="text1"/>
        </w:rPr>
      </w:pPr>
      <w:r w:rsidRPr="00A62BD0">
        <w:rPr>
          <w:rFonts w:ascii="Palatino Linotype" w:hAnsi="Palatino Linotype"/>
          <w:b/>
          <w:color w:val="000000" w:themeColor="text1"/>
        </w:rPr>
        <w:lastRenderedPageBreak/>
        <w:t>SOLICITUD 8</w:t>
      </w:r>
      <w:r w:rsidR="00C80017" w:rsidRPr="00A62BD0">
        <w:rPr>
          <w:rFonts w:ascii="Palatino Linotype" w:hAnsi="Palatino Linotype"/>
          <w:b/>
          <w:color w:val="000000" w:themeColor="text1"/>
        </w:rPr>
        <w:t xml:space="preserve">.pdf </w:t>
      </w:r>
      <w:r w:rsidR="001C0729" w:rsidRPr="00A62BD0">
        <w:rPr>
          <w:rFonts w:ascii="Palatino Linotype" w:hAnsi="Palatino Linotype"/>
          <w:b/>
          <w:color w:val="000000" w:themeColor="text1"/>
        </w:rPr>
        <w:t xml:space="preserve">: </w:t>
      </w:r>
      <w:r w:rsidR="001C0729" w:rsidRPr="00A62BD0">
        <w:rPr>
          <w:rFonts w:ascii="Palatino Linotype" w:hAnsi="Palatino Linotype"/>
          <w:color w:val="000000" w:themeColor="text1"/>
        </w:rPr>
        <w:t>Correspondiente a un docum</w:t>
      </w:r>
      <w:r w:rsidR="00414D36" w:rsidRPr="00A62BD0">
        <w:rPr>
          <w:rFonts w:ascii="Palatino Linotype" w:hAnsi="Palatino Linotype"/>
          <w:color w:val="000000" w:themeColor="text1"/>
        </w:rPr>
        <w:t xml:space="preserve">ento electrónico de dos fojas, las cuales muestran el mismo oficio de siete (07) de febrero de dos mil diecinueve, suscrito por la Titular de la Unidad de Transparencia del Ayuntamiento de Ecatepec de Morelos y, dirigido al entonces </w:t>
      </w:r>
      <w:r w:rsidR="00414D36" w:rsidRPr="00A62BD0">
        <w:rPr>
          <w:rFonts w:ascii="Palatino Linotype" w:hAnsi="Palatino Linotype"/>
          <w:b/>
          <w:color w:val="000000" w:themeColor="text1"/>
        </w:rPr>
        <w:t>SOLICITANTE</w:t>
      </w:r>
      <w:r w:rsidR="00414D36" w:rsidRPr="00A62BD0">
        <w:rPr>
          <w:rFonts w:ascii="Palatino Linotype" w:hAnsi="Palatino Linotype"/>
          <w:color w:val="000000" w:themeColor="text1"/>
        </w:rPr>
        <w:t>, refiriendo que, en relación a los oficios DJC/AMP/231/2018, DJC/AMP/278/2018 y DJC/AMP/279/2018, son derivados del juicio de amparo 1147/2017, promovido ante el Juez Segundo de Distrito en el Estado de México; empero, la información y documentación referida, se encontraba relacionada con diversos juic</w:t>
      </w:r>
      <w:r w:rsidR="005846C9" w:rsidRPr="00A62BD0">
        <w:rPr>
          <w:rFonts w:ascii="Palatino Linotype" w:hAnsi="Palatino Linotype"/>
          <w:color w:val="000000" w:themeColor="text1"/>
        </w:rPr>
        <w:t xml:space="preserve">ios administrativos y de amparo concluidos, solicitando la clasificación de la información como reservada. </w:t>
      </w:r>
    </w:p>
    <w:p w14:paraId="13E60697" w14:textId="77777777" w:rsidR="00A62BD0" w:rsidRPr="00A62BD0" w:rsidRDefault="00A62BD0" w:rsidP="00A62BD0">
      <w:pPr>
        <w:pStyle w:val="Prrafodelista"/>
        <w:tabs>
          <w:tab w:val="left" w:pos="426"/>
        </w:tabs>
        <w:spacing w:line="360" w:lineRule="auto"/>
        <w:ind w:left="780" w:right="567"/>
        <w:jc w:val="both"/>
        <w:rPr>
          <w:rFonts w:ascii="Palatino Linotype" w:hAnsi="Palatino Linotype"/>
          <w:b/>
          <w:color w:val="000000" w:themeColor="text1"/>
        </w:rPr>
      </w:pPr>
    </w:p>
    <w:p w14:paraId="127B1A18" w14:textId="1F230D18" w:rsidR="00146F00" w:rsidRPr="00A62BD0" w:rsidRDefault="00DB4BEF" w:rsidP="00A62BD0">
      <w:pPr>
        <w:pStyle w:val="Prrafodelista"/>
        <w:numPr>
          <w:ilvl w:val="0"/>
          <w:numId w:val="1"/>
        </w:numPr>
        <w:tabs>
          <w:tab w:val="left" w:pos="426"/>
        </w:tabs>
        <w:spacing w:line="360" w:lineRule="auto"/>
        <w:ind w:left="0" w:firstLine="0"/>
        <w:jc w:val="both"/>
        <w:rPr>
          <w:rFonts w:ascii="Palatino Linotype" w:hAnsi="Palatino Linotype"/>
          <w:b/>
          <w:i/>
          <w:color w:val="000000" w:themeColor="text1"/>
        </w:rPr>
      </w:pPr>
      <w:r w:rsidRPr="00A62BD0">
        <w:rPr>
          <w:rFonts w:ascii="Palatino Linotype" w:eastAsia="Times New Roman" w:hAnsi="Palatino Linotype" w:cs="Arial"/>
          <w:color w:val="000000" w:themeColor="text1"/>
          <w:lang w:val="es-ES"/>
        </w:rPr>
        <w:t xml:space="preserve">El </w:t>
      </w:r>
      <w:r w:rsidR="00687918" w:rsidRPr="00A62BD0">
        <w:rPr>
          <w:rFonts w:ascii="Palatino Linotype" w:eastAsia="Times New Roman" w:hAnsi="Palatino Linotype" w:cs="Arial"/>
          <w:color w:val="000000" w:themeColor="text1"/>
          <w:lang w:val="es-ES"/>
        </w:rPr>
        <w:t xml:space="preserve">día </w:t>
      </w:r>
      <w:r w:rsidR="00414D36" w:rsidRPr="00A62BD0">
        <w:rPr>
          <w:rFonts w:ascii="Palatino Linotype" w:eastAsia="Times New Roman" w:hAnsi="Palatino Linotype" w:cs="Arial"/>
          <w:color w:val="000000" w:themeColor="text1"/>
          <w:lang w:val="es-ES"/>
        </w:rPr>
        <w:t>siete</w:t>
      </w:r>
      <w:r w:rsidR="005C7E0D" w:rsidRPr="00A62BD0">
        <w:rPr>
          <w:rFonts w:ascii="Palatino Linotype" w:eastAsia="Times New Roman" w:hAnsi="Palatino Linotype" w:cs="Arial"/>
          <w:color w:val="000000" w:themeColor="text1"/>
          <w:lang w:val="es-ES"/>
        </w:rPr>
        <w:t xml:space="preserve"> </w:t>
      </w:r>
      <w:r w:rsidR="00D85885" w:rsidRPr="00A62BD0">
        <w:rPr>
          <w:rFonts w:ascii="Palatino Linotype" w:eastAsia="Times New Roman" w:hAnsi="Palatino Linotype" w:cs="Arial"/>
          <w:color w:val="000000" w:themeColor="text1"/>
          <w:lang w:val="es-ES"/>
        </w:rPr>
        <w:t>(</w:t>
      </w:r>
      <w:r w:rsidR="00687918" w:rsidRPr="00A62BD0">
        <w:rPr>
          <w:rFonts w:ascii="Palatino Linotype" w:eastAsia="Times New Roman" w:hAnsi="Palatino Linotype" w:cs="Arial"/>
          <w:color w:val="000000" w:themeColor="text1"/>
          <w:lang w:val="es-ES"/>
        </w:rPr>
        <w:t>0</w:t>
      </w:r>
      <w:r w:rsidR="00414D36" w:rsidRPr="00A62BD0">
        <w:rPr>
          <w:rFonts w:ascii="Palatino Linotype" w:eastAsia="Times New Roman" w:hAnsi="Palatino Linotype" w:cs="Arial"/>
          <w:color w:val="000000" w:themeColor="text1"/>
          <w:lang w:val="es-ES"/>
        </w:rPr>
        <w:t>7</w:t>
      </w:r>
      <w:r w:rsidR="00D85885" w:rsidRPr="00A62BD0">
        <w:rPr>
          <w:rFonts w:ascii="Palatino Linotype" w:eastAsia="Times New Roman" w:hAnsi="Palatino Linotype" w:cs="Arial"/>
          <w:color w:val="000000" w:themeColor="text1"/>
          <w:lang w:val="es-ES"/>
        </w:rPr>
        <w:t xml:space="preserve">) </w:t>
      </w:r>
      <w:r w:rsidR="00BE3B4D" w:rsidRPr="00A62BD0">
        <w:rPr>
          <w:rFonts w:ascii="Palatino Linotype" w:eastAsia="Times New Roman" w:hAnsi="Palatino Linotype" w:cs="Arial"/>
          <w:color w:val="000000" w:themeColor="text1"/>
          <w:lang w:val="es-ES"/>
        </w:rPr>
        <w:t>de</w:t>
      </w:r>
      <w:r w:rsidR="00687918" w:rsidRPr="00A62BD0">
        <w:rPr>
          <w:rFonts w:ascii="Palatino Linotype" w:eastAsia="Times New Roman" w:hAnsi="Palatino Linotype" w:cs="Arial"/>
          <w:color w:val="000000" w:themeColor="text1"/>
          <w:lang w:val="es-ES"/>
        </w:rPr>
        <w:t xml:space="preserve"> febrero </w:t>
      </w:r>
      <w:r w:rsidR="00B212D0" w:rsidRPr="00A62BD0">
        <w:rPr>
          <w:rFonts w:ascii="Palatino Linotype" w:eastAsia="Times New Roman" w:hAnsi="Palatino Linotype" w:cs="Arial"/>
          <w:color w:val="000000" w:themeColor="text1"/>
          <w:lang w:val="es-ES"/>
        </w:rPr>
        <w:t>de dos mil diecinueve</w:t>
      </w:r>
      <w:r w:rsidR="004A4881" w:rsidRPr="00A62BD0">
        <w:rPr>
          <w:rFonts w:ascii="Palatino Linotype" w:eastAsia="Times New Roman" w:hAnsi="Palatino Linotype" w:cs="Arial"/>
          <w:color w:val="000000" w:themeColor="text1"/>
          <w:lang w:val="es-ES"/>
        </w:rPr>
        <w:t xml:space="preserve"> estando en tiempo y forma</w:t>
      </w:r>
      <w:r w:rsidR="00414D36" w:rsidRPr="00A62BD0">
        <w:rPr>
          <w:rFonts w:ascii="Palatino Linotype" w:eastAsia="Times New Roman" w:hAnsi="Palatino Linotype" w:cs="Arial"/>
          <w:color w:val="000000" w:themeColor="text1"/>
          <w:lang w:val="es-ES"/>
        </w:rPr>
        <w:t>, el particular</w:t>
      </w:r>
      <w:r w:rsidR="004A4881" w:rsidRPr="00A62BD0">
        <w:rPr>
          <w:rFonts w:ascii="Palatino Linotype" w:eastAsia="Times New Roman" w:hAnsi="Palatino Linotype" w:cs="Arial"/>
          <w:color w:val="000000" w:themeColor="text1"/>
          <w:lang w:val="es-ES"/>
        </w:rPr>
        <w:t xml:space="preserve"> </w:t>
      </w:r>
      <w:r w:rsidRPr="00A62BD0">
        <w:rPr>
          <w:rFonts w:ascii="Palatino Linotype" w:eastAsia="Times New Roman" w:hAnsi="Palatino Linotype" w:cs="Arial"/>
          <w:color w:val="000000" w:themeColor="text1"/>
          <w:lang w:val="es-ES"/>
        </w:rPr>
        <w:t>interpuso</w:t>
      </w:r>
      <w:r w:rsidR="009316E9" w:rsidRPr="00A62BD0">
        <w:rPr>
          <w:rFonts w:ascii="Palatino Linotype" w:eastAsia="Times New Roman" w:hAnsi="Palatino Linotype" w:cs="Arial"/>
          <w:color w:val="000000" w:themeColor="text1"/>
          <w:lang w:val="es-ES"/>
        </w:rPr>
        <w:t xml:space="preserve"> </w:t>
      </w:r>
      <w:r w:rsidRPr="00A62BD0">
        <w:rPr>
          <w:rFonts w:ascii="Palatino Linotype" w:eastAsia="Times New Roman" w:hAnsi="Palatino Linotype" w:cs="Arial"/>
          <w:color w:val="000000" w:themeColor="text1"/>
          <w:lang w:val="es-ES"/>
        </w:rPr>
        <w:t>recurso de revisión</w:t>
      </w:r>
      <w:r w:rsidR="00EC455A" w:rsidRPr="00A62BD0">
        <w:rPr>
          <w:rFonts w:ascii="Palatino Linotype" w:eastAsia="Times New Roman" w:hAnsi="Palatino Linotype" w:cs="Arial"/>
          <w:color w:val="000000" w:themeColor="text1"/>
          <w:lang w:val="es-ES"/>
        </w:rPr>
        <w:t xml:space="preserve"> </w:t>
      </w:r>
      <w:r w:rsidR="009316E9" w:rsidRPr="00A62BD0">
        <w:rPr>
          <w:rFonts w:ascii="Palatino Linotype" w:eastAsia="Times New Roman" w:hAnsi="Palatino Linotype" w:cs="Arial"/>
          <w:color w:val="000000" w:themeColor="text1"/>
          <w:lang w:val="es-ES"/>
        </w:rPr>
        <w:t xml:space="preserve">en contra de la respuesta anteriormente </w:t>
      </w:r>
      <w:r w:rsidR="009E4942" w:rsidRPr="00A62BD0">
        <w:rPr>
          <w:rFonts w:ascii="Palatino Linotype" w:eastAsia="Times New Roman" w:hAnsi="Palatino Linotype" w:cs="Arial"/>
          <w:color w:val="000000" w:themeColor="text1"/>
          <w:lang w:val="es-ES"/>
        </w:rPr>
        <w:t>referida</w:t>
      </w:r>
      <w:r w:rsidR="00414D36" w:rsidRPr="00A62BD0">
        <w:rPr>
          <w:rFonts w:ascii="Palatino Linotype" w:eastAsia="Times New Roman" w:hAnsi="Palatino Linotype" w:cs="Arial"/>
          <w:color w:val="000000" w:themeColor="text1"/>
          <w:lang w:val="es-ES"/>
        </w:rPr>
        <w:t xml:space="preserve"> y</w:t>
      </w:r>
      <w:r w:rsidR="009316E9" w:rsidRPr="00A62BD0">
        <w:rPr>
          <w:rFonts w:ascii="Palatino Linotype" w:eastAsia="Times New Roman" w:hAnsi="Palatino Linotype" w:cs="Arial"/>
          <w:color w:val="000000" w:themeColor="text1"/>
          <w:lang w:val="es-ES"/>
        </w:rPr>
        <w:t xml:space="preserve">, </w:t>
      </w:r>
      <w:r w:rsidR="002B2A2E" w:rsidRPr="00A62BD0">
        <w:rPr>
          <w:rFonts w:ascii="Palatino Linotype" w:eastAsia="Times New Roman" w:hAnsi="Palatino Linotype" w:cs="Arial"/>
          <w:color w:val="000000" w:themeColor="text1"/>
          <w:lang w:val="es-ES"/>
        </w:rPr>
        <w:t xml:space="preserve">señalando </w:t>
      </w:r>
      <w:r w:rsidR="009E4942" w:rsidRPr="00A62BD0">
        <w:rPr>
          <w:rFonts w:ascii="Palatino Linotype" w:eastAsia="Times New Roman" w:hAnsi="Palatino Linotype" w:cs="Arial"/>
          <w:color w:val="000000" w:themeColor="text1"/>
          <w:lang w:val="es-ES"/>
        </w:rPr>
        <w:t>como</w:t>
      </w:r>
      <w:r w:rsidR="00146F00" w:rsidRPr="00A62BD0">
        <w:rPr>
          <w:rFonts w:ascii="Palatino Linotype" w:eastAsia="Times New Roman" w:hAnsi="Palatino Linotype" w:cs="Arial"/>
          <w:color w:val="000000" w:themeColor="text1"/>
          <w:lang w:val="es-ES"/>
        </w:rPr>
        <w:t>:</w:t>
      </w:r>
    </w:p>
    <w:p w14:paraId="5C9C6A63" w14:textId="77777777" w:rsidR="00F57504" w:rsidRPr="00A62BD0" w:rsidRDefault="00F57504" w:rsidP="00A62BD0">
      <w:pPr>
        <w:pStyle w:val="Prrafodelista"/>
        <w:tabs>
          <w:tab w:val="left" w:pos="426"/>
        </w:tabs>
        <w:spacing w:line="360" w:lineRule="auto"/>
        <w:ind w:left="284"/>
        <w:jc w:val="both"/>
        <w:rPr>
          <w:rFonts w:ascii="Palatino Linotype" w:hAnsi="Palatino Linotype"/>
          <w:b/>
          <w:i/>
          <w:color w:val="000000" w:themeColor="text1"/>
        </w:rPr>
      </w:pPr>
    </w:p>
    <w:p w14:paraId="45AA859E" w14:textId="72CE2609" w:rsidR="00146F00" w:rsidRPr="00A62BD0" w:rsidRDefault="009E4942" w:rsidP="00A62BD0">
      <w:pPr>
        <w:pStyle w:val="Prrafodelista"/>
        <w:numPr>
          <w:ilvl w:val="0"/>
          <w:numId w:val="2"/>
        </w:numPr>
        <w:tabs>
          <w:tab w:val="left" w:pos="426"/>
        </w:tabs>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704991"/>
      <w:bookmarkStart w:id="25" w:name="_Toc5708061"/>
      <w:bookmarkStart w:id="26" w:name="_Toc5708226"/>
      <w:bookmarkStart w:id="27" w:name="_Toc5711914"/>
      <w:bookmarkStart w:id="28" w:name="_Toc7036732"/>
      <w:bookmarkStart w:id="29" w:name="_Toc7037082"/>
      <w:bookmarkStart w:id="30" w:name="_Toc483411550"/>
      <w:r w:rsidRPr="00A62BD0">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FE49E3" w:rsidRPr="00A62BD0">
        <w:rPr>
          <w:rStyle w:val="Ttulo2Car"/>
          <w:rFonts w:ascii="Palatino Linotype" w:hAnsi="Palatino Linotype"/>
          <w:b/>
          <w:color w:val="000000" w:themeColor="text1"/>
          <w:sz w:val="24"/>
          <w:szCs w:val="24"/>
        </w:rPr>
        <w:t xml:space="preserve"> </w:t>
      </w:r>
      <w:r w:rsidR="00E727B7" w:rsidRPr="00A62BD0">
        <w:rPr>
          <w:rFonts w:ascii="Palatino Linotype" w:hAnsi="Palatino Linotype"/>
          <w:i/>
          <w:color w:val="000000" w:themeColor="text1"/>
        </w:rPr>
        <w:t>“</w:t>
      </w:r>
      <w:r w:rsidR="00414D36" w:rsidRPr="00A62BD0">
        <w:rPr>
          <w:rFonts w:ascii="Palatino Linotype" w:hAnsi="Palatino Linotype"/>
          <w:i/>
          <w:color w:val="000000" w:themeColor="text1"/>
        </w:rPr>
        <w:t>se impugna la respuesta</w:t>
      </w:r>
      <w:r w:rsidR="004433A7" w:rsidRPr="00A62BD0">
        <w:rPr>
          <w:rFonts w:ascii="Palatino Linotype" w:hAnsi="Palatino Linotype"/>
          <w:i/>
          <w:color w:val="000000" w:themeColor="text1"/>
        </w:rPr>
        <w:t>”</w:t>
      </w:r>
      <w:r w:rsidR="00687918" w:rsidRPr="00A62BD0">
        <w:rPr>
          <w:rFonts w:ascii="Palatino Linotype" w:hAnsi="Palatino Linotype"/>
          <w:color w:val="000000" w:themeColor="text1"/>
        </w:rPr>
        <w:t xml:space="preserve"> </w:t>
      </w:r>
      <w:r w:rsidR="004433A7" w:rsidRPr="00A62BD0">
        <w:rPr>
          <w:rFonts w:ascii="Palatino Linotype" w:hAnsi="Palatino Linotype"/>
          <w:color w:val="000000" w:themeColor="text1"/>
        </w:rPr>
        <w:t>(Sic)</w:t>
      </w:r>
      <w:bookmarkEnd w:id="30"/>
    </w:p>
    <w:p w14:paraId="3E8F4C85" w14:textId="172AE0C6" w:rsidR="00146F00" w:rsidRPr="00A62BD0" w:rsidRDefault="00146F00" w:rsidP="00A62BD0">
      <w:pPr>
        <w:tabs>
          <w:tab w:val="left" w:pos="426"/>
        </w:tabs>
        <w:spacing w:line="360" w:lineRule="auto"/>
        <w:ind w:left="567"/>
        <w:jc w:val="both"/>
        <w:rPr>
          <w:rStyle w:val="Ttulo2Car"/>
          <w:rFonts w:ascii="Palatino Linotype" w:hAnsi="Palatino Linotype"/>
          <w:b/>
          <w:color w:val="000000" w:themeColor="text1"/>
          <w:sz w:val="24"/>
          <w:szCs w:val="24"/>
          <w:lang w:val="es-ES"/>
        </w:rPr>
      </w:pPr>
    </w:p>
    <w:p w14:paraId="770FE432" w14:textId="3DDC9BAA" w:rsidR="008A7D54" w:rsidRPr="00A62BD0" w:rsidRDefault="009E4942" w:rsidP="00A62BD0">
      <w:pPr>
        <w:pStyle w:val="Ttulo2"/>
        <w:numPr>
          <w:ilvl w:val="0"/>
          <w:numId w:val="2"/>
        </w:numPr>
        <w:tabs>
          <w:tab w:val="left" w:pos="426"/>
        </w:tabs>
        <w:spacing w:before="0" w:line="360" w:lineRule="auto"/>
        <w:ind w:right="567"/>
        <w:jc w:val="both"/>
        <w:rPr>
          <w:rFonts w:ascii="Palatino Linotype" w:hAnsi="Palatino Linotype"/>
          <w:color w:val="000000" w:themeColor="text1"/>
          <w:sz w:val="24"/>
          <w:szCs w:val="24"/>
        </w:rPr>
      </w:pPr>
      <w:bookmarkStart w:id="31" w:name="_Toc466982515"/>
      <w:bookmarkStart w:id="32" w:name="_Toc483995815"/>
      <w:bookmarkStart w:id="33" w:name="_Toc483411551"/>
      <w:bookmarkStart w:id="34" w:name="_Toc487622221"/>
      <w:bookmarkStart w:id="35" w:name="_Toc513198477"/>
      <w:bookmarkStart w:id="36" w:name="_Toc513203702"/>
      <w:bookmarkStart w:id="37" w:name="_Toc513203955"/>
      <w:bookmarkStart w:id="38" w:name="_Toc515555220"/>
      <w:bookmarkStart w:id="39" w:name="_Toc521603603"/>
      <w:bookmarkStart w:id="40" w:name="_Toc521605911"/>
      <w:bookmarkStart w:id="41" w:name="_Toc521949101"/>
      <w:bookmarkStart w:id="42" w:name="_Toc522641233"/>
      <w:bookmarkStart w:id="43" w:name="_Toc522703903"/>
      <w:bookmarkStart w:id="44" w:name="_Toc522705317"/>
      <w:bookmarkStart w:id="45" w:name="_Toc523418726"/>
      <w:bookmarkStart w:id="46" w:name="_Toc523908134"/>
      <w:bookmarkStart w:id="47" w:name="_Toc524437283"/>
      <w:bookmarkStart w:id="48" w:name="_Toc524437410"/>
      <w:bookmarkStart w:id="49" w:name="_Toc526355995"/>
      <w:bookmarkStart w:id="50" w:name="_Toc526361051"/>
      <w:bookmarkStart w:id="51" w:name="_Toc526361501"/>
      <w:bookmarkStart w:id="52" w:name="_Toc3399849"/>
      <w:bookmarkStart w:id="53" w:name="_Toc3399946"/>
      <w:bookmarkStart w:id="54" w:name="_Toc5704992"/>
      <w:bookmarkStart w:id="55" w:name="_Toc5708062"/>
      <w:bookmarkStart w:id="56" w:name="_Toc5708227"/>
      <w:bookmarkStart w:id="57" w:name="_Toc5711915"/>
      <w:bookmarkStart w:id="58" w:name="_Toc7036733"/>
      <w:bookmarkStart w:id="59" w:name="_Toc7037083"/>
      <w:r w:rsidRPr="00A62BD0">
        <w:rPr>
          <w:rStyle w:val="Ttulo2Car"/>
          <w:rFonts w:ascii="Palatino Linotype" w:hAnsi="Palatino Linotype"/>
          <w:b/>
          <w:color w:val="000000" w:themeColor="text1"/>
          <w:sz w:val="24"/>
          <w:szCs w:val="24"/>
        </w:rPr>
        <w:lastRenderedPageBreak/>
        <w:t>Razones o Motivos de inconformidad:</w:t>
      </w:r>
      <w:bookmarkEnd w:id="31"/>
      <w:r w:rsidR="00FE49E3" w:rsidRPr="00A62BD0">
        <w:rPr>
          <w:rFonts w:ascii="Palatino Linotype" w:hAnsi="Palatino Linotype"/>
          <w:b/>
          <w:color w:val="000000" w:themeColor="text1"/>
          <w:sz w:val="24"/>
          <w:szCs w:val="24"/>
        </w:rPr>
        <w:t xml:space="preserve"> </w:t>
      </w:r>
      <w:r w:rsidR="00E727B7" w:rsidRPr="00A62BD0">
        <w:rPr>
          <w:rFonts w:ascii="Palatino Linotype" w:hAnsi="Palatino Linotype"/>
          <w:i/>
          <w:color w:val="000000" w:themeColor="text1"/>
          <w:sz w:val="24"/>
          <w:szCs w:val="24"/>
        </w:rPr>
        <w:t>“</w:t>
      </w:r>
      <w:bookmarkStart w:id="60" w:name="_Toc483995816"/>
      <w:bookmarkEnd w:id="32"/>
      <w:r w:rsidR="00414D36" w:rsidRPr="00A62BD0">
        <w:rPr>
          <w:rFonts w:ascii="Palatino Linotype" w:hAnsi="Palatino Linotype"/>
          <w:i/>
          <w:color w:val="000000" w:themeColor="text1"/>
          <w:sz w:val="24"/>
          <w:szCs w:val="24"/>
        </w:rPr>
        <w:t>La autoridad refiere que mediante el oficio DJC/170/2019 solicitaron que la información sea clasificada como reservada, sin que proporcionen un proveído en el que se haya acordado favorable la reserva y por tanto niegan información que no ha sido clasificada. En la solicitud de información 489/ECATEPEC/IP/2018 indicaron que el sujeto responsable no cuenta con grúas o corralones y en la presente se solicitó un documento público expedido por el titular de las grúas y/o corralones por lo que solicito que las presentes manifestaciones sean valoradas en ambos asuntos para demostrar la incongruencia de ambas respuestas tomando en cuenta que el sistema SAIMEX no permite agregar más manifestaciones al recurso interpuesto contra la respuesta 489/ECATEPEC/IP/2018.</w:t>
      </w:r>
      <w:r w:rsidR="00AB3FA7" w:rsidRPr="00A62BD0">
        <w:rPr>
          <w:rFonts w:ascii="Palatino Linotype" w:hAnsi="Palatino Linotype"/>
          <w:i/>
          <w:color w:val="000000" w:themeColor="text1"/>
          <w:sz w:val="24"/>
          <w:szCs w:val="24"/>
        </w:rPr>
        <w:t xml:space="preserve">” </w:t>
      </w:r>
      <w:r w:rsidR="00CF377E" w:rsidRPr="00A62BD0">
        <w:rPr>
          <w:rFonts w:ascii="Palatino Linotype" w:hAnsi="Palatino Linotype"/>
          <w:color w:val="000000" w:themeColor="text1"/>
          <w:sz w:val="24"/>
          <w:szCs w:val="24"/>
        </w:rPr>
        <w:t>(Sic)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5DAC48B" w14:textId="77777777" w:rsidR="008A7D54" w:rsidRPr="00A62BD0" w:rsidRDefault="008A7D54" w:rsidP="00A62BD0">
      <w:pPr>
        <w:tabs>
          <w:tab w:val="left" w:pos="426"/>
        </w:tabs>
        <w:spacing w:line="360" w:lineRule="auto"/>
        <w:rPr>
          <w:rFonts w:ascii="Palatino Linotype" w:hAnsi="Palatino Linotype"/>
          <w:lang w:val="es-MX" w:eastAsia="en-US"/>
        </w:rPr>
      </w:pPr>
    </w:p>
    <w:p w14:paraId="6E571BB8" w14:textId="452766F8" w:rsidR="006D52D1" w:rsidRPr="00A62BD0" w:rsidRDefault="007E5278" w:rsidP="00A62BD0">
      <w:pPr>
        <w:pStyle w:val="Prrafodelista"/>
        <w:numPr>
          <w:ilvl w:val="0"/>
          <w:numId w:val="1"/>
        </w:numPr>
        <w:tabs>
          <w:tab w:val="left" w:pos="426"/>
          <w:tab w:val="left" w:pos="709"/>
        </w:tabs>
        <w:spacing w:line="360" w:lineRule="auto"/>
        <w:ind w:left="0" w:firstLine="0"/>
        <w:jc w:val="both"/>
        <w:rPr>
          <w:rFonts w:ascii="Palatino Linotype" w:hAnsi="Palatino Linotype"/>
          <w:i/>
          <w:color w:val="000000" w:themeColor="text1"/>
        </w:rPr>
      </w:pPr>
      <w:r w:rsidRPr="00A62BD0">
        <w:rPr>
          <w:rFonts w:ascii="Palatino Linotype" w:eastAsia="Times New Roman" w:hAnsi="Palatino Linotype" w:cs="Arial"/>
          <w:color w:val="000000" w:themeColor="text1"/>
          <w:lang w:val="es-ES"/>
        </w:rPr>
        <w:t xml:space="preserve">Se </w:t>
      </w:r>
      <w:r w:rsidR="002E74CE" w:rsidRPr="00A62BD0">
        <w:rPr>
          <w:rFonts w:ascii="Palatino Linotype" w:eastAsia="Times New Roman" w:hAnsi="Palatino Linotype" w:cs="Arial"/>
          <w:color w:val="000000" w:themeColor="text1"/>
          <w:lang w:val="es-ES"/>
        </w:rPr>
        <w:t xml:space="preserve">registró el recurso de revisión </w:t>
      </w:r>
      <w:r w:rsidR="00F85237" w:rsidRPr="00A62BD0">
        <w:rPr>
          <w:rFonts w:ascii="Palatino Linotype" w:eastAsia="Times New Roman" w:hAnsi="Palatino Linotype" w:cs="Arial"/>
          <w:color w:val="000000" w:themeColor="text1"/>
          <w:lang w:val="es-ES"/>
        </w:rPr>
        <w:t xml:space="preserve">bajo el número de </w:t>
      </w:r>
      <w:r w:rsidR="00F85237" w:rsidRPr="00A62BD0">
        <w:rPr>
          <w:rFonts w:ascii="Palatino Linotype" w:eastAsia="Times New Roman" w:hAnsi="Palatino Linotype" w:cs="Arial"/>
          <w:b/>
          <w:color w:val="000000" w:themeColor="text1"/>
          <w:lang w:val="es-ES"/>
        </w:rPr>
        <w:t>expediente</w:t>
      </w:r>
      <w:r w:rsidR="00F85237" w:rsidRPr="00A62BD0">
        <w:rPr>
          <w:rFonts w:ascii="Palatino Linotype" w:eastAsia="Times New Roman" w:hAnsi="Palatino Linotype" w:cs="Arial"/>
          <w:color w:val="000000" w:themeColor="text1"/>
          <w:lang w:val="es-ES"/>
        </w:rPr>
        <w:t xml:space="preserve"> </w:t>
      </w:r>
      <w:r w:rsidR="00F85237" w:rsidRPr="00A62BD0">
        <w:rPr>
          <w:rFonts w:ascii="Palatino Linotype" w:hAnsi="Palatino Linotype" w:cs="Arial"/>
          <w:bCs/>
          <w:color w:val="000000" w:themeColor="text1"/>
        </w:rPr>
        <w:t xml:space="preserve">al rubro indicado, asimismo </w:t>
      </w:r>
      <w:r w:rsidR="005B7C5D" w:rsidRPr="00A62BD0">
        <w:rPr>
          <w:rFonts w:ascii="Palatino Linotype" w:hAnsi="Palatino Linotype" w:cs="Arial"/>
          <w:bCs/>
          <w:color w:val="000000" w:themeColor="text1"/>
        </w:rPr>
        <w:t xml:space="preserve">con fundamento en lo dispuesto por el </w:t>
      </w:r>
      <w:r w:rsidR="005B7C5D" w:rsidRPr="00A62BD0">
        <w:rPr>
          <w:rFonts w:ascii="Palatino Linotype" w:eastAsia="Calibri" w:hAnsi="Palatino Linotype" w:cs="Arial"/>
          <w:color w:val="000000" w:themeColor="text1"/>
          <w:lang w:val="es-ES"/>
        </w:rPr>
        <w:t xml:space="preserve">artículo 185 fracción I de la </w:t>
      </w:r>
      <w:r w:rsidR="005B7C5D" w:rsidRPr="00A62BD0">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A62BD0">
        <w:rPr>
          <w:rFonts w:ascii="Palatino Linotype" w:eastAsia="Times New Roman" w:hAnsi="Palatino Linotype" w:cs="Arial"/>
          <w:color w:val="000000" w:themeColor="text1"/>
          <w:lang w:val="es-ES"/>
        </w:rPr>
        <w:t>se turnó al</w:t>
      </w:r>
      <w:r w:rsidR="00EC455A" w:rsidRPr="00A62BD0">
        <w:rPr>
          <w:rFonts w:ascii="Palatino Linotype" w:eastAsia="Times New Roman" w:hAnsi="Palatino Linotype" w:cs="Arial"/>
          <w:color w:val="000000" w:themeColor="text1"/>
          <w:lang w:val="es-ES"/>
        </w:rPr>
        <w:t xml:space="preserve"> </w:t>
      </w:r>
      <w:r w:rsidR="00EC455A" w:rsidRPr="00A62BD0">
        <w:rPr>
          <w:rFonts w:ascii="Palatino Linotype" w:eastAsia="Times New Roman" w:hAnsi="Palatino Linotype" w:cs="Arial"/>
          <w:b/>
          <w:color w:val="000000" w:themeColor="text1"/>
          <w:lang w:val="es-ES"/>
        </w:rPr>
        <w:t xml:space="preserve">Comisionado José Guadalupe Luna Hernández </w:t>
      </w:r>
      <w:r w:rsidR="005B7C5D" w:rsidRPr="00A62BD0">
        <w:rPr>
          <w:rFonts w:ascii="Palatino Linotype" w:eastAsia="Times New Roman" w:hAnsi="Palatino Linotype" w:cs="Arial"/>
          <w:color w:val="000000" w:themeColor="text1"/>
          <w:lang w:val="es-ES"/>
        </w:rPr>
        <w:t xml:space="preserve">con el objeto de </w:t>
      </w:r>
      <w:r w:rsidRPr="00A62BD0">
        <w:rPr>
          <w:rFonts w:ascii="Palatino Linotype" w:eastAsia="Times New Roman" w:hAnsi="Palatino Linotype" w:cs="Arial"/>
          <w:color w:val="000000" w:themeColor="text1"/>
          <w:lang w:val="es-MX"/>
        </w:rPr>
        <w:t>su análisis.</w:t>
      </w:r>
    </w:p>
    <w:p w14:paraId="11032560" w14:textId="77777777" w:rsidR="006D52D1" w:rsidRPr="00A62BD0" w:rsidRDefault="006D52D1" w:rsidP="00A62BD0">
      <w:pPr>
        <w:pStyle w:val="Prrafodelista"/>
        <w:tabs>
          <w:tab w:val="left" w:pos="426"/>
        </w:tabs>
        <w:spacing w:line="360" w:lineRule="auto"/>
        <w:ind w:left="0"/>
        <w:rPr>
          <w:rFonts w:ascii="Palatino Linotype" w:eastAsia="Calibri" w:hAnsi="Palatino Linotype" w:cs="Arial"/>
          <w:color w:val="000000" w:themeColor="text1"/>
          <w:lang w:val="es-ES"/>
        </w:rPr>
      </w:pPr>
    </w:p>
    <w:p w14:paraId="0838F647" w14:textId="7730AC90" w:rsidR="004A4881" w:rsidRPr="00A62BD0" w:rsidRDefault="00FE49E3" w:rsidP="00A62BD0">
      <w:pPr>
        <w:pStyle w:val="Prrafodelista"/>
        <w:numPr>
          <w:ilvl w:val="0"/>
          <w:numId w:val="1"/>
        </w:numPr>
        <w:tabs>
          <w:tab w:val="left" w:pos="426"/>
        </w:tabs>
        <w:spacing w:line="360" w:lineRule="auto"/>
        <w:ind w:left="0" w:firstLine="0"/>
        <w:jc w:val="both"/>
        <w:rPr>
          <w:rFonts w:ascii="Palatino Linotype" w:hAnsi="Palatino Linotype"/>
          <w:i/>
          <w:color w:val="000000" w:themeColor="text1"/>
        </w:rPr>
      </w:pPr>
      <w:r w:rsidRPr="00A62BD0">
        <w:rPr>
          <w:rFonts w:ascii="Palatino Linotype" w:eastAsia="Calibri" w:hAnsi="Palatino Linotype" w:cs="Arial"/>
          <w:color w:val="000000" w:themeColor="text1"/>
          <w:lang w:val="es-ES"/>
        </w:rPr>
        <w:t xml:space="preserve">El </w:t>
      </w:r>
      <w:r w:rsidR="0004686A" w:rsidRPr="00A62BD0">
        <w:rPr>
          <w:rFonts w:ascii="Palatino Linotype" w:eastAsia="Calibri" w:hAnsi="Palatino Linotype" w:cs="Arial"/>
          <w:color w:val="000000" w:themeColor="text1"/>
          <w:lang w:val="es-ES"/>
        </w:rPr>
        <w:t xml:space="preserve">Comisionado Ponente con fundamento en lo dispuesto por el </w:t>
      </w:r>
      <w:r w:rsidR="009A20BA" w:rsidRPr="00A62BD0">
        <w:rPr>
          <w:rFonts w:ascii="Palatino Linotype" w:eastAsia="Calibri" w:hAnsi="Palatino Linotype" w:cs="Arial"/>
          <w:color w:val="000000" w:themeColor="text1"/>
          <w:lang w:val="es-ES"/>
        </w:rPr>
        <w:t>artículo 185 fracción II de la L</w:t>
      </w:r>
      <w:r w:rsidR="0004686A" w:rsidRPr="00A62BD0">
        <w:rPr>
          <w:rFonts w:ascii="Palatino Linotype" w:eastAsia="Calibri" w:hAnsi="Palatino Linotype" w:cs="Arial"/>
          <w:color w:val="000000" w:themeColor="text1"/>
          <w:lang w:val="es-ES"/>
        </w:rPr>
        <w:t xml:space="preserve">ey de la materia, a través del </w:t>
      </w:r>
      <w:r w:rsidR="00B81371" w:rsidRPr="00A62BD0">
        <w:rPr>
          <w:rFonts w:ascii="Palatino Linotype" w:eastAsia="Calibri" w:hAnsi="Palatino Linotype" w:cs="Arial"/>
          <w:color w:val="000000" w:themeColor="text1"/>
          <w:lang w:val="es-ES"/>
        </w:rPr>
        <w:t xml:space="preserve">acuerdo </w:t>
      </w:r>
      <w:r w:rsidR="00F147C6" w:rsidRPr="00A62BD0">
        <w:rPr>
          <w:rFonts w:ascii="Palatino Linotype" w:eastAsia="Calibri" w:hAnsi="Palatino Linotype" w:cs="Arial"/>
          <w:color w:val="000000" w:themeColor="text1"/>
          <w:lang w:val="es-ES"/>
        </w:rPr>
        <w:t xml:space="preserve">de admisión </w:t>
      </w:r>
      <w:r w:rsidR="00310B04" w:rsidRPr="00A62BD0">
        <w:rPr>
          <w:rFonts w:ascii="Palatino Linotype" w:eastAsia="Calibri" w:hAnsi="Palatino Linotype" w:cs="Arial"/>
          <w:color w:val="000000" w:themeColor="text1"/>
          <w:lang w:val="es-ES"/>
        </w:rPr>
        <w:t>de</w:t>
      </w:r>
      <w:r w:rsidR="004A4881" w:rsidRPr="00A62BD0">
        <w:rPr>
          <w:rFonts w:ascii="Palatino Linotype" w:eastAsia="Calibri" w:hAnsi="Palatino Linotype" w:cs="Arial"/>
          <w:color w:val="000000" w:themeColor="text1"/>
          <w:lang w:val="es-ES"/>
        </w:rPr>
        <w:t xml:space="preserve"> </w:t>
      </w:r>
      <w:r w:rsidR="00414D36" w:rsidRPr="00A62BD0">
        <w:rPr>
          <w:rFonts w:ascii="Palatino Linotype" w:eastAsia="Calibri" w:hAnsi="Palatino Linotype" w:cs="Arial"/>
          <w:color w:val="000000" w:themeColor="text1"/>
          <w:lang w:val="es-ES"/>
        </w:rPr>
        <w:t>trece</w:t>
      </w:r>
      <w:r w:rsidR="004A4881" w:rsidRPr="00A62BD0">
        <w:rPr>
          <w:rFonts w:ascii="Palatino Linotype" w:eastAsia="Calibri" w:hAnsi="Palatino Linotype" w:cs="Arial"/>
          <w:color w:val="000000" w:themeColor="text1"/>
          <w:lang w:val="es-ES"/>
        </w:rPr>
        <w:t xml:space="preserve"> </w:t>
      </w:r>
      <w:r w:rsidR="0036073F" w:rsidRPr="00A62BD0">
        <w:rPr>
          <w:rFonts w:ascii="Palatino Linotype" w:eastAsia="Calibri" w:hAnsi="Palatino Linotype" w:cs="Arial"/>
          <w:color w:val="000000" w:themeColor="text1"/>
          <w:lang w:val="es-ES"/>
        </w:rPr>
        <w:t>(</w:t>
      </w:r>
      <w:r w:rsidR="00687918" w:rsidRPr="00A62BD0">
        <w:rPr>
          <w:rFonts w:ascii="Palatino Linotype" w:eastAsia="Calibri" w:hAnsi="Palatino Linotype" w:cs="Arial"/>
          <w:color w:val="000000" w:themeColor="text1"/>
          <w:lang w:val="es-ES"/>
        </w:rPr>
        <w:t>1</w:t>
      </w:r>
      <w:r w:rsidR="00414D36" w:rsidRPr="00A62BD0">
        <w:rPr>
          <w:rFonts w:ascii="Palatino Linotype" w:eastAsia="Calibri" w:hAnsi="Palatino Linotype" w:cs="Arial"/>
          <w:color w:val="000000" w:themeColor="text1"/>
          <w:lang w:val="es-ES"/>
        </w:rPr>
        <w:t>3</w:t>
      </w:r>
      <w:r w:rsidR="0036073F" w:rsidRPr="00A62BD0">
        <w:rPr>
          <w:rFonts w:ascii="Palatino Linotype" w:eastAsia="Calibri" w:hAnsi="Palatino Linotype" w:cs="Arial"/>
          <w:color w:val="000000" w:themeColor="text1"/>
          <w:lang w:val="es-ES"/>
        </w:rPr>
        <w:t xml:space="preserve">) </w:t>
      </w:r>
      <w:r w:rsidR="00325D61" w:rsidRPr="00A62BD0">
        <w:rPr>
          <w:rFonts w:ascii="Palatino Linotype" w:eastAsia="Calibri" w:hAnsi="Palatino Linotype" w:cs="Arial"/>
          <w:color w:val="000000" w:themeColor="text1"/>
          <w:lang w:val="es-ES"/>
        </w:rPr>
        <w:t>de</w:t>
      </w:r>
      <w:r w:rsidR="00687918" w:rsidRPr="00A62BD0">
        <w:rPr>
          <w:rFonts w:ascii="Palatino Linotype" w:eastAsia="Calibri" w:hAnsi="Palatino Linotype" w:cs="Arial"/>
          <w:color w:val="000000" w:themeColor="text1"/>
          <w:lang w:val="es-ES"/>
        </w:rPr>
        <w:t xml:space="preserve"> febrero </w:t>
      </w:r>
      <w:r w:rsidR="00325D61" w:rsidRPr="00A62BD0">
        <w:rPr>
          <w:rFonts w:ascii="Palatino Linotype" w:eastAsia="Calibri" w:hAnsi="Palatino Linotype" w:cs="Arial"/>
          <w:color w:val="000000" w:themeColor="text1"/>
          <w:lang w:val="es-ES"/>
        </w:rPr>
        <w:t>de dos mil diecinueve</w:t>
      </w:r>
      <w:r w:rsidR="00473924" w:rsidRPr="00A62BD0">
        <w:rPr>
          <w:rFonts w:ascii="Palatino Linotype" w:eastAsia="Calibri" w:hAnsi="Palatino Linotype" w:cs="Arial"/>
          <w:color w:val="000000" w:themeColor="text1"/>
          <w:lang w:val="es-ES"/>
        </w:rPr>
        <w:t xml:space="preserve">, </w:t>
      </w:r>
      <w:r w:rsidR="00B81371" w:rsidRPr="00A62BD0">
        <w:rPr>
          <w:rFonts w:ascii="Palatino Linotype" w:eastAsia="Calibri" w:hAnsi="Palatino Linotype" w:cs="Arial"/>
          <w:color w:val="000000" w:themeColor="text1"/>
          <w:lang w:val="es-ES"/>
        </w:rPr>
        <w:t xml:space="preserve">puso a </w:t>
      </w:r>
      <w:r w:rsidR="00875167" w:rsidRPr="00A62BD0">
        <w:rPr>
          <w:rFonts w:ascii="Palatino Linotype" w:eastAsia="Calibri" w:hAnsi="Palatino Linotype" w:cs="Arial"/>
          <w:color w:val="000000" w:themeColor="text1"/>
          <w:lang w:val="es-ES"/>
        </w:rPr>
        <w:t>disposición</w:t>
      </w:r>
      <w:r w:rsidR="00B81371" w:rsidRPr="00A62BD0">
        <w:rPr>
          <w:rFonts w:ascii="Palatino Linotype" w:eastAsia="Calibri" w:hAnsi="Palatino Linotype" w:cs="Arial"/>
          <w:color w:val="000000" w:themeColor="text1"/>
          <w:lang w:val="es-ES"/>
        </w:rPr>
        <w:t xml:space="preserve"> de las partes el expediente electrónico </w:t>
      </w:r>
      <w:r w:rsidR="00B81371" w:rsidRPr="00A62BD0">
        <w:rPr>
          <w:rFonts w:ascii="Palatino Linotype" w:eastAsia="Calibri" w:hAnsi="Palatino Linotype" w:cs="Arial"/>
          <w:color w:val="000000" w:themeColor="text1"/>
        </w:rPr>
        <w:t xml:space="preserve">vía </w:t>
      </w:r>
      <w:r w:rsidR="00B81371" w:rsidRPr="00A62BD0">
        <w:rPr>
          <w:rFonts w:ascii="Palatino Linotype" w:eastAsia="Calibri" w:hAnsi="Palatino Linotype" w:cs="Arial"/>
          <w:color w:val="000000" w:themeColor="text1"/>
          <w:lang w:val="es-ES"/>
        </w:rPr>
        <w:t xml:space="preserve">Sistema de Acceso a la Información Mexiquense </w:t>
      </w:r>
      <w:r w:rsidR="00B81371" w:rsidRPr="00A62BD0">
        <w:rPr>
          <w:rFonts w:ascii="Palatino Linotype" w:eastAsia="Calibri" w:hAnsi="Palatino Linotype" w:cs="Arial"/>
          <w:b/>
          <w:color w:val="000000" w:themeColor="text1"/>
          <w:lang w:val="es-ES"/>
        </w:rPr>
        <w:t xml:space="preserve">SAIMEX </w:t>
      </w:r>
      <w:r w:rsidR="00B81371" w:rsidRPr="00A62BD0">
        <w:rPr>
          <w:rFonts w:ascii="Palatino Linotype" w:eastAsia="Calibri" w:hAnsi="Palatino Linotype" w:cs="Arial"/>
          <w:color w:val="000000" w:themeColor="text1"/>
          <w:lang w:val="es-ES"/>
        </w:rPr>
        <w:t xml:space="preserve">a efecto </w:t>
      </w:r>
      <w:r w:rsidR="00B81371" w:rsidRPr="00A62BD0">
        <w:rPr>
          <w:rFonts w:ascii="Palatino Linotype" w:eastAsia="Calibri" w:hAnsi="Palatino Linotype" w:cs="Arial"/>
          <w:color w:val="000000" w:themeColor="text1"/>
          <w:lang w:val="es-ES"/>
        </w:rPr>
        <w:lastRenderedPageBreak/>
        <w:t xml:space="preserve">de que en un plazo máximo de siete días </w:t>
      </w:r>
      <w:r w:rsidR="00875167" w:rsidRPr="00A62BD0">
        <w:rPr>
          <w:rFonts w:ascii="Palatino Linotype" w:eastAsia="Calibri" w:hAnsi="Palatino Linotype" w:cs="Arial"/>
          <w:color w:val="000000" w:themeColor="text1"/>
          <w:lang w:val="es-ES"/>
        </w:rPr>
        <w:t>manifestaran</w:t>
      </w:r>
      <w:r w:rsidR="00B81371" w:rsidRPr="00A62BD0">
        <w:rPr>
          <w:rFonts w:ascii="Palatino Linotype" w:eastAsia="Calibri" w:hAnsi="Palatino Linotype" w:cs="Arial"/>
          <w:color w:val="000000" w:themeColor="text1"/>
          <w:lang w:val="es-ES"/>
        </w:rPr>
        <w:t xml:space="preserve"> lo que a derecho conviniera</w:t>
      </w:r>
      <w:r w:rsidR="00875167" w:rsidRPr="00A62BD0">
        <w:rPr>
          <w:rFonts w:ascii="Palatino Linotype" w:eastAsia="Calibri" w:hAnsi="Palatino Linotype" w:cs="Arial"/>
          <w:color w:val="000000" w:themeColor="text1"/>
          <w:lang w:val="es-ES"/>
        </w:rPr>
        <w:t>n</w:t>
      </w:r>
      <w:r w:rsidR="00032493" w:rsidRPr="00A62BD0">
        <w:rPr>
          <w:rFonts w:ascii="Palatino Linotype" w:eastAsia="Calibri" w:hAnsi="Palatino Linotype" w:cs="Arial"/>
          <w:color w:val="000000" w:themeColor="text1"/>
          <w:lang w:val="es-ES"/>
        </w:rPr>
        <w:t>,</w:t>
      </w:r>
      <w:r w:rsidR="00B81371" w:rsidRPr="00A62BD0">
        <w:rPr>
          <w:rFonts w:ascii="Palatino Linotype" w:eastAsia="Calibri" w:hAnsi="Palatino Linotype" w:cs="Arial"/>
          <w:color w:val="000000" w:themeColor="text1"/>
          <w:lang w:val="es-ES"/>
        </w:rPr>
        <w:t xml:space="preserve"> </w:t>
      </w:r>
      <w:r w:rsidR="00875167" w:rsidRPr="00A62BD0">
        <w:rPr>
          <w:rFonts w:ascii="Palatino Linotype" w:eastAsia="Calibri" w:hAnsi="Palatino Linotype" w:cs="Arial"/>
          <w:color w:val="000000" w:themeColor="text1"/>
          <w:lang w:val="es-ES"/>
        </w:rPr>
        <w:t>ofrecieran pruebas y alegatos según correspond</w:t>
      </w:r>
      <w:r w:rsidR="00C15817" w:rsidRPr="00A62BD0">
        <w:rPr>
          <w:rFonts w:ascii="Palatino Linotype" w:eastAsia="Calibri" w:hAnsi="Palatino Linotype" w:cs="Arial"/>
          <w:color w:val="000000" w:themeColor="text1"/>
          <w:lang w:val="es-ES"/>
        </w:rPr>
        <w:t>iese</w:t>
      </w:r>
      <w:r w:rsidR="00875167" w:rsidRPr="00A62BD0">
        <w:rPr>
          <w:rFonts w:ascii="Palatino Linotype" w:eastAsia="Calibri" w:hAnsi="Palatino Linotype" w:cs="Arial"/>
          <w:color w:val="000000" w:themeColor="text1"/>
          <w:lang w:val="es-ES"/>
        </w:rPr>
        <w:t xml:space="preserve"> al caso concreto, </w:t>
      </w:r>
      <w:r w:rsidR="00C15817" w:rsidRPr="00A62BD0">
        <w:rPr>
          <w:rFonts w:ascii="Palatino Linotype" w:eastAsia="Calibri" w:hAnsi="Palatino Linotype" w:cs="Arial"/>
          <w:color w:val="000000" w:themeColor="text1"/>
          <w:lang w:val="es-ES"/>
        </w:rPr>
        <w:t>de é</w:t>
      </w:r>
      <w:r w:rsidR="00F147C6" w:rsidRPr="00A62BD0">
        <w:rPr>
          <w:rFonts w:ascii="Palatino Linotype" w:eastAsia="Calibri" w:hAnsi="Palatino Linotype" w:cs="Arial"/>
          <w:color w:val="000000" w:themeColor="text1"/>
          <w:lang w:val="es-ES"/>
        </w:rPr>
        <w:t>sta forma</w:t>
      </w:r>
      <w:r w:rsidR="00875167" w:rsidRPr="00A62BD0">
        <w:rPr>
          <w:rFonts w:ascii="Palatino Linotype" w:eastAsia="Calibri" w:hAnsi="Palatino Linotype" w:cs="Arial"/>
          <w:color w:val="000000" w:themeColor="text1"/>
          <w:lang w:val="es-ES"/>
        </w:rPr>
        <w:t xml:space="preserve"> para que el </w:t>
      </w:r>
      <w:r w:rsidR="00875167" w:rsidRPr="00A62BD0">
        <w:rPr>
          <w:rFonts w:ascii="Palatino Linotype" w:eastAsia="Calibri" w:hAnsi="Palatino Linotype" w:cs="Arial"/>
          <w:b/>
          <w:color w:val="000000" w:themeColor="text1"/>
          <w:lang w:val="es-ES"/>
        </w:rPr>
        <w:t>SUJETO OBLIGADO</w:t>
      </w:r>
      <w:r w:rsidR="00875167" w:rsidRPr="00A62BD0">
        <w:rPr>
          <w:rFonts w:ascii="Palatino Linotype" w:eastAsia="Calibri" w:hAnsi="Palatino Linotype" w:cs="Arial"/>
          <w:color w:val="000000" w:themeColor="text1"/>
          <w:lang w:val="es-ES"/>
        </w:rPr>
        <w:t xml:space="preserve"> </w:t>
      </w:r>
      <w:r w:rsidR="00B81371" w:rsidRPr="00A62BD0">
        <w:rPr>
          <w:rFonts w:ascii="Palatino Linotype" w:eastAsia="Calibri" w:hAnsi="Palatino Linotype" w:cs="Arial"/>
          <w:color w:val="000000" w:themeColor="text1"/>
          <w:lang w:val="es-ES"/>
        </w:rPr>
        <w:t>pre</w:t>
      </w:r>
      <w:r w:rsidR="007D25F5" w:rsidRPr="00A62BD0">
        <w:rPr>
          <w:rFonts w:ascii="Palatino Linotype" w:eastAsia="Calibri" w:hAnsi="Palatino Linotype" w:cs="Arial"/>
          <w:color w:val="000000" w:themeColor="text1"/>
          <w:lang w:val="es-ES"/>
        </w:rPr>
        <w:t>sentara</w:t>
      </w:r>
      <w:r w:rsidR="00B81371" w:rsidRPr="00A62BD0">
        <w:rPr>
          <w:rFonts w:ascii="Palatino Linotype" w:eastAsia="Calibri" w:hAnsi="Palatino Linotype" w:cs="Arial"/>
          <w:color w:val="000000" w:themeColor="text1"/>
          <w:lang w:val="es-ES"/>
        </w:rPr>
        <w:t xml:space="preserve"> el Informe Justificado</w:t>
      </w:r>
      <w:r w:rsidR="00875167" w:rsidRPr="00A62BD0">
        <w:rPr>
          <w:rFonts w:ascii="Palatino Linotype" w:eastAsia="Calibri" w:hAnsi="Palatino Linotype" w:cs="Arial"/>
          <w:color w:val="000000" w:themeColor="text1"/>
          <w:lang w:val="es-ES"/>
        </w:rPr>
        <w:t xml:space="preserve"> procedente</w:t>
      </w:r>
      <w:r w:rsidR="00325D61" w:rsidRPr="00A62BD0">
        <w:rPr>
          <w:rFonts w:ascii="Palatino Linotype" w:eastAsia="Calibri" w:hAnsi="Palatino Linotype" w:cs="Arial"/>
          <w:color w:val="000000" w:themeColor="text1"/>
          <w:lang w:val="es-ES"/>
        </w:rPr>
        <w:t>.</w:t>
      </w:r>
    </w:p>
    <w:p w14:paraId="760A1331" w14:textId="77777777" w:rsidR="00687918" w:rsidRPr="00A62BD0" w:rsidRDefault="00687918" w:rsidP="00A62BD0">
      <w:pPr>
        <w:pStyle w:val="Prrafodelista"/>
        <w:tabs>
          <w:tab w:val="left" w:pos="426"/>
        </w:tabs>
        <w:spacing w:line="360" w:lineRule="auto"/>
        <w:rPr>
          <w:rFonts w:ascii="Palatino Linotype" w:hAnsi="Palatino Linotype"/>
          <w:i/>
          <w:color w:val="000000" w:themeColor="text1"/>
        </w:rPr>
      </w:pPr>
    </w:p>
    <w:p w14:paraId="6D732973" w14:textId="3FC3EA21" w:rsidR="00687918" w:rsidRPr="00A62BD0" w:rsidRDefault="001D04B4" w:rsidP="00A62BD0">
      <w:pPr>
        <w:pStyle w:val="Prrafodelista"/>
        <w:numPr>
          <w:ilvl w:val="0"/>
          <w:numId w:val="1"/>
        </w:numPr>
        <w:tabs>
          <w:tab w:val="left" w:pos="426"/>
        </w:tabs>
        <w:spacing w:line="360" w:lineRule="auto"/>
        <w:ind w:left="0" w:firstLine="0"/>
        <w:jc w:val="both"/>
        <w:rPr>
          <w:rFonts w:ascii="Palatino Linotype" w:hAnsi="Palatino Linotype"/>
          <w:i/>
          <w:color w:val="000000" w:themeColor="text1"/>
        </w:rPr>
      </w:pPr>
      <w:r w:rsidRPr="00A62BD0">
        <w:rPr>
          <w:rFonts w:ascii="Palatino Linotype" w:hAnsi="Palatino Linotype"/>
          <w:color w:val="000000" w:themeColor="text1"/>
        </w:rPr>
        <w:t>De constancias de autos que obran en el expediente digital del recurso de revisión en el SAIMEX, se aprecia que el</w:t>
      </w:r>
      <w:r w:rsidR="00687918" w:rsidRPr="00A62BD0">
        <w:rPr>
          <w:rFonts w:ascii="Palatino Linotype" w:hAnsi="Palatino Linotype"/>
          <w:color w:val="000000" w:themeColor="text1"/>
        </w:rPr>
        <w:t xml:space="preserve"> </w:t>
      </w:r>
      <w:r w:rsidR="00687918" w:rsidRPr="00A62BD0">
        <w:rPr>
          <w:rFonts w:ascii="Palatino Linotype" w:hAnsi="Palatino Linotype"/>
          <w:b/>
          <w:color w:val="000000" w:themeColor="text1"/>
        </w:rPr>
        <w:t>SUJETO OBLIGADO</w:t>
      </w:r>
      <w:r w:rsidR="00687918" w:rsidRPr="00A62BD0">
        <w:rPr>
          <w:rFonts w:ascii="Palatino Linotype" w:hAnsi="Palatino Linotype"/>
          <w:color w:val="000000" w:themeColor="text1"/>
        </w:rPr>
        <w:t xml:space="preserve"> no rindió informe justificado para manifestar lo que a su derecho conviniera</w:t>
      </w:r>
      <w:r w:rsidRPr="00A62BD0">
        <w:rPr>
          <w:rFonts w:ascii="Palatino Linotype" w:hAnsi="Palatino Linotype"/>
          <w:color w:val="000000" w:themeColor="text1"/>
        </w:rPr>
        <w:t xml:space="preserve"> y</w:t>
      </w:r>
      <w:r w:rsidR="00687918" w:rsidRPr="00A62BD0">
        <w:rPr>
          <w:rFonts w:ascii="Palatino Linotype" w:hAnsi="Palatino Linotype"/>
          <w:color w:val="000000" w:themeColor="text1"/>
        </w:rPr>
        <w:t>; por su parte</w:t>
      </w:r>
      <w:r w:rsidRPr="00A62BD0">
        <w:rPr>
          <w:rFonts w:ascii="Palatino Linotype" w:hAnsi="Palatino Linotype"/>
          <w:color w:val="000000" w:themeColor="text1"/>
        </w:rPr>
        <w:t>,</w:t>
      </w:r>
      <w:r w:rsidR="00687918" w:rsidRPr="00A62BD0">
        <w:rPr>
          <w:rFonts w:ascii="Palatino Linotype" w:hAnsi="Palatino Linotype"/>
          <w:color w:val="000000" w:themeColor="text1"/>
        </w:rPr>
        <w:t xml:space="preserve"> el </w:t>
      </w:r>
      <w:r w:rsidR="00687918" w:rsidRPr="00A62BD0">
        <w:rPr>
          <w:rFonts w:ascii="Palatino Linotype" w:hAnsi="Palatino Linotype"/>
          <w:b/>
          <w:color w:val="000000" w:themeColor="text1"/>
        </w:rPr>
        <w:t xml:space="preserve">RECURRENTE </w:t>
      </w:r>
      <w:r w:rsidR="00687918" w:rsidRPr="00A62BD0">
        <w:rPr>
          <w:rFonts w:ascii="Palatino Linotype" w:hAnsi="Palatino Linotype"/>
          <w:color w:val="000000" w:themeColor="text1"/>
        </w:rPr>
        <w:t>no presentó alegatos ni ofreció medios de prueba</w:t>
      </w:r>
      <w:r w:rsidRPr="00A62BD0">
        <w:rPr>
          <w:rFonts w:ascii="Palatino Linotype" w:hAnsi="Palatino Linotype"/>
          <w:color w:val="000000" w:themeColor="text1"/>
        </w:rPr>
        <w:t>.</w:t>
      </w:r>
    </w:p>
    <w:p w14:paraId="7BB8B6D0" w14:textId="77777777" w:rsidR="009E2D04" w:rsidRPr="00A62BD0" w:rsidRDefault="009E2D04" w:rsidP="00A62BD0">
      <w:pPr>
        <w:pStyle w:val="Prrafodelista"/>
        <w:tabs>
          <w:tab w:val="left" w:pos="426"/>
        </w:tabs>
        <w:spacing w:line="360" w:lineRule="auto"/>
        <w:rPr>
          <w:rFonts w:ascii="Palatino Linotype" w:hAnsi="Palatino Linotype"/>
          <w:i/>
          <w:color w:val="000000" w:themeColor="text1"/>
        </w:rPr>
      </w:pPr>
    </w:p>
    <w:p w14:paraId="49C613B5" w14:textId="734626AB" w:rsidR="009E2D04" w:rsidRPr="00A62BD0" w:rsidRDefault="00ED64D3" w:rsidP="00A62BD0">
      <w:pPr>
        <w:numPr>
          <w:ilvl w:val="0"/>
          <w:numId w:val="1"/>
        </w:numPr>
        <w:tabs>
          <w:tab w:val="left" w:pos="426"/>
        </w:tabs>
        <w:spacing w:line="360" w:lineRule="auto"/>
        <w:ind w:left="0" w:hanging="11"/>
        <w:contextualSpacing/>
        <w:jc w:val="both"/>
        <w:rPr>
          <w:rFonts w:ascii="Palatino Linotype" w:eastAsia="Calibri" w:hAnsi="Palatino Linotype" w:cs="Arial"/>
          <w:lang w:val="es-ES"/>
        </w:rPr>
      </w:pPr>
      <w:r w:rsidRPr="00A62BD0">
        <w:rPr>
          <w:rFonts w:ascii="Palatino Linotype" w:eastAsia="Calibri" w:hAnsi="Palatino Linotype" w:cs="Times New Roman"/>
          <w:lang w:val="es-ES"/>
        </w:rPr>
        <w:t>En</w:t>
      </w:r>
      <w:r w:rsidR="001D04B4" w:rsidRPr="00A62BD0">
        <w:rPr>
          <w:rFonts w:ascii="Palatino Linotype" w:eastAsia="Calibri" w:hAnsi="Palatino Linotype" w:cs="Times New Roman"/>
          <w:lang w:val="es-ES"/>
        </w:rPr>
        <w:t xml:space="preserve"> r</w:t>
      </w:r>
      <w:r w:rsidRPr="00A62BD0">
        <w:rPr>
          <w:rFonts w:ascii="Palatino Linotype" w:eastAsia="Calibri" w:hAnsi="Palatino Linotype" w:cs="Times New Roman"/>
          <w:lang w:val="es-ES"/>
        </w:rPr>
        <w:t>azón de lo anterior</w:t>
      </w:r>
      <w:r w:rsidR="009E2D04" w:rsidRPr="00A62BD0">
        <w:rPr>
          <w:rFonts w:ascii="Palatino Linotype" w:eastAsia="Calibri" w:hAnsi="Palatino Linotype" w:cs="Times New Roman"/>
          <w:lang w:val="es-ES"/>
        </w:rPr>
        <w:t xml:space="preserve">, es de precisar que el </w:t>
      </w:r>
      <w:r w:rsidR="009E2D04" w:rsidRPr="00A62BD0">
        <w:rPr>
          <w:rFonts w:ascii="Palatino Linotype" w:eastAsia="Calibri" w:hAnsi="Palatino Linotype" w:cs="Times New Roman"/>
          <w:b/>
          <w:lang w:val="es-ES"/>
        </w:rPr>
        <w:t xml:space="preserve">SUJETO OBLIGADO </w:t>
      </w:r>
      <w:r w:rsidR="009E2D04" w:rsidRPr="00A62BD0">
        <w:rPr>
          <w:rFonts w:ascii="Palatino Linotype" w:eastAsia="Calibri" w:hAnsi="Palatino Linotype" w:cs="Times New Roman"/>
          <w:lang w:val="es-ES"/>
        </w:rPr>
        <w:t xml:space="preserve">fue omiso de enviar el </w:t>
      </w:r>
      <w:r w:rsidR="009E2D04" w:rsidRPr="00A62BD0">
        <w:rPr>
          <w:rFonts w:ascii="Palatino Linotype" w:eastAsia="MS Mincho" w:hAnsi="Palatino Linotype" w:cs="Times New Roman"/>
        </w:rPr>
        <w:t>informe justificado</w:t>
      </w:r>
      <w:r w:rsidR="009E2D04" w:rsidRPr="00A62BD0">
        <w:rPr>
          <w:rFonts w:ascii="Palatino Linotype" w:eastAsia="Calibri" w:hAnsi="Palatino Linotype" w:cs="Times New Roman"/>
          <w:lang w:val="es-ES"/>
        </w:rPr>
        <w:t xml:space="preserve"> a este Órgano Garante para manifestar lo que a derecho le asistiera y conviniera</w:t>
      </w:r>
      <w:r w:rsidR="001D04B4" w:rsidRPr="00A62BD0">
        <w:rPr>
          <w:rFonts w:ascii="Palatino Linotype" w:eastAsia="Calibri" w:hAnsi="Palatino Linotype" w:cs="Times New Roman"/>
          <w:lang w:val="es-ES"/>
        </w:rPr>
        <w:t>,</w:t>
      </w:r>
      <w:r w:rsidR="009E2D04" w:rsidRPr="00A62BD0">
        <w:rPr>
          <w:rFonts w:ascii="Palatino Linotype" w:eastAsia="Calibri" w:hAnsi="Palatino Linotype" w:cs="Times New Roman"/>
          <w:lang w:val="es-ES"/>
        </w:rPr>
        <w:t xml:space="preserve"> asimismo dejó de justificar las razones o motivos que lo llevaron a emitir la respuesta </w:t>
      </w:r>
      <w:r w:rsidR="001D04B4" w:rsidRPr="00A62BD0">
        <w:rPr>
          <w:rFonts w:ascii="Palatino Linotype" w:eastAsia="Calibri" w:hAnsi="Palatino Linotype" w:cs="Times New Roman"/>
          <w:lang w:val="es-ES"/>
        </w:rPr>
        <w:t xml:space="preserve">hoy impugnada por el </w:t>
      </w:r>
      <w:r w:rsidR="001D04B4" w:rsidRPr="00A62BD0">
        <w:rPr>
          <w:rFonts w:ascii="Palatino Linotype" w:eastAsia="Calibri" w:hAnsi="Palatino Linotype" w:cs="Times New Roman"/>
          <w:b/>
          <w:lang w:val="es-ES"/>
        </w:rPr>
        <w:t>RECURRENTE</w:t>
      </w:r>
      <w:r w:rsidR="009E2D04" w:rsidRPr="00A62BD0">
        <w:rPr>
          <w:rFonts w:ascii="Palatino Linotype" w:eastAsia="Calibri" w:hAnsi="Palatino Linotype" w:cs="Times New Roman"/>
          <w:lang w:val="es-ES"/>
        </w:rPr>
        <w:t xml:space="preserve">, generando con esta omisión el perjuicio en su contra ya que </w:t>
      </w:r>
      <w:r w:rsidR="009E2D04" w:rsidRPr="00A62BD0">
        <w:rPr>
          <w:rFonts w:ascii="Palatino Linotype" w:eastAsia="Calibri" w:hAnsi="Palatino Linotype" w:cs="Arial"/>
          <w:lang w:val="es-ES"/>
        </w:rPr>
        <w:t xml:space="preserve">no impide que esta Autoridad conozca y resuelva el presente recurso </w:t>
      </w:r>
      <w:r w:rsidR="001D04B4" w:rsidRPr="00A62BD0">
        <w:rPr>
          <w:rFonts w:ascii="Palatino Linotype" w:eastAsia="Calibri" w:hAnsi="Palatino Linotype" w:cs="Arial"/>
          <w:lang w:val="es-ES"/>
        </w:rPr>
        <w:t>considerando</w:t>
      </w:r>
      <w:r w:rsidR="009E2D04" w:rsidRPr="00A62BD0">
        <w:rPr>
          <w:rFonts w:ascii="Palatino Linotype" w:eastAsia="Calibri" w:hAnsi="Palatino Linotype" w:cs="Arial"/>
          <w:lang w:val="es-ES"/>
        </w:rPr>
        <w:t xml:space="preserve"> lo que al respecto ha señalado la autoridad jurisdiccional al emitir el siguiente criterio:</w:t>
      </w:r>
    </w:p>
    <w:p w14:paraId="28C6BAF0" w14:textId="77777777" w:rsidR="00A62BD0" w:rsidRPr="00A62BD0" w:rsidRDefault="00A62BD0" w:rsidP="00A62BD0">
      <w:pPr>
        <w:tabs>
          <w:tab w:val="left" w:pos="426"/>
        </w:tabs>
        <w:spacing w:line="360" w:lineRule="auto"/>
        <w:contextualSpacing/>
        <w:jc w:val="both"/>
        <w:rPr>
          <w:rFonts w:ascii="Palatino Linotype" w:eastAsia="Calibri" w:hAnsi="Palatino Linotype" w:cs="Arial"/>
          <w:lang w:val="es-ES"/>
        </w:rPr>
      </w:pPr>
    </w:p>
    <w:p w14:paraId="4EEEDA99" w14:textId="77777777" w:rsidR="009E2D04" w:rsidRPr="00A62BD0" w:rsidRDefault="009E2D04" w:rsidP="00A62BD0">
      <w:pPr>
        <w:tabs>
          <w:tab w:val="left" w:pos="426"/>
        </w:tabs>
        <w:spacing w:line="360" w:lineRule="auto"/>
        <w:ind w:left="567" w:right="567"/>
        <w:contextualSpacing/>
        <w:jc w:val="both"/>
        <w:rPr>
          <w:rFonts w:ascii="Palatino Linotype" w:eastAsia="Calibri" w:hAnsi="Palatino Linotype" w:cs="Times New Roman"/>
          <w:strike/>
          <w:lang w:val="es-ES"/>
        </w:rPr>
      </w:pPr>
      <w:r w:rsidRPr="00A62BD0">
        <w:rPr>
          <w:rFonts w:ascii="Palatino Linotype" w:eastAsia="Calibri" w:hAnsi="Palatino Linotype" w:cs="Arial"/>
          <w:b/>
          <w:i/>
          <w:lang w:val="es-ES"/>
        </w:rPr>
        <w:t xml:space="preserve">QUEJA, RECURSO DE. LA OMISION DE RENDIR EL INFORME RESPECTIVO NO IMPIDE QUE SE RESUELVA. </w:t>
      </w:r>
      <w:r w:rsidRPr="00A62BD0">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w:t>
      </w:r>
      <w:r w:rsidRPr="00A62BD0">
        <w:rPr>
          <w:rFonts w:ascii="Palatino Linotype" w:eastAsia="Calibri" w:hAnsi="Palatino Linotype" w:cs="Arial"/>
          <w:i/>
          <w:lang w:val="es-ES"/>
        </w:rPr>
        <w:lastRenderedPageBreak/>
        <w:t>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C45033D" w14:textId="77777777" w:rsidR="009E2D04" w:rsidRPr="00A62BD0" w:rsidRDefault="009E2D04" w:rsidP="00A62BD0">
      <w:pPr>
        <w:tabs>
          <w:tab w:val="left" w:pos="426"/>
        </w:tabs>
        <w:spacing w:line="360" w:lineRule="auto"/>
        <w:jc w:val="both"/>
        <w:rPr>
          <w:rFonts w:ascii="Palatino Linotype" w:eastAsia="Times New Roman" w:hAnsi="Palatino Linotype" w:cs="Arial"/>
        </w:rPr>
      </w:pPr>
    </w:p>
    <w:p w14:paraId="135EB2D8" w14:textId="2547B863" w:rsidR="004A4881" w:rsidRPr="00A62BD0" w:rsidRDefault="009E2D04" w:rsidP="00A62BD0">
      <w:pPr>
        <w:numPr>
          <w:ilvl w:val="0"/>
          <w:numId w:val="1"/>
        </w:numPr>
        <w:tabs>
          <w:tab w:val="left" w:pos="426"/>
        </w:tabs>
        <w:spacing w:line="360" w:lineRule="auto"/>
        <w:ind w:left="0" w:firstLine="0"/>
        <w:contextualSpacing/>
        <w:jc w:val="both"/>
        <w:rPr>
          <w:rFonts w:ascii="Palatino Linotype" w:eastAsia="Times New Roman" w:hAnsi="Palatino Linotype" w:cs="Times New Roman"/>
        </w:rPr>
      </w:pPr>
      <w:r w:rsidRPr="00A62BD0">
        <w:rPr>
          <w:rFonts w:ascii="Palatino Linotype" w:eastAsia="Times New Roman" w:hAnsi="Palatino Linotype" w:cs="Arial"/>
          <w:color w:val="222222"/>
          <w:lang w:val="es-ES" w:eastAsia="es-MX"/>
        </w:rPr>
        <w:t>Por lo cual se indica que, l</w:t>
      </w:r>
      <w:r w:rsidRPr="00A62BD0">
        <w:rPr>
          <w:rFonts w:ascii="Palatino Linotype" w:eastAsia="MS Mincho" w:hAnsi="Palatino Linotype" w:cs="Times New Roman"/>
        </w:rPr>
        <w:t xml:space="preserve">a falta de informe justificado no impide que este Órgano Garante conozca y resuelva el recurso de revisión, solo propicia que el </w:t>
      </w:r>
      <w:r w:rsidRPr="00A62BD0">
        <w:rPr>
          <w:rFonts w:ascii="Palatino Linotype" w:eastAsia="MS Mincho" w:hAnsi="Palatino Linotype" w:cs="Times New Roman"/>
          <w:b/>
        </w:rPr>
        <w:t>SUJETO</w:t>
      </w:r>
      <w:r w:rsidRPr="00A62BD0">
        <w:rPr>
          <w:rFonts w:ascii="Palatino Linotype" w:eastAsia="MS Mincho" w:hAnsi="Palatino Linotype" w:cs="Times New Roman"/>
        </w:rPr>
        <w:t xml:space="preserve"> </w:t>
      </w:r>
      <w:r w:rsidRPr="00A62BD0">
        <w:rPr>
          <w:rFonts w:ascii="Palatino Linotype" w:eastAsia="MS Mincho" w:hAnsi="Palatino Linotype" w:cs="Times New Roman"/>
          <w:b/>
        </w:rPr>
        <w:t>OBLIGADO</w:t>
      </w:r>
      <w:r w:rsidRPr="00A62BD0">
        <w:rPr>
          <w:rFonts w:ascii="Palatino Linotype" w:eastAsia="MS Mincho" w:hAnsi="Palatino Linotype" w:cs="Times New Roman"/>
        </w:rPr>
        <w:t xml:space="preserve"> pierda la oportunidad de justificar su respuesta y manifestar lo que a su derecho convenga.</w:t>
      </w:r>
    </w:p>
    <w:p w14:paraId="6AFE44E7" w14:textId="77777777" w:rsidR="00A62BD0" w:rsidRPr="00A62BD0" w:rsidRDefault="00A62BD0" w:rsidP="00A62BD0">
      <w:pPr>
        <w:tabs>
          <w:tab w:val="left" w:pos="426"/>
        </w:tabs>
        <w:spacing w:line="360" w:lineRule="auto"/>
        <w:contextualSpacing/>
        <w:jc w:val="both"/>
        <w:rPr>
          <w:rFonts w:ascii="Palatino Linotype" w:eastAsia="Times New Roman" w:hAnsi="Palatino Linotype" w:cs="Times New Roman"/>
        </w:rPr>
      </w:pPr>
    </w:p>
    <w:p w14:paraId="2C3919E7" w14:textId="02D19E85" w:rsidR="006668DC" w:rsidRPr="00A62BD0" w:rsidRDefault="00350DEA" w:rsidP="00A62BD0">
      <w:pPr>
        <w:pStyle w:val="Prrafodelista"/>
        <w:numPr>
          <w:ilvl w:val="0"/>
          <w:numId w:val="1"/>
        </w:numPr>
        <w:tabs>
          <w:tab w:val="left" w:pos="426"/>
          <w:tab w:val="left" w:pos="709"/>
        </w:tabs>
        <w:spacing w:line="360" w:lineRule="auto"/>
        <w:ind w:left="0" w:firstLine="0"/>
        <w:jc w:val="both"/>
        <w:rPr>
          <w:rFonts w:ascii="Palatino Linotype" w:hAnsi="Palatino Linotype"/>
          <w:b/>
          <w:color w:val="000000" w:themeColor="text1"/>
        </w:rPr>
      </w:pPr>
      <w:r w:rsidRPr="00A62BD0">
        <w:rPr>
          <w:rFonts w:ascii="Palatino Linotype" w:hAnsi="Palatino Linotype"/>
          <w:color w:val="000000" w:themeColor="text1"/>
        </w:rPr>
        <w:t>El Comisionado Ponente decretó el cierre de instrucción mediante</w:t>
      </w:r>
      <w:r w:rsidR="0074708D" w:rsidRPr="00A62BD0">
        <w:rPr>
          <w:rFonts w:ascii="Palatino Linotype" w:hAnsi="Palatino Linotype"/>
          <w:color w:val="000000" w:themeColor="text1"/>
        </w:rPr>
        <w:t xml:space="preserve"> acuerdo de fecha veintiséis (26</w:t>
      </w:r>
      <w:r w:rsidR="00EE777E" w:rsidRPr="00A62BD0">
        <w:rPr>
          <w:rFonts w:ascii="Palatino Linotype" w:hAnsi="Palatino Linotype"/>
          <w:color w:val="000000" w:themeColor="text1"/>
        </w:rPr>
        <w:t>) de</w:t>
      </w:r>
      <w:r w:rsidR="002E629B" w:rsidRPr="00A62BD0">
        <w:rPr>
          <w:rFonts w:ascii="Palatino Linotype" w:hAnsi="Palatino Linotype"/>
          <w:color w:val="000000" w:themeColor="text1"/>
        </w:rPr>
        <w:t xml:space="preserve"> febrero del año dos mil diecinueve, por lo que</w:t>
      </w:r>
      <w:r w:rsidRPr="00A62BD0">
        <w:rPr>
          <w:rFonts w:ascii="Palatino Linotype" w:hAnsi="Palatino Linotype"/>
          <w:color w:val="000000" w:themeColor="text1"/>
        </w:rPr>
        <w:t xml:space="preserve"> ordenó turnar el expediente a resolución, misma que ahora se pronuncia. </w:t>
      </w:r>
    </w:p>
    <w:p w14:paraId="65E8448F" w14:textId="77777777" w:rsidR="006668DC" w:rsidRPr="00A62BD0" w:rsidRDefault="006668DC" w:rsidP="00A62BD0">
      <w:pPr>
        <w:pStyle w:val="Prrafodelista"/>
        <w:tabs>
          <w:tab w:val="left" w:pos="426"/>
          <w:tab w:val="left" w:pos="709"/>
        </w:tabs>
        <w:spacing w:line="360" w:lineRule="auto"/>
        <w:ind w:left="0"/>
        <w:jc w:val="both"/>
        <w:rPr>
          <w:rFonts w:ascii="Palatino Linotype" w:hAnsi="Palatino Linotype"/>
          <w:b/>
          <w:color w:val="000000" w:themeColor="text1"/>
        </w:rPr>
      </w:pPr>
    </w:p>
    <w:p w14:paraId="42D2D575" w14:textId="10EB31DF" w:rsidR="00DC3B64" w:rsidRPr="00A62BD0" w:rsidRDefault="00FF2938" w:rsidP="00A62BD0">
      <w:pPr>
        <w:pStyle w:val="Prrafodelista"/>
        <w:numPr>
          <w:ilvl w:val="0"/>
          <w:numId w:val="1"/>
        </w:numPr>
        <w:tabs>
          <w:tab w:val="left" w:pos="426"/>
        </w:tabs>
        <w:spacing w:line="360" w:lineRule="auto"/>
        <w:ind w:left="0" w:firstLine="0"/>
        <w:jc w:val="both"/>
        <w:rPr>
          <w:rFonts w:ascii="Palatino Linotype" w:hAnsi="Palatino Linotype"/>
        </w:rPr>
      </w:pPr>
      <w:r w:rsidRPr="00A62BD0">
        <w:rPr>
          <w:rFonts w:ascii="Palatino Linotype" w:eastAsia="Calibri" w:hAnsi="Palatino Linotype" w:cs="Arial"/>
          <w:color w:val="000000" w:themeColor="text1"/>
        </w:rPr>
        <w:lastRenderedPageBreak/>
        <w:t xml:space="preserve">El día </w:t>
      </w:r>
      <w:r w:rsidR="001D04B4" w:rsidRPr="00A62BD0">
        <w:rPr>
          <w:rFonts w:ascii="Palatino Linotype" w:eastAsia="Calibri" w:hAnsi="Palatino Linotype" w:cs="Arial"/>
          <w:color w:val="000000" w:themeColor="text1"/>
        </w:rPr>
        <w:t>once</w:t>
      </w:r>
      <w:r w:rsidRPr="00A62BD0">
        <w:rPr>
          <w:rFonts w:ascii="Palatino Linotype" w:eastAsia="Calibri" w:hAnsi="Palatino Linotype" w:cs="Arial"/>
          <w:color w:val="000000" w:themeColor="text1"/>
        </w:rPr>
        <w:t xml:space="preserve"> (</w:t>
      </w:r>
      <w:r w:rsidR="001D04B4" w:rsidRPr="00A62BD0">
        <w:rPr>
          <w:rFonts w:ascii="Palatino Linotype" w:eastAsia="Calibri" w:hAnsi="Palatino Linotype" w:cs="Arial"/>
          <w:color w:val="000000" w:themeColor="text1"/>
        </w:rPr>
        <w:t>11</w:t>
      </w:r>
      <w:r w:rsidR="009B359C" w:rsidRPr="00A62BD0">
        <w:rPr>
          <w:rFonts w:ascii="Palatino Linotype" w:eastAsia="Calibri" w:hAnsi="Palatino Linotype" w:cs="Arial"/>
          <w:color w:val="000000" w:themeColor="text1"/>
        </w:rPr>
        <w:t>) de</w:t>
      </w:r>
      <w:r w:rsidRPr="00A62BD0">
        <w:rPr>
          <w:rFonts w:ascii="Palatino Linotype" w:eastAsia="Calibri" w:hAnsi="Palatino Linotype" w:cs="Arial"/>
          <w:color w:val="000000" w:themeColor="text1"/>
        </w:rPr>
        <w:t xml:space="preserve"> abril </w:t>
      </w:r>
      <w:r w:rsidR="002E629B" w:rsidRPr="00A62BD0">
        <w:rPr>
          <w:rFonts w:ascii="Palatino Linotype" w:eastAsia="Calibri" w:hAnsi="Palatino Linotype" w:cs="Arial"/>
          <w:color w:val="000000" w:themeColor="text1"/>
        </w:rPr>
        <w:t>de dos mil diecinueve</w:t>
      </w:r>
      <w:r w:rsidR="006668DC" w:rsidRPr="00A62BD0">
        <w:rPr>
          <w:rFonts w:ascii="Palatino Linotype" w:eastAsia="Calibri" w:hAnsi="Palatino Linotype" w:cs="Arial"/>
          <w:color w:val="000000" w:themeColor="text1"/>
        </w:rPr>
        <w:t xml:space="preserve"> y con fundamento en el ar</w:t>
      </w:r>
      <w:r w:rsidR="001D04B4" w:rsidRPr="00A62BD0">
        <w:rPr>
          <w:rFonts w:ascii="Palatino Linotype" w:eastAsia="Calibri" w:hAnsi="Palatino Linotype" w:cs="Arial"/>
          <w:color w:val="000000" w:themeColor="text1"/>
        </w:rPr>
        <w:t xml:space="preserve">tículo 181 tercer párrafo de la </w:t>
      </w:r>
      <w:r w:rsidR="006668DC" w:rsidRPr="00A62BD0">
        <w:rPr>
          <w:rFonts w:ascii="Palatino Linotype" w:eastAsia="Calibri" w:hAnsi="Palatino Linotype" w:cs="Arial"/>
          <w:b/>
          <w:bCs/>
          <w:color w:val="000000" w:themeColor="text1"/>
        </w:rPr>
        <w:t>Ley de Transparencia y Acceso a la Información Pública del</w:t>
      </w:r>
      <w:r w:rsidR="001D04B4" w:rsidRPr="00A62BD0">
        <w:rPr>
          <w:rFonts w:ascii="Palatino Linotype" w:eastAsia="Calibri" w:hAnsi="Palatino Linotype" w:cs="Arial"/>
          <w:b/>
          <w:bCs/>
          <w:color w:val="000000" w:themeColor="text1"/>
        </w:rPr>
        <w:t xml:space="preserve"> Estado de México y Municipios, </w:t>
      </w:r>
      <w:r w:rsidR="006668DC" w:rsidRPr="00A62BD0">
        <w:rPr>
          <w:rFonts w:ascii="Palatino Linotype" w:eastAsia="Calibri" w:hAnsi="Palatino Linotype" w:cs="Arial"/>
          <w:color w:val="000000" w:themeColor="text1"/>
        </w:rPr>
        <w:t>se notificó que el pl</w:t>
      </w:r>
      <w:r w:rsidR="002E629B" w:rsidRPr="00A62BD0">
        <w:rPr>
          <w:rFonts w:ascii="Palatino Linotype" w:eastAsia="Calibri" w:hAnsi="Palatino Linotype" w:cs="Arial"/>
          <w:color w:val="000000" w:themeColor="text1"/>
        </w:rPr>
        <w:t xml:space="preserve">azo de </w:t>
      </w:r>
      <w:r w:rsidR="001D04B4" w:rsidRPr="00A62BD0">
        <w:rPr>
          <w:rFonts w:ascii="Palatino Linotype" w:eastAsia="Calibri" w:hAnsi="Palatino Linotype" w:cs="Arial"/>
          <w:color w:val="000000" w:themeColor="text1"/>
        </w:rPr>
        <w:t>treinta (</w:t>
      </w:r>
      <w:r w:rsidR="002E629B" w:rsidRPr="00A62BD0">
        <w:rPr>
          <w:rFonts w:ascii="Palatino Linotype" w:eastAsia="Calibri" w:hAnsi="Palatino Linotype" w:cs="Arial"/>
          <w:color w:val="000000" w:themeColor="text1"/>
        </w:rPr>
        <w:t>30</w:t>
      </w:r>
      <w:r w:rsidR="001D04B4" w:rsidRPr="00A62BD0">
        <w:rPr>
          <w:rFonts w:ascii="Palatino Linotype" w:eastAsia="Calibri" w:hAnsi="Palatino Linotype" w:cs="Arial"/>
          <w:color w:val="000000" w:themeColor="text1"/>
        </w:rPr>
        <w:t>)</w:t>
      </w:r>
      <w:r w:rsidR="002E629B" w:rsidRPr="00A62BD0">
        <w:rPr>
          <w:rFonts w:ascii="Palatino Linotype" w:eastAsia="Calibri" w:hAnsi="Palatino Linotype" w:cs="Arial"/>
          <w:color w:val="000000" w:themeColor="text1"/>
        </w:rPr>
        <w:t xml:space="preserve"> días para resolve</w:t>
      </w:r>
      <w:r w:rsidR="001D04B4" w:rsidRPr="00A62BD0">
        <w:rPr>
          <w:rFonts w:ascii="Palatino Linotype" w:eastAsia="Calibri" w:hAnsi="Palatino Linotype" w:cs="Arial"/>
          <w:color w:val="000000" w:themeColor="text1"/>
        </w:rPr>
        <w:t>r el presente recurso de revisión, sería</w:t>
      </w:r>
      <w:r w:rsidR="002E629B" w:rsidRPr="00A62BD0">
        <w:rPr>
          <w:rFonts w:ascii="Palatino Linotype" w:eastAsia="Calibri" w:hAnsi="Palatino Linotype" w:cs="Arial"/>
          <w:color w:val="000000" w:themeColor="text1"/>
        </w:rPr>
        <w:t xml:space="preserve"> ampliado</w:t>
      </w:r>
      <w:r w:rsidR="006668DC" w:rsidRPr="00A62BD0">
        <w:rPr>
          <w:rFonts w:ascii="Palatino Linotype" w:eastAsia="Calibri" w:hAnsi="Palatino Linotype" w:cs="Arial"/>
          <w:color w:val="000000" w:themeColor="text1"/>
        </w:rPr>
        <w:t xml:space="preserve"> por un periodo de </w:t>
      </w:r>
      <w:r w:rsidR="001D04B4" w:rsidRPr="00A62BD0">
        <w:rPr>
          <w:rFonts w:ascii="Palatino Linotype" w:eastAsia="Calibri" w:hAnsi="Palatino Linotype" w:cs="Arial"/>
          <w:color w:val="000000" w:themeColor="text1"/>
        </w:rPr>
        <w:t>quince (</w:t>
      </w:r>
      <w:r w:rsidR="006668DC" w:rsidRPr="00A62BD0">
        <w:rPr>
          <w:rFonts w:ascii="Palatino Linotype" w:eastAsia="Calibri" w:hAnsi="Palatino Linotype" w:cs="Arial"/>
          <w:color w:val="000000" w:themeColor="text1"/>
        </w:rPr>
        <w:t>15</w:t>
      </w:r>
      <w:r w:rsidR="001D04B4" w:rsidRPr="00A62BD0">
        <w:rPr>
          <w:rFonts w:ascii="Palatino Linotype" w:eastAsia="Calibri" w:hAnsi="Palatino Linotype" w:cs="Arial"/>
          <w:color w:val="000000" w:themeColor="text1"/>
        </w:rPr>
        <w:t>)</w:t>
      </w:r>
      <w:r w:rsidR="006668DC" w:rsidRPr="00A62BD0">
        <w:rPr>
          <w:rFonts w:ascii="Palatino Linotype" w:eastAsia="Calibri" w:hAnsi="Palatino Linotype" w:cs="Arial"/>
          <w:color w:val="000000" w:themeColor="text1"/>
        </w:rPr>
        <w:t xml:space="preserve"> días hábiles adicionales, debido a </w:t>
      </w:r>
      <w:r w:rsidR="001D04B4" w:rsidRPr="00A62BD0">
        <w:rPr>
          <w:rFonts w:ascii="Palatino Linotype" w:eastAsia="Calibri" w:hAnsi="Palatino Linotype" w:cs="Arial"/>
          <w:color w:val="000000" w:themeColor="text1"/>
        </w:rPr>
        <w:t>la</w:t>
      </w:r>
      <w:r w:rsidR="006668DC" w:rsidRPr="00A62BD0">
        <w:rPr>
          <w:rFonts w:ascii="Palatino Linotype" w:eastAsia="Calibri" w:hAnsi="Palatino Linotype" w:cs="Arial"/>
          <w:color w:val="000000" w:themeColor="text1"/>
        </w:rPr>
        <w:t xml:space="preserve"> naturaleza, complejidad del asunto y para un mejor estudio.</w:t>
      </w:r>
    </w:p>
    <w:p w14:paraId="59E00ED8" w14:textId="77777777" w:rsidR="00DC3B64" w:rsidRPr="00A62BD0" w:rsidRDefault="00DC3B64" w:rsidP="00A62BD0">
      <w:pPr>
        <w:tabs>
          <w:tab w:val="left" w:pos="426"/>
        </w:tabs>
        <w:spacing w:line="360" w:lineRule="auto"/>
        <w:jc w:val="both"/>
        <w:rPr>
          <w:rFonts w:ascii="Palatino Linotype" w:hAnsi="Palatino Linotype"/>
        </w:rPr>
      </w:pPr>
    </w:p>
    <w:p w14:paraId="15FA8C1A" w14:textId="46EB4D0F" w:rsidR="00587366" w:rsidRPr="00A62BD0" w:rsidRDefault="007C0013" w:rsidP="00A62BD0">
      <w:pPr>
        <w:pStyle w:val="Ttulo1"/>
        <w:tabs>
          <w:tab w:val="left" w:pos="426"/>
        </w:tabs>
        <w:spacing w:before="0" w:line="360" w:lineRule="auto"/>
        <w:jc w:val="center"/>
        <w:rPr>
          <w:rFonts w:ascii="Palatino Linotype" w:hAnsi="Palatino Linotype"/>
          <w:b/>
          <w:color w:val="000000" w:themeColor="text1"/>
          <w:sz w:val="24"/>
          <w:szCs w:val="24"/>
        </w:rPr>
      </w:pPr>
      <w:bookmarkStart w:id="61" w:name="_Toc7037084"/>
      <w:r w:rsidRPr="00A62BD0">
        <w:rPr>
          <w:rFonts w:ascii="Palatino Linotype" w:hAnsi="Palatino Linotype"/>
          <w:b/>
          <w:color w:val="000000" w:themeColor="text1"/>
          <w:sz w:val="24"/>
          <w:szCs w:val="24"/>
        </w:rPr>
        <w:t>CONSIDERANDO</w:t>
      </w:r>
      <w:bookmarkEnd w:id="61"/>
    </w:p>
    <w:p w14:paraId="10731595" w14:textId="77777777" w:rsidR="008200A3" w:rsidRPr="00A62BD0" w:rsidRDefault="008200A3" w:rsidP="00A62BD0">
      <w:pPr>
        <w:tabs>
          <w:tab w:val="left" w:pos="426"/>
        </w:tabs>
        <w:spacing w:line="360" w:lineRule="auto"/>
        <w:rPr>
          <w:rFonts w:ascii="Palatino Linotype" w:hAnsi="Palatino Linotype"/>
          <w:color w:val="000000" w:themeColor="text1"/>
          <w:lang w:val="es-MX" w:eastAsia="en-US"/>
        </w:rPr>
      </w:pPr>
    </w:p>
    <w:p w14:paraId="629A5BE2" w14:textId="56C3E7D5" w:rsidR="007C0013" w:rsidRPr="00A62BD0" w:rsidRDefault="007C0013" w:rsidP="00A62BD0">
      <w:pPr>
        <w:pStyle w:val="Ttulo2"/>
        <w:tabs>
          <w:tab w:val="left" w:pos="426"/>
        </w:tabs>
        <w:spacing w:before="0" w:line="360" w:lineRule="auto"/>
        <w:rPr>
          <w:rFonts w:ascii="Palatino Linotype" w:hAnsi="Palatino Linotype"/>
          <w:b/>
          <w:color w:val="000000" w:themeColor="text1"/>
          <w:sz w:val="24"/>
          <w:szCs w:val="24"/>
        </w:rPr>
      </w:pPr>
      <w:bookmarkStart w:id="62" w:name="_Toc7037085"/>
      <w:r w:rsidRPr="00A62BD0">
        <w:rPr>
          <w:rFonts w:ascii="Palatino Linotype" w:hAnsi="Palatino Linotype"/>
          <w:b/>
          <w:color w:val="000000" w:themeColor="text1"/>
          <w:sz w:val="24"/>
          <w:szCs w:val="24"/>
        </w:rPr>
        <w:t>PRIMERO. De la competencia</w:t>
      </w:r>
      <w:bookmarkEnd w:id="62"/>
    </w:p>
    <w:p w14:paraId="44952588" w14:textId="77777777" w:rsidR="00DC3B0B" w:rsidRPr="00A62BD0" w:rsidRDefault="00DC3B0B" w:rsidP="00A62BD0">
      <w:pPr>
        <w:tabs>
          <w:tab w:val="left" w:pos="426"/>
        </w:tabs>
        <w:spacing w:line="360" w:lineRule="auto"/>
        <w:rPr>
          <w:rFonts w:ascii="Palatino Linotype" w:hAnsi="Palatino Linotype"/>
          <w:lang w:val="es-MX" w:eastAsia="en-US"/>
        </w:rPr>
      </w:pPr>
    </w:p>
    <w:p w14:paraId="133175CA" w14:textId="0A275415" w:rsidR="0036610C" w:rsidRPr="00A62BD0" w:rsidRDefault="0036610C" w:rsidP="00A62BD0">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lang w:val="es-ES"/>
        </w:rPr>
      </w:pPr>
      <w:r w:rsidRPr="00A62BD0">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62BD0">
        <w:rPr>
          <w:rFonts w:ascii="Palatino Linotype" w:eastAsia="Calibri" w:hAnsi="Palatino Linotype" w:cs="Times New Roman"/>
          <w:b/>
          <w:color w:val="000000" w:themeColor="text1"/>
          <w:lang w:val="es-ES"/>
        </w:rPr>
        <w:t>Constitución Política de los Estados Unidos Mexicanos</w:t>
      </w:r>
      <w:r w:rsidRPr="00A62BD0">
        <w:rPr>
          <w:rFonts w:ascii="Palatino Linotype" w:eastAsia="Calibri" w:hAnsi="Palatino Linotype" w:cs="Times New Roman"/>
          <w:color w:val="000000" w:themeColor="text1"/>
          <w:lang w:val="es-ES"/>
        </w:rPr>
        <w:t xml:space="preserve">; 5, párrafos vigésimo, vigésimo primero y vigésimo segundo fracciones IV y V de la </w:t>
      </w:r>
      <w:r w:rsidRPr="00A62BD0">
        <w:rPr>
          <w:rFonts w:ascii="Palatino Linotype" w:eastAsia="Calibri" w:hAnsi="Palatino Linotype" w:cs="Times New Roman"/>
          <w:b/>
          <w:color w:val="000000" w:themeColor="text1"/>
          <w:lang w:val="es-ES"/>
        </w:rPr>
        <w:t>Constitución Política del Estado Libre y Soberano de México</w:t>
      </w:r>
      <w:r w:rsidRPr="00A62BD0">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A62BD0">
        <w:rPr>
          <w:rFonts w:ascii="Palatino Linotype" w:eastAsia="Calibri" w:hAnsi="Palatino Linotype" w:cs="Times New Roman"/>
          <w:b/>
          <w:color w:val="000000" w:themeColor="text1"/>
          <w:lang w:val="es-ES"/>
        </w:rPr>
        <w:t>Ley de Transparencia y Acceso a la Información Pública del Estado de México y Municipios</w:t>
      </w:r>
      <w:r w:rsidRPr="00A62BD0">
        <w:rPr>
          <w:rFonts w:ascii="Palatino Linotype" w:eastAsia="Calibri" w:hAnsi="Palatino Linotype" w:cs="Times New Roman"/>
          <w:color w:val="000000" w:themeColor="text1"/>
          <w:lang w:val="es-ES"/>
        </w:rPr>
        <w:t xml:space="preserve">; y 10, 7, 9 fracciones I y XXIV, y 11 del </w:t>
      </w:r>
      <w:r w:rsidRPr="00A62BD0">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A62BD0" w:rsidRDefault="00C14439" w:rsidP="00A62BD0">
      <w:pPr>
        <w:pStyle w:val="Prrafodelista"/>
        <w:tabs>
          <w:tab w:val="left" w:pos="426"/>
        </w:tabs>
        <w:spacing w:line="360" w:lineRule="auto"/>
        <w:ind w:left="360"/>
        <w:jc w:val="both"/>
        <w:rPr>
          <w:rFonts w:ascii="Palatino Linotype" w:eastAsia="Calibri" w:hAnsi="Palatino Linotype"/>
          <w:b/>
          <w:color w:val="000000" w:themeColor="text1"/>
          <w:lang w:val="es-ES"/>
        </w:rPr>
      </w:pPr>
    </w:p>
    <w:p w14:paraId="567FEBEC" w14:textId="77777777" w:rsidR="007C0013" w:rsidRPr="00A62BD0" w:rsidRDefault="007C0013" w:rsidP="00A62BD0">
      <w:pPr>
        <w:pStyle w:val="Ttulo2"/>
        <w:tabs>
          <w:tab w:val="left" w:pos="426"/>
        </w:tabs>
        <w:spacing w:before="0" w:line="360" w:lineRule="auto"/>
        <w:rPr>
          <w:rFonts w:ascii="Palatino Linotype" w:hAnsi="Palatino Linotype"/>
          <w:b/>
          <w:color w:val="000000" w:themeColor="text1"/>
          <w:sz w:val="24"/>
          <w:szCs w:val="24"/>
        </w:rPr>
      </w:pPr>
      <w:bookmarkStart w:id="63" w:name="_Toc7037086"/>
      <w:r w:rsidRPr="00A62BD0">
        <w:rPr>
          <w:rFonts w:ascii="Palatino Linotype" w:hAnsi="Palatino Linotype"/>
          <w:b/>
          <w:color w:val="000000" w:themeColor="text1"/>
          <w:sz w:val="24"/>
          <w:szCs w:val="24"/>
        </w:rPr>
        <w:t xml:space="preserve">SEGUNDO. De la oportunidad y </w:t>
      </w:r>
      <w:proofErr w:type="spellStart"/>
      <w:r w:rsidRPr="00A62BD0">
        <w:rPr>
          <w:rFonts w:ascii="Palatino Linotype" w:hAnsi="Palatino Linotype"/>
          <w:b/>
          <w:color w:val="000000" w:themeColor="text1"/>
          <w:sz w:val="24"/>
          <w:szCs w:val="24"/>
        </w:rPr>
        <w:t>procedibilidad</w:t>
      </w:r>
      <w:proofErr w:type="spellEnd"/>
      <w:r w:rsidRPr="00A62BD0">
        <w:rPr>
          <w:rFonts w:ascii="Palatino Linotype" w:hAnsi="Palatino Linotype"/>
          <w:b/>
          <w:color w:val="000000" w:themeColor="text1"/>
          <w:sz w:val="24"/>
          <w:szCs w:val="24"/>
        </w:rPr>
        <w:t>.</w:t>
      </w:r>
      <w:bookmarkEnd w:id="63"/>
    </w:p>
    <w:p w14:paraId="5C30656A" w14:textId="77777777" w:rsidR="007B7762" w:rsidRPr="00A62BD0" w:rsidRDefault="007B7762" w:rsidP="00A62BD0">
      <w:pPr>
        <w:tabs>
          <w:tab w:val="left" w:pos="426"/>
        </w:tabs>
        <w:spacing w:line="360" w:lineRule="auto"/>
        <w:rPr>
          <w:rFonts w:ascii="Palatino Linotype" w:hAnsi="Palatino Linotype"/>
          <w:lang w:val="es-MX" w:eastAsia="en-US"/>
        </w:rPr>
      </w:pPr>
    </w:p>
    <w:p w14:paraId="0C67ACAD" w14:textId="2CF42E71" w:rsidR="007B7762" w:rsidRPr="00A62BD0" w:rsidRDefault="007B7762" w:rsidP="00A62BD0">
      <w:pPr>
        <w:numPr>
          <w:ilvl w:val="0"/>
          <w:numId w:val="1"/>
        </w:numPr>
        <w:tabs>
          <w:tab w:val="left" w:pos="0"/>
          <w:tab w:val="left" w:pos="426"/>
        </w:tabs>
        <w:spacing w:line="360" w:lineRule="auto"/>
        <w:ind w:left="0" w:right="49" w:firstLine="0"/>
        <w:contextualSpacing/>
        <w:jc w:val="both"/>
        <w:rPr>
          <w:rFonts w:ascii="Palatino Linotype" w:eastAsia="Calibri" w:hAnsi="Palatino Linotype" w:cs="Arial"/>
        </w:rPr>
      </w:pPr>
      <w:r w:rsidRPr="00A62BD0">
        <w:rPr>
          <w:rFonts w:ascii="Palatino Linotype" w:eastAsia="Calibri" w:hAnsi="Palatino Linotype" w:cs="Arial"/>
        </w:rPr>
        <w:t xml:space="preserve">El medio de impugnación fue presentado a través del </w:t>
      </w:r>
      <w:r w:rsidRPr="00A62BD0">
        <w:rPr>
          <w:rFonts w:ascii="Palatino Linotype" w:eastAsia="Calibri" w:hAnsi="Palatino Linotype" w:cs="Arial"/>
          <w:b/>
        </w:rPr>
        <w:t>SAIMEX,</w:t>
      </w:r>
      <w:r w:rsidRPr="00A62BD0">
        <w:rPr>
          <w:rFonts w:ascii="Palatino Linotype" w:eastAsia="Calibri" w:hAnsi="Palatino Linotype" w:cs="Arial"/>
        </w:rPr>
        <w:t xml:space="preserve"> en el formato previamente aprobado para tal efecto y dentro del plazo legal de quince días hábiles otorgados; siendo así que el </w:t>
      </w:r>
      <w:r w:rsidRPr="00A62BD0">
        <w:rPr>
          <w:rFonts w:ascii="Palatino Linotype" w:eastAsia="Calibri" w:hAnsi="Palatino Linotype" w:cs="Arial"/>
          <w:b/>
        </w:rPr>
        <w:t>SUJETO OBLIGADO</w:t>
      </w:r>
      <w:r w:rsidRPr="00A62BD0">
        <w:rPr>
          <w:rFonts w:ascii="Palatino Linotype" w:eastAsia="Calibri" w:hAnsi="Palatino Linotype" w:cs="Arial"/>
        </w:rPr>
        <w:t xml:space="preserve"> emitió respuesta el día </w:t>
      </w:r>
      <w:r w:rsidR="00C7439C" w:rsidRPr="00A62BD0">
        <w:rPr>
          <w:rFonts w:ascii="Palatino Linotype" w:eastAsia="Calibri" w:hAnsi="Palatino Linotype" w:cs="Arial"/>
        </w:rPr>
        <w:t>siete</w:t>
      </w:r>
      <w:r w:rsidRPr="00A62BD0">
        <w:rPr>
          <w:rFonts w:ascii="Palatino Linotype" w:eastAsia="Calibri" w:hAnsi="Palatino Linotype" w:cs="Arial"/>
        </w:rPr>
        <w:t xml:space="preserve"> (</w:t>
      </w:r>
      <w:r w:rsidR="00C7439C" w:rsidRPr="00A62BD0">
        <w:rPr>
          <w:rFonts w:ascii="Palatino Linotype" w:eastAsia="Calibri" w:hAnsi="Palatino Linotype" w:cs="Arial"/>
        </w:rPr>
        <w:t>07</w:t>
      </w:r>
      <w:r w:rsidRPr="00A62BD0">
        <w:rPr>
          <w:rFonts w:ascii="Palatino Linotype" w:eastAsia="Calibri" w:hAnsi="Palatino Linotype" w:cs="Arial"/>
        </w:rPr>
        <w:t xml:space="preserve">) de </w:t>
      </w:r>
      <w:r w:rsidR="00C7439C" w:rsidRPr="00A62BD0">
        <w:rPr>
          <w:rFonts w:ascii="Palatino Linotype" w:eastAsia="Calibri" w:hAnsi="Palatino Linotype" w:cs="Arial"/>
        </w:rPr>
        <w:t>febrero</w:t>
      </w:r>
      <w:r w:rsidRPr="00A62BD0">
        <w:rPr>
          <w:rFonts w:ascii="Palatino Linotype" w:eastAsia="Calibri" w:hAnsi="Palatino Linotype" w:cs="Arial"/>
        </w:rPr>
        <w:t xml:space="preserve"> de dos mil diecinueve, de tal forma que el plazo para interponer el recurso de revisión transcurrió del día </w:t>
      </w:r>
      <w:r w:rsidR="00C7439C" w:rsidRPr="00A62BD0">
        <w:rPr>
          <w:rFonts w:ascii="Palatino Linotype" w:eastAsia="Calibri" w:hAnsi="Palatino Linotype" w:cs="Arial"/>
        </w:rPr>
        <w:t>ocho</w:t>
      </w:r>
      <w:r w:rsidRPr="00A62BD0">
        <w:rPr>
          <w:rFonts w:ascii="Palatino Linotype" w:eastAsia="Calibri" w:hAnsi="Palatino Linotype" w:cs="Arial"/>
        </w:rPr>
        <w:t xml:space="preserve"> (</w:t>
      </w:r>
      <w:r w:rsidR="00C7439C" w:rsidRPr="00A62BD0">
        <w:rPr>
          <w:rFonts w:ascii="Palatino Linotype" w:eastAsia="Calibri" w:hAnsi="Palatino Linotype" w:cs="Arial"/>
        </w:rPr>
        <w:t>08</w:t>
      </w:r>
      <w:r w:rsidRPr="00A62BD0">
        <w:rPr>
          <w:rFonts w:ascii="Palatino Linotype" w:eastAsia="Calibri" w:hAnsi="Palatino Linotype" w:cs="Arial"/>
        </w:rPr>
        <w:t xml:space="preserve">) </w:t>
      </w:r>
      <w:r w:rsidR="00C7439C" w:rsidRPr="00A62BD0">
        <w:rPr>
          <w:rFonts w:ascii="Palatino Linotype" w:eastAsia="Calibri" w:hAnsi="Palatino Linotype" w:cs="Arial"/>
        </w:rPr>
        <w:t xml:space="preserve">al veintiocho (28) </w:t>
      </w:r>
      <w:r w:rsidRPr="00A62BD0">
        <w:rPr>
          <w:rFonts w:ascii="Palatino Linotype" w:eastAsia="Calibri" w:hAnsi="Palatino Linotype" w:cs="Arial"/>
        </w:rPr>
        <w:t xml:space="preserve">de </w:t>
      </w:r>
      <w:r w:rsidR="00C7439C" w:rsidRPr="00A62BD0">
        <w:rPr>
          <w:rFonts w:ascii="Palatino Linotype" w:eastAsia="Calibri" w:hAnsi="Palatino Linotype" w:cs="Arial"/>
        </w:rPr>
        <w:t>febrero</w:t>
      </w:r>
      <w:r w:rsidRPr="00A62BD0">
        <w:rPr>
          <w:rFonts w:ascii="Palatino Linotype" w:eastAsia="Calibri" w:hAnsi="Palatino Linotype" w:cs="Arial"/>
        </w:rPr>
        <w:t xml:space="preserve"> de dos mil diecinueve, en consecuencia, si la parte </w:t>
      </w:r>
      <w:r w:rsidRPr="00A62BD0">
        <w:rPr>
          <w:rFonts w:ascii="Palatino Linotype" w:eastAsia="Calibri" w:hAnsi="Palatino Linotype" w:cs="Arial"/>
          <w:b/>
        </w:rPr>
        <w:t>RECURRENTE</w:t>
      </w:r>
      <w:r w:rsidRPr="00A62BD0">
        <w:rPr>
          <w:rFonts w:ascii="Palatino Linotype" w:eastAsia="Calibri" w:hAnsi="Palatino Linotype" w:cs="Arial"/>
        </w:rPr>
        <w:t xml:space="preserve"> presentó su inconformidad el día</w:t>
      </w:r>
      <w:r w:rsidR="008D19AE" w:rsidRPr="00A62BD0">
        <w:rPr>
          <w:rFonts w:ascii="Palatino Linotype" w:eastAsia="Calibri" w:hAnsi="Palatino Linotype" w:cs="Arial"/>
        </w:rPr>
        <w:t xml:space="preserve"> </w:t>
      </w:r>
      <w:r w:rsidR="003B1A98" w:rsidRPr="00A62BD0">
        <w:rPr>
          <w:rFonts w:ascii="Palatino Linotype" w:eastAsia="Calibri" w:hAnsi="Palatino Linotype" w:cs="Arial"/>
        </w:rPr>
        <w:t>siete</w:t>
      </w:r>
      <w:r w:rsidR="008D19AE" w:rsidRPr="00A62BD0">
        <w:rPr>
          <w:rFonts w:ascii="Palatino Linotype" w:eastAsia="Calibri" w:hAnsi="Palatino Linotype" w:cs="Arial"/>
        </w:rPr>
        <w:t xml:space="preserve"> (</w:t>
      </w:r>
      <w:r w:rsidR="003B1A98" w:rsidRPr="00A62BD0">
        <w:rPr>
          <w:rFonts w:ascii="Palatino Linotype" w:eastAsia="Calibri" w:hAnsi="Palatino Linotype" w:cs="Arial"/>
        </w:rPr>
        <w:t>07</w:t>
      </w:r>
      <w:r w:rsidR="008D19AE" w:rsidRPr="00A62BD0">
        <w:rPr>
          <w:rFonts w:ascii="Palatino Linotype" w:eastAsia="Calibri" w:hAnsi="Palatino Linotype" w:cs="Arial"/>
        </w:rPr>
        <w:t xml:space="preserve">) de febrero </w:t>
      </w:r>
      <w:r w:rsidRPr="00A62BD0">
        <w:rPr>
          <w:rFonts w:ascii="Palatino Linotype" w:eastAsia="Calibri" w:hAnsi="Palatino Linotype" w:cs="Arial"/>
        </w:rPr>
        <w:t>de dos mil diecinueve,</w:t>
      </w:r>
      <w:r w:rsidR="003B1A98" w:rsidRPr="00A62BD0">
        <w:rPr>
          <w:rFonts w:ascii="Palatino Linotype" w:eastAsia="Calibri" w:hAnsi="Palatino Linotype" w:cs="Arial"/>
        </w:rPr>
        <w:t xml:space="preserve"> </w:t>
      </w:r>
      <w:r w:rsidR="003B1A98" w:rsidRPr="00A62BD0">
        <w:rPr>
          <w:rFonts w:ascii="Palatino Linotype" w:hAnsi="Palatino Linotype" w:cs="Arial"/>
          <w:lang w:eastAsia="es-MX"/>
        </w:rPr>
        <w:t xml:space="preserve">esto es, el mismo día en que tuvo conocimiento de la respuesta impugnada, por lo tanto, un día antes de que iniciara el plazo precitado, </w:t>
      </w:r>
      <w:r w:rsidR="003B1A98" w:rsidRPr="00A62BD0">
        <w:rPr>
          <w:rFonts w:ascii="Palatino Linotype" w:eastAsia="Calibri" w:hAnsi="Palatino Linotype" w:cs="Arial"/>
        </w:rPr>
        <w:t>circunstancia que no es determinante para declararlo extemporáneo, toda vez que el tiempo concedido es para delimitar el término en que pueden impugnarse las respuestas, lo cual no impide  que se presenten antes de iniciado el plazo previsto.</w:t>
      </w:r>
    </w:p>
    <w:p w14:paraId="005821B9" w14:textId="77777777" w:rsidR="007B7762" w:rsidRPr="00A62BD0" w:rsidRDefault="007B7762" w:rsidP="00A62BD0">
      <w:pPr>
        <w:tabs>
          <w:tab w:val="left" w:pos="0"/>
          <w:tab w:val="left" w:pos="426"/>
        </w:tabs>
        <w:spacing w:line="360" w:lineRule="auto"/>
        <w:ind w:right="49"/>
        <w:contextualSpacing/>
        <w:jc w:val="both"/>
        <w:rPr>
          <w:rFonts w:ascii="Palatino Linotype" w:eastAsia="Calibri" w:hAnsi="Palatino Linotype" w:cs="Arial"/>
        </w:rPr>
      </w:pPr>
    </w:p>
    <w:p w14:paraId="50126483" w14:textId="5ACC902B" w:rsidR="003B1A98" w:rsidRPr="00A62BD0" w:rsidRDefault="003B1A98" w:rsidP="00A62BD0">
      <w:pPr>
        <w:numPr>
          <w:ilvl w:val="0"/>
          <w:numId w:val="1"/>
        </w:numPr>
        <w:tabs>
          <w:tab w:val="left" w:pos="426"/>
        </w:tabs>
        <w:spacing w:line="360" w:lineRule="auto"/>
        <w:ind w:left="0" w:right="49" w:firstLine="0"/>
        <w:contextualSpacing/>
        <w:jc w:val="both"/>
        <w:rPr>
          <w:rFonts w:ascii="Palatino Linotype" w:eastAsia="Times New Roman" w:hAnsi="Palatino Linotype" w:cs="Arial"/>
          <w:lang w:val="es-ES"/>
        </w:rPr>
      </w:pPr>
      <w:r w:rsidRPr="00A62BD0">
        <w:rPr>
          <w:rFonts w:ascii="Palatino Linotype" w:eastAsia="Calibri" w:hAnsi="Palatino Linotype" w:cs="Times New Roman"/>
          <w:lang w:val="es-ES"/>
        </w:rPr>
        <w:t xml:space="preserve">Discernimiento </w:t>
      </w:r>
      <w:r w:rsidRPr="00A62BD0">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1CBECF7E" w14:textId="77777777" w:rsidR="003B1A98" w:rsidRPr="00A62BD0" w:rsidRDefault="003B1A98" w:rsidP="00A62BD0">
      <w:pPr>
        <w:tabs>
          <w:tab w:val="left" w:pos="426"/>
        </w:tabs>
        <w:spacing w:line="360" w:lineRule="auto"/>
        <w:ind w:right="49"/>
        <w:contextualSpacing/>
        <w:jc w:val="both"/>
        <w:rPr>
          <w:rFonts w:ascii="Palatino Linotype" w:eastAsia="Times New Roman" w:hAnsi="Palatino Linotype" w:cs="Arial"/>
          <w:b/>
          <w:lang w:val="es-ES"/>
        </w:rPr>
      </w:pPr>
    </w:p>
    <w:p w14:paraId="74C3B4A2" w14:textId="7D1D4AB6" w:rsidR="003B1A98" w:rsidRPr="00A62BD0" w:rsidRDefault="003B1A98" w:rsidP="00A62BD0">
      <w:pPr>
        <w:tabs>
          <w:tab w:val="left" w:pos="426"/>
        </w:tabs>
        <w:spacing w:line="360" w:lineRule="auto"/>
        <w:ind w:left="567" w:right="567"/>
        <w:contextualSpacing/>
        <w:jc w:val="both"/>
        <w:rPr>
          <w:rFonts w:ascii="Palatino Linotype" w:eastAsia="Times New Roman" w:hAnsi="Palatino Linotype" w:cs="Arial"/>
          <w:i/>
          <w:lang w:val="es-ES"/>
        </w:rPr>
      </w:pPr>
      <w:r w:rsidRPr="00A62BD0">
        <w:rPr>
          <w:rFonts w:ascii="Palatino Linotype" w:eastAsia="Times New Roman" w:hAnsi="Palatino Linotype" w:cs="Arial"/>
          <w:b/>
          <w:i/>
          <w:lang w:val="es-ES"/>
        </w:rPr>
        <w:lastRenderedPageBreak/>
        <w:t>RECURSO DE RECLAMACIÓN. SU INTERPOSICIÓN NO ES EXTEMPORÁNEA SI SE REALIZA ANTES DE QUE INICIE EL PLAZO PARA HACERLO.</w:t>
      </w:r>
      <w:r w:rsidRPr="00A62BD0">
        <w:rPr>
          <w:rFonts w:ascii="Palatino Linotype" w:eastAsia="Times New Roman" w:hAnsi="Palatino Linotype" w:cs="Arial"/>
          <w:i/>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C246B8F" w14:textId="77777777" w:rsidR="007B7762" w:rsidRPr="00A62BD0" w:rsidRDefault="007B7762" w:rsidP="00A62BD0">
      <w:pPr>
        <w:tabs>
          <w:tab w:val="left" w:pos="426"/>
        </w:tabs>
        <w:spacing w:line="360" w:lineRule="auto"/>
        <w:ind w:left="720"/>
        <w:contextualSpacing/>
        <w:rPr>
          <w:rFonts w:ascii="Palatino Linotype" w:hAnsi="Palatino Linotype" w:cs="Arial"/>
        </w:rPr>
      </w:pPr>
    </w:p>
    <w:p w14:paraId="3F45BAB9" w14:textId="6BE98739" w:rsidR="005C7E0D" w:rsidRDefault="007B7762" w:rsidP="00A62BD0">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A62BD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8F57F6D" w14:textId="77777777" w:rsidR="00A62BD0" w:rsidRPr="00A62BD0" w:rsidRDefault="00A62BD0" w:rsidP="00A62BD0">
      <w:pPr>
        <w:tabs>
          <w:tab w:val="left" w:pos="0"/>
          <w:tab w:val="left" w:pos="426"/>
        </w:tabs>
        <w:spacing w:line="360" w:lineRule="auto"/>
        <w:ind w:right="49"/>
        <w:contextualSpacing/>
        <w:jc w:val="both"/>
        <w:rPr>
          <w:rFonts w:ascii="Palatino Linotype" w:hAnsi="Palatino Linotype" w:cs="Arial"/>
        </w:rPr>
      </w:pPr>
    </w:p>
    <w:p w14:paraId="50D99ACE" w14:textId="1BFD7E29" w:rsidR="0013417A" w:rsidRDefault="0013417A" w:rsidP="00A62BD0">
      <w:pPr>
        <w:pStyle w:val="Ttulo2"/>
        <w:tabs>
          <w:tab w:val="left" w:pos="426"/>
        </w:tabs>
        <w:spacing w:before="0" w:line="360" w:lineRule="auto"/>
        <w:rPr>
          <w:rFonts w:ascii="Palatino Linotype" w:hAnsi="Palatino Linotype"/>
          <w:b/>
          <w:i/>
          <w:color w:val="auto"/>
          <w:sz w:val="24"/>
          <w:szCs w:val="24"/>
        </w:rPr>
      </w:pPr>
      <w:bookmarkStart w:id="64" w:name="_Toc503862490"/>
      <w:bookmarkStart w:id="65" w:name="_Toc509403241"/>
      <w:bookmarkStart w:id="66" w:name="_Toc521536227"/>
      <w:bookmarkStart w:id="67" w:name="_Toc7037087"/>
      <w:r w:rsidRPr="00A62BD0">
        <w:rPr>
          <w:rFonts w:ascii="Palatino Linotype" w:hAnsi="Palatino Linotype"/>
          <w:b/>
          <w:color w:val="auto"/>
          <w:sz w:val="24"/>
          <w:szCs w:val="24"/>
        </w:rPr>
        <w:t xml:space="preserve">TERCERO. </w:t>
      </w:r>
      <w:bookmarkEnd w:id="64"/>
      <w:bookmarkEnd w:id="65"/>
      <w:r w:rsidRPr="00A62BD0">
        <w:rPr>
          <w:rFonts w:ascii="Palatino Linotype" w:hAnsi="Palatino Linotype"/>
          <w:b/>
          <w:color w:val="auto"/>
          <w:sz w:val="24"/>
          <w:szCs w:val="24"/>
        </w:rPr>
        <w:t xml:space="preserve">Del planteamiento de la </w:t>
      </w:r>
      <w:r w:rsidRPr="00A62BD0">
        <w:rPr>
          <w:rFonts w:ascii="Palatino Linotype" w:hAnsi="Palatino Linotype"/>
          <w:b/>
          <w:i/>
          <w:color w:val="auto"/>
          <w:sz w:val="24"/>
          <w:szCs w:val="24"/>
        </w:rPr>
        <w:t>Litis.</w:t>
      </w:r>
      <w:bookmarkEnd w:id="66"/>
      <w:bookmarkEnd w:id="67"/>
    </w:p>
    <w:p w14:paraId="66DDA82F" w14:textId="77777777" w:rsidR="00A62BD0" w:rsidRPr="00A62BD0" w:rsidRDefault="00A62BD0" w:rsidP="00A62BD0">
      <w:pPr>
        <w:rPr>
          <w:lang w:val="es-MX" w:eastAsia="en-US"/>
        </w:rPr>
      </w:pPr>
    </w:p>
    <w:p w14:paraId="34C93BBD" w14:textId="071956EF" w:rsidR="00577F91" w:rsidRPr="00A62BD0" w:rsidRDefault="00005B21" w:rsidP="00A62BD0">
      <w:pPr>
        <w:pStyle w:val="Prrafodelista"/>
        <w:numPr>
          <w:ilvl w:val="0"/>
          <w:numId w:val="1"/>
        </w:numPr>
        <w:tabs>
          <w:tab w:val="left" w:pos="426"/>
          <w:tab w:val="left" w:pos="709"/>
        </w:tabs>
        <w:spacing w:line="360" w:lineRule="auto"/>
        <w:ind w:left="142" w:hanging="1"/>
        <w:jc w:val="both"/>
        <w:rPr>
          <w:rFonts w:ascii="Palatino Linotype" w:hAnsi="Palatino Linotype"/>
        </w:rPr>
      </w:pPr>
      <w:r w:rsidRPr="00A62BD0">
        <w:rPr>
          <w:rFonts w:ascii="Palatino Linotype" w:hAnsi="Palatino Linotype"/>
          <w:lang w:val="es-MX"/>
        </w:rPr>
        <w:t>El</w:t>
      </w:r>
      <w:r w:rsidR="0013417A" w:rsidRPr="00A62BD0">
        <w:rPr>
          <w:rFonts w:ascii="Palatino Linotype" w:hAnsi="Palatino Linotype"/>
          <w:lang w:val="es-MX"/>
        </w:rPr>
        <w:t xml:space="preserve"> particular, mediante </w:t>
      </w:r>
      <w:r w:rsidR="002E60A2" w:rsidRPr="00A62BD0">
        <w:rPr>
          <w:rFonts w:ascii="Palatino Linotype" w:hAnsi="Palatino Linotype"/>
          <w:lang w:val="es-MX"/>
        </w:rPr>
        <w:t>su so</w:t>
      </w:r>
      <w:r w:rsidR="00143332" w:rsidRPr="00A62BD0">
        <w:rPr>
          <w:rFonts w:ascii="Palatino Linotype" w:hAnsi="Palatino Linotype"/>
          <w:lang w:val="es-MX"/>
        </w:rPr>
        <w:t>licitud</w:t>
      </w:r>
      <w:r w:rsidR="002E60A2" w:rsidRPr="00A62BD0">
        <w:rPr>
          <w:rFonts w:ascii="Palatino Linotype" w:hAnsi="Palatino Linotype"/>
          <w:lang w:val="es-MX"/>
        </w:rPr>
        <w:t xml:space="preserve"> </w:t>
      </w:r>
      <w:r w:rsidR="00F84995" w:rsidRPr="00A62BD0">
        <w:rPr>
          <w:rFonts w:ascii="Palatino Linotype" w:hAnsi="Palatino Linotype"/>
          <w:lang w:val="es-MX"/>
        </w:rPr>
        <w:t>de infor</w:t>
      </w:r>
      <w:r w:rsidR="00D01F70" w:rsidRPr="00A62BD0">
        <w:rPr>
          <w:rFonts w:ascii="Palatino Linotype" w:hAnsi="Palatino Linotype"/>
          <w:lang w:val="es-MX"/>
        </w:rPr>
        <w:t xml:space="preserve">mación, esencialmente requirió del </w:t>
      </w:r>
      <w:r w:rsidR="00FC5AE0" w:rsidRPr="00A62BD0">
        <w:rPr>
          <w:rFonts w:ascii="Palatino Linotype" w:hAnsi="Palatino Linotype"/>
          <w:lang w:val="es-MX"/>
        </w:rPr>
        <w:t xml:space="preserve">Ayuntamiento de </w:t>
      </w:r>
      <w:r w:rsidR="00577F91" w:rsidRPr="00A62BD0">
        <w:rPr>
          <w:rFonts w:ascii="Palatino Linotype" w:hAnsi="Palatino Linotype"/>
          <w:lang w:val="es-MX"/>
        </w:rPr>
        <w:t>Ecatepec</w:t>
      </w:r>
      <w:r w:rsidR="006C0144" w:rsidRPr="00A62BD0">
        <w:rPr>
          <w:rFonts w:ascii="Palatino Linotype" w:hAnsi="Palatino Linotype"/>
          <w:lang w:val="es-MX"/>
        </w:rPr>
        <w:t xml:space="preserve"> de Morelos</w:t>
      </w:r>
      <w:r w:rsidR="0013417A" w:rsidRPr="00A62BD0">
        <w:rPr>
          <w:rFonts w:ascii="Palatino Linotype" w:hAnsi="Palatino Linotype"/>
          <w:lang w:val="es-MX"/>
        </w:rPr>
        <w:t>, la siguiente información:</w:t>
      </w:r>
    </w:p>
    <w:p w14:paraId="2E121799" w14:textId="77777777" w:rsidR="009D3CF3" w:rsidRPr="00A62BD0" w:rsidRDefault="009D3CF3" w:rsidP="00A62BD0">
      <w:pPr>
        <w:tabs>
          <w:tab w:val="left" w:pos="426"/>
        </w:tabs>
        <w:spacing w:line="360" w:lineRule="auto"/>
        <w:ind w:right="567"/>
        <w:jc w:val="both"/>
        <w:rPr>
          <w:rFonts w:ascii="Palatino Linotype" w:hAnsi="Palatino Linotype"/>
        </w:rPr>
      </w:pPr>
    </w:p>
    <w:p w14:paraId="5316A875" w14:textId="7D6EFDA4" w:rsidR="00577F91" w:rsidRPr="00A62BD0" w:rsidRDefault="00577F91" w:rsidP="00A62BD0">
      <w:pPr>
        <w:tabs>
          <w:tab w:val="left" w:pos="426"/>
        </w:tabs>
        <w:spacing w:line="360" w:lineRule="auto"/>
        <w:ind w:left="567" w:right="567"/>
        <w:jc w:val="both"/>
        <w:rPr>
          <w:rFonts w:ascii="Palatino Linotype" w:hAnsi="Palatino Linotype"/>
          <w:b/>
        </w:rPr>
      </w:pPr>
      <w:r w:rsidRPr="00A62BD0">
        <w:rPr>
          <w:rFonts w:ascii="Palatino Linotype" w:hAnsi="Palatino Linotype"/>
          <w:b/>
        </w:rPr>
        <w:lastRenderedPageBreak/>
        <w:t>Versión pública de todos los documentos relacionados con las documentales adjuntas a su solicitud, como pudieran ser los oficios 3616/2018, DJC/AMP/0231/2018, DJC/AMP/0278/2018 y DJC/AMP/0279/2018, así como las respuestas emitidas en atención a los mismos.</w:t>
      </w:r>
    </w:p>
    <w:p w14:paraId="27498060" w14:textId="77777777" w:rsidR="00577F91" w:rsidRPr="00A62BD0" w:rsidRDefault="00577F91" w:rsidP="00A62BD0">
      <w:pPr>
        <w:tabs>
          <w:tab w:val="left" w:pos="426"/>
        </w:tabs>
        <w:spacing w:line="360" w:lineRule="auto"/>
        <w:ind w:right="567"/>
        <w:jc w:val="both"/>
        <w:rPr>
          <w:rFonts w:ascii="Palatino Linotype" w:hAnsi="Palatino Linotype"/>
        </w:rPr>
      </w:pPr>
    </w:p>
    <w:p w14:paraId="33863E8E" w14:textId="1EAA8D0E" w:rsidR="00854EBA" w:rsidRPr="00A62BD0" w:rsidRDefault="006465D2" w:rsidP="00A62BD0">
      <w:pPr>
        <w:numPr>
          <w:ilvl w:val="0"/>
          <w:numId w:val="1"/>
        </w:numPr>
        <w:tabs>
          <w:tab w:val="left" w:pos="426"/>
        </w:tabs>
        <w:spacing w:line="360" w:lineRule="auto"/>
        <w:ind w:left="0" w:firstLine="0"/>
        <w:jc w:val="both"/>
        <w:rPr>
          <w:rFonts w:ascii="Palatino Linotype" w:hAnsi="Palatino Linotype"/>
        </w:rPr>
      </w:pPr>
      <w:r w:rsidRPr="00A62BD0">
        <w:rPr>
          <w:rFonts w:ascii="Palatino Linotype" w:hAnsi="Palatino Linotype"/>
        </w:rPr>
        <w:t>En su respuesta</w:t>
      </w:r>
      <w:r w:rsidR="0013417A" w:rsidRPr="00A62BD0">
        <w:rPr>
          <w:rFonts w:ascii="Palatino Linotype" w:hAnsi="Palatino Linotype"/>
        </w:rPr>
        <w:t xml:space="preserve">, el </w:t>
      </w:r>
      <w:r w:rsidR="00940E57" w:rsidRPr="00A62BD0">
        <w:rPr>
          <w:rFonts w:ascii="Palatino Linotype" w:hAnsi="Palatino Linotype"/>
          <w:b/>
        </w:rPr>
        <w:t>SUJETO OBLIGADO</w:t>
      </w:r>
      <w:r w:rsidR="00DC26B5" w:rsidRPr="00A62BD0">
        <w:rPr>
          <w:rFonts w:ascii="Palatino Linotype" w:hAnsi="Palatino Linotype"/>
        </w:rPr>
        <w:t xml:space="preserve"> </w:t>
      </w:r>
      <w:r w:rsidR="000C7111" w:rsidRPr="00A62BD0">
        <w:rPr>
          <w:rFonts w:ascii="Palatino Linotype" w:hAnsi="Palatino Linotype"/>
        </w:rPr>
        <w:t>refirió al particular que los oficios mencionados en su solicitud de información derivaban del juicio de amparo 1147/2018, promovido ante el Juez Segundo de Distrito en el Estado de México</w:t>
      </w:r>
      <w:r w:rsidR="006A3857" w:rsidRPr="00A62BD0">
        <w:rPr>
          <w:rFonts w:ascii="Palatino Linotype" w:hAnsi="Palatino Linotype"/>
        </w:rPr>
        <w:t xml:space="preserve"> y, que la información y documentación referida de dicho expediente judicial estaba relacionada con diversos juicios de garantías y administrativos, por lo que solicitó que la información sea clasificada como reservada</w:t>
      </w:r>
      <w:r w:rsidR="006C0144" w:rsidRPr="00A62BD0">
        <w:rPr>
          <w:rFonts w:ascii="Palatino Linotype" w:hAnsi="Palatino Linotype"/>
        </w:rPr>
        <w:t>.</w:t>
      </w:r>
    </w:p>
    <w:p w14:paraId="33122CF9" w14:textId="517CE94D" w:rsidR="0013417A" w:rsidRPr="00A62BD0" w:rsidRDefault="0013417A" w:rsidP="00A62BD0">
      <w:pPr>
        <w:tabs>
          <w:tab w:val="left" w:pos="426"/>
        </w:tabs>
        <w:spacing w:line="360" w:lineRule="auto"/>
        <w:jc w:val="both"/>
        <w:rPr>
          <w:rFonts w:ascii="Palatino Linotype" w:hAnsi="Palatino Linotype"/>
        </w:rPr>
      </w:pPr>
    </w:p>
    <w:p w14:paraId="47003B43" w14:textId="7B0C6949" w:rsidR="0013417A" w:rsidRPr="00A62BD0" w:rsidRDefault="004239B3" w:rsidP="00A62BD0">
      <w:pPr>
        <w:numPr>
          <w:ilvl w:val="0"/>
          <w:numId w:val="1"/>
        </w:numPr>
        <w:tabs>
          <w:tab w:val="left" w:pos="426"/>
        </w:tabs>
        <w:spacing w:line="360" w:lineRule="auto"/>
        <w:ind w:left="0" w:firstLine="0"/>
        <w:jc w:val="both"/>
        <w:rPr>
          <w:rFonts w:ascii="Palatino Linotype" w:hAnsi="Palatino Linotype"/>
        </w:rPr>
      </w:pPr>
      <w:r w:rsidRPr="00A62BD0">
        <w:rPr>
          <w:rFonts w:ascii="Palatino Linotype" w:hAnsi="Palatino Linotype"/>
        </w:rPr>
        <w:t xml:space="preserve">Por su parte, el </w:t>
      </w:r>
      <w:r w:rsidR="0013417A" w:rsidRPr="00A62BD0">
        <w:rPr>
          <w:rFonts w:ascii="Palatino Linotype" w:hAnsi="Palatino Linotype"/>
          <w:b/>
        </w:rPr>
        <w:t>RECURRENTE</w:t>
      </w:r>
      <w:r w:rsidR="00ED7B32" w:rsidRPr="00A62BD0">
        <w:rPr>
          <w:rFonts w:ascii="Palatino Linotype" w:hAnsi="Palatino Linotype"/>
          <w:b/>
        </w:rPr>
        <w:t xml:space="preserve"> </w:t>
      </w:r>
      <w:r w:rsidR="00ED7B32" w:rsidRPr="00A62BD0">
        <w:rPr>
          <w:rFonts w:ascii="Palatino Linotype" w:hAnsi="Palatino Linotype"/>
        </w:rPr>
        <w:t>en términos generales</w:t>
      </w:r>
      <w:r w:rsidR="0013417A" w:rsidRPr="00A62BD0">
        <w:rPr>
          <w:rFonts w:ascii="Palatino Linotype" w:hAnsi="Palatino Linotype"/>
        </w:rPr>
        <w:t xml:space="preserve"> se inconformó</w:t>
      </w:r>
      <w:r w:rsidR="006A3857" w:rsidRPr="00A62BD0">
        <w:rPr>
          <w:rFonts w:ascii="Palatino Linotype" w:hAnsi="Palatino Linotype"/>
        </w:rPr>
        <w:t xml:space="preserve"> esencialmente</w:t>
      </w:r>
      <w:r w:rsidR="0013417A" w:rsidRPr="00A62BD0">
        <w:rPr>
          <w:rFonts w:ascii="Palatino Linotype" w:hAnsi="Palatino Linotype"/>
        </w:rPr>
        <w:t xml:space="preserve"> dentro de</w:t>
      </w:r>
      <w:r w:rsidR="00415AD1" w:rsidRPr="00A62BD0">
        <w:rPr>
          <w:rFonts w:ascii="Palatino Linotype" w:hAnsi="Palatino Linotype"/>
        </w:rPr>
        <w:t>l recurso</w:t>
      </w:r>
      <w:r w:rsidR="006A3857" w:rsidRPr="00A62BD0">
        <w:rPr>
          <w:rFonts w:ascii="Palatino Linotype" w:hAnsi="Palatino Linotype"/>
        </w:rPr>
        <w:t xml:space="preserve"> de revisión materia de e</w:t>
      </w:r>
      <w:r w:rsidR="0013417A" w:rsidRPr="00A62BD0">
        <w:rPr>
          <w:rFonts w:ascii="Palatino Linotype" w:hAnsi="Palatino Linotype"/>
        </w:rPr>
        <w:t>sta resolución,</w:t>
      </w:r>
      <w:r w:rsidR="00030FEF" w:rsidRPr="00A62BD0">
        <w:rPr>
          <w:rFonts w:ascii="Palatino Linotype" w:hAnsi="Palatino Linotype"/>
        </w:rPr>
        <w:t xml:space="preserve"> porque </w:t>
      </w:r>
      <w:r w:rsidR="006A3857" w:rsidRPr="00A62BD0">
        <w:rPr>
          <w:rFonts w:ascii="Palatino Linotype" w:hAnsi="Palatino Linotype"/>
        </w:rPr>
        <w:t xml:space="preserve">el </w:t>
      </w:r>
      <w:r w:rsidR="006A3857" w:rsidRPr="00A62BD0">
        <w:rPr>
          <w:rFonts w:ascii="Palatino Linotype" w:hAnsi="Palatino Linotype"/>
          <w:b/>
        </w:rPr>
        <w:t>SUJETO OBLIGADO</w:t>
      </w:r>
      <w:r w:rsidR="006A3857" w:rsidRPr="00A62BD0">
        <w:rPr>
          <w:rFonts w:ascii="Palatino Linotype" w:hAnsi="Palatino Linotype"/>
        </w:rPr>
        <w:t xml:space="preserve"> pretendió clasificar la información como reservada sin haberle expresado las razones y motivos que le llevaron a tal determinación.</w:t>
      </w:r>
    </w:p>
    <w:p w14:paraId="0F71357F" w14:textId="77777777" w:rsidR="00ED64D3" w:rsidRPr="00A62BD0" w:rsidRDefault="00ED64D3" w:rsidP="00A62BD0">
      <w:pPr>
        <w:tabs>
          <w:tab w:val="left" w:pos="426"/>
        </w:tabs>
        <w:spacing w:line="360" w:lineRule="auto"/>
        <w:jc w:val="both"/>
        <w:rPr>
          <w:rFonts w:ascii="Palatino Linotype" w:hAnsi="Palatino Linotype"/>
        </w:rPr>
      </w:pPr>
    </w:p>
    <w:p w14:paraId="744B8048" w14:textId="26A1B182" w:rsidR="005E75D2" w:rsidRPr="00A62BD0" w:rsidRDefault="00030FEF" w:rsidP="00A62BD0">
      <w:pPr>
        <w:numPr>
          <w:ilvl w:val="0"/>
          <w:numId w:val="1"/>
        </w:numPr>
        <w:tabs>
          <w:tab w:val="left" w:pos="426"/>
        </w:tabs>
        <w:spacing w:line="360" w:lineRule="auto"/>
        <w:ind w:left="0" w:firstLine="0"/>
        <w:jc w:val="both"/>
        <w:rPr>
          <w:rFonts w:ascii="Palatino Linotype" w:hAnsi="Palatino Linotype"/>
        </w:rPr>
      </w:pPr>
      <w:r w:rsidRPr="00A62BD0">
        <w:rPr>
          <w:rFonts w:ascii="Palatino Linotype" w:hAnsi="Palatino Linotype"/>
        </w:rPr>
        <w:t xml:space="preserve">En dichas condiciones el </w:t>
      </w:r>
      <w:r w:rsidR="0013417A" w:rsidRPr="00A62BD0">
        <w:rPr>
          <w:rFonts w:ascii="Palatino Linotype" w:hAnsi="Palatino Linotype"/>
        </w:rPr>
        <w:t xml:space="preserve">presente recurso de revisión se circunscribe a determinar si el </w:t>
      </w:r>
      <w:r w:rsidR="0013417A" w:rsidRPr="00A62BD0">
        <w:rPr>
          <w:rFonts w:ascii="Palatino Linotype" w:hAnsi="Palatino Linotype"/>
          <w:b/>
        </w:rPr>
        <w:t>SUJETO OBLIGADO</w:t>
      </w:r>
      <w:r w:rsidR="00B61272" w:rsidRPr="00A62BD0">
        <w:rPr>
          <w:rFonts w:ascii="Palatino Linotype" w:hAnsi="Palatino Linotype"/>
        </w:rPr>
        <w:t xml:space="preserve"> con su</w:t>
      </w:r>
      <w:r w:rsidR="0013417A" w:rsidRPr="00A62BD0">
        <w:rPr>
          <w:rFonts w:ascii="Palatino Linotype" w:hAnsi="Palatino Linotype"/>
        </w:rPr>
        <w:t xml:space="preserve"> </w:t>
      </w:r>
      <w:r w:rsidR="00415AD1" w:rsidRPr="00A62BD0">
        <w:rPr>
          <w:rFonts w:ascii="Palatino Linotype" w:hAnsi="Palatino Linotype"/>
        </w:rPr>
        <w:t>respuesta a la solicitud</w:t>
      </w:r>
      <w:r w:rsidR="0013417A" w:rsidRPr="00A62BD0">
        <w:rPr>
          <w:rFonts w:ascii="Palatino Linotype" w:hAnsi="Palatino Linotype"/>
        </w:rPr>
        <w:t xml:space="preserve"> satisface el derecho de acceso a la información o</w:t>
      </w:r>
      <w:r w:rsidR="006A3857" w:rsidRPr="00A62BD0">
        <w:rPr>
          <w:rFonts w:ascii="Palatino Linotype" w:hAnsi="Palatino Linotype"/>
        </w:rPr>
        <w:t>,</w:t>
      </w:r>
      <w:r w:rsidR="0013417A" w:rsidRPr="00A62BD0">
        <w:rPr>
          <w:rFonts w:ascii="Palatino Linotype" w:hAnsi="Palatino Linotype"/>
        </w:rPr>
        <w:t xml:space="preserve"> por el </w:t>
      </w:r>
      <w:r w:rsidR="00982F3B" w:rsidRPr="00A62BD0">
        <w:rPr>
          <w:rFonts w:ascii="Palatino Linotype" w:hAnsi="Palatino Linotype"/>
        </w:rPr>
        <w:t>contrario</w:t>
      </w:r>
      <w:r w:rsidR="006A3857" w:rsidRPr="00A62BD0">
        <w:rPr>
          <w:rFonts w:ascii="Palatino Linotype" w:hAnsi="Palatino Linotype"/>
        </w:rPr>
        <w:t>,</w:t>
      </w:r>
      <w:r w:rsidR="00982F3B" w:rsidRPr="00A62BD0">
        <w:rPr>
          <w:rFonts w:ascii="Palatino Linotype" w:hAnsi="Palatino Linotype"/>
        </w:rPr>
        <w:t xml:space="preserve"> actualiza la</w:t>
      </w:r>
      <w:r w:rsidR="004239B3" w:rsidRPr="00A62BD0">
        <w:rPr>
          <w:rFonts w:ascii="Palatino Linotype" w:hAnsi="Palatino Linotype"/>
        </w:rPr>
        <w:t>s</w:t>
      </w:r>
      <w:r w:rsidR="00982F3B" w:rsidRPr="00A62BD0">
        <w:rPr>
          <w:rFonts w:ascii="Palatino Linotype" w:hAnsi="Palatino Linotype"/>
        </w:rPr>
        <w:t xml:space="preserve"> causal</w:t>
      </w:r>
      <w:r w:rsidR="004239B3" w:rsidRPr="00A62BD0">
        <w:rPr>
          <w:rFonts w:ascii="Palatino Linotype" w:hAnsi="Palatino Linotype"/>
        </w:rPr>
        <w:t>es</w:t>
      </w:r>
      <w:r w:rsidR="00982F3B" w:rsidRPr="00A62BD0">
        <w:rPr>
          <w:rFonts w:ascii="Palatino Linotype" w:hAnsi="Palatino Linotype"/>
        </w:rPr>
        <w:t xml:space="preserve"> de </w:t>
      </w:r>
      <w:r w:rsidR="00982F3B" w:rsidRPr="00A62BD0">
        <w:rPr>
          <w:rFonts w:ascii="Palatino Linotype" w:hAnsi="Palatino Linotype"/>
        </w:rPr>
        <w:lastRenderedPageBreak/>
        <w:t>procedencia prevista</w:t>
      </w:r>
      <w:r w:rsidR="004239B3" w:rsidRPr="00A62BD0">
        <w:rPr>
          <w:rFonts w:ascii="Palatino Linotype" w:hAnsi="Palatino Linotype"/>
        </w:rPr>
        <w:t>s</w:t>
      </w:r>
      <w:r w:rsidR="0013417A" w:rsidRPr="00A62BD0">
        <w:rPr>
          <w:rFonts w:ascii="Palatino Linotype" w:hAnsi="Palatino Linotype"/>
        </w:rPr>
        <w:t xml:space="preserve"> en el</w:t>
      </w:r>
      <w:r w:rsidR="00415AD1" w:rsidRPr="00A62BD0">
        <w:rPr>
          <w:rFonts w:ascii="Palatino Linotype" w:hAnsi="Palatino Linotype"/>
        </w:rPr>
        <w:t xml:space="preserve"> artículo 179 </w:t>
      </w:r>
      <w:r w:rsidR="004239B3" w:rsidRPr="00A62BD0">
        <w:rPr>
          <w:rFonts w:ascii="Palatino Linotype" w:hAnsi="Palatino Linotype"/>
        </w:rPr>
        <w:t>fracciones</w:t>
      </w:r>
      <w:r w:rsidR="00524767" w:rsidRPr="00A62BD0">
        <w:rPr>
          <w:rFonts w:ascii="Palatino Linotype" w:hAnsi="Palatino Linotype"/>
        </w:rPr>
        <w:t xml:space="preserve"> </w:t>
      </w:r>
      <w:r w:rsidR="006A3857" w:rsidRPr="00A62BD0">
        <w:rPr>
          <w:rFonts w:ascii="Palatino Linotype" w:hAnsi="Palatino Linotype"/>
        </w:rPr>
        <w:t>I, II y XIII</w:t>
      </w:r>
      <w:r w:rsidR="004239B3" w:rsidRPr="00A62BD0">
        <w:rPr>
          <w:rFonts w:ascii="Palatino Linotype" w:hAnsi="Palatino Linotype"/>
        </w:rPr>
        <w:t xml:space="preserve"> </w:t>
      </w:r>
      <w:r w:rsidR="0013417A" w:rsidRPr="00A62BD0">
        <w:rPr>
          <w:rFonts w:ascii="Palatino Linotype" w:hAnsi="Palatino Linotype"/>
        </w:rPr>
        <w:t xml:space="preserve">de la Ley de Transparencia y Acceso a la Información del Estado de México y Municipios. </w:t>
      </w:r>
    </w:p>
    <w:p w14:paraId="53E2F86D" w14:textId="77777777" w:rsidR="00A62BD0" w:rsidRPr="00A62BD0" w:rsidRDefault="00A62BD0" w:rsidP="00A62BD0">
      <w:pPr>
        <w:spacing w:line="360" w:lineRule="auto"/>
        <w:rPr>
          <w:rFonts w:ascii="Palatino Linotype" w:hAnsi="Palatino Linotype"/>
        </w:rPr>
      </w:pPr>
    </w:p>
    <w:p w14:paraId="60073C16" w14:textId="3145703A" w:rsidR="004619F8" w:rsidRPr="00A62BD0" w:rsidRDefault="009F26D3" w:rsidP="00A62BD0">
      <w:pPr>
        <w:pStyle w:val="Ttulo1"/>
        <w:spacing w:before="0" w:line="360" w:lineRule="auto"/>
        <w:rPr>
          <w:rFonts w:ascii="Palatino Linotype" w:hAnsi="Palatino Linotype"/>
          <w:b/>
          <w:color w:val="auto"/>
          <w:sz w:val="24"/>
          <w:szCs w:val="24"/>
        </w:rPr>
      </w:pPr>
      <w:bookmarkStart w:id="68" w:name="_Toc7037088"/>
      <w:r w:rsidRPr="00A62BD0">
        <w:rPr>
          <w:rFonts w:ascii="Palatino Linotype" w:hAnsi="Palatino Linotype"/>
          <w:b/>
          <w:color w:val="auto"/>
          <w:sz w:val="24"/>
          <w:szCs w:val="24"/>
        </w:rPr>
        <w:t xml:space="preserve">CUARTO. </w:t>
      </w:r>
      <w:r w:rsidR="004619F8" w:rsidRPr="00A62BD0">
        <w:rPr>
          <w:rFonts w:ascii="Palatino Linotype" w:hAnsi="Palatino Linotype"/>
          <w:b/>
          <w:color w:val="auto"/>
          <w:sz w:val="24"/>
          <w:szCs w:val="24"/>
        </w:rPr>
        <w:t xml:space="preserve"> Del Estudio y resolución del asunto.</w:t>
      </w:r>
      <w:bookmarkEnd w:id="68"/>
      <w:r w:rsidR="004619F8" w:rsidRPr="00A62BD0">
        <w:rPr>
          <w:rFonts w:ascii="Palatino Linotype" w:hAnsi="Palatino Linotype"/>
          <w:b/>
          <w:color w:val="auto"/>
          <w:sz w:val="24"/>
          <w:szCs w:val="24"/>
        </w:rPr>
        <w:t xml:space="preserve"> </w:t>
      </w:r>
    </w:p>
    <w:p w14:paraId="5A055593" w14:textId="77777777" w:rsidR="009E4C84" w:rsidRPr="00A62BD0" w:rsidRDefault="009E4C84" w:rsidP="00A62BD0">
      <w:pPr>
        <w:spacing w:line="360" w:lineRule="auto"/>
        <w:rPr>
          <w:rFonts w:ascii="Palatino Linotype" w:hAnsi="Palatino Linotype"/>
          <w:b/>
          <w:color w:val="000000" w:themeColor="text1"/>
        </w:rPr>
      </w:pPr>
    </w:p>
    <w:p w14:paraId="41C5C957" w14:textId="77777777" w:rsidR="009E4C84" w:rsidRPr="00A62BD0" w:rsidRDefault="009E4C84" w:rsidP="00A62BD0">
      <w:pPr>
        <w:keepNext/>
        <w:keepLines/>
        <w:spacing w:line="360" w:lineRule="auto"/>
        <w:outlineLvl w:val="2"/>
        <w:rPr>
          <w:rFonts w:ascii="Palatino Linotype" w:eastAsiaTheme="majorEastAsia" w:hAnsi="Palatino Linotype" w:cstheme="majorBidi"/>
          <w:b/>
          <w:lang w:val="es-MX" w:eastAsia="en-US"/>
        </w:rPr>
      </w:pPr>
      <w:bookmarkStart w:id="69" w:name="_Toc528234040"/>
      <w:bookmarkStart w:id="70" w:name="_Toc7037089"/>
      <w:r w:rsidRPr="00A62BD0">
        <w:rPr>
          <w:rFonts w:ascii="Palatino Linotype" w:eastAsiaTheme="majorEastAsia" w:hAnsi="Palatino Linotype" w:cstheme="majorBidi"/>
          <w:b/>
          <w:lang w:val="es-MX" w:eastAsia="en-US"/>
        </w:rPr>
        <w:t>I. Del deber del SUJETO OBLIGADO de promover, respetar, proteger y garantizar el derecho de acceso a la información pública.</w:t>
      </w:r>
      <w:bookmarkEnd w:id="69"/>
      <w:bookmarkEnd w:id="70"/>
    </w:p>
    <w:p w14:paraId="247AB021" w14:textId="77777777" w:rsidR="00E327D7" w:rsidRPr="00A62BD0" w:rsidRDefault="00E327D7" w:rsidP="00A62BD0">
      <w:pPr>
        <w:spacing w:line="360" w:lineRule="auto"/>
        <w:rPr>
          <w:rFonts w:ascii="Palatino Linotype" w:hAnsi="Palatino Linotype"/>
          <w:lang w:val="es-MX" w:eastAsia="en-US"/>
        </w:rPr>
      </w:pPr>
    </w:p>
    <w:p w14:paraId="0A1C5165" w14:textId="77777777" w:rsidR="00E327D7" w:rsidRPr="00A62BD0" w:rsidRDefault="00E327D7" w:rsidP="00A62BD0">
      <w:pPr>
        <w:pStyle w:val="Prrafodelista"/>
        <w:numPr>
          <w:ilvl w:val="0"/>
          <w:numId w:val="1"/>
        </w:numPr>
        <w:spacing w:line="360" w:lineRule="auto"/>
        <w:ind w:left="0" w:firstLine="0"/>
        <w:jc w:val="both"/>
        <w:rPr>
          <w:rFonts w:ascii="Palatino Linotype" w:hAnsi="Palatino Linotype" w:cs="Arial"/>
          <w:lang w:val="es-MX"/>
        </w:rPr>
      </w:pPr>
      <w:r w:rsidRPr="00A62BD0">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62BD0">
        <w:rPr>
          <w:rFonts w:ascii="Palatino Linotype" w:hAnsi="Palatino Linotype" w:cs="Arial"/>
          <w:b/>
          <w:lang w:val="es-MX"/>
        </w:rPr>
        <w:t>SUJETO OBLIGADO</w:t>
      </w:r>
      <w:r w:rsidRPr="00A62BD0">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62BD0">
        <w:rPr>
          <w:rFonts w:ascii="Palatino Linotype" w:hAnsi="Palatino Linotype" w:cs="Arial"/>
          <w:b/>
          <w:lang w:val="es-MX"/>
        </w:rPr>
        <w:t xml:space="preserve">Constitución Política de los Estados Unidos Mexicanos </w:t>
      </w:r>
      <w:r w:rsidRPr="00A62BD0">
        <w:rPr>
          <w:rFonts w:ascii="Palatino Linotype" w:hAnsi="Palatino Linotype" w:cs="Arial"/>
          <w:lang w:val="es-MX"/>
        </w:rPr>
        <w:t xml:space="preserve">al señalar la obligación de “promover, respetar, proteger y garantizar los derechos humanos”, entre los cuales se encuentra dicho derecho. </w:t>
      </w:r>
    </w:p>
    <w:p w14:paraId="7B6B5200" w14:textId="77777777" w:rsidR="00E327D7" w:rsidRPr="00A62BD0" w:rsidRDefault="00E327D7" w:rsidP="00A62BD0">
      <w:pPr>
        <w:pStyle w:val="Prrafodelista"/>
        <w:spacing w:line="360" w:lineRule="auto"/>
        <w:ind w:left="927"/>
        <w:jc w:val="both"/>
        <w:rPr>
          <w:rFonts w:ascii="Palatino Linotype" w:hAnsi="Palatino Linotype" w:cs="Arial"/>
          <w:lang w:val="es-MX"/>
        </w:rPr>
      </w:pPr>
    </w:p>
    <w:p w14:paraId="5F35C0AF" w14:textId="77777777" w:rsidR="00E327D7" w:rsidRPr="00A62BD0" w:rsidRDefault="00E327D7" w:rsidP="00A62BD0">
      <w:pPr>
        <w:pStyle w:val="Prrafodelista"/>
        <w:numPr>
          <w:ilvl w:val="0"/>
          <w:numId w:val="1"/>
        </w:numPr>
        <w:spacing w:line="360" w:lineRule="auto"/>
        <w:ind w:left="0" w:firstLine="0"/>
        <w:jc w:val="both"/>
        <w:rPr>
          <w:rFonts w:ascii="Palatino Linotype" w:hAnsi="Palatino Linotype" w:cs="Arial"/>
          <w:lang w:val="es-MX"/>
        </w:rPr>
      </w:pPr>
      <w:r w:rsidRPr="00A62BD0">
        <w:rPr>
          <w:rFonts w:ascii="Palatino Linotype" w:hAnsi="Palatino Linotype" w:cs="Arial"/>
          <w:lang w:val="es-MX"/>
        </w:rPr>
        <w:lastRenderedPageBreak/>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C2DEEFD" w14:textId="77777777" w:rsidR="00E327D7" w:rsidRPr="00A62BD0" w:rsidRDefault="00E327D7" w:rsidP="00A62BD0">
      <w:pPr>
        <w:pStyle w:val="Prrafodelista"/>
        <w:spacing w:line="360" w:lineRule="auto"/>
        <w:ind w:left="927"/>
        <w:jc w:val="both"/>
        <w:rPr>
          <w:rFonts w:ascii="Palatino Linotype" w:hAnsi="Palatino Linotype" w:cs="Arial"/>
          <w:lang w:val="es-MX"/>
        </w:rPr>
      </w:pPr>
    </w:p>
    <w:p w14:paraId="79362B96" w14:textId="77777777" w:rsidR="00E327D7" w:rsidRPr="00A62BD0" w:rsidRDefault="00E327D7" w:rsidP="00A62BD0">
      <w:pPr>
        <w:pStyle w:val="Prrafodelista"/>
        <w:numPr>
          <w:ilvl w:val="0"/>
          <w:numId w:val="1"/>
        </w:numPr>
        <w:spacing w:line="360" w:lineRule="auto"/>
        <w:ind w:left="0" w:firstLine="0"/>
        <w:jc w:val="both"/>
        <w:rPr>
          <w:rFonts w:ascii="Palatino Linotype" w:hAnsi="Palatino Linotype" w:cs="Arial"/>
          <w:lang w:val="es-MX"/>
        </w:rPr>
      </w:pPr>
      <w:r w:rsidRPr="00A62BD0">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E3304DE" w14:textId="77777777" w:rsidR="00E327D7" w:rsidRPr="00A62BD0" w:rsidRDefault="00E327D7" w:rsidP="00A62BD0">
      <w:pPr>
        <w:pStyle w:val="Prrafodelista"/>
        <w:spacing w:line="360" w:lineRule="auto"/>
        <w:ind w:left="927"/>
        <w:jc w:val="both"/>
        <w:rPr>
          <w:rFonts w:ascii="Palatino Linotype" w:hAnsi="Palatino Linotype" w:cs="Arial"/>
          <w:lang w:val="es-MX"/>
        </w:rPr>
      </w:pPr>
    </w:p>
    <w:p w14:paraId="764E775C" w14:textId="3070E8E2" w:rsidR="00E327D7" w:rsidRPr="00A62BD0" w:rsidRDefault="00E327D7" w:rsidP="00A62BD0">
      <w:pPr>
        <w:pStyle w:val="Prrafodelista"/>
        <w:numPr>
          <w:ilvl w:val="0"/>
          <w:numId w:val="1"/>
        </w:numPr>
        <w:spacing w:line="360" w:lineRule="auto"/>
        <w:ind w:left="0" w:firstLine="0"/>
        <w:jc w:val="both"/>
        <w:rPr>
          <w:rFonts w:ascii="Palatino Linotype" w:hAnsi="Palatino Linotype" w:cs="Arial"/>
          <w:lang w:val="es-MX"/>
        </w:rPr>
      </w:pPr>
      <w:r w:rsidRPr="00A62BD0">
        <w:rPr>
          <w:rFonts w:ascii="Palatino Linotype" w:hAnsi="Palatino Linotype" w:cs="Arial"/>
          <w:lang w:val="es-MX"/>
        </w:rPr>
        <w:t>En el caso concreto que nos ocupa analizar, el particular requirió del Ayuntamiento de Atizapán de Ecatepe</w:t>
      </w:r>
      <w:r w:rsidR="003A6D8C" w:rsidRPr="00A62BD0">
        <w:rPr>
          <w:rFonts w:ascii="Palatino Linotype" w:hAnsi="Palatino Linotype" w:cs="Arial"/>
          <w:lang w:val="es-MX"/>
        </w:rPr>
        <w:t xml:space="preserve">c de Morelos los documentos relacionados </w:t>
      </w:r>
      <w:r w:rsidR="003A6D8C" w:rsidRPr="00A62BD0">
        <w:rPr>
          <w:rFonts w:ascii="Palatino Linotype" w:hAnsi="Palatino Linotype" w:cs="Arial"/>
          <w:lang w:val="es-MX"/>
        </w:rPr>
        <w:lastRenderedPageBreak/>
        <w:t xml:space="preserve">con los indicios documentales que anexó en su solicitud ,así el </w:t>
      </w:r>
      <w:r w:rsidR="003A6D8C" w:rsidRPr="00A62BD0">
        <w:rPr>
          <w:rFonts w:ascii="Palatino Linotype" w:hAnsi="Palatino Linotype" w:cs="Arial"/>
          <w:b/>
          <w:lang w:val="es-MX"/>
        </w:rPr>
        <w:t xml:space="preserve">SUJETO OBLIGADO </w:t>
      </w:r>
      <w:r w:rsidR="003A6D8C" w:rsidRPr="00A62BD0">
        <w:rPr>
          <w:rFonts w:ascii="Palatino Linotype" w:hAnsi="Palatino Linotype" w:cs="Arial"/>
          <w:lang w:val="es-MX"/>
        </w:rPr>
        <w:t xml:space="preserve"> como se puntualizará más adelante asumió contar con la información solicitada y pretendió clasificarla, sin embargo, </w:t>
      </w:r>
      <w:r w:rsidRPr="00A62BD0">
        <w:rPr>
          <w:rFonts w:ascii="Palatino Linotype" w:hAnsi="Palatino Linotype" w:cs="Arial"/>
          <w:lang w:val="es-MX"/>
        </w:rPr>
        <w:t xml:space="preserve"> no</w:t>
      </w:r>
      <w:r w:rsidR="003A6D8C" w:rsidRPr="00A62BD0">
        <w:rPr>
          <w:rFonts w:ascii="Palatino Linotype" w:hAnsi="Palatino Linotype" w:cs="Arial"/>
          <w:lang w:val="es-MX"/>
        </w:rPr>
        <w:t xml:space="preserve"> cumple con las consideraciones que establece la ley para clasificar la información</w:t>
      </w:r>
      <w:r w:rsidRPr="00A62BD0">
        <w:rPr>
          <w:rFonts w:ascii="Palatino Linotype" w:hAnsi="Palatino Linotype" w:cs="Arial"/>
          <w:lang w:val="es-MX"/>
        </w:rPr>
        <w:t xml:space="preserve">, lo que constituye una afectación indiscutible al derecho humano de acceso a la información pública y en este sentido, devienen </w:t>
      </w:r>
      <w:r w:rsidR="009737B6" w:rsidRPr="00A62BD0">
        <w:rPr>
          <w:rFonts w:ascii="Palatino Linotype" w:hAnsi="Palatino Linotype" w:cs="Arial"/>
          <w:lang w:val="es-MX"/>
        </w:rPr>
        <w:t xml:space="preserve">parcialmente </w:t>
      </w:r>
      <w:r w:rsidRPr="00A62BD0">
        <w:rPr>
          <w:rFonts w:ascii="Palatino Linotype" w:hAnsi="Palatino Linotype" w:cs="Arial"/>
          <w:lang w:val="es-MX"/>
        </w:rPr>
        <w:t xml:space="preserve">fundadas las razones o motivos de inconformidad hechos valer por el recurrente.  </w:t>
      </w:r>
    </w:p>
    <w:p w14:paraId="3B4605E6" w14:textId="77777777" w:rsidR="00E327D7" w:rsidRPr="00A62BD0" w:rsidRDefault="00E327D7" w:rsidP="00A62BD0">
      <w:pPr>
        <w:pStyle w:val="Prrafodelista"/>
        <w:spacing w:line="360" w:lineRule="auto"/>
        <w:ind w:left="927"/>
        <w:jc w:val="both"/>
        <w:rPr>
          <w:rFonts w:ascii="Palatino Linotype" w:hAnsi="Palatino Linotype" w:cs="Arial"/>
          <w:lang w:val="es-MX"/>
        </w:rPr>
      </w:pPr>
    </w:p>
    <w:p w14:paraId="107D3677" w14:textId="74653D0D" w:rsidR="00001E6B" w:rsidRPr="00A62BD0" w:rsidRDefault="00E327D7" w:rsidP="00A62BD0">
      <w:pPr>
        <w:pStyle w:val="Prrafodelista"/>
        <w:numPr>
          <w:ilvl w:val="0"/>
          <w:numId w:val="1"/>
        </w:numPr>
        <w:spacing w:line="360" w:lineRule="auto"/>
        <w:ind w:left="0" w:firstLine="0"/>
        <w:jc w:val="both"/>
        <w:rPr>
          <w:rFonts w:ascii="Palatino Linotype" w:hAnsi="Palatino Linotype" w:cs="Arial"/>
          <w:lang w:val="es-MX"/>
        </w:rPr>
      </w:pPr>
      <w:r w:rsidRPr="00A62BD0">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BF5548D" w14:textId="77777777" w:rsidR="009737B6" w:rsidRPr="00A62BD0" w:rsidRDefault="009737B6" w:rsidP="00A62BD0">
      <w:pPr>
        <w:pStyle w:val="Prrafodelista"/>
        <w:spacing w:line="360" w:lineRule="auto"/>
        <w:rPr>
          <w:rFonts w:ascii="Palatino Linotype" w:hAnsi="Palatino Linotype" w:cs="Arial"/>
          <w:lang w:val="es-MX"/>
        </w:rPr>
      </w:pPr>
    </w:p>
    <w:p w14:paraId="5115CA0E" w14:textId="6DC88C82" w:rsidR="009737B6" w:rsidRPr="00A62BD0" w:rsidRDefault="009737B6" w:rsidP="00A62BD0">
      <w:pPr>
        <w:pStyle w:val="Prrafodelista"/>
        <w:spacing w:line="360" w:lineRule="auto"/>
        <w:ind w:left="0"/>
        <w:jc w:val="both"/>
        <w:rPr>
          <w:rFonts w:ascii="Palatino Linotype" w:hAnsi="Palatino Linotype" w:cs="Arial"/>
          <w:b/>
          <w:lang w:val="es-MX"/>
        </w:rPr>
      </w:pPr>
      <w:r w:rsidRPr="00A62BD0">
        <w:rPr>
          <w:rFonts w:ascii="Palatino Linotype" w:hAnsi="Palatino Linotype" w:cs="Arial"/>
          <w:b/>
          <w:lang w:val="es-MX"/>
        </w:rPr>
        <w:t xml:space="preserve">II. Del Plus </w:t>
      </w:r>
      <w:proofErr w:type="spellStart"/>
      <w:r w:rsidRPr="00A62BD0">
        <w:rPr>
          <w:rFonts w:ascii="Palatino Linotype" w:hAnsi="Palatino Linotype" w:cs="Arial"/>
          <w:b/>
          <w:lang w:val="es-MX"/>
        </w:rPr>
        <w:t>Petitio</w:t>
      </w:r>
      <w:proofErr w:type="spellEnd"/>
      <w:r w:rsidRPr="00A62BD0">
        <w:rPr>
          <w:rFonts w:ascii="Palatino Linotype" w:hAnsi="Palatino Linotype" w:cs="Arial"/>
          <w:b/>
          <w:lang w:val="es-MX"/>
        </w:rPr>
        <w:t xml:space="preserve">. </w:t>
      </w:r>
    </w:p>
    <w:p w14:paraId="747A6372" w14:textId="77777777" w:rsidR="009737B6" w:rsidRPr="00A62BD0" w:rsidRDefault="009737B6" w:rsidP="00A62BD0">
      <w:pPr>
        <w:pStyle w:val="Prrafodelista"/>
        <w:spacing w:line="360" w:lineRule="auto"/>
        <w:ind w:left="0"/>
        <w:jc w:val="both"/>
        <w:rPr>
          <w:rFonts w:ascii="Palatino Linotype" w:hAnsi="Palatino Linotype" w:cs="Arial"/>
          <w:lang w:val="es-MX"/>
        </w:rPr>
      </w:pPr>
    </w:p>
    <w:p w14:paraId="1EEAB25C" w14:textId="0D4DA98A" w:rsidR="009737B6" w:rsidRPr="00A62BD0" w:rsidRDefault="009737B6" w:rsidP="00A62BD0">
      <w:pPr>
        <w:pStyle w:val="Prrafodelista"/>
        <w:numPr>
          <w:ilvl w:val="0"/>
          <w:numId w:val="1"/>
        </w:numPr>
        <w:spacing w:line="360" w:lineRule="auto"/>
        <w:ind w:left="0" w:firstLine="0"/>
        <w:jc w:val="both"/>
        <w:rPr>
          <w:rFonts w:ascii="Palatino Linotype" w:hAnsi="Palatino Linotype" w:cs="Arial"/>
          <w:lang w:val="es-MX"/>
        </w:rPr>
      </w:pPr>
      <w:r w:rsidRPr="00A62BD0">
        <w:rPr>
          <w:rFonts w:ascii="Palatino Linotype" w:hAnsi="Palatino Linotype" w:cs="Arial"/>
          <w:lang w:val="es-MX"/>
        </w:rPr>
        <w:lastRenderedPageBreak/>
        <w:t xml:space="preserve">Es necesario establecer que del estudio a los motivos de inconformidad aducidos por el particular donde expresa, </w:t>
      </w:r>
      <w:r w:rsidRPr="00A62BD0">
        <w:rPr>
          <w:rFonts w:ascii="Palatino Linotype" w:hAnsi="Palatino Linotype" w:cs="Arial"/>
          <w:i/>
          <w:lang w:val="es-MX"/>
        </w:rPr>
        <w:t>“…</w:t>
      </w:r>
      <w:r w:rsidRPr="00A62BD0">
        <w:rPr>
          <w:rFonts w:ascii="Palatino Linotype" w:hAnsi="Palatino Linotype" w:cs="Arial"/>
          <w:i/>
        </w:rPr>
        <w:t>En la solicitud de información 489/ECATEPEC/IP/2018 indicaron que el sujeto responsable no cuenta con grúas o corralones y en la presente se solicitó un documento público expedido por el titular de las grúas y/o corralones por lo que solicito que las presentes manifestaciones sean valoradas en ambos asuntos para demostrar la incongruencia de ambas respuestas tomando en cuenta que el sistema SAIMEX no permite agregar más manifestaciones al recurso interpuesto contra la respuesta 489/ECATEPEC/IP/2018.”</w:t>
      </w:r>
      <w:r w:rsidRPr="00A62BD0">
        <w:rPr>
          <w:rFonts w:ascii="Palatino Linotype" w:hAnsi="Palatino Linotype"/>
          <w:color w:val="000000"/>
        </w:rPr>
        <w:t xml:space="preserve">información que de acuerdo a las solicitudes que obran en el expediente electrónico del Sistema de Acceso a la Información Mexiquense (SAIMEX) no fue requerida en un primer momento y </w:t>
      </w:r>
      <w:r w:rsidRPr="00A62BD0">
        <w:rPr>
          <w:rFonts w:ascii="Palatino Linotype" w:eastAsia="Times New Roman" w:hAnsi="Palatino Linotype" w:cs="Arial"/>
          <w:color w:val="000000" w:themeColor="text1"/>
          <w:lang w:val="es-ES"/>
        </w:rPr>
        <w:t xml:space="preserve">lo anterior se entiende como un </w:t>
      </w:r>
      <w:r w:rsidRPr="00A62BD0">
        <w:rPr>
          <w:rFonts w:ascii="Palatino Linotype" w:eastAsia="Times New Roman" w:hAnsi="Palatino Linotype" w:cs="Arial"/>
          <w:b/>
          <w:bCs/>
          <w:i/>
          <w:iCs/>
          <w:color w:val="000000" w:themeColor="text1"/>
          <w:lang w:val="es-ES"/>
        </w:rPr>
        <w:t xml:space="preserve">Plus </w:t>
      </w:r>
      <w:proofErr w:type="spellStart"/>
      <w:r w:rsidRPr="00A62BD0">
        <w:rPr>
          <w:rFonts w:ascii="Palatino Linotype" w:eastAsia="Times New Roman" w:hAnsi="Palatino Linotype" w:cs="Arial"/>
          <w:b/>
          <w:bCs/>
          <w:i/>
          <w:iCs/>
          <w:color w:val="000000" w:themeColor="text1"/>
          <w:lang w:val="es-ES"/>
        </w:rPr>
        <w:t>Petitio</w:t>
      </w:r>
      <w:proofErr w:type="spellEnd"/>
      <w:r w:rsidRPr="00A62BD0">
        <w:rPr>
          <w:rFonts w:ascii="Palatino Linotype" w:eastAsia="Times New Roman" w:hAnsi="Palatino Linotype" w:cs="Arial"/>
          <w:b/>
          <w:bCs/>
          <w:i/>
          <w:iCs/>
          <w:color w:val="000000" w:themeColor="text1"/>
          <w:lang w:val="es-ES"/>
        </w:rPr>
        <w:t xml:space="preserve"> </w:t>
      </w:r>
      <w:r w:rsidRPr="00A62BD0">
        <w:rPr>
          <w:rFonts w:ascii="Palatino Linotype" w:eastAsia="Times New Roman" w:hAnsi="Palatino Linotype" w:cs="Arial"/>
          <w:color w:val="000000" w:themeColor="text1"/>
          <w:lang w:val="es-ES"/>
        </w:rPr>
        <w:t>a su petición inicial que no puede abordarse</w:t>
      </w:r>
      <w:r w:rsidRPr="00A62BD0">
        <w:rPr>
          <w:rFonts w:ascii="Palatino Linotype" w:eastAsia="Times New Roman" w:hAnsi="Palatino Linotype" w:cs="Arial"/>
          <w:i/>
          <w:iCs/>
          <w:color w:val="000000" w:themeColor="text1"/>
          <w:lang w:val="es-ES"/>
        </w:rPr>
        <w:t xml:space="preserve">, </w:t>
      </w:r>
      <w:r w:rsidRPr="00A62BD0">
        <w:rPr>
          <w:rFonts w:ascii="Palatino Linotype" w:eastAsia="Times New Roman" w:hAnsi="Palatino Linotype" w:cs="Arial"/>
          <w:iCs/>
          <w:color w:val="000000" w:themeColor="text1"/>
          <w:lang w:val="es-ES"/>
        </w:rPr>
        <w:t>razón por la cual devienen parcialmente fundadas las razones o motivos de inconformidad aducidos.</w:t>
      </w:r>
    </w:p>
    <w:p w14:paraId="3CAF4E2D" w14:textId="77777777" w:rsidR="009737B6" w:rsidRPr="00A62BD0" w:rsidRDefault="009737B6" w:rsidP="00A62BD0">
      <w:pPr>
        <w:pStyle w:val="Prrafodelista"/>
        <w:spacing w:line="360" w:lineRule="auto"/>
        <w:ind w:left="0"/>
        <w:jc w:val="both"/>
        <w:rPr>
          <w:rFonts w:ascii="Palatino Linotype" w:hAnsi="Palatino Linotype" w:cs="Arial"/>
          <w:lang w:val="es-MX"/>
        </w:rPr>
      </w:pPr>
    </w:p>
    <w:p w14:paraId="2E626683" w14:textId="2CC92C25" w:rsidR="009737B6" w:rsidRPr="00A62BD0" w:rsidRDefault="009737B6" w:rsidP="00A62BD0">
      <w:pPr>
        <w:pStyle w:val="Prrafodelista"/>
        <w:numPr>
          <w:ilvl w:val="0"/>
          <w:numId w:val="1"/>
        </w:numPr>
        <w:spacing w:line="360" w:lineRule="auto"/>
        <w:ind w:left="0" w:firstLine="0"/>
        <w:jc w:val="both"/>
        <w:rPr>
          <w:rFonts w:ascii="Palatino Linotype" w:hAnsi="Palatino Linotype" w:cs="Arial"/>
          <w:lang w:val="es-MX"/>
        </w:rPr>
      </w:pPr>
      <w:r w:rsidRPr="00A62BD0">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10036996" w14:textId="77777777" w:rsidR="009737B6" w:rsidRPr="00A62BD0" w:rsidRDefault="009737B6" w:rsidP="00A62BD0">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14:paraId="6DF66998" w14:textId="77777777" w:rsidR="009737B6" w:rsidRPr="00A62BD0" w:rsidRDefault="009737B6" w:rsidP="00A62BD0">
      <w:pPr>
        <w:shd w:val="clear" w:color="auto" w:fill="FFFFFF"/>
        <w:spacing w:line="360" w:lineRule="auto"/>
        <w:ind w:left="567" w:right="616"/>
        <w:jc w:val="both"/>
        <w:rPr>
          <w:rFonts w:ascii="Palatino Linotype" w:eastAsia="Times New Roman" w:hAnsi="Palatino Linotype" w:cs="Arial"/>
          <w:color w:val="000000" w:themeColor="text1"/>
          <w:lang w:val="es-ES"/>
        </w:rPr>
      </w:pPr>
      <w:r w:rsidRPr="00A62BD0">
        <w:rPr>
          <w:rFonts w:ascii="Palatino Linotype" w:eastAsia="Times New Roman" w:hAnsi="Palatino Linotype" w:cs="Arial"/>
          <w:b/>
          <w:bCs/>
          <w:i/>
          <w:iCs/>
          <w:color w:val="000000" w:themeColor="text1"/>
          <w:lang w:val="es-ES"/>
        </w:rPr>
        <w:t xml:space="preserve">TRANSPARENCIA Y ACCESO A LA INFORMACIÓN PÚBLICA GUBERNAMENTAL. LOS ARTÍCULOS 1, 2 Y 6 DE LA LEY FEDERAL RELATIVA, NO DEBEN INTERPRETARSE EN EL SENTIDO DE </w:t>
      </w:r>
      <w:r w:rsidRPr="00A62BD0">
        <w:rPr>
          <w:rFonts w:ascii="Palatino Linotype" w:eastAsia="Times New Roman" w:hAnsi="Palatino Linotype" w:cs="Arial"/>
          <w:b/>
          <w:bCs/>
          <w:i/>
          <w:iCs/>
          <w:color w:val="000000" w:themeColor="text1"/>
          <w:lang w:val="es-ES"/>
        </w:rPr>
        <w:lastRenderedPageBreak/>
        <w:t>PERMITIR AL GOBERNADO QUE A SU ARBITRIO SOLICITE COPIA DE DOCUMENTOS QUE NO OBREN EN LOS EXPEDIENTES DE LOS SUJETOS OBLIGADOS, O SEAN DISTINTOS A LOS DE SU PETICIÓN INICIAL.</w:t>
      </w:r>
    </w:p>
    <w:p w14:paraId="213DDEB6" w14:textId="77777777" w:rsidR="009737B6" w:rsidRPr="00A62BD0" w:rsidRDefault="009737B6" w:rsidP="00A62BD0">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r w:rsidRPr="00A62BD0">
        <w:rPr>
          <w:rFonts w:ascii="Palatino Linotype" w:eastAsia="Times New Roman" w:hAnsi="Palatino Linotype" w:cs="Arial"/>
          <w:i/>
          <w:iCs/>
          <w:color w:val="000000" w:themeColor="text1"/>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5D95B492" w14:textId="77777777" w:rsidR="009737B6" w:rsidRPr="00A62BD0" w:rsidRDefault="009737B6" w:rsidP="00A62BD0">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p>
    <w:p w14:paraId="533D37AE" w14:textId="57EACC42" w:rsidR="009737B6" w:rsidRPr="00A62BD0" w:rsidRDefault="009737B6" w:rsidP="00A62BD0">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val="es-ES"/>
        </w:rPr>
      </w:pPr>
      <w:r w:rsidRPr="00A62BD0">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A62BD0">
        <w:rPr>
          <w:rFonts w:ascii="Palatino Linotype" w:eastAsia="Times New Roman" w:hAnsi="Palatino Linotype" w:cs="Arial"/>
          <w:bCs/>
          <w:color w:val="000000" w:themeColor="text1"/>
          <w:u w:val="single"/>
          <w:lang w:val="es-ES"/>
        </w:rPr>
        <w:t>resulta improcedente ampliar las solicitudes de información pública</w:t>
      </w:r>
      <w:r w:rsidRPr="00A62BD0">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A62BD0">
        <w:rPr>
          <w:rFonts w:ascii="Palatino Linotype" w:eastAsia="Times New Roman" w:hAnsi="Palatino Linotype" w:cs="Arial"/>
          <w:color w:val="000000" w:themeColor="text1"/>
          <w:lang w:val="es-ES"/>
        </w:rPr>
        <w:t xml:space="preserve">, como se estima acontece en el presente asunto, al aumentar datos a la solicitud inicial, </w:t>
      </w:r>
      <w:r w:rsidRPr="00A62BD0">
        <w:rPr>
          <w:rFonts w:ascii="Palatino Linotype" w:eastAsia="Times New Roman" w:hAnsi="Palatino Linotype" w:cs="Arial"/>
          <w:b/>
          <w:bCs/>
          <w:color w:val="000000" w:themeColor="text1"/>
          <w:lang w:val="es-ES"/>
        </w:rPr>
        <w:t>por lo que se insiste no se puede entrar al estudio de la información novedosa</w:t>
      </w:r>
      <w:r w:rsidRPr="00A62BD0">
        <w:rPr>
          <w:rFonts w:ascii="Palatino Linotype" w:eastAsia="Times New Roman" w:hAnsi="Palatino Linotype" w:cs="Arial"/>
          <w:color w:val="000000" w:themeColor="text1"/>
          <w:lang w:val="es-ES"/>
        </w:rPr>
        <w:t>, criterio que es de la literalidad siguiente:</w:t>
      </w:r>
    </w:p>
    <w:p w14:paraId="6E8DE49A" w14:textId="77777777" w:rsidR="009737B6" w:rsidRPr="00A62BD0" w:rsidRDefault="009737B6" w:rsidP="00A62BD0">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14:paraId="5487D258" w14:textId="77777777" w:rsidR="009737B6" w:rsidRPr="00A62BD0" w:rsidRDefault="009737B6" w:rsidP="00A62BD0">
      <w:pPr>
        <w:pStyle w:val="Prrafodelista"/>
        <w:shd w:val="clear" w:color="auto" w:fill="FFFFFF"/>
        <w:spacing w:line="360" w:lineRule="auto"/>
        <w:ind w:right="616"/>
        <w:jc w:val="both"/>
        <w:rPr>
          <w:rFonts w:ascii="Palatino Linotype" w:eastAsia="Times New Roman" w:hAnsi="Palatino Linotype" w:cs="Arial"/>
          <w:color w:val="000000" w:themeColor="text1"/>
          <w:lang w:val="es-ES"/>
        </w:rPr>
      </w:pPr>
      <w:r w:rsidRPr="00A62BD0">
        <w:rPr>
          <w:rFonts w:ascii="Palatino Linotype" w:eastAsia="Times New Roman" w:hAnsi="Palatino Linotype" w:cs="Arial"/>
          <w:b/>
          <w:bCs/>
          <w:i/>
          <w:iCs/>
          <w:color w:val="000000" w:themeColor="text1"/>
          <w:lang w:val="es-ES"/>
        </w:rPr>
        <w:t>Es improcedente ampliar las solicitudes de acceso a información pública o datos personales, a través de la interposición del recurso de revisión.</w:t>
      </w:r>
      <w:r w:rsidRPr="00A62BD0">
        <w:rPr>
          <w:rFonts w:ascii="Palatino Linotype" w:eastAsia="Times New Roman" w:hAnsi="Palatino Linotype" w:cs="Arial"/>
          <w:i/>
          <w:iCs/>
          <w:color w:val="000000" w:themeColor="text1"/>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B7DC6DE" w14:textId="77F29EA7" w:rsidR="009737B6" w:rsidRPr="00A62BD0" w:rsidRDefault="009737B6" w:rsidP="00A62BD0">
      <w:pPr>
        <w:pStyle w:val="Prrafodelista"/>
        <w:shd w:val="clear" w:color="auto" w:fill="FFFFFF"/>
        <w:spacing w:line="360" w:lineRule="auto"/>
        <w:ind w:right="616"/>
        <w:jc w:val="both"/>
        <w:rPr>
          <w:rFonts w:ascii="Palatino Linotype" w:eastAsia="Times New Roman" w:hAnsi="Palatino Linotype" w:cs="Arial"/>
          <w:i/>
          <w:iCs/>
          <w:color w:val="000000" w:themeColor="text1"/>
          <w:lang w:val="es-ES"/>
        </w:rPr>
      </w:pPr>
      <w:r w:rsidRPr="00A62BD0">
        <w:rPr>
          <w:rFonts w:ascii="Palatino Linotype" w:eastAsia="Times New Roman" w:hAnsi="Palatino Linotype" w:cs="Arial"/>
          <w:i/>
          <w:iCs/>
          <w:color w:val="000000" w:themeColor="text1"/>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A62BD0">
        <w:rPr>
          <w:rFonts w:ascii="Palatino Linotype" w:eastAsia="Times New Roman" w:hAnsi="Palatino Linotype" w:cs="Arial"/>
          <w:i/>
          <w:iCs/>
          <w:color w:val="000000" w:themeColor="text1"/>
          <w:lang w:val="es-ES"/>
        </w:rPr>
        <w:t>Marván</w:t>
      </w:r>
      <w:proofErr w:type="spellEnd"/>
      <w:r w:rsidRPr="00A62BD0">
        <w:rPr>
          <w:rFonts w:ascii="Palatino Linotype" w:eastAsia="Times New Roman" w:hAnsi="Palatino Linotype" w:cs="Arial"/>
          <w:i/>
          <w:iCs/>
          <w:color w:val="000000" w:themeColor="text1"/>
          <w:lang w:val="es-ES"/>
        </w:rPr>
        <w:t xml:space="preserve"> Laborde1523 1006/10 Instituto Mexicano del Seguro Social – Sigrid </w:t>
      </w:r>
      <w:proofErr w:type="spellStart"/>
      <w:r w:rsidRPr="00A62BD0">
        <w:rPr>
          <w:rFonts w:ascii="Palatino Linotype" w:eastAsia="Times New Roman" w:hAnsi="Palatino Linotype" w:cs="Arial"/>
          <w:i/>
          <w:iCs/>
          <w:color w:val="000000" w:themeColor="text1"/>
          <w:lang w:val="es-ES"/>
        </w:rPr>
        <w:t>Arzt</w:t>
      </w:r>
      <w:proofErr w:type="spellEnd"/>
      <w:r w:rsidRPr="00A62BD0">
        <w:rPr>
          <w:rFonts w:ascii="Palatino Linotype" w:eastAsia="Times New Roman" w:hAnsi="Palatino Linotype" w:cs="Arial"/>
          <w:i/>
          <w:iCs/>
          <w:color w:val="000000" w:themeColor="text1"/>
          <w:lang w:val="es-ES"/>
        </w:rPr>
        <w:t xml:space="preserve"> Colunga 1378/10 Instituto de </w:t>
      </w:r>
      <w:r w:rsidRPr="00A62BD0">
        <w:rPr>
          <w:rFonts w:ascii="Palatino Linotype" w:eastAsia="Times New Roman" w:hAnsi="Palatino Linotype" w:cs="Arial"/>
          <w:i/>
          <w:iCs/>
          <w:color w:val="000000" w:themeColor="text1"/>
          <w:lang w:val="es-ES"/>
        </w:rPr>
        <w:lastRenderedPageBreak/>
        <w:t>Seguridad y Servicios Sociales de los Trabajadores del Estado – María Elena Pérez-Jaén Zermeño.</w:t>
      </w:r>
    </w:p>
    <w:p w14:paraId="2E9F30E6" w14:textId="77777777" w:rsidR="00001E6B" w:rsidRPr="00A62BD0" w:rsidRDefault="00001E6B" w:rsidP="00A62BD0">
      <w:pPr>
        <w:pStyle w:val="Prrafodelista"/>
        <w:spacing w:line="360" w:lineRule="auto"/>
        <w:rPr>
          <w:rFonts w:ascii="Palatino Linotype" w:hAnsi="Palatino Linotype" w:cs="Arial"/>
          <w:lang w:val="es-MX"/>
        </w:rPr>
      </w:pPr>
    </w:p>
    <w:p w14:paraId="71F80256" w14:textId="31BD751D" w:rsidR="00001E6B" w:rsidRDefault="00001E6B" w:rsidP="00A62BD0">
      <w:pPr>
        <w:pStyle w:val="Ttulo2"/>
        <w:spacing w:before="0" w:line="360" w:lineRule="auto"/>
        <w:rPr>
          <w:rFonts w:ascii="Palatino Linotype" w:hAnsi="Palatino Linotype"/>
          <w:b/>
          <w:color w:val="000000" w:themeColor="text1"/>
          <w:sz w:val="24"/>
          <w:szCs w:val="24"/>
        </w:rPr>
      </w:pPr>
      <w:bookmarkStart w:id="71" w:name="_Toc526361508"/>
      <w:bookmarkStart w:id="72" w:name="_Toc7037090"/>
      <w:r w:rsidRPr="00A62BD0">
        <w:rPr>
          <w:rFonts w:ascii="Palatino Linotype" w:hAnsi="Palatino Linotype"/>
          <w:b/>
          <w:color w:val="000000" w:themeColor="text1"/>
          <w:sz w:val="24"/>
          <w:szCs w:val="24"/>
        </w:rPr>
        <w:t>II</w:t>
      </w:r>
      <w:r w:rsidR="009737B6" w:rsidRPr="00A62BD0">
        <w:rPr>
          <w:rFonts w:ascii="Palatino Linotype" w:hAnsi="Palatino Linotype"/>
          <w:b/>
          <w:color w:val="000000" w:themeColor="text1"/>
          <w:sz w:val="24"/>
          <w:szCs w:val="24"/>
        </w:rPr>
        <w:t>I</w:t>
      </w:r>
      <w:r w:rsidRPr="00A62BD0">
        <w:rPr>
          <w:rFonts w:ascii="Palatino Linotype" w:hAnsi="Palatino Linotype"/>
          <w:b/>
          <w:color w:val="000000" w:themeColor="text1"/>
          <w:sz w:val="24"/>
          <w:szCs w:val="24"/>
        </w:rPr>
        <w:t xml:space="preserve">.  </w:t>
      </w:r>
      <w:bookmarkEnd w:id="71"/>
      <w:r w:rsidRPr="00A62BD0">
        <w:rPr>
          <w:rFonts w:ascii="Palatino Linotype" w:hAnsi="Palatino Linotype"/>
          <w:b/>
          <w:color w:val="000000" w:themeColor="text1"/>
          <w:sz w:val="24"/>
          <w:szCs w:val="24"/>
        </w:rPr>
        <w:t>De la información solicitada.</w:t>
      </w:r>
      <w:bookmarkEnd w:id="72"/>
      <w:r w:rsidRPr="00A62BD0">
        <w:rPr>
          <w:rFonts w:ascii="Palatino Linotype" w:hAnsi="Palatino Linotype"/>
          <w:b/>
          <w:color w:val="000000" w:themeColor="text1"/>
          <w:sz w:val="24"/>
          <w:szCs w:val="24"/>
        </w:rPr>
        <w:t xml:space="preserve"> </w:t>
      </w:r>
    </w:p>
    <w:p w14:paraId="00D482E0" w14:textId="77777777" w:rsidR="00A62BD0" w:rsidRPr="00A62BD0" w:rsidRDefault="00A62BD0" w:rsidP="00A62BD0">
      <w:pPr>
        <w:spacing w:line="360" w:lineRule="auto"/>
        <w:rPr>
          <w:lang w:val="es-MX" w:eastAsia="en-US"/>
        </w:rPr>
      </w:pPr>
    </w:p>
    <w:p w14:paraId="527E8937" w14:textId="77777777" w:rsidR="00001E6B" w:rsidRPr="00A62BD0" w:rsidRDefault="00001E6B" w:rsidP="00A62BD0">
      <w:pPr>
        <w:pStyle w:val="Prrafodelista"/>
        <w:numPr>
          <w:ilvl w:val="0"/>
          <w:numId w:val="1"/>
        </w:numPr>
        <w:spacing w:line="360" w:lineRule="auto"/>
        <w:ind w:left="0" w:firstLine="0"/>
        <w:jc w:val="both"/>
        <w:rPr>
          <w:rFonts w:ascii="Palatino Linotype" w:hAnsi="Palatino Linotype" w:cs="Arial"/>
          <w:i/>
          <w:lang w:val="es-MX"/>
        </w:rPr>
      </w:pPr>
      <w:r w:rsidRPr="00A62BD0">
        <w:rPr>
          <w:rFonts w:ascii="Palatino Linotype" w:hAnsi="Palatino Linotype" w:cs="Arial"/>
          <w:lang w:val="es-MX"/>
        </w:rPr>
        <w:t>Derivado</w:t>
      </w:r>
      <w:r w:rsidRPr="00A62BD0">
        <w:rPr>
          <w:rFonts w:ascii="Palatino Linotype" w:hAnsi="Palatino Linotype" w:cs="Arial"/>
        </w:rPr>
        <w:t xml:space="preserve"> del Planteamiento de la </w:t>
      </w:r>
      <w:r w:rsidRPr="00A62BD0">
        <w:rPr>
          <w:rFonts w:ascii="Palatino Linotype" w:hAnsi="Palatino Linotype" w:cs="Arial"/>
          <w:i/>
        </w:rPr>
        <w:t>Litis</w:t>
      </w:r>
      <w:r w:rsidRPr="00A62BD0">
        <w:rPr>
          <w:rFonts w:ascii="Palatino Linotype" w:hAnsi="Palatino Linotype" w:cs="Arial"/>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A62BD0">
        <w:rPr>
          <w:rFonts w:ascii="Palatino Linotype" w:eastAsia="Calibri" w:hAnsi="Palatino Linotype" w:cs="Arial"/>
          <w:b/>
          <w:lang w:val="es-ES"/>
        </w:rPr>
        <w:t>Ley de Transparencia y Acceso a la Información Pública del Estado de México y Municipios</w:t>
      </w:r>
      <w:r w:rsidRPr="00A62BD0">
        <w:rPr>
          <w:rFonts w:ascii="Palatino Linotype" w:eastAsia="Times New Roman" w:hAnsi="Palatino Linotype" w:cs="Arial"/>
          <w:lang w:val="es-ES" w:eastAsia="es-MX"/>
        </w:rPr>
        <w:t>.</w:t>
      </w:r>
    </w:p>
    <w:p w14:paraId="73AD7D46" w14:textId="77777777" w:rsidR="00A62BD0" w:rsidRPr="00A62BD0" w:rsidRDefault="00A62BD0" w:rsidP="00A62BD0">
      <w:pPr>
        <w:pStyle w:val="Prrafodelista"/>
        <w:spacing w:line="360" w:lineRule="auto"/>
        <w:ind w:left="0"/>
        <w:jc w:val="both"/>
        <w:rPr>
          <w:rFonts w:ascii="Palatino Linotype" w:hAnsi="Palatino Linotype" w:cs="Arial"/>
          <w:i/>
          <w:lang w:val="es-MX"/>
        </w:rPr>
      </w:pPr>
    </w:p>
    <w:p w14:paraId="5B62D314" w14:textId="77777777" w:rsidR="00001E6B" w:rsidRDefault="00001E6B" w:rsidP="00A62BD0">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hAnsi="Palatino Linotype" w:cs="Times New Roman"/>
          <w:lang w:eastAsia="es-ES_tradnl"/>
        </w:rPr>
        <w:t xml:space="preserve">Consecuentemente la Ley de Transparencia y Acceso a la Información pública del Estado de México y Municipios, establece que como uno sus objetivos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1A9373F3" w14:textId="77777777" w:rsidR="00A62BD0" w:rsidRDefault="00A62BD0" w:rsidP="00A62BD0">
      <w:pPr>
        <w:pStyle w:val="Prrafodelista"/>
        <w:spacing w:line="360" w:lineRule="auto"/>
        <w:rPr>
          <w:rFonts w:ascii="Palatino Linotype" w:hAnsi="Palatino Linotype" w:cs="Times New Roman"/>
          <w:lang w:eastAsia="es-ES_tradnl"/>
        </w:rPr>
      </w:pPr>
    </w:p>
    <w:p w14:paraId="61ABE595" w14:textId="77777777" w:rsidR="00A62BD0" w:rsidRPr="00A62BD0" w:rsidRDefault="00A62BD0" w:rsidP="00A62BD0">
      <w:pPr>
        <w:widowControl w:val="0"/>
        <w:autoSpaceDE w:val="0"/>
        <w:autoSpaceDN w:val="0"/>
        <w:adjustRightInd w:val="0"/>
        <w:spacing w:line="360" w:lineRule="auto"/>
        <w:jc w:val="both"/>
        <w:rPr>
          <w:rFonts w:ascii="Palatino Linotype" w:hAnsi="Palatino Linotype" w:cs="Times New Roman"/>
          <w:lang w:eastAsia="es-ES_tradnl"/>
        </w:rPr>
      </w:pPr>
    </w:p>
    <w:p w14:paraId="794886C5" w14:textId="77777777" w:rsidR="00001E6B" w:rsidRDefault="00001E6B" w:rsidP="00A62BD0">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hAnsi="Palatino Linotype" w:cs="Times New Roman"/>
          <w:lang w:eastAsia="es-ES_tradnl"/>
        </w:rPr>
        <w:lastRenderedPageBreak/>
        <w:t xml:space="preserve">En ese tenor, es pertinente mencionar que el </w:t>
      </w:r>
      <w:r w:rsidRPr="00A62BD0">
        <w:rPr>
          <w:rFonts w:ascii="Palatino Linotype" w:hAnsi="Palatino Linotype" w:cs="Times New Roman"/>
          <w:b/>
          <w:lang w:eastAsia="es-ES_tradnl"/>
        </w:rPr>
        <w:t>SUJETO OBLIGADO</w:t>
      </w:r>
      <w:r w:rsidRPr="00A62BD0">
        <w:rPr>
          <w:rFonts w:ascii="Palatino Linotype" w:hAnsi="Palatino Linotype" w:cs="Times New Roman"/>
          <w:lang w:eastAsia="es-ES_tradnl"/>
        </w:rPr>
        <w:t xml:space="preserve"> no niega la existencia de la información solicitada, sino por el contrario, al emitir respuesta a la solicitud de acceso a la información y expedir la documentación que estimó conveniente para atender el requerimiento, asevera su existencia, por lo que el estudio de la naturaleza jurídica de la información solicitada, en el caso concreto, se obvia.</w:t>
      </w:r>
    </w:p>
    <w:p w14:paraId="25D3FD8E" w14:textId="77777777" w:rsidR="00A62BD0" w:rsidRPr="00A62BD0" w:rsidRDefault="00A62BD0" w:rsidP="00A62BD0">
      <w:pPr>
        <w:widowControl w:val="0"/>
        <w:autoSpaceDE w:val="0"/>
        <w:autoSpaceDN w:val="0"/>
        <w:adjustRightInd w:val="0"/>
        <w:spacing w:line="360" w:lineRule="auto"/>
        <w:jc w:val="both"/>
        <w:rPr>
          <w:rFonts w:ascii="Palatino Linotype" w:hAnsi="Palatino Linotype" w:cs="Times New Roman"/>
          <w:lang w:eastAsia="es-ES_tradnl"/>
        </w:rPr>
      </w:pPr>
    </w:p>
    <w:p w14:paraId="6E6731F8" w14:textId="77777777" w:rsidR="00001E6B" w:rsidRPr="00A62BD0" w:rsidRDefault="00001E6B" w:rsidP="00A62BD0">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hAnsi="Palatino Linotype" w:cs="Times New Roman"/>
          <w:lang w:eastAsia="es-ES_tradnl"/>
        </w:rPr>
        <w:t xml:space="preserve">Lo anterior es así, ya que el estudio enunciado tiene por objeto determinar si el </w:t>
      </w:r>
      <w:r w:rsidRPr="00A62BD0">
        <w:rPr>
          <w:rFonts w:ascii="Palatino Linotype" w:hAnsi="Palatino Linotype" w:cs="Times New Roman"/>
          <w:b/>
          <w:lang w:eastAsia="es-ES_tradnl"/>
        </w:rPr>
        <w:t>SUJETO OBLIGADO</w:t>
      </w:r>
      <w:r w:rsidRPr="00A62BD0">
        <w:rPr>
          <w:rFonts w:ascii="Palatino Linotype" w:hAnsi="Palatino Linotype" w:cs="Times New Roman"/>
          <w:lang w:eastAsia="es-ES_tradnl"/>
        </w:rPr>
        <w:t xml:space="preserve"> genera, posee o administra la información solicitada; sin embargo, en aquellos casos en que éste la asume, ello efectivamente está en su poder; por consiguiente, sería ocioso y a nada practico nos conduciría su estudio, ya que, se insiste, la información pública solicitada fue asumida por el </w:t>
      </w:r>
      <w:r w:rsidRPr="00A62BD0">
        <w:rPr>
          <w:rFonts w:ascii="Palatino Linotype" w:hAnsi="Palatino Linotype" w:cs="Times New Roman"/>
          <w:b/>
          <w:lang w:eastAsia="es-ES_tradnl"/>
        </w:rPr>
        <w:t xml:space="preserve">SUJETO OBLIGADO. </w:t>
      </w:r>
    </w:p>
    <w:p w14:paraId="50B306FA" w14:textId="77777777" w:rsidR="00A62BD0" w:rsidRPr="00A62BD0" w:rsidRDefault="00A62BD0" w:rsidP="00A62BD0">
      <w:pPr>
        <w:widowControl w:val="0"/>
        <w:autoSpaceDE w:val="0"/>
        <w:autoSpaceDN w:val="0"/>
        <w:adjustRightInd w:val="0"/>
        <w:spacing w:line="360" w:lineRule="auto"/>
        <w:jc w:val="both"/>
        <w:rPr>
          <w:rFonts w:ascii="Palatino Linotype" w:hAnsi="Palatino Linotype" w:cs="Times New Roman"/>
          <w:lang w:eastAsia="es-ES_tradnl"/>
        </w:rPr>
      </w:pPr>
    </w:p>
    <w:p w14:paraId="6573B770" w14:textId="381BDC37" w:rsidR="00E958BB" w:rsidRPr="00A62BD0" w:rsidRDefault="00001E6B" w:rsidP="00A62BD0">
      <w:pPr>
        <w:widowControl w:val="0"/>
        <w:numPr>
          <w:ilvl w:val="0"/>
          <w:numId w:val="1"/>
        </w:numPr>
        <w:autoSpaceDE w:val="0"/>
        <w:autoSpaceDN w:val="0"/>
        <w:adjustRightInd w:val="0"/>
        <w:spacing w:line="360" w:lineRule="auto"/>
        <w:ind w:left="0" w:firstLine="0"/>
        <w:jc w:val="both"/>
        <w:rPr>
          <w:rFonts w:ascii="Palatino Linotype" w:eastAsia="Times New Roman" w:hAnsi="Palatino Linotype" w:cs="Times New Roman"/>
          <w:lang w:val="es-MX" w:eastAsia="es-MX"/>
        </w:rPr>
      </w:pPr>
      <w:r w:rsidRPr="00A62BD0">
        <w:rPr>
          <w:rFonts w:ascii="Palatino Linotype" w:hAnsi="Palatino Linotype" w:cs="Times New Roman"/>
          <w:lang w:eastAsia="es-ES_tradnl"/>
        </w:rPr>
        <w:t xml:space="preserve">No obstante, se advierte que el </w:t>
      </w:r>
      <w:r w:rsidRPr="00A62BD0">
        <w:rPr>
          <w:rFonts w:ascii="Palatino Linotype" w:hAnsi="Palatino Linotype" w:cs="Times New Roman"/>
          <w:b/>
          <w:lang w:eastAsia="es-ES_tradnl"/>
        </w:rPr>
        <w:t xml:space="preserve">SUJETO OBLIGADO </w:t>
      </w:r>
      <w:r w:rsidRPr="00A62BD0">
        <w:rPr>
          <w:rFonts w:ascii="Palatino Linotype" w:hAnsi="Palatino Linotype" w:cs="Times New Roman"/>
          <w:lang w:eastAsia="es-ES_tradnl"/>
        </w:rPr>
        <w:t>pretende clasificar la información como reservada, as</w:t>
      </w:r>
      <w:r w:rsidR="00E958BB" w:rsidRPr="00A62BD0">
        <w:rPr>
          <w:rFonts w:ascii="Palatino Linotype" w:hAnsi="Palatino Linotype" w:cs="Times New Roman"/>
          <w:lang w:eastAsia="es-ES_tradnl"/>
        </w:rPr>
        <w:t>í, la</w:t>
      </w:r>
      <w:r w:rsidRPr="00A62BD0">
        <w:rPr>
          <w:rFonts w:ascii="Palatino Linotype" w:hAnsi="Palatino Linotype" w:cs="Times New Roman"/>
          <w:lang w:eastAsia="es-ES_tradnl"/>
        </w:rPr>
        <w:t xml:space="preserve"> </w:t>
      </w:r>
      <w:r w:rsidR="00E958BB" w:rsidRPr="00A62BD0">
        <w:rPr>
          <w:rFonts w:ascii="Palatino Linotype" w:eastAsia="Times New Roman" w:hAnsi="Palatino Linotype" w:cs="Times New Roman"/>
          <w:lang w:val="es-MX" w:eastAsia="es-MX"/>
        </w:rPr>
        <w:t xml:space="preserve">Ley de Trasparencia Estatal,  establece que la información pública, es toda aquella que sea generada, obtenida, adquirida, transformada, administrada o en posesión de los </w:t>
      </w:r>
      <w:r w:rsidR="00E958BB" w:rsidRPr="00A62BD0">
        <w:rPr>
          <w:rFonts w:ascii="Palatino Linotype" w:eastAsia="Times New Roman" w:hAnsi="Palatino Linotype" w:cs="Times New Roman"/>
          <w:b/>
          <w:lang w:val="es-MX" w:eastAsia="es-MX"/>
        </w:rPr>
        <w:t>SUJETOS OBLIGADOS</w:t>
      </w:r>
      <w:r w:rsidR="00E958BB" w:rsidRPr="00A62BD0">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 como a continuación se observa:</w:t>
      </w:r>
    </w:p>
    <w:p w14:paraId="235126AB" w14:textId="77777777" w:rsidR="00E958BB" w:rsidRPr="00A62BD0" w:rsidRDefault="00E958BB" w:rsidP="00A62BD0">
      <w:pPr>
        <w:pStyle w:val="Prrafodelista"/>
        <w:tabs>
          <w:tab w:val="left" w:pos="8222"/>
        </w:tabs>
        <w:spacing w:line="360" w:lineRule="auto"/>
        <w:ind w:left="567" w:right="567"/>
        <w:jc w:val="both"/>
        <w:rPr>
          <w:rFonts w:ascii="Palatino Linotype" w:hAnsi="Palatino Linotype" w:cs="Arial"/>
        </w:rPr>
      </w:pPr>
    </w:p>
    <w:p w14:paraId="7B4545EF" w14:textId="77777777" w:rsidR="00E958BB" w:rsidRPr="00A62BD0" w:rsidRDefault="00E958BB" w:rsidP="00A62BD0">
      <w:pPr>
        <w:tabs>
          <w:tab w:val="left" w:pos="8222"/>
        </w:tabs>
        <w:spacing w:line="360" w:lineRule="auto"/>
        <w:ind w:left="567" w:right="567"/>
        <w:jc w:val="both"/>
        <w:rPr>
          <w:rFonts w:ascii="Palatino Linotype" w:eastAsia="Times New Roman" w:hAnsi="Palatino Linotype" w:cs="Times New Roman"/>
          <w:i/>
          <w:lang w:val="es-ES"/>
        </w:rPr>
      </w:pPr>
      <w:r w:rsidRPr="00A62BD0">
        <w:rPr>
          <w:rFonts w:ascii="Palatino Linotype" w:eastAsia="Times New Roman" w:hAnsi="Palatino Linotype" w:cs="Times New Roman"/>
          <w:i/>
          <w:lang w:val="es-ES"/>
        </w:rPr>
        <w:lastRenderedPageBreak/>
        <w:t>“</w:t>
      </w:r>
      <w:r w:rsidRPr="00A62BD0">
        <w:rPr>
          <w:rFonts w:ascii="Palatino Linotype" w:eastAsia="Times New Roman" w:hAnsi="Palatino Linotype" w:cs="Times New Roman"/>
          <w:b/>
          <w:i/>
          <w:lang w:val="es-ES"/>
        </w:rPr>
        <w:t>Artículo 4.</w:t>
      </w:r>
      <w:r w:rsidRPr="00A62BD0">
        <w:rPr>
          <w:rFonts w:ascii="Palatino Linotype" w:eastAsia="Times New Roman" w:hAnsi="Palatino Linotype" w:cs="Times New Roman"/>
          <w:i/>
          <w:lang w:val="es-ES"/>
        </w:rPr>
        <w:t xml:space="preserve"> (…)</w:t>
      </w:r>
    </w:p>
    <w:p w14:paraId="2B98DD88" w14:textId="77777777" w:rsidR="00E958BB" w:rsidRPr="00A62BD0" w:rsidRDefault="00E958BB" w:rsidP="00A62BD0">
      <w:pPr>
        <w:tabs>
          <w:tab w:val="left" w:pos="8222"/>
        </w:tabs>
        <w:spacing w:line="360" w:lineRule="auto"/>
        <w:ind w:left="567" w:right="567"/>
        <w:jc w:val="both"/>
        <w:rPr>
          <w:rFonts w:ascii="Palatino Linotype" w:eastAsia="Times New Roman" w:hAnsi="Palatino Linotype" w:cs="Times New Roman"/>
          <w:i/>
          <w:lang w:val="es-ES"/>
        </w:rPr>
      </w:pPr>
    </w:p>
    <w:p w14:paraId="2277800D" w14:textId="77777777" w:rsidR="00E958BB" w:rsidRPr="00A62BD0" w:rsidRDefault="00E958BB" w:rsidP="00A62BD0">
      <w:pPr>
        <w:tabs>
          <w:tab w:val="left" w:pos="8222"/>
        </w:tabs>
        <w:spacing w:line="360" w:lineRule="auto"/>
        <w:ind w:left="567" w:right="567"/>
        <w:jc w:val="both"/>
        <w:rPr>
          <w:rFonts w:ascii="Palatino Linotype" w:eastAsia="Times New Roman" w:hAnsi="Palatino Linotype" w:cs="Times New Roman"/>
          <w:i/>
          <w:lang w:val="es-ES"/>
        </w:rPr>
      </w:pPr>
      <w:r w:rsidRPr="00A62BD0">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A62BD0">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A62BD0">
        <w:rPr>
          <w:rFonts w:ascii="Palatino Linotype" w:eastAsia="Times New Roman" w:hAnsi="Palatino Linotype" w:cs="Times New Roman"/>
          <w:b/>
          <w:i/>
          <w:lang w:val="es-ES"/>
        </w:rPr>
        <w:t>principio de máxima publicidad</w:t>
      </w:r>
      <w:r w:rsidRPr="00A62BD0">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D783DCD" w14:textId="77777777" w:rsidR="00E958BB" w:rsidRPr="00A62BD0" w:rsidRDefault="00E958BB" w:rsidP="00A62BD0">
      <w:pPr>
        <w:tabs>
          <w:tab w:val="left" w:pos="8222"/>
        </w:tabs>
        <w:spacing w:line="360" w:lineRule="auto"/>
        <w:ind w:left="567" w:right="567"/>
        <w:jc w:val="both"/>
        <w:rPr>
          <w:rFonts w:ascii="Palatino Linotype" w:eastAsia="Times New Roman" w:hAnsi="Palatino Linotype" w:cs="Times New Roman"/>
          <w:i/>
          <w:lang w:val="es-ES"/>
        </w:rPr>
      </w:pPr>
    </w:p>
    <w:p w14:paraId="68E7BB76" w14:textId="77777777" w:rsidR="00E958BB" w:rsidRPr="00A62BD0" w:rsidRDefault="00E958BB" w:rsidP="00A62BD0">
      <w:pPr>
        <w:tabs>
          <w:tab w:val="left" w:pos="8222"/>
        </w:tabs>
        <w:spacing w:line="360" w:lineRule="auto"/>
        <w:ind w:left="567" w:right="567"/>
        <w:jc w:val="both"/>
        <w:rPr>
          <w:rFonts w:ascii="Palatino Linotype" w:eastAsia="Times New Roman" w:hAnsi="Palatino Linotype" w:cs="Times New Roman"/>
          <w:b/>
          <w:i/>
          <w:lang w:val="es-ES"/>
        </w:rPr>
      </w:pPr>
      <w:r w:rsidRPr="00A62BD0">
        <w:rPr>
          <w:rFonts w:ascii="Palatino Linotype" w:eastAsia="Times New Roman" w:hAnsi="Palatino Linotype" w:cs="Times New Roman"/>
          <w:b/>
          <w:i/>
          <w:lang w:val="es-ES"/>
        </w:rPr>
        <w:t>(…)</w:t>
      </w:r>
    </w:p>
    <w:p w14:paraId="1D0F7D7A" w14:textId="77777777" w:rsidR="00E958BB" w:rsidRPr="00A62BD0" w:rsidRDefault="00E958BB" w:rsidP="00A62BD0">
      <w:pPr>
        <w:tabs>
          <w:tab w:val="left" w:pos="8222"/>
        </w:tabs>
        <w:spacing w:line="360" w:lineRule="auto"/>
        <w:ind w:left="567" w:right="567"/>
        <w:jc w:val="both"/>
        <w:rPr>
          <w:rFonts w:ascii="Palatino Linotype" w:eastAsia="Times New Roman" w:hAnsi="Palatino Linotype" w:cs="Times New Roman"/>
          <w:lang w:val="es-ES"/>
        </w:rPr>
      </w:pPr>
    </w:p>
    <w:p w14:paraId="764D8277" w14:textId="77777777" w:rsidR="00E958BB" w:rsidRPr="00A62BD0" w:rsidRDefault="00E958BB" w:rsidP="00A62BD0">
      <w:pPr>
        <w:tabs>
          <w:tab w:val="left" w:pos="8222"/>
        </w:tabs>
        <w:spacing w:line="360" w:lineRule="auto"/>
        <w:ind w:left="567" w:right="567"/>
        <w:jc w:val="both"/>
        <w:rPr>
          <w:rFonts w:ascii="Palatino Linotype" w:eastAsia="Times New Roman" w:hAnsi="Palatino Linotype" w:cs="Times New Roman"/>
          <w:i/>
          <w:lang w:val="es-ES"/>
        </w:rPr>
      </w:pPr>
      <w:r w:rsidRPr="00A62BD0">
        <w:rPr>
          <w:rFonts w:ascii="Palatino Linotype" w:eastAsia="Times New Roman" w:hAnsi="Palatino Linotype" w:cs="Times New Roman"/>
          <w:i/>
          <w:lang w:val="es-ES"/>
        </w:rPr>
        <w:t>(Énfasis añadido)</w:t>
      </w:r>
    </w:p>
    <w:p w14:paraId="16930492" w14:textId="77777777" w:rsidR="00E958BB" w:rsidRPr="00A62BD0" w:rsidRDefault="00E958BB" w:rsidP="00A62BD0">
      <w:pPr>
        <w:spacing w:line="360" w:lineRule="auto"/>
        <w:ind w:right="567"/>
        <w:jc w:val="both"/>
        <w:rPr>
          <w:rFonts w:ascii="Palatino Linotype" w:eastAsia="Times New Roman" w:hAnsi="Palatino Linotype" w:cs="Times New Roman"/>
          <w:i/>
          <w:lang w:val="es-ES"/>
        </w:rPr>
      </w:pPr>
    </w:p>
    <w:p w14:paraId="212319E6" w14:textId="77777777" w:rsidR="00E958BB" w:rsidRPr="00A62BD0" w:rsidRDefault="00E958BB" w:rsidP="00A62BD0">
      <w:pPr>
        <w:numPr>
          <w:ilvl w:val="0"/>
          <w:numId w:val="1"/>
        </w:numPr>
        <w:spacing w:line="360" w:lineRule="auto"/>
        <w:ind w:left="0" w:right="49" w:firstLine="0"/>
        <w:contextualSpacing/>
        <w:jc w:val="both"/>
        <w:rPr>
          <w:rFonts w:ascii="Palatino Linotype" w:hAnsi="Palatino Linotype" w:cs="Arial"/>
        </w:rPr>
      </w:pPr>
      <w:r w:rsidRPr="00A62BD0">
        <w:rPr>
          <w:rFonts w:ascii="Palatino Linotype" w:hAnsi="Palatino Linotype" w:cs="Arial"/>
        </w:rPr>
        <w:t xml:space="preserve">En ese sentido, no debe de pasar de vista para el </w:t>
      </w:r>
      <w:r w:rsidRPr="00A62BD0">
        <w:rPr>
          <w:rFonts w:ascii="Palatino Linotype" w:hAnsi="Palatino Linotype" w:cs="Arial"/>
          <w:b/>
        </w:rPr>
        <w:t>SUJETO OBLIGADO</w:t>
      </w:r>
      <w:r w:rsidRPr="00A62BD0">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A62BD0">
        <w:rPr>
          <w:rFonts w:ascii="Palatino Linotype" w:hAnsi="Palatino Linotype" w:cs="Arial"/>
        </w:rPr>
        <w:lastRenderedPageBreak/>
        <w:t>México sea parte; lo anterior de conformidad con el artículo 8 de la Ley de Transparencia y Acceso a la Información Pública del Estado de México y Municipios:</w:t>
      </w:r>
    </w:p>
    <w:p w14:paraId="5AA5639F" w14:textId="77777777" w:rsidR="00E958BB" w:rsidRPr="00A62BD0" w:rsidRDefault="00E958BB" w:rsidP="00A62BD0">
      <w:pPr>
        <w:spacing w:line="360" w:lineRule="auto"/>
        <w:ind w:left="426" w:right="49"/>
        <w:contextualSpacing/>
        <w:jc w:val="both"/>
        <w:rPr>
          <w:rFonts w:ascii="Palatino Linotype" w:hAnsi="Palatino Linotype" w:cs="Arial"/>
        </w:rPr>
      </w:pPr>
    </w:p>
    <w:p w14:paraId="15EBA727" w14:textId="77777777" w:rsidR="00E958BB" w:rsidRPr="00A62BD0" w:rsidRDefault="00E958BB" w:rsidP="00A62BD0">
      <w:pPr>
        <w:spacing w:line="360" w:lineRule="auto"/>
        <w:ind w:left="567" w:right="567"/>
        <w:jc w:val="both"/>
        <w:rPr>
          <w:rFonts w:ascii="Palatino Linotype" w:hAnsi="Palatino Linotype"/>
          <w:i/>
        </w:rPr>
      </w:pPr>
      <w:r w:rsidRPr="00A62BD0">
        <w:rPr>
          <w:rFonts w:ascii="Palatino Linotype" w:hAnsi="Palatino Linotype"/>
          <w:i/>
        </w:rPr>
        <w:t>“</w:t>
      </w:r>
      <w:r w:rsidRPr="00A62BD0">
        <w:rPr>
          <w:rFonts w:ascii="Palatino Linotype" w:hAnsi="Palatino Linotype"/>
          <w:b/>
          <w:i/>
        </w:rPr>
        <w:t>Artículo 8.</w:t>
      </w:r>
      <w:r w:rsidRPr="00A62BD0">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783539" w14:textId="77777777" w:rsidR="00E958BB" w:rsidRPr="00A62BD0" w:rsidRDefault="00E958BB" w:rsidP="00A62BD0">
      <w:pPr>
        <w:spacing w:line="360" w:lineRule="auto"/>
        <w:ind w:left="567" w:right="567"/>
        <w:jc w:val="both"/>
        <w:rPr>
          <w:rFonts w:ascii="Palatino Linotype" w:hAnsi="Palatino Linotype"/>
          <w:i/>
        </w:rPr>
      </w:pPr>
    </w:p>
    <w:p w14:paraId="7A9E8C11" w14:textId="77777777" w:rsidR="00E958BB" w:rsidRPr="00A62BD0" w:rsidRDefault="00E958BB" w:rsidP="00A62BD0">
      <w:pPr>
        <w:spacing w:line="360" w:lineRule="auto"/>
        <w:ind w:left="567" w:right="567"/>
        <w:jc w:val="both"/>
        <w:rPr>
          <w:rFonts w:ascii="Palatino Linotype" w:hAnsi="Palatino Linotype"/>
          <w:i/>
        </w:rPr>
      </w:pPr>
      <w:r w:rsidRPr="00A62BD0">
        <w:rPr>
          <w:rFonts w:ascii="Palatino Linotype" w:hAnsi="Palatino Linotype"/>
          <w:b/>
          <w:i/>
        </w:rPr>
        <w:t>En la aplicación e interpretación de la presente Ley deberá prevalecer el principio de máxima publicidad,</w:t>
      </w:r>
      <w:r w:rsidRPr="00A62BD0">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62BD0">
        <w:rPr>
          <w:rFonts w:ascii="Palatino Linotype" w:hAnsi="Palatino Linotype"/>
          <w:i/>
        </w:rPr>
        <w:t>pro</w:t>
      </w:r>
      <w:proofErr w:type="spellEnd"/>
      <w:r w:rsidRPr="00A62BD0">
        <w:rPr>
          <w:rFonts w:ascii="Palatino Linotype" w:hAnsi="Palatino Linotype"/>
          <w:i/>
        </w:rPr>
        <w:t xml:space="preserve"> persona.</w:t>
      </w:r>
    </w:p>
    <w:p w14:paraId="2F706981" w14:textId="77777777" w:rsidR="00E958BB" w:rsidRPr="00A62BD0" w:rsidRDefault="00E958BB" w:rsidP="00A62BD0">
      <w:pPr>
        <w:spacing w:line="360" w:lineRule="auto"/>
        <w:ind w:left="567" w:right="567"/>
        <w:jc w:val="both"/>
        <w:rPr>
          <w:rFonts w:ascii="Palatino Linotype" w:hAnsi="Palatino Linotype"/>
          <w:i/>
        </w:rPr>
      </w:pPr>
    </w:p>
    <w:p w14:paraId="068C4120" w14:textId="77777777" w:rsidR="00E958BB" w:rsidRPr="00A62BD0" w:rsidRDefault="00E958BB" w:rsidP="00A62BD0">
      <w:pPr>
        <w:spacing w:line="360" w:lineRule="auto"/>
        <w:ind w:left="567" w:right="567"/>
        <w:jc w:val="both"/>
        <w:rPr>
          <w:rFonts w:ascii="Palatino Linotype" w:hAnsi="Palatino Linotype"/>
          <w:i/>
        </w:rPr>
      </w:pPr>
      <w:r w:rsidRPr="00A62BD0">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4DAB1223" w14:textId="77777777" w:rsidR="00E958BB" w:rsidRPr="00A62BD0" w:rsidRDefault="00E958BB" w:rsidP="00A62BD0">
      <w:pPr>
        <w:spacing w:line="360" w:lineRule="auto"/>
        <w:ind w:left="567" w:right="567"/>
        <w:jc w:val="both"/>
        <w:rPr>
          <w:rFonts w:ascii="Palatino Linotype" w:hAnsi="Palatino Linotype"/>
          <w:i/>
        </w:rPr>
      </w:pPr>
    </w:p>
    <w:p w14:paraId="36E39452" w14:textId="77777777" w:rsidR="00E958BB" w:rsidRPr="00A62BD0" w:rsidRDefault="00E958BB" w:rsidP="00A62BD0">
      <w:pPr>
        <w:spacing w:line="360" w:lineRule="auto"/>
        <w:ind w:left="567" w:right="567"/>
        <w:jc w:val="both"/>
        <w:rPr>
          <w:rFonts w:ascii="Palatino Linotype" w:hAnsi="Palatino Linotype"/>
          <w:i/>
        </w:rPr>
      </w:pPr>
      <w:r w:rsidRPr="00A62BD0">
        <w:rPr>
          <w:rFonts w:ascii="Palatino Linotype" w:hAnsi="Palatino Linotype"/>
          <w:i/>
        </w:rPr>
        <w:t>(Énfasis añadido)</w:t>
      </w:r>
    </w:p>
    <w:p w14:paraId="53BDCBD4" w14:textId="77777777" w:rsidR="00E958BB" w:rsidRPr="00A62BD0" w:rsidRDefault="00E958BB" w:rsidP="00A62BD0">
      <w:pPr>
        <w:spacing w:line="360" w:lineRule="auto"/>
        <w:ind w:right="567"/>
        <w:jc w:val="both"/>
        <w:rPr>
          <w:rFonts w:ascii="Palatino Linotype" w:hAnsi="Palatino Linotype"/>
          <w:i/>
        </w:rPr>
      </w:pPr>
    </w:p>
    <w:p w14:paraId="33416D24" w14:textId="77777777" w:rsidR="00E958BB" w:rsidRPr="00A62BD0" w:rsidRDefault="00E958BB" w:rsidP="00A62BD0">
      <w:pPr>
        <w:numPr>
          <w:ilvl w:val="0"/>
          <w:numId w:val="1"/>
        </w:numPr>
        <w:spacing w:line="360" w:lineRule="auto"/>
        <w:ind w:left="0" w:right="49" w:firstLine="0"/>
        <w:contextualSpacing/>
        <w:jc w:val="both"/>
        <w:rPr>
          <w:rFonts w:ascii="Palatino Linotype" w:eastAsia="MS Mincho" w:hAnsi="Palatino Linotype" w:cs="Arial"/>
        </w:rPr>
      </w:pPr>
      <w:r w:rsidRPr="00A62BD0">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de conformidad con lo que establece el artículo y 160 de la Ley de la Materia:  </w:t>
      </w:r>
    </w:p>
    <w:p w14:paraId="7004D1D8" w14:textId="77777777" w:rsidR="00E958BB" w:rsidRPr="00A62BD0" w:rsidRDefault="00E958BB" w:rsidP="00A62BD0">
      <w:pPr>
        <w:spacing w:line="360" w:lineRule="auto"/>
        <w:ind w:right="49"/>
        <w:contextualSpacing/>
        <w:jc w:val="both"/>
        <w:rPr>
          <w:rFonts w:ascii="Palatino Linotype" w:eastAsia="MS Mincho" w:hAnsi="Palatino Linotype" w:cs="Arial"/>
        </w:rPr>
      </w:pPr>
    </w:p>
    <w:p w14:paraId="03F34E86" w14:textId="77777777" w:rsidR="00E958BB" w:rsidRPr="00A62BD0" w:rsidRDefault="00E958BB" w:rsidP="00A62BD0">
      <w:pPr>
        <w:spacing w:line="360" w:lineRule="auto"/>
        <w:ind w:left="567" w:right="567"/>
        <w:contextualSpacing/>
        <w:jc w:val="both"/>
        <w:rPr>
          <w:rFonts w:ascii="Palatino Linotype" w:hAnsi="Palatino Linotype"/>
          <w:i/>
        </w:rPr>
      </w:pPr>
      <w:r w:rsidRPr="00A62BD0">
        <w:rPr>
          <w:rFonts w:ascii="Palatino Linotype" w:hAnsi="Palatino Linotype"/>
          <w:b/>
          <w:i/>
        </w:rPr>
        <w:t xml:space="preserve">Artículo 160. </w:t>
      </w:r>
      <w:r w:rsidRPr="00A62BD0">
        <w:rPr>
          <w:rFonts w:ascii="Palatino Linotype" w:hAnsi="Palatino Linotype"/>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28181252" w14:textId="77777777" w:rsidR="00E958BB" w:rsidRPr="00A62BD0" w:rsidRDefault="00E958BB" w:rsidP="00A62BD0">
      <w:pPr>
        <w:spacing w:line="360" w:lineRule="auto"/>
        <w:ind w:left="567" w:right="567"/>
        <w:contextualSpacing/>
        <w:jc w:val="both"/>
        <w:rPr>
          <w:rFonts w:ascii="Palatino Linotype" w:hAnsi="Palatino Linotype"/>
          <w:i/>
        </w:rPr>
      </w:pPr>
    </w:p>
    <w:p w14:paraId="3E838AA3" w14:textId="77777777" w:rsidR="00E958BB" w:rsidRPr="00A62BD0" w:rsidRDefault="00E958BB" w:rsidP="00A62BD0">
      <w:pPr>
        <w:spacing w:line="360" w:lineRule="auto"/>
        <w:ind w:left="567" w:right="567"/>
        <w:contextualSpacing/>
        <w:jc w:val="both"/>
        <w:rPr>
          <w:rFonts w:ascii="Palatino Linotype" w:hAnsi="Palatino Linotype"/>
          <w:i/>
        </w:rPr>
      </w:pPr>
      <w:r w:rsidRPr="00A62BD0">
        <w:rPr>
          <w:rFonts w:ascii="Palatino Linotype" w:hAnsi="Palatino Linotype"/>
          <w:i/>
        </w:rPr>
        <w:t xml:space="preserve">En caso que la información solicitada consista en bases de datos se deberá privilegiar la entrega de la misma en formatos abiertos. </w:t>
      </w:r>
    </w:p>
    <w:p w14:paraId="576A678E" w14:textId="77777777" w:rsidR="00E958BB" w:rsidRPr="00A62BD0" w:rsidRDefault="00E958BB" w:rsidP="00A62BD0">
      <w:pPr>
        <w:spacing w:line="360" w:lineRule="auto"/>
        <w:ind w:left="567" w:right="567"/>
        <w:contextualSpacing/>
        <w:jc w:val="both"/>
        <w:rPr>
          <w:rFonts w:ascii="Palatino Linotype" w:hAnsi="Palatino Linotype"/>
          <w:i/>
        </w:rPr>
      </w:pPr>
    </w:p>
    <w:p w14:paraId="28139259" w14:textId="77777777" w:rsidR="00E958BB" w:rsidRPr="00A62BD0" w:rsidRDefault="00E958BB" w:rsidP="00A62BD0">
      <w:pPr>
        <w:pStyle w:val="Prrafodelista"/>
        <w:numPr>
          <w:ilvl w:val="0"/>
          <w:numId w:val="1"/>
        </w:numPr>
        <w:spacing w:line="360" w:lineRule="auto"/>
        <w:ind w:left="0" w:right="49" w:firstLine="0"/>
        <w:jc w:val="both"/>
        <w:rPr>
          <w:rFonts w:ascii="Palatino Linotype" w:eastAsia="MS Mincho" w:hAnsi="Palatino Linotype" w:cs="Times New Roman"/>
        </w:rPr>
      </w:pPr>
      <w:r w:rsidRPr="00A62BD0">
        <w:rPr>
          <w:rFonts w:ascii="Palatino Linotype" w:eastAsia="Times New Roman" w:hAnsi="Palatino Linotype" w:cs="Arial"/>
        </w:rPr>
        <w:t>Además la Ley de Transparencia y Acceso a la Información Pública del Estado de México y Municipios, prevé en su artículo 23 fracción IV que son Sujetos Obligados a Transparentar y permitir el acceso a su información y proteger los datos que obren en su poder:</w:t>
      </w:r>
    </w:p>
    <w:p w14:paraId="11E2190E" w14:textId="77777777" w:rsidR="00E958BB" w:rsidRPr="00A62BD0" w:rsidRDefault="00E958BB" w:rsidP="00A62BD0">
      <w:pPr>
        <w:spacing w:line="360" w:lineRule="auto"/>
        <w:ind w:left="360" w:right="49"/>
        <w:contextualSpacing/>
        <w:jc w:val="both"/>
        <w:rPr>
          <w:rFonts w:ascii="Palatino Linotype" w:eastAsia="MS Mincho" w:hAnsi="Palatino Linotype" w:cs="Times New Roman"/>
        </w:rPr>
      </w:pPr>
    </w:p>
    <w:p w14:paraId="29E7F4D2" w14:textId="77777777" w:rsidR="00E958BB" w:rsidRDefault="00E958BB" w:rsidP="00A62BD0">
      <w:pPr>
        <w:spacing w:line="360" w:lineRule="auto"/>
        <w:ind w:left="426" w:right="567"/>
        <w:contextualSpacing/>
        <w:jc w:val="both"/>
        <w:rPr>
          <w:rFonts w:ascii="Palatino Linotype" w:eastAsia="Times New Roman" w:hAnsi="Palatino Linotype" w:cs="Arial"/>
          <w:b/>
          <w:i/>
        </w:rPr>
      </w:pPr>
      <w:r w:rsidRPr="00A62BD0">
        <w:rPr>
          <w:rFonts w:ascii="Palatino Linotype" w:eastAsia="Times New Roman" w:hAnsi="Palatino Linotype" w:cs="Arial"/>
          <w:b/>
          <w:i/>
        </w:rPr>
        <w:t>“IV.- Los ayuntamientos y las dependencias, organismos, órganos y entidades de la administración municipal;”</w:t>
      </w:r>
    </w:p>
    <w:p w14:paraId="78C62E7B" w14:textId="77777777" w:rsidR="00A62BD0" w:rsidRPr="00A62BD0" w:rsidRDefault="00A62BD0" w:rsidP="00A62BD0">
      <w:pPr>
        <w:spacing w:line="360" w:lineRule="auto"/>
        <w:ind w:left="426" w:right="567"/>
        <w:contextualSpacing/>
        <w:jc w:val="both"/>
        <w:rPr>
          <w:rFonts w:ascii="Palatino Linotype" w:eastAsia="Times New Roman" w:hAnsi="Palatino Linotype" w:cs="Arial"/>
          <w:b/>
          <w:i/>
        </w:rPr>
      </w:pPr>
    </w:p>
    <w:p w14:paraId="472B3C81" w14:textId="4CC2C0CA" w:rsidR="0096621A" w:rsidRPr="00A62BD0" w:rsidRDefault="00E958BB" w:rsidP="00A62BD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rPr>
      </w:pPr>
      <w:r w:rsidRPr="00A62BD0">
        <w:rPr>
          <w:rFonts w:ascii="Palatino Linotype" w:eastAsia="Times New Roman" w:hAnsi="Palatino Linotype" w:cs="Arial"/>
        </w:rPr>
        <w:t xml:space="preserve">Expuesto lo anterior, </w:t>
      </w:r>
      <w:r w:rsidR="003C1953" w:rsidRPr="00A62BD0">
        <w:rPr>
          <w:rFonts w:ascii="Palatino Linotype" w:hAnsi="Palatino Linotype"/>
        </w:rPr>
        <w:t xml:space="preserve">se desprende que, la prerrogativa de los particulares para solicitar y recibir información pública es un derecho humano. En ese contexto, se considera información pública, a </w:t>
      </w:r>
      <w:r w:rsidR="003C1953" w:rsidRPr="00A62BD0">
        <w:rPr>
          <w:rFonts w:ascii="Palatino Linotype" w:hAnsi="Palatino Linotype"/>
          <w:b/>
          <w:u w:val="single"/>
        </w:rPr>
        <w:t>toda</w:t>
      </w:r>
      <w:r w:rsidR="003C1953" w:rsidRPr="00A62BD0">
        <w:rPr>
          <w:rFonts w:ascii="Palatino Linotype" w:hAnsi="Palatino Linotype"/>
        </w:rPr>
        <w:t xml:space="preserve"> la información generada, obtenida, adquirida, transformada, administrada o en posesión de los Sujetos Obligados, la cual debe ser accesible de forma permanente para cualquier persona, la cual debe ser proporcionada por éstos cuando: </w:t>
      </w:r>
      <w:r w:rsidR="003C1953" w:rsidRPr="00A62BD0">
        <w:rPr>
          <w:rFonts w:ascii="Palatino Linotype" w:hAnsi="Palatino Linotype"/>
          <w:b/>
        </w:rPr>
        <w:t>a)</w:t>
      </w:r>
      <w:r w:rsidR="003C1953" w:rsidRPr="00A62BD0">
        <w:rPr>
          <w:rFonts w:ascii="Palatino Linotype" w:hAnsi="Palatino Linotype"/>
        </w:rPr>
        <w:t xml:space="preserve"> </w:t>
      </w:r>
      <w:r w:rsidR="003C1953" w:rsidRPr="00A62BD0">
        <w:rPr>
          <w:rFonts w:ascii="Palatino Linotype" w:hAnsi="Palatino Linotype"/>
          <w:b/>
          <w:u w:val="single"/>
        </w:rPr>
        <w:t>se les requiera</w:t>
      </w:r>
      <w:r w:rsidR="003C1953" w:rsidRPr="00A62BD0">
        <w:rPr>
          <w:rFonts w:ascii="Palatino Linotype" w:hAnsi="Palatino Linotype"/>
        </w:rPr>
        <w:t xml:space="preserve">; y </w:t>
      </w:r>
      <w:r w:rsidR="003C1953" w:rsidRPr="00A62BD0">
        <w:rPr>
          <w:rFonts w:ascii="Palatino Linotype" w:hAnsi="Palatino Linotype"/>
          <w:b/>
        </w:rPr>
        <w:t xml:space="preserve">b) </w:t>
      </w:r>
      <w:r w:rsidR="003C1953" w:rsidRPr="00A62BD0">
        <w:rPr>
          <w:rFonts w:ascii="Palatino Linotype" w:hAnsi="Palatino Linotype"/>
          <w:b/>
          <w:u w:val="single"/>
        </w:rPr>
        <w:t>obre en sus archivo</w:t>
      </w:r>
      <w:r w:rsidR="0096621A" w:rsidRPr="00A62BD0">
        <w:rPr>
          <w:rFonts w:ascii="Palatino Linotype" w:hAnsi="Palatino Linotype"/>
          <w:b/>
          <w:u w:val="single"/>
        </w:rPr>
        <w:t>s</w:t>
      </w:r>
      <w:r w:rsidR="0096621A" w:rsidRPr="00A62BD0">
        <w:rPr>
          <w:rFonts w:ascii="Palatino Linotype" w:hAnsi="Palatino Linotype" w:cs="Arial"/>
        </w:rPr>
        <w:t>, a excepción de aquella información que se encuadre en los supuestos de confidencialidad y reserva previstos en los artículos 140 y 143 de dicho ordenamiento legal.</w:t>
      </w:r>
    </w:p>
    <w:p w14:paraId="65F22E7A" w14:textId="77777777" w:rsidR="00A62BD0" w:rsidRPr="00A62BD0" w:rsidRDefault="00A62BD0" w:rsidP="00A62BD0">
      <w:pPr>
        <w:pStyle w:val="Prrafodelista"/>
        <w:widowControl w:val="0"/>
        <w:autoSpaceDE w:val="0"/>
        <w:autoSpaceDN w:val="0"/>
        <w:adjustRightInd w:val="0"/>
        <w:spacing w:line="360" w:lineRule="auto"/>
        <w:ind w:left="0"/>
        <w:jc w:val="both"/>
        <w:rPr>
          <w:rFonts w:ascii="Palatino Linotype" w:hAnsi="Palatino Linotype"/>
        </w:rPr>
      </w:pPr>
    </w:p>
    <w:p w14:paraId="1FDBEB65" w14:textId="45636090" w:rsidR="00E958BB" w:rsidRPr="00A62BD0" w:rsidRDefault="0096621A" w:rsidP="00A62BD0">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Arial"/>
          <w:b/>
          <w:i/>
        </w:rPr>
      </w:pPr>
      <w:r w:rsidRPr="00A62BD0">
        <w:rPr>
          <w:rFonts w:ascii="Palatino Linotype" w:hAnsi="Palatino Linotype"/>
        </w:rPr>
        <w:t xml:space="preserve">Así </w:t>
      </w:r>
      <w:r w:rsidR="00E958BB" w:rsidRPr="00A62BD0">
        <w:rPr>
          <w:rFonts w:ascii="Palatino Linotype" w:eastAsia="Times New Roman" w:hAnsi="Palatino Linotype" w:cs="Arial"/>
        </w:rPr>
        <w:t xml:space="preserve">y como ya se había puntualizado, la </w:t>
      </w:r>
      <w:r w:rsidR="005B7D9D" w:rsidRPr="00A62BD0">
        <w:rPr>
          <w:rFonts w:ascii="Palatino Linotype" w:eastAsia="Times New Roman" w:hAnsi="Palatino Linotype" w:cs="Arial"/>
        </w:rPr>
        <w:t>Litis</w:t>
      </w:r>
      <w:r w:rsidR="00E958BB" w:rsidRPr="00A62BD0">
        <w:rPr>
          <w:rFonts w:ascii="Palatino Linotype" w:eastAsia="Times New Roman" w:hAnsi="Palatino Linotype" w:cs="Arial"/>
        </w:rPr>
        <w:t xml:space="preserve"> sobre la que versará el presente asunto es</w:t>
      </w:r>
      <w:r w:rsidR="005B7D9D" w:rsidRPr="00A62BD0">
        <w:rPr>
          <w:rFonts w:ascii="Palatino Linotype" w:eastAsia="Times New Roman" w:hAnsi="Palatino Linotype" w:cs="Arial"/>
        </w:rPr>
        <w:t xml:space="preserve"> la  </w:t>
      </w:r>
      <w:r w:rsidR="00E958BB" w:rsidRPr="00A62BD0">
        <w:rPr>
          <w:rFonts w:ascii="Palatino Linotype" w:eastAsia="Times New Roman" w:hAnsi="Palatino Linotype" w:cs="Arial"/>
        </w:rPr>
        <w:t xml:space="preserve">clasificación de la información por parte del </w:t>
      </w:r>
      <w:r w:rsidR="00E958BB" w:rsidRPr="00A62BD0">
        <w:rPr>
          <w:rFonts w:ascii="Palatino Linotype" w:eastAsia="Times New Roman" w:hAnsi="Palatino Linotype" w:cs="Arial"/>
          <w:b/>
        </w:rPr>
        <w:t>SUJETO OBLIGADO</w:t>
      </w:r>
      <w:r w:rsidR="00E958BB" w:rsidRPr="00A62BD0">
        <w:rPr>
          <w:rFonts w:ascii="Palatino Linotype" w:eastAsia="Times New Roman" w:hAnsi="Palatino Linotype" w:cs="Arial"/>
        </w:rPr>
        <w:t xml:space="preserve">, </w:t>
      </w:r>
      <w:r w:rsidRPr="00A62BD0">
        <w:rPr>
          <w:rFonts w:ascii="Palatino Linotype" w:eastAsia="Times New Roman" w:hAnsi="Palatino Linotype" w:cs="Arial"/>
        </w:rPr>
        <w:t xml:space="preserve">por lo que </w:t>
      </w:r>
      <w:r w:rsidR="00313E13" w:rsidRPr="00A62BD0">
        <w:rPr>
          <w:rFonts w:ascii="Palatino Linotype" w:eastAsia="Times New Roman" w:hAnsi="Palatino Linotype" w:cs="Arial"/>
        </w:rPr>
        <w:t>resulta oportuno traer a contexto la respuesta que otorgó como a continuación se observa:</w:t>
      </w:r>
    </w:p>
    <w:p w14:paraId="7112B466" w14:textId="77777777" w:rsidR="00313E13" w:rsidRPr="00A62BD0" w:rsidRDefault="00313E13" w:rsidP="00A62BD0">
      <w:pPr>
        <w:pStyle w:val="Prrafodelista"/>
        <w:spacing w:line="360" w:lineRule="auto"/>
        <w:ind w:left="142" w:right="567"/>
        <w:jc w:val="both"/>
        <w:rPr>
          <w:rFonts w:ascii="Palatino Linotype" w:eastAsia="Times New Roman" w:hAnsi="Palatino Linotype" w:cs="Arial"/>
        </w:rPr>
      </w:pPr>
    </w:p>
    <w:p w14:paraId="759F9F51" w14:textId="143EE61D" w:rsidR="00313E13" w:rsidRPr="00A62BD0" w:rsidRDefault="003C1953" w:rsidP="00A62BD0">
      <w:pPr>
        <w:pStyle w:val="Prrafodelista"/>
        <w:spacing w:line="360" w:lineRule="auto"/>
        <w:ind w:left="142" w:right="567"/>
        <w:jc w:val="center"/>
        <w:rPr>
          <w:rFonts w:ascii="Palatino Linotype" w:eastAsia="Times New Roman" w:hAnsi="Palatino Linotype" w:cs="Arial"/>
          <w:b/>
          <w:i/>
        </w:rPr>
      </w:pPr>
      <w:r w:rsidRPr="00A62BD0">
        <w:rPr>
          <w:rFonts w:ascii="Palatino Linotype" w:hAnsi="Palatino Linotype"/>
          <w:noProof/>
          <w:lang w:val="es-MX" w:eastAsia="es-MX"/>
        </w:rPr>
        <w:lastRenderedPageBreak/>
        <mc:AlternateContent>
          <mc:Choice Requires="wps">
            <w:drawing>
              <wp:anchor distT="0" distB="0" distL="114300" distR="114300" simplePos="0" relativeHeight="251665408" behindDoc="0" locked="0" layoutInCell="1" allowOverlap="1" wp14:anchorId="4C0EAD0B" wp14:editId="048D33E1">
                <wp:simplePos x="0" y="0"/>
                <wp:positionH relativeFrom="page">
                  <wp:posOffset>1809750</wp:posOffset>
                </wp:positionH>
                <wp:positionV relativeFrom="paragraph">
                  <wp:posOffset>1061720</wp:posOffset>
                </wp:positionV>
                <wp:extent cx="3914775" cy="14668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3914775" cy="14668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2B8C0" id="Rectángulo 2" o:spid="_x0000_s1026" style="position:absolute;margin-left:142.5pt;margin-top:83.6pt;width:308.25pt;height:11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" filled="f" strokecolor="red" strokeweight="2.25pt">
                <v:shadow on="t" color="black" opacity="22937f" origin=",.5" offset="0,.63889mm"/>
                <w10:wrap anchorx="page"/>
              </v:rect>
            </w:pict>
          </mc:Fallback>
        </mc:AlternateContent>
      </w:r>
      <w:r w:rsidR="00313E13" w:rsidRPr="00A62BD0">
        <w:rPr>
          <w:rFonts w:ascii="Palatino Linotype" w:hAnsi="Palatino Linotype"/>
          <w:noProof/>
          <w:lang w:val="es-MX" w:eastAsia="es-MX"/>
        </w:rPr>
        <w:drawing>
          <wp:inline distT="0" distB="0" distL="0" distR="0" wp14:anchorId="7EB6D1A2" wp14:editId="433F3044">
            <wp:extent cx="4412097" cy="3173506"/>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158" t="30676" r="34975" b="31133"/>
                    <a:stretch/>
                  </pic:blipFill>
                  <pic:spPr bwMode="auto">
                    <a:xfrm>
                      <a:off x="0" y="0"/>
                      <a:ext cx="4452806" cy="3202787"/>
                    </a:xfrm>
                    <a:prstGeom prst="rect">
                      <a:avLst/>
                    </a:prstGeom>
                    <a:ln>
                      <a:noFill/>
                    </a:ln>
                    <a:extLst>
                      <a:ext uri="{53640926-AAD7-44D8-BBD7-CCE9431645EC}">
                        <a14:shadowObscured xmlns:a14="http://schemas.microsoft.com/office/drawing/2010/main"/>
                      </a:ext>
                    </a:extLst>
                  </pic:spPr>
                </pic:pic>
              </a:graphicData>
            </a:graphic>
          </wp:inline>
        </w:drawing>
      </w:r>
    </w:p>
    <w:p w14:paraId="51706139" w14:textId="77777777" w:rsidR="0096621A" w:rsidRPr="00A62BD0" w:rsidRDefault="0096621A" w:rsidP="00A62BD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hAnsi="Palatino Linotype" w:cs="Times New Roman"/>
          <w:lang w:eastAsia="es-ES_tradnl"/>
        </w:rPr>
        <w:t xml:space="preserve">Expuesto lo anterior el </w:t>
      </w:r>
      <w:r w:rsidRPr="00A62BD0">
        <w:rPr>
          <w:rFonts w:ascii="Palatino Linotype" w:hAnsi="Palatino Linotype" w:cs="Times New Roman"/>
          <w:b/>
          <w:lang w:eastAsia="es-ES_tradnl"/>
        </w:rPr>
        <w:t>SUJETO OBLIGADO</w:t>
      </w:r>
      <w:r w:rsidRPr="00A62BD0">
        <w:rPr>
          <w:rFonts w:ascii="Palatino Linotype" w:hAnsi="Palatino Linotype" w:cs="Times New Roman"/>
          <w:lang w:eastAsia="es-ES_tradnl"/>
        </w:rPr>
        <w:t xml:space="preserve"> pretende la clasificación de la información solicitada, argumentando que el expediente se encuentra relacionado con otros juicios de amparo y administrativos, sin embargo, se advierte que dicha situación no se encuentra debidamente fundada y motivada, lo cual compele a este Órgano Garante a considerar su entrega. </w:t>
      </w:r>
    </w:p>
    <w:p w14:paraId="69612975" w14:textId="77777777" w:rsidR="0096621A" w:rsidRPr="00A62BD0" w:rsidRDefault="0096621A" w:rsidP="00A62BD0">
      <w:pPr>
        <w:pStyle w:val="Prrafodelista"/>
        <w:widowControl w:val="0"/>
        <w:autoSpaceDE w:val="0"/>
        <w:autoSpaceDN w:val="0"/>
        <w:adjustRightInd w:val="0"/>
        <w:spacing w:line="360" w:lineRule="auto"/>
        <w:ind w:left="0"/>
        <w:jc w:val="both"/>
        <w:rPr>
          <w:rFonts w:ascii="Palatino Linotype" w:hAnsi="Palatino Linotype" w:cs="Times New Roman"/>
          <w:lang w:eastAsia="es-ES_tradnl"/>
        </w:rPr>
      </w:pPr>
    </w:p>
    <w:p w14:paraId="3A854B81" w14:textId="77777777" w:rsidR="003B04A9" w:rsidRPr="00A62BD0" w:rsidRDefault="0096621A" w:rsidP="00A62BD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hAnsi="Palatino Linotype" w:cs="Times New Roman"/>
          <w:lang w:eastAsia="es-ES_tradnl"/>
        </w:rPr>
        <w:t xml:space="preserve">En efecto, </w:t>
      </w:r>
      <w:r w:rsidR="00945057" w:rsidRPr="00A62BD0">
        <w:rPr>
          <w:rFonts w:ascii="Palatino Linotype" w:hAnsi="Palatino Linotype" w:cs="Times New Roman"/>
          <w:lang w:eastAsia="es-ES_tradnl"/>
        </w:rPr>
        <w:t xml:space="preserve">del análisis de las constancias que integran el expediente en que se actúa así como de la materia sobre la que versa la solicitud de acceso a la información pública, se advierte que los motivos de inconformidad devienen fundados y suficientes para revocar la respuesta del Sujeto Obligado en razón de las consideraciones de derecho que se exponen a continuación. </w:t>
      </w:r>
    </w:p>
    <w:p w14:paraId="0BE74D40" w14:textId="77777777" w:rsidR="003B04A9" w:rsidRPr="00A62BD0" w:rsidRDefault="003B04A9" w:rsidP="00A62BD0">
      <w:pPr>
        <w:pStyle w:val="Prrafodelista"/>
        <w:spacing w:line="360" w:lineRule="auto"/>
        <w:rPr>
          <w:rFonts w:ascii="Palatino Linotype" w:eastAsia="Times New Roman" w:hAnsi="Palatino Linotype" w:cs="Arial"/>
          <w:lang w:val="es-ES"/>
        </w:rPr>
      </w:pPr>
    </w:p>
    <w:p w14:paraId="5A75AC5F" w14:textId="77777777" w:rsidR="003B04A9" w:rsidRPr="00A62BD0" w:rsidRDefault="003B04A9" w:rsidP="00A62BD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eastAsia="Times New Roman" w:hAnsi="Palatino Linotype" w:cs="Arial"/>
          <w:lang w:val="es-ES"/>
        </w:rPr>
        <w:t>De conformidad con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reservada temporalmente por razones de interés público y de seguridad nacional y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33C6362B" w14:textId="77777777" w:rsidR="003B04A9" w:rsidRPr="00A62BD0" w:rsidRDefault="003B04A9" w:rsidP="00A62BD0">
      <w:pPr>
        <w:pStyle w:val="Prrafodelista"/>
        <w:spacing w:line="360" w:lineRule="auto"/>
        <w:rPr>
          <w:rFonts w:ascii="Palatino Linotype" w:eastAsia="Times New Roman" w:hAnsi="Palatino Linotype" w:cs="Times New Roman"/>
          <w:lang w:val="es-ES"/>
        </w:rPr>
      </w:pPr>
    </w:p>
    <w:p w14:paraId="2C7F5D14" w14:textId="77777777" w:rsidR="003B04A9" w:rsidRPr="00A62BD0" w:rsidRDefault="003B04A9" w:rsidP="00A62BD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eastAsia="Times New Roman" w:hAnsi="Palatino Linotype" w:cs="Times New Roman"/>
          <w:lang w:val="es-ES"/>
        </w:rPr>
        <w:t xml:space="preserve">Esto es, si bien desde el texto constitucional, se establece la posibilidad de restricción al acceso a la información generada, administrada y en posesión de los Sujetos Obligados cuando prevalezcan razones de interés público,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w:t>
      </w:r>
      <w:r w:rsidRPr="00A62BD0">
        <w:rPr>
          <w:rFonts w:ascii="Palatino Linotype" w:eastAsia="Times New Roman" w:hAnsi="Palatino Linotype" w:cs="Times New Roman"/>
          <w:lang w:val="es-ES"/>
        </w:rPr>
        <w:lastRenderedPageBreak/>
        <w:t>Información Pública del Estado de México y Municipios refiere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14:paraId="238C84AC" w14:textId="77777777" w:rsidR="003B04A9" w:rsidRPr="00A62BD0" w:rsidRDefault="003B04A9" w:rsidP="00A62BD0">
      <w:pPr>
        <w:pStyle w:val="Prrafodelista"/>
        <w:widowControl w:val="0"/>
        <w:autoSpaceDE w:val="0"/>
        <w:autoSpaceDN w:val="0"/>
        <w:adjustRightInd w:val="0"/>
        <w:spacing w:line="360" w:lineRule="auto"/>
        <w:ind w:left="0"/>
        <w:jc w:val="both"/>
        <w:rPr>
          <w:rFonts w:ascii="Palatino Linotype" w:hAnsi="Palatino Linotype" w:cs="Times New Roman"/>
          <w:lang w:eastAsia="es-ES_tradnl"/>
        </w:rPr>
      </w:pPr>
    </w:p>
    <w:p w14:paraId="703B7281" w14:textId="5661FE22" w:rsidR="00252619" w:rsidRPr="00A62BD0" w:rsidRDefault="003B04A9" w:rsidP="00A62BD0">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Times New Roman"/>
          <w:lang w:val="es-ES"/>
        </w:rPr>
      </w:pPr>
      <w:r w:rsidRPr="00A62BD0">
        <w:rPr>
          <w:rFonts w:ascii="Palatino Linotype" w:eastAsia="Times New Roman" w:hAnsi="Palatino Linotype" w:cs="Times New Roman"/>
          <w:lang w:val="es-ES"/>
        </w:rPr>
        <w:t>Lo anterior se afirma así, en primer término porque pretendió hacer valer que la información solicitada actualizaba la causal de excepción prevista en la fracción VIII del artículo 140, sin seguir todas las formalidades para llevar a cabo la clasificación de la información.</w:t>
      </w:r>
      <w:r w:rsidR="008C3021" w:rsidRPr="00A62BD0">
        <w:rPr>
          <w:rFonts w:ascii="Palatino Linotype" w:hAnsi="Palatino Linotype" w:cs="Times New Roman"/>
          <w:lang w:eastAsia="es-ES_tradnl"/>
        </w:rPr>
        <w:t xml:space="preserve"> </w:t>
      </w:r>
      <w:r w:rsidRPr="00A62BD0">
        <w:rPr>
          <w:rFonts w:ascii="Palatino Linotype" w:eastAsia="Times New Roman" w:hAnsi="Palatino Linotype" w:cs="Times New Roman"/>
          <w:lang w:val="es-ES"/>
        </w:rPr>
        <w:t xml:space="preserve">Es decir, si bien el </w:t>
      </w:r>
      <w:r w:rsidRPr="00A62BD0">
        <w:rPr>
          <w:rFonts w:ascii="Palatino Linotype" w:eastAsia="Times New Roman" w:hAnsi="Palatino Linotype" w:cs="Times New Roman"/>
          <w:b/>
          <w:lang w:val="es-ES"/>
        </w:rPr>
        <w:t>SUJETO OBLIGADO</w:t>
      </w:r>
      <w:r w:rsidR="00140D71" w:rsidRPr="00A62BD0">
        <w:rPr>
          <w:rFonts w:ascii="Palatino Linotype" w:eastAsia="Times New Roman" w:hAnsi="Palatino Linotype" w:cs="Times New Roman"/>
          <w:b/>
          <w:lang w:val="es-ES"/>
        </w:rPr>
        <w:t xml:space="preserve"> </w:t>
      </w:r>
      <w:r w:rsidR="00140D71" w:rsidRPr="00A62BD0">
        <w:rPr>
          <w:rFonts w:ascii="Palatino Linotype" w:eastAsia="Times New Roman" w:hAnsi="Palatino Linotype" w:cs="Times New Roman"/>
          <w:lang w:val="es-ES"/>
        </w:rPr>
        <w:t>emitió una respuesta,</w:t>
      </w:r>
      <w:r w:rsidRPr="00A62BD0">
        <w:rPr>
          <w:rFonts w:ascii="Palatino Linotype" w:eastAsia="Times New Roman" w:hAnsi="Palatino Linotype" w:cs="Times New Roman"/>
          <w:lang w:val="es-ES"/>
        </w:rPr>
        <w:t xml:space="preserve"> lo cierto es que no se otorgó la certeza debida al proceso de clasificación </w:t>
      </w:r>
      <w:r w:rsidR="008C3021" w:rsidRPr="00A62BD0">
        <w:rPr>
          <w:rFonts w:ascii="Palatino Linotype" w:eastAsia="Times New Roman" w:hAnsi="Palatino Linotype" w:cs="Times New Roman"/>
          <w:lang w:val="es-ES"/>
        </w:rPr>
        <w:t xml:space="preserve">de la información de interés del </w:t>
      </w:r>
      <w:r w:rsidRPr="00A62BD0">
        <w:rPr>
          <w:rFonts w:ascii="Palatino Linotype" w:eastAsia="Times New Roman" w:hAnsi="Palatino Linotype" w:cs="Times New Roman"/>
          <w:lang w:val="es-ES"/>
        </w:rPr>
        <w:t>solicitante pues aunque se refirió que</w:t>
      </w:r>
      <w:r w:rsidR="008C3021" w:rsidRPr="00A62BD0">
        <w:rPr>
          <w:rFonts w:ascii="Palatino Linotype" w:eastAsia="Times New Roman" w:hAnsi="Palatino Linotype" w:cs="Times New Roman"/>
          <w:lang w:val="es-ES"/>
        </w:rPr>
        <w:t xml:space="preserve"> se </w:t>
      </w:r>
      <w:r w:rsidRPr="00A62BD0">
        <w:rPr>
          <w:rFonts w:ascii="Palatino Linotype" w:eastAsia="Times New Roman" w:hAnsi="Palatino Linotype" w:cs="Times New Roman"/>
          <w:lang w:val="es-ES"/>
        </w:rPr>
        <w:t xml:space="preserve">reservó </w:t>
      </w:r>
      <w:r w:rsidR="008C3021" w:rsidRPr="00A62BD0">
        <w:rPr>
          <w:rFonts w:ascii="Palatino Linotype" w:eastAsia="Times New Roman" w:hAnsi="Palatino Linotype" w:cs="Times New Roman"/>
          <w:lang w:val="es-ES"/>
        </w:rPr>
        <w:t xml:space="preserve">debido a que el expediente solicitado guardaba relación con otros juicios o expedientes, no se emitió el acurdo que sustentara dicha situación. </w:t>
      </w:r>
    </w:p>
    <w:p w14:paraId="085F5052" w14:textId="77777777" w:rsidR="008C3021" w:rsidRPr="00A62BD0" w:rsidRDefault="008C3021" w:rsidP="00A62BD0">
      <w:pPr>
        <w:pStyle w:val="Prrafodelista"/>
        <w:widowControl w:val="0"/>
        <w:autoSpaceDE w:val="0"/>
        <w:autoSpaceDN w:val="0"/>
        <w:adjustRightInd w:val="0"/>
        <w:spacing w:line="360" w:lineRule="auto"/>
        <w:ind w:left="0"/>
        <w:jc w:val="both"/>
        <w:rPr>
          <w:rFonts w:ascii="Palatino Linotype" w:eastAsia="Times New Roman" w:hAnsi="Palatino Linotype" w:cs="Times New Roman"/>
          <w:lang w:val="es-ES"/>
        </w:rPr>
      </w:pPr>
    </w:p>
    <w:p w14:paraId="64887123" w14:textId="30A35F2F" w:rsidR="008C3021" w:rsidRPr="00A62BD0" w:rsidRDefault="008C3021" w:rsidP="00A62BD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eastAsia="Times New Roman" w:hAnsi="Palatino Linotype" w:cs="Times New Roman"/>
          <w:lang w:val="es-ES"/>
        </w:rPr>
        <w:t xml:space="preserve">En ese sentido </w:t>
      </w:r>
      <w:r w:rsidR="003B04A9" w:rsidRPr="00A62BD0">
        <w:rPr>
          <w:rFonts w:ascii="Palatino Linotype" w:eastAsia="Times New Roman" w:hAnsi="Palatino Linotype" w:cs="Times New Roman"/>
          <w:lang w:val="es-ES"/>
        </w:rPr>
        <w:t>la omisión de entrega del acuerdo de clasificación respectivo, trae como consecuencia  que no sea posible para este Órgano Garante valorar si los motivos y los fundamentos considerados por el Sujeto Obligado efectivamente hacen necesaria la restricción a la publicidad de la información materia de la solicitud; por lo que no se puede tener por cierto y acreditada la actualización de alguna causal de reserva sobre la misma</w:t>
      </w:r>
      <w:r w:rsidRPr="00A62BD0">
        <w:rPr>
          <w:rFonts w:ascii="Palatino Linotype" w:eastAsia="Times New Roman" w:hAnsi="Palatino Linotype" w:cs="Times New Roman"/>
          <w:lang w:val="es-ES"/>
        </w:rPr>
        <w:t>.</w:t>
      </w:r>
    </w:p>
    <w:p w14:paraId="1C36CEB7" w14:textId="77777777" w:rsidR="008C3021" w:rsidRPr="00A62BD0" w:rsidRDefault="008C3021" w:rsidP="00A62BD0">
      <w:pPr>
        <w:pStyle w:val="Prrafodelista"/>
        <w:spacing w:line="360" w:lineRule="auto"/>
        <w:rPr>
          <w:rFonts w:ascii="Palatino Linotype" w:eastAsia="Times New Roman" w:hAnsi="Palatino Linotype" w:cs="Arial"/>
          <w:lang w:val="es-ES"/>
        </w:rPr>
      </w:pPr>
    </w:p>
    <w:p w14:paraId="70FAADD6" w14:textId="77777777" w:rsidR="008C3021" w:rsidRPr="00A62BD0" w:rsidRDefault="003B04A9" w:rsidP="00A62BD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eastAsia="Times New Roman" w:hAnsi="Palatino Linotype" w:cs="Arial"/>
          <w:lang w:val="es-ES"/>
        </w:rPr>
        <w:t>E</w:t>
      </w:r>
      <w:r w:rsidR="008C3021" w:rsidRPr="00A62BD0">
        <w:rPr>
          <w:rFonts w:ascii="Palatino Linotype" w:eastAsia="Times New Roman" w:hAnsi="Palatino Linotype" w:cs="Arial"/>
          <w:lang w:val="es-ES"/>
        </w:rPr>
        <w:t>n ese sentido e</w:t>
      </w:r>
      <w:r w:rsidRPr="00A62BD0">
        <w:rPr>
          <w:rFonts w:ascii="Palatino Linotype" w:eastAsia="Times New Roman" w:hAnsi="Palatino Linotype" w:cs="Arial"/>
          <w:lang w:val="es-ES"/>
        </w:rPr>
        <w:t>s preciso subrayar que las leyes en la materia, en términos generales, disponen que para proceder a realizar la reserva de la información, no basta que la información se refiera a alguno de los supuestos que enmarque, en el caso concreto, el artículo 140 de nuestra Ley de Transparencia y Acceso a la Información Pública del Estado de México y Municipios; sino que es necesario que la autoridad demuestre que la divulgación de la información, en el caso concreto, puede causar un daño al interés público protegido.</w:t>
      </w:r>
    </w:p>
    <w:p w14:paraId="041FBD8F" w14:textId="77777777" w:rsidR="008C3021" w:rsidRPr="00A62BD0" w:rsidRDefault="008C3021" w:rsidP="00A62BD0">
      <w:pPr>
        <w:pStyle w:val="Prrafodelista"/>
        <w:spacing w:line="360" w:lineRule="auto"/>
        <w:rPr>
          <w:rFonts w:ascii="Palatino Linotype" w:eastAsia="Times New Roman" w:hAnsi="Palatino Linotype" w:cs="Times New Roman"/>
          <w:lang w:val="es-ES"/>
        </w:rPr>
      </w:pPr>
    </w:p>
    <w:p w14:paraId="5384A69C" w14:textId="5BEBE792" w:rsidR="003B04A9" w:rsidRPr="00A62BD0" w:rsidRDefault="003B04A9" w:rsidP="00A62BD0">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eastAsia="Times New Roman" w:hAnsi="Palatino Linotype" w:cs="Times New Roman"/>
          <w:lang w:val="es-ES"/>
        </w:rPr>
        <w:t>Así las cosas, la primera deficiencia en la respuesta del Sujeto Obligado deriva de que según lo dictado por el artículo 141 de la Ley de Transparencia y Acceso a la Información Pública del Estado de México y Municipios, se estipula que las causales de reserva se deben fundar y motivar a través de la aplicación de la prueba de daño en la que según el artículo 129, se deberán precisar las razones objetivas por las que la apertura de la información generaría una afectación, justificando:</w:t>
      </w:r>
    </w:p>
    <w:p w14:paraId="22F88BBC" w14:textId="77777777" w:rsidR="003B04A9" w:rsidRPr="00A62BD0" w:rsidRDefault="003B04A9" w:rsidP="00A62BD0">
      <w:pPr>
        <w:numPr>
          <w:ilvl w:val="0"/>
          <w:numId w:val="34"/>
        </w:numPr>
        <w:spacing w:line="360" w:lineRule="auto"/>
        <w:ind w:left="567" w:right="567" w:firstLine="0"/>
        <w:jc w:val="both"/>
        <w:rPr>
          <w:rFonts w:ascii="Palatino Linotype" w:eastAsia="Times New Roman" w:hAnsi="Palatino Linotype" w:cs="Times New Roman"/>
          <w:i/>
          <w:lang w:val="es-ES"/>
        </w:rPr>
      </w:pPr>
      <w:r w:rsidRPr="00A62BD0">
        <w:rPr>
          <w:rFonts w:ascii="Palatino Linotype" w:eastAsia="Times New Roman" w:hAnsi="Palatino Linotype" w:cs="Times New Roman"/>
          <w:i/>
          <w:lang w:val="es-ES"/>
        </w:rPr>
        <w:t>Que la divulgación  de la información, representa un riesgo real, demostrable e identificable del perjuicio significativo al interés público o a la seguridad pública;</w:t>
      </w:r>
    </w:p>
    <w:p w14:paraId="341575B4" w14:textId="77777777" w:rsidR="003B04A9" w:rsidRPr="00A62BD0" w:rsidRDefault="003B04A9" w:rsidP="00A62BD0">
      <w:pPr>
        <w:numPr>
          <w:ilvl w:val="0"/>
          <w:numId w:val="34"/>
        </w:numPr>
        <w:spacing w:line="360" w:lineRule="auto"/>
        <w:ind w:left="567" w:right="567" w:firstLine="0"/>
        <w:jc w:val="both"/>
        <w:rPr>
          <w:rFonts w:ascii="Palatino Linotype" w:eastAsia="Times New Roman" w:hAnsi="Palatino Linotype" w:cs="Times New Roman"/>
          <w:i/>
          <w:lang w:val="es-ES"/>
        </w:rPr>
      </w:pPr>
      <w:r w:rsidRPr="00A62BD0">
        <w:rPr>
          <w:rFonts w:ascii="Palatino Linotype" w:eastAsia="Times New Roman" w:hAnsi="Palatino Linotype" w:cs="Times New Roman"/>
          <w:i/>
          <w:lang w:val="es-ES"/>
        </w:rPr>
        <w:t xml:space="preserve">Que el riesgo de perjuicio que supondría la divulgación supera el interés público general de que se difunda; y </w:t>
      </w:r>
    </w:p>
    <w:p w14:paraId="36513C07" w14:textId="77777777" w:rsidR="003B04A9" w:rsidRDefault="003B04A9" w:rsidP="00A62BD0">
      <w:pPr>
        <w:numPr>
          <w:ilvl w:val="0"/>
          <w:numId w:val="34"/>
        </w:numPr>
        <w:spacing w:line="360" w:lineRule="auto"/>
        <w:ind w:left="567" w:right="567" w:firstLine="0"/>
        <w:jc w:val="both"/>
        <w:rPr>
          <w:rFonts w:ascii="Palatino Linotype" w:eastAsia="Times New Roman" w:hAnsi="Palatino Linotype" w:cs="Times New Roman"/>
          <w:i/>
          <w:lang w:val="es-ES"/>
        </w:rPr>
      </w:pPr>
      <w:r w:rsidRPr="00A62BD0">
        <w:rPr>
          <w:rFonts w:ascii="Palatino Linotype" w:eastAsia="Times New Roman" w:hAnsi="Palatino Linotype" w:cs="Times New Roman"/>
          <w:i/>
          <w:lang w:val="es-ES"/>
        </w:rPr>
        <w:lastRenderedPageBreak/>
        <w:t>Que la limitación se adecua al principio de proporcionalidad y representa el medio menos restrictivo para evitar el perjuicio.</w:t>
      </w:r>
    </w:p>
    <w:p w14:paraId="16EDD9A9" w14:textId="77777777" w:rsidR="00A62BD0" w:rsidRPr="00A62BD0" w:rsidRDefault="00A62BD0" w:rsidP="00A62BD0">
      <w:pPr>
        <w:spacing w:line="360" w:lineRule="auto"/>
        <w:ind w:left="567" w:right="567"/>
        <w:jc w:val="both"/>
        <w:rPr>
          <w:rFonts w:ascii="Palatino Linotype" w:eastAsia="Times New Roman" w:hAnsi="Palatino Linotype" w:cs="Times New Roman"/>
          <w:i/>
          <w:lang w:val="es-ES"/>
        </w:rPr>
      </w:pPr>
    </w:p>
    <w:p w14:paraId="6578B6E0" w14:textId="03D91575" w:rsidR="003B04A9" w:rsidRDefault="003B04A9" w:rsidP="00A62BD0">
      <w:pPr>
        <w:pStyle w:val="Prrafodelista"/>
        <w:numPr>
          <w:ilvl w:val="0"/>
          <w:numId w:val="1"/>
        </w:numPr>
        <w:spacing w:line="360" w:lineRule="auto"/>
        <w:ind w:left="0" w:firstLine="0"/>
        <w:jc w:val="both"/>
        <w:rPr>
          <w:rFonts w:ascii="Palatino Linotype" w:eastAsia="Times New Roman" w:hAnsi="Palatino Linotype" w:cs="Arial"/>
          <w:lang w:val="es-ES"/>
        </w:rPr>
      </w:pPr>
      <w:r w:rsidRPr="00A62BD0">
        <w:rPr>
          <w:rFonts w:ascii="Palatino Linotype" w:eastAsia="Times New Roman" w:hAnsi="Palatino Linotype" w:cs="Arial"/>
          <w:lang w:val="es-ES"/>
        </w:rPr>
        <w:t>Al respecto, los Lineamientos Generales en Materia de Clasificación y Desclasificación de la Información, así como para la elaboración de versiones públicas, en su Lineamiento Trigésimo Tercero, disponen los pasos que deben seguir los Sujetos Obligados para realizar esta prueba de daño, mismos que se insertan a continuación:</w:t>
      </w:r>
    </w:p>
    <w:p w14:paraId="3DC3EBFB" w14:textId="77777777" w:rsidR="00A62BD0" w:rsidRPr="00A62BD0" w:rsidRDefault="00A62BD0" w:rsidP="00A62BD0">
      <w:pPr>
        <w:pStyle w:val="Prrafodelista"/>
        <w:spacing w:line="360" w:lineRule="auto"/>
        <w:ind w:left="0"/>
        <w:jc w:val="both"/>
        <w:rPr>
          <w:rFonts w:ascii="Palatino Linotype" w:eastAsia="Times New Roman" w:hAnsi="Palatino Linotype" w:cs="Arial"/>
          <w:lang w:val="es-ES"/>
        </w:rPr>
      </w:pPr>
    </w:p>
    <w:p w14:paraId="630CA383" w14:textId="77777777" w:rsidR="003B04A9" w:rsidRPr="00A62BD0" w:rsidRDefault="003B04A9" w:rsidP="00A62BD0">
      <w:pPr>
        <w:numPr>
          <w:ilvl w:val="0"/>
          <w:numId w:val="35"/>
        </w:numPr>
        <w:spacing w:line="360" w:lineRule="auto"/>
        <w:ind w:left="567" w:right="567" w:firstLine="0"/>
        <w:contextualSpacing/>
        <w:jc w:val="both"/>
        <w:rPr>
          <w:rFonts w:ascii="Palatino Linotype" w:eastAsia="Times New Roman" w:hAnsi="Palatino Linotype" w:cs="Arial"/>
          <w:i/>
          <w:lang w:val="es-MX"/>
        </w:rPr>
      </w:pPr>
      <w:r w:rsidRPr="00A62BD0">
        <w:rPr>
          <w:rFonts w:ascii="Palatino Linotype" w:eastAsia="Times New Roman" w:hAnsi="Palatino Linotype" w:cs="Arial"/>
          <w:i/>
          <w:lang w:val="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76E9C742" w14:textId="77777777" w:rsidR="003B04A9" w:rsidRPr="00A62BD0" w:rsidRDefault="003B04A9" w:rsidP="00A62BD0">
      <w:pPr>
        <w:numPr>
          <w:ilvl w:val="0"/>
          <w:numId w:val="35"/>
        </w:numPr>
        <w:spacing w:line="360" w:lineRule="auto"/>
        <w:ind w:left="567" w:right="567" w:firstLine="0"/>
        <w:contextualSpacing/>
        <w:jc w:val="both"/>
        <w:rPr>
          <w:rFonts w:ascii="Palatino Linotype" w:eastAsia="Times New Roman" w:hAnsi="Palatino Linotype" w:cs="Arial"/>
          <w:i/>
          <w:lang w:val="es-MX"/>
        </w:rPr>
      </w:pPr>
      <w:r w:rsidRPr="00A62BD0">
        <w:rPr>
          <w:rFonts w:ascii="Palatino Linotype" w:eastAsia="Times New Roman" w:hAnsi="Palatino Linotype" w:cs="Arial"/>
          <w:i/>
          <w:lang w:val="es-MX"/>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018E13AF" w14:textId="77777777" w:rsidR="003B04A9" w:rsidRPr="00A62BD0" w:rsidRDefault="003B04A9" w:rsidP="00A62BD0">
      <w:pPr>
        <w:numPr>
          <w:ilvl w:val="0"/>
          <w:numId w:val="35"/>
        </w:numPr>
        <w:spacing w:line="360" w:lineRule="auto"/>
        <w:ind w:left="567" w:right="567" w:firstLine="0"/>
        <w:contextualSpacing/>
        <w:jc w:val="both"/>
        <w:rPr>
          <w:rFonts w:ascii="Palatino Linotype" w:eastAsia="Times New Roman" w:hAnsi="Palatino Linotype" w:cs="Arial"/>
          <w:i/>
          <w:lang w:val="es-MX"/>
        </w:rPr>
      </w:pPr>
      <w:r w:rsidRPr="00A62BD0">
        <w:rPr>
          <w:rFonts w:ascii="Palatino Linotype" w:eastAsia="Times New Roman" w:hAnsi="Palatino Linotype" w:cs="Arial"/>
          <w:i/>
          <w:lang w:val="es-MX"/>
        </w:rPr>
        <w:t>Se debe de acreditar el vínculo entre la difusión de la información y la afectación del interés jurídico tutelado de que se trate;</w:t>
      </w:r>
    </w:p>
    <w:p w14:paraId="4295D8D8" w14:textId="77777777" w:rsidR="003B04A9" w:rsidRPr="00A62BD0" w:rsidRDefault="003B04A9" w:rsidP="00A62BD0">
      <w:pPr>
        <w:numPr>
          <w:ilvl w:val="0"/>
          <w:numId w:val="35"/>
        </w:numPr>
        <w:spacing w:line="360" w:lineRule="auto"/>
        <w:ind w:left="567" w:right="567" w:firstLine="0"/>
        <w:contextualSpacing/>
        <w:jc w:val="both"/>
        <w:rPr>
          <w:rFonts w:ascii="Palatino Linotype" w:eastAsia="Times New Roman" w:hAnsi="Palatino Linotype" w:cs="Arial"/>
          <w:i/>
          <w:lang w:val="es-MX"/>
        </w:rPr>
      </w:pPr>
      <w:r w:rsidRPr="00A62BD0">
        <w:rPr>
          <w:rFonts w:ascii="Palatino Linotype" w:eastAsia="Times New Roman" w:hAnsi="Palatino Linotype" w:cs="Arial"/>
          <w:i/>
          <w:lang w:val="es-MX"/>
        </w:rPr>
        <w:t>Precisar las razones objetivas por las que la apertura de la información generaría una afectación, a través de los elementos de un riesgo real, demostrable e identificable;</w:t>
      </w:r>
    </w:p>
    <w:p w14:paraId="09ACC01F" w14:textId="77777777" w:rsidR="003B04A9" w:rsidRPr="00A62BD0" w:rsidRDefault="003B04A9" w:rsidP="00A62BD0">
      <w:pPr>
        <w:numPr>
          <w:ilvl w:val="0"/>
          <w:numId w:val="35"/>
        </w:numPr>
        <w:spacing w:line="360" w:lineRule="auto"/>
        <w:ind w:left="567" w:right="567" w:firstLine="0"/>
        <w:contextualSpacing/>
        <w:jc w:val="both"/>
        <w:rPr>
          <w:rFonts w:ascii="Palatino Linotype" w:eastAsia="Times New Roman" w:hAnsi="Palatino Linotype" w:cs="Arial"/>
          <w:i/>
          <w:lang w:val="es-MX"/>
        </w:rPr>
      </w:pPr>
      <w:r w:rsidRPr="00A62BD0">
        <w:rPr>
          <w:rFonts w:ascii="Palatino Linotype" w:eastAsia="Times New Roman" w:hAnsi="Palatino Linotype" w:cs="Arial"/>
          <w:i/>
          <w:lang w:val="es-MX"/>
        </w:rPr>
        <w:lastRenderedPageBreak/>
        <w:t>En la motivación de la clasificación, el sujeto obligado deberá acreditar las circunstancias de modo, tiempo y lugar del daño, y</w:t>
      </w:r>
    </w:p>
    <w:p w14:paraId="4353288C" w14:textId="77777777" w:rsidR="003B04A9" w:rsidRPr="00A62BD0" w:rsidRDefault="003B04A9" w:rsidP="00A62BD0">
      <w:pPr>
        <w:numPr>
          <w:ilvl w:val="0"/>
          <w:numId w:val="35"/>
        </w:numPr>
        <w:spacing w:line="360" w:lineRule="auto"/>
        <w:ind w:left="567" w:right="567" w:firstLine="0"/>
        <w:contextualSpacing/>
        <w:jc w:val="both"/>
        <w:rPr>
          <w:rFonts w:ascii="Palatino Linotype" w:eastAsia="Times New Roman" w:hAnsi="Palatino Linotype" w:cs="Arial"/>
          <w:i/>
          <w:lang w:val="es-MX"/>
        </w:rPr>
      </w:pPr>
      <w:r w:rsidRPr="00A62BD0">
        <w:rPr>
          <w:rFonts w:ascii="Palatino Linotype" w:eastAsia="Times New Roman" w:hAnsi="Palatino Linotype" w:cs="Arial"/>
          <w:i/>
          <w:lang w:val="es-MX"/>
        </w:rPr>
        <w:t>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7FFFF332" w14:textId="77777777" w:rsidR="008C3021" w:rsidRDefault="003B04A9" w:rsidP="00A62BD0">
      <w:pPr>
        <w:pStyle w:val="Prrafodelista"/>
        <w:numPr>
          <w:ilvl w:val="0"/>
          <w:numId w:val="1"/>
        </w:numPr>
        <w:spacing w:line="360" w:lineRule="auto"/>
        <w:ind w:left="0" w:firstLine="0"/>
        <w:jc w:val="both"/>
        <w:rPr>
          <w:rFonts w:ascii="Palatino Linotype" w:eastAsia="Times New Roman" w:hAnsi="Palatino Linotype" w:cs="Arial"/>
          <w:lang w:val="es-ES"/>
        </w:rPr>
      </w:pPr>
      <w:r w:rsidRPr="00A62BD0">
        <w:rPr>
          <w:rFonts w:ascii="Palatino Linotype" w:eastAsia="Times New Roman" w:hAnsi="Palatino Linotype" w:cs="Arial"/>
          <w:lang w:val="es-ES"/>
        </w:rPr>
        <w:t>De este modo, la prueba de daño aplicable contiene dos elementos; el primero, es la existencia de elementos objetivos que permitan determinar el riesgo y, el segundo, que ésta debe cumplir con tres condiciones: que sea real, demostrable e identificable. Siendo que, la carga de la prueba recae en la autoridad que clasifica; tal y como lo dispone el artículo 131 de la citada Ley de Transparencia y el Lineamiento Quinto de los Lineamientos Generales en Materia de Clasificación y Desclasificación de la Información, así como para la Elaboración de Ver</w:t>
      </w:r>
      <w:r w:rsidR="008C3021" w:rsidRPr="00A62BD0">
        <w:rPr>
          <w:rFonts w:ascii="Palatino Linotype" w:eastAsia="Times New Roman" w:hAnsi="Palatino Linotype" w:cs="Arial"/>
          <w:lang w:val="es-ES"/>
        </w:rPr>
        <w:t>siones Públicas.</w:t>
      </w:r>
    </w:p>
    <w:p w14:paraId="2040CFE1" w14:textId="77777777" w:rsidR="00A62BD0" w:rsidRPr="00A62BD0" w:rsidRDefault="00A62BD0" w:rsidP="00A62BD0">
      <w:pPr>
        <w:pStyle w:val="Prrafodelista"/>
        <w:spacing w:line="360" w:lineRule="auto"/>
        <w:ind w:left="0"/>
        <w:jc w:val="both"/>
        <w:rPr>
          <w:rFonts w:ascii="Palatino Linotype" w:eastAsia="Times New Roman" w:hAnsi="Palatino Linotype" w:cs="Arial"/>
          <w:lang w:val="es-ES"/>
        </w:rPr>
      </w:pPr>
    </w:p>
    <w:p w14:paraId="5DA76BC5" w14:textId="77777777" w:rsidR="008C3021" w:rsidRPr="00A62BD0" w:rsidRDefault="003B04A9" w:rsidP="00A62BD0">
      <w:pPr>
        <w:pStyle w:val="Prrafodelista"/>
        <w:numPr>
          <w:ilvl w:val="0"/>
          <w:numId w:val="1"/>
        </w:numPr>
        <w:spacing w:line="360" w:lineRule="auto"/>
        <w:ind w:left="0" w:firstLine="0"/>
        <w:jc w:val="both"/>
        <w:rPr>
          <w:rFonts w:ascii="Palatino Linotype" w:eastAsia="Times New Roman" w:hAnsi="Palatino Linotype" w:cs="Arial"/>
          <w:lang w:val="es-ES"/>
        </w:rPr>
      </w:pPr>
      <w:r w:rsidRPr="00A62BD0">
        <w:rPr>
          <w:rFonts w:ascii="Palatino Linotype" w:eastAsia="Times New Roman" w:hAnsi="Palatino Linotype" w:cs="Arial"/>
          <w:lang w:val="es-ES"/>
        </w:rPr>
        <w:t>Además, se debe enfatizar, que el daño al que refiere el citado artículo 129 de la Ley en la materia, debe ser real, demostrable e identificable, por lo que no podrá ser utilizado como justificación un daño hipotético.</w:t>
      </w:r>
      <w:r w:rsidR="008C3021" w:rsidRPr="00A62BD0">
        <w:rPr>
          <w:rFonts w:ascii="Palatino Linotype" w:eastAsia="Times New Roman" w:hAnsi="Palatino Linotype" w:cs="Arial"/>
          <w:lang w:val="es-ES"/>
        </w:rPr>
        <w:t xml:space="preserve"> </w:t>
      </w:r>
      <w:r w:rsidRPr="00A62BD0">
        <w:rPr>
          <w:rFonts w:ascii="Palatino Linotype" w:eastAsia="Times New Roman" w:hAnsi="Palatino Linotype" w:cs="Arial"/>
          <w:lang w:val="es-ES"/>
        </w:rPr>
        <w:t xml:space="preserve">Prueba de daño, que cobra </w:t>
      </w:r>
      <w:r w:rsidRPr="00A62BD0">
        <w:rPr>
          <w:rFonts w:ascii="Palatino Linotype" w:eastAsia="Times New Roman" w:hAnsi="Palatino Linotype" w:cs="Arial"/>
          <w:lang w:val="es-ES"/>
        </w:rPr>
        <w:lastRenderedPageBreak/>
        <w:t>relevancia puesto que sí ésta no arroja resultados contundentes sobre un posible peligro, deberá de publicarse la información</w:t>
      </w:r>
      <w:r w:rsidRPr="00A62BD0">
        <w:rPr>
          <w:rFonts w:ascii="Palatino Linotype" w:hAnsi="Palatino Linotype"/>
          <w:vertAlign w:val="superscript"/>
          <w:lang w:val="es-ES"/>
        </w:rPr>
        <w:footnoteReference w:id="1"/>
      </w:r>
      <w:r w:rsidRPr="00A62BD0">
        <w:rPr>
          <w:rFonts w:ascii="Palatino Linotype" w:eastAsia="Times New Roman" w:hAnsi="Palatino Linotype" w:cs="Arial"/>
          <w:lang w:val="es-ES"/>
        </w:rPr>
        <w:t>.</w:t>
      </w:r>
    </w:p>
    <w:p w14:paraId="3F513C4F" w14:textId="77777777" w:rsidR="008C3021" w:rsidRPr="00A62BD0" w:rsidRDefault="008C3021" w:rsidP="00A62BD0">
      <w:pPr>
        <w:pStyle w:val="Prrafodelista"/>
        <w:spacing w:line="360" w:lineRule="auto"/>
        <w:ind w:left="0"/>
        <w:jc w:val="both"/>
        <w:rPr>
          <w:rFonts w:ascii="Palatino Linotype" w:eastAsia="Times New Roman" w:hAnsi="Palatino Linotype" w:cs="Arial"/>
          <w:lang w:val="es-ES"/>
        </w:rPr>
      </w:pPr>
    </w:p>
    <w:p w14:paraId="0D4CF82A" w14:textId="75CDF872" w:rsidR="009F6A18" w:rsidRPr="00A62BD0" w:rsidRDefault="003B04A9" w:rsidP="00A62BD0">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A62BD0">
        <w:rPr>
          <w:rFonts w:ascii="Palatino Linotype" w:eastAsia="Times New Roman" w:hAnsi="Palatino Linotype" w:cs="Times New Roman"/>
          <w:lang w:val="es-ES"/>
        </w:rPr>
        <w:t xml:space="preserve">Prueba de daño que es evidente no demostró haber efectuado el Sujeto Obligado, ya que éste únicamente se limitó </w:t>
      </w:r>
      <w:r w:rsidR="006437A7" w:rsidRPr="00A62BD0">
        <w:rPr>
          <w:rFonts w:ascii="Palatino Linotype" w:eastAsia="Times New Roman" w:hAnsi="Palatino Linotype" w:cs="Times New Roman"/>
          <w:lang w:val="es-ES"/>
        </w:rPr>
        <w:t xml:space="preserve"> a pretender clasificar bajo </w:t>
      </w:r>
      <w:r w:rsidRPr="00A62BD0">
        <w:rPr>
          <w:rFonts w:ascii="Palatino Linotype" w:eastAsia="Times New Roman" w:hAnsi="Palatino Linotype" w:cs="Times New Roman"/>
          <w:lang w:val="es-ES"/>
        </w:rPr>
        <w:t>la causal de reserva que a su criterio actualizaba la información que le fue solicitada lo era la establecida en las fracciones V y VIII del artículo 140 de la Ley de la Materia, explicando de manera general que entregar la información va en perjuicio del interés común de la población pues se afectarían los principios de seguridad y certeza jurídica que deben regir en el desarrollo de un proceso jurisdiccional, por lo que se pudieran entorpecer las actuaciones de la instancia jurisdiccional</w:t>
      </w:r>
      <w:r w:rsidR="009F6A18" w:rsidRPr="00A62BD0">
        <w:rPr>
          <w:rFonts w:ascii="Palatino Linotype" w:eastAsia="Times New Roman" w:hAnsi="Palatino Linotype" w:cs="Times New Roman"/>
          <w:lang w:val="es-ES"/>
        </w:rPr>
        <w:t>.</w:t>
      </w:r>
    </w:p>
    <w:p w14:paraId="0E20795B" w14:textId="77777777" w:rsidR="009F6A18" w:rsidRPr="00A62BD0" w:rsidRDefault="009F6A18" w:rsidP="00A62BD0">
      <w:pPr>
        <w:pStyle w:val="Prrafodelista"/>
        <w:spacing w:line="360" w:lineRule="auto"/>
        <w:rPr>
          <w:rFonts w:ascii="Palatino Linotype" w:eastAsia="Times New Roman" w:hAnsi="Palatino Linotype" w:cs="Times New Roman"/>
          <w:lang w:val="es-ES"/>
        </w:rPr>
      </w:pPr>
    </w:p>
    <w:p w14:paraId="6BD27D67" w14:textId="79C12A8B" w:rsidR="009F6A18" w:rsidRPr="00A62BD0" w:rsidRDefault="003B04A9" w:rsidP="00A62BD0">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A62BD0">
        <w:rPr>
          <w:rFonts w:ascii="Palatino Linotype" w:eastAsia="Times New Roman" w:hAnsi="Palatino Linotype" w:cs="Times New Roman"/>
          <w:lang w:val="es-ES"/>
        </w:rPr>
        <w:t>De ahí que la</w:t>
      </w:r>
      <w:r w:rsidR="006437A7" w:rsidRPr="00A62BD0">
        <w:rPr>
          <w:rFonts w:ascii="Palatino Linotype" w:eastAsia="Times New Roman" w:hAnsi="Palatino Linotype" w:cs="Times New Roman"/>
          <w:lang w:val="es-ES"/>
        </w:rPr>
        <w:t xml:space="preserve"> </w:t>
      </w:r>
      <w:r w:rsidR="006437A7" w:rsidRPr="00A62BD0">
        <w:rPr>
          <w:rFonts w:ascii="Palatino Linotype" w:eastAsia="Times New Roman" w:hAnsi="Palatino Linotype" w:cs="Times New Roman"/>
          <w:b/>
          <w:lang w:val="es-ES"/>
        </w:rPr>
        <w:t>pretendida</w:t>
      </w:r>
      <w:r w:rsidRPr="00A62BD0">
        <w:rPr>
          <w:rFonts w:ascii="Palatino Linotype" w:eastAsia="Times New Roman" w:hAnsi="Palatino Linotype" w:cs="Times New Roman"/>
          <w:b/>
          <w:lang w:val="es-ES"/>
        </w:rPr>
        <w:t xml:space="preserve"> clasificación de la información</w:t>
      </w:r>
      <w:r w:rsidRPr="00A62BD0">
        <w:rPr>
          <w:rFonts w:ascii="Palatino Linotype" w:eastAsia="Times New Roman" w:hAnsi="Palatino Linotype" w:cs="Times New Roman"/>
          <w:lang w:val="es-ES"/>
        </w:rPr>
        <w:t xml:space="preserve"> anunciada no pueda ser considerada como adecuada, al no explicarse mediante la prueba de daño las razones fundadas y motivadas que justifiquen el perjuicio de entregar a la ahora recurrente la información que desea conocer.</w:t>
      </w:r>
    </w:p>
    <w:p w14:paraId="7E88BD31" w14:textId="77777777" w:rsidR="009F6A18" w:rsidRPr="00A62BD0" w:rsidRDefault="009F6A18" w:rsidP="00A62BD0">
      <w:pPr>
        <w:pStyle w:val="Prrafodelista"/>
        <w:spacing w:line="360" w:lineRule="auto"/>
        <w:rPr>
          <w:rFonts w:ascii="Palatino Linotype" w:eastAsia="Times New Roman" w:hAnsi="Palatino Linotype" w:cs="Times New Roman"/>
          <w:lang w:val="es-ES"/>
        </w:rPr>
      </w:pPr>
    </w:p>
    <w:p w14:paraId="40E3742C" w14:textId="77777777" w:rsidR="009F6A18" w:rsidRPr="00A62BD0" w:rsidRDefault="003B04A9" w:rsidP="00A62BD0">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A62BD0">
        <w:rPr>
          <w:rFonts w:ascii="Palatino Linotype" w:eastAsia="Times New Roman" w:hAnsi="Palatino Linotype" w:cs="Times New Roman"/>
          <w:lang w:val="es-ES"/>
        </w:rPr>
        <w:t xml:space="preserve">La respuesta emitida por el Sujeto Obligado, carece también a consecuencia de la omisión anterior, de una suficiente fundamentación y motivación, respecto de </w:t>
      </w:r>
      <w:r w:rsidRPr="00A62BD0">
        <w:rPr>
          <w:rFonts w:ascii="Palatino Linotype" w:eastAsia="Times New Roman" w:hAnsi="Palatino Linotype" w:cs="Times New Roman"/>
          <w:lang w:val="es-ES"/>
        </w:rPr>
        <w:lastRenderedPageBreak/>
        <w:t xml:space="preserve">lo cual debe recordarse que, la primera de ellas consiste en </w:t>
      </w:r>
      <w:r w:rsidRPr="00A62BD0">
        <w:rPr>
          <w:rFonts w:ascii="Palatino Linotype" w:eastAsia="Times New Roman" w:hAnsi="Palatino Linotype" w:cs="Arial"/>
          <w:lang w:val="es-ES"/>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40D4BEF6" w14:textId="77777777" w:rsidR="009F6A18" w:rsidRPr="00A62BD0" w:rsidRDefault="009F6A18" w:rsidP="00A62BD0">
      <w:pPr>
        <w:pStyle w:val="Prrafodelista"/>
        <w:spacing w:line="360" w:lineRule="auto"/>
        <w:rPr>
          <w:rFonts w:ascii="Palatino Linotype" w:eastAsia="Times New Roman" w:hAnsi="Palatino Linotype" w:cs="Arial"/>
          <w:bCs/>
          <w:lang w:val="es-ES"/>
        </w:rPr>
      </w:pPr>
    </w:p>
    <w:p w14:paraId="05CF0EB0" w14:textId="70ECA076" w:rsidR="003B04A9" w:rsidRPr="00A62BD0" w:rsidRDefault="003B04A9" w:rsidP="00A62BD0">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A62BD0">
        <w:rPr>
          <w:rFonts w:ascii="Palatino Linotype" w:eastAsia="Times New Roman" w:hAnsi="Palatino Linotype" w:cs="Arial"/>
          <w:bCs/>
          <w:lang w:val="es-ES"/>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737332A0" w14:textId="77777777" w:rsidR="003B04A9" w:rsidRPr="00A62BD0" w:rsidRDefault="003B04A9" w:rsidP="00A62BD0">
      <w:pPr>
        <w:spacing w:line="360" w:lineRule="auto"/>
        <w:ind w:left="567" w:right="900"/>
        <w:jc w:val="both"/>
        <w:rPr>
          <w:rFonts w:ascii="Palatino Linotype" w:eastAsia="Times New Roman" w:hAnsi="Palatino Linotype" w:cs="Arial"/>
          <w:bCs/>
          <w:i/>
          <w:iCs/>
          <w:lang w:val="es-ES"/>
        </w:rPr>
      </w:pPr>
      <w:r w:rsidRPr="00A62BD0">
        <w:rPr>
          <w:rFonts w:ascii="Palatino Linotype" w:eastAsia="Times New Roman" w:hAnsi="Palatino Linotype" w:cs="Arial"/>
          <w:bCs/>
          <w:i/>
          <w:iCs/>
          <w:lang w:val="es-ES"/>
        </w:rPr>
        <w:t>“</w:t>
      </w:r>
      <w:r w:rsidRPr="00A62BD0">
        <w:rPr>
          <w:rFonts w:ascii="Palatino Linotype" w:eastAsia="Times New Roman" w:hAnsi="Palatino Linotype" w:cs="Arial"/>
          <w:b/>
          <w:bCs/>
          <w:i/>
          <w:iCs/>
          <w:lang w:val="es-ES"/>
        </w:rPr>
        <w:t>FUNDAMENTACIÓN Y MOTIVACIÓN. EL ASPECTO FORMAL DE LA GARANTÍA Y SU FINALIDAD SE TRADUCEN EN EXPLICAR, JUSTIFICAR, POSIBILITAR LA DEFENSA Y COMUNICAR LA DECISIÓN. </w:t>
      </w:r>
      <w:r w:rsidRPr="00A62BD0">
        <w:rPr>
          <w:rFonts w:ascii="Palatino Linotype" w:eastAsia="Times New Roman" w:hAnsi="Palatino Linotype" w:cs="Arial"/>
          <w:bCs/>
          <w:i/>
          <w:iCs/>
          <w:lang w:val="es-ES"/>
        </w:rPr>
        <w:t>El contenido formal de la garantía de legalidad prevista en el artículo 16 constitucional relativa a la fundamentación y motivación tiene como propósito primordial y ratio que el justiciable </w:t>
      </w:r>
      <w:r w:rsidRPr="00A62BD0">
        <w:rPr>
          <w:rFonts w:ascii="Palatino Linotype" w:eastAsia="Times New Roman" w:hAnsi="Palatino Linotype" w:cs="Arial"/>
          <w:bCs/>
          <w:i/>
          <w:iCs/>
          <w:u w:val="single"/>
          <w:lang w:val="es-ES"/>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A62BD0">
        <w:rPr>
          <w:rFonts w:ascii="Palatino Linotype" w:eastAsia="Times New Roman" w:hAnsi="Palatino Linotype" w:cs="Arial"/>
          <w:bCs/>
          <w:i/>
          <w:iCs/>
          <w:u w:val="single"/>
          <w:lang w:val="es-ES"/>
        </w:rPr>
        <w:lastRenderedPageBreak/>
        <w:t>defensa.</w:t>
      </w:r>
      <w:r w:rsidRPr="00A62BD0">
        <w:rPr>
          <w:rFonts w:ascii="Palatino Linotype" w:eastAsia="Times New Roman" w:hAnsi="Palatino Linotype" w:cs="Arial"/>
          <w:bCs/>
          <w:i/>
          <w:iCs/>
          <w:lang w:val="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62BD0">
        <w:rPr>
          <w:rFonts w:ascii="Palatino Linotype" w:eastAsia="Times New Roman" w:hAnsi="Palatino Linotype" w:cs="Arial"/>
          <w:bCs/>
          <w:i/>
          <w:iCs/>
          <w:u w:val="single"/>
          <w:lang w:val="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62BD0">
        <w:rPr>
          <w:rFonts w:ascii="Palatino Linotype" w:eastAsia="Times New Roman" w:hAnsi="Palatino Linotype" w:cs="Arial"/>
          <w:bCs/>
          <w:i/>
          <w:iCs/>
          <w:lang w:val="es-ES"/>
        </w:rPr>
        <w:t> del que se deduzca la relación de pertenencia lógica de los hechos al derecho invocado, que es la subsunción.”</w:t>
      </w:r>
    </w:p>
    <w:p w14:paraId="256A2946" w14:textId="77777777" w:rsidR="003B04A9" w:rsidRPr="00A62BD0" w:rsidRDefault="003B04A9" w:rsidP="00A62BD0">
      <w:pPr>
        <w:spacing w:line="360" w:lineRule="auto"/>
        <w:ind w:left="567" w:right="900"/>
        <w:jc w:val="both"/>
        <w:rPr>
          <w:rFonts w:ascii="Palatino Linotype" w:eastAsia="Times New Roman" w:hAnsi="Palatino Linotype" w:cs="Arial"/>
          <w:bCs/>
          <w:i/>
          <w:iCs/>
          <w:lang w:val="es-ES"/>
        </w:rPr>
      </w:pPr>
      <w:r w:rsidRPr="00A62BD0">
        <w:rPr>
          <w:rFonts w:ascii="Palatino Linotype" w:eastAsia="Times New Roman" w:hAnsi="Palatino Linotype" w:cs="Arial"/>
          <w:bCs/>
          <w:i/>
          <w:iCs/>
          <w:lang w:val="es-ES"/>
        </w:rPr>
        <w:t>“</w:t>
      </w:r>
      <w:r w:rsidRPr="00A62BD0">
        <w:rPr>
          <w:rFonts w:ascii="Palatino Linotype" w:eastAsia="Times New Roman" w:hAnsi="Palatino Linotype" w:cs="Arial"/>
          <w:b/>
          <w:bCs/>
          <w:i/>
          <w:iCs/>
          <w:lang w:val="es-ES"/>
        </w:rPr>
        <w:t>FUNDAMENTACION Y MOTIVACION. </w:t>
      </w:r>
      <w:r w:rsidRPr="00A62BD0">
        <w:rPr>
          <w:rFonts w:ascii="Palatino Linotype" w:eastAsia="Times New Roman" w:hAnsi="Palatino Linotype" w:cs="Arial"/>
          <w:bCs/>
          <w:i/>
          <w:iCs/>
          <w:lang w:val="es-ES"/>
        </w:rPr>
        <w:t>La debida fundamentación y motivación legal, deben entenderse, por lo primero</w:t>
      </w:r>
      <w:r w:rsidRPr="00A62BD0">
        <w:rPr>
          <w:rFonts w:ascii="Palatino Linotype" w:eastAsia="Times New Roman" w:hAnsi="Palatino Linotype" w:cs="Arial"/>
          <w:b/>
          <w:bCs/>
          <w:i/>
          <w:iCs/>
          <w:lang w:val="es-ES"/>
        </w:rPr>
        <w:t xml:space="preserve">, </w:t>
      </w:r>
      <w:r w:rsidRPr="00A62BD0">
        <w:rPr>
          <w:rFonts w:ascii="Palatino Linotype" w:eastAsia="Times New Roman" w:hAnsi="Palatino Linotype" w:cs="Arial"/>
          <w:bCs/>
          <w:i/>
          <w:iCs/>
          <w:u w:val="single"/>
          <w:lang w:val="es-ES"/>
        </w:rPr>
        <w:t>la cita del precepto legal aplicable al caso, y por lo segundo, las razones, motivos o circunstancias especiales que llevaron a la autoridad a concluir que el caso particular encuadra en el supuesto previsto por la norma</w:t>
      </w:r>
      <w:r w:rsidRPr="00A62BD0">
        <w:rPr>
          <w:rFonts w:ascii="Palatino Linotype" w:eastAsia="Times New Roman" w:hAnsi="Palatino Linotype" w:cs="Arial"/>
          <w:bCs/>
          <w:i/>
          <w:iCs/>
          <w:lang w:val="es-ES"/>
        </w:rPr>
        <w:t> legal invocada como fundamento.”</w:t>
      </w:r>
    </w:p>
    <w:p w14:paraId="54C6FB5D" w14:textId="77777777" w:rsidR="009F6A18" w:rsidRPr="00A62BD0" w:rsidRDefault="009F6A18" w:rsidP="00A62BD0">
      <w:pPr>
        <w:spacing w:line="360" w:lineRule="auto"/>
        <w:ind w:left="851" w:right="900"/>
        <w:jc w:val="both"/>
        <w:rPr>
          <w:rFonts w:ascii="Palatino Linotype" w:eastAsia="Times New Roman" w:hAnsi="Palatino Linotype" w:cs="Times New Roman"/>
          <w:lang w:val="es-ES"/>
        </w:rPr>
      </w:pPr>
    </w:p>
    <w:p w14:paraId="7D0842CC" w14:textId="77777777" w:rsidR="009F6A18" w:rsidRPr="00A62BD0" w:rsidRDefault="003B04A9" w:rsidP="00A62BD0">
      <w:pPr>
        <w:pStyle w:val="Prrafodelista"/>
        <w:numPr>
          <w:ilvl w:val="0"/>
          <w:numId w:val="1"/>
        </w:numPr>
        <w:spacing w:line="360" w:lineRule="auto"/>
        <w:ind w:left="142" w:hanging="142"/>
        <w:jc w:val="both"/>
        <w:rPr>
          <w:rFonts w:ascii="Palatino Linotype" w:eastAsia="Times New Roman" w:hAnsi="Palatino Linotype" w:cs="Arial"/>
          <w:lang w:val="es-ES"/>
        </w:rPr>
      </w:pPr>
      <w:r w:rsidRPr="00A62BD0">
        <w:rPr>
          <w:rFonts w:ascii="Palatino Linotype" w:eastAsia="Times New Roman" w:hAnsi="Palatino Linotype" w:cs="Arial"/>
          <w:lang w:val="es-ES"/>
        </w:rPr>
        <w:t xml:space="preserve">Pues no debe perderse de vista que si bien </w:t>
      </w:r>
      <w:r w:rsidRPr="00A62BD0">
        <w:rPr>
          <w:rFonts w:ascii="Palatino Linotype" w:eastAsia="Times New Roman" w:hAnsi="Palatino Linotype" w:cs="Arial"/>
          <w:lang w:val="es-ES" w:eastAsia="es-MX"/>
        </w:rPr>
        <w:t>e</w:t>
      </w:r>
      <w:r w:rsidRPr="00A62BD0">
        <w:rPr>
          <w:rFonts w:ascii="Palatino Linotype" w:eastAsia="Times New Roman" w:hAnsi="Palatino Linotype" w:cs="Arial"/>
          <w:lang w:val="es-ES"/>
        </w:rPr>
        <w:t xml:space="preserve">l derecho de acceso a la información pública puede ser restringido; para ello, tanto los supuestos de reserva como confidencialidad que se encuentran ya previstos en las leyes deben ser acordes con las bases, principios y disposiciones establecidos en la Ley General </w:t>
      </w:r>
      <w:r w:rsidRPr="00A62BD0">
        <w:rPr>
          <w:rFonts w:ascii="Palatino Linotype" w:eastAsia="Times New Roman" w:hAnsi="Palatino Linotype" w:cs="Arial"/>
          <w:lang w:val="es-ES"/>
        </w:rPr>
        <w:lastRenderedPageBreak/>
        <w:t>y por tanto en la Ley de la Entidad, lo que necesariamente involucra la formalización de la clasificación con los requisitos y pasos establecidos en las mismas leyes.</w:t>
      </w:r>
    </w:p>
    <w:p w14:paraId="729838C6" w14:textId="77777777" w:rsidR="009F6A18" w:rsidRPr="00A62BD0" w:rsidRDefault="009F6A18" w:rsidP="00A62BD0">
      <w:pPr>
        <w:pStyle w:val="Prrafodelista"/>
        <w:spacing w:line="360" w:lineRule="auto"/>
        <w:ind w:left="142"/>
        <w:jc w:val="both"/>
        <w:rPr>
          <w:rFonts w:ascii="Palatino Linotype" w:eastAsia="Times New Roman" w:hAnsi="Palatino Linotype" w:cs="Arial"/>
          <w:lang w:val="es-ES"/>
        </w:rPr>
      </w:pPr>
    </w:p>
    <w:p w14:paraId="051A5C3B" w14:textId="77777777" w:rsidR="009F6A18" w:rsidRPr="00A62BD0" w:rsidRDefault="003B04A9" w:rsidP="00A62BD0">
      <w:pPr>
        <w:pStyle w:val="Prrafodelista"/>
        <w:numPr>
          <w:ilvl w:val="0"/>
          <w:numId w:val="1"/>
        </w:numPr>
        <w:spacing w:line="360" w:lineRule="auto"/>
        <w:ind w:left="142" w:hanging="142"/>
        <w:jc w:val="both"/>
        <w:rPr>
          <w:rFonts w:ascii="Palatino Linotype" w:eastAsia="Times New Roman" w:hAnsi="Palatino Linotype" w:cs="Arial"/>
          <w:lang w:val="es-ES"/>
        </w:rPr>
      </w:pPr>
      <w:r w:rsidRPr="00A62BD0">
        <w:rPr>
          <w:rFonts w:ascii="Palatino Linotype" w:eastAsia="Times New Roman" w:hAnsi="Palatino Linotype" w:cs="Times New Roman"/>
          <w:lang w:val="es-ES"/>
        </w:rPr>
        <w:t xml:space="preserve">Siendo importante referir en que en el caso concreto de la realización de una prueba de daño, por lo que hace a la motivación, </w:t>
      </w:r>
      <w:r w:rsidRPr="00A62BD0">
        <w:rPr>
          <w:rFonts w:ascii="Palatino Linotype" w:eastAsia="Times New Roman" w:hAnsi="Palatino Linotype" w:cs="Arial"/>
          <w:lang w:val="es-ES"/>
        </w:rPr>
        <w:t>no debe basarse en meras especulaciones o suposiciones, sino en elementos objetivos que deban evaluar que existe un riego actual e inminente</w:t>
      </w:r>
      <w:r w:rsidRPr="00A62BD0">
        <w:rPr>
          <w:rFonts w:ascii="Palatino Linotype" w:hAnsi="Palatino Linotype" w:cs="Arial"/>
          <w:vertAlign w:val="superscript"/>
          <w:lang w:val="es-ES"/>
        </w:rPr>
        <w:footnoteReference w:id="2"/>
      </w:r>
      <w:r w:rsidRPr="00A62BD0">
        <w:rPr>
          <w:rFonts w:ascii="Palatino Linotype" w:eastAsia="Times New Roman" w:hAnsi="Palatino Linotype" w:cs="Arial"/>
          <w:lang w:val="es-ES"/>
        </w:rPr>
        <w:t>.</w:t>
      </w:r>
    </w:p>
    <w:p w14:paraId="3E205135" w14:textId="77777777" w:rsidR="009F6A18" w:rsidRPr="00A62BD0" w:rsidRDefault="009F6A18" w:rsidP="00A62BD0">
      <w:pPr>
        <w:pStyle w:val="Prrafodelista"/>
        <w:spacing w:line="360" w:lineRule="auto"/>
        <w:rPr>
          <w:rFonts w:ascii="Palatino Linotype" w:hAnsi="Palatino Linotype" w:cs="Times New Roman"/>
          <w:lang w:eastAsia="es-ES_tradnl"/>
        </w:rPr>
      </w:pPr>
    </w:p>
    <w:p w14:paraId="5C30C523" w14:textId="5F50E9A5" w:rsidR="009F6A18" w:rsidRPr="00A62BD0" w:rsidRDefault="000C574D" w:rsidP="00A62BD0">
      <w:pPr>
        <w:pStyle w:val="Prrafodelista"/>
        <w:numPr>
          <w:ilvl w:val="0"/>
          <w:numId w:val="1"/>
        </w:numPr>
        <w:spacing w:line="360" w:lineRule="auto"/>
        <w:ind w:left="142" w:hanging="142"/>
        <w:jc w:val="both"/>
        <w:rPr>
          <w:rFonts w:ascii="Palatino Linotype" w:eastAsia="Times New Roman" w:hAnsi="Palatino Linotype" w:cs="Arial"/>
          <w:lang w:val="es-ES"/>
        </w:rPr>
      </w:pPr>
      <w:r w:rsidRPr="00A62BD0">
        <w:rPr>
          <w:rFonts w:ascii="Palatino Linotype" w:hAnsi="Palatino Linotype" w:cs="Times New Roman"/>
          <w:lang w:eastAsia="es-ES_tradnl"/>
        </w:rPr>
        <w:t xml:space="preserve">Expuesto lo anterior, </w:t>
      </w:r>
      <w:r w:rsidR="009F6A18" w:rsidRPr="00A62BD0">
        <w:rPr>
          <w:rFonts w:ascii="Palatino Linotype" w:eastAsia="Times New Roman" w:hAnsi="Palatino Linotype" w:cs="Times New Roman"/>
          <w:lang w:val="es-ES"/>
        </w:rPr>
        <w:t>el Sujeto Obligado refiere que la información materia de la solicitud de información actualiza la causal de reserva, preceptuada en la fracción VIII del artículo 140 de la Ley de Transparencia y Acceso a la Información Pública del Estado de México y Municipios, que a la letra dice lo siguiente:</w:t>
      </w:r>
    </w:p>
    <w:p w14:paraId="5607AD4D" w14:textId="77777777" w:rsidR="009F6A18" w:rsidRPr="00A62BD0" w:rsidRDefault="009F6A18" w:rsidP="00A62BD0">
      <w:pPr>
        <w:spacing w:line="360" w:lineRule="auto"/>
        <w:ind w:left="851" w:right="900"/>
        <w:jc w:val="both"/>
        <w:rPr>
          <w:rFonts w:ascii="Palatino Linotype" w:eastAsia="Times New Roman" w:hAnsi="Palatino Linotype" w:cs="Times New Roman"/>
          <w:i/>
          <w:lang w:val="es-ES"/>
        </w:rPr>
      </w:pPr>
      <w:r w:rsidRPr="00A62BD0">
        <w:rPr>
          <w:rFonts w:ascii="Palatino Linotype" w:eastAsia="Times New Roman" w:hAnsi="Palatino Linotype" w:cs="Times New Roman"/>
          <w:i/>
          <w:lang w:val="es-ES"/>
        </w:rPr>
        <w:t>“</w:t>
      </w:r>
      <w:r w:rsidRPr="00A62BD0">
        <w:rPr>
          <w:rFonts w:ascii="Palatino Linotype" w:eastAsia="Times New Roman" w:hAnsi="Palatino Linotype" w:cs="Times New Roman"/>
          <w:b/>
          <w:i/>
          <w:lang w:val="es-ES"/>
        </w:rPr>
        <w:t>Artículo 140.</w:t>
      </w:r>
      <w:r w:rsidRPr="00A62BD0">
        <w:rPr>
          <w:rFonts w:ascii="Palatino Linotype" w:eastAsia="Times New Roman" w:hAnsi="Palatino Linotype" w:cs="Times New Roman"/>
          <w:i/>
          <w:lang w:val="es-ES"/>
        </w:rPr>
        <w:t xml:space="preserve"> </w:t>
      </w:r>
      <w:r w:rsidRPr="00A62BD0">
        <w:rPr>
          <w:rFonts w:ascii="Palatino Linotype" w:eastAsia="Times New Roman" w:hAnsi="Palatino Linotype" w:cs="Times New Roman"/>
          <w:b/>
          <w:i/>
          <w:lang w:val="es-ES"/>
        </w:rPr>
        <w:t>El acceso a la información pública será restringido excepcionalmente, cuando por razones de interés público, ésta sea clasificada como reservada</w:t>
      </w:r>
      <w:r w:rsidRPr="00A62BD0">
        <w:rPr>
          <w:rFonts w:ascii="Palatino Linotype" w:eastAsia="Times New Roman" w:hAnsi="Palatino Linotype" w:cs="Times New Roman"/>
          <w:i/>
          <w:lang w:val="es-ES"/>
        </w:rPr>
        <w:t>, conforme a los criterios siguientes:</w:t>
      </w:r>
    </w:p>
    <w:p w14:paraId="7173C074" w14:textId="6A2B71D9" w:rsidR="00A62BD0" w:rsidRDefault="009F6A18" w:rsidP="00A62BD0">
      <w:pPr>
        <w:spacing w:line="360" w:lineRule="auto"/>
        <w:ind w:left="851" w:right="900"/>
        <w:jc w:val="both"/>
        <w:rPr>
          <w:rFonts w:ascii="Palatino Linotype" w:eastAsia="Times New Roman" w:hAnsi="Palatino Linotype" w:cs="Times New Roman"/>
          <w:i/>
          <w:lang w:val="es-ES"/>
        </w:rPr>
      </w:pPr>
      <w:r w:rsidRPr="00A62BD0">
        <w:rPr>
          <w:rFonts w:ascii="Palatino Linotype" w:eastAsia="Times New Roman" w:hAnsi="Palatino Linotype" w:cs="Times New Roman"/>
          <w:i/>
          <w:lang w:val="es-ES"/>
        </w:rPr>
        <w:t>(…)</w:t>
      </w:r>
    </w:p>
    <w:p w14:paraId="1FBB872C" w14:textId="77777777" w:rsidR="00A62BD0" w:rsidRPr="00A62BD0" w:rsidRDefault="00A62BD0" w:rsidP="00A62BD0">
      <w:pPr>
        <w:spacing w:line="360" w:lineRule="auto"/>
        <w:ind w:left="851" w:right="900"/>
        <w:jc w:val="both"/>
        <w:rPr>
          <w:rFonts w:ascii="Palatino Linotype" w:eastAsia="Times New Roman" w:hAnsi="Palatino Linotype" w:cs="Times New Roman"/>
          <w:i/>
          <w:lang w:val="es-ES"/>
        </w:rPr>
      </w:pPr>
    </w:p>
    <w:p w14:paraId="5AB931E6" w14:textId="33B012F6" w:rsidR="009F6A18" w:rsidRPr="00A62BD0" w:rsidRDefault="009F6A18" w:rsidP="00A62BD0">
      <w:pPr>
        <w:pStyle w:val="Prrafodelista"/>
        <w:numPr>
          <w:ilvl w:val="0"/>
          <w:numId w:val="35"/>
        </w:numPr>
        <w:spacing w:line="360" w:lineRule="auto"/>
        <w:ind w:right="900"/>
        <w:jc w:val="both"/>
        <w:rPr>
          <w:rFonts w:ascii="Palatino Linotype" w:eastAsia="Times New Roman" w:hAnsi="Palatino Linotype" w:cs="Times New Roman"/>
          <w:i/>
          <w:lang w:val="es-ES"/>
        </w:rPr>
      </w:pPr>
      <w:r w:rsidRPr="00A62BD0">
        <w:rPr>
          <w:rFonts w:ascii="Palatino Linotype" w:eastAsia="Times New Roman" w:hAnsi="Palatino Linotype" w:cs="Times New Roman"/>
          <w:b/>
          <w:i/>
          <w:lang w:val="es-ES"/>
        </w:rPr>
        <w:lastRenderedPageBreak/>
        <w:t xml:space="preserve">Vulnere la conducción </w:t>
      </w:r>
      <w:r w:rsidRPr="00A62BD0">
        <w:rPr>
          <w:rFonts w:ascii="Palatino Linotype" w:eastAsia="Times New Roman" w:hAnsi="Palatino Linotype" w:cs="Times New Roman"/>
          <w:i/>
          <w:lang w:val="es-ES"/>
        </w:rPr>
        <w:t>de los expedientes judiciales o</w:t>
      </w:r>
      <w:r w:rsidRPr="00A62BD0">
        <w:rPr>
          <w:rFonts w:ascii="Palatino Linotype" w:eastAsia="Times New Roman" w:hAnsi="Palatino Linotype" w:cs="Times New Roman"/>
          <w:b/>
          <w:i/>
          <w:lang w:val="es-ES"/>
        </w:rPr>
        <w:t xml:space="preserve"> de los procedimientos administrativos seguidos en forma de juicio, en tanto no hayan quedado firmes</w:t>
      </w:r>
      <w:r w:rsidRPr="00A62BD0">
        <w:rPr>
          <w:rFonts w:ascii="Palatino Linotype" w:eastAsia="Times New Roman" w:hAnsi="Palatino Linotype" w:cs="Times New Roman"/>
          <w:i/>
          <w:lang w:val="es-ES"/>
        </w:rPr>
        <w:t>;…”</w:t>
      </w:r>
    </w:p>
    <w:p w14:paraId="1F39182F" w14:textId="77777777" w:rsidR="009F6A18" w:rsidRPr="00A62BD0" w:rsidRDefault="009F6A18" w:rsidP="00A62BD0">
      <w:pPr>
        <w:pStyle w:val="Prrafodelista"/>
        <w:spacing w:line="360" w:lineRule="auto"/>
        <w:ind w:right="900"/>
        <w:jc w:val="both"/>
        <w:rPr>
          <w:rFonts w:ascii="Palatino Linotype" w:eastAsia="Times New Roman" w:hAnsi="Palatino Linotype" w:cs="Times New Roman"/>
          <w:i/>
          <w:lang w:val="es-ES"/>
        </w:rPr>
      </w:pPr>
    </w:p>
    <w:p w14:paraId="6320C173" w14:textId="77777777" w:rsidR="009F6A18" w:rsidRPr="00A62BD0" w:rsidRDefault="009F6A18" w:rsidP="00A62BD0">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A62BD0">
        <w:rPr>
          <w:rFonts w:ascii="Palatino Linotype" w:eastAsia="Times New Roman" w:hAnsi="Palatino Linotype" w:cs="Times New Roman"/>
          <w:lang w:val="es-ES"/>
        </w:rPr>
        <w:t xml:space="preserve">Como se observa de dicha transcripción se desprende que podrá limitarse el acceso a la información pública, por razones de interés público, clasificando la información como reservada cuando la divulgación de la información pueda afectar la conducción de los procedimientos administrativos seguidos en forma de juicio, mientras no hayan quedado firmes; es decir, al pretender actualizar dicha causal de reserva se deben acreditar dos cosas: (i) que la publicación de la información vulneraría la tramitación del procedimiento administrativo y (ii) que el procedimiento no esté totalmente concluido. </w:t>
      </w:r>
    </w:p>
    <w:p w14:paraId="45E14C49" w14:textId="77777777" w:rsidR="006437A7" w:rsidRPr="00A62BD0" w:rsidRDefault="006437A7" w:rsidP="00A62BD0">
      <w:pPr>
        <w:pStyle w:val="Prrafodelista"/>
        <w:spacing w:line="360" w:lineRule="auto"/>
        <w:ind w:left="0"/>
        <w:jc w:val="both"/>
        <w:rPr>
          <w:rFonts w:ascii="Palatino Linotype" w:eastAsia="Times New Roman" w:hAnsi="Palatino Linotype" w:cs="Times New Roman"/>
          <w:lang w:val="es-ES"/>
        </w:rPr>
      </w:pPr>
    </w:p>
    <w:p w14:paraId="3F26692A" w14:textId="525C0AD9" w:rsidR="00A62BD0" w:rsidRPr="00A62BD0" w:rsidRDefault="009F6A18" w:rsidP="00A62BD0">
      <w:pPr>
        <w:pStyle w:val="Prrafodelista"/>
        <w:numPr>
          <w:ilvl w:val="0"/>
          <w:numId w:val="1"/>
        </w:numPr>
        <w:spacing w:line="360" w:lineRule="auto"/>
        <w:ind w:left="0" w:firstLine="0"/>
        <w:jc w:val="both"/>
        <w:rPr>
          <w:rFonts w:ascii="Palatino Linotype" w:hAnsi="Palatino Linotype"/>
          <w:lang w:val="es-MX" w:eastAsia="en-US"/>
        </w:rPr>
      </w:pPr>
      <w:r w:rsidRPr="00A62BD0">
        <w:rPr>
          <w:rFonts w:ascii="Palatino Linotype" w:eastAsia="Times New Roman" w:hAnsi="Palatino Linotype" w:cs="Times New Roman"/>
          <w:lang w:val="es-ES"/>
        </w:rPr>
        <w:t xml:space="preserve">En el caso concreto, se estima que el Sujeto Obligado no acreditó que la publicación de la información vulnerara la tramitación de algún procedimiento administrativo además de que al haber asumido la posesión de la información requerida en razón de que la misma fue clasificada, y al haber sido desestimadas las causales de restricción anunciadas -se insiste-, no existe impedimento para que el Sujeto Obligado proporcione a la particular el expediente solicitado ; ello es así pues como ya se refirió al encontrase en sus archivos dicha información esta constreñido a su entrega, es por lo todo lo expuesto que se ordena al </w:t>
      </w:r>
      <w:r w:rsidRPr="00A62BD0">
        <w:rPr>
          <w:rFonts w:ascii="Palatino Linotype" w:eastAsia="Times New Roman" w:hAnsi="Palatino Linotype" w:cs="Times New Roman"/>
          <w:b/>
          <w:lang w:val="es-ES"/>
        </w:rPr>
        <w:t xml:space="preserve">SUJETO OBLIGADO </w:t>
      </w:r>
      <w:r w:rsidR="00DC3B64" w:rsidRPr="00A62BD0">
        <w:rPr>
          <w:rFonts w:ascii="Palatino Linotype" w:eastAsia="Times New Roman" w:hAnsi="Palatino Linotype" w:cs="Times New Roman"/>
          <w:lang w:val="es-ES"/>
        </w:rPr>
        <w:t xml:space="preserve">la </w:t>
      </w:r>
      <w:r w:rsidR="00DC3B64" w:rsidRPr="00A62BD0">
        <w:rPr>
          <w:rFonts w:ascii="Palatino Linotype" w:eastAsia="Times New Roman" w:hAnsi="Palatino Linotype" w:cs="Times New Roman"/>
          <w:lang w:val="es-ES"/>
        </w:rPr>
        <w:lastRenderedPageBreak/>
        <w:t xml:space="preserve">entrega de las documentales contenidas en el expediente judicial referido en respuesta. </w:t>
      </w:r>
    </w:p>
    <w:p w14:paraId="00AB1A8E" w14:textId="77777777" w:rsidR="00A62BD0" w:rsidRPr="00A62BD0" w:rsidRDefault="00A62BD0" w:rsidP="00A62BD0">
      <w:pPr>
        <w:pStyle w:val="Prrafodelista"/>
        <w:spacing w:line="360" w:lineRule="auto"/>
        <w:ind w:left="0"/>
        <w:jc w:val="both"/>
        <w:rPr>
          <w:rFonts w:ascii="Palatino Linotype" w:hAnsi="Palatino Linotype"/>
          <w:lang w:val="es-MX" w:eastAsia="en-US"/>
        </w:rPr>
      </w:pPr>
    </w:p>
    <w:p w14:paraId="255A0988" w14:textId="77777777" w:rsidR="009F6A18" w:rsidRPr="00A62BD0" w:rsidRDefault="009F6A18" w:rsidP="00A62BD0">
      <w:pPr>
        <w:pStyle w:val="Ttulo1"/>
        <w:spacing w:before="0" w:line="360" w:lineRule="auto"/>
        <w:rPr>
          <w:rFonts w:ascii="Palatino Linotype" w:hAnsi="Palatino Linotype"/>
          <w:b/>
          <w:color w:val="auto"/>
          <w:sz w:val="24"/>
          <w:szCs w:val="24"/>
        </w:rPr>
      </w:pPr>
      <w:bookmarkStart w:id="73" w:name="_Toc7037091"/>
      <w:r w:rsidRPr="00A62BD0">
        <w:rPr>
          <w:rFonts w:ascii="Palatino Linotype" w:hAnsi="Palatino Linotype" w:cs="Times New Roman"/>
          <w:b/>
          <w:color w:val="auto"/>
          <w:sz w:val="24"/>
          <w:szCs w:val="24"/>
          <w:lang w:eastAsia="es-ES_tradnl"/>
        </w:rPr>
        <w:t>QUINTO.</w:t>
      </w:r>
      <w:r w:rsidRPr="00A62BD0">
        <w:rPr>
          <w:rFonts w:ascii="Palatino Linotype" w:hAnsi="Palatino Linotype"/>
          <w:b/>
          <w:color w:val="auto"/>
          <w:sz w:val="24"/>
          <w:szCs w:val="24"/>
        </w:rPr>
        <w:t xml:space="preserve"> De la elaboración de la versión pública y el acuerdo de clasificación como información confidencial.</w:t>
      </w:r>
      <w:bookmarkEnd w:id="73"/>
    </w:p>
    <w:p w14:paraId="65BCDF87" w14:textId="77777777" w:rsidR="009F6A18" w:rsidRPr="00A62BD0" w:rsidRDefault="009F6A18" w:rsidP="00A62BD0">
      <w:pPr>
        <w:spacing w:line="360" w:lineRule="auto"/>
        <w:contextualSpacing/>
        <w:jc w:val="both"/>
        <w:rPr>
          <w:rFonts w:ascii="Palatino Linotype" w:eastAsia="MS Mincho" w:hAnsi="Palatino Linotype" w:cstheme="majorBidi"/>
        </w:rPr>
      </w:pPr>
    </w:p>
    <w:p w14:paraId="1263C76A" w14:textId="07E55AC1" w:rsidR="009F6A18" w:rsidRDefault="009F6A18" w:rsidP="00A62BD0">
      <w:pPr>
        <w:pStyle w:val="Prrafodelista"/>
        <w:numPr>
          <w:ilvl w:val="0"/>
          <w:numId w:val="1"/>
        </w:numPr>
        <w:spacing w:line="360" w:lineRule="auto"/>
        <w:ind w:left="0" w:right="49" w:firstLine="0"/>
        <w:jc w:val="both"/>
        <w:rPr>
          <w:rFonts w:ascii="Palatino Linotype" w:hAnsi="Palatino Linotype" w:cs="Arial"/>
          <w:color w:val="000000" w:themeColor="text1"/>
        </w:rPr>
      </w:pPr>
      <w:r w:rsidRPr="00A62BD0">
        <w:rPr>
          <w:rFonts w:ascii="Palatino Linotype" w:hAnsi="Palatino Linotype" w:cs="Arial"/>
          <w:color w:val="000000" w:themeColor="text1"/>
        </w:rPr>
        <w:t xml:space="preserve">Es necesario señalar que el </w:t>
      </w:r>
      <w:r w:rsidRPr="00A62BD0">
        <w:rPr>
          <w:rFonts w:ascii="Palatino Linotype" w:hAnsi="Palatino Linotype" w:cs="Arial"/>
          <w:b/>
          <w:color w:val="000000" w:themeColor="text1"/>
        </w:rPr>
        <w:t>SUJETO OBLIGADO</w:t>
      </w:r>
      <w:r w:rsidRPr="00A62BD0">
        <w:rPr>
          <w:rFonts w:ascii="Palatino Linotype" w:hAnsi="Palatino Linotype" w:cs="Arial"/>
          <w:color w:val="000000" w:themeColor="text1"/>
        </w:rPr>
        <w:t xml:space="preserve"> deberá de elaborar las versiones públicas de los documentos que entregará en cumplimiento a esta resolución.</w:t>
      </w:r>
    </w:p>
    <w:p w14:paraId="6E6A5E3B" w14:textId="77777777" w:rsidR="00A62BD0" w:rsidRPr="00A62BD0" w:rsidRDefault="00A62BD0" w:rsidP="00A62BD0">
      <w:pPr>
        <w:pStyle w:val="Prrafodelista"/>
        <w:spacing w:line="360" w:lineRule="auto"/>
        <w:ind w:left="0" w:right="49"/>
        <w:jc w:val="both"/>
        <w:rPr>
          <w:rFonts w:ascii="Palatino Linotype" w:hAnsi="Palatino Linotype" w:cs="Arial"/>
          <w:color w:val="000000" w:themeColor="text1"/>
        </w:rPr>
      </w:pPr>
    </w:p>
    <w:p w14:paraId="18E5E87B"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Entonces, debe destacarse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62BD0">
        <w:rPr>
          <w:rFonts w:ascii="Palatino Linotype" w:hAnsi="Palatino Linotype" w:cs="Arial"/>
          <w:b/>
          <w:color w:val="000000" w:themeColor="text1"/>
          <w:u w:val="single"/>
        </w:rPr>
        <w:t>versión pública</w:t>
      </w:r>
      <w:r w:rsidRPr="00A62BD0">
        <w:rPr>
          <w:rFonts w:ascii="Palatino Linotype" w:hAnsi="Palatino Linotype" w:cs="Arial"/>
          <w:color w:val="000000" w:themeColor="text1"/>
        </w:rPr>
        <w:t xml:space="preserve"> del documento por las consideraciones que se estimen pertinentes.</w:t>
      </w:r>
    </w:p>
    <w:p w14:paraId="47146849"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74F19BCC"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A62BD0">
        <w:rPr>
          <w:rFonts w:ascii="Palatino Linotype" w:hAnsi="Palatino Linotype" w:cs="Arial"/>
          <w:color w:val="000000" w:themeColor="text1"/>
        </w:rPr>
        <w:lastRenderedPageBreak/>
        <w:t>órganos jurisdiccionales, ningún derecho es absoluto</w:t>
      </w:r>
      <w:r w:rsidRPr="00A62BD0">
        <w:rPr>
          <w:rFonts w:ascii="Palatino Linotype" w:hAnsi="Palatino Linotype"/>
          <w:vertAlign w:val="superscript"/>
        </w:rPr>
        <w:footnoteReference w:id="3"/>
      </w:r>
      <w:r w:rsidRPr="00A62BD0">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62BD0">
        <w:rPr>
          <w:rFonts w:ascii="Palatino Linotype" w:hAnsi="Palatino Linotype"/>
          <w:vertAlign w:val="superscript"/>
        </w:rPr>
        <w:footnoteReference w:id="4"/>
      </w:r>
      <w:r w:rsidRPr="00A62BD0">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3F2D4CC"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45DA8155"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AA07105"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p>
    <w:p w14:paraId="281CB02C"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r w:rsidRPr="00A62BD0">
        <w:rPr>
          <w:rFonts w:ascii="Palatino Linotype" w:hAnsi="Palatino Linotype" w:cs="Arial"/>
          <w:b/>
          <w:color w:val="000000" w:themeColor="text1"/>
          <w:lang w:val="es-MX"/>
        </w:rPr>
        <w:t>Requisitos previos.</w:t>
      </w:r>
    </w:p>
    <w:p w14:paraId="6F9F5C47"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p>
    <w:p w14:paraId="4FA3F6E5"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rPr>
      </w:pPr>
      <w:r w:rsidRPr="00A62BD0">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04386A2"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1990CDB8"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Además, se debe señalar el procedimiento, de los tres que establecen los artículos 132 y 106 de la Ley Estatal y General, </w:t>
      </w:r>
      <w:r w:rsidRPr="00A62BD0">
        <w:rPr>
          <w:rFonts w:ascii="Palatino Linotype" w:hAnsi="Palatino Linotype" w:cs="Arial"/>
          <w:color w:val="000000"/>
        </w:rPr>
        <w:t>respectivamente</w:t>
      </w:r>
      <w:r w:rsidRPr="00A62BD0">
        <w:rPr>
          <w:rFonts w:ascii="Palatino Linotype" w:hAnsi="Palatino Linotype" w:cs="Arial"/>
          <w:color w:val="000000" w:themeColor="text1"/>
        </w:rPr>
        <w:t xml:space="preserve">, por el que se realiza </w:t>
      </w:r>
      <w:r w:rsidRPr="00A62BD0">
        <w:rPr>
          <w:rFonts w:ascii="Palatino Linotype" w:hAnsi="Palatino Linotype" w:cs="Arial"/>
          <w:color w:val="000000" w:themeColor="text1"/>
        </w:rPr>
        <w:lastRenderedPageBreak/>
        <w:t>dicha clasificación, a saber, cuando se atiende una solicitud de acceso a la información, porque lo determina una autoridad competente o porque se va a generar una versión pública para cumplir con sus obligaciones.</w:t>
      </w:r>
    </w:p>
    <w:p w14:paraId="6330CFA7"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629B2244"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A62BD0">
        <w:rPr>
          <w:rFonts w:ascii="Palatino Linotype" w:hAnsi="Palatino Linotype" w:cs="Arial"/>
          <w:b/>
          <w:color w:val="000000" w:themeColor="text1"/>
          <w:u w:val="single"/>
        </w:rPr>
        <w:t xml:space="preserve">no se puede hacer un acuerdo para clasificar de manera general todos los documentos de un expediente o área,  </w:t>
      </w:r>
      <w:r w:rsidRPr="00A62BD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47E7A6B"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p>
    <w:p w14:paraId="332B5468"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r w:rsidRPr="00A62BD0">
        <w:rPr>
          <w:rFonts w:ascii="Palatino Linotype" w:hAnsi="Palatino Linotype" w:cs="Arial"/>
          <w:b/>
          <w:color w:val="000000" w:themeColor="text1"/>
          <w:lang w:val="es-MX"/>
        </w:rPr>
        <w:t>Supuestos de clasificación</w:t>
      </w:r>
    </w:p>
    <w:p w14:paraId="2051E53C"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p>
    <w:p w14:paraId="00D40545"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A62BD0">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0DACCB4"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44EC0EC7"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EFFB120"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223AE162" w14:textId="77777777" w:rsidR="009F6A18" w:rsidRPr="00A62BD0" w:rsidRDefault="009F6A18" w:rsidP="00A62BD0">
      <w:pPr>
        <w:spacing w:line="360" w:lineRule="auto"/>
        <w:ind w:left="567" w:right="567"/>
        <w:contextualSpacing/>
        <w:jc w:val="both"/>
        <w:rPr>
          <w:rFonts w:ascii="Palatino Linotype" w:hAnsi="Palatino Linotype" w:cs="Arial"/>
          <w:i/>
          <w:color w:val="000000" w:themeColor="text1"/>
          <w:lang w:val="es-MX"/>
        </w:rPr>
      </w:pPr>
      <w:r w:rsidRPr="00A62BD0">
        <w:rPr>
          <w:rFonts w:ascii="Palatino Linotype" w:hAnsi="Palatino Linotype" w:cs="Arial"/>
          <w:bCs/>
          <w:i/>
          <w:color w:val="000000" w:themeColor="text1"/>
          <w:lang w:val="es-MX"/>
        </w:rPr>
        <w:lastRenderedPageBreak/>
        <w:t xml:space="preserve">I. </w:t>
      </w:r>
      <w:r w:rsidRPr="00A62BD0">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7E52E63" w14:textId="77777777" w:rsidR="009F6A18" w:rsidRPr="00A62BD0" w:rsidRDefault="009F6A18" w:rsidP="00A62BD0">
      <w:pPr>
        <w:spacing w:line="360" w:lineRule="auto"/>
        <w:ind w:left="567" w:right="567"/>
        <w:contextualSpacing/>
        <w:jc w:val="both"/>
        <w:rPr>
          <w:rFonts w:ascii="Palatino Linotype" w:hAnsi="Palatino Linotype" w:cs="Arial"/>
          <w:i/>
          <w:color w:val="000000" w:themeColor="text1"/>
          <w:lang w:val="es-MX"/>
        </w:rPr>
      </w:pPr>
      <w:r w:rsidRPr="00A62BD0">
        <w:rPr>
          <w:rFonts w:ascii="Palatino Linotype" w:hAnsi="Palatino Linotype" w:cs="Arial"/>
          <w:bCs/>
          <w:i/>
          <w:color w:val="000000" w:themeColor="text1"/>
          <w:lang w:val="es-MX"/>
        </w:rPr>
        <w:t xml:space="preserve">II. </w:t>
      </w:r>
      <w:r w:rsidRPr="00A62BD0">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E31783D" w14:textId="77777777" w:rsidR="009F6A18" w:rsidRPr="00A62BD0" w:rsidRDefault="009F6A18" w:rsidP="00A62BD0">
      <w:pPr>
        <w:spacing w:line="360" w:lineRule="auto"/>
        <w:ind w:left="567" w:right="567"/>
        <w:contextualSpacing/>
        <w:jc w:val="both"/>
        <w:rPr>
          <w:rFonts w:ascii="Palatino Linotype" w:hAnsi="Palatino Linotype" w:cs="Arial"/>
          <w:i/>
          <w:color w:val="000000" w:themeColor="text1"/>
          <w:lang w:val="es-MX"/>
        </w:rPr>
      </w:pPr>
      <w:r w:rsidRPr="00A62BD0">
        <w:rPr>
          <w:rFonts w:ascii="Palatino Linotype" w:hAnsi="Palatino Linotype" w:cs="Arial"/>
          <w:bCs/>
          <w:i/>
          <w:color w:val="000000" w:themeColor="text1"/>
          <w:lang w:val="es-MX"/>
        </w:rPr>
        <w:t xml:space="preserve">III. </w:t>
      </w:r>
      <w:r w:rsidRPr="00A62BD0">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0ADE81B2" w14:textId="77777777" w:rsidR="009F6A18" w:rsidRPr="00A62BD0" w:rsidRDefault="009F6A18" w:rsidP="00A62BD0">
      <w:pPr>
        <w:spacing w:line="360" w:lineRule="auto"/>
        <w:ind w:left="567" w:right="567"/>
        <w:contextualSpacing/>
        <w:jc w:val="both"/>
        <w:rPr>
          <w:rFonts w:ascii="Palatino Linotype" w:hAnsi="Palatino Linotype" w:cs="Arial"/>
          <w:i/>
          <w:color w:val="000000" w:themeColor="text1"/>
          <w:lang w:val="es-MX"/>
        </w:rPr>
      </w:pPr>
      <w:r w:rsidRPr="00A62BD0">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152252B9" w14:textId="77777777" w:rsidR="009F6A18" w:rsidRPr="00A62BD0" w:rsidRDefault="009F6A18" w:rsidP="00A62BD0">
      <w:pPr>
        <w:spacing w:line="360" w:lineRule="auto"/>
        <w:ind w:left="567" w:right="567"/>
        <w:contextualSpacing/>
        <w:jc w:val="both"/>
        <w:rPr>
          <w:rFonts w:ascii="Palatino Linotype" w:hAnsi="Palatino Linotype" w:cs="Arial"/>
          <w:i/>
          <w:color w:val="000000" w:themeColor="text1"/>
          <w:lang w:val="es-MX"/>
        </w:rPr>
      </w:pPr>
      <w:r w:rsidRPr="00A62BD0">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60CC3A81" w14:textId="77777777" w:rsidR="009F6A18" w:rsidRPr="00A62BD0" w:rsidRDefault="009F6A18" w:rsidP="00A62BD0">
      <w:pPr>
        <w:spacing w:line="360" w:lineRule="auto"/>
        <w:ind w:left="426" w:right="49" w:hanging="426"/>
        <w:contextualSpacing/>
        <w:jc w:val="both"/>
        <w:rPr>
          <w:rFonts w:ascii="Palatino Linotype" w:hAnsi="Palatino Linotype" w:cs="Arial"/>
          <w:i/>
          <w:color w:val="000000" w:themeColor="text1"/>
          <w:lang w:val="es-MX"/>
        </w:rPr>
      </w:pPr>
    </w:p>
    <w:p w14:paraId="15ED42A7"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A22C7B3"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lang w:val="es-MX"/>
        </w:rPr>
      </w:pPr>
    </w:p>
    <w:p w14:paraId="38784463" w14:textId="4CEAD7AE" w:rsidR="009F6A18"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lastRenderedPageBreak/>
        <w:t xml:space="preserve">Como consecuencia de lo anterior, el </w:t>
      </w:r>
      <w:r w:rsidRPr="00A62BD0">
        <w:rPr>
          <w:rFonts w:ascii="Palatino Linotype" w:hAnsi="Palatino Linotype" w:cs="Arial"/>
          <w:b/>
          <w:color w:val="000000" w:themeColor="text1"/>
        </w:rPr>
        <w:t>SUJETO OBLIGADO</w:t>
      </w:r>
      <w:r w:rsidRPr="00A62BD0">
        <w:rPr>
          <w:rFonts w:ascii="Palatino Linotype" w:hAnsi="Palatino Linotype" w:cs="Arial"/>
          <w:color w:val="000000" w:themeColor="text1"/>
        </w:rPr>
        <w:t xml:space="preserve"> debe identificar claramente el tipo de información y hacer un juicio de subsunción o encaje</w:t>
      </w:r>
      <w:r w:rsidRPr="00A62BD0">
        <w:rPr>
          <w:rFonts w:ascii="Palatino Linotype" w:hAnsi="Palatino Linotype" w:cs="Arial"/>
          <w:color w:val="000000" w:themeColor="text1"/>
          <w:vertAlign w:val="superscript"/>
        </w:rPr>
        <w:footnoteReference w:id="5"/>
      </w:r>
      <w:r w:rsidRPr="00A62BD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8610ECB" w14:textId="77777777" w:rsidR="00A62BD0" w:rsidRPr="00A62BD0" w:rsidRDefault="00A62BD0" w:rsidP="00A62BD0">
      <w:pPr>
        <w:spacing w:line="360" w:lineRule="auto"/>
        <w:ind w:right="49"/>
        <w:contextualSpacing/>
        <w:jc w:val="both"/>
        <w:rPr>
          <w:rFonts w:ascii="Palatino Linotype" w:hAnsi="Palatino Linotype" w:cs="Arial"/>
          <w:color w:val="000000" w:themeColor="text1"/>
        </w:rPr>
      </w:pPr>
    </w:p>
    <w:p w14:paraId="78E46D3E"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r w:rsidRPr="00A62BD0">
        <w:rPr>
          <w:rFonts w:ascii="Palatino Linotype" w:hAnsi="Palatino Linotype" w:cs="Arial"/>
          <w:b/>
          <w:color w:val="000000" w:themeColor="text1"/>
          <w:lang w:val="es-MX"/>
        </w:rPr>
        <w:t>Formalidades para emitir el acuerdo de clasificación.</w:t>
      </w:r>
    </w:p>
    <w:p w14:paraId="6E3FD736" w14:textId="77777777" w:rsidR="009F6A18" w:rsidRPr="00A62BD0" w:rsidRDefault="009F6A18" w:rsidP="00A62BD0">
      <w:pPr>
        <w:spacing w:line="360" w:lineRule="auto"/>
        <w:ind w:right="49"/>
        <w:contextualSpacing/>
        <w:jc w:val="both"/>
        <w:rPr>
          <w:rFonts w:ascii="Palatino Linotype" w:hAnsi="Palatino Linotype" w:cs="Arial"/>
          <w:b/>
          <w:color w:val="000000" w:themeColor="text1"/>
          <w:lang w:val="es-MX"/>
        </w:rPr>
      </w:pPr>
    </w:p>
    <w:p w14:paraId="22301DD7"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A62BD0">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14:paraId="2AF59840"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2ADE8C3E"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A62BD0">
        <w:rPr>
          <w:rFonts w:ascii="Palatino Linotype" w:hAnsi="Palatino Linotype" w:cs="Arial"/>
          <w:b/>
          <w:color w:val="000000" w:themeColor="text1"/>
          <w:u w:val="single"/>
        </w:rPr>
        <w:t>el acto reúna con los requisitos elementales</w:t>
      </w:r>
      <w:r w:rsidRPr="00A62BD0">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6B6FAD2"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24C10B07"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A62BD0">
        <w:rPr>
          <w:rFonts w:ascii="Palatino Linotype" w:hAnsi="Palatino Linotype" w:cs="Arial"/>
          <w:color w:val="000000" w:themeColor="text1"/>
        </w:rPr>
        <w:lastRenderedPageBreak/>
        <w:t xml:space="preserve">por los titulares de áreas y que son sujetas a control, en primera instancia, por el Comité de Transparencia. </w:t>
      </w:r>
    </w:p>
    <w:p w14:paraId="1CD0E2FD"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14A0B66A"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r w:rsidRPr="00A62BD0">
        <w:rPr>
          <w:rFonts w:ascii="Palatino Linotype" w:hAnsi="Palatino Linotype" w:cs="Arial"/>
          <w:b/>
          <w:color w:val="000000" w:themeColor="text1"/>
          <w:lang w:val="es-MX"/>
        </w:rPr>
        <w:t>Requisitos</w:t>
      </w:r>
      <w:r w:rsidRPr="00A62BD0">
        <w:rPr>
          <w:rFonts w:ascii="Palatino Linotype" w:hAnsi="Palatino Linotype" w:cs="Arial"/>
          <w:color w:val="000000" w:themeColor="text1"/>
          <w:lang w:val="es-MX"/>
        </w:rPr>
        <w:t xml:space="preserve"> </w:t>
      </w:r>
      <w:r w:rsidRPr="00A62BD0">
        <w:rPr>
          <w:rFonts w:ascii="Palatino Linotype" w:hAnsi="Palatino Linotype" w:cs="Arial"/>
          <w:b/>
          <w:color w:val="000000" w:themeColor="text1"/>
          <w:lang w:val="es-MX"/>
        </w:rPr>
        <w:t>de fondo del acuerdo de clasificación</w:t>
      </w:r>
    </w:p>
    <w:p w14:paraId="7482C451"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lang w:val="es-MX"/>
        </w:rPr>
      </w:pPr>
    </w:p>
    <w:p w14:paraId="57B24006"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4F15E5"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3107EBBA"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De lo anterior, se desprende que para una correcta </w:t>
      </w:r>
      <w:r w:rsidRPr="00A62BD0">
        <w:rPr>
          <w:rFonts w:ascii="Palatino Linotype" w:hAnsi="Palatino Linotype" w:cs="Arial"/>
          <w:b/>
          <w:color w:val="000000" w:themeColor="text1"/>
        </w:rPr>
        <w:t>clasificación total o parcial</w:t>
      </w:r>
      <w:r w:rsidRPr="00A62BD0">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EB0A07"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2EEC5EA6"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62BD0">
        <w:rPr>
          <w:rFonts w:ascii="Palatino Linotype" w:hAnsi="Palatino Linotype" w:cs="Arial"/>
          <w:color w:val="000000" w:themeColor="text1"/>
          <w:vertAlign w:val="superscript"/>
        </w:rPr>
        <w:footnoteReference w:id="6"/>
      </w:r>
    </w:p>
    <w:p w14:paraId="3CF7D14F"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0A2596B9"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5F13F492"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lang w:val="es-MX"/>
        </w:rPr>
      </w:pPr>
    </w:p>
    <w:p w14:paraId="1B9A7C2D" w14:textId="77777777" w:rsidR="009F6A18" w:rsidRPr="00A62BD0" w:rsidRDefault="009F6A18" w:rsidP="00A62BD0">
      <w:pPr>
        <w:spacing w:line="360" w:lineRule="auto"/>
        <w:ind w:left="709" w:right="425"/>
        <w:contextualSpacing/>
        <w:jc w:val="both"/>
        <w:rPr>
          <w:rFonts w:ascii="Palatino Linotype" w:hAnsi="Palatino Linotype" w:cs="Arial"/>
          <w:i/>
          <w:color w:val="000000" w:themeColor="text1"/>
          <w:lang w:val="es-MX"/>
        </w:rPr>
      </w:pPr>
      <w:r w:rsidRPr="00A62BD0">
        <w:rPr>
          <w:rFonts w:ascii="Palatino Linotype" w:hAnsi="Palatino Linotype" w:cs="Arial"/>
          <w:b/>
          <w:i/>
          <w:color w:val="000000" w:themeColor="text1"/>
          <w:lang w:val="es-MX"/>
        </w:rPr>
        <w:t>FUNDAMENTACIÓN Y MOTIVACIÓN.</w:t>
      </w:r>
      <w:r w:rsidRPr="00A62BD0">
        <w:rPr>
          <w:rFonts w:ascii="Palatino Linotype" w:hAnsi="Palatino Linotype" w:cs="Arial"/>
          <w:i/>
          <w:color w:val="000000" w:themeColor="text1"/>
          <w:lang w:val="es-MX"/>
        </w:rPr>
        <w:t xml:space="preserve"> La </w:t>
      </w:r>
      <w:r w:rsidRPr="00A62BD0">
        <w:rPr>
          <w:rFonts w:ascii="Palatino Linotype" w:hAnsi="Palatino Linotype" w:cs="Arial"/>
          <w:i/>
          <w:color w:val="000000" w:themeColor="text1"/>
          <w:u w:val="single"/>
          <w:lang w:val="es-MX"/>
        </w:rPr>
        <w:t xml:space="preserve">debida fundamentación y motivación legal, deben entenderse, por lo primero, la cita del precepto legal </w:t>
      </w:r>
      <w:r w:rsidRPr="00A62BD0">
        <w:rPr>
          <w:rFonts w:ascii="Palatino Linotype" w:hAnsi="Palatino Linotype" w:cs="Arial"/>
          <w:i/>
          <w:color w:val="000000" w:themeColor="text1"/>
          <w:u w:val="single"/>
          <w:lang w:val="es-MX"/>
        </w:rPr>
        <w:lastRenderedPageBreak/>
        <w:t>aplicable al caso, y por lo segundo, las razones, motivos o circunstancias especiales que llevaron a la autoridad a concluir que el caso particular encuadra en el supuesto previsto por la norma legal invocada como fundamento</w:t>
      </w:r>
      <w:r w:rsidRPr="00A62BD0">
        <w:rPr>
          <w:rFonts w:ascii="Palatino Linotype" w:hAnsi="Palatino Linotype" w:cs="Arial"/>
          <w:i/>
          <w:color w:val="000000" w:themeColor="text1"/>
          <w:lang w:val="es-MX"/>
        </w:rPr>
        <w:t>.</w:t>
      </w:r>
    </w:p>
    <w:p w14:paraId="109A9CD9" w14:textId="77777777" w:rsidR="009F6A18" w:rsidRPr="00A62BD0" w:rsidRDefault="009F6A18" w:rsidP="00A62BD0">
      <w:pPr>
        <w:spacing w:line="360" w:lineRule="auto"/>
        <w:ind w:left="709" w:right="425"/>
        <w:contextualSpacing/>
        <w:jc w:val="both"/>
        <w:rPr>
          <w:rFonts w:ascii="Palatino Linotype" w:hAnsi="Palatino Linotype" w:cs="Arial"/>
          <w:i/>
          <w:color w:val="000000" w:themeColor="text1"/>
          <w:lang w:val="es-MX"/>
        </w:rPr>
      </w:pPr>
      <w:r w:rsidRPr="00A62BD0">
        <w:rPr>
          <w:rFonts w:ascii="Palatino Linotype" w:hAnsi="Palatino Linotype" w:cs="Arial"/>
          <w:i/>
          <w:color w:val="000000" w:themeColor="text1"/>
          <w:lang w:val="es-MX"/>
        </w:rPr>
        <w:t>SEGUNDO TRIBUNAL COLEGIADO DEL SEXTO CIRCUITO.</w:t>
      </w:r>
    </w:p>
    <w:p w14:paraId="167FE3C9" w14:textId="77777777" w:rsidR="009F6A18" w:rsidRPr="00A62BD0" w:rsidRDefault="009F6A18" w:rsidP="00A62BD0">
      <w:pPr>
        <w:spacing w:line="360" w:lineRule="auto"/>
        <w:ind w:left="709" w:right="425"/>
        <w:contextualSpacing/>
        <w:jc w:val="both"/>
        <w:rPr>
          <w:rFonts w:ascii="Palatino Linotype" w:hAnsi="Palatino Linotype" w:cs="Arial"/>
          <w:i/>
          <w:color w:val="000000" w:themeColor="text1"/>
          <w:lang w:val="es-MX"/>
        </w:rPr>
      </w:pPr>
      <w:r w:rsidRPr="00A62BD0">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43525D47" w14:textId="77777777" w:rsidR="009F6A18" w:rsidRPr="00A62BD0" w:rsidRDefault="009F6A18" w:rsidP="00A62BD0">
      <w:pPr>
        <w:spacing w:line="360" w:lineRule="auto"/>
        <w:ind w:left="709" w:right="425"/>
        <w:contextualSpacing/>
        <w:jc w:val="both"/>
        <w:rPr>
          <w:rFonts w:ascii="Palatino Linotype" w:hAnsi="Palatino Linotype" w:cs="Arial"/>
          <w:i/>
          <w:color w:val="000000" w:themeColor="text1"/>
          <w:lang w:val="es-MX"/>
        </w:rPr>
      </w:pPr>
      <w:r w:rsidRPr="00A62BD0">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9D13CAB" w14:textId="77777777" w:rsidR="009F6A18" w:rsidRPr="00A62BD0" w:rsidRDefault="009F6A18" w:rsidP="00A62BD0">
      <w:pPr>
        <w:spacing w:line="360" w:lineRule="auto"/>
        <w:ind w:left="709" w:right="425"/>
        <w:contextualSpacing/>
        <w:jc w:val="both"/>
        <w:rPr>
          <w:rFonts w:ascii="Palatino Linotype" w:hAnsi="Palatino Linotype" w:cs="Arial"/>
          <w:i/>
          <w:color w:val="000000" w:themeColor="text1"/>
          <w:lang w:val="es-MX"/>
        </w:rPr>
      </w:pPr>
      <w:r w:rsidRPr="00A62BD0">
        <w:rPr>
          <w:rFonts w:ascii="Palatino Linotype" w:hAnsi="Palatino Linotype" w:cs="Arial"/>
          <w:i/>
          <w:color w:val="000000" w:themeColor="text1"/>
          <w:lang w:val="es-MX"/>
        </w:rPr>
        <w:t xml:space="preserve">Amparo en revisión 333/88. </w:t>
      </w:r>
      <w:proofErr w:type="spellStart"/>
      <w:r w:rsidRPr="00A62BD0">
        <w:rPr>
          <w:rFonts w:ascii="Palatino Linotype" w:hAnsi="Palatino Linotype" w:cs="Arial"/>
          <w:i/>
          <w:color w:val="000000" w:themeColor="text1"/>
          <w:lang w:val="es-MX"/>
        </w:rPr>
        <w:t>Adilia</w:t>
      </w:r>
      <w:proofErr w:type="spellEnd"/>
      <w:r w:rsidRPr="00A62BD0">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7B1137B8" w14:textId="77777777" w:rsidR="009F6A18" w:rsidRPr="00A62BD0" w:rsidRDefault="009F6A18" w:rsidP="00A62BD0">
      <w:pPr>
        <w:spacing w:line="360" w:lineRule="auto"/>
        <w:ind w:left="709" w:right="425"/>
        <w:contextualSpacing/>
        <w:jc w:val="both"/>
        <w:rPr>
          <w:rFonts w:ascii="Palatino Linotype" w:hAnsi="Palatino Linotype" w:cs="Arial"/>
          <w:i/>
          <w:color w:val="000000" w:themeColor="text1"/>
          <w:lang w:val="es-MX"/>
        </w:rPr>
      </w:pPr>
      <w:r w:rsidRPr="00A62BD0">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A62BD0">
        <w:rPr>
          <w:rFonts w:ascii="Palatino Linotype" w:hAnsi="Palatino Linotype" w:cs="Arial"/>
          <w:i/>
          <w:color w:val="000000" w:themeColor="text1"/>
          <w:lang w:val="es-MX"/>
        </w:rPr>
        <w:t>Goyzueta</w:t>
      </w:r>
      <w:proofErr w:type="spellEnd"/>
      <w:r w:rsidRPr="00A62BD0">
        <w:rPr>
          <w:rFonts w:ascii="Palatino Linotype" w:hAnsi="Palatino Linotype" w:cs="Arial"/>
          <w:i/>
          <w:color w:val="000000" w:themeColor="text1"/>
          <w:lang w:val="es-MX"/>
        </w:rPr>
        <w:t>. Secretario: Gonzalo Carrera Molina.</w:t>
      </w:r>
    </w:p>
    <w:p w14:paraId="5E93989C" w14:textId="77777777" w:rsidR="009F6A18" w:rsidRPr="00A62BD0" w:rsidRDefault="009F6A18" w:rsidP="00A62BD0">
      <w:pPr>
        <w:spacing w:line="360" w:lineRule="auto"/>
        <w:ind w:left="709" w:right="425"/>
        <w:contextualSpacing/>
        <w:jc w:val="both"/>
        <w:rPr>
          <w:rFonts w:ascii="Palatino Linotype" w:hAnsi="Palatino Linotype" w:cs="Arial"/>
          <w:i/>
          <w:color w:val="000000" w:themeColor="text1"/>
          <w:lang w:val="es-MX"/>
        </w:rPr>
      </w:pPr>
      <w:r w:rsidRPr="00A62BD0">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A62BD0">
        <w:rPr>
          <w:rFonts w:ascii="Palatino Linotype" w:hAnsi="Palatino Linotype" w:cs="Arial"/>
          <w:i/>
          <w:color w:val="000000" w:themeColor="text1"/>
          <w:lang w:val="es-MX"/>
        </w:rPr>
        <w:t>Baigts</w:t>
      </w:r>
      <w:proofErr w:type="spellEnd"/>
      <w:r w:rsidRPr="00A62BD0">
        <w:rPr>
          <w:rFonts w:ascii="Palatino Linotype" w:hAnsi="Palatino Linotype" w:cs="Arial"/>
          <w:i/>
          <w:color w:val="000000" w:themeColor="text1"/>
          <w:lang w:val="es-MX"/>
        </w:rPr>
        <w:t xml:space="preserve"> Muñoz.</w:t>
      </w:r>
    </w:p>
    <w:p w14:paraId="5F5281CB" w14:textId="77777777" w:rsidR="009F6A18" w:rsidRPr="00A62BD0" w:rsidRDefault="009F6A18" w:rsidP="00A62BD0">
      <w:pPr>
        <w:spacing w:line="360" w:lineRule="auto"/>
        <w:ind w:left="709" w:right="425"/>
        <w:contextualSpacing/>
        <w:jc w:val="both"/>
        <w:rPr>
          <w:rFonts w:ascii="Palatino Linotype" w:hAnsi="Palatino Linotype" w:cs="Arial"/>
          <w:color w:val="000000" w:themeColor="text1"/>
        </w:rPr>
      </w:pPr>
    </w:p>
    <w:p w14:paraId="7B4A42E0"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w:t>
      </w:r>
      <w:r w:rsidRPr="00A62BD0">
        <w:rPr>
          <w:rFonts w:ascii="Palatino Linotype" w:hAnsi="Palatino Linotype" w:cs="Arial"/>
          <w:color w:val="000000" w:themeColor="text1"/>
        </w:rPr>
        <w:lastRenderedPageBreak/>
        <w:t>cuando se expresan las razones, motivos o circunstancias que tomó en cuenta la autoridad para adecuar el hecho a los fundamentos de derecho.</w:t>
      </w:r>
    </w:p>
    <w:p w14:paraId="6AF48E6C"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4308B999"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0C4FFDE"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6098C6F5"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601580A4"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rPr>
      </w:pPr>
    </w:p>
    <w:p w14:paraId="33F4F30A"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Ahora bien, </w:t>
      </w:r>
      <w:r w:rsidRPr="00A62BD0">
        <w:rPr>
          <w:rFonts w:ascii="Palatino Linotype" w:hAnsi="Palatino Linotype" w:cs="Arial"/>
          <w:b/>
          <w:color w:val="000000" w:themeColor="text1"/>
          <w:u w:val="single"/>
        </w:rPr>
        <w:t>para cada caso además de fundar y motivar</w:t>
      </w:r>
      <w:r w:rsidRPr="00A62BD0">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62BD0">
        <w:rPr>
          <w:rFonts w:ascii="Palatino Linotype" w:hAnsi="Palatino Linotype" w:cs="Arial"/>
          <w:color w:val="000000" w:themeColor="text1"/>
          <w:vertAlign w:val="superscript"/>
        </w:rPr>
        <w:footnoteReference w:id="7"/>
      </w:r>
      <w:r w:rsidRPr="00A62BD0">
        <w:rPr>
          <w:rFonts w:ascii="Palatino Linotype" w:hAnsi="Palatino Linotype" w:cs="Arial"/>
          <w:color w:val="000000" w:themeColor="text1"/>
        </w:rPr>
        <w:t xml:space="preserve"> del servidor público que no tienen ninguna injerencia en el tema de la transparencia </w:t>
      </w:r>
      <w:r w:rsidRPr="00A62BD0">
        <w:rPr>
          <w:rFonts w:ascii="Palatino Linotype" w:hAnsi="Palatino Linotype" w:cs="Arial"/>
          <w:color w:val="000000" w:themeColor="text1"/>
        </w:rPr>
        <w:lastRenderedPageBreak/>
        <w:t xml:space="preserve">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71C89D8"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sz w:val="12"/>
        </w:rPr>
      </w:pPr>
    </w:p>
    <w:p w14:paraId="7CE0FAAF"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A62BD0">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5DFDF5E5"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sz w:val="12"/>
        </w:rPr>
      </w:pPr>
    </w:p>
    <w:p w14:paraId="72CF48CD"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lang w:val="es-MX"/>
        </w:rPr>
      </w:pPr>
      <w:r w:rsidRPr="00A62BD0">
        <w:rPr>
          <w:rFonts w:ascii="Palatino Linotype" w:hAnsi="Palatino Linotype" w:cs="Arial"/>
          <w:b/>
          <w:color w:val="000000" w:themeColor="text1"/>
          <w:lang w:val="es-MX"/>
        </w:rPr>
        <w:t>Condiciones especiales de la clasificación de la información como confidencial.</w:t>
      </w:r>
    </w:p>
    <w:p w14:paraId="1528CEEB" w14:textId="77777777" w:rsidR="009F6A18" w:rsidRPr="00A62BD0" w:rsidRDefault="009F6A18" w:rsidP="00A62BD0">
      <w:pPr>
        <w:spacing w:line="360" w:lineRule="auto"/>
        <w:ind w:left="426" w:right="49" w:hanging="426"/>
        <w:contextualSpacing/>
        <w:jc w:val="both"/>
        <w:rPr>
          <w:rFonts w:ascii="Palatino Linotype" w:hAnsi="Palatino Linotype" w:cs="Arial"/>
          <w:b/>
          <w:color w:val="000000" w:themeColor="text1"/>
          <w:sz w:val="12"/>
          <w:lang w:val="es-MX"/>
        </w:rPr>
      </w:pPr>
    </w:p>
    <w:p w14:paraId="5996DD51" w14:textId="77777777" w:rsidR="009F6A18" w:rsidRPr="00A62BD0" w:rsidRDefault="009F6A18" w:rsidP="00A62BD0">
      <w:pPr>
        <w:numPr>
          <w:ilvl w:val="0"/>
          <w:numId w:val="1"/>
        </w:numPr>
        <w:spacing w:line="360" w:lineRule="auto"/>
        <w:ind w:left="0" w:right="49"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B5655D"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sz w:val="12"/>
        </w:rPr>
      </w:pPr>
    </w:p>
    <w:p w14:paraId="48FE5AB4" w14:textId="77777777" w:rsidR="009F6A18" w:rsidRPr="00A62BD0" w:rsidRDefault="009F6A18" w:rsidP="00A62BD0">
      <w:pPr>
        <w:spacing w:line="360" w:lineRule="auto"/>
        <w:ind w:left="567" w:right="567"/>
        <w:contextualSpacing/>
        <w:jc w:val="both"/>
        <w:rPr>
          <w:rFonts w:ascii="Palatino Linotype" w:hAnsi="Palatino Linotype" w:cs="Arial"/>
          <w:bCs/>
          <w:i/>
          <w:color w:val="000000" w:themeColor="text1"/>
          <w:lang w:val="es-MX"/>
        </w:rPr>
      </w:pPr>
      <w:r w:rsidRPr="00A62BD0">
        <w:rPr>
          <w:rFonts w:ascii="Palatino Linotype" w:hAnsi="Palatino Linotype" w:cs="Arial"/>
          <w:bCs/>
          <w:i/>
          <w:color w:val="000000" w:themeColor="text1"/>
          <w:lang w:val="es-MX"/>
        </w:rPr>
        <w:t>I.</w:t>
      </w:r>
      <w:r w:rsidRPr="00A62BD0">
        <w:rPr>
          <w:rFonts w:ascii="Palatino Linotype" w:hAnsi="Palatino Linotype" w:cs="Arial"/>
          <w:i/>
          <w:color w:val="000000" w:themeColor="text1"/>
          <w:lang w:val="es-MX"/>
        </w:rPr>
        <w:t xml:space="preserve"> La información se encuentre en registros públicos o fuentes de acceso público;</w:t>
      </w:r>
    </w:p>
    <w:p w14:paraId="60EA94E3" w14:textId="77777777" w:rsidR="009F6A18" w:rsidRPr="00A62BD0" w:rsidRDefault="009F6A18" w:rsidP="00A62BD0">
      <w:pPr>
        <w:spacing w:line="360" w:lineRule="auto"/>
        <w:ind w:left="567" w:right="567"/>
        <w:contextualSpacing/>
        <w:jc w:val="both"/>
        <w:rPr>
          <w:rFonts w:ascii="Palatino Linotype" w:hAnsi="Palatino Linotype" w:cs="Arial"/>
          <w:bCs/>
          <w:i/>
          <w:color w:val="000000" w:themeColor="text1"/>
          <w:lang w:val="es-MX"/>
        </w:rPr>
      </w:pPr>
      <w:r w:rsidRPr="00A62BD0">
        <w:rPr>
          <w:rFonts w:ascii="Palatino Linotype" w:hAnsi="Palatino Linotype" w:cs="Arial"/>
          <w:bCs/>
          <w:i/>
          <w:color w:val="000000" w:themeColor="text1"/>
          <w:lang w:val="es-MX"/>
        </w:rPr>
        <w:t xml:space="preserve">II. </w:t>
      </w:r>
      <w:r w:rsidRPr="00A62BD0">
        <w:rPr>
          <w:rFonts w:ascii="Palatino Linotype" w:hAnsi="Palatino Linotype" w:cs="Arial"/>
          <w:i/>
          <w:color w:val="000000" w:themeColor="text1"/>
          <w:lang w:val="es-MX"/>
        </w:rPr>
        <w:t>Por Ley tenga el carácter de pública;</w:t>
      </w:r>
    </w:p>
    <w:p w14:paraId="225EBF14" w14:textId="77777777" w:rsidR="009F6A18" w:rsidRPr="00A62BD0" w:rsidRDefault="009F6A18" w:rsidP="00A62BD0">
      <w:pPr>
        <w:spacing w:line="360" w:lineRule="auto"/>
        <w:ind w:left="567" w:right="567"/>
        <w:contextualSpacing/>
        <w:jc w:val="both"/>
        <w:rPr>
          <w:rFonts w:ascii="Palatino Linotype" w:hAnsi="Palatino Linotype" w:cs="Arial"/>
          <w:i/>
          <w:color w:val="000000" w:themeColor="text1"/>
          <w:lang w:val="es-MX"/>
        </w:rPr>
      </w:pPr>
      <w:r w:rsidRPr="00A62BD0">
        <w:rPr>
          <w:rFonts w:ascii="Palatino Linotype" w:hAnsi="Palatino Linotype" w:cs="Arial"/>
          <w:bCs/>
          <w:i/>
          <w:color w:val="000000" w:themeColor="text1"/>
          <w:lang w:val="es-MX"/>
        </w:rPr>
        <w:t xml:space="preserve">III. </w:t>
      </w:r>
      <w:r w:rsidRPr="00A62BD0">
        <w:rPr>
          <w:rFonts w:ascii="Palatino Linotype" w:hAnsi="Palatino Linotype" w:cs="Arial"/>
          <w:i/>
          <w:color w:val="000000" w:themeColor="text1"/>
          <w:lang w:val="es-MX"/>
        </w:rPr>
        <w:t xml:space="preserve">Exista una orden judicial; </w:t>
      </w:r>
    </w:p>
    <w:p w14:paraId="27D52A59" w14:textId="77777777" w:rsidR="009F6A18" w:rsidRPr="00A62BD0" w:rsidRDefault="009F6A18" w:rsidP="00A62BD0">
      <w:pPr>
        <w:spacing w:line="360" w:lineRule="auto"/>
        <w:ind w:left="567" w:right="567"/>
        <w:contextualSpacing/>
        <w:jc w:val="both"/>
        <w:rPr>
          <w:rFonts w:ascii="Palatino Linotype" w:hAnsi="Palatino Linotype" w:cs="Arial"/>
          <w:i/>
          <w:color w:val="000000" w:themeColor="text1"/>
          <w:lang w:val="es-MX"/>
        </w:rPr>
      </w:pPr>
      <w:r w:rsidRPr="00A62BD0">
        <w:rPr>
          <w:rFonts w:ascii="Palatino Linotype" w:hAnsi="Palatino Linotype" w:cs="Arial"/>
          <w:bCs/>
          <w:i/>
          <w:color w:val="000000" w:themeColor="text1"/>
          <w:lang w:val="es-MX"/>
        </w:rPr>
        <w:t xml:space="preserve">IV. </w:t>
      </w:r>
      <w:r w:rsidRPr="00A62BD0">
        <w:rPr>
          <w:rFonts w:ascii="Palatino Linotype" w:hAnsi="Palatino Linotype" w:cs="Arial"/>
          <w:i/>
          <w:color w:val="000000" w:themeColor="text1"/>
          <w:lang w:val="es-MX"/>
        </w:rPr>
        <w:t xml:space="preserve">Por razones de seguridad pública, o para proteger los derechos de terceros, se requiera su publicación; o </w:t>
      </w:r>
    </w:p>
    <w:p w14:paraId="37C66822" w14:textId="77777777" w:rsidR="009F6A18" w:rsidRPr="00A62BD0" w:rsidRDefault="009F6A18" w:rsidP="00A62BD0">
      <w:pPr>
        <w:spacing w:line="360" w:lineRule="auto"/>
        <w:ind w:left="567" w:right="567"/>
        <w:contextualSpacing/>
        <w:jc w:val="both"/>
        <w:rPr>
          <w:rFonts w:ascii="Palatino Linotype" w:hAnsi="Palatino Linotype" w:cs="Arial"/>
          <w:i/>
          <w:color w:val="000000" w:themeColor="text1"/>
          <w:lang w:val="es-MX"/>
        </w:rPr>
      </w:pPr>
      <w:r w:rsidRPr="00A62BD0">
        <w:rPr>
          <w:rFonts w:ascii="Palatino Linotype" w:hAnsi="Palatino Linotype" w:cs="Arial"/>
          <w:bCs/>
          <w:i/>
          <w:color w:val="000000" w:themeColor="text1"/>
          <w:lang w:val="es-MX"/>
        </w:rPr>
        <w:lastRenderedPageBreak/>
        <w:t xml:space="preserve">V. </w:t>
      </w:r>
      <w:r w:rsidRPr="00A62BD0">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195A4FC"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sz w:val="12"/>
        </w:rPr>
      </w:pPr>
    </w:p>
    <w:p w14:paraId="74E74012" w14:textId="77777777" w:rsidR="009F6A18" w:rsidRPr="00A62BD0" w:rsidRDefault="009F6A18" w:rsidP="00A62BD0">
      <w:pPr>
        <w:numPr>
          <w:ilvl w:val="0"/>
          <w:numId w:val="1"/>
        </w:numPr>
        <w:spacing w:line="360" w:lineRule="auto"/>
        <w:ind w:left="0" w:firstLine="0"/>
        <w:contextualSpacing/>
        <w:jc w:val="both"/>
        <w:rPr>
          <w:rFonts w:ascii="Palatino Linotype" w:hAnsi="Palatino Linotype" w:cs="Arial"/>
          <w:color w:val="000000" w:themeColor="text1"/>
        </w:rPr>
      </w:pPr>
      <w:r w:rsidRPr="00A62BD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91DB49" w14:textId="77777777" w:rsidR="009F6A18" w:rsidRPr="00A62BD0" w:rsidRDefault="009F6A18" w:rsidP="00A62BD0">
      <w:pPr>
        <w:spacing w:line="360" w:lineRule="auto"/>
        <w:ind w:left="426" w:right="49" w:hanging="426"/>
        <w:contextualSpacing/>
        <w:jc w:val="both"/>
        <w:rPr>
          <w:rFonts w:ascii="Palatino Linotype" w:hAnsi="Palatino Linotype" w:cs="Arial"/>
          <w:color w:val="000000" w:themeColor="text1"/>
          <w:sz w:val="12"/>
        </w:rPr>
      </w:pPr>
    </w:p>
    <w:p w14:paraId="04967D54" w14:textId="77777777" w:rsidR="009F6A18" w:rsidRPr="00A62BD0" w:rsidRDefault="009F6A18" w:rsidP="00A62BD0">
      <w:pPr>
        <w:numPr>
          <w:ilvl w:val="0"/>
          <w:numId w:val="1"/>
        </w:numPr>
        <w:spacing w:line="360" w:lineRule="auto"/>
        <w:ind w:left="0" w:right="49" w:firstLine="0"/>
        <w:jc w:val="both"/>
        <w:rPr>
          <w:rFonts w:ascii="Palatino Linotype" w:eastAsia="MS Mincho" w:hAnsi="Palatino Linotype" w:cstheme="majorBidi"/>
        </w:rPr>
      </w:pPr>
      <w:r w:rsidRPr="00A62BD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C52B205" w14:textId="77777777" w:rsidR="009F6A18" w:rsidRPr="00A62BD0" w:rsidRDefault="009F6A18" w:rsidP="00A62BD0">
      <w:pPr>
        <w:spacing w:line="360" w:lineRule="auto"/>
        <w:jc w:val="both"/>
        <w:rPr>
          <w:rFonts w:ascii="Palatino Linotype" w:hAnsi="Palatino Linotype"/>
          <w:sz w:val="12"/>
          <w:lang w:val="es-MX" w:eastAsia="es-ES_tradnl"/>
        </w:rPr>
      </w:pPr>
    </w:p>
    <w:p w14:paraId="2B842DA1" w14:textId="1B00AA74" w:rsidR="009F6A18" w:rsidRPr="00A62BD0" w:rsidRDefault="009F6A18" w:rsidP="00A62BD0">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A62BD0">
        <w:rPr>
          <w:rFonts w:ascii="Palatino Linotype" w:hAnsi="Palatino Linotype" w:cs="Arial"/>
          <w:color w:val="000000" w:themeColor="text1"/>
        </w:rPr>
        <w:t xml:space="preserve">Luego entonces, en términos del artículo 179 </w:t>
      </w:r>
      <w:r w:rsidR="00DC3B64" w:rsidRPr="00A62BD0">
        <w:rPr>
          <w:rFonts w:ascii="Palatino Linotype" w:hAnsi="Palatino Linotype" w:cs="Arial"/>
          <w:color w:val="000000" w:themeColor="text1"/>
        </w:rPr>
        <w:t>fracciones II y VIII</w:t>
      </w:r>
      <w:r w:rsidRPr="00A62BD0">
        <w:rPr>
          <w:rFonts w:ascii="Palatino Linotype" w:hAnsi="Palatino Linotype" w:cs="Arial"/>
          <w:color w:val="000000" w:themeColor="text1"/>
        </w:rPr>
        <w:t xml:space="preserve"> de la Ley de Trasparencia y Acceso a la Información Pública del Estado de México y Municipios, resultan</w:t>
      </w:r>
      <w:r w:rsidR="009737B6" w:rsidRPr="00A62BD0">
        <w:rPr>
          <w:rFonts w:ascii="Palatino Linotype" w:hAnsi="Palatino Linotype" w:cs="Arial"/>
          <w:color w:val="000000" w:themeColor="text1"/>
        </w:rPr>
        <w:t xml:space="preserve"> parcialmente </w:t>
      </w:r>
      <w:r w:rsidRPr="00A62BD0">
        <w:rPr>
          <w:rFonts w:ascii="Palatino Linotype" w:eastAsia="Times New Roman" w:hAnsi="Palatino Linotype" w:cs="Arial"/>
        </w:rPr>
        <w:t>fundadas las</w:t>
      </w:r>
      <w:r w:rsidRPr="00A62BD0">
        <w:rPr>
          <w:rFonts w:ascii="Palatino Linotype" w:eastAsia="Times New Roman" w:hAnsi="Palatino Linotype" w:cs="Arial"/>
          <w:b/>
        </w:rPr>
        <w:t xml:space="preserve"> </w:t>
      </w:r>
      <w:r w:rsidRPr="00A62BD0">
        <w:rPr>
          <w:rFonts w:ascii="Palatino Linotype" w:eastAsia="Times New Roman" w:hAnsi="Palatino Linotype" w:cs="Arial"/>
          <w:lang w:val="es-ES"/>
        </w:rPr>
        <w:t xml:space="preserve">razones o motivos de inconformidad hechos valer por el </w:t>
      </w:r>
      <w:r w:rsidRPr="00A62BD0">
        <w:rPr>
          <w:rFonts w:ascii="Palatino Linotype" w:eastAsia="Times New Roman" w:hAnsi="Palatino Linotype" w:cs="Arial"/>
          <w:b/>
          <w:lang w:val="es-ES"/>
        </w:rPr>
        <w:t>RECURRENTE</w:t>
      </w:r>
      <w:r w:rsidRPr="00A62BD0">
        <w:rPr>
          <w:rFonts w:ascii="Palatino Linotype" w:eastAsia="Times New Roman" w:hAnsi="Palatino Linotype" w:cs="Arial"/>
          <w:lang w:val="es-ES"/>
        </w:rPr>
        <w:t xml:space="preserve"> </w:t>
      </w:r>
      <w:r w:rsidRPr="00A62BD0">
        <w:rPr>
          <w:rFonts w:ascii="Palatino Linotype" w:eastAsia="Calibri" w:hAnsi="Palatino Linotype" w:cs="Arial"/>
          <w:lang w:val="es-ES"/>
        </w:rPr>
        <w:t xml:space="preserve">en el recurso de revisión de mérito, razón por lo cual es dable ordenar en versión publica </w:t>
      </w:r>
      <w:r w:rsidR="00DC3B64" w:rsidRPr="00A62BD0">
        <w:rPr>
          <w:rFonts w:ascii="Palatino Linotype" w:eastAsia="Calibri" w:hAnsi="Palatino Linotype" w:cs="Arial"/>
          <w:lang w:val="es-ES"/>
        </w:rPr>
        <w:t>las documentales contenidas en el expediente judicial referido por el Sujeto Obligado mediante respuesta.</w:t>
      </w:r>
      <w:r w:rsidRPr="00A62BD0">
        <w:rPr>
          <w:rFonts w:ascii="Palatino Linotype" w:eastAsia="MS Mincho" w:hAnsi="Palatino Linotype" w:cs="Times New Roman"/>
        </w:rPr>
        <w:t xml:space="preserve"> </w:t>
      </w:r>
    </w:p>
    <w:p w14:paraId="75C971F5" w14:textId="77777777" w:rsidR="00A62BD0" w:rsidRPr="00A62BD0" w:rsidRDefault="00A62BD0" w:rsidP="00A62BD0">
      <w:pPr>
        <w:widowControl w:val="0"/>
        <w:autoSpaceDE w:val="0"/>
        <w:autoSpaceDN w:val="0"/>
        <w:adjustRightInd w:val="0"/>
        <w:spacing w:line="360" w:lineRule="auto"/>
        <w:jc w:val="both"/>
        <w:rPr>
          <w:rFonts w:ascii="Palatino Linotype" w:hAnsi="Palatino Linotype" w:cs="Times New Roman"/>
          <w:sz w:val="12"/>
          <w:lang w:eastAsia="es-ES_tradnl"/>
        </w:rPr>
      </w:pPr>
    </w:p>
    <w:p w14:paraId="21AC9D9C" w14:textId="04DAD2A8" w:rsidR="00A62BD0" w:rsidRDefault="009F6A18" w:rsidP="00A62BD0">
      <w:pPr>
        <w:numPr>
          <w:ilvl w:val="0"/>
          <w:numId w:val="1"/>
        </w:numPr>
        <w:spacing w:line="360" w:lineRule="auto"/>
        <w:ind w:left="0" w:firstLine="0"/>
        <w:contextualSpacing/>
        <w:jc w:val="both"/>
        <w:rPr>
          <w:rFonts w:ascii="Palatino Linotype" w:hAnsi="Palatino Linotype"/>
          <w:color w:val="000000" w:themeColor="text1"/>
        </w:rPr>
      </w:pPr>
      <w:r w:rsidRPr="00A62BD0">
        <w:rPr>
          <w:rFonts w:ascii="Palatino Linotype" w:hAnsi="Palatino Linotype"/>
          <w:color w:val="000000" w:themeColor="text1"/>
          <w:lang w:val="es-ES" w:eastAsia="es-MX"/>
        </w:rPr>
        <w:t xml:space="preserve">Por lo anteriormente expuesto y fundado, este </w:t>
      </w:r>
      <w:r w:rsidRPr="00A62BD0">
        <w:rPr>
          <w:rFonts w:ascii="Palatino Linotype" w:hAnsi="Palatino Linotype"/>
          <w:b/>
          <w:bCs/>
          <w:color w:val="000000" w:themeColor="text1"/>
          <w:lang w:val="es-ES" w:eastAsia="es-MX"/>
        </w:rPr>
        <w:t>ÓRGANO GARANTE</w:t>
      </w:r>
      <w:r w:rsidRPr="00A62BD0">
        <w:rPr>
          <w:rFonts w:ascii="Palatino Linotype" w:hAnsi="Palatino Linotype"/>
          <w:color w:val="000000" w:themeColor="text1"/>
          <w:lang w:val="es-ES" w:eastAsia="es-MX"/>
        </w:rPr>
        <w:t xml:space="preserve"> emite los siguientes:</w:t>
      </w:r>
    </w:p>
    <w:p w14:paraId="59D026C2" w14:textId="77777777" w:rsidR="00A62BD0" w:rsidRPr="00A62BD0" w:rsidRDefault="00A62BD0" w:rsidP="00A62BD0">
      <w:pPr>
        <w:spacing w:line="360" w:lineRule="auto"/>
        <w:contextualSpacing/>
        <w:jc w:val="both"/>
        <w:rPr>
          <w:rFonts w:ascii="Palatino Linotype" w:hAnsi="Palatino Linotype"/>
          <w:color w:val="000000" w:themeColor="text1"/>
          <w:sz w:val="12"/>
        </w:rPr>
      </w:pPr>
    </w:p>
    <w:p w14:paraId="4F018E9B" w14:textId="3DC79C9D" w:rsidR="00DC3B64" w:rsidRPr="00A62BD0" w:rsidRDefault="00DC3B64" w:rsidP="00A62BD0">
      <w:pPr>
        <w:keepNext/>
        <w:keepLines/>
        <w:tabs>
          <w:tab w:val="left" w:pos="2715"/>
          <w:tab w:val="center" w:pos="4394"/>
        </w:tabs>
        <w:spacing w:line="360" w:lineRule="auto"/>
        <w:outlineLvl w:val="0"/>
        <w:rPr>
          <w:rFonts w:ascii="Palatino Linotype" w:eastAsia="Times New Roman" w:hAnsi="Palatino Linotype" w:cs="Times New Roman"/>
          <w:b/>
        </w:rPr>
      </w:pPr>
      <w:bookmarkStart w:id="74" w:name="_Toc494366431"/>
      <w:bookmarkStart w:id="75" w:name="_Toc510614382"/>
      <w:bookmarkStart w:id="76" w:name="_Toc528234044"/>
      <w:r w:rsidRPr="00A62BD0">
        <w:rPr>
          <w:rFonts w:ascii="Palatino Linotype" w:eastAsia="Times New Roman" w:hAnsi="Palatino Linotype" w:cs="Times New Roman"/>
          <w:b/>
        </w:rPr>
        <w:tab/>
      </w:r>
      <w:r w:rsidRPr="00A62BD0">
        <w:rPr>
          <w:rFonts w:ascii="Palatino Linotype" w:eastAsia="Times New Roman" w:hAnsi="Palatino Linotype" w:cs="Times New Roman"/>
          <w:b/>
        </w:rPr>
        <w:tab/>
      </w:r>
      <w:bookmarkStart w:id="77" w:name="_Toc7037092"/>
      <w:r w:rsidRPr="00A62BD0">
        <w:rPr>
          <w:rFonts w:ascii="Palatino Linotype" w:eastAsia="Times New Roman" w:hAnsi="Palatino Linotype" w:cs="Times New Roman"/>
          <w:b/>
        </w:rPr>
        <w:t>R E S O L U T I V O S</w:t>
      </w:r>
      <w:bookmarkEnd w:id="74"/>
      <w:bookmarkEnd w:id="75"/>
      <w:bookmarkEnd w:id="76"/>
      <w:bookmarkEnd w:id="77"/>
    </w:p>
    <w:p w14:paraId="09C8A774" w14:textId="77777777" w:rsidR="00DC3B64" w:rsidRPr="00A62BD0" w:rsidRDefault="00DC3B64" w:rsidP="00A62BD0">
      <w:pPr>
        <w:spacing w:line="360" w:lineRule="auto"/>
        <w:rPr>
          <w:rFonts w:ascii="Palatino Linotype" w:eastAsia="Calibri" w:hAnsi="Palatino Linotype" w:cs="Times New Roman"/>
          <w:sz w:val="12"/>
        </w:rPr>
      </w:pPr>
    </w:p>
    <w:p w14:paraId="71CCCA21" w14:textId="0F3E944D" w:rsidR="00DC3B64" w:rsidRDefault="00DC3B64" w:rsidP="00A62BD0">
      <w:pPr>
        <w:spacing w:line="360" w:lineRule="auto"/>
        <w:jc w:val="both"/>
        <w:rPr>
          <w:rFonts w:ascii="Palatino Linotype" w:hAnsi="Palatino Linotype" w:cs="Arial"/>
          <w:bCs/>
          <w:lang w:eastAsia="es-MX"/>
        </w:rPr>
      </w:pPr>
      <w:r w:rsidRPr="00A62BD0">
        <w:rPr>
          <w:rFonts w:ascii="Palatino Linotype" w:eastAsia="Times New Roman" w:hAnsi="Palatino Linotype" w:cs="Arial"/>
          <w:b/>
        </w:rPr>
        <w:t xml:space="preserve">PRIMERO. </w:t>
      </w:r>
      <w:r w:rsidRPr="00A62BD0">
        <w:rPr>
          <w:rFonts w:ascii="Palatino Linotype" w:eastAsia="Times New Roman" w:hAnsi="Palatino Linotype" w:cs="Arial"/>
        </w:rPr>
        <w:t xml:space="preserve">Resultan </w:t>
      </w:r>
      <w:r w:rsidR="009737B6" w:rsidRPr="00A62BD0">
        <w:rPr>
          <w:rFonts w:ascii="Palatino Linotype" w:eastAsia="Times New Roman" w:hAnsi="Palatino Linotype" w:cs="Arial"/>
        </w:rPr>
        <w:t xml:space="preserve">parcialmente </w:t>
      </w:r>
      <w:r w:rsidRPr="00A62BD0">
        <w:rPr>
          <w:rFonts w:ascii="Palatino Linotype" w:eastAsia="Times New Roman" w:hAnsi="Palatino Linotype" w:cs="Arial"/>
        </w:rPr>
        <w:t>fundadas las</w:t>
      </w:r>
      <w:r w:rsidRPr="00A62BD0">
        <w:rPr>
          <w:rFonts w:ascii="Palatino Linotype" w:eastAsia="Times New Roman" w:hAnsi="Palatino Linotype" w:cs="Arial"/>
          <w:b/>
        </w:rPr>
        <w:t xml:space="preserve"> </w:t>
      </w:r>
      <w:r w:rsidRPr="00A62BD0">
        <w:rPr>
          <w:rFonts w:ascii="Palatino Linotype" w:eastAsia="Times New Roman" w:hAnsi="Palatino Linotype" w:cs="Arial"/>
          <w:lang w:val="es-ES"/>
        </w:rPr>
        <w:t xml:space="preserve">razones o motivos de inconformidad hechos valer </w:t>
      </w:r>
      <w:r w:rsidRPr="00A62BD0">
        <w:rPr>
          <w:rFonts w:ascii="Palatino Linotype" w:eastAsia="Calibri" w:hAnsi="Palatino Linotype" w:cs="Arial"/>
          <w:lang w:val="es-ES"/>
        </w:rPr>
        <w:t xml:space="preserve">en el recurso de revisión </w:t>
      </w:r>
      <w:r w:rsidRPr="00A62BD0">
        <w:rPr>
          <w:rFonts w:ascii="Palatino Linotype" w:hAnsi="Palatino Linotype" w:cs="Arial"/>
          <w:b/>
          <w:bCs/>
        </w:rPr>
        <w:t>00503/INFOEM/IP/RR/2019</w:t>
      </w:r>
      <w:r w:rsidRPr="00A62BD0">
        <w:rPr>
          <w:rFonts w:ascii="Palatino Linotype" w:hAnsi="Palatino Linotype" w:cs="Arial"/>
          <w:b/>
          <w:bCs/>
          <w:lang w:eastAsia="es-MX"/>
        </w:rPr>
        <w:t xml:space="preserve"> </w:t>
      </w:r>
      <w:r w:rsidRPr="00A62BD0">
        <w:rPr>
          <w:rFonts w:ascii="Palatino Linotype" w:hAnsi="Palatino Linotype" w:cs="Arial"/>
          <w:bCs/>
          <w:lang w:eastAsia="es-MX"/>
        </w:rPr>
        <w:t xml:space="preserve">en términos de los </w:t>
      </w:r>
      <w:r w:rsidRPr="00A62BD0">
        <w:rPr>
          <w:rFonts w:ascii="Palatino Linotype" w:hAnsi="Palatino Linotype" w:cs="Arial"/>
          <w:b/>
          <w:bCs/>
          <w:lang w:eastAsia="es-MX"/>
        </w:rPr>
        <w:t xml:space="preserve">Considerandos CUARTO y QUINTO </w:t>
      </w:r>
      <w:r w:rsidRPr="00A62BD0">
        <w:rPr>
          <w:rFonts w:ascii="Palatino Linotype" w:hAnsi="Palatino Linotype" w:cs="Arial"/>
          <w:bCs/>
          <w:lang w:eastAsia="es-MX"/>
        </w:rPr>
        <w:t>de la presente resolución.</w:t>
      </w:r>
    </w:p>
    <w:p w14:paraId="5885DF8E" w14:textId="77777777" w:rsidR="00A62BD0" w:rsidRPr="00A62BD0" w:rsidRDefault="00A62BD0" w:rsidP="00A62BD0">
      <w:pPr>
        <w:spacing w:line="360" w:lineRule="auto"/>
        <w:jc w:val="both"/>
        <w:rPr>
          <w:rFonts w:ascii="Palatino Linotype" w:hAnsi="Palatino Linotype" w:cs="Arial"/>
          <w:bCs/>
          <w:sz w:val="12"/>
          <w:lang w:eastAsia="es-MX"/>
        </w:rPr>
      </w:pPr>
    </w:p>
    <w:p w14:paraId="58734EA5" w14:textId="2E155224" w:rsidR="00DC3B64" w:rsidRDefault="00DC3B64" w:rsidP="00A62BD0">
      <w:pPr>
        <w:spacing w:line="360" w:lineRule="auto"/>
        <w:jc w:val="both"/>
        <w:rPr>
          <w:rFonts w:ascii="Palatino Linotype" w:eastAsia="Calibri" w:hAnsi="Palatino Linotype" w:cs="Arial"/>
          <w:lang w:val="es-ES"/>
        </w:rPr>
      </w:pPr>
      <w:r w:rsidRPr="00A62BD0">
        <w:rPr>
          <w:rFonts w:ascii="Palatino Linotype" w:hAnsi="Palatino Linotype"/>
          <w:b/>
        </w:rPr>
        <w:t>SEGUNDO.</w:t>
      </w:r>
      <w:r w:rsidRPr="00A62BD0">
        <w:rPr>
          <w:rFonts w:ascii="Palatino Linotype" w:eastAsiaTheme="majorEastAsia" w:hAnsi="Palatino Linotype" w:cstheme="majorBidi"/>
          <w:color w:val="000000" w:themeColor="text1"/>
          <w:lang w:val="es-MX" w:eastAsia="en-US"/>
        </w:rPr>
        <w:t xml:space="preserve"> </w:t>
      </w:r>
      <w:r w:rsidRPr="00A62BD0">
        <w:rPr>
          <w:rFonts w:ascii="Palatino Linotype" w:eastAsia="Calibri" w:hAnsi="Palatino Linotype" w:cs="Arial"/>
          <w:lang w:val="es-ES"/>
        </w:rPr>
        <w:t>Se</w:t>
      </w:r>
      <w:r w:rsidRPr="00A62BD0">
        <w:rPr>
          <w:rFonts w:ascii="Palatino Linotype" w:eastAsia="Calibri" w:hAnsi="Palatino Linotype" w:cs="Arial"/>
          <w:b/>
          <w:lang w:val="es-ES"/>
        </w:rPr>
        <w:t xml:space="preserve"> REVOCA </w:t>
      </w:r>
      <w:r w:rsidRPr="00A62BD0">
        <w:rPr>
          <w:rFonts w:ascii="Palatino Linotype" w:eastAsia="Calibri" w:hAnsi="Palatino Linotype" w:cs="Arial"/>
          <w:lang w:val="es-ES"/>
        </w:rPr>
        <w:t xml:space="preserve">la respuesta emitida por el </w:t>
      </w:r>
      <w:r w:rsidRPr="00A62BD0">
        <w:rPr>
          <w:rFonts w:ascii="Palatino Linotype" w:eastAsia="Calibri" w:hAnsi="Palatino Linotype" w:cs="Arial"/>
          <w:b/>
          <w:lang w:val="es-ES"/>
        </w:rPr>
        <w:t xml:space="preserve">Ayuntamiento de Ecatepec de Morelos </w:t>
      </w:r>
      <w:r w:rsidRPr="00A62BD0">
        <w:rPr>
          <w:rFonts w:ascii="Palatino Linotype" w:hAnsi="Palatino Linotype"/>
          <w:bCs/>
        </w:rPr>
        <w:t>y se</w:t>
      </w:r>
      <w:r w:rsidRPr="00A62BD0">
        <w:rPr>
          <w:rFonts w:ascii="Palatino Linotype" w:hAnsi="Palatino Linotype"/>
          <w:b/>
          <w:bCs/>
        </w:rPr>
        <w:t xml:space="preserve"> ORDENA</w:t>
      </w:r>
      <w:r w:rsidRPr="00A62BD0">
        <w:rPr>
          <w:rFonts w:ascii="Palatino Linotype" w:eastAsia="Times New Roman" w:hAnsi="Palatino Linotype" w:cs="Arial"/>
          <w:lang w:val="es-ES"/>
        </w:rPr>
        <w:t xml:space="preserve"> </w:t>
      </w:r>
      <w:r w:rsidRPr="00A62BD0">
        <w:rPr>
          <w:rFonts w:ascii="Palatino Linotype" w:eastAsia="Calibri" w:hAnsi="Palatino Linotype" w:cs="Arial"/>
          <w:lang w:val="es-ES"/>
        </w:rPr>
        <w:t xml:space="preserve">entregar vía Sistema de Acceso a la Información Mexiquense </w:t>
      </w:r>
      <w:r w:rsidRPr="00A62BD0">
        <w:rPr>
          <w:rFonts w:ascii="Palatino Linotype" w:eastAsia="Calibri" w:hAnsi="Palatino Linotype" w:cs="Arial"/>
          <w:b/>
          <w:lang w:val="es-ES"/>
        </w:rPr>
        <w:t xml:space="preserve">(SAIMEX), </w:t>
      </w:r>
      <w:r w:rsidRPr="00A62BD0">
        <w:rPr>
          <w:rFonts w:ascii="Palatino Linotype" w:eastAsia="Calibri" w:hAnsi="Palatino Linotype" w:cs="Arial"/>
          <w:lang w:val="es-ES"/>
        </w:rPr>
        <w:t>en versión pública, la siguiente información:</w:t>
      </w:r>
    </w:p>
    <w:p w14:paraId="26E3CA81" w14:textId="77777777" w:rsidR="00A62BD0" w:rsidRPr="00A62BD0" w:rsidRDefault="00A62BD0" w:rsidP="00A62BD0">
      <w:pPr>
        <w:spacing w:line="360" w:lineRule="auto"/>
        <w:jc w:val="both"/>
        <w:rPr>
          <w:rFonts w:ascii="Palatino Linotype" w:eastAsia="Calibri" w:hAnsi="Palatino Linotype" w:cs="Arial"/>
          <w:sz w:val="12"/>
          <w:lang w:val="es-ES"/>
        </w:rPr>
      </w:pPr>
    </w:p>
    <w:p w14:paraId="6ECBF96E" w14:textId="38A02352" w:rsidR="009737B6" w:rsidRDefault="00DC3B64" w:rsidP="00A62BD0">
      <w:pPr>
        <w:numPr>
          <w:ilvl w:val="0"/>
          <w:numId w:val="31"/>
        </w:numPr>
        <w:tabs>
          <w:tab w:val="left" w:pos="8222"/>
        </w:tabs>
        <w:spacing w:line="360" w:lineRule="auto"/>
        <w:ind w:right="567"/>
        <w:jc w:val="both"/>
        <w:rPr>
          <w:rFonts w:ascii="Palatino Linotype" w:hAnsi="Palatino Linotype"/>
          <w:b/>
        </w:rPr>
      </w:pPr>
      <w:r w:rsidRPr="00A62BD0">
        <w:rPr>
          <w:rFonts w:ascii="Palatino Linotype" w:hAnsi="Palatino Linotype"/>
          <w:b/>
        </w:rPr>
        <w:t>Las documentales contenidas en el expediente judicial referido por el Sujeto Obligado mediante respuesta.</w:t>
      </w:r>
    </w:p>
    <w:p w14:paraId="0BDC8F35" w14:textId="77777777" w:rsidR="00A62BD0" w:rsidRPr="00A62BD0" w:rsidRDefault="00A62BD0" w:rsidP="00A62BD0">
      <w:pPr>
        <w:tabs>
          <w:tab w:val="left" w:pos="8222"/>
        </w:tabs>
        <w:spacing w:line="360" w:lineRule="auto"/>
        <w:ind w:left="720" w:right="567"/>
        <w:jc w:val="both"/>
        <w:rPr>
          <w:rFonts w:ascii="Palatino Linotype" w:hAnsi="Palatino Linotype"/>
          <w:b/>
          <w:sz w:val="12"/>
        </w:rPr>
      </w:pPr>
    </w:p>
    <w:p w14:paraId="54CE6371" w14:textId="050CBA8A" w:rsidR="00DC3B64" w:rsidRPr="00A62BD0" w:rsidRDefault="00DC3B64" w:rsidP="00A62BD0">
      <w:pPr>
        <w:spacing w:line="360" w:lineRule="auto"/>
        <w:jc w:val="both"/>
        <w:rPr>
          <w:rFonts w:ascii="Palatino Linotype" w:hAnsi="Palatino Linotype"/>
          <w:b/>
        </w:rPr>
      </w:pPr>
      <w:r w:rsidRPr="00A62BD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w:t>
      </w:r>
      <w:r w:rsidR="00EC4BA6" w:rsidRPr="00A62BD0">
        <w:rPr>
          <w:rFonts w:ascii="Palatino Linotype" w:eastAsia="Calibri" w:hAnsi="Palatino Linotype" w:cs="Arial"/>
        </w:rPr>
        <w:t xml:space="preserve">y se ponga a disposición de </w:t>
      </w:r>
      <w:r w:rsidR="002542F8" w:rsidRPr="002542F8">
        <w:rPr>
          <w:rFonts w:ascii="Palatino Linotype" w:eastAsia="Calibri" w:hAnsi="Palatino Linotype" w:cs="Arial"/>
          <w:b/>
          <w:highlight w:val="black"/>
        </w:rPr>
        <w:t>-----------------------------------------</w:t>
      </w:r>
      <w:r w:rsidRPr="00A62BD0">
        <w:rPr>
          <w:rFonts w:ascii="Palatino Linotype" w:hAnsi="Palatino Linotype"/>
          <w:b/>
        </w:rPr>
        <w:t>.</w:t>
      </w:r>
    </w:p>
    <w:p w14:paraId="0159C883" w14:textId="77777777" w:rsidR="00DC3B64" w:rsidRPr="00A62BD0" w:rsidRDefault="00DC3B64" w:rsidP="00A62BD0">
      <w:pPr>
        <w:tabs>
          <w:tab w:val="left" w:pos="8080"/>
        </w:tabs>
        <w:spacing w:line="360" w:lineRule="auto"/>
        <w:ind w:right="49"/>
        <w:contextualSpacing/>
        <w:jc w:val="both"/>
        <w:rPr>
          <w:rFonts w:ascii="Palatino Linotype" w:eastAsia="Palatino Linotype" w:hAnsi="Palatino Linotype" w:cs="Palatino Linotype"/>
          <w:b/>
        </w:rPr>
      </w:pPr>
    </w:p>
    <w:p w14:paraId="6C6DF845" w14:textId="77777777" w:rsidR="00DC3B64" w:rsidRPr="00A62BD0" w:rsidRDefault="00DC3B64" w:rsidP="00A62BD0">
      <w:pPr>
        <w:tabs>
          <w:tab w:val="left" w:pos="8080"/>
        </w:tabs>
        <w:spacing w:line="360" w:lineRule="auto"/>
        <w:ind w:right="49"/>
        <w:contextualSpacing/>
        <w:jc w:val="both"/>
        <w:rPr>
          <w:rFonts w:ascii="Palatino Linotype" w:eastAsia="Palatino Linotype" w:hAnsi="Palatino Linotype" w:cs="Palatino Linotype"/>
          <w:b/>
        </w:rPr>
      </w:pPr>
      <w:r w:rsidRPr="00A62BD0">
        <w:rPr>
          <w:rFonts w:ascii="Palatino Linotype" w:eastAsia="Palatino Linotype" w:hAnsi="Palatino Linotype" w:cs="Palatino Linotype"/>
          <w:b/>
        </w:rPr>
        <w:t xml:space="preserve">TERCERO. Notifíquese </w:t>
      </w:r>
      <w:r w:rsidRPr="00A62BD0">
        <w:rPr>
          <w:rFonts w:ascii="Palatino Linotype" w:eastAsia="Palatino Linotype" w:hAnsi="Palatino Linotype" w:cs="Palatino Linotype"/>
        </w:rPr>
        <w:t xml:space="preserve">al Titular de la Unidad de Transparencia del </w:t>
      </w:r>
      <w:r w:rsidRPr="00A62BD0">
        <w:rPr>
          <w:rFonts w:ascii="Palatino Linotype" w:eastAsia="Palatino Linotype" w:hAnsi="Palatino Linotype" w:cs="Palatino Linotype"/>
          <w:b/>
        </w:rPr>
        <w:t>SUJETO OBLIGADO</w:t>
      </w:r>
      <w:r w:rsidRPr="00A62BD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A62BD0">
        <w:rPr>
          <w:rFonts w:ascii="Palatino Linotype" w:eastAsia="Palatino Linotype" w:hAnsi="Palatino Linotype" w:cs="Palatino Linotype"/>
        </w:rPr>
        <w:lastRenderedPageBreak/>
        <w:t xml:space="preserve">Estado de México y Municipios, </w:t>
      </w:r>
      <w:r w:rsidRPr="00A62BD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1DA4F20" w14:textId="77777777" w:rsidR="00DC3B64" w:rsidRPr="00A62BD0" w:rsidRDefault="00DC3B64" w:rsidP="00A62BD0">
      <w:pPr>
        <w:shd w:val="clear" w:color="auto" w:fill="FFFFFF"/>
        <w:spacing w:line="360" w:lineRule="auto"/>
        <w:jc w:val="both"/>
        <w:rPr>
          <w:rFonts w:ascii="Palatino Linotype" w:eastAsia="Times New Roman" w:hAnsi="Palatino Linotype" w:cs="Arial"/>
          <w:b/>
          <w:sz w:val="12"/>
        </w:rPr>
      </w:pPr>
    </w:p>
    <w:p w14:paraId="3F1A5EC2" w14:textId="77B7BF75" w:rsidR="00DC3B64" w:rsidRPr="00A62BD0" w:rsidRDefault="00DC3B64" w:rsidP="00A62BD0">
      <w:pPr>
        <w:shd w:val="clear" w:color="auto" w:fill="FFFFFF"/>
        <w:spacing w:line="360" w:lineRule="auto"/>
        <w:jc w:val="both"/>
        <w:rPr>
          <w:rFonts w:ascii="Palatino Linotype" w:hAnsi="Palatino Linotype"/>
        </w:rPr>
      </w:pPr>
      <w:r w:rsidRPr="00A62BD0">
        <w:rPr>
          <w:rFonts w:ascii="Palatino Linotype" w:eastAsia="Times New Roman" w:hAnsi="Palatino Linotype" w:cs="Arial"/>
          <w:b/>
        </w:rPr>
        <w:t xml:space="preserve">CUARTO. </w:t>
      </w:r>
      <w:r w:rsidR="00EC4BA6" w:rsidRPr="00A62BD0">
        <w:rPr>
          <w:rFonts w:ascii="Palatino Linotype" w:eastAsia="Times New Roman" w:hAnsi="Palatino Linotype" w:cs="Times New Roman"/>
          <w:b/>
          <w:bCs/>
          <w:color w:val="222222"/>
          <w:lang w:val="es-ES"/>
        </w:rPr>
        <w:t xml:space="preserve">Notifíquese a </w:t>
      </w:r>
      <w:r w:rsidR="002542F8" w:rsidRPr="002542F8">
        <w:rPr>
          <w:rFonts w:ascii="Palatino Linotype" w:eastAsia="Times New Roman" w:hAnsi="Palatino Linotype" w:cs="Times New Roman"/>
          <w:b/>
          <w:bCs/>
          <w:color w:val="222222"/>
          <w:highlight w:val="black"/>
          <w:lang w:val="es-ES"/>
        </w:rPr>
        <w:t>-------------------------------------------</w:t>
      </w:r>
      <w:r w:rsidRPr="00A62BD0">
        <w:rPr>
          <w:rFonts w:ascii="Palatino Linotype" w:hAnsi="Palatino Linotype"/>
          <w:b/>
        </w:rPr>
        <w:t xml:space="preserve"> </w:t>
      </w:r>
      <w:r w:rsidRPr="00A62BD0">
        <w:rPr>
          <w:rFonts w:ascii="Palatino Linotype" w:hAnsi="Palatino Linotype"/>
        </w:rPr>
        <w:t>la presente resolución.</w:t>
      </w:r>
    </w:p>
    <w:p w14:paraId="71B21409" w14:textId="77777777" w:rsidR="00DC3B64" w:rsidRPr="00A62BD0" w:rsidRDefault="00DC3B64" w:rsidP="00A62BD0">
      <w:pPr>
        <w:shd w:val="clear" w:color="auto" w:fill="FFFFFF"/>
        <w:spacing w:line="360" w:lineRule="auto"/>
        <w:jc w:val="both"/>
        <w:rPr>
          <w:rFonts w:ascii="Palatino Linotype" w:hAnsi="Palatino Linotype"/>
          <w:sz w:val="12"/>
        </w:rPr>
      </w:pPr>
    </w:p>
    <w:p w14:paraId="57B79C1F" w14:textId="7CA21726" w:rsidR="00DC3B64" w:rsidRPr="00A62BD0" w:rsidRDefault="00DC3B64" w:rsidP="00A62BD0">
      <w:pPr>
        <w:shd w:val="clear" w:color="auto" w:fill="FFFFFF"/>
        <w:spacing w:line="360" w:lineRule="auto"/>
        <w:jc w:val="both"/>
        <w:rPr>
          <w:rFonts w:ascii="Palatino Linotype" w:eastAsia="MS Mincho" w:hAnsi="Palatino Linotype" w:cs="Times New Roman"/>
          <w:lang w:val="es-ES"/>
        </w:rPr>
      </w:pPr>
      <w:r w:rsidRPr="00A62BD0">
        <w:rPr>
          <w:rFonts w:ascii="Palatino Linotype" w:eastAsia="MS Mincho" w:hAnsi="Palatino Linotype" w:cs="Times New Roman"/>
          <w:b/>
          <w:lang w:val="es-MX"/>
        </w:rPr>
        <w:t>QUINTO.</w:t>
      </w:r>
      <w:r w:rsidRPr="00A62BD0">
        <w:rPr>
          <w:rFonts w:ascii="Palatino Linotype" w:eastAsia="MS Mincho" w:hAnsi="Palatino Linotype" w:cs="Times New Roman"/>
          <w:lang w:val="es-MX"/>
        </w:rPr>
        <w:t xml:space="preserve"> </w:t>
      </w:r>
      <w:r w:rsidR="00EC4BA6" w:rsidRPr="00A62BD0">
        <w:rPr>
          <w:rFonts w:ascii="Palatino Linotype" w:eastAsia="MS Mincho" w:hAnsi="Palatino Linotype" w:cs="Times New Roman"/>
          <w:lang w:val="es-ES"/>
        </w:rPr>
        <w:t xml:space="preserve">Se hace del conocimiento de </w:t>
      </w:r>
      <w:r w:rsidR="002542F8" w:rsidRPr="002542F8">
        <w:rPr>
          <w:rFonts w:ascii="Palatino Linotype" w:eastAsia="MS Mincho" w:hAnsi="Palatino Linotype" w:cs="Times New Roman"/>
          <w:b/>
          <w:highlight w:val="black"/>
          <w:lang w:val="es-ES"/>
        </w:rPr>
        <w:t>----------------------------------------</w:t>
      </w:r>
      <w:r w:rsidRPr="00A62BD0">
        <w:rPr>
          <w:rFonts w:ascii="Palatino Linotype" w:hAnsi="Palatino Linotype"/>
          <w:b/>
        </w:rPr>
        <w:t xml:space="preserve"> </w:t>
      </w:r>
      <w:r w:rsidRPr="00A62BD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A62BD0">
        <w:rPr>
          <w:rFonts w:ascii="Palatino Linotype" w:eastAsia="MS Mincho" w:hAnsi="Palatino Linotype" w:cs="Times New Roman"/>
          <w:bCs/>
          <w:lang w:val="es-ES"/>
        </w:rPr>
        <w:t>vía juicio de amparo</w:t>
      </w:r>
      <w:r w:rsidRPr="00A62BD0">
        <w:rPr>
          <w:rFonts w:ascii="Palatino Linotype" w:eastAsia="MS Mincho" w:hAnsi="Palatino Linotype" w:cs="Times New Roman"/>
          <w:lang w:val="es-ES"/>
        </w:rPr>
        <w:t xml:space="preserve"> en los términos de las leyes aplicables.</w:t>
      </w:r>
    </w:p>
    <w:p w14:paraId="39ED3F08" w14:textId="77777777" w:rsidR="00DC3B64" w:rsidRPr="00A62BD0" w:rsidRDefault="00DC3B64" w:rsidP="00A62BD0">
      <w:pPr>
        <w:spacing w:line="360" w:lineRule="auto"/>
        <w:jc w:val="both"/>
        <w:rPr>
          <w:rFonts w:ascii="Palatino Linotype" w:eastAsia="MS Mincho" w:hAnsi="Palatino Linotype" w:cs="Times New Roman"/>
          <w:sz w:val="2"/>
          <w:lang w:val="es-ES"/>
        </w:rPr>
      </w:pPr>
    </w:p>
    <w:p w14:paraId="09D466BD" w14:textId="40E53869" w:rsidR="00A62BD0" w:rsidRPr="00A62BD0" w:rsidRDefault="00DC3B64" w:rsidP="00A62BD0">
      <w:pPr>
        <w:spacing w:before="240" w:after="240" w:line="360" w:lineRule="auto"/>
        <w:ind w:firstLine="1"/>
        <w:jc w:val="both"/>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w:t>
      </w:r>
      <w:r w:rsidR="00A62BD0">
        <w:rPr>
          <w:rFonts w:ascii="Palatino Linotype" w:eastAsia="Calibri" w:hAnsi="Palatino Linotype" w:cs="Times New Roman"/>
          <w:lang w:val="es-MX" w:eastAsia="en-US"/>
        </w:rPr>
        <w:t xml:space="preserve"> EMITIENDO VOTO PARTICULAR</w:t>
      </w:r>
      <w:r w:rsidRPr="00A62BD0">
        <w:rPr>
          <w:rFonts w:ascii="Palatino Linotype" w:eastAsia="Calibri" w:hAnsi="Palatino Linotype" w:cs="Times New Roman"/>
          <w:lang w:val="es-MX" w:eastAsia="en-US"/>
        </w:rPr>
        <w:t>, EVA ABAID YAPUR</w:t>
      </w:r>
      <w:r w:rsidR="00A62BD0">
        <w:rPr>
          <w:rFonts w:ascii="Palatino Linotype" w:eastAsia="Calibri" w:hAnsi="Palatino Linotype" w:cs="Times New Roman"/>
          <w:lang w:val="es-MX" w:eastAsia="en-US"/>
        </w:rPr>
        <w:t xml:space="preserve"> EMITIENDO VOTO PARTICULAR</w:t>
      </w:r>
      <w:r w:rsidRPr="00A62BD0">
        <w:rPr>
          <w:rFonts w:ascii="Palatino Linotype" w:eastAsia="Calibri" w:hAnsi="Palatino Linotype" w:cs="Times New Roman"/>
          <w:lang w:val="es-MX" w:eastAsia="en-US"/>
        </w:rPr>
        <w:t>, JOSÉ GUADALUPE LUNA HERNÁNDEZ, JAVIER MARTÍNEZ CRUZ Y LU</w:t>
      </w:r>
      <w:r w:rsidR="00A62BD0">
        <w:rPr>
          <w:rFonts w:ascii="Palatino Linotype" w:eastAsia="Calibri" w:hAnsi="Palatino Linotype" w:cs="Times New Roman"/>
          <w:lang w:val="es-MX" w:eastAsia="en-US"/>
        </w:rPr>
        <w:t>IS GUSTAVO PARRA NORIEGA, EN LA DECIMA QUINTA</w:t>
      </w:r>
      <w:r w:rsidRPr="00A62BD0">
        <w:rPr>
          <w:rFonts w:ascii="Palatino Linotype" w:eastAsia="Calibri" w:hAnsi="Palatino Linotype" w:cs="Times New Roman"/>
          <w:lang w:val="es-MX" w:eastAsia="en-US"/>
        </w:rPr>
        <w:t xml:space="preserve"> SESIÓ</w:t>
      </w:r>
      <w:r w:rsidR="00A62BD0" w:rsidRPr="00A62BD0">
        <w:rPr>
          <w:rFonts w:ascii="Palatino Linotype" w:eastAsia="Calibri" w:hAnsi="Palatino Linotype" w:cs="Times New Roman"/>
          <w:lang w:val="es-MX" w:eastAsia="en-US"/>
        </w:rPr>
        <w:t>N ORDINARIA CELEBRADA EL VEINTICUATRO (24) DE ABRIL DE DOS MIL DIECINUEVE</w:t>
      </w:r>
      <w:r w:rsidRPr="00A62BD0">
        <w:rPr>
          <w:rFonts w:ascii="Palatino Linotype" w:eastAsia="Calibri" w:hAnsi="Palatino Linotype" w:cs="Times New Roman"/>
          <w:lang w:val="es-MX" w:eastAsia="en-US"/>
        </w:rPr>
        <w:t>, ANTE EL SECRETARIO TÉCNICO DEL PLENO, ALEXIS TAPIA RAMÍREZ.</w:t>
      </w:r>
    </w:p>
    <w:tbl>
      <w:tblPr>
        <w:tblW w:w="5000" w:type="pct"/>
        <w:jc w:val="center"/>
        <w:tblLook w:val="04A0" w:firstRow="1" w:lastRow="0" w:firstColumn="1" w:lastColumn="0" w:noHBand="0" w:noVBand="1"/>
      </w:tblPr>
      <w:tblGrid>
        <w:gridCol w:w="4255"/>
        <w:gridCol w:w="4532"/>
      </w:tblGrid>
      <w:tr w:rsidR="00DC3B64" w:rsidRPr="00A62BD0" w14:paraId="0715E6BF" w14:textId="77777777" w:rsidTr="00C01006">
        <w:trPr>
          <w:trHeight w:val="924"/>
          <w:jc w:val="center"/>
        </w:trPr>
        <w:tc>
          <w:tcPr>
            <w:tcW w:w="5000" w:type="pct"/>
            <w:gridSpan w:val="2"/>
            <w:shd w:val="clear" w:color="auto" w:fill="auto"/>
          </w:tcPr>
          <w:p w14:paraId="222E1C47" w14:textId="77777777" w:rsidR="00A62BD0" w:rsidRDefault="00A62BD0" w:rsidP="00A62BD0">
            <w:pPr>
              <w:spacing w:line="360" w:lineRule="auto"/>
              <w:jc w:val="center"/>
              <w:rPr>
                <w:rFonts w:ascii="Palatino Linotype" w:eastAsia="Calibri" w:hAnsi="Palatino Linotype" w:cs="Times New Roman"/>
                <w:b/>
                <w:lang w:val="es-MX" w:eastAsia="en-US"/>
              </w:rPr>
            </w:pPr>
          </w:p>
          <w:p w14:paraId="329A4EDB" w14:textId="77777777" w:rsidR="00A62BD0" w:rsidRDefault="00A62BD0" w:rsidP="00A62BD0">
            <w:pPr>
              <w:spacing w:line="360" w:lineRule="auto"/>
              <w:jc w:val="center"/>
              <w:rPr>
                <w:rFonts w:ascii="Palatino Linotype" w:eastAsia="Calibri" w:hAnsi="Palatino Linotype" w:cs="Times New Roman"/>
                <w:b/>
                <w:lang w:val="es-MX" w:eastAsia="en-US"/>
              </w:rPr>
            </w:pPr>
          </w:p>
          <w:p w14:paraId="6D34B90B" w14:textId="372D4738" w:rsidR="00DC3B64" w:rsidRPr="00A62BD0" w:rsidRDefault="00DC3B64" w:rsidP="00A62BD0">
            <w:pPr>
              <w:spacing w:line="360" w:lineRule="auto"/>
              <w:jc w:val="center"/>
              <w:rPr>
                <w:rFonts w:ascii="Palatino Linotype" w:eastAsia="Calibri" w:hAnsi="Palatino Linotype" w:cs="Times New Roman"/>
                <w:b/>
                <w:lang w:val="es-MX" w:eastAsia="en-US"/>
              </w:rPr>
            </w:pPr>
            <w:r w:rsidRPr="00A62BD0">
              <w:rPr>
                <w:rFonts w:ascii="Palatino Linotype" w:eastAsia="Calibri" w:hAnsi="Palatino Linotype" w:cs="Times New Roman"/>
                <w:b/>
                <w:lang w:val="es-MX" w:eastAsia="en-US"/>
              </w:rPr>
              <w:t>Zulema Martínez Sánchez</w:t>
            </w:r>
          </w:p>
          <w:p w14:paraId="1AABBD14" w14:textId="77777777" w:rsidR="00DC3B64" w:rsidRPr="00A62BD0" w:rsidRDefault="00DC3B64" w:rsidP="00A62BD0">
            <w:pPr>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Comisionada Presidenta</w:t>
            </w:r>
          </w:p>
          <w:p w14:paraId="49817943" w14:textId="48285662" w:rsidR="00A62BD0" w:rsidRPr="00A62BD0" w:rsidRDefault="00A62BD0" w:rsidP="00A62BD0">
            <w:pPr>
              <w:tabs>
                <w:tab w:val="left" w:pos="780"/>
                <w:tab w:val="center" w:pos="4499"/>
              </w:tabs>
              <w:spacing w:line="360" w:lineRule="auto"/>
              <w:jc w:val="center"/>
              <w:rPr>
                <w:rFonts w:ascii="Palatino Linotype" w:eastAsia="Calibri" w:hAnsi="Palatino Linotype" w:cs="Times New Roman"/>
                <w:lang w:val="es-MX" w:eastAsia="en-US"/>
              </w:rPr>
            </w:pPr>
            <w:r>
              <w:rPr>
                <w:rFonts w:ascii="Palatino Linotype" w:eastAsia="Calibri" w:hAnsi="Palatino Linotype" w:cs="Times New Roman"/>
                <w:lang w:val="es-MX" w:eastAsia="en-US"/>
              </w:rPr>
              <w:t>(Rúbrica)</w:t>
            </w:r>
          </w:p>
        </w:tc>
      </w:tr>
      <w:tr w:rsidR="00DC3B64" w:rsidRPr="00A62BD0" w14:paraId="31C6A5CF" w14:textId="77777777" w:rsidTr="00C01006">
        <w:trPr>
          <w:trHeight w:val="902"/>
          <w:jc w:val="center"/>
        </w:trPr>
        <w:tc>
          <w:tcPr>
            <w:tcW w:w="2421" w:type="pct"/>
            <w:shd w:val="clear" w:color="auto" w:fill="auto"/>
          </w:tcPr>
          <w:p w14:paraId="6E41D3F9" w14:textId="77777777" w:rsidR="00DC3B64" w:rsidRPr="00A62BD0" w:rsidRDefault="00DC3B64" w:rsidP="00A62BD0">
            <w:pPr>
              <w:spacing w:line="360" w:lineRule="auto"/>
              <w:rPr>
                <w:rFonts w:ascii="Palatino Linotype" w:eastAsia="Calibri" w:hAnsi="Palatino Linotype" w:cs="Times New Roman"/>
                <w:b/>
                <w:lang w:val="es-MX" w:eastAsia="en-US"/>
              </w:rPr>
            </w:pPr>
          </w:p>
          <w:p w14:paraId="6E6DE633" w14:textId="77777777" w:rsidR="00DC3B64" w:rsidRPr="00A62BD0" w:rsidRDefault="00DC3B64" w:rsidP="00A62BD0">
            <w:pPr>
              <w:spacing w:line="360" w:lineRule="auto"/>
              <w:jc w:val="center"/>
              <w:rPr>
                <w:rFonts w:ascii="Palatino Linotype" w:eastAsia="Calibri" w:hAnsi="Palatino Linotype" w:cs="Times New Roman"/>
                <w:b/>
                <w:lang w:val="es-MX" w:eastAsia="en-US"/>
              </w:rPr>
            </w:pPr>
            <w:r w:rsidRPr="00A62BD0">
              <w:rPr>
                <w:rFonts w:ascii="Palatino Linotype" w:eastAsia="Calibri" w:hAnsi="Palatino Linotype" w:cs="Times New Roman"/>
                <w:b/>
                <w:lang w:val="es-MX" w:eastAsia="en-US"/>
              </w:rPr>
              <w:t xml:space="preserve">Eva </w:t>
            </w:r>
            <w:proofErr w:type="spellStart"/>
            <w:r w:rsidRPr="00A62BD0">
              <w:rPr>
                <w:rFonts w:ascii="Palatino Linotype" w:eastAsia="Calibri" w:hAnsi="Palatino Linotype" w:cs="Times New Roman"/>
                <w:b/>
                <w:lang w:val="es-MX" w:eastAsia="en-US"/>
              </w:rPr>
              <w:t>Abaid</w:t>
            </w:r>
            <w:proofErr w:type="spellEnd"/>
            <w:r w:rsidRPr="00A62BD0">
              <w:rPr>
                <w:rFonts w:ascii="Palatino Linotype" w:eastAsia="Calibri" w:hAnsi="Palatino Linotype" w:cs="Times New Roman"/>
                <w:b/>
                <w:lang w:val="es-MX" w:eastAsia="en-US"/>
              </w:rPr>
              <w:t xml:space="preserve"> </w:t>
            </w:r>
            <w:proofErr w:type="spellStart"/>
            <w:r w:rsidRPr="00A62BD0">
              <w:rPr>
                <w:rFonts w:ascii="Palatino Linotype" w:eastAsia="Calibri" w:hAnsi="Palatino Linotype" w:cs="Times New Roman"/>
                <w:b/>
                <w:lang w:val="es-MX" w:eastAsia="en-US"/>
              </w:rPr>
              <w:t>Yapur</w:t>
            </w:r>
            <w:proofErr w:type="spellEnd"/>
          </w:p>
          <w:p w14:paraId="09251E5A" w14:textId="77777777" w:rsidR="00DC3B64" w:rsidRPr="00A62BD0" w:rsidRDefault="00DC3B64" w:rsidP="00A62BD0">
            <w:pPr>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Comisionada</w:t>
            </w:r>
          </w:p>
          <w:p w14:paraId="700A24DB" w14:textId="77777777" w:rsidR="00DC3B64" w:rsidRPr="00A62BD0" w:rsidRDefault="00DC3B64" w:rsidP="00A62BD0">
            <w:pPr>
              <w:tabs>
                <w:tab w:val="left" w:pos="780"/>
                <w:tab w:val="center" w:pos="4499"/>
              </w:tabs>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(Rúbrica)</w:t>
            </w:r>
          </w:p>
        </w:tc>
        <w:tc>
          <w:tcPr>
            <w:tcW w:w="2579" w:type="pct"/>
            <w:shd w:val="clear" w:color="auto" w:fill="auto"/>
          </w:tcPr>
          <w:p w14:paraId="5034CE4F" w14:textId="77777777" w:rsidR="00DC3B64" w:rsidRPr="00A62BD0" w:rsidRDefault="00DC3B64" w:rsidP="00A62BD0">
            <w:pPr>
              <w:spacing w:line="360" w:lineRule="auto"/>
              <w:rPr>
                <w:rFonts w:ascii="Palatino Linotype" w:eastAsia="Calibri" w:hAnsi="Palatino Linotype" w:cs="Times New Roman"/>
                <w:b/>
                <w:lang w:val="es-MX" w:eastAsia="en-US"/>
              </w:rPr>
            </w:pPr>
          </w:p>
          <w:p w14:paraId="14DB8425" w14:textId="77777777" w:rsidR="00DC3B64" w:rsidRPr="00A62BD0" w:rsidRDefault="00DC3B64" w:rsidP="00A62BD0">
            <w:pPr>
              <w:spacing w:line="360" w:lineRule="auto"/>
              <w:jc w:val="center"/>
              <w:rPr>
                <w:rFonts w:ascii="Palatino Linotype" w:eastAsia="Calibri" w:hAnsi="Palatino Linotype" w:cs="Times New Roman"/>
                <w:b/>
                <w:lang w:val="es-MX" w:eastAsia="en-US"/>
              </w:rPr>
            </w:pPr>
            <w:r w:rsidRPr="00A62BD0">
              <w:rPr>
                <w:rFonts w:ascii="Palatino Linotype" w:eastAsia="Calibri" w:hAnsi="Palatino Linotype" w:cs="Times New Roman"/>
                <w:b/>
                <w:lang w:val="es-MX" w:eastAsia="en-US"/>
              </w:rPr>
              <w:t>José Guadalupe Luna Hernández</w:t>
            </w:r>
          </w:p>
          <w:p w14:paraId="446931F1" w14:textId="77777777" w:rsidR="00DC3B64" w:rsidRPr="00A62BD0" w:rsidRDefault="00DC3B64" w:rsidP="00A62BD0">
            <w:pPr>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Comisionado</w:t>
            </w:r>
          </w:p>
          <w:p w14:paraId="12ADD4BA" w14:textId="77777777" w:rsidR="00DC3B64" w:rsidRPr="00A62BD0" w:rsidRDefault="00DC3B64" w:rsidP="00A62BD0">
            <w:pPr>
              <w:tabs>
                <w:tab w:val="left" w:pos="780"/>
                <w:tab w:val="center" w:pos="4499"/>
              </w:tabs>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(Rúbrica)</w:t>
            </w:r>
          </w:p>
        </w:tc>
      </w:tr>
      <w:tr w:rsidR="00DC3B64" w:rsidRPr="00A62BD0" w14:paraId="079D1F32" w14:textId="77777777" w:rsidTr="00C01006">
        <w:trPr>
          <w:jc w:val="center"/>
        </w:trPr>
        <w:tc>
          <w:tcPr>
            <w:tcW w:w="2421" w:type="pct"/>
            <w:shd w:val="clear" w:color="auto" w:fill="auto"/>
            <w:hideMark/>
          </w:tcPr>
          <w:p w14:paraId="0DAD46C8" w14:textId="77777777" w:rsidR="00DC3B64" w:rsidRPr="00A62BD0" w:rsidRDefault="00DC3B64" w:rsidP="00A62BD0">
            <w:pPr>
              <w:spacing w:line="360" w:lineRule="auto"/>
              <w:rPr>
                <w:rFonts w:ascii="Palatino Linotype" w:eastAsia="Calibri" w:hAnsi="Palatino Linotype" w:cs="Times New Roman"/>
                <w:b/>
                <w:sz w:val="32"/>
                <w:lang w:val="es-MX" w:eastAsia="en-US"/>
              </w:rPr>
            </w:pPr>
          </w:p>
          <w:p w14:paraId="4B812F30" w14:textId="77777777" w:rsidR="00DC3B64" w:rsidRPr="00A62BD0" w:rsidRDefault="00DC3B64" w:rsidP="00A62BD0">
            <w:pPr>
              <w:spacing w:line="360" w:lineRule="auto"/>
              <w:jc w:val="center"/>
              <w:rPr>
                <w:rFonts w:ascii="Palatino Linotype" w:eastAsia="Calibri" w:hAnsi="Palatino Linotype" w:cs="Times New Roman"/>
                <w:b/>
                <w:lang w:val="es-MX" w:eastAsia="en-US"/>
              </w:rPr>
            </w:pPr>
            <w:r w:rsidRPr="00A62BD0">
              <w:rPr>
                <w:rFonts w:ascii="Palatino Linotype" w:eastAsia="Calibri" w:hAnsi="Palatino Linotype" w:cs="Times New Roman"/>
                <w:b/>
                <w:lang w:val="es-MX" w:eastAsia="en-US"/>
              </w:rPr>
              <w:t xml:space="preserve">Javier Martínez Cruz </w:t>
            </w:r>
          </w:p>
          <w:p w14:paraId="35FC17AF" w14:textId="77777777" w:rsidR="00DC3B64" w:rsidRPr="00A62BD0" w:rsidRDefault="00DC3B64" w:rsidP="00A62BD0">
            <w:pPr>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Comisionado</w:t>
            </w:r>
          </w:p>
          <w:p w14:paraId="232566D9" w14:textId="77777777" w:rsidR="00DC3B64" w:rsidRPr="00A62BD0" w:rsidRDefault="00DC3B64" w:rsidP="00A62BD0">
            <w:pPr>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(Rúbrica)</w:t>
            </w:r>
          </w:p>
        </w:tc>
        <w:tc>
          <w:tcPr>
            <w:tcW w:w="2579" w:type="pct"/>
            <w:shd w:val="clear" w:color="auto" w:fill="auto"/>
          </w:tcPr>
          <w:p w14:paraId="706D8F30" w14:textId="77777777" w:rsidR="00DC3B64" w:rsidRPr="00A62BD0" w:rsidRDefault="00DC3B64" w:rsidP="00A62BD0">
            <w:pPr>
              <w:tabs>
                <w:tab w:val="left" w:pos="780"/>
                <w:tab w:val="center" w:pos="4499"/>
              </w:tabs>
              <w:spacing w:line="360" w:lineRule="auto"/>
              <w:rPr>
                <w:rFonts w:ascii="Palatino Linotype" w:eastAsia="Calibri" w:hAnsi="Palatino Linotype" w:cs="Times New Roman"/>
                <w:sz w:val="32"/>
                <w:lang w:val="es-MX" w:eastAsia="en-US"/>
              </w:rPr>
            </w:pPr>
          </w:p>
          <w:p w14:paraId="361B20F9" w14:textId="77777777" w:rsidR="00DC3B64" w:rsidRPr="00A62BD0" w:rsidRDefault="00DC3B64" w:rsidP="00A62BD0">
            <w:pPr>
              <w:tabs>
                <w:tab w:val="left" w:pos="780"/>
                <w:tab w:val="center" w:pos="4499"/>
              </w:tabs>
              <w:spacing w:line="360" w:lineRule="auto"/>
              <w:jc w:val="center"/>
              <w:rPr>
                <w:rFonts w:ascii="Palatino Linotype" w:eastAsia="Calibri" w:hAnsi="Palatino Linotype" w:cs="Times New Roman"/>
                <w:b/>
                <w:lang w:val="es-MX" w:eastAsia="en-US"/>
              </w:rPr>
            </w:pPr>
            <w:r w:rsidRPr="00A62BD0">
              <w:rPr>
                <w:rFonts w:ascii="Palatino Linotype" w:eastAsia="Calibri" w:hAnsi="Palatino Linotype" w:cs="Times New Roman"/>
                <w:b/>
                <w:lang w:val="es-MX" w:eastAsia="en-US"/>
              </w:rPr>
              <w:t>Luis Gustavo Parra Noriega</w:t>
            </w:r>
          </w:p>
          <w:p w14:paraId="49CCB6AA" w14:textId="77777777" w:rsidR="00DC3B64" w:rsidRPr="00A62BD0" w:rsidRDefault="00DC3B64" w:rsidP="00A62BD0">
            <w:pPr>
              <w:tabs>
                <w:tab w:val="left" w:pos="780"/>
                <w:tab w:val="center" w:pos="4499"/>
              </w:tabs>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Comisionado</w:t>
            </w:r>
          </w:p>
          <w:p w14:paraId="4D88792A" w14:textId="77777777" w:rsidR="00DC3B64" w:rsidRPr="00A62BD0" w:rsidRDefault="00DC3B64" w:rsidP="00A62BD0">
            <w:pPr>
              <w:tabs>
                <w:tab w:val="left" w:pos="780"/>
                <w:tab w:val="center" w:pos="4499"/>
              </w:tabs>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(Rúbrica)</w:t>
            </w:r>
          </w:p>
        </w:tc>
      </w:tr>
      <w:tr w:rsidR="00DC3B64" w:rsidRPr="00A62BD0" w14:paraId="1A1F3FCA" w14:textId="77777777" w:rsidTr="00C01006">
        <w:trPr>
          <w:jc w:val="center"/>
        </w:trPr>
        <w:tc>
          <w:tcPr>
            <w:tcW w:w="5000" w:type="pct"/>
            <w:gridSpan w:val="2"/>
            <w:shd w:val="clear" w:color="auto" w:fill="auto"/>
          </w:tcPr>
          <w:p w14:paraId="6EBD9A43" w14:textId="77777777" w:rsidR="00A62BD0" w:rsidRPr="00A62BD0" w:rsidRDefault="00A62BD0" w:rsidP="00A62BD0">
            <w:pPr>
              <w:spacing w:line="360" w:lineRule="auto"/>
              <w:rPr>
                <w:rFonts w:ascii="Palatino Linotype" w:eastAsia="Calibri" w:hAnsi="Palatino Linotype" w:cs="Times New Roman"/>
                <w:b/>
                <w:sz w:val="32"/>
                <w:lang w:val="es-MX" w:eastAsia="en-US"/>
              </w:rPr>
            </w:pPr>
          </w:p>
          <w:p w14:paraId="0CCDA012" w14:textId="77777777" w:rsidR="00DC3B64" w:rsidRPr="00A62BD0" w:rsidRDefault="00DC3B64" w:rsidP="00A62BD0">
            <w:pPr>
              <w:spacing w:line="360" w:lineRule="auto"/>
              <w:jc w:val="center"/>
              <w:rPr>
                <w:rFonts w:ascii="Palatino Linotype" w:eastAsia="Calibri" w:hAnsi="Palatino Linotype" w:cs="Times New Roman"/>
                <w:b/>
                <w:lang w:val="es-MX" w:eastAsia="en-US"/>
              </w:rPr>
            </w:pPr>
            <w:r w:rsidRPr="00A62BD0">
              <w:rPr>
                <w:rFonts w:ascii="Palatino Linotype" w:eastAsia="Calibri" w:hAnsi="Palatino Linotype" w:cs="Times New Roman"/>
                <w:b/>
                <w:lang w:val="es-MX" w:eastAsia="en-US"/>
              </w:rPr>
              <w:t>Alexis Tapia Ramírez</w:t>
            </w:r>
          </w:p>
          <w:p w14:paraId="478293E0" w14:textId="77777777" w:rsidR="00DC3B64" w:rsidRPr="00A62BD0" w:rsidRDefault="00DC3B64" w:rsidP="00A62BD0">
            <w:pPr>
              <w:tabs>
                <w:tab w:val="left" w:pos="780"/>
                <w:tab w:val="center" w:pos="4499"/>
              </w:tabs>
              <w:spacing w:line="360" w:lineRule="auto"/>
              <w:jc w:val="center"/>
              <w:rPr>
                <w:rFonts w:ascii="Palatino Linotype" w:eastAsia="Calibri" w:hAnsi="Palatino Linotype" w:cs="Times New Roman"/>
                <w:lang w:val="es-MX" w:eastAsia="en-US"/>
              </w:rPr>
            </w:pPr>
            <w:r w:rsidRPr="00A62BD0">
              <w:rPr>
                <w:rFonts w:ascii="Palatino Linotype" w:eastAsia="Calibri" w:hAnsi="Palatino Linotype" w:cs="Times New Roman"/>
                <w:lang w:val="es-MX" w:eastAsia="en-US"/>
              </w:rPr>
              <w:t>Secretario Técnico del Pleno</w:t>
            </w:r>
          </w:p>
          <w:p w14:paraId="4E86BDD9" w14:textId="77777777" w:rsidR="00A62BD0" w:rsidRDefault="00A62BD0" w:rsidP="00A62BD0">
            <w:pPr>
              <w:tabs>
                <w:tab w:val="left" w:pos="780"/>
                <w:tab w:val="center" w:pos="4499"/>
              </w:tabs>
              <w:spacing w:line="360" w:lineRule="auto"/>
              <w:jc w:val="center"/>
              <w:rPr>
                <w:rFonts w:ascii="Palatino Linotype" w:eastAsia="Calibri" w:hAnsi="Palatino Linotype" w:cs="Times New Roman"/>
                <w:lang w:val="es-MX" w:eastAsia="en-US"/>
              </w:rPr>
            </w:pPr>
            <w:r>
              <w:rPr>
                <w:rFonts w:ascii="Palatino Linotype" w:eastAsia="Calibri" w:hAnsi="Palatino Linotype" w:cs="Times New Roman"/>
                <w:lang w:val="es-MX" w:eastAsia="en-US"/>
              </w:rPr>
              <w:t>(Rúbrica)</w:t>
            </w:r>
          </w:p>
          <w:p w14:paraId="776FE132" w14:textId="24ADB609" w:rsidR="00A62BD0" w:rsidRPr="00A62BD0" w:rsidRDefault="00A62BD0" w:rsidP="00A62BD0">
            <w:pPr>
              <w:tabs>
                <w:tab w:val="left" w:pos="780"/>
                <w:tab w:val="center" w:pos="4499"/>
              </w:tabs>
              <w:spacing w:line="360" w:lineRule="auto"/>
              <w:jc w:val="center"/>
              <w:rPr>
                <w:rFonts w:ascii="Palatino Linotype" w:eastAsia="Calibri" w:hAnsi="Palatino Linotype" w:cs="Times New Roman"/>
                <w:lang w:val="es-MX" w:eastAsia="en-US"/>
              </w:rPr>
            </w:pPr>
          </w:p>
        </w:tc>
      </w:tr>
    </w:tbl>
    <w:p w14:paraId="7290B6F7" w14:textId="1D99D0CD" w:rsidR="00DC3B64" w:rsidRPr="00A62BD0" w:rsidRDefault="00DC3B64" w:rsidP="00A62BD0">
      <w:pPr>
        <w:spacing w:line="360" w:lineRule="auto"/>
        <w:jc w:val="both"/>
        <w:rPr>
          <w:rFonts w:ascii="Palatino Linotype" w:hAnsi="Palatino Linotype" w:cs="Arial"/>
          <w:color w:val="000000" w:themeColor="text1"/>
        </w:rPr>
      </w:pPr>
      <w:r w:rsidRPr="00A62BD0">
        <w:rPr>
          <w:rFonts w:ascii="Palatino Linotype" w:eastAsia="Calibri" w:hAnsi="Palatino Linotype" w:cs="Arial"/>
          <w:lang w:val="es-MX" w:eastAsia="en-US"/>
        </w:rPr>
        <w:t>Esta hoja corresponde a la resolución de</w:t>
      </w:r>
      <w:r w:rsidR="0052488D">
        <w:rPr>
          <w:rFonts w:ascii="Palatino Linotype" w:eastAsia="Calibri" w:hAnsi="Palatino Linotype" w:cs="Arial"/>
          <w:lang w:val="es-MX" w:eastAsia="en-US"/>
        </w:rPr>
        <w:t xml:space="preserve"> fecha</w:t>
      </w:r>
      <w:r w:rsidRPr="00A62BD0">
        <w:rPr>
          <w:rFonts w:ascii="Palatino Linotype" w:eastAsia="Calibri" w:hAnsi="Palatino Linotype" w:cs="Arial"/>
          <w:lang w:val="es-MX" w:eastAsia="en-US"/>
        </w:rPr>
        <w:t xml:space="preserve"> veinticuatro (24</w:t>
      </w:r>
      <w:r w:rsidR="00A62BD0">
        <w:rPr>
          <w:rFonts w:ascii="Palatino Linotype" w:eastAsia="Calibri" w:hAnsi="Palatino Linotype" w:cs="Arial"/>
          <w:lang w:val="es-MX" w:eastAsia="en-US"/>
        </w:rPr>
        <w:t>) de abril de dos mil diecinueve</w:t>
      </w:r>
      <w:r w:rsidRPr="00A62BD0">
        <w:rPr>
          <w:rFonts w:ascii="Palatino Linotype" w:eastAsia="Calibri" w:hAnsi="Palatino Linotype" w:cs="Arial"/>
          <w:lang w:val="es-MX" w:eastAsia="en-US"/>
        </w:rPr>
        <w:t xml:space="preserve">, emitida en el recurso de revisión </w:t>
      </w:r>
      <w:r w:rsidRPr="00A62BD0">
        <w:rPr>
          <w:rFonts w:ascii="Palatino Linotype" w:eastAsia="Calibri" w:hAnsi="Palatino Linotype" w:cs="Arial"/>
          <w:bCs/>
          <w:lang w:val="es-MX" w:eastAsia="en-US"/>
        </w:rPr>
        <w:t>00503/INFOEM/IP/RR/2019.</w:t>
      </w:r>
    </w:p>
    <w:p w14:paraId="507C7FBF" w14:textId="77777777" w:rsidR="009F6A18" w:rsidRPr="00A62BD0" w:rsidRDefault="009F6A18" w:rsidP="00A62BD0">
      <w:pPr>
        <w:pStyle w:val="Prrafodelista"/>
        <w:spacing w:line="360" w:lineRule="auto"/>
        <w:ind w:left="0"/>
        <w:jc w:val="both"/>
        <w:rPr>
          <w:rFonts w:ascii="Palatino Linotype" w:hAnsi="Palatino Linotype"/>
          <w:lang w:val="es-MX" w:eastAsia="en-US"/>
        </w:rPr>
      </w:pPr>
      <w:bookmarkStart w:id="78" w:name="_GoBack"/>
      <w:bookmarkEnd w:id="78"/>
    </w:p>
    <w:sectPr w:rsidR="009F6A18" w:rsidRPr="00A62BD0" w:rsidSect="00A62BD0">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03E8B" w14:textId="77777777" w:rsidR="00EC1CD0" w:rsidRDefault="00EC1CD0" w:rsidP="00587366">
      <w:r>
        <w:separator/>
      </w:r>
    </w:p>
  </w:endnote>
  <w:endnote w:type="continuationSeparator" w:id="0">
    <w:p w14:paraId="563F95C1" w14:textId="77777777" w:rsidR="00EC1CD0" w:rsidRDefault="00EC1CD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601958709"/>
      <w:docPartObj>
        <w:docPartGallery w:val="Page Numbers (Bottom of Page)"/>
        <w:docPartUnique/>
      </w:docPartObj>
    </w:sdtPr>
    <w:sdtEndPr/>
    <w:sdtContent>
      <w:sdt>
        <w:sdtPr>
          <w:rPr>
            <w:rFonts w:ascii="Palatino Linotype" w:hAnsi="Palatino Linotype"/>
            <w:sz w:val="28"/>
          </w:rPr>
          <w:id w:val="-2057702217"/>
          <w:docPartObj>
            <w:docPartGallery w:val="Page Numbers (Top of Page)"/>
            <w:docPartUnique/>
          </w:docPartObj>
        </w:sdtPr>
        <w:sdtEndPr/>
        <w:sdtContent>
          <w:p w14:paraId="187818B4" w14:textId="77777777" w:rsidR="003A6D8C" w:rsidRPr="00883450" w:rsidRDefault="003A6D8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06D25">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06D25">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77777777" w:rsidR="003A6D8C" w:rsidRDefault="003A6D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A6D8C" w:rsidRPr="00883450" w:rsidRDefault="003A6D8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06D25" w:rsidRPr="00D06D2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06D25" w:rsidRPr="00D06D25">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77777777" w:rsidR="003A6D8C" w:rsidRPr="00883450" w:rsidRDefault="003A6D8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10152" w14:textId="77777777" w:rsidR="00EC1CD0" w:rsidRDefault="00EC1CD0" w:rsidP="00587366">
      <w:r>
        <w:separator/>
      </w:r>
    </w:p>
  </w:footnote>
  <w:footnote w:type="continuationSeparator" w:id="0">
    <w:p w14:paraId="44FD0A6B" w14:textId="77777777" w:rsidR="00EC1CD0" w:rsidRDefault="00EC1CD0" w:rsidP="00587366">
      <w:r>
        <w:continuationSeparator/>
      </w:r>
    </w:p>
  </w:footnote>
  <w:footnote w:id="1">
    <w:p w14:paraId="26D0A884" w14:textId="77777777" w:rsidR="003B04A9" w:rsidRPr="00932110" w:rsidRDefault="003B04A9" w:rsidP="003B04A9">
      <w:pPr>
        <w:pStyle w:val="Textonotapie"/>
        <w:jc w:val="both"/>
        <w:rPr>
          <w:rFonts w:ascii="Palatino Linotype" w:hAnsi="Palatino Linotype"/>
          <w:sz w:val="16"/>
          <w:szCs w:val="16"/>
        </w:rPr>
      </w:pPr>
      <w:r w:rsidRPr="00932110">
        <w:rPr>
          <w:rStyle w:val="Refdenotaalpie"/>
          <w:rFonts w:ascii="Palatino Linotype" w:hAnsi="Palatino Linotype"/>
          <w:sz w:val="16"/>
          <w:szCs w:val="16"/>
        </w:rPr>
        <w:footnoteRef/>
      </w:r>
      <w:r w:rsidRPr="00932110">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2110">
          <w:rPr>
            <w:rStyle w:val="Hipervnculo"/>
            <w:rFonts w:ascii="Palatino Linotype" w:hAnsi="Palatino Linotype"/>
            <w:sz w:val="16"/>
            <w:szCs w:val="16"/>
          </w:rPr>
          <w:t>http://www.senado.gob.mx/comisiones/anticorrupcion/docs/transparencia/Iniciativa_LGTAIP.pdf</w:t>
        </w:r>
      </w:hyperlink>
      <w:r w:rsidRPr="00932110">
        <w:rPr>
          <w:rFonts w:ascii="Palatino Linotype" w:hAnsi="Palatino Linotype"/>
          <w:sz w:val="16"/>
          <w:szCs w:val="16"/>
        </w:rPr>
        <w:t xml:space="preserve"> </w:t>
      </w:r>
    </w:p>
  </w:footnote>
  <w:footnote w:id="2">
    <w:p w14:paraId="2DDD99D5" w14:textId="77777777" w:rsidR="003B04A9" w:rsidRPr="00E27DF8" w:rsidRDefault="003B04A9" w:rsidP="003B04A9">
      <w:pPr>
        <w:pStyle w:val="Textonotapie"/>
        <w:jc w:val="both"/>
        <w:rPr>
          <w:rFonts w:ascii="Palatino Linotype" w:hAnsi="Palatino Linotype"/>
          <w:sz w:val="16"/>
          <w:szCs w:val="16"/>
        </w:rPr>
      </w:pPr>
      <w:r w:rsidRPr="00E27DF8">
        <w:rPr>
          <w:rStyle w:val="Refdenotaalpie"/>
          <w:rFonts w:ascii="Palatino Linotype" w:hAnsi="Palatino Linotype"/>
          <w:sz w:val="16"/>
          <w:szCs w:val="16"/>
        </w:rPr>
        <w:footnoteRef/>
      </w:r>
      <w:r w:rsidRPr="00E27DF8">
        <w:rPr>
          <w:rFonts w:ascii="Palatino Linotype" w:hAnsi="Palatino Linotype"/>
          <w:sz w:val="16"/>
          <w:szCs w:val="16"/>
        </w:rPr>
        <w:t xml:space="preserve"> Sergio López </w:t>
      </w:r>
      <w:proofErr w:type="spellStart"/>
      <w:r w:rsidRPr="00E27DF8">
        <w:rPr>
          <w:rFonts w:ascii="Palatino Linotype" w:hAnsi="Palatino Linotype"/>
          <w:sz w:val="16"/>
          <w:szCs w:val="16"/>
        </w:rPr>
        <w:t>Ayllón</w:t>
      </w:r>
      <w:proofErr w:type="spellEnd"/>
      <w:r w:rsidRPr="00E27DF8">
        <w:rPr>
          <w:rFonts w:ascii="Palatino Linotype" w:hAnsi="Palatino Linotype"/>
          <w:sz w:val="16"/>
          <w:szCs w:val="16"/>
        </w:rPr>
        <w:t xml:space="preserve"> y Alejandro Posadas. “Las pruebas de Daño e Interés Público en materia de acceso a la información. Una perspectiva comparada” en Derecho comparada de la Información, enero-junio de 2007.</w:t>
      </w:r>
    </w:p>
  </w:footnote>
  <w:footnote w:id="3">
    <w:p w14:paraId="5E71B244" w14:textId="77777777" w:rsidR="009F6A18" w:rsidRPr="00034B44" w:rsidRDefault="009F6A18" w:rsidP="009F6A1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AD0CC5E" w14:textId="77777777" w:rsidR="009F6A18" w:rsidRPr="00034B44" w:rsidRDefault="009F6A18" w:rsidP="009F6A1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473D210B" w14:textId="77777777" w:rsidR="009F6A18" w:rsidRPr="00034B44" w:rsidRDefault="009F6A18" w:rsidP="009F6A1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0F29763F" w14:textId="77777777" w:rsidR="009F6A18" w:rsidRPr="00034B44" w:rsidRDefault="009F6A18" w:rsidP="009F6A1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4A9FACB" w14:textId="77777777" w:rsidR="009F6A18" w:rsidRPr="00034B44" w:rsidRDefault="009F6A18" w:rsidP="009F6A1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072885" w14:textId="77777777" w:rsidR="009F6A18" w:rsidRPr="00034B44" w:rsidRDefault="009F6A18" w:rsidP="009F6A1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55AA49EF" w14:textId="77777777" w:rsidR="009F6A18" w:rsidRPr="00034B44" w:rsidRDefault="009F6A18" w:rsidP="009F6A1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00E34AF1" w14:textId="77777777" w:rsidR="009F6A18" w:rsidRPr="00034B44" w:rsidRDefault="009F6A18" w:rsidP="009F6A1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ABEAF5B" w14:textId="77777777" w:rsidR="009F6A18" w:rsidRPr="00034B44" w:rsidRDefault="009F6A18" w:rsidP="009F6A18">
      <w:pPr>
        <w:pStyle w:val="Textonotapie"/>
        <w:jc w:val="both"/>
        <w:rPr>
          <w:rFonts w:ascii="Palatino Linotype" w:hAnsi="Palatino Linotype"/>
          <w:sz w:val="18"/>
        </w:rPr>
      </w:pPr>
      <w:r w:rsidRPr="00034B44">
        <w:rPr>
          <w:rFonts w:ascii="Palatino Linotype" w:hAnsi="Palatino Linotype"/>
          <w:sz w:val="18"/>
        </w:rPr>
        <w:t xml:space="preserve"> (…)</w:t>
      </w:r>
    </w:p>
    <w:p w14:paraId="705A0B8D" w14:textId="77777777" w:rsidR="009F6A18" w:rsidRPr="00034B44" w:rsidRDefault="009F6A18" w:rsidP="009F6A1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3A6D8C" w:rsidRDefault="003A6D8C">
    <w:pPr>
      <w:pStyle w:val="Encabezado"/>
    </w:pPr>
    <w:r>
      <w:tab/>
    </w:r>
    <w:r>
      <w:tab/>
    </w:r>
  </w:p>
  <w:p w14:paraId="64F5F23E" w14:textId="390690E5" w:rsidR="003A6D8C" w:rsidRDefault="003A6D8C">
    <w:pPr>
      <w:pStyle w:val="Encabezado"/>
    </w:pPr>
  </w:p>
  <w:tbl>
    <w:tblPr>
      <w:tblStyle w:val="Tablaconcuadrcula"/>
      <w:tblW w:w="6378" w:type="dxa"/>
      <w:tblInd w:w="3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A6D8C" w:rsidRPr="00E1705A" w14:paraId="07F2896E" w14:textId="77777777" w:rsidTr="00947536">
      <w:trPr>
        <w:trHeight w:val="138"/>
      </w:trPr>
      <w:tc>
        <w:tcPr>
          <w:tcW w:w="2552" w:type="dxa"/>
          <w:vAlign w:val="center"/>
        </w:tcPr>
        <w:p w14:paraId="4A5B1974" w14:textId="77777777" w:rsidR="003A6D8C" w:rsidRPr="00E1705A" w:rsidRDefault="003A6D8C"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3D63E702" w:rsidR="003A6D8C" w:rsidRPr="00E1705A" w:rsidRDefault="003A6D8C" w:rsidP="009573B2">
          <w:pPr>
            <w:pStyle w:val="Encabezado"/>
            <w:rPr>
              <w:rFonts w:ascii="Palatino Linotype" w:hAnsi="Palatino Linotype"/>
              <w:b/>
              <w:sz w:val="22"/>
              <w:szCs w:val="22"/>
            </w:rPr>
          </w:pPr>
          <w:r>
            <w:rPr>
              <w:rFonts w:ascii="Palatino Linotype" w:hAnsi="Palatino Linotype" w:cs="Arial"/>
              <w:b/>
              <w:bCs/>
              <w:sz w:val="22"/>
              <w:szCs w:val="22"/>
              <w:lang w:eastAsia="es-MX"/>
            </w:rPr>
            <w:t>00503/INFOEM/IP/RR/2019</w:t>
          </w:r>
        </w:p>
      </w:tc>
    </w:tr>
    <w:tr w:rsidR="003A6D8C" w:rsidRPr="00E1705A" w14:paraId="095EB01B" w14:textId="77777777" w:rsidTr="00947536">
      <w:trPr>
        <w:trHeight w:val="321"/>
      </w:trPr>
      <w:tc>
        <w:tcPr>
          <w:tcW w:w="2552" w:type="dxa"/>
          <w:vAlign w:val="center"/>
        </w:tcPr>
        <w:p w14:paraId="6E000A51" w14:textId="4DA3E277" w:rsidR="003A6D8C" w:rsidRPr="00E1705A" w:rsidRDefault="003A6D8C"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79998171" w:rsidR="003A6D8C" w:rsidRPr="00E1705A" w:rsidRDefault="003A6D8C" w:rsidP="0087585B">
          <w:pPr>
            <w:pStyle w:val="Encabezado"/>
            <w:rPr>
              <w:rFonts w:ascii="Palatino Linotype" w:hAnsi="Palatino Linotype"/>
              <w:b/>
              <w:sz w:val="22"/>
              <w:szCs w:val="22"/>
            </w:rPr>
          </w:pPr>
          <w:r>
            <w:rPr>
              <w:rFonts w:ascii="Palatino Linotype" w:hAnsi="Palatino Linotype"/>
              <w:b/>
              <w:sz w:val="22"/>
              <w:szCs w:val="22"/>
            </w:rPr>
            <w:t xml:space="preserve">Ayuntamiento de Ecatepec de Morelos. </w:t>
          </w:r>
        </w:p>
      </w:tc>
    </w:tr>
    <w:tr w:rsidR="003A6D8C" w:rsidRPr="00E1705A" w14:paraId="14F3CE0D" w14:textId="77777777" w:rsidTr="00947536">
      <w:trPr>
        <w:trHeight w:val="321"/>
      </w:trPr>
      <w:tc>
        <w:tcPr>
          <w:tcW w:w="2552" w:type="dxa"/>
          <w:vAlign w:val="center"/>
        </w:tcPr>
        <w:p w14:paraId="12248485" w14:textId="2D643AEB" w:rsidR="003A6D8C" w:rsidRPr="00E1705A" w:rsidRDefault="003A6D8C"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3A6D8C" w:rsidRPr="00E1705A" w:rsidRDefault="003A6D8C"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3A6D8C" w:rsidRDefault="003A6D8C"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3A6D8C" w:rsidRDefault="003A6D8C" w:rsidP="000B5D79">
    <w:pPr>
      <w:pStyle w:val="Encabezado"/>
      <w:tabs>
        <w:tab w:val="clear" w:pos="4252"/>
        <w:tab w:val="clear" w:pos="8504"/>
        <w:tab w:val="left" w:pos="3103"/>
      </w:tabs>
    </w:pPr>
    <w:r>
      <w:tab/>
    </w:r>
    <w:r>
      <w:tab/>
    </w:r>
  </w:p>
  <w:tbl>
    <w:tblPr>
      <w:tblStyle w:val="Tablaconcuadrcula"/>
      <w:tblW w:w="6213" w:type="dxa"/>
      <w:tblInd w:w="3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61"/>
    </w:tblGrid>
    <w:tr w:rsidR="003A6D8C" w:rsidRPr="00182113" w14:paraId="665387B4" w14:textId="77777777" w:rsidTr="00947536">
      <w:trPr>
        <w:trHeight w:val="138"/>
      </w:trPr>
      <w:tc>
        <w:tcPr>
          <w:tcW w:w="2552" w:type="dxa"/>
          <w:vAlign w:val="center"/>
        </w:tcPr>
        <w:p w14:paraId="01509DD6" w14:textId="77777777" w:rsidR="003A6D8C" w:rsidRPr="005B118B" w:rsidRDefault="003A6D8C"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61" w:type="dxa"/>
          <w:vAlign w:val="center"/>
        </w:tcPr>
        <w:p w14:paraId="4FAE21CD" w14:textId="4873F49B" w:rsidR="003A6D8C" w:rsidRPr="005B118B" w:rsidRDefault="003A6D8C" w:rsidP="00CC360E">
          <w:pPr>
            <w:pStyle w:val="Encabezado"/>
            <w:rPr>
              <w:rFonts w:ascii="Palatino Linotype" w:hAnsi="Palatino Linotype"/>
              <w:b/>
              <w:sz w:val="22"/>
              <w:szCs w:val="22"/>
            </w:rPr>
          </w:pPr>
          <w:r>
            <w:rPr>
              <w:rFonts w:ascii="Palatino Linotype" w:hAnsi="Palatino Linotype" w:cs="Arial"/>
              <w:b/>
              <w:bCs/>
              <w:sz w:val="22"/>
              <w:szCs w:val="22"/>
              <w:lang w:eastAsia="es-MX"/>
            </w:rPr>
            <w:t>00503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3A6D8C" w:rsidRPr="00182113" w14:paraId="78C9F2F4" w14:textId="77777777" w:rsidTr="00947536">
      <w:trPr>
        <w:trHeight w:val="227"/>
      </w:trPr>
      <w:tc>
        <w:tcPr>
          <w:tcW w:w="2552" w:type="dxa"/>
          <w:vAlign w:val="center"/>
        </w:tcPr>
        <w:p w14:paraId="2D89FED3" w14:textId="77777777" w:rsidR="003A6D8C" w:rsidRPr="005B118B" w:rsidRDefault="003A6D8C" w:rsidP="000B5D79">
          <w:pPr>
            <w:rPr>
              <w:rFonts w:ascii="Palatino Linotype" w:hAnsi="Palatino Linotype"/>
              <w:b/>
              <w:sz w:val="22"/>
              <w:szCs w:val="22"/>
            </w:rPr>
          </w:pPr>
          <w:r w:rsidRPr="005B118B">
            <w:rPr>
              <w:rFonts w:ascii="Palatino Linotype" w:hAnsi="Palatino Linotype"/>
              <w:b/>
              <w:sz w:val="22"/>
              <w:szCs w:val="22"/>
            </w:rPr>
            <w:t>Recurrente:</w:t>
          </w:r>
        </w:p>
      </w:tc>
      <w:tc>
        <w:tcPr>
          <w:tcW w:w="3661" w:type="dxa"/>
          <w:vAlign w:val="center"/>
        </w:tcPr>
        <w:p w14:paraId="36D086A3" w14:textId="078A3532" w:rsidR="003A6D8C" w:rsidRPr="005B118B" w:rsidRDefault="000D7FC5" w:rsidP="000B5D79">
          <w:pPr>
            <w:pStyle w:val="Encabezado"/>
            <w:rPr>
              <w:rFonts w:ascii="Palatino Linotype" w:hAnsi="Palatino Linotype"/>
              <w:b/>
              <w:sz w:val="22"/>
              <w:szCs w:val="22"/>
            </w:rPr>
          </w:pPr>
          <w:r w:rsidRPr="000D7FC5">
            <w:rPr>
              <w:rFonts w:ascii="Palatino Linotype" w:hAnsi="Palatino Linotype"/>
              <w:b/>
              <w:sz w:val="22"/>
              <w:szCs w:val="22"/>
              <w:highlight w:val="black"/>
            </w:rPr>
            <w:t>----------------------------------------</w:t>
          </w:r>
        </w:p>
      </w:tc>
    </w:tr>
    <w:tr w:rsidR="003A6D8C" w:rsidRPr="00182113" w14:paraId="1A862673" w14:textId="77777777" w:rsidTr="00947536">
      <w:trPr>
        <w:trHeight w:val="232"/>
      </w:trPr>
      <w:tc>
        <w:tcPr>
          <w:tcW w:w="2552" w:type="dxa"/>
          <w:vAlign w:val="center"/>
        </w:tcPr>
        <w:p w14:paraId="767A6F60" w14:textId="77777777" w:rsidR="003A6D8C" w:rsidRPr="005B118B" w:rsidRDefault="003A6D8C"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61" w:type="dxa"/>
          <w:vAlign w:val="center"/>
        </w:tcPr>
        <w:p w14:paraId="3FC8EF03" w14:textId="2C84C63F" w:rsidR="003A6D8C" w:rsidRPr="005B118B" w:rsidRDefault="003A6D8C" w:rsidP="0087585B">
          <w:pPr>
            <w:pStyle w:val="Encabezado"/>
            <w:rPr>
              <w:rFonts w:ascii="Palatino Linotype" w:hAnsi="Palatino Linotype"/>
              <w:b/>
              <w:sz w:val="22"/>
              <w:szCs w:val="22"/>
            </w:rPr>
          </w:pPr>
          <w:r>
            <w:rPr>
              <w:rFonts w:ascii="Palatino Linotype" w:hAnsi="Palatino Linotype"/>
              <w:b/>
              <w:sz w:val="22"/>
              <w:szCs w:val="22"/>
            </w:rPr>
            <w:t xml:space="preserve">Ayuntamiento de Ecatepec de Morelos. </w:t>
          </w:r>
        </w:p>
      </w:tc>
    </w:tr>
    <w:tr w:rsidR="003A6D8C" w:rsidRPr="00182113" w14:paraId="4416531B" w14:textId="77777777" w:rsidTr="00947536">
      <w:trPr>
        <w:trHeight w:val="320"/>
      </w:trPr>
      <w:tc>
        <w:tcPr>
          <w:tcW w:w="2552" w:type="dxa"/>
          <w:vAlign w:val="center"/>
        </w:tcPr>
        <w:p w14:paraId="277DD3E2" w14:textId="77777777" w:rsidR="003A6D8C" w:rsidRPr="005B118B" w:rsidRDefault="003A6D8C"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61" w:type="dxa"/>
          <w:vAlign w:val="center"/>
        </w:tcPr>
        <w:p w14:paraId="3BD70CE4" w14:textId="6CC25E0A" w:rsidR="003A6D8C" w:rsidRPr="005B118B" w:rsidRDefault="003A6D8C"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3A6D8C" w:rsidRDefault="003A6D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7FF0"/>
    <w:multiLevelType w:val="hybridMultilevel"/>
    <w:tmpl w:val="8A7C54E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077119"/>
    <w:multiLevelType w:val="hybridMultilevel"/>
    <w:tmpl w:val="D9DC6AC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5">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D3C031C"/>
    <w:multiLevelType w:val="hybridMultilevel"/>
    <w:tmpl w:val="0C86D9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902AC6"/>
    <w:multiLevelType w:val="hybridMultilevel"/>
    <w:tmpl w:val="5296ACA8"/>
    <w:lvl w:ilvl="0" w:tplc="40C2E79A">
      <w:start w:val="1"/>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7774293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8D64ABA0">
      <w:start w:val="1"/>
      <w:numFmt w:val="lowerLetter"/>
      <w:lvlText w:val="%2)"/>
      <w:lvlJc w:val="left"/>
      <w:pPr>
        <w:ind w:left="1440" w:hanging="360"/>
      </w:pPr>
      <w:rPr>
        <w:rFonts w:hint="default"/>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7AC5D89"/>
    <w:multiLevelType w:val="hybridMultilevel"/>
    <w:tmpl w:val="197CFC22"/>
    <w:lvl w:ilvl="0" w:tplc="2936554E">
      <w:start w:val="1"/>
      <w:numFmt w:val="decimal"/>
      <w:lvlText w:val="%1."/>
      <w:lvlJc w:val="left"/>
      <w:pPr>
        <w:ind w:left="426" w:hanging="360"/>
      </w:pPr>
      <w:rPr>
        <w:b/>
        <w:i w:val="0"/>
      </w:rPr>
    </w:lvl>
    <w:lvl w:ilvl="1" w:tplc="080A0019">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7">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DD92142"/>
    <w:multiLevelType w:val="hybridMultilevel"/>
    <w:tmpl w:val="490CBD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3">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08A5B31"/>
    <w:multiLevelType w:val="hybridMultilevel"/>
    <w:tmpl w:val="908CB8F0"/>
    <w:lvl w:ilvl="0" w:tplc="2BC2370E">
      <w:start w:val="1"/>
      <w:numFmt w:val="lowerLetter"/>
      <w:lvlText w:val="%1)"/>
      <w:lvlJc w:val="left"/>
      <w:pPr>
        <w:ind w:left="720" w:hanging="360"/>
      </w:pPr>
      <w:rPr>
        <w:rFonts w:cs="Arial"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29"/>
  </w:num>
  <w:num w:numId="3">
    <w:abstractNumId w:val="22"/>
  </w:num>
  <w:num w:numId="4">
    <w:abstractNumId w:val="3"/>
  </w:num>
  <w:num w:numId="5">
    <w:abstractNumId w:val="30"/>
  </w:num>
  <w:num w:numId="6">
    <w:abstractNumId w:val="17"/>
  </w:num>
  <w:num w:numId="7">
    <w:abstractNumId w:val="18"/>
  </w:num>
  <w:num w:numId="8">
    <w:abstractNumId w:val="15"/>
  </w:num>
  <w:num w:numId="9">
    <w:abstractNumId w:val="12"/>
  </w:num>
  <w:num w:numId="10">
    <w:abstractNumId w:val="27"/>
  </w:num>
  <w:num w:numId="11">
    <w:abstractNumId w:val="25"/>
  </w:num>
  <w:num w:numId="12">
    <w:abstractNumId w:val="26"/>
  </w:num>
  <w:num w:numId="13">
    <w:abstractNumId w:val="23"/>
  </w:num>
  <w:num w:numId="14">
    <w:abstractNumId w:val="34"/>
  </w:num>
  <w:num w:numId="15">
    <w:abstractNumId w:val="28"/>
  </w:num>
  <w:num w:numId="16">
    <w:abstractNumId w:val="31"/>
  </w:num>
  <w:num w:numId="17">
    <w:abstractNumId w:val="4"/>
  </w:num>
  <w:num w:numId="18">
    <w:abstractNumId w:val="32"/>
  </w:num>
  <w:num w:numId="19">
    <w:abstractNumId w:val="1"/>
  </w:num>
  <w:num w:numId="20">
    <w:abstractNumId w:val="13"/>
  </w:num>
  <w:num w:numId="21">
    <w:abstractNumId w:val="20"/>
  </w:num>
  <w:num w:numId="22">
    <w:abstractNumId w:val="19"/>
  </w:num>
  <w:num w:numId="23">
    <w:abstractNumId w:val="33"/>
  </w:num>
  <w:num w:numId="24">
    <w:abstractNumId w:val="0"/>
  </w:num>
  <w:num w:numId="25">
    <w:abstractNumId w:val="9"/>
  </w:num>
  <w:num w:numId="26">
    <w:abstractNumId w:val="7"/>
  </w:num>
  <w:num w:numId="27">
    <w:abstractNumId w:val="6"/>
  </w:num>
  <w:num w:numId="28">
    <w:abstractNumId w:val="24"/>
  </w:num>
  <w:num w:numId="29">
    <w:abstractNumId w:val="21"/>
  </w:num>
  <w:num w:numId="30">
    <w:abstractNumId w:val="2"/>
  </w:num>
  <w:num w:numId="31">
    <w:abstractNumId w:val="14"/>
  </w:num>
  <w:num w:numId="32">
    <w:abstractNumId w:val="11"/>
  </w:num>
  <w:num w:numId="33">
    <w:abstractNumId w:val="16"/>
  </w:num>
  <w:num w:numId="34">
    <w:abstractNumId w:val="5"/>
  </w:num>
  <w:num w:numId="3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proofState w:spelling="clean" w:grammar="clean"/>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1E6B"/>
    <w:rsid w:val="000029B0"/>
    <w:rsid w:val="00002F87"/>
    <w:rsid w:val="00004407"/>
    <w:rsid w:val="00005B21"/>
    <w:rsid w:val="0000602C"/>
    <w:rsid w:val="000060EE"/>
    <w:rsid w:val="00012472"/>
    <w:rsid w:val="000136C6"/>
    <w:rsid w:val="000139AE"/>
    <w:rsid w:val="00014338"/>
    <w:rsid w:val="00017C15"/>
    <w:rsid w:val="00026255"/>
    <w:rsid w:val="00027522"/>
    <w:rsid w:val="0003063D"/>
    <w:rsid w:val="00030C45"/>
    <w:rsid w:val="00030FEF"/>
    <w:rsid w:val="00031591"/>
    <w:rsid w:val="00032493"/>
    <w:rsid w:val="00032C51"/>
    <w:rsid w:val="00033D4C"/>
    <w:rsid w:val="000404A1"/>
    <w:rsid w:val="00040668"/>
    <w:rsid w:val="00041B68"/>
    <w:rsid w:val="00041C8D"/>
    <w:rsid w:val="00041F82"/>
    <w:rsid w:val="000438D9"/>
    <w:rsid w:val="00043F63"/>
    <w:rsid w:val="000440F1"/>
    <w:rsid w:val="00044837"/>
    <w:rsid w:val="00044E5C"/>
    <w:rsid w:val="00045391"/>
    <w:rsid w:val="0004686A"/>
    <w:rsid w:val="000468E2"/>
    <w:rsid w:val="00046B6C"/>
    <w:rsid w:val="00047CD2"/>
    <w:rsid w:val="000526D9"/>
    <w:rsid w:val="00052AC4"/>
    <w:rsid w:val="00052E5A"/>
    <w:rsid w:val="00054A06"/>
    <w:rsid w:val="000568A9"/>
    <w:rsid w:val="00056A79"/>
    <w:rsid w:val="00061041"/>
    <w:rsid w:val="00064A1E"/>
    <w:rsid w:val="00064B95"/>
    <w:rsid w:val="000660E0"/>
    <w:rsid w:val="000702DD"/>
    <w:rsid w:val="00070A4B"/>
    <w:rsid w:val="00071E0B"/>
    <w:rsid w:val="00073BB0"/>
    <w:rsid w:val="00077450"/>
    <w:rsid w:val="0007788B"/>
    <w:rsid w:val="00077ECE"/>
    <w:rsid w:val="000800AC"/>
    <w:rsid w:val="00082F9E"/>
    <w:rsid w:val="0008542A"/>
    <w:rsid w:val="00087043"/>
    <w:rsid w:val="00087D31"/>
    <w:rsid w:val="0009065C"/>
    <w:rsid w:val="00090A45"/>
    <w:rsid w:val="00093278"/>
    <w:rsid w:val="0009482B"/>
    <w:rsid w:val="00096045"/>
    <w:rsid w:val="000A2F40"/>
    <w:rsid w:val="000A3142"/>
    <w:rsid w:val="000A357C"/>
    <w:rsid w:val="000A487A"/>
    <w:rsid w:val="000A5750"/>
    <w:rsid w:val="000A77ED"/>
    <w:rsid w:val="000B146E"/>
    <w:rsid w:val="000B1620"/>
    <w:rsid w:val="000B301D"/>
    <w:rsid w:val="000B5050"/>
    <w:rsid w:val="000B54DF"/>
    <w:rsid w:val="000B5D79"/>
    <w:rsid w:val="000C10B9"/>
    <w:rsid w:val="000C2BB9"/>
    <w:rsid w:val="000C4503"/>
    <w:rsid w:val="000C4A8E"/>
    <w:rsid w:val="000C574D"/>
    <w:rsid w:val="000C5889"/>
    <w:rsid w:val="000C5A04"/>
    <w:rsid w:val="000C7111"/>
    <w:rsid w:val="000D0BA7"/>
    <w:rsid w:val="000D5C91"/>
    <w:rsid w:val="000D5CD5"/>
    <w:rsid w:val="000D63C5"/>
    <w:rsid w:val="000D6E20"/>
    <w:rsid w:val="000D7FC5"/>
    <w:rsid w:val="000E1E25"/>
    <w:rsid w:val="000E2091"/>
    <w:rsid w:val="000E32EF"/>
    <w:rsid w:val="000E5B59"/>
    <w:rsid w:val="000E7EC3"/>
    <w:rsid w:val="000F287A"/>
    <w:rsid w:val="000F2D94"/>
    <w:rsid w:val="000F52A3"/>
    <w:rsid w:val="0010128D"/>
    <w:rsid w:val="001024E9"/>
    <w:rsid w:val="0010274A"/>
    <w:rsid w:val="0010336E"/>
    <w:rsid w:val="001053E4"/>
    <w:rsid w:val="00107630"/>
    <w:rsid w:val="00110A12"/>
    <w:rsid w:val="00111226"/>
    <w:rsid w:val="00111446"/>
    <w:rsid w:val="001119EC"/>
    <w:rsid w:val="001126D7"/>
    <w:rsid w:val="00112B02"/>
    <w:rsid w:val="00113899"/>
    <w:rsid w:val="00113A8A"/>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0D71"/>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648EE"/>
    <w:rsid w:val="00164B65"/>
    <w:rsid w:val="00165F33"/>
    <w:rsid w:val="00166794"/>
    <w:rsid w:val="001703B9"/>
    <w:rsid w:val="0017229A"/>
    <w:rsid w:val="00175A64"/>
    <w:rsid w:val="001775DF"/>
    <w:rsid w:val="00180865"/>
    <w:rsid w:val="00181280"/>
    <w:rsid w:val="0018612D"/>
    <w:rsid w:val="00187D0F"/>
    <w:rsid w:val="00190881"/>
    <w:rsid w:val="001912C3"/>
    <w:rsid w:val="001917EA"/>
    <w:rsid w:val="00191E11"/>
    <w:rsid w:val="0019244D"/>
    <w:rsid w:val="001937D1"/>
    <w:rsid w:val="001940AA"/>
    <w:rsid w:val="00194F46"/>
    <w:rsid w:val="00195D18"/>
    <w:rsid w:val="001A0AA8"/>
    <w:rsid w:val="001A138D"/>
    <w:rsid w:val="001A36AE"/>
    <w:rsid w:val="001A40F5"/>
    <w:rsid w:val="001A5199"/>
    <w:rsid w:val="001B1C54"/>
    <w:rsid w:val="001B52CA"/>
    <w:rsid w:val="001B53A0"/>
    <w:rsid w:val="001B588A"/>
    <w:rsid w:val="001B5F70"/>
    <w:rsid w:val="001B63F4"/>
    <w:rsid w:val="001B641A"/>
    <w:rsid w:val="001C0729"/>
    <w:rsid w:val="001C09FE"/>
    <w:rsid w:val="001C13B1"/>
    <w:rsid w:val="001C1C2A"/>
    <w:rsid w:val="001C3012"/>
    <w:rsid w:val="001C312C"/>
    <w:rsid w:val="001C4C80"/>
    <w:rsid w:val="001C4C90"/>
    <w:rsid w:val="001C5037"/>
    <w:rsid w:val="001C67B0"/>
    <w:rsid w:val="001C6FB4"/>
    <w:rsid w:val="001C79FA"/>
    <w:rsid w:val="001D04B4"/>
    <w:rsid w:val="001D4579"/>
    <w:rsid w:val="001D5ECE"/>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1EF2"/>
    <w:rsid w:val="002120F0"/>
    <w:rsid w:val="00212DE7"/>
    <w:rsid w:val="002133C8"/>
    <w:rsid w:val="00215985"/>
    <w:rsid w:val="002172AF"/>
    <w:rsid w:val="002179AC"/>
    <w:rsid w:val="002209C1"/>
    <w:rsid w:val="002217BA"/>
    <w:rsid w:val="00223E5A"/>
    <w:rsid w:val="002242F7"/>
    <w:rsid w:val="00225D7F"/>
    <w:rsid w:val="002263B9"/>
    <w:rsid w:val="002345FF"/>
    <w:rsid w:val="0023544C"/>
    <w:rsid w:val="0023701C"/>
    <w:rsid w:val="0024215F"/>
    <w:rsid w:val="00242B6E"/>
    <w:rsid w:val="0024481A"/>
    <w:rsid w:val="00245246"/>
    <w:rsid w:val="00246ABA"/>
    <w:rsid w:val="002519B8"/>
    <w:rsid w:val="00252619"/>
    <w:rsid w:val="002542F8"/>
    <w:rsid w:val="00254C58"/>
    <w:rsid w:val="00256EB1"/>
    <w:rsid w:val="00260059"/>
    <w:rsid w:val="00261001"/>
    <w:rsid w:val="002640EA"/>
    <w:rsid w:val="00264D91"/>
    <w:rsid w:val="00265433"/>
    <w:rsid w:val="002665BD"/>
    <w:rsid w:val="00267805"/>
    <w:rsid w:val="002723A7"/>
    <w:rsid w:val="00272DDF"/>
    <w:rsid w:val="00273648"/>
    <w:rsid w:val="00273786"/>
    <w:rsid w:val="0027430D"/>
    <w:rsid w:val="002750D7"/>
    <w:rsid w:val="00276F80"/>
    <w:rsid w:val="00277410"/>
    <w:rsid w:val="00280ACC"/>
    <w:rsid w:val="00281586"/>
    <w:rsid w:val="002836F5"/>
    <w:rsid w:val="0028402F"/>
    <w:rsid w:val="00284D62"/>
    <w:rsid w:val="00285036"/>
    <w:rsid w:val="00286DCE"/>
    <w:rsid w:val="002871DB"/>
    <w:rsid w:val="0029063F"/>
    <w:rsid w:val="0029064D"/>
    <w:rsid w:val="002915D9"/>
    <w:rsid w:val="002924F3"/>
    <w:rsid w:val="00295016"/>
    <w:rsid w:val="0029617F"/>
    <w:rsid w:val="002964D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648A"/>
    <w:rsid w:val="002D7B77"/>
    <w:rsid w:val="002E0F2E"/>
    <w:rsid w:val="002E1442"/>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3092"/>
    <w:rsid w:val="00303717"/>
    <w:rsid w:val="00304123"/>
    <w:rsid w:val="00304217"/>
    <w:rsid w:val="00306C6A"/>
    <w:rsid w:val="00307227"/>
    <w:rsid w:val="00307688"/>
    <w:rsid w:val="00307E60"/>
    <w:rsid w:val="003105D0"/>
    <w:rsid w:val="00310B04"/>
    <w:rsid w:val="003116A6"/>
    <w:rsid w:val="00313E13"/>
    <w:rsid w:val="00314295"/>
    <w:rsid w:val="0031528E"/>
    <w:rsid w:val="003153E1"/>
    <w:rsid w:val="003155C5"/>
    <w:rsid w:val="00315695"/>
    <w:rsid w:val="003161A4"/>
    <w:rsid w:val="00321AA3"/>
    <w:rsid w:val="00322042"/>
    <w:rsid w:val="00323478"/>
    <w:rsid w:val="00323895"/>
    <w:rsid w:val="00324A2E"/>
    <w:rsid w:val="00325D61"/>
    <w:rsid w:val="003261C4"/>
    <w:rsid w:val="003279B0"/>
    <w:rsid w:val="00331248"/>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346E"/>
    <w:rsid w:val="003553FE"/>
    <w:rsid w:val="003567ED"/>
    <w:rsid w:val="0036073F"/>
    <w:rsid w:val="003646B1"/>
    <w:rsid w:val="00365ABF"/>
    <w:rsid w:val="0036610C"/>
    <w:rsid w:val="0036748D"/>
    <w:rsid w:val="003711E8"/>
    <w:rsid w:val="0037183E"/>
    <w:rsid w:val="003721B2"/>
    <w:rsid w:val="00374489"/>
    <w:rsid w:val="00376390"/>
    <w:rsid w:val="00376637"/>
    <w:rsid w:val="00376A81"/>
    <w:rsid w:val="003775AD"/>
    <w:rsid w:val="0038031D"/>
    <w:rsid w:val="00381879"/>
    <w:rsid w:val="003854DE"/>
    <w:rsid w:val="00386B04"/>
    <w:rsid w:val="00386EC7"/>
    <w:rsid w:val="00387DC9"/>
    <w:rsid w:val="00393B71"/>
    <w:rsid w:val="003A2CC3"/>
    <w:rsid w:val="003A39ED"/>
    <w:rsid w:val="003A3A8E"/>
    <w:rsid w:val="003A44DA"/>
    <w:rsid w:val="003A6A5A"/>
    <w:rsid w:val="003A6BAD"/>
    <w:rsid w:val="003A6D8C"/>
    <w:rsid w:val="003B04A9"/>
    <w:rsid w:val="003B08F2"/>
    <w:rsid w:val="003B1A98"/>
    <w:rsid w:val="003B55AD"/>
    <w:rsid w:val="003B5DA2"/>
    <w:rsid w:val="003B7F49"/>
    <w:rsid w:val="003C1953"/>
    <w:rsid w:val="003C3DCD"/>
    <w:rsid w:val="003C5056"/>
    <w:rsid w:val="003C6CCC"/>
    <w:rsid w:val="003C7282"/>
    <w:rsid w:val="003D3371"/>
    <w:rsid w:val="003D46D0"/>
    <w:rsid w:val="003D4A6F"/>
    <w:rsid w:val="003E2043"/>
    <w:rsid w:val="003E381E"/>
    <w:rsid w:val="003E5020"/>
    <w:rsid w:val="003F01CF"/>
    <w:rsid w:val="003F15DB"/>
    <w:rsid w:val="003F2702"/>
    <w:rsid w:val="003F421D"/>
    <w:rsid w:val="003F4487"/>
    <w:rsid w:val="003F4D46"/>
    <w:rsid w:val="003F5E7E"/>
    <w:rsid w:val="003F70CA"/>
    <w:rsid w:val="003F7A05"/>
    <w:rsid w:val="00400510"/>
    <w:rsid w:val="0040278D"/>
    <w:rsid w:val="00402AAD"/>
    <w:rsid w:val="00402C25"/>
    <w:rsid w:val="004060C4"/>
    <w:rsid w:val="00407CB0"/>
    <w:rsid w:val="00414498"/>
    <w:rsid w:val="00414ADE"/>
    <w:rsid w:val="00414D36"/>
    <w:rsid w:val="004152AD"/>
    <w:rsid w:val="00415AD1"/>
    <w:rsid w:val="004167D0"/>
    <w:rsid w:val="0041697B"/>
    <w:rsid w:val="0042068A"/>
    <w:rsid w:val="00421EB2"/>
    <w:rsid w:val="0042285F"/>
    <w:rsid w:val="00422A6E"/>
    <w:rsid w:val="0042363B"/>
    <w:rsid w:val="004239B3"/>
    <w:rsid w:val="00424EEA"/>
    <w:rsid w:val="00425423"/>
    <w:rsid w:val="00426092"/>
    <w:rsid w:val="00426D7C"/>
    <w:rsid w:val="004273F5"/>
    <w:rsid w:val="00430202"/>
    <w:rsid w:val="004304C0"/>
    <w:rsid w:val="00432B72"/>
    <w:rsid w:val="00433016"/>
    <w:rsid w:val="004342F1"/>
    <w:rsid w:val="00434EB9"/>
    <w:rsid w:val="0043690E"/>
    <w:rsid w:val="00437419"/>
    <w:rsid w:val="00440A7E"/>
    <w:rsid w:val="004414D8"/>
    <w:rsid w:val="004414F5"/>
    <w:rsid w:val="00441BD1"/>
    <w:rsid w:val="004433A7"/>
    <w:rsid w:val="00444336"/>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19F8"/>
    <w:rsid w:val="0046566E"/>
    <w:rsid w:val="0047025A"/>
    <w:rsid w:val="00471AA4"/>
    <w:rsid w:val="00472177"/>
    <w:rsid w:val="00473924"/>
    <w:rsid w:val="0047461F"/>
    <w:rsid w:val="00474A9F"/>
    <w:rsid w:val="0047502E"/>
    <w:rsid w:val="0047722C"/>
    <w:rsid w:val="00477646"/>
    <w:rsid w:val="004806F2"/>
    <w:rsid w:val="00481921"/>
    <w:rsid w:val="00481A7B"/>
    <w:rsid w:val="00481BE5"/>
    <w:rsid w:val="00484233"/>
    <w:rsid w:val="00484798"/>
    <w:rsid w:val="00484EE5"/>
    <w:rsid w:val="00484FF9"/>
    <w:rsid w:val="00487B2C"/>
    <w:rsid w:val="00490ACE"/>
    <w:rsid w:val="00490E13"/>
    <w:rsid w:val="00491A61"/>
    <w:rsid w:val="00491C96"/>
    <w:rsid w:val="00492FE8"/>
    <w:rsid w:val="00493894"/>
    <w:rsid w:val="00496359"/>
    <w:rsid w:val="004972B8"/>
    <w:rsid w:val="0049774F"/>
    <w:rsid w:val="0049780F"/>
    <w:rsid w:val="004A0992"/>
    <w:rsid w:val="004A2BF5"/>
    <w:rsid w:val="004A43EF"/>
    <w:rsid w:val="004A4881"/>
    <w:rsid w:val="004A4D7D"/>
    <w:rsid w:val="004A5401"/>
    <w:rsid w:val="004A5F59"/>
    <w:rsid w:val="004A6BCE"/>
    <w:rsid w:val="004A7D9C"/>
    <w:rsid w:val="004B1405"/>
    <w:rsid w:val="004B293C"/>
    <w:rsid w:val="004B2FF6"/>
    <w:rsid w:val="004B408C"/>
    <w:rsid w:val="004B45D3"/>
    <w:rsid w:val="004B49EB"/>
    <w:rsid w:val="004B4DD8"/>
    <w:rsid w:val="004C037C"/>
    <w:rsid w:val="004C128A"/>
    <w:rsid w:val="004C29E4"/>
    <w:rsid w:val="004C3F98"/>
    <w:rsid w:val="004C3FD4"/>
    <w:rsid w:val="004C6E5A"/>
    <w:rsid w:val="004D04CB"/>
    <w:rsid w:val="004D257A"/>
    <w:rsid w:val="004D2B48"/>
    <w:rsid w:val="004D4B7C"/>
    <w:rsid w:val="004D78A7"/>
    <w:rsid w:val="004D7E02"/>
    <w:rsid w:val="004E0611"/>
    <w:rsid w:val="004E1AAF"/>
    <w:rsid w:val="004E2959"/>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2D15"/>
    <w:rsid w:val="00524767"/>
    <w:rsid w:val="0052488D"/>
    <w:rsid w:val="00526F27"/>
    <w:rsid w:val="005308AB"/>
    <w:rsid w:val="00531323"/>
    <w:rsid w:val="00531946"/>
    <w:rsid w:val="00535E71"/>
    <w:rsid w:val="00536E68"/>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BE"/>
    <w:rsid w:val="005716EA"/>
    <w:rsid w:val="00573B51"/>
    <w:rsid w:val="0057407F"/>
    <w:rsid w:val="00574544"/>
    <w:rsid w:val="00575BB2"/>
    <w:rsid w:val="005765FB"/>
    <w:rsid w:val="00576907"/>
    <w:rsid w:val="00577F91"/>
    <w:rsid w:val="00580251"/>
    <w:rsid w:val="0058035A"/>
    <w:rsid w:val="0058079C"/>
    <w:rsid w:val="005816D1"/>
    <w:rsid w:val="00581C0F"/>
    <w:rsid w:val="00582919"/>
    <w:rsid w:val="00583131"/>
    <w:rsid w:val="00583455"/>
    <w:rsid w:val="00583537"/>
    <w:rsid w:val="005846C9"/>
    <w:rsid w:val="0058549C"/>
    <w:rsid w:val="00586BF3"/>
    <w:rsid w:val="00587366"/>
    <w:rsid w:val="00590A94"/>
    <w:rsid w:val="00590AB3"/>
    <w:rsid w:val="0059227D"/>
    <w:rsid w:val="00595511"/>
    <w:rsid w:val="00595B8D"/>
    <w:rsid w:val="005A1CD1"/>
    <w:rsid w:val="005A2A65"/>
    <w:rsid w:val="005A2E0F"/>
    <w:rsid w:val="005A3513"/>
    <w:rsid w:val="005A37DF"/>
    <w:rsid w:val="005A3BD7"/>
    <w:rsid w:val="005A459B"/>
    <w:rsid w:val="005A5003"/>
    <w:rsid w:val="005B118B"/>
    <w:rsid w:val="005B15EB"/>
    <w:rsid w:val="005B34CA"/>
    <w:rsid w:val="005B37BE"/>
    <w:rsid w:val="005B6696"/>
    <w:rsid w:val="005B7C5D"/>
    <w:rsid w:val="005B7D9D"/>
    <w:rsid w:val="005C1A74"/>
    <w:rsid w:val="005C1F52"/>
    <w:rsid w:val="005C3294"/>
    <w:rsid w:val="005C3EA6"/>
    <w:rsid w:val="005C459D"/>
    <w:rsid w:val="005C6F55"/>
    <w:rsid w:val="005C7E0D"/>
    <w:rsid w:val="005D1341"/>
    <w:rsid w:val="005D27DD"/>
    <w:rsid w:val="005D28D1"/>
    <w:rsid w:val="005D3493"/>
    <w:rsid w:val="005D7288"/>
    <w:rsid w:val="005E0ECF"/>
    <w:rsid w:val="005E3265"/>
    <w:rsid w:val="005E52F5"/>
    <w:rsid w:val="005E6027"/>
    <w:rsid w:val="005E75D2"/>
    <w:rsid w:val="005E7DBB"/>
    <w:rsid w:val="005F00F4"/>
    <w:rsid w:val="005F1C39"/>
    <w:rsid w:val="005F1EC1"/>
    <w:rsid w:val="005F3241"/>
    <w:rsid w:val="005F52F5"/>
    <w:rsid w:val="005F5F55"/>
    <w:rsid w:val="005F62B2"/>
    <w:rsid w:val="005F676D"/>
    <w:rsid w:val="005F715E"/>
    <w:rsid w:val="006005C1"/>
    <w:rsid w:val="00602995"/>
    <w:rsid w:val="00602C69"/>
    <w:rsid w:val="00602CBB"/>
    <w:rsid w:val="00604010"/>
    <w:rsid w:val="00604626"/>
    <w:rsid w:val="00604AC3"/>
    <w:rsid w:val="0060639F"/>
    <w:rsid w:val="006071D8"/>
    <w:rsid w:val="00612B6E"/>
    <w:rsid w:val="006200BA"/>
    <w:rsid w:val="00620292"/>
    <w:rsid w:val="00620C3A"/>
    <w:rsid w:val="00622B06"/>
    <w:rsid w:val="006236CE"/>
    <w:rsid w:val="0063096E"/>
    <w:rsid w:val="00631A39"/>
    <w:rsid w:val="00632386"/>
    <w:rsid w:val="006334E4"/>
    <w:rsid w:val="00634503"/>
    <w:rsid w:val="00635307"/>
    <w:rsid w:val="00641055"/>
    <w:rsid w:val="006437A7"/>
    <w:rsid w:val="00643FFF"/>
    <w:rsid w:val="00644015"/>
    <w:rsid w:val="006443BD"/>
    <w:rsid w:val="006451F4"/>
    <w:rsid w:val="006465D2"/>
    <w:rsid w:val="00646A08"/>
    <w:rsid w:val="00647A04"/>
    <w:rsid w:val="006513FD"/>
    <w:rsid w:val="00653532"/>
    <w:rsid w:val="00653773"/>
    <w:rsid w:val="006540A5"/>
    <w:rsid w:val="006569F7"/>
    <w:rsid w:val="00657DEC"/>
    <w:rsid w:val="0066099D"/>
    <w:rsid w:val="00660DAF"/>
    <w:rsid w:val="0066255A"/>
    <w:rsid w:val="00662C69"/>
    <w:rsid w:val="00664C1C"/>
    <w:rsid w:val="006668DC"/>
    <w:rsid w:val="00667A80"/>
    <w:rsid w:val="00672268"/>
    <w:rsid w:val="00673A73"/>
    <w:rsid w:val="00683948"/>
    <w:rsid w:val="00683DBE"/>
    <w:rsid w:val="00687410"/>
    <w:rsid w:val="00687779"/>
    <w:rsid w:val="00687918"/>
    <w:rsid w:val="006879A6"/>
    <w:rsid w:val="00687EDA"/>
    <w:rsid w:val="006920A9"/>
    <w:rsid w:val="006925D9"/>
    <w:rsid w:val="00693427"/>
    <w:rsid w:val="00694362"/>
    <w:rsid w:val="006965C3"/>
    <w:rsid w:val="00696EF8"/>
    <w:rsid w:val="00697300"/>
    <w:rsid w:val="006A0E68"/>
    <w:rsid w:val="006A153F"/>
    <w:rsid w:val="006A3021"/>
    <w:rsid w:val="006A3857"/>
    <w:rsid w:val="006A3A72"/>
    <w:rsid w:val="006A6003"/>
    <w:rsid w:val="006A79F8"/>
    <w:rsid w:val="006B0198"/>
    <w:rsid w:val="006B12E8"/>
    <w:rsid w:val="006B1FBE"/>
    <w:rsid w:val="006B3BF5"/>
    <w:rsid w:val="006B417B"/>
    <w:rsid w:val="006B4A20"/>
    <w:rsid w:val="006B5641"/>
    <w:rsid w:val="006B6634"/>
    <w:rsid w:val="006C0144"/>
    <w:rsid w:val="006C1A3C"/>
    <w:rsid w:val="006C2A0E"/>
    <w:rsid w:val="006C50C2"/>
    <w:rsid w:val="006C563A"/>
    <w:rsid w:val="006C643E"/>
    <w:rsid w:val="006C68C6"/>
    <w:rsid w:val="006D1AB5"/>
    <w:rsid w:val="006D27D8"/>
    <w:rsid w:val="006D27EF"/>
    <w:rsid w:val="006D2D9A"/>
    <w:rsid w:val="006D4E9D"/>
    <w:rsid w:val="006D52D1"/>
    <w:rsid w:val="006D77A9"/>
    <w:rsid w:val="006E0969"/>
    <w:rsid w:val="006E1056"/>
    <w:rsid w:val="006E297B"/>
    <w:rsid w:val="006E32BA"/>
    <w:rsid w:val="006E5ECE"/>
    <w:rsid w:val="006E67F0"/>
    <w:rsid w:val="006F0179"/>
    <w:rsid w:val="006F1731"/>
    <w:rsid w:val="006F1ED7"/>
    <w:rsid w:val="006F2C12"/>
    <w:rsid w:val="006F2C6A"/>
    <w:rsid w:val="006F2ED6"/>
    <w:rsid w:val="006F2F92"/>
    <w:rsid w:val="006F619D"/>
    <w:rsid w:val="006F66D1"/>
    <w:rsid w:val="006F7CA6"/>
    <w:rsid w:val="00700EAB"/>
    <w:rsid w:val="00702E2D"/>
    <w:rsid w:val="00702EF0"/>
    <w:rsid w:val="00703374"/>
    <w:rsid w:val="00703672"/>
    <w:rsid w:val="00703A62"/>
    <w:rsid w:val="00703D40"/>
    <w:rsid w:val="00704381"/>
    <w:rsid w:val="00704712"/>
    <w:rsid w:val="00707096"/>
    <w:rsid w:val="00711B2B"/>
    <w:rsid w:val="00711F33"/>
    <w:rsid w:val="00713082"/>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8CF"/>
    <w:rsid w:val="00743B61"/>
    <w:rsid w:val="0074708D"/>
    <w:rsid w:val="007479C2"/>
    <w:rsid w:val="00747C65"/>
    <w:rsid w:val="00750A80"/>
    <w:rsid w:val="0075151E"/>
    <w:rsid w:val="0075265E"/>
    <w:rsid w:val="0075394A"/>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0F1F"/>
    <w:rsid w:val="00783650"/>
    <w:rsid w:val="00786A90"/>
    <w:rsid w:val="007911DC"/>
    <w:rsid w:val="007914E4"/>
    <w:rsid w:val="0079761F"/>
    <w:rsid w:val="007A0863"/>
    <w:rsid w:val="007A1303"/>
    <w:rsid w:val="007A1F76"/>
    <w:rsid w:val="007A3DC4"/>
    <w:rsid w:val="007A7EF7"/>
    <w:rsid w:val="007B06AA"/>
    <w:rsid w:val="007B30F3"/>
    <w:rsid w:val="007B3E8D"/>
    <w:rsid w:val="007B453F"/>
    <w:rsid w:val="007B52FE"/>
    <w:rsid w:val="007B53A4"/>
    <w:rsid w:val="007B55C1"/>
    <w:rsid w:val="007B70C5"/>
    <w:rsid w:val="007B7762"/>
    <w:rsid w:val="007C0013"/>
    <w:rsid w:val="007C0FD8"/>
    <w:rsid w:val="007C2559"/>
    <w:rsid w:val="007C2A76"/>
    <w:rsid w:val="007C2A87"/>
    <w:rsid w:val="007C2D96"/>
    <w:rsid w:val="007C32A1"/>
    <w:rsid w:val="007C3417"/>
    <w:rsid w:val="007C37D2"/>
    <w:rsid w:val="007C4818"/>
    <w:rsid w:val="007C503B"/>
    <w:rsid w:val="007C5872"/>
    <w:rsid w:val="007C5C50"/>
    <w:rsid w:val="007C5DF8"/>
    <w:rsid w:val="007D02F7"/>
    <w:rsid w:val="007D126F"/>
    <w:rsid w:val="007D151A"/>
    <w:rsid w:val="007D25F5"/>
    <w:rsid w:val="007D6C08"/>
    <w:rsid w:val="007D703F"/>
    <w:rsid w:val="007D709E"/>
    <w:rsid w:val="007D785A"/>
    <w:rsid w:val="007D7EF3"/>
    <w:rsid w:val="007E30E1"/>
    <w:rsid w:val="007E4B68"/>
    <w:rsid w:val="007E5278"/>
    <w:rsid w:val="007E5B30"/>
    <w:rsid w:val="007E6383"/>
    <w:rsid w:val="007E68E3"/>
    <w:rsid w:val="007F041D"/>
    <w:rsid w:val="007F09AF"/>
    <w:rsid w:val="007F3E90"/>
    <w:rsid w:val="007F6A33"/>
    <w:rsid w:val="007F6CD9"/>
    <w:rsid w:val="007F6F0F"/>
    <w:rsid w:val="007F78C6"/>
    <w:rsid w:val="007F7B9E"/>
    <w:rsid w:val="008061A9"/>
    <w:rsid w:val="00806BD3"/>
    <w:rsid w:val="00812291"/>
    <w:rsid w:val="00814B6C"/>
    <w:rsid w:val="008167F5"/>
    <w:rsid w:val="00820091"/>
    <w:rsid w:val="008200A3"/>
    <w:rsid w:val="008257FE"/>
    <w:rsid w:val="00826203"/>
    <w:rsid w:val="00826660"/>
    <w:rsid w:val="0083026A"/>
    <w:rsid w:val="0083163C"/>
    <w:rsid w:val="00833002"/>
    <w:rsid w:val="008370E5"/>
    <w:rsid w:val="008400CC"/>
    <w:rsid w:val="00840559"/>
    <w:rsid w:val="00843588"/>
    <w:rsid w:val="00844CEE"/>
    <w:rsid w:val="00846EB8"/>
    <w:rsid w:val="008473FA"/>
    <w:rsid w:val="00847700"/>
    <w:rsid w:val="008515F8"/>
    <w:rsid w:val="008519DF"/>
    <w:rsid w:val="008523BA"/>
    <w:rsid w:val="00853002"/>
    <w:rsid w:val="00853746"/>
    <w:rsid w:val="00854EBA"/>
    <w:rsid w:val="008560F4"/>
    <w:rsid w:val="0086244C"/>
    <w:rsid w:val="00864611"/>
    <w:rsid w:val="00864E61"/>
    <w:rsid w:val="00872EE9"/>
    <w:rsid w:val="00874488"/>
    <w:rsid w:val="00874D59"/>
    <w:rsid w:val="0087515C"/>
    <w:rsid w:val="00875167"/>
    <w:rsid w:val="0087585B"/>
    <w:rsid w:val="00880639"/>
    <w:rsid w:val="00883450"/>
    <w:rsid w:val="008847C8"/>
    <w:rsid w:val="0088655E"/>
    <w:rsid w:val="008927AE"/>
    <w:rsid w:val="00892D91"/>
    <w:rsid w:val="00893753"/>
    <w:rsid w:val="008938DD"/>
    <w:rsid w:val="0089659C"/>
    <w:rsid w:val="00896BB3"/>
    <w:rsid w:val="008972CA"/>
    <w:rsid w:val="00897A98"/>
    <w:rsid w:val="008A06DA"/>
    <w:rsid w:val="008A2F18"/>
    <w:rsid w:val="008A3355"/>
    <w:rsid w:val="008A66BD"/>
    <w:rsid w:val="008A76AC"/>
    <w:rsid w:val="008A7D54"/>
    <w:rsid w:val="008A7E1D"/>
    <w:rsid w:val="008B02F6"/>
    <w:rsid w:val="008B09BB"/>
    <w:rsid w:val="008B1786"/>
    <w:rsid w:val="008B2269"/>
    <w:rsid w:val="008B34E5"/>
    <w:rsid w:val="008B3D33"/>
    <w:rsid w:val="008C1A93"/>
    <w:rsid w:val="008C2801"/>
    <w:rsid w:val="008C2B3C"/>
    <w:rsid w:val="008C3021"/>
    <w:rsid w:val="008C37E0"/>
    <w:rsid w:val="008C3A2C"/>
    <w:rsid w:val="008C41A7"/>
    <w:rsid w:val="008C4816"/>
    <w:rsid w:val="008C517B"/>
    <w:rsid w:val="008C549F"/>
    <w:rsid w:val="008C5699"/>
    <w:rsid w:val="008C67D3"/>
    <w:rsid w:val="008D02A3"/>
    <w:rsid w:val="008D19AE"/>
    <w:rsid w:val="008D200A"/>
    <w:rsid w:val="008D221F"/>
    <w:rsid w:val="008D30E8"/>
    <w:rsid w:val="008D3D20"/>
    <w:rsid w:val="008D7A0A"/>
    <w:rsid w:val="008E11CC"/>
    <w:rsid w:val="008E1DB3"/>
    <w:rsid w:val="008E241C"/>
    <w:rsid w:val="008E2CD4"/>
    <w:rsid w:val="008E36FC"/>
    <w:rsid w:val="008E40FB"/>
    <w:rsid w:val="008E79C6"/>
    <w:rsid w:val="008F0782"/>
    <w:rsid w:val="008F114A"/>
    <w:rsid w:val="008F12E6"/>
    <w:rsid w:val="008F1759"/>
    <w:rsid w:val="008F22E9"/>
    <w:rsid w:val="008F54B7"/>
    <w:rsid w:val="008F7434"/>
    <w:rsid w:val="00903AE9"/>
    <w:rsid w:val="00905768"/>
    <w:rsid w:val="009058EC"/>
    <w:rsid w:val="00906137"/>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22877"/>
    <w:rsid w:val="00930A12"/>
    <w:rsid w:val="009316E9"/>
    <w:rsid w:val="00931874"/>
    <w:rsid w:val="0093243C"/>
    <w:rsid w:val="00940E57"/>
    <w:rsid w:val="00941409"/>
    <w:rsid w:val="0094254C"/>
    <w:rsid w:val="00942DB3"/>
    <w:rsid w:val="0094362A"/>
    <w:rsid w:val="00945057"/>
    <w:rsid w:val="00945309"/>
    <w:rsid w:val="00945704"/>
    <w:rsid w:val="00947536"/>
    <w:rsid w:val="00951D15"/>
    <w:rsid w:val="00953E8D"/>
    <w:rsid w:val="00954C68"/>
    <w:rsid w:val="0095513F"/>
    <w:rsid w:val="00955339"/>
    <w:rsid w:val="009563A5"/>
    <w:rsid w:val="009573B2"/>
    <w:rsid w:val="009606E6"/>
    <w:rsid w:val="00961C5C"/>
    <w:rsid w:val="00962F40"/>
    <w:rsid w:val="00965C4A"/>
    <w:rsid w:val="00965D68"/>
    <w:rsid w:val="0096621A"/>
    <w:rsid w:val="009703CF"/>
    <w:rsid w:val="00970F42"/>
    <w:rsid w:val="00972668"/>
    <w:rsid w:val="009727B4"/>
    <w:rsid w:val="0097281C"/>
    <w:rsid w:val="009737B6"/>
    <w:rsid w:val="00975145"/>
    <w:rsid w:val="009756E9"/>
    <w:rsid w:val="00975E7A"/>
    <w:rsid w:val="00975EBD"/>
    <w:rsid w:val="0098253C"/>
    <w:rsid w:val="00982B0A"/>
    <w:rsid w:val="00982F3B"/>
    <w:rsid w:val="00985E23"/>
    <w:rsid w:val="009864F1"/>
    <w:rsid w:val="00986BB3"/>
    <w:rsid w:val="00992F53"/>
    <w:rsid w:val="009942EC"/>
    <w:rsid w:val="009974ED"/>
    <w:rsid w:val="0099752D"/>
    <w:rsid w:val="00997B48"/>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7114"/>
    <w:rsid w:val="009D0AAC"/>
    <w:rsid w:val="009D1620"/>
    <w:rsid w:val="009D1B5E"/>
    <w:rsid w:val="009D2E57"/>
    <w:rsid w:val="009D3BF0"/>
    <w:rsid w:val="009D3CF3"/>
    <w:rsid w:val="009D49B8"/>
    <w:rsid w:val="009D4B4D"/>
    <w:rsid w:val="009D61D9"/>
    <w:rsid w:val="009D6F34"/>
    <w:rsid w:val="009D731C"/>
    <w:rsid w:val="009E2D04"/>
    <w:rsid w:val="009E3101"/>
    <w:rsid w:val="009E3C58"/>
    <w:rsid w:val="009E4942"/>
    <w:rsid w:val="009E4C84"/>
    <w:rsid w:val="009E6B37"/>
    <w:rsid w:val="009E71F2"/>
    <w:rsid w:val="009F26D3"/>
    <w:rsid w:val="009F40D4"/>
    <w:rsid w:val="009F50DE"/>
    <w:rsid w:val="009F6A18"/>
    <w:rsid w:val="009F6BE1"/>
    <w:rsid w:val="009F728F"/>
    <w:rsid w:val="009F7BB0"/>
    <w:rsid w:val="00A05CF7"/>
    <w:rsid w:val="00A07D84"/>
    <w:rsid w:val="00A11AF8"/>
    <w:rsid w:val="00A12D58"/>
    <w:rsid w:val="00A13811"/>
    <w:rsid w:val="00A14ECC"/>
    <w:rsid w:val="00A20DDC"/>
    <w:rsid w:val="00A23406"/>
    <w:rsid w:val="00A235D0"/>
    <w:rsid w:val="00A247D7"/>
    <w:rsid w:val="00A26007"/>
    <w:rsid w:val="00A2603D"/>
    <w:rsid w:val="00A274EA"/>
    <w:rsid w:val="00A310BF"/>
    <w:rsid w:val="00A3221A"/>
    <w:rsid w:val="00A3276A"/>
    <w:rsid w:val="00A32A03"/>
    <w:rsid w:val="00A3367B"/>
    <w:rsid w:val="00A349D2"/>
    <w:rsid w:val="00A369C4"/>
    <w:rsid w:val="00A369F7"/>
    <w:rsid w:val="00A37F67"/>
    <w:rsid w:val="00A462D5"/>
    <w:rsid w:val="00A463AD"/>
    <w:rsid w:val="00A46653"/>
    <w:rsid w:val="00A51320"/>
    <w:rsid w:val="00A518CE"/>
    <w:rsid w:val="00A5309D"/>
    <w:rsid w:val="00A531D9"/>
    <w:rsid w:val="00A56536"/>
    <w:rsid w:val="00A572BC"/>
    <w:rsid w:val="00A575AA"/>
    <w:rsid w:val="00A57E00"/>
    <w:rsid w:val="00A57ECB"/>
    <w:rsid w:val="00A62BD0"/>
    <w:rsid w:val="00A63D4F"/>
    <w:rsid w:val="00A6482F"/>
    <w:rsid w:val="00A654EC"/>
    <w:rsid w:val="00A65537"/>
    <w:rsid w:val="00A65D63"/>
    <w:rsid w:val="00A66C2D"/>
    <w:rsid w:val="00A67E2D"/>
    <w:rsid w:val="00A70CF3"/>
    <w:rsid w:val="00A718D1"/>
    <w:rsid w:val="00A74434"/>
    <w:rsid w:val="00A75262"/>
    <w:rsid w:val="00A75C7E"/>
    <w:rsid w:val="00A81889"/>
    <w:rsid w:val="00A82724"/>
    <w:rsid w:val="00A82BDD"/>
    <w:rsid w:val="00A8620F"/>
    <w:rsid w:val="00A8769A"/>
    <w:rsid w:val="00A90B3F"/>
    <w:rsid w:val="00A91395"/>
    <w:rsid w:val="00A92E7B"/>
    <w:rsid w:val="00A941D3"/>
    <w:rsid w:val="00A94F0D"/>
    <w:rsid w:val="00A96236"/>
    <w:rsid w:val="00AA0660"/>
    <w:rsid w:val="00AA0FCE"/>
    <w:rsid w:val="00AA2C1C"/>
    <w:rsid w:val="00AA2CFD"/>
    <w:rsid w:val="00AA3938"/>
    <w:rsid w:val="00AA412B"/>
    <w:rsid w:val="00AA594C"/>
    <w:rsid w:val="00AA6228"/>
    <w:rsid w:val="00AA65CD"/>
    <w:rsid w:val="00AA69A4"/>
    <w:rsid w:val="00AA69D6"/>
    <w:rsid w:val="00AA719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6E32"/>
    <w:rsid w:val="00AF6E5C"/>
    <w:rsid w:val="00AF7C72"/>
    <w:rsid w:val="00B00624"/>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07B8"/>
    <w:rsid w:val="00B312C7"/>
    <w:rsid w:val="00B3242C"/>
    <w:rsid w:val="00B324A3"/>
    <w:rsid w:val="00B335B9"/>
    <w:rsid w:val="00B42C1C"/>
    <w:rsid w:val="00B436D6"/>
    <w:rsid w:val="00B44916"/>
    <w:rsid w:val="00B44CF8"/>
    <w:rsid w:val="00B50B84"/>
    <w:rsid w:val="00B53A6E"/>
    <w:rsid w:val="00B540CE"/>
    <w:rsid w:val="00B54A5F"/>
    <w:rsid w:val="00B560C1"/>
    <w:rsid w:val="00B5631A"/>
    <w:rsid w:val="00B56599"/>
    <w:rsid w:val="00B61272"/>
    <w:rsid w:val="00B619D6"/>
    <w:rsid w:val="00B623D4"/>
    <w:rsid w:val="00B64C56"/>
    <w:rsid w:val="00B65382"/>
    <w:rsid w:val="00B66079"/>
    <w:rsid w:val="00B6639E"/>
    <w:rsid w:val="00B71823"/>
    <w:rsid w:val="00B7260C"/>
    <w:rsid w:val="00B72DA3"/>
    <w:rsid w:val="00B73838"/>
    <w:rsid w:val="00B747F1"/>
    <w:rsid w:val="00B76014"/>
    <w:rsid w:val="00B81371"/>
    <w:rsid w:val="00B82180"/>
    <w:rsid w:val="00B828E4"/>
    <w:rsid w:val="00B82C49"/>
    <w:rsid w:val="00B841EA"/>
    <w:rsid w:val="00B85265"/>
    <w:rsid w:val="00B8584B"/>
    <w:rsid w:val="00B85D9D"/>
    <w:rsid w:val="00B86FF4"/>
    <w:rsid w:val="00B87497"/>
    <w:rsid w:val="00B87964"/>
    <w:rsid w:val="00B90005"/>
    <w:rsid w:val="00B90BE1"/>
    <w:rsid w:val="00B9201C"/>
    <w:rsid w:val="00B92DC3"/>
    <w:rsid w:val="00B94925"/>
    <w:rsid w:val="00B94DFC"/>
    <w:rsid w:val="00B96B39"/>
    <w:rsid w:val="00B9732F"/>
    <w:rsid w:val="00B974B4"/>
    <w:rsid w:val="00BA0547"/>
    <w:rsid w:val="00BA25D9"/>
    <w:rsid w:val="00BA7170"/>
    <w:rsid w:val="00BB028A"/>
    <w:rsid w:val="00BB1153"/>
    <w:rsid w:val="00BB3156"/>
    <w:rsid w:val="00BB3227"/>
    <w:rsid w:val="00BB4943"/>
    <w:rsid w:val="00BB5111"/>
    <w:rsid w:val="00BB6662"/>
    <w:rsid w:val="00BB7129"/>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4DF"/>
    <w:rsid w:val="00BF4E16"/>
    <w:rsid w:val="00BF5666"/>
    <w:rsid w:val="00BF6D83"/>
    <w:rsid w:val="00BF6F10"/>
    <w:rsid w:val="00C036E7"/>
    <w:rsid w:val="00C100D9"/>
    <w:rsid w:val="00C10CB5"/>
    <w:rsid w:val="00C14439"/>
    <w:rsid w:val="00C15817"/>
    <w:rsid w:val="00C20AD3"/>
    <w:rsid w:val="00C2139F"/>
    <w:rsid w:val="00C260B5"/>
    <w:rsid w:val="00C274ED"/>
    <w:rsid w:val="00C3172F"/>
    <w:rsid w:val="00C35AE8"/>
    <w:rsid w:val="00C360C1"/>
    <w:rsid w:val="00C403EF"/>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9C"/>
    <w:rsid w:val="00C743ED"/>
    <w:rsid w:val="00C75816"/>
    <w:rsid w:val="00C75E4D"/>
    <w:rsid w:val="00C80017"/>
    <w:rsid w:val="00C80A90"/>
    <w:rsid w:val="00C820CB"/>
    <w:rsid w:val="00C850BE"/>
    <w:rsid w:val="00C85551"/>
    <w:rsid w:val="00C9043C"/>
    <w:rsid w:val="00C91DA6"/>
    <w:rsid w:val="00C928F3"/>
    <w:rsid w:val="00C9339E"/>
    <w:rsid w:val="00C94AFA"/>
    <w:rsid w:val="00C9545D"/>
    <w:rsid w:val="00C9692A"/>
    <w:rsid w:val="00CA3D68"/>
    <w:rsid w:val="00CA41C2"/>
    <w:rsid w:val="00CA63B1"/>
    <w:rsid w:val="00CA7229"/>
    <w:rsid w:val="00CA77CD"/>
    <w:rsid w:val="00CB0611"/>
    <w:rsid w:val="00CB0CEF"/>
    <w:rsid w:val="00CB53A7"/>
    <w:rsid w:val="00CB5A51"/>
    <w:rsid w:val="00CB64AC"/>
    <w:rsid w:val="00CC06A9"/>
    <w:rsid w:val="00CC1625"/>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5563"/>
    <w:rsid w:val="00CF7205"/>
    <w:rsid w:val="00D007E0"/>
    <w:rsid w:val="00D00999"/>
    <w:rsid w:val="00D00C90"/>
    <w:rsid w:val="00D01F70"/>
    <w:rsid w:val="00D031A9"/>
    <w:rsid w:val="00D04AC9"/>
    <w:rsid w:val="00D06D25"/>
    <w:rsid w:val="00D06EE0"/>
    <w:rsid w:val="00D07FEA"/>
    <w:rsid w:val="00D10A5C"/>
    <w:rsid w:val="00D1140D"/>
    <w:rsid w:val="00D116AB"/>
    <w:rsid w:val="00D2020B"/>
    <w:rsid w:val="00D23940"/>
    <w:rsid w:val="00D2414B"/>
    <w:rsid w:val="00D24785"/>
    <w:rsid w:val="00D26D03"/>
    <w:rsid w:val="00D2734A"/>
    <w:rsid w:val="00D27BB8"/>
    <w:rsid w:val="00D309FA"/>
    <w:rsid w:val="00D33B85"/>
    <w:rsid w:val="00D35986"/>
    <w:rsid w:val="00D36C47"/>
    <w:rsid w:val="00D3789A"/>
    <w:rsid w:val="00D400D2"/>
    <w:rsid w:val="00D409A2"/>
    <w:rsid w:val="00D41E2D"/>
    <w:rsid w:val="00D42F30"/>
    <w:rsid w:val="00D43EE7"/>
    <w:rsid w:val="00D44E52"/>
    <w:rsid w:val="00D4558B"/>
    <w:rsid w:val="00D46D9A"/>
    <w:rsid w:val="00D4793C"/>
    <w:rsid w:val="00D52ECE"/>
    <w:rsid w:val="00D53308"/>
    <w:rsid w:val="00D54EB2"/>
    <w:rsid w:val="00D55BCD"/>
    <w:rsid w:val="00D561FD"/>
    <w:rsid w:val="00D56514"/>
    <w:rsid w:val="00D57F8F"/>
    <w:rsid w:val="00D6042D"/>
    <w:rsid w:val="00D610AA"/>
    <w:rsid w:val="00D65068"/>
    <w:rsid w:val="00D65FA1"/>
    <w:rsid w:val="00D7011A"/>
    <w:rsid w:val="00D72821"/>
    <w:rsid w:val="00D7291A"/>
    <w:rsid w:val="00D7312E"/>
    <w:rsid w:val="00D7343A"/>
    <w:rsid w:val="00D73B0B"/>
    <w:rsid w:val="00D745BB"/>
    <w:rsid w:val="00D83C17"/>
    <w:rsid w:val="00D8568B"/>
    <w:rsid w:val="00D85885"/>
    <w:rsid w:val="00D875C7"/>
    <w:rsid w:val="00D87652"/>
    <w:rsid w:val="00D91780"/>
    <w:rsid w:val="00D943F1"/>
    <w:rsid w:val="00D95C00"/>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1ABE"/>
    <w:rsid w:val="00DC26B5"/>
    <w:rsid w:val="00DC33E3"/>
    <w:rsid w:val="00DC3B0B"/>
    <w:rsid w:val="00DC3B64"/>
    <w:rsid w:val="00DC4D9C"/>
    <w:rsid w:val="00DC4E2D"/>
    <w:rsid w:val="00DC6AEA"/>
    <w:rsid w:val="00DC779D"/>
    <w:rsid w:val="00DD2C43"/>
    <w:rsid w:val="00DD672D"/>
    <w:rsid w:val="00DD6999"/>
    <w:rsid w:val="00DE3129"/>
    <w:rsid w:val="00DE33A5"/>
    <w:rsid w:val="00DE7185"/>
    <w:rsid w:val="00DE77B7"/>
    <w:rsid w:val="00DF27B2"/>
    <w:rsid w:val="00DF6136"/>
    <w:rsid w:val="00E010B9"/>
    <w:rsid w:val="00E01F9D"/>
    <w:rsid w:val="00E03246"/>
    <w:rsid w:val="00E03253"/>
    <w:rsid w:val="00E03C0E"/>
    <w:rsid w:val="00E122C7"/>
    <w:rsid w:val="00E12C50"/>
    <w:rsid w:val="00E12D1C"/>
    <w:rsid w:val="00E12FAB"/>
    <w:rsid w:val="00E1488D"/>
    <w:rsid w:val="00E14D24"/>
    <w:rsid w:val="00E1521C"/>
    <w:rsid w:val="00E15B5E"/>
    <w:rsid w:val="00E16D47"/>
    <w:rsid w:val="00E1705A"/>
    <w:rsid w:val="00E2461C"/>
    <w:rsid w:val="00E247C2"/>
    <w:rsid w:val="00E27F96"/>
    <w:rsid w:val="00E30E75"/>
    <w:rsid w:val="00E30F93"/>
    <w:rsid w:val="00E311E0"/>
    <w:rsid w:val="00E316A4"/>
    <w:rsid w:val="00E327D7"/>
    <w:rsid w:val="00E32DDF"/>
    <w:rsid w:val="00E345AE"/>
    <w:rsid w:val="00E3473A"/>
    <w:rsid w:val="00E35D09"/>
    <w:rsid w:val="00E42780"/>
    <w:rsid w:val="00E43ABE"/>
    <w:rsid w:val="00E445BD"/>
    <w:rsid w:val="00E449BA"/>
    <w:rsid w:val="00E45C03"/>
    <w:rsid w:val="00E503D5"/>
    <w:rsid w:val="00E509F5"/>
    <w:rsid w:val="00E5243D"/>
    <w:rsid w:val="00E527F8"/>
    <w:rsid w:val="00E531E8"/>
    <w:rsid w:val="00E54AB8"/>
    <w:rsid w:val="00E56C59"/>
    <w:rsid w:val="00E56E49"/>
    <w:rsid w:val="00E6095F"/>
    <w:rsid w:val="00E61F8B"/>
    <w:rsid w:val="00E6241E"/>
    <w:rsid w:val="00E62DEE"/>
    <w:rsid w:val="00E63879"/>
    <w:rsid w:val="00E64282"/>
    <w:rsid w:val="00E71231"/>
    <w:rsid w:val="00E727B7"/>
    <w:rsid w:val="00E730AA"/>
    <w:rsid w:val="00E73BC0"/>
    <w:rsid w:val="00E74685"/>
    <w:rsid w:val="00E76415"/>
    <w:rsid w:val="00E767B1"/>
    <w:rsid w:val="00E76F52"/>
    <w:rsid w:val="00E854B7"/>
    <w:rsid w:val="00E87D3E"/>
    <w:rsid w:val="00E92503"/>
    <w:rsid w:val="00E9564E"/>
    <w:rsid w:val="00E958BB"/>
    <w:rsid w:val="00E97547"/>
    <w:rsid w:val="00E977BA"/>
    <w:rsid w:val="00EA2ABB"/>
    <w:rsid w:val="00EA45AB"/>
    <w:rsid w:val="00EA6F76"/>
    <w:rsid w:val="00EB1A3B"/>
    <w:rsid w:val="00EB1B69"/>
    <w:rsid w:val="00EB21A5"/>
    <w:rsid w:val="00EB295D"/>
    <w:rsid w:val="00EB40DC"/>
    <w:rsid w:val="00EC1CD0"/>
    <w:rsid w:val="00EC3934"/>
    <w:rsid w:val="00EC393C"/>
    <w:rsid w:val="00EC39C8"/>
    <w:rsid w:val="00EC455A"/>
    <w:rsid w:val="00EC4BA6"/>
    <w:rsid w:val="00EC4F97"/>
    <w:rsid w:val="00EC5D48"/>
    <w:rsid w:val="00EC6983"/>
    <w:rsid w:val="00EC6F13"/>
    <w:rsid w:val="00EC7352"/>
    <w:rsid w:val="00ED3ABA"/>
    <w:rsid w:val="00ED64D3"/>
    <w:rsid w:val="00ED7B32"/>
    <w:rsid w:val="00EE107C"/>
    <w:rsid w:val="00EE1412"/>
    <w:rsid w:val="00EE23EF"/>
    <w:rsid w:val="00EE25CD"/>
    <w:rsid w:val="00EE2BE7"/>
    <w:rsid w:val="00EE3C47"/>
    <w:rsid w:val="00EE3E9C"/>
    <w:rsid w:val="00EE41A1"/>
    <w:rsid w:val="00EE7429"/>
    <w:rsid w:val="00EE777E"/>
    <w:rsid w:val="00EF0894"/>
    <w:rsid w:val="00EF13FE"/>
    <w:rsid w:val="00EF1797"/>
    <w:rsid w:val="00EF1B54"/>
    <w:rsid w:val="00EF1BA3"/>
    <w:rsid w:val="00EF329C"/>
    <w:rsid w:val="00EF3E01"/>
    <w:rsid w:val="00EF4C7C"/>
    <w:rsid w:val="00EF4E9A"/>
    <w:rsid w:val="00EF503F"/>
    <w:rsid w:val="00EF66AC"/>
    <w:rsid w:val="00F0299B"/>
    <w:rsid w:val="00F0329D"/>
    <w:rsid w:val="00F038B7"/>
    <w:rsid w:val="00F04044"/>
    <w:rsid w:val="00F045A1"/>
    <w:rsid w:val="00F046C8"/>
    <w:rsid w:val="00F10D54"/>
    <w:rsid w:val="00F12160"/>
    <w:rsid w:val="00F1279C"/>
    <w:rsid w:val="00F147C6"/>
    <w:rsid w:val="00F17F29"/>
    <w:rsid w:val="00F204A1"/>
    <w:rsid w:val="00F20B3F"/>
    <w:rsid w:val="00F20CAD"/>
    <w:rsid w:val="00F23591"/>
    <w:rsid w:val="00F251A9"/>
    <w:rsid w:val="00F25BAE"/>
    <w:rsid w:val="00F2706D"/>
    <w:rsid w:val="00F27C1E"/>
    <w:rsid w:val="00F32BDB"/>
    <w:rsid w:val="00F37CFE"/>
    <w:rsid w:val="00F41563"/>
    <w:rsid w:val="00F445F3"/>
    <w:rsid w:val="00F47D3F"/>
    <w:rsid w:val="00F56DBA"/>
    <w:rsid w:val="00F5720B"/>
    <w:rsid w:val="00F574EA"/>
    <w:rsid w:val="00F57504"/>
    <w:rsid w:val="00F6028B"/>
    <w:rsid w:val="00F60655"/>
    <w:rsid w:val="00F60C62"/>
    <w:rsid w:val="00F66361"/>
    <w:rsid w:val="00F67946"/>
    <w:rsid w:val="00F679CA"/>
    <w:rsid w:val="00F71B09"/>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1B"/>
    <w:rsid w:val="00F931D5"/>
    <w:rsid w:val="00F93ED4"/>
    <w:rsid w:val="00F95148"/>
    <w:rsid w:val="00F95464"/>
    <w:rsid w:val="00F97D82"/>
    <w:rsid w:val="00FA0EE3"/>
    <w:rsid w:val="00FA1C3F"/>
    <w:rsid w:val="00FA21B1"/>
    <w:rsid w:val="00FA2B03"/>
    <w:rsid w:val="00FA488E"/>
    <w:rsid w:val="00FA52C8"/>
    <w:rsid w:val="00FA5AE3"/>
    <w:rsid w:val="00FA73DD"/>
    <w:rsid w:val="00FB13C2"/>
    <w:rsid w:val="00FB160E"/>
    <w:rsid w:val="00FB1F4A"/>
    <w:rsid w:val="00FB471D"/>
    <w:rsid w:val="00FB52F9"/>
    <w:rsid w:val="00FB5396"/>
    <w:rsid w:val="00FB6B73"/>
    <w:rsid w:val="00FC34B2"/>
    <w:rsid w:val="00FC5AE0"/>
    <w:rsid w:val="00FC76C6"/>
    <w:rsid w:val="00FC7E40"/>
    <w:rsid w:val="00FD0544"/>
    <w:rsid w:val="00FD1976"/>
    <w:rsid w:val="00FD381D"/>
    <w:rsid w:val="00FD4D94"/>
    <w:rsid w:val="00FD5B5A"/>
    <w:rsid w:val="00FD5CA6"/>
    <w:rsid w:val="00FD6B60"/>
    <w:rsid w:val="00FD7591"/>
    <w:rsid w:val="00FD7935"/>
    <w:rsid w:val="00FD7DEA"/>
    <w:rsid w:val="00FE04EF"/>
    <w:rsid w:val="00FE2025"/>
    <w:rsid w:val="00FE3A9D"/>
    <w:rsid w:val="00FE3ADE"/>
    <w:rsid w:val="00FE49E3"/>
    <w:rsid w:val="00FE6CDD"/>
    <w:rsid w:val="00FE7168"/>
    <w:rsid w:val="00FE7E0D"/>
    <w:rsid w:val="00FE7E54"/>
    <w:rsid w:val="00FE7E79"/>
    <w:rsid w:val="00FF231A"/>
    <w:rsid w:val="00FF2938"/>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A32A03"/>
    <w:pPr>
      <w:tabs>
        <w:tab w:val="right" w:leader="dot" w:pos="8779"/>
      </w:tabs>
      <w:spacing w:after="100"/>
      <w:ind w:left="284" w:hanging="284"/>
    </w:pPr>
  </w:style>
  <w:style w:type="paragraph" w:styleId="TDC2">
    <w:name w:val="toc 2"/>
    <w:basedOn w:val="Normal"/>
    <w:next w:val="Normal"/>
    <w:autoRedefine/>
    <w:uiPriority w:val="39"/>
    <w:unhideWhenUsed/>
    <w:rsid w:val="00A62BD0"/>
    <w:pPr>
      <w:tabs>
        <w:tab w:val="right" w:leader="dot" w:pos="8779"/>
      </w:tabs>
      <w:spacing w:before="240" w:after="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FD5B5A"/>
    <w:pPr>
      <w:spacing w:after="100"/>
      <w:ind w:left="480"/>
    </w:pPr>
  </w:style>
  <w:style w:type="table" w:styleId="Tablanormal1">
    <w:name w:val="Plain Table 1"/>
    <w:basedOn w:val="Tablanormal"/>
    <w:uiPriority w:val="41"/>
    <w:rsid w:val="0096621A"/>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09842499">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15616948">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84947988">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2958350">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021619765">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5039-378D-4C47-8B4E-79B7F0A7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55</Pages>
  <Words>10338</Words>
  <Characters>56861</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2018-09-04T22:09:00Z</cp:lastPrinted>
  <dcterms:created xsi:type="dcterms:W3CDTF">2019-04-26T01:04:00Z</dcterms:created>
  <dcterms:modified xsi:type="dcterms:W3CDTF">2019-05-14T18:15:00Z</dcterms:modified>
</cp:coreProperties>
</file>