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Pr="00A01837" w:rsidRDefault="00A7130D" w:rsidP="00A01837">
      <w:pPr>
        <w:spacing w:line="360" w:lineRule="auto"/>
        <w:rPr>
          <w:rFonts w:ascii="Palatino Linotype" w:hAnsi="Palatino Linotype"/>
          <w:b/>
        </w:rPr>
      </w:pPr>
    </w:p>
    <w:p w14:paraId="41F8AB7B" w14:textId="7BD77010" w:rsidR="00152F29" w:rsidRPr="00A01837" w:rsidRDefault="00F95F7E" w:rsidP="00A01837">
      <w:pPr>
        <w:spacing w:line="360" w:lineRule="auto"/>
        <w:jc w:val="center"/>
        <w:rPr>
          <w:rFonts w:ascii="Palatino Linotype" w:hAnsi="Palatino Linotype"/>
          <w:b/>
        </w:rPr>
      </w:pPr>
      <w:r w:rsidRPr="00A01837">
        <w:rPr>
          <w:rFonts w:ascii="Palatino Linotype" w:hAnsi="Palatino Linotype"/>
          <w:b/>
        </w:rPr>
        <w:t>LÍNEAS ARGUMENTATIVAS.</w:t>
      </w:r>
    </w:p>
    <w:p w14:paraId="11716811" w14:textId="77777777" w:rsidR="005E0318" w:rsidRPr="00A01837" w:rsidRDefault="005E0318" w:rsidP="00A01837">
      <w:pPr>
        <w:spacing w:line="360" w:lineRule="auto"/>
        <w:jc w:val="center"/>
        <w:rPr>
          <w:rFonts w:ascii="Palatino Linotype" w:hAnsi="Palatino Linotype"/>
          <w:b/>
        </w:rPr>
      </w:pPr>
    </w:p>
    <w:p w14:paraId="40EE00EE" w14:textId="5FD81386" w:rsidR="00BE2A0C" w:rsidRPr="00A01837" w:rsidRDefault="00BE2A0C" w:rsidP="00A01837">
      <w:pPr>
        <w:spacing w:line="360" w:lineRule="auto"/>
        <w:jc w:val="both"/>
        <w:rPr>
          <w:rFonts w:ascii="Palatino Linotype" w:eastAsia="MS Mincho" w:hAnsi="Palatino Linotype" w:cs="Times New Roman"/>
        </w:rPr>
      </w:pPr>
      <w:r w:rsidRPr="00A01837">
        <w:rPr>
          <w:rFonts w:ascii="Palatino Linotype" w:eastAsia="MS Mincho" w:hAnsi="Palatino Linotype" w:cs="Times New Roman"/>
          <w:b/>
        </w:rPr>
        <w:t xml:space="preserve">DERECHO DE ACCESO A LA INFORMACIÓN PÚBLICA. </w:t>
      </w:r>
      <w:r w:rsidRPr="00A01837">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A01837" w:rsidRDefault="002F5CC5" w:rsidP="00A01837">
      <w:pPr>
        <w:spacing w:line="360" w:lineRule="auto"/>
        <w:jc w:val="both"/>
        <w:rPr>
          <w:rFonts w:ascii="Palatino Linotype" w:eastAsia="MS Mincho" w:hAnsi="Palatino Linotype" w:cs="Times New Roman"/>
        </w:rPr>
      </w:pPr>
    </w:p>
    <w:p w14:paraId="6388BBDB" w14:textId="61314B80" w:rsidR="00C57929" w:rsidRPr="00A01837" w:rsidRDefault="00C57929" w:rsidP="00A01837">
      <w:pPr>
        <w:spacing w:line="360" w:lineRule="auto"/>
        <w:jc w:val="both"/>
        <w:rPr>
          <w:rFonts w:ascii="Palatino Linotype" w:eastAsia="Arial Unicode MS" w:hAnsi="Palatino Linotype" w:cs="Arial"/>
        </w:rPr>
      </w:pPr>
      <w:r w:rsidRPr="00A01837">
        <w:rPr>
          <w:rFonts w:ascii="Palatino Linotype" w:eastAsia="Arial Unicode MS" w:hAnsi="Palatino Linotype" w:cs="Arial"/>
          <w:b/>
        </w:rPr>
        <w:t>DEBERES DE LAS AUTORIDADES</w:t>
      </w:r>
      <w:r w:rsidRPr="00A01837">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A01837" w:rsidRDefault="002F5CC5" w:rsidP="00A01837">
      <w:pPr>
        <w:spacing w:line="360" w:lineRule="auto"/>
        <w:jc w:val="both"/>
        <w:rPr>
          <w:rFonts w:ascii="Palatino Linotype" w:eastAsia="Arial Unicode MS" w:hAnsi="Palatino Linotype" w:cs="Arial"/>
        </w:rPr>
      </w:pPr>
    </w:p>
    <w:p w14:paraId="0F9BAD22" w14:textId="43C922C3" w:rsidR="00C57929" w:rsidRPr="00A01837" w:rsidRDefault="00C57929" w:rsidP="00A01837">
      <w:pPr>
        <w:spacing w:line="360" w:lineRule="auto"/>
        <w:jc w:val="both"/>
        <w:rPr>
          <w:rFonts w:ascii="Palatino Linotype" w:eastAsia="Calibri" w:hAnsi="Palatino Linotype" w:cs="Times New Roman"/>
        </w:rPr>
      </w:pPr>
      <w:r w:rsidRPr="00A01837">
        <w:rPr>
          <w:rFonts w:ascii="Palatino Linotype" w:eastAsia="Calibri" w:hAnsi="Palatino Linotype" w:cs="Times New Roman"/>
          <w:b/>
        </w:rPr>
        <w:t>DE LA GARANTÍA DE PROPORCIONAR LA INFORMACIÓN PÚBLICA GUBERNAMENTAL.</w:t>
      </w:r>
      <w:r w:rsidRPr="00A0183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1647718D" w:rsidR="00044C3F" w:rsidRPr="00A01837" w:rsidRDefault="00BE2A0C" w:rsidP="00A01837">
      <w:pPr>
        <w:spacing w:line="360" w:lineRule="auto"/>
        <w:contextualSpacing/>
        <w:jc w:val="both"/>
        <w:rPr>
          <w:rFonts w:ascii="Palatino Linotype" w:eastAsia="Times New Roman" w:hAnsi="Palatino Linotype"/>
        </w:rPr>
      </w:pPr>
      <w:r w:rsidRPr="00A01837">
        <w:rPr>
          <w:rFonts w:ascii="Palatino Linotype" w:eastAsia="Times New Roman" w:hAnsi="Palatino Linotype"/>
          <w:noProof/>
          <w:lang w:val="es-MX" w:eastAsia="es-MX"/>
        </w:rPr>
        <mc:AlternateContent>
          <mc:Choice Requires="wps">
            <w:drawing>
              <wp:anchor distT="0" distB="0" distL="114300" distR="114300" simplePos="0" relativeHeight="251688960" behindDoc="0" locked="0" layoutInCell="1" allowOverlap="1" wp14:anchorId="727A0135" wp14:editId="19D56EC3">
                <wp:simplePos x="0" y="0"/>
                <wp:positionH relativeFrom="margin">
                  <wp:align>right</wp:align>
                </wp:positionH>
                <wp:positionV relativeFrom="paragraph">
                  <wp:posOffset>77085</wp:posOffset>
                </wp:positionV>
                <wp:extent cx="5522400" cy="2030400"/>
                <wp:effectExtent l="57150" t="38100" r="59690" b="84455"/>
                <wp:wrapNone/>
                <wp:docPr id="28" name="Conector recto 28"/>
                <wp:cNvGraphicFramePr/>
                <a:graphic xmlns:a="http://schemas.openxmlformats.org/drawingml/2006/main">
                  <a:graphicData uri="http://schemas.microsoft.com/office/word/2010/wordprocessingShape">
                    <wps:wsp>
                      <wps:cNvCnPr/>
                      <wps:spPr>
                        <a:xfrm>
                          <a:off x="0" y="0"/>
                          <a:ext cx="5522400" cy="20304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7AFA1" id="Conector recto 28" o:spid="_x0000_s1026" style="position:absolute;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65pt,6.05pt" to="818.5pt,1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" strokecolor="#4f81bd [3204]" strokeweight="3pt">
                <v:shadow on="t" color="black" opacity="24903f" origin=",.5" offset="0,.55556mm"/>
                <w10:wrap anchorx="margin"/>
              </v:line>
            </w:pict>
          </mc:Fallback>
        </mc:AlternateContent>
      </w:r>
    </w:p>
    <w:p w14:paraId="624DAC65" w14:textId="77777777" w:rsidR="00C57929" w:rsidRPr="00A01837" w:rsidRDefault="00C57929" w:rsidP="00A01837">
      <w:pPr>
        <w:spacing w:line="360" w:lineRule="auto"/>
        <w:contextualSpacing/>
        <w:jc w:val="both"/>
        <w:rPr>
          <w:rFonts w:ascii="Palatino Linotype" w:eastAsia="Times New Roman" w:hAnsi="Palatino Linotype"/>
        </w:rPr>
      </w:pPr>
    </w:p>
    <w:p w14:paraId="166AE7C8" w14:textId="77777777" w:rsidR="00183E00" w:rsidRPr="00A01837" w:rsidRDefault="00183E00" w:rsidP="00A01837">
      <w:pPr>
        <w:spacing w:line="360" w:lineRule="auto"/>
        <w:contextualSpacing/>
        <w:jc w:val="both"/>
        <w:rPr>
          <w:rFonts w:ascii="Palatino Linotype" w:eastAsia="Times New Roman" w:hAnsi="Palatino Linotype"/>
        </w:rPr>
      </w:pPr>
    </w:p>
    <w:p w14:paraId="1E4AB315" w14:textId="77777777" w:rsidR="00183E00" w:rsidRPr="00A01837" w:rsidRDefault="00183E00" w:rsidP="00A01837">
      <w:pPr>
        <w:spacing w:line="360" w:lineRule="auto"/>
        <w:contextualSpacing/>
        <w:jc w:val="both"/>
        <w:rPr>
          <w:rFonts w:ascii="Palatino Linotype" w:eastAsia="Times New Roman" w:hAnsi="Palatino Linotype"/>
        </w:rPr>
      </w:pPr>
    </w:p>
    <w:p w14:paraId="65895935" w14:textId="77777777" w:rsidR="00FF11E8" w:rsidRPr="00A01837" w:rsidRDefault="00FF11E8" w:rsidP="00A01837">
      <w:pPr>
        <w:spacing w:line="360" w:lineRule="auto"/>
        <w:rPr>
          <w:rFonts w:ascii="Palatino Linotype" w:eastAsia="Times New Roman" w:hAnsi="Palatino Linotype"/>
        </w:rPr>
      </w:pPr>
    </w:p>
    <w:p w14:paraId="3CB78087" w14:textId="77777777" w:rsidR="00BE2A0C" w:rsidRPr="00A01837" w:rsidRDefault="00BE2A0C" w:rsidP="00A01837">
      <w:pPr>
        <w:spacing w:line="360" w:lineRule="auto"/>
        <w:rPr>
          <w:rFonts w:ascii="Palatino Linotype" w:eastAsia="Times New Roman" w:hAnsi="Palatino Linotype" w:cs="Times New Roman"/>
          <w:b/>
          <w:u w:val="single"/>
        </w:rPr>
      </w:pPr>
    </w:p>
    <w:p w14:paraId="31137936" w14:textId="302D1D0F" w:rsidR="00BC61B2" w:rsidRPr="00A01837" w:rsidRDefault="00A20B1F" w:rsidP="00A01837">
      <w:pPr>
        <w:spacing w:line="360" w:lineRule="auto"/>
        <w:jc w:val="center"/>
        <w:rPr>
          <w:rFonts w:ascii="Palatino Linotype" w:eastAsia="Times New Roman" w:hAnsi="Palatino Linotype" w:cs="Times New Roman"/>
          <w:b/>
          <w:sz w:val="22"/>
        </w:rPr>
      </w:pPr>
      <w:r w:rsidRPr="00A01837">
        <w:rPr>
          <w:rFonts w:ascii="Palatino Linotype" w:eastAsia="Times New Roman" w:hAnsi="Palatino Linotype" w:cs="Times New Roman"/>
          <w:b/>
          <w:sz w:val="22"/>
        </w:rPr>
        <w:t>ÍNDICE</w:t>
      </w:r>
    </w:p>
    <w:sdt>
      <w:sdtPr>
        <w:rPr>
          <w:rFonts w:asciiTheme="minorHAnsi" w:eastAsiaTheme="minorEastAsia" w:hAnsiTheme="minorHAnsi" w:cstheme="minorBidi"/>
          <w:sz w:val="22"/>
          <w:szCs w:val="24"/>
          <w:lang w:val="es-ES" w:eastAsia="es-ES"/>
        </w:rPr>
        <w:id w:val="-1245946457"/>
        <w:docPartObj>
          <w:docPartGallery w:val="Table of Contents"/>
          <w:docPartUnique/>
        </w:docPartObj>
      </w:sdtPr>
      <w:sdtEndPr>
        <w:rPr>
          <w:b/>
          <w:bCs/>
          <w:sz w:val="24"/>
        </w:rPr>
      </w:sdtEndPr>
      <w:sdtContent>
        <w:p w14:paraId="79CB4F2F" w14:textId="263F0817" w:rsidR="00DA7E2F" w:rsidRPr="00A01837" w:rsidRDefault="00DA7E2F" w:rsidP="00A01837">
          <w:pPr>
            <w:pStyle w:val="TtulodeTDC"/>
            <w:spacing w:before="0" w:line="360" w:lineRule="auto"/>
            <w:rPr>
              <w:sz w:val="22"/>
              <w:szCs w:val="24"/>
            </w:rPr>
          </w:pPr>
        </w:p>
        <w:p w14:paraId="184D626A" w14:textId="1DF7488D" w:rsidR="00A97C63" w:rsidRPr="00A01837" w:rsidRDefault="00DA7E2F" w:rsidP="00A01837">
          <w:pPr>
            <w:pStyle w:val="TDC1"/>
            <w:spacing w:after="0" w:line="360" w:lineRule="auto"/>
            <w:rPr>
              <w:rFonts w:ascii="Palatino Linotype" w:hAnsi="Palatino Linotype"/>
              <w:noProof/>
              <w:sz w:val="22"/>
              <w:lang w:val="es-MX" w:eastAsia="es-MX"/>
            </w:rPr>
          </w:pPr>
          <w:r w:rsidRPr="00A01837">
            <w:rPr>
              <w:rFonts w:ascii="Palatino Linotype" w:hAnsi="Palatino Linotype"/>
              <w:sz w:val="22"/>
            </w:rPr>
            <w:fldChar w:fldCharType="begin"/>
          </w:r>
          <w:r w:rsidRPr="00A01837">
            <w:rPr>
              <w:rFonts w:ascii="Palatino Linotype" w:hAnsi="Palatino Linotype"/>
              <w:sz w:val="22"/>
            </w:rPr>
            <w:instrText xml:space="preserve"> TOC \o "1-3" \h \z \u </w:instrText>
          </w:r>
          <w:r w:rsidRPr="00A01837">
            <w:rPr>
              <w:rFonts w:ascii="Palatino Linotype" w:hAnsi="Palatino Linotype"/>
              <w:sz w:val="22"/>
            </w:rPr>
            <w:fldChar w:fldCharType="separate"/>
          </w:r>
          <w:hyperlink w:anchor="_Toc21026212" w:history="1">
            <w:r w:rsidR="00A97C63" w:rsidRPr="00A01837">
              <w:rPr>
                <w:rStyle w:val="Hipervnculo"/>
                <w:rFonts w:ascii="Palatino Linotype" w:hAnsi="Palatino Linotype"/>
                <w:b/>
                <w:noProof/>
                <w:sz w:val="22"/>
              </w:rPr>
              <w:t>ANTECEDENTES</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_Toc21026212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3</w:t>
            </w:r>
            <w:r w:rsidR="00A97C63" w:rsidRPr="00A01837">
              <w:rPr>
                <w:rFonts w:ascii="Palatino Linotype" w:hAnsi="Palatino Linotype"/>
                <w:noProof/>
                <w:webHidden/>
                <w:sz w:val="22"/>
              </w:rPr>
              <w:fldChar w:fldCharType="end"/>
            </w:r>
          </w:hyperlink>
        </w:p>
        <w:p w14:paraId="6BC52BC9" w14:textId="06BB3CE1"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13" w:history="1">
            <w:r w:rsidR="00A97C63" w:rsidRPr="00A01837">
              <w:rPr>
                <w:rStyle w:val="Hipervnculo"/>
                <w:rFonts w:ascii="Palatino Linotype" w:hAnsi="Palatino Linotype"/>
                <w:b/>
                <w:noProof/>
                <w:sz w:val="22"/>
              </w:rPr>
              <w:t>CONSIDERANDO</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_Toc21026213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7</w:t>
            </w:r>
            <w:r w:rsidR="00A97C63" w:rsidRPr="00A01837">
              <w:rPr>
                <w:rFonts w:ascii="Palatino Linotype" w:hAnsi="Palatino Linotype"/>
                <w:noProof/>
                <w:webHidden/>
                <w:sz w:val="22"/>
              </w:rPr>
              <w:fldChar w:fldCharType="end"/>
            </w:r>
          </w:hyperlink>
        </w:p>
        <w:p w14:paraId="062DAF77" w14:textId="3602CC38" w:rsidR="00A97C63" w:rsidRPr="00A01837" w:rsidRDefault="00DC6084" w:rsidP="00A01837">
          <w:pPr>
            <w:pStyle w:val="TDC2"/>
            <w:rPr>
              <w:rFonts w:ascii="Palatino Linotype" w:hAnsi="Palatino Linotype"/>
              <w:noProof/>
              <w:sz w:val="22"/>
              <w:lang w:val="es-MX" w:eastAsia="es-MX"/>
            </w:rPr>
          </w:pPr>
          <w:hyperlink w:anchor="_Toc21026214" w:history="1">
            <w:r w:rsidR="00A97C63" w:rsidRPr="00A01837">
              <w:rPr>
                <w:rStyle w:val="Hipervnculo"/>
                <w:rFonts w:ascii="Palatino Linotype" w:hAnsi="Palatino Linotype"/>
                <w:b/>
                <w:noProof/>
                <w:sz w:val="22"/>
              </w:rPr>
              <w:t>PRIMERO. De la competencia.</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_Toc21026214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7</w:t>
            </w:r>
            <w:r w:rsidR="00A97C63" w:rsidRPr="00A01837">
              <w:rPr>
                <w:rFonts w:ascii="Palatino Linotype" w:hAnsi="Palatino Linotype"/>
                <w:noProof/>
                <w:webHidden/>
                <w:sz w:val="22"/>
              </w:rPr>
              <w:fldChar w:fldCharType="end"/>
            </w:r>
          </w:hyperlink>
        </w:p>
        <w:p w14:paraId="21B11C02" w14:textId="4477D812" w:rsidR="00A97C63" w:rsidRPr="00A01837" w:rsidRDefault="00DC6084" w:rsidP="00A01837">
          <w:pPr>
            <w:pStyle w:val="TDC2"/>
            <w:rPr>
              <w:rFonts w:ascii="Palatino Linotype" w:hAnsi="Palatino Linotype"/>
              <w:noProof/>
              <w:sz w:val="22"/>
              <w:lang w:val="es-MX" w:eastAsia="es-MX"/>
            </w:rPr>
          </w:pPr>
          <w:hyperlink w:anchor="_Toc21026215" w:history="1">
            <w:r w:rsidR="00A97C63" w:rsidRPr="00A01837">
              <w:rPr>
                <w:rStyle w:val="Hipervnculo"/>
                <w:rFonts w:ascii="Palatino Linotype" w:hAnsi="Palatino Linotype"/>
                <w:b/>
                <w:noProof/>
                <w:sz w:val="22"/>
              </w:rPr>
              <w:t>SEGUNDO. De la oportunidad y procedencia.</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_Toc21026215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7</w:t>
            </w:r>
            <w:r w:rsidR="00A97C63" w:rsidRPr="00A01837">
              <w:rPr>
                <w:rFonts w:ascii="Palatino Linotype" w:hAnsi="Palatino Linotype"/>
                <w:noProof/>
                <w:webHidden/>
                <w:sz w:val="22"/>
              </w:rPr>
              <w:fldChar w:fldCharType="end"/>
            </w:r>
          </w:hyperlink>
        </w:p>
        <w:p w14:paraId="228C3FE9" w14:textId="397845B3" w:rsidR="00A97C63" w:rsidRPr="00A01837" w:rsidRDefault="00DC6084" w:rsidP="00A01837">
          <w:pPr>
            <w:pStyle w:val="TDC2"/>
            <w:rPr>
              <w:rFonts w:ascii="Palatino Linotype" w:hAnsi="Palatino Linotype"/>
              <w:noProof/>
              <w:sz w:val="22"/>
              <w:lang w:val="es-MX" w:eastAsia="es-MX"/>
            </w:rPr>
          </w:pPr>
          <w:hyperlink w:anchor="_Toc21026216" w:history="1">
            <w:r w:rsidR="00A97C63" w:rsidRPr="00A01837">
              <w:rPr>
                <w:rStyle w:val="Hipervnculo"/>
                <w:rFonts w:ascii="Palatino Linotype" w:eastAsia="MS Gothic" w:hAnsi="Palatino Linotype" w:cs="Times New Roman"/>
                <w:b/>
                <w:noProof/>
                <w:sz w:val="22"/>
              </w:rPr>
              <w:t>TERCERO. Del planteamiento de la Litis.</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_Toc21026216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9</w:t>
            </w:r>
            <w:r w:rsidR="00A97C63" w:rsidRPr="00A01837">
              <w:rPr>
                <w:rFonts w:ascii="Palatino Linotype" w:hAnsi="Palatino Linotype"/>
                <w:noProof/>
                <w:webHidden/>
                <w:sz w:val="22"/>
              </w:rPr>
              <w:fldChar w:fldCharType="end"/>
            </w:r>
          </w:hyperlink>
        </w:p>
        <w:p w14:paraId="797C968C" w14:textId="065A665E" w:rsidR="00A97C63" w:rsidRPr="00A01837" w:rsidRDefault="00DC6084" w:rsidP="00A01837">
          <w:pPr>
            <w:pStyle w:val="TDC2"/>
            <w:rPr>
              <w:rFonts w:ascii="Palatino Linotype" w:hAnsi="Palatino Linotype"/>
              <w:noProof/>
              <w:sz w:val="22"/>
              <w:lang w:val="es-MX" w:eastAsia="es-MX"/>
            </w:rPr>
          </w:pPr>
          <w:hyperlink w:anchor="_Toc21026217" w:history="1">
            <w:r w:rsidR="00A97C63" w:rsidRPr="00A01837">
              <w:rPr>
                <w:rStyle w:val="Hipervnculo"/>
                <w:rFonts w:ascii="Palatino Linotype" w:eastAsia="MS Gothic" w:hAnsi="Palatino Linotype" w:cs="Times New Roman"/>
                <w:b/>
                <w:noProof/>
                <w:sz w:val="22"/>
              </w:rPr>
              <w:t>CUARTO. Del estudio y resolución del asunto.</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_Toc21026217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11</w:t>
            </w:r>
            <w:r w:rsidR="00A97C63" w:rsidRPr="00A01837">
              <w:rPr>
                <w:rFonts w:ascii="Palatino Linotype" w:hAnsi="Palatino Linotype"/>
                <w:noProof/>
                <w:webHidden/>
                <w:sz w:val="22"/>
              </w:rPr>
              <w:fldChar w:fldCharType="end"/>
            </w:r>
          </w:hyperlink>
        </w:p>
        <w:p w14:paraId="3BA86EF2" w14:textId="2E0C5F16" w:rsidR="00A97C63" w:rsidRPr="00A01837" w:rsidRDefault="00DC6084" w:rsidP="00A01837">
          <w:pPr>
            <w:pStyle w:val="TDC2"/>
            <w:rPr>
              <w:rFonts w:ascii="Palatino Linotype" w:hAnsi="Palatino Linotype"/>
              <w:noProof/>
              <w:sz w:val="22"/>
              <w:lang w:val="es-MX" w:eastAsia="es-MX"/>
            </w:rPr>
          </w:pPr>
          <w:hyperlink w:anchor="_Toc21026218" w:history="1">
            <w:r w:rsidR="00A97C63" w:rsidRPr="00A01837">
              <w:rPr>
                <w:rStyle w:val="Hipervnculo"/>
                <w:rFonts w:ascii="Palatino Linotype" w:eastAsia="MS Mincho" w:hAnsi="Palatino Linotype" w:cs="Times New Roman"/>
                <w:b/>
                <w:noProof/>
                <w:sz w:val="22"/>
              </w:rPr>
              <w:t>I.</w:t>
            </w:r>
            <w:r w:rsidR="00A97C63" w:rsidRPr="00A01837">
              <w:rPr>
                <w:rFonts w:ascii="Palatino Linotype" w:hAnsi="Palatino Linotype"/>
                <w:noProof/>
                <w:sz w:val="22"/>
                <w:lang w:val="es-MX" w:eastAsia="es-MX"/>
              </w:rPr>
              <w:tab/>
            </w:r>
            <w:r w:rsidR="00A97C63" w:rsidRPr="00A01837">
              <w:rPr>
                <w:rStyle w:val="Hipervnculo"/>
                <w:rFonts w:ascii="Palatino Linotype" w:eastAsia="MS Mincho" w:hAnsi="Palatino Linotype" w:cs="Times New Roman"/>
                <w:b/>
                <w:noProof/>
                <w:sz w:val="22"/>
              </w:rPr>
              <w:t>De la Fuente de Obligaciones.</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_Toc21026218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12</w:t>
            </w:r>
            <w:r w:rsidR="00A97C63" w:rsidRPr="00A01837">
              <w:rPr>
                <w:rFonts w:ascii="Palatino Linotype" w:hAnsi="Palatino Linotype"/>
                <w:noProof/>
                <w:webHidden/>
                <w:sz w:val="22"/>
              </w:rPr>
              <w:fldChar w:fldCharType="end"/>
            </w:r>
          </w:hyperlink>
        </w:p>
        <w:p w14:paraId="47B51DF1" w14:textId="680790D1" w:rsidR="00A97C63" w:rsidRPr="00A01837" w:rsidRDefault="00DC6084" w:rsidP="00A01837">
          <w:pPr>
            <w:pStyle w:val="TDC2"/>
            <w:rPr>
              <w:rFonts w:ascii="Palatino Linotype" w:hAnsi="Palatino Linotype"/>
              <w:noProof/>
              <w:sz w:val="22"/>
              <w:lang w:val="es-MX" w:eastAsia="es-MX"/>
            </w:rPr>
          </w:pPr>
          <w:hyperlink w:anchor="_Toc21026219" w:history="1">
            <w:r w:rsidR="00A97C63" w:rsidRPr="00A01837">
              <w:rPr>
                <w:rStyle w:val="Hipervnculo"/>
                <w:rFonts w:ascii="Palatino Linotype" w:eastAsia="MS Mincho" w:hAnsi="Palatino Linotype" w:cs="Times New Roman"/>
                <w:b/>
                <w:bCs/>
                <w:noProof/>
                <w:sz w:val="22"/>
              </w:rPr>
              <w:t>a)</w:t>
            </w:r>
            <w:r w:rsidR="00A97C63" w:rsidRPr="00A01837">
              <w:rPr>
                <w:rFonts w:ascii="Palatino Linotype" w:hAnsi="Palatino Linotype"/>
                <w:noProof/>
                <w:sz w:val="22"/>
                <w:lang w:val="es-MX" w:eastAsia="es-MX"/>
              </w:rPr>
              <w:tab/>
            </w:r>
            <w:r w:rsidR="00A97C63" w:rsidRPr="00A01837">
              <w:rPr>
                <w:rStyle w:val="Hipervnculo"/>
                <w:rFonts w:ascii="Palatino Linotype" w:eastAsia="MS Mincho" w:hAnsi="Palatino Linotype" w:cs="Times New Roman"/>
                <w:b/>
                <w:noProof/>
                <w:sz w:val="22"/>
              </w:rPr>
              <w:t>De las obligaciones de Transparencia.</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_Toc21026219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12</w:t>
            </w:r>
            <w:r w:rsidR="00A97C63" w:rsidRPr="00A01837">
              <w:rPr>
                <w:rFonts w:ascii="Palatino Linotype" w:hAnsi="Palatino Linotype"/>
                <w:noProof/>
                <w:webHidden/>
                <w:sz w:val="22"/>
              </w:rPr>
              <w:fldChar w:fldCharType="end"/>
            </w:r>
          </w:hyperlink>
        </w:p>
        <w:p w14:paraId="0A4A9333" w14:textId="4AD962D4"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0" w:history="1">
            <w:r w:rsidR="00A97C63" w:rsidRPr="00A01837">
              <w:rPr>
                <w:rStyle w:val="Hipervnculo"/>
                <w:rFonts w:ascii="Palatino Linotype" w:hAnsi="Palatino Linotype"/>
                <w:b/>
                <w:noProof/>
                <w:sz w:val="22"/>
              </w:rPr>
              <w:t>II.</w:t>
            </w:r>
            <w:r w:rsidR="00A97C63" w:rsidRPr="00A01837">
              <w:rPr>
                <w:rFonts w:ascii="Palatino Linotype" w:hAnsi="Palatino Linotype"/>
                <w:noProof/>
                <w:sz w:val="22"/>
                <w:lang w:val="es-MX" w:eastAsia="es-MX"/>
              </w:rPr>
              <w:tab/>
            </w:r>
            <w:r w:rsidR="00A97C63" w:rsidRPr="00A01837">
              <w:rPr>
                <w:rStyle w:val="Hipervnculo"/>
                <w:rFonts w:ascii="Palatino Linotype" w:hAnsi="Palatino Linotype"/>
                <w:b/>
                <w:noProof/>
                <w:sz w:val="22"/>
              </w:rPr>
              <w:t>De lo solicitado por el particular y la respuesta del Sujeto Obligado.</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_Toc21026220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14</w:t>
            </w:r>
            <w:r w:rsidR="00A97C63" w:rsidRPr="00A01837">
              <w:rPr>
                <w:rFonts w:ascii="Palatino Linotype" w:hAnsi="Palatino Linotype"/>
                <w:noProof/>
                <w:webHidden/>
                <w:sz w:val="22"/>
              </w:rPr>
              <w:fldChar w:fldCharType="end"/>
            </w:r>
          </w:hyperlink>
        </w:p>
        <w:p w14:paraId="69FDCD89" w14:textId="3D888503"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1" w:history="1">
            <w:r w:rsidR="00A97C63" w:rsidRPr="00A01837">
              <w:rPr>
                <w:rStyle w:val="Hipervnculo"/>
                <w:rFonts w:ascii="Palatino Linotype" w:hAnsi="Palatino Linotype"/>
                <w:b/>
                <w:noProof/>
                <w:sz w:val="22"/>
              </w:rPr>
              <w:t>a)</w:t>
            </w:r>
            <w:r w:rsidR="00A97C63" w:rsidRPr="00A01837">
              <w:rPr>
                <w:rFonts w:ascii="Palatino Linotype" w:hAnsi="Palatino Linotype"/>
                <w:noProof/>
                <w:sz w:val="22"/>
                <w:lang w:val="es-MX" w:eastAsia="es-MX"/>
              </w:rPr>
              <w:tab/>
            </w:r>
            <w:r w:rsidR="00A97C63" w:rsidRPr="00A01837">
              <w:rPr>
                <w:rStyle w:val="Hipervnculo"/>
                <w:rFonts w:ascii="Palatino Linotype" w:hAnsi="Palatino Linotype"/>
                <w:b/>
                <w:noProof/>
                <w:sz w:val="22"/>
              </w:rPr>
              <w:t>De la suplencia a las inconsistencias de la solicitud planteada.</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_Toc21026221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15</w:t>
            </w:r>
            <w:r w:rsidR="00A97C63" w:rsidRPr="00A01837">
              <w:rPr>
                <w:rFonts w:ascii="Palatino Linotype" w:hAnsi="Palatino Linotype"/>
                <w:noProof/>
                <w:webHidden/>
                <w:sz w:val="22"/>
              </w:rPr>
              <w:fldChar w:fldCharType="end"/>
            </w:r>
          </w:hyperlink>
        </w:p>
        <w:p w14:paraId="48C301F2" w14:textId="5F5D109A"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2" w:history="1">
            <w:r w:rsidR="00A97C63" w:rsidRPr="00A01837">
              <w:rPr>
                <w:rStyle w:val="Hipervnculo"/>
                <w:rFonts w:ascii="Palatino Linotype" w:hAnsi="Palatino Linotype"/>
                <w:b/>
                <w:noProof/>
                <w:sz w:val="22"/>
              </w:rPr>
              <w:t>b)</w:t>
            </w:r>
            <w:r w:rsidR="00A97C63" w:rsidRPr="00A01837">
              <w:rPr>
                <w:rFonts w:ascii="Palatino Linotype" w:hAnsi="Palatino Linotype"/>
                <w:noProof/>
                <w:sz w:val="22"/>
                <w:lang w:val="es-MX" w:eastAsia="es-MX"/>
              </w:rPr>
              <w:tab/>
            </w:r>
            <w:r w:rsidR="00A97C63" w:rsidRPr="00A01837">
              <w:rPr>
                <w:rStyle w:val="Hipervnculo"/>
                <w:rFonts w:ascii="Palatino Linotype" w:hAnsi="Palatino Linotype"/>
                <w:b/>
                <w:noProof/>
                <w:sz w:val="22"/>
              </w:rPr>
              <w:t>De los programas en materia de Seguridad Pública que otorga el Secretariado Ejecutivo del Sistema Nacional de Seguridad Pública.</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_Toc21026222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17</w:t>
            </w:r>
            <w:r w:rsidR="00A97C63" w:rsidRPr="00A01837">
              <w:rPr>
                <w:rFonts w:ascii="Palatino Linotype" w:hAnsi="Palatino Linotype"/>
                <w:noProof/>
                <w:webHidden/>
                <w:sz w:val="22"/>
              </w:rPr>
              <w:fldChar w:fldCharType="end"/>
            </w:r>
          </w:hyperlink>
        </w:p>
        <w:p w14:paraId="7C2E8072" w14:textId="24FC3779"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3" w:history="1">
            <w:r w:rsidR="00A97C63" w:rsidRPr="00A01837">
              <w:rPr>
                <w:rStyle w:val="Hipervnculo"/>
                <w:rFonts w:ascii="Palatino Linotype" w:hAnsi="Palatino Linotype"/>
                <w:b/>
                <w:noProof/>
                <w:sz w:val="22"/>
              </w:rPr>
              <w:t>c)</w:t>
            </w:r>
            <w:r w:rsidR="00A97C63" w:rsidRPr="00A01837">
              <w:rPr>
                <w:rFonts w:ascii="Palatino Linotype" w:hAnsi="Palatino Linotype"/>
                <w:noProof/>
                <w:sz w:val="22"/>
                <w:lang w:val="es-MX" w:eastAsia="es-MX"/>
              </w:rPr>
              <w:tab/>
            </w:r>
            <w:r w:rsidR="00A97C63" w:rsidRPr="00A01837">
              <w:rPr>
                <w:rStyle w:val="Hipervnculo"/>
                <w:rFonts w:ascii="Palatino Linotype" w:hAnsi="Palatino Linotype"/>
                <w:b/>
                <w:noProof/>
                <w:sz w:val="22"/>
              </w:rPr>
              <w:t>Del Fondo de Aportaciones para la Seguridad Pública de los Estados y del Distrito Federal (FASP)</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_Toc21026223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18</w:t>
            </w:r>
            <w:r w:rsidR="00A97C63" w:rsidRPr="00A01837">
              <w:rPr>
                <w:rFonts w:ascii="Palatino Linotype" w:hAnsi="Palatino Linotype"/>
                <w:noProof/>
                <w:webHidden/>
                <w:sz w:val="22"/>
              </w:rPr>
              <w:fldChar w:fldCharType="end"/>
            </w:r>
          </w:hyperlink>
        </w:p>
        <w:p w14:paraId="1F0285F5" w14:textId="07FC3F7B"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4" w:history="1">
            <w:r w:rsidR="00A97C63" w:rsidRPr="00A01837">
              <w:rPr>
                <w:rStyle w:val="Hipervnculo"/>
                <w:rFonts w:ascii="Palatino Linotype" w:hAnsi="Palatino Linotype"/>
                <w:b/>
                <w:noProof/>
                <w:sz w:val="22"/>
              </w:rPr>
              <w:t>d)</w:t>
            </w:r>
            <w:r w:rsidR="00A97C63" w:rsidRPr="00A01837">
              <w:rPr>
                <w:rFonts w:ascii="Palatino Linotype" w:hAnsi="Palatino Linotype"/>
                <w:noProof/>
                <w:sz w:val="22"/>
                <w:lang w:val="es-MX" w:eastAsia="es-MX"/>
              </w:rPr>
              <w:tab/>
            </w:r>
            <w:r w:rsidR="00A97C63" w:rsidRPr="00A01837">
              <w:rPr>
                <w:rStyle w:val="Hipervnculo"/>
                <w:rFonts w:ascii="Palatino Linotype" w:hAnsi="Palatino Linotype"/>
                <w:b/>
                <w:noProof/>
                <w:sz w:val="22"/>
              </w:rPr>
              <w:t>Del Programa de Fortalecimiento para la Seguridad (FORTASEG).</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_Toc21026224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21</w:t>
            </w:r>
            <w:r w:rsidR="00A97C63" w:rsidRPr="00A01837">
              <w:rPr>
                <w:rFonts w:ascii="Palatino Linotype" w:hAnsi="Palatino Linotype"/>
                <w:noProof/>
                <w:webHidden/>
                <w:sz w:val="22"/>
              </w:rPr>
              <w:fldChar w:fldCharType="end"/>
            </w:r>
          </w:hyperlink>
        </w:p>
        <w:p w14:paraId="3ED9DB40" w14:textId="717738C4"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5" w:history="1">
            <w:r w:rsidR="00A97C63" w:rsidRPr="00A01837">
              <w:rPr>
                <w:rStyle w:val="Hipervnculo"/>
                <w:rFonts w:ascii="Palatino Linotype" w:hAnsi="Palatino Linotype"/>
                <w:b/>
                <w:noProof/>
                <w:sz w:val="22"/>
              </w:rPr>
              <w:t>e)</w:t>
            </w:r>
            <w:r w:rsidR="00A97C63" w:rsidRPr="00A01837">
              <w:rPr>
                <w:rFonts w:ascii="Palatino Linotype" w:hAnsi="Palatino Linotype"/>
                <w:noProof/>
                <w:sz w:val="22"/>
                <w:lang w:val="es-MX" w:eastAsia="es-MX"/>
              </w:rPr>
              <w:tab/>
            </w:r>
            <w:r w:rsidR="00A97C63" w:rsidRPr="00A01837">
              <w:rPr>
                <w:rStyle w:val="Hipervnculo"/>
                <w:rFonts w:ascii="Palatino Linotype" w:hAnsi="Palatino Linotype"/>
                <w:b/>
                <w:noProof/>
                <w:sz w:val="22"/>
              </w:rPr>
              <w:t>De las facultades, atribuciones y competencias de la Secretaría de Finanzas.</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_Toc21026225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32</w:t>
            </w:r>
            <w:r w:rsidR="00A97C63" w:rsidRPr="00A01837">
              <w:rPr>
                <w:rFonts w:ascii="Palatino Linotype" w:hAnsi="Palatino Linotype"/>
                <w:noProof/>
                <w:webHidden/>
                <w:sz w:val="22"/>
              </w:rPr>
              <w:fldChar w:fldCharType="end"/>
            </w:r>
          </w:hyperlink>
        </w:p>
        <w:p w14:paraId="46BCF885" w14:textId="1E93DE20"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6" w:history="1">
            <w:r w:rsidR="00A97C63" w:rsidRPr="00A01837">
              <w:rPr>
                <w:rStyle w:val="Hipervnculo"/>
                <w:rFonts w:ascii="Palatino Linotype" w:hAnsi="Palatino Linotype"/>
                <w:b/>
                <w:noProof/>
                <w:sz w:val="22"/>
              </w:rPr>
              <w:t>f)</w:t>
            </w:r>
            <w:r w:rsidR="00A97C63" w:rsidRPr="00A01837">
              <w:rPr>
                <w:rFonts w:ascii="Palatino Linotype" w:hAnsi="Palatino Linotype"/>
                <w:noProof/>
                <w:sz w:val="22"/>
                <w:lang w:val="es-MX" w:eastAsia="es-MX"/>
              </w:rPr>
              <w:tab/>
            </w:r>
            <w:r w:rsidR="00A97C63" w:rsidRPr="00A01837">
              <w:rPr>
                <w:rStyle w:val="Hipervnculo"/>
                <w:rFonts w:ascii="Palatino Linotype" w:hAnsi="Palatino Linotype"/>
                <w:b/>
                <w:noProof/>
                <w:sz w:val="22"/>
              </w:rPr>
              <w:t>Del Acuerdo de Inexistencia.</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_Toc21026226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37</w:t>
            </w:r>
            <w:r w:rsidR="00A97C63" w:rsidRPr="00A01837">
              <w:rPr>
                <w:rFonts w:ascii="Palatino Linotype" w:hAnsi="Palatino Linotype"/>
                <w:noProof/>
                <w:webHidden/>
                <w:sz w:val="22"/>
              </w:rPr>
              <w:fldChar w:fldCharType="end"/>
            </w:r>
          </w:hyperlink>
        </w:p>
        <w:p w14:paraId="5A96F117" w14:textId="611C2B96"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7" w:history="1">
            <w:r w:rsidR="00A97C63" w:rsidRPr="00A01837">
              <w:rPr>
                <w:rStyle w:val="Hipervnculo"/>
                <w:rFonts w:ascii="Palatino Linotype" w:hAnsi="Palatino Linotype"/>
                <w:b/>
                <w:noProof/>
                <w:sz w:val="22"/>
              </w:rPr>
              <w:t>g)</w:t>
            </w:r>
            <w:r w:rsidR="00A97C63" w:rsidRPr="00A01837">
              <w:rPr>
                <w:rFonts w:ascii="Palatino Linotype" w:hAnsi="Palatino Linotype"/>
                <w:noProof/>
                <w:sz w:val="22"/>
                <w:lang w:val="es-MX" w:eastAsia="es-MX"/>
              </w:rPr>
              <w:tab/>
            </w:r>
            <w:r w:rsidR="00A97C63" w:rsidRPr="00A01837">
              <w:rPr>
                <w:rStyle w:val="Hipervnculo"/>
                <w:rFonts w:ascii="Palatino Linotype" w:hAnsi="Palatino Linotype"/>
                <w:b/>
                <w:noProof/>
                <w:sz w:val="22"/>
              </w:rPr>
              <w:t>Del Acuerdo de Incompetencia.</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_Toc21026227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40</w:t>
            </w:r>
            <w:r w:rsidR="00A97C63" w:rsidRPr="00A01837">
              <w:rPr>
                <w:rFonts w:ascii="Palatino Linotype" w:hAnsi="Palatino Linotype"/>
                <w:noProof/>
                <w:webHidden/>
                <w:sz w:val="22"/>
              </w:rPr>
              <w:fldChar w:fldCharType="end"/>
            </w:r>
          </w:hyperlink>
        </w:p>
        <w:p w14:paraId="6BABD2F9" w14:textId="71D4745C"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8" w:history="1">
            <w:r w:rsidR="00A97C63" w:rsidRPr="00A01837">
              <w:rPr>
                <w:rStyle w:val="Hipervnculo"/>
                <w:rFonts w:ascii="Palatino Linotype" w:hAnsi="Palatino Linotype" w:cs="Times New Roman"/>
                <w:b/>
                <w:noProof/>
                <w:sz w:val="22"/>
                <w:lang w:eastAsia="es-ES_tradnl"/>
              </w:rPr>
              <w:t xml:space="preserve">QUINTO. </w:t>
            </w:r>
            <w:r w:rsidR="00A97C63" w:rsidRPr="00A01837">
              <w:rPr>
                <w:rStyle w:val="Hipervnculo"/>
                <w:rFonts w:ascii="Palatino Linotype" w:hAnsi="Palatino Linotype"/>
                <w:b/>
                <w:noProof/>
                <w:sz w:val="22"/>
              </w:rPr>
              <w:t xml:space="preserve"> De la elaboración de la versión pública.</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_Toc21026228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45</w:t>
            </w:r>
            <w:r w:rsidR="00A97C63" w:rsidRPr="00A01837">
              <w:rPr>
                <w:rFonts w:ascii="Palatino Linotype" w:hAnsi="Palatino Linotype"/>
                <w:noProof/>
                <w:webHidden/>
                <w:sz w:val="22"/>
              </w:rPr>
              <w:fldChar w:fldCharType="end"/>
            </w:r>
          </w:hyperlink>
        </w:p>
        <w:p w14:paraId="39C98F92" w14:textId="1A5BB08C" w:rsidR="00A97C63" w:rsidRPr="00A01837" w:rsidRDefault="00DC6084" w:rsidP="00A01837">
          <w:pPr>
            <w:pStyle w:val="TDC1"/>
            <w:spacing w:after="0" w:line="360" w:lineRule="auto"/>
            <w:rPr>
              <w:rFonts w:ascii="Palatino Linotype" w:hAnsi="Palatino Linotype"/>
              <w:noProof/>
              <w:sz w:val="22"/>
              <w:lang w:val="es-MX" w:eastAsia="es-MX"/>
            </w:rPr>
          </w:pPr>
          <w:hyperlink w:anchor="_Toc21026229" w:history="1">
            <w:r w:rsidR="00A97C63" w:rsidRPr="00A01837">
              <w:rPr>
                <w:rStyle w:val="Hipervnculo"/>
                <w:rFonts w:ascii="Palatino Linotype" w:hAnsi="Palatino Linotype"/>
                <w:b/>
                <w:noProof/>
                <w:sz w:val="22"/>
              </w:rPr>
              <w:t>R E S O L U T I V O S</w:t>
            </w:r>
            <w:r w:rsidR="00A97C63" w:rsidRPr="00A01837">
              <w:rPr>
                <w:rFonts w:ascii="Palatino Linotype" w:hAnsi="Palatino Linotype"/>
                <w:noProof/>
                <w:webHidden/>
                <w:sz w:val="22"/>
              </w:rPr>
              <w:tab/>
            </w:r>
            <w:r w:rsidR="00A97C63" w:rsidRPr="00A01837">
              <w:rPr>
                <w:rFonts w:ascii="Palatino Linotype" w:hAnsi="Palatino Linotype"/>
                <w:noProof/>
                <w:webHidden/>
                <w:sz w:val="22"/>
              </w:rPr>
              <w:fldChar w:fldCharType="begin"/>
            </w:r>
            <w:r w:rsidR="00A97C63" w:rsidRPr="00A01837">
              <w:rPr>
                <w:rFonts w:ascii="Palatino Linotype" w:hAnsi="Palatino Linotype"/>
                <w:noProof/>
                <w:webHidden/>
                <w:sz w:val="22"/>
              </w:rPr>
              <w:instrText xml:space="preserve"> PAGEREF _Toc21026229 \h </w:instrText>
            </w:r>
            <w:r w:rsidR="00A97C63" w:rsidRPr="00A01837">
              <w:rPr>
                <w:rFonts w:ascii="Palatino Linotype" w:hAnsi="Palatino Linotype"/>
                <w:noProof/>
                <w:webHidden/>
                <w:sz w:val="22"/>
              </w:rPr>
            </w:r>
            <w:r w:rsidR="00A97C63" w:rsidRPr="00A01837">
              <w:rPr>
                <w:rFonts w:ascii="Palatino Linotype" w:hAnsi="Palatino Linotype"/>
                <w:noProof/>
                <w:webHidden/>
                <w:sz w:val="22"/>
              </w:rPr>
              <w:fldChar w:fldCharType="separate"/>
            </w:r>
            <w:r w:rsidR="00DF6D89">
              <w:rPr>
                <w:rFonts w:ascii="Palatino Linotype" w:hAnsi="Palatino Linotype"/>
                <w:noProof/>
                <w:webHidden/>
                <w:sz w:val="22"/>
              </w:rPr>
              <w:t>51</w:t>
            </w:r>
            <w:r w:rsidR="00A97C63" w:rsidRPr="00A01837">
              <w:rPr>
                <w:rFonts w:ascii="Palatino Linotype" w:hAnsi="Palatino Linotype"/>
                <w:noProof/>
                <w:webHidden/>
                <w:sz w:val="22"/>
              </w:rPr>
              <w:fldChar w:fldCharType="end"/>
            </w:r>
          </w:hyperlink>
        </w:p>
        <w:p w14:paraId="22479684" w14:textId="7455BD55" w:rsidR="000D13EA" w:rsidRPr="00A01837" w:rsidRDefault="00DA7E2F" w:rsidP="00A01837">
          <w:pPr>
            <w:spacing w:line="360" w:lineRule="auto"/>
            <w:rPr>
              <w:rFonts w:ascii="Palatino Linotype" w:hAnsi="Palatino Linotype"/>
            </w:rPr>
          </w:pPr>
          <w:r w:rsidRPr="00A01837">
            <w:rPr>
              <w:rFonts w:ascii="Palatino Linotype" w:hAnsi="Palatino Linotype"/>
              <w:bCs/>
              <w:sz w:val="22"/>
              <w:lang w:val="es-ES"/>
            </w:rPr>
            <w:fldChar w:fldCharType="end"/>
          </w:r>
        </w:p>
      </w:sdtContent>
    </w:sdt>
    <w:p w14:paraId="62BE1267" w14:textId="30D4DB80" w:rsidR="00A01837" w:rsidRDefault="009B11D6" w:rsidP="00A01837">
      <w:pPr>
        <w:tabs>
          <w:tab w:val="left" w:pos="3465"/>
        </w:tabs>
        <w:spacing w:line="360" w:lineRule="auto"/>
        <w:jc w:val="both"/>
        <w:rPr>
          <w:rFonts w:ascii="Palatino Linotype" w:hAnsi="Palatino Linotype"/>
        </w:rPr>
      </w:pPr>
      <w:r w:rsidRPr="00A01837">
        <w:rPr>
          <w:rFonts w:ascii="Palatino Linotype" w:hAnsi="Palatino Linotype"/>
        </w:rPr>
        <w:lastRenderedPageBreak/>
        <w:t>R</w:t>
      </w:r>
      <w:r w:rsidR="00662C69" w:rsidRPr="00A01837">
        <w:rPr>
          <w:rFonts w:ascii="Palatino Linotype" w:hAnsi="Palatino Linotype"/>
        </w:rPr>
        <w:t>esolución del Pleno del Instituto de Transparencia, Acceso a la Información Pública y Protección de Datos Personales del Estado de México y Mun</w:t>
      </w:r>
      <w:r w:rsidR="000D5A1D" w:rsidRPr="00A01837">
        <w:rPr>
          <w:rFonts w:ascii="Palatino Linotype" w:hAnsi="Palatino Linotype"/>
        </w:rPr>
        <w:t>icipios, con</w:t>
      </w:r>
      <w:r w:rsidR="00662C69" w:rsidRPr="00A01837">
        <w:rPr>
          <w:rFonts w:ascii="Palatino Linotype" w:hAnsi="Palatino Linotype"/>
        </w:rPr>
        <w:t xml:space="preserve"> </w:t>
      </w:r>
      <w:r w:rsidR="00485DB6" w:rsidRPr="00A01837">
        <w:rPr>
          <w:rFonts w:ascii="Palatino Linotype" w:hAnsi="Palatino Linotype"/>
        </w:rPr>
        <w:t xml:space="preserve">domicilio </w:t>
      </w:r>
      <w:r w:rsidR="00662C69" w:rsidRPr="00A01837">
        <w:rPr>
          <w:rFonts w:ascii="Palatino Linotype" w:hAnsi="Palatino Linotype"/>
        </w:rPr>
        <w:t xml:space="preserve">en Metepec, Estado de México; de </w:t>
      </w:r>
      <w:r w:rsidR="001A0A78" w:rsidRPr="00A01837">
        <w:rPr>
          <w:rFonts w:ascii="Palatino Linotype" w:hAnsi="Palatino Linotype"/>
        </w:rPr>
        <w:t xml:space="preserve">fecha </w:t>
      </w:r>
      <w:r w:rsidR="00A01837">
        <w:rPr>
          <w:rFonts w:ascii="Palatino Linotype" w:hAnsi="Palatino Linotype"/>
        </w:rPr>
        <w:t>nueve de octubre</w:t>
      </w:r>
      <w:r w:rsidR="00DE22C4" w:rsidRPr="00A01837">
        <w:rPr>
          <w:rFonts w:ascii="Palatino Linotype" w:hAnsi="Palatino Linotype"/>
        </w:rPr>
        <w:t xml:space="preserve"> de dos mil diecinueve. </w:t>
      </w:r>
    </w:p>
    <w:p w14:paraId="70F58E6B" w14:textId="77777777" w:rsidR="00A01837" w:rsidRPr="00A01837" w:rsidRDefault="00A01837" w:rsidP="00A01837">
      <w:pPr>
        <w:tabs>
          <w:tab w:val="left" w:pos="3465"/>
        </w:tabs>
        <w:spacing w:line="360" w:lineRule="auto"/>
        <w:jc w:val="both"/>
        <w:rPr>
          <w:rFonts w:ascii="Palatino Linotype" w:hAnsi="Palatino Linotype"/>
        </w:rPr>
      </w:pPr>
    </w:p>
    <w:p w14:paraId="02C1324E" w14:textId="4D22C8FB" w:rsidR="00662C69" w:rsidRPr="00A01837" w:rsidRDefault="00662C69" w:rsidP="00A01837">
      <w:pPr>
        <w:pStyle w:val="Encabezado"/>
        <w:spacing w:line="360" w:lineRule="auto"/>
        <w:jc w:val="both"/>
        <w:rPr>
          <w:rFonts w:ascii="Palatino Linotype" w:hAnsi="Palatino Linotype"/>
          <w:b/>
        </w:rPr>
      </w:pPr>
      <w:r w:rsidRPr="00A01837">
        <w:rPr>
          <w:rFonts w:ascii="Palatino Linotype" w:hAnsi="Palatino Linotype"/>
          <w:b/>
        </w:rPr>
        <w:t>VISTO</w:t>
      </w:r>
      <w:r w:rsidRPr="00A01837">
        <w:rPr>
          <w:rFonts w:ascii="Palatino Linotype" w:hAnsi="Palatino Linotype"/>
        </w:rPr>
        <w:t xml:space="preserve"> el expediente electrónico for</w:t>
      </w:r>
      <w:r w:rsidR="00D37494" w:rsidRPr="00A01837">
        <w:rPr>
          <w:rFonts w:ascii="Palatino Linotype" w:hAnsi="Palatino Linotype"/>
        </w:rPr>
        <w:t>mado con motivo del</w:t>
      </w:r>
      <w:r w:rsidRPr="00A01837">
        <w:rPr>
          <w:rFonts w:ascii="Palatino Linotype" w:hAnsi="Palatino Linotype"/>
        </w:rPr>
        <w:t xml:space="preserve"> recurso de revisión </w:t>
      </w:r>
      <w:r w:rsidR="006E0835" w:rsidRPr="00A01837">
        <w:rPr>
          <w:rFonts w:ascii="Palatino Linotype" w:hAnsi="Palatino Linotype" w:cs="Arial"/>
          <w:b/>
          <w:bCs/>
          <w:lang w:eastAsia="es-MX"/>
        </w:rPr>
        <w:t>0</w:t>
      </w:r>
      <w:r w:rsidR="000678F0" w:rsidRPr="00A01837">
        <w:rPr>
          <w:rFonts w:ascii="Palatino Linotype" w:hAnsi="Palatino Linotype" w:cs="Arial"/>
          <w:b/>
          <w:bCs/>
          <w:lang w:eastAsia="es-MX"/>
        </w:rPr>
        <w:t>6488</w:t>
      </w:r>
      <w:r w:rsidR="00E81613" w:rsidRPr="00A01837">
        <w:rPr>
          <w:rFonts w:ascii="Palatino Linotype" w:hAnsi="Palatino Linotype" w:cs="Arial"/>
          <w:b/>
          <w:bCs/>
          <w:lang w:eastAsia="es-MX"/>
        </w:rPr>
        <w:t>/INFOEM/IP/RR/2019</w:t>
      </w:r>
      <w:r w:rsidR="00AF3D59" w:rsidRPr="00A01837">
        <w:rPr>
          <w:rFonts w:ascii="Palatino Linotype" w:hAnsi="Palatino Linotype" w:cs="Arial"/>
          <w:b/>
          <w:bCs/>
        </w:rPr>
        <w:t>;</w:t>
      </w:r>
      <w:r w:rsidR="00335BFE" w:rsidRPr="00A01837">
        <w:rPr>
          <w:rFonts w:ascii="Palatino Linotype" w:hAnsi="Palatino Linotype" w:cs="Arial"/>
          <w:b/>
          <w:bCs/>
        </w:rPr>
        <w:t xml:space="preserve"> </w:t>
      </w:r>
      <w:r w:rsidRPr="00A01837">
        <w:rPr>
          <w:rFonts w:ascii="Palatino Linotype" w:hAnsi="Palatino Linotype"/>
        </w:rPr>
        <w:t>promovido por</w:t>
      </w:r>
      <w:r w:rsidR="00B17F10" w:rsidRPr="00A01837">
        <w:rPr>
          <w:rFonts w:ascii="Palatino Linotype" w:hAnsi="Palatino Linotype"/>
          <w:b/>
        </w:rPr>
        <w:t xml:space="preserve"> </w:t>
      </w:r>
      <w:r w:rsidR="00947078" w:rsidRPr="00947078">
        <w:rPr>
          <w:rFonts w:ascii="Palatino Linotype" w:hAnsi="Palatino Linotype"/>
          <w:b/>
          <w:highlight w:val="black"/>
        </w:rPr>
        <w:t>------------------------</w:t>
      </w:r>
      <w:r w:rsidRPr="00A01837">
        <w:rPr>
          <w:rFonts w:ascii="Palatino Linotype" w:hAnsi="Palatino Linotype"/>
          <w:b/>
        </w:rPr>
        <w:t xml:space="preserve">, </w:t>
      </w:r>
      <w:r w:rsidRPr="00A01837">
        <w:rPr>
          <w:rFonts w:ascii="Palatino Linotype" w:hAnsi="Palatino Linotype" w:cs="Arial"/>
        </w:rPr>
        <w:t xml:space="preserve">en su </w:t>
      </w:r>
      <w:r w:rsidR="00D83C17" w:rsidRPr="00A01837">
        <w:rPr>
          <w:rFonts w:ascii="Palatino Linotype" w:hAnsi="Palatino Linotype" w:cs="Arial"/>
        </w:rPr>
        <w:t>calidad</w:t>
      </w:r>
      <w:r w:rsidRPr="00A01837">
        <w:rPr>
          <w:rFonts w:ascii="Palatino Linotype" w:hAnsi="Palatino Linotype" w:cs="Arial"/>
        </w:rPr>
        <w:t xml:space="preserve"> de </w:t>
      </w:r>
      <w:r w:rsidRPr="00A01837">
        <w:rPr>
          <w:rFonts w:ascii="Palatino Linotype" w:hAnsi="Palatino Linotype" w:cs="Arial"/>
          <w:b/>
        </w:rPr>
        <w:t>RECURRENTE</w:t>
      </w:r>
      <w:r w:rsidRPr="00A01837">
        <w:rPr>
          <w:rFonts w:ascii="Palatino Linotype" w:hAnsi="Palatino Linotype" w:cs="Arial"/>
        </w:rPr>
        <w:t xml:space="preserve">, en contra </w:t>
      </w:r>
      <w:r w:rsidR="000D5A1D" w:rsidRPr="00A01837">
        <w:rPr>
          <w:rFonts w:ascii="Palatino Linotype" w:hAnsi="Palatino Linotype" w:cs="Arial"/>
        </w:rPr>
        <w:t xml:space="preserve">de </w:t>
      </w:r>
      <w:r w:rsidR="009C0E5E" w:rsidRPr="00A01837">
        <w:rPr>
          <w:rFonts w:ascii="Palatino Linotype" w:hAnsi="Palatino Linotype" w:cs="Arial"/>
        </w:rPr>
        <w:t>la respuesta de</w:t>
      </w:r>
      <w:r w:rsidR="000678F0" w:rsidRPr="00A01837">
        <w:rPr>
          <w:rFonts w:ascii="Palatino Linotype" w:hAnsi="Palatino Linotype" w:cs="Arial"/>
        </w:rPr>
        <w:t xml:space="preserve"> </w:t>
      </w:r>
      <w:r w:rsidR="009C0E5E" w:rsidRPr="00A01837">
        <w:rPr>
          <w:rFonts w:ascii="Palatino Linotype" w:hAnsi="Palatino Linotype" w:cs="Arial"/>
        </w:rPr>
        <w:t>l</w:t>
      </w:r>
      <w:r w:rsidR="000678F0" w:rsidRPr="00A01837">
        <w:rPr>
          <w:rFonts w:ascii="Palatino Linotype" w:hAnsi="Palatino Linotype" w:cs="Arial"/>
        </w:rPr>
        <w:t>a</w:t>
      </w:r>
      <w:r w:rsidR="009C0E5E" w:rsidRPr="00A01837">
        <w:rPr>
          <w:rFonts w:ascii="Palatino Linotype" w:hAnsi="Palatino Linotype" w:cs="Arial"/>
        </w:rPr>
        <w:t xml:space="preserve"> </w:t>
      </w:r>
      <w:r w:rsidR="000678F0" w:rsidRPr="00A01837">
        <w:rPr>
          <w:rFonts w:ascii="Palatino Linotype" w:hAnsi="Palatino Linotype"/>
          <w:b/>
          <w:bCs/>
          <w:color w:val="000000"/>
        </w:rPr>
        <w:t>Secretaría de Finanzas</w:t>
      </w:r>
      <w:r w:rsidR="0036073F" w:rsidRPr="00A01837">
        <w:rPr>
          <w:rFonts w:ascii="Palatino Linotype" w:hAnsi="Palatino Linotype"/>
          <w:b/>
        </w:rPr>
        <w:t xml:space="preserve">, </w:t>
      </w:r>
      <w:r w:rsidRPr="00A01837">
        <w:rPr>
          <w:rFonts w:ascii="Palatino Linotype" w:hAnsi="Palatino Linotype"/>
        </w:rPr>
        <w:t>en lo sucesivo el</w:t>
      </w:r>
      <w:r w:rsidRPr="00A01837">
        <w:rPr>
          <w:rFonts w:ascii="Palatino Linotype" w:hAnsi="Palatino Linotype"/>
          <w:b/>
        </w:rPr>
        <w:t xml:space="preserve"> SUJETO OBLIGADO</w:t>
      </w:r>
      <w:r w:rsidRPr="00A01837">
        <w:rPr>
          <w:rFonts w:ascii="Palatino Linotype" w:hAnsi="Palatino Linotype"/>
        </w:rPr>
        <w:t>, se procede a dictar la presente resolución, con base en los siguientes:</w:t>
      </w:r>
    </w:p>
    <w:p w14:paraId="59B8F1D8" w14:textId="77777777" w:rsidR="005E0318" w:rsidRPr="00A01837" w:rsidRDefault="005E0318" w:rsidP="00A01837">
      <w:pPr>
        <w:spacing w:line="360" w:lineRule="auto"/>
        <w:jc w:val="both"/>
        <w:rPr>
          <w:rFonts w:ascii="Palatino Linotype" w:hAnsi="Palatino Linotype"/>
          <w:b/>
        </w:rPr>
      </w:pPr>
    </w:p>
    <w:p w14:paraId="769E1410" w14:textId="5740327F" w:rsidR="00587366" w:rsidRPr="00A01837" w:rsidRDefault="00662C69" w:rsidP="00A01837">
      <w:pPr>
        <w:pStyle w:val="Ttulo1"/>
        <w:spacing w:before="0" w:line="360" w:lineRule="auto"/>
        <w:jc w:val="center"/>
        <w:rPr>
          <w:b/>
          <w:szCs w:val="24"/>
        </w:rPr>
      </w:pPr>
      <w:bookmarkStart w:id="0" w:name="_Toc461555884"/>
      <w:bookmarkStart w:id="1" w:name="_Toc466371847"/>
      <w:bookmarkStart w:id="2" w:name="_Toc21026212"/>
      <w:r w:rsidRPr="00A01837">
        <w:rPr>
          <w:b/>
          <w:szCs w:val="24"/>
        </w:rPr>
        <w:t>ANTECEDENTES</w:t>
      </w:r>
      <w:bookmarkEnd w:id="0"/>
      <w:bookmarkEnd w:id="1"/>
      <w:bookmarkEnd w:id="2"/>
    </w:p>
    <w:p w14:paraId="73AB233F" w14:textId="77777777" w:rsidR="005E0318" w:rsidRPr="00A01837" w:rsidRDefault="005E0318" w:rsidP="00A01837">
      <w:pPr>
        <w:spacing w:line="360" w:lineRule="auto"/>
        <w:rPr>
          <w:rFonts w:ascii="Palatino Linotype" w:hAnsi="Palatino Linotype"/>
          <w:lang w:val="es-MX" w:eastAsia="en-US"/>
        </w:rPr>
      </w:pPr>
    </w:p>
    <w:p w14:paraId="402A4C0A" w14:textId="3E7EE6D4" w:rsidR="00D9392E" w:rsidRPr="00A01837" w:rsidRDefault="00B438BF" w:rsidP="00A01837">
      <w:pPr>
        <w:pStyle w:val="Prrafodelista"/>
        <w:numPr>
          <w:ilvl w:val="0"/>
          <w:numId w:val="1"/>
        </w:numPr>
        <w:spacing w:line="360" w:lineRule="auto"/>
        <w:ind w:left="0" w:firstLine="0"/>
        <w:jc w:val="both"/>
        <w:rPr>
          <w:rFonts w:ascii="Palatino Linotype" w:eastAsia="Calibri" w:hAnsi="Palatino Linotype" w:cs="Arial"/>
          <w:lang w:val="es-ES"/>
        </w:rPr>
      </w:pPr>
      <w:r w:rsidRPr="00A01837">
        <w:rPr>
          <w:rFonts w:ascii="Palatino Linotype" w:eastAsia="Calibri" w:hAnsi="Palatino Linotype" w:cs="Arial"/>
          <w:lang w:val="es-ES"/>
        </w:rPr>
        <w:t xml:space="preserve">El día </w:t>
      </w:r>
      <w:r w:rsidR="000678F0" w:rsidRPr="00A01837">
        <w:rPr>
          <w:rFonts w:ascii="Palatino Linotype" w:eastAsia="Calibri" w:hAnsi="Palatino Linotype" w:cs="Arial"/>
          <w:lang w:val="es-ES"/>
        </w:rPr>
        <w:t xml:space="preserve">veintinueve </w:t>
      </w:r>
      <w:r w:rsidR="00D9392E" w:rsidRPr="00A01837">
        <w:rPr>
          <w:rFonts w:ascii="Palatino Linotype" w:eastAsia="Calibri" w:hAnsi="Palatino Linotype" w:cs="Arial"/>
          <w:lang w:val="es-ES"/>
        </w:rPr>
        <w:t>(</w:t>
      </w:r>
      <w:r w:rsidR="000678F0" w:rsidRPr="00A01837">
        <w:rPr>
          <w:rFonts w:ascii="Palatino Linotype" w:eastAsia="Calibri" w:hAnsi="Palatino Linotype" w:cs="Arial"/>
          <w:lang w:val="es-ES"/>
        </w:rPr>
        <w:t>29</w:t>
      </w:r>
      <w:r w:rsidR="00EC31A0" w:rsidRPr="00A01837">
        <w:rPr>
          <w:rFonts w:ascii="Palatino Linotype" w:eastAsia="Calibri" w:hAnsi="Palatino Linotype" w:cs="Arial"/>
          <w:lang w:val="es-ES"/>
        </w:rPr>
        <w:t xml:space="preserve">) de </w:t>
      </w:r>
      <w:r w:rsidR="000678F0" w:rsidRPr="00A01837">
        <w:rPr>
          <w:rFonts w:ascii="Palatino Linotype" w:eastAsia="Calibri" w:hAnsi="Palatino Linotype" w:cs="Arial"/>
          <w:lang w:val="es-ES"/>
        </w:rPr>
        <w:t>julio</w:t>
      </w:r>
      <w:r w:rsidR="00383583" w:rsidRPr="00A01837">
        <w:rPr>
          <w:rFonts w:ascii="Palatino Linotype" w:eastAsia="Calibri" w:hAnsi="Palatino Linotype" w:cs="Arial"/>
          <w:lang w:val="es-ES"/>
        </w:rPr>
        <w:t xml:space="preserve"> de dos mil diecinueve</w:t>
      </w:r>
      <w:r w:rsidR="00D9392E" w:rsidRPr="00A01837">
        <w:rPr>
          <w:rFonts w:ascii="Palatino Linotype" w:hAnsi="Palatino Linotype"/>
          <w:b/>
        </w:rPr>
        <w:t xml:space="preserve">, </w:t>
      </w:r>
      <w:r w:rsidR="00D9392E" w:rsidRPr="00A01837">
        <w:rPr>
          <w:rFonts w:ascii="Palatino Linotype" w:eastAsia="Calibri" w:hAnsi="Palatino Linotype" w:cs="Arial"/>
          <w:lang w:val="es-ES"/>
        </w:rPr>
        <w:t xml:space="preserve">se presentó </w:t>
      </w:r>
      <w:r w:rsidR="000678F0" w:rsidRPr="00A01837">
        <w:rPr>
          <w:rFonts w:ascii="Palatino Linotype" w:eastAsia="Calibri" w:hAnsi="Palatino Linotype" w:cs="Arial"/>
          <w:lang w:val="es-ES"/>
        </w:rPr>
        <w:t xml:space="preserve">a través de la Plataforma Nacional de Transparencia y registrado en el </w:t>
      </w:r>
      <w:r w:rsidR="00D9392E" w:rsidRPr="00A01837">
        <w:rPr>
          <w:rFonts w:ascii="Palatino Linotype" w:eastAsia="Calibri" w:hAnsi="Palatino Linotype" w:cs="Arial"/>
          <w:lang w:val="es-ES"/>
        </w:rPr>
        <w:t xml:space="preserve">Sistema de Acceso a la Información Mexiquense </w:t>
      </w:r>
      <w:r w:rsidR="00D9392E" w:rsidRPr="00A01837">
        <w:rPr>
          <w:rFonts w:ascii="Palatino Linotype" w:eastAsia="Calibri" w:hAnsi="Palatino Linotype" w:cs="Arial"/>
          <w:b/>
          <w:lang w:val="es-ES"/>
        </w:rPr>
        <w:t>SAIMEX</w:t>
      </w:r>
      <w:r w:rsidR="00D9392E" w:rsidRPr="00A01837">
        <w:rPr>
          <w:rFonts w:ascii="Palatino Linotype" w:eastAsia="Calibri" w:hAnsi="Palatino Linotype" w:cs="Arial"/>
          <w:lang w:val="es-ES"/>
        </w:rPr>
        <w:t>, la solicitud de información p</w:t>
      </w:r>
      <w:r w:rsidR="00B86FAE" w:rsidRPr="00A01837">
        <w:rPr>
          <w:rFonts w:ascii="Palatino Linotype" w:eastAsia="Calibri" w:hAnsi="Palatino Linotype" w:cs="Arial"/>
          <w:lang w:val="es-ES"/>
        </w:rPr>
        <w:t>ública registrada con el número</w:t>
      </w:r>
      <w:r w:rsidR="004D71C0" w:rsidRPr="00A01837">
        <w:rPr>
          <w:rFonts w:ascii="Palatino Linotype" w:hAnsi="Palatino Linotype"/>
          <w:b/>
          <w:bCs/>
          <w:color w:val="000000" w:themeColor="text1"/>
        </w:rPr>
        <w:t xml:space="preserve"> </w:t>
      </w:r>
      <w:r w:rsidR="006E0835" w:rsidRPr="00A01837">
        <w:rPr>
          <w:rFonts w:ascii="Palatino Linotype" w:hAnsi="Palatino Linotype"/>
          <w:b/>
          <w:bCs/>
          <w:color w:val="000000" w:themeColor="text1"/>
        </w:rPr>
        <w:t>00</w:t>
      </w:r>
      <w:r w:rsidR="000678F0" w:rsidRPr="00A01837">
        <w:rPr>
          <w:rFonts w:ascii="Palatino Linotype" w:hAnsi="Palatino Linotype"/>
          <w:b/>
          <w:bCs/>
          <w:color w:val="000000" w:themeColor="text1"/>
        </w:rPr>
        <w:t>621</w:t>
      </w:r>
      <w:r w:rsidRPr="00A01837">
        <w:rPr>
          <w:rFonts w:ascii="Palatino Linotype" w:hAnsi="Palatino Linotype"/>
          <w:b/>
          <w:bCs/>
          <w:color w:val="000000" w:themeColor="text1"/>
        </w:rPr>
        <w:t>/</w:t>
      </w:r>
      <w:r w:rsidR="000678F0" w:rsidRPr="00A01837">
        <w:rPr>
          <w:rFonts w:ascii="Palatino Linotype" w:hAnsi="Palatino Linotype"/>
          <w:b/>
          <w:bCs/>
          <w:color w:val="000000" w:themeColor="text1"/>
        </w:rPr>
        <w:t>SF</w:t>
      </w:r>
      <w:r w:rsidRPr="00A01837">
        <w:rPr>
          <w:rFonts w:ascii="Palatino Linotype" w:hAnsi="Palatino Linotype"/>
          <w:b/>
          <w:bCs/>
          <w:color w:val="000000" w:themeColor="text1"/>
        </w:rPr>
        <w:t>/</w:t>
      </w:r>
      <w:r w:rsidR="00903870" w:rsidRPr="00A01837">
        <w:rPr>
          <w:rFonts w:ascii="Palatino Linotype" w:hAnsi="Palatino Linotype"/>
          <w:b/>
          <w:bCs/>
          <w:color w:val="000000" w:themeColor="text1"/>
        </w:rPr>
        <w:t>IP/201</w:t>
      </w:r>
      <w:r w:rsidR="00383583" w:rsidRPr="00A01837">
        <w:rPr>
          <w:rFonts w:ascii="Palatino Linotype" w:hAnsi="Palatino Linotype"/>
          <w:b/>
          <w:bCs/>
          <w:color w:val="000000" w:themeColor="text1"/>
        </w:rPr>
        <w:t>9</w:t>
      </w:r>
      <w:r w:rsidR="00E17F3A" w:rsidRPr="00A01837">
        <w:rPr>
          <w:rFonts w:ascii="Palatino Linotype" w:hAnsi="Palatino Linotype"/>
          <w:b/>
          <w:bCs/>
          <w:color w:val="000000" w:themeColor="text1"/>
        </w:rPr>
        <w:t>,</w:t>
      </w:r>
      <w:r w:rsidR="00D9392E" w:rsidRPr="00A01837">
        <w:rPr>
          <w:rFonts w:ascii="Palatino Linotype" w:eastAsia="Calibri" w:hAnsi="Palatino Linotype" w:cs="Arial"/>
          <w:lang w:val="es-ES"/>
        </w:rPr>
        <w:t xml:space="preserve"> mediante la cual </w:t>
      </w:r>
      <w:r w:rsidR="00A133FA" w:rsidRPr="00A01837">
        <w:rPr>
          <w:rFonts w:ascii="Palatino Linotype" w:eastAsia="Calibri" w:hAnsi="Palatino Linotype" w:cs="Arial"/>
          <w:lang w:val="es-ES"/>
        </w:rPr>
        <w:t xml:space="preserve">se </w:t>
      </w:r>
      <w:r w:rsidR="00D9392E" w:rsidRPr="00A01837">
        <w:rPr>
          <w:rFonts w:ascii="Palatino Linotype" w:eastAsia="Calibri" w:hAnsi="Palatino Linotype" w:cs="Arial"/>
          <w:lang w:val="es-ES"/>
        </w:rPr>
        <w:t>solicitó:</w:t>
      </w:r>
    </w:p>
    <w:p w14:paraId="780D2256" w14:textId="77777777" w:rsidR="00D9392E" w:rsidRPr="00A01837" w:rsidRDefault="00D9392E" w:rsidP="00A01837">
      <w:pPr>
        <w:pStyle w:val="Prrafodelista"/>
        <w:spacing w:line="360" w:lineRule="auto"/>
        <w:ind w:left="360"/>
        <w:jc w:val="both"/>
        <w:rPr>
          <w:rFonts w:ascii="Palatino Linotype" w:hAnsi="Palatino Linotype"/>
          <w:i/>
          <w:color w:val="000000"/>
        </w:rPr>
      </w:pPr>
    </w:p>
    <w:p w14:paraId="49E3FBB0" w14:textId="78071D9F" w:rsidR="009C0E5E" w:rsidRPr="00A01837" w:rsidRDefault="009C0E5E" w:rsidP="00A01837">
      <w:pPr>
        <w:spacing w:line="360" w:lineRule="auto"/>
        <w:ind w:left="567" w:right="616"/>
        <w:contextualSpacing/>
        <w:jc w:val="both"/>
        <w:rPr>
          <w:rFonts w:ascii="Palatino Linotype" w:eastAsia="Calibri" w:hAnsi="Palatino Linotype" w:cs="Arial"/>
          <w:i/>
          <w:lang w:val="es-ES"/>
        </w:rPr>
      </w:pPr>
      <w:r w:rsidRPr="00A01837">
        <w:rPr>
          <w:rFonts w:ascii="Palatino Linotype" w:eastAsia="Calibri" w:hAnsi="Palatino Linotype" w:cs="Arial"/>
          <w:i/>
        </w:rPr>
        <w:t>“</w:t>
      </w:r>
      <w:r w:rsidR="000678F0" w:rsidRPr="00A01837">
        <w:rPr>
          <w:rFonts w:ascii="Palatino Linotype" w:eastAsia="Calibri" w:hAnsi="Palatino Linotype" w:cs="Arial"/>
          <w:i/>
        </w:rPr>
        <w:t xml:space="preserve">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w:t>
      </w:r>
      <w:proofErr w:type="spellStart"/>
      <w:r w:rsidR="000678F0" w:rsidRPr="00A01837">
        <w:rPr>
          <w:rFonts w:ascii="Palatino Linotype" w:eastAsia="Calibri" w:hAnsi="Palatino Linotype" w:cs="Arial"/>
          <w:i/>
        </w:rPr>
        <w:lastRenderedPageBreak/>
        <w:t>como</w:t>
      </w:r>
      <w:proofErr w:type="spellEnd"/>
      <w:r w:rsidR="000678F0" w:rsidRPr="00A01837">
        <w:rPr>
          <w:rFonts w:ascii="Palatino Linotype" w:eastAsia="Calibri" w:hAnsi="Palatino Linotype" w:cs="Arial"/>
          <w:i/>
        </w:rPr>
        <w:t xml:space="preserve"> y en que se erogaron esos recursos recibidos al Secretariado se le solicita, los informes que recibió de EDO, CDMX, Michoacán , HIDALGO ,y Jalisco del mismo periodo con los comprobantes a las contralorías la revisión de bases, anexos técnicos de los bienes comprados, así como </w:t>
      </w:r>
      <w:proofErr w:type="spellStart"/>
      <w:r w:rsidR="000678F0" w:rsidRPr="00A01837">
        <w:rPr>
          <w:rFonts w:ascii="Palatino Linotype" w:eastAsia="Calibri" w:hAnsi="Palatino Linotype" w:cs="Arial"/>
          <w:i/>
        </w:rPr>
        <w:t>auditorias</w:t>
      </w:r>
      <w:proofErr w:type="spellEnd"/>
      <w:r w:rsidR="000678F0" w:rsidRPr="00A01837">
        <w:rPr>
          <w:rFonts w:ascii="Palatino Linotype" w:eastAsia="Calibri" w:hAnsi="Palatino Linotype" w:cs="Arial"/>
          <w:i/>
        </w:rPr>
        <w:t xml:space="preserve"> practicadas</w:t>
      </w:r>
      <w:r w:rsidR="00383583" w:rsidRPr="00A01837">
        <w:rPr>
          <w:rFonts w:ascii="Palatino Linotype" w:eastAsia="Calibri" w:hAnsi="Palatino Linotype" w:cs="Arial"/>
          <w:i/>
        </w:rPr>
        <w:t xml:space="preserve">”. </w:t>
      </w:r>
      <w:r w:rsidRPr="00A01837">
        <w:rPr>
          <w:rFonts w:ascii="Palatino Linotype" w:eastAsia="Calibri" w:hAnsi="Palatino Linotype" w:cs="Arial"/>
          <w:i/>
        </w:rPr>
        <w:t>(</w:t>
      </w:r>
      <w:proofErr w:type="gramStart"/>
      <w:r w:rsidRPr="00A01837">
        <w:rPr>
          <w:rFonts w:ascii="Palatino Linotype" w:eastAsia="Calibri" w:hAnsi="Palatino Linotype" w:cs="Arial"/>
          <w:i/>
        </w:rPr>
        <w:t>sic</w:t>
      </w:r>
      <w:proofErr w:type="gramEnd"/>
      <w:r w:rsidRPr="00A01837">
        <w:rPr>
          <w:rFonts w:ascii="Palatino Linotype" w:eastAsia="Calibri" w:hAnsi="Palatino Linotype" w:cs="Arial"/>
          <w:i/>
        </w:rPr>
        <w:t>)</w:t>
      </w:r>
    </w:p>
    <w:p w14:paraId="4F3FDF4B" w14:textId="77777777" w:rsidR="001A023E" w:rsidRPr="00A01837" w:rsidRDefault="001A023E" w:rsidP="00A01837">
      <w:pPr>
        <w:pStyle w:val="Prrafodelista"/>
        <w:spacing w:line="360" w:lineRule="auto"/>
        <w:ind w:left="0"/>
        <w:jc w:val="both"/>
        <w:rPr>
          <w:rFonts w:ascii="Palatino Linotype" w:hAnsi="Palatino Linotype"/>
        </w:rPr>
      </w:pPr>
    </w:p>
    <w:p w14:paraId="4878FBB0" w14:textId="77BD6BDE" w:rsidR="005D11DD" w:rsidRPr="00A01837" w:rsidRDefault="005D11DD" w:rsidP="00A01837">
      <w:pPr>
        <w:pStyle w:val="Prrafodelista"/>
        <w:numPr>
          <w:ilvl w:val="0"/>
          <w:numId w:val="1"/>
        </w:numPr>
        <w:spacing w:line="360" w:lineRule="auto"/>
        <w:ind w:left="0" w:firstLine="0"/>
        <w:jc w:val="both"/>
        <w:rPr>
          <w:rFonts w:ascii="Palatino Linotype" w:hAnsi="Palatino Linotype"/>
        </w:rPr>
      </w:pPr>
      <w:r w:rsidRPr="00A01837">
        <w:rPr>
          <w:rFonts w:ascii="Palatino Linotype" w:hAnsi="Palatino Linotype"/>
        </w:rPr>
        <w:t xml:space="preserve">Se hace constar que se señaló como modalidad de entrega de la información: a través del Sistema de Acceso a la Información Mexiquense </w:t>
      </w:r>
      <w:r w:rsidRPr="00A01837">
        <w:rPr>
          <w:rFonts w:ascii="Palatino Linotype" w:hAnsi="Palatino Linotype"/>
          <w:b/>
        </w:rPr>
        <w:t>(SAIMEX)</w:t>
      </w:r>
      <w:r w:rsidRPr="00A01837">
        <w:rPr>
          <w:rFonts w:ascii="Palatino Linotype" w:hAnsi="Palatino Linotype"/>
        </w:rPr>
        <w:t>.</w:t>
      </w:r>
    </w:p>
    <w:p w14:paraId="07007439" w14:textId="77777777" w:rsidR="005D11DD" w:rsidRPr="00A01837" w:rsidRDefault="005D11DD" w:rsidP="00A01837">
      <w:pPr>
        <w:pStyle w:val="Prrafodelista"/>
        <w:spacing w:line="360" w:lineRule="auto"/>
        <w:ind w:left="284"/>
        <w:jc w:val="both"/>
        <w:rPr>
          <w:rFonts w:ascii="Palatino Linotype" w:hAnsi="Palatino Linotype"/>
        </w:rPr>
      </w:pPr>
    </w:p>
    <w:p w14:paraId="21B0DED1" w14:textId="651CE25E" w:rsidR="009C0E5E" w:rsidRPr="00A01837" w:rsidRDefault="00B438BF" w:rsidP="00A01837">
      <w:pPr>
        <w:pStyle w:val="Prrafodelista"/>
        <w:numPr>
          <w:ilvl w:val="0"/>
          <w:numId w:val="1"/>
        </w:numPr>
        <w:spacing w:line="360" w:lineRule="auto"/>
        <w:ind w:left="0" w:firstLine="0"/>
        <w:jc w:val="both"/>
        <w:rPr>
          <w:rFonts w:ascii="Palatino Linotype" w:hAnsi="Palatino Linotype"/>
        </w:rPr>
      </w:pPr>
      <w:r w:rsidRPr="00A01837">
        <w:rPr>
          <w:rFonts w:ascii="Palatino Linotype" w:eastAsia="Times New Roman" w:hAnsi="Palatino Linotype" w:cs="Arial"/>
          <w:lang w:val="es-ES"/>
        </w:rPr>
        <w:t xml:space="preserve">El día </w:t>
      </w:r>
      <w:r w:rsidR="000678F0" w:rsidRPr="00A01837">
        <w:rPr>
          <w:rFonts w:ascii="Palatino Linotype" w:eastAsia="Times New Roman" w:hAnsi="Palatino Linotype" w:cs="Arial"/>
          <w:lang w:val="es-ES"/>
        </w:rPr>
        <w:t xml:space="preserve">treinta y uno </w:t>
      </w:r>
      <w:r w:rsidR="00585F00" w:rsidRPr="00A01837">
        <w:rPr>
          <w:rFonts w:ascii="Palatino Linotype" w:eastAsia="Times New Roman" w:hAnsi="Palatino Linotype" w:cs="Arial"/>
          <w:lang w:val="es-ES"/>
        </w:rPr>
        <w:t>(</w:t>
      </w:r>
      <w:r w:rsidR="000678F0" w:rsidRPr="00A01837">
        <w:rPr>
          <w:rFonts w:ascii="Palatino Linotype" w:eastAsia="Times New Roman" w:hAnsi="Palatino Linotype" w:cs="Arial"/>
          <w:lang w:val="es-ES"/>
        </w:rPr>
        <w:t>31)</w:t>
      </w:r>
      <w:r w:rsidR="00EC31A0" w:rsidRPr="00A01837">
        <w:rPr>
          <w:rFonts w:ascii="Palatino Linotype" w:eastAsia="Times New Roman" w:hAnsi="Palatino Linotype" w:cs="Arial"/>
          <w:lang w:val="es-ES"/>
        </w:rPr>
        <w:t xml:space="preserve"> de</w:t>
      </w:r>
      <w:r w:rsidR="00300662" w:rsidRPr="00A01837">
        <w:rPr>
          <w:rFonts w:ascii="Palatino Linotype" w:eastAsia="Times New Roman" w:hAnsi="Palatino Linotype" w:cs="Arial"/>
          <w:lang w:val="es-ES"/>
        </w:rPr>
        <w:t xml:space="preserve"> </w:t>
      </w:r>
      <w:r w:rsidR="000678F0" w:rsidRPr="00A01837">
        <w:rPr>
          <w:rFonts w:ascii="Palatino Linotype" w:eastAsia="Times New Roman" w:hAnsi="Palatino Linotype" w:cs="Arial"/>
          <w:lang w:val="es-ES"/>
        </w:rPr>
        <w:t>julio</w:t>
      </w:r>
      <w:r w:rsidR="00EC31A0" w:rsidRPr="00A01837">
        <w:rPr>
          <w:rFonts w:ascii="Palatino Linotype" w:eastAsia="Times New Roman" w:hAnsi="Palatino Linotype" w:cs="Arial"/>
          <w:lang w:val="es-ES"/>
        </w:rPr>
        <w:t xml:space="preserve"> </w:t>
      </w:r>
      <w:r w:rsidR="00585F00" w:rsidRPr="00A01837">
        <w:rPr>
          <w:rFonts w:ascii="Palatino Linotype" w:eastAsia="Times New Roman" w:hAnsi="Palatino Linotype" w:cs="Arial"/>
          <w:lang w:val="es-ES"/>
        </w:rPr>
        <w:t>de dos mil dieci</w:t>
      </w:r>
      <w:r w:rsidR="000014C2" w:rsidRPr="00A01837">
        <w:rPr>
          <w:rFonts w:ascii="Palatino Linotype" w:eastAsia="Times New Roman" w:hAnsi="Palatino Linotype" w:cs="Arial"/>
          <w:lang w:val="es-ES"/>
        </w:rPr>
        <w:t>nueve</w:t>
      </w:r>
      <w:r w:rsidR="00585F00" w:rsidRPr="00A01837">
        <w:rPr>
          <w:rFonts w:ascii="Palatino Linotype" w:eastAsia="Times New Roman" w:hAnsi="Palatino Linotype" w:cs="Arial"/>
          <w:lang w:val="es-ES"/>
        </w:rPr>
        <w:t xml:space="preserve">, el </w:t>
      </w:r>
      <w:r w:rsidR="00D96BE8" w:rsidRPr="00A01837">
        <w:rPr>
          <w:rFonts w:ascii="Palatino Linotype" w:eastAsia="Times New Roman" w:hAnsi="Palatino Linotype" w:cs="Arial"/>
          <w:b/>
          <w:lang w:val="es-ES"/>
        </w:rPr>
        <w:t>Sujeto Obligado</w:t>
      </w:r>
      <w:r w:rsidR="00D96BE8" w:rsidRPr="00A01837">
        <w:rPr>
          <w:rFonts w:ascii="Palatino Linotype" w:eastAsia="Times New Roman" w:hAnsi="Palatino Linotype" w:cs="Arial"/>
          <w:lang w:val="es-ES"/>
        </w:rPr>
        <w:t xml:space="preserve"> </w:t>
      </w:r>
      <w:r w:rsidR="000014C2" w:rsidRPr="00A01837">
        <w:rPr>
          <w:rFonts w:ascii="Palatino Linotype" w:eastAsia="Times New Roman" w:hAnsi="Palatino Linotype" w:cs="Arial"/>
          <w:lang w:val="es-ES"/>
        </w:rPr>
        <w:t xml:space="preserve">dio respuesta a la solicitud de información en la cual señaló lo siguiente: </w:t>
      </w:r>
    </w:p>
    <w:p w14:paraId="5ADE62C1" w14:textId="77777777" w:rsidR="000014C2" w:rsidRPr="00A01837" w:rsidRDefault="000014C2" w:rsidP="00A01837">
      <w:pPr>
        <w:pStyle w:val="Prrafodelista"/>
        <w:spacing w:line="360" w:lineRule="auto"/>
        <w:rPr>
          <w:rFonts w:ascii="Palatino Linotype" w:hAnsi="Palatino Linotype"/>
        </w:rPr>
      </w:pPr>
    </w:p>
    <w:tbl>
      <w:tblPr>
        <w:tblW w:w="8945" w:type="dxa"/>
        <w:tblCellSpacing w:w="0" w:type="dxa"/>
        <w:tblCellMar>
          <w:left w:w="0" w:type="dxa"/>
          <w:right w:w="0" w:type="dxa"/>
        </w:tblCellMar>
        <w:tblLook w:val="04A0" w:firstRow="1" w:lastRow="0" w:firstColumn="1" w:lastColumn="0" w:noHBand="0" w:noVBand="1"/>
      </w:tblPr>
      <w:tblGrid>
        <w:gridCol w:w="8945"/>
      </w:tblGrid>
      <w:tr w:rsidR="000678F0" w:rsidRPr="00A01837" w14:paraId="38FB28D2" w14:textId="77777777" w:rsidTr="000678F0">
        <w:trPr>
          <w:trHeight w:val="300"/>
          <w:tblCellSpacing w:w="0" w:type="dxa"/>
        </w:trPr>
        <w:tc>
          <w:tcPr>
            <w:tcW w:w="8945" w:type="dxa"/>
            <w:vAlign w:val="center"/>
            <w:hideMark/>
          </w:tcPr>
          <w:p w14:paraId="0BD9AE2A" w14:textId="77777777" w:rsidR="000678F0" w:rsidRPr="00A01837" w:rsidRDefault="000678F0" w:rsidP="00A01837">
            <w:pPr>
              <w:spacing w:line="360" w:lineRule="auto"/>
              <w:jc w:val="right"/>
              <w:rPr>
                <w:rFonts w:ascii="Palatino Linotype" w:eastAsia="Times New Roman" w:hAnsi="Palatino Linotype" w:cs="Times New Roman"/>
                <w:lang w:val="es-MX" w:eastAsia="es-MX"/>
              </w:rPr>
            </w:pPr>
            <w:r w:rsidRPr="00A01837">
              <w:rPr>
                <w:rFonts w:ascii="Palatino Linotype" w:eastAsia="Times New Roman" w:hAnsi="Palatino Linotype" w:cs="Times New Roman"/>
                <w:lang w:val="es-MX" w:eastAsia="es-MX"/>
              </w:rPr>
              <w:t>Metepec, México a 31 de Julio de 2019</w:t>
            </w:r>
          </w:p>
        </w:tc>
      </w:tr>
      <w:tr w:rsidR="000678F0" w:rsidRPr="00A01837" w14:paraId="0F87FBDF" w14:textId="77777777" w:rsidTr="000678F0">
        <w:trPr>
          <w:trHeight w:val="300"/>
          <w:tblCellSpacing w:w="0" w:type="dxa"/>
        </w:trPr>
        <w:tc>
          <w:tcPr>
            <w:tcW w:w="8945" w:type="dxa"/>
            <w:vAlign w:val="center"/>
            <w:hideMark/>
          </w:tcPr>
          <w:p w14:paraId="1659D689" w14:textId="795F55BC" w:rsidR="000678F0" w:rsidRPr="00A01837" w:rsidRDefault="000678F0" w:rsidP="00947078">
            <w:pPr>
              <w:spacing w:line="360" w:lineRule="auto"/>
              <w:jc w:val="right"/>
              <w:rPr>
                <w:rFonts w:ascii="Palatino Linotype" w:eastAsia="Times New Roman" w:hAnsi="Palatino Linotype" w:cs="Times New Roman"/>
                <w:lang w:val="es-MX" w:eastAsia="es-MX"/>
              </w:rPr>
            </w:pPr>
            <w:r w:rsidRPr="00A01837">
              <w:rPr>
                <w:rFonts w:ascii="Palatino Linotype" w:eastAsia="Times New Roman" w:hAnsi="Palatino Linotype" w:cs="Times New Roman"/>
                <w:lang w:val="es-MX" w:eastAsia="es-MX"/>
              </w:rPr>
              <w:t xml:space="preserve">Nombre del solicitante: </w:t>
            </w:r>
            <w:r w:rsidR="00947078" w:rsidRPr="00947078">
              <w:rPr>
                <w:rFonts w:ascii="Palatino Linotype" w:eastAsia="Times New Roman" w:hAnsi="Palatino Linotype" w:cs="Times New Roman"/>
                <w:highlight w:val="black"/>
                <w:lang w:val="es-MX" w:eastAsia="es-MX"/>
              </w:rPr>
              <w:t>-</w:t>
            </w:r>
            <w:r w:rsidR="00947078">
              <w:rPr>
                <w:rFonts w:ascii="Palatino Linotype" w:eastAsia="Times New Roman" w:hAnsi="Palatino Linotype" w:cs="Times New Roman"/>
                <w:highlight w:val="black"/>
                <w:lang w:val="es-MX" w:eastAsia="es-MX"/>
              </w:rPr>
              <w:t>--------------</w:t>
            </w:r>
            <w:r w:rsidR="00947078" w:rsidRPr="00947078">
              <w:rPr>
                <w:rFonts w:ascii="Palatino Linotype" w:eastAsia="Times New Roman" w:hAnsi="Palatino Linotype" w:cs="Times New Roman"/>
                <w:highlight w:val="black"/>
                <w:lang w:val="es-MX" w:eastAsia="es-MX"/>
              </w:rPr>
              <w:t>---------</w:t>
            </w:r>
          </w:p>
        </w:tc>
      </w:tr>
      <w:tr w:rsidR="000678F0" w:rsidRPr="00A01837" w14:paraId="2F3C3C83" w14:textId="77777777" w:rsidTr="000678F0">
        <w:trPr>
          <w:trHeight w:val="300"/>
          <w:tblCellSpacing w:w="0" w:type="dxa"/>
        </w:trPr>
        <w:tc>
          <w:tcPr>
            <w:tcW w:w="8945" w:type="dxa"/>
            <w:vAlign w:val="center"/>
            <w:hideMark/>
          </w:tcPr>
          <w:p w14:paraId="6ED65308" w14:textId="77777777" w:rsidR="000678F0" w:rsidRPr="00A01837" w:rsidRDefault="000678F0" w:rsidP="00A01837">
            <w:pPr>
              <w:spacing w:line="360" w:lineRule="auto"/>
              <w:jc w:val="right"/>
              <w:rPr>
                <w:rFonts w:ascii="Palatino Linotype" w:eastAsia="Times New Roman" w:hAnsi="Palatino Linotype" w:cs="Times New Roman"/>
                <w:lang w:val="es-MX" w:eastAsia="es-MX"/>
              </w:rPr>
            </w:pPr>
            <w:r w:rsidRPr="00A01837">
              <w:rPr>
                <w:rFonts w:ascii="Palatino Linotype" w:eastAsia="Times New Roman" w:hAnsi="Palatino Linotype" w:cs="Times New Roman"/>
                <w:lang w:val="es-MX" w:eastAsia="es-MX"/>
              </w:rPr>
              <w:t>Folio de la solicitud: 00621/SF/IP/2019</w:t>
            </w:r>
          </w:p>
        </w:tc>
      </w:tr>
      <w:tr w:rsidR="000678F0" w:rsidRPr="00A01837" w14:paraId="1AFC960D" w14:textId="77777777" w:rsidTr="000678F0">
        <w:trPr>
          <w:trHeight w:val="450"/>
          <w:tblCellSpacing w:w="0" w:type="dxa"/>
        </w:trPr>
        <w:tc>
          <w:tcPr>
            <w:tcW w:w="8945" w:type="dxa"/>
            <w:vAlign w:val="center"/>
            <w:hideMark/>
          </w:tcPr>
          <w:p w14:paraId="34EA48EE" w14:textId="77777777" w:rsidR="000678F0" w:rsidRPr="00A01837" w:rsidRDefault="000678F0" w:rsidP="00A01837">
            <w:pPr>
              <w:spacing w:line="360" w:lineRule="auto"/>
              <w:jc w:val="right"/>
              <w:rPr>
                <w:rFonts w:ascii="Palatino Linotype" w:eastAsia="Times New Roman" w:hAnsi="Palatino Linotype" w:cs="Times New Roman"/>
                <w:lang w:val="es-MX" w:eastAsia="es-MX"/>
              </w:rPr>
            </w:pPr>
          </w:p>
        </w:tc>
      </w:tr>
      <w:tr w:rsidR="000678F0" w:rsidRPr="00A01837" w14:paraId="2F6C7DE5" w14:textId="77777777" w:rsidTr="000678F0">
        <w:trPr>
          <w:trHeight w:val="150"/>
          <w:tblCellSpacing w:w="0" w:type="dxa"/>
        </w:trPr>
        <w:tc>
          <w:tcPr>
            <w:tcW w:w="8945" w:type="dxa"/>
            <w:vAlign w:val="center"/>
            <w:hideMark/>
          </w:tcPr>
          <w:p w14:paraId="12826514" w14:textId="77777777" w:rsidR="000678F0" w:rsidRPr="00A01837" w:rsidRDefault="000678F0" w:rsidP="00A01837">
            <w:pPr>
              <w:spacing w:line="360" w:lineRule="auto"/>
              <w:jc w:val="both"/>
              <w:rPr>
                <w:rFonts w:ascii="Palatino Linotype" w:eastAsia="Times New Roman" w:hAnsi="Palatino Linotype" w:cs="Times New Roman"/>
                <w:lang w:val="es-MX" w:eastAsia="es-MX"/>
              </w:rPr>
            </w:pPr>
            <w:r w:rsidRPr="00A01837">
              <w:rPr>
                <w:rFonts w:ascii="Palatino Linotype" w:eastAsia="Times New Roman" w:hAnsi="Palatino Linotype" w:cs="Times New Roman"/>
                <w:lang w:val="es-MX" w:eastAsia="es-MX"/>
              </w:rPr>
              <w:t>Sobre el particular, sírvase encontrar en archivo adjunto copia del Acuerdo de Incompetencia de fecha 31 de julio de 2019, mediante el cual se detalla incompetencia de este Sujeto Obligado</w:t>
            </w:r>
          </w:p>
        </w:tc>
      </w:tr>
      <w:tr w:rsidR="000678F0" w:rsidRPr="00A01837" w14:paraId="0E527EE6" w14:textId="77777777" w:rsidTr="000678F0">
        <w:trPr>
          <w:trHeight w:val="375"/>
          <w:tblCellSpacing w:w="0" w:type="dxa"/>
        </w:trPr>
        <w:tc>
          <w:tcPr>
            <w:tcW w:w="8945" w:type="dxa"/>
            <w:vAlign w:val="center"/>
            <w:hideMark/>
          </w:tcPr>
          <w:p w14:paraId="7026748F" w14:textId="77777777" w:rsidR="000678F0" w:rsidRPr="00A01837" w:rsidRDefault="000678F0" w:rsidP="00A01837">
            <w:pPr>
              <w:spacing w:line="360" w:lineRule="auto"/>
              <w:rPr>
                <w:rFonts w:ascii="Palatino Linotype" w:eastAsia="Times New Roman" w:hAnsi="Palatino Linotype" w:cs="Times New Roman"/>
                <w:lang w:val="es-MX" w:eastAsia="es-MX"/>
              </w:rPr>
            </w:pPr>
          </w:p>
        </w:tc>
      </w:tr>
      <w:tr w:rsidR="000678F0" w:rsidRPr="00A01837" w14:paraId="23FE8A56" w14:textId="77777777" w:rsidTr="000678F0">
        <w:trPr>
          <w:trHeight w:val="150"/>
          <w:tblCellSpacing w:w="0" w:type="dxa"/>
        </w:trPr>
        <w:tc>
          <w:tcPr>
            <w:tcW w:w="8945" w:type="dxa"/>
            <w:vAlign w:val="center"/>
            <w:hideMark/>
          </w:tcPr>
          <w:p w14:paraId="0DDAF53B" w14:textId="77777777" w:rsidR="000678F0" w:rsidRPr="00A01837" w:rsidRDefault="000678F0" w:rsidP="00A01837">
            <w:pPr>
              <w:spacing w:line="360" w:lineRule="auto"/>
              <w:jc w:val="center"/>
              <w:rPr>
                <w:rFonts w:ascii="Palatino Linotype" w:eastAsia="Times New Roman" w:hAnsi="Palatino Linotype" w:cs="Times New Roman"/>
                <w:lang w:val="es-MX" w:eastAsia="es-MX"/>
              </w:rPr>
            </w:pPr>
          </w:p>
        </w:tc>
      </w:tr>
      <w:tr w:rsidR="000678F0" w:rsidRPr="00A01837" w14:paraId="6A0BBC1C" w14:textId="77777777" w:rsidTr="000678F0">
        <w:trPr>
          <w:trHeight w:val="150"/>
          <w:tblCellSpacing w:w="0" w:type="dxa"/>
        </w:trPr>
        <w:tc>
          <w:tcPr>
            <w:tcW w:w="8945" w:type="dxa"/>
            <w:vAlign w:val="center"/>
            <w:hideMark/>
          </w:tcPr>
          <w:p w14:paraId="770DDE07" w14:textId="77777777" w:rsidR="000678F0" w:rsidRPr="00A01837" w:rsidRDefault="000678F0" w:rsidP="00A01837">
            <w:pPr>
              <w:spacing w:line="360" w:lineRule="auto"/>
              <w:jc w:val="center"/>
              <w:rPr>
                <w:rFonts w:ascii="Palatino Linotype" w:eastAsia="Times New Roman" w:hAnsi="Palatino Linotype" w:cs="Times New Roman"/>
                <w:lang w:val="es-MX" w:eastAsia="es-MX"/>
              </w:rPr>
            </w:pPr>
          </w:p>
        </w:tc>
      </w:tr>
      <w:tr w:rsidR="000678F0" w:rsidRPr="00A01837" w14:paraId="2BDD9C2C" w14:textId="77777777" w:rsidTr="000678F0">
        <w:trPr>
          <w:trHeight w:val="150"/>
          <w:tblCellSpacing w:w="0" w:type="dxa"/>
        </w:trPr>
        <w:tc>
          <w:tcPr>
            <w:tcW w:w="8945" w:type="dxa"/>
            <w:vAlign w:val="center"/>
            <w:hideMark/>
          </w:tcPr>
          <w:p w14:paraId="5F3C6AE4" w14:textId="77777777" w:rsidR="000678F0" w:rsidRPr="00A01837" w:rsidRDefault="000678F0" w:rsidP="00A01837">
            <w:pPr>
              <w:spacing w:line="360" w:lineRule="auto"/>
              <w:jc w:val="center"/>
              <w:rPr>
                <w:rFonts w:ascii="Palatino Linotype" w:eastAsia="Times New Roman" w:hAnsi="Palatino Linotype" w:cs="Times New Roman"/>
                <w:lang w:val="es-MX" w:eastAsia="es-MX"/>
              </w:rPr>
            </w:pPr>
            <w:r w:rsidRPr="00A01837">
              <w:rPr>
                <w:rFonts w:ascii="Palatino Linotype" w:eastAsia="Times New Roman" w:hAnsi="Palatino Linotype" w:cs="Times New Roman"/>
                <w:lang w:val="es-MX" w:eastAsia="es-MX"/>
              </w:rPr>
              <w:t>ATENTAMENTE</w:t>
            </w:r>
          </w:p>
        </w:tc>
      </w:tr>
      <w:tr w:rsidR="000678F0" w:rsidRPr="00A01837" w14:paraId="328F8035" w14:textId="77777777" w:rsidTr="000678F0">
        <w:trPr>
          <w:trHeight w:val="150"/>
          <w:tblCellSpacing w:w="0" w:type="dxa"/>
        </w:trPr>
        <w:tc>
          <w:tcPr>
            <w:tcW w:w="8945" w:type="dxa"/>
            <w:vAlign w:val="center"/>
            <w:hideMark/>
          </w:tcPr>
          <w:p w14:paraId="78355F21" w14:textId="77777777" w:rsidR="000678F0" w:rsidRPr="00A01837" w:rsidRDefault="000678F0" w:rsidP="00A01837">
            <w:pPr>
              <w:spacing w:line="360" w:lineRule="auto"/>
              <w:jc w:val="center"/>
              <w:rPr>
                <w:rFonts w:ascii="Palatino Linotype" w:eastAsia="Times New Roman" w:hAnsi="Palatino Linotype" w:cs="Times New Roman"/>
                <w:lang w:val="es-MX" w:eastAsia="es-MX"/>
              </w:rPr>
            </w:pPr>
            <w:r w:rsidRPr="00A01837">
              <w:rPr>
                <w:rFonts w:ascii="Palatino Linotype" w:eastAsia="Times New Roman" w:hAnsi="Palatino Linotype" w:cs="Times New Roman"/>
                <w:lang w:val="es-MX" w:eastAsia="es-MX"/>
              </w:rPr>
              <w:t xml:space="preserve">Lic. Rodolfo Esteban </w:t>
            </w:r>
            <w:proofErr w:type="spellStart"/>
            <w:r w:rsidRPr="00A01837">
              <w:rPr>
                <w:rFonts w:ascii="Palatino Linotype" w:eastAsia="Times New Roman" w:hAnsi="Palatino Linotype" w:cs="Times New Roman"/>
                <w:lang w:val="es-MX" w:eastAsia="es-MX"/>
              </w:rPr>
              <w:t>Rivadeneyra</w:t>
            </w:r>
            <w:proofErr w:type="spellEnd"/>
            <w:r w:rsidRPr="00A01837">
              <w:rPr>
                <w:rFonts w:ascii="Palatino Linotype" w:eastAsia="Times New Roman" w:hAnsi="Palatino Linotype" w:cs="Times New Roman"/>
                <w:lang w:val="es-MX" w:eastAsia="es-MX"/>
              </w:rPr>
              <w:t xml:space="preserve"> Hernández</w:t>
            </w:r>
          </w:p>
        </w:tc>
      </w:tr>
    </w:tbl>
    <w:p w14:paraId="32048A6B" w14:textId="22E1E0D9" w:rsidR="000014C2" w:rsidRPr="00A01837" w:rsidRDefault="000014C2" w:rsidP="00A01837">
      <w:pPr>
        <w:pStyle w:val="Prrafodelista"/>
        <w:spacing w:line="360" w:lineRule="auto"/>
        <w:ind w:left="0"/>
        <w:jc w:val="both"/>
        <w:rPr>
          <w:rFonts w:ascii="Palatino Linotype" w:hAnsi="Palatino Linotype"/>
          <w:b/>
          <w:i/>
        </w:rPr>
      </w:pPr>
    </w:p>
    <w:p w14:paraId="29E1CC19" w14:textId="7D7ADA53" w:rsidR="000678F0" w:rsidRPr="00A01837" w:rsidRDefault="000678F0" w:rsidP="00A01837">
      <w:pPr>
        <w:pStyle w:val="Prrafodelista"/>
        <w:numPr>
          <w:ilvl w:val="0"/>
          <w:numId w:val="1"/>
        </w:numPr>
        <w:spacing w:line="360" w:lineRule="auto"/>
        <w:ind w:left="0" w:firstLine="0"/>
        <w:jc w:val="both"/>
        <w:rPr>
          <w:rFonts w:ascii="Palatino Linotype" w:hAnsi="Palatino Linotype"/>
          <w:b/>
          <w:i/>
        </w:rPr>
      </w:pPr>
      <w:r w:rsidRPr="00A01837">
        <w:rPr>
          <w:rFonts w:ascii="Palatino Linotype" w:hAnsi="Palatino Linotype"/>
          <w:bCs/>
          <w:iCs/>
        </w:rPr>
        <w:t xml:space="preserve">Anexando a su respuesta un archivo de nombre </w:t>
      </w:r>
      <w:r w:rsidRPr="00A01837">
        <w:rPr>
          <w:rFonts w:ascii="Palatino Linotype" w:hAnsi="Palatino Linotype"/>
          <w:b/>
          <w:iCs/>
        </w:rPr>
        <w:t xml:space="preserve">621 Acuerdo de Incompetencia.pdf </w:t>
      </w:r>
      <w:r w:rsidRPr="00A01837">
        <w:rPr>
          <w:rFonts w:ascii="Palatino Linotype" w:hAnsi="Palatino Linotype"/>
          <w:bCs/>
          <w:iCs/>
        </w:rPr>
        <w:t>el cual contiene un archivo en formato PDF que consta de dos (02) fojas, donde medu</w:t>
      </w:r>
      <w:r w:rsidR="00CA1C5F" w:rsidRPr="00A01837">
        <w:rPr>
          <w:rFonts w:ascii="Palatino Linotype" w:hAnsi="Palatino Linotype"/>
          <w:bCs/>
          <w:iCs/>
        </w:rPr>
        <w:t xml:space="preserve">larmente se señala que la información solicitada no es generada por la Secretaría de Finanzas, sino que corresponde al Secretariado Ejecutivo del Sistema Nacional de Seguridad Pública. </w:t>
      </w:r>
    </w:p>
    <w:p w14:paraId="6D169EFB" w14:textId="77777777" w:rsidR="00CA1C5F" w:rsidRPr="00A01837" w:rsidRDefault="00CA1C5F" w:rsidP="00A01837">
      <w:pPr>
        <w:pStyle w:val="Prrafodelista"/>
        <w:spacing w:line="360" w:lineRule="auto"/>
        <w:ind w:left="0"/>
        <w:jc w:val="both"/>
        <w:rPr>
          <w:rFonts w:ascii="Palatino Linotype" w:hAnsi="Palatino Linotype"/>
          <w:b/>
          <w:i/>
        </w:rPr>
      </w:pPr>
    </w:p>
    <w:p w14:paraId="2A2586A6" w14:textId="3C36F3E1" w:rsidR="001A023E" w:rsidRPr="00A01837" w:rsidRDefault="001A3FE6" w:rsidP="00A01837">
      <w:pPr>
        <w:pStyle w:val="Prrafodelista"/>
        <w:numPr>
          <w:ilvl w:val="0"/>
          <w:numId w:val="1"/>
        </w:numPr>
        <w:spacing w:line="360" w:lineRule="auto"/>
        <w:ind w:left="0" w:firstLine="0"/>
        <w:jc w:val="both"/>
        <w:rPr>
          <w:rFonts w:ascii="Palatino Linotype" w:hAnsi="Palatino Linotype"/>
          <w:b/>
          <w:i/>
        </w:rPr>
      </w:pPr>
      <w:r w:rsidRPr="00A01837">
        <w:rPr>
          <w:rFonts w:ascii="Palatino Linotype" w:hAnsi="Palatino Linotype"/>
        </w:rPr>
        <w:t xml:space="preserve">Posteriormente, en fecha </w:t>
      </w:r>
      <w:r w:rsidR="00CA1C5F" w:rsidRPr="00A01837">
        <w:rPr>
          <w:rFonts w:ascii="Palatino Linotype" w:hAnsi="Palatino Linotype"/>
        </w:rPr>
        <w:t>dos</w:t>
      </w:r>
      <w:r w:rsidR="00300662" w:rsidRPr="00A01837">
        <w:rPr>
          <w:rFonts w:ascii="Palatino Linotype" w:hAnsi="Palatino Linotype"/>
        </w:rPr>
        <w:t xml:space="preserve"> (0</w:t>
      </w:r>
      <w:r w:rsidR="00CA1C5F" w:rsidRPr="00A01837">
        <w:rPr>
          <w:rFonts w:ascii="Palatino Linotype" w:hAnsi="Palatino Linotype"/>
        </w:rPr>
        <w:t>2</w:t>
      </w:r>
      <w:r w:rsidR="009D13AE" w:rsidRPr="00A01837">
        <w:rPr>
          <w:rFonts w:ascii="Palatino Linotype" w:hAnsi="Palatino Linotype"/>
        </w:rPr>
        <w:t>)</w:t>
      </w:r>
      <w:r w:rsidRPr="00A01837">
        <w:rPr>
          <w:rFonts w:ascii="Palatino Linotype" w:hAnsi="Palatino Linotype"/>
        </w:rPr>
        <w:t xml:space="preserve"> de </w:t>
      </w:r>
      <w:r w:rsidR="00CA1C5F" w:rsidRPr="00A01837">
        <w:rPr>
          <w:rFonts w:ascii="Palatino Linotype" w:hAnsi="Palatino Linotype"/>
        </w:rPr>
        <w:t>agosto</w:t>
      </w:r>
      <w:r w:rsidRPr="00A01837">
        <w:rPr>
          <w:rFonts w:ascii="Palatino Linotype" w:hAnsi="Palatino Linotype"/>
        </w:rPr>
        <w:t xml:space="preserve"> de dos mil dieci</w:t>
      </w:r>
      <w:r w:rsidR="009D13AE" w:rsidRPr="00A01837">
        <w:rPr>
          <w:rFonts w:ascii="Palatino Linotype" w:hAnsi="Palatino Linotype"/>
        </w:rPr>
        <w:t>nueve</w:t>
      </w:r>
      <w:r w:rsidRPr="00A01837">
        <w:rPr>
          <w:rFonts w:ascii="Palatino Linotype" w:hAnsi="Palatino Linotype"/>
        </w:rPr>
        <w:t>,</w:t>
      </w:r>
      <w:r w:rsidR="009D13AE" w:rsidRPr="00A01837">
        <w:rPr>
          <w:rFonts w:ascii="Palatino Linotype" w:hAnsi="Palatino Linotype"/>
        </w:rPr>
        <w:t xml:space="preserve"> el particular interpuso recurso de</w:t>
      </w:r>
      <w:r w:rsidRPr="00A01837">
        <w:rPr>
          <w:rFonts w:ascii="Palatino Linotype" w:hAnsi="Palatino Linotype"/>
        </w:rPr>
        <w:t xml:space="preserve"> </w:t>
      </w:r>
      <w:r w:rsidR="00585F00" w:rsidRPr="00A01837">
        <w:rPr>
          <w:rFonts w:ascii="Palatino Linotype" w:eastAsia="Times New Roman" w:hAnsi="Palatino Linotype" w:cs="Arial"/>
          <w:lang w:val="es-ES"/>
        </w:rPr>
        <w:t xml:space="preserve">revisión, en contra de </w:t>
      </w:r>
      <w:r w:rsidR="005D4114" w:rsidRPr="00A01837">
        <w:rPr>
          <w:rFonts w:ascii="Palatino Linotype" w:eastAsia="Times New Roman" w:hAnsi="Palatino Linotype" w:cs="Arial"/>
          <w:lang w:val="es-ES"/>
        </w:rPr>
        <w:t>la respuesta</w:t>
      </w:r>
      <w:r w:rsidR="00585F00" w:rsidRPr="00A01837">
        <w:rPr>
          <w:rFonts w:ascii="Palatino Linotype" w:eastAsia="Times New Roman" w:hAnsi="Palatino Linotype" w:cs="Arial"/>
          <w:lang w:val="es-ES"/>
        </w:rPr>
        <w:t xml:space="preserve"> anteriormente referida, señalando como:</w:t>
      </w:r>
    </w:p>
    <w:p w14:paraId="678030B1" w14:textId="77777777" w:rsidR="000D13EA" w:rsidRPr="00A01837" w:rsidRDefault="000D13EA" w:rsidP="00A01837">
      <w:pPr>
        <w:pStyle w:val="Prrafodelista"/>
        <w:spacing w:line="360" w:lineRule="auto"/>
        <w:ind w:left="0"/>
        <w:jc w:val="both"/>
        <w:rPr>
          <w:rFonts w:ascii="Palatino Linotype" w:hAnsi="Palatino Linotype"/>
          <w:b/>
          <w:i/>
        </w:rPr>
      </w:pPr>
    </w:p>
    <w:p w14:paraId="509F210C" w14:textId="392E705C" w:rsidR="009C0E5E" w:rsidRPr="00A01837" w:rsidRDefault="009C0E5E" w:rsidP="00A01837">
      <w:pPr>
        <w:spacing w:line="360" w:lineRule="auto"/>
        <w:ind w:left="567" w:right="616"/>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A01837">
        <w:rPr>
          <w:rFonts w:ascii="Palatino Linotype" w:eastAsiaTheme="majorEastAsia" w:hAnsi="Palatino Linotype" w:cstheme="majorBidi"/>
          <w:b/>
          <w:lang w:val="es-ES"/>
        </w:rPr>
        <w:t>Acto impugnado</w:t>
      </w:r>
      <w:r w:rsidRPr="00A01837">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A01837">
        <w:rPr>
          <w:rFonts w:ascii="Palatino Linotype" w:eastAsiaTheme="majorEastAsia" w:hAnsi="Palatino Linotype" w:cstheme="majorBidi"/>
          <w:i/>
          <w:lang w:val="es-ES"/>
        </w:rPr>
        <w:t>“</w:t>
      </w:r>
      <w:r w:rsidR="00CA1C5F" w:rsidRPr="00A01837">
        <w:rPr>
          <w:rFonts w:ascii="Palatino Linotype" w:eastAsiaTheme="majorEastAsia" w:hAnsi="Palatino Linotype" w:cstheme="majorBidi"/>
          <w:i/>
        </w:rPr>
        <w:t xml:space="preserve">no entrego nada y la </w:t>
      </w:r>
      <w:proofErr w:type="spellStart"/>
      <w:r w:rsidR="00CA1C5F" w:rsidRPr="00A01837">
        <w:rPr>
          <w:rFonts w:ascii="Palatino Linotype" w:eastAsiaTheme="majorEastAsia" w:hAnsi="Palatino Linotype" w:cstheme="majorBidi"/>
          <w:i/>
        </w:rPr>
        <w:t>ssc</w:t>
      </w:r>
      <w:proofErr w:type="spellEnd"/>
      <w:r w:rsidR="00CA1C5F" w:rsidRPr="00A01837">
        <w:rPr>
          <w:rFonts w:ascii="Palatino Linotype" w:eastAsiaTheme="majorEastAsia" w:hAnsi="Palatino Linotype" w:cstheme="majorBidi"/>
          <w:i/>
        </w:rPr>
        <w:t xml:space="preserve"> tampoco conclusión ambos esconden en que se gastaron esos cientos de millones de pesos</w:t>
      </w:r>
      <w:r w:rsidR="005123D2" w:rsidRPr="00A01837">
        <w:rPr>
          <w:rFonts w:ascii="Palatino Linotype" w:eastAsiaTheme="majorEastAsia" w:hAnsi="Palatino Linotype" w:cstheme="majorBidi"/>
          <w:i/>
        </w:rPr>
        <w:t xml:space="preserve">” (Sic) </w:t>
      </w:r>
    </w:p>
    <w:p w14:paraId="03C3B748" w14:textId="77777777" w:rsidR="009C0E5E" w:rsidRPr="00A01837" w:rsidRDefault="009C0E5E" w:rsidP="00A01837">
      <w:pPr>
        <w:spacing w:line="360" w:lineRule="auto"/>
        <w:ind w:left="567" w:right="616"/>
        <w:contextualSpacing/>
        <w:jc w:val="both"/>
        <w:rPr>
          <w:rFonts w:ascii="Palatino Linotype" w:hAnsi="Palatino Linotype" w:cs="Arial"/>
          <w:i/>
        </w:rPr>
      </w:pPr>
    </w:p>
    <w:p w14:paraId="2145DB10" w14:textId="6AC7BB44" w:rsidR="0041336F" w:rsidRPr="00A01837" w:rsidRDefault="009C0E5E" w:rsidP="00A01837">
      <w:pPr>
        <w:spacing w:line="360" w:lineRule="auto"/>
        <w:ind w:left="567" w:right="616"/>
        <w:jc w:val="both"/>
        <w:rPr>
          <w:rFonts w:ascii="Palatino Linotype" w:eastAsiaTheme="majorEastAsia" w:hAnsi="Palatino Linotype" w:cstheme="majorBidi"/>
          <w:i/>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A01837">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A01837">
        <w:rPr>
          <w:rFonts w:ascii="Palatino Linotype" w:eastAsiaTheme="majorEastAsia" w:hAnsi="Palatino Linotype" w:cstheme="majorBidi"/>
          <w:b/>
          <w:lang w:val="es-ES"/>
        </w:rPr>
        <w:t xml:space="preserve">: </w:t>
      </w:r>
      <w:r w:rsidR="00C665F8" w:rsidRPr="00A01837">
        <w:rPr>
          <w:rFonts w:ascii="Palatino Linotype" w:eastAsiaTheme="majorEastAsia" w:hAnsi="Palatino Linotype" w:cstheme="majorBidi"/>
          <w:lang w:val="es-ES"/>
        </w:rPr>
        <w:t>“</w:t>
      </w:r>
      <w:r w:rsidR="00CA1C5F" w:rsidRPr="00A01837">
        <w:rPr>
          <w:rFonts w:ascii="Palatino Linotype" w:eastAsiaTheme="majorEastAsia" w:hAnsi="Palatino Linotype" w:cstheme="majorBidi"/>
          <w:i/>
        </w:rPr>
        <w:t xml:space="preserve">no entrego nada y la </w:t>
      </w:r>
      <w:proofErr w:type="spellStart"/>
      <w:r w:rsidR="00CA1C5F" w:rsidRPr="00A01837">
        <w:rPr>
          <w:rFonts w:ascii="Palatino Linotype" w:eastAsiaTheme="majorEastAsia" w:hAnsi="Palatino Linotype" w:cstheme="majorBidi"/>
          <w:i/>
        </w:rPr>
        <w:t>ssc</w:t>
      </w:r>
      <w:proofErr w:type="spellEnd"/>
      <w:r w:rsidR="00CA1C5F" w:rsidRPr="00A01837">
        <w:rPr>
          <w:rFonts w:ascii="Palatino Linotype" w:eastAsiaTheme="majorEastAsia" w:hAnsi="Palatino Linotype" w:cstheme="majorBidi"/>
          <w:i/>
        </w:rPr>
        <w:t xml:space="preserve"> tampoco conclusión ambos esconden en que se gastaron esos cientos de millones de pesos</w:t>
      </w:r>
      <w:r w:rsidR="00300662" w:rsidRPr="00A01837">
        <w:rPr>
          <w:rFonts w:ascii="Palatino Linotype" w:eastAsiaTheme="majorEastAsia" w:hAnsi="Palatino Linotype" w:cstheme="majorBidi"/>
          <w:i/>
        </w:rPr>
        <w:t xml:space="preserve">”. </w:t>
      </w:r>
      <w:r w:rsidR="00C665F8" w:rsidRPr="00A01837">
        <w:rPr>
          <w:rFonts w:ascii="Palatino Linotype" w:eastAsiaTheme="majorEastAsia" w:hAnsi="Palatino Linotype" w:cstheme="majorBidi"/>
          <w:i/>
        </w:rPr>
        <w:t>(Sic)</w:t>
      </w:r>
    </w:p>
    <w:p w14:paraId="3BD8E2DF" w14:textId="77777777" w:rsidR="000D13EA" w:rsidRPr="00A01837" w:rsidRDefault="000D13EA" w:rsidP="00A01837">
      <w:pPr>
        <w:spacing w:line="360" w:lineRule="auto"/>
        <w:ind w:left="567" w:right="616"/>
        <w:jc w:val="both"/>
        <w:rPr>
          <w:rFonts w:ascii="Palatino Linotype" w:eastAsiaTheme="majorEastAsia" w:hAnsi="Palatino Linotype" w:cstheme="majorBidi"/>
          <w:i/>
          <w:lang w:val="es-ES"/>
        </w:rPr>
      </w:pPr>
    </w:p>
    <w:p w14:paraId="5239869B" w14:textId="169FADAA" w:rsidR="00585F00" w:rsidRPr="00A01837" w:rsidRDefault="00585F00" w:rsidP="00A01837">
      <w:pPr>
        <w:pStyle w:val="Prrafodelista"/>
        <w:numPr>
          <w:ilvl w:val="0"/>
          <w:numId w:val="1"/>
        </w:numPr>
        <w:spacing w:line="360" w:lineRule="auto"/>
        <w:ind w:left="0" w:firstLine="0"/>
        <w:jc w:val="both"/>
        <w:rPr>
          <w:rFonts w:ascii="Palatino Linotype" w:hAnsi="Palatino Linotype"/>
          <w:i/>
          <w:color w:val="000000"/>
        </w:rPr>
      </w:pPr>
      <w:r w:rsidRPr="00A01837">
        <w:rPr>
          <w:rFonts w:ascii="Palatino Linotype" w:eastAsia="Times New Roman" w:hAnsi="Palatino Linotype" w:cs="Arial"/>
          <w:lang w:val="es-ES"/>
        </w:rPr>
        <w:t xml:space="preserve">Se registró el recurso de revisión bajo el número de expediente </w:t>
      </w:r>
      <w:r w:rsidRPr="00A01837">
        <w:rPr>
          <w:rFonts w:ascii="Palatino Linotype" w:hAnsi="Palatino Linotype" w:cs="Arial"/>
          <w:bCs/>
        </w:rPr>
        <w:t xml:space="preserve">al rubro indicado, asimismo con fundamento en lo dispuesto por el </w:t>
      </w:r>
      <w:r w:rsidRPr="00A01837">
        <w:rPr>
          <w:rFonts w:ascii="Palatino Linotype" w:eastAsia="Calibri" w:hAnsi="Palatino Linotype" w:cs="Arial"/>
          <w:lang w:val="es-ES"/>
        </w:rPr>
        <w:t xml:space="preserve">artículo 185 fracción I de la Ley de Transparencia y Acceso a la Información Pública del Estado de México y Municipios </w:t>
      </w:r>
      <w:r w:rsidRPr="00A01837">
        <w:rPr>
          <w:rFonts w:ascii="Palatino Linotype" w:eastAsia="Times New Roman" w:hAnsi="Palatino Linotype" w:cs="Arial"/>
          <w:lang w:val="es-ES"/>
        </w:rPr>
        <w:t xml:space="preserve">se turnó al Comisionado José Guadalupe Luna Hernández con el objeto de </w:t>
      </w:r>
      <w:r w:rsidRPr="00A01837">
        <w:rPr>
          <w:rFonts w:ascii="Palatino Linotype" w:eastAsia="Times New Roman" w:hAnsi="Palatino Linotype" w:cs="Arial"/>
          <w:lang w:val="es-MX"/>
        </w:rPr>
        <w:t>su análisis.</w:t>
      </w:r>
    </w:p>
    <w:p w14:paraId="56B355A5" w14:textId="28F398CA" w:rsidR="00585F00" w:rsidRPr="00A01837" w:rsidRDefault="00585F00" w:rsidP="00A01837">
      <w:pPr>
        <w:pStyle w:val="Prrafodelista"/>
        <w:numPr>
          <w:ilvl w:val="0"/>
          <w:numId w:val="1"/>
        </w:numPr>
        <w:spacing w:line="360" w:lineRule="auto"/>
        <w:ind w:left="0" w:firstLine="0"/>
        <w:jc w:val="both"/>
        <w:rPr>
          <w:rFonts w:ascii="Palatino Linotype" w:hAnsi="Palatino Linotype"/>
          <w:i/>
          <w:color w:val="000000"/>
        </w:rPr>
      </w:pPr>
      <w:r w:rsidRPr="00A01837">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A01837">
        <w:rPr>
          <w:rFonts w:ascii="Palatino Linotype" w:eastAsia="Calibri" w:hAnsi="Palatino Linotype" w:cs="Arial"/>
          <w:lang w:val="es-ES"/>
        </w:rPr>
        <w:t>del ac</w:t>
      </w:r>
      <w:r w:rsidR="009C08E7" w:rsidRPr="00A01837">
        <w:rPr>
          <w:rFonts w:ascii="Palatino Linotype" w:eastAsia="Calibri" w:hAnsi="Palatino Linotype" w:cs="Arial"/>
          <w:lang w:val="es-ES"/>
        </w:rPr>
        <w:t>uerdo de admisión de fecha</w:t>
      </w:r>
      <w:r w:rsidR="005734F6" w:rsidRPr="00A01837">
        <w:rPr>
          <w:rFonts w:ascii="Palatino Linotype" w:eastAsia="Calibri" w:hAnsi="Palatino Linotype" w:cs="Arial"/>
          <w:lang w:val="es-ES"/>
        </w:rPr>
        <w:t xml:space="preserve"> ocho</w:t>
      </w:r>
      <w:r w:rsidR="00687D49" w:rsidRPr="00A01837">
        <w:rPr>
          <w:rFonts w:ascii="Palatino Linotype" w:eastAsia="Calibri" w:hAnsi="Palatino Linotype" w:cs="Arial"/>
          <w:lang w:val="es-ES"/>
        </w:rPr>
        <w:t xml:space="preserve"> </w:t>
      </w:r>
      <w:r w:rsidRPr="00A01837">
        <w:rPr>
          <w:rFonts w:ascii="Palatino Linotype" w:eastAsia="Calibri" w:hAnsi="Palatino Linotype" w:cs="Arial"/>
          <w:lang w:val="es-ES"/>
        </w:rPr>
        <w:t>(</w:t>
      </w:r>
      <w:r w:rsidR="005734F6" w:rsidRPr="00A01837">
        <w:rPr>
          <w:rFonts w:ascii="Palatino Linotype" w:eastAsia="Calibri" w:hAnsi="Palatino Linotype" w:cs="Arial"/>
          <w:lang w:val="es-ES"/>
        </w:rPr>
        <w:t>08</w:t>
      </w:r>
      <w:r w:rsidRPr="00A01837">
        <w:rPr>
          <w:rFonts w:ascii="Palatino Linotype" w:eastAsia="Calibri" w:hAnsi="Palatino Linotype" w:cs="Arial"/>
          <w:lang w:val="es-ES"/>
        </w:rPr>
        <w:t>) de</w:t>
      </w:r>
      <w:r w:rsidR="0041336F" w:rsidRPr="00A01837">
        <w:rPr>
          <w:rFonts w:ascii="Palatino Linotype" w:eastAsia="Calibri" w:hAnsi="Palatino Linotype" w:cs="Arial"/>
          <w:lang w:val="es-ES"/>
        </w:rPr>
        <w:t xml:space="preserve"> </w:t>
      </w:r>
      <w:r w:rsidR="005734F6" w:rsidRPr="00A01837">
        <w:rPr>
          <w:rFonts w:ascii="Palatino Linotype" w:eastAsia="Calibri" w:hAnsi="Palatino Linotype" w:cs="Arial"/>
          <w:lang w:val="es-ES"/>
        </w:rPr>
        <w:t>agosto</w:t>
      </w:r>
      <w:r w:rsidR="009C08E7" w:rsidRPr="00A01837">
        <w:rPr>
          <w:rFonts w:ascii="Palatino Linotype" w:eastAsia="Calibri" w:hAnsi="Palatino Linotype" w:cs="Arial"/>
          <w:lang w:val="es-ES"/>
        </w:rPr>
        <w:t xml:space="preserve"> </w:t>
      </w:r>
      <w:r w:rsidRPr="00A01837">
        <w:rPr>
          <w:rFonts w:ascii="Palatino Linotype" w:eastAsia="Calibri" w:hAnsi="Palatino Linotype" w:cs="Arial"/>
          <w:lang w:val="es-ES"/>
        </w:rPr>
        <w:t>de dos mil dieci</w:t>
      </w:r>
      <w:r w:rsidR="009D13AE" w:rsidRPr="00A01837">
        <w:rPr>
          <w:rFonts w:ascii="Palatino Linotype" w:eastAsia="Calibri" w:hAnsi="Palatino Linotype" w:cs="Arial"/>
          <w:lang w:val="es-ES"/>
        </w:rPr>
        <w:t>nueve</w:t>
      </w:r>
      <w:r w:rsidRPr="00A01837">
        <w:rPr>
          <w:rFonts w:ascii="Palatino Linotype" w:eastAsia="Calibri" w:hAnsi="Palatino Linotype" w:cs="Arial"/>
          <w:lang w:val="es-ES"/>
        </w:rPr>
        <w:t xml:space="preserve">, </w:t>
      </w:r>
      <w:r w:rsidR="009D13AE" w:rsidRPr="00A01837">
        <w:rPr>
          <w:rFonts w:ascii="Palatino Linotype" w:eastAsia="Calibri" w:hAnsi="Palatino Linotype" w:cs="Arial"/>
          <w:lang w:val="es-ES"/>
        </w:rPr>
        <w:t xml:space="preserve">se </w:t>
      </w:r>
      <w:r w:rsidRPr="00A01837">
        <w:rPr>
          <w:rFonts w:ascii="Palatino Linotype" w:eastAsia="Calibri" w:hAnsi="Palatino Linotype" w:cs="Arial"/>
          <w:lang w:val="es-ES"/>
        </w:rPr>
        <w:t xml:space="preserve">puso a disposición de las partes el expediente electrónico </w:t>
      </w:r>
      <w:r w:rsidRPr="00A01837">
        <w:rPr>
          <w:rFonts w:ascii="Palatino Linotype" w:eastAsia="Calibri" w:hAnsi="Palatino Linotype" w:cs="Arial"/>
        </w:rPr>
        <w:t xml:space="preserve">vía </w:t>
      </w:r>
      <w:r w:rsidRPr="00A01837">
        <w:rPr>
          <w:rFonts w:ascii="Palatino Linotype" w:eastAsia="Calibri" w:hAnsi="Palatino Linotype" w:cs="Arial"/>
          <w:lang w:val="es-ES"/>
        </w:rPr>
        <w:t xml:space="preserve">Sistema de Acceso a la Información Mexiquense </w:t>
      </w:r>
      <w:r w:rsidR="009C08E7" w:rsidRPr="00A01837">
        <w:rPr>
          <w:rFonts w:ascii="Palatino Linotype" w:eastAsia="Calibri" w:hAnsi="Palatino Linotype" w:cs="Arial"/>
          <w:b/>
          <w:lang w:val="es-ES"/>
        </w:rPr>
        <w:t>(</w:t>
      </w:r>
      <w:r w:rsidRPr="00A01837">
        <w:rPr>
          <w:rFonts w:ascii="Palatino Linotype" w:eastAsia="Calibri" w:hAnsi="Palatino Linotype" w:cs="Arial"/>
          <w:b/>
          <w:lang w:val="es-ES"/>
        </w:rPr>
        <w:t>SAIMEX</w:t>
      </w:r>
      <w:r w:rsidR="009C08E7" w:rsidRPr="00A01837">
        <w:rPr>
          <w:rFonts w:ascii="Palatino Linotype" w:eastAsia="Calibri" w:hAnsi="Palatino Linotype" w:cs="Arial"/>
          <w:b/>
          <w:lang w:val="es-ES"/>
        </w:rPr>
        <w:t>)</w:t>
      </w:r>
      <w:r w:rsidRPr="00A01837">
        <w:rPr>
          <w:rFonts w:ascii="Palatino Linotype" w:eastAsia="Calibri" w:hAnsi="Palatino Linotype" w:cs="Arial"/>
          <w:b/>
          <w:lang w:val="es-ES"/>
        </w:rPr>
        <w:t xml:space="preserve"> </w:t>
      </w:r>
      <w:r w:rsidRPr="00A0183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A01837">
        <w:rPr>
          <w:rFonts w:ascii="Palatino Linotype" w:eastAsia="Calibri" w:hAnsi="Palatino Linotype" w:cs="Arial"/>
          <w:b/>
          <w:lang w:val="es-ES"/>
        </w:rPr>
        <w:t>Sujeto Obligado</w:t>
      </w:r>
      <w:r w:rsidR="00D96BE8" w:rsidRPr="00A01837">
        <w:rPr>
          <w:rFonts w:ascii="Palatino Linotype" w:eastAsia="Calibri" w:hAnsi="Palatino Linotype" w:cs="Arial"/>
          <w:lang w:val="es-ES"/>
        </w:rPr>
        <w:t xml:space="preserve"> </w:t>
      </w:r>
      <w:r w:rsidR="009C08E7" w:rsidRPr="00A01837">
        <w:rPr>
          <w:rFonts w:ascii="Palatino Linotype" w:eastAsia="Calibri" w:hAnsi="Palatino Linotype" w:cs="Arial"/>
          <w:lang w:val="es-ES"/>
        </w:rPr>
        <w:t>presentara</w:t>
      </w:r>
      <w:r w:rsidRPr="00A01837">
        <w:rPr>
          <w:rFonts w:ascii="Palatino Linotype" w:eastAsia="Calibri" w:hAnsi="Palatino Linotype" w:cs="Arial"/>
          <w:lang w:val="es-ES"/>
        </w:rPr>
        <w:t xml:space="preserve"> el Informe Justificado procedente.    </w:t>
      </w:r>
    </w:p>
    <w:p w14:paraId="345B4596" w14:textId="77777777" w:rsidR="00293D6D" w:rsidRPr="00A01837" w:rsidRDefault="00293D6D" w:rsidP="00A01837">
      <w:pPr>
        <w:pStyle w:val="Prrafodelista"/>
        <w:spacing w:line="360" w:lineRule="auto"/>
        <w:ind w:left="0"/>
        <w:jc w:val="both"/>
        <w:rPr>
          <w:rFonts w:ascii="Palatino Linotype" w:hAnsi="Palatino Linotype"/>
          <w:i/>
          <w:color w:val="000000"/>
        </w:rPr>
      </w:pPr>
    </w:p>
    <w:p w14:paraId="0FDE72F3" w14:textId="0489971A" w:rsidR="00434B23" w:rsidRPr="00A01837" w:rsidRDefault="00687D49" w:rsidP="00A01837">
      <w:pPr>
        <w:pStyle w:val="Prrafodelista"/>
        <w:numPr>
          <w:ilvl w:val="0"/>
          <w:numId w:val="1"/>
        </w:numPr>
        <w:spacing w:line="360" w:lineRule="auto"/>
        <w:ind w:left="0" w:firstLine="0"/>
        <w:jc w:val="both"/>
        <w:rPr>
          <w:rFonts w:ascii="Palatino Linotype" w:hAnsi="Palatino Linotype"/>
          <w:i/>
          <w:color w:val="000000"/>
        </w:rPr>
      </w:pPr>
      <w:r w:rsidRPr="00A01837">
        <w:rPr>
          <w:rFonts w:ascii="Palatino Linotype" w:eastAsia="Calibri" w:hAnsi="Palatino Linotype" w:cs="Arial"/>
          <w:lang w:val="es-ES"/>
        </w:rPr>
        <w:t xml:space="preserve">De las constancias que obran el expediente electrónico se tiene que el </w:t>
      </w:r>
      <w:r w:rsidRPr="00A01837">
        <w:rPr>
          <w:rFonts w:ascii="Palatino Linotype" w:eastAsia="Calibri" w:hAnsi="Palatino Linotype" w:cs="Arial"/>
          <w:b/>
          <w:lang w:val="es-ES"/>
        </w:rPr>
        <w:t>Sujeto Obligado</w:t>
      </w:r>
      <w:r w:rsidRPr="00A01837">
        <w:rPr>
          <w:rFonts w:ascii="Palatino Linotype" w:eastAsia="Calibri" w:hAnsi="Palatino Linotype" w:cs="Arial"/>
          <w:lang w:val="es-ES"/>
        </w:rPr>
        <w:t xml:space="preserve"> </w:t>
      </w:r>
      <w:r w:rsidR="00CA1C5F" w:rsidRPr="00A01837">
        <w:rPr>
          <w:rFonts w:ascii="Palatino Linotype" w:eastAsia="Calibri" w:hAnsi="Palatino Linotype" w:cs="Arial"/>
          <w:lang w:val="es-ES"/>
        </w:rPr>
        <w:t xml:space="preserve">en fecha quince (15) de agosto de dos mil diecinueve rindió su informe justificado, por su parte el particular en fecha veintitrés (23) de septiembre de dos mil diecinueve, manifestó lo que a su derecho convino. </w:t>
      </w:r>
      <w:r w:rsidRPr="00A01837">
        <w:rPr>
          <w:rFonts w:ascii="Palatino Linotype" w:eastAsia="Calibri" w:hAnsi="Palatino Linotype" w:cs="Arial"/>
          <w:lang w:val="es-ES"/>
        </w:rPr>
        <w:t xml:space="preserve"> </w:t>
      </w:r>
    </w:p>
    <w:p w14:paraId="5A37BEFE" w14:textId="77777777" w:rsidR="000D13EA" w:rsidRPr="00A01837" w:rsidRDefault="000D13EA" w:rsidP="00A01837">
      <w:pPr>
        <w:pStyle w:val="Prrafodelista"/>
        <w:spacing w:line="360" w:lineRule="auto"/>
        <w:ind w:left="0"/>
        <w:jc w:val="both"/>
        <w:rPr>
          <w:rFonts w:ascii="Palatino Linotype" w:hAnsi="Palatino Linotype"/>
          <w:i/>
          <w:color w:val="000000"/>
        </w:rPr>
      </w:pPr>
    </w:p>
    <w:p w14:paraId="3942767C" w14:textId="08204FAD" w:rsidR="00F25DC5" w:rsidRPr="00A01837" w:rsidRDefault="00687D49" w:rsidP="00A01837">
      <w:pPr>
        <w:pStyle w:val="Prrafodelista"/>
        <w:numPr>
          <w:ilvl w:val="0"/>
          <w:numId w:val="1"/>
        </w:numPr>
        <w:spacing w:line="360" w:lineRule="auto"/>
        <w:ind w:left="0" w:firstLine="0"/>
        <w:jc w:val="both"/>
        <w:rPr>
          <w:rFonts w:ascii="Palatino Linotype" w:hAnsi="Palatino Linotype"/>
          <w:b/>
        </w:rPr>
      </w:pPr>
      <w:r w:rsidRPr="00A01837">
        <w:rPr>
          <w:rFonts w:ascii="Palatino Linotype" w:hAnsi="Palatino Linotype"/>
        </w:rPr>
        <w:t>Mediante acuerdo de</w:t>
      </w:r>
      <w:r w:rsidR="0041336F" w:rsidRPr="00A01837">
        <w:rPr>
          <w:rFonts w:ascii="Palatino Linotype" w:hAnsi="Palatino Linotype"/>
        </w:rPr>
        <w:t xml:space="preserve"> </w:t>
      </w:r>
      <w:r w:rsidR="0041336F" w:rsidRPr="00A01837">
        <w:rPr>
          <w:rFonts w:ascii="Palatino Linotype" w:hAnsi="Palatino Linotype" w:cs="Arial"/>
        </w:rPr>
        <w:t>fe</w:t>
      </w:r>
      <w:r w:rsidR="00DB2BCC" w:rsidRPr="00A01837">
        <w:rPr>
          <w:rFonts w:ascii="Palatino Linotype" w:hAnsi="Palatino Linotype" w:cs="Arial"/>
        </w:rPr>
        <w:t xml:space="preserve">cha </w:t>
      </w:r>
      <w:r w:rsidR="00CA1C5F" w:rsidRPr="00A01837">
        <w:rPr>
          <w:rFonts w:ascii="Palatino Linotype" w:hAnsi="Palatino Linotype" w:cs="Arial"/>
        </w:rPr>
        <w:t>tres</w:t>
      </w:r>
      <w:r w:rsidRPr="00A01837">
        <w:rPr>
          <w:rFonts w:ascii="Palatino Linotype" w:hAnsi="Palatino Linotype" w:cs="Arial"/>
        </w:rPr>
        <w:t xml:space="preserve"> (0</w:t>
      </w:r>
      <w:r w:rsidR="00CA1C5F" w:rsidRPr="00A01837">
        <w:rPr>
          <w:rFonts w:ascii="Palatino Linotype" w:hAnsi="Palatino Linotype" w:cs="Arial"/>
        </w:rPr>
        <w:t>3</w:t>
      </w:r>
      <w:r w:rsidR="00DB2BCC" w:rsidRPr="00A01837">
        <w:rPr>
          <w:rFonts w:ascii="Palatino Linotype" w:hAnsi="Palatino Linotype" w:cs="Arial"/>
        </w:rPr>
        <w:t xml:space="preserve">) </w:t>
      </w:r>
      <w:r w:rsidR="0041336F" w:rsidRPr="00A01837">
        <w:rPr>
          <w:rFonts w:ascii="Palatino Linotype" w:hAnsi="Palatino Linotype" w:cs="Arial"/>
        </w:rPr>
        <w:t xml:space="preserve">de </w:t>
      </w:r>
      <w:r w:rsidR="00CA1C5F" w:rsidRPr="00A01837">
        <w:rPr>
          <w:rFonts w:ascii="Palatino Linotype" w:hAnsi="Palatino Linotype" w:cs="Arial"/>
        </w:rPr>
        <w:t>octubre</w:t>
      </w:r>
      <w:r w:rsidRPr="00A01837">
        <w:rPr>
          <w:rFonts w:ascii="Palatino Linotype" w:hAnsi="Palatino Linotype" w:cs="Arial"/>
        </w:rPr>
        <w:t xml:space="preserve"> de dos mil</w:t>
      </w:r>
      <w:r w:rsidR="00CA1C5F" w:rsidRPr="00A01837">
        <w:rPr>
          <w:rFonts w:ascii="Palatino Linotype" w:hAnsi="Palatino Linotype" w:cs="Arial"/>
        </w:rPr>
        <w:t xml:space="preserve"> diecinueve</w:t>
      </w:r>
      <w:r w:rsidRPr="00A01837">
        <w:rPr>
          <w:rFonts w:ascii="Palatino Linotype" w:hAnsi="Palatino Linotype" w:cs="Arial"/>
        </w:rPr>
        <w:t xml:space="preserve">, </w:t>
      </w:r>
      <w:r w:rsidR="0041336F" w:rsidRPr="00A01837">
        <w:rPr>
          <w:rFonts w:ascii="Palatino Linotype" w:hAnsi="Palatino Linotype" w:cs="Arial"/>
        </w:rPr>
        <w:t xml:space="preserve">por instrucciones del </w:t>
      </w:r>
      <w:r w:rsidR="00585F00" w:rsidRPr="00A01837">
        <w:rPr>
          <w:rFonts w:ascii="Palatino Linotype" w:hAnsi="Palatino Linotype"/>
        </w:rPr>
        <w:t xml:space="preserve">Comisionado Ponente </w:t>
      </w:r>
      <w:r w:rsidRPr="00A01837">
        <w:rPr>
          <w:rFonts w:ascii="Palatino Linotype" w:hAnsi="Palatino Linotype"/>
        </w:rPr>
        <w:t xml:space="preserve">se </w:t>
      </w:r>
      <w:r w:rsidR="00585F00" w:rsidRPr="00A01837">
        <w:rPr>
          <w:rFonts w:ascii="Palatino Linotype" w:hAnsi="Palatino Linotype"/>
        </w:rPr>
        <w:t>decretó el cierre de instrucción</w:t>
      </w:r>
      <w:r w:rsidRPr="00A01837">
        <w:rPr>
          <w:rFonts w:ascii="Palatino Linotype" w:hAnsi="Palatino Linotype"/>
        </w:rPr>
        <w:t xml:space="preserve"> al recurso </w:t>
      </w:r>
      <w:r w:rsidR="00CA1C5F" w:rsidRPr="00A01837">
        <w:rPr>
          <w:rFonts w:ascii="Palatino Linotype" w:hAnsi="Palatino Linotype"/>
        </w:rPr>
        <w:t xml:space="preserve">que nos ocupa y en misma fecha, </w:t>
      </w:r>
      <w:r w:rsidRPr="00A01837">
        <w:rPr>
          <w:rFonts w:ascii="Palatino Linotype" w:hAnsi="Palatino Linotype" w:cs="Arial"/>
        </w:rPr>
        <w:t xml:space="preserve">se solicitó la ampliación del plazo a efecto de realizar un mejor estudio del asunto, </w:t>
      </w:r>
      <w:r w:rsidR="0041336F" w:rsidRPr="00A01837">
        <w:rPr>
          <w:rFonts w:ascii="Palatino Linotype" w:hAnsi="Palatino Linotype" w:cs="Arial"/>
        </w:rPr>
        <w:t xml:space="preserve">por lo que se </w:t>
      </w:r>
      <w:r w:rsidR="00585F00" w:rsidRPr="00A01837">
        <w:rPr>
          <w:rFonts w:ascii="Palatino Linotype" w:hAnsi="Palatino Linotype" w:cs="Arial"/>
        </w:rPr>
        <w:t>ordenó tur</w:t>
      </w:r>
      <w:r w:rsidR="00434B23" w:rsidRPr="00A01837">
        <w:rPr>
          <w:rFonts w:ascii="Palatino Linotype" w:hAnsi="Palatino Linotype" w:cs="Arial"/>
        </w:rPr>
        <w:t xml:space="preserve">nar el expediente a resolución, </w:t>
      </w:r>
      <w:r w:rsidR="0018629C" w:rsidRPr="00A01837">
        <w:rPr>
          <w:rFonts w:ascii="Palatino Linotype" w:hAnsi="Palatino Linotype" w:cs="Arial"/>
        </w:rPr>
        <w:t>misma q</w:t>
      </w:r>
      <w:r w:rsidR="0041336F" w:rsidRPr="00A01837">
        <w:rPr>
          <w:rFonts w:ascii="Palatino Linotype" w:hAnsi="Palatino Linotype" w:cs="Arial"/>
        </w:rPr>
        <w:t xml:space="preserve">ue a continuación se pronuncia. </w:t>
      </w:r>
    </w:p>
    <w:p w14:paraId="0EC7F05C" w14:textId="5A9D49BB" w:rsidR="009D7EB8" w:rsidRPr="00A01837" w:rsidRDefault="009D7EB8" w:rsidP="00A01837">
      <w:pPr>
        <w:pStyle w:val="Prrafodelista"/>
        <w:spacing w:line="360" w:lineRule="auto"/>
        <w:ind w:left="0"/>
        <w:jc w:val="both"/>
        <w:rPr>
          <w:rFonts w:ascii="Palatino Linotype" w:hAnsi="Palatino Linotype" w:cs="Arial"/>
        </w:rPr>
      </w:pPr>
    </w:p>
    <w:p w14:paraId="5F227960" w14:textId="77777777" w:rsidR="00CA1C5F" w:rsidRPr="00A01837" w:rsidRDefault="00CA1C5F" w:rsidP="00A01837">
      <w:pPr>
        <w:pStyle w:val="Prrafodelista"/>
        <w:spacing w:line="360" w:lineRule="auto"/>
        <w:ind w:left="0"/>
        <w:jc w:val="both"/>
        <w:rPr>
          <w:rFonts w:ascii="Palatino Linotype" w:hAnsi="Palatino Linotype" w:cs="Arial"/>
        </w:rPr>
      </w:pPr>
    </w:p>
    <w:p w14:paraId="7681ED66" w14:textId="1765A5AB" w:rsidR="00585F00" w:rsidRDefault="00585F00" w:rsidP="00A01837">
      <w:pPr>
        <w:pStyle w:val="Ttulo1"/>
        <w:spacing w:before="0" w:line="360" w:lineRule="auto"/>
        <w:jc w:val="center"/>
        <w:rPr>
          <w:b/>
          <w:szCs w:val="24"/>
        </w:rPr>
      </w:pPr>
      <w:bookmarkStart w:id="60" w:name="_Toc491791302"/>
      <w:bookmarkStart w:id="61" w:name="_Toc21026213"/>
      <w:r w:rsidRPr="00A01837">
        <w:rPr>
          <w:b/>
          <w:szCs w:val="24"/>
        </w:rPr>
        <w:t>CONSIDERANDO</w:t>
      </w:r>
      <w:bookmarkEnd w:id="60"/>
      <w:bookmarkEnd w:id="61"/>
    </w:p>
    <w:p w14:paraId="1BC22AE3" w14:textId="77777777" w:rsidR="00A01837" w:rsidRPr="00A01837" w:rsidRDefault="00A01837" w:rsidP="00A01837">
      <w:pPr>
        <w:rPr>
          <w:lang w:val="es-MX" w:eastAsia="en-US"/>
        </w:rPr>
      </w:pPr>
    </w:p>
    <w:p w14:paraId="717D4ABA" w14:textId="30EA7072" w:rsidR="00585F00" w:rsidRPr="00A01837" w:rsidRDefault="00585F00" w:rsidP="00A01837">
      <w:pPr>
        <w:pStyle w:val="Ttulo2"/>
        <w:spacing w:before="0" w:line="360" w:lineRule="auto"/>
        <w:rPr>
          <w:rFonts w:ascii="Palatino Linotype" w:hAnsi="Palatino Linotype"/>
          <w:b/>
          <w:color w:val="auto"/>
          <w:sz w:val="24"/>
          <w:szCs w:val="24"/>
        </w:rPr>
      </w:pPr>
      <w:bookmarkStart w:id="62" w:name="_Toc491791303"/>
      <w:bookmarkStart w:id="63" w:name="_Toc21026214"/>
      <w:r w:rsidRPr="00A01837">
        <w:rPr>
          <w:rFonts w:ascii="Palatino Linotype" w:hAnsi="Palatino Linotype"/>
          <w:b/>
          <w:color w:val="auto"/>
          <w:sz w:val="24"/>
          <w:szCs w:val="24"/>
        </w:rPr>
        <w:t>PRIMERO. De la competencia</w:t>
      </w:r>
      <w:bookmarkEnd w:id="62"/>
      <w:r w:rsidR="00293D6D" w:rsidRPr="00A01837">
        <w:rPr>
          <w:rFonts w:ascii="Palatino Linotype" w:hAnsi="Palatino Linotype"/>
          <w:b/>
          <w:color w:val="auto"/>
          <w:sz w:val="24"/>
          <w:szCs w:val="24"/>
        </w:rPr>
        <w:t>.</w:t>
      </w:r>
      <w:bookmarkEnd w:id="63"/>
    </w:p>
    <w:p w14:paraId="6EA8B854" w14:textId="77777777" w:rsidR="00585F00" w:rsidRPr="00A01837" w:rsidRDefault="00585F00" w:rsidP="00A01837">
      <w:pPr>
        <w:spacing w:line="360" w:lineRule="auto"/>
        <w:rPr>
          <w:rFonts w:ascii="Palatino Linotype" w:hAnsi="Palatino Linotype"/>
          <w:lang w:val="es-MX" w:eastAsia="en-US"/>
        </w:rPr>
      </w:pPr>
    </w:p>
    <w:p w14:paraId="1A2AC03F" w14:textId="6C1F0D69" w:rsidR="001F5AF8" w:rsidRPr="00A01837" w:rsidRDefault="00357253" w:rsidP="00A01837">
      <w:pPr>
        <w:pStyle w:val="Prrafodelista"/>
        <w:numPr>
          <w:ilvl w:val="0"/>
          <w:numId w:val="1"/>
        </w:numPr>
        <w:spacing w:line="360" w:lineRule="auto"/>
        <w:ind w:left="0" w:firstLine="0"/>
        <w:jc w:val="both"/>
        <w:rPr>
          <w:rFonts w:ascii="Palatino Linotype" w:eastAsia="Calibri" w:hAnsi="Palatino Linotype" w:cs="Times New Roman"/>
          <w:lang w:val="es-ES"/>
        </w:rPr>
      </w:pPr>
      <w:r w:rsidRPr="00A01837">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sidRPr="00A01837">
        <w:rPr>
          <w:rFonts w:ascii="Palatino Linotype" w:eastAsia="Calibri" w:hAnsi="Palatino Linotype" w:cs="Times New Roman"/>
          <w:lang w:val="es-ES"/>
        </w:rPr>
        <w:t xml:space="preserve"> segundo</w:t>
      </w:r>
      <w:r w:rsidRPr="00A01837">
        <w:rPr>
          <w:rFonts w:ascii="Palatino Linotype" w:eastAsia="Calibri" w:hAnsi="Palatino Linotype" w:cs="Times New Roman"/>
          <w:lang w:val="es-ES"/>
        </w:rPr>
        <w:t xml:space="preserve">, vigésimo </w:t>
      </w:r>
      <w:r w:rsidR="00CA1C5F" w:rsidRPr="00A01837">
        <w:rPr>
          <w:rFonts w:ascii="Palatino Linotype" w:eastAsia="Calibri" w:hAnsi="Palatino Linotype" w:cs="Times New Roman"/>
          <w:lang w:val="es-ES"/>
        </w:rPr>
        <w:t>tercero</w:t>
      </w:r>
      <w:r w:rsidRPr="00A01837">
        <w:rPr>
          <w:rFonts w:ascii="Palatino Linotype" w:eastAsia="Calibri" w:hAnsi="Palatino Linotype" w:cs="Times New Roman"/>
          <w:lang w:val="es-ES"/>
        </w:rPr>
        <w:t xml:space="preserve"> y vigésimo </w:t>
      </w:r>
      <w:r w:rsidR="00CA1C5F" w:rsidRPr="00A01837">
        <w:rPr>
          <w:rFonts w:ascii="Palatino Linotype" w:eastAsia="Calibri" w:hAnsi="Palatino Linotype" w:cs="Times New Roman"/>
          <w:lang w:val="es-ES"/>
        </w:rPr>
        <w:t>cuarto</w:t>
      </w:r>
      <w:r w:rsidRPr="00A01837">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A01837">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A01837" w:rsidRDefault="000D13EA" w:rsidP="00A01837">
      <w:pPr>
        <w:pStyle w:val="Prrafodelista"/>
        <w:spacing w:line="360" w:lineRule="auto"/>
        <w:ind w:left="0"/>
        <w:jc w:val="both"/>
        <w:rPr>
          <w:rFonts w:ascii="Palatino Linotype" w:eastAsia="Calibri" w:hAnsi="Palatino Linotype" w:cs="Times New Roman"/>
          <w:lang w:val="es-ES"/>
        </w:rPr>
      </w:pPr>
    </w:p>
    <w:p w14:paraId="23C784AF" w14:textId="77777777" w:rsidR="00585F00" w:rsidRPr="00A01837" w:rsidRDefault="00585F00" w:rsidP="00A01837">
      <w:pPr>
        <w:pStyle w:val="Ttulo2"/>
        <w:spacing w:before="0" w:line="360" w:lineRule="auto"/>
        <w:rPr>
          <w:rFonts w:ascii="Palatino Linotype" w:hAnsi="Palatino Linotype"/>
          <w:b/>
          <w:color w:val="auto"/>
          <w:sz w:val="24"/>
          <w:szCs w:val="24"/>
        </w:rPr>
      </w:pPr>
      <w:bookmarkStart w:id="64" w:name="_Toc491791304"/>
      <w:bookmarkStart w:id="65" w:name="_Toc21026215"/>
      <w:r w:rsidRPr="00A01837">
        <w:rPr>
          <w:rFonts w:ascii="Palatino Linotype" w:hAnsi="Palatino Linotype"/>
          <w:b/>
          <w:color w:val="auto"/>
          <w:sz w:val="24"/>
          <w:szCs w:val="24"/>
        </w:rPr>
        <w:t>SEGUNDO. De la oportunidad y procedencia.</w:t>
      </w:r>
      <w:bookmarkEnd w:id="64"/>
      <w:bookmarkEnd w:id="65"/>
    </w:p>
    <w:p w14:paraId="46BC18EE" w14:textId="77777777" w:rsidR="00361A0C" w:rsidRPr="00A01837" w:rsidRDefault="00361A0C" w:rsidP="00A01837">
      <w:pPr>
        <w:spacing w:line="360" w:lineRule="auto"/>
        <w:rPr>
          <w:rFonts w:ascii="Palatino Linotype" w:hAnsi="Palatino Linotype"/>
          <w:lang w:val="es-MX" w:eastAsia="en-US"/>
        </w:rPr>
      </w:pPr>
    </w:p>
    <w:p w14:paraId="0D2E8A04" w14:textId="18112F68" w:rsidR="0041336F" w:rsidRPr="00A01837" w:rsidRDefault="00361A0C" w:rsidP="00A01837">
      <w:pPr>
        <w:pStyle w:val="Prrafodelista"/>
        <w:numPr>
          <w:ilvl w:val="0"/>
          <w:numId w:val="1"/>
        </w:numPr>
        <w:spacing w:line="360" w:lineRule="auto"/>
        <w:ind w:left="0" w:firstLine="0"/>
        <w:jc w:val="both"/>
        <w:rPr>
          <w:rFonts w:ascii="Palatino Linotype" w:eastAsia="Calibri" w:hAnsi="Palatino Linotype" w:cs="Arial"/>
          <w:b/>
        </w:rPr>
      </w:pPr>
      <w:r w:rsidRPr="00A01837">
        <w:rPr>
          <w:rFonts w:ascii="Palatino Linotype" w:eastAsia="Calibri" w:hAnsi="Palatino Linotype" w:cs="Arial"/>
        </w:rPr>
        <w:t>El medio de impugnación fue presentado a través del Sistema de Acceso a la Información Mexiquense (SAIMEX)</w:t>
      </w:r>
      <w:r w:rsidRPr="00A01837">
        <w:rPr>
          <w:rFonts w:ascii="Palatino Linotype" w:eastAsia="Calibri" w:hAnsi="Palatino Linotype" w:cs="Arial"/>
          <w:b/>
        </w:rPr>
        <w:t>,</w:t>
      </w:r>
      <w:r w:rsidRPr="00A01837">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A01837">
        <w:rPr>
          <w:rFonts w:ascii="Palatino Linotype" w:eastAsia="Calibri" w:hAnsi="Palatino Linotype" w:cs="Arial"/>
          <w:b/>
        </w:rPr>
        <w:t>Sujeto Obligado</w:t>
      </w:r>
      <w:r w:rsidR="00D96BE8" w:rsidRPr="00A01837">
        <w:rPr>
          <w:rFonts w:ascii="Palatino Linotype" w:eastAsia="Calibri" w:hAnsi="Palatino Linotype" w:cs="Arial"/>
        </w:rPr>
        <w:t xml:space="preserve"> </w:t>
      </w:r>
      <w:r w:rsidR="00357253" w:rsidRPr="00A01837">
        <w:rPr>
          <w:rFonts w:ascii="Palatino Linotype" w:eastAsia="Calibri" w:hAnsi="Palatino Linotype" w:cs="Arial"/>
        </w:rPr>
        <w:t xml:space="preserve">emitió respuesta el día </w:t>
      </w:r>
      <w:r w:rsidR="00D055F8" w:rsidRPr="00A01837">
        <w:rPr>
          <w:rFonts w:ascii="Palatino Linotype" w:eastAsia="Calibri" w:hAnsi="Palatino Linotype" w:cs="Arial"/>
        </w:rPr>
        <w:t>treinta y uno</w:t>
      </w:r>
      <w:r w:rsidRPr="00A01837">
        <w:rPr>
          <w:rFonts w:ascii="Palatino Linotype" w:eastAsia="Calibri" w:hAnsi="Palatino Linotype" w:cs="Arial"/>
        </w:rPr>
        <w:t xml:space="preserve"> (</w:t>
      </w:r>
      <w:r w:rsidR="00D055F8" w:rsidRPr="00A01837">
        <w:rPr>
          <w:rFonts w:ascii="Palatino Linotype" w:eastAsia="Calibri" w:hAnsi="Palatino Linotype" w:cs="Arial"/>
        </w:rPr>
        <w:t>31</w:t>
      </w:r>
      <w:r w:rsidR="00EC5B26" w:rsidRPr="00A01837">
        <w:rPr>
          <w:rFonts w:ascii="Palatino Linotype" w:eastAsia="Calibri" w:hAnsi="Palatino Linotype" w:cs="Arial"/>
        </w:rPr>
        <w:t>)</w:t>
      </w:r>
      <w:r w:rsidR="006F57FD" w:rsidRPr="00A01837">
        <w:rPr>
          <w:rFonts w:ascii="Palatino Linotype" w:eastAsia="Calibri" w:hAnsi="Palatino Linotype" w:cs="Arial"/>
        </w:rPr>
        <w:t xml:space="preserve"> de</w:t>
      </w:r>
      <w:r w:rsidR="00357253" w:rsidRPr="00A01837">
        <w:rPr>
          <w:rFonts w:ascii="Palatino Linotype" w:eastAsia="Calibri" w:hAnsi="Palatino Linotype" w:cs="Arial"/>
        </w:rPr>
        <w:t xml:space="preserve"> </w:t>
      </w:r>
      <w:r w:rsidR="00D055F8" w:rsidRPr="00A01837">
        <w:rPr>
          <w:rFonts w:ascii="Palatino Linotype" w:eastAsia="Calibri" w:hAnsi="Palatino Linotype" w:cs="Arial"/>
        </w:rPr>
        <w:t>julio</w:t>
      </w:r>
      <w:r w:rsidR="00357253" w:rsidRPr="00A01837">
        <w:rPr>
          <w:rFonts w:ascii="Palatino Linotype" w:eastAsia="Calibri" w:hAnsi="Palatino Linotype" w:cs="Arial"/>
        </w:rPr>
        <w:t xml:space="preserve"> </w:t>
      </w:r>
      <w:r w:rsidR="006F57FD" w:rsidRPr="00A01837">
        <w:rPr>
          <w:rFonts w:ascii="Palatino Linotype" w:eastAsia="Calibri" w:hAnsi="Palatino Linotype" w:cs="Arial"/>
        </w:rPr>
        <w:t>de dos mil dieci</w:t>
      </w:r>
      <w:r w:rsidR="00843727" w:rsidRPr="00A01837">
        <w:rPr>
          <w:rFonts w:ascii="Palatino Linotype" w:eastAsia="Calibri" w:hAnsi="Palatino Linotype" w:cs="Arial"/>
        </w:rPr>
        <w:t>nueve</w:t>
      </w:r>
      <w:r w:rsidRPr="00A01837">
        <w:rPr>
          <w:rFonts w:ascii="Palatino Linotype" w:eastAsia="Calibri" w:hAnsi="Palatino Linotype" w:cs="Arial"/>
        </w:rPr>
        <w:t>, de tal forma que el plazo para interponer</w:t>
      </w:r>
      <w:r w:rsidR="00184881" w:rsidRPr="00A01837">
        <w:rPr>
          <w:rFonts w:ascii="Palatino Linotype" w:eastAsia="Calibri" w:hAnsi="Palatino Linotype" w:cs="Arial"/>
        </w:rPr>
        <w:t xml:space="preserve"> el recurs</w:t>
      </w:r>
      <w:r w:rsidR="00357253" w:rsidRPr="00A01837">
        <w:rPr>
          <w:rFonts w:ascii="Palatino Linotype" w:eastAsia="Calibri" w:hAnsi="Palatino Linotype" w:cs="Arial"/>
        </w:rPr>
        <w:t xml:space="preserve">o transcurrió del día </w:t>
      </w:r>
      <w:r w:rsidR="00D055F8" w:rsidRPr="00A01837">
        <w:rPr>
          <w:rFonts w:ascii="Palatino Linotype" w:eastAsia="Calibri" w:hAnsi="Palatino Linotype" w:cs="Arial"/>
        </w:rPr>
        <w:t>uno</w:t>
      </w:r>
      <w:r w:rsidR="00EC5B26" w:rsidRPr="00A01837">
        <w:rPr>
          <w:rFonts w:ascii="Palatino Linotype" w:eastAsia="Calibri" w:hAnsi="Palatino Linotype" w:cs="Arial"/>
        </w:rPr>
        <w:t xml:space="preserve"> </w:t>
      </w:r>
      <w:r w:rsidRPr="00A01837">
        <w:rPr>
          <w:rFonts w:ascii="Palatino Linotype" w:eastAsia="Calibri" w:hAnsi="Palatino Linotype" w:cs="Arial"/>
        </w:rPr>
        <w:t>(</w:t>
      </w:r>
      <w:r w:rsidR="00D055F8" w:rsidRPr="00A01837">
        <w:rPr>
          <w:rFonts w:ascii="Palatino Linotype" w:eastAsia="Calibri" w:hAnsi="Palatino Linotype" w:cs="Arial"/>
        </w:rPr>
        <w:t>01</w:t>
      </w:r>
      <w:r w:rsidR="00357253" w:rsidRPr="00A01837">
        <w:rPr>
          <w:rFonts w:ascii="Palatino Linotype" w:eastAsia="Calibri" w:hAnsi="Palatino Linotype" w:cs="Arial"/>
        </w:rPr>
        <w:t xml:space="preserve">) de </w:t>
      </w:r>
      <w:r w:rsidR="00D055F8" w:rsidRPr="00A01837">
        <w:rPr>
          <w:rFonts w:ascii="Palatino Linotype" w:eastAsia="Calibri" w:hAnsi="Palatino Linotype" w:cs="Arial"/>
        </w:rPr>
        <w:t>agosto</w:t>
      </w:r>
      <w:r w:rsidR="00EC5B26" w:rsidRPr="00A01837">
        <w:rPr>
          <w:rFonts w:ascii="Palatino Linotype" w:eastAsia="Calibri" w:hAnsi="Palatino Linotype" w:cs="Arial"/>
        </w:rPr>
        <w:t xml:space="preserve"> </w:t>
      </w:r>
      <w:r w:rsidRPr="00A01837">
        <w:rPr>
          <w:rFonts w:ascii="Palatino Linotype" w:eastAsia="Calibri" w:hAnsi="Palatino Linotype" w:cs="Arial"/>
        </w:rPr>
        <w:t xml:space="preserve">al </w:t>
      </w:r>
      <w:r w:rsidR="00EC5B26" w:rsidRPr="00A01837">
        <w:rPr>
          <w:rFonts w:ascii="Palatino Linotype" w:eastAsia="Calibri" w:hAnsi="Palatino Linotype" w:cs="Arial"/>
        </w:rPr>
        <w:t>vein</w:t>
      </w:r>
      <w:r w:rsidR="00D055F8" w:rsidRPr="00A01837">
        <w:rPr>
          <w:rFonts w:ascii="Palatino Linotype" w:eastAsia="Calibri" w:hAnsi="Palatino Linotype" w:cs="Arial"/>
        </w:rPr>
        <w:t>tiuno</w:t>
      </w:r>
      <w:r w:rsidR="00293D6D" w:rsidRPr="00A01837">
        <w:rPr>
          <w:rFonts w:ascii="Palatino Linotype" w:eastAsia="Calibri" w:hAnsi="Palatino Linotype" w:cs="Arial"/>
        </w:rPr>
        <w:t xml:space="preserve"> </w:t>
      </w:r>
      <w:r w:rsidRPr="00A01837">
        <w:rPr>
          <w:rFonts w:ascii="Palatino Linotype" w:eastAsia="Calibri" w:hAnsi="Palatino Linotype" w:cs="Arial"/>
        </w:rPr>
        <w:t>(</w:t>
      </w:r>
      <w:r w:rsidR="00EC5B26" w:rsidRPr="00A01837">
        <w:rPr>
          <w:rFonts w:ascii="Palatino Linotype" w:eastAsia="Calibri" w:hAnsi="Palatino Linotype" w:cs="Arial"/>
        </w:rPr>
        <w:t>21</w:t>
      </w:r>
      <w:r w:rsidR="00357253" w:rsidRPr="00A01837">
        <w:rPr>
          <w:rFonts w:ascii="Palatino Linotype" w:eastAsia="Calibri" w:hAnsi="Palatino Linotype" w:cs="Arial"/>
        </w:rPr>
        <w:t xml:space="preserve">) de </w:t>
      </w:r>
      <w:r w:rsidR="00D055F8" w:rsidRPr="00A01837">
        <w:rPr>
          <w:rFonts w:ascii="Palatino Linotype" w:eastAsia="Calibri" w:hAnsi="Palatino Linotype" w:cs="Arial"/>
        </w:rPr>
        <w:t>agosto</w:t>
      </w:r>
      <w:r w:rsidRPr="00A01837">
        <w:rPr>
          <w:rFonts w:ascii="Palatino Linotype" w:eastAsia="Calibri" w:hAnsi="Palatino Linotype" w:cs="Arial"/>
        </w:rPr>
        <w:t xml:space="preserve"> </w:t>
      </w:r>
      <w:r w:rsidR="00843727" w:rsidRPr="00A01837">
        <w:rPr>
          <w:rFonts w:ascii="Palatino Linotype" w:eastAsia="Calibri" w:hAnsi="Palatino Linotype" w:cs="Arial"/>
        </w:rPr>
        <w:t>del presente año</w:t>
      </w:r>
      <w:r w:rsidR="00DB2BCC" w:rsidRPr="00A01837">
        <w:rPr>
          <w:rFonts w:ascii="Palatino Linotype" w:eastAsia="Calibri" w:hAnsi="Palatino Linotype" w:cs="Arial"/>
        </w:rPr>
        <w:t xml:space="preserve">; en consecuencia, </w:t>
      </w:r>
      <w:r w:rsidR="00357253" w:rsidRPr="00A01837">
        <w:rPr>
          <w:rFonts w:ascii="Palatino Linotype" w:eastAsia="Calibri" w:hAnsi="Palatino Linotype" w:cs="Arial"/>
        </w:rPr>
        <w:t xml:space="preserve">la hoy </w:t>
      </w:r>
      <w:r w:rsidR="00357253" w:rsidRPr="00A01837">
        <w:rPr>
          <w:rFonts w:ascii="Palatino Linotype" w:eastAsia="Calibri" w:hAnsi="Palatino Linotype" w:cs="Arial"/>
          <w:b/>
        </w:rPr>
        <w:t>RECURRENTE</w:t>
      </w:r>
      <w:r w:rsidR="00357253" w:rsidRPr="00A01837">
        <w:rPr>
          <w:rFonts w:ascii="Palatino Linotype" w:eastAsia="Calibri" w:hAnsi="Palatino Linotype" w:cs="Arial"/>
        </w:rPr>
        <w:t xml:space="preserve"> </w:t>
      </w:r>
      <w:r w:rsidRPr="00A01837">
        <w:rPr>
          <w:rFonts w:ascii="Palatino Linotype" w:eastAsia="Calibri" w:hAnsi="Palatino Linotype" w:cs="Arial"/>
        </w:rPr>
        <w:t xml:space="preserve"> p</w:t>
      </w:r>
      <w:r w:rsidR="000540ED" w:rsidRPr="00A01837">
        <w:rPr>
          <w:rFonts w:ascii="Palatino Linotype" w:eastAsia="Calibri" w:hAnsi="Palatino Linotype" w:cs="Arial"/>
        </w:rPr>
        <w:t xml:space="preserve">resentó su inconformidad el día </w:t>
      </w:r>
      <w:r w:rsidR="00D055F8" w:rsidRPr="00A01837">
        <w:rPr>
          <w:rFonts w:ascii="Palatino Linotype" w:eastAsia="Calibri" w:hAnsi="Palatino Linotype" w:cs="Arial"/>
        </w:rPr>
        <w:t>dos</w:t>
      </w:r>
      <w:r w:rsidR="00EC5B26" w:rsidRPr="00A01837">
        <w:rPr>
          <w:rFonts w:ascii="Palatino Linotype" w:eastAsia="Calibri" w:hAnsi="Palatino Linotype" w:cs="Arial"/>
        </w:rPr>
        <w:t xml:space="preserve"> </w:t>
      </w:r>
      <w:r w:rsidRPr="00A01837">
        <w:rPr>
          <w:rFonts w:ascii="Palatino Linotype" w:eastAsia="Calibri" w:hAnsi="Palatino Linotype" w:cs="Arial"/>
        </w:rPr>
        <w:t>(</w:t>
      </w:r>
      <w:r w:rsidR="00EC5B26" w:rsidRPr="00A01837">
        <w:rPr>
          <w:rFonts w:ascii="Palatino Linotype" w:eastAsia="Calibri" w:hAnsi="Palatino Linotype" w:cs="Arial"/>
        </w:rPr>
        <w:t>0</w:t>
      </w:r>
      <w:r w:rsidR="00D055F8" w:rsidRPr="00A01837">
        <w:rPr>
          <w:rFonts w:ascii="Palatino Linotype" w:eastAsia="Calibri" w:hAnsi="Palatino Linotype" w:cs="Arial"/>
        </w:rPr>
        <w:t>2</w:t>
      </w:r>
      <w:r w:rsidR="00357253" w:rsidRPr="00A01837">
        <w:rPr>
          <w:rFonts w:ascii="Palatino Linotype" w:eastAsia="Calibri" w:hAnsi="Palatino Linotype" w:cs="Arial"/>
        </w:rPr>
        <w:t xml:space="preserve">) de </w:t>
      </w:r>
      <w:r w:rsidR="00D055F8" w:rsidRPr="00A01837">
        <w:rPr>
          <w:rFonts w:ascii="Palatino Linotype" w:eastAsia="Calibri" w:hAnsi="Palatino Linotype" w:cs="Arial"/>
        </w:rPr>
        <w:t>agosto</w:t>
      </w:r>
      <w:r w:rsidRPr="00A01837">
        <w:rPr>
          <w:rFonts w:ascii="Palatino Linotype" w:eastAsia="Calibri" w:hAnsi="Palatino Linotype" w:cs="Arial"/>
        </w:rPr>
        <w:t xml:space="preserve"> </w:t>
      </w:r>
      <w:r w:rsidR="006F57FD" w:rsidRPr="00A01837">
        <w:rPr>
          <w:rFonts w:ascii="Palatino Linotype" w:eastAsia="Calibri" w:hAnsi="Palatino Linotype" w:cs="Arial"/>
        </w:rPr>
        <w:t>de</w:t>
      </w:r>
      <w:r w:rsidR="00843727" w:rsidRPr="00A01837">
        <w:rPr>
          <w:rFonts w:ascii="Palatino Linotype" w:eastAsia="Calibri" w:hAnsi="Palatino Linotype" w:cs="Arial"/>
        </w:rPr>
        <w:t xml:space="preserve"> dos mil diecinueve</w:t>
      </w:r>
      <w:r w:rsidR="0041336F" w:rsidRPr="00A01837">
        <w:rPr>
          <w:rFonts w:ascii="Palatino Linotype" w:eastAsia="Calibri" w:hAnsi="Palatino Linotype" w:cs="Arial"/>
        </w:rPr>
        <w:t xml:space="preserve">. </w:t>
      </w:r>
    </w:p>
    <w:p w14:paraId="66546C5D" w14:textId="77777777" w:rsidR="00D055F8" w:rsidRPr="00A01837" w:rsidRDefault="00D055F8" w:rsidP="00A01837">
      <w:pPr>
        <w:pStyle w:val="Prrafodelista"/>
        <w:spacing w:line="360" w:lineRule="auto"/>
        <w:ind w:left="0"/>
        <w:jc w:val="both"/>
        <w:rPr>
          <w:rFonts w:ascii="Palatino Linotype" w:eastAsia="Calibri" w:hAnsi="Palatino Linotype" w:cs="Arial"/>
          <w:b/>
        </w:rPr>
      </w:pPr>
    </w:p>
    <w:p w14:paraId="67B45B7C" w14:textId="77777777" w:rsidR="00D055F8" w:rsidRPr="00A01837" w:rsidRDefault="00D055F8" w:rsidP="00A01837">
      <w:pPr>
        <w:numPr>
          <w:ilvl w:val="0"/>
          <w:numId w:val="1"/>
        </w:numPr>
        <w:tabs>
          <w:tab w:val="left" w:pos="0"/>
        </w:tabs>
        <w:spacing w:line="360" w:lineRule="auto"/>
        <w:ind w:left="0" w:firstLine="0"/>
        <w:contextualSpacing/>
        <w:jc w:val="both"/>
        <w:rPr>
          <w:rFonts w:ascii="Palatino Linotype" w:eastAsia="Calibri" w:hAnsi="Palatino Linotype" w:cs="Arial"/>
          <w:b/>
        </w:rPr>
      </w:pPr>
      <w:r w:rsidRPr="00A01837">
        <w:rPr>
          <w:rFonts w:ascii="Palatino Linotype" w:eastAsia="Calibri" w:hAnsi="Palatino Linotype" w:cs="Arial"/>
        </w:rPr>
        <w:t xml:space="preserve">Cabe mencionar que el recurrente no indicó su nombre y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0D268DE3" w14:textId="77777777" w:rsidR="00D055F8" w:rsidRPr="00A01837" w:rsidRDefault="00D055F8" w:rsidP="00A01837">
      <w:pPr>
        <w:pStyle w:val="Prrafodelista"/>
        <w:spacing w:line="360" w:lineRule="auto"/>
        <w:rPr>
          <w:rFonts w:ascii="Palatino Linotype" w:eastAsia="Calibri" w:hAnsi="Palatino Linotype" w:cs="Arial"/>
          <w:b/>
          <w:iCs/>
        </w:rPr>
      </w:pPr>
    </w:p>
    <w:p w14:paraId="1B1DF391" w14:textId="77777777" w:rsidR="00D055F8" w:rsidRPr="00A01837" w:rsidRDefault="00D055F8" w:rsidP="00A01837">
      <w:pPr>
        <w:tabs>
          <w:tab w:val="left" w:pos="567"/>
        </w:tabs>
        <w:spacing w:line="360" w:lineRule="auto"/>
        <w:ind w:left="567" w:right="616"/>
        <w:jc w:val="both"/>
        <w:rPr>
          <w:rFonts w:ascii="Palatino Linotype" w:eastAsia="Calibri" w:hAnsi="Palatino Linotype" w:cs="Arial"/>
          <w:iCs/>
          <w:lang w:val="es-ES"/>
        </w:rPr>
      </w:pPr>
      <w:r w:rsidRPr="00A01837">
        <w:rPr>
          <w:rFonts w:ascii="Palatino Linotype" w:eastAsia="Calibri" w:hAnsi="Palatino Linotype" w:cs="Arial"/>
          <w:iCs/>
          <w:lang w:val="es-ES"/>
        </w:rPr>
        <w:t>“</w:t>
      </w:r>
      <w:r w:rsidRPr="00A01837">
        <w:rPr>
          <w:rFonts w:ascii="Palatino Linotype" w:eastAsia="Calibri" w:hAnsi="Palatino Linotype" w:cs="Arial"/>
          <w:b/>
          <w:iCs/>
          <w:lang w:val="es-ES"/>
        </w:rPr>
        <w:t>Artículo 155</w:t>
      </w:r>
      <w:r w:rsidRPr="00A01837">
        <w:rPr>
          <w:rFonts w:ascii="Palatino Linotype" w:eastAsia="Calibri" w:hAnsi="Palatino Linotype" w:cs="Arial"/>
          <w:iCs/>
          <w:lang w:val="es-ES"/>
        </w:rPr>
        <w:t>. (…) “Las solicitudes anónimas, con</w:t>
      </w:r>
      <w:r w:rsidRPr="00A01837">
        <w:rPr>
          <w:rFonts w:ascii="Palatino Linotype" w:eastAsia="Calibri" w:hAnsi="Palatino Linotype" w:cs="Arial"/>
          <w:b/>
          <w:iCs/>
          <w:lang w:val="es-ES"/>
        </w:rPr>
        <w:t xml:space="preserve"> </w:t>
      </w:r>
      <w:r w:rsidRPr="00A01837">
        <w:rPr>
          <w:rFonts w:ascii="Palatino Linotype" w:eastAsia="Calibri" w:hAnsi="Palatino Linotype" w:cs="Arial"/>
          <w:bCs/>
          <w:iCs/>
          <w:lang w:val="es-ES"/>
        </w:rPr>
        <w:t>nombre incompleto</w:t>
      </w:r>
      <w:r w:rsidRPr="00A01837">
        <w:rPr>
          <w:rFonts w:ascii="Palatino Linotype" w:eastAsia="Calibri" w:hAnsi="Palatino Linotype" w:cs="Arial"/>
          <w:iCs/>
          <w:lang w:val="es-ES"/>
        </w:rPr>
        <w:t xml:space="preserve"> o </w:t>
      </w:r>
      <w:r w:rsidRPr="00A01837">
        <w:rPr>
          <w:rFonts w:ascii="Palatino Linotype" w:eastAsia="Calibri" w:hAnsi="Palatino Linotype" w:cs="Arial"/>
          <w:b/>
          <w:bCs/>
          <w:iCs/>
          <w:lang w:val="es-ES"/>
        </w:rPr>
        <w:t xml:space="preserve">seudónimo </w:t>
      </w:r>
      <w:r w:rsidRPr="00A01837">
        <w:rPr>
          <w:rFonts w:ascii="Palatino Linotype" w:eastAsia="Calibri" w:hAnsi="Palatino Linotype" w:cs="Arial"/>
          <w:iCs/>
          <w:lang w:val="es-ES"/>
        </w:rPr>
        <w:t>serán procedentes para su trámite por parte del sujeto obligado ante quien se presente. No podrá requerirse información adicional con motivo del nombre proporcionado por el solicitante”.</w:t>
      </w:r>
    </w:p>
    <w:p w14:paraId="17B93E04" w14:textId="77777777" w:rsidR="0041336F" w:rsidRPr="00A01837" w:rsidRDefault="0041336F" w:rsidP="00A01837">
      <w:pPr>
        <w:pStyle w:val="Prrafodelista"/>
        <w:spacing w:line="360" w:lineRule="auto"/>
        <w:ind w:left="0"/>
        <w:jc w:val="both"/>
        <w:rPr>
          <w:rFonts w:ascii="Palatino Linotype" w:eastAsia="Calibri" w:hAnsi="Palatino Linotype" w:cs="Arial"/>
          <w:b/>
        </w:rPr>
      </w:pPr>
    </w:p>
    <w:p w14:paraId="4C006FEF" w14:textId="264F0A6D" w:rsidR="00554657" w:rsidRPr="00A01837" w:rsidRDefault="003347EA" w:rsidP="00A01837">
      <w:pPr>
        <w:pStyle w:val="Prrafodelista"/>
        <w:numPr>
          <w:ilvl w:val="0"/>
          <w:numId w:val="1"/>
        </w:numPr>
        <w:spacing w:line="360" w:lineRule="auto"/>
        <w:ind w:left="0" w:firstLine="0"/>
        <w:jc w:val="both"/>
        <w:rPr>
          <w:rFonts w:ascii="Palatino Linotype" w:hAnsi="Palatino Linotype"/>
        </w:rPr>
      </w:pPr>
      <w:r w:rsidRPr="00A01837">
        <w:rPr>
          <w:rFonts w:ascii="Palatino Linotype" w:eastAsia="Calibri" w:hAnsi="Palatino Linotype" w:cs="Arial"/>
        </w:rPr>
        <w:t>Por otro lado, el</w:t>
      </w:r>
      <w:r w:rsidR="000540ED" w:rsidRPr="00A01837">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4FC79F" w14:textId="77777777" w:rsidR="00C57929" w:rsidRPr="00A01837" w:rsidRDefault="00C57929" w:rsidP="00A01837">
      <w:pPr>
        <w:pStyle w:val="Prrafodelista"/>
        <w:spacing w:line="360" w:lineRule="auto"/>
        <w:ind w:left="0"/>
        <w:jc w:val="both"/>
        <w:rPr>
          <w:rFonts w:ascii="Palatino Linotype" w:hAnsi="Palatino Linotype"/>
        </w:rPr>
      </w:pPr>
    </w:p>
    <w:p w14:paraId="0C39733B" w14:textId="77777777" w:rsidR="00554657" w:rsidRPr="00A01837" w:rsidRDefault="00554657" w:rsidP="00A01837">
      <w:pPr>
        <w:keepNext/>
        <w:keepLines/>
        <w:spacing w:line="360" w:lineRule="auto"/>
        <w:outlineLvl w:val="1"/>
        <w:rPr>
          <w:rFonts w:ascii="Palatino Linotype" w:eastAsia="MS Gothic" w:hAnsi="Palatino Linotype" w:cs="Times New Roman"/>
          <w:b/>
        </w:rPr>
      </w:pPr>
      <w:bookmarkStart w:id="66" w:name="_Toc531795927"/>
      <w:bookmarkStart w:id="67" w:name="_Toc21026216"/>
      <w:r w:rsidRPr="00A01837">
        <w:rPr>
          <w:rFonts w:ascii="Palatino Linotype" w:eastAsia="MS Gothic" w:hAnsi="Palatino Linotype" w:cs="Times New Roman"/>
          <w:b/>
        </w:rPr>
        <w:t>TERCERO. Del planteamiento de la Litis.</w:t>
      </w:r>
      <w:bookmarkEnd w:id="66"/>
      <w:bookmarkEnd w:id="67"/>
    </w:p>
    <w:p w14:paraId="13065A9B" w14:textId="77777777" w:rsidR="00554657" w:rsidRPr="00A01837" w:rsidRDefault="00554657" w:rsidP="00A01837">
      <w:pPr>
        <w:spacing w:line="360" w:lineRule="auto"/>
        <w:rPr>
          <w:rFonts w:ascii="Palatino Linotype" w:eastAsia="MS Mincho" w:hAnsi="Palatino Linotype" w:cstheme="majorBidi"/>
          <w:b/>
        </w:rPr>
      </w:pPr>
    </w:p>
    <w:p w14:paraId="75CE9A50" w14:textId="1A070D08" w:rsidR="00554657" w:rsidRPr="00A01837" w:rsidRDefault="00554657" w:rsidP="00A01837">
      <w:pPr>
        <w:pStyle w:val="Prrafodelista"/>
        <w:numPr>
          <w:ilvl w:val="0"/>
          <w:numId w:val="1"/>
        </w:numPr>
        <w:tabs>
          <w:tab w:val="left" w:pos="0"/>
          <w:tab w:val="left" w:pos="142"/>
        </w:tabs>
        <w:spacing w:line="360" w:lineRule="auto"/>
        <w:ind w:left="0" w:right="49" w:firstLine="0"/>
        <w:jc w:val="both"/>
        <w:rPr>
          <w:rFonts w:ascii="Palatino Linotype" w:eastAsia="MS Mincho" w:hAnsi="Palatino Linotype" w:cs="Times New Roman"/>
        </w:rPr>
      </w:pPr>
      <w:r w:rsidRPr="00A01837">
        <w:rPr>
          <w:rFonts w:ascii="Palatino Linotype" w:eastAsia="MS Mincho" w:hAnsi="Palatino Linotype" w:cs="Times New Roman"/>
        </w:rPr>
        <w:t>Así de las constancias que obran en el expediente electrónico, se advierte que la particular mediante solicitud de información vía de acceso SAIMEX, pidió se le proporci</w:t>
      </w:r>
      <w:r w:rsidR="00EC5B26" w:rsidRPr="00A01837">
        <w:rPr>
          <w:rFonts w:ascii="Palatino Linotype" w:eastAsia="MS Mincho" w:hAnsi="Palatino Linotype" w:cs="Times New Roman"/>
        </w:rPr>
        <w:t>onara la siguiente información:</w:t>
      </w:r>
    </w:p>
    <w:p w14:paraId="1202DD23" w14:textId="77777777" w:rsidR="00554657" w:rsidRPr="00A01837" w:rsidRDefault="00554657" w:rsidP="00A01837">
      <w:pPr>
        <w:pStyle w:val="Prrafodelista"/>
        <w:spacing w:line="360" w:lineRule="auto"/>
        <w:ind w:left="0"/>
        <w:jc w:val="both"/>
        <w:rPr>
          <w:rFonts w:ascii="Palatino Linotype" w:eastAsia="Calibri" w:hAnsi="Palatino Linotype" w:cs="Arial"/>
          <w:b/>
        </w:rPr>
      </w:pPr>
    </w:p>
    <w:p w14:paraId="0C675CDA" w14:textId="6663CAAD" w:rsidR="00D055F8" w:rsidRPr="00A01837" w:rsidRDefault="00D055F8" w:rsidP="00A01837">
      <w:pPr>
        <w:spacing w:line="360" w:lineRule="auto"/>
        <w:ind w:left="567" w:right="616"/>
        <w:jc w:val="both"/>
        <w:rPr>
          <w:rFonts w:ascii="Palatino Linotype" w:hAnsi="Palatino Linotype"/>
          <w:b/>
          <w:bCs/>
        </w:rPr>
      </w:pPr>
      <w:r w:rsidRPr="00A01837">
        <w:rPr>
          <w:rFonts w:ascii="Palatino Linotype" w:hAnsi="Palatino Linotype"/>
        </w:rPr>
        <w:t xml:space="preserve">a) Copia del contrato, estudios de mercado, facturas de los bienes comprados y revisión de bases que realizó su contraloría interna, copia del reporte que hicieron </w:t>
      </w:r>
      <w:r w:rsidRPr="00A01837">
        <w:rPr>
          <w:rFonts w:ascii="Palatino Linotype" w:hAnsi="Palatino Linotype"/>
          <w:b/>
          <w:bCs/>
        </w:rPr>
        <w:t xml:space="preserve">de los gastos erogados al Secretariado Ejecutivo del Sistema Nacional de Seguridad Publica en FOSEG, FORTASEG y FASP de 2015 a la fecha sobre el cómo y en qué se erogaron esos recursos recibidos.  </w:t>
      </w:r>
    </w:p>
    <w:p w14:paraId="7461BCBB" w14:textId="77777777" w:rsidR="00D055F8" w:rsidRPr="00A01837" w:rsidRDefault="00D055F8" w:rsidP="00A01837">
      <w:pPr>
        <w:spacing w:line="360" w:lineRule="auto"/>
        <w:ind w:left="567" w:right="616"/>
        <w:jc w:val="both"/>
        <w:rPr>
          <w:rFonts w:ascii="Palatino Linotype" w:hAnsi="Palatino Linotype"/>
        </w:rPr>
      </w:pPr>
    </w:p>
    <w:p w14:paraId="64925235" w14:textId="2E86EF08" w:rsidR="00D055F8" w:rsidRPr="00A01837" w:rsidRDefault="00D055F8" w:rsidP="00A01837">
      <w:pPr>
        <w:spacing w:line="360" w:lineRule="auto"/>
        <w:ind w:left="567" w:right="616"/>
        <w:jc w:val="both"/>
        <w:rPr>
          <w:rFonts w:ascii="Palatino Linotype" w:hAnsi="Palatino Linotype"/>
        </w:rPr>
      </w:pPr>
      <w:r w:rsidRPr="00A01837">
        <w:rPr>
          <w:rFonts w:ascii="Palatino Linotype" w:hAnsi="Palatino Linotype"/>
        </w:rPr>
        <w:t>b) Al Secretariado se le solicita, los informes qu</w:t>
      </w:r>
      <w:r w:rsidR="00032766" w:rsidRPr="00A01837">
        <w:rPr>
          <w:rFonts w:ascii="Palatino Linotype" w:hAnsi="Palatino Linotype"/>
        </w:rPr>
        <w:t>é</w:t>
      </w:r>
      <w:r w:rsidRPr="00A01837">
        <w:rPr>
          <w:rFonts w:ascii="Palatino Linotype" w:hAnsi="Palatino Linotype"/>
        </w:rPr>
        <w:t xml:space="preserve"> recibió de Edo, </w:t>
      </w:r>
      <w:proofErr w:type="spellStart"/>
      <w:r w:rsidRPr="00A01837">
        <w:rPr>
          <w:rFonts w:ascii="Palatino Linotype" w:hAnsi="Palatino Linotype"/>
        </w:rPr>
        <w:t>Cdmx</w:t>
      </w:r>
      <w:proofErr w:type="spellEnd"/>
      <w:r w:rsidRPr="00A01837">
        <w:rPr>
          <w:rFonts w:ascii="Palatino Linotype" w:hAnsi="Palatino Linotype"/>
        </w:rPr>
        <w:t xml:space="preserve">, Michoacán, Hidalgo, y Jalisco del mismo periodo con los comprobantes. </w:t>
      </w:r>
    </w:p>
    <w:p w14:paraId="5C68BA42" w14:textId="77777777" w:rsidR="00D055F8" w:rsidRPr="00A01837" w:rsidRDefault="00D055F8" w:rsidP="00A01837">
      <w:pPr>
        <w:spacing w:line="360" w:lineRule="auto"/>
        <w:ind w:left="567" w:right="616"/>
        <w:jc w:val="both"/>
        <w:rPr>
          <w:rFonts w:ascii="Palatino Linotype" w:hAnsi="Palatino Linotype"/>
        </w:rPr>
      </w:pPr>
    </w:p>
    <w:p w14:paraId="38BE4B3F" w14:textId="77777777" w:rsidR="00D055F8" w:rsidRPr="00A01837" w:rsidRDefault="00D055F8" w:rsidP="00A01837">
      <w:pPr>
        <w:spacing w:line="360" w:lineRule="auto"/>
        <w:ind w:left="567" w:right="616"/>
        <w:jc w:val="both"/>
        <w:rPr>
          <w:rFonts w:ascii="Palatino Linotype" w:hAnsi="Palatino Linotype"/>
        </w:rPr>
      </w:pPr>
      <w:r w:rsidRPr="00A01837">
        <w:rPr>
          <w:rFonts w:ascii="Palatino Linotype" w:hAnsi="Palatino Linotype"/>
        </w:rPr>
        <w:t xml:space="preserve">c) A las contralorías la revisión de bases, anexos técnicos de los bienes comprados, así como auditorías practicadas. </w:t>
      </w:r>
    </w:p>
    <w:p w14:paraId="2CBEBA1F" w14:textId="77777777" w:rsidR="00554657" w:rsidRPr="00A01837" w:rsidRDefault="00554657" w:rsidP="00A01837">
      <w:pPr>
        <w:pStyle w:val="Prrafodelista"/>
        <w:spacing w:line="360" w:lineRule="auto"/>
        <w:ind w:left="0"/>
        <w:jc w:val="both"/>
        <w:rPr>
          <w:rFonts w:ascii="Palatino Linotype" w:eastAsia="Calibri" w:hAnsi="Palatino Linotype" w:cs="Arial"/>
          <w:b/>
        </w:rPr>
      </w:pPr>
    </w:p>
    <w:p w14:paraId="050FE57B" w14:textId="1DC0CBB5" w:rsidR="00466F92" w:rsidRPr="00A01837" w:rsidRDefault="00554657"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El </w:t>
      </w:r>
      <w:r w:rsidRPr="00A01837">
        <w:rPr>
          <w:rFonts w:ascii="Palatino Linotype" w:eastAsia="Calibri" w:hAnsi="Palatino Linotype" w:cs="Arial"/>
          <w:b/>
        </w:rPr>
        <w:t>Sujeto Obligado</w:t>
      </w:r>
      <w:r w:rsidR="00240C39" w:rsidRPr="00A01837">
        <w:rPr>
          <w:rFonts w:ascii="Palatino Linotype" w:eastAsia="Calibri" w:hAnsi="Palatino Linotype" w:cs="Arial"/>
        </w:rPr>
        <w:t xml:space="preserve"> en repuesta señaló que</w:t>
      </w:r>
      <w:r w:rsidR="00727950" w:rsidRPr="00A01837">
        <w:rPr>
          <w:rFonts w:ascii="Palatino Linotype" w:eastAsia="Calibri" w:hAnsi="Palatino Linotype" w:cs="Arial"/>
        </w:rPr>
        <w:t xml:space="preserve"> la información solicitada no era generada por la Secretaría de Finanzas y que correspondía a otro el Secretariado Ejecutivo del Sistema Nacional de Seguridad Pública de conformidad con lo establecido en el numeral denominado Dirección General de Administración del Manual de Organización General del Secretariado Ejecutivo del Sistema Nacional de Seguridad Pública.</w:t>
      </w:r>
    </w:p>
    <w:p w14:paraId="3469BB3C" w14:textId="77777777" w:rsidR="003D1FA5" w:rsidRPr="00A01837" w:rsidRDefault="003D1FA5" w:rsidP="00A01837">
      <w:pPr>
        <w:pStyle w:val="Prrafodelista"/>
        <w:spacing w:line="360" w:lineRule="auto"/>
        <w:ind w:left="0"/>
        <w:jc w:val="both"/>
        <w:rPr>
          <w:rFonts w:ascii="Palatino Linotype" w:eastAsia="Calibri" w:hAnsi="Palatino Linotype" w:cs="Arial"/>
        </w:rPr>
      </w:pPr>
    </w:p>
    <w:p w14:paraId="2BF6FEF8" w14:textId="235222C2" w:rsidR="00554657" w:rsidRPr="00A01837" w:rsidRDefault="00554657" w:rsidP="00A01837">
      <w:pPr>
        <w:pStyle w:val="Prrafodelista"/>
        <w:numPr>
          <w:ilvl w:val="0"/>
          <w:numId w:val="1"/>
        </w:numPr>
        <w:spacing w:line="360" w:lineRule="auto"/>
        <w:ind w:left="0" w:firstLine="0"/>
        <w:jc w:val="both"/>
        <w:rPr>
          <w:rFonts w:ascii="Palatino Linotype" w:eastAsia="Calibri" w:hAnsi="Palatino Linotype" w:cs="Arial"/>
          <w:b/>
        </w:rPr>
      </w:pPr>
      <w:r w:rsidRPr="00A01837">
        <w:rPr>
          <w:rFonts w:ascii="Palatino Linotype" w:eastAsia="Calibri" w:hAnsi="Palatino Linotype" w:cs="Arial"/>
        </w:rPr>
        <w:t>En actos posteriores, el partic</w:t>
      </w:r>
      <w:r w:rsidR="007357B8" w:rsidRPr="00A01837">
        <w:rPr>
          <w:rFonts w:ascii="Palatino Linotype" w:eastAsia="Calibri" w:hAnsi="Palatino Linotype" w:cs="Arial"/>
        </w:rPr>
        <w:t xml:space="preserve">ular se inconformó por la respuesta del </w:t>
      </w:r>
      <w:r w:rsidR="007357B8" w:rsidRPr="00A01837">
        <w:rPr>
          <w:rFonts w:ascii="Palatino Linotype" w:eastAsia="Calibri" w:hAnsi="Palatino Linotype" w:cs="Arial"/>
          <w:b/>
        </w:rPr>
        <w:t>Sujeto Obligado</w:t>
      </w:r>
      <w:r w:rsidR="0090646A" w:rsidRPr="00A01837">
        <w:rPr>
          <w:rFonts w:ascii="Palatino Linotype" w:eastAsia="Calibri" w:hAnsi="Palatino Linotype" w:cs="Arial"/>
        </w:rPr>
        <w:t xml:space="preserve">, arguyendo como razones o motivos de inconformidad </w:t>
      </w:r>
      <w:r w:rsidR="00727950" w:rsidRPr="00A01837">
        <w:rPr>
          <w:rFonts w:ascii="Palatino Linotype" w:eastAsia="Calibri" w:hAnsi="Palatino Linotype" w:cs="Arial"/>
        </w:rPr>
        <w:t xml:space="preserve">que no entregó nada y la </w:t>
      </w:r>
      <w:proofErr w:type="spellStart"/>
      <w:r w:rsidR="00727950" w:rsidRPr="00A01837">
        <w:rPr>
          <w:rFonts w:ascii="Palatino Linotype" w:eastAsia="Calibri" w:hAnsi="Palatino Linotype" w:cs="Arial"/>
        </w:rPr>
        <w:t>ssc</w:t>
      </w:r>
      <w:proofErr w:type="spellEnd"/>
      <w:r w:rsidR="00727950" w:rsidRPr="00A01837">
        <w:rPr>
          <w:rFonts w:ascii="Palatino Linotype" w:eastAsia="Calibri" w:hAnsi="Palatino Linotype" w:cs="Arial"/>
        </w:rPr>
        <w:t xml:space="preserve"> tampoco, por lo que se concluía que ambos esconden en qué se gastaron esos cientos de millones de pesos. </w:t>
      </w:r>
    </w:p>
    <w:p w14:paraId="69A71009" w14:textId="77777777" w:rsidR="00554657" w:rsidRPr="00A01837" w:rsidRDefault="00554657" w:rsidP="00A01837">
      <w:pPr>
        <w:spacing w:line="360" w:lineRule="auto"/>
        <w:rPr>
          <w:rFonts w:ascii="Palatino Linotype" w:eastAsia="Calibri" w:hAnsi="Palatino Linotype" w:cs="Arial"/>
        </w:rPr>
      </w:pPr>
    </w:p>
    <w:p w14:paraId="4AA6A2B7" w14:textId="2CB28980" w:rsidR="00554657" w:rsidRDefault="00727950"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En la etapa procesal de manifestaciones, el </w:t>
      </w:r>
      <w:r w:rsidRPr="00A01837">
        <w:rPr>
          <w:rFonts w:ascii="Palatino Linotype" w:eastAsia="Calibri" w:hAnsi="Palatino Linotype" w:cs="Arial"/>
          <w:b/>
          <w:bCs/>
        </w:rPr>
        <w:t xml:space="preserve">Sujeto Obligado </w:t>
      </w:r>
      <w:r w:rsidRPr="00A01837">
        <w:rPr>
          <w:rFonts w:ascii="Palatino Linotype" w:eastAsia="Calibri" w:hAnsi="Palatino Linotype" w:cs="Arial"/>
        </w:rPr>
        <w:t xml:space="preserve">proporcionó su informe justificado, en el cual </w:t>
      </w:r>
      <w:r w:rsidR="002C78A2" w:rsidRPr="00A01837">
        <w:rPr>
          <w:rFonts w:ascii="Palatino Linotype" w:eastAsia="Calibri" w:hAnsi="Palatino Linotype" w:cs="Arial"/>
        </w:rPr>
        <w:t xml:space="preserve">señaló que lo relativo al destino de cientos de millones de pesos, era información novedosa que en ningún momento se requirió en la solicitud inicial y asimismo, reiteró que conforme a lo establecido en los artículo 18 de la Ley General del Sistema Nacional de Seguridad Pública corresponde al Secretariado Ejecutivo del Sistema </w:t>
      </w:r>
      <w:r w:rsidR="004E0F92" w:rsidRPr="00A01837">
        <w:rPr>
          <w:rFonts w:ascii="Palatino Linotype" w:eastAsia="Calibri" w:hAnsi="Palatino Linotype" w:cs="Arial"/>
        </w:rPr>
        <w:t xml:space="preserve">Nacional de Seguridad Pública lo relativo a la ejecución y seguimiento de los acuerdos y resoluciones del Consejo Nacional de Seguridad Pública y de su Presidente, la supervisión en coordinación con las demás instancias competentes, la correcta aplicación de los recursos de los fondos por la entidades federativas y por los municipios, así como coadyuvar con la Auditoría Superior de la Federación y demás instancias de fiscalización, proporcionando la información con la que cuente respecto del ejercicio de los recursos de los fondos de ayuda federal, por lo que reiteraba que la información solicitada se encontraba en posesión de otra autoridad. </w:t>
      </w:r>
    </w:p>
    <w:p w14:paraId="02F404BC" w14:textId="77777777" w:rsidR="00A01837" w:rsidRPr="00A01837" w:rsidRDefault="00A01837" w:rsidP="00A01837">
      <w:pPr>
        <w:pStyle w:val="Prrafodelista"/>
        <w:spacing w:line="360" w:lineRule="auto"/>
        <w:ind w:left="0"/>
        <w:jc w:val="both"/>
        <w:rPr>
          <w:rFonts w:ascii="Palatino Linotype" w:eastAsia="Calibri" w:hAnsi="Palatino Linotype" w:cs="Arial"/>
        </w:rPr>
      </w:pPr>
    </w:p>
    <w:p w14:paraId="5851B177" w14:textId="5AE125C5" w:rsidR="004E0F92" w:rsidRPr="00A01837" w:rsidRDefault="004E0F92"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Por su parte, el recurrente señaló como manifestaciones que el secretariado entregó recursos al estado vía su secretaría de finanzas y éstos pasaron a diversas áreas al grado que la SSC tampoco entregó toda la información, y los municipios del Estado tampoco entregaron la información, con ello anexó un archivo que contiene las </w:t>
      </w:r>
      <w:r w:rsidRPr="00A01837">
        <w:rPr>
          <w:rFonts w:ascii="Palatino Linotype" w:eastAsia="Calibri" w:hAnsi="Palatino Linotype" w:cs="Arial"/>
          <w:b/>
          <w:bCs/>
        </w:rPr>
        <w:t xml:space="preserve">“Fórmulas FASP-FORTASEG” </w:t>
      </w:r>
      <w:r w:rsidRPr="00A01837">
        <w:rPr>
          <w:rFonts w:ascii="Palatino Linotype" w:eastAsia="Calibri" w:hAnsi="Palatino Linotype" w:cs="Arial"/>
        </w:rPr>
        <w:t xml:space="preserve">del mes de abril de 2019. </w:t>
      </w:r>
    </w:p>
    <w:p w14:paraId="0A72E9E2" w14:textId="77777777" w:rsidR="004E0F92" w:rsidRPr="00A01837" w:rsidRDefault="004E0F92" w:rsidP="00A01837">
      <w:pPr>
        <w:pStyle w:val="Prrafodelista"/>
        <w:spacing w:line="360" w:lineRule="auto"/>
        <w:ind w:left="0"/>
        <w:jc w:val="both"/>
        <w:rPr>
          <w:rFonts w:ascii="Palatino Linotype" w:eastAsia="Calibri" w:hAnsi="Palatino Linotype" w:cs="Arial"/>
        </w:rPr>
      </w:pPr>
    </w:p>
    <w:p w14:paraId="5F134728" w14:textId="36C6E721" w:rsidR="004E0F92" w:rsidRPr="00A01837" w:rsidRDefault="004E0F92"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De lo anterior, se procede al estudio de los documentos que constan en el expediente electrónico, con la finalidad de que determine lo que a derecho conduce. </w:t>
      </w:r>
    </w:p>
    <w:p w14:paraId="546B00C0" w14:textId="77777777" w:rsidR="00727950" w:rsidRPr="00A01837" w:rsidRDefault="00727950" w:rsidP="00A01837">
      <w:pPr>
        <w:pStyle w:val="Prrafodelista"/>
        <w:spacing w:line="360" w:lineRule="auto"/>
        <w:ind w:left="0"/>
        <w:jc w:val="both"/>
        <w:rPr>
          <w:rFonts w:ascii="Palatino Linotype" w:eastAsia="Calibri" w:hAnsi="Palatino Linotype" w:cs="Arial"/>
        </w:rPr>
      </w:pPr>
    </w:p>
    <w:p w14:paraId="75AA2325" w14:textId="64AD2E22" w:rsidR="00554657" w:rsidRDefault="00554657" w:rsidP="00A01837">
      <w:pPr>
        <w:keepNext/>
        <w:keepLines/>
        <w:spacing w:line="360" w:lineRule="auto"/>
        <w:outlineLvl w:val="1"/>
        <w:rPr>
          <w:rFonts w:ascii="Palatino Linotype" w:eastAsia="MS Gothic" w:hAnsi="Palatino Linotype" w:cs="Times New Roman"/>
          <w:b/>
        </w:rPr>
      </w:pPr>
      <w:bookmarkStart w:id="68" w:name="_Toc531795928"/>
      <w:bookmarkStart w:id="69" w:name="_Toc21026217"/>
      <w:r w:rsidRPr="00A01837">
        <w:rPr>
          <w:rFonts w:ascii="Palatino Linotype" w:eastAsia="MS Gothic" w:hAnsi="Palatino Linotype" w:cs="Times New Roman"/>
          <w:b/>
        </w:rPr>
        <w:t>CUARTO. Del estudio y resolución del asunto.</w:t>
      </w:r>
      <w:bookmarkEnd w:id="68"/>
      <w:bookmarkEnd w:id="69"/>
      <w:r w:rsidRPr="00A01837">
        <w:rPr>
          <w:rFonts w:ascii="Palatino Linotype" w:eastAsia="MS Gothic" w:hAnsi="Palatino Linotype" w:cs="Times New Roman"/>
          <w:b/>
        </w:rPr>
        <w:t xml:space="preserve"> </w:t>
      </w:r>
    </w:p>
    <w:p w14:paraId="62CFC21D" w14:textId="77777777" w:rsidR="00A01837" w:rsidRPr="00A01837" w:rsidRDefault="00A01837" w:rsidP="00A01837">
      <w:pPr>
        <w:keepNext/>
        <w:keepLines/>
        <w:spacing w:line="360" w:lineRule="auto"/>
        <w:outlineLvl w:val="1"/>
        <w:rPr>
          <w:rFonts w:ascii="Palatino Linotype" w:eastAsia="MS Gothic" w:hAnsi="Palatino Linotype" w:cs="Times New Roman"/>
          <w:b/>
        </w:rPr>
      </w:pPr>
    </w:p>
    <w:p w14:paraId="1B133ADB" w14:textId="77777777" w:rsidR="00554657" w:rsidRPr="00A01837" w:rsidRDefault="00554657" w:rsidP="00A01837">
      <w:pPr>
        <w:pStyle w:val="Prrafodelista"/>
        <w:numPr>
          <w:ilvl w:val="0"/>
          <w:numId w:val="1"/>
        </w:numPr>
        <w:spacing w:line="360" w:lineRule="auto"/>
        <w:ind w:left="0" w:right="49" w:firstLine="0"/>
        <w:jc w:val="both"/>
        <w:rPr>
          <w:rFonts w:ascii="Palatino Linotype" w:hAnsi="Palatino Linotype" w:cs="Arial"/>
          <w:i/>
        </w:rPr>
      </w:pPr>
      <w:r w:rsidRPr="00A01837">
        <w:rPr>
          <w:rFonts w:ascii="Palatino Linotype" w:hAnsi="Palatino Linotype" w:cs="Arial"/>
        </w:rPr>
        <w:t xml:space="preserve">Precisado lo anterior y derivado del planteamiento de la </w:t>
      </w:r>
      <w:r w:rsidRPr="00A01837">
        <w:rPr>
          <w:rFonts w:ascii="Palatino Linotype" w:hAnsi="Palatino Linotype" w:cs="Arial"/>
          <w:i/>
        </w:rPr>
        <w:t>Litis</w:t>
      </w:r>
      <w:r w:rsidRPr="00A01837">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01837">
        <w:rPr>
          <w:rFonts w:ascii="Palatino Linotype" w:eastAsia="Calibri" w:hAnsi="Palatino Linotype" w:cs="Arial"/>
          <w:lang w:val="es-ES"/>
        </w:rPr>
        <w:t>Ley de Transparencia y Acceso a la Información Pública del Estado de México y Municipios</w:t>
      </w:r>
      <w:r w:rsidRPr="00A01837">
        <w:rPr>
          <w:rFonts w:ascii="Palatino Linotype" w:eastAsia="Times New Roman" w:hAnsi="Palatino Linotype" w:cs="Arial"/>
          <w:lang w:val="es-ES" w:eastAsia="es-MX"/>
        </w:rPr>
        <w:t xml:space="preserve">, de aplicación supletoria. </w:t>
      </w:r>
    </w:p>
    <w:p w14:paraId="4BC59323" w14:textId="77777777" w:rsidR="00554657" w:rsidRPr="00A01837" w:rsidRDefault="00554657" w:rsidP="00A01837">
      <w:pPr>
        <w:pStyle w:val="Prrafodelista"/>
        <w:spacing w:line="360" w:lineRule="auto"/>
        <w:ind w:left="0" w:right="49"/>
        <w:jc w:val="both"/>
        <w:rPr>
          <w:rFonts w:ascii="Palatino Linotype" w:hAnsi="Palatino Linotype" w:cs="Arial"/>
          <w:i/>
        </w:rPr>
      </w:pPr>
    </w:p>
    <w:p w14:paraId="75AA8CAA" w14:textId="77777777" w:rsidR="00554657" w:rsidRPr="00A01837" w:rsidRDefault="00554657" w:rsidP="00A01837">
      <w:pPr>
        <w:pStyle w:val="Prrafodelista"/>
        <w:numPr>
          <w:ilvl w:val="0"/>
          <w:numId w:val="3"/>
        </w:numPr>
        <w:spacing w:line="360" w:lineRule="auto"/>
        <w:ind w:left="709"/>
        <w:outlineLvl w:val="1"/>
        <w:rPr>
          <w:rFonts w:ascii="Palatino Linotype" w:eastAsia="MS Mincho" w:hAnsi="Palatino Linotype" w:cs="Times New Roman"/>
          <w:b/>
        </w:rPr>
      </w:pPr>
      <w:bookmarkStart w:id="70" w:name="_Toc531795929"/>
      <w:bookmarkStart w:id="71" w:name="_Toc21026218"/>
      <w:r w:rsidRPr="00A01837">
        <w:rPr>
          <w:rFonts w:ascii="Palatino Linotype" w:eastAsia="MS Mincho" w:hAnsi="Palatino Linotype" w:cs="Times New Roman"/>
          <w:b/>
        </w:rPr>
        <w:t>De la Fuente de Obligaciones.</w:t>
      </w:r>
      <w:bookmarkEnd w:id="70"/>
      <w:bookmarkEnd w:id="71"/>
      <w:r w:rsidRPr="00A01837">
        <w:rPr>
          <w:rFonts w:ascii="Palatino Linotype" w:eastAsia="MS Mincho" w:hAnsi="Palatino Linotype" w:cs="Times New Roman"/>
          <w:b/>
        </w:rPr>
        <w:t xml:space="preserve"> </w:t>
      </w:r>
    </w:p>
    <w:p w14:paraId="2AE345A1" w14:textId="77777777" w:rsidR="00554657" w:rsidRPr="00A01837" w:rsidRDefault="00554657" w:rsidP="00A01837">
      <w:pPr>
        <w:pStyle w:val="Prrafodelista"/>
        <w:spacing w:line="360" w:lineRule="auto"/>
        <w:ind w:left="709"/>
        <w:outlineLvl w:val="1"/>
        <w:rPr>
          <w:rFonts w:ascii="Palatino Linotype" w:eastAsia="MS Mincho" w:hAnsi="Palatino Linotype" w:cs="Times New Roman"/>
          <w:b/>
        </w:rPr>
      </w:pPr>
    </w:p>
    <w:p w14:paraId="6BF2EC4E" w14:textId="77777777" w:rsidR="00554657" w:rsidRPr="00A01837" w:rsidRDefault="00554657" w:rsidP="00A01837">
      <w:pPr>
        <w:pStyle w:val="Prrafodelista"/>
        <w:numPr>
          <w:ilvl w:val="0"/>
          <w:numId w:val="4"/>
        </w:numPr>
        <w:spacing w:line="360" w:lineRule="auto"/>
        <w:ind w:left="851"/>
        <w:outlineLvl w:val="1"/>
        <w:rPr>
          <w:rFonts w:ascii="Palatino Linotype" w:eastAsia="MS Mincho" w:hAnsi="Palatino Linotype" w:cs="Times New Roman"/>
          <w:b/>
        </w:rPr>
      </w:pPr>
      <w:bookmarkStart w:id="72" w:name="_Toc531695633"/>
      <w:bookmarkStart w:id="73" w:name="_Toc531795930"/>
      <w:bookmarkStart w:id="74" w:name="_Toc21026219"/>
      <w:r w:rsidRPr="00A01837">
        <w:rPr>
          <w:rFonts w:ascii="Palatino Linotype" w:eastAsia="MS Mincho" w:hAnsi="Palatino Linotype" w:cs="Times New Roman"/>
          <w:b/>
        </w:rPr>
        <w:t>De las obligaciones de Transparencia.</w:t>
      </w:r>
      <w:bookmarkEnd w:id="72"/>
      <w:bookmarkEnd w:id="73"/>
      <w:bookmarkEnd w:id="74"/>
      <w:r w:rsidRPr="00A01837">
        <w:rPr>
          <w:rFonts w:ascii="Palatino Linotype" w:eastAsia="MS Mincho" w:hAnsi="Palatino Linotype" w:cs="Times New Roman"/>
          <w:b/>
        </w:rPr>
        <w:t xml:space="preserve"> </w:t>
      </w:r>
    </w:p>
    <w:p w14:paraId="61605CBA" w14:textId="77777777" w:rsidR="00554657" w:rsidRPr="00A01837" w:rsidRDefault="00554657" w:rsidP="00A01837">
      <w:pPr>
        <w:tabs>
          <w:tab w:val="left" w:pos="1800"/>
        </w:tabs>
        <w:spacing w:line="360" w:lineRule="auto"/>
        <w:contextualSpacing/>
        <w:jc w:val="both"/>
        <w:rPr>
          <w:rFonts w:ascii="Palatino Linotype" w:eastAsia="Calibri" w:hAnsi="Palatino Linotype" w:cs="Arial"/>
          <w:b/>
        </w:rPr>
      </w:pPr>
    </w:p>
    <w:p w14:paraId="48D23718" w14:textId="77777777" w:rsidR="00554657" w:rsidRPr="00A01837" w:rsidRDefault="00554657" w:rsidP="00A01837">
      <w:pPr>
        <w:pStyle w:val="Prrafodelista"/>
        <w:numPr>
          <w:ilvl w:val="0"/>
          <w:numId w:val="1"/>
        </w:numPr>
        <w:spacing w:line="360" w:lineRule="auto"/>
        <w:ind w:left="0" w:right="49" w:firstLine="0"/>
        <w:jc w:val="both"/>
        <w:rPr>
          <w:rFonts w:ascii="Palatino Linotype" w:eastAsia="MS Mincho" w:hAnsi="Palatino Linotype" w:cs="Times New Roman"/>
        </w:rPr>
      </w:pPr>
      <w:r w:rsidRPr="00A01837">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A01837">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A01837" w:rsidRDefault="00554657" w:rsidP="00A01837">
      <w:pPr>
        <w:pStyle w:val="Prrafodelista"/>
        <w:spacing w:line="360" w:lineRule="auto"/>
        <w:ind w:left="0" w:right="49"/>
        <w:jc w:val="both"/>
        <w:rPr>
          <w:rFonts w:ascii="Palatino Linotype" w:eastAsia="MS Mincho" w:hAnsi="Palatino Linotype" w:cs="Times New Roman"/>
        </w:rPr>
      </w:pPr>
    </w:p>
    <w:p w14:paraId="47B30F83" w14:textId="1934FB77" w:rsidR="00554657" w:rsidRPr="00A01837" w:rsidRDefault="00554657" w:rsidP="00A01837">
      <w:pPr>
        <w:numPr>
          <w:ilvl w:val="0"/>
          <w:numId w:val="1"/>
        </w:numPr>
        <w:spacing w:line="360" w:lineRule="auto"/>
        <w:ind w:left="0" w:right="49" w:firstLine="0"/>
        <w:contextualSpacing/>
        <w:jc w:val="both"/>
        <w:rPr>
          <w:rFonts w:ascii="Palatino Linotype" w:eastAsia="MS Mincho" w:hAnsi="Palatino Linotype" w:cs="Times New Roman"/>
        </w:rPr>
      </w:pPr>
      <w:r w:rsidRPr="00A01837">
        <w:rPr>
          <w:rFonts w:ascii="Palatino Linotype" w:eastAsia="MS Mincho" w:hAnsi="Palatino Linotype" w:cs="Times New Roman"/>
        </w:rPr>
        <w:t xml:space="preserve">El </w:t>
      </w:r>
      <w:r w:rsidR="00F25DC5" w:rsidRPr="00A01837">
        <w:rPr>
          <w:rFonts w:ascii="Palatino Linotype" w:eastAsia="MS Mincho" w:hAnsi="Palatino Linotype" w:cs="Times New Roman"/>
          <w:b/>
        </w:rPr>
        <w:t>Sujeto Obligado</w:t>
      </w:r>
      <w:r w:rsidR="00F25DC5" w:rsidRPr="00A01837">
        <w:rPr>
          <w:rFonts w:ascii="Palatino Linotype" w:eastAsia="MS Mincho" w:hAnsi="Palatino Linotype" w:cs="Times New Roman"/>
        </w:rPr>
        <w:t xml:space="preserve"> </w:t>
      </w:r>
      <w:r w:rsidRPr="00A01837">
        <w:rPr>
          <w:rFonts w:ascii="Palatino Linotype" w:eastAsia="MS Mincho" w:hAnsi="Palatino Linotype" w:cs="Times New Roman"/>
        </w:rPr>
        <w:t xml:space="preserve">debe ser cuidadoso del debido cumplimiento de las obligaciones constitucionales que se le imponen </w:t>
      </w:r>
      <w:r w:rsidRPr="00A01837">
        <w:rPr>
          <w:rFonts w:ascii="Palatino Linotype" w:eastAsia="MS Mincho" w:hAnsi="Palatino Linotype" w:cstheme="majorBidi"/>
        </w:rPr>
        <w:t>según lo dispone el tercer párrafo del artículo primero de la Constitución Política de los Estados Unidos Mexicanos</w:t>
      </w:r>
      <w:r w:rsidRPr="00A01837">
        <w:rPr>
          <w:rFonts w:ascii="Palatino Linotype" w:eastAsia="MS Mincho" w:hAnsi="Palatino Linotype" w:cstheme="majorBidi"/>
          <w:b/>
        </w:rPr>
        <w:t xml:space="preserve"> </w:t>
      </w:r>
      <w:r w:rsidRPr="00A01837">
        <w:rPr>
          <w:rFonts w:ascii="Palatino Linotype" w:eastAsia="MS Mincho" w:hAnsi="Palatino Linotype" w:cstheme="majorBidi"/>
        </w:rPr>
        <w:t xml:space="preserve">al señalar la obligación de </w:t>
      </w:r>
      <w:r w:rsidRPr="00A01837">
        <w:rPr>
          <w:rFonts w:ascii="Palatino Linotype" w:eastAsia="MS Mincho" w:hAnsi="Palatino Linotype" w:cstheme="majorBidi"/>
          <w:i/>
        </w:rPr>
        <w:t xml:space="preserve">“promover, respetar, proteger y garantizar los derechos humanos”, </w:t>
      </w:r>
      <w:r w:rsidRPr="00A01837">
        <w:rPr>
          <w:rFonts w:ascii="Palatino Linotype" w:eastAsia="MS Mincho" w:hAnsi="Palatino Linotype" w:cstheme="majorBidi"/>
        </w:rPr>
        <w:t>entre los cuales se encuentra dicho derecho.</w:t>
      </w:r>
    </w:p>
    <w:p w14:paraId="3B66EE81" w14:textId="77777777" w:rsidR="00554657" w:rsidRPr="00A01837" w:rsidRDefault="00554657" w:rsidP="00A01837">
      <w:pPr>
        <w:spacing w:line="360" w:lineRule="auto"/>
        <w:ind w:right="49"/>
        <w:contextualSpacing/>
        <w:jc w:val="both"/>
        <w:rPr>
          <w:rFonts w:ascii="Palatino Linotype" w:eastAsia="MS Mincho" w:hAnsi="Palatino Linotype" w:cs="Times New Roman"/>
        </w:rPr>
      </w:pPr>
    </w:p>
    <w:p w14:paraId="70056121" w14:textId="5242FA79" w:rsidR="00554657" w:rsidRDefault="00554657" w:rsidP="00A01837">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A01837">
        <w:rPr>
          <w:rFonts w:ascii="Palatino Linotype" w:eastAsia="MS Mincho" w:hAnsi="Palatino Linotype" w:cstheme="majorBidi"/>
        </w:rPr>
        <w:t xml:space="preserve">Por cuanto hace al contenido del artículo 6 segundo párrafo, apartado A. fracción I </w:t>
      </w:r>
      <w:r w:rsidRPr="00A01837">
        <w:rPr>
          <w:rFonts w:ascii="Palatino Linotype" w:eastAsia="MS Mincho" w:hAnsi="Palatino Linotype" w:cstheme="majorBidi"/>
          <w:lang w:val="es-ES"/>
        </w:rPr>
        <w:t xml:space="preserve">de la Constitución Política de los Estados Unidos Mexicanos el cual establece </w:t>
      </w:r>
      <w:r w:rsidRPr="00A01837">
        <w:rPr>
          <w:rFonts w:ascii="Palatino Linotype" w:eastAsia="MS Mincho" w:hAnsi="Palatino Linotype" w:cstheme="majorBidi"/>
        </w:rPr>
        <w:t xml:space="preserve">que </w:t>
      </w:r>
      <w:r w:rsidRPr="00A01837">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A01837">
        <w:rPr>
          <w:rFonts w:ascii="Palatino Linotype" w:eastAsia="MS Mincho" w:hAnsi="Palatino Linotype" w:cstheme="majorBidi"/>
          <w:b/>
          <w:i/>
          <w:lang w:val="es-ES"/>
        </w:rPr>
        <w:t>es pública</w:t>
      </w:r>
      <w:r w:rsidRPr="00A01837">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E8FCFE4" w14:textId="77777777" w:rsidR="00A01837" w:rsidRPr="00A01837" w:rsidRDefault="00A01837" w:rsidP="00A01837">
      <w:pPr>
        <w:spacing w:line="360" w:lineRule="auto"/>
        <w:ind w:right="49"/>
        <w:contextualSpacing/>
        <w:jc w:val="both"/>
        <w:rPr>
          <w:rFonts w:ascii="Palatino Linotype" w:eastAsia="MS Mincho" w:hAnsi="Palatino Linotype" w:cstheme="majorBidi"/>
          <w:i/>
          <w:lang w:val="es-ES"/>
        </w:rPr>
      </w:pPr>
    </w:p>
    <w:p w14:paraId="196C241B" w14:textId="77777777" w:rsidR="00554657" w:rsidRPr="00A01837" w:rsidRDefault="00554657" w:rsidP="00A01837">
      <w:pPr>
        <w:numPr>
          <w:ilvl w:val="0"/>
          <w:numId w:val="1"/>
        </w:numPr>
        <w:spacing w:line="360" w:lineRule="auto"/>
        <w:ind w:left="0" w:right="49" w:firstLine="0"/>
        <w:contextualSpacing/>
        <w:jc w:val="both"/>
        <w:rPr>
          <w:rFonts w:ascii="Palatino Linotype" w:eastAsia="MS Mincho" w:hAnsi="Palatino Linotype" w:cs="Times New Roman"/>
        </w:rPr>
      </w:pPr>
      <w:r w:rsidRPr="00A01837">
        <w:rPr>
          <w:rFonts w:ascii="Palatino Linotype" w:eastAsia="MS Mincho" w:hAnsi="Palatino Linotype" w:cs="Times New Roman"/>
        </w:rPr>
        <w:t xml:space="preserve">En términos generales,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64B1CFB0" w14:textId="77777777" w:rsidR="00554657" w:rsidRPr="00A01837" w:rsidRDefault="00554657" w:rsidP="00A01837">
      <w:pPr>
        <w:spacing w:line="360" w:lineRule="auto"/>
        <w:ind w:right="49"/>
        <w:contextualSpacing/>
        <w:jc w:val="both"/>
        <w:rPr>
          <w:rFonts w:ascii="Palatino Linotype" w:eastAsia="MS Mincho" w:hAnsi="Palatino Linotype" w:cs="Times New Roman"/>
        </w:rPr>
      </w:pPr>
    </w:p>
    <w:p w14:paraId="14796F67" w14:textId="77777777" w:rsidR="00554657" w:rsidRPr="00A01837" w:rsidRDefault="00554657" w:rsidP="00A01837">
      <w:pPr>
        <w:numPr>
          <w:ilvl w:val="0"/>
          <w:numId w:val="1"/>
        </w:numPr>
        <w:spacing w:line="360" w:lineRule="auto"/>
        <w:ind w:left="0" w:right="49" w:firstLine="0"/>
        <w:contextualSpacing/>
        <w:jc w:val="both"/>
        <w:rPr>
          <w:rFonts w:ascii="Palatino Linotype" w:eastAsia="MS Mincho" w:hAnsi="Palatino Linotype" w:cs="Times New Roman"/>
          <w:i/>
        </w:rPr>
      </w:pPr>
      <w:r w:rsidRPr="00A01837">
        <w:rPr>
          <w:rFonts w:ascii="Palatino Linotype" w:eastAsia="MS Mincho" w:hAnsi="Palatino Linotype" w:cs="Times New Roman"/>
        </w:rPr>
        <w:t xml:space="preserve">De acuerdo con el artículo 4 de la Ley en la materia estatal, señala que </w:t>
      </w:r>
      <w:r w:rsidRPr="00A01837">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1B37B71" w14:textId="77777777" w:rsidR="00554657" w:rsidRPr="00A01837" w:rsidRDefault="00554657" w:rsidP="00A01837">
      <w:pPr>
        <w:pStyle w:val="Prrafodelista"/>
        <w:spacing w:line="360" w:lineRule="auto"/>
        <w:rPr>
          <w:rFonts w:ascii="Palatino Linotype" w:eastAsia="MS Mincho" w:hAnsi="Palatino Linotype" w:cs="Times New Roman"/>
          <w:i/>
        </w:rPr>
      </w:pPr>
    </w:p>
    <w:p w14:paraId="08FBCA96" w14:textId="259370B6" w:rsidR="00554657" w:rsidRDefault="00554657" w:rsidP="00A01837">
      <w:pPr>
        <w:numPr>
          <w:ilvl w:val="0"/>
          <w:numId w:val="1"/>
        </w:numPr>
        <w:spacing w:line="360" w:lineRule="auto"/>
        <w:ind w:left="0" w:right="49" w:firstLine="0"/>
        <w:contextualSpacing/>
        <w:jc w:val="both"/>
        <w:rPr>
          <w:rFonts w:ascii="Palatino Linotype" w:eastAsia="MS Mincho" w:hAnsi="Palatino Linotype" w:cs="Times New Roman"/>
        </w:rPr>
      </w:pPr>
      <w:r w:rsidRPr="00A01837">
        <w:rPr>
          <w:rFonts w:ascii="Palatino Linotype" w:eastAsia="MS Mincho" w:hAnsi="Palatino Linotype" w:cs="Times New Roman"/>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14:paraId="66945322" w14:textId="77777777" w:rsidR="00A01837" w:rsidRPr="00A01837" w:rsidRDefault="00A01837" w:rsidP="00A01837">
      <w:pPr>
        <w:spacing w:line="360" w:lineRule="auto"/>
        <w:ind w:right="49"/>
        <w:contextualSpacing/>
        <w:jc w:val="both"/>
        <w:rPr>
          <w:rFonts w:ascii="Palatino Linotype" w:eastAsia="MS Mincho" w:hAnsi="Palatino Linotype" w:cs="Times New Roman"/>
        </w:rPr>
      </w:pPr>
    </w:p>
    <w:p w14:paraId="3E97A014" w14:textId="2D512A28" w:rsidR="00554657" w:rsidRPr="00A01837" w:rsidRDefault="00554657" w:rsidP="00A01837">
      <w:pPr>
        <w:numPr>
          <w:ilvl w:val="0"/>
          <w:numId w:val="1"/>
        </w:numPr>
        <w:spacing w:line="360" w:lineRule="auto"/>
        <w:ind w:left="0" w:right="49" w:firstLine="0"/>
        <w:contextualSpacing/>
        <w:jc w:val="both"/>
        <w:rPr>
          <w:rFonts w:ascii="Palatino Linotype" w:eastAsia="MS Mincho" w:hAnsi="Palatino Linotype" w:cs="Times New Roman"/>
        </w:rPr>
      </w:pPr>
      <w:r w:rsidRPr="00A01837">
        <w:rPr>
          <w:rFonts w:ascii="Palatino Linotype" w:eastAsia="MS Mincho" w:hAnsi="Palatino Linotype" w:cs="Times New Roman"/>
        </w:rPr>
        <w:t>Por lo que, toda la información que sea generada, poseída y administrada por el</w:t>
      </w:r>
      <w:r w:rsidRPr="00A01837">
        <w:rPr>
          <w:rFonts w:ascii="Palatino Linotype" w:eastAsia="MS Mincho" w:hAnsi="Palatino Linotype" w:cs="Times New Roman"/>
          <w:b/>
        </w:rPr>
        <w:t xml:space="preserve"> </w:t>
      </w:r>
      <w:r w:rsidR="00F25DC5" w:rsidRPr="00A01837">
        <w:rPr>
          <w:rFonts w:ascii="Palatino Linotype" w:eastAsia="MS Mincho" w:hAnsi="Palatino Linotype" w:cs="Times New Roman"/>
          <w:b/>
        </w:rPr>
        <w:t>Sujeto Obligado</w:t>
      </w:r>
      <w:r w:rsidRPr="00A01837">
        <w:rPr>
          <w:rFonts w:ascii="Palatino Linotype" w:eastAsia="MS Mincho" w:hAnsi="Palatino Linotype" w:cs="Times New Roman"/>
          <w:b/>
        </w:rPr>
        <w:t>,</w:t>
      </w:r>
      <w:r w:rsidRPr="00A01837">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59E4F2F6" w14:textId="77777777" w:rsidR="00554657" w:rsidRPr="00A01837" w:rsidRDefault="00554657" w:rsidP="00A01837">
      <w:pPr>
        <w:spacing w:line="360" w:lineRule="auto"/>
        <w:ind w:right="49"/>
        <w:contextualSpacing/>
        <w:jc w:val="both"/>
        <w:rPr>
          <w:rFonts w:ascii="Palatino Linotype" w:eastAsia="MS Mincho" w:hAnsi="Palatino Linotype" w:cs="Times New Roman"/>
        </w:rPr>
      </w:pPr>
    </w:p>
    <w:p w14:paraId="3F499D16" w14:textId="77777777" w:rsidR="00554657" w:rsidRPr="00A01837" w:rsidRDefault="00554657" w:rsidP="00A01837">
      <w:pPr>
        <w:numPr>
          <w:ilvl w:val="0"/>
          <w:numId w:val="1"/>
        </w:numPr>
        <w:spacing w:line="360" w:lineRule="auto"/>
        <w:ind w:left="0" w:right="49" w:firstLine="0"/>
        <w:contextualSpacing/>
        <w:jc w:val="both"/>
        <w:rPr>
          <w:rFonts w:ascii="Palatino Linotype" w:eastAsia="MS Mincho" w:hAnsi="Palatino Linotype" w:cs="Times New Roman"/>
        </w:rPr>
      </w:pPr>
      <w:r w:rsidRPr="00A01837">
        <w:rPr>
          <w:rFonts w:ascii="Palatino Linotype" w:eastAsia="MS Mincho" w:hAnsi="Palatino Linotype" w:cs="Times New Roman"/>
        </w:rPr>
        <w:t xml:space="preserve">Al tenor de lo anterior, la información debe ser proporcionada, siempre y cuando se halle en los archivos documentales de los </w:t>
      </w:r>
      <w:r w:rsidRPr="00A01837">
        <w:rPr>
          <w:rFonts w:ascii="Palatino Linotype" w:eastAsia="MS Mincho" w:hAnsi="Palatino Linotype" w:cs="Times New Roman"/>
          <w:b/>
        </w:rPr>
        <w:t>Sujeto Obligados</w:t>
      </w:r>
      <w:r w:rsidRPr="00A01837">
        <w:rPr>
          <w:rFonts w:ascii="Palatino Linotype" w:eastAsia="MS Mincho" w:hAnsi="Palatino Linotype" w:cs="Times New Roman"/>
        </w:rPr>
        <w:t xml:space="preserve"> y en las condiciones que se encuentre, la cual no podrá sufrir modificaciones o procesamiento y no deberá ser presentada conforme a los intereses de los particulares, así como, los Sujeto Obligados no deberán de generar, resumir o efectuar cálculos o practicar investigaciones.</w:t>
      </w:r>
    </w:p>
    <w:p w14:paraId="061C270B" w14:textId="77777777" w:rsidR="00554657" w:rsidRPr="00A01837" w:rsidRDefault="00554657" w:rsidP="00A01837">
      <w:pPr>
        <w:pStyle w:val="Ttulo1"/>
        <w:spacing w:before="0" w:line="360" w:lineRule="auto"/>
        <w:ind w:left="644"/>
        <w:rPr>
          <w:b/>
          <w:color w:val="000000" w:themeColor="text1"/>
          <w:szCs w:val="24"/>
        </w:rPr>
      </w:pPr>
      <w:bookmarkStart w:id="75" w:name="_Toc531695629"/>
    </w:p>
    <w:p w14:paraId="01128081" w14:textId="16C8F57B" w:rsidR="00554657" w:rsidRPr="00A01837" w:rsidRDefault="00554657" w:rsidP="00A01837">
      <w:pPr>
        <w:pStyle w:val="Ttulo1"/>
        <w:numPr>
          <w:ilvl w:val="0"/>
          <w:numId w:val="3"/>
        </w:numPr>
        <w:spacing w:before="0" w:line="360" w:lineRule="auto"/>
        <w:ind w:left="709"/>
        <w:rPr>
          <w:b/>
          <w:szCs w:val="24"/>
        </w:rPr>
      </w:pPr>
      <w:bookmarkStart w:id="76" w:name="_Toc531795931"/>
      <w:bookmarkStart w:id="77" w:name="_Toc21026220"/>
      <w:r w:rsidRPr="00A01837">
        <w:rPr>
          <w:b/>
          <w:color w:val="000000" w:themeColor="text1"/>
          <w:szCs w:val="24"/>
        </w:rPr>
        <w:t xml:space="preserve">De lo solicitado por el particular y la respuesta del </w:t>
      </w:r>
      <w:r w:rsidR="000D13EA" w:rsidRPr="00A01837">
        <w:rPr>
          <w:b/>
          <w:color w:val="000000" w:themeColor="text1"/>
          <w:szCs w:val="24"/>
        </w:rPr>
        <w:t>Sujeto Obligado</w:t>
      </w:r>
      <w:r w:rsidRPr="00A01837">
        <w:rPr>
          <w:b/>
          <w:color w:val="000000" w:themeColor="text1"/>
          <w:szCs w:val="24"/>
        </w:rPr>
        <w:t>.</w:t>
      </w:r>
      <w:bookmarkEnd w:id="75"/>
      <w:bookmarkEnd w:id="76"/>
      <w:bookmarkEnd w:id="77"/>
      <w:r w:rsidRPr="00A01837">
        <w:rPr>
          <w:b/>
          <w:color w:val="000000" w:themeColor="text1"/>
          <w:szCs w:val="24"/>
        </w:rPr>
        <w:t xml:space="preserve"> </w:t>
      </w:r>
    </w:p>
    <w:p w14:paraId="4BD34F61" w14:textId="77777777" w:rsidR="004857E1" w:rsidRPr="00A01837" w:rsidRDefault="004857E1" w:rsidP="00A01837">
      <w:pPr>
        <w:spacing w:line="360" w:lineRule="auto"/>
        <w:contextualSpacing/>
        <w:jc w:val="both"/>
        <w:rPr>
          <w:rFonts w:ascii="Palatino Linotype" w:eastAsia="Calibri" w:hAnsi="Palatino Linotype" w:cs="Arial"/>
        </w:rPr>
      </w:pPr>
    </w:p>
    <w:p w14:paraId="37DEF8AD" w14:textId="3FC5C0E6" w:rsidR="00554657" w:rsidRPr="00A01837" w:rsidRDefault="004E0F92" w:rsidP="00A01837">
      <w:pPr>
        <w:numPr>
          <w:ilvl w:val="0"/>
          <w:numId w:val="1"/>
        </w:numPr>
        <w:spacing w:line="360" w:lineRule="auto"/>
        <w:ind w:left="0" w:firstLine="0"/>
        <w:contextualSpacing/>
        <w:jc w:val="both"/>
        <w:rPr>
          <w:rFonts w:ascii="Palatino Linotype" w:eastAsia="Calibri" w:hAnsi="Palatino Linotype" w:cs="Arial"/>
        </w:rPr>
      </w:pPr>
      <w:r w:rsidRPr="00A01837">
        <w:rPr>
          <w:rFonts w:ascii="Palatino Linotype" w:eastAsia="Calibri" w:hAnsi="Palatino Linotype" w:cs="Arial"/>
        </w:rPr>
        <w:t>Para</w:t>
      </w:r>
      <w:r w:rsidR="00554657" w:rsidRPr="00A01837">
        <w:rPr>
          <w:rFonts w:ascii="Palatino Linotype" w:eastAsia="Calibri" w:hAnsi="Palatino Linotype" w:cs="Arial"/>
        </w:rPr>
        <w:t xml:space="preserve"> proceder al análisis del presente asunto, es necesario recapitular que el particular requirió al </w:t>
      </w:r>
      <w:r w:rsidR="00312090" w:rsidRPr="00A01837">
        <w:rPr>
          <w:rFonts w:ascii="Palatino Linotype" w:eastAsia="Calibri" w:hAnsi="Palatino Linotype" w:cs="Arial"/>
          <w:b/>
        </w:rPr>
        <w:t>Sujeto Obligado</w:t>
      </w:r>
      <w:r w:rsidR="00312090" w:rsidRPr="00A01837">
        <w:rPr>
          <w:rFonts w:ascii="Palatino Linotype" w:eastAsia="Calibri" w:hAnsi="Palatino Linotype" w:cs="Arial"/>
        </w:rPr>
        <w:t>, la siguiente información:</w:t>
      </w:r>
    </w:p>
    <w:p w14:paraId="474AF190" w14:textId="77777777" w:rsidR="00183E00" w:rsidRPr="00A01837" w:rsidRDefault="00183E00" w:rsidP="00A01837">
      <w:pPr>
        <w:spacing w:line="360" w:lineRule="auto"/>
        <w:ind w:left="567" w:right="616"/>
        <w:contextualSpacing/>
        <w:jc w:val="both"/>
        <w:rPr>
          <w:rFonts w:ascii="Palatino Linotype" w:eastAsia="Calibri" w:hAnsi="Palatino Linotype" w:cs="Arial"/>
        </w:rPr>
      </w:pPr>
    </w:p>
    <w:p w14:paraId="6C4A6A16" w14:textId="77777777" w:rsidR="004E0F92" w:rsidRPr="00A01837" w:rsidRDefault="004E0F92" w:rsidP="00A01837">
      <w:pPr>
        <w:spacing w:line="360" w:lineRule="auto"/>
        <w:ind w:left="567" w:right="616"/>
        <w:jc w:val="both"/>
        <w:rPr>
          <w:rFonts w:ascii="Palatino Linotype" w:hAnsi="Palatino Linotype"/>
        </w:rPr>
      </w:pPr>
      <w:r w:rsidRPr="00A01837">
        <w:rPr>
          <w:rFonts w:ascii="Palatino Linotype" w:hAnsi="Palatino Linotype"/>
        </w:rPr>
        <w:t xml:space="preserve">a) Copia del contrato, estudios de mercado, facturas de los bienes comprados y revisión de bases que realizo su contraloría interna, copia del reporte que hicieron de los gastos erogados al Secretariado Ejecutivo del Sistema Nacional de Seguridad Publica en FOSEG, FORTASEG y FASP de 2015 a la fecha sobre el cómo y en qué se erogaron esos recursos recibidos.  </w:t>
      </w:r>
    </w:p>
    <w:p w14:paraId="7DD4AD73" w14:textId="77777777" w:rsidR="004E0F92" w:rsidRPr="00A01837" w:rsidRDefault="004E0F92" w:rsidP="00A01837">
      <w:pPr>
        <w:spacing w:line="360" w:lineRule="auto"/>
        <w:ind w:left="567" w:right="616"/>
        <w:jc w:val="both"/>
        <w:rPr>
          <w:rFonts w:ascii="Palatino Linotype" w:hAnsi="Palatino Linotype"/>
        </w:rPr>
      </w:pPr>
    </w:p>
    <w:p w14:paraId="630EFE80" w14:textId="77777777" w:rsidR="004E0F92" w:rsidRPr="00A01837" w:rsidRDefault="004E0F92" w:rsidP="00A01837">
      <w:pPr>
        <w:spacing w:line="360" w:lineRule="auto"/>
        <w:ind w:left="567" w:right="616"/>
        <w:jc w:val="both"/>
        <w:rPr>
          <w:rFonts w:ascii="Palatino Linotype" w:hAnsi="Palatino Linotype"/>
        </w:rPr>
      </w:pPr>
      <w:r w:rsidRPr="00A01837">
        <w:rPr>
          <w:rFonts w:ascii="Palatino Linotype" w:hAnsi="Palatino Linotype"/>
        </w:rPr>
        <w:t xml:space="preserve">b) Al Secretariado se le solicita, los informes que recibió de Edo, </w:t>
      </w:r>
      <w:proofErr w:type="spellStart"/>
      <w:r w:rsidRPr="00A01837">
        <w:rPr>
          <w:rFonts w:ascii="Palatino Linotype" w:hAnsi="Palatino Linotype"/>
        </w:rPr>
        <w:t>Cdmx</w:t>
      </w:r>
      <w:proofErr w:type="spellEnd"/>
      <w:r w:rsidRPr="00A01837">
        <w:rPr>
          <w:rFonts w:ascii="Palatino Linotype" w:hAnsi="Palatino Linotype"/>
        </w:rPr>
        <w:t xml:space="preserve">, Michoacán, Hidalgo, y Jalisco del mismo periodo con los comprobantes. </w:t>
      </w:r>
    </w:p>
    <w:p w14:paraId="514659BA" w14:textId="77777777" w:rsidR="004E0F92" w:rsidRPr="00A01837" w:rsidRDefault="004E0F92" w:rsidP="00A01837">
      <w:pPr>
        <w:spacing w:line="360" w:lineRule="auto"/>
        <w:ind w:left="567" w:right="616"/>
        <w:jc w:val="both"/>
        <w:rPr>
          <w:rFonts w:ascii="Palatino Linotype" w:hAnsi="Palatino Linotype"/>
        </w:rPr>
      </w:pPr>
    </w:p>
    <w:p w14:paraId="58D0FA8C" w14:textId="1AF069DC" w:rsidR="00312090" w:rsidRPr="00A01837" w:rsidRDefault="004E0F92" w:rsidP="00A01837">
      <w:pPr>
        <w:spacing w:line="360" w:lineRule="auto"/>
        <w:ind w:left="567" w:right="616"/>
        <w:jc w:val="both"/>
        <w:rPr>
          <w:rFonts w:ascii="Palatino Linotype" w:hAnsi="Palatino Linotype"/>
        </w:rPr>
      </w:pPr>
      <w:r w:rsidRPr="00A01837">
        <w:rPr>
          <w:rFonts w:ascii="Palatino Linotype" w:hAnsi="Palatino Linotype"/>
        </w:rPr>
        <w:t xml:space="preserve">c) A las contralorías la revisión de bases, anexos técnicos de los bienes comprados, así como auditorías practicadas. </w:t>
      </w:r>
    </w:p>
    <w:p w14:paraId="41402AF5" w14:textId="77777777" w:rsidR="009C6384" w:rsidRPr="00A01837" w:rsidRDefault="009C6384"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ACF0BB9" w14:textId="0722D3C0" w:rsidR="004E0F92" w:rsidRPr="00A01837" w:rsidRDefault="004E0F92"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Cabe precisar que, como se refirió el </w:t>
      </w:r>
      <w:r w:rsidRPr="00A01837">
        <w:rPr>
          <w:rFonts w:ascii="Palatino Linotype" w:eastAsia="MS Mincho" w:hAnsi="Palatino Linotype" w:cs="Arial"/>
          <w:b/>
          <w:bCs/>
          <w:color w:val="000000" w:themeColor="text1"/>
          <w:lang w:val="es-MX"/>
        </w:rPr>
        <w:t xml:space="preserve">Sujeto Obligado </w:t>
      </w:r>
      <w:r w:rsidRPr="00A01837">
        <w:rPr>
          <w:rFonts w:ascii="Palatino Linotype" w:eastAsia="MS Mincho" w:hAnsi="Palatino Linotype" w:cs="Arial"/>
          <w:color w:val="000000" w:themeColor="text1"/>
          <w:lang w:val="es-MX"/>
        </w:rPr>
        <w:t xml:space="preserve">señaló no tener competencia para poseer, administrar o generar la información requerida, de tal forma que para determinar si efectivamente es o no la autoridad competente para conocer de lo solicitado se procede al estudio de la información requerida. </w:t>
      </w:r>
    </w:p>
    <w:p w14:paraId="5E221057" w14:textId="5BD9BE28" w:rsidR="001208F3" w:rsidRPr="00A01837" w:rsidRDefault="001208F3"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CE0C4D" w14:textId="598F0AD9" w:rsidR="001631DB" w:rsidRPr="00A01837" w:rsidRDefault="005D4114" w:rsidP="00A01837">
      <w:pPr>
        <w:pStyle w:val="Ttulo1"/>
        <w:numPr>
          <w:ilvl w:val="0"/>
          <w:numId w:val="10"/>
        </w:numPr>
        <w:spacing w:before="0" w:line="360" w:lineRule="auto"/>
        <w:jc w:val="both"/>
        <w:rPr>
          <w:b/>
          <w:color w:val="000000" w:themeColor="text1"/>
          <w:szCs w:val="24"/>
        </w:rPr>
      </w:pPr>
      <w:bookmarkStart w:id="78" w:name="_Toc21026221"/>
      <w:r w:rsidRPr="00A01837">
        <w:rPr>
          <w:b/>
          <w:color w:val="000000" w:themeColor="text1"/>
          <w:szCs w:val="24"/>
        </w:rPr>
        <w:t xml:space="preserve">De la suplencia </w:t>
      </w:r>
      <w:r w:rsidR="001631DB" w:rsidRPr="00A01837">
        <w:rPr>
          <w:b/>
          <w:color w:val="000000" w:themeColor="text1"/>
          <w:szCs w:val="24"/>
        </w:rPr>
        <w:t>a las inconsistencias de la solicitud planteada.</w:t>
      </w:r>
      <w:bookmarkEnd w:id="78"/>
      <w:r w:rsidR="001631DB" w:rsidRPr="00A01837">
        <w:rPr>
          <w:b/>
          <w:color w:val="000000" w:themeColor="text1"/>
          <w:szCs w:val="24"/>
        </w:rPr>
        <w:t xml:space="preserve"> </w:t>
      </w:r>
    </w:p>
    <w:p w14:paraId="439A8FEB" w14:textId="77777777" w:rsidR="005D4114" w:rsidRPr="00A01837" w:rsidRDefault="005D4114" w:rsidP="00A01837">
      <w:pPr>
        <w:spacing w:line="360" w:lineRule="auto"/>
        <w:rPr>
          <w:rFonts w:ascii="Palatino Linotype" w:hAnsi="Palatino Linotype"/>
          <w:lang w:val="es-MX" w:eastAsia="en-US"/>
        </w:rPr>
      </w:pPr>
    </w:p>
    <w:p w14:paraId="2E1E1D7A" w14:textId="77777777" w:rsidR="001631DB" w:rsidRPr="00A01837" w:rsidRDefault="001631DB" w:rsidP="00A01837">
      <w:pPr>
        <w:pStyle w:val="Prrafodelista"/>
        <w:numPr>
          <w:ilvl w:val="0"/>
          <w:numId w:val="1"/>
        </w:numPr>
        <w:spacing w:line="360" w:lineRule="auto"/>
        <w:ind w:left="0" w:firstLine="0"/>
        <w:jc w:val="both"/>
        <w:rPr>
          <w:rFonts w:ascii="Palatino Linotype" w:eastAsia="Times New Roman" w:hAnsi="Palatino Linotype" w:cs="Arial"/>
          <w:b/>
          <w:lang w:val="es-ES"/>
        </w:rPr>
      </w:pPr>
      <w:r w:rsidRPr="00A01837">
        <w:rPr>
          <w:rFonts w:ascii="Palatino Linotype" w:eastAsia="Times New Roman" w:hAnsi="Palatino Linotype" w:cs="Arial"/>
          <w:bCs/>
          <w:lang w:val="es-ES"/>
        </w:rPr>
        <w:t xml:space="preserve">El ejercicio del derecho de acceso a la información prevé la posibilidad de que los recurrentes puedan ejercer su derecho sin necesidad de acudir a un especialista que los represente durante la sustanciación del procedimiento. Entonces, bajo un estricto apego al principio de eficacia y con fundamento en los artículos </w:t>
      </w:r>
      <w:r w:rsidRPr="00A01837">
        <w:rPr>
          <w:rFonts w:ascii="Palatino Linotype" w:hAnsi="Palatino Linotype"/>
          <w:lang w:val="es-ES"/>
        </w:rPr>
        <w:t>13</w:t>
      </w:r>
      <w:r w:rsidRPr="00A01837">
        <w:rPr>
          <w:rStyle w:val="Refdenotaalpie"/>
          <w:rFonts w:ascii="Palatino Linotype" w:hAnsi="Palatino Linotype"/>
          <w:lang w:val="es-ES"/>
        </w:rPr>
        <w:footnoteReference w:id="1"/>
      </w:r>
      <w:r w:rsidRPr="00A01837">
        <w:rPr>
          <w:rFonts w:ascii="Palatino Linotype" w:hAnsi="Palatino Linotype"/>
          <w:lang w:val="es-ES"/>
        </w:rPr>
        <w:t xml:space="preserve"> y 181</w:t>
      </w:r>
      <w:r w:rsidRPr="00A01837">
        <w:rPr>
          <w:rStyle w:val="Refdenotaalpie"/>
          <w:rFonts w:ascii="Palatino Linotype" w:hAnsi="Palatino Linotype"/>
          <w:lang w:val="es-ES"/>
        </w:rPr>
        <w:footnoteReference w:id="2"/>
      </w:r>
      <w:r w:rsidRPr="00A01837">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14:paraId="545D99B3" w14:textId="77777777" w:rsidR="001631DB" w:rsidRPr="00A01837" w:rsidRDefault="001631DB" w:rsidP="00A01837">
      <w:pPr>
        <w:pStyle w:val="Prrafodelista"/>
        <w:spacing w:line="360" w:lineRule="auto"/>
        <w:rPr>
          <w:rFonts w:ascii="Palatino Linotype" w:eastAsia="Times New Roman" w:hAnsi="Palatino Linotype" w:cs="Arial"/>
          <w:b/>
          <w:lang w:val="es-ES"/>
        </w:rPr>
      </w:pPr>
    </w:p>
    <w:p w14:paraId="25DE53B4" w14:textId="7B4B66B8" w:rsidR="001631DB" w:rsidRPr="00A01837" w:rsidRDefault="001631DB" w:rsidP="00A01837">
      <w:pPr>
        <w:pStyle w:val="Prrafodelista"/>
        <w:numPr>
          <w:ilvl w:val="0"/>
          <w:numId w:val="1"/>
        </w:numPr>
        <w:spacing w:line="360" w:lineRule="auto"/>
        <w:ind w:left="0" w:firstLine="0"/>
        <w:jc w:val="both"/>
        <w:rPr>
          <w:rFonts w:ascii="Palatino Linotype" w:eastAsia="Times New Roman" w:hAnsi="Palatino Linotype" w:cs="Arial"/>
          <w:bCs/>
          <w:lang w:val="es-ES"/>
        </w:rPr>
      </w:pPr>
      <w:r w:rsidRPr="00A01837">
        <w:rPr>
          <w:rFonts w:ascii="Palatino Linotype" w:eastAsia="Times New Roman" w:hAnsi="Palatino Linotype" w:cs="Arial"/>
          <w:bCs/>
          <w:lang w:val="es-ES"/>
        </w:rPr>
        <w:t xml:space="preserve">De tal manera que, en aras de tutelar la correcta aplicación de la Ley, se tiene que el particular señaló en su solicitud de información que requería conocer lo relativo al Fondo de Seguridad (FOSEG) destinado por el Secretariado Ejecutivo del Sistema Nacional de Seguridad Pública, sin embargo del estudio realizado, se tiene que el Secretariado únicamente destina apoyos mediante dos formas, una a través de un Fondo y la otra, a través de un Subsidio, los cuales serán estudiados en el cuerpo de la presente resolución. </w:t>
      </w:r>
    </w:p>
    <w:p w14:paraId="16B09D27" w14:textId="77777777" w:rsidR="001631DB" w:rsidRPr="00A01837" w:rsidRDefault="001631DB" w:rsidP="00A01837">
      <w:pPr>
        <w:pStyle w:val="Prrafodelista"/>
        <w:spacing w:line="360" w:lineRule="auto"/>
        <w:ind w:left="0"/>
        <w:jc w:val="both"/>
        <w:rPr>
          <w:rFonts w:ascii="Palatino Linotype" w:eastAsia="Times New Roman" w:hAnsi="Palatino Linotype" w:cs="Arial"/>
          <w:bCs/>
          <w:lang w:val="es-ES"/>
        </w:rPr>
      </w:pPr>
    </w:p>
    <w:p w14:paraId="475EDF10" w14:textId="5F0B3E35" w:rsidR="001631DB" w:rsidRPr="00A01837" w:rsidRDefault="001631DB" w:rsidP="00A01837">
      <w:pPr>
        <w:pStyle w:val="Prrafodelista"/>
        <w:numPr>
          <w:ilvl w:val="0"/>
          <w:numId w:val="1"/>
        </w:numPr>
        <w:spacing w:line="360" w:lineRule="auto"/>
        <w:ind w:left="0" w:firstLine="0"/>
        <w:jc w:val="both"/>
        <w:rPr>
          <w:rFonts w:ascii="Palatino Linotype" w:eastAsia="Times New Roman" w:hAnsi="Palatino Linotype" w:cs="Arial"/>
          <w:bCs/>
          <w:lang w:val="es-ES"/>
        </w:rPr>
      </w:pPr>
      <w:r w:rsidRPr="00A01837">
        <w:rPr>
          <w:rFonts w:ascii="Palatino Linotype" w:eastAsia="Times New Roman" w:hAnsi="Palatino Linotype" w:cs="Arial"/>
          <w:bCs/>
          <w:lang w:val="es-ES"/>
        </w:rPr>
        <w:t xml:space="preserve">Del mismo modo, se tiene que, el particular únicamente señaló la temporalidad respecto del punto uno de su solicitud, no así en relación con los demás puntos, por lo que la temporalidad relativa a los mismos, se tomará como la misma que la del punto uno, es decir del uno (01) de enero del dos mil quince al veintinueve (29) de julio del dos mil diecinueve. </w:t>
      </w:r>
    </w:p>
    <w:p w14:paraId="4D5E5151" w14:textId="77777777" w:rsidR="001631DB" w:rsidRPr="00A01837" w:rsidRDefault="001631DB" w:rsidP="00A01837">
      <w:pPr>
        <w:pStyle w:val="Prrafodelista"/>
        <w:spacing w:line="360" w:lineRule="auto"/>
        <w:ind w:left="0"/>
        <w:jc w:val="both"/>
        <w:rPr>
          <w:rFonts w:ascii="Palatino Linotype" w:eastAsia="Times New Roman" w:hAnsi="Palatino Linotype" w:cs="Arial"/>
          <w:bCs/>
          <w:lang w:val="es-ES"/>
        </w:rPr>
      </w:pPr>
    </w:p>
    <w:p w14:paraId="42129C84" w14:textId="70EECA04" w:rsidR="001631DB" w:rsidRPr="00A01837" w:rsidRDefault="001631DB" w:rsidP="00A01837">
      <w:pPr>
        <w:pStyle w:val="Prrafodelista"/>
        <w:numPr>
          <w:ilvl w:val="0"/>
          <w:numId w:val="1"/>
        </w:numPr>
        <w:spacing w:line="360" w:lineRule="auto"/>
        <w:ind w:left="0" w:firstLine="0"/>
        <w:jc w:val="both"/>
        <w:rPr>
          <w:rFonts w:ascii="Palatino Linotype" w:eastAsia="Times New Roman" w:hAnsi="Palatino Linotype" w:cs="Arial"/>
          <w:bCs/>
          <w:lang w:val="es-ES"/>
        </w:rPr>
      </w:pPr>
      <w:r w:rsidRPr="00A01837">
        <w:rPr>
          <w:rFonts w:ascii="Palatino Linotype" w:eastAsia="Times New Roman" w:hAnsi="Palatino Linotype" w:cs="Arial"/>
          <w:bCs/>
          <w:lang w:val="es-ES"/>
        </w:rPr>
        <w:t xml:space="preserve">En el mismo orden de ideas, es de precisar </w:t>
      </w:r>
      <w:r w:rsidR="00361DBA" w:rsidRPr="00A01837">
        <w:rPr>
          <w:rFonts w:ascii="Palatino Linotype" w:eastAsia="Times New Roman" w:hAnsi="Palatino Linotype" w:cs="Arial"/>
          <w:bCs/>
          <w:lang w:val="es-ES"/>
        </w:rPr>
        <w:t>que,</w:t>
      </w:r>
      <w:r w:rsidRPr="00A01837">
        <w:rPr>
          <w:rFonts w:ascii="Palatino Linotype" w:eastAsia="Times New Roman" w:hAnsi="Palatino Linotype" w:cs="Arial"/>
          <w:bCs/>
          <w:lang w:val="es-ES"/>
        </w:rPr>
        <w:t xml:space="preserve"> si bien la solicitud de información se hizo inicialmente a través de la Plataforma Nacional de Transparencia y que por ello a simple vista pueda observarse una notoria incompetencia, también lo es </w:t>
      </w:r>
      <w:r w:rsidR="00361DBA" w:rsidRPr="00A01837">
        <w:rPr>
          <w:rFonts w:ascii="Palatino Linotype" w:eastAsia="Times New Roman" w:hAnsi="Palatino Linotype" w:cs="Arial"/>
          <w:bCs/>
          <w:lang w:val="es-ES"/>
        </w:rPr>
        <w:t>que,</w:t>
      </w:r>
      <w:r w:rsidRPr="00A01837">
        <w:rPr>
          <w:rFonts w:ascii="Palatino Linotype" w:eastAsia="Times New Roman" w:hAnsi="Palatino Linotype" w:cs="Arial"/>
          <w:bCs/>
          <w:lang w:val="es-ES"/>
        </w:rPr>
        <w:t xml:space="preserve"> en aras de salvaguardar el correcto ejercicio del derecho de acceso a la información, del estudio que se procederá a realizar se determinará qué puntos de la solicitud de información pudiesen ser de la competencia de la Secretaría de Finanzas</w:t>
      </w:r>
      <w:r w:rsidR="00361DBA" w:rsidRPr="00A01837">
        <w:rPr>
          <w:rFonts w:ascii="Palatino Linotype" w:eastAsia="Times New Roman" w:hAnsi="Palatino Linotype" w:cs="Arial"/>
          <w:bCs/>
          <w:lang w:val="es-ES"/>
        </w:rPr>
        <w:t xml:space="preserve"> o por el contrario, se determinará la incompetencia de la misma. </w:t>
      </w:r>
    </w:p>
    <w:p w14:paraId="58C053A4" w14:textId="77777777" w:rsidR="00361DBA" w:rsidRPr="00A01837" w:rsidRDefault="00361DBA" w:rsidP="00A01837">
      <w:pPr>
        <w:pStyle w:val="Prrafodelista"/>
        <w:spacing w:line="360" w:lineRule="auto"/>
        <w:ind w:left="0"/>
        <w:jc w:val="both"/>
        <w:rPr>
          <w:rFonts w:ascii="Palatino Linotype" w:eastAsia="Times New Roman" w:hAnsi="Palatino Linotype" w:cs="Arial"/>
          <w:bCs/>
          <w:lang w:val="es-ES"/>
        </w:rPr>
      </w:pPr>
    </w:p>
    <w:p w14:paraId="20798D0F" w14:textId="3D76FBF6" w:rsidR="00361DBA" w:rsidRPr="00A01837" w:rsidRDefault="00361DBA" w:rsidP="00A01837">
      <w:pPr>
        <w:pStyle w:val="Prrafodelista"/>
        <w:numPr>
          <w:ilvl w:val="0"/>
          <w:numId w:val="1"/>
        </w:numPr>
        <w:spacing w:line="360" w:lineRule="auto"/>
        <w:ind w:left="0" w:firstLine="0"/>
        <w:jc w:val="both"/>
        <w:rPr>
          <w:rFonts w:ascii="Palatino Linotype" w:eastAsia="Times New Roman" w:hAnsi="Palatino Linotype" w:cs="Arial"/>
          <w:bCs/>
          <w:lang w:val="es-ES"/>
        </w:rPr>
      </w:pPr>
      <w:r w:rsidRPr="00A01837">
        <w:rPr>
          <w:rFonts w:ascii="Palatino Linotype" w:eastAsia="Times New Roman" w:hAnsi="Palatino Linotype" w:cs="Arial"/>
          <w:bCs/>
          <w:lang w:val="es-ES"/>
        </w:rPr>
        <w:t>Ante ello, respecto a lo solicitado, relativo a los informes que el Secretariado recibió del Estado de México, se determinará en contrario sensu, si el Estado de México, remitió informes al Secretariado Ejecutivo de Seguridad Pública del Estado de México.</w:t>
      </w:r>
    </w:p>
    <w:p w14:paraId="18ACDCEB" w14:textId="77777777" w:rsidR="00361DBA" w:rsidRPr="00A01837" w:rsidRDefault="00361DBA" w:rsidP="00A01837">
      <w:pPr>
        <w:pStyle w:val="Prrafodelista"/>
        <w:spacing w:line="360" w:lineRule="auto"/>
        <w:ind w:left="0"/>
        <w:jc w:val="both"/>
        <w:rPr>
          <w:rFonts w:ascii="Palatino Linotype" w:eastAsia="Times New Roman" w:hAnsi="Palatino Linotype" w:cs="Arial"/>
          <w:bCs/>
          <w:lang w:val="es-ES"/>
        </w:rPr>
      </w:pPr>
    </w:p>
    <w:p w14:paraId="7991D384" w14:textId="13C8FC08" w:rsidR="00361DBA" w:rsidRPr="00A01837" w:rsidRDefault="00361DBA" w:rsidP="00A01837">
      <w:pPr>
        <w:pStyle w:val="Prrafodelista"/>
        <w:numPr>
          <w:ilvl w:val="0"/>
          <w:numId w:val="1"/>
        </w:numPr>
        <w:spacing w:line="360" w:lineRule="auto"/>
        <w:ind w:left="0" w:firstLine="0"/>
        <w:jc w:val="both"/>
        <w:rPr>
          <w:rFonts w:ascii="Palatino Linotype" w:eastAsia="Times New Roman" w:hAnsi="Palatino Linotype" w:cs="Arial"/>
          <w:bCs/>
          <w:lang w:val="es-ES"/>
        </w:rPr>
      </w:pPr>
      <w:r w:rsidRPr="00A01837">
        <w:rPr>
          <w:rFonts w:ascii="Palatino Linotype" w:eastAsia="Times New Roman" w:hAnsi="Palatino Linotype" w:cs="Arial"/>
          <w:bCs/>
          <w:lang w:val="es-ES"/>
        </w:rPr>
        <w:t xml:space="preserve">Una vez precisado lo anterior, se procede al estudio en razón de lo siguiente; </w:t>
      </w:r>
    </w:p>
    <w:p w14:paraId="218D4498" w14:textId="77777777" w:rsidR="005D4114" w:rsidRPr="00A01837" w:rsidRDefault="005D4114" w:rsidP="00A01837">
      <w:pPr>
        <w:pStyle w:val="Ttulo1"/>
        <w:spacing w:before="0" w:line="360" w:lineRule="auto"/>
        <w:jc w:val="both"/>
        <w:rPr>
          <w:b/>
          <w:szCs w:val="24"/>
        </w:rPr>
      </w:pPr>
    </w:p>
    <w:p w14:paraId="62A0C1BF" w14:textId="74D16E9C" w:rsidR="001208F3" w:rsidRPr="00A01837" w:rsidRDefault="001208F3" w:rsidP="00A01837">
      <w:pPr>
        <w:pStyle w:val="Ttulo1"/>
        <w:numPr>
          <w:ilvl w:val="0"/>
          <w:numId w:val="10"/>
        </w:numPr>
        <w:spacing w:before="0" w:line="360" w:lineRule="auto"/>
        <w:jc w:val="both"/>
        <w:rPr>
          <w:b/>
          <w:szCs w:val="24"/>
        </w:rPr>
      </w:pPr>
      <w:bookmarkStart w:id="79" w:name="_Toc21026222"/>
      <w:r w:rsidRPr="00A01837">
        <w:rPr>
          <w:b/>
          <w:color w:val="000000" w:themeColor="text1"/>
          <w:szCs w:val="24"/>
        </w:rPr>
        <w:t>De</w:t>
      </w:r>
      <w:r w:rsidR="00EE57F5" w:rsidRPr="00A01837">
        <w:rPr>
          <w:b/>
          <w:color w:val="000000" w:themeColor="text1"/>
          <w:szCs w:val="24"/>
        </w:rPr>
        <w:t xml:space="preserve"> los programas en materia de Seguridad Pública que otorga el Secretariado Ejecutivo del Sistema Nacional de Seguridad Pública.</w:t>
      </w:r>
      <w:bookmarkEnd w:id="79"/>
      <w:r w:rsidR="00EE57F5" w:rsidRPr="00A01837">
        <w:rPr>
          <w:b/>
          <w:color w:val="000000" w:themeColor="text1"/>
          <w:szCs w:val="24"/>
        </w:rPr>
        <w:t xml:space="preserve"> </w:t>
      </w:r>
    </w:p>
    <w:p w14:paraId="144B3F9C" w14:textId="77777777" w:rsidR="00A278AA" w:rsidRPr="00A01837" w:rsidRDefault="00A278AA"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34A91E" w14:textId="28342B3C" w:rsidR="00EE57F5"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hAnsi="Palatino Linotype"/>
        </w:rPr>
        <w:t>Es pertinente señalar que</w:t>
      </w:r>
      <w:r w:rsidR="00EE57F5" w:rsidRPr="00A01837">
        <w:rPr>
          <w:rFonts w:ascii="Palatino Linotype" w:hAnsi="Palatino Linotype"/>
        </w:rPr>
        <w:t xml:space="preserve">, el Sistema Nacional de Seguridad Pública cuenta con recursos federales que son destinados a los estados y municipios para apoyar la realización de temas relacionados con la profesionalización de las personas que conforman las áreas de la seguridad pública, así como su equipamiento, construcción de infraestructura física entre otros, cuyo fin radica en fortalecer la misma, tal y como lo refiere la página oficial del Secretariado. </w:t>
      </w:r>
      <w:r w:rsidR="00EE57F5" w:rsidRPr="00A01837">
        <w:rPr>
          <w:rStyle w:val="Refdenotaalpie"/>
          <w:rFonts w:ascii="Palatino Linotype" w:hAnsi="Palatino Linotype"/>
        </w:rPr>
        <w:footnoteReference w:id="3"/>
      </w:r>
    </w:p>
    <w:p w14:paraId="746B7429" w14:textId="77777777" w:rsidR="001631DB" w:rsidRPr="00A01837" w:rsidRDefault="001631DB"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FCD936" w14:textId="16CCBD17"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hAnsi="Palatino Linotype"/>
        </w:rPr>
        <w:t xml:space="preserve">De los recursos federales destinados a estas áreas se tiene que </w:t>
      </w:r>
      <w:r w:rsidRPr="00A01837">
        <w:rPr>
          <w:rFonts w:ascii="Palatino Linotype" w:hAnsi="Palatino Linotype"/>
          <w:b/>
          <w:bCs/>
        </w:rPr>
        <w:t>únicamente</w:t>
      </w:r>
      <w:r w:rsidRPr="00A01837">
        <w:rPr>
          <w:rFonts w:ascii="Palatino Linotype" w:hAnsi="Palatino Linotype"/>
        </w:rPr>
        <w:t xml:space="preserve"> se conforma por un fondo (FASP) y un subsidio (FOTASEG), que de manera breve serán explicados a continuación;</w:t>
      </w:r>
    </w:p>
    <w:p w14:paraId="28D3FECA" w14:textId="77777777" w:rsidR="000115DB" w:rsidRPr="00A01837" w:rsidRDefault="000115DB" w:rsidP="00A01837">
      <w:pPr>
        <w:pStyle w:val="Prrafodelista"/>
        <w:tabs>
          <w:tab w:val="left" w:pos="426"/>
        </w:tabs>
        <w:spacing w:line="360" w:lineRule="auto"/>
        <w:ind w:left="0"/>
        <w:jc w:val="both"/>
        <w:rPr>
          <w:rFonts w:ascii="Palatino Linotype" w:eastAsia="MS Mincho" w:hAnsi="Palatino Linotype" w:cs="Arial"/>
          <w:color w:val="000000" w:themeColor="text1"/>
          <w:highlight w:val="yellow"/>
          <w:lang w:val="es-MX"/>
        </w:rPr>
      </w:pPr>
    </w:p>
    <w:p w14:paraId="053605D3" w14:textId="5DB72F67" w:rsidR="00BE48DF" w:rsidRPr="00A01837" w:rsidRDefault="00BE48DF" w:rsidP="00A01837">
      <w:pPr>
        <w:pStyle w:val="Ttulo1"/>
        <w:numPr>
          <w:ilvl w:val="0"/>
          <w:numId w:val="10"/>
        </w:numPr>
        <w:spacing w:before="0" w:line="360" w:lineRule="auto"/>
        <w:rPr>
          <w:b/>
          <w:szCs w:val="24"/>
        </w:rPr>
      </w:pPr>
      <w:bookmarkStart w:id="80" w:name="_Toc21026223"/>
      <w:bookmarkStart w:id="81" w:name="_Hlk21020634"/>
      <w:r w:rsidRPr="00A01837">
        <w:rPr>
          <w:b/>
          <w:color w:val="000000" w:themeColor="text1"/>
          <w:szCs w:val="24"/>
        </w:rPr>
        <w:t xml:space="preserve">Del Fondo </w:t>
      </w:r>
      <w:r w:rsidR="00F06B81" w:rsidRPr="00A01837">
        <w:rPr>
          <w:b/>
          <w:color w:val="000000" w:themeColor="text1"/>
          <w:szCs w:val="24"/>
        </w:rPr>
        <w:t>de Aportaciones para la Seguridad Pública de los Estados y del Distrito Federal (FASP)</w:t>
      </w:r>
      <w:bookmarkEnd w:id="80"/>
      <w:r w:rsidRPr="00A01837">
        <w:rPr>
          <w:b/>
          <w:color w:val="000000" w:themeColor="text1"/>
          <w:szCs w:val="24"/>
        </w:rPr>
        <w:t xml:space="preserve"> </w:t>
      </w:r>
    </w:p>
    <w:bookmarkEnd w:id="81"/>
    <w:p w14:paraId="472B1902" w14:textId="77777777" w:rsidR="00E96B0B" w:rsidRPr="00A01837" w:rsidRDefault="00E96B0B"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93A960" w14:textId="17371A37" w:rsidR="00CF1289" w:rsidRPr="00A01837" w:rsidRDefault="00F06B81"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De acuerdo con la Ley de Coordinación Fiscal, el Fondo de Aportaciones para la Seguridad de los Estados y del Distrito Federal se constituirá con cargo a recursos federales, los cuales serán determinados anualmente en el Presupuesto de Egresos de la Federación. Este fondo se enterará mensualmente por la Secretaría de Hacienda y Crédito Público durante los primeros diez meses del año a los Estados y al distrito Federal, de manera ágil y directa. </w:t>
      </w:r>
    </w:p>
    <w:p w14:paraId="37F5687A" w14:textId="77777777" w:rsidR="00F06B81" w:rsidRPr="00A01837" w:rsidRDefault="00F06B81"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9165D2" w14:textId="5C33A8D7" w:rsidR="009C7130" w:rsidRPr="00A01837" w:rsidRDefault="00F06B81" w:rsidP="00A01837">
      <w:pPr>
        <w:pStyle w:val="Prrafodelista"/>
        <w:numPr>
          <w:ilvl w:val="0"/>
          <w:numId w:val="1"/>
        </w:numPr>
        <w:tabs>
          <w:tab w:val="left" w:pos="426"/>
        </w:tabs>
        <w:spacing w:line="360" w:lineRule="auto"/>
        <w:ind w:left="0" w:firstLine="0"/>
        <w:jc w:val="both"/>
        <w:rPr>
          <w:rFonts w:ascii="Palatino Linotype" w:hAnsi="Palatino Linotype"/>
        </w:rPr>
      </w:pPr>
      <w:r w:rsidRPr="00A01837">
        <w:rPr>
          <w:rFonts w:ascii="Palatino Linotype" w:eastAsia="MS Mincho" w:hAnsi="Palatino Linotype" w:cs="Arial"/>
          <w:color w:val="000000" w:themeColor="text1"/>
          <w:lang w:val="es-MX"/>
        </w:rPr>
        <w:t>El artículo 44 de la Ley citada, señala que</w:t>
      </w:r>
      <w:r w:rsidR="006C3FB0" w:rsidRPr="00A01837">
        <w:rPr>
          <w:rFonts w:ascii="Palatino Linotype" w:eastAsia="MS Mincho" w:hAnsi="Palatino Linotype" w:cs="Arial"/>
          <w:color w:val="000000" w:themeColor="text1"/>
          <w:lang w:val="es-MX"/>
        </w:rPr>
        <w:t>;</w:t>
      </w:r>
    </w:p>
    <w:p w14:paraId="44E135F8" w14:textId="77777777" w:rsidR="006C3FB0" w:rsidRPr="00A01837" w:rsidRDefault="006C3FB0" w:rsidP="00A01837">
      <w:pPr>
        <w:pStyle w:val="Prrafodelista"/>
        <w:tabs>
          <w:tab w:val="left" w:pos="426"/>
        </w:tabs>
        <w:spacing w:line="360" w:lineRule="auto"/>
        <w:ind w:left="0"/>
        <w:jc w:val="both"/>
        <w:rPr>
          <w:rFonts w:ascii="Palatino Linotype" w:hAnsi="Palatino Linotype"/>
        </w:rPr>
      </w:pPr>
    </w:p>
    <w:p w14:paraId="4B2648FD" w14:textId="6DEDEAA5" w:rsidR="006C3FB0" w:rsidRPr="00A01837" w:rsidRDefault="006C3FB0" w:rsidP="00A01837">
      <w:pPr>
        <w:pStyle w:val="Prrafodelista"/>
        <w:tabs>
          <w:tab w:val="left" w:pos="426"/>
        </w:tabs>
        <w:spacing w:line="360" w:lineRule="auto"/>
        <w:ind w:left="0"/>
        <w:jc w:val="center"/>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Ley de Coordinación Fiscal</w:t>
      </w:r>
    </w:p>
    <w:p w14:paraId="5B4F9D7F" w14:textId="77777777" w:rsidR="006C3FB0" w:rsidRPr="00A01837" w:rsidRDefault="006C3FB0" w:rsidP="00A01837">
      <w:pPr>
        <w:pStyle w:val="Prrafodelista"/>
        <w:tabs>
          <w:tab w:val="left" w:pos="426"/>
        </w:tabs>
        <w:spacing w:line="360" w:lineRule="auto"/>
        <w:ind w:left="0"/>
        <w:jc w:val="center"/>
        <w:rPr>
          <w:rFonts w:ascii="Palatino Linotype" w:eastAsia="MS Mincho" w:hAnsi="Palatino Linotype" w:cs="Arial"/>
          <w:b/>
          <w:bCs/>
          <w:color w:val="000000" w:themeColor="text1"/>
          <w:lang w:val="es-MX"/>
        </w:rPr>
      </w:pPr>
    </w:p>
    <w:p w14:paraId="371AA33F" w14:textId="6544469D" w:rsidR="006C3FB0" w:rsidRPr="00A01837" w:rsidRDefault="006C3FB0" w:rsidP="00A01837">
      <w:pPr>
        <w:tabs>
          <w:tab w:val="left" w:pos="426"/>
        </w:tabs>
        <w:spacing w:line="360" w:lineRule="auto"/>
        <w:ind w:left="567" w:right="616"/>
        <w:jc w:val="both"/>
        <w:rPr>
          <w:rFonts w:ascii="Palatino Linotype" w:hAnsi="Palatino Linotype"/>
        </w:rPr>
      </w:pPr>
      <w:r w:rsidRPr="00A01837">
        <w:rPr>
          <w:rFonts w:ascii="Palatino Linotype" w:hAnsi="Palatino Linotype"/>
          <w:b/>
          <w:bCs/>
        </w:rPr>
        <w:t>Artículo 44.-</w:t>
      </w:r>
      <w:r w:rsidRPr="00A01837">
        <w:rPr>
          <w:rFonts w:ascii="Palatino Linotype" w:hAnsi="Palatino Linotype"/>
        </w:rPr>
        <w:t xml:space="preserve"> […]</w:t>
      </w:r>
    </w:p>
    <w:p w14:paraId="4D5BE449" w14:textId="77777777" w:rsidR="006C3FB0" w:rsidRPr="00A01837" w:rsidRDefault="006C3FB0" w:rsidP="00A01837">
      <w:pPr>
        <w:tabs>
          <w:tab w:val="left" w:pos="426"/>
        </w:tabs>
        <w:spacing w:line="360" w:lineRule="auto"/>
        <w:ind w:left="567" w:right="616"/>
        <w:jc w:val="both"/>
        <w:rPr>
          <w:rFonts w:ascii="Palatino Linotype" w:hAnsi="Palatino Linotype"/>
        </w:rPr>
      </w:pPr>
    </w:p>
    <w:p w14:paraId="7AD33ABD" w14:textId="144A86CB" w:rsidR="006C3FB0" w:rsidRPr="00A01837" w:rsidRDefault="006C3FB0" w:rsidP="00A01837">
      <w:pPr>
        <w:tabs>
          <w:tab w:val="left" w:pos="426"/>
        </w:tabs>
        <w:spacing w:line="360" w:lineRule="auto"/>
        <w:ind w:left="567" w:right="616"/>
        <w:jc w:val="both"/>
        <w:rPr>
          <w:rFonts w:ascii="Palatino Linotype" w:hAnsi="Palatino Linotype"/>
        </w:rPr>
      </w:pPr>
      <w:r w:rsidRPr="00A01837">
        <w:rPr>
          <w:rFonts w:ascii="Palatino Linotype" w:hAnsi="Palatino Linotype"/>
        </w:rPr>
        <w:t>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w:t>
      </w:r>
    </w:p>
    <w:p w14:paraId="079A7BA6" w14:textId="75712492" w:rsidR="006C3FB0" w:rsidRPr="00A01837" w:rsidRDefault="006C3FB0" w:rsidP="00A01837">
      <w:pPr>
        <w:tabs>
          <w:tab w:val="left" w:pos="426"/>
        </w:tabs>
        <w:spacing w:line="360" w:lineRule="auto"/>
        <w:ind w:left="567" w:right="616"/>
        <w:jc w:val="both"/>
        <w:rPr>
          <w:rFonts w:ascii="Palatino Linotype" w:hAnsi="Palatino Linotype"/>
        </w:rPr>
      </w:pPr>
      <w:r w:rsidRPr="00A01837">
        <w:rPr>
          <w:rFonts w:ascii="Palatino Linotype" w:hAnsi="Palatino Linotype"/>
        </w:rPr>
        <w:t xml:space="preserve">[…] </w:t>
      </w:r>
    </w:p>
    <w:p w14:paraId="007476AB" w14:textId="1094FEB0" w:rsidR="006C3FB0" w:rsidRPr="00A01837" w:rsidRDefault="006C3FB0" w:rsidP="00A01837">
      <w:pPr>
        <w:tabs>
          <w:tab w:val="left" w:pos="426"/>
        </w:tabs>
        <w:spacing w:line="360" w:lineRule="auto"/>
        <w:ind w:left="567" w:right="616"/>
        <w:jc w:val="both"/>
        <w:rPr>
          <w:rFonts w:ascii="Palatino Linotype" w:hAnsi="Palatino Linotype"/>
        </w:rPr>
      </w:pPr>
      <w:r w:rsidRPr="00A01837">
        <w:rPr>
          <w:rFonts w:ascii="Palatino Linotype" w:hAnsi="Palatino Linotype"/>
          <w:b/>
          <w:bCs/>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w:t>
      </w:r>
      <w:r w:rsidRPr="00A01837">
        <w:rPr>
          <w:rFonts w:ascii="Palatino Linotype" w:hAnsi="Palatino Linotype"/>
        </w:rPr>
        <w:t xml:space="preserve">;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14:paraId="3EFB5884" w14:textId="77777777" w:rsidR="006C3FB0" w:rsidRPr="00A01837" w:rsidRDefault="006C3FB0" w:rsidP="00A01837">
      <w:pPr>
        <w:tabs>
          <w:tab w:val="left" w:pos="426"/>
        </w:tabs>
        <w:spacing w:line="360" w:lineRule="auto"/>
        <w:ind w:left="567" w:right="616"/>
        <w:jc w:val="both"/>
        <w:rPr>
          <w:rFonts w:ascii="Palatino Linotype" w:hAnsi="Palatino Linotype"/>
        </w:rPr>
      </w:pPr>
    </w:p>
    <w:p w14:paraId="19AEED53" w14:textId="5D5AD399" w:rsidR="006C3FB0" w:rsidRPr="00A01837" w:rsidRDefault="006C3FB0" w:rsidP="00A01837">
      <w:pPr>
        <w:tabs>
          <w:tab w:val="left" w:pos="426"/>
        </w:tabs>
        <w:spacing w:line="360" w:lineRule="auto"/>
        <w:ind w:left="567" w:right="616"/>
        <w:jc w:val="both"/>
        <w:rPr>
          <w:rFonts w:ascii="Palatino Linotype" w:hAnsi="Palatino Linotype"/>
        </w:rPr>
      </w:pPr>
      <w:r w:rsidRPr="00A01837">
        <w:rPr>
          <w:rFonts w:ascii="Palatino Linotype" w:hAnsi="Palatino Linotype"/>
          <w:b/>
          <w:bCs/>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w:t>
      </w:r>
      <w:r w:rsidRPr="00A01837">
        <w:rPr>
          <w:rFonts w:ascii="Palatino Linotype" w:hAnsi="Palatino Linotype"/>
        </w:rPr>
        <w:t xml:space="preserve"> Lo anterior, en términos de la Ley General de Contabilidad Gubernamental y conforme a los formatos aprobados por el Consejo Nacional de Armonización Contable.</w:t>
      </w:r>
    </w:p>
    <w:p w14:paraId="12184AFE" w14:textId="77777777" w:rsidR="006C3FB0" w:rsidRPr="00A01837" w:rsidRDefault="006C3FB0" w:rsidP="00A01837">
      <w:pPr>
        <w:tabs>
          <w:tab w:val="left" w:pos="426"/>
        </w:tabs>
        <w:spacing w:line="360" w:lineRule="auto"/>
        <w:jc w:val="both"/>
        <w:rPr>
          <w:rFonts w:ascii="Palatino Linotype" w:hAnsi="Palatino Linotype"/>
        </w:rPr>
      </w:pPr>
    </w:p>
    <w:p w14:paraId="5733B8C2" w14:textId="287A61EC" w:rsidR="00CF1289"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De lo anterior se tiene que la Secretaría de Hacienda y Crédito Público, entregará a las entidades el Fondo de Aportaciones para la Seguridad Pública de los Estados y del Distrito Federal, el cual se enterará mensualmente </w:t>
      </w:r>
      <w:r w:rsidR="006C3FB0" w:rsidRPr="00A01837">
        <w:rPr>
          <w:rFonts w:ascii="Palatino Linotype" w:eastAsia="MS Mincho" w:hAnsi="Palatino Linotype" w:cs="Arial"/>
          <w:color w:val="000000" w:themeColor="text1"/>
          <w:lang w:val="es-MX"/>
        </w:rPr>
        <w:t xml:space="preserve">durante los primeros diez meses del año, de tal manera que los Estados y el Distrito Federa deberán </w:t>
      </w:r>
      <w:r w:rsidR="006C3FB0" w:rsidRPr="00A01837">
        <w:rPr>
          <w:rFonts w:ascii="Palatino Linotype" w:eastAsia="MS Mincho" w:hAnsi="Palatino Linotype" w:cs="Arial"/>
          <w:b/>
          <w:bCs/>
          <w:color w:val="000000" w:themeColor="text1"/>
          <w:lang w:val="es-MX"/>
        </w:rPr>
        <w:t xml:space="preserve">reportar trimestralmente </w:t>
      </w:r>
      <w:r w:rsidR="006C3FB0" w:rsidRPr="00A01837">
        <w:rPr>
          <w:rFonts w:ascii="Palatino Linotype" w:eastAsia="MS Mincho" w:hAnsi="Palatino Linotype" w:cs="Arial"/>
          <w:color w:val="000000" w:themeColor="text1"/>
          <w:lang w:val="es-MX"/>
        </w:rPr>
        <w:t>el ejercicio de los recursos del Fondo y el avance en el cumplimiento de las metas, así como las modificaciones o adecuaciones realizadas a las asignaciones establecidas</w:t>
      </w:r>
      <w:r w:rsidR="00B17353" w:rsidRPr="00A01837">
        <w:rPr>
          <w:rFonts w:ascii="Palatino Linotype" w:eastAsia="MS Mincho" w:hAnsi="Palatino Linotype" w:cs="Arial"/>
          <w:color w:val="000000" w:themeColor="text1"/>
          <w:lang w:val="es-MX"/>
        </w:rPr>
        <w:t xml:space="preserve">, de lo que se colige que los Estados a través de la Secretaría de Finanzas deberán realizar dichos reportes. </w:t>
      </w:r>
    </w:p>
    <w:p w14:paraId="58DDF826" w14:textId="77777777" w:rsidR="009C7130" w:rsidRPr="00A01837" w:rsidRDefault="009C7130" w:rsidP="00A01837">
      <w:pPr>
        <w:pStyle w:val="Ttulo1"/>
        <w:numPr>
          <w:ilvl w:val="0"/>
          <w:numId w:val="10"/>
        </w:numPr>
        <w:spacing w:before="0" w:line="360" w:lineRule="auto"/>
        <w:rPr>
          <w:b/>
          <w:szCs w:val="24"/>
        </w:rPr>
      </w:pPr>
      <w:bookmarkStart w:id="82" w:name="_Toc21026224"/>
      <w:bookmarkStart w:id="83" w:name="_Hlk21020610"/>
      <w:r w:rsidRPr="00A01837">
        <w:rPr>
          <w:b/>
          <w:color w:val="000000" w:themeColor="text1"/>
          <w:szCs w:val="24"/>
        </w:rPr>
        <w:t>Del Programa de Fortalecimiento para la Seguridad (FORTASEG).</w:t>
      </w:r>
      <w:bookmarkEnd w:id="82"/>
      <w:r w:rsidRPr="00A01837">
        <w:rPr>
          <w:b/>
          <w:color w:val="000000" w:themeColor="text1"/>
          <w:szCs w:val="24"/>
        </w:rPr>
        <w:t xml:space="preserve"> </w:t>
      </w:r>
    </w:p>
    <w:bookmarkEnd w:id="83"/>
    <w:p w14:paraId="5685ABF6" w14:textId="77777777" w:rsidR="009C7130" w:rsidRPr="00A01837" w:rsidRDefault="009C7130"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22D442" w14:textId="77777777"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hAnsi="Palatino Linotype"/>
        </w:rPr>
        <w:t xml:space="preserve">El Programa de Fortalecimiento para la Seguridad (FORTASEG), es un subsidio que se otorga a los municipios, y en su caso a los estados cuando éstos ejercen la función de seguridad pública en lugar de los primero o coordinados con ellos. De acuerdo con los </w:t>
      </w:r>
      <w:r w:rsidRPr="00A01837">
        <w:rPr>
          <w:rFonts w:ascii="Palatino Linotype" w:hAnsi="Palatino Linotype"/>
          <w:b/>
          <w:bC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r w:rsidRPr="00A01837">
        <w:rPr>
          <w:rFonts w:ascii="Palatino Linotype" w:hAnsi="Palatino Linotype"/>
        </w:rPr>
        <w:t xml:space="preserve">,  el objetivo del FORTASEG es apoyar el fortalecimiento del desempeño en materia de seguridad pública a los Beneficiarios mediante la profesionalización, la certificación y el equipamiento de los elementos policiales de las instituciones de seguridad pública, así como el fortalecimiento tecnológico, de equipo e infraestructura de las instituciones de seguridad pública. </w:t>
      </w:r>
    </w:p>
    <w:p w14:paraId="1035C44B" w14:textId="77777777" w:rsidR="009C7130" w:rsidRPr="00A01837" w:rsidRDefault="009C7130"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23AD5D" w14:textId="604DED38"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De lo anterior, cabe destacar que los </w:t>
      </w:r>
      <w:r w:rsidRPr="00A01837">
        <w:rPr>
          <w:rFonts w:ascii="Palatino Linotype" w:eastAsia="MS Mincho" w:hAnsi="Palatino Linotype" w:cs="Arial"/>
          <w:b/>
          <w:bCs/>
          <w:color w:val="000000" w:themeColor="text1"/>
          <w:lang w:val="es-MX"/>
        </w:rPr>
        <w:t xml:space="preserve">“Beneficiarios” </w:t>
      </w:r>
      <w:r w:rsidRPr="00A01837">
        <w:rPr>
          <w:rFonts w:ascii="Palatino Linotype" w:eastAsia="MS Mincho" w:hAnsi="Palatino Linotype" w:cs="Arial"/>
          <w:color w:val="000000" w:themeColor="text1"/>
          <w:lang w:val="es-MX"/>
        </w:rPr>
        <w:t xml:space="preserve">son los municipios y alcaldías de la Ciudad de México y, en su caso, a las entidades federativas que ejerzan de manera directa o coordinada la función de seguridad pública en el ámbito municipal, que hayan sido seleccionados para acceder al FORTASEG. </w:t>
      </w:r>
    </w:p>
    <w:p w14:paraId="289257EF" w14:textId="77777777" w:rsidR="00CD2B46" w:rsidRPr="00A01837" w:rsidRDefault="00CD2B46"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EBEA387" w14:textId="77777777"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Los lineamientos referidos, establecen que los recursos federales del FORTASEG no son </w:t>
      </w:r>
      <w:proofErr w:type="spellStart"/>
      <w:r w:rsidRPr="00A01837">
        <w:rPr>
          <w:rFonts w:ascii="Palatino Linotype" w:eastAsia="MS Mincho" w:hAnsi="Palatino Linotype" w:cs="Arial"/>
          <w:color w:val="000000" w:themeColor="text1"/>
          <w:lang w:val="es-MX"/>
        </w:rPr>
        <w:t>regularizables</w:t>
      </w:r>
      <w:proofErr w:type="spellEnd"/>
      <w:r w:rsidRPr="00A01837">
        <w:rPr>
          <w:rFonts w:ascii="Palatino Linotype" w:eastAsia="MS Mincho" w:hAnsi="Palatino Linotype" w:cs="Arial"/>
          <w:color w:val="000000" w:themeColor="text1"/>
          <w:lang w:val="es-MX"/>
        </w:rPr>
        <w:t xml:space="preserve">, son parcialmente </w:t>
      </w:r>
      <w:proofErr w:type="spellStart"/>
      <w:r w:rsidRPr="00A01837">
        <w:rPr>
          <w:rFonts w:ascii="Palatino Linotype" w:eastAsia="MS Mincho" w:hAnsi="Palatino Linotype" w:cs="Arial"/>
          <w:color w:val="000000" w:themeColor="text1"/>
          <w:lang w:val="es-MX"/>
        </w:rPr>
        <w:t>concursables</w:t>
      </w:r>
      <w:proofErr w:type="spellEnd"/>
      <w:r w:rsidRPr="00A01837">
        <w:rPr>
          <w:rFonts w:ascii="Palatino Linotype" w:eastAsia="MS Mincho" w:hAnsi="Palatino Linotype" w:cs="Arial"/>
          <w:color w:val="000000" w:themeColor="text1"/>
          <w:lang w:val="es-MX"/>
        </w:rPr>
        <w:t xml:space="preserve"> y </w:t>
      </w:r>
      <w:r w:rsidRPr="00A01837">
        <w:rPr>
          <w:rFonts w:ascii="Palatino Linotype" w:eastAsia="MS Mincho" w:hAnsi="Palatino Linotype" w:cs="Arial"/>
          <w:b/>
          <w:bCs/>
          <w:color w:val="000000" w:themeColor="text1"/>
          <w:lang w:val="es-MX"/>
        </w:rPr>
        <w:t xml:space="preserve">no pierden su carácter de federal al ser ministrados a los Beneficiarios, </w:t>
      </w:r>
      <w:r w:rsidRPr="00A01837">
        <w:rPr>
          <w:rFonts w:ascii="Palatino Linotype" w:eastAsia="MS Mincho" w:hAnsi="Palatino Linotype" w:cs="Arial"/>
          <w:color w:val="000000" w:themeColor="text1"/>
          <w:lang w:val="es-MX"/>
        </w:rPr>
        <w:t xml:space="preserve">por lo que su </w:t>
      </w:r>
      <w:r w:rsidRPr="00A01837">
        <w:rPr>
          <w:rFonts w:ascii="Palatino Linotype" w:eastAsia="MS Mincho" w:hAnsi="Palatino Linotype" w:cs="Arial"/>
          <w:b/>
          <w:bCs/>
          <w:color w:val="000000" w:themeColor="text1"/>
          <w:lang w:val="es-MX"/>
        </w:rPr>
        <w:t xml:space="preserve">administración, ejercicio, seguimiento, verificación y evaluación </w:t>
      </w:r>
      <w:r w:rsidRPr="00A01837">
        <w:rPr>
          <w:rFonts w:ascii="Palatino Linotype" w:eastAsia="MS Mincho" w:hAnsi="Palatino Linotype" w:cs="Arial"/>
          <w:color w:val="000000" w:themeColor="text1"/>
          <w:lang w:val="es-MX"/>
        </w:rPr>
        <w:t xml:space="preserve">se sujetará a lo dispuesto por el Presupuesto de Egresos de la Federación para el Ejercicio Fiscal 2019, asimismo establece que cualquier comunicado relacionado con los recursos del FORTASEG que realicen los Beneficiarios al Secretariado Ejecutivo, deberá estar dirigido a la </w:t>
      </w:r>
      <w:r w:rsidRPr="00A01837">
        <w:rPr>
          <w:rFonts w:ascii="Palatino Linotype" w:eastAsia="MS Mincho" w:hAnsi="Palatino Linotype" w:cs="Arial"/>
          <w:b/>
          <w:bCs/>
          <w:color w:val="000000" w:themeColor="text1"/>
          <w:lang w:val="es-MX"/>
        </w:rPr>
        <w:t>Dirección de Vinculación y Seguimiento</w:t>
      </w:r>
      <w:r w:rsidRPr="00A01837">
        <w:rPr>
          <w:rFonts w:ascii="Palatino Linotype" w:eastAsia="MS Mincho" w:hAnsi="Palatino Linotype" w:cs="Arial"/>
          <w:color w:val="000000" w:themeColor="text1"/>
          <w:lang w:val="es-MX"/>
        </w:rPr>
        <w:t xml:space="preserve">. </w:t>
      </w:r>
    </w:p>
    <w:p w14:paraId="1294243F" w14:textId="77777777" w:rsidR="009C7130" w:rsidRPr="00A01837" w:rsidRDefault="009C7130"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83F5330" w14:textId="77777777"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Ahora bien, de igual forma los lineamientos establecen que los Beneficiarios del FORTASEG, de acuerdo con su artículo 38 tendrán las siguientes obligaciones; </w:t>
      </w:r>
    </w:p>
    <w:p w14:paraId="10672B29" w14:textId="77777777" w:rsidR="009C7130" w:rsidRPr="00A01837" w:rsidRDefault="009C7130" w:rsidP="00A01837">
      <w:pPr>
        <w:pStyle w:val="Prrafodelista"/>
        <w:tabs>
          <w:tab w:val="left" w:pos="426"/>
        </w:tabs>
        <w:spacing w:line="360" w:lineRule="auto"/>
        <w:ind w:left="0"/>
        <w:jc w:val="both"/>
        <w:rPr>
          <w:rFonts w:ascii="Palatino Linotype" w:eastAsia="MS Mincho" w:hAnsi="Palatino Linotype" w:cs="Arial"/>
          <w:b/>
          <w:bCs/>
          <w:color w:val="000000" w:themeColor="text1"/>
          <w:lang w:val="es-MX"/>
        </w:rPr>
      </w:pPr>
    </w:p>
    <w:p w14:paraId="60EF8BC0"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Artículo 38. Son obligaciones de los Beneficiarios del FORTASEG, las siguientes:</w:t>
      </w:r>
    </w:p>
    <w:p w14:paraId="60D12601"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I.          Destinar los recursos del FORTASEG y de coparticipación para el cumplimiento de las metas convenidas, con base en lo establecido en los Lineamientos, los Convenios, Anexos Técnicos y demás normativa aplicable;</w:t>
      </w:r>
    </w:p>
    <w:p w14:paraId="52ABEBB9"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II.         Establecer cuentas bancarias productivas específicas generadoras de rendimientos financieros y abierta por los Beneficiarios para la administración de los recursos, debiendo ser independiente la cuenta bancaria productiva específica en la que se administran los recursos del FORTASEG y en la que se administran los recursos de coparticipación, no pudiendo ser consideradas como tales aquellas cuentas que representen riesgos para los recursos;</w:t>
      </w:r>
    </w:p>
    <w:p w14:paraId="287EFF9C"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III.        Registrar los avances físico-financieros mensuales a través del Sistema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que establezca el Secretariado Ejecutivo, debidamente suscritos por las autoridades competentes, los cuales contendrán como mínimo la información siguiente:</w:t>
      </w:r>
    </w:p>
    <w:p w14:paraId="2B20D0A0"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a) Datos sobre los recursos del FORTASEG y de coparticipación comprometidos, devengados y pagados a la fecha de corte del periodo que corresponda, y</w:t>
      </w:r>
    </w:p>
    <w:p w14:paraId="24F05282"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b) Disponibilidad presupuestal y financiera del FORTASEG y de la coparticipación con la que cuenten a la fecha de corte del reporte.</w:t>
      </w:r>
    </w:p>
    <w:p w14:paraId="329A0A89"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IV. Informar y acreditar a través del medio que establezca el Secretariado Ejecutivo, el cumplimiento de las metas convenidas y, en su caso, la recepción de recursos en especie en un plazo no mayor a diez (10) días hábiles;</w:t>
      </w:r>
    </w:p>
    <w:p w14:paraId="5A930448"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V. Atender en tiempo y forma las solicitudes de información que realice el Secretariado Ejecutivo sobre la administración y avances de los recursos del 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14:paraId="5518282E"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VI.  Cancelar la documentación comprobatoria original del gasto con la leyenda "Operado FORTASEG 2019", o como se establezca en las disposiciones locales, identificándose con el nombre de FORTASEG y reportarla al Secretariado Ejecutivo a través del Sistema establecido para este fin;</w:t>
      </w:r>
    </w:p>
    <w:p w14:paraId="1ACA4760"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VII.  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2019 para la opinión respectiva; en caso de que sean presentados con posterioridad a la fecha señalada, serán desechados;</w:t>
      </w:r>
    </w:p>
    <w:p w14:paraId="5D20FF78"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b/>
          <w:bCs/>
          <w:color w:val="000000" w:themeColor="text1"/>
          <w:lang w:val="es-MX"/>
        </w:rPr>
        <w:t>VIII. Obtener de las Áreas Técnicas del Secretariado Ejecutivo, de conformidad con la normativa aplicable, los dictámenes, observaciones u opiniones técnicas que en su caso se requieran para la realización de las metas convenidas en los Anexos Técnicos</w:t>
      </w:r>
      <w:r w:rsidRPr="00A01837">
        <w:rPr>
          <w:rFonts w:ascii="Palatino Linotype" w:eastAsia="MS Mincho" w:hAnsi="Palatino Linotype" w:cs="Arial"/>
          <w:color w:val="000000" w:themeColor="text1"/>
          <w:lang w:val="es-MX"/>
        </w:rPr>
        <w:t>. Las solicitudes de validación de cursos de capacitación deberán presentarse a más tardar el 15 de octubre de 2019; en caso de ser presentadas con posterioridad a la fecha señalada, serán desechadas por el área técnica. Los cursos que se realicen sin contar con dicha validación, no computarán en la acreditación del cumplimiento de metas;</w:t>
      </w:r>
    </w:p>
    <w:p w14:paraId="55F59761"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IX. Cumplir con los Lineamientos Generales de Evaluación del Desempeño referidos en los artículos 43 y 49 de los Lineamientos, que para tal efecto emita la Dirección General de Planeación del Secretariado Ejecutivo;</w:t>
      </w:r>
    </w:p>
    <w:p w14:paraId="49BD3696" w14:textId="77777777" w:rsidR="009C7130" w:rsidRPr="00A01837" w:rsidRDefault="009C7130" w:rsidP="00A01837">
      <w:pPr>
        <w:pStyle w:val="Prrafodelista"/>
        <w:tabs>
          <w:tab w:val="left" w:pos="567"/>
        </w:tabs>
        <w:spacing w:line="360" w:lineRule="auto"/>
        <w:ind w:left="567" w:right="616"/>
        <w:jc w:val="both"/>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X.      Informar por oficio al Secretariado Ejecutivo, el cambio que realice sobre la designación de la o el servidor público, enlace del FORTASEG;</w:t>
      </w:r>
    </w:p>
    <w:p w14:paraId="7AE3E3DE" w14:textId="77777777" w:rsidR="009C7130" w:rsidRPr="00A01837" w:rsidRDefault="009C7130" w:rsidP="00A01837">
      <w:pPr>
        <w:pStyle w:val="Prrafodelista"/>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XI.    Colaborar y participar en términos de la normativa aplicable, en operativos conjuntos con las autoridades competentes, y</w:t>
      </w:r>
    </w:p>
    <w:p w14:paraId="13A9B184"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XII.    Las demás establecidas en el Convenio, Anexo Técnico y las disposiciones aplicables.</w:t>
      </w:r>
    </w:p>
    <w:p w14:paraId="700BBDC9" w14:textId="77777777" w:rsidR="009C7130" w:rsidRPr="00A01837" w:rsidRDefault="009C7130" w:rsidP="00A01837">
      <w:pPr>
        <w:tabs>
          <w:tab w:val="left" w:pos="426"/>
        </w:tabs>
        <w:spacing w:line="360" w:lineRule="auto"/>
        <w:ind w:right="616"/>
        <w:jc w:val="both"/>
        <w:rPr>
          <w:rFonts w:ascii="Palatino Linotype" w:eastAsia="MS Mincho" w:hAnsi="Palatino Linotype" w:cs="Arial"/>
          <w:color w:val="000000" w:themeColor="text1"/>
          <w:lang w:val="es-MX"/>
        </w:rPr>
      </w:pPr>
    </w:p>
    <w:p w14:paraId="0D7CC800" w14:textId="77777777"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De lo anterior tenemos que los Beneficiarios son los encargados de reportar y presentar el informe trimestral a la Dirección General de Vinculación y Seguimiento, los avances y aplicación de los recursos del FORTASEG, los cuales contendrán la información relativa a los datos sobre los recursos devengados y pagados, así como su disponibilidad presupuestal y financiera con la que cuenten a la fecha del reporte, del mismo modo, informarán y acreditarán el cumplimiento de las metas convenidas, permitirán llevar a cabo las visitas y acciones de verificación sobre su aplicación, dando acceso a equipo, material, información registro y documentos para ejecutar el  seguimiento de las acciones realizadas con el FORTASEG. </w:t>
      </w:r>
    </w:p>
    <w:p w14:paraId="071164C5" w14:textId="77777777" w:rsidR="009C7130" w:rsidRPr="00A01837" w:rsidRDefault="009C7130"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15398F5" w14:textId="77777777"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Por su parte, las obligaciones de las Entidades Federativas son las establecidas por el artículo 39 de los Lineamientos y las cuales son las siguientes;</w:t>
      </w:r>
    </w:p>
    <w:p w14:paraId="3F1FBC1B" w14:textId="77777777" w:rsidR="009C7130" w:rsidRPr="00A01837" w:rsidRDefault="009C7130"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 </w:t>
      </w:r>
    </w:p>
    <w:p w14:paraId="3F802E20"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Artículo 39. Son obligaciones de las entidades federativas las siguientes:</w:t>
      </w:r>
    </w:p>
    <w:p w14:paraId="3376650E"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I.          Entregar a la Dirección General de Vinculación y Seguimiento a más tardar el día de la concertación a que sean convocados sus municipios o alcaldías Beneficiarios, los documentos que a continuación se señalan:</w:t>
      </w:r>
    </w:p>
    <w:p w14:paraId="600FA559"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a)    Carta original de la institución bancaria que acredite la apertura de una cuenta bancaria productiva específica para la recepción y administración de los recursos del "FORTASEG", la cual deberá contener como mínimo nombre del beneficiario, número de cuenta y Clave Bancaria Estandarizada (CLABE) con 18 posiciones;</w:t>
      </w:r>
    </w:p>
    <w:p w14:paraId="53472A50"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b)    Copia de la Cédula de Identificación Fiscal de la entidad federativa, expedida por el Servicio de Administración Tributaria;</w:t>
      </w:r>
    </w:p>
    <w:p w14:paraId="6C2F16E0"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c)    Constancia de domicilio fiscal, y</w:t>
      </w:r>
    </w:p>
    <w:p w14:paraId="658D8B14"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d)    Copia del oficio de designación o nombramiento de las o los servidores públicos responsables del manejo de la cuenta bancaria productiva específica.</w:t>
      </w:r>
    </w:p>
    <w:p w14:paraId="021D7A47" w14:textId="77777777" w:rsidR="009C7130" w:rsidRPr="00A01837" w:rsidRDefault="009C7130" w:rsidP="00A01837">
      <w:pPr>
        <w:pStyle w:val="Prrafodelista"/>
        <w:tabs>
          <w:tab w:val="left" w:pos="567"/>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II.  </w:t>
      </w:r>
      <w:r w:rsidRPr="00A01837">
        <w:rPr>
          <w:rFonts w:ascii="Palatino Linotype" w:eastAsia="MS Mincho" w:hAnsi="Palatino Linotype" w:cs="Arial"/>
          <w:b/>
          <w:bCs/>
          <w:color w:val="000000" w:themeColor="text1"/>
          <w:lang w:val="es-MX"/>
        </w:rPr>
        <w:t>Transferir los recursos del FORTASEG correspondientes a los Beneficiarios</w:t>
      </w:r>
      <w:r w:rsidRPr="00A01837">
        <w:rPr>
          <w:rFonts w:ascii="Palatino Linotype" w:eastAsia="MS Mincho" w:hAnsi="Palatino Linotype" w:cs="Arial"/>
          <w:color w:val="000000" w:themeColor="text1"/>
          <w:lang w:val="es-MX"/>
        </w:rPr>
        <w:t xml:space="preserve">, incluyendo los rendimientos financieros, en los términos de las disposiciones aplicables, en un plazo no mayor a cinco (5) días hábiles a partir de su recepción, </w:t>
      </w:r>
      <w:r w:rsidRPr="00A01837">
        <w:rPr>
          <w:rFonts w:ascii="Palatino Linotype" w:eastAsia="MS Mincho" w:hAnsi="Palatino Linotype" w:cs="Arial"/>
          <w:b/>
          <w:bCs/>
          <w:color w:val="000000" w:themeColor="text1"/>
          <w:lang w:val="es-MX"/>
        </w:rPr>
        <w:t>debiendo entregar a la Dirección General de Vinculación y Seguimiento copia de los comprobantes de las transferencias, dentro del plazo de cinco (5) días hábiles siguientes a la transferencia</w:t>
      </w:r>
      <w:r w:rsidRPr="00A01837">
        <w:rPr>
          <w:rFonts w:ascii="Palatino Linotype" w:eastAsia="MS Mincho" w:hAnsi="Palatino Linotype" w:cs="Arial"/>
          <w:color w:val="000000" w:themeColor="text1"/>
          <w:lang w:val="es-MX"/>
        </w:rPr>
        <w:t>;</w:t>
      </w:r>
    </w:p>
    <w:p w14:paraId="3FE89A82" w14:textId="77777777" w:rsidR="009C7130" w:rsidRPr="00A01837" w:rsidRDefault="009C7130" w:rsidP="00A01837">
      <w:pPr>
        <w:pStyle w:val="Prrafodelista"/>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III.  Coordinarse con los Beneficiarios y las áreas técnicas de la entidad federativa para la integración de la propuesta de inversión;</w:t>
      </w:r>
    </w:p>
    <w:p w14:paraId="597C4737"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r w:rsidRPr="00A01837">
        <w:rPr>
          <w:rFonts w:ascii="Palatino Linotype" w:eastAsia="MS Mincho" w:hAnsi="Palatino Linotype" w:cs="Arial"/>
          <w:b/>
          <w:bCs/>
          <w:color w:val="000000" w:themeColor="text1"/>
          <w:lang w:val="es-MX"/>
        </w:rPr>
        <w:t>IV.    Remitir a la Dirección General de Vinculación y Seguimiento el recibo de ministraciones de los recursos del FORTASEG, en los términos que para tal efecto se establezcan;</w:t>
      </w:r>
    </w:p>
    <w:p w14:paraId="0FC4FF98"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V.         Dar cumplimiento a las obligaciones a las que se refiere el artículo 38 de los Lineamientos cuando sean Beneficiarios del FORTASEG, y</w:t>
      </w:r>
    </w:p>
    <w:p w14:paraId="138E324E"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VI.  Las demás referidas en el Convenio, Anexo Técnico y las disposiciones aplicables.</w:t>
      </w:r>
    </w:p>
    <w:p w14:paraId="512C83C5"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p>
    <w:p w14:paraId="33C80791" w14:textId="77777777"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De lo anterior se tiene que, las Entidades Federativas únicamente realizarán la transferencia de los recursos del FORTASEG a los Beneficiarios, y entregarán con ello los comprobantes de la misma, al igual que darán el seguimiento de las ministraciones de dichos recursos. </w:t>
      </w:r>
    </w:p>
    <w:p w14:paraId="1BD707D7" w14:textId="77777777" w:rsidR="009C7130" w:rsidRPr="00A01837" w:rsidRDefault="009C7130"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54857E" w14:textId="77777777"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Aunado a lo anterior, el Convenio del Programa de Fortalecimiento para la Seguridad FORTASEG 2019</w:t>
      </w:r>
      <w:r w:rsidRPr="00A01837">
        <w:rPr>
          <w:rStyle w:val="Refdenotaalpie"/>
          <w:rFonts w:ascii="Palatino Linotype" w:eastAsia="MS Mincho" w:hAnsi="Palatino Linotype" w:cs="Arial"/>
          <w:color w:val="000000" w:themeColor="text1"/>
          <w:lang w:val="es-MX"/>
        </w:rPr>
        <w:footnoteReference w:id="4"/>
      </w:r>
      <w:r w:rsidRPr="00A01837">
        <w:rPr>
          <w:rFonts w:ascii="Palatino Linotype" w:eastAsia="MS Mincho" w:hAnsi="Palatino Linotype" w:cs="Arial"/>
          <w:color w:val="000000" w:themeColor="text1"/>
          <w:lang w:val="es-MX"/>
        </w:rPr>
        <w:t xml:space="preserve"> celebrado por el Secretariado Ejecutivo del Sistema Nacional de Seguridad Pública, el Estado de México y los Municipios del Estado de México, establece que;</w:t>
      </w:r>
    </w:p>
    <w:p w14:paraId="7C920A10" w14:textId="77777777" w:rsidR="009C7130" w:rsidRPr="00A01837" w:rsidRDefault="009C7130"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998F91C" w14:textId="77777777" w:rsidR="009C7130" w:rsidRPr="00A01837" w:rsidRDefault="009C7130" w:rsidP="00A01837">
      <w:pPr>
        <w:pStyle w:val="Prrafodelista"/>
        <w:tabs>
          <w:tab w:val="left" w:pos="426"/>
        </w:tabs>
        <w:spacing w:line="360" w:lineRule="auto"/>
        <w:ind w:left="567" w:right="616"/>
        <w:jc w:val="center"/>
        <w:rPr>
          <w:rFonts w:ascii="Palatino Linotype" w:hAnsi="Palatino Linotype"/>
        </w:rPr>
      </w:pPr>
      <w:r w:rsidRPr="00A01837">
        <w:rPr>
          <w:rFonts w:ascii="Palatino Linotype" w:hAnsi="Palatino Linotype"/>
        </w:rPr>
        <w:t>“CLÁUSULAS</w:t>
      </w:r>
    </w:p>
    <w:p w14:paraId="4C994CDC" w14:textId="77777777" w:rsidR="009C7130" w:rsidRPr="00A01837" w:rsidRDefault="009C7130" w:rsidP="00A01837">
      <w:pPr>
        <w:pStyle w:val="Prrafodelista"/>
        <w:tabs>
          <w:tab w:val="left" w:pos="426"/>
        </w:tabs>
        <w:spacing w:line="360" w:lineRule="auto"/>
        <w:ind w:left="567" w:right="616"/>
        <w:jc w:val="both"/>
        <w:rPr>
          <w:rFonts w:ascii="Palatino Linotype" w:hAnsi="Palatino Linotype"/>
          <w:b/>
          <w:bCs/>
        </w:rPr>
      </w:pPr>
      <w:r w:rsidRPr="00A01837">
        <w:rPr>
          <w:rFonts w:ascii="Palatino Linotype" w:hAnsi="Palatino Linotype"/>
        </w:rPr>
        <w:t xml:space="preserve">PRIMERA. - OBJETO Y NATURALEZA DE LOS RECURSOS. </w:t>
      </w:r>
      <w:r w:rsidRPr="00A01837">
        <w:rPr>
          <w:rFonts w:ascii="Palatino Linotype" w:hAnsi="Palatino Linotype"/>
          <w:b/>
          <w:bCs/>
        </w:rPr>
        <w:t>El presente “CONVENIO” tiene por objeto que “EL SECRETARIADO” transfiera recursos presupuestarios federales del “FORTASEG” a “LOS BENEFICIARIOS”, por conducto de la Secretaría de Finanzas de “LA ENTIDAD FEDERATIVA”, con la finalidad de fortalecer el desempeño de sus funciones en materia de seguridad pública que realizan de manera directa “LOS BENEFICIARIOS”, conforme lo dispuesto por el artículo 8 del “PRESUPUESTO DE EGRESOS” y “LOS LINEAMIENTOS”</w:t>
      </w:r>
    </w:p>
    <w:p w14:paraId="30267BC6" w14:textId="77777777" w:rsidR="009C7130" w:rsidRPr="00A01837" w:rsidRDefault="009C7130" w:rsidP="00A01837">
      <w:pPr>
        <w:pStyle w:val="Prrafodelista"/>
        <w:tabs>
          <w:tab w:val="left" w:pos="426"/>
        </w:tabs>
        <w:spacing w:line="360" w:lineRule="auto"/>
        <w:ind w:left="567" w:right="616"/>
        <w:jc w:val="both"/>
        <w:rPr>
          <w:rFonts w:ascii="Palatino Linotype" w:hAnsi="Palatino Linotype"/>
        </w:rPr>
      </w:pPr>
    </w:p>
    <w:p w14:paraId="4F672B54" w14:textId="77777777" w:rsidR="009C7130" w:rsidRPr="00A01837" w:rsidRDefault="009C7130" w:rsidP="00A01837">
      <w:pPr>
        <w:pStyle w:val="Prrafodelista"/>
        <w:tabs>
          <w:tab w:val="left" w:pos="426"/>
        </w:tabs>
        <w:spacing w:line="360" w:lineRule="auto"/>
        <w:ind w:left="567" w:right="616"/>
        <w:jc w:val="both"/>
        <w:rPr>
          <w:rFonts w:ascii="Palatino Linotype" w:hAnsi="Palatino Linotype"/>
        </w:rPr>
      </w:pPr>
      <w:r w:rsidRPr="00A01837">
        <w:rPr>
          <w:rFonts w:ascii="Palatino Linotype" w:hAnsi="Palatino Linotype"/>
        </w:rPr>
        <w:t xml:space="preserve">Los recursos transferidos del “FORTASEG” no son </w:t>
      </w:r>
      <w:proofErr w:type="spellStart"/>
      <w:r w:rsidRPr="00A01837">
        <w:rPr>
          <w:rFonts w:ascii="Palatino Linotype" w:hAnsi="Palatino Linotype"/>
        </w:rPr>
        <w:t>regularizables</w:t>
      </w:r>
      <w:proofErr w:type="spellEnd"/>
      <w:r w:rsidRPr="00A01837">
        <w:rPr>
          <w:rFonts w:ascii="Palatino Linotype" w:hAnsi="Palatino Linotype"/>
        </w:rPr>
        <w:t xml:space="preserve">, son parcialmente </w:t>
      </w:r>
      <w:proofErr w:type="spellStart"/>
      <w:r w:rsidRPr="00A01837">
        <w:rPr>
          <w:rFonts w:ascii="Palatino Linotype" w:hAnsi="Palatino Linotype"/>
        </w:rPr>
        <w:t>concursables</w:t>
      </w:r>
      <w:proofErr w:type="spellEnd"/>
      <w:r w:rsidRPr="00A01837">
        <w:rPr>
          <w:rFonts w:ascii="Palatino Linotype" w:hAnsi="Palatino Linotype"/>
        </w:rPr>
        <w:t xml:space="preserve"> y no pierden el carácter federal al ser transferidos y por ello “LA ENTIDAD FEDERATIVA” y “LOS BENEFICIARIOS” liberan a “EL SECRETARIADO” de la obligación de ministrarlos en ejercicios fiscales Miércoles 17 de abril de 2019 DIARIO OFICIAL (Primera Sección) subsecuentes, aún y cuando los requieran para complementar las acciones derivadas del presente “CONVENIO”, o para cubrir cualquier otro concepto vinculado con el objeto del mismo, conforme lo previsto en el “PRESUPUESTO DE EGRESOS”. </w:t>
      </w:r>
      <w:r w:rsidRPr="00A01837">
        <w:rPr>
          <w:rFonts w:ascii="Palatino Linotype" w:hAnsi="Palatino Linotype"/>
          <w:b/>
          <w:bCs/>
        </w:rPr>
        <w:t>[</w:t>
      </w:r>
      <w:proofErr w:type="gramStart"/>
      <w:r w:rsidRPr="00A01837">
        <w:rPr>
          <w:rFonts w:ascii="Palatino Linotype" w:hAnsi="Palatino Linotype"/>
          <w:b/>
          <w:bCs/>
        </w:rPr>
        <w:t>extracto</w:t>
      </w:r>
      <w:proofErr w:type="gramEnd"/>
      <w:r w:rsidRPr="00A01837">
        <w:rPr>
          <w:rFonts w:ascii="Palatino Linotype" w:hAnsi="Palatino Linotype"/>
          <w:b/>
          <w:bCs/>
        </w:rPr>
        <w:t xml:space="preserve"> del Convenio]</w:t>
      </w:r>
      <w:r w:rsidRPr="00A01837">
        <w:rPr>
          <w:rFonts w:ascii="Palatino Linotype" w:hAnsi="Palatino Linotype"/>
        </w:rPr>
        <w:t xml:space="preserve"> </w:t>
      </w:r>
    </w:p>
    <w:p w14:paraId="43F60B89" w14:textId="77777777" w:rsidR="009C7130" w:rsidRPr="00A01837" w:rsidRDefault="009C7130" w:rsidP="00A01837">
      <w:pPr>
        <w:pStyle w:val="Prrafodelista"/>
        <w:tabs>
          <w:tab w:val="left" w:pos="426"/>
        </w:tabs>
        <w:spacing w:line="360" w:lineRule="auto"/>
        <w:ind w:left="567" w:right="616"/>
        <w:jc w:val="both"/>
        <w:rPr>
          <w:rFonts w:ascii="Palatino Linotype" w:hAnsi="Palatino Linotype"/>
        </w:rPr>
      </w:pPr>
    </w:p>
    <w:p w14:paraId="51254E53"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rPr>
      </w:pPr>
      <w:r w:rsidRPr="00A01837">
        <w:rPr>
          <w:rFonts w:ascii="Palatino Linotype" w:eastAsia="MS Mincho" w:hAnsi="Palatino Linotype" w:cs="Arial"/>
          <w:color w:val="000000" w:themeColor="text1"/>
        </w:rPr>
        <w:t xml:space="preserve">TERCERA. - </w:t>
      </w:r>
      <w:r w:rsidRPr="00A01837">
        <w:rPr>
          <w:rFonts w:ascii="Palatino Linotype" w:eastAsia="MS Mincho" w:hAnsi="Palatino Linotype" w:cs="Arial"/>
          <w:b/>
          <w:bCs/>
          <w:color w:val="000000" w:themeColor="text1"/>
        </w:rPr>
        <w:t>OBLIGACIONES DE “LOS BENEFICIARIOS”.</w:t>
      </w:r>
      <w:r w:rsidRPr="00A01837">
        <w:rPr>
          <w:rFonts w:ascii="Palatino Linotype" w:eastAsia="MS Mincho" w:hAnsi="Palatino Linotype" w:cs="Arial"/>
          <w:color w:val="000000" w:themeColor="text1"/>
        </w:rPr>
        <w:t xml:space="preserve"> Además de las señaladas en “LOS LINEAMIENTOS”, tendrán las siguientes:</w:t>
      </w:r>
    </w:p>
    <w:p w14:paraId="1F3AB1E7"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rPr>
      </w:pPr>
      <w:r w:rsidRPr="00A01837">
        <w:rPr>
          <w:rFonts w:ascii="Palatino Linotype" w:eastAsia="MS Mincho" w:hAnsi="Palatino Linotype" w:cs="Arial"/>
          <w:color w:val="000000" w:themeColor="text1"/>
        </w:rPr>
        <w:t>[…]</w:t>
      </w:r>
    </w:p>
    <w:p w14:paraId="29C7A60A"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b/>
          <w:bCs/>
          <w:color w:val="000000" w:themeColor="text1"/>
        </w:rPr>
      </w:pPr>
      <w:r w:rsidRPr="00A01837">
        <w:rPr>
          <w:rFonts w:ascii="Palatino Linotype" w:eastAsia="MS Mincho" w:hAnsi="Palatino Linotype" w:cs="Arial"/>
          <w:color w:val="000000" w:themeColor="text1"/>
        </w:rPr>
        <w:t xml:space="preserve">I. </w:t>
      </w:r>
      <w:r w:rsidRPr="00A01837">
        <w:rPr>
          <w:rFonts w:ascii="Palatino Linotype" w:eastAsia="MS Mincho" w:hAnsi="Palatino Linotype" w:cs="Arial"/>
          <w:b/>
          <w:bCs/>
          <w:color w:val="000000" w:themeColor="text1"/>
        </w:rPr>
        <w:t xml:space="preserve">Informar mensual y trimestralmente a “EL SECRETARIADO” a través de la Dirección General de Vinculación y Seguimiento sobre las acciones 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 </w:t>
      </w:r>
      <w:r w:rsidRPr="00A01837">
        <w:rPr>
          <w:rFonts w:ascii="Palatino Linotype" w:eastAsia="MS Mincho" w:hAnsi="Palatino Linotype" w:cs="Arial"/>
          <w:color w:val="000000" w:themeColor="text1"/>
        </w:rPr>
        <w:t xml:space="preserve">Los Presidentes y las Presidentas Municipales de “LOS BENEFICIARIOS” deberán designar cada uno por oficio a un Servidor Público con competencia y nivel de decisión, como responsable de </w:t>
      </w:r>
      <w:r w:rsidRPr="00A01837">
        <w:rPr>
          <w:rFonts w:ascii="Palatino Linotype" w:eastAsia="MS Mincho" w:hAnsi="Palatino Linotype" w:cs="Arial"/>
          <w:b/>
          <w:bCs/>
          <w:color w:val="000000" w:themeColor="text1"/>
        </w:rPr>
        <w:t>proporcionar a “EL SECRETARIADO” los informes mensuales y trimestrales sobre los movimientos que presenten las cuentas bancarias productivas específicas, el ejercicio de los recursos y avance en el cumplimiento de los objetivos, metas, indicadores y porcentajes de inversión de los proyectos</w:t>
      </w:r>
      <w:r w:rsidRPr="00A01837">
        <w:rPr>
          <w:rFonts w:ascii="Palatino Linotype" w:eastAsia="MS Mincho" w:hAnsi="Palatino Linotype" w:cs="Arial"/>
          <w:color w:val="000000" w:themeColor="text1"/>
        </w:rPr>
        <w:t xml:space="preserve"> establecidos en el Anexo Técnico respectivo del presente “CONVENIO”, así como </w:t>
      </w:r>
      <w:r w:rsidRPr="00A01837">
        <w:rPr>
          <w:rFonts w:ascii="Palatino Linotype" w:eastAsia="MS Mincho" w:hAnsi="Palatino Linotype" w:cs="Arial"/>
          <w:b/>
          <w:bCs/>
          <w:color w:val="000000" w:themeColor="text1"/>
        </w:rPr>
        <w:t>el destino y resultados obtenidos de la aplicación de los recursos.</w:t>
      </w:r>
    </w:p>
    <w:p w14:paraId="6B398D2B"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rPr>
      </w:pPr>
      <w:r w:rsidRPr="00A01837">
        <w:rPr>
          <w:rFonts w:ascii="Palatino Linotype" w:eastAsia="MS Mincho" w:hAnsi="Palatino Linotype" w:cs="Arial"/>
          <w:color w:val="000000" w:themeColor="text1"/>
        </w:rPr>
        <w:t xml:space="preserve"> J. </w:t>
      </w:r>
      <w:r w:rsidRPr="00A01837">
        <w:rPr>
          <w:rFonts w:ascii="Palatino Linotype" w:eastAsia="MS Mincho" w:hAnsi="Palatino Linotype" w:cs="Arial"/>
          <w:b/>
          <w:bCs/>
          <w:color w:val="000000" w:themeColor="text1"/>
        </w:rPr>
        <w:t>Informar mensual y trimestralmente al Secretariado Ejecutivo del Sistema Estatal de Seguridad Pública de “LA ENTIDAD FEDERATIVA”, sobre las acciones realizadas con base en el presente “CONVENIO</w:t>
      </w:r>
      <w:r w:rsidRPr="00A01837">
        <w:rPr>
          <w:rFonts w:ascii="Palatino Linotype" w:eastAsia="MS Mincho" w:hAnsi="Palatino Linotype" w:cs="Arial"/>
          <w:color w:val="000000" w:themeColor="text1"/>
        </w:rPr>
        <w:t>”;</w:t>
      </w:r>
    </w:p>
    <w:p w14:paraId="19E9AC06"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rPr>
      </w:pPr>
      <w:r w:rsidRPr="00A01837">
        <w:rPr>
          <w:rFonts w:ascii="Palatino Linotype" w:eastAsia="MS Mincho" w:hAnsi="Palatino Linotype" w:cs="Arial"/>
          <w:color w:val="000000" w:themeColor="text1"/>
        </w:rPr>
        <w:t>L. Entregar a “EL SECRETARIADO” toda la información que solicite en los términos, plazos y formatos que al efecto establezca;</w:t>
      </w:r>
    </w:p>
    <w:p w14:paraId="34793055" w14:textId="77777777" w:rsidR="009C7130" w:rsidRPr="00A01837" w:rsidRDefault="009C7130"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rPr>
        <w:t>[…]</w:t>
      </w:r>
    </w:p>
    <w:p w14:paraId="283FF1AA" w14:textId="77777777" w:rsidR="009C7130" w:rsidRPr="00A01837" w:rsidRDefault="009C7130" w:rsidP="00A01837">
      <w:pPr>
        <w:tabs>
          <w:tab w:val="left" w:pos="426"/>
        </w:tabs>
        <w:spacing w:line="360" w:lineRule="auto"/>
        <w:ind w:left="567" w:right="616"/>
        <w:jc w:val="both"/>
        <w:rPr>
          <w:rFonts w:ascii="Palatino Linotype" w:hAnsi="Palatino Linotype"/>
        </w:rPr>
      </w:pPr>
      <w:r w:rsidRPr="00A01837">
        <w:rPr>
          <w:rFonts w:ascii="Palatino Linotype" w:hAnsi="Palatino Linotype"/>
        </w:rPr>
        <w:t xml:space="preserve">CUARTA. - </w:t>
      </w:r>
      <w:r w:rsidRPr="00A01837">
        <w:rPr>
          <w:rFonts w:ascii="Palatino Linotype" w:hAnsi="Palatino Linotype"/>
          <w:b/>
          <w:bCs/>
        </w:rPr>
        <w:t>OBLIGACIONES DE “LA ENTIDAD FEDERATIVA”.</w:t>
      </w:r>
      <w:r w:rsidRPr="00A01837">
        <w:rPr>
          <w:rFonts w:ascii="Palatino Linotype" w:hAnsi="Palatino Linotype"/>
        </w:rPr>
        <w:t xml:space="preserve"> Además de las señaladas en “LOS LINEAMIENTOS” y otras previstas en los ordenamientos jurídicos aplicables, las siguientes: </w:t>
      </w:r>
    </w:p>
    <w:p w14:paraId="3826D6DB" w14:textId="77777777" w:rsidR="009C7130" w:rsidRPr="00A01837" w:rsidRDefault="009C7130" w:rsidP="00A01837">
      <w:pPr>
        <w:tabs>
          <w:tab w:val="left" w:pos="426"/>
        </w:tabs>
        <w:spacing w:line="360" w:lineRule="auto"/>
        <w:ind w:left="567" w:right="616"/>
        <w:jc w:val="both"/>
        <w:rPr>
          <w:rFonts w:ascii="Palatino Linotype" w:hAnsi="Palatino Linotype"/>
        </w:rPr>
      </w:pPr>
      <w:r w:rsidRPr="00A01837">
        <w:rPr>
          <w:rFonts w:ascii="Palatino Linotype" w:hAnsi="Palatino Linotype"/>
          <w:b/>
          <w:bCs/>
        </w:rPr>
        <w:t>A. Establecer una cuenta bancaria productiva específica para la administración de los recursos del “FORTASEG”</w:t>
      </w:r>
      <w:r w:rsidRPr="00A01837">
        <w:rPr>
          <w:rFonts w:ascii="Palatino Linotype" w:hAnsi="Palatino Linotype"/>
        </w:rPr>
        <w:t>, de conformidad con lo dispuesto en el artículo 69 de la Ley General de Contabilidad Gubernamental;</w:t>
      </w:r>
    </w:p>
    <w:p w14:paraId="450D7011" w14:textId="77777777" w:rsidR="009C7130" w:rsidRPr="00A01837" w:rsidRDefault="009C7130" w:rsidP="00A01837">
      <w:pPr>
        <w:tabs>
          <w:tab w:val="left" w:pos="426"/>
        </w:tabs>
        <w:spacing w:line="360" w:lineRule="auto"/>
        <w:ind w:left="567" w:right="616"/>
        <w:jc w:val="both"/>
        <w:rPr>
          <w:rFonts w:ascii="Palatino Linotype" w:eastAsia="MS Mincho" w:hAnsi="Palatino Linotype" w:cs="Arial"/>
          <w:b/>
          <w:bCs/>
          <w:color w:val="000000" w:themeColor="text1"/>
        </w:rPr>
      </w:pPr>
      <w:r w:rsidRPr="00A01837">
        <w:rPr>
          <w:rFonts w:ascii="Palatino Linotype" w:eastAsia="MS Mincho" w:hAnsi="Palatino Linotype" w:cs="Arial"/>
          <w:b/>
          <w:bCs/>
          <w:color w:val="000000" w:themeColor="text1"/>
        </w:rPr>
        <w:t>B. Entregar a “LOS BENEFICIARIOS” el monto total del “FORTASEG”, incluyendo sus rendimientos financieros, a más tardar dentro de los cinco días hábiles posteriores a que reciba los recursos de la Federación;</w:t>
      </w:r>
    </w:p>
    <w:p w14:paraId="2F911438" w14:textId="77777777" w:rsidR="009C7130" w:rsidRPr="00A01837" w:rsidRDefault="009C7130" w:rsidP="00A01837">
      <w:pPr>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rPr>
        <w:t>[…]</w:t>
      </w:r>
    </w:p>
    <w:p w14:paraId="6BC16C3A" w14:textId="77777777" w:rsidR="009C7130" w:rsidRPr="00A01837" w:rsidRDefault="009C7130" w:rsidP="00A01837">
      <w:pPr>
        <w:tabs>
          <w:tab w:val="left" w:pos="426"/>
        </w:tabs>
        <w:spacing w:line="360" w:lineRule="auto"/>
        <w:ind w:left="567" w:right="616"/>
        <w:jc w:val="both"/>
        <w:rPr>
          <w:rFonts w:ascii="Palatino Linotype" w:eastAsia="MS Mincho" w:hAnsi="Palatino Linotype" w:cs="Arial"/>
          <w:color w:val="000000" w:themeColor="text1"/>
          <w:lang w:val="es-MX"/>
        </w:rPr>
      </w:pPr>
    </w:p>
    <w:p w14:paraId="28C641FB" w14:textId="6462CA15" w:rsidR="009C7130" w:rsidRPr="00A01837" w:rsidRDefault="009C713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lang w:val="es-MX"/>
        </w:rPr>
      </w:pPr>
      <w:r w:rsidRPr="00A01837">
        <w:rPr>
          <w:rFonts w:ascii="Palatino Linotype" w:eastAsia="MS Mincho" w:hAnsi="Palatino Linotype" w:cs="Arial"/>
          <w:lang w:val="es-MX"/>
        </w:rPr>
        <w:t xml:space="preserve">Es de ello que, se concluye que la Secretaría de Finanzas únicamente entregará el monto destinado por parte del FORTASEG a cada Beneficiario, </w:t>
      </w:r>
      <w:r w:rsidRPr="00A01837">
        <w:rPr>
          <w:rFonts w:ascii="Palatino Linotype" w:eastAsia="MS Mincho" w:hAnsi="Palatino Linotype" w:cs="Arial"/>
          <w:b/>
          <w:bCs/>
          <w:lang w:val="es-MX"/>
        </w:rPr>
        <w:t>siendo los municipios los que deberán de informar y proporcionar al Secretariado toda la información relativa al cómo y en qué se han erogados los recursos recibidos, de tal forma que se tiene que efectivamente la Secretaría de Finanzas, no es la autoridad competente para conocer de la información requerida respecto a este programa</w:t>
      </w:r>
      <w:r w:rsidRPr="00A01837">
        <w:rPr>
          <w:rFonts w:ascii="Palatino Linotype" w:eastAsia="MS Mincho" w:hAnsi="Palatino Linotype" w:cs="Arial"/>
          <w:lang w:val="es-MX"/>
        </w:rPr>
        <w:t xml:space="preserve">. </w:t>
      </w:r>
    </w:p>
    <w:p w14:paraId="3CEF776C" w14:textId="77777777" w:rsidR="00361DBA" w:rsidRPr="00A01837" w:rsidRDefault="00361DBA" w:rsidP="00A01837">
      <w:pPr>
        <w:pStyle w:val="Prrafodelista"/>
        <w:tabs>
          <w:tab w:val="left" w:pos="426"/>
        </w:tabs>
        <w:spacing w:line="360" w:lineRule="auto"/>
        <w:ind w:left="0"/>
        <w:jc w:val="both"/>
        <w:rPr>
          <w:rFonts w:ascii="Palatino Linotype" w:eastAsia="MS Mincho" w:hAnsi="Palatino Linotype" w:cs="Arial"/>
          <w:highlight w:val="red"/>
          <w:lang w:val="es-MX"/>
        </w:rPr>
      </w:pPr>
    </w:p>
    <w:p w14:paraId="57FEC89B" w14:textId="11781D4B" w:rsidR="00361DBA" w:rsidRPr="00A01837" w:rsidRDefault="00361DBA" w:rsidP="00A01837">
      <w:pPr>
        <w:pStyle w:val="Ttulo1"/>
        <w:numPr>
          <w:ilvl w:val="0"/>
          <w:numId w:val="10"/>
        </w:numPr>
        <w:spacing w:before="0" w:line="360" w:lineRule="auto"/>
        <w:jc w:val="both"/>
        <w:rPr>
          <w:b/>
          <w:szCs w:val="24"/>
        </w:rPr>
      </w:pPr>
      <w:bookmarkStart w:id="84" w:name="_Toc21026225"/>
      <w:r w:rsidRPr="00A01837">
        <w:rPr>
          <w:b/>
          <w:color w:val="000000" w:themeColor="text1"/>
          <w:szCs w:val="24"/>
        </w:rPr>
        <w:t>De las facultades, atribuciones y competencias de la Secretaría de Finanzas.</w:t>
      </w:r>
      <w:bookmarkEnd w:id="84"/>
      <w:r w:rsidRPr="00A01837">
        <w:rPr>
          <w:b/>
          <w:color w:val="000000" w:themeColor="text1"/>
          <w:szCs w:val="24"/>
        </w:rPr>
        <w:t xml:space="preserve"> </w:t>
      </w:r>
    </w:p>
    <w:p w14:paraId="3BFA230C" w14:textId="77777777" w:rsidR="00361DBA" w:rsidRPr="00A01837" w:rsidRDefault="00361DBA" w:rsidP="00A01837">
      <w:pPr>
        <w:pStyle w:val="Prrafodelista"/>
        <w:tabs>
          <w:tab w:val="left" w:pos="426"/>
        </w:tabs>
        <w:spacing w:line="360" w:lineRule="auto"/>
        <w:ind w:left="0"/>
        <w:jc w:val="both"/>
        <w:rPr>
          <w:rFonts w:ascii="Palatino Linotype" w:eastAsia="MS Mincho" w:hAnsi="Palatino Linotype" w:cs="Arial"/>
          <w:highlight w:val="yellow"/>
          <w:lang w:val="es-MX"/>
        </w:rPr>
      </w:pPr>
    </w:p>
    <w:p w14:paraId="00BD0993" w14:textId="52BB65AB" w:rsidR="00B17353" w:rsidRPr="00A01837" w:rsidRDefault="00B17353"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Una vez acotado lo anterior, se tiene que, de acuerdo al artículo 23 de la Ley Orgánica de la Administración Pública del Estado de México, la Secretaría de Finanzas es la encargada de la planeación, programación, </w:t>
      </w:r>
      <w:proofErr w:type="spellStart"/>
      <w:r w:rsidRPr="00A01837">
        <w:rPr>
          <w:rFonts w:ascii="Palatino Linotype" w:eastAsia="MS Mincho" w:hAnsi="Palatino Linotype" w:cs="Arial"/>
          <w:color w:val="000000" w:themeColor="text1"/>
          <w:lang w:val="es-MX"/>
        </w:rPr>
        <w:t>presupuestación</w:t>
      </w:r>
      <w:proofErr w:type="spellEnd"/>
      <w:r w:rsidRPr="00A01837">
        <w:rPr>
          <w:rFonts w:ascii="Palatino Linotype" w:eastAsia="MS Mincho" w:hAnsi="Palatino Linotype" w:cs="Arial"/>
          <w:color w:val="000000" w:themeColor="text1"/>
          <w:lang w:val="es-MX"/>
        </w:rPr>
        <w:t xml:space="preserve"> y evaluación de las actividades del Poder Ejecutivo, de la administración financiera y tributaria de la hacienda pública del Estado y de prestar el apoyo administrativo y tecnológico que requieran las dependencias del Poder Ejecutivo del Estado. </w:t>
      </w:r>
    </w:p>
    <w:p w14:paraId="11AB4A57" w14:textId="54DEC1C8" w:rsidR="007F64B9" w:rsidRPr="00A01837" w:rsidRDefault="00B17353"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A01837">
        <w:rPr>
          <w:rFonts w:ascii="Palatino Linotype" w:eastAsia="MS Mincho" w:hAnsi="Palatino Linotype" w:cs="Arial"/>
          <w:b/>
          <w:bCs/>
          <w:color w:val="000000" w:themeColor="text1"/>
          <w:lang w:val="es-MX"/>
        </w:rPr>
        <w:t xml:space="preserve"> </w:t>
      </w:r>
    </w:p>
    <w:p w14:paraId="51C76C97" w14:textId="1EC050B6" w:rsidR="007F64B9" w:rsidRPr="00A01837" w:rsidRDefault="00B17353"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Ahora bien, en el mismo sentido, dicha ley establece que la Secretaría tendrá el despacho de los siguientes asuntos; </w:t>
      </w:r>
    </w:p>
    <w:p w14:paraId="52E5119C" w14:textId="77777777" w:rsidR="00B17353" w:rsidRPr="00A01837" w:rsidRDefault="00B17353"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DFD7A61" w14:textId="5D1AC89B" w:rsidR="00B17353" w:rsidRPr="00A01837" w:rsidRDefault="00B17353" w:rsidP="00A01837">
      <w:pPr>
        <w:pStyle w:val="Prrafodelista"/>
        <w:tabs>
          <w:tab w:val="left" w:pos="426"/>
        </w:tabs>
        <w:spacing w:line="360" w:lineRule="auto"/>
        <w:ind w:left="567" w:right="616"/>
        <w:jc w:val="both"/>
        <w:rPr>
          <w:rFonts w:ascii="Palatino Linotype" w:hAnsi="Palatino Linotype"/>
          <w:b/>
          <w:bCs/>
        </w:rPr>
      </w:pPr>
      <w:r w:rsidRPr="00A01837">
        <w:rPr>
          <w:rFonts w:ascii="Palatino Linotype" w:hAnsi="Palatino Linotype"/>
          <w:b/>
          <w:bCs/>
        </w:rPr>
        <w:t>Artículo 24.- A la Secretaría de Finanzas, corresponde el despacho de los siguientes asuntos:</w:t>
      </w:r>
    </w:p>
    <w:p w14:paraId="678ECE6E" w14:textId="02F3C815" w:rsidR="00B17353" w:rsidRPr="00A01837" w:rsidRDefault="00B17353" w:rsidP="00A01837">
      <w:pPr>
        <w:pStyle w:val="Prrafodelista"/>
        <w:tabs>
          <w:tab w:val="left" w:pos="426"/>
        </w:tabs>
        <w:spacing w:line="360" w:lineRule="auto"/>
        <w:ind w:left="567" w:right="616"/>
        <w:jc w:val="both"/>
        <w:rPr>
          <w:rFonts w:ascii="Palatino Linotype" w:hAnsi="Palatino Linotype"/>
        </w:rPr>
      </w:pPr>
      <w:r w:rsidRPr="00A01837">
        <w:rPr>
          <w:rFonts w:ascii="Palatino Linotype" w:hAnsi="Palatino Linotype"/>
        </w:rPr>
        <w:t>[…]</w:t>
      </w:r>
    </w:p>
    <w:p w14:paraId="3B948F85" w14:textId="5D4F8D51" w:rsidR="00B17353" w:rsidRPr="00A01837" w:rsidRDefault="00B17353" w:rsidP="00A01837">
      <w:pPr>
        <w:pStyle w:val="Prrafodelista"/>
        <w:tabs>
          <w:tab w:val="left" w:pos="426"/>
        </w:tabs>
        <w:spacing w:line="360" w:lineRule="auto"/>
        <w:ind w:left="567" w:right="616"/>
        <w:jc w:val="both"/>
        <w:rPr>
          <w:rFonts w:ascii="Palatino Linotype" w:hAnsi="Palatino Linotype"/>
        </w:rPr>
      </w:pPr>
      <w:r w:rsidRPr="00A01837">
        <w:rPr>
          <w:rFonts w:ascii="Palatino Linotype" w:hAnsi="Palatino Linotype"/>
        </w:rPr>
        <w:t>IV. Ejercer las atribuciones derivadas de los convenios fiscales que celebre el Gobierno del Estado con la Secretaría de Hacienda y Crédito Público de Gobierno Federal, con los gobiernos municipales y con organismos auxiliares.</w:t>
      </w:r>
    </w:p>
    <w:p w14:paraId="4FED4567" w14:textId="76657EDE" w:rsidR="00B17353" w:rsidRPr="00A01837" w:rsidRDefault="00B17353" w:rsidP="00A01837">
      <w:pPr>
        <w:pStyle w:val="Prrafodelista"/>
        <w:tabs>
          <w:tab w:val="left" w:pos="426"/>
        </w:tabs>
        <w:spacing w:line="360" w:lineRule="auto"/>
        <w:ind w:left="567" w:right="616"/>
        <w:jc w:val="both"/>
        <w:rPr>
          <w:rFonts w:ascii="Palatino Linotype" w:hAnsi="Palatino Linotype"/>
        </w:rPr>
      </w:pPr>
      <w:r w:rsidRPr="00A01837">
        <w:rPr>
          <w:rFonts w:ascii="Palatino Linotype" w:hAnsi="Palatino Linotype"/>
        </w:rPr>
        <w:t>[…]</w:t>
      </w:r>
    </w:p>
    <w:p w14:paraId="16DFB21A" w14:textId="77777777" w:rsidR="00B17353" w:rsidRPr="00A01837" w:rsidRDefault="00B17353"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EBF481" w14:textId="24691BD0" w:rsidR="007F64B9" w:rsidRPr="00A01837" w:rsidRDefault="00095D20"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Por su parte el </w:t>
      </w:r>
      <w:r w:rsidRPr="00A01837">
        <w:rPr>
          <w:rFonts w:ascii="Palatino Linotype" w:eastAsia="MS Mincho" w:hAnsi="Palatino Linotype" w:cs="Arial"/>
          <w:b/>
          <w:bCs/>
          <w:color w:val="000000" w:themeColor="text1"/>
          <w:lang w:val="es-MX"/>
        </w:rPr>
        <w:t>Reglamento Interior de la Secretaría de Finanzas</w:t>
      </w:r>
      <w:r w:rsidRPr="00A01837">
        <w:rPr>
          <w:rFonts w:ascii="Palatino Linotype" w:eastAsia="MS Mincho" w:hAnsi="Palatino Linotype" w:cs="Arial"/>
          <w:color w:val="000000" w:themeColor="text1"/>
          <w:lang w:val="es-MX"/>
        </w:rPr>
        <w:t xml:space="preserve">, establece que </w:t>
      </w:r>
      <w:r w:rsidR="00AF2372" w:rsidRPr="00A01837">
        <w:rPr>
          <w:rFonts w:ascii="Palatino Linotype" w:eastAsia="MS Mincho" w:hAnsi="Palatino Linotype" w:cs="Arial"/>
          <w:color w:val="000000" w:themeColor="text1"/>
          <w:lang w:val="es-MX"/>
        </w:rPr>
        <w:t>diversas áreas que integran a la misma cuentan</w:t>
      </w:r>
      <w:r w:rsidRPr="00A01837">
        <w:rPr>
          <w:rFonts w:ascii="Palatino Linotype" w:eastAsia="MS Mincho" w:hAnsi="Palatino Linotype" w:cs="Arial"/>
          <w:color w:val="000000" w:themeColor="text1"/>
          <w:lang w:val="es-MX"/>
        </w:rPr>
        <w:t xml:space="preserve"> con las siguientes facultades; </w:t>
      </w:r>
    </w:p>
    <w:p w14:paraId="3C2175D8" w14:textId="77777777" w:rsidR="00095D20" w:rsidRPr="00A01837" w:rsidRDefault="00095D20"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A92BD8" w14:textId="28BA2F80" w:rsidR="00095D20" w:rsidRPr="00A01837" w:rsidRDefault="00095D20" w:rsidP="00A01837">
      <w:pPr>
        <w:pStyle w:val="Prrafodelista"/>
        <w:tabs>
          <w:tab w:val="left" w:pos="7513"/>
        </w:tabs>
        <w:spacing w:line="360" w:lineRule="auto"/>
        <w:ind w:left="709" w:right="474"/>
        <w:jc w:val="both"/>
        <w:rPr>
          <w:rFonts w:ascii="Palatino Linotype" w:hAnsi="Palatino Linotype"/>
          <w:b/>
          <w:bCs/>
        </w:rPr>
      </w:pPr>
      <w:r w:rsidRPr="00A01837">
        <w:rPr>
          <w:rFonts w:ascii="Palatino Linotype" w:hAnsi="Palatino Linotype"/>
          <w:b/>
          <w:bCs/>
        </w:rPr>
        <w:t>Artículo 7.- Son atribuciones del Secretario:</w:t>
      </w:r>
      <w:r w:rsidR="00AF2372" w:rsidRPr="00A01837">
        <w:rPr>
          <w:rFonts w:ascii="Palatino Linotype" w:hAnsi="Palatino Linotype"/>
          <w:b/>
          <w:bCs/>
        </w:rPr>
        <w:t xml:space="preserve"> </w:t>
      </w:r>
      <w:r w:rsidRPr="00A01837">
        <w:rPr>
          <w:rFonts w:ascii="Palatino Linotype" w:hAnsi="Palatino Linotype"/>
        </w:rPr>
        <w:t>[…]</w:t>
      </w:r>
      <w:r w:rsidR="00AF2372" w:rsidRPr="00A01837">
        <w:rPr>
          <w:rFonts w:ascii="Palatino Linotype" w:hAnsi="Palatino Linotype"/>
        </w:rPr>
        <w:t xml:space="preserve"> </w:t>
      </w:r>
      <w:r w:rsidRPr="00A01837">
        <w:rPr>
          <w:rFonts w:ascii="Palatino Linotype" w:hAnsi="Palatino Linotype"/>
        </w:rPr>
        <w:t xml:space="preserve">XXXV. Suscribir convenios y contratos con la federación, otras entidades federativas, los municipios o los organismos auxiliares de los anteriores, así como con los sectores social y privado; cuando estén relacionados con la administración financiera, planeación, programación y </w:t>
      </w:r>
      <w:proofErr w:type="spellStart"/>
      <w:r w:rsidRPr="00A01837">
        <w:rPr>
          <w:rFonts w:ascii="Palatino Linotype" w:hAnsi="Palatino Linotype"/>
        </w:rPr>
        <w:t>presupuestación</w:t>
      </w:r>
      <w:proofErr w:type="spellEnd"/>
      <w:r w:rsidRPr="00A01837">
        <w:rPr>
          <w:rFonts w:ascii="Palatino Linotype" w:hAnsi="Palatino Linotype"/>
        </w:rPr>
        <w:t>, que suscriba el Titular del Poder Ejecutivo del Gobierno del Estado.</w:t>
      </w:r>
    </w:p>
    <w:p w14:paraId="6F2AB6E2" w14:textId="2E763A1B" w:rsidR="00AF2372" w:rsidRPr="00A01837" w:rsidRDefault="00095D20"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w:t>
      </w:r>
    </w:p>
    <w:p w14:paraId="68A5E1AF" w14:textId="716A1913" w:rsidR="00AF2372" w:rsidRPr="00A01837" w:rsidRDefault="00AF2372" w:rsidP="00A01837">
      <w:pPr>
        <w:pStyle w:val="Prrafodelista"/>
        <w:tabs>
          <w:tab w:val="left" w:pos="7513"/>
        </w:tabs>
        <w:spacing w:line="360" w:lineRule="auto"/>
        <w:ind w:left="709" w:right="474"/>
        <w:jc w:val="both"/>
        <w:rPr>
          <w:rFonts w:ascii="Palatino Linotype" w:hAnsi="Palatino Linotype"/>
          <w:b/>
          <w:bCs/>
        </w:rPr>
      </w:pPr>
      <w:r w:rsidRPr="00A01837">
        <w:rPr>
          <w:rFonts w:ascii="Palatino Linotype" w:hAnsi="Palatino Linotype"/>
          <w:b/>
          <w:bCs/>
        </w:rPr>
        <w:t xml:space="preserve">Artículo 10.- Corresponde al Subsecretario de Ingresos: </w:t>
      </w:r>
      <w:r w:rsidRPr="00A01837">
        <w:rPr>
          <w:rFonts w:ascii="Palatino Linotype" w:hAnsi="Palatino Linotype"/>
        </w:rPr>
        <w:t>[…] XI. Rendir a las autoridades federales correspondientes, la cuenta comprobada mensual, en términos del Convenio celebrado con la Secretaría de Hacienda y Crédito Público.</w:t>
      </w:r>
    </w:p>
    <w:p w14:paraId="449BFDF2" w14:textId="7F0F11C9"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 xml:space="preserve">[…] </w:t>
      </w:r>
    </w:p>
    <w:p w14:paraId="118C2C0C" w14:textId="51C2B8DC"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b/>
          <w:bCs/>
        </w:rPr>
        <w:t>Artículo 14.- Corresponde a la Dirección General de Recaudación:</w:t>
      </w:r>
      <w:r w:rsidRPr="00A01837">
        <w:rPr>
          <w:rFonts w:ascii="Palatino Linotype" w:hAnsi="Palatino Linotype"/>
        </w:rPr>
        <w:t xml:space="preserve"> […] XXVIII. Recibir y, en su caso, requerir a los contribuyentes conforme a las disposiciones legales, los avisos, declaraciones y demás documentación que acredite el cumplimiento de sus obligaciones fiscales estatales, federales coordinadas y municipales en los términos de los convenios suscritos al efecto.</w:t>
      </w:r>
    </w:p>
    <w:p w14:paraId="541CF426" w14:textId="48C13C1A"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w:t>
      </w:r>
    </w:p>
    <w:p w14:paraId="296C12B8" w14:textId="6DECE74F"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b/>
          <w:bCs/>
        </w:rPr>
        <w:t>Artículo 17.- Corresponde a la Dirección General de Política Fiscal:</w:t>
      </w:r>
      <w:r w:rsidRPr="00A01837">
        <w:rPr>
          <w:rFonts w:ascii="Palatino Linotype" w:hAnsi="Palatino Linotype"/>
        </w:rPr>
        <w:t xml:space="preserve"> […] IV. Revisar la mecánica de cálculo y asignación de las participaciones, apoyos y aportaciones federales que correspondan al Estado dentro del Sistema Nacional de Coordinación Fiscal, proponiendo reformas y, en su caso, acciones que beneficien a la hacienda pública del Estado.</w:t>
      </w:r>
    </w:p>
    <w:p w14:paraId="3472B95C" w14:textId="11D1F6AD"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b/>
          <w:bCs/>
        </w:rPr>
        <w:t>[…</w:t>
      </w:r>
      <w:r w:rsidRPr="00A01837">
        <w:rPr>
          <w:rFonts w:ascii="Palatino Linotype" w:hAnsi="Palatino Linotype"/>
        </w:rPr>
        <w:t xml:space="preserve">] </w:t>
      </w:r>
    </w:p>
    <w:p w14:paraId="71A80AD0" w14:textId="3EF10212"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XIV. Elaborar, para su publicación, las reglas para la asignación de las participaciones federales y estatales a los municipios del Estado de México en el ejercicio fiscal, el acuerdo por el que se dan a conocer las participaciones federales y estatales que recibirá cada municipio en el ejercicio fiscal, de las recibidas trimestralmente, y del ajuste anual definitivo de participaciones del ejercicio fiscal inmediato anterior.</w:t>
      </w:r>
    </w:p>
    <w:p w14:paraId="3EE9415C" w14:textId="4E686071"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 xml:space="preserve">[…] </w:t>
      </w:r>
    </w:p>
    <w:p w14:paraId="7F2AAAE0" w14:textId="78DE0300"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XVI. Analizar la suscripción de convenios con el gobierno federal y municipios del Estado de México en materia de ingresos.</w:t>
      </w:r>
    </w:p>
    <w:p w14:paraId="0ED2A455" w14:textId="381CC8B7"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w:t>
      </w:r>
    </w:p>
    <w:p w14:paraId="069D176C" w14:textId="0A8E5035"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b/>
          <w:bCs/>
        </w:rPr>
        <w:t>Artículo 18.- Corresponde al Subsecretario de Planeación y Presupuesto</w:t>
      </w:r>
      <w:r w:rsidRPr="00A01837">
        <w:rPr>
          <w:rFonts w:ascii="Palatino Linotype" w:hAnsi="Palatino Linotype"/>
        </w:rPr>
        <w:t xml:space="preserve">: […] IX. Ordenar el registro y seguimiento de los convenios suscritos por el Gobierno del Estado con el Gobierno Federal; </w:t>
      </w:r>
      <w:proofErr w:type="gramStart"/>
      <w:r w:rsidRPr="00A01837">
        <w:rPr>
          <w:rFonts w:ascii="Palatino Linotype" w:hAnsi="Palatino Linotype"/>
        </w:rPr>
        <w:t>los sectores social</w:t>
      </w:r>
      <w:proofErr w:type="gramEnd"/>
      <w:r w:rsidRPr="00A01837">
        <w:rPr>
          <w:rFonts w:ascii="Palatino Linotype" w:hAnsi="Palatino Linotype"/>
        </w:rPr>
        <w:t xml:space="preserve"> y privado, y los municipios, para controlar y evaluar los recursos aportados por cada una de las partes, informando oportunamente al Secretario.</w:t>
      </w:r>
    </w:p>
    <w:p w14:paraId="0FCA045D" w14:textId="7C1ECF5F"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XIII. Coordinarse con las instancias federales para concertar la concurrencia de recursos y acciones, respecto a los fondos y programas federales aplicables en la entidad.</w:t>
      </w:r>
    </w:p>
    <w:p w14:paraId="62B00753" w14:textId="62D5DE22" w:rsidR="00AF2372" w:rsidRPr="00A01837" w:rsidRDefault="00771D7C"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w:t>
      </w:r>
    </w:p>
    <w:p w14:paraId="6DF1EAB2" w14:textId="59D82F2F" w:rsidR="00AF2372" w:rsidRPr="00A01837" w:rsidRDefault="00AF2372" w:rsidP="00A01837">
      <w:pPr>
        <w:pStyle w:val="Prrafodelista"/>
        <w:tabs>
          <w:tab w:val="left" w:pos="7513"/>
        </w:tabs>
        <w:spacing w:line="360" w:lineRule="auto"/>
        <w:ind w:left="709" w:right="474"/>
        <w:jc w:val="both"/>
        <w:rPr>
          <w:rFonts w:ascii="Palatino Linotype" w:hAnsi="Palatino Linotype"/>
          <w:b/>
          <w:bCs/>
        </w:rPr>
      </w:pPr>
      <w:r w:rsidRPr="00A01837">
        <w:rPr>
          <w:rFonts w:ascii="Palatino Linotype" w:hAnsi="Palatino Linotype"/>
          <w:b/>
          <w:bCs/>
        </w:rPr>
        <w:t>Artículo 20.- Corresponde a la Dirección General de Planeación y Gasto Público:</w:t>
      </w:r>
      <w:r w:rsidR="00771D7C" w:rsidRPr="00A01837">
        <w:rPr>
          <w:rFonts w:ascii="Palatino Linotype" w:hAnsi="Palatino Linotype"/>
          <w:b/>
          <w:bCs/>
        </w:rPr>
        <w:t xml:space="preserve"> </w:t>
      </w:r>
      <w:r w:rsidR="00771D7C" w:rsidRPr="00A01837">
        <w:rPr>
          <w:rFonts w:ascii="Palatino Linotype" w:hAnsi="Palatino Linotype"/>
        </w:rPr>
        <w:t xml:space="preserve">[…] </w:t>
      </w:r>
      <w:r w:rsidRPr="00A01837">
        <w:rPr>
          <w:rFonts w:ascii="Palatino Linotype" w:hAnsi="Palatino Linotype"/>
          <w:b/>
          <w:bCs/>
        </w:rPr>
        <w:t>XIV. Registrar y reportar a las instancias correspondientes, los avances físico-financieros de recursos de origen federal.</w:t>
      </w:r>
    </w:p>
    <w:p w14:paraId="217D2A9B" w14:textId="762A3E6B" w:rsidR="00771D7C" w:rsidRPr="00A01837" w:rsidRDefault="00771D7C"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w:t>
      </w:r>
    </w:p>
    <w:p w14:paraId="53A89C7A" w14:textId="5CA6CF05" w:rsidR="00AF2372"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 xml:space="preserve">Artículo 23.- Corresponde al Subsecretario de Tesorería: </w:t>
      </w:r>
      <w:r w:rsidR="00771D7C" w:rsidRPr="00A01837">
        <w:rPr>
          <w:rFonts w:ascii="Palatino Linotype" w:hAnsi="Palatino Linotype"/>
        </w:rPr>
        <w:t xml:space="preserve">[…] </w:t>
      </w:r>
      <w:r w:rsidRPr="00A01837">
        <w:rPr>
          <w:rFonts w:ascii="Palatino Linotype" w:hAnsi="Palatino Linotype"/>
        </w:rPr>
        <w:t>IV. Verificar los recursos provenientes de las participaciones federales o de aquellos ingresos extraordinarios recibidos vía reasignaciones u otros establecidos en las leyes respectivas o en el Presupuesto de Egresos de la Federación, informando al Secretario.</w:t>
      </w:r>
    </w:p>
    <w:p w14:paraId="00DBA9E0" w14:textId="2A7AC8E7" w:rsidR="00AF2372" w:rsidRPr="00A01837" w:rsidRDefault="00771D7C"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rPr>
        <w:t>[…]</w:t>
      </w:r>
    </w:p>
    <w:p w14:paraId="1EC25560" w14:textId="77777777" w:rsidR="00771D7C" w:rsidRPr="00A01837" w:rsidRDefault="00AF2372" w:rsidP="00A01837">
      <w:pPr>
        <w:pStyle w:val="Prrafodelista"/>
        <w:tabs>
          <w:tab w:val="left" w:pos="7513"/>
        </w:tabs>
        <w:spacing w:line="360" w:lineRule="auto"/>
        <w:ind w:left="709" w:right="474"/>
        <w:jc w:val="both"/>
        <w:rPr>
          <w:rFonts w:ascii="Palatino Linotype" w:hAnsi="Palatino Linotype"/>
        </w:rPr>
      </w:pPr>
      <w:r w:rsidRPr="00A01837">
        <w:rPr>
          <w:rFonts w:ascii="Palatino Linotype" w:hAnsi="Palatino Linotype"/>
          <w:b/>
          <w:bCs/>
        </w:rPr>
        <w:t>Artículo 32.- Corresponde a la Dirección General de Recursos Materiales:</w:t>
      </w:r>
      <w:r w:rsidR="00771D7C" w:rsidRPr="00A01837">
        <w:rPr>
          <w:rFonts w:ascii="Palatino Linotype" w:hAnsi="Palatino Linotype"/>
        </w:rPr>
        <w:t xml:space="preserve"> […]</w:t>
      </w:r>
    </w:p>
    <w:p w14:paraId="45B829F6" w14:textId="4D96943B" w:rsidR="00771D7C" w:rsidRDefault="00AF2372" w:rsidP="002C720E">
      <w:pPr>
        <w:pStyle w:val="Prrafodelista"/>
        <w:tabs>
          <w:tab w:val="left" w:pos="7513"/>
        </w:tabs>
        <w:spacing w:line="360" w:lineRule="auto"/>
        <w:ind w:left="709" w:right="474"/>
        <w:jc w:val="both"/>
        <w:rPr>
          <w:rFonts w:ascii="Palatino Linotype" w:hAnsi="Palatino Linotype"/>
          <w:b/>
          <w:bCs/>
        </w:rPr>
      </w:pPr>
      <w:r w:rsidRPr="00A01837">
        <w:rPr>
          <w:rFonts w:ascii="Palatino Linotype" w:hAnsi="Palatino Linotype"/>
          <w:b/>
          <w:bCs/>
        </w:rPr>
        <w:t>IX. Brindar o, en su caso, contratar asesoría técnica para la realización de estudios o investigaciones de mercado que tengan que pagarse con recursos estatales o federales, de pruebas de calidad y de aquéllas que sean necesarias para el mejoramiento y la modernización de las adquisiciones y de los servicios</w:t>
      </w:r>
      <w:r w:rsidR="00771D7C" w:rsidRPr="00A01837">
        <w:rPr>
          <w:rFonts w:ascii="Palatino Linotype" w:hAnsi="Palatino Linotype"/>
          <w:b/>
          <w:bCs/>
        </w:rPr>
        <w:t>.</w:t>
      </w:r>
    </w:p>
    <w:p w14:paraId="24C172E0" w14:textId="77777777" w:rsidR="002C720E" w:rsidRPr="002C720E" w:rsidRDefault="002C720E" w:rsidP="002C720E">
      <w:pPr>
        <w:pStyle w:val="Prrafodelista"/>
        <w:tabs>
          <w:tab w:val="left" w:pos="7513"/>
        </w:tabs>
        <w:spacing w:line="360" w:lineRule="auto"/>
        <w:ind w:left="709" w:right="474"/>
        <w:jc w:val="both"/>
        <w:rPr>
          <w:rFonts w:ascii="Palatino Linotype" w:hAnsi="Palatino Linotype"/>
          <w:b/>
          <w:bCs/>
        </w:rPr>
      </w:pPr>
    </w:p>
    <w:p w14:paraId="5FC648AF" w14:textId="550F1A36" w:rsidR="00AE4354" w:rsidRPr="00A01837" w:rsidRDefault="00AE4354"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En el mismo orden de ideas, es menester precisar que, en la página oficial de la Secretaría de Finanzas</w:t>
      </w:r>
      <w:r w:rsidRPr="00A01837">
        <w:rPr>
          <w:rStyle w:val="Refdenotaalpie"/>
          <w:rFonts w:ascii="Palatino Linotype" w:eastAsia="MS Mincho" w:hAnsi="Palatino Linotype" w:cs="Arial"/>
          <w:color w:val="000000" w:themeColor="text1"/>
          <w:lang w:val="es-MX"/>
        </w:rPr>
        <w:footnoteReference w:id="5"/>
      </w:r>
      <w:r w:rsidRPr="00A01837">
        <w:rPr>
          <w:rFonts w:ascii="Palatino Linotype" w:eastAsia="MS Mincho" w:hAnsi="Palatino Linotype" w:cs="Arial"/>
          <w:color w:val="000000" w:themeColor="text1"/>
          <w:lang w:val="es-MX"/>
        </w:rPr>
        <w:t xml:space="preserve"> se desprende que, de su organigrama, ésta se integra por;</w:t>
      </w:r>
    </w:p>
    <w:p w14:paraId="0D3BFB1F" w14:textId="5B2A6D1B" w:rsidR="00AE4354" w:rsidRPr="00A01837" w:rsidRDefault="00AE4354" w:rsidP="00A01837">
      <w:pPr>
        <w:pStyle w:val="Prrafodelista"/>
        <w:tabs>
          <w:tab w:val="left" w:pos="426"/>
        </w:tabs>
        <w:spacing w:line="360" w:lineRule="auto"/>
        <w:ind w:left="0"/>
        <w:jc w:val="center"/>
        <w:rPr>
          <w:rFonts w:ascii="Palatino Linotype" w:eastAsia="MS Mincho" w:hAnsi="Palatino Linotype" w:cs="Arial"/>
          <w:color w:val="000000" w:themeColor="text1"/>
          <w:lang w:val="es-MX"/>
        </w:rPr>
      </w:pPr>
      <w:r w:rsidRPr="00A01837">
        <w:rPr>
          <w:rFonts w:ascii="Palatino Linotype" w:hAnsi="Palatino Linotype"/>
          <w:noProof/>
          <w:lang w:val="es-MX" w:eastAsia="es-MX"/>
        </w:rPr>
        <mc:AlternateContent>
          <mc:Choice Requires="wps">
            <w:drawing>
              <wp:anchor distT="0" distB="0" distL="114300" distR="114300" simplePos="0" relativeHeight="251689984" behindDoc="0" locked="0" layoutInCell="1" allowOverlap="1" wp14:anchorId="05A899A0" wp14:editId="1E60E808">
                <wp:simplePos x="0" y="0"/>
                <wp:positionH relativeFrom="column">
                  <wp:posOffset>1498170</wp:posOffset>
                </wp:positionH>
                <wp:positionV relativeFrom="paragraph">
                  <wp:posOffset>1411535</wp:posOffset>
                </wp:positionV>
                <wp:extent cx="890201" cy="423219"/>
                <wp:effectExtent l="57150" t="38100" r="81915" b="91440"/>
                <wp:wrapNone/>
                <wp:docPr id="2" name="Rectángulo 2"/>
                <wp:cNvGraphicFramePr/>
                <a:graphic xmlns:a="http://schemas.openxmlformats.org/drawingml/2006/main">
                  <a:graphicData uri="http://schemas.microsoft.com/office/word/2010/wordprocessingShape">
                    <wps:wsp>
                      <wps:cNvSpPr/>
                      <wps:spPr>
                        <a:xfrm>
                          <a:off x="0" y="0"/>
                          <a:ext cx="890201" cy="423219"/>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D62CF" id="Rectángulo 2" o:spid="_x0000_s1026" style="position:absolute;margin-left:117.95pt;margin-top:111.15pt;width:70.1pt;height:3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" filled="f" strokecolor="red" strokeweight="3pt">
                <v:shadow on="t" color="black" opacity="22937f" origin=",.5" offset="0,.63889mm"/>
              </v:rect>
            </w:pict>
          </mc:Fallback>
        </mc:AlternateContent>
      </w:r>
      <w:r w:rsidRPr="00A01837">
        <w:rPr>
          <w:rFonts w:ascii="Palatino Linotype" w:hAnsi="Palatino Linotype"/>
          <w:noProof/>
          <w:lang w:val="es-MX" w:eastAsia="es-MX"/>
        </w:rPr>
        <w:drawing>
          <wp:inline distT="0" distB="0" distL="0" distR="0" wp14:anchorId="12607EA4" wp14:editId="164DDC4B">
            <wp:extent cx="5560060" cy="2944800"/>
            <wp:effectExtent l="0" t="0" r="254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26" t="25581" r="23779" b="8101"/>
                    <a:stretch/>
                  </pic:blipFill>
                  <pic:spPr bwMode="auto">
                    <a:xfrm>
                      <a:off x="0" y="0"/>
                      <a:ext cx="5593983" cy="2962767"/>
                    </a:xfrm>
                    <a:prstGeom prst="rect">
                      <a:avLst/>
                    </a:prstGeom>
                    <a:ln>
                      <a:noFill/>
                    </a:ln>
                    <a:extLst>
                      <a:ext uri="{53640926-AAD7-44D8-BBD7-CCE9431645EC}">
                        <a14:shadowObscured xmlns:a14="http://schemas.microsoft.com/office/drawing/2010/main"/>
                      </a:ext>
                    </a:extLst>
                  </pic:spPr>
                </pic:pic>
              </a:graphicData>
            </a:graphic>
          </wp:inline>
        </w:drawing>
      </w:r>
    </w:p>
    <w:p w14:paraId="17B14CBC" w14:textId="77777777" w:rsidR="00AE4354" w:rsidRPr="00A01837" w:rsidRDefault="00AE4354"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835B88" w14:textId="1675D3DD" w:rsidR="007F64B9" w:rsidRPr="00A01837" w:rsidRDefault="00771D7C"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De lo anterior se advierte que </w:t>
      </w:r>
      <w:r w:rsidR="00AE4354" w:rsidRPr="00A01837">
        <w:rPr>
          <w:rFonts w:ascii="Palatino Linotype" w:eastAsia="MS Mincho" w:hAnsi="Palatino Linotype" w:cs="Arial"/>
          <w:color w:val="000000" w:themeColor="text1"/>
          <w:lang w:val="es-MX"/>
        </w:rPr>
        <w:t xml:space="preserve">la </w:t>
      </w:r>
      <w:r w:rsidR="00AE4354" w:rsidRPr="00A01837">
        <w:rPr>
          <w:rFonts w:ascii="Palatino Linotype" w:eastAsia="MS Mincho" w:hAnsi="Palatino Linotype" w:cs="Arial"/>
          <w:b/>
          <w:bCs/>
          <w:color w:val="000000" w:themeColor="text1"/>
          <w:lang w:val="es-MX"/>
        </w:rPr>
        <w:t xml:space="preserve">Secretaría de Finanzas si cuenta con las facultades, atribuciones y competencias para </w:t>
      </w:r>
      <w:r w:rsidR="0028165C" w:rsidRPr="00A01837">
        <w:rPr>
          <w:rFonts w:ascii="Palatino Linotype" w:eastAsia="MS Mincho" w:hAnsi="Palatino Linotype" w:cs="Arial"/>
          <w:b/>
          <w:bCs/>
          <w:color w:val="000000" w:themeColor="text1"/>
          <w:lang w:val="es-MX"/>
        </w:rPr>
        <w:t>suscribir convenios con la federación, y con ello conocer el destino y uso de las aportaciones federales, de igual forma para</w:t>
      </w:r>
      <w:r w:rsidR="00AE4354" w:rsidRPr="00A01837">
        <w:rPr>
          <w:rFonts w:ascii="Palatino Linotype" w:eastAsia="MS Mincho" w:hAnsi="Palatino Linotype" w:cs="Arial"/>
          <w:b/>
          <w:bCs/>
          <w:color w:val="000000" w:themeColor="text1"/>
          <w:lang w:val="es-MX"/>
        </w:rPr>
        <w:t xml:space="preserve"> registrar y reportar los avances de los mismos</w:t>
      </w:r>
      <w:r w:rsidR="0028165C" w:rsidRPr="00A01837">
        <w:rPr>
          <w:rFonts w:ascii="Palatino Linotype" w:eastAsia="MS Mincho" w:hAnsi="Palatino Linotype" w:cs="Arial"/>
          <w:b/>
          <w:bCs/>
          <w:color w:val="000000" w:themeColor="text1"/>
          <w:lang w:val="es-MX"/>
        </w:rPr>
        <w:t>.</w:t>
      </w:r>
      <w:r w:rsidR="0028165C" w:rsidRPr="00A01837">
        <w:rPr>
          <w:rFonts w:ascii="Palatino Linotype" w:eastAsia="MS Mincho" w:hAnsi="Palatino Linotype" w:cs="Arial"/>
          <w:color w:val="000000" w:themeColor="text1"/>
          <w:lang w:val="es-MX"/>
        </w:rPr>
        <w:t xml:space="preserve"> Cabe precisar que como se puede observar en la imagen inserta, también cuenta con una Contraloría Interna, que de acuerdo con el </w:t>
      </w:r>
      <w:r w:rsidR="0028165C" w:rsidRPr="00A01837">
        <w:rPr>
          <w:rFonts w:ascii="Palatino Linotype" w:eastAsia="MS Mincho" w:hAnsi="Palatino Linotype" w:cs="Arial"/>
          <w:b/>
          <w:bCs/>
          <w:color w:val="000000" w:themeColor="text1"/>
          <w:lang w:val="es-MX"/>
        </w:rPr>
        <w:t xml:space="preserve">Manual General de Organización de la Secretaría de Finanzas </w:t>
      </w:r>
      <w:r w:rsidR="0028165C" w:rsidRPr="00A01837">
        <w:rPr>
          <w:rFonts w:ascii="Palatino Linotype" w:eastAsia="MS Mincho" w:hAnsi="Palatino Linotype" w:cs="Arial"/>
          <w:color w:val="000000" w:themeColor="text1"/>
          <w:lang w:val="es-MX"/>
        </w:rPr>
        <w:t xml:space="preserve">tiene como objetivo el vigilar que los procedimientos que se realizan en las unidades administrativas de la Secretaría de Finanzas cumplan con las disposiciones jurídico-administrativas que lo regulan. </w:t>
      </w:r>
    </w:p>
    <w:p w14:paraId="6E22E410" w14:textId="77777777" w:rsidR="007F64B9" w:rsidRPr="00A01837" w:rsidRDefault="007F64B9"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DCADC80" w14:textId="032CA4C7" w:rsidR="007F64B9" w:rsidRPr="00A01837" w:rsidRDefault="0028165C"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Por lo anterior, deberá realizar los requerimientos necesarios que de acuerdo con el artículo 162</w:t>
      </w:r>
      <w:r w:rsidR="00CD2B46" w:rsidRPr="00A01837">
        <w:rPr>
          <w:rFonts w:ascii="Palatino Linotype" w:eastAsia="MS Mincho" w:hAnsi="Palatino Linotype" w:cs="Arial"/>
          <w:color w:val="000000" w:themeColor="text1"/>
          <w:lang w:val="es-MX"/>
        </w:rPr>
        <w:t xml:space="preserve"> de la Ley de Transparencia y Acceso a la Información Pública del Estado de México y Municipios,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2BA1D24" w14:textId="77777777" w:rsidR="00CD2B46" w:rsidRPr="00A01837" w:rsidRDefault="00CD2B46"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DDC98C" w14:textId="2B5BB4D0" w:rsidR="00CD2B46" w:rsidRPr="00A01837" w:rsidRDefault="00CD2B46" w:rsidP="00A01837">
      <w:pPr>
        <w:pStyle w:val="Ttulo1"/>
        <w:numPr>
          <w:ilvl w:val="0"/>
          <w:numId w:val="10"/>
        </w:numPr>
        <w:spacing w:before="0" w:line="360" w:lineRule="auto"/>
        <w:rPr>
          <w:b/>
          <w:szCs w:val="24"/>
        </w:rPr>
      </w:pPr>
      <w:bookmarkStart w:id="85" w:name="_Toc21026226"/>
      <w:r w:rsidRPr="00A01837">
        <w:rPr>
          <w:b/>
          <w:color w:val="000000" w:themeColor="text1"/>
          <w:szCs w:val="24"/>
        </w:rPr>
        <w:t>Del Acuerdo de Inexistencia.</w:t>
      </w:r>
      <w:bookmarkEnd w:id="85"/>
      <w:r w:rsidRPr="00A01837">
        <w:rPr>
          <w:b/>
          <w:color w:val="000000" w:themeColor="text1"/>
          <w:szCs w:val="24"/>
        </w:rPr>
        <w:t xml:space="preserve">  </w:t>
      </w:r>
    </w:p>
    <w:p w14:paraId="69CDD814" w14:textId="77777777" w:rsidR="00CD2B46" w:rsidRPr="00A01837" w:rsidRDefault="00CD2B46"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D4167F" w14:textId="229BCA16" w:rsidR="007F64B9" w:rsidRPr="00A01837" w:rsidRDefault="00CD2B46"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El acuerdo de inexistencia se formula en aquellos supuestos en los si bien la información solicitada se genera en el marco de las funciones del derecho público del </w:t>
      </w:r>
      <w:r w:rsidRPr="00A01837">
        <w:rPr>
          <w:rFonts w:ascii="Palatino Linotype" w:eastAsia="MS Mincho" w:hAnsi="Palatino Linotype" w:cs="Arial"/>
          <w:b/>
          <w:bCs/>
          <w:color w:val="000000" w:themeColor="text1"/>
          <w:lang w:val="es-MX"/>
        </w:rPr>
        <w:t>Sujeto Obligado</w:t>
      </w:r>
      <w:r w:rsidRPr="00A01837">
        <w:rPr>
          <w:rFonts w:ascii="Palatino Linotype" w:eastAsia="MS Mincho" w:hAnsi="Palatino Linotype" w:cs="Arial"/>
          <w:color w:val="000000" w:themeColor="text1"/>
          <w:lang w:val="es-MX"/>
        </w:rPr>
        <w:t xml:space="preserve"> y éste no lo posee, deberá de expresar las razones por las cuales no se encuentra en sus archivos, ello a través de un dictamen debidamente fundado y motivado, conforme lo dispuesto por los artículos 19, 49 fracciones I y II y 170 de la Ley de Transparencia y Acceso a la Información Pública del Estado de México y Municipios que establece lo siguiente; </w:t>
      </w:r>
    </w:p>
    <w:p w14:paraId="4DA48270" w14:textId="77777777" w:rsidR="00A97C63" w:rsidRPr="00A01837" w:rsidRDefault="00A97C63"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B35AE1" w14:textId="3654948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w:t>
      </w:r>
      <w:r w:rsidRPr="00A01837">
        <w:rPr>
          <w:rFonts w:ascii="Palatino Linotype" w:eastAsia="MS Mincho" w:hAnsi="Palatino Linotype" w:cs="Arial"/>
          <w:b/>
          <w:bCs/>
          <w:color w:val="000000" w:themeColor="text1"/>
          <w:lang w:val="es-MX"/>
        </w:rPr>
        <w:t xml:space="preserve">Artículo 19. </w:t>
      </w:r>
      <w:r w:rsidRPr="00A01837">
        <w:rPr>
          <w:rFonts w:ascii="Palatino Linotype" w:eastAsia="MS Mincho" w:hAnsi="Palatino Linotype" w:cs="Arial"/>
          <w:color w:val="000000" w:themeColor="text1"/>
          <w:lang w:val="es-MX"/>
        </w:rPr>
        <w:t>Se presume que la información debe existir si se refiere a las facultades, competencias y funciones que los ordenamientos jurídicos aplicables otorgan a los sujetos obligados.</w:t>
      </w:r>
    </w:p>
    <w:p w14:paraId="595FF648"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En los casos en que ciertas facultades, competencias o funciones no se hayan ejercido, se debe motivar la respuesta en función de las causas que motiven tal circunstancia.</w:t>
      </w:r>
    </w:p>
    <w:p w14:paraId="51781A92" w14:textId="784D1582"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03F20ED"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p>
    <w:p w14:paraId="07A03AE5" w14:textId="50DEF1F3"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b/>
          <w:bCs/>
          <w:color w:val="000000" w:themeColor="text1"/>
          <w:lang w:val="es-MX"/>
        </w:rPr>
        <w:t>Artículo 49.</w:t>
      </w:r>
      <w:r w:rsidRPr="00A01837">
        <w:rPr>
          <w:rFonts w:ascii="Palatino Linotype" w:eastAsia="MS Mincho" w:hAnsi="Palatino Linotype" w:cs="Arial"/>
          <w:color w:val="000000" w:themeColor="text1"/>
          <w:lang w:val="es-MX"/>
        </w:rPr>
        <w:t xml:space="preserve"> Los Comités de Transparencia tendrán las siguientes atribuciones:</w:t>
      </w:r>
    </w:p>
    <w:p w14:paraId="13F4C68E"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p>
    <w:p w14:paraId="29000D3A"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I. Instituir, coordinar y supervisar en términos de las disposiciones aplicables, las acciones, medidas y procedimientos que coadyuven a asegurar una mayor eficacia en la gestión y atención de las solicitudes en materia de acceso a la información;</w:t>
      </w:r>
    </w:p>
    <w:p w14:paraId="02084018"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18F79EA" w14:textId="6684949C"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 </w:t>
      </w:r>
    </w:p>
    <w:p w14:paraId="0746251A"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p>
    <w:p w14:paraId="4844CB65"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b/>
          <w:bCs/>
          <w:color w:val="000000" w:themeColor="text1"/>
          <w:lang w:val="es-MX"/>
        </w:rPr>
        <w:t>Artículo 169.</w:t>
      </w:r>
      <w:r w:rsidRPr="00A01837">
        <w:rPr>
          <w:rFonts w:ascii="Palatino Linotype" w:eastAsia="MS Mincho" w:hAnsi="Palatino Linotype" w:cs="Arial"/>
          <w:color w:val="000000" w:themeColor="text1"/>
          <w:lang w:val="es-MX"/>
        </w:rPr>
        <w:t xml:space="preserve"> Cuando la información no se encuentre en los archivos del sujeto obligado, el Comité de Transparencia:</w:t>
      </w:r>
    </w:p>
    <w:p w14:paraId="123BB3D1" w14:textId="69510FAE"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w:t>
      </w:r>
    </w:p>
    <w:p w14:paraId="176E0F67"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II. Expedirá una resolución que confirme la inexistencia del documento;</w:t>
      </w:r>
    </w:p>
    <w:p w14:paraId="745197EA" w14:textId="65D2CF9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w:t>
      </w:r>
    </w:p>
    <w:p w14:paraId="6372B7CF" w14:textId="77777777"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p>
    <w:p w14:paraId="10A94BF7" w14:textId="430265E1" w:rsidR="00CD2B46" w:rsidRPr="00A01837" w:rsidRDefault="00CD2B46" w:rsidP="00A01837">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A01837">
        <w:rPr>
          <w:rFonts w:ascii="Palatino Linotype" w:eastAsia="MS Mincho" w:hAnsi="Palatino Linotype" w:cs="Arial"/>
          <w:b/>
          <w:bCs/>
          <w:color w:val="000000" w:themeColor="text1"/>
          <w:lang w:val="es-MX"/>
        </w:rPr>
        <w:t>Artículo 170.</w:t>
      </w:r>
      <w:r w:rsidRPr="00A01837">
        <w:rPr>
          <w:rFonts w:ascii="Palatino Linotype" w:eastAsia="MS Mincho" w:hAnsi="Palatino Linotype" w:cs="Arial"/>
          <w:color w:val="000000" w:themeColor="text1"/>
          <w:lang w:val="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8DE32DE" w14:textId="77777777" w:rsidR="007F64B9" w:rsidRPr="00A01837" w:rsidRDefault="007F64B9"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83FC7F" w14:textId="6BB2ABFB" w:rsidR="00245D77" w:rsidRPr="00A01837" w:rsidRDefault="00CD2B46"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Es decir, en el supuesto de que la información no obre en los archivos del </w:t>
      </w:r>
      <w:r w:rsidRPr="00A01837">
        <w:rPr>
          <w:rFonts w:ascii="Palatino Linotype" w:eastAsia="MS Mincho" w:hAnsi="Palatino Linotype" w:cs="Arial"/>
          <w:b/>
          <w:bCs/>
          <w:color w:val="000000" w:themeColor="text1"/>
          <w:lang w:val="es-MX"/>
        </w:rPr>
        <w:t xml:space="preserve">Sujeto Obligado </w:t>
      </w:r>
      <w:r w:rsidRPr="00A01837">
        <w:rPr>
          <w:rFonts w:ascii="Palatino Linotype" w:eastAsia="MS Mincho" w:hAnsi="Palatino Linotype" w:cs="Arial"/>
          <w:color w:val="000000" w:themeColor="text1"/>
          <w:lang w:val="es-MX"/>
        </w:rPr>
        <w:t xml:space="preserve">deberá proceder a decretar la inexistencia de la información, es decir, deberá emitir el acuerdo de inexistencia respectivo, en el entendido, que el acto de autoridad debe estar debidamente fundado y motivado. </w:t>
      </w:r>
      <w:r w:rsidR="00245D77" w:rsidRPr="00A01837">
        <w:rPr>
          <w:rFonts w:ascii="Palatino Linotype" w:eastAsia="MS Mincho" w:hAnsi="Palatino Linotype" w:cs="Arial"/>
          <w:color w:val="000000" w:themeColor="text1"/>
          <w:lang w:val="es-MX"/>
        </w:rPr>
        <w:t xml:space="preserve">Señalando el lugar y fecha de la resolución, el nombre del solicitante, la información, el fundamento y motivo por el cual se determina que la información solicitada no obra en sus archivos, los nombres y las firmas autógrafas de los </w:t>
      </w:r>
      <w:r w:rsidR="00245D77" w:rsidRPr="00A01837">
        <w:rPr>
          <w:rFonts w:ascii="Palatino Linotype" w:eastAsia="MS Mincho" w:hAnsi="Palatino Linotype" w:cs="Arial"/>
          <w:b/>
          <w:bCs/>
          <w:color w:val="000000" w:themeColor="text1"/>
          <w:lang w:val="es-MX"/>
        </w:rPr>
        <w:t xml:space="preserve">integrantes del Comité de </w:t>
      </w:r>
      <w:r w:rsidR="00A97C63" w:rsidRPr="00A01837">
        <w:rPr>
          <w:rFonts w:ascii="Palatino Linotype" w:eastAsia="MS Mincho" w:hAnsi="Palatino Linotype" w:cs="Arial"/>
          <w:b/>
          <w:bCs/>
          <w:color w:val="000000" w:themeColor="text1"/>
          <w:lang w:val="es-MX"/>
        </w:rPr>
        <w:t xml:space="preserve">Transparencia. </w:t>
      </w:r>
      <w:r w:rsidR="00245D77" w:rsidRPr="00A01837">
        <w:rPr>
          <w:rFonts w:ascii="Palatino Linotype" w:eastAsia="MS Mincho" w:hAnsi="Palatino Linotype" w:cs="Arial"/>
          <w:b/>
          <w:bCs/>
          <w:color w:val="000000" w:themeColor="text1"/>
          <w:lang w:val="es-MX"/>
        </w:rPr>
        <w:t xml:space="preserve"> </w:t>
      </w:r>
    </w:p>
    <w:p w14:paraId="24B52DBD" w14:textId="77777777" w:rsidR="00245D77" w:rsidRPr="00A01837" w:rsidRDefault="00245D77"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C8C8197" w14:textId="6E3927A9" w:rsidR="00245D77" w:rsidRPr="00A01837" w:rsidRDefault="00245D77" w:rsidP="00A01837">
      <w:pPr>
        <w:pStyle w:val="Prrafodelista"/>
        <w:numPr>
          <w:ilvl w:val="0"/>
          <w:numId w:val="1"/>
        </w:numPr>
        <w:spacing w:line="360" w:lineRule="auto"/>
        <w:ind w:left="0" w:firstLine="0"/>
        <w:jc w:val="both"/>
        <w:rPr>
          <w:rFonts w:ascii="Palatino Linotype" w:hAnsi="Palatino Linotype"/>
          <w:lang w:val="es-MX"/>
        </w:rPr>
      </w:pPr>
      <w:r w:rsidRPr="00A01837">
        <w:rPr>
          <w:rFonts w:ascii="Palatino Linotype" w:hAnsi="Palatino Linotype"/>
          <w:lang w:val="es-MX"/>
        </w:rPr>
        <w:t xml:space="preserve">En este sentido, para que nazca la obligación por parte de una autoridad de generar un acuerdo en el que se declare la inexistencia de la información es un requisito </w:t>
      </w:r>
      <w:r w:rsidRPr="00A01837">
        <w:rPr>
          <w:rFonts w:ascii="Palatino Linotype" w:hAnsi="Palatino Linotype"/>
          <w:i/>
          <w:lang w:val="es-MX"/>
        </w:rPr>
        <w:t xml:space="preserve">sine qua </w:t>
      </w:r>
      <w:r w:rsidR="00A97C63" w:rsidRPr="00A01837">
        <w:rPr>
          <w:rFonts w:ascii="Palatino Linotype" w:hAnsi="Palatino Linotype"/>
          <w:i/>
          <w:lang w:val="es-MX"/>
        </w:rPr>
        <w:t xml:space="preserve">non </w:t>
      </w:r>
      <w:r w:rsidR="00A97C63" w:rsidRPr="00A01837">
        <w:rPr>
          <w:rFonts w:ascii="Palatino Linotype" w:hAnsi="Palatino Linotype"/>
          <w:lang w:val="es-MX"/>
        </w:rPr>
        <w:t>que</w:t>
      </w:r>
      <w:r w:rsidRPr="00A01837">
        <w:rPr>
          <w:rFonts w:ascii="Palatino Linotype" w:hAnsi="Palatino Linotype"/>
          <w:lang w:val="es-MX"/>
        </w:rPr>
        <w:t xml:space="preserve"> exista la obligación legal de haberla generado, esto es, que el </w:t>
      </w:r>
      <w:r w:rsidRPr="00A01837">
        <w:rPr>
          <w:rFonts w:ascii="Palatino Linotype" w:hAnsi="Palatino Linotype"/>
          <w:b/>
          <w:bCs/>
          <w:lang w:val="es-MX"/>
        </w:rPr>
        <w:t>Sujeto Obligado</w:t>
      </w:r>
      <w:r w:rsidRPr="00A01837">
        <w:rPr>
          <w:rFonts w:ascii="Palatino Linotype" w:hAnsi="Palatino Linotype"/>
          <w:lang w:val="es-MX"/>
        </w:rPr>
        <w:t xml:space="preserve"> en uso de sus facultades ejercidas generó o estuvo obligado a generarla y sin embargo la misma no la posee en sus archivos.  </w:t>
      </w:r>
    </w:p>
    <w:p w14:paraId="1241B238" w14:textId="77777777" w:rsidR="00D466D6" w:rsidRPr="00A01837" w:rsidRDefault="00D466D6" w:rsidP="00A01837">
      <w:pPr>
        <w:pStyle w:val="Prrafodelista"/>
        <w:spacing w:line="360" w:lineRule="auto"/>
        <w:ind w:left="0"/>
        <w:jc w:val="both"/>
        <w:rPr>
          <w:rFonts w:ascii="Palatino Linotype" w:hAnsi="Palatino Linotype"/>
          <w:lang w:val="es-MX"/>
        </w:rPr>
      </w:pPr>
    </w:p>
    <w:p w14:paraId="6AD63B66" w14:textId="77777777" w:rsidR="00245D77" w:rsidRPr="00A01837" w:rsidRDefault="00245D77" w:rsidP="00A01837">
      <w:pPr>
        <w:pStyle w:val="Ttulo1"/>
        <w:numPr>
          <w:ilvl w:val="0"/>
          <w:numId w:val="10"/>
        </w:numPr>
        <w:spacing w:before="0" w:line="360" w:lineRule="auto"/>
        <w:rPr>
          <w:b/>
          <w:szCs w:val="24"/>
        </w:rPr>
      </w:pPr>
      <w:bookmarkStart w:id="86" w:name="_Toc21026227"/>
      <w:r w:rsidRPr="00A01837">
        <w:rPr>
          <w:b/>
          <w:color w:val="000000" w:themeColor="text1"/>
          <w:szCs w:val="24"/>
        </w:rPr>
        <w:t>Del Acuerdo de Incompetencia.</w:t>
      </w:r>
      <w:bookmarkEnd w:id="86"/>
      <w:r w:rsidRPr="00A01837">
        <w:rPr>
          <w:b/>
          <w:color w:val="000000" w:themeColor="text1"/>
          <w:szCs w:val="24"/>
        </w:rPr>
        <w:t xml:space="preserve"> </w:t>
      </w:r>
    </w:p>
    <w:p w14:paraId="694A5802" w14:textId="1BECE9E8" w:rsidR="00245D77" w:rsidRPr="00A01837" w:rsidRDefault="00245D77" w:rsidP="00A01837">
      <w:pPr>
        <w:pStyle w:val="Ttulo1"/>
        <w:spacing w:before="0" w:line="360" w:lineRule="auto"/>
        <w:ind w:left="786"/>
        <w:rPr>
          <w:b/>
          <w:szCs w:val="24"/>
        </w:rPr>
      </w:pPr>
      <w:r w:rsidRPr="00A01837">
        <w:rPr>
          <w:b/>
          <w:color w:val="000000" w:themeColor="text1"/>
          <w:szCs w:val="24"/>
        </w:rPr>
        <w:t xml:space="preserve">  </w:t>
      </w:r>
    </w:p>
    <w:p w14:paraId="388279D6" w14:textId="7E50B0D3" w:rsidR="004E0F92" w:rsidRPr="00A01837" w:rsidRDefault="00D466D6" w:rsidP="00A0183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A01837">
        <w:rPr>
          <w:rFonts w:ascii="Palatino Linotype" w:eastAsia="MS Mincho" w:hAnsi="Palatino Linotype" w:cs="Arial"/>
          <w:color w:val="000000" w:themeColor="text1"/>
          <w:lang w:val="es-MX"/>
        </w:rPr>
        <w:t xml:space="preserve">Ante este supuesto, es necesario traer a colación lo establecido en el artículo 167 de la Ley de Transparencia y Acceso a la Información Pública del Estado de México y Municipios, el cual establece lo siguiente; </w:t>
      </w:r>
    </w:p>
    <w:p w14:paraId="789C7FA4" w14:textId="26D9B37C" w:rsidR="00D466D6" w:rsidRPr="00A01837" w:rsidRDefault="00D466D6"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379B26" w14:textId="77777777" w:rsidR="00D466D6" w:rsidRPr="00A01837" w:rsidRDefault="00D466D6" w:rsidP="00A01837">
      <w:pPr>
        <w:pStyle w:val="Prrafodelista"/>
        <w:tabs>
          <w:tab w:val="left" w:pos="426"/>
        </w:tabs>
        <w:spacing w:line="360" w:lineRule="auto"/>
        <w:ind w:left="567" w:right="616"/>
        <w:jc w:val="both"/>
        <w:rPr>
          <w:rFonts w:ascii="Palatino Linotype" w:eastAsia="MS Mincho" w:hAnsi="Palatino Linotype" w:cs="Arial"/>
          <w:iCs/>
          <w:color w:val="000000" w:themeColor="text1"/>
        </w:rPr>
      </w:pPr>
      <w:r w:rsidRPr="00A01837">
        <w:rPr>
          <w:rFonts w:ascii="Palatino Linotype" w:eastAsia="MS Mincho" w:hAnsi="Palatino Linotype" w:cs="Arial"/>
          <w:b/>
          <w:bCs/>
          <w:iCs/>
          <w:color w:val="000000" w:themeColor="text1"/>
        </w:rPr>
        <w:t xml:space="preserve">Artículo 167. </w:t>
      </w:r>
      <w:r w:rsidRPr="00A01837">
        <w:rPr>
          <w:rFonts w:ascii="Palatino Linotype" w:eastAsia="MS Mincho" w:hAnsi="Palatino Linotype" w:cs="Arial"/>
          <w:iCs/>
          <w:color w:val="000000" w:themeColor="text1"/>
        </w:rPr>
        <w:t xml:space="preserve">Cuando las </w:t>
      </w:r>
      <w:r w:rsidRPr="00A01837">
        <w:rPr>
          <w:rFonts w:ascii="Palatino Linotype" w:eastAsia="MS Mincho" w:hAnsi="Palatino Linotype" w:cs="Arial"/>
          <w:b/>
          <w:iCs/>
          <w:color w:val="000000" w:themeColor="text1"/>
        </w:rPr>
        <w:t>unidades de transparencia determinen la notoria incompetencia por parte de los sujetos obligado</w:t>
      </w:r>
      <w:r w:rsidRPr="00A01837">
        <w:rPr>
          <w:rFonts w:ascii="Palatino Linotype" w:eastAsia="MS Mincho" w:hAnsi="Palatino Linotype" w:cs="Arial"/>
          <w:iCs/>
          <w:color w:val="000000" w:themeColor="text1"/>
        </w:rPr>
        <w:t xml:space="preserve">s, dentro del ámbito de aplicación, para atender la solicitud de acceso a la información, deberán comunicarlo al solicitante, dentro de los </w:t>
      </w:r>
      <w:r w:rsidRPr="00A01837">
        <w:rPr>
          <w:rFonts w:ascii="Palatino Linotype" w:eastAsia="MS Mincho" w:hAnsi="Palatino Linotype" w:cs="Arial"/>
          <w:b/>
          <w:iCs/>
          <w:color w:val="000000" w:themeColor="text1"/>
          <w:u w:val="single"/>
        </w:rPr>
        <w:t>tres días hábiles posteriores a la recepción de la solicitud</w:t>
      </w:r>
      <w:r w:rsidRPr="00A01837">
        <w:rPr>
          <w:rFonts w:ascii="Palatino Linotype" w:eastAsia="MS Mincho" w:hAnsi="Palatino Linotype" w:cs="Arial"/>
          <w:iCs/>
          <w:color w:val="000000" w:themeColor="text1"/>
        </w:rPr>
        <w:t xml:space="preserve"> y, en su caso orientar al solicitante, el o los sujetos obligados competentes. </w:t>
      </w:r>
    </w:p>
    <w:p w14:paraId="08C76E19" w14:textId="77777777" w:rsidR="00D466D6" w:rsidRPr="00A01837" w:rsidRDefault="00D466D6" w:rsidP="00A0183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D8B6AE" w14:textId="77777777" w:rsidR="00D466D6" w:rsidRPr="00A01837" w:rsidRDefault="00D466D6"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Tal y como se aprecia, los </w:t>
      </w:r>
      <w:r w:rsidRPr="00A01837">
        <w:rPr>
          <w:rFonts w:ascii="Palatino Linotype" w:eastAsia="Calibri" w:hAnsi="Palatino Linotype" w:cs="Arial"/>
          <w:b/>
          <w:bCs/>
        </w:rPr>
        <w:t>Sujetos Obligados</w:t>
      </w:r>
      <w:r w:rsidRPr="00A01837">
        <w:rPr>
          <w:rFonts w:ascii="Palatino Linotype" w:eastAsia="Calibri" w:hAnsi="Palatino Linotype" w:cs="Arial"/>
        </w:rPr>
        <w:t xml:space="preserve"> al detectar qué una solicitud de acceso a la información </w:t>
      </w:r>
      <w:r w:rsidRPr="00A01837">
        <w:rPr>
          <w:rFonts w:ascii="Palatino Linotype" w:eastAsia="Calibri" w:hAnsi="Palatino Linotype" w:cs="Arial"/>
          <w:b/>
        </w:rPr>
        <w:t>NO</w:t>
      </w:r>
      <w:r w:rsidRPr="00A01837">
        <w:rPr>
          <w:rFonts w:ascii="Palatino Linotype" w:eastAsia="Calibri" w:hAnsi="Palatino Linotype" w:cs="Arial"/>
        </w:rPr>
        <w:t xml:space="preserve"> es de su competencia, dentro de los 3 días posteriores a su recepción, deberán de comunicar tal situación al recurrente y, en su caso orientarlo al </w:t>
      </w:r>
      <w:r w:rsidRPr="00A01837">
        <w:rPr>
          <w:rFonts w:ascii="Palatino Linotype" w:eastAsia="Calibri" w:hAnsi="Palatino Linotype" w:cs="Arial"/>
          <w:b/>
          <w:bCs/>
        </w:rPr>
        <w:t>Sujeto Obligado</w:t>
      </w:r>
      <w:r w:rsidRPr="00A01837">
        <w:rPr>
          <w:rFonts w:ascii="Palatino Linotype" w:eastAsia="Calibri" w:hAnsi="Palatino Linotype" w:cs="Arial"/>
        </w:rPr>
        <w:t xml:space="preserve"> correspondiente.</w:t>
      </w:r>
    </w:p>
    <w:p w14:paraId="12E4FBC5" w14:textId="77777777" w:rsidR="00D466D6" w:rsidRPr="00A01837" w:rsidRDefault="00D466D6" w:rsidP="00A01837">
      <w:pPr>
        <w:pStyle w:val="Prrafodelista"/>
        <w:spacing w:line="360" w:lineRule="auto"/>
        <w:ind w:left="0"/>
        <w:jc w:val="both"/>
        <w:rPr>
          <w:rFonts w:ascii="Palatino Linotype" w:eastAsia="Calibri" w:hAnsi="Palatino Linotype" w:cs="Arial"/>
        </w:rPr>
      </w:pPr>
    </w:p>
    <w:p w14:paraId="759B5DC6" w14:textId="7EC88309" w:rsidR="00D466D6" w:rsidRPr="00A01837" w:rsidRDefault="00D466D6"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En el presente asunto en particular, el recurrente presentó su solicitud de acceso a la información el día diecinueve (19) de julio y el </w:t>
      </w:r>
      <w:r w:rsidRPr="00A01837">
        <w:rPr>
          <w:rFonts w:ascii="Palatino Linotype" w:eastAsia="Calibri" w:hAnsi="Palatino Linotype" w:cs="Arial"/>
          <w:b/>
          <w:bCs/>
        </w:rPr>
        <w:t xml:space="preserve">Sujeto Obligado </w:t>
      </w:r>
      <w:r w:rsidRPr="00A01837">
        <w:rPr>
          <w:rFonts w:ascii="Palatino Linotype" w:eastAsia="Calibri" w:hAnsi="Palatino Linotype" w:cs="Arial"/>
        </w:rPr>
        <w:t xml:space="preserve">se pronunció respecto a la información el día treinta y uno (31) de julio, ahora bien, como se puede apreciar, los tres días que la ley les concede a la fecha de su respuesta ya habían transcurrido, y es por ello que el </w:t>
      </w:r>
      <w:r w:rsidRPr="00A01837">
        <w:rPr>
          <w:rFonts w:ascii="Palatino Linotype" w:eastAsia="Calibri" w:hAnsi="Palatino Linotype" w:cs="Arial"/>
          <w:b/>
          <w:bCs/>
        </w:rPr>
        <w:t xml:space="preserve">Sujeto Obligado </w:t>
      </w:r>
      <w:r w:rsidRPr="00A01837">
        <w:rPr>
          <w:rFonts w:ascii="Palatino Linotype" w:eastAsia="Calibri" w:hAnsi="Palatino Linotype" w:cs="Arial"/>
        </w:rPr>
        <w:t xml:space="preserve">proporcionó a la misma el Acuerdo de Incompetencia de la Solicitud de Información. </w:t>
      </w:r>
    </w:p>
    <w:p w14:paraId="64697162" w14:textId="77777777" w:rsidR="00D466D6" w:rsidRPr="00A01837" w:rsidRDefault="00D466D6" w:rsidP="00A01837">
      <w:pPr>
        <w:pStyle w:val="Prrafodelista"/>
        <w:spacing w:line="360" w:lineRule="auto"/>
        <w:rPr>
          <w:rFonts w:ascii="Palatino Linotype" w:eastAsia="Calibri" w:hAnsi="Palatino Linotype" w:cs="Arial"/>
        </w:rPr>
      </w:pPr>
    </w:p>
    <w:p w14:paraId="3C2FB191" w14:textId="0166557E" w:rsidR="00D466D6" w:rsidRPr="00A01837" w:rsidRDefault="00D466D6"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Sin embargo, para que el Acuerdo surta efectos, debe cumplir con las formalidades necesarias, entre ellas una primordial, que es </w:t>
      </w:r>
      <w:r w:rsidRPr="00A01837">
        <w:rPr>
          <w:rFonts w:ascii="Palatino Linotype" w:hAnsi="Palatino Linotype" w:cs="Arial"/>
        </w:rPr>
        <w:t>brindar certeza</w:t>
      </w:r>
      <w:r w:rsidRPr="00A01837">
        <w:rPr>
          <w:rStyle w:val="Refdenotaalpie"/>
          <w:rFonts w:ascii="Palatino Linotype" w:hAnsi="Palatino Linotype" w:cs="Arial"/>
        </w:rPr>
        <w:footnoteReference w:id="6"/>
      </w:r>
      <w:r w:rsidRPr="00A01837">
        <w:rPr>
          <w:rFonts w:ascii="Palatino Linotype" w:hAnsi="Palatino Linotype" w:cs="Arial"/>
        </w:rPr>
        <w:t xml:space="preserve"> en las acciones tomadas en el tratamiento de la solicitud, razón que en el Acuerdo proporcionado no sucedió. </w:t>
      </w:r>
    </w:p>
    <w:p w14:paraId="0CBBCFE9" w14:textId="77777777" w:rsidR="00D466D6" w:rsidRPr="00A01837" w:rsidRDefault="00D466D6" w:rsidP="00A01837">
      <w:pPr>
        <w:pStyle w:val="Prrafodelista"/>
        <w:spacing w:line="360" w:lineRule="auto"/>
        <w:rPr>
          <w:rFonts w:ascii="Palatino Linotype" w:hAnsi="Palatino Linotype" w:cs="Arial"/>
        </w:rPr>
      </w:pPr>
    </w:p>
    <w:p w14:paraId="1C23D505" w14:textId="2601D517" w:rsidR="00D466D6" w:rsidRPr="00A01837" w:rsidRDefault="00D466D6"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hAnsi="Palatino Linotype" w:cs="Arial"/>
        </w:rPr>
        <w:t xml:space="preserve">Lo anterior en razón de que, las declinaciones de competencia que realicen los </w:t>
      </w:r>
      <w:r w:rsidRPr="00A01837">
        <w:rPr>
          <w:rFonts w:ascii="Palatino Linotype" w:hAnsi="Palatino Linotype" w:cs="Arial"/>
          <w:b/>
          <w:bCs/>
        </w:rPr>
        <w:t>Sujetos Obligados</w:t>
      </w:r>
      <w:r w:rsidRPr="00A01837">
        <w:rPr>
          <w:rFonts w:ascii="Palatino Linotype" w:hAnsi="Palatino Linotype" w:cs="Arial"/>
        </w:rPr>
        <w:t xml:space="preserve"> deben estar apegadas al artículo 49 fracciones I y II de la Ley de Transparencia y Acceso a la Información Pública del Estado de México y Municipios que dispone los siguiente:</w:t>
      </w:r>
    </w:p>
    <w:p w14:paraId="25AFDD36" w14:textId="77777777" w:rsidR="00D466D6" w:rsidRPr="00A01837" w:rsidRDefault="00D466D6" w:rsidP="00A01837">
      <w:pPr>
        <w:pStyle w:val="Prrafodelista"/>
        <w:spacing w:line="360" w:lineRule="auto"/>
        <w:rPr>
          <w:rFonts w:ascii="Palatino Linotype" w:hAnsi="Palatino Linotype" w:cs="Arial"/>
        </w:rPr>
      </w:pPr>
    </w:p>
    <w:p w14:paraId="66C62387" w14:textId="77777777" w:rsidR="00D466D6" w:rsidRPr="00A01837" w:rsidRDefault="00D466D6" w:rsidP="00A01837">
      <w:pPr>
        <w:spacing w:line="360" w:lineRule="auto"/>
        <w:ind w:left="567" w:right="757"/>
        <w:jc w:val="both"/>
        <w:rPr>
          <w:rFonts w:ascii="Palatino Linotype" w:eastAsia="Calibri" w:hAnsi="Palatino Linotype" w:cs="Arial"/>
          <w:iCs/>
        </w:rPr>
      </w:pPr>
      <w:r w:rsidRPr="00A01837">
        <w:rPr>
          <w:rFonts w:ascii="Palatino Linotype" w:eastAsia="Calibri" w:hAnsi="Palatino Linotype" w:cs="Arial"/>
          <w:b/>
          <w:iCs/>
        </w:rPr>
        <w:t>Artículo 49</w:t>
      </w:r>
      <w:r w:rsidRPr="00A01837">
        <w:rPr>
          <w:rFonts w:ascii="Palatino Linotype" w:eastAsia="Calibri" w:hAnsi="Palatino Linotype" w:cs="Arial"/>
          <w:iCs/>
        </w:rPr>
        <w:t>. Los Comités de Transparencia tendrán las siguientes atribuciones:</w:t>
      </w:r>
    </w:p>
    <w:p w14:paraId="5A4DD3C0" w14:textId="77777777" w:rsidR="00D466D6" w:rsidRPr="00A01837" w:rsidRDefault="00D466D6" w:rsidP="00A01837">
      <w:pPr>
        <w:spacing w:line="360" w:lineRule="auto"/>
        <w:ind w:left="567" w:right="757"/>
        <w:jc w:val="both"/>
        <w:rPr>
          <w:rFonts w:ascii="Palatino Linotype" w:eastAsia="Calibri" w:hAnsi="Palatino Linotype" w:cs="Arial"/>
          <w:iCs/>
        </w:rPr>
      </w:pPr>
    </w:p>
    <w:p w14:paraId="76C14131" w14:textId="77777777" w:rsidR="00D466D6" w:rsidRPr="00A01837" w:rsidRDefault="00D466D6" w:rsidP="00A01837">
      <w:pPr>
        <w:spacing w:line="360" w:lineRule="auto"/>
        <w:ind w:left="567" w:right="757"/>
        <w:jc w:val="both"/>
        <w:rPr>
          <w:rFonts w:ascii="Palatino Linotype" w:eastAsia="Calibri" w:hAnsi="Palatino Linotype" w:cs="Arial"/>
          <w:iCs/>
        </w:rPr>
      </w:pPr>
      <w:r w:rsidRPr="00A01837">
        <w:rPr>
          <w:rFonts w:ascii="Palatino Linotype" w:eastAsia="Calibri" w:hAnsi="Palatino Linotype" w:cs="Arial"/>
          <w:b/>
          <w:iCs/>
        </w:rPr>
        <w:t>I</w:t>
      </w:r>
      <w:r w:rsidRPr="00A01837">
        <w:rPr>
          <w:rFonts w:ascii="Palatino Linotype" w:eastAsia="Calibri" w:hAnsi="Palatino Linotype" w:cs="Arial"/>
          <w:iCs/>
        </w:rPr>
        <w:t>. Instituir, coordinar y supervisar en términos de las disposiciones aplicables, las acciones, medidas y procedimientos que coadyuven a asegurar una mayor eficacia en la gestión y atención de las solicitudes en materia de acceso a la información;</w:t>
      </w:r>
    </w:p>
    <w:p w14:paraId="6EEEE9D6" w14:textId="77777777" w:rsidR="00D466D6" w:rsidRPr="00A01837" w:rsidRDefault="00D466D6" w:rsidP="00A01837">
      <w:pPr>
        <w:spacing w:line="360" w:lineRule="auto"/>
        <w:ind w:left="567" w:right="757"/>
        <w:jc w:val="both"/>
        <w:rPr>
          <w:rFonts w:ascii="Palatino Linotype" w:eastAsia="Calibri" w:hAnsi="Palatino Linotype" w:cs="Arial"/>
          <w:iCs/>
        </w:rPr>
      </w:pPr>
    </w:p>
    <w:p w14:paraId="5E8DAC74" w14:textId="77777777" w:rsidR="00D466D6" w:rsidRPr="00A01837" w:rsidRDefault="00D466D6" w:rsidP="00A01837">
      <w:pPr>
        <w:spacing w:line="360" w:lineRule="auto"/>
        <w:ind w:left="567" w:right="757"/>
        <w:jc w:val="both"/>
        <w:rPr>
          <w:rFonts w:ascii="Palatino Linotype" w:eastAsia="Calibri" w:hAnsi="Palatino Linotype" w:cs="Arial"/>
          <w:iCs/>
        </w:rPr>
      </w:pPr>
      <w:r w:rsidRPr="00A01837">
        <w:rPr>
          <w:rFonts w:ascii="Palatino Linotype" w:eastAsia="Calibri" w:hAnsi="Palatino Linotype" w:cs="Arial"/>
          <w:b/>
          <w:iCs/>
        </w:rPr>
        <w:t>II</w:t>
      </w:r>
      <w:r w:rsidRPr="00A01837">
        <w:rPr>
          <w:rFonts w:ascii="Palatino Linotype" w:eastAsia="Calibri" w:hAnsi="Palatino Linotype" w:cs="Arial"/>
          <w:iCs/>
        </w:rPr>
        <w:t>. Confirmar, modificar o revocar las determinaciones que en materia de ampliación del plazo de respuesta, clasificación de la información y declaración de inexistencia o de incompetencia realicen los titulares de las áreas de los sujetos obligados;</w:t>
      </w:r>
    </w:p>
    <w:p w14:paraId="7C1DC5C3" w14:textId="3B2CD15D" w:rsidR="00D466D6" w:rsidRPr="00A01837" w:rsidRDefault="00D466D6" w:rsidP="00A01837">
      <w:pPr>
        <w:spacing w:line="360" w:lineRule="auto"/>
        <w:ind w:left="567" w:right="757"/>
        <w:jc w:val="both"/>
        <w:rPr>
          <w:rFonts w:ascii="Palatino Linotype" w:eastAsia="Calibri" w:hAnsi="Palatino Linotype" w:cs="Arial"/>
          <w:iCs/>
        </w:rPr>
      </w:pPr>
      <w:r w:rsidRPr="00A01837">
        <w:rPr>
          <w:rFonts w:ascii="Palatino Linotype" w:eastAsia="Calibri" w:hAnsi="Palatino Linotype" w:cs="Arial"/>
          <w:iCs/>
        </w:rPr>
        <w:t>…</w:t>
      </w:r>
    </w:p>
    <w:p w14:paraId="4168ABFC" w14:textId="77777777" w:rsidR="00A97C63" w:rsidRPr="00A01837" w:rsidRDefault="00A97C63" w:rsidP="00A01837">
      <w:pPr>
        <w:spacing w:line="360" w:lineRule="auto"/>
        <w:ind w:left="567" w:right="757"/>
        <w:jc w:val="both"/>
        <w:rPr>
          <w:rFonts w:ascii="Palatino Linotype" w:eastAsia="Calibri" w:hAnsi="Palatino Linotype" w:cs="Arial"/>
          <w:iCs/>
        </w:rPr>
      </w:pPr>
    </w:p>
    <w:p w14:paraId="1D38D210" w14:textId="2EF4A6E7" w:rsidR="00D466D6" w:rsidRPr="00A01837" w:rsidRDefault="00D466D6"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En efecto, si bien se prevé la posibilidad de que el</w:t>
      </w:r>
      <w:r w:rsidRPr="00A01837">
        <w:rPr>
          <w:rFonts w:ascii="Palatino Linotype" w:eastAsia="Calibri" w:hAnsi="Palatino Linotype" w:cs="Arial"/>
          <w:b/>
        </w:rPr>
        <w:t xml:space="preserve"> </w:t>
      </w:r>
      <w:r w:rsidRPr="00A01837">
        <w:rPr>
          <w:rFonts w:ascii="Palatino Linotype" w:eastAsia="Calibri" w:hAnsi="Palatino Linotype" w:cs="Arial"/>
          <w:b/>
          <w:bCs/>
        </w:rPr>
        <w:t>Sujeto Obligado</w:t>
      </w:r>
      <w:r w:rsidRPr="00A01837">
        <w:rPr>
          <w:rFonts w:ascii="Palatino Linotype" w:eastAsia="Calibri" w:hAnsi="Palatino Linotype" w:cs="Arial"/>
          <w:b/>
        </w:rPr>
        <w:t xml:space="preserve"> </w:t>
      </w:r>
      <w:r w:rsidRPr="00A01837">
        <w:rPr>
          <w:rFonts w:ascii="Palatino Linotype" w:eastAsia="Calibri" w:hAnsi="Palatino Linotype" w:cs="Arial"/>
        </w:rPr>
        <w:t xml:space="preserve">no tiene competencia para administrar, generar o poseer la información solicitada respecto al </w:t>
      </w:r>
      <w:r w:rsidRPr="00A01837">
        <w:rPr>
          <w:rFonts w:ascii="Palatino Linotype" w:hAnsi="Palatino Linotype"/>
          <w:b/>
          <w:bCs/>
        </w:rPr>
        <w:t>Programa de Fortalecimiento para la Seguridad (FORTASEG)</w:t>
      </w:r>
      <w:r w:rsidRPr="00A01837">
        <w:rPr>
          <w:rFonts w:ascii="Palatino Linotype" w:eastAsia="Calibri" w:hAnsi="Palatino Linotype" w:cs="Arial"/>
        </w:rPr>
        <w:t xml:space="preserve">, en virtud de ser atribución de diverso </w:t>
      </w:r>
      <w:r w:rsidRPr="00A01837">
        <w:rPr>
          <w:rFonts w:ascii="Palatino Linotype" w:eastAsia="Calibri" w:hAnsi="Palatino Linotype" w:cs="Arial"/>
          <w:b/>
          <w:bCs/>
        </w:rPr>
        <w:t>Sujeto Obligado</w:t>
      </w:r>
      <w:r w:rsidRPr="00A01837">
        <w:rPr>
          <w:rFonts w:ascii="Palatino Linotype" w:eastAsia="Calibri" w:hAnsi="Palatino Linotype" w:cs="Arial"/>
        </w:rPr>
        <w:t>, denominado</w:t>
      </w:r>
      <w:r w:rsidRPr="00A01837">
        <w:rPr>
          <w:rFonts w:ascii="Palatino Linotype" w:hAnsi="Palatino Linotype" w:cs="Arial"/>
          <w:lang w:eastAsia="es-MX"/>
        </w:rPr>
        <w:t xml:space="preserve"> </w:t>
      </w:r>
      <w:r w:rsidRPr="00A01837">
        <w:rPr>
          <w:rFonts w:ascii="Palatino Linotype" w:hAnsi="Palatino Linotype" w:cs="Arial"/>
          <w:b/>
          <w:lang w:eastAsia="es-MX"/>
        </w:rPr>
        <w:t>Secretariado Ejecutivo del Sistema Nacional de Seguridad Pública</w:t>
      </w:r>
      <w:r w:rsidRPr="00A01837">
        <w:rPr>
          <w:rFonts w:ascii="Palatino Linotype" w:hAnsi="Palatino Linotype" w:cs="Arial"/>
          <w:lang w:eastAsia="es-MX"/>
        </w:rPr>
        <w:t xml:space="preserve">, </w:t>
      </w:r>
      <w:r w:rsidRPr="00A01837">
        <w:rPr>
          <w:rFonts w:ascii="Palatino Linotype" w:eastAsia="Calibri" w:hAnsi="Palatino Linotype" w:cs="Arial"/>
        </w:rPr>
        <w:t xml:space="preserve">como lo manifestó, tanto en respuesta como en informe justificado, también lo es que, dicha incompetencia debió haber sido confirmada, modificada o revocada por el </w:t>
      </w:r>
      <w:r w:rsidRPr="00A01837">
        <w:rPr>
          <w:rFonts w:ascii="Palatino Linotype" w:eastAsia="Calibri" w:hAnsi="Palatino Linotype" w:cs="Arial"/>
          <w:b/>
          <w:bCs/>
        </w:rPr>
        <w:t>Comité de Transparencia</w:t>
      </w:r>
      <w:r w:rsidRPr="00A01837">
        <w:rPr>
          <w:rFonts w:ascii="Palatino Linotype" w:eastAsia="Calibri" w:hAnsi="Palatino Linotype" w:cs="Arial"/>
        </w:rPr>
        <w:t xml:space="preserve"> en términos del precepto legal referido, </w:t>
      </w:r>
      <w:r w:rsidRPr="00A01837">
        <w:rPr>
          <w:rFonts w:ascii="Palatino Linotype" w:eastAsia="Calibri" w:hAnsi="Palatino Linotype" w:cs="Arial"/>
          <w:b/>
          <w:bCs/>
        </w:rPr>
        <w:t xml:space="preserve">NO </w:t>
      </w:r>
      <w:r w:rsidRPr="00A01837">
        <w:rPr>
          <w:rFonts w:ascii="Palatino Linotype" w:eastAsia="Calibri" w:hAnsi="Palatino Linotype" w:cs="Arial"/>
        </w:rPr>
        <w:t xml:space="preserve">únicamente por el Titular de la Unidad de Transparencia como ocurrió. </w:t>
      </w:r>
    </w:p>
    <w:p w14:paraId="27DF6BFB" w14:textId="77777777" w:rsidR="00D466D6" w:rsidRPr="00A01837" w:rsidRDefault="00D466D6" w:rsidP="00A01837">
      <w:pPr>
        <w:pStyle w:val="Prrafodelista"/>
        <w:spacing w:line="360" w:lineRule="auto"/>
        <w:ind w:left="0"/>
        <w:jc w:val="both"/>
        <w:rPr>
          <w:rFonts w:ascii="Palatino Linotype" w:eastAsia="Calibri" w:hAnsi="Palatino Linotype" w:cs="Arial"/>
        </w:rPr>
      </w:pPr>
    </w:p>
    <w:p w14:paraId="413E508E" w14:textId="77777777" w:rsidR="00D466D6" w:rsidRPr="00A01837" w:rsidRDefault="00D466D6"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0EA51F4C" w14:textId="77777777" w:rsidR="00D466D6" w:rsidRPr="00A01837" w:rsidRDefault="00D466D6" w:rsidP="00A01837">
      <w:pPr>
        <w:pStyle w:val="Prrafodelista"/>
        <w:spacing w:line="360" w:lineRule="auto"/>
        <w:rPr>
          <w:rFonts w:ascii="Palatino Linotype" w:eastAsia="Calibri" w:hAnsi="Palatino Linotype" w:cs="Arial"/>
        </w:rPr>
      </w:pPr>
    </w:p>
    <w:p w14:paraId="6FAE5390" w14:textId="679ABC29" w:rsidR="00D466D6" w:rsidRPr="00A01837" w:rsidRDefault="00D466D6"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A01837">
        <w:rPr>
          <w:rFonts w:ascii="Palatino Linotype" w:eastAsia="Calibri" w:hAnsi="Palatino Linotype" w:cs="Arial"/>
          <w:i/>
        </w:rPr>
        <w:t xml:space="preserve">en la tramitación del recurso de revisión se aplicarán supletoriamente las disposiciones contenidas en el Código de Procedimientos Administrativos del Estado de México, </w:t>
      </w:r>
      <w:r w:rsidRPr="00A01837">
        <w:rPr>
          <w:rFonts w:ascii="Palatino Linotype" w:eastAsia="Calibri" w:hAnsi="Palatino Linotype" w:cs="Arial"/>
        </w:rPr>
        <w:t xml:space="preserve">luego entonces, en razón de que derivado de las manifestaciones vertidas por el </w:t>
      </w:r>
      <w:r w:rsidRPr="00A01837">
        <w:rPr>
          <w:rFonts w:ascii="Palatino Linotype" w:eastAsia="Calibri" w:hAnsi="Palatino Linotype" w:cs="Arial"/>
          <w:b/>
          <w:bCs/>
        </w:rPr>
        <w:t>Sujeto Obligado,</w:t>
      </w:r>
      <w:r w:rsidRPr="00A01837">
        <w:rPr>
          <w:rFonts w:ascii="Palatino Linotype" w:eastAsia="Calibri" w:hAnsi="Palatino Linotype" w:cs="Arial"/>
        </w:rPr>
        <w:t xml:space="preserve"> tanto en respuesta como en informe justificado, se ordenará la entrega de un acuerdo emitido por el </w:t>
      </w:r>
      <w:r w:rsidRPr="00A01837">
        <w:rPr>
          <w:rFonts w:ascii="Palatino Linotype" w:eastAsia="Calibri" w:hAnsi="Palatino Linotype" w:cs="Arial"/>
          <w:b/>
          <w:bCs/>
        </w:rPr>
        <w:t>Comité de Transparencia</w:t>
      </w:r>
      <w:r w:rsidRPr="00A01837">
        <w:rPr>
          <w:rFonts w:ascii="Palatino Linotype" w:eastAsia="Calibri" w:hAnsi="Palatino Linotype" w:cs="Arial"/>
        </w:rPr>
        <w:t xml:space="preserve"> mediante el cual se determine la incompetencia para atender lo relativo al Programa FORTASEG, lo cual, a su vez se constituirá como</w:t>
      </w:r>
      <w:r w:rsidRPr="00A01837">
        <w:rPr>
          <w:rFonts w:ascii="Palatino Linotype" w:hAnsi="Palatino Linotype" w:cs="Arial"/>
          <w:b/>
          <w:color w:val="263238"/>
        </w:rPr>
        <w:t xml:space="preserve"> una confesión expresa</w:t>
      </w:r>
      <w:r w:rsidRPr="00A01837">
        <w:rPr>
          <w:rFonts w:ascii="Palatino Linotype" w:hAnsi="Palatino Linotype" w:cs="Arial"/>
          <w:color w:val="263238"/>
        </w:rPr>
        <w:t xml:space="preserve"> en </w:t>
      </w:r>
      <w:r w:rsidRPr="00A01837">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0DC8BAEB" w14:textId="77777777" w:rsidR="00D466D6" w:rsidRPr="00A01837" w:rsidRDefault="00D466D6" w:rsidP="00A01837">
      <w:pPr>
        <w:pStyle w:val="Prrafodelista"/>
        <w:spacing w:line="360" w:lineRule="auto"/>
        <w:rPr>
          <w:rFonts w:ascii="Palatino Linotype" w:eastAsia="Calibri" w:hAnsi="Palatino Linotype" w:cs="Arial"/>
        </w:rPr>
      </w:pPr>
    </w:p>
    <w:p w14:paraId="68B789BB" w14:textId="36315407" w:rsidR="00D466D6" w:rsidRPr="00A01837" w:rsidRDefault="00D466D6" w:rsidP="00A01837">
      <w:pPr>
        <w:pStyle w:val="Prrafodelista"/>
        <w:numPr>
          <w:ilvl w:val="0"/>
          <w:numId w:val="1"/>
        </w:numPr>
        <w:spacing w:line="360" w:lineRule="auto"/>
        <w:ind w:left="0" w:firstLine="0"/>
        <w:jc w:val="both"/>
        <w:rPr>
          <w:rFonts w:ascii="Palatino Linotype" w:eastAsia="Calibri" w:hAnsi="Palatino Linotype" w:cs="Arial"/>
        </w:rPr>
      </w:pPr>
      <w:r w:rsidRPr="00A01837">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w:t>
      </w:r>
      <w:r w:rsidRPr="00A01837">
        <w:rPr>
          <w:rFonts w:ascii="Palatino Linotype" w:eastAsia="Calibri" w:hAnsi="Palatino Linotype" w:cs="Arial"/>
          <w:b/>
          <w:bCs/>
        </w:rPr>
        <w:t>Sujeto Obligado</w:t>
      </w:r>
      <w:r w:rsidRPr="00A01837">
        <w:rPr>
          <w:rFonts w:ascii="Palatino Linotype" w:eastAsia="Calibri" w:hAnsi="Palatino Linotype" w:cs="Arial"/>
        </w:rPr>
        <w:t>, además, que, si en actos futuros se demuestra lo contrario, podría ser utilizado como medio probatorio.</w:t>
      </w:r>
    </w:p>
    <w:p w14:paraId="1D714FEF" w14:textId="77777777" w:rsidR="00A97C63" w:rsidRPr="00A01837" w:rsidRDefault="00A97C63" w:rsidP="00A01837">
      <w:pPr>
        <w:pStyle w:val="Prrafodelista"/>
        <w:spacing w:line="360" w:lineRule="auto"/>
        <w:ind w:left="0"/>
        <w:jc w:val="both"/>
        <w:rPr>
          <w:rFonts w:ascii="Palatino Linotype" w:eastAsia="Calibri" w:hAnsi="Palatino Linotype" w:cs="Arial"/>
        </w:rPr>
      </w:pPr>
    </w:p>
    <w:p w14:paraId="0DFF4468" w14:textId="77777777" w:rsidR="00D466D6" w:rsidRPr="00A01837" w:rsidRDefault="00D466D6" w:rsidP="00A01837">
      <w:pPr>
        <w:pStyle w:val="Ttulo1"/>
        <w:spacing w:before="0" w:line="360" w:lineRule="auto"/>
        <w:rPr>
          <w:b/>
          <w:color w:val="000000" w:themeColor="text1"/>
          <w:szCs w:val="24"/>
        </w:rPr>
      </w:pPr>
      <w:bookmarkStart w:id="87" w:name="_Toc523908140"/>
      <w:bookmarkStart w:id="88" w:name="_Toc522209067"/>
      <w:bookmarkStart w:id="89" w:name="_Toc521949107"/>
      <w:bookmarkStart w:id="90" w:name="_Toc17390946"/>
      <w:bookmarkStart w:id="91" w:name="_Toc17043969"/>
      <w:bookmarkStart w:id="92" w:name="_Toc12448142"/>
      <w:bookmarkStart w:id="93" w:name="_Toc11834466"/>
      <w:bookmarkStart w:id="94" w:name="_Toc20392593"/>
      <w:bookmarkStart w:id="95" w:name="_Toc20412820"/>
      <w:bookmarkStart w:id="96" w:name="_Toc21026228"/>
      <w:r w:rsidRPr="00A01837">
        <w:rPr>
          <w:rFonts w:cs="Times New Roman"/>
          <w:b/>
          <w:color w:val="000000" w:themeColor="text1"/>
          <w:szCs w:val="24"/>
          <w:lang w:eastAsia="es-ES_tradnl"/>
        </w:rPr>
        <w:t xml:space="preserve">QUINTO. </w:t>
      </w:r>
      <w:r w:rsidRPr="00A01837">
        <w:rPr>
          <w:b/>
          <w:color w:val="000000" w:themeColor="text1"/>
          <w:szCs w:val="24"/>
        </w:rPr>
        <w:t xml:space="preserve"> De la elaboración de la versión pública</w:t>
      </w:r>
      <w:bookmarkEnd w:id="87"/>
      <w:bookmarkEnd w:id="88"/>
      <w:bookmarkEnd w:id="89"/>
      <w:r w:rsidRPr="00A01837">
        <w:rPr>
          <w:b/>
          <w:color w:val="000000" w:themeColor="text1"/>
          <w:szCs w:val="24"/>
        </w:rPr>
        <w:t>.</w:t>
      </w:r>
      <w:bookmarkEnd w:id="90"/>
      <w:bookmarkEnd w:id="91"/>
      <w:bookmarkEnd w:id="92"/>
      <w:bookmarkEnd w:id="93"/>
      <w:bookmarkEnd w:id="94"/>
      <w:bookmarkEnd w:id="95"/>
      <w:bookmarkEnd w:id="96"/>
      <w:r w:rsidRPr="00A01837">
        <w:rPr>
          <w:b/>
          <w:color w:val="000000" w:themeColor="text1"/>
          <w:szCs w:val="24"/>
        </w:rPr>
        <w:t xml:space="preserve"> </w:t>
      </w:r>
    </w:p>
    <w:p w14:paraId="14F012B0" w14:textId="77777777" w:rsidR="00D466D6" w:rsidRPr="00A01837" w:rsidRDefault="00D466D6" w:rsidP="00A01837">
      <w:pPr>
        <w:pStyle w:val="Prrafodelista"/>
        <w:tabs>
          <w:tab w:val="left" w:pos="426"/>
        </w:tabs>
        <w:spacing w:line="360" w:lineRule="auto"/>
        <w:ind w:left="0"/>
        <w:jc w:val="both"/>
        <w:rPr>
          <w:rFonts w:ascii="Palatino Linotype" w:eastAsia="MS Mincho" w:hAnsi="Palatino Linotype" w:cs="Arial"/>
          <w:color w:val="000000" w:themeColor="text1"/>
        </w:rPr>
      </w:pPr>
    </w:p>
    <w:p w14:paraId="5909B9A9" w14:textId="77777777" w:rsidR="00D466D6" w:rsidRPr="00A01837" w:rsidRDefault="00D466D6" w:rsidP="00A0183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01837">
        <w:rPr>
          <w:rFonts w:ascii="Palatino Linotype" w:eastAsia="Times New Roman" w:hAnsi="Palatino Linotype" w:cs="Arial"/>
          <w:color w:val="000000"/>
        </w:rPr>
        <w:t>Debe destacarse que, debido a la naturaleza de la información solicitada</w:t>
      </w:r>
      <w:r w:rsidRPr="00A01837">
        <w:rPr>
          <w:rFonts w:ascii="Palatino Linotype" w:eastAsia="Times New Roman" w:hAnsi="Palatino Linotype" w:cs="Arial"/>
          <w:b/>
          <w:color w:val="000000"/>
        </w:rPr>
        <w:t xml:space="preserve">, </w:t>
      </w:r>
      <w:r w:rsidRPr="00A01837">
        <w:rPr>
          <w:rFonts w:ascii="Palatino Linotype" w:eastAsia="Times New Roman" w:hAnsi="Palatino Linotype" w:cs="Arial"/>
          <w:color w:val="000000"/>
        </w:rPr>
        <w:t xml:space="preserve">eventualmente pudiera obrar datos personales susceptibles de protegerse, el </w:t>
      </w:r>
      <w:r w:rsidRPr="00A01837">
        <w:rPr>
          <w:rFonts w:ascii="Palatino Linotype" w:eastAsia="Times New Roman" w:hAnsi="Palatino Linotype" w:cs="Arial"/>
          <w:b/>
          <w:bCs/>
          <w:color w:val="000000"/>
        </w:rPr>
        <w:t xml:space="preserve">Sujeto Obligado </w:t>
      </w:r>
      <w:r w:rsidRPr="00A01837">
        <w:rPr>
          <w:rFonts w:ascii="Palatino Linotype" w:eastAsia="Times New Roman" w:hAnsi="Palatino Linotype" w:cs="Arial"/>
          <w:color w:val="000000"/>
        </w:rPr>
        <w:t xml:space="preserve">deberá de hacer la adecuada versión pública, protegiendo los datos que no son susceptibles de ser proporcionados. </w:t>
      </w:r>
    </w:p>
    <w:p w14:paraId="65246C6C" w14:textId="77777777" w:rsidR="00D466D6" w:rsidRPr="00A01837" w:rsidRDefault="00D466D6" w:rsidP="00A01837">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416057E1" w14:textId="1A1A68F5" w:rsidR="00D466D6" w:rsidRPr="00A01837" w:rsidRDefault="002C720E" w:rsidP="00A01837">
      <w:pPr>
        <w:numPr>
          <w:ilvl w:val="0"/>
          <w:numId w:val="1"/>
        </w:numPr>
        <w:spacing w:line="360" w:lineRule="auto"/>
        <w:ind w:left="0" w:right="49" w:firstLine="0"/>
        <w:contextualSpacing/>
        <w:jc w:val="both"/>
        <w:rPr>
          <w:rFonts w:ascii="Palatino Linotype" w:eastAsia="Times New Roman" w:hAnsi="Palatino Linotype" w:cs="Arial"/>
          <w:color w:val="000000"/>
        </w:rPr>
      </w:pPr>
      <w:r>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91008" behindDoc="0" locked="0" layoutInCell="1" allowOverlap="1" wp14:anchorId="023932DC" wp14:editId="2DCCAF42">
                <wp:simplePos x="0" y="0"/>
                <wp:positionH relativeFrom="column">
                  <wp:posOffset>7065</wp:posOffset>
                </wp:positionH>
                <wp:positionV relativeFrom="paragraph">
                  <wp:posOffset>1840085</wp:posOffset>
                </wp:positionV>
                <wp:extent cx="5587200" cy="2592000"/>
                <wp:effectExtent l="38100" t="38100" r="52070" b="94615"/>
                <wp:wrapNone/>
                <wp:docPr id="3" name="Conector recto 3"/>
                <wp:cNvGraphicFramePr/>
                <a:graphic xmlns:a="http://schemas.openxmlformats.org/drawingml/2006/main">
                  <a:graphicData uri="http://schemas.microsoft.com/office/word/2010/wordprocessingShape">
                    <wps:wsp>
                      <wps:cNvCnPr/>
                      <wps:spPr>
                        <a:xfrm>
                          <a:off x="0" y="0"/>
                          <a:ext cx="5587200" cy="2592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3601ED" id="Conector recto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5pt,144.9pt" to="44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" strokecolor="#4f81bd [3204]" strokeweight="2pt">
                <v:shadow on="t" color="black" opacity="24903f" origin=",.5" offset="0,.55556mm"/>
              </v:line>
            </w:pict>
          </mc:Fallback>
        </mc:AlternateContent>
      </w:r>
      <w:r w:rsidR="00D466D6" w:rsidRPr="00A01837">
        <w:rPr>
          <w:rFonts w:ascii="Palatino Linotype" w:eastAsia="Times New Roman" w:hAnsi="Palatino Linotype" w:cs="Arial"/>
          <w:color w:val="000000"/>
        </w:rPr>
        <w:t xml:space="preserve">No pasa desapercibido para este Órgano Garante que los </w:t>
      </w:r>
      <w:r w:rsidR="00D466D6" w:rsidRPr="00A01837">
        <w:rPr>
          <w:rFonts w:ascii="Palatino Linotype" w:eastAsia="Times New Roman" w:hAnsi="Palatino Linotype" w:cs="Arial"/>
          <w:b/>
          <w:bCs/>
          <w:color w:val="000000"/>
        </w:rPr>
        <w:t xml:space="preserve">Sujetos Obligados </w:t>
      </w:r>
      <w:r w:rsidR="00D466D6" w:rsidRPr="00A01837">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8183B1D" w14:textId="77777777" w:rsidR="00D466D6" w:rsidRDefault="00D466D6" w:rsidP="00A01837">
      <w:pPr>
        <w:spacing w:line="360" w:lineRule="auto"/>
        <w:ind w:right="49"/>
        <w:contextualSpacing/>
        <w:jc w:val="both"/>
        <w:rPr>
          <w:rFonts w:ascii="Palatino Linotype" w:eastAsia="Times New Roman" w:hAnsi="Palatino Linotype" w:cs="Arial"/>
          <w:color w:val="000000"/>
        </w:rPr>
      </w:pPr>
    </w:p>
    <w:p w14:paraId="06B24A69" w14:textId="77777777" w:rsidR="002C720E" w:rsidRDefault="002C720E" w:rsidP="00A01837">
      <w:pPr>
        <w:spacing w:line="360" w:lineRule="auto"/>
        <w:ind w:right="49"/>
        <w:contextualSpacing/>
        <w:jc w:val="both"/>
        <w:rPr>
          <w:rFonts w:ascii="Palatino Linotype" w:eastAsia="Times New Roman" w:hAnsi="Palatino Linotype" w:cs="Arial"/>
          <w:color w:val="000000"/>
        </w:rPr>
      </w:pPr>
    </w:p>
    <w:p w14:paraId="00DD46E9" w14:textId="77777777" w:rsidR="002C720E" w:rsidRDefault="002C720E" w:rsidP="00A01837">
      <w:pPr>
        <w:spacing w:line="360" w:lineRule="auto"/>
        <w:ind w:right="49"/>
        <w:contextualSpacing/>
        <w:jc w:val="both"/>
        <w:rPr>
          <w:rFonts w:ascii="Palatino Linotype" w:eastAsia="Times New Roman" w:hAnsi="Palatino Linotype" w:cs="Arial"/>
          <w:color w:val="000000"/>
        </w:rPr>
      </w:pPr>
    </w:p>
    <w:p w14:paraId="43F604ED" w14:textId="77777777" w:rsidR="002C720E" w:rsidRDefault="002C720E" w:rsidP="00A01837">
      <w:pPr>
        <w:spacing w:line="360" w:lineRule="auto"/>
        <w:ind w:right="49"/>
        <w:contextualSpacing/>
        <w:jc w:val="both"/>
        <w:rPr>
          <w:rFonts w:ascii="Palatino Linotype" w:eastAsia="Times New Roman" w:hAnsi="Palatino Linotype" w:cs="Arial"/>
          <w:color w:val="000000"/>
        </w:rPr>
      </w:pPr>
    </w:p>
    <w:p w14:paraId="5027DF59" w14:textId="77777777" w:rsidR="002C720E" w:rsidRPr="00A01837" w:rsidRDefault="002C720E" w:rsidP="00A01837">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6"/>
        <w:gridCol w:w="6941"/>
      </w:tblGrid>
      <w:tr w:rsidR="00D466D6" w:rsidRPr="00A01837" w14:paraId="190540AB" w14:textId="77777777" w:rsidTr="00D46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4A0A259" w14:textId="77777777" w:rsidR="00D466D6" w:rsidRPr="00A01837" w:rsidRDefault="00D466D6" w:rsidP="00A01837">
            <w:pPr>
              <w:spacing w:line="360" w:lineRule="auto"/>
              <w:rPr>
                <w:rFonts w:ascii="Palatino Linotype" w:hAnsi="Palatino Linotype"/>
                <w:bCs w:val="0"/>
                <w:sz w:val="24"/>
                <w:szCs w:val="24"/>
              </w:rPr>
            </w:pPr>
            <w:r w:rsidRPr="00A01837">
              <w:rPr>
                <w:rFonts w:ascii="Palatino Linotype" w:hAnsi="Palatino Linotype" w:cstheme="majorBidi"/>
                <w:bCs w:val="0"/>
                <w:sz w:val="24"/>
                <w:szCs w:val="24"/>
              </w:rPr>
              <w:t>a) Requisitos previos.</w:t>
            </w:r>
          </w:p>
        </w:tc>
        <w:tc>
          <w:tcPr>
            <w:tcW w:w="6990" w:type="dxa"/>
            <w:hideMark/>
          </w:tcPr>
          <w:p w14:paraId="61810FDD" w14:textId="77777777" w:rsidR="00D466D6" w:rsidRPr="00A01837" w:rsidRDefault="00D466D6" w:rsidP="00A0183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A01837">
              <w:rPr>
                <w:rFonts w:ascii="Palatino Linotype" w:eastAsia="Times New Roman"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F4A81D4" w14:textId="77777777" w:rsidR="00D466D6" w:rsidRPr="00A01837" w:rsidRDefault="00D466D6" w:rsidP="00A0183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A01837">
              <w:rPr>
                <w:rFonts w:ascii="Palatino Linotype" w:eastAsia="Times New Roman" w:hAnsi="Palatino Linotype" w:cs="Arial"/>
                <w:b w:val="0"/>
                <w:bCs w:val="0"/>
                <w:color w:val="000000"/>
                <w:sz w:val="24"/>
                <w:szCs w:val="24"/>
              </w:rPr>
              <w:t>Al hacerlo tienen que precisar de qué información se trata, señalando el supuesto de clasificación (confidencialidad o reserva).</w:t>
            </w:r>
          </w:p>
          <w:p w14:paraId="5863751C" w14:textId="77777777" w:rsidR="00D466D6" w:rsidRPr="00A01837" w:rsidRDefault="00D466D6" w:rsidP="00A0183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A01837">
              <w:rPr>
                <w:rFonts w:ascii="Palatino Linotype" w:eastAsia="Times New Roman" w:hAnsi="Palatino Linotype" w:cs="Arial"/>
                <w:b w:val="0"/>
                <w:bCs w:val="0"/>
                <w:color w:val="000000"/>
                <w:sz w:val="24"/>
                <w:szCs w:val="24"/>
              </w:rPr>
              <w:t>Además, se debe señalar el procedimiento, de los tres que establecen los artículos 132 y 106 de la Ley Estatal y General, respectivamente.</w:t>
            </w:r>
          </w:p>
          <w:p w14:paraId="7A909DDE" w14:textId="77777777" w:rsidR="00D466D6" w:rsidRPr="00A01837" w:rsidRDefault="00D466D6" w:rsidP="00A0183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A01837">
              <w:rPr>
                <w:rFonts w:ascii="Palatino Linotype" w:eastAsia="Times New Roman" w:hAnsi="Palatino Linotype" w:cs="Arial"/>
                <w:b w:val="0"/>
                <w:bCs w:val="0"/>
                <w:color w:val="000000"/>
                <w:sz w:val="24"/>
                <w:szCs w:val="24"/>
              </w:rPr>
              <w:t xml:space="preserve">El último de estos requisitos previos consiste en que no se pueden emitir acuerdos de carácter general ni particular, esto es, </w:t>
            </w:r>
            <w:r w:rsidRPr="00A01837">
              <w:rPr>
                <w:rFonts w:ascii="Palatino Linotype" w:eastAsia="Times New Roman" w:hAnsi="Palatino Linotype" w:cs="Arial"/>
                <w:b w:val="0"/>
                <w:bCs w:val="0"/>
                <w:color w:val="000000"/>
                <w:sz w:val="24"/>
                <w:szCs w:val="24"/>
                <w:u w:val="single"/>
              </w:rPr>
              <w:t>no se puede hacer un acuerdo para clasificar de manera general todos los documentos de un expediente o área, sin</w:t>
            </w:r>
            <w:r w:rsidRPr="00A01837">
              <w:rPr>
                <w:rFonts w:ascii="Palatino Linotype" w:eastAsia="Times New Roman"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D466D6" w:rsidRPr="00A01837" w14:paraId="4D7FAB50" w14:textId="77777777" w:rsidTr="00D4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98E8CB3" w14:textId="77777777" w:rsidR="00D466D6" w:rsidRPr="00A01837" w:rsidRDefault="00D466D6" w:rsidP="00A01837">
            <w:pPr>
              <w:spacing w:line="360" w:lineRule="auto"/>
              <w:rPr>
                <w:rFonts w:ascii="Palatino Linotype" w:hAnsi="Palatino Linotype"/>
                <w:bCs w:val="0"/>
                <w:sz w:val="24"/>
                <w:szCs w:val="24"/>
              </w:rPr>
            </w:pPr>
            <w:r w:rsidRPr="00A01837">
              <w:rPr>
                <w:rFonts w:ascii="Palatino Linotype" w:hAnsi="Palatino Linotype" w:cstheme="majorBidi"/>
                <w:bCs w:val="0"/>
                <w:sz w:val="24"/>
                <w:szCs w:val="24"/>
              </w:rPr>
              <w:t>b) Supuestos de clasificación.</w:t>
            </w:r>
          </w:p>
        </w:tc>
        <w:tc>
          <w:tcPr>
            <w:tcW w:w="6990" w:type="dxa"/>
            <w:hideMark/>
          </w:tcPr>
          <w:p w14:paraId="6CB8B226" w14:textId="77777777" w:rsidR="00D466D6" w:rsidRPr="00A01837" w:rsidRDefault="00D466D6" w:rsidP="00A0183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14:paraId="04975737" w14:textId="77777777" w:rsidR="00D466D6" w:rsidRPr="00A01837" w:rsidRDefault="00D466D6" w:rsidP="00A0183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F992C0" w14:textId="77777777" w:rsidR="00D466D6" w:rsidRPr="00A01837" w:rsidRDefault="00D466D6" w:rsidP="00A0183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A01837">
              <w:rPr>
                <w:rFonts w:ascii="Palatino Linotype" w:eastAsia="Times New Roman" w:hAnsi="Palatino Linotype" w:cs="Arial"/>
                <w:color w:val="000000"/>
                <w:sz w:val="24"/>
                <w:szCs w:val="24"/>
              </w:rPr>
              <w:t xml:space="preserve">El </w:t>
            </w:r>
            <w:r w:rsidRPr="00A01837">
              <w:rPr>
                <w:rFonts w:ascii="Palatino Linotype" w:eastAsia="Times New Roman" w:hAnsi="Palatino Linotype" w:cs="Arial"/>
                <w:b/>
                <w:color w:val="000000"/>
                <w:sz w:val="24"/>
                <w:szCs w:val="24"/>
              </w:rPr>
              <w:t>Sujeto Obligado</w:t>
            </w:r>
            <w:r w:rsidRPr="00A01837">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466D6" w:rsidRPr="00A01837" w14:paraId="79E8DCA4" w14:textId="77777777" w:rsidTr="00D466D6">
        <w:tc>
          <w:tcPr>
            <w:cnfStyle w:val="001000000000" w:firstRow="0" w:lastRow="0" w:firstColumn="1" w:lastColumn="0" w:oddVBand="0" w:evenVBand="0" w:oddHBand="0" w:evenHBand="0" w:firstRowFirstColumn="0" w:firstRowLastColumn="0" w:lastRowFirstColumn="0" w:lastRowLastColumn="0"/>
            <w:tcW w:w="1838" w:type="dxa"/>
            <w:hideMark/>
          </w:tcPr>
          <w:p w14:paraId="35DBF48E" w14:textId="77777777" w:rsidR="00D466D6" w:rsidRPr="00A01837" w:rsidRDefault="00D466D6" w:rsidP="00A01837">
            <w:pPr>
              <w:spacing w:line="360" w:lineRule="auto"/>
              <w:rPr>
                <w:rFonts w:ascii="Palatino Linotype" w:hAnsi="Palatino Linotype"/>
                <w:bCs w:val="0"/>
                <w:sz w:val="24"/>
                <w:szCs w:val="24"/>
              </w:rPr>
            </w:pPr>
            <w:r w:rsidRPr="00A01837">
              <w:rPr>
                <w:rFonts w:ascii="Palatino Linotype" w:hAnsi="Palatino Linotype" w:cstheme="majorBidi"/>
                <w:bCs w:val="0"/>
                <w:sz w:val="24"/>
                <w:szCs w:val="24"/>
              </w:rPr>
              <w:t>c) Formalidades para emitir el acuerdo de clasificación.</w:t>
            </w:r>
          </w:p>
        </w:tc>
        <w:tc>
          <w:tcPr>
            <w:tcW w:w="6990" w:type="dxa"/>
            <w:hideMark/>
          </w:tcPr>
          <w:p w14:paraId="5241B2EB" w14:textId="77777777" w:rsidR="00D466D6" w:rsidRPr="00A01837" w:rsidRDefault="00D466D6" w:rsidP="00A0183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3D79B837" w14:textId="77777777" w:rsidR="00D466D6" w:rsidRPr="00A01837" w:rsidRDefault="00D466D6" w:rsidP="00A0183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 xml:space="preserve">Es necesario que </w:t>
            </w:r>
            <w:r w:rsidRPr="00A01837">
              <w:rPr>
                <w:rFonts w:ascii="Palatino Linotype" w:eastAsia="Times New Roman" w:hAnsi="Palatino Linotype" w:cs="Arial"/>
                <w:b/>
                <w:color w:val="000000"/>
                <w:sz w:val="24"/>
                <w:szCs w:val="24"/>
                <w:u w:val="single"/>
              </w:rPr>
              <w:t>el acto reúna con los requisitos elementales</w:t>
            </w:r>
            <w:r w:rsidRPr="00A01837">
              <w:rPr>
                <w:rFonts w:ascii="Palatino Linotype" w:eastAsia="Times New Roman" w:hAnsi="Palatino Linotype" w:cs="Arial"/>
                <w:color w:val="000000"/>
                <w:sz w:val="24"/>
                <w:szCs w:val="24"/>
              </w:rPr>
              <w:t>, entre ellos, que la autoridad que va a emitir el acto de autoridad sea la legalmente facultada para ello.</w:t>
            </w:r>
          </w:p>
          <w:p w14:paraId="019CDD77" w14:textId="77777777" w:rsidR="00D466D6" w:rsidRPr="00A01837" w:rsidRDefault="00D466D6" w:rsidP="00A0183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1837">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466D6" w:rsidRPr="00A01837" w14:paraId="0377B254" w14:textId="77777777" w:rsidTr="00D4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658B8B" w14:textId="77777777" w:rsidR="00D466D6" w:rsidRPr="00A01837" w:rsidRDefault="00D466D6" w:rsidP="00A01837">
            <w:pPr>
              <w:spacing w:line="360" w:lineRule="auto"/>
              <w:rPr>
                <w:rFonts w:ascii="Palatino Linotype" w:hAnsi="Palatino Linotype"/>
                <w:b w:val="0"/>
                <w:sz w:val="24"/>
                <w:szCs w:val="24"/>
              </w:rPr>
            </w:pPr>
          </w:p>
          <w:p w14:paraId="53A74490" w14:textId="77777777" w:rsidR="00D466D6" w:rsidRPr="00A01837" w:rsidRDefault="00D466D6" w:rsidP="00A01837">
            <w:pPr>
              <w:spacing w:line="360" w:lineRule="auto"/>
              <w:jc w:val="both"/>
              <w:rPr>
                <w:rFonts w:ascii="Palatino Linotype" w:hAnsi="Palatino Linotype"/>
                <w:bCs w:val="0"/>
                <w:sz w:val="24"/>
                <w:szCs w:val="24"/>
              </w:rPr>
            </w:pPr>
            <w:r w:rsidRPr="00A01837">
              <w:rPr>
                <w:rFonts w:ascii="Palatino Linotype" w:eastAsia="Times New Roman" w:hAnsi="Palatino Linotype" w:cs="Arial"/>
                <w:bCs w:val="0"/>
                <w:color w:val="000000"/>
                <w:sz w:val="24"/>
                <w:szCs w:val="24"/>
              </w:rPr>
              <w:t xml:space="preserve">d) Requisitos de fondo del acuerdo de clasificación. </w:t>
            </w:r>
          </w:p>
        </w:tc>
        <w:tc>
          <w:tcPr>
            <w:tcW w:w="6990" w:type="dxa"/>
            <w:hideMark/>
          </w:tcPr>
          <w:p w14:paraId="52FE25E6" w14:textId="77777777" w:rsidR="00D466D6" w:rsidRPr="00A01837" w:rsidRDefault="00D466D6" w:rsidP="00A0183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01837">
              <w:rPr>
                <w:rFonts w:ascii="Palatino Linotype" w:eastAsia="Times New Roman" w:hAnsi="Palatino Linotype" w:cs="Arial"/>
                <w:b/>
                <w:color w:val="000000"/>
                <w:sz w:val="24"/>
                <w:szCs w:val="24"/>
              </w:rPr>
              <w:t>Sujetos Obligados</w:t>
            </w:r>
            <w:r w:rsidRPr="00A01837">
              <w:rPr>
                <w:rFonts w:ascii="Palatino Linotype" w:eastAsia="Times New Roman" w:hAnsi="Palatino Linotype" w:cs="Arial"/>
                <w:color w:val="000000"/>
                <w:sz w:val="24"/>
                <w:szCs w:val="24"/>
              </w:rPr>
              <w:t xml:space="preserve">, por lo que deberán fundar y motivar debidamente la clasificación. </w:t>
            </w:r>
          </w:p>
          <w:p w14:paraId="7B00BD5F" w14:textId="77777777" w:rsidR="00D466D6" w:rsidRPr="00A01837" w:rsidRDefault="00D466D6" w:rsidP="00A0183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 xml:space="preserve">De lo anterior, se desprende que para una correcta </w:t>
            </w:r>
            <w:r w:rsidRPr="00A01837">
              <w:rPr>
                <w:rFonts w:ascii="Palatino Linotype" w:eastAsia="Times New Roman" w:hAnsi="Palatino Linotype" w:cs="Arial"/>
                <w:b/>
                <w:color w:val="000000"/>
                <w:sz w:val="24"/>
                <w:szCs w:val="24"/>
              </w:rPr>
              <w:t>clasificación total o parcial</w:t>
            </w:r>
            <w:r w:rsidRPr="00A01837">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66DD707" w14:textId="77777777" w:rsidR="00D466D6" w:rsidRPr="00A01837" w:rsidRDefault="00D466D6" w:rsidP="00A0183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EDF0894" w14:textId="77777777" w:rsidR="00D466D6" w:rsidRPr="00A01837" w:rsidRDefault="00D466D6" w:rsidP="00A0183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D58D1DB" w14:textId="77777777" w:rsidR="00D466D6" w:rsidRPr="00A01837" w:rsidRDefault="00D466D6" w:rsidP="00A0183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 xml:space="preserve">Ahora bien, </w:t>
            </w:r>
            <w:r w:rsidRPr="00A01837">
              <w:rPr>
                <w:rFonts w:ascii="Palatino Linotype" w:eastAsia="Times New Roman" w:hAnsi="Palatino Linotype" w:cs="Arial"/>
                <w:b/>
                <w:color w:val="000000"/>
                <w:sz w:val="24"/>
                <w:szCs w:val="24"/>
                <w:u w:val="single"/>
              </w:rPr>
              <w:t>para cada caso además de fundar y motivar</w:t>
            </w:r>
            <w:r w:rsidRPr="00A01837">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A01837">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466D6" w:rsidRPr="00A01837" w14:paraId="432A386F" w14:textId="77777777" w:rsidTr="00D466D6">
        <w:tc>
          <w:tcPr>
            <w:cnfStyle w:val="001000000000" w:firstRow="0" w:lastRow="0" w:firstColumn="1" w:lastColumn="0" w:oddVBand="0" w:evenVBand="0" w:oddHBand="0" w:evenHBand="0" w:firstRowFirstColumn="0" w:firstRowLastColumn="0" w:lastRowFirstColumn="0" w:lastRowLastColumn="0"/>
            <w:tcW w:w="1838" w:type="dxa"/>
          </w:tcPr>
          <w:p w14:paraId="2200E60F" w14:textId="77777777" w:rsidR="00D466D6" w:rsidRPr="00A01837" w:rsidRDefault="00D466D6" w:rsidP="00A01837">
            <w:pPr>
              <w:spacing w:line="360" w:lineRule="auto"/>
              <w:ind w:right="49"/>
              <w:jc w:val="both"/>
              <w:rPr>
                <w:rFonts w:ascii="Palatino Linotype" w:eastAsia="Times New Roman" w:hAnsi="Palatino Linotype" w:cs="Arial"/>
                <w:bCs w:val="0"/>
                <w:sz w:val="24"/>
                <w:szCs w:val="24"/>
              </w:rPr>
            </w:pPr>
            <w:r w:rsidRPr="00A01837">
              <w:rPr>
                <w:rFonts w:ascii="Palatino Linotype" w:eastAsia="MS Gothic" w:hAnsi="Palatino Linotype" w:cs="Times New Roman"/>
                <w:b w:val="0"/>
                <w:sz w:val="24"/>
                <w:szCs w:val="24"/>
              </w:rPr>
              <w:t>e</w:t>
            </w:r>
            <w:r w:rsidRPr="00A01837">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17868101" w14:textId="77777777" w:rsidR="00D466D6" w:rsidRPr="00A01837" w:rsidRDefault="00D466D6" w:rsidP="00A0183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1E0FB5A4" w14:textId="77777777" w:rsidR="00D466D6" w:rsidRPr="00A01837" w:rsidRDefault="00D466D6" w:rsidP="00A0183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A01837">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BB829D8" w14:textId="77777777" w:rsidR="00D466D6" w:rsidRPr="00A01837" w:rsidRDefault="00D466D6" w:rsidP="00A01837">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1837">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167C3D2" w14:textId="77777777" w:rsidR="00D466D6" w:rsidRPr="00A01837" w:rsidRDefault="00D466D6" w:rsidP="00A01837">
      <w:pPr>
        <w:pStyle w:val="Prrafodelista"/>
        <w:spacing w:line="360" w:lineRule="auto"/>
        <w:ind w:left="0"/>
        <w:jc w:val="both"/>
        <w:rPr>
          <w:rFonts w:ascii="Palatino Linotype" w:eastAsia="Calibri" w:hAnsi="Palatino Linotype" w:cs="Arial"/>
        </w:rPr>
      </w:pPr>
    </w:p>
    <w:p w14:paraId="367E245C" w14:textId="214A5706" w:rsidR="000D13EA" w:rsidRPr="00A01837" w:rsidRDefault="00554657" w:rsidP="00A01837">
      <w:pPr>
        <w:numPr>
          <w:ilvl w:val="0"/>
          <w:numId w:val="1"/>
        </w:numPr>
        <w:spacing w:line="360" w:lineRule="auto"/>
        <w:ind w:left="0" w:firstLine="0"/>
        <w:contextualSpacing/>
        <w:jc w:val="both"/>
        <w:rPr>
          <w:rFonts w:ascii="Palatino Linotype" w:eastAsia="MS Mincho" w:hAnsi="Palatino Linotype" w:cs="Arial"/>
          <w:i/>
        </w:rPr>
      </w:pPr>
      <w:r w:rsidRPr="00A01837">
        <w:rPr>
          <w:rFonts w:ascii="Palatino Linotype" w:eastAsia="MS Mincho" w:hAnsi="Palatino Linotype" w:cstheme="majorBidi"/>
        </w:rPr>
        <w:t xml:space="preserve">Por lo anteriormente expuesto y fundado este </w:t>
      </w:r>
      <w:r w:rsidRPr="00A01837">
        <w:rPr>
          <w:rFonts w:ascii="Palatino Linotype" w:eastAsia="MS Mincho" w:hAnsi="Palatino Linotype" w:cstheme="majorBidi"/>
          <w:b/>
        </w:rPr>
        <w:t>ÓRGANO GARANTE</w:t>
      </w:r>
      <w:r w:rsidRPr="00A01837">
        <w:rPr>
          <w:rFonts w:ascii="Palatino Linotype" w:eastAsia="MS Mincho" w:hAnsi="Palatino Linotype" w:cstheme="majorBidi"/>
        </w:rPr>
        <w:t xml:space="preserve"> emite los siguientes.</w:t>
      </w:r>
    </w:p>
    <w:p w14:paraId="3293235E" w14:textId="77777777" w:rsidR="00D466D6" w:rsidRDefault="00D466D6" w:rsidP="00A01837">
      <w:pPr>
        <w:pStyle w:val="Prrafodelista"/>
        <w:spacing w:line="360" w:lineRule="auto"/>
        <w:ind w:left="0"/>
        <w:jc w:val="both"/>
        <w:rPr>
          <w:rFonts w:ascii="Palatino Linotype" w:hAnsi="Palatino Linotype"/>
        </w:rPr>
      </w:pPr>
    </w:p>
    <w:p w14:paraId="206C4FD8" w14:textId="77777777" w:rsidR="002C720E" w:rsidRDefault="002C720E" w:rsidP="00A01837">
      <w:pPr>
        <w:pStyle w:val="Prrafodelista"/>
        <w:spacing w:line="360" w:lineRule="auto"/>
        <w:ind w:left="0"/>
        <w:jc w:val="both"/>
        <w:rPr>
          <w:rFonts w:ascii="Palatino Linotype" w:hAnsi="Palatino Linotype"/>
        </w:rPr>
      </w:pPr>
    </w:p>
    <w:p w14:paraId="763FE0C7" w14:textId="77777777" w:rsidR="002C720E" w:rsidRPr="00A01837" w:rsidRDefault="002C720E" w:rsidP="00A01837">
      <w:pPr>
        <w:pStyle w:val="Prrafodelista"/>
        <w:spacing w:line="360" w:lineRule="auto"/>
        <w:ind w:left="0"/>
        <w:jc w:val="both"/>
        <w:rPr>
          <w:rFonts w:ascii="Palatino Linotype" w:hAnsi="Palatino Linotype"/>
        </w:rPr>
      </w:pPr>
    </w:p>
    <w:p w14:paraId="4CACADBA" w14:textId="5A2E0833" w:rsidR="008A59AC" w:rsidRPr="00A01837" w:rsidRDefault="008A59AC" w:rsidP="00A01837">
      <w:pPr>
        <w:pStyle w:val="Ttulo1"/>
        <w:spacing w:before="0" w:line="360" w:lineRule="auto"/>
        <w:jc w:val="center"/>
        <w:rPr>
          <w:b/>
          <w:color w:val="000000" w:themeColor="text1"/>
          <w:szCs w:val="24"/>
        </w:rPr>
      </w:pPr>
      <w:bookmarkStart w:id="97" w:name="_Toc466371865"/>
      <w:bookmarkStart w:id="98" w:name="_Toc466377653"/>
      <w:bookmarkStart w:id="99" w:name="_Toc495427547"/>
      <w:bookmarkStart w:id="100" w:name="_Toc535405813"/>
      <w:bookmarkStart w:id="101" w:name="_Toc21026229"/>
      <w:r w:rsidRPr="00A01837">
        <w:rPr>
          <w:b/>
          <w:color w:val="000000" w:themeColor="text1"/>
          <w:szCs w:val="24"/>
        </w:rPr>
        <w:t>R E S O L U T I V O S</w:t>
      </w:r>
      <w:bookmarkEnd w:id="97"/>
      <w:bookmarkEnd w:id="98"/>
      <w:bookmarkEnd w:id="99"/>
      <w:bookmarkEnd w:id="100"/>
      <w:bookmarkEnd w:id="101"/>
    </w:p>
    <w:p w14:paraId="395071DC" w14:textId="77777777" w:rsidR="000D13EA" w:rsidRPr="00A01837" w:rsidRDefault="000D13EA" w:rsidP="00A01837">
      <w:pPr>
        <w:spacing w:line="360" w:lineRule="auto"/>
        <w:rPr>
          <w:rFonts w:ascii="Palatino Linotype" w:hAnsi="Palatino Linotype"/>
          <w:lang w:val="es-MX" w:eastAsia="en-US"/>
        </w:rPr>
      </w:pPr>
    </w:p>
    <w:p w14:paraId="0E06C2C9" w14:textId="4A954B4A" w:rsidR="00C55E9B" w:rsidRPr="00A01837" w:rsidRDefault="00C55E9B" w:rsidP="00A01837">
      <w:pPr>
        <w:spacing w:line="360" w:lineRule="auto"/>
        <w:jc w:val="both"/>
        <w:rPr>
          <w:rFonts w:ascii="Palatino Linotype" w:hAnsi="Palatino Linotype" w:cs="Arial"/>
          <w:bCs/>
        </w:rPr>
      </w:pPr>
      <w:r w:rsidRPr="00A01837">
        <w:rPr>
          <w:rFonts w:ascii="Palatino Linotype" w:eastAsia="Times New Roman" w:hAnsi="Palatino Linotype" w:cs="Arial"/>
          <w:b/>
        </w:rPr>
        <w:t xml:space="preserve">PRIMERO. </w:t>
      </w:r>
      <w:r w:rsidRPr="00A01837">
        <w:rPr>
          <w:rFonts w:ascii="Palatino Linotype" w:eastAsia="Times New Roman" w:hAnsi="Palatino Linotype" w:cs="Arial"/>
        </w:rPr>
        <w:t xml:space="preserve">Resultan </w:t>
      </w:r>
      <w:r w:rsidR="005D4114" w:rsidRPr="00A01837">
        <w:rPr>
          <w:rFonts w:ascii="Palatino Linotype" w:eastAsia="Times New Roman" w:hAnsi="Palatino Linotype" w:cs="Arial"/>
        </w:rPr>
        <w:t>parcialmente fundadas</w:t>
      </w:r>
      <w:r w:rsidRPr="00A01837">
        <w:rPr>
          <w:rFonts w:ascii="Palatino Linotype" w:eastAsia="Times New Roman" w:hAnsi="Palatino Linotype" w:cs="Arial"/>
        </w:rPr>
        <w:t xml:space="preserve"> las</w:t>
      </w:r>
      <w:r w:rsidRPr="00A01837">
        <w:rPr>
          <w:rFonts w:ascii="Palatino Linotype" w:eastAsia="Times New Roman" w:hAnsi="Palatino Linotype" w:cs="Arial"/>
          <w:b/>
        </w:rPr>
        <w:t xml:space="preserve"> </w:t>
      </w:r>
      <w:r w:rsidRPr="00A01837">
        <w:rPr>
          <w:rFonts w:ascii="Palatino Linotype" w:eastAsia="Times New Roman" w:hAnsi="Palatino Linotype" w:cs="Arial"/>
          <w:lang w:val="es-ES"/>
        </w:rPr>
        <w:t xml:space="preserve">razones o motivos de inconformidad hechos valer </w:t>
      </w:r>
      <w:r w:rsidRPr="00A01837">
        <w:rPr>
          <w:rFonts w:ascii="Palatino Linotype" w:eastAsia="Calibri" w:hAnsi="Palatino Linotype" w:cs="Arial"/>
          <w:lang w:val="es-ES"/>
        </w:rPr>
        <w:t xml:space="preserve">en el recurso de revisión </w:t>
      </w:r>
      <w:r w:rsidR="00CA1C81" w:rsidRPr="00A01837">
        <w:rPr>
          <w:rFonts w:ascii="Palatino Linotype" w:hAnsi="Palatino Linotype" w:cs="Arial"/>
          <w:b/>
          <w:bCs/>
        </w:rPr>
        <w:t>0</w:t>
      </w:r>
      <w:r w:rsidR="005D4114" w:rsidRPr="00A01837">
        <w:rPr>
          <w:rFonts w:ascii="Palatino Linotype" w:hAnsi="Palatino Linotype" w:cs="Arial"/>
          <w:b/>
          <w:bCs/>
        </w:rPr>
        <w:t>6488</w:t>
      </w:r>
      <w:r w:rsidR="00CA1C81" w:rsidRPr="00A01837">
        <w:rPr>
          <w:rFonts w:ascii="Palatino Linotype" w:hAnsi="Palatino Linotype" w:cs="Arial"/>
          <w:b/>
          <w:bCs/>
        </w:rPr>
        <w:t>/INFOEM/IP/RR/2019</w:t>
      </w:r>
      <w:r w:rsidRPr="00A01837">
        <w:rPr>
          <w:rFonts w:ascii="Palatino Linotype" w:hAnsi="Palatino Linotype" w:cs="Arial"/>
          <w:b/>
          <w:bCs/>
        </w:rPr>
        <w:t xml:space="preserve">, </w:t>
      </w:r>
      <w:r w:rsidRPr="00A01837">
        <w:rPr>
          <w:rFonts w:ascii="Palatino Linotype" w:hAnsi="Palatino Linotype" w:cs="Arial"/>
          <w:bCs/>
        </w:rPr>
        <w:t>en términos de</w:t>
      </w:r>
      <w:r w:rsidR="005D4114" w:rsidRPr="00A01837">
        <w:rPr>
          <w:rFonts w:ascii="Palatino Linotype" w:hAnsi="Palatino Linotype" w:cs="Arial"/>
          <w:bCs/>
        </w:rPr>
        <w:t xml:space="preserve"> </w:t>
      </w:r>
      <w:r w:rsidRPr="00A01837">
        <w:rPr>
          <w:rFonts w:ascii="Palatino Linotype" w:hAnsi="Palatino Linotype" w:cs="Arial"/>
          <w:bCs/>
        </w:rPr>
        <w:t>l</w:t>
      </w:r>
      <w:r w:rsidR="005D4114" w:rsidRPr="00A01837">
        <w:rPr>
          <w:rFonts w:ascii="Palatino Linotype" w:hAnsi="Palatino Linotype" w:cs="Arial"/>
          <w:bCs/>
        </w:rPr>
        <w:t>os</w:t>
      </w:r>
      <w:r w:rsidRPr="00A01837">
        <w:rPr>
          <w:rFonts w:ascii="Palatino Linotype" w:hAnsi="Palatino Linotype" w:cs="Arial"/>
          <w:bCs/>
        </w:rPr>
        <w:t xml:space="preserve"> </w:t>
      </w:r>
      <w:r w:rsidRPr="00A01837">
        <w:rPr>
          <w:rFonts w:ascii="Palatino Linotype" w:hAnsi="Palatino Linotype" w:cs="Arial"/>
          <w:b/>
          <w:bCs/>
        </w:rPr>
        <w:t>Considerando</w:t>
      </w:r>
      <w:r w:rsidR="005D4114" w:rsidRPr="00A01837">
        <w:rPr>
          <w:rFonts w:ascii="Palatino Linotype" w:hAnsi="Palatino Linotype" w:cs="Arial"/>
          <w:b/>
          <w:bCs/>
        </w:rPr>
        <w:t>s</w:t>
      </w:r>
      <w:r w:rsidRPr="00A01837">
        <w:rPr>
          <w:rFonts w:ascii="Palatino Linotype" w:hAnsi="Palatino Linotype" w:cs="Arial"/>
          <w:bCs/>
        </w:rPr>
        <w:t xml:space="preserve"> </w:t>
      </w:r>
      <w:r w:rsidRPr="00A01837">
        <w:rPr>
          <w:rFonts w:ascii="Palatino Linotype" w:hAnsi="Palatino Linotype" w:cs="Arial"/>
          <w:b/>
          <w:bCs/>
        </w:rPr>
        <w:t>CUARTO</w:t>
      </w:r>
      <w:r w:rsidRPr="00A01837">
        <w:rPr>
          <w:rFonts w:ascii="Palatino Linotype" w:hAnsi="Palatino Linotype" w:cs="Arial"/>
          <w:bCs/>
        </w:rPr>
        <w:t xml:space="preserve"> </w:t>
      </w:r>
      <w:r w:rsidR="005D4114" w:rsidRPr="00A01837">
        <w:rPr>
          <w:rFonts w:ascii="Palatino Linotype" w:hAnsi="Palatino Linotype" w:cs="Arial"/>
          <w:b/>
        </w:rPr>
        <w:t xml:space="preserve">y QUINTO </w:t>
      </w:r>
      <w:r w:rsidRPr="00A01837">
        <w:rPr>
          <w:rFonts w:ascii="Palatino Linotype" w:hAnsi="Palatino Linotype" w:cs="Arial"/>
          <w:bCs/>
        </w:rPr>
        <w:t>de la presente resolución.</w:t>
      </w:r>
    </w:p>
    <w:p w14:paraId="2B5B9A79" w14:textId="77777777" w:rsidR="002F5CC5" w:rsidRPr="00A01837" w:rsidRDefault="002F5CC5" w:rsidP="00A01837">
      <w:pPr>
        <w:spacing w:line="360" w:lineRule="auto"/>
        <w:jc w:val="both"/>
        <w:rPr>
          <w:rFonts w:ascii="Palatino Linotype" w:eastAsia="Times New Roman" w:hAnsi="Palatino Linotype" w:cs="Times New Roman"/>
        </w:rPr>
      </w:pPr>
    </w:p>
    <w:p w14:paraId="2AB9A641" w14:textId="4500AAF9" w:rsidR="005D4114" w:rsidRPr="00A01837" w:rsidRDefault="005D4114" w:rsidP="00A01837">
      <w:pPr>
        <w:spacing w:line="360" w:lineRule="auto"/>
        <w:contextualSpacing/>
        <w:jc w:val="both"/>
        <w:rPr>
          <w:rFonts w:ascii="Palatino Linotype" w:eastAsia="Times New Roman" w:hAnsi="Palatino Linotype" w:cs="Arial"/>
          <w:color w:val="000000"/>
        </w:rPr>
      </w:pPr>
      <w:r w:rsidRPr="00A01837">
        <w:rPr>
          <w:rFonts w:ascii="Palatino Linotype" w:eastAsia="Calibri" w:hAnsi="Palatino Linotype" w:cs="Arial"/>
          <w:b/>
          <w:bCs/>
          <w:lang w:val="es-ES"/>
        </w:rPr>
        <w:t xml:space="preserve">SEGUNDO. </w:t>
      </w:r>
      <w:r w:rsidRPr="00A01837">
        <w:rPr>
          <w:rFonts w:ascii="Palatino Linotype" w:eastAsia="Calibri" w:hAnsi="Palatino Linotype" w:cs="Arial"/>
          <w:lang w:val="es-ES"/>
        </w:rPr>
        <w:t xml:space="preserve">Se </w:t>
      </w:r>
      <w:r w:rsidR="00A97C63" w:rsidRPr="00A01837">
        <w:rPr>
          <w:rFonts w:ascii="Palatino Linotype" w:eastAsia="Calibri" w:hAnsi="Palatino Linotype" w:cs="Arial"/>
          <w:b/>
          <w:lang w:val="es-ES"/>
        </w:rPr>
        <w:t>MODIFICA</w:t>
      </w:r>
      <w:r w:rsidRPr="00A01837">
        <w:rPr>
          <w:rFonts w:ascii="Palatino Linotype" w:eastAsia="Calibri" w:hAnsi="Palatino Linotype" w:cs="Arial"/>
          <w:lang w:val="es-ES"/>
        </w:rPr>
        <w:t xml:space="preserve"> la respuesta de la </w:t>
      </w:r>
      <w:r w:rsidRPr="00A01837">
        <w:rPr>
          <w:rFonts w:ascii="Palatino Linotype" w:eastAsia="Calibri" w:hAnsi="Palatino Linotype" w:cs="Arial"/>
          <w:b/>
        </w:rPr>
        <w:t xml:space="preserve">Secretaría de Finanzas </w:t>
      </w:r>
      <w:r w:rsidRPr="00A01837">
        <w:rPr>
          <w:rFonts w:ascii="Palatino Linotype" w:eastAsia="Calibri" w:hAnsi="Palatino Linotype" w:cs="Arial"/>
        </w:rPr>
        <w:t xml:space="preserve">y se </w:t>
      </w:r>
      <w:r w:rsidRPr="00A01837">
        <w:rPr>
          <w:rFonts w:ascii="Palatino Linotype" w:eastAsia="Calibri" w:hAnsi="Palatino Linotype" w:cs="Arial"/>
          <w:b/>
        </w:rPr>
        <w:t>ORDENA</w:t>
      </w:r>
      <w:r w:rsidRPr="00A01837">
        <w:rPr>
          <w:rFonts w:ascii="Palatino Linotype" w:eastAsia="Calibri" w:hAnsi="Palatino Linotype" w:cs="Arial"/>
          <w:bCs/>
          <w:lang w:val="es-ES"/>
        </w:rPr>
        <w:t xml:space="preserve"> </w:t>
      </w:r>
      <w:r w:rsidRPr="00A01837">
        <w:rPr>
          <w:rFonts w:ascii="Palatino Linotype" w:eastAsia="Calibri" w:hAnsi="Palatino Linotype" w:cs="Arial"/>
          <w:lang w:val="es-ES"/>
        </w:rPr>
        <w:t>entregar vía</w:t>
      </w:r>
      <w:r w:rsidRPr="00A01837">
        <w:rPr>
          <w:rFonts w:ascii="Palatino Linotype" w:eastAsia="Times New Roman" w:hAnsi="Palatino Linotype" w:cs="Arial"/>
          <w:color w:val="000000"/>
          <w:lang w:val="es-ES"/>
        </w:rPr>
        <w:t xml:space="preserve"> </w:t>
      </w:r>
      <w:r w:rsidRPr="00A01837">
        <w:rPr>
          <w:rFonts w:ascii="Palatino Linotype" w:eastAsia="Times New Roman" w:hAnsi="Palatino Linotype" w:cs="Arial"/>
          <w:color w:val="000000"/>
        </w:rPr>
        <w:t>Sistema de Acceso a Información Mexiquense (</w:t>
      </w:r>
      <w:bookmarkStart w:id="102" w:name="_Toc460947013"/>
      <w:r w:rsidRPr="00A01837">
        <w:rPr>
          <w:rFonts w:ascii="Palatino Linotype" w:eastAsia="Times New Roman" w:hAnsi="Palatino Linotype" w:cs="Arial"/>
          <w:color w:val="000000"/>
        </w:rPr>
        <w:t>SAIMEX), la siguiente información:</w:t>
      </w:r>
    </w:p>
    <w:p w14:paraId="2F2BD51F" w14:textId="77777777" w:rsidR="005D4114" w:rsidRPr="00A01837" w:rsidRDefault="005D4114" w:rsidP="00A01837">
      <w:pPr>
        <w:spacing w:line="360" w:lineRule="auto"/>
        <w:contextualSpacing/>
        <w:jc w:val="both"/>
        <w:rPr>
          <w:rFonts w:ascii="Palatino Linotype" w:eastAsia="Times New Roman" w:hAnsi="Palatino Linotype" w:cs="Arial"/>
          <w:color w:val="000000"/>
        </w:rPr>
      </w:pPr>
    </w:p>
    <w:p w14:paraId="4C1D9698" w14:textId="36052B24" w:rsidR="00361DBA" w:rsidRPr="00A01837" w:rsidRDefault="00361DBA" w:rsidP="00A01837">
      <w:pPr>
        <w:spacing w:line="360" w:lineRule="auto"/>
        <w:ind w:left="567" w:right="616"/>
        <w:jc w:val="both"/>
        <w:rPr>
          <w:rFonts w:ascii="Palatino Linotype" w:hAnsi="Palatino Linotype"/>
          <w:b/>
          <w:bCs/>
        </w:rPr>
      </w:pPr>
      <w:r w:rsidRPr="00A01837">
        <w:rPr>
          <w:rFonts w:ascii="Palatino Linotype" w:hAnsi="Palatino Linotype"/>
          <w:b/>
          <w:bCs/>
        </w:rPr>
        <w:t xml:space="preserve">a) </w:t>
      </w:r>
      <w:r w:rsidR="005D4114" w:rsidRPr="00A01837">
        <w:rPr>
          <w:rFonts w:ascii="Palatino Linotype" w:hAnsi="Palatino Linotype"/>
          <w:b/>
          <w:bCs/>
        </w:rPr>
        <w:t>Del Fondo de Aportaciones para la Seguridad Pública de los Estados y del Distrito Federal (FASP)</w:t>
      </w:r>
      <w:r w:rsidR="005734F6" w:rsidRPr="00A01837">
        <w:rPr>
          <w:rFonts w:ascii="Palatino Linotype" w:hAnsi="Palatino Linotype"/>
          <w:b/>
          <w:bCs/>
        </w:rPr>
        <w:t xml:space="preserve"> </w:t>
      </w:r>
      <w:r w:rsidR="005734F6" w:rsidRPr="00A01837">
        <w:rPr>
          <w:rFonts w:ascii="Palatino Linotype" w:hAnsi="Palatino Linotype"/>
          <w:b/>
          <w:bCs/>
          <w:u w:val="single"/>
        </w:rPr>
        <w:t>previa búsqueda exhaustiva y razonable, de ser el caso en versión pública,</w:t>
      </w:r>
      <w:r w:rsidR="005D4114" w:rsidRPr="00A01837">
        <w:rPr>
          <w:rFonts w:ascii="Palatino Linotype" w:hAnsi="Palatino Linotype"/>
          <w:b/>
          <w:bCs/>
        </w:rPr>
        <w:t xml:space="preserve"> del periodo relativo del uno (01) de enero del año dos mil quince al veintinueve (29) de julio del año dos mil diecinueve</w:t>
      </w:r>
      <w:r w:rsidR="005734F6" w:rsidRPr="00A01837">
        <w:rPr>
          <w:rFonts w:ascii="Palatino Linotype" w:hAnsi="Palatino Linotype"/>
          <w:b/>
          <w:bCs/>
        </w:rPr>
        <w:t>;</w:t>
      </w:r>
    </w:p>
    <w:p w14:paraId="45D3D4A3" w14:textId="77777777" w:rsidR="00361DBA" w:rsidRPr="00A01837" w:rsidRDefault="00361DBA" w:rsidP="00A01837">
      <w:pPr>
        <w:spacing w:line="360" w:lineRule="auto"/>
        <w:ind w:left="567" w:right="616"/>
        <w:jc w:val="both"/>
        <w:rPr>
          <w:rFonts w:ascii="Palatino Linotype" w:hAnsi="Palatino Linotype"/>
          <w:b/>
          <w:bCs/>
        </w:rPr>
      </w:pPr>
    </w:p>
    <w:p w14:paraId="643E6631" w14:textId="2DCFB9F3" w:rsidR="00361DBA" w:rsidRPr="00A01837" w:rsidRDefault="005D4114" w:rsidP="00A01837">
      <w:pPr>
        <w:pStyle w:val="Prrafodelista"/>
        <w:numPr>
          <w:ilvl w:val="1"/>
          <w:numId w:val="10"/>
        </w:numPr>
        <w:spacing w:line="360" w:lineRule="auto"/>
        <w:ind w:left="851" w:right="616"/>
        <w:jc w:val="both"/>
        <w:rPr>
          <w:rFonts w:ascii="Palatino Linotype" w:hAnsi="Palatino Linotype"/>
          <w:b/>
          <w:bCs/>
        </w:rPr>
      </w:pPr>
      <w:r w:rsidRPr="00A01837">
        <w:rPr>
          <w:rFonts w:ascii="Palatino Linotype" w:hAnsi="Palatino Linotype"/>
          <w:b/>
          <w:bCs/>
        </w:rPr>
        <w:t xml:space="preserve">Contratos, estudios de mercado, documentos donde conste la revisión de las bases realizada por la Contraloría Interna, así como las facturas de los bienes adquiridos. </w:t>
      </w:r>
    </w:p>
    <w:p w14:paraId="7AF66095" w14:textId="77777777" w:rsidR="00361DBA" w:rsidRPr="00A01837" w:rsidRDefault="005D4114" w:rsidP="00A01837">
      <w:pPr>
        <w:pStyle w:val="Prrafodelista"/>
        <w:numPr>
          <w:ilvl w:val="1"/>
          <w:numId w:val="10"/>
        </w:numPr>
        <w:spacing w:line="360" w:lineRule="auto"/>
        <w:ind w:left="851" w:right="616"/>
        <w:jc w:val="both"/>
        <w:rPr>
          <w:rFonts w:ascii="Palatino Linotype" w:hAnsi="Palatino Linotype"/>
          <w:b/>
          <w:bCs/>
        </w:rPr>
      </w:pPr>
      <w:r w:rsidRPr="00A01837">
        <w:rPr>
          <w:rFonts w:ascii="Palatino Linotype" w:hAnsi="Palatino Linotype"/>
          <w:b/>
          <w:bCs/>
        </w:rPr>
        <w:t xml:space="preserve">Documentos donde consten los reportes erogados donde se advierta cómo y en qué se destinó el gasto de los recursos recibidos. </w:t>
      </w:r>
    </w:p>
    <w:p w14:paraId="27671014" w14:textId="1BB65B4C" w:rsidR="00361DBA" w:rsidRPr="00A01837" w:rsidRDefault="005D4114" w:rsidP="00A01837">
      <w:pPr>
        <w:pStyle w:val="Prrafodelista"/>
        <w:numPr>
          <w:ilvl w:val="1"/>
          <w:numId w:val="10"/>
        </w:numPr>
        <w:spacing w:line="360" w:lineRule="auto"/>
        <w:ind w:left="851" w:right="616"/>
        <w:jc w:val="both"/>
        <w:rPr>
          <w:rFonts w:ascii="Palatino Linotype" w:hAnsi="Palatino Linotype"/>
          <w:b/>
          <w:bCs/>
        </w:rPr>
      </w:pPr>
      <w:r w:rsidRPr="00A01837">
        <w:rPr>
          <w:rFonts w:ascii="Palatino Linotype" w:hAnsi="Palatino Linotype"/>
          <w:b/>
          <w:bCs/>
        </w:rPr>
        <w:t xml:space="preserve">Todos los documentos remitidos por </w:t>
      </w:r>
      <w:r w:rsidR="00A97C63" w:rsidRPr="00A01837">
        <w:rPr>
          <w:rFonts w:ascii="Palatino Linotype" w:hAnsi="Palatino Linotype"/>
          <w:b/>
          <w:bCs/>
        </w:rPr>
        <w:t>el Estado de México, a través de la Secretaría de Finanzas</w:t>
      </w:r>
      <w:r w:rsidRPr="00A01837">
        <w:rPr>
          <w:rFonts w:ascii="Palatino Linotype" w:hAnsi="Palatino Linotype"/>
          <w:b/>
          <w:bCs/>
        </w:rPr>
        <w:t xml:space="preserve"> al Secretariado Ejecutivo del Sistema de Seguridad Pública.</w:t>
      </w:r>
    </w:p>
    <w:p w14:paraId="111B27B8" w14:textId="77777777" w:rsidR="00361DBA" w:rsidRPr="00A01837" w:rsidRDefault="005D4114" w:rsidP="00A01837">
      <w:pPr>
        <w:pStyle w:val="Prrafodelista"/>
        <w:numPr>
          <w:ilvl w:val="1"/>
          <w:numId w:val="10"/>
        </w:numPr>
        <w:spacing w:line="360" w:lineRule="auto"/>
        <w:ind w:left="851" w:right="616"/>
        <w:jc w:val="both"/>
        <w:rPr>
          <w:rFonts w:ascii="Palatino Linotype" w:hAnsi="Palatino Linotype"/>
          <w:b/>
          <w:bCs/>
        </w:rPr>
      </w:pPr>
      <w:r w:rsidRPr="00A01837">
        <w:rPr>
          <w:rFonts w:ascii="Palatino Linotype" w:hAnsi="Palatino Linotype"/>
          <w:b/>
          <w:bCs/>
        </w:rPr>
        <w:t xml:space="preserve">Documentos donde conste la revisión de bases y anexos técnicos de los bienes comprados. </w:t>
      </w:r>
    </w:p>
    <w:p w14:paraId="5348C57D" w14:textId="2BAC6E96" w:rsidR="005D4114" w:rsidRPr="00A01837" w:rsidRDefault="005D4114" w:rsidP="00A01837">
      <w:pPr>
        <w:pStyle w:val="Prrafodelista"/>
        <w:numPr>
          <w:ilvl w:val="1"/>
          <w:numId w:val="10"/>
        </w:numPr>
        <w:spacing w:line="360" w:lineRule="auto"/>
        <w:ind w:left="851" w:right="616"/>
        <w:jc w:val="both"/>
        <w:rPr>
          <w:rFonts w:ascii="Palatino Linotype" w:hAnsi="Palatino Linotype"/>
          <w:b/>
          <w:bCs/>
        </w:rPr>
      </w:pPr>
      <w:r w:rsidRPr="00A01837">
        <w:rPr>
          <w:rFonts w:ascii="Palatino Linotype" w:hAnsi="Palatino Linotype"/>
          <w:b/>
          <w:bCs/>
        </w:rPr>
        <w:t xml:space="preserve">Documentos donde consten las auditorías realizadas. </w:t>
      </w:r>
    </w:p>
    <w:p w14:paraId="55482CC9" w14:textId="1EB14101" w:rsidR="005D4114" w:rsidRPr="00A01837" w:rsidRDefault="005D4114" w:rsidP="00A01837">
      <w:pPr>
        <w:spacing w:line="360" w:lineRule="auto"/>
        <w:jc w:val="both"/>
        <w:rPr>
          <w:rFonts w:ascii="Palatino Linotype" w:eastAsia="Calibri" w:hAnsi="Palatino Linotype" w:cs="Arial"/>
          <w:lang w:val="es-ES"/>
        </w:rPr>
      </w:pPr>
    </w:p>
    <w:p w14:paraId="1117890D" w14:textId="5FF1E202" w:rsidR="00A97C63" w:rsidRPr="00A01837" w:rsidRDefault="00A97C63" w:rsidP="00A01837">
      <w:pPr>
        <w:pStyle w:val="Prrafodelista"/>
        <w:numPr>
          <w:ilvl w:val="0"/>
          <w:numId w:val="4"/>
        </w:numPr>
        <w:spacing w:line="360" w:lineRule="auto"/>
        <w:jc w:val="both"/>
        <w:rPr>
          <w:rFonts w:ascii="Palatino Linotype" w:eastAsia="Calibri" w:hAnsi="Palatino Linotype" w:cs="Arial"/>
          <w:lang w:val="es-ES"/>
        </w:rPr>
      </w:pPr>
      <w:r w:rsidRPr="00A01837">
        <w:rPr>
          <w:rFonts w:ascii="Palatino Linotype" w:hAnsi="Palatino Linotype"/>
          <w:b/>
          <w:bCs/>
        </w:rPr>
        <w:t>Del Programa de Fortalecimiento para la Seguridad (FORTASEG)</w:t>
      </w:r>
      <w:r w:rsidR="005734F6" w:rsidRPr="00A01837">
        <w:rPr>
          <w:rFonts w:ascii="Palatino Linotype" w:hAnsi="Palatino Linotype"/>
          <w:b/>
          <w:bCs/>
        </w:rPr>
        <w:t xml:space="preserve">; </w:t>
      </w:r>
    </w:p>
    <w:p w14:paraId="3E730C96" w14:textId="1F4D18EF" w:rsidR="00A97C63" w:rsidRPr="00A01837" w:rsidRDefault="00A97C63" w:rsidP="00A01837">
      <w:pPr>
        <w:pStyle w:val="Prrafodelista"/>
        <w:spacing w:line="360" w:lineRule="auto"/>
        <w:ind w:left="786"/>
        <w:jc w:val="both"/>
        <w:rPr>
          <w:rFonts w:ascii="Palatino Linotype" w:eastAsia="Calibri" w:hAnsi="Palatino Linotype" w:cs="Arial"/>
          <w:lang w:val="es-ES"/>
        </w:rPr>
      </w:pPr>
    </w:p>
    <w:p w14:paraId="1847D575" w14:textId="09DEF0D3" w:rsidR="00A97C63" w:rsidRPr="00A01837" w:rsidRDefault="00A97C63" w:rsidP="00A01837">
      <w:pPr>
        <w:pStyle w:val="Prrafodelista"/>
        <w:numPr>
          <w:ilvl w:val="0"/>
          <w:numId w:val="13"/>
        </w:numPr>
        <w:spacing w:before="240" w:after="240" w:line="360" w:lineRule="auto"/>
        <w:ind w:right="616" w:hanging="294"/>
        <w:jc w:val="both"/>
        <w:rPr>
          <w:rFonts w:ascii="Palatino Linotype" w:hAnsi="Palatino Linotype"/>
          <w:b/>
          <w:lang w:eastAsia="en-US"/>
        </w:rPr>
      </w:pPr>
      <w:r w:rsidRPr="00A01837">
        <w:rPr>
          <w:rFonts w:ascii="Palatino Linotype" w:hAnsi="Palatino Linotype"/>
          <w:b/>
          <w:lang w:eastAsia="en-US"/>
        </w:rPr>
        <w:t xml:space="preserve">Acuerdo emitido por el Comité de Transparencia del Sujeto Obligado mediante el cual se declare la incompetencia para atender los requerimientos planteados respecto a este programa. </w:t>
      </w:r>
    </w:p>
    <w:p w14:paraId="5D876535" w14:textId="77777777" w:rsidR="00A97C63" w:rsidRPr="00A01837" w:rsidRDefault="00A97C63" w:rsidP="00A01837">
      <w:pPr>
        <w:pStyle w:val="Prrafodelista"/>
        <w:spacing w:line="360" w:lineRule="auto"/>
        <w:ind w:left="786"/>
        <w:jc w:val="both"/>
        <w:rPr>
          <w:rFonts w:ascii="Palatino Linotype" w:eastAsia="Calibri" w:hAnsi="Palatino Linotype" w:cs="Arial"/>
          <w:lang w:val="es-ES"/>
        </w:rPr>
      </w:pPr>
    </w:p>
    <w:p w14:paraId="4CEB0AAA" w14:textId="4637A401" w:rsidR="005D4114" w:rsidRPr="00A01837" w:rsidRDefault="005D4114" w:rsidP="00A01837">
      <w:pPr>
        <w:spacing w:line="360" w:lineRule="auto"/>
        <w:jc w:val="both"/>
        <w:rPr>
          <w:rFonts w:ascii="Palatino Linotype" w:eastAsia="Calibri" w:hAnsi="Palatino Linotype" w:cs="Arial"/>
          <w:color w:val="000000" w:themeColor="text1"/>
        </w:rPr>
      </w:pPr>
      <w:r w:rsidRPr="00A01837">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 </w:t>
      </w:r>
    </w:p>
    <w:p w14:paraId="72A9DCE7" w14:textId="798C8206" w:rsidR="005D4114" w:rsidRPr="00A01837" w:rsidRDefault="005D4114" w:rsidP="00A01837">
      <w:pPr>
        <w:spacing w:line="360" w:lineRule="auto"/>
        <w:jc w:val="both"/>
        <w:rPr>
          <w:rFonts w:ascii="Palatino Linotype" w:eastAsia="Calibri" w:hAnsi="Palatino Linotype" w:cs="Arial"/>
          <w:bCs/>
          <w:color w:val="000000" w:themeColor="text1"/>
          <w:highlight w:val="red"/>
        </w:rPr>
      </w:pPr>
    </w:p>
    <w:p w14:paraId="7004E7F5" w14:textId="3DD9282F" w:rsidR="005D4114" w:rsidRPr="00A01837" w:rsidRDefault="005D4114" w:rsidP="00A01837">
      <w:pPr>
        <w:spacing w:line="360" w:lineRule="auto"/>
        <w:jc w:val="both"/>
        <w:rPr>
          <w:rFonts w:ascii="Palatino Linotype" w:eastAsia="Calibri" w:hAnsi="Palatino Linotype" w:cs="Arial"/>
          <w:bCs/>
          <w:color w:val="000000" w:themeColor="text1"/>
        </w:rPr>
      </w:pPr>
      <w:r w:rsidRPr="00A01837">
        <w:rPr>
          <w:rFonts w:ascii="Palatino Linotype" w:eastAsia="Calibri" w:hAnsi="Palatino Linotype" w:cs="Arial"/>
          <w:bCs/>
          <w:color w:val="000000" w:themeColor="text1"/>
        </w:rPr>
        <w:t xml:space="preserve">Para el caso de que el </w:t>
      </w:r>
      <w:r w:rsidRPr="00A01837">
        <w:rPr>
          <w:rFonts w:ascii="Palatino Linotype" w:eastAsia="Calibri" w:hAnsi="Palatino Linotype" w:cs="Arial"/>
          <w:b/>
          <w:color w:val="000000" w:themeColor="text1"/>
        </w:rPr>
        <w:t>Sujeto Obligado</w:t>
      </w:r>
      <w:r w:rsidRPr="00A01837">
        <w:rPr>
          <w:rFonts w:ascii="Palatino Linotype" w:eastAsia="Calibri" w:hAnsi="Palatino Linotype" w:cs="Arial"/>
          <w:bCs/>
          <w:color w:val="000000" w:themeColor="text1"/>
        </w:rPr>
        <w:t xml:space="preserve"> en el ejercicio de sus facultades, atribuciones y competencias haya generado, administrado y poseído la información solicitada</w:t>
      </w:r>
      <w:r w:rsidR="00A97C63" w:rsidRPr="00A01837">
        <w:rPr>
          <w:rFonts w:ascii="Palatino Linotype" w:eastAsia="Calibri" w:hAnsi="Palatino Linotype" w:cs="Arial"/>
          <w:bCs/>
          <w:color w:val="000000" w:themeColor="text1"/>
        </w:rPr>
        <w:t xml:space="preserve"> en el </w:t>
      </w:r>
      <w:r w:rsidR="00A97C63" w:rsidRPr="00A01837">
        <w:rPr>
          <w:rFonts w:ascii="Palatino Linotype" w:eastAsia="Calibri" w:hAnsi="Palatino Linotype" w:cs="Arial"/>
          <w:b/>
          <w:color w:val="000000" w:themeColor="text1"/>
        </w:rPr>
        <w:t>inciso “a)”</w:t>
      </w:r>
      <w:r w:rsidR="00A97C63" w:rsidRPr="00A01837">
        <w:rPr>
          <w:rFonts w:ascii="Palatino Linotype" w:eastAsia="Calibri" w:hAnsi="Palatino Linotype" w:cs="Arial"/>
          <w:bCs/>
          <w:color w:val="000000" w:themeColor="text1"/>
        </w:rPr>
        <w:t xml:space="preserve"> </w:t>
      </w:r>
      <w:r w:rsidRPr="00A01837">
        <w:rPr>
          <w:rFonts w:ascii="Palatino Linotype" w:eastAsia="Calibri" w:hAnsi="Palatino Linotype" w:cs="Arial"/>
          <w:bCs/>
          <w:color w:val="000000" w:themeColor="text1"/>
        </w:rPr>
        <w:t xml:space="preserve">relativa al </w:t>
      </w:r>
      <w:r w:rsidRPr="00A01837">
        <w:rPr>
          <w:rFonts w:ascii="Palatino Linotype" w:hAnsi="Palatino Linotype"/>
          <w:b/>
          <w:bCs/>
        </w:rPr>
        <w:t xml:space="preserve">Fondo de Aportaciones para la Seguridad Pública de los Estados y del Distrito Federal (FASP) </w:t>
      </w:r>
      <w:r w:rsidRPr="00A01837">
        <w:rPr>
          <w:rFonts w:ascii="Palatino Linotype" w:hAnsi="Palatino Linotype"/>
          <w:bCs/>
        </w:rPr>
        <w:t xml:space="preserve">deberá remitir el </w:t>
      </w:r>
      <w:r w:rsidRPr="00A01837">
        <w:rPr>
          <w:rFonts w:ascii="Palatino Linotype" w:hAnsi="Palatino Linotype"/>
          <w:b/>
        </w:rPr>
        <w:t>Ac</w:t>
      </w:r>
      <w:r w:rsidRPr="00A01837">
        <w:rPr>
          <w:rFonts w:ascii="Palatino Linotype" w:eastAsia="Calibri" w:hAnsi="Palatino Linotype" w:cs="Arial"/>
          <w:b/>
          <w:color w:val="000000" w:themeColor="text1"/>
        </w:rPr>
        <w:t>uerdo emitido por el Comité de Transparencia</w:t>
      </w:r>
      <w:r w:rsidRPr="00A01837">
        <w:rPr>
          <w:rFonts w:ascii="Palatino Linotype" w:eastAsia="Calibri" w:hAnsi="Palatino Linotype" w:cs="Arial"/>
          <w:bCs/>
          <w:color w:val="000000" w:themeColor="text1"/>
        </w:rPr>
        <w:t xml:space="preserve"> del </w:t>
      </w:r>
      <w:r w:rsidRPr="00A01837">
        <w:rPr>
          <w:rFonts w:ascii="Palatino Linotype" w:eastAsia="Calibri" w:hAnsi="Palatino Linotype" w:cs="Arial"/>
          <w:b/>
          <w:color w:val="000000" w:themeColor="text1"/>
        </w:rPr>
        <w:t xml:space="preserve">Sujeto Obligado </w:t>
      </w:r>
      <w:r w:rsidRPr="00A01837">
        <w:rPr>
          <w:rFonts w:ascii="Palatino Linotype" w:eastAsia="Calibri" w:hAnsi="Palatino Linotype" w:cs="Arial"/>
          <w:bCs/>
          <w:color w:val="000000" w:themeColor="text1"/>
        </w:rPr>
        <w:t xml:space="preserve">mediante el cual se declare la </w:t>
      </w:r>
      <w:r w:rsidRPr="00A01837">
        <w:rPr>
          <w:rFonts w:ascii="Palatino Linotype" w:eastAsia="Calibri" w:hAnsi="Palatino Linotype" w:cs="Arial"/>
          <w:b/>
          <w:color w:val="000000" w:themeColor="text1"/>
        </w:rPr>
        <w:t xml:space="preserve">inexistencia </w:t>
      </w:r>
      <w:r w:rsidRPr="00A01837">
        <w:rPr>
          <w:rFonts w:ascii="Palatino Linotype" w:eastAsia="Calibri" w:hAnsi="Palatino Linotype" w:cs="Arial"/>
          <w:bCs/>
          <w:color w:val="000000" w:themeColor="text1"/>
        </w:rPr>
        <w:t xml:space="preserve">de la información requerida.  </w:t>
      </w:r>
    </w:p>
    <w:p w14:paraId="4EE7680B" w14:textId="77777777" w:rsidR="00A97C63" w:rsidRPr="00A01837" w:rsidRDefault="00A97C63" w:rsidP="00A01837">
      <w:pPr>
        <w:spacing w:line="360" w:lineRule="auto"/>
        <w:jc w:val="both"/>
        <w:rPr>
          <w:rFonts w:ascii="Palatino Linotype" w:eastAsia="Calibri" w:hAnsi="Palatino Linotype" w:cs="Arial"/>
          <w:bCs/>
          <w:color w:val="000000" w:themeColor="text1"/>
        </w:rPr>
      </w:pPr>
    </w:p>
    <w:p w14:paraId="074397CC" w14:textId="77777777" w:rsidR="005D4114" w:rsidRPr="00A01837" w:rsidRDefault="005D4114" w:rsidP="00A01837">
      <w:pPr>
        <w:spacing w:line="360" w:lineRule="auto"/>
        <w:jc w:val="both"/>
        <w:rPr>
          <w:rFonts w:ascii="Palatino Linotype" w:eastAsia="MS Mincho" w:hAnsi="Palatino Linotype" w:cs="Times New Roman"/>
          <w:color w:val="000000"/>
        </w:rPr>
      </w:pPr>
      <w:r w:rsidRPr="00A01837">
        <w:rPr>
          <w:rFonts w:ascii="Palatino Linotype" w:eastAsia="MS Mincho" w:hAnsi="Palatino Linotype" w:cs="Times New Roman"/>
          <w:b/>
          <w:color w:val="000000"/>
        </w:rPr>
        <w:t>TERCERO.</w:t>
      </w:r>
      <w:r w:rsidRPr="00A01837">
        <w:rPr>
          <w:rFonts w:ascii="Palatino Linotype" w:eastAsia="MS Mincho" w:hAnsi="Palatino Linotype" w:cs="Times New Roman"/>
          <w:color w:val="000000"/>
        </w:rPr>
        <w:t xml:space="preserve"> Notifíquese al Titular de la Unidad de Transparencia del</w:t>
      </w:r>
      <w:r w:rsidRPr="00A01837">
        <w:rPr>
          <w:rFonts w:ascii="Palatino Linotype" w:eastAsia="MS Mincho" w:hAnsi="Palatino Linotype" w:cs="Times New Roman"/>
          <w:b/>
          <w:color w:val="000000"/>
        </w:rPr>
        <w:t xml:space="preserve"> </w:t>
      </w:r>
      <w:r w:rsidRPr="00A01837">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7230EE7" w14:textId="77777777" w:rsidR="005D4114" w:rsidRPr="00A01837" w:rsidRDefault="005D4114" w:rsidP="00A01837">
      <w:pPr>
        <w:spacing w:line="360" w:lineRule="auto"/>
        <w:jc w:val="both"/>
        <w:rPr>
          <w:rFonts w:ascii="Palatino Linotype" w:eastAsia="MS Mincho" w:hAnsi="Palatino Linotype" w:cs="Times New Roman"/>
          <w:color w:val="000000"/>
        </w:rPr>
      </w:pPr>
    </w:p>
    <w:p w14:paraId="26FF8AB0" w14:textId="7E45DD36" w:rsidR="005D4114" w:rsidRPr="00A01837" w:rsidRDefault="005D4114" w:rsidP="00A01837">
      <w:pPr>
        <w:spacing w:line="360" w:lineRule="auto"/>
        <w:jc w:val="both"/>
        <w:rPr>
          <w:rFonts w:ascii="Palatino Linotype" w:hAnsi="Palatino Linotype"/>
          <w:b/>
        </w:rPr>
      </w:pPr>
      <w:r w:rsidRPr="00A01837">
        <w:rPr>
          <w:rFonts w:ascii="Palatino Linotype" w:eastAsia="MS Mincho" w:hAnsi="Palatino Linotype" w:cs="Times New Roman"/>
          <w:b/>
          <w:color w:val="000000"/>
        </w:rPr>
        <w:t xml:space="preserve">CUARTO. </w:t>
      </w:r>
      <w:r w:rsidRPr="00A01837">
        <w:rPr>
          <w:rFonts w:ascii="Palatino Linotype" w:eastAsia="MS Mincho" w:hAnsi="Palatino Linotype" w:cs="Times New Roman"/>
          <w:color w:val="000000"/>
        </w:rPr>
        <w:t>Notifíquese a</w:t>
      </w:r>
      <w:r w:rsidRPr="00A01837">
        <w:rPr>
          <w:rFonts w:ascii="Palatino Linotype" w:eastAsia="MS Mincho" w:hAnsi="Palatino Linotype" w:cs="Times New Roman"/>
          <w:b/>
          <w:color w:val="000000"/>
        </w:rPr>
        <w:t xml:space="preserve"> </w:t>
      </w:r>
      <w:r w:rsidR="00947078" w:rsidRPr="00947078">
        <w:rPr>
          <w:rFonts w:ascii="Palatino Linotype" w:hAnsi="Palatino Linotype"/>
          <w:b/>
          <w:highlight w:val="black"/>
        </w:rPr>
        <w:t>-</w:t>
      </w:r>
      <w:r w:rsidR="00947078">
        <w:rPr>
          <w:rFonts w:ascii="Palatino Linotype" w:hAnsi="Palatino Linotype"/>
          <w:b/>
          <w:highlight w:val="black"/>
        </w:rPr>
        <w:t>--------------------</w:t>
      </w:r>
      <w:r w:rsidR="00947078" w:rsidRPr="00947078">
        <w:rPr>
          <w:rFonts w:ascii="Palatino Linotype" w:hAnsi="Palatino Linotype"/>
          <w:b/>
          <w:highlight w:val="black"/>
        </w:rPr>
        <w:t>-</w:t>
      </w:r>
      <w:r w:rsidRPr="00A01837">
        <w:rPr>
          <w:rFonts w:ascii="Palatino Linotype" w:hAnsi="Palatino Linotype"/>
          <w:b/>
        </w:rPr>
        <w:t xml:space="preserve"> </w:t>
      </w:r>
      <w:r w:rsidRPr="00A01837">
        <w:rPr>
          <w:rFonts w:ascii="Palatino Linotype" w:hAnsi="Palatino Linotype"/>
          <w:bCs/>
        </w:rPr>
        <w:t>la</w:t>
      </w:r>
      <w:r w:rsidRPr="00A01837">
        <w:rPr>
          <w:rFonts w:ascii="Palatino Linotype" w:eastAsia="MS Mincho" w:hAnsi="Palatino Linotype" w:cs="Times New Roman"/>
          <w:bCs/>
          <w:color w:val="000000"/>
        </w:rPr>
        <w:t xml:space="preserve"> </w:t>
      </w:r>
      <w:r w:rsidRPr="00A01837">
        <w:rPr>
          <w:rFonts w:ascii="Palatino Linotype" w:eastAsia="MS Mincho" w:hAnsi="Palatino Linotype" w:cs="Times New Roman"/>
          <w:color w:val="000000"/>
        </w:rPr>
        <w:t>presente resolución.</w:t>
      </w:r>
    </w:p>
    <w:p w14:paraId="34784274" w14:textId="77777777" w:rsidR="005D4114" w:rsidRPr="00A01837" w:rsidRDefault="005D4114" w:rsidP="00A01837">
      <w:pPr>
        <w:spacing w:line="360" w:lineRule="auto"/>
        <w:jc w:val="both"/>
        <w:rPr>
          <w:rFonts w:ascii="Palatino Linotype" w:eastAsia="MS Mincho" w:hAnsi="Palatino Linotype" w:cs="Times New Roman"/>
          <w:color w:val="000000"/>
        </w:rPr>
      </w:pPr>
    </w:p>
    <w:p w14:paraId="049A1EAE" w14:textId="59446D1B" w:rsidR="005D4114" w:rsidRPr="00A01837" w:rsidRDefault="005D4114" w:rsidP="00A01837">
      <w:pPr>
        <w:spacing w:line="360" w:lineRule="auto"/>
        <w:jc w:val="both"/>
        <w:rPr>
          <w:rFonts w:ascii="Palatino Linotype" w:eastAsia="MS Mincho" w:hAnsi="Palatino Linotype" w:cs="Times New Roman"/>
          <w:color w:val="000000"/>
        </w:rPr>
      </w:pPr>
      <w:r w:rsidRPr="00A01837">
        <w:rPr>
          <w:rFonts w:ascii="Palatino Linotype" w:eastAsia="MS Mincho" w:hAnsi="Palatino Linotype" w:cs="Times New Roman"/>
          <w:b/>
        </w:rPr>
        <w:t>QUINTO</w:t>
      </w:r>
      <w:r w:rsidRPr="00A01837">
        <w:rPr>
          <w:rFonts w:ascii="Palatino Linotype" w:eastAsia="MS Mincho" w:hAnsi="Palatino Linotype" w:cs="Times New Roman"/>
          <w:b/>
          <w:color w:val="000000"/>
        </w:rPr>
        <w:t xml:space="preserve">. </w:t>
      </w:r>
      <w:r w:rsidRPr="00A01837">
        <w:rPr>
          <w:rFonts w:ascii="Palatino Linotype" w:eastAsia="MS Mincho" w:hAnsi="Palatino Linotype" w:cs="Times New Roman"/>
          <w:color w:val="000000"/>
        </w:rPr>
        <w:t xml:space="preserve">Se hace del conocimiento de </w:t>
      </w:r>
      <w:r w:rsidR="00947078" w:rsidRPr="00947078">
        <w:rPr>
          <w:rFonts w:ascii="Palatino Linotype" w:hAnsi="Palatino Linotype"/>
          <w:b/>
          <w:highlight w:val="black"/>
        </w:rPr>
        <w:t>-----------</w:t>
      </w:r>
      <w:r w:rsidR="00947078">
        <w:rPr>
          <w:rFonts w:ascii="Palatino Linotype" w:hAnsi="Palatino Linotype"/>
          <w:b/>
          <w:highlight w:val="black"/>
        </w:rPr>
        <w:t>--</w:t>
      </w:r>
      <w:r w:rsidR="00947078" w:rsidRPr="00947078">
        <w:rPr>
          <w:rFonts w:ascii="Palatino Linotype" w:hAnsi="Palatino Linotype"/>
          <w:b/>
          <w:highlight w:val="black"/>
        </w:rPr>
        <w:t>--------</w:t>
      </w:r>
      <w:r w:rsidRPr="00A01837">
        <w:rPr>
          <w:rFonts w:ascii="Palatino Linotype" w:hAnsi="Palatino Linotype"/>
          <w:b/>
        </w:rPr>
        <w:t xml:space="preserve"> </w:t>
      </w:r>
      <w:r w:rsidRPr="00A01837">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02"/>
    </w:p>
    <w:p w14:paraId="72CC45D2" w14:textId="77777777" w:rsidR="00C57929" w:rsidRDefault="00C57929" w:rsidP="00A01837">
      <w:pPr>
        <w:spacing w:line="360" w:lineRule="auto"/>
        <w:jc w:val="both"/>
        <w:rPr>
          <w:rFonts w:ascii="Palatino Linotype" w:eastAsia="MS Mincho" w:hAnsi="Palatino Linotype" w:cs="Times New Roman"/>
          <w:lang w:val="es-ES"/>
        </w:rPr>
      </w:pPr>
    </w:p>
    <w:p w14:paraId="2BFEF797" w14:textId="77777777" w:rsidR="002C720E" w:rsidRPr="00A01837" w:rsidRDefault="002C720E" w:rsidP="00A01837">
      <w:pPr>
        <w:spacing w:line="360" w:lineRule="auto"/>
        <w:jc w:val="both"/>
        <w:rPr>
          <w:rFonts w:ascii="Palatino Linotype" w:eastAsia="MS Mincho" w:hAnsi="Palatino Linotype" w:cs="Times New Roman"/>
          <w:lang w:val="es-ES"/>
        </w:rPr>
      </w:pPr>
    </w:p>
    <w:p w14:paraId="14F331D7" w14:textId="10FD7539" w:rsidR="00D12C15" w:rsidRPr="00A01837" w:rsidRDefault="00D12C15" w:rsidP="00A01837">
      <w:pPr>
        <w:spacing w:line="360" w:lineRule="auto"/>
        <w:ind w:right="49"/>
        <w:jc w:val="both"/>
        <w:rPr>
          <w:rFonts w:ascii="Palatino Linotype" w:hAnsi="Palatino Linotype" w:cs="Arial"/>
        </w:rPr>
      </w:pPr>
      <w:r w:rsidRPr="00A01837">
        <w:rPr>
          <w:rFonts w:ascii="Palatino Linotype" w:hAnsi="Palatino Linotype" w:cs="Arial"/>
        </w:rPr>
        <w:t>ASÍ LO RESUELVE, POR UNANIMIDAD DE VOTOS, EL PLENO DEL</w:t>
      </w:r>
      <w:r w:rsidRPr="00A01837">
        <w:rPr>
          <w:rFonts w:ascii="Palatino Linotype" w:eastAsia="Arial Unicode MS" w:hAnsi="Palatino Linotype" w:cs="Arial"/>
        </w:rPr>
        <w:t xml:space="preserve"> INSTITUTO DE TRANSPARENCIA, ACCESO A LA INFORMACIÓN PÚBLICA Y PROTECCIÓN DE DATOS PERSONALES DEL ESTADO DE MÉXICO Y MUNICIPIOS</w:t>
      </w:r>
      <w:r w:rsidRPr="00A01837">
        <w:rPr>
          <w:rFonts w:ascii="Palatino Linotype" w:hAnsi="Palatino Linotype" w:cs="Arial"/>
        </w:rPr>
        <w:t>, CONFORMADO POR LOS COMISIONADOS ZULEMA MARTÍNEZ SÁNCHEZ; EVA ABAID YAPUR; JOSÉ GUADALUPE LUNA HERNÁNDEZ; JAVIER MARTÍNEZ CRUZ Y LUIS GUST</w:t>
      </w:r>
      <w:r w:rsidR="002C720E">
        <w:rPr>
          <w:rFonts w:ascii="Palatino Linotype" w:hAnsi="Palatino Linotype" w:cs="Arial"/>
        </w:rPr>
        <w:t>AVO PARRA NORIEGA; EN LA TRIGÉSIMA SÉPTIMA</w:t>
      </w:r>
      <w:r w:rsidRPr="00A01837">
        <w:rPr>
          <w:rFonts w:ascii="Palatino Linotype" w:hAnsi="Palatino Linotype" w:cs="Arial"/>
        </w:rPr>
        <w:t xml:space="preserve"> SESIÓN </w:t>
      </w:r>
      <w:r w:rsidR="002C720E">
        <w:rPr>
          <w:rFonts w:ascii="Palatino Linotype" w:hAnsi="Palatino Linotype" w:cs="Arial"/>
        </w:rPr>
        <w:t>ORDINARIA CELEBRADA EL NUEVE DE OCTUBRE</w:t>
      </w:r>
      <w:r w:rsidRPr="00A01837">
        <w:rPr>
          <w:rFonts w:ascii="Palatino Linotype" w:hAnsi="Palatino Linotype" w:cs="Arial"/>
        </w:rPr>
        <w:t xml:space="preserve"> DE DOS MIL DIECINUEVE ANTE EL SECRETARIO TÉCNICO DEL PLENO, ALEXIS TAPIA RAMÍREZ.</w:t>
      </w:r>
    </w:p>
    <w:p w14:paraId="5FE866DE" w14:textId="77777777" w:rsidR="00C57929" w:rsidRPr="00A01837" w:rsidRDefault="00C57929" w:rsidP="00A01837">
      <w:pPr>
        <w:spacing w:line="360" w:lineRule="auto"/>
        <w:ind w:right="49"/>
        <w:jc w:val="both"/>
        <w:rPr>
          <w:rFonts w:ascii="Palatino Linotype" w:hAnsi="Palatino Linotype" w:cs="Arial"/>
        </w:rPr>
      </w:pP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A01837" w14:paraId="116AF8F2" w14:textId="77777777" w:rsidTr="002C720E">
        <w:trPr>
          <w:trHeight w:val="1694"/>
        </w:trPr>
        <w:tc>
          <w:tcPr>
            <w:tcW w:w="8926" w:type="dxa"/>
            <w:gridSpan w:val="2"/>
            <w:vAlign w:val="center"/>
          </w:tcPr>
          <w:p w14:paraId="267ADD55" w14:textId="77777777" w:rsidR="00D12C15" w:rsidRPr="00A01837" w:rsidRDefault="00D12C15" w:rsidP="00A01837">
            <w:pPr>
              <w:spacing w:line="360" w:lineRule="auto"/>
              <w:rPr>
                <w:rFonts w:ascii="Palatino Linotype" w:hAnsi="Palatino Linotype" w:cs="Times New Roman"/>
                <w:b/>
                <w:color w:val="000000"/>
              </w:rPr>
            </w:pPr>
          </w:p>
          <w:p w14:paraId="3CC42C7E" w14:textId="77777777" w:rsidR="00D12C15" w:rsidRDefault="00D12C15" w:rsidP="00A01837">
            <w:pPr>
              <w:spacing w:line="360" w:lineRule="auto"/>
              <w:rPr>
                <w:rFonts w:ascii="Palatino Linotype" w:hAnsi="Palatino Linotype" w:cs="Times New Roman"/>
                <w:b/>
                <w:color w:val="000000"/>
              </w:rPr>
            </w:pPr>
          </w:p>
          <w:p w14:paraId="421AE733" w14:textId="77777777" w:rsidR="002C720E" w:rsidRDefault="002C720E" w:rsidP="00A01837">
            <w:pPr>
              <w:spacing w:line="360" w:lineRule="auto"/>
              <w:rPr>
                <w:rFonts w:ascii="Palatino Linotype" w:hAnsi="Palatino Linotype" w:cs="Times New Roman"/>
                <w:b/>
                <w:color w:val="000000"/>
              </w:rPr>
            </w:pPr>
          </w:p>
          <w:p w14:paraId="1D246613" w14:textId="77777777" w:rsidR="002C720E" w:rsidRPr="00A01837" w:rsidRDefault="002C720E" w:rsidP="00A01837">
            <w:pPr>
              <w:spacing w:line="360" w:lineRule="auto"/>
              <w:rPr>
                <w:rFonts w:ascii="Palatino Linotype" w:hAnsi="Palatino Linotype" w:cs="Times New Roman"/>
                <w:b/>
                <w:color w:val="000000"/>
              </w:rPr>
            </w:pPr>
          </w:p>
          <w:p w14:paraId="5289D36E" w14:textId="77777777" w:rsidR="00D12C15" w:rsidRPr="00A01837" w:rsidRDefault="00D12C15" w:rsidP="00A01837">
            <w:pPr>
              <w:spacing w:line="360" w:lineRule="auto"/>
              <w:jc w:val="center"/>
              <w:rPr>
                <w:rFonts w:ascii="Palatino Linotype" w:hAnsi="Palatino Linotype" w:cs="Times New Roman"/>
                <w:b/>
                <w:color w:val="000000"/>
              </w:rPr>
            </w:pPr>
            <w:r w:rsidRPr="00A01837">
              <w:rPr>
                <w:rFonts w:ascii="Palatino Linotype" w:hAnsi="Palatino Linotype" w:cs="Times New Roman"/>
                <w:b/>
                <w:color w:val="000000"/>
              </w:rPr>
              <w:t>Zulema Martínez Sánchez</w:t>
            </w:r>
          </w:p>
          <w:p w14:paraId="0C80FCBA"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Comisionada Presidenta</w:t>
            </w:r>
          </w:p>
          <w:p w14:paraId="4B6C3646"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(Rúbrica)</w:t>
            </w:r>
          </w:p>
        </w:tc>
      </w:tr>
      <w:tr w:rsidR="00D12C15" w:rsidRPr="00A01837" w14:paraId="5E4292CB" w14:textId="77777777" w:rsidTr="002C720E">
        <w:trPr>
          <w:trHeight w:val="2021"/>
        </w:trPr>
        <w:tc>
          <w:tcPr>
            <w:tcW w:w="4248" w:type="dxa"/>
            <w:vAlign w:val="center"/>
          </w:tcPr>
          <w:p w14:paraId="47A536CC" w14:textId="77777777" w:rsidR="00CF33E5" w:rsidRPr="00A01837" w:rsidRDefault="00CF33E5" w:rsidP="00A01837">
            <w:pPr>
              <w:spacing w:line="360" w:lineRule="auto"/>
              <w:rPr>
                <w:rFonts w:ascii="Palatino Linotype" w:hAnsi="Palatino Linotype" w:cs="Times New Roman"/>
                <w:b/>
                <w:color w:val="000000"/>
              </w:rPr>
            </w:pPr>
          </w:p>
          <w:p w14:paraId="57D62302" w14:textId="77777777" w:rsidR="00D12C15" w:rsidRPr="00A01837" w:rsidRDefault="00D12C15" w:rsidP="00A01837">
            <w:pPr>
              <w:spacing w:line="360" w:lineRule="auto"/>
              <w:rPr>
                <w:rFonts w:ascii="Palatino Linotype" w:hAnsi="Palatino Linotype" w:cs="Times New Roman"/>
                <w:b/>
                <w:color w:val="000000"/>
              </w:rPr>
            </w:pPr>
          </w:p>
          <w:p w14:paraId="425C47E2" w14:textId="77777777" w:rsidR="00D12C15" w:rsidRPr="00A01837" w:rsidRDefault="00D12C15" w:rsidP="00A01837">
            <w:pPr>
              <w:spacing w:line="360" w:lineRule="auto"/>
              <w:jc w:val="center"/>
              <w:rPr>
                <w:rFonts w:ascii="Palatino Linotype" w:hAnsi="Palatino Linotype" w:cs="Times New Roman"/>
                <w:b/>
                <w:color w:val="000000"/>
              </w:rPr>
            </w:pPr>
            <w:r w:rsidRPr="00A01837">
              <w:rPr>
                <w:rFonts w:ascii="Palatino Linotype" w:hAnsi="Palatino Linotype" w:cs="Times New Roman"/>
                <w:b/>
                <w:color w:val="000000"/>
              </w:rPr>
              <w:t xml:space="preserve">Eva </w:t>
            </w:r>
            <w:proofErr w:type="spellStart"/>
            <w:r w:rsidRPr="00A01837">
              <w:rPr>
                <w:rFonts w:ascii="Palatino Linotype" w:hAnsi="Palatino Linotype" w:cs="Times New Roman"/>
                <w:b/>
                <w:color w:val="000000"/>
              </w:rPr>
              <w:t>Abaid</w:t>
            </w:r>
            <w:proofErr w:type="spellEnd"/>
            <w:r w:rsidRPr="00A01837">
              <w:rPr>
                <w:rFonts w:ascii="Palatino Linotype" w:hAnsi="Palatino Linotype" w:cs="Times New Roman"/>
                <w:b/>
                <w:color w:val="000000"/>
              </w:rPr>
              <w:t xml:space="preserve"> </w:t>
            </w:r>
            <w:proofErr w:type="spellStart"/>
            <w:r w:rsidRPr="00A01837">
              <w:rPr>
                <w:rFonts w:ascii="Palatino Linotype" w:hAnsi="Palatino Linotype" w:cs="Times New Roman"/>
                <w:b/>
                <w:color w:val="000000"/>
              </w:rPr>
              <w:t>Yapur</w:t>
            </w:r>
            <w:proofErr w:type="spellEnd"/>
          </w:p>
          <w:p w14:paraId="693E882F"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Comisionada</w:t>
            </w:r>
          </w:p>
          <w:p w14:paraId="1EFB602C"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(Rúbrica)</w:t>
            </w:r>
          </w:p>
        </w:tc>
        <w:tc>
          <w:tcPr>
            <w:tcW w:w="4678" w:type="dxa"/>
            <w:vAlign w:val="center"/>
          </w:tcPr>
          <w:p w14:paraId="5A330080" w14:textId="77777777" w:rsidR="00D12C15" w:rsidRPr="00A01837" w:rsidRDefault="00D12C15" w:rsidP="00A01837">
            <w:pPr>
              <w:spacing w:line="360" w:lineRule="auto"/>
              <w:rPr>
                <w:rFonts w:ascii="Palatino Linotype" w:hAnsi="Palatino Linotype" w:cs="Times New Roman"/>
                <w:b/>
                <w:color w:val="000000"/>
              </w:rPr>
            </w:pPr>
          </w:p>
          <w:p w14:paraId="2FE02C26" w14:textId="77777777" w:rsidR="00D12C15" w:rsidRPr="00A01837" w:rsidRDefault="00D12C15" w:rsidP="00A01837">
            <w:pPr>
              <w:spacing w:line="360" w:lineRule="auto"/>
              <w:rPr>
                <w:rFonts w:ascii="Palatino Linotype" w:hAnsi="Palatino Linotype" w:cs="Times New Roman"/>
                <w:b/>
                <w:color w:val="000000"/>
              </w:rPr>
            </w:pPr>
          </w:p>
          <w:p w14:paraId="71A71047" w14:textId="77777777" w:rsidR="00D12C15" w:rsidRPr="00A01837" w:rsidRDefault="00D12C15" w:rsidP="00A01837">
            <w:pPr>
              <w:spacing w:line="360" w:lineRule="auto"/>
              <w:jc w:val="center"/>
              <w:rPr>
                <w:rFonts w:ascii="Palatino Linotype" w:hAnsi="Palatino Linotype" w:cs="Times New Roman"/>
                <w:b/>
                <w:color w:val="000000"/>
              </w:rPr>
            </w:pPr>
            <w:r w:rsidRPr="00A01837">
              <w:rPr>
                <w:rFonts w:ascii="Palatino Linotype" w:hAnsi="Palatino Linotype" w:cs="Times New Roman"/>
                <w:b/>
                <w:color w:val="000000"/>
              </w:rPr>
              <w:t>José Guadalupe Luna Hernández</w:t>
            </w:r>
          </w:p>
          <w:p w14:paraId="31287592"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Comisionado</w:t>
            </w:r>
          </w:p>
          <w:p w14:paraId="78332C97"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(Rúbrica)</w:t>
            </w:r>
          </w:p>
        </w:tc>
      </w:tr>
      <w:tr w:rsidR="00D12C15" w:rsidRPr="00A01837" w14:paraId="48B3204B" w14:textId="77777777" w:rsidTr="002C720E">
        <w:trPr>
          <w:trHeight w:val="2104"/>
        </w:trPr>
        <w:tc>
          <w:tcPr>
            <w:tcW w:w="4248" w:type="dxa"/>
            <w:vAlign w:val="center"/>
          </w:tcPr>
          <w:p w14:paraId="7840ECE4" w14:textId="77777777" w:rsidR="00D12C15" w:rsidRPr="00A01837" w:rsidRDefault="00D12C15" w:rsidP="00A01837">
            <w:pPr>
              <w:spacing w:line="360" w:lineRule="auto"/>
              <w:rPr>
                <w:rFonts w:ascii="Palatino Linotype" w:hAnsi="Palatino Linotype" w:cs="Times New Roman"/>
                <w:b/>
                <w:color w:val="000000"/>
              </w:rPr>
            </w:pPr>
            <w:bookmarkStart w:id="103" w:name="_GoBack"/>
            <w:bookmarkEnd w:id="103"/>
          </w:p>
          <w:p w14:paraId="71402BFF" w14:textId="77777777" w:rsidR="00CF33E5" w:rsidRPr="00A01837" w:rsidRDefault="00CF33E5" w:rsidP="00A01837">
            <w:pPr>
              <w:spacing w:line="360" w:lineRule="auto"/>
              <w:rPr>
                <w:rFonts w:ascii="Palatino Linotype" w:hAnsi="Palatino Linotype" w:cs="Times New Roman"/>
                <w:b/>
                <w:color w:val="000000"/>
              </w:rPr>
            </w:pPr>
          </w:p>
          <w:p w14:paraId="2159D67C" w14:textId="77777777" w:rsidR="00D12C15" w:rsidRPr="00A01837" w:rsidRDefault="00D12C15" w:rsidP="00A01837">
            <w:pPr>
              <w:spacing w:line="360" w:lineRule="auto"/>
              <w:rPr>
                <w:rFonts w:ascii="Palatino Linotype" w:hAnsi="Palatino Linotype" w:cs="Times New Roman"/>
                <w:b/>
                <w:color w:val="000000"/>
              </w:rPr>
            </w:pPr>
          </w:p>
          <w:p w14:paraId="6DCCEFDF" w14:textId="77777777" w:rsidR="00D12C15" w:rsidRPr="00A01837" w:rsidRDefault="00D12C15" w:rsidP="00A01837">
            <w:pPr>
              <w:spacing w:line="360" w:lineRule="auto"/>
              <w:jc w:val="center"/>
              <w:rPr>
                <w:rFonts w:ascii="Palatino Linotype" w:hAnsi="Palatino Linotype" w:cs="Times New Roman"/>
                <w:b/>
                <w:color w:val="000000"/>
              </w:rPr>
            </w:pPr>
            <w:r w:rsidRPr="00A01837">
              <w:rPr>
                <w:rFonts w:ascii="Palatino Linotype" w:hAnsi="Palatino Linotype" w:cs="Times New Roman"/>
                <w:b/>
                <w:color w:val="000000"/>
              </w:rPr>
              <w:t>Javier Martínez Cruz</w:t>
            </w:r>
          </w:p>
          <w:p w14:paraId="6A1B2064"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Comisionado</w:t>
            </w:r>
          </w:p>
          <w:p w14:paraId="2DB68933"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(Rúbrica)</w:t>
            </w:r>
          </w:p>
        </w:tc>
        <w:tc>
          <w:tcPr>
            <w:tcW w:w="4678" w:type="dxa"/>
            <w:vAlign w:val="center"/>
          </w:tcPr>
          <w:p w14:paraId="7637B5F1" w14:textId="77777777" w:rsidR="00D12C15" w:rsidRPr="00A01837" w:rsidRDefault="00D12C15" w:rsidP="00A01837">
            <w:pPr>
              <w:spacing w:line="360" w:lineRule="auto"/>
              <w:rPr>
                <w:rFonts w:ascii="Palatino Linotype" w:hAnsi="Palatino Linotype" w:cs="Times New Roman"/>
                <w:b/>
                <w:color w:val="000000"/>
              </w:rPr>
            </w:pPr>
          </w:p>
          <w:p w14:paraId="1137B650" w14:textId="77777777" w:rsidR="00D12C15" w:rsidRPr="00A01837" w:rsidRDefault="00D12C15" w:rsidP="00A01837">
            <w:pPr>
              <w:spacing w:line="360" w:lineRule="auto"/>
              <w:rPr>
                <w:rFonts w:ascii="Palatino Linotype" w:hAnsi="Palatino Linotype" w:cs="Times New Roman"/>
                <w:b/>
                <w:color w:val="000000"/>
              </w:rPr>
            </w:pPr>
          </w:p>
          <w:p w14:paraId="460A6FF7" w14:textId="77777777" w:rsidR="00D12C15" w:rsidRPr="00A01837" w:rsidRDefault="00D12C15" w:rsidP="00A01837">
            <w:pPr>
              <w:spacing w:line="360" w:lineRule="auto"/>
              <w:rPr>
                <w:rFonts w:ascii="Palatino Linotype" w:hAnsi="Palatino Linotype" w:cs="Times New Roman"/>
                <w:b/>
                <w:color w:val="000000"/>
              </w:rPr>
            </w:pPr>
          </w:p>
          <w:p w14:paraId="524BC487" w14:textId="77777777" w:rsidR="00D12C15" w:rsidRPr="00A01837" w:rsidRDefault="00D12C15" w:rsidP="00A01837">
            <w:pPr>
              <w:spacing w:line="360" w:lineRule="auto"/>
              <w:jc w:val="center"/>
              <w:rPr>
                <w:rFonts w:ascii="Palatino Linotype" w:hAnsi="Palatino Linotype" w:cs="Times New Roman"/>
                <w:b/>
                <w:color w:val="000000"/>
              </w:rPr>
            </w:pPr>
            <w:r w:rsidRPr="00A01837">
              <w:rPr>
                <w:rFonts w:ascii="Palatino Linotype" w:hAnsi="Palatino Linotype" w:cs="Times New Roman"/>
                <w:b/>
                <w:color w:val="000000"/>
              </w:rPr>
              <w:t>Luis Gustavo Parra Noriega</w:t>
            </w:r>
          </w:p>
          <w:p w14:paraId="3FBF5120"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Comisionado</w:t>
            </w:r>
          </w:p>
          <w:p w14:paraId="2998098D"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(Rúbrica)</w:t>
            </w:r>
          </w:p>
        </w:tc>
      </w:tr>
      <w:tr w:rsidR="00D12C15" w:rsidRPr="00A01837" w14:paraId="0299DCCF" w14:textId="77777777" w:rsidTr="002C720E">
        <w:trPr>
          <w:trHeight w:val="2696"/>
        </w:trPr>
        <w:tc>
          <w:tcPr>
            <w:tcW w:w="8926" w:type="dxa"/>
            <w:gridSpan w:val="2"/>
            <w:vAlign w:val="center"/>
          </w:tcPr>
          <w:p w14:paraId="03671551" w14:textId="7FDF3A99" w:rsidR="00CF33E5" w:rsidRPr="00A01837" w:rsidRDefault="00CF33E5" w:rsidP="00A01837">
            <w:pPr>
              <w:spacing w:line="360" w:lineRule="auto"/>
              <w:jc w:val="center"/>
              <w:rPr>
                <w:rFonts w:ascii="Palatino Linotype" w:hAnsi="Palatino Linotype" w:cs="Times New Roman"/>
                <w:b/>
                <w:color w:val="000000"/>
              </w:rPr>
            </w:pPr>
          </w:p>
          <w:p w14:paraId="24A96492" w14:textId="77777777" w:rsidR="00CF33E5" w:rsidRPr="00A01837" w:rsidRDefault="00CF33E5" w:rsidP="00A01837">
            <w:pPr>
              <w:spacing w:line="360" w:lineRule="auto"/>
              <w:jc w:val="center"/>
              <w:rPr>
                <w:rFonts w:ascii="Palatino Linotype" w:hAnsi="Palatino Linotype" w:cs="Times New Roman"/>
                <w:b/>
                <w:color w:val="000000"/>
              </w:rPr>
            </w:pPr>
          </w:p>
          <w:p w14:paraId="11840BF6" w14:textId="77777777" w:rsidR="00CF33E5" w:rsidRPr="00A01837" w:rsidRDefault="00CF33E5" w:rsidP="00A01837">
            <w:pPr>
              <w:spacing w:line="360" w:lineRule="auto"/>
              <w:jc w:val="center"/>
              <w:rPr>
                <w:rFonts w:ascii="Palatino Linotype" w:hAnsi="Palatino Linotype" w:cs="Times New Roman"/>
                <w:b/>
                <w:color w:val="000000"/>
              </w:rPr>
            </w:pPr>
          </w:p>
          <w:p w14:paraId="290D574F" w14:textId="37A149CA" w:rsidR="00D12C15" w:rsidRPr="00A01837" w:rsidRDefault="00D12C15" w:rsidP="00A01837">
            <w:pPr>
              <w:spacing w:line="360" w:lineRule="auto"/>
              <w:jc w:val="center"/>
              <w:rPr>
                <w:rFonts w:ascii="Palatino Linotype" w:hAnsi="Palatino Linotype" w:cs="Times New Roman"/>
                <w:b/>
                <w:color w:val="000000"/>
              </w:rPr>
            </w:pPr>
            <w:r w:rsidRPr="00A01837">
              <w:rPr>
                <w:rFonts w:ascii="Palatino Linotype" w:hAnsi="Palatino Linotype" w:cs="Times New Roman"/>
                <w:b/>
                <w:color w:val="000000"/>
              </w:rPr>
              <w:t>Alexis Tapia Ramírez</w:t>
            </w:r>
          </w:p>
          <w:p w14:paraId="7FDB337C" w14:textId="77777777"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Secretario Técnico del Pleno</w:t>
            </w:r>
          </w:p>
          <w:p w14:paraId="6526C9BF" w14:textId="14EE8AC5" w:rsidR="00D12C15" w:rsidRPr="00A01837" w:rsidRDefault="00D12C15" w:rsidP="00A01837">
            <w:pPr>
              <w:spacing w:line="360" w:lineRule="auto"/>
              <w:jc w:val="center"/>
              <w:rPr>
                <w:rFonts w:ascii="Palatino Linotype" w:hAnsi="Palatino Linotype" w:cs="Times New Roman"/>
                <w:color w:val="000000"/>
              </w:rPr>
            </w:pPr>
            <w:r w:rsidRPr="00A01837">
              <w:rPr>
                <w:rFonts w:ascii="Palatino Linotype" w:hAnsi="Palatino Linotype" w:cs="Times New Roman"/>
                <w:color w:val="000000"/>
              </w:rPr>
              <w:t>(Rúbrica)</w:t>
            </w:r>
          </w:p>
          <w:p w14:paraId="11CB8475" w14:textId="77777777" w:rsidR="00CF33E5" w:rsidRPr="00A01837" w:rsidRDefault="00CF33E5" w:rsidP="00A01837">
            <w:pPr>
              <w:spacing w:line="360" w:lineRule="auto"/>
              <w:jc w:val="center"/>
              <w:rPr>
                <w:rFonts w:ascii="Palatino Linotype" w:hAnsi="Palatino Linotype" w:cs="Times New Roman"/>
                <w:color w:val="000000"/>
              </w:rPr>
            </w:pPr>
          </w:p>
          <w:p w14:paraId="294C2EC1" w14:textId="77777777" w:rsidR="00D12C15" w:rsidRPr="00A01837" w:rsidRDefault="00D12C15" w:rsidP="00A01837">
            <w:pPr>
              <w:spacing w:line="360" w:lineRule="auto"/>
              <w:jc w:val="both"/>
              <w:rPr>
                <w:rFonts w:ascii="Palatino Linotype" w:hAnsi="Palatino Linotype" w:cs="Arial"/>
              </w:rPr>
            </w:pPr>
          </w:p>
          <w:p w14:paraId="4089D414" w14:textId="09DD2099" w:rsidR="00D12C15" w:rsidRPr="00A01837" w:rsidRDefault="00D12C15" w:rsidP="00A01837">
            <w:pPr>
              <w:spacing w:line="360" w:lineRule="auto"/>
              <w:jc w:val="both"/>
              <w:rPr>
                <w:rFonts w:ascii="Palatino Linotype" w:hAnsi="Palatino Linotype" w:cs="Arial"/>
                <w:bCs/>
              </w:rPr>
            </w:pPr>
            <w:r w:rsidRPr="002C720E">
              <w:rPr>
                <w:rFonts w:ascii="Palatino Linotype" w:hAnsi="Palatino Linotype" w:cs="Arial"/>
              </w:rPr>
              <w:t>Esta hoja corre</w:t>
            </w:r>
            <w:r w:rsidR="002C720E">
              <w:rPr>
                <w:rFonts w:ascii="Palatino Linotype" w:hAnsi="Palatino Linotype" w:cs="Arial"/>
              </w:rPr>
              <w:t xml:space="preserve">sponde a la resolución de fecha nueve (09) de octubre </w:t>
            </w:r>
            <w:r w:rsidRPr="002C720E">
              <w:rPr>
                <w:rFonts w:ascii="Palatino Linotype" w:hAnsi="Palatino Linotype" w:cs="Arial"/>
              </w:rPr>
              <w:t>de dos mil diecinueve, emitid</w:t>
            </w:r>
            <w:r w:rsidR="002C720E">
              <w:rPr>
                <w:rFonts w:ascii="Palatino Linotype" w:hAnsi="Palatino Linotype" w:cs="Arial"/>
              </w:rPr>
              <w:t>a en el recurso</w:t>
            </w:r>
            <w:r w:rsidRPr="002C720E">
              <w:rPr>
                <w:rFonts w:ascii="Palatino Linotype" w:hAnsi="Palatino Linotype" w:cs="Arial"/>
              </w:rPr>
              <w:t xml:space="preserve"> de revisión</w:t>
            </w:r>
            <w:r w:rsidRPr="002C720E">
              <w:rPr>
                <w:rFonts w:ascii="Palatino Linotype" w:hAnsi="Palatino Linotype" w:cs="Arial"/>
                <w:b/>
              </w:rPr>
              <w:t xml:space="preserve"> </w:t>
            </w:r>
            <w:r w:rsidR="002C720E" w:rsidRPr="002C720E">
              <w:rPr>
                <w:rFonts w:ascii="Palatino Linotype" w:hAnsi="Palatino Linotype" w:cs="Arial"/>
                <w:b/>
                <w:bCs/>
              </w:rPr>
              <w:t>06488</w:t>
            </w:r>
            <w:r w:rsidR="00C57929" w:rsidRPr="002C720E">
              <w:rPr>
                <w:rFonts w:ascii="Palatino Linotype" w:hAnsi="Palatino Linotype" w:cs="Arial"/>
                <w:b/>
                <w:bCs/>
              </w:rPr>
              <w:t>/INFOEM/IP/RR/2019</w:t>
            </w:r>
            <w:r w:rsidRPr="002C720E">
              <w:rPr>
                <w:rFonts w:ascii="Palatino Linotype" w:hAnsi="Palatino Linotype" w:cs="Arial"/>
                <w:b/>
                <w:bCs/>
              </w:rPr>
              <w:t>.</w:t>
            </w:r>
          </w:p>
        </w:tc>
      </w:tr>
    </w:tbl>
    <w:p w14:paraId="09D5B693" w14:textId="6E72F649" w:rsidR="00BB5CA9" w:rsidRPr="00A01837" w:rsidRDefault="00BB5CA9" w:rsidP="00A01837">
      <w:pPr>
        <w:spacing w:line="360" w:lineRule="auto"/>
        <w:jc w:val="both"/>
        <w:rPr>
          <w:rFonts w:ascii="Palatino Linotype" w:eastAsia="Calibri" w:hAnsi="Palatino Linotype" w:cs="Times New Roman"/>
          <w:lang w:val="es-ES" w:eastAsia="en-US"/>
        </w:rPr>
      </w:pPr>
    </w:p>
    <w:sectPr w:rsidR="00BB5CA9" w:rsidRPr="00A01837" w:rsidSect="00A01837">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B70D8" w14:textId="77777777" w:rsidR="00657730" w:rsidRDefault="00657730" w:rsidP="00587366">
      <w:r>
        <w:separator/>
      </w:r>
    </w:p>
  </w:endnote>
  <w:endnote w:type="continuationSeparator" w:id="0">
    <w:p w14:paraId="396D8DF9" w14:textId="77777777" w:rsidR="00657730" w:rsidRDefault="006577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DF6D89" w:rsidRDefault="00DF6D89">
            <w:pPr>
              <w:pStyle w:val="Piedepgina"/>
              <w:jc w:val="right"/>
            </w:pPr>
            <w:r>
              <w:rPr>
                <w:lang w:val="es-ES"/>
              </w:rPr>
              <w:t xml:space="preserve">Página </w:t>
            </w:r>
            <w:r>
              <w:rPr>
                <w:b/>
                <w:bCs/>
              </w:rPr>
              <w:fldChar w:fldCharType="begin"/>
            </w:r>
            <w:r>
              <w:rPr>
                <w:b/>
                <w:bCs/>
              </w:rPr>
              <w:instrText>PAGE</w:instrText>
            </w:r>
            <w:r>
              <w:rPr>
                <w:b/>
                <w:bCs/>
              </w:rPr>
              <w:fldChar w:fldCharType="separate"/>
            </w:r>
            <w:r w:rsidR="00DC6084">
              <w:rPr>
                <w:b/>
                <w:bCs/>
                <w:noProof/>
              </w:rPr>
              <w:t>53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C6084">
              <w:rPr>
                <w:b/>
                <w:bCs/>
                <w:noProof/>
              </w:rPr>
              <w:t>55</w:t>
            </w:r>
            <w:r>
              <w:rPr>
                <w:b/>
                <w:bCs/>
              </w:rPr>
              <w:fldChar w:fldCharType="end"/>
            </w:r>
          </w:p>
        </w:sdtContent>
      </w:sdt>
    </w:sdtContent>
  </w:sdt>
  <w:p w14:paraId="6243EC1B" w14:textId="77777777" w:rsidR="00DF6D89" w:rsidRDefault="00DF6D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2E6E86A4" w:rsidR="00DF6D89" w:rsidRDefault="00DF6D89"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6084" w:rsidRPr="00DC6084">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55</w:t>
    </w:r>
  </w:p>
  <w:p w14:paraId="51986DEE" w14:textId="77777777" w:rsidR="00DF6D89" w:rsidRPr="00044C3F" w:rsidRDefault="00DF6D89" w:rsidP="00A7130D">
    <w:pPr>
      <w:pStyle w:val="Piedepgina"/>
      <w:rPr>
        <w:rFonts w:ascii="Palatino Linotype" w:hAnsi="Palatino Linotype"/>
        <w:sz w:val="22"/>
        <w:szCs w:val="22"/>
      </w:rPr>
    </w:pPr>
  </w:p>
  <w:p w14:paraId="7AA35A9E" w14:textId="77777777" w:rsidR="00DF6D89" w:rsidRDefault="00DF6D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78F2D" w14:textId="77777777" w:rsidR="00657730" w:rsidRDefault="00657730" w:rsidP="00587366">
      <w:r>
        <w:separator/>
      </w:r>
    </w:p>
  </w:footnote>
  <w:footnote w:type="continuationSeparator" w:id="0">
    <w:p w14:paraId="10F203AA" w14:textId="77777777" w:rsidR="00657730" w:rsidRDefault="00657730" w:rsidP="00587366">
      <w:r>
        <w:continuationSeparator/>
      </w:r>
    </w:p>
  </w:footnote>
  <w:footnote w:id="1">
    <w:p w14:paraId="5D3DD48A" w14:textId="77777777" w:rsidR="00DF6D89" w:rsidRPr="00547FFB" w:rsidRDefault="00DF6D89" w:rsidP="001631DB">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14:paraId="280F9C28" w14:textId="77777777" w:rsidR="00DF6D89" w:rsidRPr="00547FFB" w:rsidRDefault="00DF6D89" w:rsidP="001631DB">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79E68531" w14:textId="77777777" w:rsidR="00DF6D89" w:rsidRPr="00547FFB" w:rsidRDefault="00DF6D89" w:rsidP="001631DB">
      <w:pPr>
        <w:autoSpaceDE w:val="0"/>
        <w:autoSpaceDN w:val="0"/>
        <w:adjustRightInd w:val="0"/>
        <w:jc w:val="both"/>
        <w:rPr>
          <w:sz w:val="20"/>
          <w:szCs w:val="20"/>
        </w:rPr>
      </w:pPr>
      <w:r w:rsidRPr="00547FFB">
        <w:rPr>
          <w:sz w:val="20"/>
          <w:szCs w:val="20"/>
        </w:rPr>
        <w:t>…</w:t>
      </w:r>
    </w:p>
    <w:p w14:paraId="1B90A0C3" w14:textId="77777777" w:rsidR="00DF6D89" w:rsidRDefault="00DF6D89" w:rsidP="001631DB">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4184104E" w14:textId="152729C6" w:rsidR="00DF6D89" w:rsidRDefault="00DF6D89">
      <w:pPr>
        <w:pStyle w:val="Textonotapie"/>
      </w:pPr>
      <w:r>
        <w:rPr>
          <w:rStyle w:val="Refdenotaalpie"/>
        </w:rPr>
        <w:footnoteRef/>
      </w:r>
      <w:r>
        <w:t xml:space="preserve"> Consultable en; </w:t>
      </w:r>
      <w:hyperlink r:id="rId1" w:history="1">
        <w:r>
          <w:rPr>
            <w:rStyle w:val="Hipervnculo"/>
          </w:rPr>
          <w:t>https://www.gob.mx/sesnsp/acciones-y-programas/fondos-y-subsidios</w:t>
        </w:r>
      </w:hyperlink>
    </w:p>
  </w:footnote>
  <w:footnote w:id="4">
    <w:p w14:paraId="235A44E4" w14:textId="77777777" w:rsidR="00DF6D89" w:rsidRDefault="00DF6D89" w:rsidP="009C7130">
      <w:pPr>
        <w:pStyle w:val="Textonotapie"/>
      </w:pPr>
      <w:r>
        <w:rPr>
          <w:rStyle w:val="Refdenotaalpie"/>
        </w:rPr>
        <w:footnoteRef/>
      </w:r>
      <w:r>
        <w:t xml:space="preserve"> Consultable en; </w:t>
      </w:r>
      <w:hyperlink r:id="rId2" w:history="1">
        <w:r>
          <w:rPr>
            <w:rStyle w:val="Hipervnculo"/>
          </w:rPr>
          <w:t>https://www.gob.mx/cms/uploads/attachment/file/454683/CONVENIO_FORTASEG_2019-ESTADO_DE_M_XICO-17-04-19.pdf</w:t>
        </w:r>
      </w:hyperlink>
    </w:p>
  </w:footnote>
  <w:footnote w:id="5">
    <w:p w14:paraId="3F6D7E6E" w14:textId="4366C1D4" w:rsidR="00DF6D89" w:rsidRDefault="00DF6D89">
      <w:pPr>
        <w:pStyle w:val="Textonotapie"/>
      </w:pPr>
      <w:r>
        <w:rPr>
          <w:rStyle w:val="Refdenotaalpie"/>
        </w:rPr>
        <w:footnoteRef/>
      </w:r>
      <w:r>
        <w:t xml:space="preserve"> Consultable en; </w:t>
      </w:r>
      <w:hyperlink r:id="rId3" w:history="1">
        <w:r>
          <w:rPr>
            <w:rStyle w:val="Hipervnculo"/>
          </w:rPr>
          <w:t>http://finanzas.edomex.gob.mx/organigrama</w:t>
        </w:r>
      </w:hyperlink>
    </w:p>
  </w:footnote>
  <w:footnote w:id="6">
    <w:p w14:paraId="056D16B8" w14:textId="77777777" w:rsidR="00DF6D89" w:rsidRPr="007E4F02" w:rsidRDefault="00DF6D89" w:rsidP="00D466D6">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F6D89" w:rsidRDefault="00DF6D89" w:rsidP="001C6012">
    <w:pPr>
      <w:pStyle w:val="Encabezado"/>
      <w:tabs>
        <w:tab w:val="clear" w:pos="4252"/>
        <w:tab w:val="clear" w:pos="8504"/>
        <w:tab w:val="left" w:pos="8460"/>
      </w:tabs>
    </w:pPr>
    <w:r>
      <w:tab/>
    </w:r>
  </w:p>
  <w:p w14:paraId="64F5F23E" w14:textId="390690E5" w:rsidR="00DF6D89" w:rsidRDefault="00DF6D89">
    <w:pPr>
      <w:pStyle w:val="Encabezado"/>
    </w:pPr>
  </w:p>
  <w:tbl>
    <w:tblPr>
      <w:tblStyle w:val="Tablaconcuadrcula"/>
      <w:tblW w:w="6379" w:type="dxa"/>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DF6D89" w:rsidRPr="00674A46" w14:paraId="07F2896E" w14:textId="77777777" w:rsidTr="00A01837">
      <w:trPr>
        <w:trHeight w:val="138"/>
      </w:trPr>
      <w:tc>
        <w:tcPr>
          <w:tcW w:w="2694" w:type="dxa"/>
          <w:vAlign w:val="center"/>
        </w:tcPr>
        <w:p w14:paraId="4A5B1974" w14:textId="0DBA6861" w:rsidR="00DF6D89" w:rsidRPr="00674A46" w:rsidRDefault="00DF6D89"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148195BB" w:rsidR="00DF6D89" w:rsidRPr="00674A46" w:rsidRDefault="00DF6D89"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06488/INFOEM/IP/RR/2019</w:t>
          </w:r>
        </w:p>
      </w:tc>
    </w:tr>
    <w:tr w:rsidR="00DF6D89" w:rsidRPr="00674A46" w14:paraId="1B5D8690" w14:textId="77777777" w:rsidTr="00A01837">
      <w:trPr>
        <w:trHeight w:val="233"/>
      </w:trPr>
      <w:tc>
        <w:tcPr>
          <w:tcW w:w="2694" w:type="dxa"/>
          <w:vAlign w:val="center"/>
        </w:tcPr>
        <w:p w14:paraId="3903F2C6" w14:textId="315EFDE2" w:rsidR="00DF6D89" w:rsidRPr="00674A46" w:rsidRDefault="00DF6D89"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85" w:type="dxa"/>
          <w:vAlign w:val="center"/>
        </w:tcPr>
        <w:p w14:paraId="03C799A2" w14:textId="5C2D7455" w:rsidR="00DF6D89" w:rsidRPr="00B75F20" w:rsidRDefault="00DF6D89" w:rsidP="006E0835">
          <w:pPr>
            <w:pStyle w:val="Encabezado"/>
            <w:jc w:val="right"/>
            <w:rPr>
              <w:rFonts w:ascii="Palatino Linotype" w:hAnsi="Palatino Linotype"/>
              <w:b/>
              <w:sz w:val="22"/>
              <w:szCs w:val="22"/>
            </w:rPr>
          </w:pPr>
          <w:r>
            <w:rPr>
              <w:rFonts w:ascii="Palatino Linotype" w:hAnsi="Palatino Linotype"/>
              <w:b/>
              <w:bCs/>
              <w:color w:val="000000"/>
              <w:sz w:val="22"/>
              <w:szCs w:val="22"/>
            </w:rPr>
            <w:t xml:space="preserve">Secretaría de Finanzas  </w:t>
          </w:r>
        </w:p>
      </w:tc>
    </w:tr>
    <w:tr w:rsidR="00DF6D89" w:rsidRPr="00674A46" w14:paraId="095EB01B" w14:textId="77777777" w:rsidTr="00A01837">
      <w:trPr>
        <w:trHeight w:val="321"/>
      </w:trPr>
      <w:tc>
        <w:tcPr>
          <w:tcW w:w="2694" w:type="dxa"/>
          <w:vAlign w:val="center"/>
        </w:tcPr>
        <w:p w14:paraId="6E000A51" w14:textId="6CA7E78F" w:rsidR="00DF6D89" w:rsidRPr="00674A46" w:rsidRDefault="00DF6D89"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DF6D89" w:rsidRPr="00674A46" w:rsidRDefault="00DF6D89"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F6D89" w:rsidRDefault="00DF6D8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F6D89" w:rsidRDefault="00DF6D89" w:rsidP="00472C41">
    <w:pPr>
      <w:pStyle w:val="Encabezado"/>
      <w:tabs>
        <w:tab w:val="clear" w:pos="4252"/>
        <w:tab w:val="clear" w:pos="8504"/>
        <w:tab w:val="left" w:pos="3103"/>
      </w:tabs>
    </w:pPr>
    <w:r>
      <w:tab/>
    </w:r>
  </w:p>
  <w:tbl>
    <w:tblPr>
      <w:tblStyle w:val="Tablaconcuadrcula"/>
      <w:tblW w:w="6215" w:type="dxa"/>
      <w:tblInd w:w="2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9"/>
      <w:gridCol w:w="3686"/>
    </w:tblGrid>
    <w:tr w:rsidR="00DF6D89" w:rsidRPr="000678F0" w14:paraId="0A3256F2" w14:textId="77777777" w:rsidTr="00A01837">
      <w:trPr>
        <w:trHeight w:val="138"/>
      </w:trPr>
      <w:tc>
        <w:tcPr>
          <w:tcW w:w="2529" w:type="dxa"/>
          <w:vAlign w:val="center"/>
        </w:tcPr>
        <w:p w14:paraId="3D80769D" w14:textId="623C8B64" w:rsidR="00DF6D89" w:rsidRPr="000678F0" w:rsidRDefault="00DF6D89" w:rsidP="001A0A78">
          <w:pPr>
            <w:rPr>
              <w:rFonts w:ascii="Palatino Linotype" w:hAnsi="Palatino Linotype"/>
              <w:b/>
              <w:sz w:val="22"/>
              <w:szCs w:val="22"/>
            </w:rPr>
          </w:pPr>
          <w:r w:rsidRPr="000678F0">
            <w:rPr>
              <w:rFonts w:ascii="Palatino Linotype" w:hAnsi="Palatino Linotype"/>
              <w:b/>
              <w:sz w:val="22"/>
              <w:szCs w:val="22"/>
            </w:rPr>
            <w:t>Recurso de Revisión:</w:t>
          </w:r>
        </w:p>
      </w:tc>
      <w:tc>
        <w:tcPr>
          <w:tcW w:w="3686" w:type="dxa"/>
          <w:vAlign w:val="center"/>
        </w:tcPr>
        <w:p w14:paraId="0453495E" w14:textId="431332EF" w:rsidR="00DF6D89" w:rsidRPr="000678F0" w:rsidRDefault="00DF6D89" w:rsidP="006E0835">
          <w:pPr>
            <w:pStyle w:val="Encabezado"/>
            <w:jc w:val="right"/>
            <w:rPr>
              <w:rFonts w:ascii="Palatino Linotype" w:hAnsi="Palatino Linotype"/>
              <w:b/>
              <w:sz w:val="22"/>
              <w:szCs w:val="22"/>
            </w:rPr>
          </w:pPr>
          <w:r w:rsidRPr="000678F0">
            <w:rPr>
              <w:rFonts w:ascii="Palatino Linotype" w:hAnsi="Palatino Linotype" w:cs="Arial"/>
              <w:b/>
              <w:bCs/>
              <w:sz w:val="22"/>
              <w:szCs w:val="22"/>
              <w:lang w:eastAsia="es-MX"/>
            </w:rPr>
            <w:t>0</w:t>
          </w:r>
          <w:r>
            <w:rPr>
              <w:rFonts w:ascii="Palatino Linotype" w:hAnsi="Palatino Linotype" w:cs="Arial"/>
              <w:b/>
              <w:bCs/>
              <w:sz w:val="22"/>
              <w:szCs w:val="22"/>
              <w:lang w:eastAsia="es-MX"/>
            </w:rPr>
            <w:t>6488</w:t>
          </w:r>
          <w:r w:rsidRPr="000678F0">
            <w:rPr>
              <w:rFonts w:ascii="Palatino Linotype" w:hAnsi="Palatino Linotype" w:cs="Arial"/>
              <w:b/>
              <w:bCs/>
              <w:sz w:val="22"/>
              <w:szCs w:val="22"/>
              <w:lang w:eastAsia="es-MX"/>
            </w:rPr>
            <w:t>/INFOEM/IP/RR/2019</w:t>
          </w:r>
        </w:p>
      </w:tc>
    </w:tr>
    <w:tr w:rsidR="00DF6D89" w:rsidRPr="000678F0" w14:paraId="128C8B3C" w14:textId="77777777" w:rsidTr="00A01837">
      <w:trPr>
        <w:trHeight w:val="233"/>
      </w:trPr>
      <w:tc>
        <w:tcPr>
          <w:tcW w:w="2529" w:type="dxa"/>
          <w:vAlign w:val="center"/>
        </w:tcPr>
        <w:p w14:paraId="483E3371" w14:textId="5999DE5F" w:rsidR="00DF6D89" w:rsidRPr="000678F0" w:rsidRDefault="00DF6D89" w:rsidP="001A0A78">
          <w:pPr>
            <w:rPr>
              <w:rFonts w:ascii="Palatino Linotype" w:hAnsi="Palatino Linotype"/>
              <w:b/>
              <w:sz w:val="22"/>
              <w:szCs w:val="22"/>
            </w:rPr>
          </w:pPr>
          <w:r w:rsidRPr="000678F0">
            <w:rPr>
              <w:rFonts w:ascii="Palatino Linotype" w:hAnsi="Palatino Linotype"/>
              <w:b/>
              <w:sz w:val="22"/>
              <w:szCs w:val="22"/>
            </w:rPr>
            <w:t xml:space="preserve"> Recurrente:</w:t>
          </w:r>
        </w:p>
      </w:tc>
      <w:tc>
        <w:tcPr>
          <w:tcW w:w="3686" w:type="dxa"/>
        </w:tcPr>
        <w:p w14:paraId="1548525E" w14:textId="53F8E515" w:rsidR="00DF6D89" w:rsidRPr="000678F0" w:rsidRDefault="00947078" w:rsidP="006E0835">
          <w:pPr>
            <w:pStyle w:val="Encabezado"/>
            <w:jc w:val="right"/>
            <w:rPr>
              <w:rFonts w:ascii="Palatino Linotype" w:hAnsi="Palatino Linotype"/>
              <w:b/>
              <w:sz w:val="22"/>
              <w:szCs w:val="22"/>
            </w:rPr>
          </w:pPr>
          <w:r w:rsidRPr="00947078">
            <w:rPr>
              <w:rFonts w:ascii="Palatino Linotype" w:hAnsi="Palatino Linotype"/>
              <w:b/>
              <w:sz w:val="22"/>
              <w:szCs w:val="22"/>
              <w:highlight w:val="black"/>
            </w:rPr>
            <w:t>-------------------------</w:t>
          </w:r>
          <w:r w:rsidR="00DF6D89">
            <w:rPr>
              <w:rFonts w:ascii="Palatino Linotype" w:hAnsi="Palatino Linotype"/>
              <w:b/>
              <w:sz w:val="22"/>
              <w:szCs w:val="22"/>
            </w:rPr>
            <w:t xml:space="preserve"> </w:t>
          </w:r>
          <w:r w:rsidR="00DF6D89" w:rsidRPr="000678F0">
            <w:rPr>
              <w:rFonts w:ascii="Palatino Linotype" w:hAnsi="Palatino Linotype"/>
              <w:b/>
              <w:sz w:val="22"/>
              <w:szCs w:val="22"/>
            </w:rPr>
            <w:t xml:space="preserve"> </w:t>
          </w:r>
        </w:p>
      </w:tc>
    </w:tr>
    <w:tr w:rsidR="00DF6D89" w:rsidRPr="000678F0" w14:paraId="41BE0704" w14:textId="77777777" w:rsidTr="00A01837">
      <w:trPr>
        <w:trHeight w:val="321"/>
      </w:trPr>
      <w:tc>
        <w:tcPr>
          <w:tcW w:w="2529" w:type="dxa"/>
          <w:vAlign w:val="center"/>
        </w:tcPr>
        <w:p w14:paraId="34C64148" w14:textId="62F121EB" w:rsidR="00DF6D89" w:rsidRPr="000678F0" w:rsidRDefault="00DF6D89" w:rsidP="001A0A78">
          <w:pPr>
            <w:rPr>
              <w:rFonts w:ascii="Palatino Linotype" w:hAnsi="Palatino Linotype"/>
              <w:b/>
              <w:sz w:val="22"/>
              <w:szCs w:val="22"/>
            </w:rPr>
          </w:pPr>
          <w:r w:rsidRPr="000678F0">
            <w:rPr>
              <w:rFonts w:ascii="Palatino Linotype" w:hAnsi="Palatino Linotype"/>
              <w:b/>
              <w:sz w:val="22"/>
              <w:szCs w:val="22"/>
            </w:rPr>
            <w:t>Sujeto Obligado:</w:t>
          </w:r>
        </w:p>
      </w:tc>
      <w:tc>
        <w:tcPr>
          <w:tcW w:w="3686" w:type="dxa"/>
          <w:vAlign w:val="center"/>
        </w:tcPr>
        <w:p w14:paraId="34C341BF" w14:textId="277A7266" w:rsidR="00DF6D89" w:rsidRPr="000678F0" w:rsidRDefault="00DF6D89" w:rsidP="000678F0">
          <w:pPr>
            <w:pStyle w:val="Encabezado"/>
            <w:jc w:val="right"/>
            <w:rPr>
              <w:rFonts w:ascii="Palatino Linotype" w:hAnsi="Palatino Linotype"/>
              <w:b/>
              <w:bCs/>
              <w:color w:val="000000"/>
              <w:sz w:val="22"/>
              <w:szCs w:val="22"/>
            </w:rPr>
          </w:pPr>
          <w:r>
            <w:rPr>
              <w:rFonts w:ascii="Palatino Linotype" w:hAnsi="Palatino Linotype"/>
              <w:b/>
              <w:bCs/>
              <w:color w:val="000000"/>
              <w:sz w:val="22"/>
              <w:szCs w:val="22"/>
            </w:rPr>
            <w:t>Secretaría de Finanzas</w:t>
          </w:r>
        </w:p>
      </w:tc>
    </w:tr>
    <w:tr w:rsidR="00DF6D89" w:rsidRPr="000678F0" w14:paraId="0C8B6193" w14:textId="77777777" w:rsidTr="00A01837">
      <w:trPr>
        <w:trHeight w:val="321"/>
      </w:trPr>
      <w:tc>
        <w:tcPr>
          <w:tcW w:w="2529" w:type="dxa"/>
          <w:vAlign w:val="center"/>
        </w:tcPr>
        <w:p w14:paraId="321FFAFF" w14:textId="73D4C75C" w:rsidR="00DF6D89" w:rsidRPr="000678F0" w:rsidRDefault="00DF6D89" w:rsidP="001A0A78">
          <w:pPr>
            <w:rPr>
              <w:rFonts w:ascii="Palatino Linotype" w:hAnsi="Palatino Linotype"/>
              <w:b/>
              <w:sz w:val="22"/>
              <w:szCs w:val="22"/>
            </w:rPr>
          </w:pPr>
          <w:r w:rsidRPr="000678F0">
            <w:rPr>
              <w:rFonts w:ascii="Palatino Linotype" w:hAnsi="Palatino Linotype"/>
              <w:b/>
              <w:sz w:val="22"/>
              <w:szCs w:val="22"/>
            </w:rPr>
            <w:t>Comisionado Ponente:</w:t>
          </w:r>
        </w:p>
      </w:tc>
      <w:tc>
        <w:tcPr>
          <w:tcW w:w="3686" w:type="dxa"/>
          <w:vAlign w:val="center"/>
        </w:tcPr>
        <w:p w14:paraId="0FECDA9D" w14:textId="77777777" w:rsidR="00DF6D89" w:rsidRPr="000678F0" w:rsidRDefault="00DF6D89" w:rsidP="006E0835">
          <w:pPr>
            <w:pStyle w:val="Encabezado"/>
            <w:jc w:val="right"/>
            <w:rPr>
              <w:rFonts w:ascii="Palatino Linotype" w:hAnsi="Palatino Linotype"/>
              <w:b/>
              <w:sz w:val="22"/>
              <w:szCs w:val="22"/>
            </w:rPr>
          </w:pPr>
          <w:r w:rsidRPr="000678F0">
            <w:rPr>
              <w:rFonts w:ascii="Palatino Linotype" w:hAnsi="Palatino Linotype"/>
              <w:b/>
              <w:sz w:val="22"/>
              <w:szCs w:val="22"/>
            </w:rPr>
            <w:t>José Guadalupe Luna Hernández</w:t>
          </w:r>
        </w:p>
      </w:tc>
    </w:tr>
  </w:tbl>
  <w:p w14:paraId="156B5574" w14:textId="3EA5B995" w:rsidR="00DF6D89" w:rsidRDefault="00DF6D8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470F9"/>
    <w:multiLevelType w:val="hybridMultilevel"/>
    <w:tmpl w:val="AC223C0C"/>
    <w:lvl w:ilvl="0" w:tplc="64DE2DBA">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21BE254C"/>
    <w:multiLevelType w:val="hybridMultilevel"/>
    <w:tmpl w:val="B7302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8D32BC"/>
    <w:multiLevelType w:val="hybridMultilevel"/>
    <w:tmpl w:val="127C8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2EEEA76E"/>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0"/>
  </w:num>
  <w:num w:numId="5">
    <w:abstractNumId w:val="10"/>
  </w:num>
  <w:num w:numId="6">
    <w:abstractNumId w:val="1"/>
  </w:num>
  <w:num w:numId="7">
    <w:abstractNumId w:val="8"/>
  </w:num>
  <w:num w:numId="8">
    <w:abstractNumId w:val="6"/>
  </w:num>
  <w:num w:numId="9">
    <w:abstractNumId w:val="4"/>
  </w:num>
  <w:num w:numId="10">
    <w:abstractNumId w:val="2"/>
  </w:num>
  <w:num w:numId="11">
    <w:abstractNumId w:val="7"/>
  </w:num>
  <w:num w:numId="12">
    <w:abstractNumId w:val="11"/>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15DB"/>
    <w:rsid w:val="000120C5"/>
    <w:rsid w:val="00012472"/>
    <w:rsid w:val="0001398B"/>
    <w:rsid w:val="000203D3"/>
    <w:rsid w:val="000211F8"/>
    <w:rsid w:val="00024F35"/>
    <w:rsid w:val="0003063D"/>
    <w:rsid w:val="000319FD"/>
    <w:rsid w:val="00031F10"/>
    <w:rsid w:val="00032493"/>
    <w:rsid w:val="00032766"/>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678F0"/>
    <w:rsid w:val="0007192E"/>
    <w:rsid w:val="00072930"/>
    <w:rsid w:val="000800AC"/>
    <w:rsid w:val="000814AC"/>
    <w:rsid w:val="0008230A"/>
    <w:rsid w:val="00082D11"/>
    <w:rsid w:val="00082F81"/>
    <w:rsid w:val="00084E04"/>
    <w:rsid w:val="0008542A"/>
    <w:rsid w:val="00086D80"/>
    <w:rsid w:val="00090D6F"/>
    <w:rsid w:val="00095D20"/>
    <w:rsid w:val="000A1F70"/>
    <w:rsid w:val="000A24C0"/>
    <w:rsid w:val="000A3F90"/>
    <w:rsid w:val="000A4E44"/>
    <w:rsid w:val="000A5CBA"/>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268C"/>
    <w:rsid w:val="00102D65"/>
    <w:rsid w:val="00103888"/>
    <w:rsid w:val="00107499"/>
    <w:rsid w:val="00107557"/>
    <w:rsid w:val="0011001E"/>
    <w:rsid w:val="0011041A"/>
    <w:rsid w:val="0011167C"/>
    <w:rsid w:val="00112B02"/>
    <w:rsid w:val="001133D2"/>
    <w:rsid w:val="00113BD3"/>
    <w:rsid w:val="00114A21"/>
    <w:rsid w:val="0012006D"/>
    <w:rsid w:val="001208F3"/>
    <w:rsid w:val="00121D51"/>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631DB"/>
    <w:rsid w:val="00163780"/>
    <w:rsid w:val="00163B1F"/>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3507"/>
    <w:rsid w:val="0022353C"/>
    <w:rsid w:val="00230170"/>
    <w:rsid w:val="002305CF"/>
    <w:rsid w:val="002345FF"/>
    <w:rsid w:val="00234A2F"/>
    <w:rsid w:val="00237611"/>
    <w:rsid w:val="0024046D"/>
    <w:rsid w:val="00240C39"/>
    <w:rsid w:val="00241FD2"/>
    <w:rsid w:val="00244476"/>
    <w:rsid w:val="00245D77"/>
    <w:rsid w:val="00245DD2"/>
    <w:rsid w:val="0024659E"/>
    <w:rsid w:val="00252A20"/>
    <w:rsid w:val="00252B41"/>
    <w:rsid w:val="0025524F"/>
    <w:rsid w:val="00260C1D"/>
    <w:rsid w:val="00261001"/>
    <w:rsid w:val="00261D84"/>
    <w:rsid w:val="00264D02"/>
    <w:rsid w:val="0026500D"/>
    <w:rsid w:val="00265CAE"/>
    <w:rsid w:val="00265CD7"/>
    <w:rsid w:val="002665BD"/>
    <w:rsid w:val="00271B06"/>
    <w:rsid w:val="00273013"/>
    <w:rsid w:val="00273C37"/>
    <w:rsid w:val="0027430D"/>
    <w:rsid w:val="00274F7F"/>
    <w:rsid w:val="00276C63"/>
    <w:rsid w:val="00277A35"/>
    <w:rsid w:val="00280994"/>
    <w:rsid w:val="0028165C"/>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B66FB"/>
    <w:rsid w:val="002C0074"/>
    <w:rsid w:val="002C0804"/>
    <w:rsid w:val="002C2D44"/>
    <w:rsid w:val="002C37EF"/>
    <w:rsid w:val="002C4715"/>
    <w:rsid w:val="002C4780"/>
    <w:rsid w:val="002C47ED"/>
    <w:rsid w:val="002C481B"/>
    <w:rsid w:val="002C484A"/>
    <w:rsid w:val="002C570D"/>
    <w:rsid w:val="002C6DB3"/>
    <w:rsid w:val="002C720E"/>
    <w:rsid w:val="002C78A2"/>
    <w:rsid w:val="002D0E3D"/>
    <w:rsid w:val="002D10C8"/>
    <w:rsid w:val="002D1A38"/>
    <w:rsid w:val="002D2E16"/>
    <w:rsid w:val="002D373C"/>
    <w:rsid w:val="002D3F95"/>
    <w:rsid w:val="002D471A"/>
    <w:rsid w:val="002D51CC"/>
    <w:rsid w:val="002D59F1"/>
    <w:rsid w:val="002E1FA2"/>
    <w:rsid w:val="002E482C"/>
    <w:rsid w:val="002E4A6D"/>
    <w:rsid w:val="002E5399"/>
    <w:rsid w:val="002E6531"/>
    <w:rsid w:val="002E689B"/>
    <w:rsid w:val="002E6CFE"/>
    <w:rsid w:val="002E7412"/>
    <w:rsid w:val="002E74CE"/>
    <w:rsid w:val="002E7AD0"/>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1DBA"/>
    <w:rsid w:val="003629EE"/>
    <w:rsid w:val="003641F0"/>
    <w:rsid w:val="003643B3"/>
    <w:rsid w:val="003656E5"/>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6DD2"/>
    <w:rsid w:val="003A7221"/>
    <w:rsid w:val="003A730E"/>
    <w:rsid w:val="003B2856"/>
    <w:rsid w:val="003B2A0D"/>
    <w:rsid w:val="003B45B6"/>
    <w:rsid w:val="003B50CD"/>
    <w:rsid w:val="003B55AD"/>
    <w:rsid w:val="003B565C"/>
    <w:rsid w:val="003B7421"/>
    <w:rsid w:val="003B76BA"/>
    <w:rsid w:val="003B7EC4"/>
    <w:rsid w:val="003C3086"/>
    <w:rsid w:val="003C7282"/>
    <w:rsid w:val="003D00D5"/>
    <w:rsid w:val="003D181D"/>
    <w:rsid w:val="003D1FA5"/>
    <w:rsid w:val="003D20C4"/>
    <w:rsid w:val="003D3C1A"/>
    <w:rsid w:val="003D4188"/>
    <w:rsid w:val="003D46D0"/>
    <w:rsid w:val="003D5C82"/>
    <w:rsid w:val="003E5E39"/>
    <w:rsid w:val="003E6679"/>
    <w:rsid w:val="003E6D0F"/>
    <w:rsid w:val="003E712E"/>
    <w:rsid w:val="003F0079"/>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D93"/>
    <w:rsid w:val="005661C1"/>
    <w:rsid w:val="005669D6"/>
    <w:rsid w:val="00566C3D"/>
    <w:rsid w:val="00567998"/>
    <w:rsid w:val="00571419"/>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71D"/>
    <w:rsid w:val="0064393B"/>
    <w:rsid w:val="00644375"/>
    <w:rsid w:val="00644A5C"/>
    <w:rsid w:val="00646A08"/>
    <w:rsid w:val="00647B49"/>
    <w:rsid w:val="00650392"/>
    <w:rsid w:val="0065061D"/>
    <w:rsid w:val="00651F9E"/>
    <w:rsid w:val="00653E8D"/>
    <w:rsid w:val="0065715E"/>
    <w:rsid w:val="00657670"/>
    <w:rsid w:val="00657730"/>
    <w:rsid w:val="00657DBF"/>
    <w:rsid w:val="00657DE0"/>
    <w:rsid w:val="006613EB"/>
    <w:rsid w:val="006628B6"/>
    <w:rsid w:val="00662C69"/>
    <w:rsid w:val="0066397E"/>
    <w:rsid w:val="00663CC7"/>
    <w:rsid w:val="0066458B"/>
    <w:rsid w:val="00664805"/>
    <w:rsid w:val="006679B1"/>
    <w:rsid w:val="006718FB"/>
    <w:rsid w:val="006720F3"/>
    <w:rsid w:val="00673695"/>
    <w:rsid w:val="00674701"/>
    <w:rsid w:val="00674A46"/>
    <w:rsid w:val="006752B0"/>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C19"/>
    <w:rsid w:val="006B3588"/>
    <w:rsid w:val="006B5FE4"/>
    <w:rsid w:val="006B7A58"/>
    <w:rsid w:val="006C26B3"/>
    <w:rsid w:val="006C2FEE"/>
    <w:rsid w:val="006C3FB0"/>
    <w:rsid w:val="006C50C2"/>
    <w:rsid w:val="006C563A"/>
    <w:rsid w:val="006C6E1A"/>
    <w:rsid w:val="006D27EF"/>
    <w:rsid w:val="006D52D1"/>
    <w:rsid w:val="006E013D"/>
    <w:rsid w:val="006E0835"/>
    <w:rsid w:val="006E1056"/>
    <w:rsid w:val="006E3985"/>
    <w:rsid w:val="006E3A2A"/>
    <w:rsid w:val="006E3C4C"/>
    <w:rsid w:val="006E4BD4"/>
    <w:rsid w:val="006E4D1B"/>
    <w:rsid w:val="006E4E2A"/>
    <w:rsid w:val="006E5950"/>
    <w:rsid w:val="006E6B65"/>
    <w:rsid w:val="006E6C14"/>
    <w:rsid w:val="006E7CC5"/>
    <w:rsid w:val="006F1E31"/>
    <w:rsid w:val="006F21C6"/>
    <w:rsid w:val="006F283A"/>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2375D"/>
    <w:rsid w:val="00727950"/>
    <w:rsid w:val="00731F1F"/>
    <w:rsid w:val="007357B8"/>
    <w:rsid w:val="007365AD"/>
    <w:rsid w:val="00741DC7"/>
    <w:rsid w:val="00742486"/>
    <w:rsid w:val="0074433B"/>
    <w:rsid w:val="0074628D"/>
    <w:rsid w:val="007473D2"/>
    <w:rsid w:val="007479C2"/>
    <w:rsid w:val="00750A80"/>
    <w:rsid w:val="0075151E"/>
    <w:rsid w:val="007518DD"/>
    <w:rsid w:val="00751C0F"/>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2F0D"/>
    <w:rsid w:val="007B30F3"/>
    <w:rsid w:val="007B4605"/>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64B9"/>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727"/>
    <w:rsid w:val="00843908"/>
    <w:rsid w:val="00845D12"/>
    <w:rsid w:val="00846713"/>
    <w:rsid w:val="008473FA"/>
    <w:rsid w:val="00847830"/>
    <w:rsid w:val="00851A81"/>
    <w:rsid w:val="00851F4C"/>
    <w:rsid w:val="008523BA"/>
    <w:rsid w:val="00852B26"/>
    <w:rsid w:val="00853477"/>
    <w:rsid w:val="0085480B"/>
    <w:rsid w:val="008560F4"/>
    <w:rsid w:val="00856B0A"/>
    <w:rsid w:val="008572A9"/>
    <w:rsid w:val="00860A1E"/>
    <w:rsid w:val="00860FE6"/>
    <w:rsid w:val="00861622"/>
    <w:rsid w:val="0086256E"/>
    <w:rsid w:val="008662C0"/>
    <w:rsid w:val="00870EAB"/>
    <w:rsid w:val="0087153F"/>
    <w:rsid w:val="0087459A"/>
    <w:rsid w:val="00875167"/>
    <w:rsid w:val="00877086"/>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646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47078"/>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C6384"/>
    <w:rsid w:val="009C7130"/>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942"/>
    <w:rsid w:val="009E6742"/>
    <w:rsid w:val="009F0B67"/>
    <w:rsid w:val="009F19C2"/>
    <w:rsid w:val="009F1E4B"/>
    <w:rsid w:val="009F307E"/>
    <w:rsid w:val="009F50DE"/>
    <w:rsid w:val="009F54F9"/>
    <w:rsid w:val="009F6D34"/>
    <w:rsid w:val="009F7BB0"/>
    <w:rsid w:val="00A00D50"/>
    <w:rsid w:val="00A01837"/>
    <w:rsid w:val="00A02B5C"/>
    <w:rsid w:val="00A036C5"/>
    <w:rsid w:val="00A03AD2"/>
    <w:rsid w:val="00A07D84"/>
    <w:rsid w:val="00A10336"/>
    <w:rsid w:val="00A10CE2"/>
    <w:rsid w:val="00A12870"/>
    <w:rsid w:val="00A133FA"/>
    <w:rsid w:val="00A13811"/>
    <w:rsid w:val="00A16DF1"/>
    <w:rsid w:val="00A17A17"/>
    <w:rsid w:val="00A20B1F"/>
    <w:rsid w:val="00A20CFD"/>
    <w:rsid w:val="00A20DB6"/>
    <w:rsid w:val="00A22C88"/>
    <w:rsid w:val="00A235D0"/>
    <w:rsid w:val="00A26902"/>
    <w:rsid w:val="00A278AA"/>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30D"/>
    <w:rsid w:val="00A7155E"/>
    <w:rsid w:val="00A71E76"/>
    <w:rsid w:val="00A74EDE"/>
    <w:rsid w:val="00A75396"/>
    <w:rsid w:val="00A763AE"/>
    <w:rsid w:val="00A76B0D"/>
    <w:rsid w:val="00A77381"/>
    <w:rsid w:val="00A81AB5"/>
    <w:rsid w:val="00A82724"/>
    <w:rsid w:val="00A82C5A"/>
    <w:rsid w:val="00A83FF6"/>
    <w:rsid w:val="00A8561B"/>
    <w:rsid w:val="00A8620F"/>
    <w:rsid w:val="00A86AAB"/>
    <w:rsid w:val="00A8769A"/>
    <w:rsid w:val="00A92EC0"/>
    <w:rsid w:val="00A92EED"/>
    <w:rsid w:val="00A95A15"/>
    <w:rsid w:val="00A9772B"/>
    <w:rsid w:val="00A97C63"/>
    <w:rsid w:val="00AA0660"/>
    <w:rsid w:val="00AA3875"/>
    <w:rsid w:val="00AA404A"/>
    <w:rsid w:val="00AA40DC"/>
    <w:rsid w:val="00AA51CE"/>
    <w:rsid w:val="00AA6228"/>
    <w:rsid w:val="00AA69A4"/>
    <w:rsid w:val="00AB2744"/>
    <w:rsid w:val="00AB274F"/>
    <w:rsid w:val="00AB5F30"/>
    <w:rsid w:val="00AB6BE3"/>
    <w:rsid w:val="00AC37C3"/>
    <w:rsid w:val="00AC535B"/>
    <w:rsid w:val="00AC5F6A"/>
    <w:rsid w:val="00AD0B3C"/>
    <w:rsid w:val="00AD1CC0"/>
    <w:rsid w:val="00AD22B5"/>
    <w:rsid w:val="00AD3DB4"/>
    <w:rsid w:val="00AD5BE3"/>
    <w:rsid w:val="00AD6F04"/>
    <w:rsid w:val="00AE0A9F"/>
    <w:rsid w:val="00AE4354"/>
    <w:rsid w:val="00AF1F04"/>
    <w:rsid w:val="00AF2372"/>
    <w:rsid w:val="00AF3D59"/>
    <w:rsid w:val="00AF6794"/>
    <w:rsid w:val="00AF75DF"/>
    <w:rsid w:val="00B016F7"/>
    <w:rsid w:val="00B02BDD"/>
    <w:rsid w:val="00B055B9"/>
    <w:rsid w:val="00B12503"/>
    <w:rsid w:val="00B13D85"/>
    <w:rsid w:val="00B16296"/>
    <w:rsid w:val="00B17353"/>
    <w:rsid w:val="00B1786A"/>
    <w:rsid w:val="00B17F10"/>
    <w:rsid w:val="00B206D8"/>
    <w:rsid w:val="00B312C7"/>
    <w:rsid w:val="00B316B9"/>
    <w:rsid w:val="00B32E58"/>
    <w:rsid w:val="00B335A2"/>
    <w:rsid w:val="00B34371"/>
    <w:rsid w:val="00B3595A"/>
    <w:rsid w:val="00B37104"/>
    <w:rsid w:val="00B438BF"/>
    <w:rsid w:val="00B447D7"/>
    <w:rsid w:val="00B47D0D"/>
    <w:rsid w:val="00B52B7D"/>
    <w:rsid w:val="00B531D2"/>
    <w:rsid w:val="00B53616"/>
    <w:rsid w:val="00B53CCA"/>
    <w:rsid w:val="00B54441"/>
    <w:rsid w:val="00B54A5F"/>
    <w:rsid w:val="00B560C2"/>
    <w:rsid w:val="00B56409"/>
    <w:rsid w:val="00B56F9B"/>
    <w:rsid w:val="00B57C15"/>
    <w:rsid w:val="00B60F42"/>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86FAE"/>
    <w:rsid w:val="00B902E7"/>
    <w:rsid w:val="00B922D9"/>
    <w:rsid w:val="00B926D6"/>
    <w:rsid w:val="00B94C17"/>
    <w:rsid w:val="00B966BF"/>
    <w:rsid w:val="00B974B4"/>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4A83"/>
    <w:rsid w:val="00BC61B2"/>
    <w:rsid w:val="00BD010F"/>
    <w:rsid w:val="00BD02D5"/>
    <w:rsid w:val="00BD1B67"/>
    <w:rsid w:val="00BD335B"/>
    <w:rsid w:val="00BD33B6"/>
    <w:rsid w:val="00BD3D7F"/>
    <w:rsid w:val="00BD4097"/>
    <w:rsid w:val="00BD4E41"/>
    <w:rsid w:val="00BD6560"/>
    <w:rsid w:val="00BE00FA"/>
    <w:rsid w:val="00BE0C95"/>
    <w:rsid w:val="00BE2A0C"/>
    <w:rsid w:val="00BE3EBD"/>
    <w:rsid w:val="00BE48DF"/>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E9B"/>
    <w:rsid w:val="00C55FE8"/>
    <w:rsid w:val="00C57929"/>
    <w:rsid w:val="00C6220B"/>
    <w:rsid w:val="00C63CF2"/>
    <w:rsid w:val="00C648FC"/>
    <w:rsid w:val="00C663BE"/>
    <w:rsid w:val="00C665F8"/>
    <w:rsid w:val="00C71858"/>
    <w:rsid w:val="00C722C5"/>
    <w:rsid w:val="00C72EEB"/>
    <w:rsid w:val="00C73C34"/>
    <w:rsid w:val="00C744AE"/>
    <w:rsid w:val="00C74781"/>
    <w:rsid w:val="00C77C19"/>
    <w:rsid w:val="00C80034"/>
    <w:rsid w:val="00C80DE0"/>
    <w:rsid w:val="00C81BE3"/>
    <w:rsid w:val="00C81F2E"/>
    <w:rsid w:val="00C83EA7"/>
    <w:rsid w:val="00C84559"/>
    <w:rsid w:val="00C85EC8"/>
    <w:rsid w:val="00C862C4"/>
    <w:rsid w:val="00C86B34"/>
    <w:rsid w:val="00C94989"/>
    <w:rsid w:val="00C95593"/>
    <w:rsid w:val="00C96A63"/>
    <w:rsid w:val="00C97602"/>
    <w:rsid w:val="00CA1C5F"/>
    <w:rsid w:val="00CA1C81"/>
    <w:rsid w:val="00CA2022"/>
    <w:rsid w:val="00CA6623"/>
    <w:rsid w:val="00CB0101"/>
    <w:rsid w:val="00CB12C8"/>
    <w:rsid w:val="00CB3C69"/>
    <w:rsid w:val="00CB3C89"/>
    <w:rsid w:val="00CB57BF"/>
    <w:rsid w:val="00CC1989"/>
    <w:rsid w:val="00CC2DE4"/>
    <w:rsid w:val="00CC360E"/>
    <w:rsid w:val="00CC48D6"/>
    <w:rsid w:val="00CD0A20"/>
    <w:rsid w:val="00CD1856"/>
    <w:rsid w:val="00CD2B46"/>
    <w:rsid w:val="00CD2C98"/>
    <w:rsid w:val="00CD6866"/>
    <w:rsid w:val="00CD76D4"/>
    <w:rsid w:val="00CD7893"/>
    <w:rsid w:val="00CE03CC"/>
    <w:rsid w:val="00CE670C"/>
    <w:rsid w:val="00CE7E6A"/>
    <w:rsid w:val="00CF030B"/>
    <w:rsid w:val="00CF1289"/>
    <w:rsid w:val="00CF23A2"/>
    <w:rsid w:val="00CF33E5"/>
    <w:rsid w:val="00CF5F6B"/>
    <w:rsid w:val="00CF6EB2"/>
    <w:rsid w:val="00D01487"/>
    <w:rsid w:val="00D02D0F"/>
    <w:rsid w:val="00D03A00"/>
    <w:rsid w:val="00D055AC"/>
    <w:rsid w:val="00D055F8"/>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66D6"/>
    <w:rsid w:val="00D47265"/>
    <w:rsid w:val="00D4793C"/>
    <w:rsid w:val="00D54A15"/>
    <w:rsid w:val="00D63990"/>
    <w:rsid w:val="00D65068"/>
    <w:rsid w:val="00D65243"/>
    <w:rsid w:val="00D658A1"/>
    <w:rsid w:val="00D65B73"/>
    <w:rsid w:val="00D71CB9"/>
    <w:rsid w:val="00D738F0"/>
    <w:rsid w:val="00D74FD3"/>
    <w:rsid w:val="00D80E0A"/>
    <w:rsid w:val="00D81AB1"/>
    <w:rsid w:val="00D82CB3"/>
    <w:rsid w:val="00D82FC0"/>
    <w:rsid w:val="00D8322A"/>
    <w:rsid w:val="00D83C17"/>
    <w:rsid w:val="00D84FFF"/>
    <w:rsid w:val="00D85885"/>
    <w:rsid w:val="00D85A93"/>
    <w:rsid w:val="00D86108"/>
    <w:rsid w:val="00D8720F"/>
    <w:rsid w:val="00D87527"/>
    <w:rsid w:val="00D87652"/>
    <w:rsid w:val="00D87961"/>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78B2"/>
    <w:rsid w:val="00DC230C"/>
    <w:rsid w:val="00DC2CE7"/>
    <w:rsid w:val="00DC301A"/>
    <w:rsid w:val="00DC6084"/>
    <w:rsid w:val="00DC6AEA"/>
    <w:rsid w:val="00DC7377"/>
    <w:rsid w:val="00DD3C18"/>
    <w:rsid w:val="00DD4849"/>
    <w:rsid w:val="00DD6C7C"/>
    <w:rsid w:val="00DE0FC0"/>
    <w:rsid w:val="00DE22C4"/>
    <w:rsid w:val="00DE3A31"/>
    <w:rsid w:val="00DE44FE"/>
    <w:rsid w:val="00DE53D0"/>
    <w:rsid w:val="00DE7E44"/>
    <w:rsid w:val="00DF13A5"/>
    <w:rsid w:val="00DF1C93"/>
    <w:rsid w:val="00DF1E5D"/>
    <w:rsid w:val="00DF2ABA"/>
    <w:rsid w:val="00DF2B11"/>
    <w:rsid w:val="00DF419C"/>
    <w:rsid w:val="00DF51C5"/>
    <w:rsid w:val="00DF6D89"/>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1613"/>
    <w:rsid w:val="00E82B54"/>
    <w:rsid w:val="00E838B2"/>
    <w:rsid w:val="00E84521"/>
    <w:rsid w:val="00E85048"/>
    <w:rsid w:val="00E856B0"/>
    <w:rsid w:val="00E86AE6"/>
    <w:rsid w:val="00E86C2A"/>
    <w:rsid w:val="00E86CA1"/>
    <w:rsid w:val="00E902A0"/>
    <w:rsid w:val="00E906C3"/>
    <w:rsid w:val="00E9074A"/>
    <w:rsid w:val="00E90A65"/>
    <w:rsid w:val="00E911C3"/>
    <w:rsid w:val="00E91E35"/>
    <w:rsid w:val="00E937B5"/>
    <w:rsid w:val="00E9442F"/>
    <w:rsid w:val="00E969D2"/>
    <w:rsid w:val="00E96B0B"/>
    <w:rsid w:val="00EA0CA1"/>
    <w:rsid w:val="00EA243F"/>
    <w:rsid w:val="00EA2E01"/>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5B26"/>
    <w:rsid w:val="00EC7352"/>
    <w:rsid w:val="00ED1AAA"/>
    <w:rsid w:val="00ED2270"/>
    <w:rsid w:val="00ED512E"/>
    <w:rsid w:val="00ED5AF4"/>
    <w:rsid w:val="00EE0293"/>
    <w:rsid w:val="00EE048D"/>
    <w:rsid w:val="00EE0ACB"/>
    <w:rsid w:val="00EE107C"/>
    <w:rsid w:val="00EE1D6B"/>
    <w:rsid w:val="00EE280E"/>
    <w:rsid w:val="00EE3E9C"/>
    <w:rsid w:val="00EE4D4C"/>
    <w:rsid w:val="00EE4FBE"/>
    <w:rsid w:val="00EE57F5"/>
    <w:rsid w:val="00EF1AD7"/>
    <w:rsid w:val="00EF2E2B"/>
    <w:rsid w:val="00EF34D2"/>
    <w:rsid w:val="00EF4C26"/>
    <w:rsid w:val="00EF5CC0"/>
    <w:rsid w:val="00F01833"/>
    <w:rsid w:val="00F019CB"/>
    <w:rsid w:val="00F02E9D"/>
    <w:rsid w:val="00F03F2E"/>
    <w:rsid w:val="00F04044"/>
    <w:rsid w:val="00F046C8"/>
    <w:rsid w:val="00F047AB"/>
    <w:rsid w:val="00F05DE1"/>
    <w:rsid w:val="00F06B81"/>
    <w:rsid w:val="00F07200"/>
    <w:rsid w:val="00F07353"/>
    <w:rsid w:val="00F07A15"/>
    <w:rsid w:val="00F10D6B"/>
    <w:rsid w:val="00F12CDC"/>
    <w:rsid w:val="00F13E45"/>
    <w:rsid w:val="00F147C6"/>
    <w:rsid w:val="00F160E5"/>
    <w:rsid w:val="00F21705"/>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36C1"/>
    <w:rsid w:val="00FC3FC0"/>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finanzas.edomex.gob.mx/organigrama" TargetMode="External"/><Relationship Id="rId2" Type="http://schemas.openxmlformats.org/officeDocument/2006/relationships/hyperlink" Target="https://www.gob.mx/cms/uploads/attachment/file/454683/CONVENIO_FORTASEG_2019-ESTADO_DE_M_XICO-17-04-19.pdf" TargetMode="External"/><Relationship Id="rId1" Type="http://schemas.openxmlformats.org/officeDocument/2006/relationships/hyperlink" Target="https://www.gob.mx/sesnsp/acciones-y-programas/fondos-y-subsid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0D00A-12A6-41DA-89D2-4BC77675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55</Pages>
  <Words>9940</Words>
  <Characters>54674</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2019-10-10T19:43:00Z</cp:lastPrinted>
  <dcterms:created xsi:type="dcterms:W3CDTF">2019-10-10T00:35:00Z</dcterms:created>
  <dcterms:modified xsi:type="dcterms:W3CDTF">2020-02-19T01:33:00Z</dcterms:modified>
</cp:coreProperties>
</file>