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Pr="007D7CEC"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spacing w:val="-2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188">
        <w:rPr>
          <w:rFonts w:ascii="Palatino Linotype" w:hAnsi="Palatino Linotype" w:cs="Arial"/>
          <w:b/>
        </w:rPr>
        <w:t xml:space="preserve">TRIGÉSIMA </w:t>
      </w:r>
      <w:r w:rsidR="00284D71">
        <w:rPr>
          <w:rFonts w:ascii="Palatino Linotype" w:hAnsi="Palatino Linotype" w:cs="Arial"/>
          <w:b/>
        </w:rPr>
        <w:t>OCTAVA</w:t>
      </w:r>
      <w:r>
        <w:rPr>
          <w:rFonts w:ascii="Palatino Linotype" w:hAnsi="Palatino Linotype" w:cs="Arial"/>
          <w:b/>
        </w:rPr>
        <w:t xml:space="preserve"> SESIÓN ORDINARIA DE</w:t>
      </w:r>
      <w:r w:rsidR="005B4F98">
        <w:rPr>
          <w:rFonts w:ascii="Palatino Linotype" w:hAnsi="Palatino Linotype" w:cs="Arial"/>
          <w:b/>
        </w:rPr>
        <w:t xml:space="preserve"> </w:t>
      </w:r>
      <w:r w:rsidR="00284D71">
        <w:rPr>
          <w:rFonts w:ascii="Palatino Linotype" w:hAnsi="Palatino Linotype" w:cs="Arial"/>
          <w:b/>
        </w:rPr>
        <w:t>DIECISÉIS</w:t>
      </w:r>
      <w:r w:rsidR="0053710B">
        <w:rPr>
          <w:rFonts w:ascii="Palatino Linotype" w:hAnsi="Palatino Linotype" w:cs="Arial"/>
          <w:b/>
        </w:rPr>
        <w:t xml:space="preserve"> DE OCTUBRE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sidR="007D7CEC">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 DE REVISIÓN</w:t>
      </w:r>
      <w:r w:rsidR="007D7CEC">
        <w:rPr>
          <w:rFonts w:ascii="Palatino Linotype" w:hAnsi="Palatino Linotype" w:cs="Arial"/>
          <w:b/>
        </w:rPr>
        <w:t xml:space="preserve"> ACUMULADOS</w:t>
      </w:r>
      <w:r w:rsidRPr="0007653D">
        <w:rPr>
          <w:rFonts w:ascii="Palatino Linotype" w:hAnsi="Palatino Linotype" w:cs="Arial"/>
          <w:b/>
        </w:rPr>
        <w:t xml:space="preserve"> </w:t>
      </w:r>
      <w:r w:rsidR="007D7CEC" w:rsidRPr="007D7CEC">
        <w:rPr>
          <w:rFonts w:ascii="Palatino Linotype" w:hAnsi="Palatino Linotype" w:cs="Arial"/>
          <w:b/>
          <w:spacing w:val="-20"/>
        </w:rPr>
        <w:t>05539/INFOEM/IP/RR/2019, 05540/INFOEM/IP/RR/2019, 05541/INFOEM/IP/RR/2019, 05542/INFOEM/IP/RR/2019, 05547/INFOEM/IP/RR/2019 y 05548/INFOEM/IP/RR/2019</w:t>
      </w:r>
      <w:r w:rsidRPr="007D7CEC">
        <w:rPr>
          <w:rFonts w:ascii="Palatino Linotype" w:eastAsia="Calibri" w:hAnsi="Palatino Linotype" w:cs="Arial"/>
          <w:b/>
          <w:color w:val="000000"/>
          <w:spacing w:val="-2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7D7CEC">
        <w:rPr>
          <w:rFonts w:ascii="Palatino Linotype" w:hAnsi="Palatino Linotype" w:cs="Arial"/>
        </w:rPr>
        <w:t>o de la resolución dictada en los</w:t>
      </w:r>
      <w:r w:rsidRPr="00E42755">
        <w:rPr>
          <w:rFonts w:ascii="Palatino Linotype" w:hAnsi="Palatino Linotype" w:cs="Arial"/>
        </w:rPr>
        <w:t xml:space="preserve"> recurso</w:t>
      </w:r>
      <w:r w:rsidR="007D7CEC">
        <w:rPr>
          <w:rFonts w:ascii="Palatino Linotype" w:hAnsi="Palatino Linotype" w:cs="Arial"/>
        </w:rPr>
        <w:t>s</w:t>
      </w:r>
      <w:r w:rsidRPr="00E42755">
        <w:rPr>
          <w:rFonts w:ascii="Palatino Linotype" w:hAnsi="Palatino Linotype" w:cs="Arial"/>
        </w:rPr>
        <w:t xml:space="preserve"> de revisión</w:t>
      </w:r>
      <w:r w:rsidR="007D7CEC">
        <w:rPr>
          <w:rFonts w:ascii="Palatino Linotype" w:hAnsi="Palatino Linotype" w:cs="Arial"/>
        </w:rPr>
        <w:t xml:space="preserve"> acumulados</w:t>
      </w:r>
      <w:r w:rsidRPr="00E42755">
        <w:rPr>
          <w:rFonts w:ascii="Palatino Linotype" w:hAnsi="Palatino Linotype" w:cs="Arial"/>
        </w:rPr>
        <w:t xml:space="preserve"> </w:t>
      </w:r>
      <w:r w:rsidR="007D7CEC" w:rsidRPr="007D7CEC">
        <w:rPr>
          <w:rFonts w:ascii="Palatino Linotype" w:hAnsi="Palatino Linotype" w:cs="Arial"/>
          <w:b/>
          <w:spacing w:val="-20"/>
        </w:rPr>
        <w:t>05539/INFOEM/IP/RR/2019, 05540/INFOEM/IP/RR/2019, 05541/INFOEM/IP/RR/2019, 05542/INFOEM/IP/RR/2019, 05547/INFOEM/IP/RR/2019 y 05548/INFOEM/IP/RR/2019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284D7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284D71">
        <w:rPr>
          <w:rFonts w:ascii="Palatino Linotype" w:hAnsi="Palatino Linotype"/>
        </w:rPr>
        <w:t>SEXTO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284D71">
        <w:rPr>
          <w:rFonts w:ascii="Palatino Linotype" w:hAnsi="Palatino Linotype"/>
        </w:rPr>
        <w:t xml:space="preserve"> la</w:t>
      </w:r>
      <w:r w:rsidR="00BD1BCE">
        <w:rPr>
          <w:rFonts w:ascii="Palatino Linotype" w:hAnsi="Palatino Linotype"/>
        </w:rPr>
        <w:t xml:space="preserve"> </w:t>
      </w:r>
      <w:r w:rsidR="00284D71" w:rsidRPr="00183385">
        <w:rPr>
          <w:rFonts w:ascii="Palatino Linotype" w:hAnsi="Palatino Linotype" w:cs="Arial"/>
          <w:b/>
        </w:rPr>
        <w:t>Comisión del Agua del Estado de México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284D71" w:rsidRPr="00284D71" w:rsidRDefault="00284D71" w:rsidP="00284D71">
      <w:pPr>
        <w:spacing w:before="100" w:beforeAutospacing="1" w:after="100" w:afterAutospacing="1"/>
        <w:ind w:left="709"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1. Planos actualizados definitivos, que incluyan:</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xml:space="preserve">- Planos estructurales As </w:t>
      </w:r>
      <w:proofErr w:type="spellStart"/>
      <w:r w:rsidRPr="00284D71">
        <w:rPr>
          <w:rFonts w:ascii="Palatino Linotype" w:eastAsia="Calibri" w:hAnsi="Palatino Linotype" w:cs="Tahoma"/>
          <w:i/>
          <w:iCs/>
          <w:sz w:val="22"/>
          <w:szCs w:val="22"/>
          <w:lang w:eastAsia="es-ES_tradnl"/>
        </w:rPr>
        <w:t>Build</w:t>
      </w:r>
      <w:proofErr w:type="spellEnd"/>
      <w:r w:rsidRPr="00284D71">
        <w:rPr>
          <w:rFonts w:ascii="Palatino Linotype" w:eastAsia="Calibri" w:hAnsi="Palatino Linotype" w:cs="Tahoma"/>
          <w:i/>
          <w:iCs/>
          <w:sz w:val="22"/>
          <w:szCs w:val="22"/>
          <w:lang w:eastAsia="es-ES_tradnl"/>
        </w:rPr>
        <w:t>.</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Planos mecánicos Finales.</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Planos Eléctricos Finales.</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DTI final.</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DFP final.</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Balance de masa final.</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Arreglo general final.</w:t>
      </w:r>
    </w:p>
    <w:p w:rsidR="00284D71" w:rsidRPr="00284D71" w:rsidRDefault="00284D71" w:rsidP="00284D71">
      <w:pPr>
        <w:spacing w:before="100" w:beforeAutospacing="1" w:after="100" w:afterAutospacing="1"/>
        <w:ind w:left="993"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 Otros que encuentren dentro del número 23 “Planos actualizados definitivos” del  Instructivo para el llenado de índice de expediente único de obra en la modalidad “Licitación Pública</w:t>
      </w:r>
    </w:p>
    <w:p w:rsidR="00284D71" w:rsidRPr="00284D71" w:rsidRDefault="00284D71" w:rsidP="00284D71">
      <w:pPr>
        <w:spacing w:before="100" w:beforeAutospacing="1" w:after="100" w:afterAutospacing="1"/>
        <w:ind w:left="709"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2. Estudio de mecánica de suelos para el nuevo predio, solicitado por la Dirección del Programa Hidráulico de la CAEM.</w:t>
      </w:r>
    </w:p>
    <w:p w:rsidR="00284D71" w:rsidRPr="00284D71" w:rsidRDefault="00284D71" w:rsidP="00284D71">
      <w:pPr>
        <w:spacing w:before="100" w:beforeAutospacing="1" w:after="100" w:afterAutospacing="1"/>
        <w:ind w:left="709"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3. Planos del Proyecto para la construcción de Cárcamos y Colectores.</w:t>
      </w:r>
    </w:p>
    <w:p w:rsidR="00284D71" w:rsidRPr="00284D71" w:rsidRDefault="00284D71" w:rsidP="00284D71">
      <w:pPr>
        <w:spacing w:before="100" w:beforeAutospacing="1" w:after="100" w:afterAutospacing="1"/>
        <w:ind w:left="709"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4. Secciones topográficas actualizadas y definitivas de la Construcción de la Planta de Tratamiento.</w:t>
      </w:r>
    </w:p>
    <w:p w:rsidR="00284D71" w:rsidRPr="00284D71" w:rsidRDefault="00284D71" w:rsidP="00284D71">
      <w:pPr>
        <w:spacing w:before="100" w:beforeAutospacing="1" w:after="100" w:afterAutospacing="1"/>
        <w:ind w:left="709" w:right="708"/>
        <w:jc w:val="both"/>
        <w:rPr>
          <w:rFonts w:ascii="Palatino Linotype" w:eastAsia="Calibri" w:hAnsi="Palatino Linotype" w:cs="Tahoma"/>
          <w:i/>
          <w:iCs/>
          <w:sz w:val="22"/>
          <w:szCs w:val="22"/>
          <w:lang w:eastAsia="es-ES_tradnl"/>
        </w:rPr>
      </w:pPr>
      <w:r w:rsidRPr="00284D71">
        <w:rPr>
          <w:rFonts w:ascii="Palatino Linotype" w:eastAsia="Calibri" w:hAnsi="Palatino Linotype" w:cs="Tahoma"/>
          <w:i/>
          <w:iCs/>
          <w:sz w:val="22"/>
          <w:szCs w:val="22"/>
          <w:lang w:eastAsia="es-ES_tradnl"/>
        </w:rPr>
        <w:t>5. Perfil hidráulico</w:t>
      </w:r>
    </w:p>
    <w:p w:rsidR="0053710B" w:rsidRPr="00284D71" w:rsidRDefault="00284D71" w:rsidP="00284D71">
      <w:pPr>
        <w:spacing w:before="100" w:beforeAutospacing="1" w:after="100" w:afterAutospacing="1"/>
        <w:ind w:left="709" w:right="708"/>
        <w:jc w:val="both"/>
        <w:rPr>
          <w:rFonts w:ascii="Palatino Linotype" w:hAnsi="Palatino Linotype" w:cs="Arial"/>
          <w:i/>
          <w:sz w:val="22"/>
          <w:szCs w:val="22"/>
        </w:rPr>
      </w:pPr>
      <w:r w:rsidRPr="00284D71">
        <w:rPr>
          <w:rFonts w:ascii="Palatino Linotype" w:eastAsia="Calibri" w:hAnsi="Palatino Linotype" w:cs="Tahoma"/>
          <w:i/>
          <w:iCs/>
          <w:sz w:val="22"/>
          <w:szCs w:val="22"/>
          <w:lang w:eastAsia="es-ES_tradnl"/>
        </w:rPr>
        <w:t>6. Memoria de cálculo final.”.</w:t>
      </w:r>
    </w:p>
    <w:p w:rsidR="00990B21"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7D7CEC">
        <w:rPr>
          <w:rFonts w:ascii="Palatino Linotype" w:hAnsi="Palatino Linotype" w:cs="Arial"/>
        </w:rPr>
        <w:t xml:space="preserve">mediante sus respuestas, </w:t>
      </w:r>
      <w:r w:rsidR="00284D71">
        <w:rPr>
          <w:rFonts w:ascii="Palatino Linotype" w:hAnsi="Palatino Linotype" w:cs="Arial"/>
        </w:rPr>
        <w:t>remitió diversos archivos electrónicos encaminados a atender el derecho de acceso a la información pública accionado por el particular.</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Inconforme con la</w:t>
      </w:r>
      <w:r w:rsidR="006B7C08">
        <w:rPr>
          <w:rFonts w:ascii="Palatino Linotype" w:hAnsi="Palatino Linotype" w:cs="Arial"/>
        </w:rPr>
        <w:t>s</w:t>
      </w:r>
      <w:r w:rsidR="006739B1">
        <w:rPr>
          <w:rFonts w:ascii="Palatino Linotype" w:hAnsi="Palatino Linotype" w:cs="Arial"/>
        </w:rPr>
        <w:t xml:space="preserve"> </w:t>
      </w:r>
      <w:r w:rsidR="000D1731" w:rsidRPr="006B517F">
        <w:rPr>
          <w:rFonts w:ascii="Palatino Linotype" w:hAnsi="Palatino Linotype" w:cs="Arial"/>
        </w:rPr>
        <w:t>respuesta</w:t>
      </w:r>
      <w:r w:rsidR="006B7C08">
        <w:rPr>
          <w:rFonts w:ascii="Palatino Linotype" w:hAnsi="Palatino Linotype" w:cs="Arial"/>
        </w:rPr>
        <w:t>s</w:t>
      </w:r>
      <w:r w:rsidR="000D1731" w:rsidRPr="006B517F">
        <w:rPr>
          <w:rFonts w:ascii="Palatino Linotype" w:hAnsi="Palatino Linotype" w:cs="Arial"/>
        </w:rPr>
        <w:t xml:space="preserve">, </w:t>
      </w:r>
      <w:r w:rsidR="000D1731" w:rsidRPr="006B517F">
        <w:rPr>
          <w:rFonts w:ascii="Palatino Linotype" w:hAnsi="Palatino Linotype" w:cs="Arial"/>
          <w:b/>
        </w:rPr>
        <w:t>EL RECURRENTE</w:t>
      </w:r>
      <w:r w:rsidR="006B7C08">
        <w:rPr>
          <w:rFonts w:ascii="Palatino Linotype" w:hAnsi="Palatino Linotype" w:cs="Arial"/>
        </w:rPr>
        <w:t>, interpuso los</w:t>
      </w:r>
      <w:r w:rsidR="000D1731" w:rsidRPr="006B517F">
        <w:rPr>
          <w:rFonts w:ascii="Palatino Linotype" w:hAnsi="Palatino Linotype" w:cs="Arial"/>
        </w:rPr>
        <w:t xml:space="preserve"> recurso</w:t>
      </w:r>
      <w:r w:rsidR="006B7C08">
        <w:rPr>
          <w:rFonts w:ascii="Palatino Linotype" w:hAnsi="Palatino Linotype" w:cs="Arial"/>
        </w:rPr>
        <w:t>s</w:t>
      </w:r>
      <w:r w:rsidR="000D1731" w:rsidRPr="006B517F">
        <w:rPr>
          <w:rFonts w:ascii="Palatino Linotype" w:hAnsi="Palatino Linotype" w:cs="Arial"/>
        </w:rPr>
        <w:t xml:space="preserve">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 </w:t>
      </w:r>
      <w:r w:rsidR="007D7CEC">
        <w:rPr>
          <w:rFonts w:ascii="Palatino Linotype" w:hAnsi="Palatino Linotype" w:cs="Arial"/>
        </w:rPr>
        <w:t>que el acuerdo realizado por el Comité de Transparencia no es aplicable al caso concreto</w:t>
      </w:r>
      <w:r w:rsidR="00990B21">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84770">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w:t>
      </w:r>
      <w:r w:rsidR="007D7CEC">
        <w:rPr>
          <w:rFonts w:ascii="Palatino Linotype" w:hAnsi="Palatino Linotype" w:cs="Arial"/>
        </w:rPr>
        <w:t>s respuestas</w:t>
      </w:r>
      <w:r w:rsidR="00984770">
        <w:rPr>
          <w:rFonts w:ascii="Palatino Linotype" w:hAnsi="Palatino Linotype" w:cs="Arial"/>
        </w:rPr>
        <w:t xml:space="preserve"> del</w:t>
      </w:r>
      <w:r w:rsidR="005831CB">
        <w:rPr>
          <w:rFonts w:ascii="Palatino Linotype" w:hAnsi="Palatino Linotype" w:cs="Arial"/>
        </w:rPr>
        <w:t xml:space="preserve"> </w:t>
      </w:r>
      <w:r w:rsidRPr="000D1731">
        <w:rPr>
          <w:rFonts w:ascii="Palatino Linotype" w:hAnsi="Palatino Linotype" w:cs="Arial"/>
          <w:b/>
        </w:rPr>
        <w:t>SUJETO OBLIGADO</w:t>
      </w:r>
      <w:r w:rsidR="007D7CEC">
        <w:rPr>
          <w:rFonts w:ascii="Palatino Linotype" w:hAnsi="Palatino Linotype" w:cs="Arial"/>
        </w:rPr>
        <w:t xml:space="preserve"> en los </w:t>
      </w:r>
      <w:r w:rsidR="007D7CEC" w:rsidRPr="007D7CEC">
        <w:rPr>
          <w:rFonts w:ascii="Palatino Linotype" w:hAnsi="Palatino Linotype" w:cs="Arial"/>
        </w:rPr>
        <w:t xml:space="preserve">recursos de revisión </w:t>
      </w:r>
      <w:r w:rsidR="007D7CEC" w:rsidRPr="007D7CEC">
        <w:rPr>
          <w:rFonts w:ascii="Palatino Linotype" w:hAnsi="Palatino Linotype" w:cs="Arial"/>
          <w:b/>
        </w:rPr>
        <w:t>05539/INFOEM/IP/RR/2019, 05547/INFOEM/IP/RR/2019 y 05548/INFOEM/IP/RR/2019</w:t>
      </w:r>
      <w:r w:rsidRPr="006078FA">
        <w:rPr>
          <w:rFonts w:ascii="Palatino Linotype" w:hAnsi="Palatino Linotype" w:cs="Arial"/>
        </w:rPr>
        <w:t xml:space="preserve"> </w:t>
      </w:r>
      <w:r w:rsidR="00984770" w:rsidRPr="004A7F3B">
        <w:rPr>
          <w:rFonts w:ascii="Palatino Linotype" w:eastAsia="Calibri" w:hAnsi="Palatino Linotype" w:cs="Arial"/>
        </w:rPr>
        <w:t xml:space="preserve">ordenándole </w:t>
      </w:r>
      <w:r w:rsidR="00984770" w:rsidRPr="004A7F3B">
        <w:rPr>
          <w:rFonts w:ascii="Palatino Linotype" w:eastAsia="Calibri" w:hAnsi="Palatino Linotype" w:cs="Tahoma"/>
          <w:lang w:eastAsia="es-MX"/>
        </w:rPr>
        <w:t xml:space="preserve">que </w:t>
      </w:r>
      <w:r w:rsidR="00984770" w:rsidRPr="004A7F3B">
        <w:rPr>
          <w:rFonts w:ascii="Palatino Linotype" w:eastAsia="Calibri" w:hAnsi="Palatino Linotype" w:cs="Tahoma"/>
          <w:bCs/>
          <w:lang w:eastAsia="es-MX"/>
        </w:rPr>
        <w:t xml:space="preserve">otorgue vía Sistema de Acceso a la información Mexiquense (SAIMEX), </w:t>
      </w:r>
      <w:r w:rsidR="007D7CEC" w:rsidRPr="00CD55CA">
        <w:rPr>
          <w:rFonts w:ascii="Palatino Linotype" w:hAnsi="Palatino Linotype"/>
        </w:rPr>
        <w:t>en versión pública de ser necesario,</w:t>
      </w:r>
      <w:r w:rsidR="007D7CEC" w:rsidRPr="00CD55CA">
        <w:rPr>
          <w:rFonts w:ascii="Palatino Linotype" w:hAnsi="Palatino Linotype" w:cs="Arial"/>
          <w:bCs/>
          <w:lang w:eastAsia="en-US"/>
        </w:rPr>
        <w:t xml:space="preserve"> de los documentos</w:t>
      </w:r>
      <w:r w:rsidR="007D7CEC">
        <w:rPr>
          <w:rFonts w:ascii="Palatino Linotype" w:hAnsi="Palatino Linotype" w:cs="Arial"/>
          <w:bCs/>
          <w:lang w:eastAsia="en-US"/>
        </w:rPr>
        <w:t xml:space="preserve"> en los que conste, de la </w:t>
      </w:r>
      <w:r w:rsidR="007D7CEC" w:rsidRPr="00D2194E">
        <w:rPr>
          <w:rFonts w:ascii="Palatino Linotype" w:hAnsi="Palatino Linotype" w:cs="Arial"/>
          <w:bCs/>
          <w:lang w:eastAsia="en-US"/>
        </w:rPr>
        <w:t xml:space="preserve">Planta de Tratamiento de Aguas Residuales y Emisarios de la Localidad de San Mateo </w:t>
      </w:r>
      <w:proofErr w:type="spellStart"/>
      <w:r w:rsidR="007D7CEC" w:rsidRPr="00D2194E">
        <w:rPr>
          <w:rFonts w:ascii="Palatino Linotype" w:hAnsi="Palatino Linotype" w:cs="Arial"/>
          <w:bCs/>
          <w:lang w:eastAsia="en-US"/>
        </w:rPr>
        <w:t>Huitzilzingo</w:t>
      </w:r>
      <w:proofErr w:type="spellEnd"/>
      <w:r w:rsidR="007D7CEC">
        <w:rPr>
          <w:rFonts w:ascii="Palatino Linotype" w:hAnsi="Palatino Linotype" w:cs="Arial"/>
          <w:bCs/>
          <w:lang w:eastAsia="en-US"/>
        </w:rPr>
        <w:t>, Municipio de Chalco, lo siguiente</w:t>
      </w:r>
      <w:r w:rsidR="00984770" w:rsidRPr="004A7F3B">
        <w:rPr>
          <w:rFonts w:ascii="Palatino Linotype" w:hAnsi="Palatino Linotype" w:cs="Tahoma"/>
        </w:rPr>
        <w:t>:</w:t>
      </w:r>
      <w:r w:rsidR="00984770" w:rsidRPr="00997924">
        <w:rPr>
          <w:rFonts w:ascii="Palatino Linotype" w:hAnsi="Palatino Linotype" w:cs="Tahoma"/>
          <w:sz w:val="22"/>
          <w:szCs w:val="22"/>
        </w:rPr>
        <w:t xml:space="preserve"> </w:t>
      </w:r>
      <w:r w:rsidR="00984770">
        <w:rPr>
          <w:rFonts w:ascii="Palatino Linotype" w:eastAsia="Calibri" w:hAnsi="Palatino Linotype" w:cs="Arial"/>
        </w:rPr>
        <w:t xml:space="preserve"> </w:t>
      </w:r>
    </w:p>
    <w:p w:rsidR="007D7CEC" w:rsidRPr="007D7CEC" w:rsidRDefault="007D7CEC" w:rsidP="007D7CEC">
      <w:pPr>
        <w:ind w:left="720" w:right="708"/>
        <w:jc w:val="both"/>
        <w:rPr>
          <w:rFonts w:ascii="Palatino Linotype" w:hAnsi="Palatino Linotype"/>
          <w:i/>
          <w:sz w:val="22"/>
          <w:szCs w:val="22"/>
        </w:rPr>
      </w:pPr>
      <w:r w:rsidRPr="007D7CEC">
        <w:rPr>
          <w:rFonts w:ascii="Palatino Linotype" w:hAnsi="Palatino Linotype"/>
          <w:i/>
          <w:sz w:val="22"/>
          <w:szCs w:val="22"/>
        </w:rPr>
        <w:t>1.</w:t>
      </w:r>
      <w:r w:rsidRPr="007D7CEC">
        <w:rPr>
          <w:rFonts w:ascii="Palatino Linotype" w:hAnsi="Palatino Linotype"/>
          <w:i/>
          <w:sz w:val="22"/>
          <w:szCs w:val="22"/>
        </w:rPr>
        <w:tab/>
        <w:t xml:space="preserve">Estudio de mecánica de suelos solicitado por </w:t>
      </w:r>
      <w:proofErr w:type="gramStart"/>
      <w:r w:rsidRPr="007D7CEC">
        <w:rPr>
          <w:rFonts w:ascii="Palatino Linotype" w:hAnsi="Palatino Linotype"/>
          <w:i/>
          <w:sz w:val="22"/>
          <w:szCs w:val="22"/>
        </w:rPr>
        <w:t>la</w:t>
      </w:r>
      <w:proofErr w:type="gramEnd"/>
      <w:r w:rsidRPr="007D7CEC">
        <w:rPr>
          <w:rFonts w:ascii="Palatino Linotype" w:hAnsi="Palatino Linotype"/>
          <w:i/>
          <w:sz w:val="22"/>
          <w:szCs w:val="22"/>
        </w:rPr>
        <w:t xml:space="preserve"> solicitado por la Dirección General del Programa Hidráulico.</w:t>
      </w:r>
    </w:p>
    <w:p w:rsidR="007D7CEC" w:rsidRPr="007D7CEC" w:rsidRDefault="007D7CEC" w:rsidP="007D7CEC">
      <w:pPr>
        <w:ind w:left="720" w:right="708"/>
        <w:jc w:val="both"/>
        <w:rPr>
          <w:rFonts w:ascii="Palatino Linotype" w:hAnsi="Palatino Linotype"/>
          <w:i/>
          <w:sz w:val="22"/>
          <w:szCs w:val="22"/>
        </w:rPr>
      </w:pPr>
      <w:r w:rsidRPr="007D7CEC">
        <w:rPr>
          <w:rFonts w:ascii="Palatino Linotype" w:hAnsi="Palatino Linotype"/>
          <w:i/>
          <w:sz w:val="22"/>
          <w:szCs w:val="22"/>
        </w:rPr>
        <w:t>2.</w:t>
      </w:r>
      <w:r w:rsidRPr="007D7CEC">
        <w:rPr>
          <w:rFonts w:ascii="Palatino Linotype" w:hAnsi="Palatino Linotype"/>
          <w:i/>
          <w:sz w:val="22"/>
          <w:szCs w:val="22"/>
        </w:rPr>
        <w:tab/>
        <w:t>Perfil Hidráulico.</w:t>
      </w:r>
    </w:p>
    <w:p w:rsidR="007D7CEC" w:rsidRPr="007D7CEC" w:rsidRDefault="007D7CEC" w:rsidP="007D7CEC">
      <w:pPr>
        <w:ind w:left="720" w:right="708"/>
        <w:jc w:val="both"/>
        <w:rPr>
          <w:rFonts w:ascii="Palatino Linotype" w:hAnsi="Palatino Linotype"/>
          <w:i/>
          <w:sz w:val="22"/>
          <w:szCs w:val="22"/>
        </w:rPr>
      </w:pPr>
      <w:r w:rsidRPr="007D7CEC">
        <w:rPr>
          <w:rFonts w:ascii="Palatino Linotype" w:hAnsi="Palatino Linotype"/>
          <w:i/>
          <w:sz w:val="22"/>
          <w:szCs w:val="22"/>
        </w:rPr>
        <w:t>3.</w:t>
      </w:r>
      <w:r w:rsidRPr="007D7CEC">
        <w:rPr>
          <w:rFonts w:ascii="Palatino Linotype" w:hAnsi="Palatino Linotype"/>
          <w:i/>
          <w:sz w:val="22"/>
          <w:szCs w:val="22"/>
        </w:rPr>
        <w:tab/>
        <w:t>Memoria de cálculo final</w:t>
      </w:r>
    </w:p>
    <w:p w:rsidR="00D21672" w:rsidRDefault="007D7CEC" w:rsidP="007D7CEC">
      <w:pPr>
        <w:ind w:left="720" w:right="708"/>
        <w:jc w:val="both"/>
        <w:rPr>
          <w:rFonts w:ascii="Palatino Linotype" w:hAnsi="Palatino Linotype"/>
          <w:i/>
          <w:sz w:val="22"/>
          <w:szCs w:val="22"/>
        </w:rPr>
      </w:pPr>
      <w:r w:rsidRPr="007D7CEC">
        <w:rPr>
          <w:rFonts w:ascii="Palatino Linotype" w:hAnsi="Palatino Linotype"/>
          <w:i/>
          <w:sz w:val="22"/>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w:t>
      </w:r>
      <w:r w:rsidRPr="007D7CEC">
        <w:rPr>
          <w:rFonts w:ascii="Palatino Linotype" w:hAnsi="Palatino Linotype"/>
          <w:i/>
          <w:sz w:val="22"/>
          <w:szCs w:val="22"/>
        </w:rPr>
        <w:lastRenderedPageBreak/>
        <w:t>públicas que se formulen y se pongan a disposición del recurrente, mismo que igualmente hará de su conocimiento.</w:t>
      </w:r>
    </w:p>
    <w:p w:rsidR="007D7CEC" w:rsidRDefault="007D7CEC" w:rsidP="007D7CEC">
      <w:pPr>
        <w:ind w:left="720" w:right="708"/>
        <w:jc w:val="both"/>
        <w:rPr>
          <w:rFonts w:ascii="Palatino Linotype" w:hAnsi="Palatino Linotype"/>
          <w:i/>
          <w:sz w:val="22"/>
          <w:szCs w:val="22"/>
        </w:rPr>
      </w:pPr>
    </w:p>
    <w:p w:rsidR="007D7CEC" w:rsidRPr="00984770" w:rsidRDefault="007D7CEC" w:rsidP="007D7CEC">
      <w:pPr>
        <w:ind w:left="720" w:right="708"/>
        <w:jc w:val="both"/>
        <w:rPr>
          <w:rFonts w:ascii="Palatino Linotype" w:eastAsia="Calibri" w:hAnsi="Palatino Linotype" w:cs="Arial"/>
          <w:i/>
          <w:sz w:val="22"/>
          <w:szCs w:val="22"/>
        </w:rPr>
      </w:pPr>
    </w:p>
    <w:p w:rsidR="007D7CEC" w:rsidRDefault="007D7CEC" w:rsidP="005831CB">
      <w:pPr>
        <w:spacing w:before="100" w:beforeAutospacing="1" w:after="100" w:afterAutospacing="1" w:line="360" w:lineRule="auto"/>
        <w:ind w:right="49"/>
        <w:jc w:val="both"/>
        <w:rPr>
          <w:rFonts w:ascii="Palatino Linotype" w:hAnsi="Palatino Linotype" w:cs="Arial"/>
          <w:szCs w:val="22"/>
        </w:rPr>
      </w:pPr>
      <w:r>
        <w:rPr>
          <w:rFonts w:ascii="Palatino Linotype" w:hAnsi="Palatino Linotype" w:cs="Arial"/>
        </w:rPr>
        <w:t xml:space="preserve">Por lo que hace a </w:t>
      </w:r>
      <w:r w:rsidRPr="00BB4BD2">
        <w:rPr>
          <w:rFonts w:ascii="Palatino Linotype" w:hAnsi="Palatino Linotype" w:cs="Arial"/>
        </w:rPr>
        <w:t>los recursos de revisión</w:t>
      </w:r>
      <w:r>
        <w:rPr>
          <w:rFonts w:ascii="Palatino Linotype" w:hAnsi="Palatino Linotype" w:cs="Arial"/>
        </w:rPr>
        <w:t xml:space="preserve"> </w:t>
      </w:r>
      <w:r w:rsidRPr="00D2194E">
        <w:rPr>
          <w:rFonts w:ascii="Palatino Linotype" w:hAnsi="Palatino Linotype" w:cs="Arial"/>
          <w:b/>
          <w:szCs w:val="22"/>
        </w:rPr>
        <w:t>055</w:t>
      </w:r>
      <w:r>
        <w:rPr>
          <w:rFonts w:ascii="Palatino Linotype" w:hAnsi="Palatino Linotype" w:cs="Arial"/>
          <w:b/>
          <w:szCs w:val="22"/>
        </w:rPr>
        <w:t>40</w:t>
      </w:r>
      <w:r w:rsidRPr="00D2194E">
        <w:rPr>
          <w:rFonts w:ascii="Palatino Linotype" w:hAnsi="Palatino Linotype" w:cs="Arial"/>
          <w:b/>
          <w:szCs w:val="22"/>
        </w:rPr>
        <w:t>/INFOEM/IP/RR/2019</w:t>
      </w:r>
      <w:r>
        <w:rPr>
          <w:rFonts w:ascii="Palatino Linotype" w:hAnsi="Palatino Linotype" w:cs="Arial"/>
          <w:b/>
          <w:szCs w:val="22"/>
        </w:rPr>
        <w:t xml:space="preserve">, </w:t>
      </w:r>
      <w:r w:rsidRPr="00D2194E">
        <w:rPr>
          <w:rFonts w:ascii="Palatino Linotype" w:hAnsi="Palatino Linotype" w:cs="Arial"/>
          <w:b/>
          <w:szCs w:val="22"/>
        </w:rPr>
        <w:t>055</w:t>
      </w:r>
      <w:r>
        <w:rPr>
          <w:rFonts w:ascii="Palatino Linotype" w:hAnsi="Palatino Linotype" w:cs="Arial"/>
          <w:b/>
          <w:szCs w:val="22"/>
        </w:rPr>
        <w:t>41</w:t>
      </w:r>
      <w:r w:rsidRPr="00D2194E">
        <w:rPr>
          <w:rFonts w:ascii="Palatino Linotype" w:hAnsi="Palatino Linotype" w:cs="Arial"/>
          <w:b/>
          <w:szCs w:val="22"/>
        </w:rPr>
        <w:t>/INFOEM/IP/RR/2019</w:t>
      </w:r>
      <w:r>
        <w:rPr>
          <w:rFonts w:ascii="Palatino Linotype" w:hAnsi="Palatino Linotype" w:cs="Arial"/>
          <w:b/>
          <w:szCs w:val="22"/>
        </w:rPr>
        <w:t xml:space="preserve"> </w:t>
      </w:r>
      <w:r>
        <w:rPr>
          <w:rFonts w:ascii="Palatino Linotype" w:hAnsi="Palatino Linotype" w:cs="Arial"/>
          <w:szCs w:val="22"/>
        </w:rPr>
        <w:t xml:space="preserve">y </w:t>
      </w:r>
      <w:r w:rsidRPr="00D2194E">
        <w:rPr>
          <w:rFonts w:ascii="Palatino Linotype" w:hAnsi="Palatino Linotype" w:cs="Arial"/>
          <w:b/>
          <w:szCs w:val="22"/>
        </w:rPr>
        <w:t>055</w:t>
      </w:r>
      <w:r>
        <w:rPr>
          <w:rFonts w:ascii="Palatino Linotype" w:hAnsi="Palatino Linotype" w:cs="Arial"/>
          <w:b/>
          <w:szCs w:val="22"/>
        </w:rPr>
        <w:t>42</w:t>
      </w:r>
      <w:r w:rsidRPr="00D2194E">
        <w:rPr>
          <w:rFonts w:ascii="Palatino Linotype" w:hAnsi="Palatino Linotype" w:cs="Arial"/>
          <w:b/>
          <w:szCs w:val="22"/>
        </w:rPr>
        <w:t>/INFOEM/IP/RR/2019</w:t>
      </w:r>
      <w:r>
        <w:rPr>
          <w:rFonts w:ascii="Palatino Linotype" w:hAnsi="Palatino Linotype" w:cs="Arial"/>
          <w:b/>
          <w:szCs w:val="22"/>
        </w:rPr>
        <w:t xml:space="preserve"> </w:t>
      </w:r>
      <w:r>
        <w:rPr>
          <w:rFonts w:ascii="Palatino Linotype" w:hAnsi="Palatino Linotype" w:cs="Arial"/>
          <w:szCs w:val="22"/>
        </w:rPr>
        <w:t xml:space="preserve">se determinó </w:t>
      </w:r>
      <w:r w:rsidRPr="007D7CEC">
        <w:rPr>
          <w:rFonts w:ascii="Palatino Linotype" w:hAnsi="Palatino Linotype" w:cs="Arial"/>
          <w:b/>
          <w:szCs w:val="22"/>
        </w:rPr>
        <w:t>MODIFICAR</w:t>
      </w:r>
      <w:r>
        <w:rPr>
          <w:rFonts w:ascii="Palatino Linotype" w:hAnsi="Palatino Linotype" w:cs="Arial"/>
          <w:b/>
          <w:szCs w:val="22"/>
        </w:rPr>
        <w:t xml:space="preserve"> </w:t>
      </w:r>
      <w:r>
        <w:rPr>
          <w:rFonts w:ascii="Palatino Linotype" w:hAnsi="Palatino Linotype" w:cs="Arial"/>
          <w:szCs w:val="22"/>
        </w:rPr>
        <w:t xml:space="preserve">la respuesta del </w:t>
      </w:r>
      <w:r w:rsidRPr="007D7CEC">
        <w:rPr>
          <w:rFonts w:ascii="Palatino Linotype" w:hAnsi="Palatino Linotype" w:cs="Arial"/>
          <w:b/>
          <w:szCs w:val="22"/>
        </w:rPr>
        <w:t>SUJETO OBLIGADO</w:t>
      </w:r>
      <w:r w:rsidR="003A2F12">
        <w:rPr>
          <w:rFonts w:ascii="Palatino Linotype" w:hAnsi="Palatino Linotype" w:cs="Arial"/>
          <w:b/>
          <w:szCs w:val="22"/>
        </w:rPr>
        <w:t xml:space="preserve"> </w:t>
      </w:r>
      <w:r w:rsidR="003A2F12">
        <w:rPr>
          <w:rFonts w:ascii="Palatino Linotype" w:hAnsi="Palatino Linotype" w:cs="Arial"/>
          <w:szCs w:val="22"/>
        </w:rPr>
        <w:t xml:space="preserve">y se ordena hacer entrega </w:t>
      </w:r>
      <w:r w:rsidR="003A2F12" w:rsidRPr="003A2F12">
        <w:rPr>
          <w:rFonts w:ascii="Palatino Linotype" w:hAnsi="Palatino Linotype" w:cs="Arial"/>
          <w:szCs w:val="22"/>
        </w:rPr>
        <w:t xml:space="preserve">a través de SAIMEX, de la Planta de Tratamiento de Aguas Residuales y Emisarios de la Localidad de San Mateo </w:t>
      </w:r>
      <w:proofErr w:type="spellStart"/>
      <w:r w:rsidR="003A2F12" w:rsidRPr="003A2F12">
        <w:rPr>
          <w:rFonts w:ascii="Palatino Linotype" w:hAnsi="Palatino Linotype" w:cs="Arial"/>
          <w:szCs w:val="22"/>
        </w:rPr>
        <w:t>Huitzilzingo</w:t>
      </w:r>
      <w:proofErr w:type="spellEnd"/>
      <w:r w:rsidR="003A2F12" w:rsidRPr="003A2F12">
        <w:rPr>
          <w:rFonts w:ascii="Palatino Linotype" w:hAnsi="Palatino Linotype" w:cs="Arial"/>
          <w:szCs w:val="22"/>
        </w:rPr>
        <w:t>, Municipio de Chalco, lo siguiente:</w:t>
      </w:r>
    </w:p>
    <w:p w:rsidR="003A2F12" w:rsidRPr="003A2F12" w:rsidRDefault="003A2F12" w:rsidP="003A2F12">
      <w:pPr>
        <w:pStyle w:val="Prrafodelista"/>
        <w:numPr>
          <w:ilvl w:val="0"/>
          <w:numId w:val="22"/>
        </w:numPr>
        <w:spacing w:before="240" w:after="240"/>
        <w:ind w:right="708"/>
        <w:jc w:val="both"/>
        <w:rPr>
          <w:rFonts w:ascii="Palatino Linotype" w:hAnsi="Palatino Linotype"/>
          <w:i/>
          <w:sz w:val="22"/>
          <w:szCs w:val="22"/>
          <w:lang w:val="es-ES_tradnl"/>
        </w:rPr>
      </w:pPr>
      <w:r w:rsidRPr="003A2F12">
        <w:rPr>
          <w:rFonts w:ascii="Palatino Linotype" w:hAnsi="Palatino Linotype"/>
          <w:bCs/>
          <w:i/>
          <w:sz w:val="22"/>
          <w:szCs w:val="22"/>
        </w:rPr>
        <w:t>El Acuerdo del Comité de Transparencia en términos de lo dispuesto por los artículos 47, 49 fracción VIII, 122, 125, 128, 129, 131, 132 fracción II, 133, 134, 140 y 141 de la Ley de Transparencia y Acceso a la Información Pública del Estado de México y Municipios</w:t>
      </w:r>
      <w:r w:rsidRPr="003A2F12">
        <w:rPr>
          <w:rFonts w:ascii="Palatino Linotype" w:eastAsia="Calibri" w:hAnsi="Palatino Linotype" w:cs="Arial"/>
          <w:i/>
          <w:sz w:val="22"/>
          <w:szCs w:val="22"/>
          <w:lang w:val="es-ES_tradnl"/>
        </w:rPr>
        <w:t xml:space="preserve">, </w:t>
      </w:r>
      <w:r w:rsidRPr="003A2F12">
        <w:rPr>
          <w:rFonts w:ascii="Palatino Linotype" w:hAnsi="Palatino Linotype"/>
          <w:bCs/>
          <w:i/>
          <w:sz w:val="22"/>
          <w:szCs w:val="22"/>
        </w:rPr>
        <w:t>en el que funde y motive las razones por las cuales se justifique la clasificación de los planos actualizados definitivos, planos del proyecto para la construcción de cárcamos y colectores, y las secciones topográficas actualizadas, como información reservada.</w:t>
      </w:r>
    </w:p>
    <w:p w:rsidR="003A2F12" w:rsidRDefault="003A2F12" w:rsidP="003A2F12">
      <w:pPr>
        <w:pStyle w:val="Prrafodelista"/>
        <w:spacing w:before="240" w:after="240"/>
        <w:ind w:right="708"/>
        <w:jc w:val="both"/>
        <w:rPr>
          <w:rFonts w:ascii="Palatino Linotype" w:hAnsi="Palatino Linotype"/>
          <w:bCs/>
          <w:i/>
          <w:sz w:val="22"/>
          <w:szCs w:val="22"/>
        </w:rPr>
      </w:pPr>
      <w:r>
        <w:rPr>
          <w:rFonts w:ascii="Palatino Linotype" w:hAnsi="Palatino Linotype"/>
          <w:bCs/>
          <w:i/>
          <w:sz w:val="22"/>
          <w:szCs w:val="22"/>
        </w:rPr>
        <w:t>…</w:t>
      </w:r>
    </w:p>
    <w:p w:rsidR="003A2F12" w:rsidRPr="003A2F12" w:rsidRDefault="003A2F12" w:rsidP="003A2F12">
      <w:pPr>
        <w:pStyle w:val="Prrafodelista"/>
        <w:spacing w:before="240" w:after="240"/>
        <w:ind w:right="708"/>
        <w:jc w:val="both"/>
        <w:rPr>
          <w:rFonts w:ascii="Palatino Linotype" w:hAnsi="Palatino Linotype"/>
          <w:i/>
          <w:sz w:val="22"/>
          <w:szCs w:val="22"/>
          <w:lang w:val="es-ES_tradnl"/>
        </w:rPr>
      </w:pPr>
      <w:r w:rsidRPr="003A2F12">
        <w:rPr>
          <w:rFonts w:ascii="Palatino Linotype" w:hAnsi="Palatino Linotype"/>
          <w:i/>
          <w:sz w:val="22"/>
          <w:szCs w:val="22"/>
          <w:lang w:val="es-ES_tradnl"/>
        </w:rPr>
        <w:t xml:space="preserve">Sexto.  Hágase del conocimiento de la parte recurrente, la presente resolución, así como, que de conformidad con lo establecido en </w:t>
      </w:r>
      <w:r w:rsidRPr="003A2F12">
        <w:rPr>
          <w:rFonts w:ascii="Palatino Linotype" w:hAnsi="Palatino Linotype"/>
          <w:b/>
          <w:i/>
          <w:sz w:val="22"/>
          <w:szCs w:val="22"/>
          <w:lang w:val="es-ES_tradnl"/>
        </w:rPr>
        <w:t>los artículos 159 y 160 de la Ley General de Transparencia y Acceso a la Información Pública</w:t>
      </w:r>
      <w:r w:rsidRPr="003A2F12">
        <w:rPr>
          <w:rFonts w:ascii="Palatino Linotype" w:hAnsi="Palatino Linotype"/>
          <w:i/>
          <w:sz w:val="22"/>
          <w:szCs w:val="22"/>
          <w:lang w:val="es-ES_tradnl"/>
        </w:rPr>
        <w:t>,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rsidR="003A2F12" w:rsidRPr="003A2F12" w:rsidRDefault="003A2F12" w:rsidP="005831CB">
      <w:pPr>
        <w:spacing w:before="100" w:beforeAutospacing="1" w:after="100" w:afterAutospacing="1" w:line="360" w:lineRule="auto"/>
        <w:ind w:right="49"/>
        <w:jc w:val="both"/>
        <w:rPr>
          <w:rFonts w:ascii="Palatino Linotype" w:hAnsi="Palatino Linotype" w:cs="Arial"/>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w:t>
      </w:r>
      <w:r>
        <w:rPr>
          <w:rFonts w:ascii="Palatino Linotype" w:hAnsi="Palatino Linotype" w:cs="Arial"/>
        </w:rPr>
        <w:lastRenderedPageBreak/>
        <w:t xml:space="preserve">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 xml:space="preserve">en el resolutivo </w:t>
      </w:r>
      <w:r w:rsidR="003A2F12">
        <w:rPr>
          <w:rFonts w:ascii="Palatino Linotype" w:hAnsi="Palatino Linotype" w:cs="Arial"/>
        </w:rPr>
        <w:t>SEXTO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377114"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w:t>
      </w:r>
      <w:r w:rsidR="00984770">
        <w:rPr>
          <w:rFonts w:ascii="Palatino Linotype" w:hAnsi="Palatino Linotype" w:cs="Arial"/>
        </w:rPr>
        <w:t xml:space="preserve">tanto </w:t>
      </w:r>
      <w:r w:rsidR="003A2F12">
        <w:rPr>
          <w:rFonts w:ascii="Palatino Linotype" w:hAnsi="Palatino Linotype" w:cs="Arial"/>
        </w:rPr>
        <w:t>el Acuerdo de Clasificación de la Información remitido por</w:t>
      </w:r>
      <w:r w:rsidR="00984770" w:rsidRPr="00984770">
        <w:rPr>
          <w:rFonts w:ascii="Palatino Linotype" w:hAnsi="Palatino Linotype" w:cs="Arial"/>
          <w:b/>
        </w:rPr>
        <w:t xml:space="preserve"> EL SUJETO OBLIGADO</w:t>
      </w:r>
      <w:r>
        <w:rPr>
          <w:rFonts w:ascii="Palatino Linotype" w:hAnsi="Palatino Linotype" w:cs="Arial"/>
        </w:rPr>
        <w:t xml:space="preserve"> </w:t>
      </w:r>
      <w:r w:rsidR="003A2F12">
        <w:rPr>
          <w:rFonts w:ascii="Palatino Linotype" w:hAnsi="Palatino Linotype" w:cs="Arial"/>
        </w:rPr>
        <w:t xml:space="preserve">no se encuentra debidamente fundado y motivado, toda vez que no se encuentra conforme a los artículos 129, 130, 131 y 132 de la Ley de Transparencia y Acceso a al a información pública del Estado de México y Municipios, así como </w:t>
      </w:r>
      <w:r w:rsidR="00377114" w:rsidRPr="00377114">
        <w:rPr>
          <w:rFonts w:ascii="Palatino Linotype" w:hAnsi="Palatino Linotype" w:cs="Arial"/>
        </w:rPr>
        <w:t>los numerales Cuarto al Décimo Primero de los Lineamientos Generales en materia de Clasificación y Desclasificación de la Información, así como para la elaboración de Versiones Públicas</w:t>
      </w:r>
      <w:r w:rsidR="00377114">
        <w:rPr>
          <w:rFonts w:ascii="Palatino Linotype" w:hAnsi="Palatino Linotype" w:cs="Arial"/>
        </w:rPr>
        <w:t>.</w:t>
      </w:r>
    </w:p>
    <w:p w:rsidR="005831CB" w:rsidRDefault="00377114"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Es por ello que el Acuerdo de Clasificación mediante el cual se pretende clasificar la información como reservada, no tiene validez alguna, lo anterior se obvia, en el momento en que la Ponencia </w:t>
      </w:r>
      <w:proofErr w:type="spellStart"/>
      <w:r>
        <w:rPr>
          <w:rFonts w:ascii="Palatino Linotype" w:hAnsi="Palatino Linotype" w:cs="Arial"/>
        </w:rPr>
        <w:t>Resolu</w:t>
      </w:r>
      <w:r w:rsidR="00391B0C">
        <w:rPr>
          <w:rFonts w:ascii="Palatino Linotype" w:hAnsi="Palatino Linotype" w:cs="Arial"/>
        </w:rPr>
        <w:t>t</w:t>
      </w:r>
      <w:r>
        <w:rPr>
          <w:rFonts w:ascii="Palatino Linotype" w:hAnsi="Palatino Linotype" w:cs="Arial"/>
        </w:rPr>
        <w:t>ora</w:t>
      </w:r>
      <w:proofErr w:type="spellEnd"/>
      <w:r>
        <w:rPr>
          <w:rFonts w:ascii="Palatino Linotype" w:hAnsi="Palatino Linotype" w:cs="Arial"/>
        </w:rPr>
        <w:t xml:space="preserve"> ordena un Nuevo acuerdo emitido </w:t>
      </w:r>
      <w:r w:rsidR="003A2F12">
        <w:rPr>
          <w:rFonts w:ascii="Palatino Linotype" w:hAnsi="Palatino Linotype" w:cs="Arial"/>
        </w:rPr>
        <w:t xml:space="preserve"> </w:t>
      </w:r>
      <w:r w:rsidR="00391B0C">
        <w:rPr>
          <w:rFonts w:ascii="Palatino Linotype" w:hAnsi="Palatino Linotype" w:cs="Arial"/>
        </w:rPr>
        <w:t xml:space="preserve">por el Comité de Transparencia del </w:t>
      </w:r>
      <w:r w:rsidR="00391B0C" w:rsidRPr="00391B0C">
        <w:rPr>
          <w:rFonts w:ascii="Palatino Linotype" w:hAnsi="Palatino Linotype" w:cs="Arial"/>
          <w:b/>
        </w:rPr>
        <w:t>SUJETO OBLIGADO</w:t>
      </w:r>
      <w:r w:rsidR="00391B0C">
        <w:rPr>
          <w:rFonts w:ascii="Palatino Linotype" w:hAnsi="Palatino Linotype" w:cs="Arial"/>
          <w:b/>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w:t>
      </w:r>
      <w:r w:rsidR="00391B0C">
        <w:rPr>
          <w:rFonts w:ascii="Palatino Linotype" w:hAnsi="Palatino Linotype" w:cs="Arial"/>
        </w:rPr>
        <w:t xml:space="preserve"> conforme a los numerales aplicables</w:t>
      </w:r>
      <w:r>
        <w:rPr>
          <w:rFonts w:ascii="Palatino Linotype" w:hAnsi="Palatino Linotype" w:cs="Arial"/>
        </w:rPr>
        <w:t xml:space="preserve">,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EF1C60">
            <w:pPr>
              <w:ind w:right="49"/>
              <w:jc w:val="center"/>
              <w:rPr>
                <w:rFonts w:ascii="Palatino Linotype" w:hAnsi="Palatino Linotype" w:cs="Arial"/>
                <w:b/>
              </w:rPr>
            </w:pPr>
            <w:r w:rsidRPr="0061470D">
              <w:rPr>
                <w:rFonts w:ascii="Palatino Linotype" w:hAnsi="Palatino Linotype" w:cs="Arial"/>
                <w:b/>
              </w:rPr>
              <w:t>COMISIONADA</w:t>
            </w:r>
          </w:p>
          <w:p w:rsidR="005831CB" w:rsidRPr="00AB7173" w:rsidRDefault="005831CB" w:rsidP="00EF1C60">
            <w:pPr>
              <w:ind w:right="49"/>
              <w:jc w:val="center"/>
              <w:rPr>
                <w:rFonts w:ascii="Palatino Linotype" w:hAnsi="Palatino Linotype" w:cs="Arial"/>
                <w:b/>
              </w:rPr>
            </w:pPr>
            <w:r>
              <w:rPr>
                <w:rFonts w:ascii="Palatino Linotype" w:hAnsi="Palatino Linotype" w:cs="Arial"/>
                <w:b/>
              </w:rPr>
              <w:t>(RÚBRICA)</w:t>
            </w:r>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391B0C">
        <w:rPr>
          <w:rFonts w:ascii="Palatino Linotype" w:hAnsi="Palatino Linotype" w:cs="Arial"/>
        </w:rPr>
        <w:t>SEXTO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6B7C08" w:rsidRDefault="006B7C08" w:rsidP="001B5DD5">
      <w:pPr>
        <w:ind w:right="49"/>
        <w:jc w:val="both"/>
        <w:rPr>
          <w:rFonts w:ascii="Palatino Linotype" w:eastAsia="Calibri" w:hAnsi="Palatino Linotype" w:cs="Arial"/>
          <w:color w:val="000000" w:themeColor="text1"/>
          <w:sz w:val="18"/>
          <w:szCs w:val="20"/>
        </w:rPr>
      </w:pPr>
      <w:bookmarkStart w:id="0" w:name="_GoBack"/>
      <w:bookmarkEnd w:id="0"/>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F14A3E" w:rsidRPr="0099561F"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391B0C">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391B0C">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391B0C">
        <w:rPr>
          <w:rFonts w:ascii="Palatino Linotype" w:eastAsia="Calibri" w:hAnsi="Palatino Linotype" w:cs="Arial"/>
          <w:color w:val="000000" w:themeColor="text1"/>
          <w:sz w:val="18"/>
          <w:szCs w:val="20"/>
        </w:rPr>
        <w:t xml:space="preserve">acumulados </w:t>
      </w:r>
      <w:r w:rsidR="00391B0C" w:rsidRPr="00391B0C">
        <w:rPr>
          <w:rFonts w:ascii="Palatino Linotype" w:eastAsia="Calibri" w:hAnsi="Palatino Linotype" w:cs="Arial"/>
          <w:color w:val="000000" w:themeColor="text1"/>
          <w:sz w:val="18"/>
          <w:szCs w:val="20"/>
        </w:rPr>
        <w:t>05539/INFOEM/IP/RR/2019, 05540/INFOEM/IP/RR/2019, 05541/INFOEM/IP/RR/2019, 05542/INFOEM/IP/RR/2019, 05547/INFOEM/IP/RR/2019 y 05548/INFOEM/IP/RR/2019</w:t>
      </w:r>
      <w:r w:rsidRPr="0099561F">
        <w:rPr>
          <w:rFonts w:ascii="Palatino Linotype" w:eastAsia="Calibri" w:hAnsi="Palatino Linotype" w:cs="Arial"/>
          <w:color w:val="000000" w:themeColor="text1"/>
          <w:sz w:val="18"/>
          <w:szCs w:val="20"/>
        </w:rPr>
        <w:t xml:space="preserve">, aprobado el </w:t>
      </w:r>
      <w:r w:rsidR="00391B0C">
        <w:rPr>
          <w:rFonts w:ascii="Palatino Linotype" w:eastAsia="Calibri" w:hAnsi="Palatino Linotype" w:cs="Arial"/>
          <w:color w:val="000000" w:themeColor="text1"/>
          <w:sz w:val="18"/>
          <w:szCs w:val="20"/>
        </w:rPr>
        <w:t>dieciséis</w:t>
      </w:r>
      <w:r w:rsidR="0011384E">
        <w:rPr>
          <w:rFonts w:ascii="Palatino Linotype" w:eastAsia="Calibri" w:hAnsi="Palatino Linotype" w:cs="Arial"/>
          <w:color w:val="000000" w:themeColor="text1"/>
          <w:sz w:val="18"/>
          <w:szCs w:val="20"/>
        </w:rPr>
        <w:t xml:space="preserve"> de octubre</w:t>
      </w:r>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F2" w:rsidRDefault="00E36AF2" w:rsidP="00C80F8C">
      <w:r>
        <w:separator/>
      </w:r>
    </w:p>
  </w:endnote>
  <w:endnote w:type="continuationSeparator" w:id="0">
    <w:p w:rsidR="00E36AF2" w:rsidRDefault="00E36A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B7C0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B7C0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F2" w:rsidRDefault="00E36AF2" w:rsidP="00C80F8C">
      <w:r>
        <w:separator/>
      </w:r>
    </w:p>
  </w:footnote>
  <w:footnote w:type="continuationSeparator" w:id="0">
    <w:p w:rsidR="00E36AF2" w:rsidRDefault="00E36AF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36A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D7CEC"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p>
  <w:p w:rsidR="008A03F8" w:rsidRDefault="00284D71"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05539</w:t>
    </w:r>
    <w:r w:rsidR="008A03F8">
      <w:rPr>
        <w:rFonts w:ascii="Palatino Linotype" w:hAnsi="Palatino Linotype" w:cs="Arial"/>
        <w:sz w:val="20"/>
        <w:szCs w:val="20"/>
      </w:rPr>
      <w:t>/INFOEM/IP</w:t>
    </w:r>
    <w:r w:rsidR="008A03F8" w:rsidRPr="00706042">
      <w:rPr>
        <w:rFonts w:ascii="Palatino Linotype" w:hAnsi="Palatino Linotype" w:cs="Arial"/>
        <w:sz w:val="20"/>
        <w:szCs w:val="20"/>
      </w:rPr>
      <w:t>/RR/201</w:t>
    </w:r>
    <w:r w:rsidR="009678EB">
      <w:rPr>
        <w:rFonts w:ascii="Palatino Linotype" w:hAnsi="Palatino Linotype" w:cs="Arial"/>
        <w:sz w:val="20"/>
        <w:szCs w:val="20"/>
      </w:rPr>
      <w:t>9</w:t>
    </w:r>
    <w:r w:rsidR="008A03F8">
      <w:rPr>
        <w:rFonts w:ascii="Palatino Linotype" w:hAnsi="Palatino Linotype" w:cs="Arial"/>
        <w:sz w:val="20"/>
        <w:szCs w:val="20"/>
      </w:rPr>
      <w:t xml:space="preserve"> </w:t>
    </w:r>
    <w:r w:rsidR="007D7CEC">
      <w:rPr>
        <w:rFonts w:ascii="Palatino Linotype" w:hAnsi="Palatino Linotype" w:cs="Arial"/>
        <w:sz w:val="20"/>
        <w:szCs w:val="20"/>
      </w:rPr>
      <w:t>Y ACULADOS</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E36AF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E36A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BC1B4F"/>
    <w:multiLevelType w:val="hybridMultilevel"/>
    <w:tmpl w:val="5A365C74"/>
    <w:lvl w:ilvl="0" w:tplc="47701954">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nsid w:val="731F4533"/>
    <w:multiLevelType w:val="hybridMultilevel"/>
    <w:tmpl w:val="82C088FA"/>
    <w:lvl w:ilvl="0" w:tplc="080A0015">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7"/>
  </w:num>
  <w:num w:numId="6">
    <w:abstractNumId w:val="11"/>
  </w:num>
  <w:num w:numId="7">
    <w:abstractNumId w:val="21"/>
  </w:num>
  <w:num w:numId="8">
    <w:abstractNumId w:val="10"/>
  </w:num>
  <w:num w:numId="9">
    <w:abstractNumId w:val="15"/>
  </w:num>
  <w:num w:numId="10">
    <w:abstractNumId w:val="4"/>
  </w:num>
  <w:num w:numId="11">
    <w:abstractNumId w:val="16"/>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3"/>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84D71"/>
    <w:rsid w:val="002940F8"/>
    <w:rsid w:val="002A26CD"/>
    <w:rsid w:val="002A7461"/>
    <w:rsid w:val="002B7856"/>
    <w:rsid w:val="002D3BBD"/>
    <w:rsid w:val="002D4526"/>
    <w:rsid w:val="002D69E1"/>
    <w:rsid w:val="002E5711"/>
    <w:rsid w:val="002F4562"/>
    <w:rsid w:val="002F5CF7"/>
    <w:rsid w:val="0030072F"/>
    <w:rsid w:val="003031E1"/>
    <w:rsid w:val="003056D9"/>
    <w:rsid w:val="003102FA"/>
    <w:rsid w:val="003169F5"/>
    <w:rsid w:val="0033370B"/>
    <w:rsid w:val="0034309A"/>
    <w:rsid w:val="00351129"/>
    <w:rsid w:val="0037321B"/>
    <w:rsid w:val="00377114"/>
    <w:rsid w:val="00383924"/>
    <w:rsid w:val="00391B0C"/>
    <w:rsid w:val="003A2F12"/>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A7F3B"/>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B7C08"/>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5FBC"/>
    <w:rsid w:val="007B6E55"/>
    <w:rsid w:val="007C0FDA"/>
    <w:rsid w:val="007C3C0E"/>
    <w:rsid w:val="007C4E7D"/>
    <w:rsid w:val="007D0FEE"/>
    <w:rsid w:val="007D7CEC"/>
    <w:rsid w:val="00804817"/>
    <w:rsid w:val="008217CD"/>
    <w:rsid w:val="00827787"/>
    <w:rsid w:val="00832B51"/>
    <w:rsid w:val="00833BC7"/>
    <w:rsid w:val="00844AA1"/>
    <w:rsid w:val="00846A21"/>
    <w:rsid w:val="00847DFC"/>
    <w:rsid w:val="008556C3"/>
    <w:rsid w:val="008562AB"/>
    <w:rsid w:val="00870BFA"/>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10843"/>
    <w:rsid w:val="00E10A96"/>
    <w:rsid w:val="00E13B81"/>
    <w:rsid w:val="00E146AA"/>
    <w:rsid w:val="00E170E8"/>
    <w:rsid w:val="00E27A4A"/>
    <w:rsid w:val="00E27F2A"/>
    <w:rsid w:val="00E313C4"/>
    <w:rsid w:val="00E3480F"/>
    <w:rsid w:val="00E36AF2"/>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A14C-9987-46A7-9C43-FD6EF2A3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1500</Words>
  <Characters>8254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2019-10-21T16:23:00Z</cp:lastPrinted>
  <dcterms:created xsi:type="dcterms:W3CDTF">2019-10-21T16:24:00Z</dcterms:created>
  <dcterms:modified xsi:type="dcterms:W3CDTF">2019-10-21T19:44:00Z</dcterms:modified>
</cp:coreProperties>
</file>