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FA" w:rsidRDefault="00E11EFA"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2F6567">
        <w:rPr>
          <w:rFonts w:ascii="Palatino Linotype" w:eastAsia="Times New Roman" w:hAnsi="Palatino Linotype" w:cs="Arial"/>
          <w:color w:val="000000"/>
          <w:sz w:val="24"/>
          <w:szCs w:val="24"/>
          <w:lang w:eastAsia="es-MX"/>
        </w:rPr>
        <w:t>veintiocho de agosto</w:t>
      </w:r>
      <w:r w:rsidR="00A902C6">
        <w:rPr>
          <w:rFonts w:ascii="Palatino Linotype" w:eastAsia="Times New Roman" w:hAnsi="Palatino Linotype" w:cs="Arial"/>
          <w:color w:val="000000"/>
          <w:sz w:val="24"/>
          <w:szCs w:val="24"/>
          <w:lang w:eastAsia="es-MX"/>
        </w:rPr>
        <w:t xml:space="preserve"> 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8C49AA">
        <w:rPr>
          <w:rFonts w:ascii="Palatino Linotype" w:hAnsi="Palatino Linotype" w:cs="Arial"/>
          <w:b/>
          <w:bCs/>
          <w:sz w:val="24"/>
          <w:lang w:eastAsia="es-MX"/>
        </w:rPr>
        <w:t>5</w:t>
      </w:r>
      <w:r w:rsidR="005C632B">
        <w:rPr>
          <w:rFonts w:ascii="Palatino Linotype" w:hAnsi="Palatino Linotype" w:cs="Arial"/>
          <w:b/>
          <w:bCs/>
          <w:sz w:val="24"/>
          <w:lang w:eastAsia="es-MX"/>
        </w:rPr>
        <w:t>225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5C632B">
        <w:rPr>
          <w:rFonts w:ascii="Palatino Linotype" w:hAnsi="Palatino Linotype" w:cs="Arial"/>
          <w:sz w:val="24"/>
        </w:rPr>
        <w:t>la</w:t>
      </w:r>
      <w:r w:rsidR="00BC5E09">
        <w:rPr>
          <w:rFonts w:ascii="Palatino Linotype" w:hAnsi="Palatino Linotype" w:cs="Arial"/>
          <w:sz w:val="24"/>
        </w:rPr>
        <w:t xml:space="preserve"> </w:t>
      </w:r>
      <w:r w:rsidR="00BC5E09" w:rsidRPr="006F001B">
        <w:rPr>
          <w:rFonts w:ascii="Palatino Linotype" w:hAnsi="Palatino Linotype" w:cs="Arial"/>
          <w:b/>
          <w:bCs/>
          <w:sz w:val="24"/>
        </w:rPr>
        <w:t>C.</w:t>
      </w:r>
      <w:r w:rsidR="00BC5E09">
        <w:rPr>
          <w:rFonts w:ascii="Palatino Linotype" w:hAnsi="Palatino Linotype" w:cs="Arial"/>
          <w:sz w:val="24"/>
        </w:rPr>
        <w:t xml:space="preserve"> </w:t>
      </w:r>
      <w:r w:rsidR="00E153B1">
        <w:rPr>
          <w:rFonts w:ascii="Palatino Linotype" w:hAnsi="Palatino Linotype" w:cs="Arial"/>
          <w:b/>
          <w:sz w:val="24"/>
        </w:rPr>
        <w:t>xxxxxxxxxxxxx</w:t>
      </w:r>
      <w:bookmarkStart w:id="0" w:name="_GoBack"/>
      <w:bookmarkEnd w:id="0"/>
      <w:r w:rsidR="005C632B">
        <w:rPr>
          <w:rFonts w:ascii="Palatino Linotype" w:hAnsi="Palatino Linotype" w:cs="Arial"/>
          <w:b/>
          <w:sz w:val="24"/>
        </w:rPr>
        <w:t xml:space="preserve"> </w:t>
      </w:r>
      <w:r w:rsidR="00BC5E09" w:rsidRPr="009A6D1C">
        <w:rPr>
          <w:rFonts w:ascii="Palatino Linotype" w:hAnsi="Palatino Linotype" w:cs="Arial"/>
          <w:color w:val="333333"/>
          <w:sz w:val="24"/>
          <w:szCs w:val="15"/>
        </w:rPr>
        <w:t>en lo sucesivo</w:t>
      </w:r>
      <w:r w:rsidR="00BC5E09" w:rsidRPr="009A6D1C">
        <w:rPr>
          <w:rFonts w:ascii="Palatino Linotype" w:hAnsi="Palatino Linotype" w:cs="Arial"/>
          <w:b/>
          <w:bCs/>
          <w:color w:val="333333"/>
          <w:sz w:val="24"/>
          <w:szCs w:val="15"/>
          <w:shd w:val="clear" w:color="auto" w:fill="F7F7F8"/>
        </w:rPr>
        <w:t xml:space="preserve"> </w:t>
      </w:r>
      <w:r w:rsidR="009F7948" w:rsidRPr="009A6D1C">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5C632B" w:rsidRPr="005C632B">
        <w:rPr>
          <w:rFonts w:ascii="Palatino Linotype" w:hAnsi="Palatino Linotype" w:cs="Arial"/>
          <w:b/>
          <w:sz w:val="24"/>
          <w:szCs w:val="24"/>
        </w:rPr>
        <w:t>Ayuntamiento de Valle de Chalco Solidaridad</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5C632B">
        <w:rPr>
          <w:rFonts w:ascii="Palatino Linotype" w:hAnsi="Palatino Linotype" w:cs="Arial"/>
          <w:sz w:val="24"/>
        </w:rPr>
        <w:t>tres de junio</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5C632B" w:rsidRPr="005C632B">
        <w:rPr>
          <w:rFonts w:ascii="Palatino Linotype" w:hAnsi="Palatino Linotype" w:cs="Arial"/>
          <w:b/>
          <w:sz w:val="24"/>
        </w:rPr>
        <w:t>00381/VACHASO/IP/2019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5C632B" w:rsidRPr="005C632B">
        <w:rPr>
          <w:rFonts w:ascii="Palatino Linotype" w:hAnsi="Palatino Linotype"/>
          <w:i/>
          <w:color w:val="000000"/>
        </w:rPr>
        <w:t>solicito se me den a conocer las nominas de la primera y segunda quincena de mayo</w:t>
      </w:r>
      <w:r w:rsidR="005C632B">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5C632B" w:rsidRDefault="005C632B" w:rsidP="005C632B">
      <w:pPr>
        <w:spacing w:before="240" w:line="360" w:lineRule="auto"/>
        <w:jc w:val="both"/>
        <w:rPr>
          <w:rFonts w:ascii="Palatino Linotype" w:hAnsi="Palatino Linotype" w:cs="Arial"/>
          <w:b/>
          <w:sz w:val="28"/>
          <w:szCs w:val="20"/>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w:t>
      </w:r>
      <w:r>
        <w:rPr>
          <w:rFonts w:ascii="Palatino Linotype" w:hAnsi="Palatino Linotype" w:cs="Arial"/>
          <w:b/>
          <w:sz w:val="28"/>
          <w:szCs w:val="20"/>
        </w:rPr>
        <w:t>Aclaración y Desahogo de la Aclaración</w:t>
      </w:r>
    </w:p>
    <w:p w:rsidR="005C632B" w:rsidRDefault="005C632B" w:rsidP="005C632B">
      <w:pPr>
        <w:spacing w:before="240" w:line="360" w:lineRule="auto"/>
        <w:jc w:val="both"/>
        <w:rPr>
          <w:rFonts w:ascii="Palatino Linotype" w:hAnsi="Palatino Linotype" w:cs="Arial"/>
          <w:bCs/>
          <w:sz w:val="24"/>
          <w:szCs w:val="18"/>
        </w:rPr>
      </w:pPr>
      <w:r>
        <w:rPr>
          <w:rFonts w:ascii="Palatino Linotype" w:hAnsi="Palatino Linotype" w:cs="Arial"/>
          <w:bCs/>
          <w:sz w:val="24"/>
          <w:szCs w:val="18"/>
        </w:rPr>
        <w:t>Así, de las constancias que obran en el expediente electrónico SAIMEX se aprecia que el mismo día de recepción de la solicitud de información el sujeto obligado realizo una solicitud de aclaración para indicar mayores elementos que precisen el requerimiento del particular.</w:t>
      </w:r>
    </w:p>
    <w:p w:rsidR="005C632B" w:rsidRDefault="005C632B" w:rsidP="005C632B">
      <w:pPr>
        <w:spacing w:before="240" w:line="360" w:lineRule="auto"/>
        <w:jc w:val="both"/>
        <w:rPr>
          <w:rFonts w:ascii="Palatino Linotype" w:hAnsi="Palatino Linotype" w:cs="Arial"/>
          <w:bCs/>
          <w:sz w:val="24"/>
          <w:szCs w:val="18"/>
        </w:rPr>
      </w:pPr>
      <w:r>
        <w:rPr>
          <w:rFonts w:ascii="Palatino Linotype" w:hAnsi="Palatino Linotype" w:cs="Arial"/>
          <w:bCs/>
          <w:sz w:val="24"/>
          <w:szCs w:val="18"/>
        </w:rPr>
        <w:t>Luego así, en fecha cuatro de junio de los corrientes la solicitante desahogo el requerimiento de aclaración, aludiendo lo siguiente:</w:t>
      </w:r>
    </w:p>
    <w:p w:rsidR="005C632B" w:rsidRPr="00112C06" w:rsidRDefault="005C632B" w:rsidP="005C632B">
      <w:pPr>
        <w:spacing w:before="240" w:line="360" w:lineRule="auto"/>
        <w:ind w:left="708"/>
        <w:jc w:val="both"/>
        <w:rPr>
          <w:rFonts w:ascii="Palatino Linotype" w:hAnsi="Palatino Linotype" w:cs="Arial"/>
          <w:bCs/>
          <w:sz w:val="24"/>
          <w:szCs w:val="18"/>
        </w:rPr>
      </w:pPr>
      <w:r>
        <w:rPr>
          <w:rFonts w:ascii="Palatino Linotype" w:hAnsi="Palatino Linotype" w:cs="Arial"/>
          <w:bCs/>
          <w:i/>
          <w:iCs/>
          <w:sz w:val="24"/>
          <w:szCs w:val="18"/>
        </w:rPr>
        <w:t>“</w:t>
      </w:r>
      <w:r w:rsidR="005E6546" w:rsidRPr="005E6546">
        <w:rPr>
          <w:rFonts w:ascii="Palatino Linotype" w:hAnsi="Palatino Linotype" w:cs="Arial"/>
          <w:bCs/>
          <w:i/>
          <w:iCs/>
          <w:sz w:val="24"/>
          <w:szCs w:val="18"/>
        </w:rPr>
        <w:t>solicito nomina de los administrativos, directores, sindicalizados y lista de raya</w:t>
      </w:r>
      <w:r>
        <w:rPr>
          <w:rFonts w:ascii="Palatino Linotype" w:hAnsi="Palatino Linotype" w:cs="Arial"/>
          <w:bCs/>
          <w:i/>
          <w:iCs/>
          <w:sz w:val="24"/>
          <w:szCs w:val="18"/>
        </w:rPr>
        <w:t>.” [Sic]</w:t>
      </w:r>
      <w:r>
        <w:rPr>
          <w:rFonts w:ascii="Palatino Linotype" w:hAnsi="Palatino Linotype" w:cs="Arial"/>
          <w:bCs/>
          <w:sz w:val="24"/>
          <w:szCs w:val="18"/>
        </w:rPr>
        <w:t xml:space="preserve"> </w:t>
      </w:r>
    </w:p>
    <w:p w:rsidR="005C632B" w:rsidRDefault="005C632B" w:rsidP="005C63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00EF5A26">
        <w:rPr>
          <w:rFonts w:ascii="Palatino Linotype" w:hAnsi="Palatino Linotype" w:cs="Arial"/>
          <w:b/>
          <w:sz w:val="28"/>
        </w:rPr>
        <w:t xml:space="preserve">De la </w:t>
      </w:r>
      <w:r w:rsidR="00EF5A26">
        <w:rPr>
          <w:rFonts w:ascii="Palatino Linotype" w:hAnsi="Palatino Linotype" w:cs="Arial"/>
          <w:b/>
          <w:sz w:val="28"/>
          <w:szCs w:val="20"/>
        </w:rPr>
        <w:t>entrega de información u orientación.</w:t>
      </w:r>
    </w:p>
    <w:p w:rsidR="00EF5A26" w:rsidRDefault="00EF5A26" w:rsidP="00EF5A26">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Pr>
          <w:rFonts w:ascii="Palatino Linotype" w:hAnsi="Palatino Linotype" w:cs="Arial"/>
          <w:sz w:val="24"/>
        </w:rPr>
        <w:t xml:space="preserve">, se aprecia que </w:t>
      </w:r>
      <w:r w:rsidRPr="00A77BF1">
        <w:rPr>
          <w:rFonts w:ascii="Palatino Linotype" w:hAnsi="Palatino Linotype" w:cs="Arial"/>
          <w:b/>
          <w:sz w:val="24"/>
        </w:rPr>
        <w:t>El Sujeto Obligado</w:t>
      </w:r>
      <w:r>
        <w:rPr>
          <w:rFonts w:ascii="Palatino Linotype" w:hAnsi="Palatino Linotype" w:cs="Arial"/>
          <w:b/>
          <w:sz w:val="24"/>
        </w:rPr>
        <w:t xml:space="preserve"> </w:t>
      </w:r>
      <w:r>
        <w:rPr>
          <w:rFonts w:ascii="Palatino Linotype" w:hAnsi="Palatino Linotype" w:cs="Arial"/>
          <w:bCs/>
          <w:sz w:val="24"/>
        </w:rPr>
        <w:t>realizo manifestaciones de disenso en los</w:t>
      </w:r>
      <w:r>
        <w:rPr>
          <w:rFonts w:ascii="Palatino Linotype" w:hAnsi="Palatino Linotype" w:cs="Arial"/>
          <w:sz w:val="24"/>
        </w:rPr>
        <w:t xml:space="preserve"> siguientes términos respecto al desahogo de la aclaración.</w:t>
      </w:r>
    </w:p>
    <w:p w:rsidR="005E6546" w:rsidRPr="005E6546" w:rsidRDefault="005E6546" w:rsidP="005E6546">
      <w:pPr>
        <w:spacing w:before="240" w:line="360" w:lineRule="auto"/>
        <w:ind w:left="708"/>
        <w:jc w:val="both"/>
        <w:rPr>
          <w:rFonts w:ascii="Palatino Linotype" w:hAnsi="Palatino Linotype" w:cs="Arial"/>
          <w:i/>
          <w:sz w:val="24"/>
        </w:rPr>
      </w:pPr>
      <w:r w:rsidRPr="005E6546">
        <w:rPr>
          <w:rFonts w:ascii="Palatino Linotype" w:hAnsi="Palatino Linotype" w:cs="Arial"/>
          <w:i/>
          <w:sz w:val="24"/>
        </w:rPr>
        <w:t>Con fundamento en el artículo 163 de la Ley de Transparencia y Acceso a la Información Pública del Estado de México y Municipios, le contestamos que:</w:t>
      </w:r>
    </w:p>
    <w:p w:rsidR="005E6546" w:rsidRPr="005E6546" w:rsidRDefault="005E6546" w:rsidP="005E6546">
      <w:pPr>
        <w:spacing w:before="240" w:line="360" w:lineRule="auto"/>
        <w:ind w:left="708"/>
        <w:jc w:val="both"/>
        <w:rPr>
          <w:rFonts w:ascii="Palatino Linotype" w:hAnsi="Palatino Linotype" w:cs="Arial"/>
          <w:i/>
          <w:sz w:val="24"/>
        </w:rPr>
      </w:pPr>
      <w:r w:rsidRPr="005E6546">
        <w:rPr>
          <w:rFonts w:ascii="Palatino Linotype" w:hAnsi="Palatino Linotype" w:cs="Arial"/>
          <w:i/>
          <w:sz w:val="24"/>
        </w:rPr>
        <w:t>En virtud de dar respuesta a su solicitud, le hago de su conocimiento que es necesario complementar o ampliar para que pueda ser turnada al área o al servidor público competente.</w:t>
      </w:r>
    </w:p>
    <w:p w:rsidR="005E6546" w:rsidRPr="005E6546" w:rsidRDefault="005E6546" w:rsidP="005E6546">
      <w:pPr>
        <w:spacing w:before="240" w:line="360" w:lineRule="auto"/>
        <w:ind w:left="708"/>
        <w:jc w:val="both"/>
        <w:rPr>
          <w:rFonts w:ascii="Palatino Linotype" w:hAnsi="Palatino Linotype" w:cs="Arial"/>
          <w:i/>
          <w:sz w:val="24"/>
        </w:rPr>
      </w:pPr>
      <w:r w:rsidRPr="005E6546">
        <w:rPr>
          <w:rFonts w:ascii="Palatino Linotype" w:hAnsi="Palatino Linotype" w:cs="Arial"/>
          <w:i/>
          <w:sz w:val="24"/>
        </w:rPr>
        <w:lastRenderedPageBreak/>
        <w:t>ATENTAMENTE</w:t>
      </w:r>
    </w:p>
    <w:p w:rsidR="005E6546" w:rsidRDefault="005E6546" w:rsidP="005E6546">
      <w:pPr>
        <w:spacing w:before="240" w:line="360" w:lineRule="auto"/>
        <w:ind w:left="708"/>
        <w:jc w:val="both"/>
        <w:rPr>
          <w:rFonts w:ascii="Palatino Linotype" w:hAnsi="Palatino Linotype" w:cs="Arial"/>
          <w:i/>
          <w:sz w:val="24"/>
        </w:rPr>
      </w:pPr>
      <w:r w:rsidRPr="005E6546">
        <w:rPr>
          <w:rFonts w:ascii="Palatino Linotype" w:hAnsi="Palatino Linotype" w:cs="Arial"/>
          <w:i/>
          <w:sz w:val="24"/>
        </w:rPr>
        <w:t>LIC. ARTURO ORTEGA CENTENO</w:t>
      </w:r>
    </w:p>
    <w:p w:rsidR="005C632B" w:rsidRPr="00441A94" w:rsidRDefault="005C632B" w:rsidP="005E6546">
      <w:pPr>
        <w:spacing w:before="240" w:line="360" w:lineRule="auto"/>
        <w:jc w:val="both"/>
        <w:rPr>
          <w:rFonts w:ascii="Palatino Linotype" w:hAnsi="Palatino Linotype" w:cs="Arial"/>
          <w:b/>
          <w:sz w:val="28"/>
        </w:rPr>
      </w:pPr>
      <w:r>
        <w:rPr>
          <w:rFonts w:ascii="Palatino Linotype" w:hAnsi="Palatino Linotype"/>
          <w:b/>
          <w:sz w:val="28"/>
        </w:rPr>
        <w:t xml:space="preserve">CUARTO. </w:t>
      </w:r>
      <w:r w:rsidRPr="00441A94">
        <w:rPr>
          <w:rFonts w:ascii="Palatino Linotype" w:hAnsi="Palatino Linotype"/>
          <w:b/>
          <w:sz w:val="28"/>
        </w:rPr>
        <w:t>Del recurso de revisión.</w:t>
      </w:r>
    </w:p>
    <w:p w:rsidR="005C632B" w:rsidRDefault="005C632B" w:rsidP="005C632B">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EF5A26">
        <w:rPr>
          <w:rFonts w:ascii="Palatino Linotype" w:hAnsi="Palatino Linotype" w:cs="Arial"/>
          <w:sz w:val="24"/>
          <w:szCs w:val="24"/>
        </w:rPr>
        <w:t xml:space="preserve">falta de </w:t>
      </w:r>
      <w:r w:rsidRPr="00441A94">
        <w:rPr>
          <w:rFonts w:ascii="Palatino Linotype" w:hAnsi="Palatino Linotype" w:cs="Arial"/>
          <w:sz w:val="24"/>
          <w:szCs w:val="24"/>
        </w:rPr>
        <w:t>respuesta</w:t>
      </w:r>
      <w:r>
        <w:rPr>
          <w:rFonts w:ascii="Palatino Linotype" w:hAnsi="Palatino Linotype" w:cs="Arial"/>
          <w:sz w:val="24"/>
          <w:szCs w:val="24"/>
        </w:rPr>
        <w:t xml:space="preserve"> d</w:t>
      </w:r>
      <w:r w:rsidRPr="00441A94">
        <w:rPr>
          <w:rFonts w:ascii="Palatino Linotype" w:hAnsi="Palatino Linotype" w:cs="Arial"/>
          <w:sz w:val="24"/>
          <w:szCs w:val="24"/>
        </w:rPr>
        <w:t xml:space="preserve">el sujeto obligado, </w:t>
      </w:r>
      <w:r>
        <w:rPr>
          <w:rFonts w:ascii="Palatino Linotype" w:hAnsi="Palatino Linotype" w:cs="Arial"/>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w:t>
      </w:r>
      <w:r>
        <w:rPr>
          <w:rFonts w:ascii="Palatino Linotype" w:hAnsi="Palatino Linotype" w:cs="Arial"/>
          <w:sz w:val="24"/>
          <w:szCs w:val="24"/>
        </w:rPr>
        <w:t xml:space="preserve">el recurso </w:t>
      </w:r>
      <w:r w:rsidRPr="00441A94">
        <w:rPr>
          <w:rFonts w:ascii="Palatino Linotype" w:hAnsi="Palatino Linotype" w:cs="Arial"/>
          <w:sz w:val="24"/>
          <w:szCs w:val="24"/>
        </w:rPr>
        <w:t xml:space="preserve">de revisión, en fecha </w:t>
      </w:r>
      <w:r>
        <w:rPr>
          <w:rFonts w:ascii="Palatino Linotype" w:hAnsi="Palatino Linotype" w:cs="Arial"/>
          <w:sz w:val="24"/>
          <w:szCs w:val="24"/>
        </w:rPr>
        <w:t>siete de junio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en el sistema electrónico con l</w:t>
      </w:r>
      <w:r>
        <w:rPr>
          <w:rFonts w:ascii="Palatino Linotype" w:hAnsi="Palatino Linotype" w:cs="Arial"/>
          <w:sz w:val="24"/>
          <w:szCs w:val="24"/>
        </w:rPr>
        <w:t>os</w:t>
      </w:r>
      <w:r w:rsidRPr="0096643B">
        <w:rPr>
          <w:rFonts w:ascii="Palatino Linotype" w:hAnsi="Palatino Linotype" w:cs="Arial"/>
          <w:sz w:val="24"/>
          <w:szCs w:val="24"/>
        </w:rPr>
        <w:t xml:space="preserve"> expediente</w:t>
      </w:r>
      <w:r>
        <w:rPr>
          <w:rFonts w:ascii="Palatino Linotype" w:hAnsi="Palatino Linotype" w:cs="Arial"/>
          <w:sz w:val="24"/>
          <w:szCs w:val="24"/>
        </w:rPr>
        <w:t>s</w:t>
      </w:r>
      <w:r w:rsidRPr="0096643B">
        <w:rPr>
          <w:rFonts w:ascii="Palatino Linotype" w:hAnsi="Palatino Linotype" w:cs="Arial"/>
          <w:sz w:val="24"/>
          <w:szCs w:val="24"/>
        </w:rPr>
        <w:t xml:space="preserve"> número </w:t>
      </w:r>
      <w:r>
        <w:rPr>
          <w:rFonts w:ascii="Palatino Linotype" w:hAnsi="Palatino Linotype" w:cs="Arial"/>
          <w:b/>
          <w:bCs/>
          <w:sz w:val="24"/>
          <w:szCs w:val="24"/>
          <w:lang w:eastAsia="es-MX"/>
        </w:rPr>
        <w:t xml:space="preserve">05225/INFOEM/IP/RR/2019, </w:t>
      </w:r>
      <w:r w:rsidRPr="0096643B">
        <w:rPr>
          <w:rFonts w:ascii="Palatino Linotype" w:hAnsi="Palatino Linotype" w:cs="Arial"/>
          <w:sz w:val="24"/>
          <w:szCs w:val="24"/>
        </w:rPr>
        <w:t xml:space="preserve">en el cual </w:t>
      </w:r>
      <w:r w:rsidRPr="0096643B">
        <w:rPr>
          <w:rFonts w:ascii="Palatino Linotype" w:hAnsi="Palatino Linotype" w:cs="Arial"/>
          <w:sz w:val="24"/>
        </w:rPr>
        <w:t>arguye, las siguientes manifestaciones:</w:t>
      </w:r>
    </w:p>
    <w:p w:rsidR="005C632B" w:rsidRDefault="005C632B" w:rsidP="005C632B">
      <w:pPr>
        <w:spacing w:before="240"/>
        <w:jc w:val="both"/>
        <w:rPr>
          <w:rFonts w:ascii="Palatino Linotype" w:hAnsi="Palatino Linotype" w:cs="Arial"/>
          <w:b/>
          <w:sz w:val="24"/>
        </w:rPr>
      </w:pPr>
      <w:r>
        <w:rPr>
          <w:rFonts w:ascii="Palatino Linotype" w:hAnsi="Palatino Linotype" w:cs="Arial"/>
          <w:b/>
          <w:sz w:val="24"/>
        </w:rPr>
        <w:t>Acto Impugnado:</w:t>
      </w:r>
    </w:p>
    <w:p w:rsidR="005C632B" w:rsidRPr="00A435E2" w:rsidRDefault="005C632B" w:rsidP="005C632B">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5E6546" w:rsidRPr="005E6546">
        <w:rPr>
          <w:rFonts w:ascii="Palatino Linotype" w:hAnsi="Palatino Linotype"/>
          <w:i/>
          <w:color w:val="000000"/>
        </w:rPr>
        <w:t>nominas de la primera y segunda quincena de mayo incluyendo dietas, lista de raya, sindicalizados, administrativos y directores con sus respectivas deducciones de todos los servidores públicos que laboran en el ayuntamiento</w:t>
      </w:r>
      <w:r w:rsidRPr="001005C7">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5C632B" w:rsidRDefault="005C632B" w:rsidP="005C632B">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5C632B" w:rsidRDefault="005C632B" w:rsidP="005C632B">
      <w:pPr>
        <w:spacing w:before="240"/>
        <w:ind w:left="851" w:right="850"/>
        <w:jc w:val="both"/>
        <w:rPr>
          <w:rFonts w:ascii="Palatino Linotype" w:hAnsi="Palatino Linotype" w:cs="Arial"/>
          <w:i/>
        </w:rPr>
      </w:pPr>
      <w:r w:rsidRPr="004469D5">
        <w:rPr>
          <w:rFonts w:ascii="Palatino Linotype" w:hAnsi="Palatino Linotype" w:cs="Arial"/>
          <w:i/>
        </w:rPr>
        <w:t>“</w:t>
      </w:r>
      <w:r w:rsidR="005E6546" w:rsidRPr="005E6546">
        <w:rPr>
          <w:rFonts w:ascii="Palatino Linotype" w:hAnsi="Palatino Linotype" w:cs="Arial"/>
          <w:i/>
        </w:rPr>
        <w:t>no se ha entregado la información requerida</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rsidR="005C632B" w:rsidRDefault="005C632B" w:rsidP="005C632B">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5C632B" w:rsidRDefault="005C632B" w:rsidP="005C632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 trece de junio de dos mil diecinueve, determinándose en él, un plazo de siete días para que las partes manifestaran lo que a su derecho corresponda en términos del numeral ya citado.</w:t>
      </w:r>
    </w:p>
    <w:p w:rsidR="005C632B" w:rsidRPr="007D7D39" w:rsidRDefault="005C632B" w:rsidP="005C632B">
      <w:pPr>
        <w:spacing w:before="240" w:line="360" w:lineRule="auto"/>
        <w:jc w:val="both"/>
        <w:rPr>
          <w:rFonts w:ascii="Palatino Linotype" w:hAnsi="Palatino Linotype" w:cs="Arial"/>
          <w:b/>
          <w:sz w:val="28"/>
        </w:rPr>
      </w:pPr>
      <w:r>
        <w:rPr>
          <w:rFonts w:ascii="Palatino Linotype" w:hAnsi="Palatino Linotype" w:cs="Arial"/>
          <w:b/>
          <w:sz w:val="28"/>
        </w:rPr>
        <w:lastRenderedPageBreak/>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5C632B" w:rsidRDefault="005C632B" w:rsidP="005C632B">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fue omiso en remitir su informe justificado; asimismo, habiendo transcurrido el plazo establecido no se presentó manifestación alguna por parte del recurrente por lo cual en fecha veinticinco de junio de dos mil diecinueve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5C632B" w:rsidRDefault="005C632B" w:rsidP="005C632B">
      <w:pPr>
        <w:spacing w:before="240" w:after="240" w:line="360" w:lineRule="auto"/>
        <w:jc w:val="both"/>
        <w:rPr>
          <w:rFonts w:ascii="Palatino Linotype" w:hAnsi="Palatino Linotype" w:cs="Arial"/>
          <w:b/>
          <w:sz w:val="24"/>
        </w:rPr>
      </w:pPr>
      <w:r w:rsidRPr="00992035">
        <w:rPr>
          <w:rFonts w:ascii="Palatino Linotype" w:hAnsi="Palatino Linotype" w:cs="Arial"/>
          <w:sz w:val="24"/>
          <w:szCs w:val="24"/>
        </w:rPr>
        <w:t xml:space="preserve">Así también, en fecha </w:t>
      </w:r>
      <w:r>
        <w:rPr>
          <w:rFonts w:ascii="Palatino Linotype" w:hAnsi="Palatino Linotype" w:cs="Arial"/>
          <w:sz w:val="24"/>
          <w:szCs w:val="24"/>
        </w:rPr>
        <w:t>nueve de agosto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w:t>
      </w:r>
      <w:r w:rsidRPr="00EB0246">
        <w:rPr>
          <w:rFonts w:ascii="Palatino Linotype" w:hAnsi="Palatino Linotype" w:cs="Arial"/>
          <w:sz w:val="24"/>
          <w:szCs w:val="24"/>
        </w:rPr>
        <w:lastRenderedPageBreak/>
        <w:t xml:space="preserve">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Pr="009572B3"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rsidR="00653B08"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razones o motivos de inconformidad</w:t>
      </w:r>
      <w:r w:rsidR="000B3927">
        <w:rPr>
          <w:rFonts w:ascii="Palatino Linotype" w:hAnsi="Palatino Linotype" w:cs="Arial"/>
          <w:sz w:val="24"/>
          <w:szCs w:val="24"/>
        </w:rPr>
        <w:t xml:space="preserve"> medularmente</w:t>
      </w:r>
      <w:r>
        <w:rPr>
          <w:rFonts w:ascii="Palatino Linotype" w:hAnsi="Palatino Linotype" w:cs="Arial"/>
          <w:sz w:val="24"/>
          <w:szCs w:val="24"/>
        </w:rPr>
        <w:t>,</w:t>
      </w:r>
      <w:r w:rsidR="000B3927">
        <w:rPr>
          <w:rFonts w:ascii="Palatino Linotype" w:hAnsi="Palatino Linotype" w:cs="Arial"/>
          <w:sz w:val="24"/>
          <w:szCs w:val="24"/>
        </w:rPr>
        <w:t xml:space="preserve"> “</w:t>
      </w:r>
      <w:r w:rsidR="005E6546" w:rsidRPr="005E6546">
        <w:rPr>
          <w:rFonts w:ascii="Palatino Linotype" w:hAnsi="Palatino Linotype" w:cs="Arial"/>
          <w:sz w:val="24"/>
          <w:szCs w:val="24"/>
        </w:rPr>
        <w:t>no se ha entregado la información requerida</w:t>
      </w:r>
      <w:r w:rsidR="00820826" w:rsidRPr="00820826">
        <w:rPr>
          <w:rFonts w:ascii="Palatino Linotype" w:hAnsi="Palatino Linotype" w:cs="Arial"/>
          <w:sz w:val="24"/>
          <w:szCs w:val="24"/>
        </w:rPr>
        <w:t>.</w:t>
      </w:r>
      <w:r w:rsidR="000B3927">
        <w:rPr>
          <w:rFonts w:ascii="Palatino Linotype" w:hAnsi="Palatino Linotype" w:cs="Arial"/>
          <w:i/>
          <w:sz w:val="24"/>
          <w:szCs w:val="24"/>
        </w:rPr>
        <w:t>”</w:t>
      </w:r>
    </w:p>
    <w:p w:rsidR="00356614" w:rsidRDefault="00356614" w:rsidP="00356614">
      <w:pPr>
        <w:tabs>
          <w:tab w:val="left" w:pos="709"/>
        </w:tabs>
        <w:spacing w:before="240" w:line="360" w:lineRule="auto"/>
        <w:ind w:right="51"/>
        <w:jc w:val="both"/>
        <w:rPr>
          <w:rFonts w:ascii="Palatino Linotype" w:hAnsi="Palatino Linotype" w:cs="Arial"/>
          <w:i/>
          <w:iCs/>
          <w:sz w:val="24"/>
          <w:szCs w:val="20"/>
        </w:rPr>
      </w:pPr>
      <w:r>
        <w:rPr>
          <w:rFonts w:ascii="Palatino Linotype" w:hAnsi="Palatino Linotype" w:cs="Arial"/>
          <w:sz w:val="24"/>
          <w:szCs w:val="20"/>
        </w:rPr>
        <w:lastRenderedPageBreak/>
        <w:t>No pasando de óptica que, el sujeto obligado realizo una solicitud de aclaración, la cual desahogo la hoy recurrente en el siguiente tenor “</w:t>
      </w:r>
      <w:r w:rsidR="00CB164F" w:rsidRPr="00CB164F">
        <w:rPr>
          <w:rFonts w:ascii="Palatino Linotype" w:hAnsi="Palatino Linotype" w:cs="Arial"/>
          <w:i/>
          <w:iCs/>
          <w:sz w:val="24"/>
          <w:szCs w:val="20"/>
        </w:rPr>
        <w:t>solicito nomina de los administrativos, directores, sindicalizados y lista de raya</w:t>
      </w:r>
      <w:r>
        <w:rPr>
          <w:rFonts w:ascii="Palatino Linotype" w:hAnsi="Palatino Linotype" w:cs="Arial"/>
          <w:i/>
          <w:iCs/>
          <w:sz w:val="24"/>
          <w:szCs w:val="20"/>
        </w:rPr>
        <w:t>.” [Sic]</w:t>
      </w:r>
    </w:p>
    <w:p w:rsidR="00356614" w:rsidRPr="00D2733A" w:rsidRDefault="00356614" w:rsidP="00356614">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 xml:space="preserve">Por lo tanto, se entiende que la particular pretende tener acceso a </w:t>
      </w:r>
      <w:r w:rsidR="00CB164F">
        <w:rPr>
          <w:rFonts w:ascii="Palatino Linotype" w:hAnsi="Palatino Linotype" w:cs="Arial"/>
          <w:i/>
          <w:iCs/>
          <w:sz w:val="24"/>
          <w:szCs w:val="20"/>
        </w:rPr>
        <w:t>la n</w:t>
      </w:r>
      <w:r w:rsidR="00CB164F" w:rsidRPr="00CB164F">
        <w:rPr>
          <w:rFonts w:ascii="Palatino Linotype" w:hAnsi="Palatino Linotype" w:cs="Arial"/>
          <w:i/>
          <w:iCs/>
          <w:sz w:val="24"/>
          <w:szCs w:val="20"/>
        </w:rPr>
        <w:t>ómina de los directores, administrativos, sindicalizados y listas de raya de la administración pública municipal de valle de Chalco, correspondiente a la primera y segunda quincena del mes de mayo de 2019.</w:t>
      </w:r>
      <w:r w:rsidRPr="005F4B88">
        <w:rPr>
          <w:rFonts w:ascii="Palatino Linotype" w:hAnsi="Palatino Linotype" w:cs="Arial"/>
          <w:i/>
          <w:iCs/>
          <w:sz w:val="24"/>
          <w:szCs w:val="20"/>
        </w:rPr>
        <w:t>.</w:t>
      </w:r>
    </w:p>
    <w:p w:rsidR="00356614" w:rsidRDefault="00356614" w:rsidP="00356614">
      <w:pPr>
        <w:tabs>
          <w:tab w:val="left" w:pos="709"/>
        </w:tabs>
        <w:spacing w:before="240" w:line="360" w:lineRule="auto"/>
        <w:ind w:right="51"/>
        <w:jc w:val="both"/>
        <w:rPr>
          <w:rFonts w:ascii="Palatino Linotype" w:hAnsi="Palatino Linotype" w:cs="Arial"/>
          <w:sz w:val="24"/>
          <w:szCs w:val="20"/>
        </w:rPr>
      </w:pPr>
      <w:r>
        <w:rPr>
          <w:rFonts w:ascii="Palatino Linotype" w:hAnsi="Palatino Linotype" w:cs="Arial"/>
          <w:sz w:val="24"/>
          <w:szCs w:val="20"/>
        </w:rPr>
        <w:t>Ahora bien, es de suma importancia mencionar que, a pesar de la aclaración solicitada a la recurrente, el sujeto obligado contaba con todos los medios necesarios para dar contestación a la solicitud de información, máxime, que en su respuesta volvió a señalar que es necesario complementar o ampliar la solicitud para que pueda ser turnada al área o servidor público competente.</w:t>
      </w:r>
    </w:p>
    <w:p w:rsidR="00356614" w:rsidRDefault="00356614" w:rsidP="00356614">
      <w:pPr>
        <w:pStyle w:val="Sinespaciado"/>
        <w:spacing w:line="360" w:lineRule="auto"/>
        <w:jc w:val="both"/>
        <w:rPr>
          <w:rFonts w:ascii="Palatino Linotype" w:hAnsi="Palatino Linotype"/>
        </w:rPr>
      </w:pPr>
      <w:r>
        <w:rPr>
          <w:rFonts w:ascii="Palatino Linotype" w:hAnsi="Palatino Linotype"/>
        </w:rPr>
        <w:t>Ahora bien tal como se mencionó en el considerando segundo de la presente resolución, resulta necesario precisar y robustecer los hechos sucedidos en el presente medio de impugnación; así primeramente tenemos que ante la recepción de la solicitud de información expuesta por la entonces solicitante, el sujeto obligado interpuso el requerimiento de aclaración señalado en los antecedentes del presente fallo, por lo que es menester referir que dicha aclaración no resulta procedente, ya que el artículo 159 de la Ley de Transparencia y Acceso a la Información Pública del Estado de México y Municipios, es muy claro al precisar el caso en que resulta procedente solicitar a los particulares aclaren los puntos petitorios inmersos en sus solicitudes de información, o bien aporten los elementos específicos sobre la información que requieran.</w:t>
      </w:r>
    </w:p>
    <w:p w:rsidR="00356614" w:rsidRDefault="00356614" w:rsidP="00356614">
      <w:pPr>
        <w:pStyle w:val="Sinespaciado"/>
        <w:spacing w:line="360" w:lineRule="auto"/>
        <w:jc w:val="both"/>
        <w:rPr>
          <w:rFonts w:ascii="Palatino Linotype" w:hAnsi="Palatino Linotype"/>
        </w:rPr>
      </w:pPr>
      <w:r>
        <w:rPr>
          <w:rFonts w:ascii="Palatino Linotype" w:hAnsi="Palatino Linotype"/>
        </w:rPr>
        <w:lastRenderedPageBreak/>
        <w:t>En ese orden de ideas tenemos que el numeral anteriormente referido establece lo siguiente:</w:t>
      </w:r>
    </w:p>
    <w:p w:rsidR="00356614" w:rsidRPr="00C46E45" w:rsidRDefault="00356614" w:rsidP="00356614">
      <w:pPr>
        <w:pStyle w:val="Prrafodelista"/>
        <w:autoSpaceDE w:val="0"/>
        <w:autoSpaceDN w:val="0"/>
        <w:adjustRightInd w:val="0"/>
        <w:spacing w:before="240" w:after="160" w:line="360" w:lineRule="auto"/>
        <w:ind w:left="851" w:right="850"/>
        <w:jc w:val="both"/>
        <w:rPr>
          <w:rFonts w:ascii="Palatino Linotype" w:hAnsi="Palatino Linotype"/>
          <w:i/>
          <w:sz w:val="22"/>
        </w:rPr>
      </w:pPr>
      <w:r w:rsidRPr="00C46E45">
        <w:rPr>
          <w:rFonts w:ascii="Palatino Linotype" w:hAnsi="Palatino Linotype"/>
          <w:i/>
          <w:sz w:val="22"/>
        </w:rPr>
        <w:t xml:space="preserve">Artículo 159. </w:t>
      </w:r>
      <w:r w:rsidRPr="004B052A">
        <w:rPr>
          <w:rFonts w:ascii="Palatino Linotype" w:hAnsi="Palatino Linotype"/>
          <w:b/>
          <w:i/>
          <w:sz w:val="22"/>
          <w:u w:val="single"/>
        </w:rPr>
        <w:t>Cuando los detalles proporcionados para localizar los documentos resulten insuficientes, incompletos o sean erróneos</w:t>
      </w:r>
      <w:r w:rsidRPr="00C46E45">
        <w:rPr>
          <w:rFonts w:ascii="Palatino Linotype" w:hAnsi="Palatino Linotype"/>
          <w:i/>
          <w:sz w:val="22"/>
        </w:rPr>
        <w:t>,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rsidR="00356614" w:rsidRPr="00C46E45" w:rsidRDefault="00356614" w:rsidP="00356614">
      <w:pPr>
        <w:pStyle w:val="Prrafodelista"/>
        <w:autoSpaceDE w:val="0"/>
        <w:autoSpaceDN w:val="0"/>
        <w:adjustRightInd w:val="0"/>
        <w:spacing w:before="240" w:after="160" w:line="360" w:lineRule="auto"/>
        <w:ind w:left="851" w:right="850"/>
        <w:jc w:val="both"/>
        <w:rPr>
          <w:rFonts w:ascii="Palatino Linotype" w:hAnsi="Palatino Linotype"/>
          <w:i/>
          <w:sz w:val="22"/>
        </w:rPr>
      </w:pPr>
      <w:r w:rsidRPr="00C46E45">
        <w:rPr>
          <w:rFonts w:ascii="Palatino Linotype" w:hAnsi="Palatino Linotype"/>
          <w:i/>
          <w:sz w:val="22"/>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rsidR="00356614" w:rsidRPr="00C46E45" w:rsidRDefault="00356614" w:rsidP="00356614">
      <w:pPr>
        <w:pStyle w:val="Prrafodelista"/>
        <w:autoSpaceDE w:val="0"/>
        <w:autoSpaceDN w:val="0"/>
        <w:adjustRightInd w:val="0"/>
        <w:spacing w:before="240" w:after="160" w:line="360" w:lineRule="auto"/>
        <w:ind w:left="851" w:right="850"/>
        <w:jc w:val="both"/>
        <w:rPr>
          <w:rFonts w:ascii="Palatino Linotype" w:hAnsi="Palatino Linotype"/>
          <w:i/>
          <w:sz w:val="22"/>
        </w:rPr>
      </w:pPr>
      <w:r w:rsidRPr="004B052A">
        <w:rPr>
          <w:rFonts w:ascii="Palatino Linotype" w:hAnsi="Palatino Linotype"/>
          <w:b/>
          <w:i/>
          <w:sz w:val="22"/>
          <w:u w:val="single"/>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r w:rsidRPr="00C46E45">
        <w:rPr>
          <w:rFonts w:ascii="Palatino Linotype" w:hAnsi="Palatino Linotype"/>
          <w:i/>
          <w:sz w:val="22"/>
        </w:rPr>
        <w:t>.</w:t>
      </w:r>
    </w:p>
    <w:p w:rsidR="00356614" w:rsidRPr="00C46E45" w:rsidRDefault="00356614" w:rsidP="00356614">
      <w:pPr>
        <w:pStyle w:val="Prrafodelista"/>
        <w:autoSpaceDE w:val="0"/>
        <w:autoSpaceDN w:val="0"/>
        <w:adjustRightInd w:val="0"/>
        <w:spacing w:before="240" w:after="160" w:line="360" w:lineRule="auto"/>
        <w:ind w:left="851" w:right="850"/>
        <w:jc w:val="both"/>
        <w:rPr>
          <w:rFonts w:ascii="Palatino Linotype" w:hAnsi="Palatino Linotype" w:cs="Arial"/>
          <w:i/>
          <w:sz w:val="22"/>
        </w:rPr>
      </w:pPr>
      <w:r w:rsidRPr="00C46E45">
        <w:rPr>
          <w:rFonts w:ascii="Palatino Linotype" w:hAnsi="Palatino Linotype"/>
          <w:i/>
          <w:sz w:val="22"/>
        </w:rPr>
        <w:t>En el caso de requerimientos parciales no desahogados, se tendrá por presentada la solicitud por lo que respecta a los contenidos de información que no formaron parte del requerimiento.</w:t>
      </w:r>
    </w:p>
    <w:p w:rsidR="00356614" w:rsidRPr="00C46E45" w:rsidRDefault="00356614" w:rsidP="00356614">
      <w:pPr>
        <w:pStyle w:val="Prrafodelista"/>
        <w:autoSpaceDE w:val="0"/>
        <w:autoSpaceDN w:val="0"/>
        <w:adjustRightInd w:val="0"/>
        <w:spacing w:before="240" w:after="160" w:line="360" w:lineRule="auto"/>
        <w:ind w:left="851" w:right="850"/>
        <w:jc w:val="both"/>
        <w:rPr>
          <w:rFonts w:ascii="Palatino Linotype" w:hAnsi="Palatino Linotype" w:cs="Arial"/>
          <w:i/>
          <w:sz w:val="22"/>
        </w:rPr>
      </w:pPr>
      <w:r w:rsidRPr="00C46E45">
        <w:rPr>
          <w:rFonts w:ascii="Palatino Linotype" w:hAnsi="Palatino Linotype" w:cs="Arial"/>
          <w:i/>
          <w:sz w:val="22"/>
        </w:rPr>
        <w:lastRenderedPageBreak/>
        <w:t xml:space="preserve">Por </w:t>
      </w:r>
      <w:r w:rsidR="00CB164F" w:rsidRPr="00C46E45">
        <w:rPr>
          <w:rFonts w:ascii="Palatino Linotype" w:hAnsi="Palatino Linotype" w:cs="Arial"/>
          <w:i/>
          <w:sz w:val="22"/>
        </w:rPr>
        <w:t>ende,</w:t>
      </w:r>
      <w:r w:rsidRPr="00C46E45">
        <w:rPr>
          <w:rFonts w:ascii="Palatino Linotype" w:hAnsi="Palatino Linotype" w:cs="Arial"/>
          <w:i/>
          <w:sz w:val="22"/>
        </w:rPr>
        <w:t xml:space="preserve"> ante la posible inexperiencia del particular, interpuso el recurso de revisión una vez que el sistema del SAIMEX había dado como concluida la solicitud de información.</w:t>
      </w:r>
    </w:p>
    <w:p w:rsidR="00356614" w:rsidRDefault="00356614" w:rsidP="00CB164F">
      <w:pPr>
        <w:pStyle w:val="Sinespaciado"/>
        <w:spacing w:before="240" w:after="240" w:line="360" w:lineRule="auto"/>
        <w:jc w:val="both"/>
        <w:rPr>
          <w:rFonts w:ascii="Palatino Linotype" w:hAnsi="Palatino Linotype"/>
        </w:rPr>
      </w:pPr>
      <w:r>
        <w:rPr>
          <w:rFonts w:ascii="Palatino Linotype" w:hAnsi="Palatino Linotype"/>
        </w:rPr>
        <w:t>Así del artículo anteriormente referido establece que, únicamente cuando los detalles proporcionados en la solicitud de información sean insuficientes, incompletos o sean erróneos, las Unidades de Transparencia de los sujetos obligados, podrán requerir al solicitante, indique otros elementos que complementen, corrijan o amplíen los datos ya proporcionados.</w:t>
      </w:r>
    </w:p>
    <w:p w:rsidR="00356614" w:rsidRDefault="00356614" w:rsidP="00CB164F">
      <w:pPr>
        <w:pStyle w:val="Sinespaciado"/>
        <w:spacing w:before="240" w:after="240" w:line="360" w:lineRule="auto"/>
        <w:jc w:val="both"/>
        <w:rPr>
          <w:rFonts w:ascii="Palatino Linotype" w:hAnsi="Palatino Linotype"/>
        </w:rPr>
      </w:pPr>
      <w:r>
        <w:rPr>
          <w:rFonts w:ascii="Palatino Linotype" w:hAnsi="Palatino Linotype"/>
        </w:rPr>
        <w:t>En ese mismo contexto el párrafo tercero del artículo en referencia, establece y delimita los casos en que se tendrá por no presentada la solicitud de información, esto es, cuando los particulares no atiendan los requerimientos de información adicional solicitados por los sujetos obligados correspondientes, sin embargo dicho párrafo de igual forma es claro y preciso al señalar que en el caso de que en la solicitud de información inicial se aprecien elementos suficientes que permitan identificar la información requerida, esta deberá ser atendida por el sujeto obligado correspondiente.</w:t>
      </w:r>
    </w:p>
    <w:p w:rsidR="00356614" w:rsidRDefault="00356614" w:rsidP="00356614">
      <w:pPr>
        <w:tabs>
          <w:tab w:val="left" w:pos="709"/>
        </w:tabs>
        <w:spacing w:before="240" w:line="360" w:lineRule="auto"/>
        <w:ind w:right="51"/>
        <w:jc w:val="both"/>
        <w:rPr>
          <w:rFonts w:ascii="Palatino Linotype" w:hAnsi="Palatino Linotype"/>
        </w:rPr>
      </w:pPr>
      <w:r>
        <w:rPr>
          <w:rFonts w:ascii="Palatino Linotype" w:hAnsi="Palatino Linotype"/>
        </w:rPr>
        <w:t xml:space="preserve">Entonces, derivado de lo señalado anteriormente, en el presente caso, el requerimiento de aclaración, interpuesto por el sujeto obligado, resulta improcedente, toda vez que de la solicitud de información primigenia es posible observar que la parte recurrente desea </w:t>
      </w:r>
      <w:r w:rsidR="00CB164F">
        <w:rPr>
          <w:rFonts w:ascii="Palatino Linotype" w:hAnsi="Palatino Linotype"/>
        </w:rPr>
        <w:t xml:space="preserve">conocer </w:t>
      </w:r>
      <w:r w:rsidR="00CB164F">
        <w:rPr>
          <w:rFonts w:ascii="Palatino Linotype" w:hAnsi="Palatino Linotype" w:cs="Arial"/>
          <w:sz w:val="24"/>
          <w:szCs w:val="20"/>
        </w:rPr>
        <w:t>la</w:t>
      </w:r>
      <w:r w:rsidR="00CB164F">
        <w:rPr>
          <w:rFonts w:ascii="Palatino Linotype" w:hAnsi="Palatino Linotype" w:cs="Arial"/>
          <w:i/>
          <w:iCs/>
          <w:sz w:val="24"/>
          <w:szCs w:val="20"/>
        </w:rPr>
        <w:t xml:space="preserve"> n</w:t>
      </w:r>
      <w:r w:rsidR="00CB164F" w:rsidRPr="00CB164F">
        <w:rPr>
          <w:rFonts w:ascii="Palatino Linotype" w:hAnsi="Palatino Linotype" w:cs="Arial"/>
          <w:i/>
          <w:iCs/>
          <w:sz w:val="24"/>
          <w:szCs w:val="20"/>
        </w:rPr>
        <w:t>ómina de la administración pública municipal de valle de Chalco, correspondiente a la primera y segunda quincena del mes de mayo de 2019.</w:t>
      </w:r>
    </w:p>
    <w:p w:rsidR="00356614" w:rsidRDefault="00356614" w:rsidP="00CB164F">
      <w:pPr>
        <w:pStyle w:val="Sinespaciado"/>
        <w:spacing w:before="240" w:after="240" w:line="360" w:lineRule="auto"/>
        <w:jc w:val="both"/>
        <w:rPr>
          <w:rFonts w:ascii="Palatino Linotype" w:hAnsi="Palatino Linotype"/>
        </w:rPr>
      </w:pPr>
      <w:r>
        <w:rPr>
          <w:rFonts w:ascii="Palatino Linotype" w:hAnsi="Palatino Linotype"/>
        </w:rPr>
        <w:lastRenderedPageBreak/>
        <w:t>Por lo anterior podemos dilucidar que existen elementos suficientes, claros y precisos para que el sujeto obligado pueda responder de manera adecuada, a los requerimientos presentados por la hoy recurrente en la solicitud de información correspondiente.</w:t>
      </w:r>
    </w:p>
    <w:p w:rsidR="00EE28A5" w:rsidRPr="004E4191" w:rsidRDefault="00EE28A5" w:rsidP="00EE28A5">
      <w:pPr>
        <w:spacing w:line="360" w:lineRule="auto"/>
        <w:jc w:val="both"/>
        <w:rPr>
          <w:rFonts w:ascii="Palatino Linotype" w:hAnsi="Palatino Linotype" w:cs="Arial"/>
          <w:color w:val="000000" w:themeColor="text1"/>
          <w:sz w:val="24"/>
          <w:szCs w:val="24"/>
        </w:rPr>
      </w:pPr>
      <w:r w:rsidRPr="004E4191">
        <w:rPr>
          <w:rFonts w:ascii="Palatino Linotype" w:hAnsi="Palatino Linotype" w:cs="Arial"/>
          <w:bCs/>
          <w:sz w:val="24"/>
          <w:szCs w:val="24"/>
        </w:rPr>
        <w:t xml:space="preserve">Así pues, ante la negativa de la información, es oportuno resaltar que el ciudadano tiene la oportunidad de inconformarse </w:t>
      </w:r>
      <w:r w:rsidRPr="004E4191">
        <w:rPr>
          <w:rFonts w:ascii="Palatino Linotype" w:hAnsi="Palatino Linotype" w:cs="Arial"/>
          <w:sz w:val="24"/>
          <w:szCs w:val="24"/>
        </w:rPr>
        <w:t xml:space="preserve">en los casos en que estime violentado su derecho; en consecuencia, </w:t>
      </w:r>
      <w:r w:rsidRPr="004E4191">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EE28A5" w:rsidRPr="00A27566" w:rsidRDefault="00EE28A5" w:rsidP="00EE28A5">
      <w:pPr>
        <w:spacing w:after="0" w:line="360" w:lineRule="auto"/>
        <w:jc w:val="both"/>
        <w:rPr>
          <w:rFonts w:ascii="Palatino Linotype" w:hAnsi="Palatino Linotype" w:cs="Arial"/>
          <w:color w:val="000000" w:themeColor="text1"/>
          <w:sz w:val="6"/>
          <w:szCs w:val="24"/>
        </w:rPr>
      </w:pPr>
    </w:p>
    <w:p w:rsidR="00EE28A5" w:rsidRPr="00A27566" w:rsidRDefault="00EE28A5" w:rsidP="00EE28A5">
      <w:pPr>
        <w:spacing w:before="120" w:after="120" w:line="360" w:lineRule="auto"/>
        <w:ind w:left="851" w:right="851"/>
        <w:jc w:val="both"/>
        <w:rPr>
          <w:rFonts w:ascii="Palatino Linotype" w:hAnsi="Palatino Linotype" w:cs="Arial"/>
          <w:bCs/>
          <w:i/>
          <w:color w:val="000000" w:themeColor="text1"/>
        </w:rPr>
      </w:pPr>
      <w:r w:rsidRPr="00A27566">
        <w:rPr>
          <w:rFonts w:ascii="Palatino Linotype" w:hAnsi="Palatino Linotype" w:cs="Arial"/>
          <w:bCs/>
          <w:i/>
          <w:color w:val="000000" w:themeColor="text1"/>
        </w:rPr>
        <w:t>“</w:t>
      </w:r>
      <w:r w:rsidRPr="00A27566">
        <w:rPr>
          <w:rFonts w:ascii="Palatino Linotype" w:hAnsi="Palatino Linotype" w:cs="Arial"/>
          <w:b/>
          <w:bCs/>
          <w:i/>
          <w:color w:val="000000" w:themeColor="text1"/>
        </w:rPr>
        <w:t xml:space="preserve">Artículo 4. </w:t>
      </w:r>
      <w:r w:rsidRPr="007B167F">
        <w:rPr>
          <w:rFonts w:ascii="Palatino Linotype" w:hAnsi="Palatino Linotype" w:cs="Arial"/>
          <w:b/>
          <w:bCs/>
          <w:i/>
          <w:color w:val="000000" w:themeColor="text1"/>
          <w:u w:val="single"/>
        </w:rPr>
        <w:t>El derecho humano de acceso a la información pública es la prerrogativa de las personas para buscar, difundir, investigar, recabar, recibir y solicitar información pública</w:t>
      </w:r>
      <w:r w:rsidRPr="00A27566">
        <w:rPr>
          <w:rFonts w:ascii="Palatino Linotype" w:hAnsi="Palatino Linotype" w:cs="Arial"/>
          <w:bCs/>
          <w:i/>
          <w:color w:val="000000" w:themeColor="text1"/>
        </w:rPr>
        <w:t>, sin necesidad de acreditar personalidad ni interés jurídico.</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Solo podrá ser clasificada excepcionalmente como reservada </w:t>
      </w:r>
      <w:r w:rsidRPr="00A27566">
        <w:rPr>
          <w:rFonts w:ascii="Palatino Linotype" w:hAnsi="Palatino Linotype" w:cs="Arial"/>
          <w:i/>
          <w:color w:val="000000" w:themeColor="text1"/>
        </w:rPr>
        <w:lastRenderedPageBreak/>
        <w:t>temporalmente por razones de interés público, en los términos de las causas legítimas y estrictamente necesarias previstas por esta Ley.</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bCs/>
          <w:i/>
          <w:color w:val="000000" w:themeColor="text1"/>
        </w:rPr>
        <w:t xml:space="preserve">Artículo 12. </w:t>
      </w:r>
      <w:r w:rsidRPr="00A2756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Los sujetos obligados sólo proporcionarán la información pública que se les requiera y que obre en sus archivos y en el estado en que ésta se encuentre</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b/>
          <w:bCs/>
          <w:i/>
          <w:color w:val="000000" w:themeColor="text1"/>
        </w:rPr>
      </w:pPr>
      <w:r w:rsidRPr="00A27566">
        <w:rPr>
          <w:rFonts w:ascii="Palatino Linotype" w:hAnsi="Palatino Linotype" w:cs="Arial"/>
          <w:b/>
          <w:bCs/>
          <w:i/>
          <w:color w:val="000000" w:themeColor="text1"/>
        </w:rPr>
        <w:t xml:space="preserve">Artículo 24.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u w:val="single"/>
        </w:rPr>
      </w:pPr>
      <w:r w:rsidRPr="00A2756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i/>
          <w:color w:val="000000" w:themeColor="text1"/>
        </w:rPr>
        <w:t>Artículo 160.</w:t>
      </w:r>
      <w:r w:rsidRPr="00A27566">
        <w:rPr>
          <w:rFonts w:ascii="Palatino Linotype" w:hAnsi="Palatino Linotype" w:cs="Arial"/>
          <w:i/>
          <w:color w:val="000000" w:themeColor="text1"/>
        </w:rPr>
        <w:t xml:space="preserve"> </w:t>
      </w:r>
      <w:r w:rsidRPr="00A27566">
        <w:rPr>
          <w:rFonts w:ascii="Palatino Linotype" w:hAnsi="Palatino Linotype" w:cs="Arial"/>
          <w:i/>
          <w:color w:val="000000" w:themeColor="text1"/>
          <w:u w:val="single"/>
        </w:rPr>
        <w:t xml:space="preserve">Los sujetos obligados deberán otorgar acceso a los documentos que se encuentren en sus archivos o que estén obligados a documentar de acuerdo con sus facultades, competencias o funciones en el formato que el solicitante manifieste, de </w:t>
      </w:r>
      <w:r w:rsidRPr="00A27566">
        <w:rPr>
          <w:rFonts w:ascii="Palatino Linotype" w:hAnsi="Palatino Linotype" w:cs="Arial"/>
          <w:i/>
          <w:color w:val="000000" w:themeColor="text1"/>
          <w:u w:val="single"/>
        </w:rPr>
        <w:lastRenderedPageBreak/>
        <w:t>entre aquellos formatos existentes, conforme a las características físicas de la información o del lugar donde se encuentre así lo permita</w:t>
      </w:r>
      <w:r w:rsidRPr="00A27566">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En caso que la información solicitada consista en bases de datos se deberá privilegiar la entrega de la misma en formatos abiertos.”</w:t>
      </w:r>
    </w:p>
    <w:p w:rsidR="00EE28A5" w:rsidRPr="00A27566" w:rsidRDefault="00EE28A5" w:rsidP="005E6546">
      <w:pPr>
        <w:spacing w:before="240" w:line="360" w:lineRule="auto"/>
        <w:ind w:left="851" w:right="851"/>
        <w:jc w:val="right"/>
        <w:rPr>
          <w:rFonts w:ascii="Palatino Linotype" w:hAnsi="Palatino Linotype" w:cs="Arial"/>
          <w:i/>
          <w:color w:val="000000" w:themeColor="text1"/>
        </w:rPr>
      </w:pPr>
      <w:r w:rsidRPr="00A27566">
        <w:rPr>
          <w:rFonts w:ascii="Palatino Linotype" w:hAnsi="Palatino Linotype" w:cs="Arial"/>
          <w:i/>
          <w:color w:val="000000" w:themeColor="text1"/>
        </w:rPr>
        <w:t>(Sic)</w:t>
      </w:r>
      <w:r>
        <w:rPr>
          <w:rFonts w:ascii="Palatino Linotype" w:hAnsi="Palatino Linotype" w:cs="Arial"/>
          <w:i/>
          <w:color w:val="000000" w:themeColor="text1"/>
        </w:rPr>
        <w:t>.</w:t>
      </w:r>
    </w:p>
    <w:p w:rsidR="00EE28A5" w:rsidRDefault="00EE28A5" w:rsidP="005E6546">
      <w:pPr>
        <w:spacing w:before="240" w:line="360" w:lineRule="auto"/>
        <w:jc w:val="both"/>
        <w:rPr>
          <w:rFonts w:ascii="Palatino Linotype" w:hAnsi="Palatino Linotype" w:cs="Arial"/>
          <w:color w:val="000000" w:themeColor="text1"/>
          <w:sz w:val="24"/>
          <w:szCs w:val="24"/>
        </w:rPr>
      </w:pPr>
      <w:r w:rsidRPr="005C729F">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C729F">
        <w:rPr>
          <w:rFonts w:ascii="Palatino Linotype" w:hAnsi="Palatino Linotype" w:cs="Arial"/>
          <w:bCs/>
          <w:color w:val="000000" w:themeColor="text1"/>
          <w:sz w:val="24"/>
          <w:szCs w:val="24"/>
        </w:rPr>
        <w:t>de la Ley local en la materia, que se reproduce de la siguiente forma</w:t>
      </w:r>
      <w:r w:rsidRPr="005C729F">
        <w:rPr>
          <w:rFonts w:ascii="Palatino Linotype" w:hAnsi="Palatino Linotype" w:cs="Arial"/>
          <w:color w:val="000000" w:themeColor="text1"/>
          <w:sz w:val="24"/>
          <w:szCs w:val="24"/>
        </w:rPr>
        <w:t>:</w:t>
      </w:r>
    </w:p>
    <w:p w:rsidR="00EE28A5" w:rsidRDefault="00EE28A5" w:rsidP="00EE28A5">
      <w:pPr>
        <w:spacing w:before="240" w:line="360" w:lineRule="auto"/>
        <w:ind w:left="851" w:right="851"/>
        <w:jc w:val="both"/>
        <w:rPr>
          <w:rFonts w:ascii="Palatino Linotype" w:hAnsi="Palatino Linotype" w:cs="Arial"/>
          <w:i/>
          <w:color w:val="000000" w:themeColor="text1"/>
          <w:szCs w:val="24"/>
        </w:rPr>
      </w:pPr>
      <w:r w:rsidRPr="00A27566">
        <w:rPr>
          <w:rFonts w:ascii="Palatino Linotype" w:hAnsi="Palatino Linotype" w:cs="Arial"/>
          <w:b/>
          <w:i/>
          <w:color w:val="000000" w:themeColor="text1"/>
          <w:szCs w:val="24"/>
        </w:rPr>
        <w:t>Artículo 166.</w:t>
      </w:r>
      <w:r w:rsidRPr="00A27566">
        <w:rPr>
          <w:rFonts w:ascii="Palatino Linotype" w:hAnsi="Palatino Linotype" w:cs="Arial"/>
          <w:i/>
          <w:color w:val="000000" w:themeColor="text1"/>
          <w:szCs w:val="24"/>
        </w:rPr>
        <w:t xml:space="preserve"> </w:t>
      </w:r>
      <w:r w:rsidRPr="00A27566">
        <w:rPr>
          <w:rFonts w:ascii="Palatino Linotype" w:hAnsi="Palatino Linotype" w:cs="Arial"/>
          <w:i/>
          <w:color w:val="000000" w:themeColor="text1"/>
          <w:szCs w:val="24"/>
          <w:u w:val="single"/>
        </w:rPr>
        <w:t>La obligación de acceso a la información pública se tendrá por cumplida cuando el solicitante tenga a su disposición la información requerida, o cuando realice la consulta de la misma en el lugar en el que ésta se localice.</w:t>
      </w:r>
    </w:p>
    <w:p w:rsidR="00EE28A5" w:rsidRPr="00027645" w:rsidRDefault="00EE28A5" w:rsidP="00EE28A5">
      <w:pPr>
        <w:spacing w:before="240" w:line="360" w:lineRule="auto"/>
        <w:jc w:val="both"/>
        <w:rPr>
          <w:rFonts w:ascii="Palatino Linotype" w:hAnsi="Palatino Linotype"/>
          <w:sz w:val="24"/>
          <w:szCs w:val="24"/>
        </w:rPr>
      </w:pPr>
      <w:r w:rsidRPr="00027645">
        <w:rPr>
          <w:rFonts w:ascii="Palatino Linotype" w:hAnsi="Palatino Linotype"/>
          <w:sz w:val="24"/>
          <w:szCs w:val="24"/>
        </w:rPr>
        <w:t xml:space="preserve">De lo anterior, conforme a las acciones del </w:t>
      </w:r>
      <w:r w:rsidRPr="00027645">
        <w:rPr>
          <w:rFonts w:ascii="Palatino Linotype" w:hAnsi="Palatino Linotype"/>
          <w:b/>
          <w:sz w:val="24"/>
          <w:szCs w:val="24"/>
        </w:rPr>
        <w:t>Sujeto Obligado</w:t>
      </w:r>
      <w:r w:rsidRPr="00027645">
        <w:rPr>
          <w:rFonts w:ascii="Palatino Linotype" w:hAnsi="Palatino Linotype"/>
          <w:sz w:val="24"/>
          <w:szCs w:val="24"/>
        </w:rPr>
        <w:t xml:space="preserve">, se establece que éste vulnera el derecho de acceso a la información pública del </w:t>
      </w:r>
      <w:r w:rsidRPr="00027645">
        <w:rPr>
          <w:rFonts w:ascii="Palatino Linotype" w:hAnsi="Palatino Linotype"/>
          <w:b/>
          <w:sz w:val="24"/>
          <w:szCs w:val="24"/>
        </w:rPr>
        <w:t>Recurrente</w:t>
      </w:r>
      <w:r w:rsidRPr="00027645">
        <w:rPr>
          <w:rFonts w:ascii="Palatino Linotype" w:hAnsi="Palatino Linotype"/>
          <w:sz w:val="24"/>
          <w:szCs w:val="24"/>
        </w:rPr>
        <w:t xml:space="preserve">, toda vez que no entrega </w:t>
      </w:r>
      <w:r>
        <w:rPr>
          <w:rFonts w:ascii="Palatino Linotype" w:hAnsi="Palatino Linotype"/>
          <w:sz w:val="24"/>
          <w:szCs w:val="24"/>
        </w:rPr>
        <w:t>las documentales requeridas en la</w:t>
      </w:r>
      <w:r w:rsidRPr="00027645">
        <w:rPr>
          <w:rFonts w:ascii="Palatino Linotype" w:hAnsi="Palatino Linotype"/>
          <w:sz w:val="24"/>
          <w:szCs w:val="24"/>
        </w:rPr>
        <w:t xml:space="preserve"> solicitud de información presentada, de conformidad a lo establecido en los artículos 24 fracción XI, y 166 de la ley local en la materia, y que señalan:</w:t>
      </w:r>
    </w:p>
    <w:p w:rsidR="00EE28A5" w:rsidRPr="00630612" w:rsidRDefault="00EE28A5" w:rsidP="00EE28A5">
      <w:pPr>
        <w:spacing w:before="240" w:after="120" w:line="360" w:lineRule="auto"/>
        <w:ind w:left="851" w:right="851"/>
        <w:jc w:val="both"/>
        <w:rPr>
          <w:rFonts w:ascii="Palatino Linotype" w:hAnsi="Palatino Linotype" w:cs="Arial"/>
          <w:i/>
          <w:color w:val="000000" w:themeColor="text1"/>
          <w:szCs w:val="24"/>
        </w:rPr>
      </w:pPr>
      <w:r w:rsidRPr="00630612">
        <w:rPr>
          <w:rFonts w:ascii="Palatino Linotype" w:hAnsi="Palatino Linotype"/>
          <w:szCs w:val="24"/>
        </w:rPr>
        <w:t>A</w:t>
      </w:r>
      <w:r w:rsidRPr="00630612">
        <w:rPr>
          <w:rFonts w:ascii="Palatino Linotype" w:hAnsi="Palatino Linotype" w:cs="Arial"/>
          <w:b/>
          <w:bCs/>
          <w:i/>
          <w:color w:val="000000" w:themeColor="text1"/>
          <w:szCs w:val="24"/>
        </w:rPr>
        <w:t xml:space="preserve">rtículo 24. </w:t>
      </w:r>
      <w:r w:rsidRPr="00630612">
        <w:rPr>
          <w:rFonts w:ascii="Palatino Linotype" w:hAnsi="Palatino Linotype" w:cs="Arial"/>
          <w:i/>
          <w:color w:val="000000" w:themeColor="text1"/>
          <w:szCs w:val="24"/>
          <w:u w:val="single"/>
        </w:rPr>
        <w:t>Para el cumplimiento de los objetivos de esta Ley, los sujetos obligados deberán cumplir con las siguientes obligaciones, según corresponda, de acuerdo a su naturaleza:</w:t>
      </w:r>
    </w:p>
    <w:p w:rsidR="00EE28A5" w:rsidRPr="00630612" w:rsidRDefault="00EE28A5" w:rsidP="00EE28A5">
      <w:pPr>
        <w:spacing w:before="120" w:after="120" w:line="360" w:lineRule="auto"/>
        <w:ind w:left="851" w:right="851"/>
        <w:jc w:val="both"/>
        <w:rPr>
          <w:rFonts w:ascii="Palatino Linotype" w:hAnsi="Palatino Linotype" w:cs="Arial"/>
          <w:i/>
          <w:color w:val="000000" w:themeColor="text1"/>
          <w:szCs w:val="24"/>
        </w:rPr>
      </w:pPr>
      <w:r>
        <w:rPr>
          <w:rFonts w:ascii="Palatino Linotype" w:hAnsi="Palatino Linotype" w:cs="Arial"/>
          <w:bCs/>
          <w:i/>
          <w:color w:val="000000" w:themeColor="text1"/>
          <w:szCs w:val="24"/>
        </w:rPr>
        <w:lastRenderedPageBreak/>
        <w:t>(</w:t>
      </w:r>
      <w:r w:rsidRPr="00630612">
        <w:rPr>
          <w:rFonts w:ascii="Palatino Linotype" w:hAnsi="Palatino Linotype" w:cs="Arial"/>
          <w:bCs/>
          <w:i/>
          <w:color w:val="000000" w:themeColor="text1"/>
          <w:szCs w:val="24"/>
        </w:rPr>
        <w:t>..</w:t>
      </w:r>
      <w:r w:rsidRPr="00630612">
        <w:rPr>
          <w:rFonts w:ascii="Palatino Linotype" w:hAnsi="Palatino Linotype" w:cs="Arial"/>
          <w:i/>
          <w:color w:val="000000" w:themeColor="text1"/>
          <w:szCs w:val="24"/>
        </w:rPr>
        <w:t>.</w:t>
      </w:r>
      <w:r>
        <w:rPr>
          <w:rFonts w:ascii="Palatino Linotype" w:hAnsi="Palatino Linotype" w:cs="Arial"/>
          <w:i/>
          <w:color w:val="000000" w:themeColor="text1"/>
          <w:szCs w:val="24"/>
        </w:rPr>
        <w:t>)</w:t>
      </w:r>
    </w:p>
    <w:p w:rsidR="00EE28A5" w:rsidRPr="005B64BB" w:rsidRDefault="00EE28A5" w:rsidP="00EE28A5">
      <w:pPr>
        <w:spacing w:before="120" w:after="120" w:line="360" w:lineRule="auto"/>
        <w:ind w:left="851" w:right="851"/>
        <w:jc w:val="both"/>
        <w:rPr>
          <w:rFonts w:ascii="Palatino Linotype" w:hAnsi="Palatino Linotype" w:cs="Arial"/>
          <w:bCs/>
          <w:i/>
          <w:color w:val="000000" w:themeColor="text1"/>
          <w:szCs w:val="24"/>
          <w:u w:val="single"/>
        </w:rPr>
      </w:pPr>
      <w:r w:rsidRPr="00630612">
        <w:rPr>
          <w:rFonts w:ascii="Palatino Linotype" w:hAnsi="Palatino Linotype" w:cs="Arial"/>
          <w:b/>
          <w:bCs/>
          <w:i/>
          <w:color w:val="000000" w:themeColor="text1"/>
          <w:szCs w:val="24"/>
        </w:rPr>
        <w:t>XI.</w:t>
      </w:r>
      <w:r w:rsidRPr="00630612">
        <w:rPr>
          <w:rFonts w:ascii="Palatino Linotype" w:hAnsi="Palatino Linotype" w:cs="Arial"/>
          <w:bCs/>
          <w:i/>
          <w:color w:val="000000" w:themeColor="text1"/>
          <w:szCs w:val="24"/>
        </w:rPr>
        <w:t xml:space="preserve"> </w:t>
      </w:r>
      <w:r w:rsidRPr="00630612">
        <w:rPr>
          <w:rFonts w:ascii="Palatino Linotype" w:hAnsi="Palatino Linotype" w:cs="Arial"/>
          <w:bCs/>
          <w:i/>
          <w:color w:val="000000" w:themeColor="text1"/>
          <w:szCs w:val="24"/>
          <w:u w:val="single"/>
        </w:rPr>
        <w:t>Dar acceso a la información pública que le sea requerida, en los términos de la Ley General, esta Ley y demás disposiciones jurídicas aplicables;</w:t>
      </w:r>
    </w:p>
    <w:p w:rsidR="00EE28A5" w:rsidRDefault="00EE28A5" w:rsidP="00470C7E">
      <w:pPr>
        <w:pStyle w:val="Prrafodelista"/>
        <w:spacing w:line="360" w:lineRule="auto"/>
        <w:ind w:left="0"/>
        <w:jc w:val="both"/>
        <w:rPr>
          <w:rFonts w:ascii="Palatino Linotype" w:hAnsi="Palatino Linotype" w:cs="Arial"/>
          <w:bCs/>
        </w:rPr>
      </w:pPr>
    </w:p>
    <w:p w:rsidR="00EE28A5" w:rsidRDefault="00EE28A5" w:rsidP="005E6546">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Por lo anterior, este órgano garante considera fundadas las razones o motivos de inconformidad del hoy recurrente</w:t>
      </w:r>
      <w:r w:rsidR="000B3927">
        <w:rPr>
          <w:rFonts w:ascii="Palatino Linotype" w:hAnsi="Palatino Linotype" w:cs="Arial"/>
          <w:bCs/>
        </w:rPr>
        <w:t>.</w:t>
      </w:r>
    </w:p>
    <w:p w:rsidR="005E6546" w:rsidRDefault="005E6546" w:rsidP="005E6546">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 xml:space="preserve">En esa tesitura, si bien es cierto que la hoy recurrente solicito información respecto de la nomina correspondiente a la primera y segunda quincena del mes de mayo de los administrativos, directores, sindicalizados y lista de raya, también cierto es que no menciono el ejercicio fiscal del cual requiere dichas nóminas, por lo que, los requerimientos deberán concebirse respecto del ejercicio fiscal dos mil diecinueve. </w:t>
      </w:r>
    </w:p>
    <w:p w:rsidR="005E6546" w:rsidRDefault="005E6546" w:rsidP="005E6546">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Lo anterior, con fundamento en los artículos 13 y 181 cuarto parrado de la Ley de la materia, normatividad invocada cuyo contenido literal es el siguiente:</w:t>
      </w:r>
    </w:p>
    <w:p w:rsidR="005E6546" w:rsidRPr="009878C2" w:rsidRDefault="005E6546" w:rsidP="005E6546">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rsidR="005E6546" w:rsidRPr="009878C2" w:rsidRDefault="005E6546" w:rsidP="005E6546">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rsidR="005E6546" w:rsidRPr="009878C2" w:rsidRDefault="005E6546" w:rsidP="005E6546">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rsidR="00BF5825" w:rsidRPr="00A00D5E" w:rsidRDefault="00BF5825" w:rsidP="00BF5825">
      <w:pPr>
        <w:spacing w:before="240" w:line="360" w:lineRule="auto"/>
        <w:jc w:val="both"/>
        <w:rPr>
          <w:rFonts w:ascii="Palatino Linotype" w:hAnsi="Palatino Linotype" w:cs="Arial"/>
          <w:sz w:val="24"/>
          <w:szCs w:val="24"/>
          <w:lang w:val="es-ES"/>
        </w:rPr>
      </w:pPr>
      <w:r w:rsidRPr="00A00D5E">
        <w:rPr>
          <w:rFonts w:ascii="Palatino Linotype" w:hAnsi="Palatino Linotype" w:cs="Arial"/>
          <w:color w:val="000000" w:themeColor="text1"/>
          <w:sz w:val="24"/>
          <w:szCs w:val="24"/>
        </w:rPr>
        <w:lastRenderedPageBreak/>
        <w:t xml:space="preserve">Asimismo, y toda vez que la materia elemental de la solicitud de información pública, es referente a los recibos de nómina de todo el personal adscrito al Sujeto Obligado, es preciso señalar que en nuestra legislación no existe como tal una definición de </w:t>
      </w:r>
      <w:r w:rsidRPr="00A00D5E">
        <w:rPr>
          <w:rFonts w:ascii="Palatino Linotype" w:hAnsi="Palatino Linotype" w:cs="Arial"/>
          <w:b/>
          <w:color w:val="000000" w:themeColor="text1"/>
          <w:sz w:val="24"/>
          <w:szCs w:val="24"/>
        </w:rPr>
        <w:t>“</w:t>
      </w:r>
      <w:r w:rsidRPr="00A00D5E">
        <w:rPr>
          <w:rFonts w:ascii="Palatino Linotype" w:hAnsi="Palatino Linotype" w:cs="Arial"/>
          <w:b/>
          <w:color w:val="000000" w:themeColor="text1"/>
          <w:sz w:val="24"/>
          <w:szCs w:val="24"/>
          <w:u w:val="single"/>
        </w:rPr>
        <w:t>nómina</w:t>
      </w:r>
      <w:r w:rsidRPr="00A00D5E">
        <w:rPr>
          <w:rFonts w:ascii="Palatino Linotype" w:hAnsi="Palatino Linotype" w:cs="Arial"/>
          <w:b/>
          <w:color w:val="000000" w:themeColor="text1"/>
          <w:sz w:val="24"/>
          <w:szCs w:val="24"/>
        </w:rPr>
        <w:t>”</w:t>
      </w:r>
      <w:r w:rsidRPr="00A00D5E">
        <w:rPr>
          <w:rFonts w:ascii="Palatino Linotype" w:hAnsi="Palatino Linotype" w:cs="Arial"/>
          <w:color w:val="000000" w:themeColor="text1"/>
          <w:sz w:val="24"/>
          <w:szCs w:val="24"/>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F5825" w:rsidRDefault="00BF5825" w:rsidP="00BF5825">
      <w:pPr>
        <w:spacing w:before="240" w:after="240" w:line="240" w:lineRule="auto"/>
        <w:ind w:left="851" w:right="851"/>
        <w:jc w:val="both"/>
        <w:rPr>
          <w:rFonts w:ascii="Palatino Linotype" w:hAnsi="Palatino Linotype" w:cs="Arial"/>
          <w:b/>
          <w:i/>
          <w:lang w:val="es-ES"/>
        </w:rPr>
      </w:pPr>
      <w:r>
        <w:rPr>
          <w:rFonts w:ascii="Palatino Linotype" w:hAnsi="Palatino Linotype" w:cs="Arial"/>
          <w:b/>
          <w:bCs/>
          <w:i/>
          <w:lang w:val="es-ES"/>
        </w:rPr>
        <w:t xml:space="preserve">“NÓMINA </w:t>
      </w:r>
      <w:r>
        <w:rPr>
          <w:rFonts w:ascii="Palatino Linotype" w:hAnsi="Palatino Linotype" w:cs="Arial"/>
          <w:i/>
          <w:lang w:val="es-ES"/>
        </w:rPr>
        <w:t>Listado general de los trabajadores de una institución, en</w:t>
      </w:r>
      <w:r>
        <w:rPr>
          <w:rFonts w:ascii="Palatino Linotype" w:hAnsi="Palatino Linotype" w:cs="Arial"/>
          <w:b/>
          <w:bCs/>
          <w:i/>
          <w:lang w:val="es-ES"/>
        </w:rPr>
        <w:t xml:space="preserve"> </w:t>
      </w:r>
      <w:r>
        <w:rPr>
          <w:rFonts w:ascii="Palatino Linotype" w:hAnsi="Palatino Linotype" w:cs="Arial"/>
          <w:i/>
          <w:lang w:val="es-ES"/>
        </w:rPr>
        <w:t>el cual se asientan las percepciones brutas, deducciones y</w:t>
      </w:r>
      <w:r>
        <w:rPr>
          <w:rFonts w:ascii="Palatino Linotype" w:hAnsi="Palatino Linotype" w:cs="Arial"/>
          <w:b/>
          <w:bCs/>
          <w:i/>
          <w:lang w:val="es-ES"/>
        </w:rPr>
        <w:t xml:space="preserve"> </w:t>
      </w:r>
      <w:r>
        <w:rPr>
          <w:rFonts w:ascii="Palatino Linotype" w:hAnsi="Palatino Linotype" w:cs="Arial"/>
          <w:i/>
          <w:lang w:val="es-ES"/>
        </w:rPr>
        <w:t xml:space="preserve">alcance neto </w:t>
      </w:r>
      <w:r>
        <w:rPr>
          <w:rFonts w:ascii="Palatino Linotype" w:hAnsi="Palatino Linotype" w:cs="Arial"/>
          <w:i/>
          <w:color w:val="000000"/>
          <w:lang w:val="es-ES"/>
        </w:rPr>
        <w:t>de</w:t>
      </w:r>
      <w:r>
        <w:rPr>
          <w:rFonts w:ascii="Palatino Linotype" w:hAnsi="Palatino Linotype" w:cs="Arial"/>
          <w:i/>
          <w:lang w:val="es-ES"/>
        </w:rPr>
        <w:t xml:space="preserve"> las mismas; la nómina es utilizada para</w:t>
      </w:r>
      <w:r>
        <w:rPr>
          <w:rFonts w:ascii="Palatino Linotype" w:hAnsi="Palatino Linotype" w:cs="Arial"/>
          <w:b/>
          <w:bCs/>
          <w:i/>
          <w:lang w:val="es-ES"/>
        </w:rPr>
        <w:t xml:space="preserve"> </w:t>
      </w:r>
      <w:r>
        <w:rPr>
          <w:rFonts w:ascii="Palatino Linotype" w:hAnsi="Palatino Linotype" w:cs="Arial"/>
          <w:i/>
          <w:lang w:val="es-ES"/>
        </w:rPr>
        <w:t>efectuar los pagos periódicos (semanales, quincenales o</w:t>
      </w:r>
      <w:r>
        <w:rPr>
          <w:rFonts w:ascii="Palatino Linotype" w:hAnsi="Palatino Linotype" w:cs="Arial"/>
          <w:b/>
          <w:bCs/>
          <w:i/>
          <w:lang w:val="es-ES"/>
        </w:rPr>
        <w:t xml:space="preserve"> </w:t>
      </w:r>
      <w:r>
        <w:rPr>
          <w:rFonts w:ascii="Palatino Linotype" w:hAnsi="Palatino Linotype" w:cs="Arial"/>
          <w:i/>
          <w:lang w:val="es-ES"/>
        </w:rPr>
        <w:t>mensuales) a los trabajadores por concepto de sueldos y</w:t>
      </w:r>
      <w:r>
        <w:rPr>
          <w:rFonts w:ascii="Palatino Linotype" w:hAnsi="Palatino Linotype" w:cs="Arial"/>
          <w:b/>
          <w:bCs/>
          <w:i/>
          <w:lang w:val="es-ES"/>
        </w:rPr>
        <w:t xml:space="preserve"> </w:t>
      </w:r>
      <w:r>
        <w:rPr>
          <w:rFonts w:ascii="Palatino Linotype" w:hAnsi="Palatino Linotype" w:cs="Arial"/>
          <w:i/>
          <w:lang w:val="es-ES"/>
        </w:rPr>
        <w:t xml:space="preserve">salarios.” </w:t>
      </w:r>
      <w:r>
        <w:rPr>
          <w:rFonts w:ascii="Palatino Linotype" w:hAnsi="Palatino Linotype" w:cs="Arial"/>
          <w:b/>
          <w:i/>
          <w:lang w:val="es-ES"/>
        </w:rPr>
        <w:t>[Sic]</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 xml:space="preserve">Por tal motivo, 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lastRenderedPageBreak/>
        <w:t xml:space="preserve">Artículo 93.- </w:t>
      </w:r>
      <w:r w:rsidRPr="00A00D5E">
        <w:rPr>
          <w:rFonts w:ascii="Palatino Linotype" w:eastAsia="Times New Roman" w:hAnsi="Palatino Linotype" w:cs="Arial"/>
          <w:b/>
          <w:i/>
          <w:u w:val="single"/>
          <w:lang w:eastAsia="es-ES"/>
        </w:rPr>
        <w:t xml:space="preserve">La tesorería municipal es </w:t>
      </w:r>
      <w:r w:rsidRPr="00A00D5E">
        <w:rPr>
          <w:rFonts w:ascii="Palatino Linotype" w:eastAsia="Times New Roman" w:hAnsi="Palatino Linotype" w:cs="Arial"/>
          <w:i/>
          <w:lang w:eastAsia="es-ES"/>
        </w:rPr>
        <w:t xml:space="preserve">el órgano encargado de la recaudación de los ingresos municipales y </w:t>
      </w:r>
      <w:r w:rsidRPr="00A00D5E">
        <w:rPr>
          <w:rFonts w:ascii="Palatino Linotype" w:eastAsia="Times New Roman" w:hAnsi="Palatino Linotype" w:cs="Arial"/>
          <w:b/>
          <w:i/>
          <w:u w:val="single"/>
          <w:lang w:eastAsia="es-ES"/>
        </w:rPr>
        <w:t>responsable de realizar las erogaciones que haga el ayuntamiento</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94.- </w:t>
      </w:r>
      <w:r w:rsidRPr="00A00D5E">
        <w:rPr>
          <w:rFonts w:ascii="Palatino Linotype" w:eastAsia="Times New Roman" w:hAnsi="Palatino Linotype" w:cs="Arial"/>
          <w:b/>
          <w:i/>
          <w:u w:val="single"/>
          <w:lang w:eastAsia="es-ES"/>
        </w:rPr>
        <w:t>El tesorero municipal, al tomar posesión de su cargo, recibirá la hacienda pública de acuerdo con las previsiones a que se refiere el artículo 19 de esta Ley</w:t>
      </w:r>
      <w:r w:rsidRPr="00A00D5E">
        <w:rPr>
          <w:rFonts w:ascii="Palatino Linotype" w:eastAsia="Times New Roman" w:hAnsi="Palatino Linotype" w:cs="Arial"/>
          <w:i/>
          <w:lang w:eastAsia="es-ES"/>
        </w:rPr>
        <w:t xml:space="preserve"> y remitirá un ejemplar de dicha documentación al ayuntamiento, al Órgano Superior de Fiscalización del Estado de México y al archivo de la tesorería.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95.- </w:t>
      </w:r>
      <w:r w:rsidRPr="00A00D5E">
        <w:rPr>
          <w:rFonts w:ascii="Palatino Linotype" w:eastAsia="Times New Roman" w:hAnsi="Palatino Linotype" w:cs="Arial"/>
          <w:b/>
          <w:i/>
          <w:u w:val="single"/>
          <w:lang w:eastAsia="es-ES"/>
        </w:rPr>
        <w:t>Son atribuciones del tesorero municipal</w:t>
      </w:r>
      <w:r w:rsidRPr="00A00D5E">
        <w:rPr>
          <w:rFonts w:ascii="Palatino Linotype" w:eastAsia="Times New Roman" w:hAnsi="Palatino Linotype" w:cs="Arial"/>
          <w:i/>
          <w:lang w:eastAsia="es-ES"/>
        </w:rPr>
        <w:t>:</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 </w:t>
      </w:r>
      <w:r w:rsidRPr="00A00D5E">
        <w:rPr>
          <w:rFonts w:ascii="Palatino Linotype" w:eastAsia="Times New Roman" w:hAnsi="Palatino Linotype" w:cs="Arial"/>
          <w:b/>
          <w:i/>
          <w:u w:val="single"/>
          <w:lang w:eastAsia="es-ES"/>
        </w:rPr>
        <w:t>Administrar la hacienda pública municipal, de conformidad con las disposiciones legales aplicables</w:t>
      </w:r>
      <w:r w:rsidRPr="00A00D5E">
        <w:rPr>
          <w:rFonts w:ascii="Palatino Linotype" w:eastAsia="Times New Roman" w:hAnsi="Palatino Linotype" w:cs="Arial"/>
          <w:i/>
          <w:lang w:eastAsia="es-ES"/>
        </w:rPr>
        <w:t xml:space="preserve">;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III. Imponer las sanciones administrativas que procedan por infracciones a las disposiciones fiscales;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IV. </w:t>
      </w:r>
      <w:r w:rsidRPr="00A00D5E">
        <w:rPr>
          <w:rFonts w:ascii="Palatino Linotype" w:eastAsia="Times New Roman" w:hAnsi="Palatino Linotype" w:cs="Arial"/>
          <w:b/>
          <w:i/>
          <w:u w:val="single"/>
          <w:lang w:eastAsia="es-ES"/>
        </w:rPr>
        <w:t>Llevar los registros contables, financieros y administrativos de los</w:t>
      </w:r>
      <w:r w:rsidRPr="00A00D5E">
        <w:rPr>
          <w:rFonts w:ascii="Palatino Linotype" w:eastAsia="Times New Roman" w:hAnsi="Palatino Linotype" w:cs="Arial"/>
          <w:i/>
          <w:lang w:eastAsia="es-ES"/>
        </w:rPr>
        <w:t xml:space="preserve"> ingresos, </w:t>
      </w:r>
      <w:r w:rsidRPr="00A00D5E">
        <w:rPr>
          <w:rFonts w:ascii="Palatino Linotype" w:eastAsia="Times New Roman" w:hAnsi="Palatino Linotype" w:cs="Arial"/>
          <w:b/>
          <w:i/>
          <w:u w:val="single"/>
          <w:lang w:eastAsia="es-ES"/>
        </w:rPr>
        <w:t>egresos</w:t>
      </w:r>
      <w:r w:rsidRPr="00A00D5E">
        <w:rPr>
          <w:rFonts w:ascii="Palatino Linotype" w:eastAsia="Times New Roman" w:hAnsi="Palatino Linotype" w:cs="Arial"/>
          <w:i/>
          <w:lang w:eastAsia="es-ES"/>
        </w:rPr>
        <w:t xml:space="preserve">, e inventarios;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VI. Presentar anualmente al ayuntamiento un informe de la situación contable financiera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 Diseñar y aprobar las formas oficiales de manifestaciones, avisos y declaraciones y demás documentos requeridos;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VIII. Participar en la formulación de Convenios Fiscales y ejercer las atribuciones que le correspondan en el ámbito de su competencia;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IX. Proponer al ayuntamiento la cancelación de cuentas incobrables;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 Custodiar y ejercer las garantías que se otorguen en favor de la hacienda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 Proponer la política de ingresos de la tesorería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 Intervenir en la elaboración del programa financiero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XIII. Elaborar y mantener actualizado el Padrón de Contribuyentes;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XIV. Ministrar a su inmediato antecesor todos los datos oficiales que le solicitare, para contestar los pliegos de observaciones y alcances que formule y deduzca el Órgano Superior de Fiscalización del Estado de México;</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 Solicitar a las instancias competentes, la práctica de revisiones circunstanciadas, de conformidad con las normas que rigen en materia de control y evaluación gubernamental en el ámbito municipal;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 Glosar oportunamente las cuentas del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XVIII. Expedir copias certificadas de los documentos a su cuidado, por acuerdo expreso del Ayuntamiento y cuando se trate de documentación presentada ante el Órgano Superior de Fiscalización del Estado de México;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 Dar cumplimiento a las leyes, convenios de coordinación fiscal y demás que en materia hacendaria celebre el Ayuntamiento con el Estado; </w:t>
      </w:r>
    </w:p>
    <w:p w:rsidR="00BF5825" w:rsidRPr="00A00D5E" w:rsidRDefault="00BF5825" w:rsidP="00BF5825">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XXI. Entregar oportunamente a él o los Síndicos, según sea el caso, el informe mensual que corresponda, a fin de que se revise, y de ser necesario, para que se formulen las observaciones respectivas. </w:t>
      </w:r>
    </w:p>
    <w:p w:rsidR="00BF5825" w:rsidRPr="00A00D5E" w:rsidRDefault="00BF5825" w:rsidP="00BF5825">
      <w:pPr>
        <w:spacing w:before="240" w:line="360" w:lineRule="auto"/>
        <w:ind w:left="851" w:right="851"/>
        <w:jc w:val="both"/>
        <w:rPr>
          <w:rFonts w:ascii="Palatino Linotype" w:eastAsia="Times New Roman" w:hAnsi="Palatino Linotype" w:cs="Arial"/>
          <w:b/>
          <w:i/>
          <w:sz w:val="24"/>
          <w:szCs w:val="24"/>
          <w:u w:val="single"/>
          <w:lang w:eastAsia="es-ES"/>
        </w:rPr>
      </w:pPr>
      <w:r w:rsidRPr="00A00D5E">
        <w:rPr>
          <w:rFonts w:ascii="Palatino Linotype" w:eastAsia="Times New Roman" w:hAnsi="Palatino Linotype" w:cs="Arial"/>
          <w:i/>
          <w:lang w:eastAsia="es-ES"/>
        </w:rPr>
        <w:t xml:space="preserve">XXII. </w:t>
      </w:r>
      <w:r w:rsidRPr="00A00D5E">
        <w:rPr>
          <w:rFonts w:ascii="Palatino Linotype" w:eastAsia="Times New Roman" w:hAnsi="Palatino Linotype" w:cs="Arial"/>
          <w:b/>
          <w:i/>
          <w:u w:val="single"/>
          <w:lang w:eastAsia="es-ES"/>
        </w:rPr>
        <w:t>Las que les señalen las demás disposiciones legales y el ayuntamiento.</w:t>
      </w:r>
    </w:p>
    <w:p w:rsidR="00BF5825" w:rsidRPr="00A00D5E" w:rsidRDefault="00BF5825" w:rsidP="00BF5825">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lastRenderedPageBreak/>
        <w:t>Es así que, al no encontrarse una disposición específica en el artículo 95 de la Ley en cita que faculte al Tesorero Municipal a elaborar los recibos de nómina, se debe remitir a otros ordenamientos.</w:t>
      </w:r>
    </w:p>
    <w:p w:rsidR="00BF5825" w:rsidRDefault="00BF5825" w:rsidP="00BF5825">
      <w:pPr>
        <w:spacing w:before="240" w:line="360" w:lineRule="auto"/>
        <w:jc w:val="both"/>
        <w:rPr>
          <w:rFonts w:ascii="Palatino Linotype" w:hAnsi="Palatino Linotype" w:cs="Arial"/>
          <w:sz w:val="24"/>
          <w:szCs w:val="24"/>
          <w:lang w:eastAsia="es-MX"/>
        </w:rPr>
      </w:pPr>
      <w:r>
        <w:rPr>
          <w:rFonts w:ascii="Palatino Linotype" w:hAnsi="Palatino Linotype" w:cs="Arial"/>
          <w:sz w:val="24"/>
          <w:szCs w:val="24"/>
        </w:rPr>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w:t>
      </w:r>
      <w:r w:rsidRPr="00A00D5E">
        <w:rPr>
          <w:rFonts w:ascii="Palatino Linotype" w:hAnsi="Palatino Linotype" w:cs="Arial"/>
          <w:sz w:val="24"/>
          <w:szCs w:val="24"/>
          <w:lang w:eastAsia="es-MX"/>
        </w:rPr>
        <w:t>señala lo siguiente</w:t>
      </w:r>
      <w:r>
        <w:rPr>
          <w:rFonts w:ascii="Palatino Linotype" w:hAnsi="Palatino Linotype" w:cs="Arial"/>
          <w:sz w:val="24"/>
          <w:szCs w:val="24"/>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rsidR="00BF5825" w:rsidRDefault="00BF5825" w:rsidP="00BF582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F5825" w:rsidRDefault="00BF5825" w:rsidP="00BF5825">
      <w:pPr>
        <w:spacing w:before="240" w:line="360" w:lineRule="auto"/>
        <w:ind w:left="851" w:right="851"/>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rsidR="00BF5825" w:rsidRPr="00347D2A" w:rsidRDefault="00BF5825" w:rsidP="00BF5825">
      <w:pPr>
        <w:spacing w:before="240" w:after="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BF5825" w:rsidRPr="00347D2A" w:rsidRDefault="00BF5825" w:rsidP="00BF5825">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lastRenderedPageBreak/>
        <w:t xml:space="preserve">De igual forma, la Constitución </w:t>
      </w:r>
      <w:r w:rsidRPr="00347D2A">
        <w:rPr>
          <w:rFonts w:ascii="Palatino Linotype" w:eastAsia="Times New Roman" w:hAnsi="Palatino Linotype" w:cs="Arial"/>
          <w:sz w:val="24"/>
          <w:szCs w:val="24"/>
          <w:lang w:eastAsia="es-ES"/>
        </w:rPr>
        <w:t>Política</w:t>
      </w:r>
      <w:r w:rsidRPr="00347D2A">
        <w:rPr>
          <w:rFonts w:ascii="Palatino Linotype" w:eastAsia="Times New Roman" w:hAnsi="Palatino Linotype" w:cs="Times New Roman"/>
          <w:sz w:val="24"/>
          <w:szCs w:val="24"/>
          <w:lang w:eastAsia="es-ES"/>
        </w:rPr>
        <w:t xml:space="preserve"> del Estado Libre y Soberano de México dispone en lo relativo a las remuneraciones de los servidores públicos, lo siguiente:</w:t>
      </w:r>
    </w:p>
    <w:p w:rsidR="00BF5825" w:rsidRPr="00347D2A" w:rsidRDefault="00BF5825" w:rsidP="00BF5825">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Arial"/>
          <w:b/>
          <w:bCs/>
          <w:i/>
          <w:lang w:eastAsia="es-ES"/>
        </w:rPr>
        <w:t xml:space="preserve">Artículo 147.- </w:t>
      </w:r>
      <w:r w:rsidRPr="00347D2A">
        <w:rPr>
          <w:rFonts w:ascii="Palatino Linotype" w:eastAsia="Times New Roman" w:hAnsi="Palatino Linotype" w:cs="Arial"/>
          <w:bCs/>
          <w:i/>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47D2A">
        <w:rPr>
          <w:rFonts w:ascii="Palatino Linotype" w:eastAsia="Times New Roman" w:hAnsi="Palatino Linotype" w:cs="Arial"/>
          <w:b/>
          <w:bCs/>
          <w:i/>
          <w:lang w:eastAsia="es-ES"/>
        </w:rPr>
        <w:t>los miembros de los ayuntamientos</w:t>
      </w:r>
      <w:r w:rsidRPr="00347D2A">
        <w:rPr>
          <w:rFonts w:ascii="Palatino Linotype" w:eastAsia="Times New Roman" w:hAnsi="Palatino Linotype" w:cs="Arial"/>
          <w:bCs/>
          <w:i/>
          <w:lang w:eastAsia="es-ES"/>
        </w:rPr>
        <w:t xml:space="preserve"> y demás servidores públicos municipales </w:t>
      </w:r>
      <w:r w:rsidRPr="00347D2A">
        <w:rPr>
          <w:rFonts w:ascii="Palatino Linotype" w:eastAsia="Times New Roman" w:hAnsi="Palatino Linotype" w:cs="Arial"/>
          <w:b/>
          <w:bCs/>
          <w:i/>
          <w:lang w:eastAsia="es-ES"/>
        </w:rPr>
        <w:t>recibirán una retribución adecuada</w:t>
      </w:r>
      <w:r w:rsidRPr="00347D2A">
        <w:rPr>
          <w:rFonts w:ascii="Palatino Linotype" w:eastAsia="Times New Roman" w:hAnsi="Palatino Linotype" w:cs="Arial"/>
          <w:bCs/>
          <w:i/>
          <w:lang w:eastAsia="es-ES"/>
        </w:rPr>
        <w:t xml:space="preserve"> e </w:t>
      </w:r>
      <w:r w:rsidRPr="00347D2A">
        <w:rPr>
          <w:rFonts w:ascii="Palatino Linotype" w:eastAsia="Times New Roman" w:hAnsi="Palatino Linotype" w:cs="Arial"/>
          <w:b/>
          <w:bCs/>
          <w:i/>
          <w:lang w:eastAsia="es-ES"/>
        </w:rPr>
        <w:t>irrenunciable por el desempeño de su empleo, cargo o comisión</w:t>
      </w:r>
      <w:r w:rsidRPr="00347D2A">
        <w:rPr>
          <w:rFonts w:ascii="Palatino Linotype" w:eastAsia="Times New Roman" w:hAnsi="Palatino Linotype" w:cs="Arial"/>
          <w:bCs/>
          <w:i/>
          <w:lang w:eastAsia="es-ES"/>
        </w:rPr>
        <w:t xml:space="preserve">, que </w:t>
      </w:r>
      <w:r w:rsidRPr="00347D2A">
        <w:rPr>
          <w:rFonts w:ascii="Palatino Linotype" w:eastAsia="Times New Roman" w:hAnsi="Palatino Linotype" w:cs="Arial"/>
          <w:b/>
          <w:bCs/>
          <w:i/>
          <w:lang w:eastAsia="es-ES"/>
        </w:rPr>
        <w:t>será determinada en el presupuesto de egresos que corresponda.</w:t>
      </w:r>
    </w:p>
    <w:p w:rsidR="00470C7E" w:rsidRPr="009235AB" w:rsidRDefault="00BF5825" w:rsidP="00470C7E">
      <w:pPr>
        <w:pStyle w:val="Prrafodelista"/>
        <w:spacing w:line="360" w:lineRule="auto"/>
        <w:ind w:left="0"/>
        <w:jc w:val="both"/>
        <w:rPr>
          <w:rFonts w:ascii="Palatino Linotype" w:hAnsi="Palatino Linotype" w:cs="Arial"/>
        </w:rPr>
      </w:pPr>
      <w:r>
        <w:rPr>
          <w:rFonts w:ascii="Palatino Linotype" w:hAnsi="Palatino Linotype" w:cs="Arial"/>
          <w:bCs/>
        </w:rPr>
        <w:t>En ese contexto</w:t>
      </w:r>
      <w:r w:rsidR="00470C7E" w:rsidRPr="009235AB">
        <w:rPr>
          <w:rFonts w:ascii="Palatino Linotype" w:hAnsi="Palatino Linotype" w:cs="Arial"/>
          <w:bCs/>
        </w:rPr>
        <w:t xml:space="preserve">, el </w:t>
      </w:r>
      <w:r w:rsidR="00470C7E" w:rsidRPr="009235AB">
        <w:rPr>
          <w:rFonts w:ascii="Palatino Linotype" w:hAnsi="Palatino Linotype" w:cs="Arial"/>
        </w:rPr>
        <w:t xml:space="preserve">artículo 3, fracción XXXII del </w:t>
      </w:r>
      <w:r w:rsidR="00470C7E" w:rsidRPr="009235AB">
        <w:rPr>
          <w:rFonts w:ascii="Palatino Linotype" w:hAnsi="Palatino Linotype" w:cs="Arial"/>
          <w:b/>
        </w:rPr>
        <w:t xml:space="preserve">Código Financiero del Estado de México y Municipios </w:t>
      </w:r>
      <w:r w:rsidR="00470C7E" w:rsidRPr="009235AB">
        <w:rPr>
          <w:rFonts w:ascii="Palatino Linotype" w:hAnsi="Palatino Linotype" w:cs="Arial"/>
        </w:rPr>
        <w:t>establece lo siguiente:</w:t>
      </w:r>
    </w:p>
    <w:p w:rsidR="00470C7E" w:rsidRPr="009235AB" w:rsidRDefault="00470C7E" w:rsidP="00470C7E">
      <w:pPr>
        <w:pStyle w:val="Prrafodelista"/>
        <w:spacing w:line="360" w:lineRule="auto"/>
        <w:ind w:left="567" w:right="567"/>
        <w:jc w:val="both"/>
        <w:rPr>
          <w:rFonts w:ascii="Palatino Linotype" w:hAnsi="Palatino Linotype" w:cs="Arial"/>
        </w:rPr>
      </w:pP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470C7E" w:rsidRPr="009235AB" w:rsidRDefault="00470C7E" w:rsidP="00470C7E">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470C7E" w:rsidRPr="009235AB" w:rsidRDefault="00470C7E" w:rsidP="00470C7E">
      <w:pPr>
        <w:pStyle w:val="Prrafodelista"/>
        <w:ind w:left="851" w:right="992"/>
        <w:jc w:val="both"/>
        <w:rPr>
          <w:rFonts w:ascii="Palatino Linotype" w:hAnsi="Palatino Linotype"/>
          <w:b/>
          <w:i/>
        </w:rPr>
      </w:pPr>
      <w:r w:rsidRPr="009235AB">
        <w:rPr>
          <w:rFonts w:ascii="Palatino Linotype" w:hAnsi="Palatino Linotype"/>
          <w:b/>
          <w:i/>
        </w:rPr>
        <w:t>(…)</w:t>
      </w:r>
    </w:p>
    <w:p w:rsidR="00470C7E" w:rsidRPr="009235AB" w:rsidRDefault="00470C7E" w:rsidP="00470C7E">
      <w:pPr>
        <w:pStyle w:val="Prrafodelista"/>
        <w:spacing w:line="360" w:lineRule="auto"/>
        <w:ind w:left="0"/>
        <w:jc w:val="both"/>
        <w:rPr>
          <w:rFonts w:ascii="Palatino Linotype" w:hAnsi="Palatino Linotype" w:cs="Arial"/>
        </w:rPr>
      </w:pPr>
    </w:p>
    <w:p w:rsidR="00470C7E" w:rsidRPr="009235AB"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De ello, se advierte que todos los servidores públicos, ya sean federales, estatales o municipales, tienen el derecho de recibir remuneraciones irrenunciables por el desempeño de un empleo, cargo o comisión, en función de las responsabilidades </w:t>
      </w:r>
      <w:r w:rsidRPr="009235AB">
        <w:rPr>
          <w:rFonts w:ascii="Palatino Linotype" w:hAnsi="Palatino Linotype" w:cs="Arial"/>
        </w:rPr>
        <w:lastRenderedPageBreak/>
        <w:t>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470C7E" w:rsidRPr="009235AB" w:rsidRDefault="00470C7E" w:rsidP="007E1AE4">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470C7E" w:rsidRPr="009235AB" w:rsidRDefault="00470C7E" w:rsidP="007E1AE4">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w:t>
      </w:r>
      <w:r w:rsidRPr="009235AB">
        <w:rPr>
          <w:rFonts w:ascii="Palatino Linotype" w:hAnsi="Palatino Linotype"/>
          <w:bCs/>
          <w:i/>
        </w:rPr>
        <w:lastRenderedPageBreak/>
        <w:t>un año después de que se extinga la relación laboral, y los mencionados en la fracción V, conforme lo señalen las leyes que los rijan.</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470C7E" w:rsidRPr="009235AB" w:rsidRDefault="00470C7E" w:rsidP="007E1AE4">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470C7E" w:rsidRDefault="00470C7E" w:rsidP="007E1AE4">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w:t>
      </w:r>
      <w:r w:rsidRPr="00347D2A">
        <w:rPr>
          <w:rFonts w:ascii="Palatino Linotype" w:eastAsia="Times New Roman" w:hAnsi="Palatino Linotype" w:cs="Arial"/>
          <w:sz w:val="24"/>
          <w:szCs w:val="24"/>
          <w:lang w:eastAsia="es-ES"/>
        </w:rPr>
        <w:lastRenderedPageBreak/>
        <w:t>personas a las que entreguen recursos, atento a ello es que surge la obligación de generar la información relacionada con la nómina solicitada.</w:t>
      </w:r>
    </w:p>
    <w:p w:rsidR="007E1AE4" w:rsidRPr="00347D2A" w:rsidRDefault="007E1AE4" w:rsidP="007E1AE4">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Ahora bien, el artículo 350 del Código Financiero del Estado de México dispone lo que se transcribe a continuación:</w:t>
      </w:r>
    </w:p>
    <w:p w:rsidR="007E1AE4" w:rsidRPr="00347D2A" w:rsidRDefault="007E1AE4" w:rsidP="007E1AE4">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Times New Roman"/>
          <w:b/>
          <w:i/>
          <w:lang w:eastAsia="es-ES"/>
        </w:rPr>
        <w:t>Artículo 350.-</w:t>
      </w:r>
      <w:r w:rsidRPr="00347D2A">
        <w:rPr>
          <w:rFonts w:ascii="Palatino Linotype" w:eastAsia="Times New Roman" w:hAnsi="Palatino Linotype" w:cs="Times New Roman"/>
          <w:i/>
          <w:lang w:eastAsia="es-ES"/>
        </w:rPr>
        <w:t xml:space="preserve"> Mensualmente dentro de los primeros veinte días hábiles, la Secretaría y las Tesorerías, enviarán para su análisis y evaluación al Órgano Superior de </w:t>
      </w:r>
      <w:r w:rsidRPr="00347D2A">
        <w:rPr>
          <w:rFonts w:ascii="Palatino Linotype" w:eastAsia="Times New Roman" w:hAnsi="Palatino Linotype" w:cs="Arial"/>
          <w:bCs/>
          <w:i/>
          <w:lang w:eastAsia="es-ES"/>
        </w:rPr>
        <w:t xml:space="preserve">Fiscalización del Estado de México, la siguiente información: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patrimonial.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presupuestal.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de la obra pública. </w:t>
      </w:r>
    </w:p>
    <w:p w:rsidR="007E1AE4" w:rsidRPr="00347D2A" w:rsidRDefault="007E1AE4" w:rsidP="007E1AE4">
      <w:pPr>
        <w:numPr>
          <w:ilvl w:val="0"/>
          <w:numId w:val="22"/>
        </w:numPr>
        <w:spacing w:before="240" w:line="360" w:lineRule="auto"/>
        <w:ind w:right="567"/>
        <w:jc w:val="both"/>
        <w:rPr>
          <w:rFonts w:ascii="Palatino Linotype" w:eastAsia="Times New Roman" w:hAnsi="Palatino Linotype" w:cs="Arial"/>
          <w:i/>
          <w:lang w:eastAsia="es-ES"/>
        </w:rPr>
      </w:pPr>
      <w:r w:rsidRPr="00347D2A">
        <w:rPr>
          <w:rFonts w:ascii="Palatino Linotype" w:eastAsia="Times New Roman" w:hAnsi="Palatino Linotype" w:cs="Arial"/>
          <w:b/>
          <w:bCs/>
          <w:i/>
          <w:u w:val="single"/>
          <w:lang w:eastAsia="es-ES"/>
        </w:rPr>
        <w:t>Información de nómina</w:t>
      </w:r>
      <w:r w:rsidRPr="00347D2A">
        <w:rPr>
          <w:rFonts w:ascii="Palatino Linotype" w:eastAsia="Times New Roman" w:hAnsi="Palatino Linotype" w:cs="Arial"/>
          <w:bCs/>
          <w:i/>
          <w:lang w:eastAsia="es-ES"/>
        </w:rPr>
        <w:t>.</w:t>
      </w:r>
    </w:p>
    <w:p w:rsidR="007E1AE4" w:rsidRPr="007E1AE4" w:rsidRDefault="007E1AE4" w:rsidP="0009633E">
      <w:pPr>
        <w:spacing w:before="240" w:line="360" w:lineRule="auto"/>
        <w:jc w:val="both"/>
        <w:rPr>
          <w:rFonts w:ascii="Palatino Linotype" w:eastAsia="MS Mincho" w:hAnsi="Palatino Linotype" w:cs="Tahoma"/>
          <w:sz w:val="24"/>
          <w:szCs w:val="24"/>
          <w:lang w:val="es-ES_tradnl"/>
        </w:rPr>
      </w:pPr>
      <w:r w:rsidRPr="007E1AE4">
        <w:rPr>
          <w:rFonts w:ascii="Palatino Linotype" w:eastAsia="Times New Roman" w:hAnsi="Palatino Linotype" w:cs="Times New Roman"/>
          <w:sz w:val="24"/>
          <w:szCs w:val="24"/>
        </w:rPr>
        <w:t xml:space="preserve">De igual forma, </w:t>
      </w:r>
      <w:r w:rsidRPr="007E1AE4">
        <w:rPr>
          <w:rFonts w:ascii="Palatino Linotype" w:eastAsia="MS Mincho" w:hAnsi="Palatino Linotype" w:cs="Arial"/>
          <w:sz w:val="24"/>
          <w:szCs w:val="24"/>
          <w:lang w:val="es-ES_tradnl"/>
        </w:rPr>
        <w:t xml:space="preserve">las </w:t>
      </w:r>
      <w:r w:rsidRPr="007E1AE4">
        <w:rPr>
          <w:rFonts w:ascii="Palatino Linotype" w:eastAsia="Times New Roman" w:hAnsi="Palatino Linotype" w:cs="Arial"/>
          <w:sz w:val="24"/>
          <w:szCs w:val="24"/>
        </w:rPr>
        <w:t>disposiciones</w:t>
      </w:r>
      <w:r w:rsidRPr="007E1AE4">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E1AE4">
        <w:rPr>
          <w:rFonts w:ascii="Palatino Linotype" w:eastAsia="MS Mincho" w:hAnsi="Palatino Linotype" w:cs="Tahoma"/>
          <w:sz w:val="24"/>
          <w:szCs w:val="24"/>
          <w:lang w:val="es-ES_tradnl"/>
        </w:rPr>
        <w:t xml:space="preserve">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w:t>
      </w:r>
      <w:r w:rsidRPr="007E1AE4">
        <w:rPr>
          <w:rFonts w:ascii="Palatino Linotype" w:eastAsia="MS Mincho" w:hAnsi="Palatino Linotype" w:cs="Tahoma"/>
          <w:sz w:val="24"/>
          <w:szCs w:val="24"/>
          <w:lang w:val="es-ES_tradnl"/>
        </w:rPr>
        <w:lastRenderedPageBreak/>
        <w:t>Manual Único de Contabilidad Gubernamental para las Dependencias y Entidades Públicas del Gobierno y Municipios, todos del Estado de México.</w:t>
      </w:r>
    </w:p>
    <w:p w:rsidR="00BB1BD5" w:rsidRDefault="00BB1BD5" w:rsidP="00BB1BD5">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rsidR="00BB1BD5" w:rsidRDefault="00BB1BD5" w:rsidP="00BB1BD5">
      <w:pPr>
        <w:widowControl w:val="0"/>
        <w:autoSpaceDE w:val="0"/>
        <w:autoSpaceDN w:val="0"/>
        <w:adjustRightInd w:val="0"/>
        <w:spacing w:after="0" w:line="360" w:lineRule="auto"/>
        <w:jc w:val="both"/>
        <w:rPr>
          <w:noProof/>
          <w:lang w:eastAsia="es-MX"/>
        </w:rPr>
      </w:pPr>
    </w:p>
    <w:p w:rsidR="00BB1BD5" w:rsidRPr="002549B2"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0528" behindDoc="0" locked="0" layoutInCell="1" allowOverlap="1" wp14:anchorId="07A4847F" wp14:editId="4D7B9F94">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7717B" id="Rectángulo 13" o:spid="_x0000_s1026" style="position:absolute;margin-left:54.45pt;margin-top:126.45pt;width:33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" filled="f" strokecolor="red" strokeweight="2.25pt"/>
            </w:pict>
          </mc:Fallback>
        </mc:AlternateContent>
      </w:r>
      <w:r>
        <w:rPr>
          <w:noProof/>
          <w:lang w:eastAsia="es-MX"/>
        </w:rPr>
        <mc:AlternateContent>
          <mc:Choice Requires="wps">
            <w:drawing>
              <wp:anchor distT="0" distB="0" distL="114300" distR="114300" simplePos="0" relativeHeight="251668480" behindDoc="0" locked="0" layoutInCell="1" allowOverlap="1" wp14:anchorId="1AA5C763" wp14:editId="64DED38A">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046DC4" id="Rectángulo 11" o:spid="_x0000_s1026" style="position:absolute;margin-left:53.7pt;margin-top:167.9pt;width:335.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67456" behindDoc="0" locked="0" layoutInCell="1" allowOverlap="1" wp14:anchorId="53664646" wp14:editId="15A2CFE9">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C3E06" id="Rectángulo 14" o:spid="_x0000_s1026" style="position:absolute;margin-left:54.45pt;margin-top:-.1pt;width:330pt;height: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" filled="f" strokecolor="red" strokeweight="2.25pt"/>
            </w:pict>
          </mc:Fallback>
        </mc:AlternateContent>
      </w:r>
      <w:r>
        <w:rPr>
          <w:noProof/>
          <w:lang w:eastAsia="es-MX"/>
        </w:rPr>
        <w:drawing>
          <wp:inline distT="0" distB="0" distL="0" distR="0" wp14:anchorId="220EE760" wp14:editId="30CF1D86">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w:t>
      </w:r>
    </w:p>
    <w:p w:rsidR="00BB1BD5" w:rsidRPr="002549B2" w:rsidRDefault="00BB1BD5" w:rsidP="00BB1BD5">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14AC7ABE" wp14:editId="37ED956E">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998656" id="Rectángulo 5" o:spid="_x0000_s1026" style="position:absolute;margin-left:14.7pt;margin-top:125.8pt;width:404.25pt;height:5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" filled="f" strokecolor="red" strokeweight="2.25pt"/>
            </w:pict>
          </mc:Fallback>
        </mc:AlternateContent>
      </w:r>
      <w:r>
        <w:rPr>
          <w:noProof/>
          <w:lang w:eastAsia="es-MX"/>
        </w:rPr>
        <mc:AlternateContent>
          <mc:Choice Requires="wps">
            <w:drawing>
              <wp:anchor distT="0" distB="0" distL="114300" distR="114300" simplePos="0" relativeHeight="251669504" behindDoc="0" locked="0" layoutInCell="1" allowOverlap="1" wp14:anchorId="308A5E99" wp14:editId="475BF1EB">
                <wp:simplePos x="0" y="0"/>
                <wp:positionH relativeFrom="column">
                  <wp:posOffset>186690</wp:posOffset>
                </wp:positionH>
                <wp:positionV relativeFrom="paragraph">
                  <wp:posOffset>3159760</wp:posOffset>
                </wp:positionV>
                <wp:extent cx="5133975" cy="7429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182D6" id="Rectángulo 15" o:spid="_x0000_s1026" style="position:absolute;margin-left:14.7pt;margin-top:248.8pt;width:404.25pt;height:5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0pA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" filled="f" strokecolor="red" strokeweight="2.25pt"/>
            </w:pict>
          </mc:Fallback>
        </mc:AlternateContent>
      </w:r>
      <w:r>
        <w:rPr>
          <w:noProof/>
          <w:lang w:eastAsia="es-MX"/>
        </w:rPr>
        <w:drawing>
          <wp:inline distT="0" distB="0" distL="0" distR="0" wp14:anchorId="2D5C9226" wp14:editId="535F841C">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BB1BD5" w:rsidRPr="00EC3545" w:rsidRDefault="00BB1BD5" w:rsidP="00BB1BD5">
      <w:pPr>
        <w:widowControl w:val="0"/>
        <w:autoSpaceDE w:val="0"/>
        <w:autoSpaceDN w:val="0"/>
        <w:adjustRightInd w:val="0"/>
        <w:spacing w:after="0" w:line="360" w:lineRule="auto"/>
        <w:jc w:val="both"/>
        <w:rPr>
          <w:rFonts w:ascii="Palatino Linotype" w:hAnsi="Palatino Linotype" w:cs="Arial"/>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w:t>
      </w:r>
      <w:r w:rsidRPr="00EC3545">
        <w:rPr>
          <w:rFonts w:ascii="Palatino Linotype" w:hAnsi="Palatino Linotype"/>
          <w:noProof/>
          <w:sz w:val="24"/>
          <w:szCs w:val="24"/>
          <w:lang w:eastAsia="es-MX"/>
        </w:rPr>
        <w:lastRenderedPageBreak/>
        <w:t>de que se trate, correspon</w:t>
      </w:r>
      <w:r>
        <w:rPr>
          <w:rFonts w:ascii="Palatino Linotype" w:hAnsi="Palatino Linotype"/>
          <w:noProof/>
          <w:sz w:val="24"/>
          <w:szCs w:val="24"/>
          <w:lang w:eastAsia="es-MX"/>
        </w:rPr>
        <w:t>diente a un periodo determinado. Dichos documentos deben presentarse como se observa a continuación:</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125C0AE1" wp14:editId="701A1202">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3331C060" wp14:editId="16AE0136">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2C714265" wp14:editId="100CE500">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401F33">
      <w:pPr>
        <w:widowControl w:val="0"/>
        <w:autoSpaceDE w:val="0"/>
        <w:autoSpaceDN w:val="0"/>
        <w:adjustRightInd w:val="0"/>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w:t>
      </w:r>
      <w:r w:rsidR="00401F33">
        <w:rPr>
          <w:rFonts w:ascii="Palatino Linotype" w:hAnsi="Palatino Linotype" w:cs="Arial"/>
          <w:color w:val="000000" w:themeColor="text1"/>
          <w:sz w:val="24"/>
          <w:szCs w:val="24"/>
        </w:rPr>
        <w:t>gratificaciones, primas,</w:t>
      </w:r>
      <w:r>
        <w:rPr>
          <w:rFonts w:ascii="Palatino Linotype" w:hAnsi="Palatino Linotype" w:cs="Arial"/>
          <w:color w:val="000000" w:themeColor="text1"/>
          <w:sz w:val="24"/>
          <w:szCs w:val="24"/>
        </w:rPr>
        <w:t xml:space="preserve"> comisiones, dietas, bonos, estímulos, ingresos y sistemas de compensación, señalando de dicha remuneración. </w:t>
      </w:r>
    </w:p>
    <w:p w:rsidR="00BB1BD5" w:rsidRDefault="00BB1BD5" w:rsidP="00401F33">
      <w:pPr>
        <w:widowControl w:val="0"/>
        <w:autoSpaceDE w:val="0"/>
        <w:autoSpaceDN w:val="0"/>
        <w:adjustRightInd w:val="0"/>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59B9EF57" wp14:editId="4D1FBB3D">
            <wp:extent cx="5638800" cy="45773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p>
    <w:p w:rsidR="00BB1BD5" w:rsidRDefault="00BB1BD5" w:rsidP="00BB1BD5">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Ahora bien, toda vez que la Recurrente solicitó l</w:t>
      </w:r>
      <w:r w:rsidR="00162D04">
        <w:rPr>
          <w:rFonts w:ascii="Palatino Linotype" w:hAnsi="Palatino Linotype" w:cs="Arial"/>
          <w:color w:val="000000" w:themeColor="text1"/>
          <w:sz w:val="24"/>
          <w:szCs w:val="24"/>
        </w:rPr>
        <w:t>a</w:t>
      </w:r>
      <w:r>
        <w:rPr>
          <w:rFonts w:ascii="Palatino Linotype" w:hAnsi="Palatino Linotype" w:cs="Arial"/>
          <w:color w:val="000000" w:themeColor="text1"/>
          <w:sz w:val="24"/>
          <w:szCs w:val="24"/>
        </w:rPr>
        <w:t xml:space="preserve"> nómina de </w:t>
      </w:r>
      <w:r w:rsidR="00401F33">
        <w:rPr>
          <w:rFonts w:ascii="Palatino Linotype" w:hAnsi="Palatino Linotype" w:cs="Arial"/>
          <w:color w:val="000000" w:themeColor="text1"/>
          <w:sz w:val="24"/>
          <w:szCs w:val="24"/>
        </w:rPr>
        <w:t>administrativos, directores, sindicalizados y listas de raya</w:t>
      </w:r>
      <w:r>
        <w:rPr>
          <w:rFonts w:ascii="Palatino Linotype" w:hAnsi="Palatino Linotype" w:cs="Arial"/>
          <w:color w:val="000000" w:themeColor="text1"/>
          <w:sz w:val="24"/>
          <w:szCs w:val="24"/>
        </w:rPr>
        <w:t xml:space="preserve">, esto debe entenderse </w:t>
      </w:r>
      <w:r w:rsidR="00401F33">
        <w:rPr>
          <w:rFonts w:ascii="Palatino Linotype" w:hAnsi="Palatino Linotype" w:cs="Arial"/>
          <w:color w:val="000000" w:themeColor="text1"/>
          <w:sz w:val="24"/>
          <w:szCs w:val="24"/>
        </w:rPr>
        <w:t xml:space="preserve">que no requiere la nomina de los integrantes del cabildo, por lo que la información que requiere corresponde a lo siguiente de conformidad con los numerales </w:t>
      </w:r>
      <w:r w:rsidR="005D37B9">
        <w:rPr>
          <w:rFonts w:ascii="Palatino Linotype" w:hAnsi="Palatino Linotype" w:cs="Arial"/>
          <w:color w:val="000000" w:themeColor="text1"/>
          <w:sz w:val="24"/>
          <w:szCs w:val="24"/>
        </w:rPr>
        <w:t>54</w:t>
      </w:r>
      <w:r w:rsidR="00893900">
        <w:rPr>
          <w:rFonts w:ascii="Palatino Linotype" w:hAnsi="Palatino Linotype" w:cs="Arial"/>
          <w:color w:val="000000" w:themeColor="text1"/>
          <w:sz w:val="24"/>
          <w:szCs w:val="24"/>
        </w:rPr>
        <w:t xml:space="preserve">, </w:t>
      </w:r>
      <w:r w:rsidR="005D37B9">
        <w:rPr>
          <w:rFonts w:ascii="Palatino Linotype" w:hAnsi="Palatino Linotype" w:cs="Arial"/>
          <w:color w:val="000000" w:themeColor="text1"/>
          <w:sz w:val="24"/>
          <w:szCs w:val="24"/>
        </w:rPr>
        <w:t>57 fracción III y 58</w:t>
      </w:r>
      <w:r>
        <w:rPr>
          <w:rFonts w:ascii="Palatino Linotype" w:hAnsi="Palatino Linotype" w:cs="Arial"/>
          <w:color w:val="000000" w:themeColor="text1"/>
          <w:sz w:val="24"/>
          <w:szCs w:val="24"/>
        </w:rPr>
        <w:t xml:space="preserve"> del Bando Municipal de </w:t>
      </w:r>
      <w:r w:rsidR="00401F33">
        <w:rPr>
          <w:rFonts w:ascii="Palatino Linotype" w:hAnsi="Palatino Linotype" w:cs="Arial"/>
          <w:color w:val="000000" w:themeColor="text1"/>
          <w:sz w:val="24"/>
          <w:szCs w:val="24"/>
        </w:rPr>
        <w:t>Valle de Chalco Solidaridad</w:t>
      </w:r>
      <w:r>
        <w:rPr>
          <w:rFonts w:ascii="Palatino Linotype" w:hAnsi="Palatino Linotype" w:cs="Arial"/>
          <w:color w:val="000000" w:themeColor="text1"/>
          <w:sz w:val="24"/>
          <w:szCs w:val="24"/>
        </w:rPr>
        <w:t xml:space="preserve"> 2019, </w:t>
      </w:r>
      <w:r w:rsidR="00401F33">
        <w:rPr>
          <w:rFonts w:ascii="Palatino Linotype" w:hAnsi="Palatino Linotype" w:cs="Arial"/>
          <w:color w:val="000000" w:themeColor="text1"/>
          <w:sz w:val="24"/>
          <w:szCs w:val="24"/>
        </w:rPr>
        <w:t xml:space="preserve">que </w:t>
      </w:r>
      <w:r>
        <w:rPr>
          <w:rFonts w:ascii="Palatino Linotype" w:hAnsi="Palatino Linotype" w:cs="Arial"/>
          <w:color w:val="000000" w:themeColor="text1"/>
          <w:sz w:val="24"/>
          <w:szCs w:val="24"/>
        </w:rPr>
        <w:t>establecen lo siguiente:</w:t>
      </w:r>
    </w:p>
    <w:p w:rsidR="00401F33" w:rsidRPr="00A72F88" w:rsidRDefault="00401F33" w:rsidP="00A72F88">
      <w:pPr>
        <w:widowControl w:val="0"/>
        <w:autoSpaceDE w:val="0"/>
        <w:autoSpaceDN w:val="0"/>
        <w:adjustRightInd w:val="0"/>
        <w:spacing w:before="240" w:line="360" w:lineRule="auto"/>
        <w:ind w:left="360"/>
        <w:jc w:val="both"/>
        <w:rPr>
          <w:rFonts w:ascii="Palatino Linotype" w:hAnsi="Palatino Linotype"/>
          <w:i/>
          <w:iCs/>
        </w:rPr>
      </w:pPr>
      <w:r w:rsidRPr="00A72F88">
        <w:rPr>
          <w:rFonts w:ascii="Palatino Linotype" w:hAnsi="Palatino Linotype"/>
          <w:i/>
          <w:iCs/>
        </w:rPr>
        <w:t xml:space="preserve">Artículo 54. Para el ejercicio de sus atribuciones y responsabilidades ejecutivas el Ayuntamiento se auxiliará de las dependencias administrativas que sean aprobadas por el Cabildo, las cuales en todo momento estarán subordinadas al Presidente Municipal, siendo las dependencias siguientes: </w:t>
      </w:r>
    </w:p>
    <w:p w:rsidR="00A72F88" w:rsidRPr="00A72F88" w:rsidRDefault="00401F33" w:rsidP="00A72F88">
      <w:pPr>
        <w:pStyle w:val="Prrafodelista"/>
        <w:widowControl w:val="0"/>
        <w:numPr>
          <w:ilvl w:val="0"/>
          <w:numId w:val="29"/>
        </w:numPr>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Coordinación Técnica de Presidencia para Seguridad Pública y Gobierno</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1.Dirección de Gobierno Municipal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2.Dirección Jurídica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3.Dirección de Seguridad Pública y Tránsito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4.Dirección Municipal de Protección Civil y H. Cuerpo de Bomberos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5.Dirección de Movilidad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6.Defensoría Municipal de Derechos Humanos </w:t>
      </w:r>
    </w:p>
    <w:p w:rsidR="00401F33"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7.Dirección de Comunicación Social </w:t>
      </w:r>
    </w:p>
    <w:p w:rsidR="00A72F88" w:rsidRPr="00A72F88" w:rsidRDefault="00401F33" w:rsidP="00A72F88">
      <w:pPr>
        <w:pStyle w:val="Prrafodelista"/>
        <w:widowControl w:val="0"/>
        <w:numPr>
          <w:ilvl w:val="0"/>
          <w:numId w:val="29"/>
        </w:numPr>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Coordinación Técnica de Presidencia para Infraestructura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1.Dirección de Obras Públicas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2.Dirección de Desarrollo Urbano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lastRenderedPageBreak/>
        <w:t xml:space="preserve">3.Dirección de Servicios Públicos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4.Dirección de Desarrollo Metropolitano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5.Dirección de Ecología </w:t>
      </w:r>
    </w:p>
    <w:p w:rsidR="00401F33"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6.Dirección de Desarrollo Sustentable </w:t>
      </w:r>
    </w:p>
    <w:p w:rsidR="00A72F88" w:rsidRPr="00A72F88" w:rsidRDefault="00401F33" w:rsidP="00A72F88">
      <w:pPr>
        <w:pStyle w:val="Prrafodelista"/>
        <w:widowControl w:val="0"/>
        <w:numPr>
          <w:ilvl w:val="0"/>
          <w:numId w:val="29"/>
        </w:numPr>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Coordinación Técnica de Presidencia para Bienestar Social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1.Dirección de Desarrollo Social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2.Dirección de Atención a la Mujer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3.Dirección de Atención a los Pueblos Indígenas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4.Dirección de Atención a la Salud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5.Dirección de Atención a la Juventud </w:t>
      </w:r>
    </w:p>
    <w:p w:rsidR="00401F33"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6.Dirección de Atención Ciudadana </w:t>
      </w:r>
    </w:p>
    <w:p w:rsidR="00A72F88" w:rsidRPr="00A72F88" w:rsidRDefault="00401F33" w:rsidP="00A72F88">
      <w:pPr>
        <w:pStyle w:val="Prrafodelista"/>
        <w:widowControl w:val="0"/>
        <w:numPr>
          <w:ilvl w:val="0"/>
          <w:numId w:val="29"/>
        </w:numPr>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Coordinación Técnica de Presidencia para Desarrollo Económico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1.Dirección de Desarrollo Económico.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2.Dirección de Comercio y Normatividad.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3.Dirección de Fomento Industrial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4.Dirección de Turismo </w:t>
      </w:r>
    </w:p>
    <w:p w:rsidR="00401F33"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5.Coordinación de Asuntos Internacionales y Migración </w:t>
      </w:r>
    </w:p>
    <w:p w:rsidR="00A72F88" w:rsidRPr="00A72F88" w:rsidRDefault="00401F33" w:rsidP="00A72F88">
      <w:pPr>
        <w:pStyle w:val="Prrafodelista"/>
        <w:widowControl w:val="0"/>
        <w:numPr>
          <w:ilvl w:val="0"/>
          <w:numId w:val="29"/>
        </w:numPr>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lastRenderedPageBreak/>
        <w:t xml:space="preserve">Coordinación Técnica de Presidencia para Educación y Cultura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1.Dirección de Educación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2.Dirección de Cultura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A) Áreas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Secretaría del Ayuntamiento;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Tesorería Municipal;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Contraloría Municipal;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Dirección de Administración;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Unidad de Información, Programación, Presupuestación y Evaluación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Dirección de Catastro Municipal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Unidad de Transparencia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SIPINNA </w:t>
      </w:r>
    </w:p>
    <w:p w:rsidR="00A72F88" w:rsidRPr="00A72F88" w:rsidRDefault="00401F33" w:rsidP="00A72F88">
      <w:pPr>
        <w:pStyle w:val="Prrafodelista"/>
        <w:widowControl w:val="0"/>
        <w:numPr>
          <w:ilvl w:val="0"/>
          <w:numId w:val="30"/>
        </w:numPr>
        <w:autoSpaceDE w:val="0"/>
        <w:autoSpaceDN w:val="0"/>
        <w:adjustRightInd w:val="0"/>
        <w:spacing w:before="240" w:after="160" w:line="360" w:lineRule="auto"/>
        <w:ind w:left="2136"/>
        <w:jc w:val="both"/>
        <w:rPr>
          <w:rFonts w:ascii="Palatino Linotype" w:hAnsi="Palatino Linotype"/>
          <w:i/>
          <w:iCs/>
          <w:sz w:val="22"/>
          <w:szCs w:val="22"/>
        </w:rPr>
      </w:pPr>
      <w:r w:rsidRPr="00A72F88">
        <w:rPr>
          <w:rFonts w:ascii="Palatino Linotype" w:hAnsi="Palatino Linotype"/>
          <w:i/>
          <w:iCs/>
          <w:sz w:val="22"/>
          <w:szCs w:val="22"/>
        </w:rPr>
        <w:t xml:space="preserve">Cronista Municipal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B) Coordinaciones administrativas </w:t>
      </w:r>
    </w:p>
    <w:p w:rsidR="00A72F88" w:rsidRPr="00A72F88" w:rsidRDefault="00401F33" w:rsidP="00A72F88">
      <w:pPr>
        <w:pStyle w:val="Prrafodelista"/>
        <w:widowControl w:val="0"/>
        <w:numPr>
          <w:ilvl w:val="0"/>
          <w:numId w:val="33"/>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De oficialía de partes </w:t>
      </w:r>
    </w:p>
    <w:p w:rsidR="00A72F88" w:rsidRPr="00A72F88" w:rsidRDefault="00401F33" w:rsidP="00A72F88">
      <w:pPr>
        <w:pStyle w:val="Prrafodelista"/>
        <w:widowControl w:val="0"/>
        <w:numPr>
          <w:ilvl w:val="0"/>
          <w:numId w:val="33"/>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De control vehicular </w:t>
      </w:r>
    </w:p>
    <w:p w:rsidR="00A72F88" w:rsidRPr="00A72F88" w:rsidRDefault="00401F33" w:rsidP="00A72F88">
      <w:pPr>
        <w:pStyle w:val="Prrafodelista"/>
        <w:widowControl w:val="0"/>
        <w:numPr>
          <w:ilvl w:val="0"/>
          <w:numId w:val="33"/>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De coinversión social </w:t>
      </w:r>
    </w:p>
    <w:p w:rsidR="00A72F88" w:rsidRPr="00A72F88" w:rsidRDefault="00401F33" w:rsidP="00A72F88">
      <w:pPr>
        <w:pStyle w:val="Prrafodelista"/>
        <w:widowControl w:val="0"/>
        <w:numPr>
          <w:ilvl w:val="0"/>
          <w:numId w:val="33"/>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lastRenderedPageBreak/>
        <w:t xml:space="preserve">Coordinación General de oficiales mediadores, conciliadores y calificadores </w:t>
      </w:r>
    </w:p>
    <w:p w:rsidR="00A72F88" w:rsidRPr="00A72F88" w:rsidRDefault="00401F33" w:rsidP="00A72F88">
      <w:pPr>
        <w:pStyle w:val="Prrafodelista"/>
        <w:widowControl w:val="0"/>
        <w:numPr>
          <w:ilvl w:val="0"/>
          <w:numId w:val="33"/>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Coordinación de Registros civiles </w:t>
      </w:r>
    </w:p>
    <w:p w:rsidR="00A72F88" w:rsidRPr="00A72F88" w:rsidRDefault="00401F33" w:rsidP="00A72F88">
      <w:pPr>
        <w:pStyle w:val="Prrafodelista"/>
        <w:widowControl w:val="0"/>
        <w:numPr>
          <w:ilvl w:val="0"/>
          <w:numId w:val="33"/>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De asuntos religiosos </w:t>
      </w:r>
    </w:p>
    <w:p w:rsidR="00A72F88" w:rsidRPr="00A72F88" w:rsidRDefault="00401F33" w:rsidP="00A72F88">
      <w:pPr>
        <w:pStyle w:val="Prrafodelista"/>
        <w:widowControl w:val="0"/>
        <w:numPr>
          <w:ilvl w:val="0"/>
          <w:numId w:val="33"/>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Coordinación de grupos LGBTTTIQ </w:t>
      </w:r>
    </w:p>
    <w:p w:rsidR="00A72F88" w:rsidRPr="00A72F88" w:rsidRDefault="00401F33" w:rsidP="00A72F88">
      <w:pPr>
        <w:pStyle w:val="Prrafodelista"/>
        <w:widowControl w:val="0"/>
        <w:autoSpaceDE w:val="0"/>
        <w:autoSpaceDN w:val="0"/>
        <w:adjustRightInd w:val="0"/>
        <w:spacing w:before="240" w:after="160" w:line="360" w:lineRule="auto"/>
        <w:ind w:left="1080"/>
        <w:jc w:val="both"/>
        <w:rPr>
          <w:rFonts w:ascii="Palatino Linotype" w:hAnsi="Palatino Linotype"/>
          <w:i/>
          <w:iCs/>
          <w:sz w:val="22"/>
          <w:szCs w:val="22"/>
        </w:rPr>
      </w:pPr>
      <w:r w:rsidRPr="00A72F88">
        <w:rPr>
          <w:rFonts w:ascii="Palatino Linotype" w:hAnsi="Palatino Linotype"/>
          <w:i/>
          <w:iCs/>
          <w:sz w:val="22"/>
          <w:szCs w:val="22"/>
        </w:rPr>
        <w:t xml:space="preserve">C)Oficialías: </w:t>
      </w:r>
    </w:p>
    <w:p w:rsidR="00A72F88" w:rsidRPr="00A72F88" w:rsidRDefault="00401F33" w:rsidP="00A72F88">
      <w:pPr>
        <w:pStyle w:val="Prrafodelista"/>
        <w:widowControl w:val="0"/>
        <w:numPr>
          <w:ilvl w:val="0"/>
          <w:numId w:val="35"/>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Mediadora, Conciliadora y Calificadora primer turno </w:t>
      </w:r>
    </w:p>
    <w:p w:rsidR="00A72F88" w:rsidRPr="00A72F88" w:rsidRDefault="00401F33" w:rsidP="00A72F88">
      <w:pPr>
        <w:pStyle w:val="Prrafodelista"/>
        <w:widowControl w:val="0"/>
        <w:numPr>
          <w:ilvl w:val="0"/>
          <w:numId w:val="35"/>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Mediadora, Conciliadora y Calificadora segundo turno </w:t>
      </w:r>
    </w:p>
    <w:p w:rsidR="00A72F88" w:rsidRPr="00A72F88" w:rsidRDefault="00401F33" w:rsidP="00A72F88">
      <w:pPr>
        <w:pStyle w:val="Prrafodelista"/>
        <w:widowControl w:val="0"/>
        <w:numPr>
          <w:ilvl w:val="0"/>
          <w:numId w:val="35"/>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Mediadora, Conciliadora y Calificadora tercer turno</w:t>
      </w:r>
    </w:p>
    <w:p w:rsidR="00A72F88" w:rsidRPr="00A72F88" w:rsidRDefault="00401F33" w:rsidP="00A72F88">
      <w:pPr>
        <w:pStyle w:val="Prrafodelista"/>
        <w:widowControl w:val="0"/>
        <w:numPr>
          <w:ilvl w:val="0"/>
          <w:numId w:val="35"/>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Del Registro Civil 1 </w:t>
      </w:r>
    </w:p>
    <w:p w:rsidR="00A72F88" w:rsidRPr="00A72F88" w:rsidRDefault="00401F33" w:rsidP="00A72F88">
      <w:pPr>
        <w:pStyle w:val="Prrafodelista"/>
        <w:widowControl w:val="0"/>
        <w:numPr>
          <w:ilvl w:val="0"/>
          <w:numId w:val="35"/>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 xml:space="preserve">Del Registro Civil 2 </w:t>
      </w:r>
    </w:p>
    <w:p w:rsidR="00401F33" w:rsidRPr="00A72F88" w:rsidRDefault="00401F33" w:rsidP="00A72F88">
      <w:pPr>
        <w:pStyle w:val="Prrafodelista"/>
        <w:widowControl w:val="0"/>
        <w:numPr>
          <w:ilvl w:val="0"/>
          <w:numId w:val="35"/>
        </w:numPr>
        <w:autoSpaceDE w:val="0"/>
        <w:autoSpaceDN w:val="0"/>
        <w:adjustRightInd w:val="0"/>
        <w:spacing w:before="240" w:after="160" w:line="360" w:lineRule="auto"/>
        <w:ind w:left="2203"/>
        <w:jc w:val="both"/>
        <w:rPr>
          <w:rFonts w:ascii="Palatino Linotype" w:hAnsi="Palatino Linotype"/>
          <w:i/>
          <w:iCs/>
          <w:sz w:val="22"/>
          <w:szCs w:val="22"/>
        </w:rPr>
      </w:pPr>
      <w:r w:rsidRPr="00A72F88">
        <w:rPr>
          <w:rFonts w:ascii="Palatino Linotype" w:hAnsi="Palatino Linotype"/>
          <w:i/>
          <w:iCs/>
          <w:sz w:val="22"/>
          <w:szCs w:val="22"/>
        </w:rPr>
        <w:t>Del Registro Civil 3</w:t>
      </w:r>
    </w:p>
    <w:p w:rsidR="005D37B9" w:rsidRDefault="005D37B9" w:rsidP="005D37B9">
      <w:pPr>
        <w:widowControl w:val="0"/>
        <w:autoSpaceDE w:val="0"/>
        <w:autoSpaceDN w:val="0"/>
        <w:adjustRightInd w:val="0"/>
        <w:spacing w:before="240" w:line="360" w:lineRule="auto"/>
        <w:ind w:left="708"/>
        <w:jc w:val="both"/>
        <w:rPr>
          <w:rFonts w:ascii="Palatino Linotype" w:hAnsi="Palatino Linotype"/>
          <w:i/>
          <w:iCs/>
        </w:rPr>
      </w:pPr>
      <w:r w:rsidRPr="005D37B9">
        <w:rPr>
          <w:rFonts w:ascii="Palatino Linotype" w:hAnsi="Palatino Linotype"/>
          <w:i/>
          <w:iCs/>
        </w:rPr>
        <w:t>Artículo 57. Son organismos públicos descentralizados de la Administración Pública Municipal:</w:t>
      </w:r>
    </w:p>
    <w:p w:rsidR="005D37B9" w:rsidRPr="005D37B9" w:rsidRDefault="005D37B9" w:rsidP="005D37B9">
      <w:pPr>
        <w:widowControl w:val="0"/>
        <w:autoSpaceDE w:val="0"/>
        <w:autoSpaceDN w:val="0"/>
        <w:adjustRightInd w:val="0"/>
        <w:spacing w:before="240" w:line="360" w:lineRule="auto"/>
        <w:ind w:left="708"/>
        <w:jc w:val="both"/>
        <w:rPr>
          <w:rFonts w:ascii="Palatino Linotype" w:hAnsi="Palatino Linotype"/>
          <w:i/>
          <w:iCs/>
        </w:rPr>
      </w:pPr>
      <w:r>
        <w:rPr>
          <w:rFonts w:ascii="Palatino Linotype" w:hAnsi="Palatino Linotype"/>
          <w:i/>
          <w:iCs/>
        </w:rPr>
        <w:t>….</w:t>
      </w:r>
    </w:p>
    <w:p w:rsidR="005D37B9" w:rsidRPr="005D37B9" w:rsidRDefault="005D37B9" w:rsidP="005D37B9">
      <w:pPr>
        <w:widowControl w:val="0"/>
        <w:autoSpaceDE w:val="0"/>
        <w:autoSpaceDN w:val="0"/>
        <w:adjustRightInd w:val="0"/>
        <w:spacing w:before="240" w:line="360" w:lineRule="auto"/>
        <w:ind w:left="708"/>
        <w:jc w:val="both"/>
        <w:rPr>
          <w:rFonts w:ascii="Palatino Linotype" w:hAnsi="Palatino Linotype"/>
          <w:i/>
          <w:iCs/>
        </w:rPr>
      </w:pPr>
      <w:r w:rsidRPr="005D37B9">
        <w:rPr>
          <w:rFonts w:ascii="Palatino Linotype" w:hAnsi="Palatino Linotype"/>
          <w:i/>
          <w:iCs/>
        </w:rPr>
        <w:t xml:space="preserve">III. El Instituto Municipal de la Cultura Física y Deporte (IMCUFIDE), es un organismo público descentralizado del gobierno municipal, con personalidad jurídica y patrimonio propios, que tiene por objeto promover el desarrollo y adopción de una cultura física, ejecutar las políticas que orienten la promoción y el impulso del deporte, fomentando la participación de los sectores </w:t>
      </w:r>
      <w:r w:rsidRPr="005D37B9">
        <w:rPr>
          <w:rFonts w:ascii="Palatino Linotype" w:hAnsi="Palatino Linotype"/>
          <w:i/>
          <w:iCs/>
        </w:rPr>
        <w:lastRenderedPageBreak/>
        <w:t>público, social y privado; así como promover los programas de actividades físicas para la salud, la recreación y el deporte.</w:t>
      </w:r>
    </w:p>
    <w:p w:rsidR="005D37B9" w:rsidRDefault="005D37B9" w:rsidP="005D37B9">
      <w:pPr>
        <w:widowControl w:val="0"/>
        <w:autoSpaceDE w:val="0"/>
        <w:autoSpaceDN w:val="0"/>
        <w:adjustRightInd w:val="0"/>
        <w:spacing w:before="240" w:line="360" w:lineRule="auto"/>
        <w:ind w:left="708"/>
        <w:jc w:val="both"/>
        <w:rPr>
          <w:rFonts w:ascii="Palatino Linotype" w:hAnsi="Palatino Linotype"/>
          <w:i/>
          <w:iCs/>
        </w:rPr>
      </w:pPr>
      <w:r w:rsidRPr="005D37B9">
        <w:rPr>
          <w:rFonts w:ascii="Palatino Linotype" w:hAnsi="Palatino Linotype"/>
          <w:i/>
          <w:iCs/>
        </w:rPr>
        <w:t>Artículo 58. La Defensoría Municipal de Derechos Humanos es una instancia autónoma en sus decisiones, que goza de plena libertad para proteger, promover y difundir el respeto a los derechos fundamentales de las personas que habitan dentro del Municipio, así como de las que transitan por el mismo.</w:t>
      </w:r>
    </w:p>
    <w:p w:rsidR="005D37B9" w:rsidRPr="005D37B9" w:rsidRDefault="005D37B9" w:rsidP="005D37B9">
      <w:pPr>
        <w:widowControl w:val="0"/>
        <w:autoSpaceDE w:val="0"/>
        <w:autoSpaceDN w:val="0"/>
        <w:adjustRightInd w:val="0"/>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Es de mencionar que, si bien es cierto que el Sistema Municipal para el </w:t>
      </w:r>
      <w:r w:rsidRPr="005D37B9">
        <w:rPr>
          <w:rFonts w:ascii="Palatino Linotype" w:hAnsi="Palatino Linotype" w:cs="Arial"/>
          <w:color w:val="000000" w:themeColor="text1"/>
          <w:sz w:val="24"/>
          <w:szCs w:val="24"/>
        </w:rPr>
        <w:t>Desarrollo Integral</w:t>
      </w:r>
      <w:r>
        <w:rPr>
          <w:rFonts w:ascii="Palatino Linotype" w:hAnsi="Palatino Linotype" w:cs="Arial"/>
          <w:color w:val="000000" w:themeColor="text1"/>
          <w:sz w:val="24"/>
          <w:szCs w:val="24"/>
        </w:rPr>
        <w:t xml:space="preserve"> </w:t>
      </w:r>
      <w:r w:rsidRPr="005D37B9">
        <w:rPr>
          <w:rFonts w:ascii="Palatino Linotype" w:hAnsi="Palatino Linotype" w:cs="Arial"/>
          <w:color w:val="000000" w:themeColor="text1"/>
          <w:sz w:val="24"/>
          <w:szCs w:val="24"/>
        </w:rPr>
        <w:t>de la Familia de Valle de Chalco Solidaridad</w:t>
      </w:r>
      <w:r>
        <w:rPr>
          <w:rFonts w:ascii="Palatino Linotype" w:hAnsi="Palatino Linotype" w:cs="Arial"/>
          <w:color w:val="000000" w:themeColor="text1"/>
          <w:sz w:val="24"/>
          <w:szCs w:val="24"/>
        </w:rPr>
        <w:t xml:space="preserve"> y el </w:t>
      </w:r>
      <w:r w:rsidRPr="005D37B9">
        <w:rPr>
          <w:rFonts w:ascii="Palatino Linotype" w:hAnsi="Palatino Linotype" w:cs="Arial"/>
          <w:color w:val="000000" w:themeColor="text1"/>
          <w:sz w:val="24"/>
          <w:szCs w:val="24"/>
        </w:rPr>
        <w:t>Organismo Descentralizado de Agua Potable, Alcantarillado y Saneamiento (ODAPAS),</w:t>
      </w:r>
      <w:r>
        <w:rPr>
          <w:rFonts w:ascii="Palatino Linotype" w:hAnsi="Palatino Linotype" w:cs="Arial"/>
          <w:color w:val="000000" w:themeColor="text1"/>
          <w:sz w:val="24"/>
          <w:szCs w:val="24"/>
        </w:rPr>
        <w:t xml:space="preserve"> forman parte de la administración pública municipal descentralizada, también lo es que, son sujetos obligados diferentes, de conformidad con </w:t>
      </w:r>
      <w:r w:rsidR="00A356B2">
        <w:rPr>
          <w:rFonts w:ascii="Palatino Linotype" w:hAnsi="Palatino Linotype" w:cs="Arial"/>
          <w:color w:val="000000" w:themeColor="text1"/>
          <w:sz w:val="24"/>
          <w:szCs w:val="24"/>
        </w:rPr>
        <w:t>el periódico oficial gaceta del gobierno del 27 de noviembre de 2017</w:t>
      </w:r>
      <w:r>
        <w:rPr>
          <w:rFonts w:ascii="Palatino Linotype" w:hAnsi="Palatino Linotype" w:cs="Arial"/>
          <w:color w:val="000000" w:themeColor="text1"/>
          <w:sz w:val="24"/>
          <w:szCs w:val="24"/>
        </w:rPr>
        <w:t>, por lo que, se dejan a salvo los derechos de la particular para presentar su solicitud de información a dichos organismos.</w:t>
      </w:r>
    </w:p>
    <w:p w:rsidR="00BB1BD5" w:rsidRDefault="00A72F88" w:rsidP="00A72F88">
      <w:pPr>
        <w:widowControl w:val="0"/>
        <w:autoSpaceDE w:val="0"/>
        <w:autoSpaceDN w:val="0"/>
        <w:adjustRightInd w:val="0"/>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No pasa desapercibido este resolutor que,</w:t>
      </w:r>
      <w:r w:rsidR="00BB1BD5">
        <w:rPr>
          <w:rFonts w:ascii="Palatino Linotype" w:hAnsi="Palatino Linotype" w:cs="Arial"/>
          <w:color w:val="000000" w:themeColor="text1"/>
          <w:sz w:val="24"/>
          <w:szCs w:val="24"/>
        </w:rPr>
        <w:t xml:space="preserve"> el Sujeto Obligado entre sus unidades administrativas, cuenta con la </w:t>
      </w:r>
      <w:r w:rsidR="00893900">
        <w:rPr>
          <w:rFonts w:ascii="Palatino Linotype" w:hAnsi="Palatino Linotype" w:cs="Arial"/>
          <w:color w:val="000000" w:themeColor="text1"/>
          <w:sz w:val="24"/>
          <w:szCs w:val="24"/>
        </w:rPr>
        <w:t>Direccion de Seguridad Publica</w:t>
      </w:r>
      <w:r w:rsidR="00BB1BD5">
        <w:rPr>
          <w:rFonts w:ascii="Palatino Linotype" w:hAnsi="Palatino Linotype" w:cs="Arial"/>
          <w:color w:val="000000" w:themeColor="text1"/>
          <w:sz w:val="24"/>
          <w:szCs w:val="24"/>
        </w:rPr>
        <w:t>, la cual, tiene por objeto asegurar el pleno goce de las garantías individuales y sociales, la paz, la tranquilidad y el orden público; prevenir la comisión de delitos y la violación de las leyes, reglamentos y demás disposiciones legales aplicables, en el ámbito de su competencia, además mantendrá una adecuada forma de control vehicular y peatonal en las vías públicas.</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último, es de señalar que el Recurrente requirió la información generada desde el primero de enero al treinta </w:t>
      </w:r>
      <w:r w:rsidR="00893900">
        <w:rPr>
          <w:rFonts w:ascii="Palatino Linotype" w:hAnsi="Palatino Linotype" w:cs="Arial"/>
          <w:color w:val="000000" w:themeColor="text1"/>
          <w:sz w:val="24"/>
          <w:szCs w:val="24"/>
        </w:rPr>
        <w:t xml:space="preserve">de </w:t>
      </w:r>
      <w:r w:rsidR="00A72F88">
        <w:rPr>
          <w:rFonts w:ascii="Palatino Linotype" w:hAnsi="Palatino Linotype" w:cs="Arial"/>
          <w:color w:val="000000" w:themeColor="text1"/>
          <w:sz w:val="24"/>
          <w:szCs w:val="24"/>
        </w:rPr>
        <w:t>mayo</w:t>
      </w:r>
      <w:r>
        <w:rPr>
          <w:rFonts w:ascii="Palatino Linotype" w:hAnsi="Palatino Linotype" w:cs="Arial"/>
          <w:color w:val="000000" w:themeColor="text1"/>
          <w:sz w:val="24"/>
          <w:szCs w:val="24"/>
        </w:rPr>
        <w:t xml:space="preserve"> de dos mil diecinueve. De tal forma que el Sujeto </w:t>
      </w:r>
      <w:r>
        <w:rPr>
          <w:rFonts w:ascii="Palatino Linotype" w:hAnsi="Palatino Linotype" w:cs="Arial"/>
          <w:color w:val="000000" w:themeColor="text1"/>
          <w:sz w:val="24"/>
          <w:szCs w:val="24"/>
        </w:rPr>
        <w:lastRenderedPageBreak/>
        <w:t>Obligado ya debe contar con la información solicitada pues el Calendario de Obligaciones Periódicas 2019 emitido por el OSFEM indica que la fecha límite para entregar los informes mensuales de enero, febrero y marzo fueron los días cuatro de marzo, primero de abril y siete de mayo todos del presente año, respectivamente, tal como se observa a continuación:</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555EFCCF" wp14:editId="38156F63">
            <wp:extent cx="5581540" cy="3481689"/>
            <wp:effectExtent l="0" t="0" r="63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97" t="5191" r="30392" b="51766"/>
                    <a:stretch/>
                  </pic:blipFill>
                  <pic:spPr bwMode="auto">
                    <a:xfrm>
                      <a:off x="0" y="0"/>
                      <a:ext cx="5611815" cy="3500574"/>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se observa que el Sujeto Obligado ya hizo entrega de los respectivos informes mensuales al Órgano Superior de Fiscalización del Estado de México, de acuerdo a la siguiente captura de pantalla:</w:t>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Default="00BB1BD5" w:rsidP="00BB1BD5">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295EE8CE" wp14:editId="3915F762">
            <wp:extent cx="4608999" cy="2399319"/>
            <wp:effectExtent l="0" t="0" r="127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49" t="5693" r="17392" b="45570"/>
                    <a:stretch/>
                  </pic:blipFill>
                  <pic:spPr bwMode="auto">
                    <a:xfrm>
                      <a:off x="0" y="0"/>
                      <a:ext cx="4670829" cy="2431506"/>
                    </a:xfrm>
                    <a:prstGeom prst="rect">
                      <a:avLst/>
                    </a:prstGeom>
                    <a:ln>
                      <a:noFill/>
                    </a:ln>
                    <a:extLst>
                      <a:ext uri="{53640926-AAD7-44D8-BBD7-CCE9431645EC}">
                        <a14:shadowObscured xmlns:a14="http://schemas.microsoft.com/office/drawing/2010/main"/>
                      </a:ext>
                    </a:extLst>
                  </pic:spPr>
                </pic:pic>
              </a:graphicData>
            </a:graphic>
          </wp:inline>
        </w:drawing>
      </w:r>
    </w:p>
    <w:p w:rsidR="00BB1BD5" w:rsidRDefault="00BB1BD5" w:rsidP="00BB1BD5">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B1BD5" w:rsidRPr="00E130C4" w:rsidRDefault="00BB1BD5" w:rsidP="00BB1BD5">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de la información requerida por el 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que son, de manera enunciativa más no limitativa, la Nómina General</w:t>
      </w:r>
      <w:r w:rsidRPr="00E130C4">
        <w:rPr>
          <w:rFonts w:ascii="Palatino Linotype" w:hAnsi="Palatino Linotype"/>
        </w:rPr>
        <w:t>; este Órgano Garante considera que son fundados los motivos de inconformidad de</w:t>
      </w:r>
      <w:r>
        <w:rPr>
          <w:rFonts w:ascii="Palatino Linotype" w:hAnsi="Palatino Linotype"/>
        </w:rPr>
        <w:t>l</w:t>
      </w:r>
      <w:r w:rsidRPr="00E130C4">
        <w:rPr>
          <w:rFonts w:ascii="Palatino Linotype" w:hAnsi="Palatino Linotype"/>
        </w:rPr>
        <w:t xml:space="preserve"> Recurrente, por lo que es dable ordenar al Sujeto Obligado que haga entrega a</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de</w:t>
      </w:r>
      <w:r>
        <w:rPr>
          <w:rFonts w:ascii="Palatino Linotype" w:hAnsi="Palatino Linotype"/>
        </w:rPr>
        <w:t xml:space="preserve"> los documento en donde conste la remuneración bruta y neta de todos los servidores, así como todas sus percepciones y deducciones que no se consideren información confidencial, lo anterior respecto de todos los servidores públicos de la administración pública municipal correspondiente al mes de enero, febrero y marzo de dos mil diecinueve</w:t>
      </w:r>
      <w:r w:rsidRPr="00E130C4">
        <w:rPr>
          <w:rFonts w:ascii="Palatino Linotype" w:hAnsi="Palatino Linotype"/>
        </w:rPr>
        <w:t xml:space="preserve">. Asimismo, a fin de salvaguardar la información de los servidores públicos que prestan sus servicios en </w:t>
      </w:r>
      <w:r>
        <w:rPr>
          <w:rFonts w:ascii="Palatino Linotype" w:hAnsi="Palatino Linotype" w:cs="Arial"/>
          <w:color w:val="000000" w:themeColor="text1"/>
        </w:rPr>
        <w:t>la Comisaría de Seguridad Pública y Tránsito Municipal</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w:t>
      </w:r>
      <w:r w:rsidRPr="00E130C4">
        <w:rPr>
          <w:rFonts w:ascii="Palatino Linotype" w:hAnsi="Palatino Linotype"/>
        </w:rPr>
        <w:lastRenderedPageBreak/>
        <w:t>se</w:t>
      </w:r>
      <w:r>
        <w:rPr>
          <w:rFonts w:ascii="Palatino Linotype" w:hAnsi="Palatino Linotype"/>
        </w:rPr>
        <w:t>r entregados de 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BB1BD5" w:rsidRPr="00E130C4" w:rsidRDefault="00BB1BD5" w:rsidP="00BB1BD5">
      <w:pPr>
        <w:pStyle w:val="Sinespaciado"/>
        <w:spacing w:line="360" w:lineRule="auto"/>
        <w:jc w:val="both"/>
        <w:rPr>
          <w:rFonts w:ascii="Palatino Linotype" w:hAnsi="Palatino Linotype"/>
        </w:rPr>
      </w:pPr>
    </w:p>
    <w:p w:rsidR="00BB1BD5" w:rsidRDefault="00BB1BD5" w:rsidP="00BB1BD5">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ED735A" w:rsidRDefault="00ED735A" w:rsidP="0009633E">
      <w:pPr>
        <w:spacing w:before="240" w:line="360" w:lineRule="auto"/>
        <w:jc w:val="both"/>
        <w:rPr>
          <w:rFonts w:ascii="Palatino Linotype" w:eastAsia="MS Mincho" w:hAnsi="Palatino Linotype"/>
          <w:sz w:val="24"/>
          <w:szCs w:val="24"/>
          <w:lang w:val="es-ES_tradnl"/>
        </w:rPr>
      </w:pPr>
      <w:r>
        <w:rPr>
          <w:rFonts w:ascii="Palatino Linotype" w:eastAsia="MS Mincho" w:hAnsi="Palatino Linotype"/>
          <w:sz w:val="24"/>
          <w:szCs w:val="24"/>
          <w:lang w:val="es-ES_tradnl"/>
        </w:rPr>
        <w:t>Así también, los mismo Lineamientos establecen l</w:t>
      </w:r>
      <w:r w:rsidR="003E3297">
        <w:rPr>
          <w:rFonts w:ascii="Palatino Linotype" w:eastAsia="MS Mincho" w:hAnsi="Palatino Linotype"/>
          <w:sz w:val="24"/>
          <w:szCs w:val="24"/>
          <w:lang w:val="es-ES_tradnl"/>
        </w:rPr>
        <w:t>a</w:t>
      </w:r>
      <w:r>
        <w:rPr>
          <w:rFonts w:ascii="Palatino Linotype" w:eastAsia="MS Mincho" w:hAnsi="Palatino Linotype"/>
          <w:sz w:val="24"/>
          <w:szCs w:val="24"/>
          <w:lang w:val="es-ES_tradnl"/>
        </w:rPr>
        <w:t xml:space="preserve"> clasificación de firmas que deberán de contener los formatos emitidos y los cuales para </w:t>
      </w:r>
      <w:r w:rsidR="003E3297">
        <w:rPr>
          <w:rFonts w:ascii="Palatino Linotype" w:eastAsia="MS Mincho" w:hAnsi="Palatino Linotype"/>
          <w:sz w:val="24"/>
          <w:szCs w:val="24"/>
          <w:lang w:val="es-ES_tradnl"/>
        </w:rPr>
        <w:t xml:space="preserve">el caso de la </w:t>
      </w:r>
      <w:r w:rsidR="007B2103">
        <w:rPr>
          <w:rFonts w:ascii="Palatino Linotype" w:eastAsia="MS Mincho" w:hAnsi="Palatino Linotype"/>
          <w:sz w:val="24"/>
          <w:szCs w:val="24"/>
          <w:lang w:val="es-ES_tradnl"/>
        </w:rPr>
        <w:t>nómina</w:t>
      </w:r>
      <w:r w:rsidR="003E3297">
        <w:rPr>
          <w:rFonts w:ascii="Palatino Linotype" w:eastAsia="MS Mincho" w:hAnsi="Palatino Linotype"/>
          <w:sz w:val="24"/>
          <w:szCs w:val="24"/>
          <w:lang w:val="es-ES_tradnl"/>
        </w:rPr>
        <w:t xml:space="preserve"> general únicamente deberá de llevar la firma del Tesorero Municipal y para </w:t>
      </w:r>
      <w:r w:rsidR="007B2103">
        <w:rPr>
          <w:rFonts w:ascii="Palatino Linotype" w:eastAsia="MS Mincho" w:hAnsi="Palatino Linotype"/>
          <w:sz w:val="24"/>
          <w:szCs w:val="24"/>
          <w:lang w:val="es-ES_tradnl"/>
        </w:rPr>
        <w:t>el caso d</w:t>
      </w:r>
      <w:r>
        <w:rPr>
          <w:rFonts w:ascii="Palatino Linotype" w:eastAsia="MS Mincho" w:hAnsi="Palatino Linotype"/>
          <w:sz w:val="24"/>
          <w:szCs w:val="24"/>
          <w:lang w:val="es-ES_tradnl"/>
        </w:rPr>
        <w:t xml:space="preserve">el Tabulador de Sueldos, deberá de contar con las firmas del Presidente, Tesorero, Sindico y Secretario, como se desprende de la siguiente imagen. </w:t>
      </w:r>
    </w:p>
    <w:p w:rsidR="00052D39" w:rsidRPr="00162D04" w:rsidRDefault="00ED735A" w:rsidP="00162D04">
      <w:pPr>
        <w:spacing w:before="240" w:after="240" w:line="360" w:lineRule="auto"/>
        <w:jc w:val="both"/>
        <w:rPr>
          <w:rFonts w:ascii="Palatino Linotype" w:hAnsi="Palatino Linotype"/>
          <w:i/>
        </w:rPr>
      </w:pPr>
      <w:r>
        <w:rPr>
          <w:noProof/>
          <w:lang w:eastAsia="es-MX"/>
        </w:rPr>
        <w:drawing>
          <wp:inline distT="0" distB="0" distL="0" distR="0" wp14:anchorId="4BE59310" wp14:editId="62F65E4D">
            <wp:extent cx="5494605" cy="2427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24" t="23516" r="27910" b="24750"/>
                    <a:stretch/>
                  </pic:blipFill>
                  <pic:spPr bwMode="auto">
                    <a:xfrm>
                      <a:off x="0" y="0"/>
                      <a:ext cx="5518536" cy="2438464"/>
                    </a:xfrm>
                    <a:prstGeom prst="rect">
                      <a:avLst/>
                    </a:prstGeom>
                    <a:ln>
                      <a:noFill/>
                    </a:ln>
                    <a:extLst>
                      <a:ext uri="{53640926-AAD7-44D8-BBD7-CCE9431645EC}">
                        <a14:shadowObscured xmlns:a14="http://schemas.microsoft.com/office/drawing/2010/main"/>
                      </a:ext>
                    </a:extLst>
                  </pic:spPr>
                </pic:pic>
              </a:graphicData>
            </a:graphic>
          </wp:inline>
        </w:drawing>
      </w:r>
    </w:p>
    <w:p w:rsidR="00A27459" w:rsidRPr="009D1CEC" w:rsidRDefault="00A27459" w:rsidP="00A27459">
      <w:pPr>
        <w:pStyle w:val="Prrafodelista"/>
        <w:numPr>
          <w:ilvl w:val="0"/>
          <w:numId w:val="17"/>
        </w:numPr>
        <w:tabs>
          <w:tab w:val="left" w:pos="709"/>
        </w:tabs>
        <w:spacing w:before="240" w:line="360" w:lineRule="auto"/>
        <w:ind w:right="51"/>
        <w:jc w:val="both"/>
        <w:rPr>
          <w:rFonts w:ascii="Palatino Linotype" w:hAnsi="Palatino Linotype" w:cs="Arial"/>
          <w:b/>
        </w:rPr>
      </w:pPr>
      <w:r w:rsidRPr="009D1CEC">
        <w:rPr>
          <w:rFonts w:ascii="Palatino Linotype" w:hAnsi="Palatino Linotype" w:cs="Arial"/>
          <w:b/>
        </w:rPr>
        <w:lastRenderedPageBreak/>
        <w:t xml:space="preserve">De la Versión Pública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347D2A">
        <w:rPr>
          <w:rFonts w:ascii="Palatino Linotype" w:eastAsia="Arial Unicode MS" w:hAnsi="Palatino Linotype" w:cs="Times New Roman"/>
          <w:b/>
          <w:sz w:val="24"/>
          <w:szCs w:val="24"/>
          <w:lang w:val="es-ES" w:eastAsia="es-ES"/>
        </w:rPr>
        <w:t>versión pública</w:t>
      </w:r>
      <w:r w:rsidRPr="00347D2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bCs/>
          <w:sz w:val="24"/>
          <w:szCs w:val="24"/>
          <w:lang w:eastAsia="es-ES"/>
        </w:rPr>
        <w:t>A este respecto, los</w:t>
      </w:r>
      <w:r w:rsidRPr="00347D2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7B2103" w:rsidRPr="00347D2A" w:rsidRDefault="007B2103" w:rsidP="007B2103">
      <w:pPr>
        <w:spacing w:after="0" w:line="360" w:lineRule="auto"/>
        <w:jc w:val="both"/>
        <w:rPr>
          <w:rFonts w:ascii="Palatino Linotype" w:eastAsia="Times New Roman" w:hAnsi="Palatino Linotype" w:cs="Times New Roman"/>
          <w:b/>
          <w:bCs/>
          <w:i/>
          <w:noProof/>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Arial"/>
          <w:b/>
          <w:bCs/>
          <w:i/>
          <w:noProof/>
          <w:lang w:eastAsia="es-ES"/>
        </w:rPr>
        <w:t>“</w:t>
      </w:r>
      <w:r w:rsidRPr="00347D2A">
        <w:rPr>
          <w:rFonts w:ascii="Palatino Linotype" w:eastAsia="Times New Roman" w:hAnsi="Palatino Linotype" w:cs="Arial"/>
          <w:b/>
          <w:bCs/>
          <w:i/>
          <w:lang w:eastAsia="es-MX"/>
        </w:rPr>
        <w:t>Artículo</w:t>
      </w:r>
      <w:r w:rsidRPr="00347D2A">
        <w:rPr>
          <w:rFonts w:ascii="Palatino Linotype" w:eastAsia="Times New Roman" w:hAnsi="Palatino Linotype" w:cs="Arial"/>
          <w:b/>
          <w:bCs/>
          <w:i/>
          <w:lang w:eastAsia="es-ES"/>
        </w:rPr>
        <w:t xml:space="preserve"> 3. </w:t>
      </w:r>
      <w:r w:rsidRPr="00347D2A">
        <w:rPr>
          <w:rFonts w:ascii="Palatino Linotype" w:eastAsia="Times New Roman" w:hAnsi="Palatino Linotype" w:cs="Times New Roman"/>
          <w:i/>
          <w:lang w:eastAsia="es-ES"/>
        </w:rPr>
        <w:t xml:space="preserve">Para los efectos de la presente Ley se entenderá por: </w:t>
      </w: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IX.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 xml:space="preserve">Datos personales: </w:t>
      </w:r>
      <w:r w:rsidRPr="00347D2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clasificada:</w:t>
      </w:r>
      <w:r w:rsidRPr="00347D2A">
        <w:rPr>
          <w:rFonts w:ascii="Palatino Linotype" w:eastAsia="Times New Roman" w:hAnsi="Palatino Linotype" w:cs="Arial"/>
          <w:i/>
          <w:lang w:eastAsia="es-ES"/>
        </w:rPr>
        <w:t xml:space="preserve"> Aquella considerada por la presente Ley como reservada o confidencial;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XXI.</w:t>
      </w:r>
      <w:r w:rsidRPr="00347D2A">
        <w:rPr>
          <w:rFonts w:ascii="Palatino Linotype" w:eastAsia="Times New Roman" w:hAnsi="Palatino Linotype" w:cs="Arial"/>
          <w:i/>
          <w:lang w:eastAsia="es-ES"/>
        </w:rPr>
        <w:t xml:space="preserve"> </w:t>
      </w:r>
      <w:r w:rsidRPr="00347D2A">
        <w:rPr>
          <w:rFonts w:ascii="Palatino Linotype" w:eastAsia="Times New Roman" w:hAnsi="Palatino Linotype" w:cs="Arial"/>
          <w:b/>
          <w:i/>
          <w:lang w:eastAsia="es-ES"/>
        </w:rPr>
        <w:t>Información confidencial</w:t>
      </w:r>
      <w:r w:rsidRPr="00347D2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t>XLV. Versión pública:</w:t>
      </w:r>
      <w:r w:rsidRPr="00347D2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r w:rsidRPr="00347D2A">
        <w:rPr>
          <w:rFonts w:ascii="Palatino Linotype" w:eastAsia="Times New Roman" w:hAnsi="Palatino Linotype" w:cs="Arial"/>
          <w:b/>
          <w:i/>
          <w:lang w:eastAsia="es-ES"/>
        </w:rPr>
        <w:lastRenderedPageBreak/>
        <w:t>Artículo 51.</w:t>
      </w:r>
      <w:r w:rsidRPr="00347D2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47D2A">
        <w:rPr>
          <w:rFonts w:ascii="Palatino Linotype" w:eastAsia="Times New Roman" w:hAnsi="Palatino Linotype" w:cs="Arial"/>
          <w:b/>
          <w:i/>
          <w:lang w:eastAsia="es-ES"/>
        </w:rPr>
        <w:t xml:space="preserve">y tendrá la responsabilidad de verificar en cada caso que la misma no sea confidencial o reservada. </w:t>
      </w:r>
      <w:r w:rsidRPr="00347D2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7B2103" w:rsidRPr="00347D2A" w:rsidRDefault="007B2103" w:rsidP="007B2103">
      <w:pPr>
        <w:spacing w:after="0" w:line="240" w:lineRule="auto"/>
        <w:ind w:left="567" w:right="616"/>
        <w:jc w:val="both"/>
        <w:rPr>
          <w:rFonts w:ascii="Palatino Linotype" w:eastAsia="Times New Roman" w:hAnsi="Palatino Linotype" w:cs="Arial"/>
          <w:i/>
          <w:lang w:eastAsia="es-ES"/>
        </w:rPr>
      </w:pPr>
    </w:p>
    <w:p w:rsidR="007B2103" w:rsidRPr="00347D2A" w:rsidRDefault="007B2103" w:rsidP="007B2103">
      <w:pPr>
        <w:spacing w:after="0" w:line="240" w:lineRule="auto"/>
        <w:ind w:left="567" w:right="616"/>
        <w:jc w:val="both"/>
        <w:rPr>
          <w:rFonts w:ascii="Times New Roman" w:eastAsia="Times New Roman" w:hAnsi="Times New Roman" w:cs="Arial"/>
          <w:bCs/>
          <w:noProof/>
          <w:sz w:val="24"/>
          <w:szCs w:val="24"/>
          <w:lang w:eastAsia="es-ES"/>
        </w:rPr>
      </w:pPr>
      <w:r w:rsidRPr="00347D2A">
        <w:rPr>
          <w:rFonts w:ascii="Palatino Linotype" w:eastAsia="Times New Roman" w:hAnsi="Palatino Linotype" w:cs="Arial"/>
          <w:b/>
          <w:i/>
          <w:lang w:eastAsia="es-ES"/>
        </w:rPr>
        <w:t>Artículo 52.</w:t>
      </w:r>
      <w:r w:rsidRPr="00347D2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347D2A">
        <w:rPr>
          <w:rFonts w:ascii="Palatino Linotype" w:eastAsia="Times New Roman" w:hAnsi="Palatino Linotype" w:cs="Arial"/>
          <w:bCs/>
          <w:i/>
          <w:noProof/>
          <w:lang w:eastAsia="es-ES"/>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7B2103" w:rsidRPr="00347D2A" w:rsidRDefault="007B2103" w:rsidP="007B2103">
      <w:pPr>
        <w:spacing w:after="0" w:line="240" w:lineRule="auto"/>
        <w:ind w:left="567" w:right="616"/>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w:t>
      </w: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22</w:t>
      </w:r>
      <w:r w:rsidRPr="00347D2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t>I. Cuente con atribuciones conferidas en ley y medie el consentimiento del titular.</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i/>
          <w:szCs w:val="24"/>
          <w:lang w:eastAsia="es-ES"/>
        </w:rPr>
        <w:lastRenderedPageBreak/>
        <w:t>II. Se trate de una persona reportada como desaparecida, en los términos previstos en la presente Ley y demás disposiciones legales aplicables...</w:t>
      </w: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p>
    <w:p w:rsidR="007B2103" w:rsidRPr="00347D2A" w:rsidRDefault="007B2103" w:rsidP="007B2103">
      <w:pPr>
        <w:spacing w:after="0" w:line="240" w:lineRule="auto"/>
        <w:ind w:left="567" w:right="616"/>
        <w:jc w:val="both"/>
        <w:rPr>
          <w:rFonts w:ascii="Palatino Linotype" w:eastAsia="Arial Unicode MS" w:hAnsi="Palatino Linotype" w:cs="Arial"/>
          <w:i/>
          <w:szCs w:val="24"/>
          <w:lang w:eastAsia="es-ES"/>
        </w:rPr>
      </w:pPr>
      <w:r w:rsidRPr="00347D2A">
        <w:rPr>
          <w:rFonts w:ascii="Palatino Linotype" w:eastAsia="Arial Unicode MS" w:hAnsi="Palatino Linotype" w:cs="Arial"/>
          <w:b/>
          <w:i/>
          <w:szCs w:val="24"/>
          <w:lang w:eastAsia="es-ES"/>
        </w:rPr>
        <w:t>Artículo</w:t>
      </w:r>
      <w:r w:rsidRPr="00347D2A">
        <w:rPr>
          <w:rFonts w:ascii="Palatino Linotype" w:eastAsia="Arial Unicode MS" w:hAnsi="Palatino Linotype" w:cs="Arial"/>
          <w:i/>
          <w:szCs w:val="24"/>
          <w:lang w:eastAsia="es-ES"/>
        </w:rPr>
        <w:t xml:space="preserve"> </w:t>
      </w:r>
      <w:r w:rsidRPr="00347D2A">
        <w:rPr>
          <w:rFonts w:ascii="Palatino Linotype" w:eastAsia="Arial Unicode MS" w:hAnsi="Palatino Linotype" w:cs="Arial"/>
          <w:b/>
          <w:i/>
          <w:szCs w:val="24"/>
          <w:lang w:eastAsia="es-ES"/>
        </w:rPr>
        <w:t>38</w:t>
      </w:r>
      <w:r w:rsidRPr="00347D2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7B2103" w:rsidRPr="00347D2A" w:rsidRDefault="007B2103" w:rsidP="007B2103">
      <w:pPr>
        <w:spacing w:after="0" w:line="360" w:lineRule="auto"/>
        <w:jc w:val="both"/>
        <w:rPr>
          <w:rFonts w:ascii="Palatino Linotype" w:eastAsia="Arial Unicode MS"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47D2A">
        <w:rPr>
          <w:rFonts w:ascii="Palatino Linotype" w:eastAsia="Arial Unicode MS" w:hAnsi="Palatino Linotype" w:cs="Times New Roman"/>
          <w:color w:val="000000"/>
          <w:sz w:val="24"/>
          <w:szCs w:val="24"/>
          <w:lang w:eastAsia="es-MX"/>
        </w:rPr>
        <w:t>el Sujeto Obligado</w:t>
      </w:r>
      <w:r w:rsidRPr="00347D2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r w:rsidRPr="00347D2A">
        <w:rPr>
          <w:rFonts w:ascii="Palatino Linotype" w:eastAsia="Arial Unicode MS" w:hAnsi="Palatino Linotype" w:cs="Times New Roman"/>
          <w:sz w:val="24"/>
          <w:szCs w:val="24"/>
          <w:lang w:val="es-ES" w:eastAsia="es-ES"/>
        </w:rPr>
        <w:t>Asimismo, de la versión pública deberá dejarse a la vista de la Recurrente</w:t>
      </w:r>
      <w:r w:rsidRPr="00347D2A">
        <w:rPr>
          <w:rFonts w:ascii="Palatino Linotype" w:eastAsia="Arial Unicode MS" w:hAnsi="Palatino Linotype" w:cs="Times New Roman"/>
          <w:b/>
          <w:sz w:val="24"/>
          <w:szCs w:val="24"/>
          <w:lang w:val="es-ES" w:eastAsia="es-ES"/>
        </w:rPr>
        <w:t xml:space="preserve"> </w:t>
      </w:r>
      <w:r w:rsidRPr="00347D2A">
        <w:rPr>
          <w:rFonts w:ascii="Palatino Linotype" w:eastAsia="Arial Unicode MS" w:hAnsi="Palatino Linotype" w:cs="Times New Roman"/>
          <w:sz w:val="24"/>
          <w:szCs w:val="24"/>
          <w:lang w:val="es-ES" w:eastAsia="es-ES"/>
        </w:rPr>
        <w:t xml:space="preserve">los siguientes elementos de información pública: monto total del sueldo neto y bruto, </w:t>
      </w:r>
      <w:r w:rsidRPr="00347D2A">
        <w:rPr>
          <w:rFonts w:ascii="Palatino Linotype" w:eastAsia="Arial Unicode MS" w:hAnsi="Palatino Linotype" w:cs="Times New Roman"/>
          <w:sz w:val="24"/>
          <w:szCs w:val="24"/>
          <w:lang w:val="es-ES" w:eastAsia="es-ES"/>
        </w:rPr>
        <w:lastRenderedPageBreak/>
        <w:t xml:space="preserve">compensaciones, prestaciones, aguinaldos, bonos, pagos por concepto de gasolina, de servicio de telefonía celular, </w:t>
      </w:r>
      <w:r w:rsidRPr="00347D2A">
        <w:rPr>
          <w:rFonts w:ascii="Palatino Linotype" w:eastAsia="Arial Unicode MS" w:hAnsi="Palatino Linotype" w:cs="Times New Roman"/>
          <w:b/>
          <w:sz w:val="24"/>
          <w:szCs w:val="24"/>
          <w:lang w:val="es-ES" w:eastAsia="es-ES"/>
        </w:rPr>
        <w:t>el nombre del servidor público</w:t>
      </w:r>
      <w:r w:rsidRPr="00347D2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7B2103" w:rsidRPr="00347D2A" w:rsidRDefault="007B2103" w:rsidP="007B2103">
      <w:pPr>
        <w:spacing w:after="0" w:line="360" w:lineRule="auto"/>
        <w:jc w:val="both"/>
        <w:rPr>
          <w:rFonts w:ascii="Palatino Linotype" w:eastAsia="Arial Unicode MS"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MX"/>
        </w:rPr>
      </w:pPr>
      <w:r w:rsidRPr="00347D2A">
        <w:rPr>
          <w:rFonts w:ascii="Palatino Linotype" w:eastAsia="Times New Roman" w:hAnsi="Palatino Linotype" w:cs="Times New Roman"/>
          <w:i/>
          <w:lang w:eastAsia="es-MX"/>
        </w:rPr>
        <w:t>"</w:t>
      </w:r>
      <w:r w:rsidRPr="00347D2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47D2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347D2A">
        <w:rPr>
          <w:rFonts w:ascii="Palatino Linotype" w:eastAsia="Times New Roman" w:hAnsi="Palatino Linotype" w:cs="Times New Roman"/>
          <w:sz w:val="24"/>
          <w:szCs w:val="24"/>
          <w:lang w:val="es-ES" w:eastAsia="es-ES"/>
        </w:rPr>
        <w:t>resulta necesario que el Comité de Transparencia d</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val="es-ES" w:eastAsia="es-ES"/>
        </w:rPr>
        <w:t>emita el Acuerdo de Clasificación correspondiente</w:t>
      </w:r>
      <w:r w:rsidRPr="00347D2A">
        <w:rPr>
          <w:rFonts w:ascii="Palatino Linotype" w:eastAsia="Times New Roman" w:hAnsi="Palatino Linotype" w:cs="Times New Roman"/>
          <w:sz w:val="24"/>
          <w:szCs w:val="24"/>
          <w:lang w:val="es-ES_tradnl" w:eastAsia="es-ES"/>
        </w:rPr>
        <w:t xml:space="preserve"> debidamente fundado y motivado, </w:t>
      </w:r>
      <w:r w:rsidRPr="00347D2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47D2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347D2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347D2A">
        <w:rPr>
          <w:rFonts w:ascii="Palatino Linotype" w:eastAsia="Times New Roman" w:hAnsi="Palatino Linotype" w:cs="Times New Roman"/>
          <w:b/>
          <w:sz w:val="24"/>
          <w:szCs w:val="24"/>
          <w:lang w:val="es-ES" w:eastAsia="es-ES"/>
        </w:rPr>
        <w:t>Registro Federal de Contribuyentes</w:t>
      </w:r>
      <w:r w:rsidRPr="00347D2A">
        <w:rPr>
          <w:rFonts w:ascii="Palatino Linotype" w:eastAsia="Times New Roman" w:hAnsi="Palatino Linotype" w:cs="Times New Roman"/>
          <w:sz w:val="24"/>
          <w:szCs w:val="24"/>
          <w:lang w:val="es-ES" w:eastAsia="es-ES"/>
        </w:rPr>
        <w:t xml:space="preserve"> (RFC), la </w:t>
      </w:r>
      <w:r w:rsidRPr="00347D2A">
        <w:rPr>
          <w:rFonts w:ascii="Palatino Linotype" w:eastAsia="Times New Roman" w:hAnsi="Palatino Linotype" w:cs="Times New Roman"/>
          <w:b/>
          <w:sz w:val="24"/>
          <w:szCs w:val="24"/>
          <w:lang w:val="es-ES" w:eastAsia="es-ES"/>
        </w:rPr>
        <w:t>Clave Única de Registro de Población</w:t>
      </w:r>
      <w:r w:rsidRPr="00347D2A">
        <w:rPr>
          <w:rFonts w:ascii="Palatino Linotype" w:eastAsia="Times New Roman" w:hAnsi="Palatino Linotype" w:cs="Times New Roman"/>
          <w:sz w:val="24"/>
          <w:szCs w:val="24"/>
          <w:lang w:val="es-ES" w:eastAsia="es-ES"/>
        </w:rPr>
        <w:t xml:space="preserve"> (CURP),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así como, los </w:t>
      </w:r>
      <w:r w:rsidRPr="00347D2A">
        <w:rPr>
          <w:rFonts w:ascii="Palatino Linotype" w:eastAsia="Times New Roman" w:hAnsi="Palatino Linotype" w:cs="Times New Roman"/>
          <w:b/>
          <w:sz w:val="24"/>
          <w:szCs w:val="24"/>
          <w:lang w:val="es-ES" w:eastAsia="es-ES"/>
        </w:rPr>
        <w:t xml:space="preserve">préstamos o descuentos </w:t>
      </w:r>
      <w:r w:rsidRPr="00347D2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47D2A">
        <w:rPr>
          <w:rFonts w:ascii="Palatino Linotype" w:eastAsia="Times New Roman" w:hAnsi="Palatino Linotype" w:cs="Times New Roman"/>
          <w:b/>
          <w:sz w:val="24"/>
          <w:szCs w:val="24"/>
          <w:lang w:val="es-ES" w:eastAsia="es-ES"/>
        </w:rPr>
        <w:t>cuotas</w:t>
      </w:r>
      <w:r w:rsidRPr="00347D2A">
        <w:rPr>
          <w:rFonts w:ascii="Palatino Linotype" w:eastAsia="Times New Roman" w:hAnsi="Palatino Linotype" w:cs="Times New Roman"/>
          <w:sz w:val="24"/>
          <w:szCs w:val="24"/>
          <w:lang w:val="es-ES" w:eastAsia="es-ES"/>
        </w:rPr>
        <w:t xml:space="preserve"> por </w:t>
      </w:r>
      <w:r w:rsidRPr="00347D2A">
        <w:rPr>
          <w:rFonts w:ascii="Palatino Linotype" w:eastAsia="Times New Roman" w:hAnsi="Palatino Linotype" w:cs="Times New Roman"/>
          <w:b/>
          <w:sz w:val="24"/>
          <w:szCs w:val="24"/>
          <w:lang w:val="es-ES" w:eastAsia="es-ES"/>
        </w:rPr>
        <w:t xml:space="preserve">seguridad social, Cadenas Originales, Códigos Bidimensionales </w:t>
      </w:r>
      <w:r w:rsidRPr="00347D2A">
        <w:rPr>
          <w:rFonts w:ascii="Palatino Linotype" w:eastAsia="Times New Roman" w:hAnsi="Palatino Linotype" w:cs="Times New Roman"/>
          <w:sz w:val="24"/>
          <w:szCs w:val="24"/>
          <w:lang w:val="es-ES" w:eastAsia="es-ES"/>
        </w:rPr>
        <w:t>y los denominados</w:t>
      </w:r>
      <w:r w:rsidRPr="00347D2A">
        <w:rPr>
          <w:rFonts w:ascii="Palatino Linotype" w:eastAsia="Times New Roman" w:hAnsi="Palatino Linotype" w:cs="Times New Roman"/>
          <w:b/>
          <w:sz w:val="24"/>
          <w:szCs w:val="24"/>
          <w:lang w:val="es-ES" w:eastAsia="es-ES"/>
        </w:rPr>
        <w:t xml:space="preserve"> Códigos QR.</w:t>
      </w:r>
    </w:p>
    <w:p w:rsidR="007B2103" w:rsidRPr="00347D2A" w:rsidRDefault="007B2103" w:rsidP="007B2103">
      <w:pPr>
        <w:spacing w:after="0" w:line="360" w:lineRule="auto"/>
        <w:jc w:val="both"/>
        <w:rPr>
          <w:rFonts w:ascii="Palatino Linotype" w:eastAsia="Times New Roman" w:hAnsi="Palatino Linotype" w:cs="Times New Roman"/>
          <w:sz w:val="24"/>
          <w:szCs w:val="24"/>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lastRenderedPageBreak/>
        <w:t xml:space="preserve">Por cuanto hace al </w:t>
      </w:r>
      <w:r w:rsidRPr="00347D2A">
        <w:rPr>
          <w:rFonts w:ascii="Palatino Linotype" w:eastAsia="Times New Roman" w:hAnsi="Palatino Linotype" w:cs="Times New Roman"/>
          <w:b/>
          <w:sz w:val="24"/>
          <w:szCs w:val="24"/>
          <w:lang w:val="es-ES" w:eastAsia="es-MX"/>
        </w:rPr>
        <w:t>Registro Federal de Contribuyentes</w:t>
      </w:r>
      <w:r w:rsidRPr="00347D2A">
        <w:rPr>
          <w:rFonts w:ascii="Palatino Linotype" w:eastAsia="Times New Roman" w:hAnsi="Palatino Linotype" w:cs="Times New Roman"/>
          <w:sz w:val="24"/>
          <w:szCs w:val="24"/>
          <w:lang w:val="es-ES" w:eastAsia="es-MX"/>
        </w:rPr>
        <w:t xml:space="preserve"> </w:t>
      </w:r>
      <w:r w:rsidRPr="00347D2A">
        <w:rPr>
          <w:rFonts w:ascii="Palatino Linotype" w:eastAsia="Times New Roman" w:hAnsi="Palatino Linotype" w:cs="Times New Roman"/>
          <w:b/>
          <w:sz w:val="24"/>
          <w:szCs w:val="24"/>
          <w:lang w:val="es-ES" w:eastAsia="es-MX"/>
        </w:rPr>
        <w:t>de las personas físicas</w:t>
      </w:r>
      <w:r w:rsidRPr="00347D2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347D2A">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7B2103" w:rsidRPr="00347D2A" w:rsidRDefault="007B2103" w:rsidP="007B2103">
      <w:pPr>
        <w:spacing w:after="0" w:line="360" w:lineRule="auto"/>
        <w:jc w:val="both"/>
        <w:rPr>
          <w:rFonts w:ascii="Palatino Linotype" w:eastAsia="Times New Roman" w:hAnsi="Palatino Linotype" w:cs="Times New Roman"/>
          <w:b/>
          <w:bCs/>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ES"/>
        </w:rPr>
      </w:pPr>
      <w:r w:rsidRPr="00347D2A">
        <w:rPr>
          <w:rFonts w:ascii="Palatino Linotype" w:eastAsia="Times New Roman" w:hAnsi="Palatino Linotype" w:cs="Times New Roman"/>
          <w:i/>
          <w:lang w:val="es-ES" w:eastAsia="es-ES"/>
        </w:rPr>
        <w:t>“</w:t>
      </w:r>
      <w:r w:rsidRPr="00347D2A">
        <w:rPr>
          <w:rFonts w:ascii="Palatino Linotype" w:eastAsia="Times New Roman" w:hAnsi="Palatino Linotype" w:cs="Times New Roman"/>
          <w:b/>
          <w:i/>
          <w:lang w:val="es-ES" w:eastAsia="es-ES"/>
        </w:rPr>
        <w:t>Registro Federal de Contribuyentes (RFC) de personas físicas</w:t>
      </w:r>
      <w:r w:rsidRPr="00347D2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lastRenderedPageBreak/>
        <w:t xml:space="preserve">Por cuanto hace a la </w:t>
      </w:r>
      <w:r w:rsidRPr="00347D2A">
        <w:rPr>
          <w:rFonts w:ascii="Palatino Linotype" w:eastAsia="Times New Roman" w:hAnsi="Palatino Linotype" w:cs="Times New Roman"/>
          <w:b/>
          <w:sz w:val="24"/>
          <w:szCs w:val="24"/>
          <w:lang w:val="es-ES" w:eastAsia="es-ES"/>
        </w:rPr>
        <w:t xml:space="preserve">Clave Única de Registro de Población, </w:t>
      </w:r>
      <w:r w:rsidRPr="00347D2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86. </w:t>
      </w:r>
      <w:r w:rsidRPr="00347D2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p>
    <w:p w:rsidR="007B2103" w:rsidRPr="00347D2A" w:rsidRDefault="007B2103" w:rsidP="007B2103">
      <w:pPr>
        <w:spacing w:after="0" w:line="240" w:lineRule="auto"/>
        <w:ind w:left="709" w:right="757"/>
        <w:jc w:val="both"/>
        <w:rPr>
          <w:rFonts w:ascii="Palatino Linotype" w:eastAsia="Times New Roman" w:hAnsi="Palatino Linotype" w:cs="Arial"/>
          <w:i/>
          <w:szCs w:val="24"/>
          <w:lang w:val="es-ES" w:eastAsia="es-MX"/>
        </w:rPr>
      </w:pPr>
      <w:r w:rsidRPr="00347D2A">
        <w:rPr>
          <w:rFonts w:ascii="Palatino Linotype" w:eastAsia="Times New Roman" w:hAnsi="Palatino Linotype" w:cs="Arial,Bold"/>
          <w:b/>
          <w:bCs/>
          <w:i/>
          <w:szCs w:val="24"/>
          <w:lang w:val="es-ES" w:eastAsia="es-MX"/>
        </w:rPr>
        <w:t xml:space="preserve">Artículo 91. </w:t>
      </w:r>
      <w:r w:rsidRPr="00347D2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rsidR="007B2103" w:rsidRPr="00347D2A" w:rsidRDefault="007B2103" w:rsidP="007B2103">
      <w:pPr>
        <w:spacing w:after="0" w:line="360" w:lineRule="auto"/>
        <w:jc w:val="both"/>
        <w:rPr>
          <w:rFonts w:ascii="Palatino Linotype" w:eastAsia="Times New Roman" w:hAnsi="Palatino Linotype" w:cs="Arial"/>
          <w:sz w:val="24"/>
          <w:szCs w:val="24"/>
          <w:lang w:val="es-ES" w:eastAsia="es-MX"/>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val="es-ES" w:eastAsia="es-MX"/>
        </w:rPr>
      </w:pPr>
      <w:r w:rsidRPr="00347D2A">
        <w:rPr>
          <w:rFonts w:ascii="Palatino Linotype" w:eastAsia="Times New Roman" w:hAnsi="Palatino Linotype" w:cs="Times New Roman"/>
          <w:b/>
          <w:i/>
          <w:lang w:val="es-ES" w:eastAsia="es-MX"/>
        </w:rPr>
        <w:t>Clave Única de Registro de Población (CURP)</w:t>
      </w:r>
      <w:r w:rsidRPr="00347D2A">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B2103" w:rsidRPr="00347D2A" w:rsidRDefault="007B2103" w:rsidP="007B2103">
      <w:pPr>
        <w:spacing w:after="0" w:line="240" w:lineRule="auto"/>
        <w:ind w:left="567" w:right="616"/>
        <w:jc w:val="both"/>
        <w:rPr>
          <w:rFonts w:ascii="Palatino Linotype" w:eastAsia="Times New Roman" w:hAnsi="Palatino Linotype" w:cs="Arial"/>
          <w:bCs/>
          <w:i/>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MX"/>
        </w:rPr>
        <w:t xml:space="preserve">Por cuanto hace a la </w:t>
      </w:r>
      <w:r w:rsidRPr="00347D2A">
        <w:rPr>
          <w:rFonts w:ascii="Palatino Linotype" w:eastAsia="Times New Roman" w:hAnsi="Palatino Linotype" w:cs="Times New Roman"/>
          <w:b/>
          <w:sz w:val="24"/>
          <w:szCs w:val="24"/>
          <w:lang w:val="es-ES" w:eastAsia="es-ES"/>
        </w:rPr>
        <w:t>Clave de cualquier tipo de seguridad social</w:t>
      </w:r>
      <w:r w:rsidRPr="00347D2A">
        <w:rPr>
          <w:rFonts w:ascii="Palatino Linotype" w:eastAsia="Times New Roman" w:hAnsi="Palatino Linotype" w:cs="Times New Roman"/>
          <w:sz w:val="24"/>
          <w:szCs w:val="24"/>
          <w:lang w:val="es-ES" w:eastAsia="es-ES"/>
        </w:rPr>
        <w:t xml:space="preserve"> (ISSEMYM, u otros), está integrado por una </w:t>
      </w:r>
      <w:r w:rsidRPr="00347D2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47D2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w:t>
      </w:r>
      <w:r w:rsidRPr="00347D2A">
        <w:rPr>
          <w:rFonts w:ascii="Palatino Linotype" w:eastAsia="Times New Roman" w:hAnsi="Palatino Linotype" w:cs="Times New Roman"/>
          <w:sz w:val="24"/>
          <w:szCs w:val="24"/>
          <w:lang w:val="es-ES" w:eastAsia="es-MX"/>
        </w:rPr>
        <w:lastRenderedPageBreak/>
        <w:t xml:space="preserve">identificable en términos de los artículos 2 fracción II de la Ley de Transparencia y Acceso a la Información Pública del Estado de México y Municipios y  </w:t>
      </w:r>
      <w:r w:rsidRPr="00347D2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347D2A">
        <w:rPr>
          <w:rFonts w:ascii="Palatino Linotype" w:eastAsia="Times New Roman" w:hAnsi="Palatino Linotype" w:cs="Times New Roman"/>
          <w:sz w:val="24"/>
          <w:szCs w:val="24"/>
          <w:lang w:val="es-ES" w:eastAsia="es-MX"/>
        </w:rPr>
        <w:t>.</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MX"/>
        </w:rPr>
      </w:pPr>
      <w:r w:rsidRPr="00347D2A">
        <w:rPr>
          <w:rFonts w:ascii="Palatino Linotype" w:eastAsia="Times New Roman" w:hAnsi="Palatino Linotype" w:cs="Times New Roman"/>
          <w:sz w:val="24"/>
          <w:szCs w:val="24"/>
          <w:lang w:val="es-ES" w:eastAsia="es-ES"/>
        </w:rPr>
        <w:t xml:space="preserve">Respecto de los </w:t>
      </w:r>
      <w:r w:rsidRPr="00347D2A">
        <w:rPr>
          <w:rFonts w:ascii="Palatino Linotype" w:eastAsia="Times New Roman" w:hAnsi="Palatino Linotype" w:cs="Times New Roman"/>
          <w:b/>
          <w:sz w:val="24"/>
          <w:szCs w:val="24"/>
          <w:lang w:val="es-ES" w:eastAsia="es-ES"/>
        </w:rPr>
        <w:t>préstamos o descuentos</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b/>
          <w:sz w:val="24"/>
          <w:szCs w:val="24"/>
          <w:lang w:val="es-ES" w:eastAsia="es-ES"/>
        </w:rPr>
        <w:t>de carácter personal</w:t>
      </w:r>
      <w:r w:rsidRPr="00347D2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347D2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protección de información confidencial, porque incide en la intimidad de un individuo</w:t>
      </w:r>
      <w:r w:rsidRPr="00347D2A">
        <w:rPr>
          <w:rFonts w:ascii="Palatino Linotype" w:eastAsia="Times New Roman" w:hAnsi="Palatino Linotype" w:cs="Times New Roman"/>
          <w:sz w:val="24"/>
          <w:szCs w:val="24"/>
          <w:lang w:val="es-ES" w:eastAsia="es-ES"/>
        </w:rPr>
        <w:t xml:space="preserve"> </w:t>
      </w:r>
      <w:r w:rsidRPr="00347D2A">
        <w:rPr>
          <w:rFonts w:ascii="Palatino Linotype" w:eastAsia="Times New Roman" w:hAnsi="Palatino Linotype" w:cs="Times New Roman"/>
          <w:sz w:val="24"/>
          <w:szCs w:val="24"/>
          <w:lang w:val="es-ES" w:eastAsia="es-MX"/>
        </w:rPr>
        <w:t>identificado.</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MX"/>
        </w:rPr>
        <w:t xml:space="preserve">Por su parte, el </w:t>
      </w:r>
      <w:r w:rsidRPr="00347D2A">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b/>
          <w:i/>
          <w:noProof/>
          <w:sz w:val="24"/>
          <w:szCs w:val="24"/>
          <w:lang w:val="es-ES" w:eastAsia="es-ES"/>
        </w:rPr>
        <w:t>ARTICULO 84.</w:t>
      </w:r>
      <w:r w:rsidRPr="00347D2A">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 Gravámenes fiscales relacionados con el sueldo;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III. Cuotas sindicales;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lastRenderedPageBreak/>
        <w:t>V. Descuentos ordenados por el Instituto de Seguridad Social del Estado de México y Municipios, con motivo de cuotas y obligaciones contraídas con éste por los servidores públicos;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 Faltas de puntualidad o de asistencia injustificadas;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VIII. Pensiones alimenticias ordenadas por la autoridad judicial; 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r w:rsidRPr="00347D2A">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sz w:val="24"/>
          <w:szCs w:val="24"/>
          <w:lang w:val="es-ES"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sz w:val="24"/>
          <w:szCs w:val="24"/>
          <w:lang w:val="es-ES" w:eastAsia="es-ES"/>
        </w:rPr>
      </w:pPr>
      <w:r w:rsidRPr="00347D2A">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Arial Unicode MS" w:hAnsi="Palatino Linotype" w:cs="Times New Roman"/>
          <w:sz w:val="24"/>
          <w:szCs w:val="24"/>
          <w:lang w:eastAsia="es-ES"/>
        </w:rPr>
        <w:t xml:space="preserve">En ese sentido, </w:t>
      </w:r>
      <w:r w:rsidRPr="00347D2A">
        <w:rPr>
          <w:rFonts w:ascii="Palatino Linotype" w:eastAsia="Times New Roman" w:hAnsi="Palatino Linotype" w:cs="Times New Roman"/>
          <w:sz w:val="24"/>
          <w:szCs w:val="24"/>
          <w:lang w:eastAsia="es-ES"/>
        </w:rPr>
        <w:t xml:space="preserve">las </w:t>
      </w:r>
      <w:r w:rsidRPr="00347D2A">
        <w:rPr>
          <w:rFonts w:ascii="Palatino Linotype" w:eastAsia="Times New Roman" w:hAnsi="Palatino Linotype" w:cs="Times New Roman"/>
          <w:b/>
          <w:sz w:val="24"/>
          <w:szCs w:val="24"/>
          <w:lang w:eastAsia="es-ES"/>
        </w:rPr>
        <w:t>Cadenas Originales</w:t>
      </w:r>
      <w:r w:rsidRPr="00347D2A">
        <w:rPr>
          <w:rFonts w:ascii="Palatino Linotype" w:eastAsia="Times New Roman" w:hAnsi="Palatino Linotype" w:cs="Times New Roman"/>
          <w:sz w:val="24"/>
          <w:szCs w:val="24"/>
          <w:lang w:eastAsia="es-ES"/>
        </w:rPr>
        <w:t xml:space="preserve"> forman parte del </w:t>
      </w:r>
      <w:r w:rsidRPr="00347D2A">
        <w:rPr>
          <w:rFonts w:ascii="Palatino Linotype" w:eastAsia="Times New Roman" w:hAnsi="Palatino Linotype" w:cs="Times New Roman"/>
          <w:sz w:val="24"/>
          <w:szCs w:val="24"/>
          <w:lang w:val="es-ES_tradnl" w:eastAsia="es-ES"/>
        </w:rPr>
        <w:t xml:space="preserve">certificado de sello digital, los cuales </w:t>
      </w:r>
      <w:r w:rsidRPr="00347D2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w:t>
      </w:r>
      <w:r w:rsidRPr="00347D2A">
        <w:rPr>
          <w:rFonts w:ascii="Palatino Linotype" w:eastAsia="Times New Roman" w:hAnsi="Palatino Linotype" w:cs="Times New Roman"/>
          <w:sz w:val="24"/>
          <w:szCs w:val="24"/>
          <w:lang w:eastAsia="es-ES"/>
        </w:rPr>
        <w:lastRenderedPageBreak/>
        <w:t xml:space="preserve">federal garantizar una </w:t>
      </w:r>
      <w:r w:rsidRPr="00347D2A">
        <w:rPr>
          <w:rFonts w:ascii="Palatino Linotype" w:eastAsia="Times New Roman" w:hAnsi="Palatino Linotype" w:cs="Times New Roman"/>
          <w:b/>
          <w:sz w:val="24"/>
          <w:szCs w:val="24"/>
          <w:lang w:eastAsia="es-ES"/>
        </w:rPr>
        <w:t xml:space="preserve">vinculación </w:t>
      </w:r>
      <w:r w:rsidRPr="00347D2A">
        <w:rPr>
          <w:rFonts w:ascii="Palatino Linotype" w:eastAsia="Times New Roman" w:hAnsi="Palatino Linotype" w:cs="Times New Roman"/>
          <w:sz w:val="24"/>
          <w:szCs w:val="24"/>
          <w:lang w:eastAsia="es-ES"/>
        </w:rPr>
        <w:t xml:space="preserve">entre la </w:t>
      </w:r>
      <w:r w:rsidRPr="00347D2A">
        <w:rPr>
          <w:rFonts w:ascii="Palatino Linotype" w:eastAsia="Times New Roman" w:hAnsi="Palatino Linotype" w:cs="Times New Roman"/>
          <w:b/>
          <w:sz w:val="24"/>
          <w:szCs w:val="24"/>
          <w:lang w:eastAsia="es-ES"/>
        </w:rPr>
        <w:t>identidad de un sujeto o entidad</w:t>
      </w:r>
      <w:r w:rsidRPr="00347D2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347D2A">
        <w:rPr>
          <w:rFonts w:ascii="Palatino Linotype" w:eastAsia="Times New Roman" w:hAnsi="Palatino Linotype" w:cs="Times New Roman"/>
          <w:b/>
          <w:sz w:val="24"/>
          <w:szCs w:val="24"/>
          <w:lang w:eastAsia="es-ES"/>
        </w:rPr>
        <w:t>para acreditar la autoría de los comprobantes fiscales digitales</w:t>
      </w:r>
      <w:r w:rsidRPr="00347D2A">
        <w:rPr>
          <w:rFonts w:ascii="Palatino Linotype" w:eastAsia="Times New Roman" w:hAnsi="Palatino Linotype" w:cs="Times New Roman"/>
          <w:sz w:val="24"/>
          <w:szCs w:val="24"/>
          <w:lang w:eastAsia="es-ES"/>
        </w:rPr>
        <w:t>. En ese tenor se transcriben los artículos señalados con antelación para mejor ilustración: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“Artículo 17-G.- Los certificados que emita el Servicio de Administración Tributaria para ser considerados válidos deberán contener los datos siguientes: </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numPr>
          <w:ilvl w:val="0"/>
          <w:numId w:val="14"/>
        </w:numPr>
        <w:spacing w:after="0" w:line="240" w:lineRule="auto"/>
        <w:ind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7B2103" w:rsidRPr="00347D2A" w:rsidRDefault="007B2103" w:rsidP="007B2103">
      <w:pPr>
        <w:spacing w:after="0" w:line="240" w:lineRule="auto"/>
        <w:ind w:left="1422"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Los contribuyentes a que se refiere el párrafo anterior deberán cumplir con las obligaciones siguientes: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 </w:t>
      </w:r>
      <w:r w:rsidRPr="00347D2A">
        <w:rPr>
          <w:rFonts w:ascii="Palatino Linotype" w:eastAsia="Times New Roman" w:hAnsi="Palatino Linotype" w:cs="Times New Roman"/>
          <w:i/>
          <w:noProof/>
          <w:lang w:eastAsia="es-ES"/>
        </w:rPr>
        <w:tab/>
        <w:t>…</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r w:rsidRPr="00347D2A">
        <w:rPr>
          <w:rFonts w:ascii="Palatino Linotype" w:eastAsia="Times New Roman" w:hAnsi="Palatino Linotype" w:cs="Times New Roman"/>
          <w:i/>
          <w:noProof/>
          <w:lang w:eastAsia="es-ES"/>
        </w:rPr>
        <w:t xml:space="preserve">II. </w:t>
      </w:r>
      <w:r w:rsidRPr="00347D2A">
        <w:rPr>
          <w:rFonts w:ascii="Palatino Linotype" w:eastAsia="Times New Roman" w:hAnsi="Palatino Linotype" w:cs="Times New Roman"/>
          <w:i/>
          <w:noProof/>
          <w:lang w:eastAsia="es-ES"/>
        </w:rPr>
        <w:tab/>
        <w:t>Tramitar ante el Servicio de Administración Tributaria el certificado para el uso de los sellos digitales.</w:t>
      </w:r>
    </w:p>
    <w:p w:rsidR="007B2103" w:rsidRPr="00347D2A" w:rsidRDefault="007B2103" w:rsidP="007B2103">
      <w:pPr>
        <w:spacing w:after="0" w:line="240" w:lineRule="auto"/>
        <w:ind w:left="567" w:right="616"/>
        <w:jc w:val="both"/>
        <w:rPr>
          <w:rFonts w:ascii="Palatino Linotype" w:eastAsia="Times New Roman" w:hAnsi="Palatino Linotype" w:cs="Times New Roman"/>
          <w:i/>
          <w:noProof/>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noProof/>
          <w:sz w:val="24"/>
          <w:szCs w:val="24"/>
          <w:lang w:eastAsia="es-ES"/>
        </w:rPr>
      </w:pPr>
      <w:r w:rsidRPr="00347D2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Por lo que hace a los </w:t>
      </w:r>
      <w:r w:rsidRPr="00347D2A">
        <w:rPr>
          <w:rFonts w:ascii="Palatino Linotype" w:eastAsia="Times New Roman" w:hAnsi="Palatino Linotype" w:cs="Times New Roman"/>
          <w:b/>
          <w:sz w:val="24"/>
          <w:szCs w:val="24"/>
          <w:lang w:eastAsia="es-ES"/>
        </w:rPr>
        <w:t>Códigos Bidimensionales</w:t>
      </w:r>
      <w:r w:rsidRPr="00347D2A">
        <w:rPr>
          <w:rFonts w:ascii="Palatino Linotype" w:eastAsia="Times New Roman" w:hAnsi="Palatino Linotype" w:cs="Times New Roman"/>
          <w:sz w:val="24"/>
          <w:szCs w:val="24"/>
          <w:lang w:eastAsia="es-ES"/>
        </w:rPr>
        <w:t xml:space="preserve"> y los denominados </w:t>
      </w:r>
      <w:r w:rsidRPr="00347D2A">
        <w:rPr>
          <w:rFonts w:ascii="Palatino Linotype" w:eastAsia="Times New Roman" w:hAnsi="Palatino Linotype" w:cs="Times New Roman"/>
          <w:b/>
          <w:sz w:val="24"/>
          <w:szCs w:val="24"/>
          <w:lang w:eastAsia="es-ES"/>
        </w:rPr>
        <w:t>Códigos QR</w:t>
      </w:r>
      <w:r w:rsidRPr="00347D2A">
        <w:rPr>
          <w:rFonts w:ascii="Palatino Linotype" w:eastAsia="Times New Roman" w:hAnsi="Palatino Linotype" w:cs="Times New Roman"/>
          <w:sz w:val="24"/>
          <w:szCs w:val="24"/>
          <w:lang w:eastAsia="es-ES"/>
        </w:rPr>
        <w:t xml:space="preserve">, se trata </w:t>
      </w:r>
      <w:r w:rsidRPr="00347D2A">
        <w:rPr>
          <w:rFonts w:ascii="Palatino Linotype" w:eastAsia="Times New Roman" w:hAnsi="Palatino Linotype" w:cs="Times New Roman"/>
          <w:sz w:val="24"/>
          <w:szCs w:val="24"/>
          <w:lang w:val="es-ES_tradnl" w:eastAsia="es-ES"/>
        </w:rPr>
        <w:t>de</w:t>
      </w:r>
      <w:r w:rsidRPr="00347D2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347D2A">
        <w:rPr>
          <w:rFonts w:ascii="Palatino Linotype" w:eastAsia="Times New Roman" w:hAnsi="Palatino Linotype" w:cs="Times New Roman"/>
          <w:sz w:val="24"/>
          <w:szCs w:val="24"/>
          <w:lang w:eastAsia="es-MX"/>
        </w:rPr>
        <w:t>datos</w:t>
      </w:r>
      <w:r w:rsidRPr="00347D2A">
        <w:rPr>
          <w:rFonts w:ascii="Palatino Linotype" w:eastAsia="Times New Roman" w:hAnsi="Palatino Linotype" w:cs="Times New Roman"/>
          <w:sz w:val="24"/>
          <w:szCs w:val="24"/>
          <w:lang w:eastAsia="es-ES"/>
        </w:rPr>
        <w:t xml:space="preserve"> personales como lo son el </w:t>
      </w:r>
      <w:r w:rsidRPr="00347D2A">
        <w:rPr>
          <w:rFonts w:ascii="Palatino Linotype" w:eastAsia="Times New Roman" w:hAnsi="Palatino Linotype" w:cs="Times New Roman"/>
          <w:b/>
          <w:sz w:val="24"/>
          <w:szCs w:val="24"/>
          <w:lang w:eastAsia="es-ES"/>
        </w:rPr>
        <w:t>Registro Federal de Contribuyentes</w:t>
      </w:r>
      <w:r w:rsidRPr="00347D2A">
        <w:rPr>
          <w:rFonts w:ascii="Palatino Linotype" w:eastAsia="Times New Roman" w:hAnsi="Palatino Linotype" w:cs="Times New Roman"/>
          <w:sz w:val="24"/>
          <w:szCs w:val="24"/>
          <w:lang w:eastAsia="es-ES"/>
        </w:rPr>
        <w:t xml:space="preserve"> (RFC) y la </w:t>
      </w:r>
      <w:r w:rsidRPr="00347D2A">
        <w:rPr>
          <w:rFonts w:ascii="Palatino Linotype" w:eastAsia="Times New Roman" w:hAnsi="Palatino Linotype" w:cs="Times New Roman"/>
          <w:b/>
          <w:sz w:val="24"/>
          <w:szCs w:val="24"/>
          <w:lang w:eastAsia="es-ES"/>
        </w:rPr>
        <w:t>Clave Única de Registro de Población</w:t>
      </w:r>
      <w:r w:rsidRPr="00347D2A">
        <w:rPr>
          <w:rFonts w:ascii="Palatino Linotype" w:eastAsia="Times New Roman" w:hAnsi="Palatino Linotype" w:cs="Times New Roman"/>
          <w:sz w:val="24"/>
          <w:szCs w:val="24"/>
          <w:lang w:eastAsia="es-ES"/>
        </w:rPr>
        <w:t xml:space="preserve"> (CURP), por lo cual, deberán ser protegidos.</w:t>
      </w: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r w:rsidRPr="00347D2A">
        <w:rPr>
          <w:rFonts w:ascii="Palatino Linotype" w:eastAsia="Times New Roman" w:hAnsi="Palatino Linotype" w:cs="Times New Roman"/>
          <w:sz w:val="24"/>
          <w:szCs w:val="24"/>
          <w:lang w:val="es-ES_tradnl" w:eastAsia="es-ES"/>
        </w:rPr>
        <w:t xml:space="preserve">Por ende, en el presente caso el Sujeto Obligado debe </w:t>
      </w:r>
      <w:r w:rsidRPr="00347D2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MX"/>
        </w:rPr>
      </w:pP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r w:rsidRPr="00347D2A">
        <w:rPr>
          <w:rFonts w:ascii="Palatino Linotype" w:eastAsia="Calibri" w:hAnsi="Palatino Linotype" w:cs="Times New Roman"/>
          <w:sz w:val="24"/>
          <w:szCs w:val="24"/>
          <w:lang w:eastAsia="es-ES"/>
        </w:rPr>
        <w:t xml:space="preserve">Así, es que </w:t>
      </w:r>
      <w:r w:rsidRPr="00347D2A">
        <w:rPr>
          <w:rFonts w:ascii="Palatino Linotype" w:eastAsia="Times New Roman" w:hAnsi="Palatino Linotype" w:cs="Times New Roman"/>
          <w:sz w:val="24"/>
          <w:szCs w:val="24"/>
          <w:lang w:val="es-ES_tradnl" w:eastAsia="es-ES"/>
        </w:rPr>
        <w:t xml:space="preserve">el Sujeto Obligado </w:t>
      </w:r>
      <w:r w:rsidRPr="00347D2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7B2103" w:rsidRPr="00347D2A" w:rsidRDefault="007B2103" w:rsidP="007B2103">
      <w:pPr>
        <w:spacing w:after="0" w:line="360" w:lineRule="auto"/>
        <w:jc w:val="both"/>
        <w:rPr>
          <w:rFonts w:ascii="Palatino Linotype" w:eastAsia="Calibri"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 xml:space="preserve">“Artículo 49. </w:t>
      </w:r>
      <w:r w:rsidRPr="00347D2A">
        <w:rPr>
          <w:rFonts w:ascii="Times New Roman" w:eastAsia="Times New Roman" w:hAnsi="Times New Roman" w:cs="Times New Roman"/>
          <w:i/>
          <w:lang w:eastAsia="es-MX"/>
        </w:rPr>
        <w:t>Los Comités de Transparencia tendrán las siguientes atribuciones: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VIII.</w:t>
      </w:r>
      <w:r w:rsidRPr="00347D2A">
        <w:rPr>
          <w:rFonts w:ascii="Times New Roman" w:eastAsia="Times New Roman" w:hAnsi="Times New Roman" w:cs="Times New Roman"/>
          <w:i/>
          <w:lang w:eastAsia="es-MX"/>
        </w:rPr>
        <w:t xml:space="preserve"> Aprobar, modificar o revocar la clasificación de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Artículo 132.</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lastRenderedPageBreak/>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r w:rsidRPr="00347D2A">
        <w:rPr>
          <w:rFonts w:ascii="Times New Roman" w:eastAsia="Times New Roman" w:hAnsi="Times New Roman" w:cs="Times New Roman"/>
          <w:i/>
          <w:lang w:eastAsia="es-MX"/>
        </w:rPr>
        <w:t>III. Se generen versiones públicas para dar cumplimiento a las obligaciones de transparencia previstas en esta Ley.</w:t>
      </w:r>
      <w:r w:rsidRPr="00347D2A">
        <w:rPr>
          <w:rFonts w:ascii="Times New Roman" w:eastAsia="Times New Roman" w:hAnsi="Times New Roman" w:cs="Times New Roman"/>
          <w:b/>
          <w:i/>
          <w:lang w:eastAsia="es-MX"/>
        </w:rPr>
        <w:t>”</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“Segundo.-</w:t>
      </w:r>
      <w:r w:rsidRPr="00347D2A">
        <w:rPr>
          <w:rFonts w:ascii="Times New Roman" w:eastAsia="Times New Roman" w:hAnsi="Times New Roman" w:cs="Times New Roman"/>
          <w:i/>
          <w:lang w:eastAsia="es-MX"/>
        </w:rPr>
        <w:t xml:space="preserve"> Para efectos de los presentes Lineamientos Generales, se entenderá por:</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XVIII.</w:t>
      </w:r>
      <w:r w:rsidRPr="00347D2A">
        <w:rPr>
          <w:rFonts w:ascii="Times New Roman" w:eastAsia="Times New Roman" w:hAnsi="Times New Roman" w:cs="Times New Roman"/>
          <w:i/>
          <w:lang w:eastAsia="es-MX"/>
        </w:rPr>
        <w:t xml:space="preserve"> </w:t>
      </w:r>
      <w:r w:rsidRPr="00347D2A">
        <w:rPr>
          <w:rFonts w:ascii="Times New Roman" w:eastAsia="Times New Roman" w:hAnsi="Times New Roman" w:cs="Times New Roman"/>
          <w:b/>
          <w:i/>
          <w:lang w:eastAsia="es-MX"/>
        </w:rPr>
        <w:t>Versión pública:</w:t>
      </w:r>
      <w:r w:rsidRPr="00347D2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Cuarto.</w:t>
      </w:r>
      <w:r w:rsidRPr="00347D2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Quinto.</w:t>
      </w:r>
      <w:r w:rsidRPr="00347D2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Sexto.</w:t>
      </w:r>
      <w:r w:rsidRPr="00347D2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Séptimo.</w:t>
      </w:r>
      <w:r w:rsidRPr="00347D2A">
        <w:rPr>
          <w:rFonts w:ascii="Times New Roman" w:eastAsia="Times New Roman" w:hAnsi="Times New Roman" w:cs="Times New Roman"/>
          <w:i/>
          <w:lang w:eastAsia="es-MX"/>
        </w:rPr>
        <w:t xml:space="preserve"> La clasificación de la información se llevará a cabo en el momento en que:</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w:t>
      </w:r>
      <w:r w:rsidRPr="00347D2A">
        <w:rPr>
          <w:rFonts w:ascii="Times New Roman" w:eastAsia="Times New Roman" w:hAnsi="Times New Roman" w:cs="Times New Roman"/>
          <w:i/>
          <w:lang w:eastAsia="es-MX"/>
        </w:rPr>
        <w:t xml:space="preserve"> Se reciba una solicitud de acceso a la información;</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w:t>
      </w:r>
      <w:r w:rsidRPr="00347D2A">
        <w:rPr>
          <w:rFonts w:ascii="Times New Roman" w:eastAsia="Times New Roman" w:hAnsi="Times New Roman" w:cs="Times New Roman"/>
          <w:i/>
          <w:lang w:eastAsia="es-MX"/>
        </w:rPr>
        <w:t xml:space="preserve"> Se determine mediante resolución de autoridad competente, 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III.</w:t>
      </w:r>
      <w:r w:rsidRPr="00347D2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Octavo.</w:t>
      </w:r>
      <w:r w:rsidRPr="00347D2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Noveno.</w:t>
      </w:r>
      <w:r w:rsidRPr="00347D2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b/>
          <w:i/>
          <w:lang w:eastAsia="es-MX"/>
        </w:rPr>
        <w:t>Décimo.</w:t>
      </w:r>
      <w:r w:rsidRPr="00347D2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i/>
          <w:lang w:eastAsia="es-MX"/>
        </w:rPr>
      </w:pPr>
      <w:r w:rsidRPr="00347D2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7B2103" w:rsidRPr="00347D2A" w:rsidRDefault="007B2103" w:rsidP="007B2103">
      <w:pPr>
        <w:spacing w:after="0" w:line="240" w:lineRule="auto"/>
        <w:ind w:left="567" w:right="616"/>
        <w:jc w:val="both"/>
        <w:rPr>
          <w:rFonts w:ascii="Times New Roman" w:eastAsia="Times New Roman" w:hAnsi="Times New Roman" w:cs="Times New Roman"/>
          <w:b/>
          <w:i/>
          <w:lang w:eastAsia="es-MX"/>
        </w:rPr>
      </w:pPr>
    </w:p>
    <w:p w:rsidR="007B2103" w:rsidRPr="00347D2A" w:rsidRDefault="007B2103" w:rsidP="007B2103">
      <w:pPr>
        <w:spacing w:after="0" w:line="240" w:lineRule="auto"/>
        <w:ind w:left="567" w:right="616"/>
        <w:jc w:val="both"/>
        <w:rPr>
          <w:rFonts w:ascii="Times New Roman" w:eastAsia="Times New Roman" w:hAnsi="Times New Roman" w:cs="Times New Roman"/>
          <w:b/>
          <w:sz w:val="24"/>
          <w:szCs w:val="24"/>
          <w:lang w:eastAsia="es-MX"/>
        </w:rPr>
      </w:pPr>
      <w:r w:rsidRPr="00347D2A">
        <w:rPr>
          <w:rFonts w:ascii="Times New Roman" w:eastAsia="Times New Roman" w:hAnsi="Times New Roman" w:cs="Times New Roman"/>
          <w:b/>
          <w:i/>
          <w:lang w:eastAsia="es-MX"/>
        </w:rPr>
        <w:t>Décimo primero.</w:t>
      </w:r>
      <w:r w:rsidRPr="00347D2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47D2A">
        <w:rPr>
          <w:rFonts w:ascii="Times New Roman" w:eastAsia="Times New Roman" w:hAnsi="Times New Roman" w:cs="Times New Roman"/>
          <w:b/>
          <w:i/>
          <w:lang w:eastAsia="es-MX"/>
        </w:rPr>
        <w:t>”</w:t>
      </w:r>
    </w:p>
    <w:p w:rsidR="007B2103" w:rsidRPr="00347D2A" w:rsidRDefault="007B2103" w:rsidP="007B2103">
      <w:pPr>
        <w:spacing w:after="0" w:line="360" w:lineRule="auto"/>
        <w:jc w:val="both"/>
        <w:rPr>
          <w:rFonts w:ascii="Palatino Linotype" w:eastAsia="Times New Roman" w:hAnsi="Palatino Linotype" w:cs="Arial"/>
          <w:i/>
          <w:sz w:val="24"/>
          <w:szCs w:val="24"/>
          <w:lang w:eastAsia="es-MX"/>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347D2A">
        <w:rPr>
          <w:rFonts w:ascii="Palatino Linotype" w:eastAsia="Times New Roman" w:hAnsi="Palatino Linotype" w:cs="Times New Roman"/>
          <w:sz w:val="24"/>
          <w:szCs w:val="24"/>
          <w:lang w:eastAsia="es-ES"/>
        </w:rPr>
        <w:lastRenderedPageBreak/>
        <w:t xml:space="preserve">Municipios permite la elaboración de versiones públicas en las que se suprima aquella información relacionada con la vida privada de particulares mediante el debido Acuerdo fundado y motivado en el que </w:t>
      </w:r>
      <w:r w:rsidRPr="00347D2A">
        <w:rPr>
          <w:rFonts w:ascii="Palatino Linotype" w:eastAsia="Times New Roman" w:hAnsi="Palatino Linotype" w:cs="Times New Roman"/>
          <w:sz w:val="24"/>
          <w:szCs w:val="24"/>
          <w:lang w:val="es-ES_tradnl" w:eastAsia="es-ES"/>
        </w:rPr>
        <w:t>el Sujeto Obligado</w:t>
      </w:r>
      <w:r w:rsidRPr="00347D2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 xml:space="preserve">FUNDAMENTACIÓN Y MOTIVACIÓN. </w:t>
      </w:r>
      <w:r w:rsidRPr="00347D2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Así, en un acto de autoridad se surte la debida fundamentación cuando se cita el precepto legal aplicable al caso concreto y la debida motivación cuando se expresan </w:t>
      </w:r>
      <w:r w:rsidRPr="00347D2A">
        <w:rPr>
          <w:rFonts w:ascii="Palatino Linotype" w:eastAsia="Times New Roman" w:hAnsi="Palatino Linotype" w:cs="Times New Roman"/>
          <w:sz w:val="24"/>
          <w:szCs w:val="24"/>
          <w:lang w:eastAsia="es-ES"/>
        </w:rPr>
        <w:lastRenderedPageBreak/>
        <w:t>las razones, motivos o circunstancias que tomó en cuenta la autoridad para adecuar el hecho a los fundamentos de derecho.</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240" w:lineRule="auto"/>
        <w:ind w:left="567" w:right="616"/>
        <w:jc w:val="both"/>
        <w:rPr>
          <w:rFonts w:ascii="Palatino Linotype" w:eastAsia="Times New Roman" w:hAnsi="Palatino Linotype" w:cs="Times New Roman"/>
          <w:i/>
          <w:lang w:eastAsia="es-ES"/>
        </w:rPr>
      </w:pPr>
      <w:r w:rsidRPr="00347D2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347D2A">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347D2A">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7B2103" w:rsidRPr="00347D2A" w:rsidRDefault="007B2103" w:rsidP="007B2103">
      <w:pPr>
        <w:spacing w:after="0" w:line="360" w:lineRule="auto"/>
        <w:jc w:val="both"/>
        <w:rPr>
          <w:rFonts w:ascii="Palatino Linotype" w:eastAsia="Times New Roman" w:hAnsi="Palatino Linotype" w:cs="Times New Roman"/>
          <w:sz w:val="24"/>
          <w:szCs w:val="24"/>
          <w:lang w:val="es-ES" w:eastAsia="es-ES"/>
        </w:rPr>
      </w:pPr>
      <w:r w:rsidRPr="00347D2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47D2A">
        <w:rPr>
          <w:rFonts w:ascii="Palatino Linotype" w:eastAsia="Times New Roman" w:hAnsi="Palatino Linotype" w:cs="Times New Roman"/>
          <w:b/>
          <w:sz w:val="24"/>
          <w:szCs w:val="24"/>
          <w:lang w:val="es-ES" w:eastAsia="es-ES"/>
        </w:rPr>
        <w:t xml:space="preserve"> </w:t>
      </w:r>
      <w:r w:rsidRPr="00347D2A">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B2103" w:rsidRPr="00347D2A" w:rsidRDefault="007B2103" w:rsidP="007B2103">
      <w:pPr>
        <w:spacing w:after="0" w:line="360" w:lineRule="auto"/>
        <w:jc w:val="both"/>
        <w:rPr>
          <w:rFonts w:ascii="Palatino Linotype" w:eastAsia="Times New Roman" w:hAnsi="Palatino Linotype" w:cs="Times New Roman"/>
          <w:sz w:val="24"/>
          <w:szCs w:val="24"/>
          <w:lang w:eastAsia="es-ES"/>
        </w:rPr>
      </w:pPr>
    </w:p>
    <w:p w:rsidR="002F6567" w:rsidRDefault="007B2103" w:rsidP="007B2103">
      <w:pPr>
        <w:spacing w:after="0" w:line="360" w:lineRule="auto"/>
        <w:jc w:val="both"/>
        <w:rPr>
          <w:rFonts w:ascii="Palatino Linotype" w:eastAsia="Times New Roman" w:hAnsi="Palatino Linotype" w:cs="Arial"/>
          <w:bCs/>
          <w:sz w:val="24"/>
          <w:szCs w:val="24"/>
          <w:lang w:eastAsia="es-ES"/>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rsidR="002F6567" w:rsidRDefault="002F6567" w:rsidP="007B2103">
      <w:pPr>
        <w:spacing w:after="0" w:line="360" w:lineRule="auto"/>
        <w:jc w:val="both"/>
        <w:rPr>
          <w:rFonts w:ascii="Palatino Linotype" w:eastAsia="Times New Roman" w:hAnsi="Palatino Linotype" w:cs="Arial"/>
          <w:bCs/>
          <w:sz w:val="24"/>
          <w:szCs w:val="24"/>
          <w:lang w:eastAsia="es-ES"/>
        </w:rPr>
      </w:pPr>
    </w:p>
    <w:p w:rsidR="002F6567" w:rsidRDefault="002F6567" w:rsidP="007B2103">
      <w:pPr>
        <w:spacing w:after="0" w:line="360" w:lineRule="auto"/>
        <w:jc w:val="both"/>
        <w:rPr>
          <w:rFonts w:ascii="Palatino Linotype" w:eastAsia="Times New Roman" w:hAnsi="Palatino Linotype" w:cs="Arial"/>
          <w:bCs/>
          <w:sz w:val="24"/>
          <w:szCs w:val="24"/>
          <w:lang w:eastAsia="es-ES"/>
        </w:rPr>
      </w:pPr>
    </w:p>
    <w:p w:rsidR="002F6567" w:rsidRPr="00347D2A" w:rsidRDefault="002F6567" w:rsidP="007B2103">
      <w:pPr>
        <w:spacing w:after="0" w:line="360" w:lineRule="auto"/>
        <w:jc w:val="both"/>
        <w:rPr>
          <w:rFonts w:ascii="Palatino Linotype" w:eastAsia="Times New Roman" w:hAnsi="Palatino Linotype" w:cs="Arial"/>
          <w:bCs/>
          <w:sz w:val="24"/>
          <w:szCs w:val="24"/>
          <w:lang w:eastAsia="es-ES"/>
        </w:rPr>
      </w:pP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lastRenderedPageBreak/>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lastRenderedPageBreak/>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w:t>
      </w:r>
      <w:r w:rsidRPr="00C77DFD">
        <w:rPr>
          <w:rFonts w:ascii="Palatino Linotype" w:hAnsi="Palatino Linotype"/>
          <w:sz w:val="24"/>
        </w:rPr>
        <w:lastRenderedPageBreak/>
        <w:t>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F5A26" w:rsidRPr="006010FE" w:rsidRDefault="00EF5A26" w:rsidP="00EF5A26">
      <w:pPr>
        <w:autoSpaceDE w:val="0"/>
        <w:autoSpaceDN w:val="0"/>
        <w:adjustRightInd w:val="0"/>
        <w:spacing w:before="240" w:after="240" w:line="360" w:lineRule="auto"/>
        <w:jc w:val="both"/>
        <w:rPr>
          <w:rFonts w:ascii="Palatino Linotype" w:hAnsi="Palatino Linotype" w:cs="Arial"/>
          <w:sz w:val="24"/>
          <w:szCs w:val="24"/>
        </w:rPr>
      </w:pPr>
      <w:bookmarkStart w:id="1" w:name="_Hlk17366815"/>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Pr="00325E99">
        <w:rPr>
          <w:rFonts w:ascii="Palatino Linotype" w:hAnsi="Palatino Linotype" w:cs="Arial"/>
          <w:b/>
          <w:sz w:val="24"/>
        </w:rPr>
        <w:t>0038</w:t>
      </w:r>
      <w:r>
        <w:rPr>
          <w:rFonts w:ascii="Palatino Linotype" w:hAnsi="Palatino Linotype" w:cs="Arial"/>
          <w:b/>
          <w:sz w:val="24"/>
        </w:rPr>
        <w:t>1</w:t>
      </w:r>
      <w:r w:rsidRPr="00325E99">
        <w:rPr>
          <w:rFonts w:ascii="Palatino Linotype" w:hAnsi="Palatino Linotype" w:cs="Arial"/>
          <w:b/>
          <w:sz w:val="24"/>
        </w:rPr>
        <w:t>/VACHASO/IP/2019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bookmarkEnd w:id="1"/>
    <w:p w:rsidR="008234C9" w:rsidRDefault="008234C9" w:rsidP="008234C9">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2F6567" w:rsidRDefault="002F6567" w:rsidP="008234C9">
      <w:pPr>
        <w:tabs>
          <w:tab w:val="left" w:pos="8931"/>
        </w:tabs>
        <w:spacing w:before="240" w:line="360" w:lineRule="auto"/>
        <w:ind w:right="51"/>
        <w:jc w:val="both"/>
        <w:rPr>
          <w:rFonts w:ascii="Palatino Linotype" w:hAnsi="Palatino Linotype"/>
          <w:sz w:val="24"/>
          <w:szCs w:val="24"/>
        </w:rPr>
      </w:pPr>
    </w:p>
    <w:p w:rsidR="008234C9" w:rsidRDefault="008234C9" w:rsidP="008234C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356614" w:rsidRDefault="00356614" w:rsidP="00356614">
      <w:pPr>
        <w:tabs>
          <w:tab w:val="left" w:pos="8647"/>
        </w:tabs>
        <w:spacing w:after="0" w:line="360" w:lineRule="auto"/>
        <w:ind w:right="51"/>
        <w:jc w:val="both"/>
        <w:rPr>
          <w:rFonts w:ascii="Palatino Linotype" w:hAnsi="Palatino Linotype" w:cs="Arial"/>
          <w:sz w:val="24"/>
          <w:szCs w:val="24"/>
          <w:lang w:val="es-ES_tradnl"/>
        </w:rPr>
      </w:pPr>
      <w:r w:rsidRPr="008A5D92">
        <w:rPr>
          <w:rFonts w:ascii="Palatino Linotype" w:hAnsi="Palatino Linotype" w:cs="Arial"/>
          <w:b/>
          <w:sz w:val="28"/>
          <w:szCs w:val="28"/>
          <w:lang w:val="es-ES_tradnl"/>
        </w:rPr>
        <w:t>PRIMERO.</w:t>
      </w:r>
      <w:r w:rsidRPr="008A5D92">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Resultan </w:t>
      </w:r>
      <w:r w:rsidRPr="00A708BB">
        <w:rPr>
          <w:rFonts w:ascii="Palatino Linotype" w:hAnsi="Palatino Linotype" w:cs="Arial"/>
          <w:sz w:val="24"/>
          <w:szCs w:val="24"/>
          <w:lang w:val="es-ES_tradnl"/>
        </w:rPr>
        <w:t xml:space="preserve">fundadas las razones o motivos de inconformidad hechos valer por la recurrente, en términos del considerando </w:t>
      </w:r>
      <w:r w:rsidRPr="00A708BB">
        <w:rPr>
          <w:rFonts w:ascii="Palatino Linotype" w:hAnsi="Palatino Linotype" w:cs="Arial"/>
          <w:b/>
          <w:sz w:val="24"/>
          <w:szCs w:val="24"/>
          <w:lang w:val="es-ES_tradnl"/>
        </w:rPr>
        <w:t>CUARTO</w:t>
      </w:r>
      <w:r w:rsidRPr="00A708BB">
        <w:rPr>
          <w:rFonts w:ascii="Palatino Linotype" w:hAnsi="Palatino Linotype" w:cs="Arial"/>
          <w:sz w:val="24"/>
          <w:szCs w:val="24"/>
          <w:lang w:val="es-ES_tradnl"/>
        </w:rPr>
        <w:t>, de la presente resolución.</w:t>
      </w:r>
    </w:p>
    <w:p w:rsidR="002F6567" w:rsidRPr="00E433B2" w:rsidRDefault="002F6567" w:rsidP="00356614">
      <w:pPr>
        <w:tabs>
          <w:tab w:val="left" w:pos="8647"/>
        </w:tabs>
        <w:spacing w:after="0" w:line="360" w:lineRule="auto"/>
        <w:ind w:right="51"/>
        <w:jc w:val="both"/>
        <w:rPr>
          <w:rFonts w:ascii="Palatino Linotype" w:hAnsi="Palatino Linotype" w:cs="Arial"/>
          <w:sz w:val="24"/>
          <w:szCs w:val="24"/>
        </w:rPr>
      </w:pPr>
    </w:p>
    <w:p w:rsidR="00356614" w:rsidRDefault="00356614" w:rsidP="00356614">
      <w:pPr>
        <w:autoSpaceDE w:val="0"/>
        <w:autoSpaceDN w:val="0"/>
        <w:adjustRightInd w:val="0"/>
        <w:spacing w:before="240" w:line="360" w:lineRule="auto"/>
        <w:ind w:right="49"/>
        <w:jc w:val="both"/>
        <w:rPr>
          <w:rFonts w:ascii="Palatino Linotype" w:hAnsi="Palatino Linotype" w:cs="Arial"/>
          <w:sz w:val="24"/>
          <w:szCs w:val="24"/>
        </w:rPr>
      </w:pPr>
      <w:r w:rsidRPr="008A5D92">
        <w:rPr>
          <w:rFonts w:ascii="Palatino Linotype" w:hAnsi="Palatino Linotype" w:cs="Arial"/>
          <w:b/>
          <w:sz w:val="28"/>
          <w:szCs w:val="28"/>
        </w:rPr>
        <w:t>SEGUNDO.</w:t>
      </w:r>
      <w:r w:rsidRPr="008A5D92">
        <w:rPr>
          <w:rFonts w:ascii="Palatino Linotype" w:hAnsi="Palatino Linotype" w:cs="Arial"/>
          <w:sz w:val="24"/>
          <w:szCs w:val="24"/>
        </w:rPr>
        <w:t xml:space="preserve"> Se </w:t>
      </w:r>
      <w:r w:rsidRPr="008A5D92">
        <w:rPr>
          <w:rFonts w:ascii="Palatino Linotype" w:hAnsi="Palatino Linotype" w:cs="Arial"/>
          <w:b/>
          <w:sz w:val="24"/>
          <w:szCs w:val="24"/>
        </w:rPr>
        <w:t>ORDENA</w:t>
      </w:r>
      <w:r w:rsidRPr="008A5D92">
        <w:rPr>
          <w:rFonts w:ascii="Palatino Linotype" w:hAnsi="Palatino Linotype" w:cs="Arial"/>
          <w:sz w:val="24"/>
          <w:szCs w:val="24"/>
        </w:rPr>
        <w:t xml:space="preserve"> al </w:t>
      </w:r>
      <w:r w:rsidRPr="008A5D92">
        <w:rPr>
          <w:rFonts w:ascii="Palatino Linotype" w:hAnsi="Palatino Linotype" w:cs="Arial"/>
          <w:b/>
          <w:sz w:val="24"/>
          <w:szCs w:val="24"/>
        </w:rPr>
        <w:t>Sujeto Obligado</w:t>
      </w:r>
      <w:r>
        <w:rPr>
          <w:rFonts w:ascii="Palatino Linotype" w:hAnsi="Palatino Linotype" w:cs="Arial"/>
          <w:sz w:val="24"/>
          <w:szCs w:val="24"/>
        </w:rPr>
        <w:t xml:space="preserve">, atienda la solicitud de información número </w:t>
      </w:r>
      <w:r w:rsidRPr="00325E99">
        <w:rPr>
          <w:rFonts w:ascii="Palatino Linotype" w:hAnsi="Palatino Linotype" w:cs="Arial"/>
          <w:b/>
          <w:sz w:val="24"/>
        </w:rPr>
        <w:t>0038</w:t>
      </w:r>
      <w:r>
        <w:rPr>
          <w:rFonts w:ascii="Palatino Linotype" w:hAnsi="Palatino Linotype" w:cs="Arial"/>
          <w:b/>
          <w:sz w:val="24"/>
        </w:rPr>
        <w:t>1</w:t>
      </w:r>
      <w:r w:rsidRPr="00325E99">
        <w:rPr>
          <w:rFonts w:ascii="Palatino Linotype" w:hAnsi="Palatino Linotype" w:cs="Arial"/>
          <w:b/>
          <w:sz w:val="24"/>
        </w:rPr>
        <w:t>/VACHASO/IP/2019</w:t>
      </w:r>
      <w:r>
        <w:rPr>
          <w:rFonts w:ascii="Palatino Linotype" w:hAnsi="Palatino Linotype" w:cs="Arial"/>
          <w:sz w:val="24"/>
          <w:szCs w:val="24"/>
        </w:rPr>
        <w:t>, en términos del considerando CUARTO a</w:t>
      </w:r>
      <w:r w:rsidRPr="008A5D92">
        <w:rPr>
          <w:rFonts w:ascii="Palatino Linotype" w:hAnsi="Palatino Linotype" w:cs="Arial"/>
          <w:sz w:val="24"/>
          <w:szCs w:val="24"/>
        </w:rPr>
        <w:t xml:space="preserve"> través del </w:t>
      </w:r>
      <w:r w:rsidRPr="008A5D92">
        <w:rPr>
          <w:rFonts w:ascii="Palatino Linotype" w:hAnsi="Palatino Linotype" w:cs="Arial"/>
          <w:b/>
          <w:sz w:val="24"/>
          <w:szCs w:val="24"/>
        </w:rPr>
        <w:t>SAIMEX</w:t>
      </w:r>
      <w:r w:rsidRPr="008A5D92">
        <w:rPr>
          <w:rFonts w:ascii="Palatino Linotype" w:hAnsi="Palatino Linotype" w:cs="Arial"/>
          <w:sz w:val="24"/>
          <w:szCs w:val="24"/>
        </w:rPr>
        <w:t>, en versión pública</w:t>
      </w:r>
      <w:r>
        <w:rPr>
          <w:rFonts w:ascii="Palatino Linotype" w:hAnsi="Palatino Linotype" w:cs="Arial"/>
          <w:sz w:val="24"/>
          <w:szCs w:val="24"/>
        </w:rPr>
        <w:t xml:space="preserve"> de ser procedente</w:t>
      </w:r>
      <w:r w:rsidRPr="008A5D92">
        <w:rPr>
          <w:rFonts w:ascii="Palatino Linotype" w:hAnsi="Palatino Linotype" w:cs="Arial"/>
          <w:sz w:val="24"/>
          <w:szCs w:val="24"/>
        </w:rPr>
        <w:t xml:space="preserve">, </w:t>
      </w:r>
      <w:r>
        <w:rPr>
          <w:rFonts w:ascii="Palatino Linotype" w:hAnsi="Palatino Linotype" w:cs="Arial"/>
          <w:sz w:val="24"/>
          <w:szCs w:val="24"/>
        </w:rPr>
        <w:t>de lo siguiente:</w:t>
      </w:r>
    </w:p>
    <w:p w:rsidR="00A27459" w:rsidRPr="008234C9" w:rsidRDefault="008234C9" w:rsidP="008234C9">
      <w:pPr>
        <w:pStyle w:val="Prrafodelista"/>
        <w:numPr>
          <w:ilvl w:val="0"/>
          <w:numId w:val="36"/>
        </w:numPr>
        <w:autoSpaceDE w:val="0"/>
        <w:autoSpaceDN w:val="0"/>
        <w:adjustRightInd w:val="0"/>
        <w:spacing w:before="240" w:after="240" w:line="360" w:lineRule="auto"/>
        <w:jc w:val="both"/>
        <w:rPr>
          <w:rFonts w:ascii="Palatino Linotype" w:eastAsia="MS Mincho" w:hAnsi="Palatino Linotype"/>
          <w:i/>
        </w:rPr>
      </w:pPr>
      <w:r w:rsidRPr="008234C9">
        <w:rPr>
          <w:rFonts w:ascii="Palatino Linotype" w:eastAsia="MS Mincho" w:hAnsi="Palatino Linotype"/>
          <w:i/>
        </w:rPr>
        <w:lastRenderedPageBreak/>
        <w:t>Nómina</w:t>
      </w:r>
      <w:r w:rsidR="00162D04" w:rsidRPr="008234C9">
        <w:rPr>
          <w:rFonts w:ascii="Palatino Linotype" w:eastAsia="MS Mincho" w:hAnsi="Palatino Linotype"/>
          <w:i/>
        </w:rPr>
        <w:t xml:space="preserve"> </w:t>
      </w:r>
      <w:r w:rsidRPr="008234C9">
        <w:rPr>
          <w:rFonts w:ascii="Palatino Linotype" w:eastAsia="MS Mincho" w:hAnsi="Palatino Linotype"/>
          <w:i/>
        </w:rPr>
        <w:t xml:space="preserve">de los directores, administrativos, sindicalizados y listas de raya de la administración pública municipal de valle de Chalco, correspondiente a la primera y </w:t>
      </w:r>
      <w:r w:rsidR="00162D04" w:rsidRPr="008234C9">
        <w:rPr>
          <w:rFonts w:ascii="Palatino Linotype" w:eastAsia="MS Mincho" w:hAnsi="Palatino Linotype"/>
          <w:i/>
        </w:rPr>
        <w:t xml:space="preserve">segunda quincena del mes de </w:t>
      </w:r>
      <w:r w:rsidRPr="008234C9">
        <w:rPr>
          <w:rFonts w:ascii="Palatino Linotype" w:eastAsia="MS Mincho" w:hAnsi="Palatino Linotype"/>
          <w:i/>
        </w:rPr>
        <w:t>mayo</w:t>
      </w:r>
      <w:r w:rsidR="00162D04" w:rsidRPr="008234C9">
        <w:rPr>
          <w:rFonts w:ascii="Palatino Linotype" w:eastAsia="MS Mincho" w:hAnsi="Palatino Linotype"/>
          <w:i/>
        </w:rPr>
        <w:t xml:space="preserve"> de 2019.</w:t>
      </w:r>
    </w:p>
    <w:p w:rsidR="00A27459" w:rsidRDefault="00A27459" w:rsidP="00A27459">
      <w:pPr>
        <w:spacing w:before="240" w:after="0" w:line="360" w:lineRule="auto"/>
        <w:ind w:left="720"/>
        <w:jc w:val="both"/>
        <w:rPr>
          <w:rFonts w:ascii="Palatino Linotype" w:eastAsia="Times New Roman" w:hAnsi="Palatino Linotype" w:cs="Arial"/>
          <w:i/>
          <w:sz w:val="24"/>
          <w:szCs w:val="24"/>
          <w:lang w:val="es-ES" w:eastAsia="es-ES"/>
        </w:rPr>
      </w:pPr>
      <w:r w:rsidRPr="00F00F4B">
        <w:rPr>
          <w:rFonts w:ascii="Palatino Linotype" w:eastAsia="Times New Roman" w:hAnsi="Palatino Linotype" w:cs="Arial"/>
          <w:i/>
          <w:sz w:val="24"/>
          <w:szCs w:val="24"/>
          <w:lang w:val="es-ES" w:eastAsia="es-ES"/>
        </w:rPr>
        <w:t>Para la entrega en versión pública</w:t>
      </w:r>
      <w:r w:rsidR="007A27B9">
        <w:rPr>
          <w:rFonts w:ascii="Palatino Linotype" w:eastAsia="Times New Roman" w:hAnsi="Palatino Linotype" w:cs="Arial"/>
          <w:i/>
          <w:sz w:val="24"/>
          <w:szCs w:val="24"/>
          <w:lang w:val="es-ES" w:eastAsia="es-ES"/>
        </w:rPr>
        <w:t xml:space="preserve"> </w:t>
      </w:r>
      <w:r w:rsidRPr="00F00F4B">
        <w:rPr>
          <w:rFonts w:ascii="Palatino Linotype" w:eastAsia="Times New Roman" w:hAnsi="Palatino Linotype" w:cs="Arial"/>
          <w:i/>
          <w:sz w:val="24"/>
          <w:szCs w:val="24"/>
          <w:lang w:val="es-ES" w:eastAsia="es-ES"/>
        </w:rPr>
        <w:t xml:space="preserve">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rsidR="002F6567" w:rsidRDefault="002F6567" w:rsidP="00A27459">
      <w:pPr>
        <w:spacing w:before="240" w:after="0" w:line="360" w:lineRule="auto"/>
        <w:ind w:left="720"/>
        <w:jc w:val="both"/>
        <w:rPr>
          <w:rFonts w:ascii="Palatino Linotype" w:eastAsia="Times New Roman" w:hAnsi="Palatino Linotype" w:cs="Arial"/>
          <w:i/>
          <w:sz w:val="24"/>
          <w:szCs w:val="24"/>
          <w:lang w:val="es-ES" w:eastAsia="es-ES"/>
        </w:rPr>
      </w:pPr>
    </w:p>
    <w:p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A27459" w:rsidRDefault="00A27459" w:rsidP="00A27459">
      <w:pPr>
        <w:tabs>
          <w:tab w:val="left" w:pos="8647"/>
        </w:tabs>
        <w:spacing w:after="0" w:line="360" w:lineRule="auto"/>
        <w:ind w:right="51"/>
        <w:jc w:val="both"/>
        <w:rPr>
          <w:rFonts w:ascii="Palatino Linotype" w:hAnsi="Palatino Linotype" w:cs="Arial"/>
          <w:sz w:val="24"/>
          <w:szCs w:val="24"/>
        </w:rPr>
      </w:pP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Pr>
          <w:rFonts w:ascii="Palatino Linotype" w:hAnsi="Palatino Linotype" w:cs="Arial"/>
          <w:sz w:val="24"/>
          <w:szCs w:val="24"/>
        </w:rPr>
        <w:t>Se hace del conocimiento al recurrente</w:t>
      </w:r>
      <w:r>
        <w:rPr>
          <w:rFonts w:ascii="Palatino Linotype" w:hAnsi="Palatino Linotype" w:cs="Arial"/>
          <w:b/>
          <w:sz w:val="24"/>
          <w:szCs w:val="24"/>
        </w:rPr>
        <w:t xml:space="preserv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EF5A26" w:rsidRDefault="00EF5A26" w:rsidP="00EF5A26">
      <w:pPr>
        <w:pStyle w:val="Sinespaciado"/>
        <w:spacing w:line="360" w:lineRule="auto"/>
        <w:jc w:val="both"/>
        <w:rPr>
          <w:rFonts w:ascii="Palatino Linotype" w:hAnsi="Palatino Linotype" w:cs="Arial"/>
        </w:rPr>
      </w:pPr>
      <w:r w:rsidRPr="00605501">
        <w:rPr>
          <w:rFonts w:ascii="Palatino Linotype" w:hAnsi="Palatino Linotype" w:cs="Arial"/>
          <w:b/>
          <w:sz w:val="28"/>
        </w:rPr>
        <w:lastRenderedPageBreak/>
        <w:t>QUINTO.</w:t>
      </w:r>
      <w:r w:rsidRPr="00605501">
        <w:rPr>
          <w:rFonts w:ascii="Palatino Linotype" w:hAnsi="Palatino Linotype" w:cs="Arial"/>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p>
    <w:p w:rsidR="002F6567" w:rsidRDefault="002F6567" w:rsidP="00EF5A26">
      <w:pPr>
        <w:pStyle w:val="Sinespaciado"/>
        <w:spacing w:line="360" w:lineRule="auto"/>
        <w:jc w:val="both"/>
        <w:rPr>
          <w:rFonts w:ascii="Palatino Linotype" w:hAnsi="Palatino Linotype"/>
        </w:rPr>
      </w:pPr>
    </w:p>
    <w:p w:rsidR="002F6567" w:rsidRDefault="002F6567" w:rsidP="002F6567">
      <w:pPr>
        <w:spacing w:after="0" w:line="360" w:lineRule="auto"/>
        <w:jc w:val="both"/>
        <w:rPr>
          <w:rFonts w:ascii="Palatino Linotype" w:hAnsi="Palatino Linotype"/>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EMITIENDO VOTO PARTICULAR, </w:t>
      </w:r>
      <w:r w:rsidRPr="0024637B">
        <w:rPr>
          <w:rFonts w:ascii="Palatino Linotype" w:hAnsi="Palatino Linotype" w:cs="Arial"/>
          <w:sz w:val="24"/>
          <w:szCs w:val="24"/>
        </w:rPr>
        <w:t xml:space="preserve">EN LA </w:t>
      </w:r>
      <w:r>
        <w:rPr>
          <w:rFonts w:ascii="Palatino Linotype" w:hAnsi="Palatino Linotype" w:cs="Arial"/>
          <w:sz w:val="24"/>
          <w:szCs w:val="24"/>
        </w:rPr>
        <w:t>TRIGÉSIMA PRIMERA SESIÓN ORDINARIA CELEBRADA EL VEINTIOCHO DE AGOSTO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Pr>
          <w:rFonts w:ascii="Palatino Linotype" w:hAnsi="Palatino Linotype"/>
        </w:rPr>
        <w:t xml:space="preserve"> </w:t>
      </w:r>
    </w:p>
    <w:p w:rsidR="002F6567" w:rsidRDefault="002F6567" w:rsidP="002F6567">
      <w:pPr>
        <w:spacing w:before="240"/>
        <w:jc w:val="both"/>
        <w:rPr>
          <w:rFonts w:ascii="Palatino Linotype" w:hAnsi="Palatino Linotype"/>
        </w:rPr>
      </w:pPr>
    </w:p>
    <w:p w:rsidR="002F6567" w:rsidRDefault="002F6567" w:rsidP="002F6567">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7696" behindDoc="0" locked="0" layoutInCell="1" allowOverlap="1" wp14:anchorId="1F562FAB" wp14:editId="486F6459">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2F6567"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62FA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769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2F6567"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pPr>
                        <w:spacing w:line="240" w:lineRule="auto"/>
                        <w:jc w:val="center"/>
                        <w:rPr>
                          <w:rFonts w:ascii="Palatino Linotype" w:hAnsi="Palatino Linotype"/>
                          <w:sz w:val="24"/>
                          <w:szCs w:val="24"/>
                        </w:rPr>
                      </w:pPr>
                    </w:p>
                  </w:txbxContent>
                </v:textbox>
                <w10:wrap type="square" anchorx="page"/>
              </v:shape>
            </w:pict>
          </mc:Fallback>
        </mc:AlternateContent>
      </w:r>
    </w:p>
    <w:p w:rsidR="002F6567" w:rsidRPr="00D54B7D" w:rsidRDefault="002F6567" w:rsidP="002F6567">
      <w:pPr>
        <w:spacing w:before="240"/>
        <w:jc w:val="both"/>
        <w:rPr>
          <w:rFonts w:ascii="Palatino Linotype" w:hAnsi="Palatino Linotype"/>
        </w:rPr>
      </w:pPr>
    </w:p>
    <w:p w:rsidR="002F6567" w:rsidRPr="00D54B7D" w:rsidRDefault="002F6567" w:rsidP="002F6567">
      <w:pPr>
        <w:spacing w:before="240"/>
        <w:jc w:val="center"/>
        <w:rPr>
          <w:rFonts w:ascii="Palatino Linotype" w:hAnsi="Palatino Linotype"/>
        </w:rPr>
      </w:pPr>
    </w:p>
    <w:p w:rsidR="002F6567"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74699121" wp14:editId="10F1A749">
                <wp:simplePos x="0" y="0"/>
                <wp:positionH relativeFrom="margin">
                  <wp:align>right</wp:align>
                </wp:positionH>
                <wp:positionV relativeFrom="paragraph">
                  <wp:posOffset>64592</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6567" w:rsidRPr="00EF2FC0" w:rsidRDefault="002F6567" w:rsidP="002F6567">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F6567"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Pr="00797B31" w:rsidRDefault="002F6567" w:rsidP="002F6567">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99121" id="Cuadro de texto 35" o:spid="_x0000_s1027" type="#_x0000_t202" style="position:absolute;margin-left:149.05pt;margin-top:5.1pt;width:200.25pt;height:73.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" fillcolor="white [3201]" strokecolor="white [3212]" strokeweight=".5pt">
                <v:textbox>
                  <w:txbxContent>
                    <w:p w:rsidR="002F6567" w:rsidRPr="00EF2FC0" w:rsidRDefault="002F6567" w:rsidP="002F6567">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2F6567"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Pr="00797B31" w:rsidRDefault="002F6567" w:rsidP="002F6567">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21AB5E95" wp14:editId="46584369">
                <wp:simplePos x="0" y="0"/>
                <wp:positionH relativeFrom="margin">
                  <wp:align>left</wp:align>
                </wp:positionH>
                <wp:positionV relativeFrom="paragraph">
                  <wp:posOffset>63485</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6567" w:rsidRPr="00EF2FC0" w:rsidRDefault="002F6567" w:rsidP="002F6567">
                            <w:pPr>
                              <w:jc w:val="center"/>
                              <w:rPr>
                                <w:rFonts w:ascii="Palatino Linotype" w:hAnsi="Palatino Linotype"/>
                                <w:b/>
                                <w:sz w:val="24"/>
                                <w:szCs w:val="24"/>
                              </w:rPr>
                            </w:pPr>
                            <w:r w:rsidRPr="00EF2FC0">
                              <w:rPr>
                                <w:rFonts w:ascii="Palatino Linotype" w:hAnsi="Palatino Linotype"/>
                                <w:b/>
                                <w:sz w:val="24"/>
                                <w:szCs w:val="24"/>
                              </w:rPr>
                              <w:t>Eva Abaid Yapur</w:t>
                            </w:r>
                          </w:p>
                          <w:p w:rsidR="002F6567" w:rsidRPr="00EF2FC0" w:rsidRDefault="002F6567" w:rsidP="002F6567">
                            <w:pPr>
                              <w:jc w:val="center"/>
                              <w:rPr>
                                <w:rFonts w:ascii="Palatino Linotype" w:hAnsi="Palatino Linotype"/>
                                <w:sz w:val="24"/>
                                <w:szCs w:val="24"/>
                              </w:rPr>
                            </w:pPr>
                            <w:r w:rsidRPr="00EF2FC0">
                              <w:rPr>
                                <w:rFonts w:ascii="Palatino Linotype" w:hAnsi="Palatino Linotype"/>
                                <w:sz w:val="24"/>
                                <w:szCs w:val="24"/>
                              </w:rPr>
                              <w:t>Comisionada</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B5E95" id="Cuadro de texto 22" o:spid="_x0000_s1028" type="#_x0000_t202" style="position:absolute;margin-left:0;margin-top: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" fillcolor="white [3201]" strokecolor="white [3212]" strokeweight=".5pt">
                <v:textbox>
                  <w:txbxContent>
                    <w:p w:rsidR="002F6567" w:rsidRPr="00EF2FC0" w:rsidRDefault="002F6567" w:rsidP="002F6567">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2F6567" w:rsidRPr="00EF2FC0" w:rsidRDefault="002F6567" w:rsidP="002F6567">
                      <w:pPr>
                        <w:jc w:val="center"/>
                        <w:rPr>
                          <w:rFonts w:ascii="Palatino Linotype" w:hAnsi="Palatino Linotype"/>
                          <w:sz w:val="24"/>
                          <w:szCs w:val="24"/>
                        </w:rPr>
                      </w:pPr>
                      <w:r w:rsidRPr="00EF2FC0">
                        <w:rPr>
                          <w:rFonts w:ascii="Palatino Linotype" w:hAnsi="Palatino Linotype"/>
                          <w:sz w:val="24"/>
                          <w:szCs w:val="24"/>
                        </w:rPr>
                        <w:t>Comisionada</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pPr>
                        <w:jc w:val="center"/>
                      </w:pPr>
                    </w:p>
                  </w:txbxContent>
                </v:textbox>
                <w10:wrap anchorx="margin"/>
              </v:shape>
            </w:pict>
          </mc:Fallback>
        </mc:AlternateContent>
      </w:r>
    </w:p>
    <w:p w:rsidR="002F6567" w:rsidRPr="00D54B7D" w:rsidRDefault="002F6567" w:rsidP="002F6567">
      <w:pPr>
        <w:spacing w:before="240"/>
        <w:rPr>
          <w:rFonts w:ascii="Palatino Linotype" w:hAnsi="Palatino Linotype"/>
          <w:b/>
        </w:rPr>
      </w:pPr>
    </w:p>
    <w:p w:rsidR="002F6567" w:rsidRPr="00D54B7D"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b/>
        </w:rPr>
      </w:pPr>
    </w:p>
    <w:p w:rsidR="002F6567" w:rsidRPr="00B93570" w:rsidRDefault="002F6567" w:rsidP="002F6567">
      <w:pPr>
        <w:spacing w:before="240"/>
        <w:rPr>
          <w:rFonts w:ascii="Palatino Linotype" w:hAnsi="Palatino Linotype"/>
          <w:b/>
          <w:sz w:val="18"/>
          <w:szCs w:val="18"/>
        </w:rPr>
      </w:pPr>
    </w:p>
    <w:p w:rsidR="002F6567" w:rsidRPr="00B93570" w:rsidRDefault="002F6567" w:rsidP="002F6567">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431EDF59" wp14:editId="126B28C2">
                <wp:simplePos x="0" y="0"/>
                <wp:positionH relativeFrom="page">
                  <wp:posOffset>4547235</wp:posOffset>
                </wp:positionH>
                <wp:positionV relativeFrom="paragraph">
                  <wp:posOffset>241935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6567" w:rsidRPr="00EF2FC0" w:rsidRDefault="002F6567" w:rsidP="002F656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EDF59" id="Cuadro de texto 6" o:spid="_x0000_s1029" type="#_x0000_t202" style="position:absolute;margin-left:358.05pt;margin-top:19.05pt;width:168pt;height:7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eN+0ZZQbXH/vHQjmFw&#10;/EZhkW9ZiPfM49xhX+AuiXf4kRqwSNBJlGzA/37tPuFxHFBLSY1zXNLwa8u8oER/tTgoF8PJJA1+&#10;PkzOP47w4E81q1ON3ZolYOcMcWs5nsWEj7oXpQfzhCtnkV5FFbMc3y5p7MVlbLcLriwuFosMwlF3&#10;LN7aB8eT68RyauHH5ol51/V5mrVv0E88m71o9xabLC0sthGkyrOQeG5Z7fjHNZFHpFtpaQ+dnjPq&#10;uHjnf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H30ZSCXAgAAwAUAAA4AAAAAAAAAAAAAAAAALgIAAGRycy9lMm9E&#10;b2MueG1sUEsBAi0AFAAGAAgAAAAhAJ+tRp7gAAAACwEAAA8AAAAAAAAAAAAAAAAA8QQAAGRycy9k&#10;b3ducmV2LnhtbFBLBQYAAAAABAAEAPMAAAD+BQAAAAA=&#10;" fillcolor="white [3201]" strokecolor="white [3212]" strokeweight=".5pt">
                <v:textbox>
                  <w:txbxContent>
                    <w:p w:rsidR="002F6567" w:rsidRPr="00EF2FC0" w:rsidRDefault="002F6567" w:rsidP="002F6567">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340762A2" wp14:editId="1A5FB79F">
                <wp:simplePos x="0" y="0"/>
                <wp:positionH relativeFrom="page">
                  <wp:posOffset>1085850</wp:posOffset>
                </wp:positionH>
                <wp:positionV relativeFrom="paragraph">
                  <wp:posOffset>231775</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762A2" id="Cuadro de texto 7" o:spid="_x0000_s1030" type="#_x0000_t202" style="position:absolute;margin-left:85.5pt;margin-top:18.25pt;width:168pt;height:74.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dPmAIAAMA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PWTR0+YAgAAwAUAAA4AAAAAAAAAAAAAAAAALgIAAGRycy9lMm9E&#10;b2MueG1sUEsBAi0AFAAGAAgAAAAhAJF8G3nfAAAACgEAAA8AAAAAAAAAAAAAAAAA8gQAAGRycy9k&#10;b3ducmV2LnhtbFBLBQYAAAAABAAEAPMAAAD+BQAAAAA=&#10;" fillcolor="white [3201]" strokecolor="white [3212]" strokeweight=".5pt">
                <v:textbox>
                  <w:txbxContent>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2F6567" w:rsidRPr="00EF2FC0" w:rsidRDefault="002F6567" w:rsidP="002F6567">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(Rúbrica).</w:t>
                      </w:r>
                    </w:p>
                    <w:p w:rsidR="002F6567" w:rsidRDefault="002F6567" w:rsidP="002F6567"/>
                  </w:txbxContent>
                </v:textbox>
                <w10:wrap anchorx="page"/>
              </v:shape>
            </w:pict>
          </mc:Fallback>
        </mc:AlternateContent>
      </w:r>
    </w:p>
    <w:p w:rsidR="002F6567"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b/>
        </w:rPr>
      </w:pPr>
    </w:p>
    <w:p w:rsidR="002F6567" w:rsidRDefault="002F6567" w:rsidP="002F6567">
      <w:pPr>
        <w:spacing w:before="240"/>
        <w:rPr>
          <w:rFonts w:ascii="Palatino Linotype" w:hAnsi="Palatino Linotype" w:cs="Arial"/>
          <w:szCs w:val="20"/>
        </w:rPr>
      </w:pPr>
    </w:p>
    <w:p w:rsidR="002F6567" w:rsidRDefault="002F6567" w:rsidP="002F6567">
      <w:pPr>
        <w:spacing w:before="240"/>
        <w:rPr>
          <w:rFonts w:ascii="Palatino Linotype" w:hAnsi="Palatino Linotype" w:cs="Arial"/>
          <w:szCs w:val="20"/>
        </w:rPr>
      </w:pPr>
    </w:p>
    <w:p w:rsidR="002F6567" w:rsidRDefault="002F6567" w:rsidP="002F6567">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65140F46" wp14:editId="4D9AD954">
                <wp:simplePos x="0" y="0"/>
                <wp:positionH relativeFrom="margin">
                  <wp:align>center</wp:align>
                </wp:positionH>
                <wp:positionV relativeFrom="paragraph">
                  <wp:posOffset>65405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F6567" w:rsidRPr="007F6133" w:rsidRDefault="002F6567" w:rsidP="002F6567">
                            <w:pPr>
                              <w:jc w:val="center"/>
                              <w:rPr>
                                <w:rFonts w:ascii="Palatino Linotype" w:hAnsi="Palatino Linotype"/>
                                <w:b/>
                                <w:sz w:val="24"/>
                                <w:szCs w:val="24"/>
                              </w:rPr>
                            </w:pPr>
                            <w:r w:rsidRPr="00B86F1F">
                              <w:rPr>
                                <w:rFonts w:ascii="Palatino Linotype" w:hAnsi="Palatino Linotype"/>
                                <w:b/>
                                <w:sz w:val="24"/>
                                <w:szCs w:val="24"/>
                              </w:rPr>
                              <w:t>Alexis Tapia Ramírez</w:t>
                            </w:r>
                          </w:p>
                          <w:p w:rsidR="002F6567" w:rsidRDefault="002F6567" w:rsidP="002F656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2F6567" w:rsidRDefault="002F6567" w:rsidP="002F6567">
                            <w:pPr>
                              <w:jc w:val="center"/>
                              <w:rPr>
                                <w:rFonts w:ascii="Palatino Linotype" w:hAnsi="Palatino Linotype"/>
                                <w:sz w:val="24"/>
                                <w:szCs w:val="24"/>
                              </w:rPr>
                            </w:pPr>
                          </w:p>
                          <w:p w:rsidR="002F6567" w:rsidRPr="00EF2FC0" w:rsidRDefault="002F6567" w:rsidP="002F6567">
                            <w:pPr>
                              <w:jc w:val="center"/>
                              <w:rPr>
                                <w:rFonts w:ascii="Palatino Linotype" w:hAnsi="Palatino Linotype"/>
                                <w:sz w:val="24"/>
                                <w:szCs w:val="24"/>
                              </w:rPr>
                            </w:pPr>
                          </w:p>
                          <w:p w:rsidR="002F6567" w:rsidRDefault="002F6567" w:rsidP="002F6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40F46" id="Cuadro de texto 24" o:spid="_x0000_s1031" type="#_x0000_t202" style="position:absolute;margin-left:0;margin-top:5.15pt;width:248.25pt;height:74.9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" fillcolor="white [3201]" strokecolor="white [3212]" strokeweight=".5pt">
                <v:textbox>
                  <w:txbxContent>
                    <w:p w:rsidR="002F6567" w:rsidRPr="007F6133" w:rsidRDefault="002F6567" w:rsidP="002F6567">
                      <w:pPr>
                        <w:jc w:val="center"/>
                        <w:rPr>
                          <w:rFonts w:ascii="Palatino Linotype" w:hAnsi="Palatino Linotype"/>
                          <w:b/>
                          <w:sz w:val="24"/>
                          <w:szCs w:val="24"/>
                        </w:rPr>
                      </w:pPr>
                      <w:r w:rsidRPr="00B86F1F">
                        <w:rPr>
                          <w:rFonts w:ascii="Palatino Linotype" w:hAnsi="Palatino Linotype"/>
                          <w:b/>
                          <w:sz w:val="24"/>
                          <w:szCs w:val="24"/>
                        </w:rPr>
                        <w:t>Alexis Tapia Ramírez</w:t>
                      </w:r>
                    </w:p>
                    <w:p w:rsidR="002F6567" w:rsidRDefault="002F6567" w:rsidP="002F6567">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F6567" w:rsidRDefault="002F6567" w:rsidP="002F6567">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2F6567" w:rsidRDefault="002F6567" w:rsidP="002F6567">
                      <w:pPr>
                        <w:jc w:val="center"/>
                        <w:rPr>
                          <w:rFonts w:ascii="Palatino Linotype" w:hAnsi="Palatino Linotype"/>
                          <w:sz w:val="24"/>
                          <w:szCs w:val="24"/>
                        </w:rPr>
                      </w:pPr>
                    </w:p>
                    <w:p w:rsidR="002F6567" w:rsidRPr="00EF2FC0" w:rsidRDefault="002F6567" w:rsidP="002F6567">
                      <w:pPr>
                        <w:jc w:val="center"/>
                        <w:rPr>
                          <w:rFonts w:ascii="Palatino Linotype" w:hAnsi="Palatino Linotype"/>
                          <w:sz w:val="24"/>
                          <w:szCs w:val="24"/>
                        </w:rPr>
                      </w:pPr>
                    </w:p>
                    <w:p w:rsidR="002F6567" w:rsidRDefault="002F6567" w:rsidP="002F6567"/>
                  </w:txbxContent>
                </v:textbox>
                <w10:wrap anchorx="margin"/>
              </v:shape>
            </w:pict>
          </mc:Fallback>
        </mc:AlternateContent>
      </w:r>
    </w:p>
    <w:p w:rsidR="002F6567" w:rsidRDefault="002F6567" w:rsidP="002F6567">
      <w:pPr>
        <w:spacing w:before="240"/>
        <w:jc w:val="both"/>
        <w:rPr>
          <w:rFonts w:ascii="Palatino Linotype" w:hAnsi="Palatino Linotype" w:cs="Arial"/>
          <w:sz w:val="18"/>
          <w:szCs w:val="18"/>
        </w:rPr>
      </w:pPr>
    </w:p>
    <w:p w:rsidR="002F6567" w:rsidRDefault="002F6567" w:rsidP="002F6567">
      <w:pPr>
        <w:spacing w:before="240" w:line="240" w:lineRule="auto"/>
        <w:jc w:val="both"/>
        <w:rPr>
          <w:rFonts w:ascii="Palatino Linotype" w:hAnsi="Palatino Linotype" w:cs="Arial"/>
          <w:sz w:val="14"/>
          <w:szCs w:val="14"/>
        </w:rPr>
      </w:pPr>
    </w:p>
    <w:p w:rsidR="002F6567" w:rsidRDefault="002F6567" w:rsidP="002F6567">
      <w:pPr>
        <w:spacing w:before="240" w:line="240" w:lineRule="auto"/>
        <w:jc w:val="both"/>
        <w:rPr>
          <w:rFonts w:ascii="Palatino Linotype" w:hAnsi="Palatino Linotype" w:cs="Arial"/>
          <w:sz w:val="14"/>
          <w:szCs w:val="14"/>
        </w:rPr>
      </w:pPr>
    </w:p>
    <w:p w:rsidR="002F6567" w:rsidRDefault="002F6567" w:rsidP="002F6567">
      <w:pPr>
        <w:spacing w:before="240" w:line="240" w:lineRule="auto"/>
        <w:jc w:val="both"/>
        <w:rPr>
          <w:rFonts w:ascii="Palatino Linotype" w:hAnsi="Palatino Linotype" w:cs="Arial"/>
          <w:sz w:val="14"/>
          <w:szCs w:val="14"/>
        </w:rPr>
      </w:pPr>
    </w:p>
    <w:p w:rsidR="002F6567" w:rsidRPr="002052F6" w:rsidRDefault="002F6567" w:rsidP="002F656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veintiocho de agosto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05225/INFOEM/IP/RR/2019.</w:t>
      </w:r>
    </w:p>
    <w:p w:rsidR="00DD13E2" w:rsidRDefault="002F6567" w:rsidP="002F6567">
      <w:pPr>
        <w:spacing w:after="0"/>
      </w:pPr>
      <w:r w:rsidRPr="002052F6">
        <w:t>ZMS/OSAM/MAE</w:t>
      </w:r>
      <w:r>
        <w:t>M</w:t>
      </w:r>
      <w:r>
        <w:rPr>
          <w:rFonts w:ascii="Palatino Linotype" w:hAnsi="Palatino Linotype" w:cs="Arial"/>
          <w:sz w:val="24"/>
          <w:szCs w:val="24"/>
        </w:rPr>
        <w:t xml:space="preserve">                                                                                                                            </w:t>
      </w:r>
    </w:p>
    <w:sectPr w:rsidR="00DD13E2" w:rsidSect="00E15E8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708" w:rsidRDefault="00E21708" w:rsidP="00E15E85">
      <w:pPr>
        <w:spacing w:after="0" w:line="240" w:lineRule="auto"/>
      </w:pPr>
      <w:r>
        <w:separator/>
      </w:r>
    </w:p>
  </w:endnote>
  <w:endnote w:type="continuationSeparator" w:id="0">
    <w:p w:rsidR="00E21708" w:rsidRDefault="00E2170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A26" w:rsidRPr="000B69FA" w:rsidRDefault="00EF5A26"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53B1">
      <w:rPr>
        <w:rFonts w:ascii="Palatino Linotype" w:hAnsi="Palatino Linotype"/>
        <w:bCs/>
        <w:noProof/>
        <w:sz w:val="20"/>
      </w:rPr>
      <w:t>61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53B1">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A26" w:rsidRPr="000B69FA" w:rsidRDefault="00EF5A26"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53B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53B1">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708" w:rsidRDefault="00E21708" w:rsidP="00E15E85">
      <w:pPr>
        <w:spacing w:after="0" w:line="240" w:lineRule="auto"/>
      </w:pPr>
      <w:r>
        <w:separator/>
      </w:r>
    </w:p>
  </w:footnote>
  <w:footnote w:type="continuationSeparator" w:id="0">
    <w:p w:rsidR="00E21708" w:rsidRDefault="00E21708" w:rsidP="00E15E85">
      <w:pPr>
        <w:spacing w:after="0" w:line="240" w:lineRule="auto"/>
      </w:pPr>
      <w:r>
        <w:continuationSeparator/>
      </w:r>
    </w:p>
  </w:footnote>
  <w:footnote w:id="1">
    <w:p w:rsidR="00EF5A26" w:rsidRPr="00911081" w:rsidRDefault="00EF5A26"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F5A26" w:rsidRPr="00911081" w:rsidRDefault="00EF5A26"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A26" w:rsidRDefault="00EF5A2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F5A26" w:rsidTr="00E15E85">
      <w:trPr>
        <w:trHeight w:val="227"/>
      </w:trPr>
      <w:tc>
        <w:tcPr>
          <w:tcW w:w="5529" w:type="dxa"/>
          <w:hideMark/>
        </w:tcPr>
        <w:p w:rsidR="00EF5A26" w:rsidRDefault="00EF5A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F5A26" w:rsidRPr="00D56BC3" w:rsidRDefault="00EF5A26"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05225</w:t>
          </w:r>
          <w:r w:rsidRPr="0037311B">
            <w:rPr>
              <w:rFonts w:ascii="Palatino Linotype" w:hAnsi="Palatino Linotype" w:cs="Arial"/>
              <w:bCs/>
              <w:sz w:val="24"/>
              <w:lang w:eastAsia="es-MX"/>
            </w:rPr>
            <w:t>/INFOEM/IP/RR/2019</w:t>
          </w:r>
        </w:p>
      </w:tc>
    </w:tr>
    <w:tr w:rsidR="00EF5A26" w:rsidTr="00E15E85">
      <w:trPr>
        <w:trHeight w:val="242"/>
      </w:trPr>
      <w:tc>
        <w:tcPr>
          <w:tcW w:w="5529" w:type="dxa"/>
          <w:hideMark/>
        </w:tcPr>
        <w:p w:rsidR="00EF5A26" w:rsidRDefault="00EF5A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F5A26" w:rsidRPr="005C632B" w:rsidRDefault="00EF5A26" w:rsidP="00BA65E0">
          <w:pPr>
            <w:spacing w:after="120" w:line="256" w:lineRule="auto"/>
            <w:ind w:left="-486" w:right="214" w:firstLine="284"/>
            <w:jc w:val="right"/>
            <w:rPr>
              <w:rFonts w:ascii="Palatino Linotype" w:hAnsi="Palatino Linotype" w:cs="Arial"/>
              <w:sz w:val="24"/>
            </w:rPr>
          </w:pPr>
          <w:r w:rsidRPr="005C632B">
            <w:rPr>
              <w:rFonts w:ascii="Palatino Linotype" w:hAnsi="Palatino Linotype" w:cs="Arial"/>
              <w:sz w:val="24"/>
            </w:rPr>
            <w:t>Ayuntamiento de Valle de Chalco Solidaridad</w:t>
          </w:r>
        </w:p>
      </w:tc>
    </w:tr>
    <w:tr w:rsidR="00EF5A26" w:rsidTr="00E15E85">
      <w:trPr>
        <w:trHeight w:val="342"/>
      </w:trPr>
      <w:tc>
        <w:tcPr>
          <w:tcW w:w="5529" w:type="dxa"/>
          <w:hideMark/>
        </w:tcPr>
        <w:p w:rsidR="00EF5A26" w:rsidRDefault="00EF5A26"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F5A26" w:rsidRPr="005C632B" w:rsidRDefault="00EF5A26" w:rsidP="00E15E85">
          <w:pPr>
            <w:spacing w:after="120" w:line="256" w:lineRule="auto"/>
            <w:ind w:left="-486" w:right="214" w:firstLine="567"/>
            <w:jc w:val="right"/>
            <w:rPr>
              <w:rFonts w:ascii="Palatino Linotype" w:hAnsi="Palatino Linotype" w:cs="Arial"/>
              <w:sz w:val="24"/>
            </w:rPr>
          </w:pPr>
          <w:r w:rsidRPr="005C632B">
            <w:rPr>
              <w:rFonts w:ascii="Palatino Linotype" w:hAnsi="Palatino Linotype" w:cs="Arial"/>
              <w:sz w:val="24"/>
            </w:rPr>
            <w:t>Zulema Martínez Sánchez</w:t>
          </w:r>
        </w:p>
      </w:tc>
    </w:tr>
  </w:tbl>
  <w:p w:rsidR="00EF5A26" w:rsidRDefault="00EF5A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F5A26" w:rsidTr="00E15E85">
      <w:trPr>
        <w:trHeight w:val="227"/>
      </w:trPr>
      <w:tc>
        <w:tcPr>
          <w:tcW w:w="5529" w:type="dxa"/>
          <w:hideMark/>
        </w:tcPr>
        <w:p w:rsidR="00EF5A26" w:rsidRDefault="00EF5A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F5A26" w:rsidRPr="00B4142F" w:rsidRDefault="00EF5A26"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05225/</w:t>
          </w:r>
          <w:r w:rsidRPr="0037311B">
            <w:rPr>
              <w:rFonts w:ascii="Palatino Linotype" w:hAnsi="Palatino Linotype" w:cs="Arial"/>
              <w:bCs/>
              <w:sz w:val="24"/>
              <w:lang w:eastAsia="es-MX"/>
            </w:rPr>
            <w:t>INFOEM/IP/RR/2019</w:t>
          </w:r>
        </w:p>
      </w:tc>
    </w:tr>
    <w:tr w:rsidR="00EF5A26" w:rsidTr="00E15E85">
      <w:trPr>
        <w:trHeight w:val="196"/>
      </w:trPr>
      <w:tc>
        <w:tcPr>
          <w:tcW w:w="5529" w:type="dxa"/>
          <w:hideMark/>
        </w:tcPr>
        <w:p w:rsidR="00EF5A26" w:rsidRDefault="00EF5A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F5A26" w:rsidRPr="00F06FED" w:rsidRDefault="00E153B1" w:rsidP="00E15E85">
          <w:pPr>
            <w:spacing w:after="120" w:line="256" w:lineRule="auto"/>
            <w:ind w:left="-486" w:right="214" w:firstLine="567"/>
            <w:jc w:val="right"/>
            <w:rPr>
              <w:rFonts w:ascii="Palatino Linotype" w:hAnsi="Palatino Linotype" w:cs="Arial"/>
            </w:rPr>
          </w:pPr>
          <w:r>
            <w:rPr>
              <w:rFonts w:ascii="Palatino Linotype" w:hAnsi="Palatino Linotype" w:cs="Arial"/>
              <w:sz w:val="24"/>
              <w:szCs w:val="24"/>
            </w:rPr>
            <w:t>xxxxxxxxxxxx</w:t>
          </w:r>
        </w:p>
      </w:tc>
    </w:tr>
    <w:tr w:rsidR="00EF5A26" w:rsidTr="00E15E85">
      <w:trPr>
        <w:trHeight w:val="242"/>
      </w:trPr>
      <w:tc>
        <w:tcPr>
          <w:tcW w:w="5529" w:type="dxa"/>
          <w:hideMark/>
        </w:tcPr>
        <w:p w:rsidR="00EF5A26" w:rsidRDefault="00EF5A26"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F5A26" w:rsidRPr="005C632B" w:rsidRDefault="00EF5A26" w:rsidP="0015550A">
          <w:pPr>
            <w:spacing w:after="120" w:line="256" w:lineRule="auto"/>
            <w:ind w:left="-495" w:right="214" w:firstLine="567"/>
            <w:jc w:val="right"/>
            <w:rPr>
              <w:rFonts w:ascii="Palatino Linotype" w:hAnsi="Palatino Linotype" w:cs="Arial"/>
              <w:sz w:val="24"/>
            </w:rPr>
          </w:pPr>
          <w:r w:rsidRPr="005C632B">
            <w:rPr>
              <w:rFonts w:ascii="Palatino Linotype" w:hAnsi="Palatino Linotype" w:cs="Arial"/>
              <w:sz w:val="24"/>
            </w:rPr>
            <w:t>Ayuntamiento de Valle de Chalco Solidaridad</w:t>
          </w:r>
        </w:p>
      </w:tc>
    </w:tr>
    <w:tr w:rsidR="00EF5A26" w:rsidTr="00E15E85">
      <w:trPr>
        <w:trHeight w:val="342"/>
      </w:trPr>
      <w:tc>
        <w:tcPr>
          <w:tcW w:w="5529" w:type="dxa"/>
          <w:hideMark/>
        </w:tcPr>
        <w:p w:rsidR="00EF5A26" w:rsidRDefault="00EF5A26"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F5A26" w:rsidRPr="005C632B" w:rsidRDefault="00EF5A26" w:rsidP="00E15E85">
          <w:pPr>
            <w:spacing w:after="120" w:line="256" w:lineRule="auto"/>
            <w:ind w:left="-486" w:right="214" w:firstLine="567"/>
            <w:jc w:val="right"/>
            <w:rPr>
              <w:rFonts w:ascii="Palatino Linotype" w:hAnsi="Palatino Linotype" w:cs="Arial"/>
              <w:sz w:val="24"/>
            </w:rPr>
          </w:pPr>
          <w:r w:rsidRPr="005C632B">
            <w:rPr>
              <w:rFonts w:ascii="Palatino Linotype" w:hAnsi="Palatino Linotype" w:cs="Arial"/>
              <w:sz w:val="24"/>
            </w:rPr>
            <w:t>Zulema Martínez Sánchez</w:t>
          </w:r>
        </w:p>
      </w:tc>
    </w:tr>
  </w:tbl>
  <w:p w:rsidR="00EF5A26" w:rsidRDefault="00EF5A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09B6"/>
    <w:multiLevelType w:val="multilevel"/>
    <w:tmpl w:val="AEE06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D71BC"/>
    <w:multiLevelType w:val="hybridMultilevel"/>
    <w:tmpl w:val="6B1C9CCA"/>
    <w:lvl w:ilvl="0" w:tplc="CBC8692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6546A"/>
    <w:multiLevelType w:val="hybridMultilevel"/>
    <w:tmpl w:val="6F1855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E3048F7"/>
    <w:multiLevelType w:val="hybridMultilevel"/>
    <w:tmpl w:val="D0A49B06"/>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2C35651"/>
    <w:multiLevelType w:val="hybridMultilevel"/>
    <w:tmpl w:val="2A80E556"/>
    <w:lvl w:ilvl="0" w:tplc="080A000F">
      <w:start w:val="1"/>
      <w:numFmt w:val="decimal"/>
      <w:lvlText w:val="%1."/>
      <w:lvlJc w:val="left"/>
      <w:pPr>
        <w:ind w:left="720" w:hanging="720"/>
      </w:pPr>
      <w:rPr>
        <w:rFonts w:hint="default"/>
      </w:rPr>
    </w:lvl>
    <w:lvl w:ilvl="1" w:tplc="080A0019" w:tentative="1">
      <w:start w:val="1"/>
      <w:numFmt w:val="lowerLetter"/>
      <w:lvlText w:val="%2."/>
      <w:lvlJc w:val="left"/>
      <w:pPr>
        <w:ind w:left="24" w:hanging="360"/>
      </w:pPr>
    </w:lvl>
    <w:lvl w:ilvl="2" w:tplc="080A001B" w:tentative="1">
      <w:start w:val="1"/>
      <w:numFmt w:val="lowerRoman"/>
      <w:lvlText w:val="%3."/>
      <w:lvlJc w:val="right"/>
      <w:pPr>
        <w:ind w:left="744" w:hanging="180"/>
      </w:pPr>
    </w:lvl>
    <w:lvl w:ilvl="3" w:tplc="080A000F" w:tentative="1">
      <w:start w:val="1"/>
      <w:numFmt w:val="decimal"/>
      <w:lvlText w:val="%4."/>
      <w:lvlJc w:val="left"/>
      <w:pPr>
        <w:ind w:left="1464" w:hanging="360"/>
      </w:pPr>
    </w:lvl>
    <w:lvl w:ilvl="4" w:tplc="080A0019" w:tentative="1">
      <w:start w:val="1"/>
      <w:numFmt w:val="lowerLetter"/>
      <w:lvlText w:val="%5."/>
      <w:lvlJc w:val="left"/>
      <w:pPr>
        <w:ind w:left="2184" w:hanging="360"/>
      </w:pPr>
    </w:lvl>
    <w:lvl w:ilvl="5" w:tplc="080A001B" w:tentative="1">
      <w:start w:val="1"/>
      <w:numFmt w:val="lowerRoman"/>
      <w:lvlText w:val="%6."/>
      <w:lvlJc w:val="right"/>
      <w:pPr>
        <w:ind w:left="2904" w:hanging="180"/>
      </w:pPr>
    </w:lvl>
    <w:lvl w:ilvl="6" w:tplc="080A000F" w:tentative="1">
      <w:start w:val="1"/>
      <w:numFmt w:val="decimal"/>
      <w:lvlText w:val="%7."/>
      <w:lvlJc w:val="left"/>
      <w:pPr>
        <w:ind w:left="3624" w:hanging="360"/>
      </w:pPr>
    </w:lvl>
    <w:lvl w:ilvl="7" w:tplc="080A0019" w:tentative="1">
      <w:start w:val="1"/>
      <w:numFmt w:val="lowerLetter"/>
      <w:lvlText w:val="%8."/>
      <w:lvlJc w:val="left"/>
      <w:pPr>
        <w:ind w:left="4344" w:hanging="360"/>
      </w:pPr>
    </w:lvl>
    <w:lvl w:ilvl="8" w:tplc="080A001B" w:tentative="1">
      <w:start w:val="1"/>
      <w:numFmt w:val="lowerRoman"/>
      <w:lvlText w:val="%9."/>
      <w:lvlJc w:val="right"/>
      <w:pPr>
        <w:ind w:left="5064" w:hanging="180"/>
      </w:pPr>
    </w:lvl>
  </w:abstractNum>
  <w:abstractNum w:abstractNumId="11"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295E0D"/>
    <w:multiLevelType w:val="multilevel"/>
    <w:tmpl w:val="AA168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2F5107D"/>
    <w:multiLevelType w:val="hybridMultilevel"/>
    <w:tmpl w:val="73E8FF14"/>
    <w:lvl w:ilvl="0" w:tplc="0EFA0958">
      <w:start w:val="1"/>
      <w:numFmt w:val="upperRoman"/>
      <w:lvlText w:val="%1."/>
      <w:lvlJc w:val="left"/>
      <w:pPr>
        <w:ind w:left="200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6C4848"/>
    <w:multiLevelType w:val="hybridMultilevel"/>
    <w:tmpl w:val="1704783C"/>
    <w:lvl w:ilvl="0" w:tplc="69C2A48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7015444"/>
    <w:multiLevelType w:val="hybridMultilevel"/>
    <w:tmpl w:val="701A29DC"/>
    <w:lvl w:ilvl="0" w:tplc="0E2C092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51091F18"/>
    <w:multiLevelType w:val="hybridMultilevel"/>
    <w:tmpl w:val="09A08F64"/>
    <w:lvl w:ilvl="0" w:tplc="0EFA0958">
      <w:start w:val="1"/>
      <w:numFmt w:val="upperRoman"/>
      <w:lvlText w:val="%1."/>
      <w:lvlJc w:val="left"/>
      <w:pPr>
        <w:ind w:left="2007"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157DB9"/>
    <w:multiLevelType w:val="hybridMultilevel"/>
    <w:tmpl w:val="18640776"/>
    <w:numStyleLink w:val="Estiloimportado2"/>
  </w:abstractNum>
  <w:abstractNum w:abstractNumId="27"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490401"/>
    <w:multiLevelType w:val="hybridMultilevel"/>
    <w:tmpl w:val="84868F7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27C43AE"/>
    <w:multiLevelType w:val="hybridMultilevel"/>
    <w:tmpl w:val="4E6E2418"/>
    <w:lvl w:ilvl="0" w:tplc="080A0013">
      <w:start w:val="1"/>
      <w:numFmt w:val="upperRoman"/>
      <w:lvlText w:val="%1."/>
      <w:lvlJc w:val="righ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C494738"/>
    <w:multiLevelType w:val="hybridMultilevel"/>
    <w:tmpl w:val="7C2C31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6"/>
  </w:num>
  <w:num w:numId="3">
    <w:abstractNumId w:val="25"/>
  </w:num>
  <w:num w:numId="4">
    <w:abstractNumId w:val="17"/>
  </w:num>
  <w:num w:numId="5">
    <w:abstractNumId w:val="26"/>
  </w:num>
  <w:num w:numId="6">
    <w:abstractNumId w:val="8"/>
  </w:num>
  <w:num w:numId="7">
    <w:abstractNumId w:val="33"/>
  </w:num>
  <w:num w:numId="8">
    <w:abstractNumId w:val="22"/>
  </w:num>
  <w:num w:numId="9">
    <w:abstractNumId w:val="11"/>
  </w:num>
  <w:num w:numId="10">
    <w:abstractNumId w:val="32"/>
  </w:num>
  <w:num w:numId="11">
    <w:abstractNumId w:val="15"/>
  </w:num>
  <w:num w:numId="12">
    <w:abstractNumId w:val="21"/>
  </w:num>
  <w:num w:numId="13">
    <w:abstractNumId w:val="3"/>
  </w:num>
  <w:num w:numId="14">
    <w:abstractNumId w:val="13"/>
  </w:num>
  <w:num w:numId="15">
    <w:abstractNumId w:val="23"/>
  </w:num>
  <w:num w:numId="16">
    <w:abstractNumId w:val="27"/>
  </w:num>
  <w:num w:numId="17">
    <w:abstractNumId w:val="28"/>
  </w:num>
  <w:num w:numId="18">
    <w:abstractNumId w:val="2"/>
  </w:num>
  <w:num w:numId="19">
    <w:abstractNumId w:val="5"/>
  </w:num>
  <w:num w:numId="20">
    <w:abstractNumId w:val="35"/>
  </w:num>
  <w:num w:numId="21">
    <w:abstractNumId w:val="14"/>
  </w:num>
  <w:num w:numId="22">
    <w:abstractNumId w:val="19"/>
  </w:num>
  <w:num w:numId="23">
    <w:abstractNumId w:val="7"/>
  </w:num>
  <w:num w:numId="24">
    <w:abstractNumId w:val="29"/>
  </w:num>
  <w:num w:numId="25">
    <w:abstractNumId w:val="12"/>
  </w:num>
  <w:num w:numId="26">
    <w:abstractNumId w:val="9"/>
  </w:num>
  <w:num w:numId="27">
    <w:abstractNumId w:val="34"/>
  </w:num>
  <w:num w:numId="28">
    <w:abstractNumId w:val="0"/>
  </w:num>
  <w:num w:numId="29">
    <w:abstractNumId w:val="4"/>
  </w:num>
  <w:num w:numId="30">
    <w:abstractNumId w:val="31"/>
  </w:num>
  <w:num w:numId="31">
    <w:abstractNumId w:val="1"/>
  </w:num>
  <w:num w:numId="32">
    <w:abstractNumId w:val="24"/>
  </w:num>
  <w:num w:numId="33">
    <w:abstractNumId w:val="20"/>
  </w:num>
  <w:num w:numId="34">
    <w:abstractNumId w:val="16"/>
  </w:num>
  <w:num w:numId="35">
    <w:abstractNumId w:val="1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A02"/>
    <w:rsid w:val="00052B19"/>
    <w:rsid w:val="00052D39"/>
    <w:rsid w:val="00053ED1"/>
    <w:rsid w:val="00061BA0"/>
    <w:rsid w:val="00062CBD"/>
    <w:rsid w:val="00064D49"/>
    <w:rsid w:val="00073973"/>
    <w:rsid w:val="00074A99"/>
    <w:rsid w:val="00076643"/>
    <w:rsid w:val="00082DF3"/>
    <w:rsid w:val="00085232"/>
    <w:rsid w:val="00091D98"/>
    <w:rsid w:val="0009633E"/>
    <w:rsid w:val="000B3927"/>
    <w:rsid w:val="000C22EC"/>
    <w:rsid w:val="000C59EE"/>
    <w:rsid w:val="000F019E"/>
    <w:rsid w:val="00113310"/>
    <w:rsid w:val="0011750A"/>
    <w:rsid w:val="0012266D"/>
    <w:rsid w:val="00130D58"/>
    <w:rsid w:val="00142F61"/>
    <w:rsid w:val="00152B26"/>
    <w:rsid w:val="0015550A"/>
    <w:rsid w:val="00162D04"/>
    <w:rsid w:val="00171BD5"/>
    <w:rsid w:val="00183623"/>
    <w:rsid w:val="001B066D"/>
    <w:rsid w:val="001B3E5E"/>
    <w:rsid w:val="001C28D0"/>
    <w:rsid w:val="001C3E01"/>
    <w:rsid w:val="001C3F41"/>
    <w:rsid w:val="001C7069"/>
    <w:rsid w:val="001F295E"/>
    <w:rsid w:val="001F5D0E"/>
    <w:rsid w:val="002052F6"/>
    <w:rsid w:val="00217E99"/>
    <w:rsid w:val="0022069E"/>
    <w:rsid w:val="00223C2F"/>
    <w:rsid w:val="00224181"/>
    <w:rsid w:val="00233D51"/>
    <w:rsid w:val="00240133"/>
    <w:rsid w:val="00253101"/>
    <w:rsid w:val="002606F0"/>
    <w:rsid w:val="0026534C"/>
    <w:rsid w:val="002677ED"/>
    <w:rsid w:val="00287512"/>
    <w:rsid w:val="002902D7"/>
    <w:rsid w:val="00294D34"/>
    <w:rsid w:val="002A1820"/>
    <w:rsid w:val="002A30B2"/>
    <w:rsid w:val="002A6F17"/>
    <w:rsid w:val="002B067A"/>
    <w:rsid w:val="002B144D"/>
    <w:rsid w:val="002B18B0"/>
    <w:rsid w:val="002B7CD8"/>
    <w:rsid w:val="002C1EC5"/>
    <w:rsid w:val="002E3702"/>
    <w:rsid w:val="002F6567"/>
    <w:rsid w:val="003011A8"/>
    <w:rsid w:val="003034F4"/>
    <w:rsid w:val="00307041"/>
    <w:rsid w:val="00317B8A"/>
    <w:rsid w:val="00330A95"/>
    <w:rsid w:val="003341B0"/>
    <w:rsid w:val="00334E11"/>
    <w:rsid w:val="00342A59"/>
    <w:rsid w:val="003452FA"/>
    <w:rsid w:val="0034696E"/>
    <w:rsid w:val="003470B1"/>
    <w:rsid w:val="003474F2"/>
    <w:rsid w:val="00356614"/>
    <w:rsid w:val="0035772D"/>
    <w:rsid w:val="00357BFC"/>
    <w:rsid w:val="0037311B"/>
    <w:rsid w:val="00384AC7"/>
    <w:rsid w:val="00385299"/>
    <w:rsid w:val="0039084D"/>
    <w:rsid w:val="003B465B"/>
    <w:rsid w:val="003C5897"/>
    <w:rsid w:val="003E3297"/>
    <w:rsid w:val="0040048F"/>
    <w:rsid w:val="00401F33"/>
    <w:rsid w:val="004254FE"/>
    <w:rsid w:val="00437C82"/>
    <w:rsid w:val="00470C7E"/>
    <w:rsid w:val="00492244"/>
    <w:rsid w:val="004A2BFB"/>
    <w:rsid w:val="004C3693"/>
    <w:rsid w:val="004E4191"/>
    <w:rsid w:val="004E6DB3"/>
    <w:rsid w:val="004F05B2"/>
    <w:rsid w:val="00523067"/>
    <w:rsid w:val="00527856"/>
    <w:rsid w:val="00527C6A"/>
    <w:rsid w:val="005329E8"/>
    <w:rsid w:val="005733EB"/>
    <w:rsid w:val="0057576D"/>
    <w:rsid w:val="00576C26"/>
    <w:rsid w:val="005820BF"/>
    <w:rsid w:val="00587783"/>
    <w:rsid w:val="005C632B"/>
    <w:rsid w:val="005C7580"/>
    <w:rsid w:val="005D37B9"/>
    <w:rsid w:val="005E6546"/>
    <w:rsid w:val="00611799"/>
    <w:rsid w:val="00614FDD"/>
    <w:rsid w:val="00616784"/>
    <w:rsid w:val="00631B59"/>
    <w:rsid w:val="00653B08"/>
    <w:rsid w:val="00654B56"/>
    <w:rsid w:val="006634EA"/>
    <w:rsid w:val="00673CFD"/>
    <w:rsid w:val="00686F60"/>
    <w:rsid w:val="006A08BA"/>
    <w:rsid w:val="006B2E10"/>
    <w:rsid w:val="006C1A4F"/>
    <w:rsid w:val="006F001B"/>
    <w:rsid w:val="006F2EA8"/>
    <w:rsid w:val="00707CD8"/>
    <w:rsid w:val="00713A19"/>
    <w:rsid w:val="0071620F"/>
    <w:rsid w:val="0073248C"/>
    <w:rsid w:val="00740AC8"/>
    <w:rsid w:val="00755099"/>
    <w:rsid w:val="007654BC"/>
    <w:rsid w:val="0079194D"/>
    <w:rsid w:val="007A0267"/>
    <w:rsid w:val="007A1183"/>
    <w:rsid w:val="007A27B9"/>
    <w:rsid w:val="007A3D09"/>
    <w:rsid w:val="007B2103"/>
    <w:rsid w:val="007C1445"/>
    <w:rsid w:val="007C56AB"/>
    <w:rsid w:val="007C64C1"/>
    <w:rsid w:val="007D276C"/>
    <w:rsid w:val="007D48FA"/>
    <w:rsid w:val="007D62B3"/>
    <w:rsid w:val="007E1AE4"/>
    <w:rsid w:val="007E2959"/>
    <w:rsid w:val="00807D14"/>
    <w:rsid w:val="00820826"/>
    <w:rsid w:val="008234C9"/>
    <w:rsid w:val="00845C1C"/>
    <w:rsid w:val="00856325"/>
    <w:rsid w:val="00872278"/>
    <w:rsid w:val="00875499"/>
    <w:rsid w:val="0087560D"/>
    <w:rsid w:val="00881D0D"/>
    <w:rsid w:val="00891F82"/>
    <w:rsid w:val="00893900"/>
    <w:rsid w:val="008A12F6"/>
    <w:rsid w:val="008A5E77"/>
    <w:rsid w:val="008B34EC"/>
    <w:rsid w:val="008C49AA"/>
    <w:rsid w:val="008D6D31"/>
    <w:rsid w:val="008E0E21"/>
    <w:rsid w:val="008E5141"/>
    <w:rsid w:val="008E7408"/>
    <w:rsid w:val="008F7A52"/>
    <w:rsid w:val="009306B4"/>
    <w:rsid w:val="00943223"/>
    <w:rsid w:val="0094613F"/>
    <w:rsid w:val="009472E2"/>
    <w:rsid w:val="00950056"/>
    <w:rsid w:val="009629A5"/>
    <w:rsid w:val="00980401"/>
    <w:rsid w:val="009838CD"/>
    <w:rsid w:val="00991CC2"/>
    <w:rsid w:val="00994336"/>
    <w:rsid w:val="00997030"/>
    <w:rsid w:val="009A45B6"/>
    <w:rsid w:val="009A4C2C"/>
    <w:rsid w:val="009A6D1C"/>
    <w:rsid w:val="009B76BF"/>
    <w:rsid w:val="009C75A5"/>
    <w:rsid w:val="009D58AE"/>
    <w:rsid w:val="009E3B36"/>
    <w:rsid w:val="009F7948"/>
    <w:rsid w:val="00A27459"/>
    <w:rsid w:val="00A356B2"/>
    <w:rsid w:val="00A459D0"/>
    <w:rsid w:val="00A45C8D"/>
    <w:rsid w:val="00A65C79"/>
    <w:rsid w:val="00A70873"/>
    <w:rsid w:val="00A72F88"/>
    <w:rsid w:val="00A902C6"/>
    <w:rsid w:val="00A92C85"/>
    <w:rsid w:val="00A948EF"/>
    <w:rsid w:val="00A94BCE"/>
    <w:rsid w:val="00AA2CB1"/>
    <w:rsid w:val="00AC1D50"/>
    <w:rsid w:val="00AF15FD"/>
    <w:rsid w:val="00AF385F"/>
    <w:rsid w:val="00B0008F"/>
    <w:rsid w:val="00B04652"/>
    <w:rsid w:val="00B052B4"/>
    <w:rsid w:val="00B10B28"/>
    <w:rsid w:val="00B131CC"/>
    <w:rsid w:val="00B17A1D"/>
    <w:rsid w:val="00B258A2"/>
    <w:rsid w:val="00B34A6D"/>
    <w:rsid w:val="00B355AB"/>
    <w:rsid w:val="00B44BB1"/>
    <w:rsid w:val="00B50BD7"/>
    <w:rsid w:val="00B51395"/>
    <w:rsid w:val="00B54578"/>
    <w:rsid w:val="00B56617"/>
    <w:rsid w:val="00B67466"/>
    <w:rsid w:val="00B73CC5"/>
    <w:rsid w:val="00B73EEE"/>
    <w:rsid w:val="00B74369"/>
    <w:rsid w:val="00BA2458"/>
    <w:rsid w:val="00BA65E0"/>
    <w:rsid w:val="00BA68FA"/>
    <w:rsid w:val="00BB1BD5"/>
    <w:rsid w:val="00BC1280"/>
    <w:rsid w:val="00BC1C0A"/>
    <w:rsid w:val="00BC4EF7"/>
    <w:rsid w:val="00BC59B2"/>
    <w:rsid w:val="00BC5E09"/>
    <w:rsid w:val="00BF5825"/>
    <w:rsid w:val="00C16071"/>
    <w:rsid w:val="00C203E8"/>
    <w:rsid w:val="00C23151"/>
    <w:rsid w:val="00C25BA8"/>
    <w:rsid w:val="00C3114B"/>
    <w:rsid w:val="00C4657C"/>
    <w:rsid w:val="00C56C4E"/>
    <w:rsid w:val="00C61C1C"/>
    <w:rsid w:val="00C6478B"/>
    <w:rsid w:val="00C64C22"/>
    <w:rsid w:val="00C66E70"/>
    <w:rsid w:val="00C80AEF"/>
    <w:rsid w:val="00CA6DA1"/>
    <w:rsid w:val="00CB164F"/>
    <w:rsid w:val="00D120B9"/>
    <w:rsid w:val="00D24D6B"/>
    <w:rsid w:val="00D5302E"/>
    <w:rsid w:val="00D56BC3"/>
    <w:rsid w:val="00D67629"/>
    <w:rsid w:val="00D70FE3"/>
    <w:rsid w:val="00D83D2D"/>
    <w:rsid w:val="00D8485C"/>
    <w:rsid w:val="00D87D47"/>
    <w:rsid w:val="00D9010D"/>
    <w:rsid w:val="00D95936"/>
    <w:rsid w:val="00DB2787"/>
    <w:rsid w:val="00DB584E"/>
    <w:rsid w:val="00DC3B85"/>
    <w:rsid w:val="00DD13E2"/>
    <w:rsid w:val="00DF6F40"/>
    <w:rsid w:val="00E00A82"/>
    <w:rsid w:val="00E10DEE"/>
    <w:rsid w:val="00E11EFA"/>
    <w:rsid w:val="00E153B1"/>
    <w:rsid w:val="00E158AD"/>
    <w:rsid w:val="00E15E85"/>
    <w:rsid w:val="00E16AC8"/>
    <w:rsid w:val="00E21708"/>
    <w:rsid w:val="00E221C1"/>
    <w:rsid w:val="00E30AF5"/>
    <w:rsid w:val="00E34874"/>
    <w:rsid w:val="00E372DA"/>
    <w:rsid w:val="00E44464"/>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EF5A26"/>
    <w:rsid w:val="00F21A2E"/>
    <w:rsid w:val="00F433DC"/>
    <w:rsid w:val="00F77F57"/>
    <w:rsid w:val="00F812A0"/>
    <w:rsid w:val="00F84AE2"/>
    <w:rsid w:val="00F9756D"/>
    <w:rsid w:val="00FA1D2B"/>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36911586">
      <w:bodyDiv w:val="1"/>
      <w:marLeft w:val="0"/>
      <w:marRight w:val="0"/>
      <w:marTop w:val="0"/>
      <w:marBottom w:val="0"/>
      <w:divBdr>
        <w:top w:val="none" w:sz="0" w:space="0" w:color="auto"/>
        <w:left w:val="none" w:sz="0" w:space="0" w:color="auto"/>
        <w:bottom w:val="none" w:sz="0" w:space="0" w:color="auto"/>
        <w:right w:val="none" w:sz="0" w:space="0" w:color="auto"/>
      </w:divBdr>
    </w:div>
    <w:div w:id="639652812">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691564983">
      <w:bodyDiv w:val="1"/>
      <w:marLeft w:val="0"/>
      <w:marRight w:val="0"/>
      <w:marTop w:val="0"/>
      <w:marBottom w:val="0"/>
      <w:divBdr>
        <w:top w:val="none" w:sz="0" w:space="0" w:color="auto"/>
        <w:left w:val="none" w:sz="0" w:space="0" w:color="auto"/>
        <w:bottom w:val="none" w:sz="0" w:space="0" w:color="auto"/>
        <w:right w:val="none" w:sz="0" w:space="0" w:color="auto"/>
      </w:divBdr>
      <w:divsChild>
        <w:div w:id="2004619263">
          <w:marLeft w:val="0"/>
          <w:marRight w:val="0"/>
          <w:marTop w:val="0"/>
          <w:marBottom w:val="0"/>
          <w:divBdr>
            <w:top w:val="none" w:sz="0" w:space="0" w:color="auto"/>
            <w:left w:val="none" w:sz="0" w:space="0" w:color="auto"/>
            <w:bottom w:val="none" w:sz="0" w:space="0" w:color="auto"/>
            <w:right w:val="none" w:sz="0" w:space="0" w:color="auto"/>
          </w:divBdr>
          <w:divsChild>
            <w:div w:id="1740052581">
              <w:marLeft w:val="0"/>
              <w:marRight w:val="0"/>
              <w:marTop w:val="0"/>
              <w:marBottom w:val="0"/>
              <w:divBdr>
                <w:top w:val="none" w:sz="0" w:space="0" w:color="auto"/>
                <w:left w:val="none" w:sz="0" w:space="0" w:color="auto"/>
                <w:bottom w:val="none" w:sz="0" w:space="0" w:color="auto"/>
                <w:right w:val="none" w:sz="0" w:space="0" w:color="auto"/>
              </w:divBdr>
              <w:divsChild>
                <w:div w:id="12248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1892164">
      <w:bodyDiv w:val="1"/>
      <w:marLeft w:val="0"/>
      <w:marRight w:val="0"/>
      <w:marTop w:val="0"/>
      <w:marBottom w:val="0"/>
      <w:divBdr>
        <w:top w:val="none" w:sz="0" w:space="0" w:color="auto"/>
        <w:left w:val="none" w:sz="0" w:space="0" w:color="auto"/>
        <w:bottom w:val="none" w:sz="0" w:space="0" w:color="auto"/>
        <w:right w:val="none" w:sz="0" w:space="0" w:color="auto"/>
      </w:divBdr>
      <w:divsChild>
        <w:div w:id="2121486900">
          <w:marLeft w:val="0"/>
          <w:marRight w:val="0"/>
          <w:marTop w:val="0"/>
          <w:marBottom w:val="0"/>
          <w:divBdr>
            <w:top w:val="none" w:sz="0" w:space="0" w:color="auto"/>
            <w:left w:val="none" w:sz="0" w:space="0" w:color="auto"/>
            <w:bottom w:val="none" w:sz="0" w:space="0" w:color="auto"/>
            <w:right w:val="none" w:sz="0" w:space="0" w:color="auto"/>
          </w:divBdr>
          <w:divsChild>
            <w:div w:id="643244444">
              <w:marLeft w:val="0"/>
              <w:marRight w:val="0"/>
              <w:marTop w:val="0"/>
              <w:marBottom w:val="0"/>
              <w:divBdr>
                <w:top w:val="none" w:sz="0" w:space="0" w:color="auto"/>
                <w:left w:val="none" w:sz="0" w:space="0" w:color="auto"/>
                <w:bottom w:val="none" w:sz="0" w:space="0" w:color="auto"/>
                <w:right w:val="none" w:sz="0" w:space="0" w:color="auto"/>
              </w:divBdr>
              <w:divsChild>
                <w:div w:id="1667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4930005">
      <w:bodyDiv w:val="1"/>
      <w:marLeft w:val="0"/>
      <w:marRight w:val="0"/>
      <w:marTop w:val="0"/>
      <w:marBottom w:val="0"/>
      <w:divBdr>
        <w:top w:val="none" w:sz="0" w:space="0" w:color="auto"/>
        <w:left w:val="none" w:sz="0" w:space="0" w:color="auto"/>
        <w:bottom w:val="none" w:sz="0" w:space="0" w:color="auto"/>
        <w:right w:val="none" w:sz="0" w:space="0" w:color="auto"/>
      </w:divBdr>
    </w:div>
    <w:div w:id="885680263">
      <w:bodyDiv w:val="1"/>
      <w:marLeft w:val="0"/>
      <w:marRight w:val="0"/>
      <w:marTop w:val="0"/>
      <w:marBottom w:val="0"/>
      <w:divBdr>
        <w:top w:val="none" w:sz="0" w:space="0" w:color="auto"/>
        <w:left w:val="none" w:sz="0" w:space="0" w:color="auto"/>
        <w:bottom w:val="none" w:sz="0" w:space="0" w:color="auto"/>
        <w:right w:val="none" w:sz="0" w:space="0" w:color="auto"/>
      </w:divBdr>
      <w:divsChild>
        <w:div w:id="1704598615">
          <w:marLeft w:val="0"/>
          <w:marRight w:val="0"/>
          <w:marTop w:val="0"/>
          <w:marBottom w:val="0"/>
          <w:divBdr>
            <w:top w:val="none" w:sz="0" w:space="0" w:color="auto"/>
            <w:left w:val="none" w:sz="0" w:space="0" w:color="auto"/>
            <w:bottom w:val="none" w:sz="0" w:space="0" w:color="auto"/>
            <w:right w:val="none" w:sz="0" w:space="0" w:color="auto"/>
          </w:divBdr>
          <w:divsChild>
            <w:div w:id="1246114273">
              <w:marLeft w:val="0"/>
              <w:marRight w:val="0"/>
              <w:marTop w:val="0"/>
              <w:marBottom w:val="0"/>
              <w:divBdr>
                <w:top w:val="none" w:sz="0" w:space="0" w:color="auto"/>
                <w:left w:val="none" w:sz="0" w:space="0" w:color="auto"/>
                <w:bottom w:val="none" w:sz="0" w:space="0" w:color="auto"/>
                <w:right w:val="none" w:sz="0" w:space="0" w:color="auto"/>
              </w:divBdr>
              <w:divsChild>
                <w:div w:id="1744529544">
                  <w:marLeft w:val="0"/>
                  <w:marRight w:val="0"/>
                  <w:marTop w:val="0"/>
                  <w:marBottom w:val="0"/>
                  <w:divBdr>
                    <w:top w:val="none" w:sz="0" w:space="0" w:color="auto"/>
                    <w:left w:val="none" w:sz="0" w:space="0" w:color="auto"/>
                    <w:bottom w:val="none" w:sz="0" w:space="0" w:color="auto"/>
                    <w:right w:val="none" w:sz="0" w:space="0" w:color="auto"/>
                  </w:divBdr>
                </w:div>
              </w:divsChild>
            </w:div>
            <w:div w:id="1410618869">
              <w:marLeft w:val="0"/>
              <w:marRight w:val="0"/>
              <w:marTop w:val="0"/>
              <w:marBottom w:val="0"/>
              <w:divBdr>
                <w:top w:val="none" w:sz="0" w:space="0" w:color="auto"/>
                <w:left w:val="none" w:sz="0" w:space="0" w:color="auto"/>
                <w:bottom w:val="none" w:sz="0" w:space="0" w:color="auto"/>
                <w:right w:val="none" w:sz="0" w:space="0" w:color="auto"/>
              </w:divBdr>
              <w:divsChild>
                <w:div w:id="525870024">
                  <w:marLeft w:val="0"/>
                  <w:marRight w:val="0"/>
                  <w:marTop w:val="0"/>
                  <w:marBottom w:val="0"/>
                  <w:divBdr>
                    <w:top w:val="none" w:sz="0" w:space="0" w:color="auto"/>
                    <w:left w:val="none" w:sz="0" w:space="0" w:color="auto"/>
                    <w:bottom w:val="none" w:sz="0" w:space="0" w:color="auto"/>
                    <w:right w:val="none" w:sz="0" w:space="0" w:color="auto"/>
                  </w:divBdr>
                </w:div>
                <w:div w:id="1267689181">
                  <w:marLeft w:val="0"/>
                  <w:marRight w:val="0"/>
                  <w:marTop w:val="0"/>
                  <w:marBottom w:val="0"/>
                  <w:divBdr>
                    <w:top w:val="none" w:sz="0" w:space="0" w:color="auto"/>
                    <w:left w:val="none" w:sz="0" w:space="0" w:color="auto"/>
                    <w:bottom w:val="none" w:sz="0" w:space="0" w:color="auto"/>
                    <w:right w:val="none" w:sz="0" w:space="0" w:color="auto"/>
                  </w:divBdr>
                </w:div>
              </w:divsChild>
            </w:div>
            <w:div w:id="1695957506">
              <w:marLeft w:val="0"/>
              <w:marRight w:val="0"/>
              <w:marTop w:val="0"/>
              <w:marBottom w:val="0"/>
              <w:divBdr>
                <w:top w:val="none" w:sz="0" w:space="0" w:color="auto"/>
                <w:left w:val="none" w:sz="0" w:space="0" w:color="auto"/>
                <w:bottom w:val="none" w:sz="0" w:space="0" w:color="auto"/>
                <w:right w:val="none" w:sz="0" w:space="0" w:color="auto"/>
              </w:divBdr>
              <w:divsChild>
                <w:div w:id="880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885799">
      <w:bodyDiv w:val="1"/>
      <w:marLeft w:val="0"/>
      <w:marRight w:val="0"/>
      <w:marTop w:val="0"/>
      <w:marBottom w:val="0"/>
      <w:divBdr>
        <w:top w:val="none" w:sz="0" w:space="0" w:color="auto"/>
        <w:left w:val="none" w:sz="0" w:space="0" w:color="auto"/>
        <w:bottom w:val="none" w:sz="0" w:space="0" w:color="auto"/>
        <w:right w:val="none" w:sz="0" w:space="0" w:color="auto"/>
      </w:divBdr>
    </w:div>
    <w:div w:id="1068655469">
      <w:bodyDiv w:val="1"/>
      <w:marLeft w:val="0"/>
      <w:marRight w:val="0"/>
      <w:marTop w:val="0"/>
      <w:marBottom w:val="0"/>
      <w:divBdr>
        <w:top w:val="none" w:sz="0" w:space="0" w:color="auto"/>
        <w:left w:val="none" w:sz="0" w:space="0" w:color="auto"/>
        <w:bottom w:val="none" w:sz="0" w:space="0" w:color="auto"/>
        <w:right w:val="none" w:sz="0" w:space="0" w:color="auto"/>
      </w:divBdr>
      <w:divsChild>
        <w:div w:id="1096052348">
          <w:marLeft w:val="0"/>
          <w:marRight w:val="0"/>
          <w:marTop w:val="0"/>
          <w:marBottom w:val="0"/>
          <w:divBdr>
            <w:top w:val="none" w:sz="0" w:space="0" w:color="auto"/>
            <w:left w:val="none" w:sz="0" w:space="0" w:color="auto"/>
            <w:bottom w:val="none" w:sz="0" w:space="0" w:color="auto"/>
            <w:right w:val="none" w:sz="0" w:space="0" w:color="auto"/>
          </w:divBdr>
          <w:divsChild>
            <w:div w:id="1996759945">
              <w:marLeft w:val="0"/>
              <w:marRight w:val="0"/>
              <w:marTop w:val="0"/>
              <w:marBottom w:val="0"/>
              <w:divBdr>
                <w:top w:val="none" w:sz="0" w:space="0" w:color="auto"/>
                <w:left w:val="none" w:sz="0" w:space="0" w:color="auto"/>
                <w:bottom w:val="none" w:sz="0" w:space="0" w:color="auto"/>
                <w:right w:val="none" w:sz="0" w:space="0" w:color="auto"/>
              </w:divBdr>
              <w:divsChild>
                <w:div w:id="17249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6998">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06606124">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365717646">
      <w:bodyDiv w:val="1"/>
      <w:marLeft w:val="0"/>
      <w:marRight w:val="0"/>
      <w:marTop w:val="0"/>
      <w:marBottom w:val="0"/>
      <w:divBdr>
        <w:top w:val="none" w:sz="0" w:space="0" w:color="auto"/>
        <w:left w:val="none" w:sz="0" w:space="0" w:color="auto"/>
        <w:bottom w:val="none" w:sz="0" w:space="0" w:color="auto"/>
        <w:right w:val="none" w:sz="0" w:space="0" w:color="auto"/>
      </w:divBdr>
    </w:div>
    <w:div w:id="1388531875">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76490275">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6619080">
      <w:bodyDiv w:val="1"/>
      <w:marLeft w:val="0"/>
      <w:marRight w:val="0"/>
      <w:marTop w:val="0"/>
      <w:marBottom w:val="0"/>
      <w:divBdr>
        <w:top w:val="none" w:sz="0" w:space="0" w:color="auto"/>
        <w:left w:val="none" w:sz="0" w:space="0" w:color="auto"/>
        <w:bottom w:val="none" w:sz="0" w:space="0" w:color="auto"/>
        <w:right w:val="none" w:sz="0" w:space="0" w:color="auto"/>
      </w:divBdr>
      <w:divsChild>
        <w:div w:id="1554459297">
          <w:marLeft w:val="0"/>
          <w:marRight w:val="0"/>
          <w:marTop w:val="0"/>
          <w:marBottom w:val="0"/>
          <w:divBdr>
            <w:top w:val="none" w:sz="0" w:space="0" w:color="auto"/>
            <w:left w:val="none" w:sz="0" w:space="0" w:color="auto"/>
            <w:bottom w:val="none" w:sz="0" w:space="0" w:color="auto"/>
            <w:right w:val="none" w:sz="0" w:space="0" w:color="auto"/>
          </w:divBdr>
          <w:divsChild>
            <w:div w:id="1641812428">
              <w:marLeft w:val="0"/>
              <w:marRight w:val="0"/>
              <w:marTop w:val="0"/>
              <w:marBottom w:val="0"/>
              <w:divBdr>
                <w:top w:val="none" w:sz="0" w:space="0" w:color="auto"/>
                <w:left w:val="none" w:sz="0" w:space="0" w:color="auto"/>
                <w:bottom w:val="none" w:sz="0" w:space="0" w:color="auto"/>
                <w:right w:val="none" w:sz="0" w:space="0" w:color="auto"/>
              </w:divBdr>
              <w:divsChild>
                <w:div w:id="5774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3648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12913</Words>
  <Characters>71024</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2019-08-29T15:26:00Z</cp:lastPrinted>
  <dcterms:created xsi:type="dcterms:W3CDTF">2019-09-04T22:08:00Z</dcterms:created>
  <dcterms:modified xsi:type="dcterms:W3CDTF">2019-09-04T22:08:00Z</dcterms:modified>
</cp:coreProperties>
</file>