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37AFE" w14:textId="77777777" w:rsidR="00D41132" w:rsidRPr="001818B3" w:rsidRDefault="00D41132" w:rsidP="004C0749">
      <w:pPr>
        <w:widowControl w:val="0"/>
        <w:spacing w:line="360" w:lineRule="auto"/>
        <w:ind w:right="-164"/>
        <w:jc w:val="both"/>
        <w:rPr>
          <w:rFonts w:ascii="Palatino Linotype" w:hAnsi="Palatino Linotype" w:cs="Arial"/>
          <w:b/>
          <w:sz w:val="2"/>
        </w:rPr>
      </w:pPr>
    </w:p>
    <w:p w14:paraId="5A0AA050" w14:textId="6449A06C" w:rsidR="004C0749" w:rsidRPr="00287848" w:rsidRDefault="004C0749" w:rsidP="004C0749">
      <w:pPr>
        <w:widowControl w:val="0"/>
        <w:spacing w:line="360" w:lineRule="auto"/>
        <w:ind w:right="-164"/>
        <w:jc w:val="both"/>
        <w:rPr>
          <w:rFonts w:ascii="Palatino Linotype" w:eastAsia="Calibri" w:hAnsi="Palatino Linotype" w:cs="Arial"/>
          <w:b/>
          <w:color w:val="000000"/>
        </w:rPr>
      </w:pPr>
      <w:r w:rsidRPr="00287848">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w:t>
      </w:r>
      <w:r w:rsidR="005F79DE">
        <w:rPr>
          <w:rFonts w:ascii="Palatino Linotype" w:hAnsi="Palatino Linotype" w:cs="Arial"/>
          <w:b/>
        </w:rPr>
        <w:t>O DE MÉXICO Y MUNICIPIOS, EN LA TRIGÉSIMA TERCERA</w:t>
      </w:r>
      <w:r w:rsidR="00825D68">
        <w:rPr>
          <w:rFonts w:ascii="Palatino Linotype" w:hAnsi="Palatino Linotype" w:cs="Arial"/>
          <w:b/>
        </w:rPr>
        <w:t xml:space="preserve"> </w:t>
      </w:r>
      <w:r w:rsidRPr="00287848">
        <w:rPr>
          <w:rFonts w:ascii="Palatino Linotype" w:hAnsi="Palatino Linotype" w:cs="Arial"/>
          <w:b/>
        </w:rPr>
        <w:t xml:space="preserve">SESIÓN ORDINARIA DEL </w:t>
      </w:r>
      <w:r w:rsidR="005F79DE">
        <w:rPr>
          <w:rFonts w:ascii="Palatino Linotype" w:hAnsi="Palatino Linotype" w:cs="Arial"/>
          <w:b/>
        </w:rPr>
        <w:t>ONCE DE SEPTIEMBRE</w:t>
      </w:r>
      <w:r w:rsidR="00EB2CEE">
        <w:rPr>
          <w:rFonts w:ascii="Palatino Linotype" w:hAnsi="Palatino Linotype" w:cs="Arial"/>
          <w:b/>
        </w:rPr>
        <w:t xml:space="preserve"> DE DOS MIL DIECINUEVE</w:t>
      </w:r>
      <w:r w:rsidRPr="00287848">
        <w:rPr>
          <w:rFonts w:ascii="Palatino Linotype" w:hAnsi="Palatino Linotype" w:cs="Arial"/>
          <w:b/>
        </w:rPr>
        <w:t>, EN EL RECURSO DE REVISIÓN 0</w:t>
      </w:r>
      <w:r w:rsidR="005F79DE">
        <w:rPr>
          <w:rFonts w:ascii="Palatino Linotype" w:hAnsi="Palatino Linotype" w:cs="Arial"/>
          <w:b/>
        </w:rPr>
        <w:t>5329/INFOEM/IP/RR/2019</w:t>
      </w:r>
      <w:r w:rsidRPr="00287848">
        <w:rPr>
          <w:rFonts w:ascii="Palatino Linotype" w:eastAsia="Calibri" w:hAnsi="Palatino Linotype" w:cs="Arial"/>
          <w:b/>
          <w:color w:val="000000"/>
        </w:rPr>
        <w:t>.</w:t>
      </w:r>
      <w:r w:rsidR="00287848">
        <w:rPr>
          <w:rFonts w:ascii="Palatino Linotype" w:eastAsia="Calibri" w:hAnsi="Palatino Linotype" w:cs="Arial"/>
          <w:b/>
          <w:color w:val="000000"/>
        </w:rPr>
        <w:t xml:space="preserve"> </w:t>
      </w:r>
    </w:p>
    <w:p w14:paraId="20822A0F" w14:textId="77777777" w:rsidR="00D41132" w:rsidRPr="00287848" w:rsidRDefault="00D41132" w:rsidP="004C0749">
      <w:pPr>
        <w:widowControl w:val="0"/>
        <w:spacing w:line="360" w:lineRule="auto"/>
        <w:ind w:right="-164"/>
        <w:jc w:val="both"/>
        <w:rPr>
          <w:rFonts w:ascii="Palatino Linotype" w:hAnsi="Palatino Linotype" w:cs="Arial"/>
          <w:b/>
        </w:rPr>
      </w:pPr>
    </w:p>
    <w:p w14:paraId="0F92F505" w14:textId="0D532A09" w:rsidR="004C0749" w:rsidRPr="00287848" w:rsidRDefault="004C0749" w:rsidP="004C0749">
      <w:pPr>
        <w:spacing w:line="360" w:lineRule="auto"/>
        <w:jc w:val="both"/>
        <w:rPr>
          <w:rFonts w:ascii="Palatino Linotype" w:hAnsi="Palatino Linotype" w:cs="Arial"/>
        </w:rPr>
      </w:pPr>
      <w:r w:rsidRPr="00287848">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287848">
        <w:rPr>
          <w:rFonts w:ascii="Palatino Linotype" w:hAnsi="Palatino Linotype" w:cs="Arial"/>
          <w:b/>
        </w:rPr>
        <w:t xml:space="preserve"> EVA ABAID YAPUR </w:t>
      </w:r>
      <w:r w:rsidRPr="00287848">
        <w:rPr>
          <w:rFonts w:ascii="Palatino Linotype" w:hAnsi="Palatino Linotype" w:cs="Arial"/>
        </w:rPr>
        <w:t xml:space="preserve">emite </w:t>
      </w:r>
      <w:r w:rsidRPr="00287848">
        <w:rPr>
          <w:rFonts w:ascii="Palatino Linotype" w:hAnsi="Palatino Linotype" w:cs="Arial"/>
          <w:b/>
        </w:rPr>
        <w:t xml:space="preserve">VOTO PARTICULAR </w:t>
      </w:r>
      <w:r w:rsidRPr="00287848">
        <w:rPr>
          <w:rFonts w:ascii="Palatino Linotype" w:hAnsi="Palatino Linotype" w:cs="Arial"/>
        </w:rPr>
        <w:t xml:space="preserve">respecto de la resolución dictada en el recurso de revisión </w:t>
      </w:r>
      <w:r w:rsidRPr="00287848">
        <w:rPr>
          <w:rFonts w:ascii="Palatino Linotype" w:eastAsia="Calibri" w:hAnsi="Palatino Linotype" w:cs="Arial"/>
          <w:b/>
          <w:color w:val="000000"/>
        </w:rPr>
        <w:t>0</w:t>
      </w:r>
      <w:r w:rsidR="005F79DE">
        <w:rPr>
          <w:rFonts w:ascii="Palatino Linotype" w:eastAsia="Calibri" w:hAnsi="Palatino Linotype" w:cs="Arial"/>
          <w:b/>
          <w:color w:val="000000"/>
        </w:rPr>
        <w:t>5329/INFOEM/IP/RR/2019</w:t>
      </w:r>
      <w:r w:rsidRPr="00287848">
        <w:rPr>
          <w:rFonts w:ascii="Palatino Linotype" w:hAnsi="Palatino Linotype" w:cs="Arial"/>
        </w:rPr>
        <w:t xml:space="preserve">, pronunciada por el Pleno de este Instituto ante el proyecto presentado por </w:t>
      </w:r>
      <w:r w:rsidR="00825D68">
        <w:rPr>
          <w:rFonts w:ascii="Palatino Linotype" w:hAnsi="Palatino Linotype" w:cs="Arial"/>
        </w:rPr>
        <w:t xml:space="preserve">el Comisionado </w:t>
      </w:r>
      <w:r w:rsidRPr="00287848">
        <w:rPr>
          <w:rFonts w:ascii="Palatino Linotype" w:hAnsi="Palatino Linotype" w:cs="Arial"/>
        </w:rPr>
        <w:t xml:space="preserve"> </w:t>
      </w:r>
      <w:r w:rsidR="005F79DE">
        <w:rPr>
          <w:rFonts w:ascii="Palatino Linotype" w:hAnsi="Palatino Linotype" w:cs="Arial"/>
          <w:b/>
        </w:rPr>
        <w:t>JAVIER MARTÍNEZ CRUZ</w:t>
      </w:r>
      <w:r w:rsidR="0059363B">
        <w:rPr>
          <w:rFonts w:ascii="Palatino Linotype" w:hAnsi="Palatino Linotype" w:cs="Arial"/>
        </w:rPr>
        <w:t>, que es del tenor siguiente.</w:t>
      </w:r>
    </w:p>
    <w:p w14:paraId="13CE8A79" w14:textId="77777777" w:rsidR="004C0749" w:rsidRPr="00287848" w:rsidRDefault="004C0749" w:rsidP="004C0749">
      <w:pPr>
        <w:widowControl w:val="0"/>
        <w:spacing w:line="360" w:lineRule="auto"/>
        <w:ind w:right="-164"/>
        <w:jc w:val="both"/>
        <w:rPr>
          <w:rFonts w:ascii="Palatino Linotype" w:hAnsi="Palatino Linotype" w:cs="Arial"/>
        </w:rPr>
      </w:pPr>
    </w:p>
    <w:p w14:paraId="472396B5" w14:textId="6C9D17F3" w:rsidR="00D41132" w:rsidRDefault="004C0749" w:rsidP="00D41132">
      <w:pPr>
        <w:spacing w:line="360" w:lineRule="auto"/>
        <w:jc w:val="both"/>
        <w:rPr>
          <w:rFonts w:ascii="Palatino Linotype" w:hAnsi="Palatino Linotype"/>
        </w:rPr>
      </w:pPr>
      <w:r w:rsidRPr="00287848">
        <w:rPr>
          <w:rFonts w:ascii="Palatino Linotype" w:hAnsi="Palatino Linotype"/>
        </w:rPr>
        <w:t xml:space="preserve">Es de destacar, que la suscrita comparte esencialmente el estudio realizado en la resolución del recurso de revisión; empero, </w:t>
      </w:r>
      <w:r w:rsidR="00B610DB" w:rsidRPr="00287848">
        <w:rPr>
          <w:rFonts w:ascii="Palatino Linotype" w:hAnsi="Palatino Linotype"/>
        </w:rPr>
        <w:t>resulta</w:t>
      </w:r>
      <w:r w:rsidRPr="00287848">
        <w:rPr>
          <w:rFonts w:ascii="Palatino Linotype" w:hAnsi="Palatino Linotype"/>
        </w:rPr>
        <w:t xml:space="preserve"> necesario precisar algunas conside</w:t>
      </w:r>
      <w:r w:rsidR="0059363B">
        <w:rPr>
          <w:rFonts w:ascii="Palatino Linotype" w:hAnsi="Palatino Linotype"/>
        </w:rPr>
        <w:t>raciones de hecho y de derecho.</w:t>
      </w:r>
    </w:p>
    <w:p w14:paraId="683DAA19" w14:textId="77777777" w:rsidR="00D41132" w:rsidRDefault="00D41132" w:rsidP="00D41132">
      <w:pPr>
        <w:spacing w:line="360" w:lineRule="auto"/>
        <w:jc w:val="both"/>
        <w:rPr>
          <w:rFonts w:ascii="Palatino Linotype" w:hAnsi="Palatino Linotype"/>
        </w:rPr>
      </w:pPr>
    </w:p>
    <w:p w14:paraId="25ED9B06" w14:textId="77A1F007" w:rsidR="00265860" w:rsidRDefault="004C0749" w:rsidP="00825D68">
      <w:pPr>
        <w:spacing w:line="360" w:lineRule="auto"/>
        <w:jc w:val="both"/>
        <w:rPr>
          <w:rFonts w:ascii="Palatino Linotype" w:hAnsi="Palatino Linotype"/>
        </w:rPr>
      </w:pPr>
      <w:r w:rsidRPr="00287848">
        <w:rPr>
          <w:rFonts w:ascii="Palatino Linotype" w:hAnsi="Palatino Linotype"/>
        </w:rPr>
        <w:t xml:space="preserve">Al respecto, tal y como quedó debidamente asentado en la resolución materia del presente </w:t>
      </w:r>
      <w:r w:rsidR="00FC7A41">
        <w:rPr>
          <w:rFonts w:ascii="Palatino Linotype" w:hAnsi="Palatino Linotype"/>
        </w:rPr>
        <w:t>voto, el particular requirió de la</w:t>
      </w:r>
      <w:r w:rsidR="0059363B">
        <w:rPr>
          <w:rFonts w:ascii="Palatino Linotype" w:hAnsi="Palatino Linotype"/>
        </w:rPr>
        <w:t xml:space="preserve"> </w:t>
      </w:r>
      <w:r w:rsidR="005F79DE">
        <w:rPr>
          <w:rFonts w:ascii="Palatino Linotype" w:hAnsi="Palatino Linotype" w:cs="Arial"/>
          <w:b/>
        </w:rPr>
        <w:t>Ayuntamiento de Villa del Carbón</w:t>
      </w:r>
      <w:r w:rsidR="007E04FF">
        <w:rPr>
          <w:rFonts w:ascii="Palatino Linotype" w:hAnsi="Palatino Linotype" w:cs="Arial"/>
          <w:b/>
        </w:rPr>
        <w:t>,</w:t>
      </w:r>
      <w:r w:rsidR="0059363B">
        <w:rPr>
          <w:rFonts w:ascii="Palatino Linotype" w:hAnsi="Palatino Linotype"/>
        </w:rPr>
        <w:t xml:space="preserve"> en lo </w:t>
      </w:r>
      <w:r w:rsidR="0059363B">
        <w:rPr>
          <w:rFonts w:ascii="Palatino Linotype" w:hAnsi="Palatino Linotype"/>
        </w:rPr>
        <w:lastRenderedPageBreak/>
        <w:t xml:space="preserve">subsecuente </w:t>
      </w:r>
      <w:r w:rsidR="0059363B" w:rsidRPr="0059363B">
        <w:rPr>
          <w:rFonts w:ascii="Palatino Linotype" w:hAnsi="Palatino Linotype"/>
          <w:b/>
        </w:rPr>
        <w:t>EL</w:t>
      </w:r>
      <w:r w:rsidRPr="00287848">
        <w:rPr>
          <w:rFonts w:ascii="Palatino Linotype" w:hAnsi="Palatino Linotype"/>
        </w:rPr>
        <w:t xml:space="preserve"> </w:t>
      </w:r>
      <w:r w:rsidRPr="00287848">
        <w:rPr>
          <w:rFonts w:ascii="Palatino Linotype" w:hAnsi="Palatino Linotype"/>
          <w:b/>
        </w:rPr>
        <w:t>SUJETO OBLIGADO</w:t>
      </w:r>
      <w:r w:rsidR="00265860" w:rsidRPr="00287848">
        <w:rPr>
          <w:rFonts w:ascii="Palatino Linotype" w:hAnsi="Palatino Linotype"/>
        </w:rPr>
        <w:t xml:space="preserve"> vía SAIMEX, </w:t>
      </w:r>
      <w:r w:rsidR="00825D68">
        <w:rPr>
          <w:rFonts w:ascii="Palatino Linotype" w:hAnsi="Palatino Linotype"/>
        </w:rPr>
        <w:t>le proporcionara</w:t>
      </w:r>
      <w:r w:rsidR="00852422">
        <w:rPr>
          <w:rFonts w:ascii="Palatino Linotype" w:hAnsi="Palatino Linotype"/>
        </w:rPr>
        <w:t xml:space="preserve"> entre otros requerimientos,</w:t>
      </w:r>
      <w:r w:rsidR="00EB2CEE">
        <w:rPr>
          <w:rFonts w:ascii="Palatino Linotype" w:hAnsi="Palatino Linotype"/>
        </w:rPr>
        <w:t xml:space="preserve"> </w:t>
      </w:r>
      <w:r w:rsidR="001126F3">
        <w:rPr>
          <w:rFonts w:ascii="Palatino Linotype" w:hAnsi="Palatino Linotype"/>
        </w:rPr>
        <w:t>la siguiente información:</w:t>
      </w:r>
    </w:p>
    <w:p w14:paraId="069C6C73" w14:textId="005A55C1" w:rsidR="001126F3" w:rsidRPr="005563BC" w:rsidRDefault="001126F3" w:rsidP="001126F3">
      <w:pPr>
        <w:spacing w:before="120" w:after="120"/>
        <w:jc w:val="center"/>
        <w:rPr>
          <w:rFonts w:ascii="Palatino Linotype" w:hAnsi="Palatino Linotype"/>
          <w:i/>
          <w:sz w:val="22"/>
          <w:szCs w:val="22"/>
        </w:rPr>
      </w:pPr>
    </w:p>
    <w:p w14:paraId="6D0F924B" w14:textId="3D989DF2" w:rsidR="001126F3" w:rsidRPr="005563BC" w:rsidRDefault="00852422" w:rsidP="00852422">
      <w:pPr>
        <w:spacing w:before="120" w:after="120"/>
        <w:jc w:val="both"/>
        <w:rPr>
          <w:rFonts w:ascii="Palatino Linotype" w:hAnsi="Palatino Linotype"/>
          <w:i/>
          <w:sz w:val="22"/>
          <w:szCs w:val="22"/>
        </w:rPr>
      </w:pPr>
      <w:r>
        <w:rPr>
          <w:rFonts w:ascii="Palatino Linotype" w:hAnsi="Palatino Linotype"/>
          <w:i/>
          <w:sz w:val="22"/>
          <w:szCs w:val="22"/>
        </w:rPr>
        <w:t>…</w:t>
      </w:r>
    </w:p>
    <w:p w14:paraId="096C34CC" w14:textId="77777777" w:rsidR="001126F3" w:rsidRPr="005563BC" w:rsidRDefault="001126F3" w:rsidP="001126F3">
      <w:pPr>
        <w:spacing w:before="120" w:after="120"/>
        <w:jc w:val="both"/>
        <w:rPr>
          <w:rFonts w:ascii="Palatino Linotype" w:hAnsi="Palatino Linotype"/>
          <w:i/>
          <w:sz w:val="22"/>
          <w:szCs w:val="22"/>
        </w:rPr>
      </w:pPr>
      <w:r w:rsidRPr="005563BC">
        <w:rPr>
          <w:rFonts w:ascii="Palatino Linotype" w:hAnsi="Palatino Linotype"/>
          <w:i/>
          <w:sz w:val="22"/>
          <w:szCs w:val="22"/>
        </w:rPr>
        <w:t>5.- Me proporcionen las bases de licitación que se publicaron y que sirvieron de base para el reemplazo de las luminarias para el ALUMBRADO PÚBLICO en el municipio en los años 2016, 2017, 2018 y los meses que van del año.</w:t>
      </w:r>
    </w:p>
    <w:p w14:paraId="173218CE" w14:textId="77777777" w:rsidR="001126F3" w:rsidRPr="00852422" w:rsidRDefault="001126F3" w:rsidP="001126F3">
      <w:pPr>
        <w:spacing w:before="120" w:after="120"/>
        <w:jc w:val="both"/>
        <w:rPr>
          <w:rFonts w:ascii="Palatino Linotype" w:hAnsi="Palatino Linotype"/>
          <w:b/>
          <w:i/>
          <w:sz w:val="22"/>
          <w:szCs w:val="22"/>
        </w:rPr>
      </w:pPr>
      <w:r w:rsidRPr="00852422">
        <w:rPr>
          <w:rFonts w:ascii="Palatino Linotype" w:hAnsi="Palatino Linotype"/>
          <w:b/>
          <w:i/>
          <w:sz w:val="22"/>
          <w:szCs w:val="22"/>
        </w:rPr>
        <w:t>6.- Solicito me proporciones el número de quejas que se han presentado por inconformidades en el alumbrado público a partir de la sustitución de la Tecnología LED en el municipio.</w:t>
      </w:r>
    </w:p>
    <w:p w14:paraId="77EE4E21" w14:textId="367C0317" w:rsidR="001126F3" w:rsidRDefault="001126F3" w:rsidP="001126F3">
      <w:pPr>
        <w:spacing w:before="120" w:after="120"/>
        <w:jc w:val="both"/>
        <w:rPr>
          <w:rFonts w:ascii="Palatino Linotype" w:hAnsi="Palatino Linotype"/>
          <w:i/>
          <w:sz w:val="22"/>
          <w:szCs w:val="22"/>
        </w:rPr>
      </w:pPr>
      <w:r w:rsidRPr="005563BC">
        <w:rPr>
          <w:rFonts w:ascii="Palatino Linotype" w:hAnsi="Palatino Linotype"/>
          <w:i/>
          <w:sz w:val="22"/>
          <w:szCs w:val="22"/>
        </w:rPr>
        <w:t xml:space="preserve">7.- Solicito me proporcionen información de las luminarias LED que el Gobierno Estatal ha donado en el 2016, 2017, 2018 y 2019, referente </w:t>
      </w:r>
      <w:proofErr w:type="gramStart"/>
      <w:r w:rsidRPr="005563BC">
        <w:rPr>
          <w:rFonts w:ascii="Palatino Linotype" w:hAnsi="Palatino Linotype"/>
          <w:i/>
          <w:sz w:val="22"/>
          <w:szCs w:val="22"/>
        </w:rPr>
        <w:t>a</w:t>
      </w:r>
      <w:proofErr w:type="gramEnd"/>
      <w:r w:rsidRPr="005563BC">
        <w:rPr>
          <w:rFonts w:ascii="Palatino Linotype" w:hAnsi="Palatino Linotype"/>
          <w:i/>
          <w:sz w:val="22"/>
          <w:szCs w:val="22"/>
        </w:rPr>
        <w:t>: ubicación, pot</w:t>
      </w:r>
      <w:r w:rsidR="00852422">
        <w:rPr>
          <w:rFonts w:ascii="Palatino Linotype" w:hAnsi="Palatino Linotype"/>
          <w:i/>
          <w:sz w:val="22"/>
          <w:szCs w:val="22"/>
        </w:rPr>
        <w:t>encia, cantidad, marca y modelo</w:t>
      </w:r>
    </w:p>
    <w:p w14:paraId="30C9CD6D" w14:textId="1BBDD592" w:rsidR="001126F3" w:rsidRDefault="00852422" w:rsidP="00852422">
      <w:pPr>
        <w:spacing w:before="120" w:after="120"/>
        <w:jc w:val="both"/>
        <w:rPr>
          <w:rFonts w:ascii="Palatino Linotype" w:hAnsi="Palatino Linotype"/>
          <w:i/>
          <w:sz w:val="22"/>
          <w:szCs w:val="22"/>
        </w:rPr>
      </w:pPr>
      <w:r>
        <w:rPr>
          <w:rFonts w:ascii="Palatino Linotype" w:hAnsi="Palatino Linotype"/>
          <w:i/>
          <w:sz w:val="22"/>
          <w:szCs w:val="22"/>
        </w:rPr>
        <w:t>…</w:t>
      </w:r>
    </w:p>
    <w:p w14:paraId="701E724B" w14:textId="77777777" w:rsidR="008A441C" w:rsidRPr="008A441C" w:rsidRDefault="008A441C" w:rsidP="008A441C">
      <w:pPr>
        <w:pStyle w:val="Prrafodelista"/>
        <w:ind w:left="1414" w:right="757"/>
        <w:jc w:val="both"/>
        <w:rPr>
          <w:rFonts w:ascii="Palatino Linotype" w:eastAsia="Calibri" w:hAnsi="Palatino Linotype" w:cs="Arial"/>
          <w:i/>
          <w:sz w:val="22"/>
          <w:szCs w:val="22"/>
        </w:rPr>
      </w:pPr>
    </w:p>
    <w:p w14:paraId="33BDF29B" w14:textId="198C5131" w:rsidR="008A441C" w:rsidRDefault="00064A5C" w:rsidP="00346AFD">
      <w:pPr>
        <w:spacing w:line="360" w:lineRule="auto"/>
        <w:jc w:val="both"/>
        <w:rPr>
          <w:rFonts w:ascii="Palatino Linotype" w:hAnsi="Palatino Linotype"/>
        </w:rPr>
      </w:pPr>
      <w:r>
        <w:rPr>
          <w:rFonts w:ascii="Palatino Linotype" w:hAnsi="Palatino Linotype" w:cs="Arial"/>
        </w:rPr>
        <w:t>Del expediente electrónico se desprende que</w:t>
      </w:r>
      <w:r w:rsidR="004C0749" w:rsidRPr="00287848">
        <w:rPr>
          <w:rFonts w:ascii="Palatino Linotype" w:hAnsi="Palatino Linotype" w:cs="Arial"/>
        </w:rPr>
        <w:t xml:space="preserve">, </w:t>
      </w:r>
      <w:r w:rsidR="004C0749" w:rsidRPr="00287848">
        <w:rPr>
          <w:rFonts w:ascii="Palatino Linotype" w:hAnsi="Palatino Linotype" w:cs="Arial"/>
          <w:b/>
        </w:rPr>
        <w:t>EL SUJETO OBLIGADO</w:t>
      </w:r>
      <w:r w:rsidR="008A441C">
        <w:rPr>
          <w:rFonts w:ascii="Palatino Linotype" w:hAnsi="Palatino Linotype" w:cs="Arial"/>
        </w:rPr>
        <w:t xml:space="preserve"> </w:t>
      </w:r>
      <w:r w:rsidR="00EB2CEE">
        <w:rPr>
          <w:rFonts w:ascii="Palatino Linotype" w:hAnsi="Palatino Linotype" w:cs="Arial"/>
        </w:rPr>
        <w:t xml:space="preserve">a través de su respuesta, </w:t>
      </w:r>
      <w:r w:rsidR="00EB2CEE" w:rsidRPr="00C71D53">
        <w:rPr>
          <w:rFonts w:ascii="Palatino Linotype" w:hAnsi="Palatino Linotype" w:cs="Arial"/>
        </w:rPr>
        <w:t xml:space="preserve">proporcionó </w:t>
      </w:r>
      <w:r w:rsidR="001126F3">
        <w:rPr>
          <w:rFonts w:ascii="Palatino Linotype" w:hAnsi="Palatino Linotype" w:cs="Arial"/>
        </w:rPr>
        <w:t>diversa documentación encaminada a satisfacer el derecho de acceso a la información pública accionado por el particular.</w:t>
      </w:r>
    </w:p>
    <w:p w14:paraId="615FD0E8" w14:textId="77777777" w:rsidR="00FC7A41" w:rsidRDefault="00FC7A41" w:rsidP="00346AFD">
      <w:pPr>
        <w:spacing w:line="360" w:lineRule="auto"/>
        <w:jc w:val="both"/>
        <w:rPr>
          <w:rFonts w:ascii="Palatino Linotype" w:hAnsi="Palatino Linotype"/>
        </w:rPr>
      </w:pPr>
    </w:p>
    <w:p w14:paraId="336ED261" w14:textId="47C2DE0D" w:rsidR="00FC7A41" w:rsidRPr="00FC7A41" w:rsidRDefault="00FC7A41" w:rsidP="001126F3">
      <w:pPr>
        <w:spacing w:line="360" w:lineRule="auto"/>
        <w:jc w:val="both"/>
        <w:rPr>
          <w:rFonts w:ascii="Palatino Linotype" w:hAnsi="Palatino Linotype" w:cs="Arial"/>
          <w:i/>
          <w:sz w:val="22"/>
          <w:szCs w:val="22"/>
        </w:rPr>
      </w:pPr>
      <w:r>
        <w:rPr>
          <w:rFonts w:ascii="Palatino Linotype" w:hAnsi="Palatino Linotype"/>
        </w:rPr>
        <w:t xml:space="preserve">Inconforme con la respuesta del </w:t>
      </w:r>
      <w:r w:rsidRPr="00FC7A41">
        <w:rPr>
          <w:rFonts w:ascii="Palatino Linotype" w:hAnsi="Palatino Linotype"/>
          <w:b/>
        </w:rPr>
        <w:t>SUJETO OBLIGADO</w:t>
      </w:r>
      <w:r>
        <w:rPr>
          <w:rFonts w:ascii="Palatino Linotype" w:hAnsi="Palatino Linotype"/>
          <w:b/>
        </w:rPr>
        <w:t xml:space="preserve">, </w:t>
      </w:r>
      <w:r>
        <w:rPr>
          <w:rFonts w:ascii="Palatino Linotype" w:hAnsi="Palatino Linotype"/>
        </w:rPr>
        <w:t>el particular interpuso el recurso de revisión de mérito, manifestando</w:t>
      </w:r>
      <w:r w:rsidR="001126F3">
        <w:rPr>
          <w:rFonts w:ascii="Palatino Linotype" w:hAnsi="Palatino Linotype"/>
        </w:rPr>
        <w:t xml:space="preserve"> medularmente</w:t>
      </w:r>
      <w:r>
        <w:rPr>
          <w:rFonts w:ascii="Palatino Linotype" w:hAnsi="Palatino Linotype"/>
        </w:rPr>
        <w:t xml:space="preserve"> como razones y motivos de inconformidad</w:t>
      </w:r>
      <w:r w:rsidR="001126F3">
        <w:rPr>
          <w:rFonts w:ascii="Palatino Linotype" w:hAnsi="Palatino Linotype"/>
        </w:rPr>
        <w:t xml:space="preserve"> que no se le había dado respuesta a la totalidad de las preguntas formuladas en la solicitud.</w:t>
      </w:r>
    </w:p>
    <w:p w14:paraId="71F210A8" w14:textId="77777777" w:rsidR="0050311A" w:rsidRPr="00287848" w:rsidRDefault="0050311A" w:rsidP="00346AFD">
      <w:pPr>
        <w:spacing w:line="360" w:lineRule="auto"/>
        <w:jc w:val="both"/>
        <w:rPr>
          <w:rFonts w:ascii="Palatino Linotype" w:hAnsi="Palatino Linotype" w:cs="Arial"/>
        </w:rPr>
      </w:pPr>
    </w:p>
    <w:p w14:paraId="7A5ECB05" w14:textId="7538224C" w:rsidR="00FC7A41" w:rsidRDefault="00FC7A41" w:rsidP="004C0749">
      <w:pPr>
        <w:spacing w:line="360" w:lineRule="auto"/>
        <w:jc w:val="both"/>
        <w:rPr>
          <w:rFonts w:ascii="Palatino Linotype" w:hAnsi="Palatino Linotype" w:cs="Arial"/>
        </w:rPr>
      </w:pPr>
      <w:r>
        <w:rPr>
          <w:rFonts w:ascii="Palatino Linotype" w:hAnsi="Palatino Linotype" w:cs="Arial"/>
        </w:rPr>
        <w:t xml:space="preserve">De lo anterior, se desprende del expediente electrónico que </w:t>
      </w:r>
      <w:r w:rsidRPr="00FC7A41">
        <w:rPr>
          <w:rFonts w:ascii="Palatino Linotype" w:hAnsi="Palatino Linotype" w:cs="Arial"/>
          <w:b/>
        </w:rPr>
        <w:t>EL SUJETO OBLIGADO</w:t>
      </w:r>
      <w:r>
        <w:rPr>
          <w:rFonts w:ascii="Palatino Linotype" w:hAnsi="Palatino Linotype" w:cs="Arial"/>
          <w:b/>
        </w:rPr>
        <w:t xml:space="preserve">, </w:t>
      </w:r>
      <w:r>
        <w:rPr>
          <w:rFonts w:ascii="Palatino Linotype" w:hAnsi="Palatino Linotype" w:cs="Arial"/>
        </w:rPr>
        <w:t>rindió su Informe Justificad</w:t>
      </w:r>
      <w:r w:rsidR="00852422">
        <w:rPr>
          <w:rFonts w:ascii="Palatino Linotype" w:hAnsi="Palatino Linotype" w:cs="Arial"/>
        </w:rPr>
        <w:t>o en donde medularmente ratificó</w:t>
      </w:r>
      <w:r>
        <w:rPr>
          <w:rFonts w:ascii="Palatino Linotype" w:hAnsi="Palatino Linotype" w:cs="Arial"/>
        </w:rPr>
        <w:t xml:space="preserve"> su respuesta.</w:t>
      </w:r>
    </w:p>
    <w:p w14:paraId="05810B6A" w14:textId="77777777" w:rsidR="00FC7A41" w:rsidRPr="00FC7A41" w:rsidRDefault="00FC7A41" w:rsidP="004C0749">
      <w:pPr>
        <w:spacing w:line="360" w:lineRule="auto"/>
        <w:jc w:val="both"/>
        <w:rPr>
          <w:rFonts w:ascii="Palatino Linotype" w:hAnsi="Palatino Linotype" w:cs="Arial"/>
        </w:rPr>
      </w:pPr>
    </w:p>
    <w:p w14:paraId="4EF462E5" w14:textId="2F073377" w:rsidR="004C0749" w:rsidRPr="00287848" w:rsidRDefault="004C0749" w:rsidP="0005363D">
      <w:pPr>
        <w:spacing w:line="360" w:lineRule="auto"/>
        <w:jc w:val="both"/>
        <w:rPr>
          <w:rFonts w:ascii="Palatino Linotype" w:hAnsi="Palatino Linotype" w:cs="Arial"/>
          <w:b/>
        </w:rPr>
      </w:pPr>
      <w:r w:rsidRPr="00287848">
        <w:rPr>
          <w:rFonts w:ascii="Palatino Linotype" w:hAnsi="Palatino Linotype" w:cs="Arial"/>
        </w:rPr>
        <w:lastRenderedPageBreak/>
        <w:t xml:space="preserve">Así, del estudio </w:t>
      </w:r>
      <w:r w:rsidR="00DC7173" w:rsidRPr="00287848">
        <w:rPr>
          <w:rFonts w:ascii="Palatino Linotype" w:hAnsi="Palatino Linotype" w:cs="Arial"/>
        </w:rPr>
        <w:t>realizado al</w:t>
      </w:r>
      <w:r w:rsidRPr="00287848">
        <w:rPr>
          <w:rFonts w:ascii="Palatino Linotype" w:hAnsi="Palatino Linotype"/>
        </w:rPr>
        <w:t xml:space="preserve"> expediente electrónico</w:t>
      </w:r>
      <w:r w:rsidRPr="00287848">
        <w:rPr>
          <w:rFonts w:ascii="Palatino Linotype" w:hAnsi="Palatino Linotype" w:cs="Arial"/>
        </w:rPr>
        <w:t xml:space="preserve">, la Ponencia </w:t>
      </w:r>
      <w:proofErr w:type="spellStart"/>
      <w:r w:rsidRPr="00287848">
        <w:rPr>
          <w:rFonts w:ascii="Palatino Linotype" w:hAnsi="Palatino Linotype" w:cs="Arial"/>
        </w:rPr>
        <w:t>Resolutora</w:t>
      </w:r>
      <w:proofErr w:type="spellEnd"/>
      <w:r w:rsidRPr="00287848">
        <w:rPr>
          <w:rFonts w:ascii="Palatino Linotype" w:hAnsi="Palatino Linotype" w:cs="Arial"/>
        </w:rPr>
        <w:t xml:space="preserve"> determinó </w:t>
      </w:r>
      <w:r w:rsidR="00EB2CEE">
        <w:rPr>
          <w:rFonts w:ascii="Palatino Linotype" w:hAnsi="Palatino Linotype" w:cs="Arial"/>
          <w:b/>
        </w:rPr>
        <w:t>MODIFICAR</w:t>
      </w:r>
      <w:r w:rsidRPr="00287848">
        <w:rPr>
          <w:rFonts w:ascii="Palatino Linotype" w:hAnsi="Palatino Linotype" w:cs="Arial"/>
        </w:rPr>
        <w:t xml:space="preserve"> la respuesta del </w:t>
      </w:r>
      <w:r w:rsidR="00852422">
        <w:rPr>
          <w:rFonts w:ascii="Palatino Linotype" w:hAnsi="Palatino Linotype" w:cs="Arial"/>
          <w:b/>
        </w:rPr>
        <w:t>SUJETO OBLIGADO,</w:t>
      </w:r>
      <w:r w:rsidRPr="00287848">
        <w:rPr>
          <w:rFonts w:ascii="Palatino Linotype" w:hAnsi="Palatino Linotype" w:cs="Arial"/>
        </w:rPr>
        <w:t xml:space="preserve"> </w:t>
      </w:r>
      <w:r w:rsidR="0005363D">
        <w:rPr>
          <w:rFonts w:ascii="Palatino Linotype" w:hAnsi="Palatino Linotype" w:cs="Arial"/>
        </w:rPr>
        <w:t xml:space="preserve">ordenándole </w:t>
      </w:r>
      <w:r w:rsidR="0005363D" w:rsidRPr="008924ED">
        <w:rPr>
          <w:rFonts w:ascii="Palatino Linotype" w:hAnsi="Palatino Linotype" w:cs="Arial"/>
        </w:rPr>
        <w:t xml:space="preserve">al </w:t>
      </w:r>
      <w:r w:rsidR="0005363D" w:rsidRPr="0005363D">
        <w:rPr>
          <w:rFonts w:ascii="Palatino Linotype" w:hAnsi="Palatino Linotype" w:cs="Arial"/>
          <w:b/>
        </w:rPr>
        <w:t>SUJETO OBLIGADO</w:t>
      </w:r>
      <w:r w:rsidR="00852422">
        <w:rPr>
          <w:rFonts w:ascii="Palatino Linotype" w:hAnsi="Palatino Linotype" w:cs="Arial"/>
        </w:rPr>
        <w:t xml:space="preserve"> atendiera</w:t>
      </w:r>
      <w:r w:rsidR="0005363D" w:rsidRPr="008924ED">
        <w:rPr>
          <w:rFonts w:ascii="Palatino Linotype" w:hAnsi="Palatino Linotype" w:cs="Arial"/>
        </w:rPr>
        <w:t xml:space="preserve"> la solicitud de información número </w:t>
      </w:r>
      <w:r w:rsidR="0005363D" w:rsidRPr="008924ED">
        <w:rPr>
          <w:rFonts w:ascii="Palatino Linotype" w:eastAsiaTheme="minorEastAsia" w:hAnsi="Palatino Linotype" w:cs="Arial"/>
          <w:b/>
        </w:rPr>
        <w:t>00</w:t>
      </w:r>
      <w:r w:rsidR="0005363D">
        <w:rPr>
          <w:rFonts w:ascii="Palatino Linotype" w:eastAsiaTheme="minorEastAsia" w:hAnsi="Palatino Linotype" w:cs="Arial"/>
          <w:b/>
        </w:rPr>
        <w:t>069</w:t>
      </w:r>
      <w:r w:rsidR="0005363D" w:rsidRPr="008924ED">
        <w:rPr>
          <w:rFonts w:ascii="Palatino Linotype" w:eastAsiaTheme="minorEastAsia" w:hAnsi="Palatino Linotype" w:cs="Arial"/>
          <w:b/>
        </w:rPr>
        <w:t>/</w:t>
      </w:r>
      <w:r w:rsidR="0005363D">
        <w:rPr>
          <w:rFonts w:ascii="Palatino Linotype" w:eastAsiaTheme="minorEastAsia" w:hAnsi="Palatino Linotype" w:cs="Arial"/>
          <w:b/>
        </w:rPr>
        <w:t>VICARBO</w:t>
      </w:r>
      <w:r w:rsidR="0005363D" w:rsidRPr="008924ED">
        <w:rPr>
          <w:rFonts w:ascii="Palatino Linotype" w:eastAsiaTheme="minorEastAsia" w:hAnsi="Palatino Linotype" w:cs="Arial"/>
          <w:b/>
        </w:rPr>
        <w:t>/IP/2019</w:t>
      </w:r>
      <w:r w:rsidR="0005363D" w:rsidRPr="008924ED">
        <w:rPr>
          <w:rFonts w:ascii="Palatino Linotype" w:hAnsi="Palatino Linotype"/>
          <w:bCs/>
        </w:rPr>
        <w:t xml:space="preserve">, </w:t>
      </w:r>
      <w:r w:rsidR="00852422">
        <w:rPr>
          <w:rFonts w:ascii="Palatino Linotype" w:hAnsi="Palatino Linotype"/>
          <w:bCs/>
        </w:rPr>
        <w:t>e hiciera</w:t>
      </w:r>
      <w:r w:rsidR="0005363D" w:rsidRPr="008924ED">
        <w:rPr>
          <w:rFonts w:ascii="Palatino Linotype" w:hAnsi="Palatino Linotype" w:cs="Arial"/>
        </w:rPr>
        <w:t xml:space="preserve"> entrega vía SAIMEX previa búsqueda exhaustiva y razonable, en versión pública de resultar procedente, en términos de los Considerandos CUARTO y QUINTO de </w:t>
      </w:r>
      <w:r w:rsidR="0005363D">
        <w:rPr>
          <w:rFonts w:ascii="Palatino Linotype" w:hAnsi="Palatino Linotype" w:cs="Arial"/>
        </w:rPr>
        <w:t xml:space="preserve">la </w:t>
      </w:r>
      <w:r w:rsidR="0005363D" w:rsidRPr="008924ED">
        <w:rPr>
          <w:rFonts w:ascii="Palatino Linotype" w:hAnsi="Palatino Linotype" w:cs="Arial"/>
        </w:rPr>
        <w:t>resolución, al mayor grado de desagregación posible, lo siguiente:</w:t>
      </w:r>
    </w:p>
    <w:p w14:paraId="48DBA761"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b/>
          <w:i/>
          <w:sz w:val="22"/>
          <w:szCs w:val="22"/>
        </w:rPr>
      </w:pPr>
      <w:r w:rsidRPr="0005363D">
        <w:rPr>
          <w:rFonts w:ascii="Palatino Linotype" w:hAnsi="Palatino Linotype"/>
          <w:bCs/>
          <w:i/>
          <w:sz w:val="22"/>
          <w:szCs w:val="22"/>
        </w:rPr>
        <w:t>La expresión documental, que dé cuenta de las vías principales y ejes viales, vías primarias y colectores, vías secundarias residenciales tipo A, vías secundarias residenciales tipo B, vías residenciales tipo C y áreas verdes, plazas y techumbres, el número de luminarias en cada una de ellas y las luminarias que se remplazaron o cambiaron</w:t>
      </w:r>
      <w:r w:rsidRPr="0005363D">
        <w:rPr>
          <w:rFonts w:ascii="Palatino Linotype" w:hAnsi="Palatino Linotype"/>
          <w:b/>
          <w:i/>
          <w:sz w:val="22"/>
          <w:szCs w:val="22"/>
        </w:rPr>
        <w:t>, del primero de enero del dos mil dieciséis al treinta y uno de marzo del dos mil diecinueve.</w:t>
      </w:r>
    </w:p>
    <w:p w14:paraId="2DB108D5" w14:textId="77777777" w:rsidR="0005363D" w:rsidRPr="0005363D" w:rsidRDefault="0005363D" w:rsidP="0005363D">
      <w:pPr>
        <w:pStyle w:val="Prrafodelista"/>
        <w:numPr>
          <w:ilvl w:val="0"/>
          <w:numId w:val="26"/>
        </w:numPr>
        <w:spacing w:after="240"/>
        <w:ind w:right="757"/>
        <w:contextualSpacing w:val="0"/>
        <w:jc w:val="both"/>
        <w:rPr>
          <w:rFonts w:ascii="Palatino Linotype" w:hAnsi="Palatino Linotype" w:cs="Arial"/>
          <w:b/>
          <w:i/>
          <w:sz w:val="22"/>
          <w:szCs w:val="22"/>
          <w:shd w:val="clear" w:color="auto" w:fill="FFFFFF"/>
        </w:rPr>
      </w:pPr>
      <w:r w:rsidRPr="0005363D">
        <w:rPr>
          <w:rFonts w:ascii="Palatino Linotype" w:hAnsi="Palatino Linotype" w:cs="Arial"/>
          <w:b/>
          <w:i/>
          <w:sz w:val="22"/>
          <w:szCs w:val="22"/>
          <w:shd w:val="clear" w:color="auto" w:fill="FFFFFF"/>
        </w:rPr>
        <w:t>Del periodo del uno de enero de dos mil trece al dos de mayo de dos mil diecinueve:</w:t>
      </w:r>
    </w:p>
    <w:p w14:paraId="7BACAFFD"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cs="Arial"/>
          <w:i/>
          <w:sz w:val="22"/>
          <w:szCs w:val="22"/>
          <w:shd w:val="clear" w:color="auto" w:fill="FFFFFF"/>
        </w:rPr>
      </w:pPr>
      <w:r w:rsidRPr="0005363D">
        <w:rPr>
          <w:rFonts w:ascii="Palatino Linotype" w:hAnsi="Palatino Linotype" w:cs="Arial"/>
          <w:i/>
          <w:sz w:val="22"/>
          <w:szCs w:val="22"/>
        </w:rPr>
        <w:t>Soporte documental en donde conste la partida (s) presupuestal (es) y los monto (s) que se pagaron para mantenimiento del sistema de alumbrado público.</w:t>
      </w:r>
    </w:p>
    <w:p w14:paraId="2AE86A3B"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cs="Arial"/>
          <w:i/>
          <w:sz w:val="22"/>
          <w:szCs w:val="22"/>
          <w:shd w:val="clear" w:color="auto" w:fill="FFFFFF"/>
        </w:rPr>
      </w:pPr>
      <w:r w:rsidRPr="0005363D">
        <w:rPr>
          <w:rFonts w:ascii="Palatino Linotype" w:hAnsi="Palatino Linotype" w:cs="Arial"/>
          <w:i/>
          <w:sz w:val="22"/>
          <w:szCs w:val="22"/>
          <w:shd w:val="clear" w:color="auto" w:fill="FFFFFF"/>
        </w:rPr>
        <w:t>En el supuesto de haberse realizado proyectos de electrificación para ampliar el sistema de alumbrado público, el documento o documentos en donde conste: el monto total de la inversión, tipo o fuente de financiamiento, cantidad de equipos colocados y/o sustituidos, tipo de equipos, ubicación, fecha de inicio y término de la obra así como la fecha de modificación de nuevo consumo en el sistema de facturación de alumbrado público, el medio de publicación de los proyectos y de ser posible la capacidad instalada.</w:t>
      </w:r>
    </w:p>
    <w:p w14:paraId="314033E0"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cs="Arial"/>
          <w:i/>
          <w:sz w:val="22"/>
          <w:szCs w:val="22"/>
          <w:shd w:val="clear" w:color="auto" w:fill="FFFFFF"/>
        </w:rPr>
      </w:pPr>
      <w:r w:rsidRPr="0005363D">
        <w:rPr>
          <w:rFonts w:ascii="Palatino Linotype" w:hAnsi="Palatino Linotype" w:cs="Arial"/>
          <w:i/>
          <w:sz w:val="22"/>
          <w:szCs w:val="22"/>
          <w:shd w:val="clear" w:color="auto" w:fill="FFFFFF"/>
        </w:rPr>
        <w:t>Documento o documentos donde se desprenda el número de solicitudes para ampliar el sistema de alumbrado público mediante proyectos de electrificación, así como las atendidas y concluidas.</w:t>
      </w:r>
    </w:p>
    <w:p w14:paraId="0712D512"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cs="Arial"/>
          <w:i/>
          <w:sz w:val="22"/>
          <w:szCs w:val="22"/>
          <w:shd w:val="clear" w:color="auto" w:fill="FFFFFF"/>
        </w:rPr>
      </w:pPr>
      <w:r w:rsidRPr="0005363D">
        <w:rPr>
          <w:rFonts w:ascii="Palatino Linotype" w:hAnsi="Palatino Linotype" w:cs="Arial"/>
          <w:i/>
          <w:sz w:val="22"/>
          <w:szCs w:val="22"/>
          <w:shd w:val="clear" w:color="auto" w:fill="FFFFFF"/>
        </w:rPr>
        <w:t>Soporte documental que contenga el (los) importe (s) recaudado (s) por la CFE por concepto de DAP a favor del Sujeto Obligado.</w:t>
      </w:r>
    </w:p>
    <w:p w14:paraId="7884CBF5"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cs="Arial"/>
          <w:i/>
          <w:sz w:val="22"/>
          <w:szCs w:val="22"/>
          <w:shd w:val="clear" w:color="auto" w:fill="FFFFFF"/>
        </w:rPr>
      </w:pPr>
      <w:r w:rsidRPr="0005363D">
        <w:rPr>
          <w:rFonts w:ascii="Palatino Linotype" w:hAnsi="Palatino Linotype" w:cs="Arial"/>
          <w:i/>
          <w:sz w:val="22"/>
          <w:szCs w:val="22"/>
          <w:shd w:val="clear" w:color="auto" w:fill="FFFFFF"/>
        </w:rPr>
        <w:lastRenderedPageBreak/>
        <w:t>Documento o documentos donde conste el número de juicios y/o controversias promovidos por particulares, por el cobro del Derecho de Alumbrado Público, que en su caso contenga el sentido de la resolución.</w:t>
      </w:r>
    </w:p>
    <w:p w14:paraId="19916D98" w14:textId="77777777" w:rsidR="0005363D" w:rsidRPr="0005363D" w:rsidRDefault="0005363D" w:rsidP="0005363D">
      <w:pPr>
        <w:pStyle w:val="Prrafodelista"/>
        <w:numPr>
          <w:ilvl w:val="0"/>
          <w:numId w:val="26"/>
        </w:numPr>
        <w:spacing w:after="240"/>
        <w:ind w:right="757"/>
        <w:contextualSpacing w:val="0"/>
        <w:jc w:val="both"/>
        <w:rPr>
          <w:rFonts w:ascii="Palatino Linotype" w:hAnsi="Palatino Linotype" w:cs="Arial"/>
          <w:b/>
          <w:bCs/>
          <w:i/>
          <w:sz w:val="22"/>
          <w:szCs w:val="22"/>
          <w:shd w:val="clear" w:color="auto" w:fill="FFFFFF"/>
        </w:rPr>
      </w:pPr>
      <w:r w:rsidRPr="0005363D">
        <w:rPr>
          <w:rFonts w:ascii="Palatino Linotype" w:hAnsi="Palatino Linotype"/>
          <w:b/>
          <w:bCs/>
          <w:i/>
          <w:sz w:val="22"/>
          <w:szCs w:val="22"/>
        </w:rPr>
        <w:t>Del periodo comprendido el primero de enero al treinta y uno de diciembre del dos mil dieciséis, y del primero de enero del dos mil dieciocho al dos de mayo de dos mil diecinueve.</w:t>
      </w:r>
    </w:p>
    <w:p w14:paraId="7B260FCC"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cs="Arial"/>
          <w:b/>
          <w:bCs/>
          <w:i/>
          <w:sz w:val="22"/>
          <w:szCs w:val="22"/>
          <w:shd w:val="clear" w:color="auto" w:fill="FFFFFF"/>
        </w:rPr>
      </w:pPr>
      <w:r w:rsidRPr="0005363D">
        <w:rPr>
          <w:rFonts w:ascii="Palatino Linotype" w:hAnsi="Palatino Linotype" w:cs="Arial"/>
          <w:i/>
          <w:sz w:val="22"/>
          <w:szCs w:val="22"/>
        </w:rPr>
        <w:t>Documento o documentos en donde conste el número de luminarias remplazadas, sustituidas, arregladas o transformadas a tecnología Leed, que incluya el posible número de lámparas, marca y potencia.</w:t>
      </w:r>
    </w:p>
    <w:p w14:paraId="7E38EC0F" w14:textId="77777777" w:rsidR="0005363D" w:rsidRPr="0005363D" w:rsidRDefault="0005363D" w:rsidP="0005363D">
      <w:pPr>
        <w:pStyle w:val="Prrafodelista"/>
        <w:numPr>
          <w:ilvl w:val="0"/>
          <w:numId w:val="26"/>
        </w:numPr>
        <w:spacing w:after="240"/>
        <w:ind w:right="757"/>
        <w:contextualSpacing w:val="0"/>
        <w:jc w:val="both"/>
        <w:rPr>
          <w:rFonts w:ascii="Palatino Linotype" w:hAnsi="Palatino Linotype" w:cs="Arial"/>
          <w:b/>
          <w:bCs/>
          <w:i/>
          <w:sz w:val="22"/>
          <w:szCs w:val="22"/>
          <w:shd w:val="clear" w:color="auto" w:fill="FFFFFF"/>
        </w:rPr>
      </w:pPr>
      <w:r w:rsidRPr="0005363D">
        <w:rPr>
          <w:rFonts w:ascii="Palatino Linotype" w:hAnsi="Palatino Linotype" w:cs="Arial"/>
          <w:b/>
          <w:bCs/>
          <w:i/>
          <w:sz w:val="22"/>
          <w:szCs w:val="22"/>
          <w:shd w:val="clear" w:color="auto" w:fill="FFFFFF"/>
        </w:rPr>
        <w:t>Del periodo del primero de enero al treinta y uno de diciembre del año dos mil diecisiete.</w:t>
      </w:r>
    </w:p>
    <w:p w14:paraId="68C4EB77"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i/>
          <w:sz w:val="22"/>
          <w:szCs w:val="22"/>
        </w:rPr>
      </w:pPr>
      <w:r w:rsidRPr="0005363D">
        <w:rPr>
          <w:rFonts w:ascii="Palatino Linotype" w:hAnsi="Palatino Linotype"/>
          <w:i/>
          <w:sz w:val="22"/>
          <w:szCs w:val="22"/>
        </w:rPr>
        <w:t>Documento o documentos en donde conste la tecnología, marca de las luminarias remplazadas, señaladas en la respuesta.</w:t>
      </w:r>
    </w:p>
    <w:p w14:paraId="658A2359" w14:textId="77777777" w:rsidR="0005363D" w:rsidRPr="0005363D" w:rsidRDefault="0005363D" w:rsidP="0005363D">
      <w:pPr>
        <w:pStyle w:val="Prrafodelista"/>
        <w:numPr>
          <w:ilvl w:val="0"/>
          <w:numId w:val="26"/>
        </w:numPr>
        <w:spacing w:after="240"/>
        <w:ind w:right="757"/>
        <w:contextualSpacing w:val="0"/>
        <w:jc w:val="both"/>
        <w:rPr>
          <w:rFonts w:ascii="Palatino Linotype" w:hAnsi="Palatino Linotype"/>
          <w:b/>
          <w:bCs/>
          <w:i/>
          <w:sz w:val="22"/>
          <w:szCs w:val="22"/>
        </w:rPr>
      </w:pPr>
      <w:r w:rsidRPr="0005363D">
        <w:rPr>
          <w:rFonts w:ascii="Palatino Linotype" w:hAnsi="Palatino Linotype"/>
          <w:b/>
          <w:bCs/>
          <w:i/>
          <w:sz w:val="22"/>
          <w:szCs w:val="22"/>
        </w:rPr>
        <w:t>Del periodo comprendido del primero de enero del año dos mil trece al treinta y uno de diciembre del año dos mil dieciséis y del primero de enero del año dos mil dieciocho al dos de mayo del dos mil diecinueve.</w:t>
      </w:r>
    </w:p>
    <w:p w14:paraId="7F7AF57B"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cs="Arial"/>
          <w:i/>
          <w:sz w:val="22"/>
          <w:szCs w:val="22"/>
          <w:shd w:val="clear" w:color="auto" w:fill="FFFFFF"/>
        </w:rPr>
      </w:pPr>
      <w:r w:rsidRPr="0005363D">
        <w:rPr>
          <w:rFonts w:ascii="Palatino Linotype" w:hAnsi="Palatino Linotype" w:cs="Arial"/>
          <w:i/>
          <w:sz w:val="22"/>
          <w:szCs w:val="22"/>
        </w:rPr>
        <w:t>Documento o documentos en donde conste el número de luminarias sustituidas, arregladas o transformadas, así como sus características y lugar de ubicación, derivado del mantenimiento preventivo o correctivo del sistema de alumbrado público.</w:t>
      </w:r>
    </w:p>
    <w:p w14:paraId="2B285BF5" w14:textId="77777777" w:rsidR="0005363D" w:rsidRPr="0005363D" w:rsidRDefault="0005363D" w:rsidP="0005363D">
      <w:pPr>
        <w:pStyle w:val="Prrafodelista"/>
        <w:numPr>
          <w:ilvl w:val="0"/>
          <w:numId w:val="26"/>
        </w:numPr>
        <w:spacing w:after="240"/>
        <w:ind w:right="757"/>
        <w:contextualSpacing w:val="0"/>
        <w:jc w:val="both"/>
        <w:rPr>
          <w:rFonts w:ascii="Palatino Linotype" w:hAnsi="Palatino Linotype" w:cs="Arial"/>
          <w:b/>
          <w:bCs/>
          <w:i/>
          <w:sz w:val="22"/>
          <w:szCs w:val="22"/>
          <w:shd w:val="clear" w:color="auto" w:fill="FFFFFF"/>
        </w:rPr>
      </w:pPr>
      <w:r w:rsidRPr="0005363D">
        <w:rPr>
          <w:rFonts w:ascii="Palatino Linotype" w:hAnsi="Palatino Linotype" w:cs="Arial"/>
          <w:b/>
          <w:bCs/>
          <w:i/>
          <w:sz w:val="22"/>
          <w:szCs w:val="22"/>
          <w:shd w:val="clear" w:color="auto" w:fill="FFFFFF"/>
        </w:rPr>
        <w:t>Del periodo comprendido del primero de enero al treinta y uno de diciembre del dos mil diecisiete.</w:t>
      </w:r>
    </w:p>
    <w:p w14:paraId="465C8B9D"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cs="Arial"/>
          <w:i/>
          <w:sz w:val="22"/>
          <w:szCs w:val="22"/>
          <w:shd w:val="clear" w:color="auto" w:fill="FFFFFF"/>
        </w:rPr>
      </w:pPr>
      <w:r w:rsidRPr="0005363D">
        <w:rPr>
          <w:rFonts w:ascii="Palatino Linotype" w:hAnsi="Palatino Linotype" w:cs="Arial"/>
          <w:i/>
          <w:sz w:val="22"/>
          <w:szCs w:val="22"/>
          <w:shd w:val="clear" w:color="auto" w:fill="FFFFFF"/>
        </w:rPr>
        <w:t>Las características y lugares (avenidas y calles) de las luminarias remplazadas señaladas en respuesta.</w:t>
      </w:r>
    </w:p>
    <w:p w14:paraId="6764D60E" w14:textId="77777777" w:rsidR="0005363D" w:rsidRPr="0005363D" w:rsidRDefault="0005363D" w:rsidP="0005363D">
      <w:pPr>
        <w:pStyle w:val="Prrafodelista"/>
        <w:numPr>
          <w:ilvl w:val="0"/>
          <w:numId w:val="26"/>
        </w:numPr>
        <w:spacing w:after="240"/>
        <w:ind w:right="757"/>
        <w:contextualSpacing w:val="0"/>
        <w:jc w:val="both"/>
        <w:rPr>
          <w:rFonts w:ascii="Palatino Linotype" w:hAnsi="Palatino Linotype" w:cs="Arial"/>
          <w:b/>
          <w:bCs/>
          <w:i/>
          <w:sz w:val="22"/>
          <w:szCs w:val="22"/>
          <w:shd w:val="clear" w:color="auto" w:fill="FFFFFF"/>
        </w:rPr>
      </w:pPr>
      <w:r w:rsidRPr="0005363D">
        <w:rPr>
          <w:rFonts w:ascii="Palatino Linotype" w:hAnsi="Palatino Linotype" w:cs="Arial"/>
          <w:b/>
          <w:bCs/>
          <w:i/>
          <w:sz w:val="22"/>
          <w:szCs w:val="22"/>
          <w:shd w:val="clear" w:color="auto" w:fill="FFFFFF"/>
        </w:rPr>
        <w:t>Del periodo comprendido del primero de enero del año dos mil trece al treinta y uno de diciembre del año dos mil quince y primero de enero al dos de mayo del año dos mil diecinueve.</w:t>
      </w:r>
    </w:p>
    <w:p w14:paraId="2274D6FE"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cs="Arial"/>
          <w:i/>
          <w:sz w:val="22"/>
          <w:szCs w:val="22"/>
          <w:shd w:val="clear" w:color="auto" w:fill="FFFFFF"/>
        </w:rPr>
      </w:pPr>
      <w:r w:rsidRPr="0005363D">
        <w:rPr>
          <w:rFonts w:ascii="Palatino Linotype" w:hAnsi="Palatino Linotype" w:cs="Arial"/>
          <w:i/>
          <w:sz w:val="22"/>
          <w:szCs w:val="22"/>
          <w:shd w:val="clear" w:color="auto" w:fill="FFFFFF"/>
        </w:rPr>
        <w:t xml:space="preserve">En el supuesto de haberse realizado proyectos de modernización de alumbrado público, el documento o documentos en donde conste: el monto total de la inversión, tipo o fuente de financiamiento, cantidad de equipos colocados y/o sustituidos, tipo de equipos, </w:t>
      </w:r>
      <w:r w:rsidRPr="0005363D">
        <w:rPr>
          <w:rFonts w:ascii="Palatino Linotype" w:hAnsi="Palatino Linotype" w:cs="Arial"/>
          <w:i/>
          <w:sz w:val="22"/>
          <w:szCs w:val="22"/>
          <w:shd w:val="clear" w:color="auto" w:fill="FFFFFF"/>
        </w:rPr>
        <w:lastRenderedPageBreak/>
        <w:t>ubicación, fecha de inicio y término de la obra, la fecha de modificación de nuevo consumo en el sistema de facturación de alumbrado público, tipo de contrato celebrado, número y nombre de empresas concursantes o convocadas, criterios de selección utilizados por el comité de adquisiciones para elegir a la empresa contratada, el acta de cabildo en la que se autoriza el proyecto y de ser posible la capacidad instalada y georreferenciación de cada uno de los puntos de luz del nuevo alumbrado.</w:t>
      </w:r>
    </w:p>
    <w:p w14:paraId="77688412" w14:textId="77777777" w:rsidR="0005363D" w:rsidRPr="0005363D" w:rsidRDefault="0005363D" w:rsidP="0005363D">
      <w:pPr>
        <w:pStyle w:val="Prrafodelista"/>
        <w:numPr>
          <w:ilvl w:val="0"/>
          <w:numId w:val="26"/>
        </w:numPr>
        <w:spacing w:before="240" w:after="240"/>
        <w:ind w:right="757"/>
        <w:contextualSpacing w:val="0"/>
        <w:jc w:val="both"/>
        <w:rPr>
          <w:rFonts w:ascii="Palatino Linotype" w:eastAsiaTheme="minorEastAsia" w:hAnsi="Palatino Linotype" w:cs="Arial"/>
          <w:b/>
          <w:bCs/>
          <w:i/>
          <w:sz w:val="22"/>
          <w:szCs w:val="22"/>
        </w:rPr>
      </w:pPr>
      <w:r w:rsidRPr="0005363D">
        <w:rPr>
          <w:rFonts w:ascii="Palatino Linotype" w:eastAsiaTheme="minorEastAsia" w:hAnsi="Palatino Linotype" w:cs="Arial"/>
          <w:b/>
          <w:bCs/>
          <w:i/>
          <w:sz w:val="22"/>
          <w:szCs w:val="22"/>
        </w:rPr>
        <w:t>Del periodo comprendido del primero de enero del año dos mil dieciséis al treinta y uno de diciembre del año dos mil dieciocho.</w:t>
      </w:r>
    </w:p>
    <w:p w14:paraId="7F9F9069"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cs="Arial"/>
          <w:b/>
          <w:i/>
          <w:sz w:val="22"/>
          <w:szCs w:val="22"/>
          <w:shd w:val="clear" w:color="auto" w:fill="FFFFFF"/>
        </w:rPr>
      </w:pPr>
      <w:r w:rsidRPr="0005363D">
        <w:rPr>
          <w:rFonts w:ascii="Palatino Linotype" w:hAnsi="Palatino Linotype" w:cs="Arial"/>
          <w:i/>
          <w:sz w:val="22"/>
          <w:szCs w:val="22"/>
          <w:shd w:val="clear" w:color="auto" w:fill="FFFFFF"/>
        </w:rPr>
        <w:t>Los</w:t>
      </w:r>
      <w:r w:rsidRPr="0005363D">
        <w:rPr>
          <w:rFonts w:ascii="Palatino Linotype" w:eastAsiaTheme="minorEastAsia" w:hAnsi="Palatino Linotype" w:cs="Arial"/>
          <w:i/>
          <w:sz w:val="22"/>
          <w:szCs w:val="22"/>
        </w:rPr>
        <w:t xml:space="preserve"> proyectos para la sustitución o modernización del sistema de alumbrado público.</w:t>
      </w:r>
    </w:p>
    <w:p w14:paraId="2773FF50" w14:textId="77777777" w:rsidR="0005363D" w:rsidRPr="0005363D" w:rsidRDefault="0005363D" w:rsidP="0005363D">
      <w:pPr>
        <w:pStyle w:val="Prrafodelista"/>
        <w:numPr>
          <w:ilvl w:val="0"/>
          <w:numId w:val="25"/>
        </w:numPr>
        <w:spacing w:after="240"/>
        <w:ind w:right="757"/>
        <w:contextualSpacing w:val="0"/>
        <w:jc w:val="both"/>
        <w:rPr>
          <w:rFonts w:ascii="Palatino Linotype" w:hAnsi="Palatino Linotype" w:cs="Arial"/>
          <w:b/>
          <w:i/>
          <w:sz w:val="22"/>
          <w:szCs w:val="22"/>
          <w:shd w:val="clear" w:color="auto" w:fill="FFFFFF"/>
        </w:rPr>
      </w:pPr>
      <w:r w:rsidRPr="0005363D">
        <w:rPr>
          <w:rFonts w:ascii="Palatino Linotype" w:hAnsi="Palatino Linotype" w:cs="Arial"/>
          <w:b/>
          <w:i/>
          <w:sz w:val="22"/>
          <w:szCs w:val="22"/>
          <w:shd w:val="clear" w:color="auto" w:fill="FFFFFF"/>
        </w:rPr>
        <w:t>Del periodo del uno de enero de dos mil catorce al treinta de abril de dos mil diecinueve:</w:t>
      </w:r>
    </w:p>
    <w:p w14:paraId="28165A95"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cs="Arial"/>
          <w:i/>
          <w:sz w:val="22"/>
          <w:szCs w:val="22"/>
          <w:shd w:val="clear" w:color="auto" w:fill="FFFFFF"/>
        </w:rPr>
      </w:pPr>
      <w:r w:rsidRPr="0005363D">
        <w:rPr>
          <w:rFonts w:ascii="Palatino Linotype" w:hAnsi="Palatino Linotype" w:cs="Arial"/>
          <w:i/>
          <w:sz w:val="22"/>
          <w:szCs w:val="22"/>
          <w:shd w:val="clear" w:color="auto" w:fill="FFFFFF"/>
        </w:rPr>
        <w:t>Cantidad recaudada por derechos de alumbrado público.</w:t>
      </w:r>
    </w:p>
    <w:p w14:paraId="7C9DDAA5"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cs="Arial"/>
          <w:i/>
          <w:sz w:val="22"/>
          <w:szCs w:val="22"/>
          <w:shd w:val="clear" w:color="auto" w:fill="FFFFFF"/>
        </w:rPr>
      </w:pPr>
      <w:r w:rsidRPr="0005363D">
        <w:rPr>
          <w:rFonts w:ascii="Palatino Linotype" w:hAnsi="Palatino Linotype"/>
          <w:i/>
          <w:sz w:val="22"/>
          <w:szCs w:val="22"/>
        </w:rPr>
        <w:t>Saldo a favor del Municipio por concepto de derecho de alumbrado público.</w:t>
      </w:r>
    </w:p>
    <w:p w14:paraId="4ED9E7F2"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cs="Arial"/>
          <w:i/>
          <w:sz w:val="22"/>
          <w:szCs w:val="22"/>
          <w:shd w:val="clear" w:color="auto" w:fill="FFFFFF"/>
        </w:rPr>
      </w:pPr>
      <w:r w:rsidRPr="0005363D">
        <w:rPr>
          <w:rFonts w:ascii="Palatino Linotype" w:hAnsi="Palatino Linotype" w:cs="Arial"/>
          <w:i/>
          <w:sz w:val="22"/>
          <w:szCs w:val="22"/>
          <w:shd w:val="clear" w:color="auto" w:fill="FFFFFF"/>
        </w:rPr>
        <w:t>Documento o documentos en donde conste los estados de cuenta por concepto de alumbrado público facturado por la CFE.</w:t>
      </w:r>
    </w:p>
    <w:p w14:paraId="18A4206F"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cs="Arial"/>
          <w:i/>
          <w:sz w:val="22"/>
          <w:szCs w:val="22"/>
          <w:shd w:val="clear" w:color="auto" w:fill="FFFFFF"/>
        </w:rPr>
      </w:pPr>
      <w:r w:rsidRPr="0005363D">
        <w:rPr>
          <w:rFonts w:ascii="Palatino Linotype" w:hAnsi="Palatino Linotype" w:cs="Arial"/>
          <w:i/>
          <w:sz w:val="22"/>
          <w:szCs w:val="22"/>
          <w:shd w:val="clear" w:color="auto" w:fill="FFFFFF"/>
        </w:rPr>
        <w:t>El soporte documental en el que conste, en su caso, el número de empresas a las que se adjudicaron contratos por cumplir con las más de 100 000 horas de vida útil del luminario solicitado; así como los certificados de cumplimiento y propuestas económicas.</w:t>
      </w:r>
    </w:p>
    <w:p w14:paraId="6B7CFCEA" w14:textId="77777777" w:rsidR="0005363D" w:rsidRPr="0005363D" w:rsidRDefault="0005363D" w:rsidP="0005363D">
      <w:pPr>
        <w:pStyle w:val="Prrafodelista"/>
        <w:numPr>
          <w:ilvl w:val="0"/>
          <w:numId w:val="25"/>
        </w:numPr>
        <w:spacing w:after="240"/>
        <w:ind w:right="757"/>
        <w:contextualSpacing w:val="0"/>
        <w:jc w:val="both"/>
        <w:rPr>
          <w:rFonts w:ascii="Palatino Linotype" w:hAnsi="Palatino Linotype" w:cs="Arial"/>
          <w:b/>
          <w:bCs/>
          <w:i/>
          <w:sz w:val="22"/>
          <w:szCs w:val="22"/>
          <w:shd w:val="clear" w:color="auto" w:fill="FFFFFF"/>
        </w:rPr>
      </w:pPr>
      <w:r w:rsidRPr="0005363D">
        <w:rPr>
          <w:rFonts w:ascii="Palatino Linotype" w:hAnsi="Palatino Linotype" w:cs="Arial"/>
          <w:b/>
          <w:bCs/>
          <w:i/>
          <w:sz w:val="22"/>
          <w:szCs w:val="22"/>
          <w:shd w:val="clear" w:color="auto" w:fill="FFFFFF"/>
        </w:rPr>
        <w:t>Del periodo comprendido del primero de enero del dos mil catorce al veintinueve de noviembre del año 2018 y del dos de marzo al treinta de abril del dos mil diecinueve</w:t>
      </w:r>
    </w:p>
    <w:p w14:paraId="34FF9EDC"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cs="Arial"/>
          <w:i/>
          <w:sz w:val="22"/>
          <w:szCs w:val="22"/>
          <w:shd w:val="clear" w:color="auto" w:fill="FFFFFF"/>
        </w:rPr>
      </w:pPr>
      <w:r w:rsidRPr="0005363D">
        <w:rPr>
          <w:rFonts w:ascii="Palatino Linotype" w:hAnsi="Palatino Linotype"/>
          <w:i/>
          <w:iCs/>
          <w:sz w:val="22"/>
          <w:szCs w:val="22"/>
        </w:rPr>
        <w:t>Los recibos emitidos mes con mes por la Comisión Federal de electricidad.</w:t>
      </w:r>
    </w:p>
    <w:p w14:paraId="4D7E2F85"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cs="Arial"/>
          <w:i/>
          <w:sz w:val="22"/>
          <w:szCs w:val="22"/>
          <w:shd w:val="clear" w:color="auto" w:fill="FFFFFF"/>
        </w:rPr>
      </w:pPr>
      <w:r w:rsidRPr="0005363D">
        <w:rPr>
          <w:rFonts w:ascii="Palatino Linotype" w:hAnsi="Palatino Linotype" w:cs="Arial"/>
          <w:i/>
          <w:sz w:val="22"/>
          <w:szCs w:val="22"/>
        </w:rPr>
        <w:t>Los Monto (s) erogado (s) y pagado (s) para cubrir las facturas por concepto de consumo de energía eléctrica</w:t>
      </w:r>
    </w:p>
    <w:p w14:paraId="7CF1D3BC" w14:textId="77777777" w:rsidR="0005363D" w:rsidRPr="0005363D" w:rsidRDefault="0005363D" w:rsidP="0005363D">
      <w:pPr>
        <w:pStyle w:val="Prrafodelista"/>
        <w:numPr>
          <w:ilvl w:val="0"/>
          <w:numId w:val="25"/>
        </w:numPr>
        <w:spacing w:after="240"/>
        <w:ind w:right="757"/>
        <w:contextualSpacing w:val="0"/>
        <w:jc w:val="both"/>
        <w:rPr>
          <w:rFonts w:ascii="Palatino Linotype" w:hAnsi="Palatino Linotype" w:cs="Arial"/>
          <w:b/>
          <w:bCs/>
          <w:i/>
          <w:sz w:val="22"/>
          <w:szCs w:val="22"/>
          <w:shd w:val="clear" w:color="auto" w:fill="FFFFFF"/>
        </w:rPr>
      </w:pPr>
      <w:r w:rsidRPr="0005363D">
        <w:rPr>
          <w:rFonts w:ascii="Palatino Linotype" w:hAnsi="Palatino Linotype" w:cs="Arial"/>
          <w:b/>
          <w:bCs/>
          <w:i/>
          <w:sz w:val="22"/>
          <w:szCs w:val="22"/>
          <w:shd w:val="clear" w:color="auto" w:fill="FFFFFF"/>
        </w:rPr>
        <w:t>Del periodo comprendido del primero de enero del año dos mil trece al treinta y uno de diciembre del año dos mil dieciocho.</w:t>
      </w:r>
    </w:p>
    <w:p w14:paraId="6454CC01"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cs="Arial"/>
          <w:i/>
          <w:sz w:val="22"/>
          <w:szCs w:val="22"/>
          <w:shd w:val="clear" w:color="auto" w:fill="FFFFFF"/>
        </w:rPr>
      </w:pPr>
      <w:r w:rsidRPr="0005363D">
        <w:rPr>
          <w:rFonts w:ascii="Palatino Linotype" w:hAnsi="Palatino Linotype" w:cs="Arial"/>
          <w:i/>
          <w:sz w:val="22"/>
          <w:szCs w:val="22"/>
          <w:shd w:val="clear" w:color="auto" w:fill="FFFFFF"/>
        </w:rPr>
        <w:t>Convenio (s) para recaudar el Derecho de Alumbrado Público celebrado con la Comisión Federal de Electricidad.</w:t>
      </w:r>
    </w:p>
    <w:p w14:paraId="2423342E" w14:textId="77777777" w:rsidR="0005363D" w:rsidRPr="0005363D" w:rsidRDefault="0005363D" w:rsidP="0005363D">
      <w:pPr>
        <w:pStyle w:val="Prrafodelista"/>
        <w:numPr>
          <w:ilvl w:val="0"/>
          <w:numId w:val="24"/>
        </w:numPr>
        <w:spacing w:after="240"/>
        <w:ind w:right="757"/>
        <w:contextualSpacing w:val="0"/>
        <w:jc w:val="both"/>
        <w:rPr>
          <w:rFonts w:ascii="Palatino Linotype" w:hAnsi="Palatino Linotype" w:cs="Arial"/>
          <w:b/>
          <w:i/>
          <w:sz w:val="22"/>
          <w:szCs w:val="22"/>
          <w:shd w:val="clear" w:color="auto" w:fill="FFFFFF"/>
        </w:rPr>
      </w:pPr>
      <w:r w:rsidRPr="0005363D">
        <w:rPr>
          <w:rFonts w:ascii="Palatino Linotype" w:hAnsi="Palatino Linotype" w:cs="Arial"/>
          <w:b/>
          <w:i/>
          <w:sz w:val="22"/>
          <w:szCs w:val="22"/>
          <w:shd w:val="clear" w:color="auto" w:fill="FFFFFF"/>
        </w:rPr>
        <w:t>Del periodo del uno de enero de dos mil dieciséis al dos de mayo de dos mil diecinueve:</w:t>
      </w:r>
    </w:p>
    <w:p w14:paraId="75959F2D"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bCs/>
          <w:i/>
          <w:sz w:val="22"/>
          <w:szCs w:val="22"/>
        </w:rPr>
      </w:pPr>
      <w:r w:rsidRPr="0005363D">
        <w:rPr>
          <w:rFonts w:ascii="Palatino Linotype" w:hAnsi="Palatino Linotype"/>
          <w:bCs/>
          <w:i/>
          <w:sz w:val="22"/>
          <w:szCs w:val="22"/>
        </w:rPr>
        <w:t>Documento que contenga la ubicación, potencia, cantidad, marca y modelo de las luminarias LED que el Gobierno Estatal ha donado al Municipio.</w:t>
      </w:r>
    </w:p>
    <w:p w14:paraId="080872B8"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cs="Arial"/>
          <w:bCs/>
          <w:i/>
          <w:sz w:val="22"/>
          <w:szCs w:val="22"/>
          <w:shd w:val="clear" w:color="auto" w:fill="FFFFFF"/>
        </w:rPr>
      </w:pPr>
      <w:r w:rsidRPr="0005363D">
        <w:rPr>
          <w:rFonts w:ascii="Palatino Linotype" w:eastAsiaTheme="minorEastAsia" w:hAnsi="Palatino Linotype" w:cs="Arial"/>
          <w:bCs/>
          <w:i/>
          <w:sz w:val="22"/>
          <w:szCs w:val="22"/>
        </w:rPr>
        <w:t xml:space="preserve">Bases de licitación </w:t>
      </w:r>
      <w:r w:rsidRPr="0005363D">
        <w:rPr>
          <w:rFonts w:ascii="Palatino Linotype" w:hAnsi="Palatino Linotype"/>
          <w:bCs/>
          <w:i/>
          <w:sz w:val="22"/>
          <w:szCs w:val="22"/>
        </w:rPr>
        <w:t>que se publicaron para el reemplazo de luminarias del servicio de alumbrado público.</w:t>
      </w:r>
    </w:p>
    <w:p w14:paraId="4725A993"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cs="Arial"/>
          <w:bCs/>
          <w:i/>
          <w:sz w:val="22"/>
          <w:szCs w:val="22"/>
          <w:shd w:val="clear" w:color="auto" w:fill="FFFFFF"/>
        </w:rPr>
      </w:pPr>
      <w:r w:rsidRPr="0005363D">
        <w:rPr>
          <w:rFonts w:ascii="Palatino Linotype" w:eastAsia="Calibri" w:hAnsi="Palatino Linotype" w:cs="Arial"/>
          <w:bCs/>
          <w:i/>
          <w:sz w:val="22"/>
          <w:szCs w:val="22"/>
        </w:rPr>
        <w:t>Número de licitaciones para el cambio de luminarias de alumbrado público.</w:t>
      </w:r>
    </w:p>
    <w:p w14:paraId="0AE7571B" w14:textId="77777777" w:rsidR="0005363D" w:rsidRPr="0005363D" w:rsidRDefault="0005363D" w:rsidP="0005363D">
      <w:pPr>
        <w:pStyle w:val="Prrafodelista"/>
        <w:numPr>
          <w:ilvl w:val="0"/>
          <w:numId w:val="25"/>
        </w:numPr>
        <w:spacing w:after="240"/>
        <w:ind w:right="757"/>
        <w:contextualSpacing w:val="0"/>
        <w:jc w:val="both"/>
        <w:rPr>
          <w:rFonts w:ascii="Palatino Linotype" w:hAnsi="Palatino Linotype" w:cs="Arial"/>
          <w:i/>
          <w:sz w:val="22"/>
          <w:szCs w:val="22"/>
          <w:shd w:val="clear" w:color="auto" w:fill="FFFFFF"/>
        </w:rPr>
      </w:pPr>
      <w:r w:rsidRPr="0005363D">
        <w:rPr>
          <w:rFonts w:ascii="Palatino Linotype" w:hAnsi="Palatino Linotype" w:cs="Arial"/>
          <w:b/>
          <w:i/>
          <w:sz w:val="22"/>
          <w:szCs w:val="22"/>
          <w:shd w:val="clear" w:color="auto" w:fill="FFFFFF"/>
        </w:rPr>
        <w:t>De los ejercicios 2016 y 2017.</w:t>
      </w:r>
    </w:p>
    <w:p w14:paraId="68054D18"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cs="Arial"/>
          <w:i/>
          <w:sz w:val="22"/>
          <w:szCs w:val="22"/>
          <w:shd w:val="clear" w:color="auto" w:fill="FFFFFF"/>
        </w:rPr>
      </w:pPr>
      <w:r w:rsidRPr="0005363D">
        <w:rPr>
          <w:rFonts w:ascii="Palatino Linotype" w:hAnsi="Palatino Linotype" w:cs="Arial"/>
          <w:i/>
          <w:sz w:val="22"/>
          <w:szCs w:val="22"/>
          <w:shd w:val="clear" w:color="auto" w:fill="FFFFFF"/>
        </w:rPr>
        <w:t>Censo o el documento análogo donde conste el número de luminarias y balastros en el municipio que contenga las instaladas en avenidas principales, así como sus características, ubicación, soporte y la referencia de que poseen aparatos de medición.</w:t>
      </w:r>
    </w:p>
    <w:p w14:paraId="2E6B8AF4" w14:textId="77777777" w:rsidR="0005363D" w:rsidRPr="0005363D" w:rsidRDefault="0005363D" w:rsidP="0005363D">
      <w:pPr>
        <w:pStyle w:val="Prrafodelista"/>
        <w:numPr>
          <w:ilvl w:val="0"/>
          <w:numId w:val="23"/>
        </w:numPr>
        <w:spacing w:after="240"/>
        <w:ind w:right="757"/>
        <w:contextualSpacing w:val="0"/>
        <w:jc w:val="both"/>
        <w:rPr>
          <w:rFonts w:ascii="Palatino Linotype" w:hAnsi="Palatino Linotype" w:cs="Arial"/>
          <w:b/>
          <w:i/>
          <w:sz w:val="22"/>
          <w:szCs w:val="22"/>
          <w:shd w:val="clear" w:color="auto" w:fill="FFFFFF"/>
        </w:rPr>
      </w:pPr>
      <w:r w:rsidRPr="0005363D">
        <w:rPr>
          <w:rFonts w:ascii="Palatino Linotype" w:hAnsi="Palatino Linotype" w:cs="Arial"/>
          <w:b/>
          <w:i/>
          <w:sz w:val="22"/>
          <w:szCs w:val="22"/>
          <w:shd w:val="clear" w:color="auto" w:fill="FFFFFF"/>
        </w:rPr>
        <w:t>Del ejercicio 2018 y el más actualizado al 2019.</w:t>
      </w:r>
    </w:p>
    <w:p w14:paraId="6EBE886E"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cs="Arial"/>
          <w:i/>
          <w:sz w:val="22"/>
          <w:szCs w:val="22"/>
          <w:shd w:val="clear" w:color="auto" w:fill="FFFFFF"/>
        </w:rPr>
      </w:pPr>
      <w:r w:rsidRPr="0005363D">
        <w:rPr>
          <w:rFonts w:ascii="Palatino Linotype" w:hAnsi="Palatino Linotype" w:cs="Arial"/>
          <w:i/>
          <w:sz w:val="22"/>
          <w:szCs w:val="22"/>
          <w:shd w:val="clear" w:color="auto" w:fill="FFFFFF"/>
        </w:rPr>
        <w:t>Censo o el documento análogo donde conste el número de luminarias y balastros en el municipio que contenga las instaladas en avenidas principales, así como sus características, ubicación, soporte y la referencia de que poseen aparatos de medición.</w:t>
      </w:r>
    </w:p>
    <w:p w14:paraId="1E84E357" w14:textId="77777777" w:rsidR="0005363D" w:rsidRPr="0005363D" w:rsidRDefault="0005363D" w:rsidP="0005363D">
      <w:pPr>
        <w:pStyle w:val="Prrafodelista"/>
        <w:numPr>
          <w:ilvl w:val="0"/>
          <w:numId w:val="23"/>
        </w:numPr>
        <w:spacing w:after="240"/>
        <w:ind w:right="757"/>
        <w:contextualSpacing w:val="0"/>
        <w:jc w:val="both"/>
        <w:rPr>
          <w:rFonts w:ascii="Palatino Linotype" w:hAnsi="Palatino Linotype" w:cs="Arial"/>
          <w:b/>
          <w:i/>
          <w:sz w:val="22"/>
          <w:szCs w:val="22"/>
          <w:shd w:val="clear" w:color="auto" w:fill="FFFFFF"/>
        </w:rPr>
      </w:pPr>
      <w:r w:rsidRPr="0005363D">
        <w:rPr>
          <w:rFonts w:ascii="Palatino Linotype" w:hAnsi="Palatino Linotype" w:cs="Arial"/>
          <w:b/>
          <w:i/>
          <w:sz w:val="22"/>
          <w:szCs w:val="22"/>
          <w:shd w:val="clear" w:color="auto" w:fill="FFFFFF"/>
        </w:rPr>
        <w:t>Actualizada al dos de mayo de dos mil diecinueve:</w:t>
      </w:r>
    </w:p>
    <w:p w14:paraId="6B12525A"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cs="Arial"/>
          <w:i/>
          <w:sz w:val="22"/>
          <w:szCs w:val="22"/>
          <w:shd w:val="clear" w:color="auto" w:fill="FFFFFF"/>
        </w:rPr>
      </w:pPr>
      <w:r w:rsidRPr="0005363D">
        <w:rPr>
          <w:rFonts w:ascii="Palatino Linotype" w:hAnsi="Palatino Linotype" w:cs="Arial"/>
          <w:i/>
          <w:sz w:val="22"/>
          <w:szCs w:val="22"/>
          <w:shd w:val="clear" w:color="auto" w:fill="FFFFFF"/>
        </w:rPr>
        <w:t>Documento en donde conste el monto y fecha del adeudo por consumo de energía eléctrica en el alumbrado público, el pago de la diferencia entre facturación y el DAP.</w:t>
      </w:r>
    </w:p>
    <w:p w14:paraId="38EE270E"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cs="Arial"/>
          <w:bCs/>
          <w:i/>
          <w:sz w:val="22"/>
          <w:szCs w:val="22"/>
          <w:shd w:val="clear" w:color="auto" w:fill="FFFFFF"/>
        </w:rPr>
      </w:pPr>
      <w:r w:rsidRPr="0005363D">
        <w:rPr>
          <w:rFonts w:ascii="Palatino Linotype" w:hAnsi="Palatino Linotype" w:cs="Arial"/>
          <w:bCs/>
          <w:i/>
          <w:sz w:val="22"/>
          <w:szCs w:val="22"/>
          <w:shd w:val="clear" w:color="auto" w:fill="FFFFFF"/>
        </w:rPr>
        <w:t>Soporte documental de donde se advierta el</w:t>
      </w:r>
      <w:r w:rsidRPr="0005363D">
        <w:rPr>
          <w:rFonts w:ascii="Palatino Linotype" w:hAnsi="Palatino Linotype"/>
          <w:bCs/>
          <w:i/>
          <w:sz w:val="22"/>
          <w:szCs w:val="22"/>
        </w:rPr>
        <w:t xml:space="preserve"> Registro Móvil de Usuario (RMU) asignado al servicio de alumbrado público.</w:t>
      </w:r>
    </w:p>
    <w:p w14:paraId="235D0E58"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cs="Arial"/>
          <w:bCs/>
          <w:i/>
          <w:sz w:val="22"/>
          <w:szCs w:val="22"/>
          <w:shd w:val="clear" w:color="auto" w:fill="FFFFFF"/>
        </w:rPr>
      </w:pPr>
      <w:r w:rsidRPr="0005363D">
        <w:rPr>
          <w:rFonts w:ascii="Palatino Linotype" w:hAnsi="Palatino Linotype" w:cs="Arial"/>
          <w:bCs/>
          <w:i/>
          <w:sz w:val="22"/>
          <w:szCs w:val="22"/>
          <w:shd w:val="clear" w:color="auto" w:fill="FFFFFF"/>
        </w:rPr>
        <w:t>El (los) último (s) Contrato (s) celebrado (s) con la Comisión Federal de Electricidad por concepto de suministro de energía eléctrica.</w:t>
      </w:r>
    </w:p>
    <w:p w14:paraId="43FBF9AB"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cs="Arial"/>
          <w:bCs/>
          <w:i/>
          <w:sz w:val="22"/>
          <w:szCs w:val="22"/>
          <w:shd w:val="clear" w:color="auto" w:fill="FFFFFF"/>
        </w:rPr>
      </w:pPr>
      <w:r w:rsidRPr="0005363D">
        <w:rPr>
          <w:rFonts w:ascii="Palatino Linotype" w:hAnsi="Palatino Linotype" w:cs="Arial"/>
          <w:bCs/>
          <w:i/>
          <w:sz w:val="22"/>
          <w:szCs w:val="22"/>
          <w:shd w:val="clear" w:color="auto" w:fill="FFFFFF"/>
        </w:rPr>
        <w:t>El último convenio denominado “Peso por Peso”, celebrado con la Comisión Federal de Electricidad.</w:t>
      </w:r>
    </w:p>
    <w:p w14:paraId="34A5FBB3"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cs="Arial"/>
          <w:bCs/>
          <w:i/>
          <w:sz w:val="22"/>
          <w:szCs w:val="22"/>
          <w:shd w:val="clear" w:color="auto" w:fill="FFFFFF"/>
        </w:rPr>
      </w:pPr>
      <w:r w:rsidRPr="0005363D">
        <w:rPr>
          <w:rFonts w:ascii="Palatino Linotype" w:hAnsi="Palatino Linotype" w:cs="Arial"/>
          <w:bCs/>
          <w:i/>
          <w:sz w:val="22"/>
          <w:szCs w:val="22"/>
          <w:shd w:val="clear" w:color="auto" w:fill="FFFFFF"/>
        </w:rPr>
        <w:t xml:space="preserve">Normatividad vigente, </w:t>
      </w:r>
      <w:r w:rsidRPr="0005363D">
        <w:rPr>
          <w:rFonts w:ascii="Palatino Linotype" w:hAnsi="Palatino Linotype"/>
          <w:bCs/>
          <w:i/>
          <w:sz w:val="22"/>
          <w:szCs w:val="22"/>
        </w:rPr>
        <w:t>para operar y proporcionar el servicio de alumbrado público</w:t>
      </w:r>
    </w:p>
    <w:p w14:paraId="5EB5CF0D" w14:textId="77777777" w:rsidR="0005363D" w:rsidRPr="0005363D" w:rsidRDefault="0005363D" w:rsidP="0005363D">
      <w:pPr>
        <w:pStyle w:val="Prrafodelista"/>
        <w:numPr>
          <w:ilvl w:val="0"/>
          <w:numId w:val="23"/>
        </w:numPr>
        <w:spacing w:after="240"/>
        <w:ind w:right="757"/>
        <w:contextualSpacing w:val="0"/>
        <w:jc w:val="both"/>
        <w:rPr>
          <w:rFonts w:ascii="Palatino Linotype" w:hAnsi="Palatino Linotype"/>
          <w:b/>
          <w:i/>
          <w:sz w:val="22"/>
          <w:szCs w:val="22"/>
        </w:rPr>
      </w:pPr>
      <w:r w:rsidRPr="0005363D">
        <w:rPr>
          <w:rFonts w:ascii="Palatino Linotype" w:hAnsi="Palatino Linotype"/>
          <w:b/>
          <w:i/>
          <w:sz w:val="22"/>
          <w:szCs w:val="22"/>
        </w:rPr>
        <w:t>Del periodo comprendido del primero de enero al dos de mayo del año dos mil diecinueve.</w:t>
      </w:r>
    </w:p>
    <w:p w14:paraId="1B40FECC" w14:textId="77777777" w:rsidR="0005363D" w:rsidRPr="0005363D" w:rsidRDefault="0005363D" w:rsidP="0005363D">
      <w:pPr>
        <w:pStyle w:val="Prrafodelista"/>
        <w:numPr>
          <w:ilvl w:val="0"/>
          <w:numId w:val="22"/>
        </w:numPr>
        <w:spacing w:after="240"/>
        <w:ind w:right="757"/>
        <w:contextualSpacing w:val="0"/>
        <w:jc w:val="both"/>
        <w:rPr>
          <w:rFonts w:ascii="Palatino Linotype" w:hAnsi="Palatino Linotype"/>
          <w:bCs/>
          <w:i/>
          <w:sz w:val="22"/>
          <w:szCs w:val="22"/>
        </w:rPr>
      </w:pPr>
      <w:r w:rsidRPr="0005363D">
        <w:rPr>
          <w:rFonts w:ascii="Palatino Linotype" w:hAnsi="Palatino Linotype"/>
          <w:bCs/>
          <w:i/>
          <w:sz w:val="22"/>
          <w:szCs w:val="22"/>
        </w:rPr>
        <w:t>El documento en donde conste el número de quejas presentadas por inconformidades en el alumbrado público a partir de la sustitución de la tecnología LED en el municipio.</w:t>
      </w:r>
    </w:p>
    <w:p w14:paraId="4C75428C" w14:textId="77777777" w:rsidR="001818B3" w:rsidRPr="001818B3" w:rsidRDefault="001818B3" w:rsidP="004C0749">
      <w:pPr>
        <w:spacing w:line="360" w:lineRule="auto"/>
        <w:jc w:val="both"/>
        <w:rPr>
          <w:rFonts w:ascii="Palatino Linotype" w:hAnsi="Palatino Linotype" w:cs="Arial"/>
          <w:sz w:val="18"/>
        </w:rPr>
      </w:pPr>
    </w:p>
    <w:p w14:paraId="2AC30610" w14:textId="1661BC1B" w:rsidR="004C0749" w:rsidRPr="00287848" w:rsidRDefault="004C0749" w:rsidP="004C0749">
      <w:pPr>
        <w:spacing w:line="360" w:lineRule="auto"/>
        <w:jc w:val="both"/>
        <w:rPr>
          <w:rFonts w:ascii="Palatino Linotype" w:hAnsi="Palatino Linotype" w:cs="Arial"/>
        </w:rPr>
      </w:pPr>
      <w:r w:rsidRPr="00287848">
        <w:rPr>
          <w:rFonts w:ascii="Palatino Linotype" w:hAnsi="Palatino Linotype" w:cs="Arial"/>
        </w:rPr>
        <w:t xml:space="preserve">En ese sentido, la que suscribe reitera, que si bien coincide en términos generales con el estudio de la resolución en comento, </w:t>
      </w:r>
      <w:r w:rsidR="00F72D78">
        <w:rPr>
          <w:rFonts w:ascii="Palatino Linotype" w:hAnsi="Palatino Linotype" w:cs="Arial"/>
        </w:rPr>
        <w:t>estimo</w:t>
      </w:r>
      <w:r w:rsidR="00BA0251">
        <w:rPr>
          <w:rFonts w:ascii="Palatino Linotype" w:hAnsi="Palatino Linotype" w:cs="Arial"/>
        </w:rPr>
        <w:t xml:space="preserve"> que la Ponencia </w:t>
      </w:r>
      <w:proofErr w:type="spellStart"/>
      <w:r w:rsidR="00BA0251">
        <w:rPr>
          <w:rFonts w:ascii="Palatino Linotype" w:hAnsi="Palatino Linotype" w:cs="Arial"/>
        </w:rPr>
        <w:t>Resolutor</w:t>
      </w:r>
      <w:r w:rsidR="00514871" w:rsidRPr="00287848">
        <w:rPr>
          <w:rFonts w:ascii="Palatino Linotype" w:hAnsi="Palatino Linotype" w:cs="Arial"/>
        </w:rPr>
        <w:t>a</w:t>
      </w:r>
      <w:proofErr w:type="spellEnd"/>
      <w:r w:rsidR="00514871" w:rsidRPr="00287848">
        <w:rPr>
          <w:rFonts w:ascii="Palatino Linotype" w:hAnsi="Palatino Linotype" w:cs="Arial"/>
        </w:rPr>
        <w:t xml:space="preserve"> debió </w:t>
      </w:r>
      <w:r w:rsidR="00F72D78">
        <w:rPr>
          <w:rFonts w:ascii="Palatino Linotype" w:hAnsi="Palatino Linotype" w:cs="Arial"/>
        </w:rPr>
        <w:t>considerar</w:t>
      </w:r>
      <w:r w:rsidR="00514871" w:rsidRPr="00287848">
        <w:rPr>
          <w:rFonts w:ascii="Palatino Linotype" w:hAnsi="Palatino Linotype" w:cs="Arial"/>
        </w:rPr>
        <w:t xml:space="preserve"> </w:t>
      </w:r>
      <w:r w:rsidR="0005363D">
        <w:rPr>
          <w:rFonts w:ascii="Palatino Linotype" w:hAnsi="Palatino Linotype" w:cs="Arial"/>
        </w:rPr>
        <w:t xml:space="preserve">dejar </w:t>
      </w:r>
      <w:r w:rsidR="00852422">
        <w:rPr>
          <w:rFonts w:ascii="Palatino Linotype" w:hAnsi="Palatino Linotype" w:cs="Arial"/>
        </w:rPr>
        <w:t>una</w:t>
      </w:r>
      <w:r w:rsidR="00752E32">
        <w:rPr>
          <w:rFonts w:ascii="Palatino Linotype" w:hAnsi="Palatino Linotype" w:cs="Arial"/>
        </w:rPr>
        <w:t xml:space="preserve"> salvedad  </w:t>
      </w:r>
      <w:r w:rsidR="0005363D">
        <w:rPr>
          <w:rFonts w:ascii="Palatino Linotype" w:hAnsi="Palatino Linotype" w:cs="Arial"/>
        </w:rPr>
        <w:t>en el punto ordenado enlistado con el numero 30 dentro del resolutivo SEGUNDO, consistente en e</w:t>
      </w:r>
      <w:r w:rsidR="0005363D" w:rsidRPr="0005363D">
        <w:rPr>
          <w:rFonts w:ascii="Palatino Linotype" w:hAnsi="Palatino Linotype" w:cs="Arial"/>
        </w:rPr>
        <w:t>l documento en donde conste el número de quejas presentadas por inconformidades en el alumbrado público a partir de la sustitución de la tecnología LED en el municipio.</w:t>
      </w:r>
      <w:r w:rsidR="00514871" w:rsidRPr="00287848">
        <w:rPr>
          <w:rFonts w:ascii="Palatino Linotype" w:hAnsi="Palatino Linotype" w:cs="Arial"/>
        </w:rPr>
        <w:t xml:space="preserve">   </w:t>
      </w:r>
    </w:p>
    <w:p w14:paraId="03077F3D" w14:textId="0DA16189" w:rsidR="00752E32" w:rsidRDefault="00752E32" w:rsidP="00DF70C7">
      <w:pPr>
        <w:spacing w:before="240" w:after="240" w:line="360" w:lineRule="auto"/>
        <w:jc w:val="both"/>
        <w:rPr>
          <w:rFonts w:ascii="Palatino Linotype" w:hAnsi="Palatino Linotype" w:cs="Arial"/>
        </w:rPr>
      </w:pPr>
      <w:r>
        <w:rPr>
          <w:rFonts w:ascii="Palatino Linotype" w:hAnsi="Palatino Linotype" w:cs="Arial"/>
        </w:rPr>
        <w:t xml:space="preserve">Lo anterior, con base a que </w:t>
      </w:r>
      <w:r w:rsidR="00F23AA8">
        <w:rPr>
          <w:rFonts w:ascii="Palatino Linotype" w:hAnsi="Palatino Linotype" w:cs="Arial"/>
        </w:rPr>
        <w:t>a que se está considerando ordenar</w:t>
      </w:r>
      <w:r>
        <w:rPr>
          <w:rFonts w:ascii="Palatino Linotype" w:hAnsi="Palatino Linotype" w:cs="Arial"/>
        </w:rPr>
        <w:t xml:space="preserve"> </w:t>
      </w:r>
      <w:r w:rsidR="00F23AA8">
        <w:rPr>
          <w:rFonts w:ascii="Palatino Linotype" w:hAnsi="Palatino Linotype" w:cs="Arial"/>
        </w:rPr>
        <w:t xml:space="preserve">un documento del que no se tiene la certeza de su existencia, toda vez, que dentro del expediente entrópico conformado dentro del SAIMEX no se advierte la existencia de dichas quejas presentadas en consecuencia de la multicitada tecnología aplicada dentro del Municipio de Villa del Carbón.  </w:t>
      </w:r>
    </w:p>
    <w:p w14:paraId="1262B61E" w14:textId="4986C735" w:rsidR="00F23AA8" w:rsidRPr="00FB66FE" w:rsidRDefault="00CF5FF4" w:rsidP="00F23AA8">
      <w:pPr>
        <w:spacing w:before="100" w:beforeAutospacing="1" w:after="100" w:afterAutospacing="1" w:line="360" w:lineRule="auto"/>
        <w:jc w:val="both"/>
        <w:rPr>
          <w:rFonts w:ascii="Palatino Linotype" w:hAnsi="Palatino Linotype"/>
          <w:color w:val="000000"/>
        </w:rPr>
      </w:pPr>
      <w:r>
        <w:rPr>
          <w:rFonts w:ascii="Palatino Linotype" w:hAnsi="Palatino Linotype" w:cs="Arial"/>
        </w:rPr>
        <w:t xml:space="preserve">Es por lo anteriormente expuesto que, </w:t>
      </w:r>
      <w:r w:rsidR="00F23AA8">
        <w:rPr>
          <w:rFonts w:ascii="Palatino Linotype" w:hAnsi="Palatino Linotype" w:cs="Arial"/>
        </w:rPr>
        <w:t>con la finalidad de otorgar certeza jurídica al momento de dar cabal cumplimiento a la resolución de mérito, debió dejarse salvedad para el punto 30 inmerso en el resolutivo SEGUNDO,</w:t>
      </w:r>
      <w:r w:rsidR="00852422">
        <w:rPr>
          <w:rFonts w:ascii="Palatino Linotype" w:hAnsi="Palatino Linotype" w:cs="Arial"/>
        </w:rPr>
        <w:t xml:space="preserve"> misma en la que informara al </w:t>
      </w:r>
      <w:r w:rsidR="00852422" w:rsidRPr="00852422">
        <w:rPr>
          <w:rFonts w:ascii="Palatino Linotype" w:hAnsi="Palatino Linotype" w:cs="Arial"/>
          <w:b/>
        </w:rPr>
        <w:t>SUJETO OBLIGADO</w:t>
      </w:r>
      <w:r w:rsidR="00852422">
        <w:rPr>
          <w:rFonts w:ascii="Palatino Linotype" w:hAnsi="Palatino Linotype" w:cs="Arial"/>
        </w:rPr>
        <w:t xml:space="preserve">, que en caso de no contar con la información requerida en motivo de no haberse generado, bastará con que lo haga del conocimiento del particular </w:t>
      </w:r>
      <w:r w:rsidR="00F23AA8">
        <w:rPr>
          <w:rFonts w:ascii="Palatino Linotype" w:hAnsi="Palatino Linotype" w:cs="Arial"/>
        </w:rPr>
        <w:t xml:space="preserve">esto, </w:t>
      </w:r>
      <w:r w:rsidR="00F23AA8">
        <w:rPr>
          <w:rFonts w:ascii="Palatino Linotype" w:hAnsi="Palatino Linotype"/>
          <w:color w:val="000000"/>
        </w:rPr>
        <w:t xml:space="preserve">atendiendo a lo señalado en la fracción I del artículo 9 de la Ley </w:t>
      </w:r>
      <w:r w:rsidR="00F23AA8" w:rsidRPr="00FB66FE">
        <w:rPr>
          <w:rFonts w:ascii="Palatino Linotype" w:hAnsi="Palatino Linotype"/>
          <w:color w:val="000000"/>
        </w:rPr>
        <w:t>de Transparencia y Acceso a la Información Pública</w:t>
      </w:r>
      <w:r w:rsidR="00F23AA8">
        <w:rPr>
          <w:rFonts w:ascii="Palatino Linotype" w:hAnsi="Palatino Linotype"/>
          <w:color w:val="000000"/>
        </w:rPr>
        <w:t xml:space="preserve"> del Estado de México</w:t>
      </w:r>
      <w:r w:rsidR="00F23AA8" w:rsidRPr="00FB66FE">
        <w:rPr>
          <w:rFonts w:ascii="Palatino Linotype" w:hAnsi="Palatino Linotype"/>
          <w:color w:val="000000"/>
        </w:rPr>
        <w:t xml:space="preserve"> y Municipios</w:t>
      </w:r>
      <w:r w:rsidR="00F23AA8">
        <w:rPr>
          <w:rFonts w:ascii="Palatino Linotype" w:hAnsi="Palatino Linotype"/>
          <w:color w:val="000000"/>
        </w:rPr>
        <w:t xml:space="preserve"> que </w:t>
      </w:r>
      <w:r w:rsidR="00F23AA8" w:rsidRPr="00FB66FE">
        <w:rPr>
          <w:rFonts w:ascii="Palatino Linotype" w:hAnsi="Palatino Linotype"/>
          <w:color w:val="000000"/>
        </w:rPr>
        <w:t>establece lo siguiente:</w:t>
      </w:r>
    </w:p>
    <w:p w14:paraId="6FF151B8" w14:textId="77777777" w:rsidR="00F23AA8" w:rsidRPr="00FB66FE" w:rsidRDefault="00F23AA8" w:rsidP="00F23AA8">
      <w:pPr>
        <w:spacing w:before="100" w:beforeAutospacing="1" w:after="100" w:afterAutospacing="1"/>
        <w:ind w:left="709" w:right="757"/>
        <w:jc w:val="both"/>
        <w:rPr>
          <w:rFonts w:ascii="Palatino Linotype" w:hAnsi="Palatino Linotype"/>
          <w:i/>
          <w:color w:val="000000"/>
          <w:sz w:val="22"/>
        </w:rPr>
      </w:pPr>
      <w:r w:rsidRPr="00FB66FE">
        <w:rPr>
          <w:rFonts w:ascii="Palatino Linotype" w:hAnsi="Palatino Linotype"/>
          <w:b/>
          <w:i/>
          <w:color w:val="000000"/>
          <w:sz w:val="22"/>
        </w:rPr>
        <w:t>Artículo 9.</w:t>
      </w:r>
      <w:r w:rsidRPr="00FB66FE">
        <w:rPr>
          <w:rFonts w:ascii="Palatino Linotype" w:hAnsi="Palatino Linotype"/>
          <w:i/>
          <w:color w:val="000000"/>
          <w:sz w:val="22"/>
        </w:rPr>
        <w:t xml:space="preserve"> El Instituto deberá regir su funcionamiento de acuerdo a los siguientes principios:</w:t>
      </w:r>
    </w:p>
    <w:p w14:paraId="708FDEA4" w14:textId="7194382E" w:rsidR="007E04FF" w:rsidRPr="00F23AA8" w:rsidRDefault="00F23AA8" w:rsidP="00F23AA8">
      <w:pPr>
        <w:spacing w:before="100" w:beforeAutospacing="1" w:after="100" w:afterAutospacing="1"/>
        <w:ind w:left="709" w:right="757"/>
        <w:jc w:val="both"/>
        <w:rPr>
          <w:rFonts w:ascii="Palatino Linotype" w:hAnsi="Palatino Linotype"/>
          <w:i/>
          <w:color w:val="000000"/>
          <w:sz w:val="22"/>
        </w:rPr>
      </w:pPr>
      <w:r w:rsidRPr="00FB66FE">
        <w:rPr>
          <w:rFonts w:ascii="Palatino Linotype" w:hAnsi="Palatino Linotype"/>
          <w:b/>
          <w:i/>
          <w:color w:val="000000"/>
          <w:sz w:val="22"/>
        </w:rPr>
        <w:t>I.</w:t>
      </w:r>
      <w:r w:rsidRPr="00FB66FE">
        <w:rPr>
          <w:rFonts w:ascii="Palatino Linotype" w:hAnsi="Palatino Linotype"/>
          <w:b/>
          <w:i/>
          <w:color w:val="000000"/>
          <w:sz w:val="22"/>
        </w:rPr>
        <w:tab/>
        <w:t>Certeza:</w:t>
      </w:r>
      <w:r w:rsidRPr="00FB66FE">
        <w:rPr>
          <w:rFonts w:ascii="Palatino Linotype" w:hAnsi="Palatino Linotype"/>
          <w:i/>
          <w:color w:val="000000"/>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p>
    <w:p w14:paraId="0CD8B143" w14:textId="7E5F3BA1" w:rsidR="00C639EE" w:rsidRDefault="004C203B" w:rsidP="0050311A">
      <w:pPr>
        <w:autoSpaceDE w:val="0"/>
        <w:autoSpaceDN w:val="0"/>
        <w:adjustRightInd w:val="0"/>
        <w:spacing w:line="360" w:lineRule="auto"/>
        <w:jc w:val="both"/>
        <w:rPr>
          <w:rFonts w:ascii="Palatino Linotype" w:hAnsi="Palatino Linotype" w:cs="Arial"/>
        </w:rPr>
      </w:pPr>
      <w:r w:rsidRPr="00287848">
        <w:rPr>
          <w:rFonts w:ascii="Palatino Linotype" w:hAnsi="Palatino Linotype" w:cs="Arial"/>
        </w:rPr>
        <w:t xml:space="preserve">Atento a lo anterior, la que suscribe, emite </w:t>
      </w:r>
      <w:r w:rsidRPr="00287848">
        <w:rPr>
          <w:rFonts w:ascii="Palatino Linotype" w:hAnsi="Palatino Linotype" w:cs="Arial"/>
          <w:b/>
        </w:rPr>
        <w:t>VOTO PARTICULAR</w:t>
      </w:r>
      <w:r w:rsidRPr="00287848">
        <w:rPr>
          <w:rFonts w:ascii="Palatino Linotype" w:hAnsi="Palatino Linotype" w:cs="Arial"/>
        </w:rPr>
        <w:t xml:space="preserve"> </w:t>
      </w:r>
      <w:r w:rsidR="00DF70C7" w:rsidRPr="00287848">
        <w:rPr>
          <w:rFonts w:ascii="Palatino Linotype" w:hAnsi="Palatino Linotype" w:cs="Arial"/>
        </w:rPr>
        <w:t xml:space="preserve">pues </w:t>
      </w:r>
      <w:r w:rsidR="00F23AA8">
        <w:rPr>
          <w:rFonts w:ascii="Palatino Linotype" w:hAnsi="Palatino Linotype" w:cs="Arial"/>
        </w:rPr>
        <w:t xml:space="preserve">insiste </w:t>
      </w:r>
      <w:r w:rsidR="007069A5">
        <w:rPr>
          <w:rFonts w:ascii="Palatino Linotype" w:hAnsi="Palatino Linotype" w:cs="Arial"/>
        </w:rPr>
        <w:t>con incluir</w:t>
      </w:r>
      <w:r w:rsidRPr="00287848">
        <w:rPr>
          <w:rFonts w:ascii="Palatino Linotype" w:hAnsi="Palatino Linotype" w:cs="Arial"/>
        </w:rPr>
        <w:t xml:space="preserve"> en el resolutivo segundo</w:t>
      </w:r>
      <w:r w:rsidR="00653D6E" w:rsidRPr="00287848">
        <w:rPr>
          <w:rFonts w:ascii="Palatino Linotype" w:hAnsi="Palatino Linotype" w:cs="Arial"/>
        </w:rPr>
        <w:t xml:space="preserve">, la salvedad </w:t>
      </w:r>
      <w:r w:rsidR="00F23AA8">
        <w:rPr>
          <w:rFonts w:ascii="Palatino Linotype" w:hAnsi="Palatino Linotype" w:cs="Arial"/>
        </w:rPr>
        <w:t xml:space="preserve">para el punto 30 relativo al </w:t>
      </w:r>
      <w:r w:rsidR="00F23AA8" w:rsidRPr="0005363D">
        <w:rPr>
          <w:rFonts w:ascii="Palatino Linotype" w:hAnsi="Palatino Linotype" w:cs="Arial"/>
        </w:rPr>
        <w:t>documento en donde conste el número de quejas presentadas por inconformidades en el alumbrado público a partir de la sustitución de la tecnología LED en el municipio</w:t>
      </w:r>
      <w:r w:rsidR="00F23AA8">
        <w:rPr>
          <w:rFonts w:ascii="Palatino Linotype" w:hAnsi="Palatino Linotype" w:cs="Arial"/>
        </w:rPr>
        <w:t>, toda vez que pudiesen ser nulas las inconformidades por dicha tecnología</w:t>
      </w:r>
      <w:r w:rsidR="00F23AA8" w:rsidRPr="0005363D">
        <w:rPr>
          <w:rFonts w:ascii="Palatino Linotype" w:hAnsi="Palatino Linotype" w:cs="Arial"/>
        </w:rPr>
        <w:t>.</w:t>
      </w:r>
    </w:p>
    <w:p w14:paraId="68B3A71B" w14:textId="4681ED79" w:rsidR="0059363B" w:rsidRPr="0050311A" w:rsidRDefault="0059363B" w:rsidP="0050311A">
      <w:pPr>
        <w:autoSpaceDE w:val="0"/>
        <w:autoSpaceDN w:val="0"/>
        <w:adjustRightInd w:val="0"/>
        <w:spacing w:line="360" w:lineRule="auto"/>
        <w:jc w:val="both"/>
        <w:rPr>
          <w:rFonts w:ascii="Palatino Linotype" w:hAnsi="Palatino Linotype" w:cs="Arial"/>
        </w:rPr>
      </w:pPr>
    </w:p>
    <w:tbl>
      <w:tblPr>
        <w:tblW w:w="4342" w:type="dxa"/>
        <w:jc w:val="center"/>
        <w:tblLayout w:type="fixed"/>
        <w:tblLook w:val="04A0" w:firstRow="1" w:lastRow="0" w:firstColumn="1" w:lastColumn="0" w:noHBand="0" w:noVBand="1"/>
      </w:tblPr>
      <w:tblGrid>
        <w:gridCol w:w="4342"/>
      </w:tblGrid>
      <w:tr w:rsidR="004C0749" w:rsidRPr="00287848" w14:paraId="3FEB39FF" w14:textId="77777777" w:rsidTr="007552C0">
        <w:trPr>
          <w:trHeight w:val="1086"/>
          <w:jc w:val="center"/>
        </w:trPr>
        <w:tc>
          <w:tcPr>
            <w:tcW w:w="4342" w:type="dxa"/>
          </w:tcPr>
          <w:p w14:paraId="0F04C8D3" w14:textId="77777777" w:rsidR="001818B3" w:rsidRDefault="001818B3" w:rsidP="00440B5B">
            <w:pPr>
              <w:jc w:val="center"/>
              <w:rPr>
                <w:rFonts w:ascii="Palatino Linotype" w:hAnsi="Palatino Linotype"/>
                <w:b/>
              </w:rPr>
            </w:pPr>
          </w:p>
          <w:p w14:paraId="4598F2EF" w14:textId="77777777" w:rsidR="001818B3" w:rsidRDefault="001818B3" w:rsidP="00440B5B">
            <w:pPr>
              <w:jc w:val="center"/>
              <w:rPr>
                <w:rFonts w:ascii="Palatino Linotype" w:hAnsi="Palatino Linotype"/>
                <w:b/>
              </w:rPr>
            </w:pPr>
          </w:p>
          <w:p w14:paraId="2E28D2C8" w14:textId="77777777" w:rsidR="001818B3" w:rsidRDefault="001818B3" w:rsidP="00440B5B">
            <w:pPr>
              <w:jc w:val="center"/>
              <w:rPr>
                <w:rFonts w:ascii="Palatino Linotype" w:hAnsi="Palatino Linotype"/>
                <w:b/>
              </w:rPr>
            </w:pPr>
          </w:p>
          <w:p w14:paraId="6F2B0737" w14:textId="77777777" w:rsidR="001818B3" w:rsidRDefault="001818B3" w:rsidP="00440B5B">
            <w:pPr>
              <w:jc w:val="center"/>
              <w:rPr>
                <w:rFonts w:ascii="Palatino Linotype" w:hAnsi="Palatino Linotype"/>
                <w:b/>
              </w:rPr>
            </w:pPr>
          </w:p>
          <w:p w14:paraId="60C0AA89" w14:textId="77777777" w:rsidR="001818B3" w:rsidRDefault="001818B3" w:rsidP="00440B5B">
            <w:pPr>
              <w:jc w:val="center"/>
              <w:rPr>
                <w:rFonts w:ascii="Palatino Linotype" w:hAnsi="Palatino Linotype"/>
                <w:b/>
              </w:rPr>
            </w:pPr>
          </w:p>
          <w:p w14:paraId="43AB01A1" w14:textId="77777777" w:rsidR="001818B3" w:rsidRDefault="001818B3" w:rsidP="00440B5B">
            <w:pPr>
              <w:jc w:val="center"/>
              <w:rPr>
                <w:rFonts w:ascii="Palatino Linotype" w:hAnsi="Palatino Linotype"/>
                <w:b/>
              </w:rPr>
            </w:pPr>
          </w:p>
          <w:p w14:paraId="710F7FA3" w14:textId="77777777" w:rsidR="004C0749" w:rsidRPr="00287848" w:rsidRDefault="004C0749" w:rsidP="00440B5B">
            <w:pPr>
              <w:jc w:val="center"/>
              <w:rPr>
                <w:rFonts w:ascii="Palatino Linotype" w:hAnsi="Palatino Linotype"/>
                <w:b/>
              </w:rPr>
            </w:pPr>
            <w:r w:rsidRPr="00287848">
              <w:rPr>
                <w:rFonts w:ascii="Palatino Linotype" w:hAnsi="Palatino Linotype"/>
                <w:b/>
              </w:rPr>
              <w:t xml:space="preserve">EVA ABAID YAPUR </w:t>
            </w:r>
          </w:p>
          <w:p w14:paraId="73E2F009" w14:textId="77777777" w:rsidR="006E72E1" w:rsidRDefault="004C0749" w:rsidP="001818B3">
            <w:pPr>
              <w:jc w:val="center"/>
              <w:rPr>
                <w:rFonts w:ascii="Palatino Linotype" w:hAnsi="Palatino Linotype"/>
                <w:b/>
              </w:rPr>
            </w:pPr>
            <w:r w:rsidRPr="00287848">
              <w:rPr>
                <w:rFonts w:ascii="Palatino Linotype" w:hAnsi="Palatino Linotype"/>
                <w:b/>
              </w:rPr>
              <w:t>COMISIONADA</w:t>
            </w:r>
          </w:p>
          <w:p w14:paraId="46BF9CB2" w14:textId="641F913A" w:rsidR="0068017F" w:rsidRPr="00287848" w:rsidRDefault="0068017F" w:rsidP="001818B3">
            <w:pPr>
              <w:jc w:val="center"/>
              <w:rPr>
                <w:rFonts w:ascii="Palatino Linotype" w:hAnsi="Palatino Linotype"/>
                <w:b/>
              </w:rPr>
            </w:pPr>
            <w:r>
              <w:rPr>
                <w:rFonts w:ascii="Palatino Linotype" w:hAnsi="Palatino Linotype"/>
                <w:b/>
              </w:rPr>
              <w:t>(RÚBRICA)</w:t>
            </w:r>
            <w:bookmarkStart w:id="0" w:name="_GoBack"/>
            <w:bookmarkEnd w:id="0"/>
          </w:p>
        </w:tc>
      </w:tr>
    </w:tbl>
    <w:p w14:paraId="2B87D251" w14:textId="77777777" w:rsidR="00852422" w:rsidRDefault="00852422" w:rsidP="004C0749">
      <w:pPr>
        <w:jc w:val="both"/>
        <w:rPr>
          <w:rFonts w:ascii="Palatino Linotype" w:eastAsia="Calibri" w:hAnsi="Palatino Linotype" w:cs="Arial"/>
          <w:color w:val="000000" w:themeColor="text1"/>
          <w:sz w:val="20"/>
          <w:szCs w:val="20"/>
        </w:rPr>
      </w:pPr>
    </w:p>
    <w:p w14:paraId="149C26E6" w14:textId="77777777" w:rsidR="00852422" w:rsidRDefault="00852422" w:rsidP="004C0749">
      <w:pPr>
        <w:jc w:val="both"/>
        <w:rPr>
          <w:rFonts w:ascii="Palatino Linotype" w:eastAsia="Calibri" w:hAnsi="Palatino Linotype" w:cs="Arial"/>
          <w:color w:val="000000" w:themeColor="text1"/>
          <w:sz w:val="20"/>
          <w:szCs w:val="20"/>
        </w:rPr>
      </w:pPr>
    </w:p>
    <w:p w14:paraId="27290E1C" w14:textId="747B925D" w:rsidR="006E72E1" w:rsidRDefault="004C0749" w:rsidP="004C0749">
      <w:pPr>
        <w:jc w:val="both"/>
        <w:rPr>
          <w:rFonts w:ascii="Palatino Linotype" w:eastAsia="Calibri" w:hAnsi="Palatino Linotype" w:cs="Arial"/>
          <w:color w:val="000000" w:themeColor="text1"/>
          <w:sz w:val="20"/>
          <w:szCs w:val="20"/>
        </w:rPr>
      </w:pPr>
      <w:r w:rsidRPr="00287848">
        <w:rPr>
          <w:rFonts w:ascii="Palatino Linotype" w:eastAsia="Calibri" w:hAnsi="Palatino Linotype" w:cs="Arial"/>
          <w:color w:val="000000" w:themeColor="text1"/>
          <w:sz w:val="20"/>
          <w:szCs w:val="20"/>
        </w:rPr>
        <w:t xml:space="preserve">Esta hoja corresponde al voto particular emitido en </w:t>
      </w:r>
      <w:r w:rsidR="00CF5FF4">
        <w:rPr>
          <w:rFonts w:ascii="Palatino Linotype" w:eastAsia="Calibri" w:hAnsi="Palatino Linotype" w:cs="Arial"/>
          <w:color w:val="000000" w:themeColor="text1"/>
          <w:sz w:val="20"/>
          <w:szCs w:val="20"/>
        </w:rPr>
        <w:t>la resolución d</w:t>
      </w:r>
      <w:r w:rsidRPr="00287848">
        <w:rPr>
          <w:rFonts w:ascii="Palatino Linotype" w:eastAsia="Calibri" w:hAnsi="Palatino Linotype" w:cs="Arial"/>
          <w:color w:val="000000" w:themeColor="text1"/>
          <w:sz w:val="20"/>
          <w:szCs w:val="20"/>
        </w:rPr>
        <w:t>el recurso de revisión 0</w:t>
      </w:r>
      <w:r w:rsidR="00F23AA8">
        <w:rPr>
          <w:rFonts w:ascii="Palatino Linotype" w:eastAsia="Calibri" w:hAnsi="Palatino Linotype" w:cs="Arial"/>
          <w:color w:val="000000" w:themeColor="text1"/>
          <w:sz w:val="20"/>
          <w:szCs w:val="20"/>
        </w:rPr>
        <w:t>5329</w:t>
      </w:r>
      <w:r w:rsidR="00440B5B">
        <w:rPr>
          <w:rFonts w:ascii="Palatino Linotype" w:eastAsia="Calibri" w:hAnsi="Palatino Linotype" w:cs="Arial"/>
          <w:color w:val="000000" w:themeColor="text1"/>
          <w:sz w:val="20"/>
          <w:szCs w:val="20"/>
        </w:rPr>
        <w:t>/INFOEM/IP/RR/201</w:t>
      </w:r>
      <w:r w:rsidR="001818B3">
        <w:rPr>
          <w:rFonts w:ascii="Palatino Linotype" w:eastAsia="Calibri" w:hAnsi="Palatino Linotype" w:cs="Arial"/>
          <w:color w:val="000000" w:themeColor="text1"/>
          <w:sz w:val="20"/>
          <w:szCs w:val="20"/>
        </w:rPr>
        <w:t>9</w:t>
      </w:r>
      <w:r w:rsidRPr="00287848">
        <w:rPr>
          <w:rFonts w:ascii="Palatino Linotype" w:eastAsia="Calibri" w:hAnsi="Palatino Linotype" w:cs="Arial"/>
          <w:color w:val="000000" w:themeColor="text1"/>
          <w:sz w:val="20"/>
          <w:szCs w:val="20"/>
        </w:rPr>
        <w:t xml:space="preserve">, aprobado el </w:t>
      </w:r>
      <w:r w:rsidR="00F23AA8">
        <w:rPr>
          <w:rFonts w:ascii="Palatino Linotype" w:eastAsia="Calibri" w:hAnsi="Palatino Linotype" w:cs="Arial"/>
          <w:color w:val="000000" w:themeColor="text1"/>
          <w:sz w:val="20"/>
          <w:szCs w:val="20"/>
        </w:rPr>
        <w:t xml:space="preserve">once de </w:t>
      </w:r>
      <w:r w:rsidR="00852422">
        <w:rPr>
          <w:rFonts w:ascii="Palatino Linotype" w:eastAsia="Calibri" w:hAnsi="Palatino Linotype" w:cs="Arial"/>
          <w:color w:val="000000" w:themeColor="text1"/>
          <w:sz w:val="20"/>
          <w:szCs w:val="20"/>
        </w:rPr>
        <w:t>septiembre de</w:t>
      </w:r>
      <w:r w:rsidR="002E2D85">
        <w:rPr>
          <w:rFonts w:ascii="Palatino Linotype" w:eastAsia="Calibri" w:hAnsi="Palatino Linotype" w:cs="Arial"/>
          <w:color w:val="000000" w:themeColor="text1"/>
          <w:sz w:val="20"/>
          <w:szCs w:val="20"/>
        </w:rPr>
        <w:t xml:space="preserve"> dos mil diecinueve</w:t>
      </w:r>
      <w:r w:rsidR="007552C0">
        <w:rPr>
          <w:rFonts w:ascii="Palatino Linotype" w:eastAsia="Calibri" w:hAnsi="Palatino Linotype" w:cs="Arial"/>
          <w:color w:val="000000" w:themeColor="text1"/>
          <w:sz w:val="20"/>
          <w:szCs w:val="20"/>
        </w:rPr>
        <w:t xml:space="preserve"> </w:t>
      </w:r>
    </w:p>
    <w:p w14:paraId="126A6378" w14:textId="77777777" w:rsidR="001818B3" w:rsidRPr="001818B3" w:rsidRDefault="001818B3" w:rsidP="004C0749">
      <w:pPr>
        <w:jc w:val="both"/>
        <w:rPr>
          <w:rFonts w:ascii="Palatino Linotype" w:eastAsia="Calibri" w:hAnsi="Palatino Linotype" w:cs="Arial"/>
          <w:color w:val="000000" w:themeColor="text1"/>
          <w:sz w:val="8"/>
          <w:szCs w:val="8"/>
        </w:rPr>
      </w:pPr>
    </w:p>
    <w:p w14:paraId="29472FD9" w14:textId="5A5B36CA" w:rsidR="004C0749" w:rsidRPr="00287848" w:rsidRDefault="00440B5B" w:rsidP="004C0749">
      <w:pPr>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t>YSM/</w:t>
      </w:r>
      <w:r w:rsidR="001818B3">
        <w:rPr>
          <w:rFonts w:ascii="Palatino Linotype" w:eastAsia="Calibri" w:hAnsi="Palatino Linotype" w:cs="Arial"/>
          <w:color w:val="000000" w:themeColor="text1"/>
          <w:sz w:val="20"/>
          <w:szCs w:val="20"/>
        </w:rPr>
        <w:t>ATU/</w:t>
      </w:r>
      <w:r>
        <w:rPr>
          <w:rFonts w:ascii="Palatino Linotype" w:eastAsia="Calibri" w:hAnsi="Palatino Linotype" w:cs="Arial"/>
          <w:color w:val="000000" w:themeColor="text1"/>
          <w:sz w:val="20"/>
          <w:szCs w:val="20"/>
        </w:rPr>
        <w:t>EJCA</w:t>
      </w:r>
    </w:p>
    <w:sectPr w:rsidR="004C0749" w:rsidRPr="00287848" w:rsidSect="00ED34E1">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5DAAB" w14:textId="77777777" w:rsidR="0093175D" w:rsidRDefault="0093175D" w:rsidP="00C80F8C">
      <w:r>
        <w:separator/>
      </w:r>
    </w:p>
  </w:endnote>
  <w:endnote w:type="continuationSeparator" w:id="0">
    <w:p w14:paraId="565B9E47" w14:textId="77777777" w:rsidR="0093175D" w:rsidRDefault="0093175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8017F">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8017F">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419B8" w14:textId="77777777" w:rsidR="0093175D" w:rsidRDefault="0093175D" w:rsidP="00C80F8C">
      <w:r>
        <w:separator/>
      </w:r>
    </w:p>
  </w:footnote>
  <w:footnote w:type="continuationSeparator" w:id="0">
    <w:p w14:paraId="5DBC7243" w14:textId="77777777" w:rsidR="0093175D" w:rsidRDefault="0093175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68017F">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3961ADEC"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B61D73" w14:textId="1E4BD2B3" w:rsidR="0034309A" w:rsidRPr="001818B3" w:rsidRDefault="0034309A" w:rsidP="0034309A">
    <w:pPr>
      <w:pStyle w:val="Encabezado"/>
      <w:tabs>
        <w:tab w:val="clear" w:pos="4252"/>
        <w:tab w:val="clear" w:pos="8504"/>
        <w:tab w:val="left" w:pos="2326"/>
      </w:tabs>
      <w:jc w:val="right"/>
      <w:rPr>
        <w:rFonts w:ascii="Palatino Linotype" w:hAnsi="Palatino Linotype"/>
        <w:sz w:val="22"/>
      </w:rPr>
    </w:pPr>
  </w:p>
  <w:p w14:paraId="71104997" w14:textId="42CA4065" w:rsidR="00634485" w:rsidRDefault="00634485" w:rsidP="0034309A">
    <w:pPr>
      <w:pStyle w:val="Encabezado"/>
      <w:tabs>
        <w:tab w:val="clear" w:pos="4252"/>
        <w:tab w:val="clear" w:pos="8504"/>
        <w:tab w:val="left" w:pos="2326"/>
      </w:tabs>
      <w:jc w:val="right"/>
      <w:rPr>
        <w:rFonts w:ascii="Palatino Linotype" w:hAnsi="Palatino Linotype" w:cs="Arial"/>
        <w:sz w:val="20"/>
        <w:szCs w:val="20"/>
      </w:rPr>
    </w:pPr>
  </w:p>
  <w:p w14:paraId="5605195D" w14:textId="5DDEEE9F" w:rsidR="00EB7480" w:rsidRDefault="001818B3"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333995A2" w14:textId="780AB600" w:rsidR="0030072F" w:rsidRDefault="0068017F"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77.5pt;margin-top:244.15pt;width:635.4pt;height:93.55pt;rotation:315;z-index:-251652096;mso-position-horizontal-relative:margin;mso-position-vertical-relative:margin" o:allowincell="f" fillcolor="#bfbfbf [2412]" stroked="f">
          <v:fill opacity=".5"/>
          <v:textpath style="font-family:&quot;Palatino Linotype&quot;;font-size:1pt" string="VOTO PARTICULAR"/>
          <w10:wrap anchorx="margin" anchory="margin"/>
        </v:shape>
      </w:pict>
    </w:r>
    <w:r w:rsidR="001818B3" w:rsidRPr="00706042">
      <w:rPr>
        <w:rFonts w:ascii="Palatino Linotype" w:hAnsi="Palatino Linotype" w:cs="Arial"/>
        <w:sz w:val="20"/>
        <w:szCs w:val="20"/>
      </w:rPr>
      <w:t xml:space="preserve">RECURSO DE REVISIÓN </w:t>
    </w:r>
    <w:r w:rsidR="001818B3">
      <w:rPr>
        <w:rFonts w:ascii="Palatino Linotype" w:hAnsi="Palatino Linotype" w:cs="Arial"/>
        <w:sz w:val="20"/>
        <w:szCs w:val="20"/>
      </w:rPr>
      <w:t>05329/INFOEM/IP</w:t>
    </w:r>
    <w:r w:rsidR="001818B3" w:rsidRPr="00706042">
      <w:rPr>
        <w:rFonts w:ascii="Palatino Linotype" w:hAnsi="Palatino Linotype" w:cs="Arial"/>
        <w:sz w:val="20"/>
        <w:szCs w:val="20"/>
      </w:rPr>
      <w:t>/RR/201</w:t>
    </w:r>
    <w:r w:rsidR="001818B3">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68017F">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B0200"/>
    <w:multiLevelType w:val="hybridMultilevel"/>
    <w:tmpl w:val="B8ECC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CC50104"/>
    <w:multiLevelType w:val="hybridMultilevel"/>
    <w:tmpl w:val="F558E4AA"/>
    <w:lvl w:ilvl="0" w:tplc="12D4A574">
      <w:start w:val="1"/>
      <w:numFmt w:val="decimal"/>
      <w:lvlText w:val="%1."/>
      <w:lvlJc w:val="left"/>
      <w:pPr>
        <w:ind w:left="822" w:hanging="348"/>
      </w:pPr>
      <w:rPr>
        <w:rFonts w:ascii="Palatino Linotype" w:eastAsia="Arial" w:hAnsi="Palatino Linotype" w:cs="Arial" w:hint="default"/>
        <w:b/>
        <w:spacing w:val="-14"/>
        <w:w w:val="99"/>
        <w:sz w:val="22"/>
        <w:szCs w:val="22"/>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6">
    <w:nsid w:val="11A80955"/>
    <w:multiLevelType w:val="hybridMultilevel"/>
    <w:tmpl w:val="FD9026A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11F81C95"/>
    <w:multiLevelType w:val="hybridMultilevel"/>
    <w:tmpl w:val="9488AFFE"/>
    <w:lvl w:ilvl="0" w:tplc="0F8CDC06">
      <w:start w:val="3"/>
      <w:numFmt w:val="lowerLetter"/>
      <w:lvlText w:val="%1."/>
      <w:lvlJc w:val="left"/>
      <w:pPr>
        <w:ind w:left="1542" w:hanging="336"/>
      </w:pPr>
      <w:rPr>
        <w:rFonts w:ascii="Palatino Linotype" w:eastAsia="Arial" w:hAnsi="Palatino Linotype" w:cs="Arial" w:hint="default"/>
        <w:b/>
        <w:w w:val="100"/>
        <w:sz w:val="22"/>
        <w:szCs w:val="22"/>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8">
    <w:nsid w:val="15BF7F34"/>
    <w:multiLevelType w:val="hybridMultilevel"/>
    <w:tmpl w:val="A00A3CE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76E6F0D"/>
    <w:multiLevelType w:val="hybridMultilevel"/>
    <w:tmpl w:val="4DB0EA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9B41AB2"/>
    <w:multiLevelType w:val="hybridMultilevel"/>
    <w:tmpl w:val="C1CE9036"/>
    <w:lvl w:ilvl="0" w:tplc="10D05CE0">
      <w:start w:val="1"/>
      <w:numFmt w:val="decimal"/>
      <w:lvlText w:val="%1)"/>
      <w:lvlJc w:val="center"/>
      <w:pPr>
        <w:ind w:left="1080" w:hanging="360"/>
      </w:pPr>
      <w:rPr>
        <w:rFonts w:ascii="Palatino Linotype" w:eastAsia="Times New Roman" w:hAnsi="Palatino Linotype" w:cs="Arial"/>
        <w:b w:val="0"/>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2D652D05"/>
    <w:multiLevelType w:val="hybridMultilevel"/>
    <w:tmpl w:val="4D728D9C"/>
    <w:lvl w:ilvl="0" w:tplc="82847B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37527A76"/>
    <w:multiLevelType w:val="hybridMultilevel"/>
    <w:tmpl w:val="8B942316"/>
    <w:lvl w:ilvl="0" w:tplc="A728280A">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392D20CC"/>
    <w:multiLevelType w:val="hybridMultilevel"/>
    <w:tmpl w:val="2752C244"/>
    <w:lvl w:ilvl="0" w:tplc="637C0BCC">
      <w:start w:val="1"/>
      <w:numFmt w:val="bullet"/>
      <w:lvlText w:val=""/>
      <w:lvlJc w:val="left"/>
      <w:pPr>
        <w:ind w:left="720" w:hanging="360"/>
      </w:pPr>
      <w:rPr>
        <w:rFonts w:ascii="Wingdings" w:hAnsi="Wingdings"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nsid w:val="3DC31EC9"/>
    <w:multiLevelType w:val="hybridMultilevel"/>
    <w:tmpl w:val="55040AD8"/>
    <w:lvl w:ilvl="0" w:tplc="54F0DF74">
      <w:start w:val="1"/>
      <w:numFmt w:val="decimal"/>
      <w:lvlText w:val="%1."/>
      <w:lvlJc w:val="left"/>
      <w:pPr>
        <w:ind w:left="822" w:hanging="348"/>
      </w:pPr>
      <w:rPr>
        <w:rFonts w:ascii="Palatino Linotype" w:eastAsia="Arial" w:hAnsi="Palatino Linotype" w:cs="Arial" w:hint="default"/>
        <w:b/>
        <w:spacing w:val="-13"/>
        <w:w w:val="99"/>
        <w:sz w:val="22"/>
        <w:szCs w:val="22"/>
        <w:lang w:val="es-ES" w:eastAsia="es-ES" w:bidi="es-ES"/>
      </w:rPr>
    </w:lvl>
    <w:lvl w:ilvl="1" w:tplc="34EEDAC0">
      <w:start w:val="1"/>
      <w:numFmt w:val="lowerLetter"/>
      <w:lvlText w:val="%2."/>
      <w:lvlJc w:val="left"/>
      <w:pPr>
        <w:ind w:left="1542" w:hanging="336"/>
      </w:pPr>
      <w:rPr>
        <w:rFonts w:ascii="Palatino Linotype" w:eastAsia="Arial" w:hAnsi="Palatino Linotype" w:cs="Arial" w:hint="default"/>
        <w:b/>
        <w:spacing w:val="-6"/>
        <w:w w:val="99"/>
        <w:sz w:val="22"/>
        <w:szCs w:val="22"/>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16">
    <w:nsid w:val="47D5050D"/>
    <w:multiLevelType w:val="hybridMultilevel"/>
    <w:tmpl w:val="CE5078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3C51F7"/>
    <w:multiLevelType w:val="hybridMultilevel"/>
    <w:tmpl w:val="FD52C28A"/>
    <w:lvl w:ilvl="0" w:tplc="FF3EA74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4B347A"/>
    <w:multiLevelType w:val="hybridMultilevel"/>
    <w:tmpl w:val="DA742BEE"/>
    <w:lvl w:ilvl="0" w:tplc="93A0D3E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9">
    <w:nsid w:val="5BF10402"/>
    <w:multiLevelType w:val="hybridMultilevel"/>
    <w:tmpl w:val="C9240D70"/>
    <w:lvl w:ilvl="0" w:tplc="E7B82642">
      <w:start w:val="1"/>
      <w:numFmt w:val="lowerLetter"/>
      <w:lvlText w:val="%1."/>
      <w:lvlJc w:val="left"/>
      <w:pPr>
        <w:ind w:left="1518" w:hanging="336"/>
      </w:pPr>
      <w:rPr>
        <w:rFonts w:ascii="Palatino Linotype" w:eastAsia="Arial" w:hAnsi="Palatino Linotype" w:cs="Arial" w:hint="default"/>
        <w:b/>
        <w:spacing w:val="-3"/>
        <w:w w:val="99"/>
        <w:sz w:val="22"/>
        <w:szCs w:val="22"/>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20">
    <w:nsid w:val="5D5313C6"/>
    <w:multiLevelType w:val="hybridMultilevel"/>
    <w:tmpl w:val="E31AEE5A"/>
    <w:lvl w:ilvl="0" w:tplc="8A905EF0">
      <w:start w:val="3"/>
      <w:numFmt w:val="decimal"/>
      <w:lvlText w:val="%1."/>
      <w:lvlJc w:val="left"/>
      <w:pPr>
        <w:ind w:left="702" w:hanging="348"/>
      </w:pPr>
      <w:rPr>
        <w:rFonts w:ascii="Palatino Linotype" w:eastAsia="Arial" w:hAnsi="Palatino Linotype" w:cs="Arial" w:hint="default"/>
        <w:b/>
        <w:spacing w:val="-20"/>
        <w:w w:val="99"/>
        <w:sz w:val="22"/>
        <w:szCs w:val="22"/>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21">
    <w:nsid w:val="634F2187"/>
    <w:multiLevelType w:val="hybridMultilevel"/>
    <w:tmpl w:val="FB6E4740"/>
    <w:lvl w:ilvl="0" w:tplc="09229E80">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6A3969F3"/>
    <w:multiLevelType w:val="hybridMultilevel"/>
    <w:tmpl w:val="03984CDE"/>
    <w:lvl w:ilvl="0" w:tplc="6BE82B52">
      <w:start w:val="1"/>
      <w:numFmt w:val="decimal"/>
      <w:lvlText w:val="%1."/>
      <w:lvlJc w:val="left"/>
      <w:pPr>
        <w:ind w:left="720" w:hanging="360"/>
      </w:pPr>
      <w:rPr>
        <w:b/>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F4A3D38"/>
    <w:multiLevelType w:val="hybridMultilevel"/>
    <w:tmpl w:val="319A2E58"/>
    <w:lvl w:ilvl="0" w:tplc="51AEE566">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A735D88"/>
    <w:multiLevelType w:val="hybridMultilevel"/>
    <w:tmpl w:val="137AA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14"/>
  </w:num>
  <w:num w:numId="4">
    <w:abstractNumId w:val="1"/>
  </w:num>
  <w:num w:numId="5">
    <w:abstractNumId w:val="18"/>
  </w:num>
  <w:num w:numId="6">
    <w:abstractNumId w:val="11"/>
  </w:num>
  <w:num w:numId="7">
    <w:abstractNumId w:val="17"/>
  </w:num>
  <w:num w:numId="8">
    <w:abstractNumId w:val="0"/>
  </w:num>
  <w:num w:numId="9">
    <w:abstractNumId w:val="10"/>
  </w:num>
  <w:num w:numId="10">
    <w:abstractNumId w:val="12"/>
  </w:num>
  <w:num w:numId="11">
    <w:abstractNumId w:val="21"/>
  </w:num>
  <w:num w:numId="12">
    <w:abstractNumId w:val="16"/>
  </w:num>
  <w:num w:numId="13">
    <w:abstractNumId w:val="22"/>
  </w:num>
  <w:num w:numId="14">
    <w:abstractNumId w:val="2"/>
  </w:num>
  <w:num w:numId="15">
    <w:abstractNumId w:val="24"/>
  </w:num>
  <w:num w:numId="16">
    <w:abstractNumId w:val="25"/>
  </w:num>
  <w:num w:numId="17">
    <w:abstractNumId w:val="15"/>
  </w:num>
  <w:num w:numId="18">
    <w:abstractNumId w:val="7"/>
  </w:num>
  <w:num w:numId="19">
    <w:abstractNumId w:val="5"/>
  </w:num>
  <w:num w:numId="20">
    <w:abstractNumId w:val="19"/>
  </w:num>
  <w:num w:numId="21">
    <w:abstractNumId w:val="20"/>
  </w:num>
  <w:num w:numId="22">
    <w:abstractNumId w:val="23"/>
  </w:num>
  <w:num w:numId="23">
    <w:abstractNumId w:val="6"/>
  </w:num>
  <w:num w:numId="24">
    <w:abstractNumId w:val="13"/>
  </w:num>
  <w:num w:numId="25">
    <w:abstractNumId w:val="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751C"/>
    <w:rsid w:val="00017D16"/>
    <w:rsid w:val="000412FB"/>
    <w:rsid w:val="0005363D"/>
    <w:rsid w:val="00055107"/>
    <w:rsid w:val="00057A55"/>
    <w:rsid w:val="0006079D"/>
    <w:rsid w:val="00062B04"/>
    <w:rsid w:val="00064A5C"/>
    <w:rsid w:val="0007653D"/>
    <w:rsid w:val="00082101"/>
    <w:rsid w:val="0008542A"/>
    <w:rsid w:val="0008745A"/>
    <w:rsid w:val="00091B64"/>
    <w:rsid w:val="00092678"/>
    <w:rsid w:val="00095B30"/>
    <w:rsid w:val="000B3FFD"/>
    <w:rsid w:val="000C4453"/>
    <w:rsid w:val="000D136C"/>
    <w:rsid w:val="000D66DE"/>
    <w:rsid w:val="000E2B1A"/>
    <w:rsid w:val="000E4C17"/>
    <w:rsid w:val="000F05FA"/>
    <w:rsid w:val="000F7DC3"/>
    <w:rsid w:val="00102EEC"/>
    <w:rsid w:val="0010583C"/>
    <w:rsid w:val="001126F3"/>
    <w:rsid w:val="00117749"/>
    <w:rsid w:val="00123644"/>
    <w:rsid w:val="00130433"/>
    <w:rsid w:val="001317F7"/>
    <w:rsid w:val="0013735C"/>
    <w:rsid w:val="00140058"/>
    <w:rsid w:val="0014143E"/>
    <w:rsid w:val="00157A57"/>
    <w:rsid w:val="00175DEE"/>
    <w:rsid w:val="001818B3"/>
    <w:rsid w:val="00187FFD"/>
    <w:rsid w:val="001950C9"/>
    <w:rsid w:val="001E1132"/>
    <w:rsid w:val="001E757E"/>
    <w:rsid w:val="001E763C"/>
    <w:rsid w:val="002314AA"/>
    <w:rsid w:val="0023504D"/>
    <w:rsid w:val="00237A37"/>
    <w:rsid w:val="0024119C"/>
    <w:rsid w:val="00241A44"/>
    <w:rsid w:val="002468E7"/>
    <w:rsid w:val="0025202C"/>
    <w:rsid w:val="002562CC"/>
    <w:rsid w:val="00265860"/>
    <w:rsid w:val="00287848"/>
    <w:rsid w:val="002940F8"/>
    <w:rsid w:val="002A1B3E"/>
    <w:rsid w:val="002B7856"/>
    <w:rsid w:val="002D3BBD"/>
    <w:rsid w:val="002D4526"/>
    <w:rsid w:val="002D69E1"/>
    <w:rsid w:val="002E2D85"/>
    <w:rsid w:val="0030072F"/>
    <w:rsid w:val="003056D9"/>
    <w:rsid w:val="003102FA"/>
    <w:rsid w:val="0034309A"/>
    <w:rsid w:val="00346AFD"/>
    <w:rsid w:val="003628B7"/>
    <w:rsid w:val="0037321B"/>
    <w:rsid w:val="003A6F70"/>
    <w:rsid w:val="003C23BE"/>
    <w:rsid w:val="003C28FC"/>
    <w:rsid w:val="003C2D10"/>
    <w:rsid w:val="003C7226"/>
    <w:rsid w:val="003D1C14"/>
    <w:rsid w:val="003D297D"/>
    <w:rsid w:val="003F4C9C"/>
    <w:rsid w:val="00410D1F"/>
    <w:rsid w:val="00414E48"/>
    <w:rsid w:val="00414E7B"/>
    <w:rsid w:val="004179B7"/>
    <w:rsid w:val="00420AF1"/>
    <w:rsid w:val="004315BB"/>
    <w:rsid w:val="00440B5B"/>
    <w:rsid w:val="0044271B"/>
    <w:rsid w:val="00443646"/>
    <w:rsid w:val="0044475B"/>
    <w:rsid w:val="00455CB3"/>
    <w:rsid w:val="004661D2"/>
    <w:rsid w:val="004776FF"/>
    <w:rsid w:val="00497120"/>
    <w:rsid w:val="004A3472"/>
    <w:rsid w:val="004B1EC9"/>
    <w:rsid w:val="004B7325"/>
    <w:rsid w:val="004C0749"/>
    <w:rsid w:val="004C203B"/>
    <w:rsid w:val="004C40EA"/>
    <w:rsid w:val="004C64D9"/>
    <w:rsid w:val="004D0A26"/>
    <w:rsid w:val="00500FFD"/>
    <w:rsid w:val="0050311A"/>
    <w:rsid w:val="00514871"/>
    <w:rsid w:val="00516914"/>
    <w:rsid w:val="005236B6"/>
    <w:rsid w:val="00527566"/>
    <w:rsid w:val="005318AB"/>
    <w:rsid w:val="00561915"/>
    <w:rsid w:val="00562649"/>
    <w:rsid w:val="00575235"/>
    <w:rsid w:val="0058067E"/>
    <w:rsid w:val="0058639E"/>
    <w:rsid w:val="005870DF"/>
    <w:rsid w:val="0059363B"/>
    <w:rsid w:val="005B773B"/>
    <w:rsid w:val="005C5B04"/>
    <w:rsid w:val="005C66D4"/>
    <w:rsid w:val="005D14C4"/>
    <w:rsid w:val="005D1946"/>
    <w:rsid w:val="005F79DE"/>
    <w:rsid w:val="00612544"/>
    <w:rsid w:val="0062419B"/>
    <w:rsid w:val="00634485"/>
    <w:rsid w:val="006521C1"/>
    <w:rsid w:val="00653D6E"/>
    <w:rsid w:val="00672211"/>
    <w:rsid w:val="0068017F"/>
    <w:rsid w:val="006824EF"/>
    <w:rsid w:val="00684492"/>
    <w:rsid w:val="006869DD"/>
    <w:rsid w:val="0069256D"/>
    <w:rsid w:val="00694EB3"/>
    <w:rsid w:val="006967D4"/>
    <w:rsid w:val="006A496D"/>
    <w:rsid w:val="006C0991"/>
    <w:rsid w:val="006C21F1"/>
    <w:rsid w:val="006D2F67"/>
    <w:rsid w:val="006E6389"/>
    <w:rsid w:val="006E72E1"/>
    <w:rsid w:val="006F128D"/>
    <w:rsid w:val="006F30F8"/>
    <w:rsid w:val="007069A5"/>
    <w:rsid w:val="00712BC2"/>
    <w:rsid w:val="0071346B"/>
    <w:rsid w:val="00721966"/>
    <w:rsid w:val="00724599"/>
    <w:rsid w:val="00736C06"/>
    <w:rsid w:val="007416E3"/>
    <w:rsid w:val="00742010"/>
    <w:rsid w:val="00752E32"/>
    <w:rsid w:val="007552C0"/>
    <w:rsid w:val="00772360"/>
    <w:rsid w:val="007A4AB6"/>
    <w:rsid w:val="007B6E55"/>
    <w:rsid w:val="007C0FDA"/>
    <w:rsid w:val="007C3C0E"/>
    <w:rsid w:val="007D0FEE"/>
    <w:rsid w:val="007E04FF"/>
    <w:rsid w:val="007E235F"/>
    <w:rsid w:val="007E3C3D"/>
    <w:rsid w:val="007E6E59"/>
    <w:rsid w:val="007F69ED"/>
    <w:rsid w:val="008217CD"/>
    <w:rsid w:val="00825D68"/>
    <w:rsid w:val="00841080"/>
    <w:rsid w:val="00846A21"/>
    <w:rsid w:val="00852422"/>
    <w:rsid w:val="00855665"/>
    <w:rsid w:val="008575AA"/>
    <w:rsid w:val="00860905"/>
    <w:rsid w:val="00881A3D"/>
    <w:rsid w:val="00892AFC"/>
    <w:rsid w:val="008A441C"/>
    <w:rsid w:val="008C0700"/>
    <w:rsid w:val="008C0C70"/>
    <w:rsid w:val="008C17F2"/>
    <w:rsid w:val="008D1526"/>
    <w:rsid w:val="008D584A"/>
    <w:rsid w:val="00926A92"/>
    <w:rsid w:val="0093175D"/>
    <w:rsid w:val="0093343E"/>
    <w:rsid w:val="00937FB7"/>
    <w:rsid w:val="00953EC8"/>
    <w:rsid w:val="00966E59"/>
    <w:rsid w:val="00975AA3"/>
    <w:rsid w:val="00975EB9"/>
    <w:rsid w:val="009773AF"/>
    <w:rsid w:val="00986740"/>
    <w:rsid w:val="00986DDD"/>
    <w:rsid w:val="009A271C"/>
    <w:rsid w:val="009A67F5"/>
    <w:rsid w:val="009B65F4"/>
    <w:rsid w:val="009C46BF"/>
    <w:rsid w:val="009D63A9"/>
    <w:rsid w:val="009E15B4"/>
    <w:rsid w:val="00A032F1"/>
    <w:rsid w:val="00A04C79"/>
    <w:rsid w:val="00A14B1D"/>
    <w:rsid w:val="00A33575"/>
    <w:rsid w:val="00A40057"/>
    <w:rsid w:val="00A4593D"/>
    <w:rsid w:val="00A53958"/>
    <w:rsid w:val="00A60D1E"/>
    <w:rsid w:val="00A81140"/>
    <w:rsid w:val="00A824CA"/>
    <w:rsid w:val="00AB21DA"/>
    <w:rsid w:val="00AB609C"/>
    <w:rsid w:val="00AC248E"/>
    <w:rsid w:val="00AC3F99"/>
    <w:rsid w:val="00AE2B18"/>
    <w:rsid w:val="00AF0B38"/>
    <w:rsid w:val="00AF3F82"/>
    <w:rsid w:val="00B151A8"/>
    <w:rsid w:val="00B27BE5"/>
    <w:rsid w:val="00B337A5"/>
    <w:rsid w:val="00B35A45"/>
    <w:rsid w:val="00B4641E"/>
    <w:rsid w:val="00B46E78"/>
    <w:rsid w:val="00B5072E"/>
    <w:rsid w:val="00B53290"/>
    <w:rsid w:val="00B57FE6"/>
    <w:rsid w:val="00B610DB"/>
    <w:rsid w:val="00B64C77"/>
    <w:rsid w:val="00B650A8"/>
    <w:rsid w:val="00B6575E"/>
    <w:rsid w:val="00B7045A"/>
    <w:rsid w:val="00B80485"/>
    <w:rsid w:val="00B94D08"/>
    <w:rsid w:val="00B95BF7"/>
    <w:rsid w:val="00BA0251"/>
    <w:rsid w:val="00BD7483"/>
    <w:rsid w:val="00C12BB2"/>
    <w:rsid w:val="00C1644D"/>
    <w:rsid w:val="00C30621"/>
    <w:rsid w:val="00C307F0"/>
    <w:rsid w:val="00C3241C"/>
    <w:rsid w:val="00C4493E"/>
    <w:rsid w:val="00C52BEE"/>
    <w:rsid w:val="00C639EE"/>
    <w:rsid w:val="00C766EF"/>
    <w:rsid w:val="00C80F8C"/>
    <w:rsid w:val="00CA047D"/>
    <w:rsid w:val="00CC33B4"/>
    <w:rsid w:val="00CC5EAB"/>
    <w:rsid w:val="00CF30E8"/>
    <w:rsid w:val="00CF5FF4"/>
    <w:rsid w:val="00D01B87"/>
    <w:rsid w:val="00D01B99"/>
    <w:rsid w:val="00D22D87"/>
    <w:rsid w:val="00D41132"/>
    <w:rsid w:val="00D557C2"/>
    <w:rsid w:val="00D61076"/>
    <w:rsid w:val="00D64F32"/>
    <w:rsid w:val="00D7368E"/>
    <w:rsid w:val="00DA5209"/>
    <w:rsid w:val="00DC7173"/>
    <w:rsid w:val="00DD3225"/>
    <w:rsid w:val="00DD6A6C"/>
    <w:rsid w:val="00DF70C7"/>
    <w:rsid w:val="00E10A96"/>
    <w:rsid w:val="00E146AA"/>
    <w:rsid w:val="00E27F2A"/>
    <w:rsid w:val="00E42755"/>
    <w:rsid w:val="00E43B8E"/>
    <w:rsid w:val="00E45B76"/>
    <w:rsid w:val="00E46383"/>
    <w:rsid w:val="00E50E30"/>
    <w:rsid w:val="00E614E3"/>
    <w:rsid w:val="00E62CEA"/>
    <w:rsid w:val="00E76ECF"/>
    <w:rsid w:val="00E8209A"/>
    <w:rsid w:val="00EA27CB"/>
    <w:rsid w:val="00EA69DF"/>
    <w:rsid w:val="00EA7804"/>
    <w:rsid w:val="00EA7874"/>
    <w:rsid w:val="00EB2CEE"/>
    <w:rsid w:val="00EB7480"/>
    <w:rsid w:val="00EB7DE6"/>
    <w:rsid w:val="00EB7F1A"/>
    <w:rsid w:val="00EC0002"/>
    <w:rsid w:val="00EC03A0"/>
    <w:rsid w:val="00ED34E1"/>
    <w:rsid w:val="00ED4418"/>
    <w:rsid w:val="00ED5EE9"/>
    <w:rsid w:val="00EE66B7"/>
    <w:rsid w:val="00EF563C"/>
    <w:rsid w:val="00F23AA8"/>
    <w:rsid w:val="00F31F33"/>
    <w:rsid w:val="00F36CDE"/>
    <w:rsid w:val="00F44E84"/>
    <w:rsid w:val="00F548A9"/>
    <w:rsid w:val="00F54D8B"/>
    <w:rsid w:val="00F72D78"/>
    <w:rsid w:val="00F9624E"/>
    <w:rsid w:val="00FA6221"/>
    <w:rsid w:val="00FB48D6"/>
    <w:rsid w:val="00FC7A41"/>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4651A370-3093-4DEA-BB3D-A3AD94BE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1126F3"/>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character" w:styleId="Hipervnculo">
    <w:name w:val="Hyperlink"/>
    <w:basedOn w:val="Fuentedeprrafopredeter"/>
    <w:uiPriority w:val="99"/>
    <w:unhideWhenUsed/>
    <w:rsid w:val="004C0749"/>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DF70C7"/>
    <w:rPr>
      <w:rFonts w:eastAsia="Calibr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DF70C7"/>
    <w:rPr>
      <w:rFonts w:ascii="Times New Roman" w:eastAsia="Calibri" w:hAnsi="Times New Roman" w:cs="Times New Roman"/>
      <w:sz w:val="20"/>
      <w:szCs w:val="20"/>
      <w:lang w:val="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F70C7"/>
    <w:rPr>
      <w:vertAlign w:val="superscript"/>
    </w:rPr>
  </w:style>
  <w:style w:type="character" w:customStyle="1" w:styleId="Ttulo1Car">
    <w:name w:val="Título 1 Car"/>
    <w:basedOn w:val="Fuentedeprrafopredeter"/>
    <w:link w:val="Ttulo1"/>
    <w:uiPriority w:val="9"/>
    <w:rsid w:val="001126F3"/>
    <w:rPr>
      <w:rFonts w:asciiTheme="majorHAnsi" w:eastAsiaTheme="majorEastAsia" w:hAnsiTheme="majorHAnsi" w:cstheme="majorBidi"/>
      <w:color w:val="365F91" w:themeColor="accent1" w:themeShade="BF"/>
      <w:sz w:val="32"/>
      <w:szCs w:val="32"/>
      <w:lang w:val="es-ES"/>
    </w:rPr>
  </w:style>
  <w:style w:type="paragraph" w:styleId="Textoindependiente">
    <w:name w:val="Body Text"/>
    <w:basedOn w:val="Normal"/>
    <w:link w:val="TextoindependienteCar"/>
    <w:uiPriority w:val="99"/>
    <w:unhideWhenUsed/>
    <w:rsid w:val="001126F3"/>
    <w:pPr>
      <w:spacing w:after="120"/>
    </w:pPr>
    <w:rPr>
      <w:lang w:val="es-ES"/>
    </w:rPr>
  </w:style>
  <w:style w:type="character" w:customStyle="1" w:styleId="TextoindependienteCar">
    <w:name w:val="Texto independiente Car"/>
    <w:basedOn w:val="Fuentedeprrafopredeter"/>
    <w:link w:val="Textoindependiente"/>
    <w:uiPriority w:val="99"/>
    <w:rsid w:val="001126F3"/>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70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84110-3F45-4D7D-AABF-9961DD768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1944</Words>
  <Characters>10698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2019-09-17T18:07:00Z</cp:lastPrinted>
  <dcterms:created xsi:type="dcterms:W3CDTF">2019-09-17T16:38:00Z</dcterms:created>
  <dcterms:modified xsi:type="dcterms:W3CDTF">2019-10-15T23:03:00Z</dcterms:modified>
</cp:coreProperties>
</file>