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b/>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E114F4">
        <w:rPr>
          <w:rFonts w:ascii="Palatino Linotype" w:hAnsi="Palatino Linotype" w:cs="Arial"/>
          <w:b/>
          <w:sz w:val="24"/>
          <w:szCs w:val="24"/>
        </w:rPr>
        <w:t>1</w:t>
      </w:r>
      <w:r w:rsidR="00F84F62">
        <w:rPr>
          <w:rFonts w:ascii="Palatino Linotype" w:hAnsi="Palatino Linotype" w:cs="Arial"/>
          <w:b/>
          <w:sz w:val="24"/>
          <w:szCs w:val="24"/>
        </w:rPr>
        <w:t>900</w:t>
      </w:r>
      <w:r w:rsidR="007E2CF8">
        <w:rPr>
          <w:rFonts w:ascii="Palatino Linotype" w:hAnsi="Palatino Linotype" w:cs="Arial"/>
          <w:b/>
          <w:sz w:val="24"/>
          <w:szCs w:val="24"/>
        </w:rPr>
        <w:t>/INFOEM/IP/RR/201</w:t>
      </w:r>
      <w:r w:rsidR="00E114F4">
        <w:rPr>
          <w:rFonts w:ascii="Palatino Linotype" w:hAnsi="Palatino Linotype" w:cs="Arial"/>
          <w:b/>
          <w:sz w:val="24"/>
          <w:szCs w:val="24"/>
        </w:rPr>
        <w:t>9</w:t>
      </w:r>
      <w:r w:rsidR="0000525F" w:rsidRPr="00E34F08">
        <w:rPr>
          <w:rFonts w:ascii="Palatino Linotype" w:hAnsi="Palatino Linotype" w:cs="Arial"/>
          <w:b/>
          <w:sz w:val="24"/>
          <w:szCs w:val="24"/>
        </w:rPr>
        <w:t>.</w:t>
      </w:r>
    </w:p>
    <w:p w:rsidR="00383512" w:rsidRPr="00F84F62" w:rsidRDefault="00383512" w:rsidP="00E34F08">
      <w:pPr>
        <w:spacing w:after="0" w:line="360" w:lineRule="auto"/>
        <w:jc w:val="both"/>
        <w:rPr>
          <w:rFonts w:ascii="Palatino Linotype" w:hAnsi="Palatino Linotype" w:cs="Arial"/>
          <w:sz w:val="6"/>
          <w:szCs w:val="24"/>
        </w:rPr>
      </w:pPr>
    </w:p>
    <w:p w:rsidR="00C06207" w:rsidRPr="00C06207" w:rsidRDefault="00C06207" w:rsidP="00105730">
      <w:pPr>
        <w:spacing w:after="0" w:line="360" w:lineRule="auto"/>
        <w:jc w:val="both"/>
        <w:rPr>
          <w:rFonts w:ascii="Palatino Linotype" w:hAnsi="Palatino Linotype" w:cs="Arial"/>
          <w:b/>
          <w:sz w:val="12"/>
          <w:szCs w:val="24"/>
        </w:rPr>
      </w:pPr>
    </w:p>
    <w:p w:rsidR="00902248" w:rsidRPr="00105730" w:rsidRDefault="00F84F62" w:rsidP="00C06207">
      <w:pPr>
        <w:spacing w:after="0" w:line="360" w:lineRule="auto"/>
        <w:jc w:val="center"/>
        <w:rPr>
          <w:rFonts w:ascii="Palatino Linotype" w:hAnsi="Palatino Linotype" w:cs="Arial"/>
          <w:b/>
          <w:sz w:val="24"/>
          <w:szCs w:val="24"/>
        </w:rPr>
      </w:pPr>
      <w:r>
        <w:rPr>
          <w:rFonts w:ascii="Palatino Linotype" w:hAnsi="Palatino Linotype" w:cs="Arial"/>
          <w:b/>
          <w:sz w:val="24"/>
          <w:szCs w:val="24"/>
        </w:rPr>
        <w:t>LINEAS ARGUMENTATIVAS</w:t>
      </w:r>
      <w:r w:rsidR="00C06207" w:rsidRPr="0001046D">
        <w:rPr>
          <w:rFonts w:ascii="Palatino Linotype" w:hAnsi="Palatino Linotype" w:cs="Arial"/>
          <w:b/>
          <w:sz w:val="24"/>
          <w:szCs w:val="24"/>
        </w:rPr>
        <w:t>:</w:t>
      </w:r>
    </w:p>
    <w:p w:rsidR="00C06207" w:rsidRPr="00F84F62" w:rsidRDefault="00C06207" w:rsidP="00EA2C08">
      <w:pPr>
        <w:spacing w:after="0" w:line="336" w:lineRule="auto"/>
        <w:jc w:val="both"/>
        <w:rPr>
          <w:rFonts w:ascii="Palatino Linotype" w:hAnsi="Palatino Linotype" w:cs="Arial"/>
          <w:sz w:val="8"/>
          <w:szCs w:val="24"/>
        </w:rPr>
      </w:pPr>
    </w:p>
    <w:p w:rsidR="00F84F62" w:rsidRPr="00F84F62" w:rsidRDefault="00F84F62" w:rsidP="00F84F62">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Cuando se está en presencia de una probable colisión entre 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ello sin dejar de lado que ningún derecho es ilimitado.</w:t>
      </w:r>
    </w:p>
    <w:p w:rsidR="00F84F62" w:rsidRPr="003B7053" w:rsidRDefault="00F84F62" w:rsidP="00F84F62">
      <w:pPr>
        <w:spacing w:after="0" w:line="336" w:lineRule="auto"/>
        <w:jc w:val="both"/>
        <w:rPr>
          <w:rFonts w:ascii="Palatino Linotype" w:hAnsi="Palatino Linotype" w:cs="Arial"/>
          <w:sz w:val="16"/>
          <w:szCs w:val="24"/>
        </w:rPr>
      </w:pPr>
    </w:p>
    <w:p w:rsidR="00F84F62" w:rsidRPr="00F84F62" w:rsidRDefault="00F84F62" w:rsidP="00F84F62">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Para una correcta ponderación de ambos derechos, es necesario realizar el juicio de ponderación que se rige por la exigencia y observancia de tres momentos: el juicio de idoneidad, el juicio de necesidad y el juicio de estricta proporcionalidad. La fotografía, es un requisito para la expedición del título y la cédula profesional y constituye un elemento indispensable de identidad, pues su objetivo es justamente que su titular los utilice para identificarse frente a terceros, como la persona que cuenta con los conocimientos para ejercer la profesión que se indique.</w:t>
      </w:r>
    </w:p>
    <w:p w:rsidR="00F84F62" w:rsidRPr="003B7053" w:rsidRDefault="00F84F62" w:rsidP="00F84F62">
      <w:pPr>
        <w:spacing w:after="0" w:line="336" w:lineRule="auto"/>
        <w:jc w:val="both"/>
        <w:rPr>
          <w:rFonts w:ascii="Palatino Linotype" w:hAnsi="Palatino Linotype" w:cs="Arial"/>
          <w:sz w:val="14"/>
          <w:szCs w:val="24"/>
        </w:rPr>
      </w:pPr>
    </w:p>
    <w:p w:rsidR="00C06207" w:rsidRDefault="00F84F62" w:rsidP="00F84F62">
      <w:pPr>
        <w:spacing w:after="0" w:line="336" w:lineRule="auto"/>
        <w:jc w:val="both"/>
        <w:rPr>
          <w:rFonts w:ascii="Palatino Linotype" w:hAnsi="Palatino Linotype" w:cs="Arial"/>
          <w:sz w:val="24"/>
          <w:szCs w:val="24"/>
        </w:rPr>
      </w:pPr>
      <w:r>
        <w:rPr>
          <w:rFonts w:ascii="Palatino Linotype" w:hAnsi="Palatino Linotype" w:cs="Arial"/>
          <w:sz w:val="24"/>
          <w:szCs w:val="24"/>
        </w:rPr>
        <w:t>L</w:t>
      </w:r>
      <w:r w:rsidRPr="00F84F62">
        <w:rPr>
          <w:rFonts w:ascii="Palatino Linotype" w:hAnsi="Palatino Linotype" w:cs="Arial"/>
          <w:sz w:val="24"/>
          <w:szCs w:val="24"/>
        </w:rPr>
        <w:t xml:space="preserve">a cédula profesional, se integra por un conjunto de elementos cuya concurrencia simultánea permiten identificar clara e indubitablemente que una persona determinada cuenta con los conocimientos necesarios para desempeñar una profesión y que por ello se ha emitido la respectiva patente; sin dejar de lado que </w:t>
      </w:r>
      <w:r w:rsidRPr="00F84F62">
        <w:rPr>
          <w:rFonts w:ascii="Palatino Linotype" w:hAnsi="Palatino Linotype" w:cs="Arial"/>
          <w:sz w:val="24"/>
          <w:szCs w:val="24"/>
        </w:rPr>
        <w:lastRenderedPageBreak/>
        <w:t>además la cédula profesional también sirve como medio de identificación oficial, en términos del artículo 2.5 Bis, fracción III, del Código Civil del Estado de México.</w:t>
      </w:r>
    </w:p>
    <w:p w:rsidR="00647EFF" w:rsidRPr="003B7053" w:rsidRDefault="00647EFF" w:rsidP="00EA2C08">
      <w:pPr>
        <w:spacing w:after="0" w:line="336" w:lineRule="auto"/>
        <w:jc w:val="both"/>
        <w:rPr>
          <w:rFonts w:ascii="Palatino Linotype" w:hAnsi="Palatino Linotype" w:cs="Arial"/>
          <w:sz w:val="10"/>
          <w:szCs w:val="24"/>
        </w:rPr>
      </w:pPr>
    </w:p>
    <w:p w:rsidR="001B45FC" w:rsidRPr="001B45FC" w:rsidRDefault="00EA2C08" w:rsidP="001B45FC">
      <w:pPr>
        <w:pStyle w:val="TtulodeTDC"/>
        <w:spacing w:line="360" w:lineRule="auto"/>
        <w:jc w:val="center"/>
        <w:rPr>
          <w:rFonts w:ascii="Palatino Linotype" w:hAnsi="Palatino Linotype" w:cs="Arial"/>
          <w:b/>
          <w:color w:val="000000" w:themeColor="text1"/>
          <w:sz w:val="24"/>
          <w:szCs w:val="24"/>
        </w:rPr>
      </w:pPr>
      <w:r w:rsidRPr="001B45FC">
        <w:rPr>
          <w:rFonts w:ascii="Palatino Linotype" w:hAnsi="Palatino Linotype" w:cs="Arial"/>
          <w:b/>
          <w:color w:val="000000" w:themeColor="text1"/>
          <w:sz w:val="24"/>
          <w:szCs w:val="24"/>
        </w:rPr>
        <w:t>ÍNDICE</w:t>
      </w:r>
    </w:p>
    <w:sdt>
      <w:sdtPr>
        <w:rPr>
          <w:rFonts w:ascii="Palatino Linotype" w:hAnsi="Palatino Linotype"/>
          <w:lang w:val="es-ES"/>
        </w:rPr>
        <w:id w:val="-1628690016"/>
        <w:docPartObj>
          <w:docPartGallery w:val="Table of Contents"/>
          <w:docPartUnique/>
        </w:docPartObj>
      </w:sdtPr>
      <w:sdtEndPr>
        <w:rPr>
          <w:b/>
          <w:bCs/>
        </w:rPr>
      </w:sdtEndPr>
      <w:sdtContent>
        <w:p w:rsidR="0046491C" w:rsidRPr="0001046D" w:rsidRDefault="0046491C" w:rsidP="001B45FC">
          <w:pPr>
            <w:spacing w:after="0" w:line="360" w:lineRule="auto"/>
            <w:jc w:val="center"/>
            <w:rPr>
              <w:rFonts w:ascii="Palatino Linotype" w:hAnsi="Palatino Linotype"/>
            </w:rPr>
          </w:pPr>
        </w:p>
        <w:p w:rsidR="003B7053"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11081708" w:history="1">
            <w:r w:rsidR="003B7053" w:rsidRPr="00DF4AF3">
              <w:rPr>
                <w:rStyle w:val="Hipervnculo"/>
                <w:rFonts w:ascii="Palatino Linotype" w:hAnsi="Palatino Linotype"/>
                <w:b/>
                <w:noProof/>
              </w:rPr>
              <w:t>I.</w:t>
            </w:r>
            <w:r w:rsidR="003B7053">
              <w:rPr>
                <w:rFonts w:eastAsiaTheme="minorEastAsia"/>
                <w:noProof/>
                <w:lang w:eastAsia="es-MX"/>
              </w:rPr>
              <w:tab/>
            </w:r>
            <w:r w:rsidR="003B7053" w:rsidRPr="00DF4AF3">
              <w:rPr>
                <w:rStyle w:val="Hipervnculo"/>
                <w:rFonts w:ascii="Palatino Linotype" w:hAnsi="Palatino Linotype"/>
                <w:b/>
                <w:noProof/>
              </w:rPr>
              <w:t>Consideraciones Generales.</w:t>
            </w:r>
            <w:r w:rsidR="003B7053">
              <w:rPr>
                <w:noProof/>
                <w:webHidden/>
              </w:rPr>
              <w:tab/>
            </w:r>
            <w:r w:rsidR="003B7053">
              <w:rPr>
                <w:noProof/>
                <w:webHidden/>
              </w:rPr>
              <w:fldChar w:fldCharType="begin"/>
            </w:r>
            <w:r w:rsidR="003B7053">
              <w:rPr>
                <w:noProof/>
                <w:webHidden/>
              </w:rPr>
              <w:instrText xml:space="preserve"> PAGEREF _Toc11081708 \h </w:instrText>
            </w:r>
            <w:r w:rsidR="003B7053">
              <w:rPr>
                <w:noProof/>
                <w:webHidden/>
              </w:rPr>
            </w:r>
            <w:r w:rsidR="003B7053">
              <w:rPr>
                <w:noProof/>
                <w:webHidden/>
              </w:rPr>
              <w:fldChar w:fldCharType="separate"/>
            </w:r>
            <w:r w:rsidR="003500FC">
              <w:rPr>
                <w:noProof/>
                <w:webHidden/>
              </w:rPr>
              <w:t>2</w:t>
            </w:r>
            <w:r w:rsidR="003B7053">
              <w:rPr>
                <w:noProof/>
                <w:webHidden/>
              </w:rPr>
              <w:fldChar w:fldCharType="end"/>
            </w:r>
          </w:hyperlink>
        </w:p>
        <w:p w:rsidR="003B7053" w:rsidRDefault="00A2613C">
          <w:pPr>
            <w:pStyle w:val="TDC1"/>
            <w:rPr>
              <w:rFonts w:eastAsiaTheme="minorEastAsia"/>
              <w:noProof/>
              <w:lang w:eastAsia="es-MX"/>
            </w:rPr>
          </w:pPr>
          <w:hyperlink w:anchor="_Toc11081709" w:history="1">
            <w:r w:rsidR="003B7053" w:rsidRPr="00DF4AF3">
              <w:rPr>
                <w:rStyle w:val="Hipervnculo"/>
                <w:rFonts w:ascii="Palatino Linotype" w:hAnsi="Palatino Linotype"/>
                <w:b/>
                <w:noProof/>
              </w:rPr>
              <w:t>II.</w:t>
            </w:r>
            <w:r w:rsidR="003B7053">
              <w:rPr>
                <w:rFonts w:eastAsiaTheme="minorEastAsia"/>
                <w:noProof/>
                <w:lang w:eastAsia="es-MX"/>
              </w:rPr>
              <w:tab/>
            </w:r>
            <w:r w:rsidR="003B7053" w:rsidRPr="00DF4AF3">
              <w:rPr>
                <w:rStyle w:val="Hipervnculo"/>
                <w:rFonts w:ascii="Palatino Linotype" w:hAnsi="Palatino Linotype"/>
                <w:b/>
                <w:noProof/>
              </w:rPr>
              <w:t>De los requerimientos planteados en el recurso de revisión.</w:t>
            </w:r>
            <w:r w:rsidR="003B7053">
              <w:rPr>
                <w:noProof/>
                <w:webHidden/>
              </w:rPr>
              <w:tab/>
            </w:r>
            <w:r w:rsidR="003B7053">
              <w:rPr>
                <w:noProof/>
                <w:webHidden/>
              </w:rPr>
              <w:fldChar w:fldCharType="begin"/>
            </w:r>
            <w:r w:rsidR="003B7053">
              <w:rPr>
                <w:noProof/>
                <w:webHidden/>
              </w:rPr>
              <w:instrText xml:space="preserve"> PAGEREF _Toc11081709 \h </w:instrText>
            </w:r>
            <w:r w:rsidR="003B7053">
              <w:rPr>
                <w:noProof/>
                <w:webHidden/>
              </w:rPr>
            </w:r>
            <w:r w:rsidR="003B7053">
              <w:rPr>
                <w:noProof/>
                <w:webHidden/>
              </w:rPr>
              <w:fldChar w:fldCharType="separate"/>
            </w:r>
            <w:r w:rsidR="003500FC">
              <w:rPr>
                <w:noProof/>
                <w:webHidden/>
              </w:rPr>
              <w:t>4</w:t>
            </w:r>
            <w:r w:rsidR="003B7053">
              <w:rPr>
                <w:noProof/>
                <w:webHidden/>
              </w:rPr>
              <w:fldChar w:fldCharType="end"/>
            </w:r>
          </w:hyperlink>
        </w:p>
        <w:p w:rsidR="003B7053" w:rsidRDefault="00A2613C">
          <w:pPr>
            <w:pStyle w:val="TDC1"/>
            <w:rPr>
              <w:rFonts w:eastAsiaTheme="minorEastAsia"/>
              <w:noProof/>
              <w:lang w:eastAsia="es-MX"/>
            </w:rPr>
          </w:pPr>
          <w:hyperlink w:anchor="_Toc11081710" w:history="1">
            <w:r w:rsidR="003B7053" w:rsidRPr="00DF4AF3">
              <w:rPr>
                <w:rStyle w:val="Hipervnculo"/>
                <w:rFonts w:ascii="Palatino Linotype" w:hAnsi="Palatino Linotype"/>
                <w:b/>
                <w:noProof/>
              </w:rPr>
              <w:t>III.</w:t>
            </w:r>
            <w:r w:rsidR="003B7053">
              <w:rPr>
                <w:rFonts w:eastAsiaTheme="minorEastAsia"/>
                <w:noProof/>
                <w:lang w:eastAsia="es-MX"/>
              </w:rPr>
              <w:tab/>
            </w:r>
            <w:r w:rsidR="003B7053" w:rsidRPr="00DF4AF3">
              <w:rPr>
                <w:rStyle w:val="Hipervnculo"/>
                <w:rFonts w:ascii="Palatino Linotype" w:hAnsi="Palatino Linotype"/>
                <w:b/>
                <w:noProof/>
              </w:rPr>
              <w:t>La naturaleza de la cédula profesional</w:t>
            </w:r>
            <w:r w:rsidR="003B7053">
              <w:rPr>
                <w:noProof/>
                <w:webHidden/>
              </w:rPr>
              <w:tab/>
            </w:r>
            <w:r w:rsidR="003B7053">
              <w:rPr>
                <w:noProof/>
                <w:webHidden/>
              </w:rPr>
              <w:fldChar w:fldCharType="begin"/>
            </w:r>
            <w:r w:rsidR="003B7053">
              <w:rPr>
                <w:noProof/>
                <w:webHidden/>
              </w:rPr>
              <w:instrText xml:space="preserve"> PAGEREF _Toc11081710 \h </w:instrText>
            </w:r>
            <w:r w:rsidR="003B7053">
              <w:rPr>
                <w:noProof/>
                <w:webHidden/>
              </w:rPr>
            </w:r>
            <w:r w:rsidR="003B7053">
              <w:rPr>
                <w:noProof/>
                <w:webHidden/>
              </w:rPr>
              <w:fldChar w:fldCharType="separate"/>
            </w:r>
            <w:r w:rsidR="003500FC">
              <w:rPr>
                <w:noProof/>
                <w:webHidden/>
              </w:rPr>
              <w:t>6</w:t>
            </w:r>
            <w:r w:rsidR="003B7053">
              <w:rPr>
                <w:noProof/>
                <w:webHidden/>
              </w:rPr>
              <w:fldChar w:fldCharType="end"/>
            </w:r>
          </w:hyperlink>
        </w:p>
        <w:p w:rsidR="003B7053" w:rsidRDefault="00A2613C">
          <w:pPr>
            <w:pStyle w:val="TDC1"/>
            <w:rPr>
              <w:rFonts w:eastAsiaTheme="minorEastAsia"/>
              <w:noProof/>
              <w:lang w:eastAsia="es-MX"/>
            </w:rPr>
          </w:pPr>
          <w:hyperlink w:anchor="_Toc11081711" w:history="1">
            <w:r w:rsidR="003B7053" w:rsidRPr="00DF4AF3">
              <w:rPr>
                <w:rStyle w:val="Hipervnculo"/>
                <w:rFonts w:ascii="Palatino Linotype" w:hAnsi="Palatino Linotype"/>
                <w:b/>
                <w:noProof/>
              </w:rPr>
              <w:t>IV. De la naturaleza de la función pública que se desempeña</w:t>
            </w:r>
            <w:r w:rsidR="003B7053">
              <w:rPr>
                <w:noProof/>
                <w:webHidden/>
              </w:rPr>
              <w:tab/>
            </w:r>
            <w:r w:rsidR="003B7053">
              <w:rPr>
                <w:noProof/>
                <w:webHidden/>
              </w:rPr>
              <w:fldChar w:fldCharType="begin"/>
            </w:r>
            <w:r w:rsidR="003B7053">
              <w:rPr>
                <w:noProof/>
                <w:webHidden/>
              </w:rPr>
              <w:instrText xml:space="preserve"> PAGEREF _Toc11081711 \h </w:instrText>
            </w:r>
            <w:r w:rsidR="003B7053">
              <w:rPr>
                <w:noProof/>
                <w:webHidden/>
              </w:rPr>
            </w:r>
            <w:r w:rsidR="003B7053">
              <w:rPr>
                <w:noProof/>
                <w:webHidden/>
              </w:rPr>
              <w:fldChar w:fldCharType="separate"/>
            </w:r>
            <w:r w:rsidR="003500FC">
              <w:rPr>
                <w:noProof/>
                <w:webHidden/>
              </w:rPr>
              <w:t>7</w:t>
            </w:r>
            <w:r w:rsidR="003B7053">
              <w:rPr>
                <w:noProof/>
                <w:webHidden/>
              </w:rPr>
              <w:fldChar w:fldCharType="end"/>
            </w:r>
          </w:hyperlink>
        </w:p>
        <w:p w:rsidR="003B7053" w:rsidRDefault="00A2613C">
          <w:pPr>
            <w:pStyle w:val="TDC1"/>
            <w:rPr>
              <w:rFonts w:eastAsiaTheme="minorEastAsia"/>
              <w:noProof/>
              <w:lang w:eastAsia="es-MX"/>
            </w:rPr>
          </w:pPr>
          <w:hyperlink w:anchor="_Toc11081712" w:history="1">
            <w:r w:rsidR="003B7053" w:rsidRPr="00DF4AF3">
              <w:rPr>
                <w:rStyle w:val="Hipervnculo"/>
                <w:rFonts w:ascii="Palatino Linotype" w:eastAsiaTheme="majorEastAsia" w:hAnsi="Palatino Linotype" w:cstheme="majorBidi"/>
                <w:b/>
                <w:noProof/>
              </w:rPr>
              <w:t>V. Restricciones legítimas al derecho a la privacidad.</w:t>
            </w:r>
            <w:r w:rsidR="003B7053">
              <w:rPr>
                <w:noProof/>
                <w:webHidden/>
              </w:rPr>
              <w:tab/>
            </w:r>
            <w:r w:rsidR="003B7053">
              <w:rPr>
                <w:noProof/>
                <w:webHidden/>
              </w:rPr>
              <w:fldChar w:fldCharType="begin"/>
            </w:r>
            <w:r w:rsidR="003B7053">
              <w:rPr>
                <w:noProof/>
                <w:webHidden/>
              </w:rPr>
              <w:instrText xml:space="preserve"> PAGEREF _Toc11081712 \h </w:instrText>
            </w:r>
            <w:r w:rsidR="003B7053">
              <w:rPr>
                <w:noProof/>
                <w:webHidden/>
              </w:rPr>
            </w:r>
            <w:r w:rsidR="003B7053">
              <w:rPr>
                <w:noProof/>
                <w:webHidden/>
              </w:rPr>
              <w:fldChar w:fldCharType="separate"/>
            </w:r>
            <w:r w:rsidR="003500FC">
              <w:rPr>
                <w:noProof/>
                <w:webHidden/>
              </w:rPr>
              <w:t>11</w:t>
            </w:r>
            <w:r w:rsidR="003B7053">
              <w:rPr>
                <w:noProof/>
                <w:webHidden/>
              </w:rPr>
              <w:fldChar w:fldCharType="end"/>
            </w:r>
          </w:hyperlink>
        </w:p>
        <w:p w:rsidR="003B7053" w:rsidRDefault="00A2613C">
          <w:pPr>
            <w:pStyle w:val="TDC1"/>
            <w:rPr>
              <w:rFonts w:eastAsiaTheme="minorEastAsia"/>
              <w:noProof/>
              <w:lang w:eastAsia="es-MX"/>
            </w:rPr>
          </w:pPr>
          <w:hyperlink w:anchor="_Toc11081713" w:history="1">
            <w:r w:rsidR="003B7053" w:rsidRPr="00DF4AF3">
              <w:rPr>
                <w:rStyle w:val="Hipervnculo"/>
                <w:rFonts w:ascii="Palatino Linotype" w:eastAsiaTheme="majorEastAsia" w:hAnsi="Palatino Linotype" w:cstheme="majorBidi"/>
                <w:b/>
                <w:noProof/>
              </w:rPr>
              <w:t>VI. Acceso a la información versus protección de datos personales.</w:t>
            </w:r>
            <w:r w:rsidR="003B7053">
              <w:rPr>
                <w:noProof/>
                <w:webHidden/>
              </w:rPr>
              <w:tab/>
            </w:r>
            <w:r w:rsidR="003B7053">
              <w:rPr>
                <w:noProof/>
                <w:webHidden/>
              </w:rPr>
              <w:fldChar w:fldCharType="begin"/>
            </w:r>
            <w:r w:rsidR="003B7053">
              <w:rPr>
                <w:noProof/>
                <w:webHidden/>
              </w:rPr>
              <w:instrText xml:space="preserve"> PAGEREF _Toc11081713 \h </w:instrText>
            </w:r>
            <w:r w:rsidR="003B7053">
              <w:rPr>
                <w:noProof/>
                <w:webHidden/>
              </w:rPr>
            </w:r>
            <w:r w:rsidR="003B7053">
              <w:rPr>
                <w:noProof/>
                <w:webHidden/>
              </w:rPr>
              <w:fldChar w:fldCharType="separate"/>
            </w:r>
            <w:r w:rsidR="003500FC">
              <w:rPr>
                <w:noProof/>
                <w:webHidden/>
              </w:rPr>
              <w:t>13</w:t>
            </w:r>
            <w:r w:rsidR="003B7053">
              <w:rPr>
                <w:noProof/>
                <w:webHidden/>
              </w:rPr>
              <w:fldChar w:fldCharType="end"/>
            </w:r>
          </w:hyperlink>
        </w:p>
        <w:p w:rsidR="003B7053" w:rsidRDefault="00A2613C">
          <w:pPr>
            <w:pStyle w:val="TDC1"/>
            <w:rPr>
              <w:rFonts w:eastAsiaTheme="minorEastAsia"/>
              <w:noProof/>
              <w:lang w:eastAsia="es-MX"/>
            </w:rPr>
          </w:pPr>
          <w:hyperlink w:anchor="_Toc11081714" w:history="1">
            <w:r w:rsidR="003B7053" w:rsidRPr="00DF4AF3">
              <w:rPr>
                <w:rStyle w:val="Hipervnculo"/>
                <w:rFonts w:ascii="Palatino Linotype" w:hAnsi="Palatino Linotype"/>
                <w:b/>
                <w:noProof/>
              </w:rPr>
              <w:t>A. Juicio de idoneidad.</w:t>
            </w:r>
            <w:r w:rsidR="003B7053">
              <w:rPr>
                <w:noProof/>
                <w:webHidden/>
              </w:rPr>
              <w:tab/>
            </w:r>
            <w:r w:rsidR="003B7053">
              <w:rPr>
                <w:noProof/>
                <w:webHidden/>
              </w:rPr>
              <w:fldChar w:fldCharType="begin"/>
            </w:r>
            <w:r w:rsidR="003B7053">
              <w:rPr>
                <w:noProof/>
                <w:webHidden/>
              </w:rPr>
              <w:instrText xml:space="preserve"> PAGEREF _Toc11081714 \h </w:instrText>
            </w:r>
            <w:r w:rsidR="003B7053">
              <w:rPr>
                <w:noProof/>
                <w:webHidden/>
              </w:rPr>
            </w:r>
            <w:r w:rsidR="003B7053">
              <w:rPr>
                <w:noProof/>
                <w:webHidden/>
              </w:rPr>
              <w:fldChar w:fldCharType="separate"/>
            </w:r>
            <w:r w:rsidR="003500FC">
              <w:rPr>
                <w:noProof/>
                <w:webHidden/>
              </w:rPr>
              <w:t>16</w:t>
            </w:r>
            <w:r w:rsidR="003B7053">
              <w:rPr>
                <w:noProof/>
                <w:webHidden/>
              </w:rPr>
              <w:fldChar w:fldCharType="end"/>
            </w:r>
          </w:hyperlink>
        </w:p>
        <w:p w:rsidR="003B7053" w:rsidRDefault="00A2613C">
          <w:pPr>
            <w:pStyle w:val="TDC1"/>
            <w:rPr>
              <w:rFonts w:eastAsiaTheme="minorEastAsia"/>
              <w:noProof/>
              <w:lang w:eastAsia="es-MX"/>
            </w:rPr>
          </w:pPr>
          <w:hyperlink w:anchor="_Toc11081715" w:history="1">
            <w:r w:rsidR="003B7053" w:rsidRPr="00DF4AF3">
              <w:rPr>
                <w:rStyle w:val="Hipervnculo"/>
                <w:rFonts w:ascii="Palatino Linotype" w:hAnsi="Palatino Linotype"/>
                <w:b/>
                <w:noProof/>
              </w:rPr>
              <w:t>B.  Juicio de Necesidad.</w:t>
            </w:r>
            <w:r w:rsidR="003B7053">
              <w:rPr>
                <w:noProof/>
                <w:webHidden/>
              </w:rPr>
              <w:tab/>
            </w:r>
            <w:r w:rsidR="003B7053">
              <w:rPr>
                <w:noProof/>
                <w:webHidden/>
              </w:rPr>
              <w:fldChar w:fldCharType="begin"/>
            </w:r>
            <w:r w:rsidR="003B7053">
              <w:rPr>
                <w:noProof/>
                <w:webHidden/>
              </w:rPr>
              <w:instrText xml:space="preserve"> PAGEREF _Toc11081715 \h </w:instrText>
            </w:r>
            <w:r w:rsidR="003B7053">
              <w:rPr>
                <w:noProof/>
                <w:webHidden/>
              </w:rPr>
            </w:r>
            <w:r w:rsidR="003B7053">
              <w:rPr>
                <w:noProof/>
                <w:webHidden/>
              </w:rPr>
              <w:fldChar w:fldCharType="separate"/>
            </w:r>
            <w:r w:rsidR="003500FC">
              <w:rPr>
                <w:noProof/>
                <w:webHidden/>
              </w:rPr>
              <w:t>17</w:t>
            </w:r>
            <w:r w:rsidR="003B7053">
              <w:rPr>
                <w:noProof/>
                <w:webHidden/>
              </w:rPr>
              <w:fldChar w:fldCharType="end"/>
            </w:r>
          </w:hyperlink>
        </w:p>
        <w:p w:rsidR="003B7053" w:rsidRDefault="00A2613C">
          <w:pPr>
            <w:pStyle w:val="TDC1"/>
            <w:rPr>
              <w:rFonts w:eastAsiaTheme="minorEastAsia"/>
              <w:noProof/>
              <w:lang w:eastAsia="es-MX"/>
            </w:rPr>
          </w:pPr>
          <w:hyperlink w:anchor="_Toc11081716" w:history="1">
            <w:r w:rsidR="003B7053" w:rsidRPr="00DF4AF3">
              <w:rPr>
                <w:rStyle w:val="Hipervnculo"/>
                <w:rFonts w:ascii="Palatino Linotype" w:hAnsi="Palatino Linotype"/>
                <w:b/>
                <w:noProof/>
              </w:rPr>
              <w:t>C. Juicio de estricta proporcionalidad.</w:t>
            </w:r>
            <w:r w:rsidR="003B7053">
              <w:rPr>
                <w:noProof/>
                <w:webHidden/>
              </w:rPr>
              <w:tab/>
            </w:r>
            <w:r w:rsidR="003B7053">
              <w:rPr>
                <w:noProof/>
                <w:webHidden/>
              </w:rPr>
              <w:fldChar w:fldCharType="begin"/>
            </w:r>
            <w:r w:rsidR="003B7053">
              <w:rPr>
                <w:noProof/>
                <w:webHidden/>
              </w:rPr>
              <w:instrText xml:space="preserve"> PAGEREF _Toc11081716 \h </w:instrText>
            </w:r>
            <w:r w:rsidR="003B7053">
              <w:rPr>
                <w:noProof/>
                <w:webHidden/>
              </w:rPr>
            </w:r>
            <w:r w:rsidR="003B7053">
              <w:rPr>
                <w:noProof/>
                <w:webHidden/>
              </w:rPr>
              <w:fldChar w:fldCharType="separate"/>
            </w:r>
            <w:r w:rsidR="003500FC">
              <w:rPr>
                <w:noProof/>
                <w:webHidden/>
              </w:rPr>
              <w:t>17</w:t>
            </w:r>
            <w:r w:rsidR="003B7053">
              <w:rPr>
                <w:noProof/>
                <w:webHidden/>
              </w:rPr>
              <w:fldChar w:fldCharType="end"/>
            </w:r>
          </w:hyperlink>
        </w:p>
        <w:p w:rsidR="003B7053" w:rsidRDefault="00A2613C">
          <w:pPr>
            <w:pStyle w:val="TDC1"/>
            <w:rPr>
              <w:rFonts w:eastAsiaTheme="minorEastAsia"/>
              <w:noProof/>
              <w:lang w:eastAsia="es-MX"/>
            </w:rPr>
          </w:pPr>
          <w:hyperlink w:anchor="_Toc11081717" w:history="1">
            <w:r w:rsidR="003B7053" w:rsidRPr="00DF4AF3">
              <w:rPr>
                <w:rStyle w:val="Hipervnculo"/>
                <w:rFonts w:ascii="Palatino Linotype" w:hAnsi="Palatino Linotype"/>
                <w:b/>
                <w:noProof/>
              </w:rPr>
              <w:t>VII. Conclusión</w:t>
            </w:r>
            <w:r w:rsidR="003B7053">
              <w:rPr>
                <w:noProof/>
                <w:webHidden/>
              </w:rPr>
              <w:tab/>
            </w:r>
            <w:r w:rsidR="003B7053">
              <w:rPr>
                <w:noProof/>
                <w:webHidden/>
              </w:rPr>
              <w:fldChar w:fldCharType="begin"/>
            </w:r>
            <w:r w:rsidR="003B7053">
              <w:rPr>
                <w:noProof/>
                <w:webHidden/>
              </w:rPr>
              <w:instrText xml:space="preserve"> PAGEREF _Toc11081717 \h </w:instrText>
            </w:r>
            <w:r w:rsidR="003B7053">
              <w:rPr>
                <w:noProof/>
                <w:webHidden/>
              </w:rPr>
            </w:r>
            <w:r w:rsidR="003B7053">
              <w:rPr>
                <w:noProof/>
                <w:webHidden/>
              </w:rPr>
              <w:fldChar w:fldCharType="separate"/>
            </w:r>
            <w:r w:rsidR="003500FC">
              <w:rPr>
                <w:noProof/>
                <w:webHidden/>
              </w:rPr>
              <w:t>18</w:t>
            </w:r>
            <w:r w:rsidR="003B7053">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270614" w:rsidRPr="0001046D" w:rsidRDefault="00270614" w:rsidP="0027061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8222817"/>
      <w:bookmarkStart w:id="2" w:name="_Toc11081708"/>
      <w:r w:rsidRPr="0001046D">
        <w:rPr>
          <w:rFonts w:ascii="Palatino Linotype" w:hAnsi="Palatino Linotype"/>
          <w:b/>
          <w:color w:val="auto"/>
          <w:sz w:val="24"/>
          <w:szCs w:val="24"/>
        </w:rPr>
        <w:t>Consideraciones Generales.</w:t>
      </w:r>
      <w:bookmarkEnd w:id="1"/>
      <w:bookmarkEnd w:id="2"/>
    </w:p>
    <w:p w:rsidR="00270614" w:rsidRPr="00F3161F" w:rsidRDefault="00270614" w:rsidP="00270614">
      <w:pPr>
        <w:pStyle w:val="Prrafodelista"/>
        <w:spacing w:after="0" w:line="360" w:lineRule="auto"/>
        <w:ind w:left="1080"/>
        <w:jc w:val="both"/>
        <w:rPr>
          <w:rFonts w:ascii="Palatino Linotype" w:hAnsi="Palatino Linotype" w:cs="Arial"/>
          <w:b/>
          <w:sz w:val="16"/>
          <w:szCs w:val="24"/>
        </w:rPr>
      </w:pPr>
    </w:p>
    <w:p w:rsidR="00270614" w:rsidRPr="003B7053" w:rsidRDefault="00270614" w:rsidP="00647E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voto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México y Municipios, en su</w:t>
      </w:r>
      <w:r>
        <w:rPr>
          <w:rFonts w:ascii="Palatino Linotype" w:hAnsi="Palatino Linotype" w:cs="Arial"/>
          <w:sz w:val="24"/>
          <w:szCs w:val="24"/>
        </w:rPr>
        <w:t xml:space="preserve"> </w:t>
      </w:r>
      <w:r w:rsidR="00647EFF">
        <w:rPr>
          <w:rFonts w:ascii="Palatino Linotype" w:hAnsi="Palatino Linotype" w:cs="Arial"/>
          <w:sz w:val="24"/>
          <w:szCs w:val="24"/>
        </w:rPr>
        <w:t>Vigésima</w:t>
      </w:r>
      <w:r>
        <w:rPr>
          <w:rFonts w:ascii="Palatino Linotype" w:hAnsi="Palatino Linotype" w:cs="Arial"/>
          <w:sz w:val="24"/>
          <w:szCs w:val="24"/>
        </w:rPr>
        <w:t xml:space="preserve"> </w:t>
      </w:r>
      <w:r w:rsidR="001D63FD">
        <w:rPr>
          <w:rFonts w:ascii="Palatino Linotype" w:hAnsi="Palatino Linotype" w:cs="Arial"/>
          <w:sz w:val="24"/>
          <w:szCs w:val="24"/>
        </w:rPr>
        <w:t xml:space="preserve">Primera </w:t>
      </w:r>
      <w:r>
        <w:rPr>
          <w:rFonts w:ascii="Palatino Linotype" w:hAnsi="Palatino Linotype" w:cs="Arial"/>
          <w:sz w:val="24"/>
          <w:szCs w:val="24"/>
        </w:rPr>
        <w:t>Sesión O</w:t>
      </w:r>
      <w:r w:rsidRPr="00E34F08">
        <w:rPr>
          <w:rFonts w:ascii="Palatino Linotype" w:hAnsi="Palatino Linotype" w:cs="Arial"/>
          <w:sz w:val="24"/>
          <w:szCs w:val="24"/>
        </w:rPr>
        <w:t>rdinaria de</w:t>
      </w:r>
      <w:r>
        <w:rPr>
          <w:rFonts w:ascii="Palatino Linotype" w:hAnsi="Palatino Linotype" w:cs="Arial"/>
          <w:sz w:val="24"/>
          <w:szCs w:val="24"/>
        </w:rPr>
        <w:t xml:space="preserve"> fecha </w:t>
      </w:r>
      <w:r w:rsidR="001D63FD">
        <w:rPr>
          <w:rFonts w:ascii="Palatino Linotype" w:hAnsi="Palatino Linotype" w:cs="Arial"/>
          <w:sz w:val="24"/>
          <w:szCs w:val="24"/>
        </w:rPr>
        <w:t>cinco</w:t>
      </w:r>
      <w:r>
        <w:rPr>
          <w:rFonts w:ascii="Palatino Linotype" w:hAnsi="Palatino Linotype" w:cs="Arial"/>
          <w:sz w:val="24"/>
          <w:szCs w:val="24"/>
        </w:rPr>
        <w:t xml:space="preserve"> </w:t>
      </w:r>
      <w:r w:rsidRPr="00E34F08">
        <w:rPr>
          <w:rFonts w:ascii="Palatino Linotype" w:hAnsi="Palatino Linotype" w:cs="Arial"/>
          <w:sz w:val="24"/>
          <w:szCs w:val="24"/>
        </w:rPr>
        <w:t>(</w:t>
      </w:r>
      <w:r w:rsidR="001D63FD">
        <w:rPr>
          <w:rFonts w:ascii="Palatino Linotype" w:hAnsi="Palatino Linotype" w:cs="Arial"/>
          <w:sz w:val="24"/>
          <w:szCs w:val="24"/>
        </w:rPr>
        <w:t>05</w:t>
      </w:r>
      <w:r w:rsidRPr="00E34F08">
        <w:rPr>
          <w:rFonts w:ascii="Palatino Linotype" w:hAnsi="Palatino Linotype" w:cs="Arial"/>
          <w:sz w:val="24"/>
          <w:szCs w:val="24"/>
        </w:rPr>
        <w:t xml:space="preserve">) de </w:t>
      </w:r>
      <w:r w:rsidR="001D63FD">
        <w:rPr>
          <w:rFonts w:ascii="Palatino Linotype" w:hAnsi="Palatino Linotype" w:cs="Arial"/>
          <w:sz w:val="24"/>
          <w:szCs w:val="24"/>
        </w:rPr>
        <w:t>junio</w:t>
      </w:r>
      <w:r>
        <w:rPr>
          <w:rFonts w:ascii="Palatino Linotype" w:hAnsi="Palatino Linotype" w:cs="Arial"/>
          <w:sz w:val="24"/>
          <w:szCs w:val="24"/>
        </w:rPr>
        <w:t xml:space="preserve"> de dos mil diecinueve, en </w:t>
      </w:r>
      <w:r w:rsidR="005B680F">
        <w:rPr>
          <w:rFonts w:ascii="Palatino Linotype" w:hAnsi="Palatino Linotype" w:cs="Arial"/>
          <w:sz w:val="24"/>
          <w:szCs w:val="24"/>
        </w:rPr>
        <w:t>el</w:t>
      </w:r>
      <w:r w:rsidRPr="00E34F08">
        <w:rPr>
          <w:rFonts w:ascii="Palatino Linotype" w:hAnsi="Palatino Linotype" w:cs="Arial"/>
          <w:sz w:val="24"/>
          <w:szCs w:val="24"/>
        </w:rPr>
        <w:t xml:space="preserve"> recurso de revisión promovido por</w:t>
      </w:r>
      <w:r w:rsidRPr="00E34F08">
        <w:rPr>
          <w:rFonts w:ascii="Palatino Linotype" w:hAnsi="Palatino Linotype" w:cs="Arial"/>
          <w:b/>
          <w:sz w:val="24"/>
          <w:szCs w:val="24"/>
        </w:rPr>
        <w:t xml:space="preserve"> </w:t>
      </w:r>
      <w:r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del</w:t>
      </w:r>
      <w:r w:rsidRPr="00647EFF">
        <w:rPr>
          <w:rFonts w:ascii="Palatino Linotype" w:hAnsi="Palatino Linotype" w:cs="Arial"/>
          <w:sz w:val="24"/>
          <w:szCs w:val="24"/>
        </w:rPr>
        <w:t xml:space="preserve"> </w:t>
      </w:r>
      <w:r w:rsidR="001D63FD" w:rsidRPr="001D63FD">
        <w:rPr>
          <w:rFonts w:ascii="Palatino Linotype" w:hAnsi="Palatino Linotype" w:cs="Arial"/>
          <w:b/>
          <w:sz w:val="24"/>
          <w:szCs w:val="24"/>
        </w:rPr>
        <w:t xml:space="preserve">Ayuntamiento </w:t>
      </w:r>
      <w:r w:rsidR="001D63FD" w:rsidRPr="001D63FD">
        <w:rPr>
          <w:rFonts w:ascii="Palatino Linotype" w:hAnsi="Palatino Linotype" w:cs="Arial"/>
          <w:b/>
          <w:sz w:val="24"/>
          <w:szCs w:val="24"/>
        </w:rPr>
        <w:lastRenderedPageBreak/>
        <w:t>de Atlacomulco</w:t>
      </w:r>
      <w:r w:rsidR="00647EFF">
        <w:rPr>
          <w:rFonts w:ascii="Palatino Linotype" w:hAnsi="Palatino Linotype" w:cs="Arial"/>
          <w:sz w:val="24"/>
          <w:szCs w:val="24"/>
        </w:rPr>
        <w:t xml:space="preserve">, </w:t>
      </w:r>
      <w:r w:rsidRPr="00647EFF">
        <w:rPr>
          <w:rFonts w:ascii="Palatino Linotype" w:hAnsi="Palatino Linotype" w:cs="Arial"/>
          <w:sz w:val="24"/>
          <w:szCs w:val="24"/>
        </w:rPr>
        <w:t xml:space="preserve">procedimiento al que se le asignó </w:t>
      </w:r>
      <w:r w:rsidR="005B680F" w:rsidRPr="00647EFF">
        <w:rPr>
          <w:rFonts w:ascii="Palatino Linotype" w:hAnsi="Palatino Linotype" w:cs="Arial"/>
          <w:sz w:val="24"/>
          <w:szCs w:val="24"/>
        </w:rPr>
        <w:t>el</w:t>
      </w:r>
      <w:r w:rsidRPr="00647EFF">
        <w:rPr>
          <w:rFonts w:ascii="Palatino Linotype" w:hAnsi="Palatino Linotype" w:cs="Arial"/>
          <w:sz w:val="24"/>
          <w:szCs w:val="24"/>
        </w:rPr>
        <w:t xml:space="preserve"> número de expediente </w:t>
      </w:r>
      <w:r w:rsidRPr="00647EFF">
        <w:rPr>
          <w:rFonts w:ascii="Palatino Linotype" w:eastAsia="Times New Roman" w:hAnsi="Palatino Linotype" w:cs="Arial"/>
          <w:b/>
          <w:bCs/>
          <w:sz w:val="24"/>
          <w:szCs w:val="24"/>
          <w:lang w:eastAsia="es-ES"/>
        </w:rPr>
        <w:t>0</w:t>
      </w:r>
      <w:r w:rsidR="005B680F" w:rsidRPr="00647EFF">
        <w:rPr>
          <w:rFonts w:ascii="Palatino Linotype" w:eastAsia="Times New Roman" w:hAnsi="Palatino Linotype" w:cs="Arial"/>
          <w:b/>
          <w:bCs/>
          <w:sz w:val="24"/>
          <w:szCs w:val="24"/>
          <w:lang w:eastAsia="es-ES"/>
        </w:rPr>
        <w:t>1</w:t>
      </w:r>
      <w:r w:rsidR="001D63FD">
        <w:rPr>
          <w:rFonts w:ascii="Palatino Linotype" w:eastAsia="Times New Roman" w:hAnsi="Palatino Linotype" w:cs="Arial"/>
          <w:b/>
          <w:bCs/>
          <w:sz w:val="24"/>
          <w:szCs w:val="24"/>
          <w:lang w:eastAsia="es-ES"/>
        </w:rPr>
        <w:t>900</w:t>
      </w:r>
      <w:r w:rsidRPr="00647EFF">
        <w:rPr>
          <w:rFonts w:ascii="Palatino Linotype" w:eastAsia="Times New Roman" w:hAnsi="Palatino Linotype" w:cs="Arial"/>
          <w:b/>
          <w:bCs/>
          <w:sz w:val="24"/>
          <w:szCs w:val="24"/>
          <w:lang w:eastAsia="es-ES"/>
        </w:rPr>
        <w:t>/INFOEM/IP/RR/</w:t>
      </w:r>
      <w:r w:rsidR="005B680F" w:rsidRPr="00647EFF">
        <w:rPr>
          <w:rFonts w:ascii="Palatino Linotype" w:eastAsia="Times New Roman" w:hAnsi="Palatino Linotype" w:cs="Arial"/>
          <w:b/>
          <w:bCs/>
          <w:sz w:val="24"/>
          <w:szCs w:val="24"/>
          <w:lang w:eastAsia="es-ES"/>
        </w:rPr>
        <w:t>2019.</w:t>
      </w:r>
    </w:p>
    <w:p w:rsidR="003B7053" w:rsidRPr="00647EFF" w:rsidRDefault="003B7053" w:rsidP="003B7053">
      <w:pPr>
        <w:pStyle w:val="Prrafodelista"/>
        <w:tabs>
          <w:tab w:val="left" w:pos="426"/>
        </w:tabs>
        <w:spacing w:after="0" w:line="360" w:lineRule="auto"/>
        <w:ind w:left="0"/>
        <w:jc w:val="both"/>
        <w:rPr>
          <w:rFonts w:ascii="Palatino Linotype" w:hAnsi="Palatino Linotype" w:cs="Arial"/>
          <w:sz w:val="24"/>
          <w:szCs w:val="24"/>
        </w:rPr>
      </w:pPr>
    </w:p>
    <w:p w:rsidR="00270614" w:rsidRDefault="00270614" w:rsidP="005D42DE">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647EFF">
        <w:rPr>
          <w:rFonts w:ascii="Palatino Linotype" w:hAnsi="Palatino Linotype" w:cs="Arial"/>
          <w:sz w:val="24"/>
          <w:szCs w:val="24"/>
        </w:rPr>
        <w:t xml:space="preserve">A través del estudio realizado dentro de la resolución que al rubro se indica, la Ponencia Resolutora determinó que resultaban </w:t>
      </w:r>
      <w:r w:rsidR="001D63FD">
        <w:rPr>
          <w:rFonts w:ascii="Palatino Linotype" w:hAnsi="Palatino Linotype" w:cs="Arial"/>
          <w:sz w:val="24"/>
          <w:szCs w:val="24"/>
        </w:rPr>
        <w:t>fundado</w:t>
      </w:r>
      <w:r w:rsidRPr="00647EFF">
        <w:rPr>
          <w:rFonts w:ascii="Palatino Linotype" w:hAnsi="Palatino Linotype" w:cs="Arial"/>
          <w:sz w:val="24"/>
          <w:szCs w:val="24"/>
        </w:rPr>
        <w:t xml:space="preserve">s </w:t>
      </w:r>
      <w:r w:rsidR="001D63FD">
        <w:rPr>
          <w:rFonts w:ascii="Palatino Linotype" w:hAnsi="Palatino Linotype" w:cs="Arial"/>
          <w:sz w:val="24"/>
          <w:szCs w:val="24"/>
        </w:rPr>
        <w:t>los</w:t>
      </w:r>
      <w:r w:rsidRPr="00647EFF">
        <w:rPr>
          <w:rFonts w:ascii="Palatino Linotype" w:hAnsi="Palatino Linotype" w:cs="Arial"/>
          <w:sz w:val="24"/>
          <w:szCs w:val="24"/>
        </w:rPr>
        <w:t xml:space="preserve"> motivos de inconformidad hechos valer por </w:t>
      </w:r>
      <w:r w:rsidR="00647EFF" w:rsidRPr="00647EFF">
        <w:rPr>
          <w:rFonts w:ascii="Palatino Linotype" w:hAnsi="Palatino Linotype" w:cs="Arial"/>
          <w:sz w:val="24"/>
          <w:szCs w:val="24"/>
        </w:rPr>
        <w:t>el</w:t>
      </w:r>
      <w:r w:rsidRPr="00647EFF">
        <w:rPr>
          <w:rFonts w:ascii="Palatino Linotype" w:hAnsi="Palatino Linotype" w:cs="Arial"/>
          <w:sz w:val="24"/>
          <w:szCs w:val="24"/>
        </w:rPr>
        <w:t xml:space="preserve"> </w:t>
      </w:r>
      <w:r w:rsidRPr="00647EFF">
        <w:rPr>
          <w:rFonts w:ascii="Palatino Linotype" w:hAnsi="Palatino Linotype" w:cs="Arial"/>
          <w:b/>
          <w:sz w:val="24"/>
          <w:szCs w:val="24"/>
        </w:rPr>
        <w:t>RECURRENTE</w:t>
      </w:r>
      <w:r w:rsidRPr="00647EFF">
        <w:rPr>
          <w:rFonts w:ascii="Palatino Linotype" w:hAnsi="Palatino Linotype" w:cs="Arial"/>
          <w:sz w:val="24"/>
          <w:szCs w:val="24"/>
        </w:rPr>
        <w:t xml:space="preserve"> en términos del Considerando </w:t>
      </w:r>
      <w:r w:rsidR="005B680F" w:rsidRPr="00647EFF">
        <w:rPr>
          <w:rFonts w:ascii="Palatino Linotype" w:hAnsi="Palatino Linotype" w:cs="Arial"/>
          <w:b/>
          <w:sz w:val="24"/>
          <w:szCs w:val="24"/>
        </w:rPr>
        <w:t xml:space="preserve">CUARTO </w:t>
      </w:r>
      <w:r w:rsidRPr="00647EFF">
        <w:rPr>
          <w:rFonts w:ascii="Palatino Linotype" w:hAnsi="Palatino Linotype" w:cs="Arial"/>
          <w:sz w:val="24"/>
          <w:szCs w:val="24"/>
        </w:rPr>
        <w:t>de la reso</w:t>
      </w:r>
      <w:r w:rsidR="00647EFF" w:rsidRPr="00647EFF">
        <w:rPr>
          <w:rFonts w:ascii="Palatino Linotype" w:hAnsi="Palatino Linotype" w:cs="Arial"/>
          <w:sz w:val="24"/>
          <w:szCs w:val="24"/>
        </w:rPr>
        <w:t>lución, por lo que se consideró</w:t>
      </w:r>
      <w:r w:rsidRPr="00647EFF">
        <w:rPr>
          <w:rFonts w:ascii="Palatino Linotype" w:hAnsi="Palatino Linotype" w:cs="Arial"/>
          <w:sz w:val="24"/>
          <w:szCs w:val="24"/>
        </w:rPr>
        <w:t xml:space="preserve"> </w:t>
      </w:r>
      <w:r w:rsidR="001D63FD">
        <w:rPr>
          <w:rFonts w:ascii="Palatino Linotype" w:hAnsi="Palatino Linotype" w:cs="Arial"/>
          <w:b/>
          <w:sz w:val="24"/>
          <w:szCs w:val="24"/>
        </w:rPr>
        <w:t>MODIFIC</w:t>
      </w:r>
      <w:r w:rsidR="00647EFF" w:rsidRPr="00647EFF">
        <w:rPr>
          <w:rFonts w:ascii="Palatino Linotype" w:hAnsi="Palatino Linotype" w:cs="Arial"/>
          <w:b/>
          <w:sz w:val="24"/>
          <w:szCs w:val="24"/>
        </w:rPr>
        <w:t>AR</w:t>
      </w:r>
      <w:r w:rsidRPr="00647EFF">
        <w:rPr>
          <w:rFonts w:ascii="Palatino Linotype" w:hAnsi="Palatino Linotype" w:cs="Arial"/>
          <w:sz w:val="24"/>
          <w:szCs w:val="24"/>
        </w:rPr>
        <w:t xml:space="preserve"> </w:t>
      </w:r>
      <w:r w:rsidR="00647EFF" w:rsidRPr="00647EFF">
        <w:rPr>
          <w:rFonts w:ascii="Palatino Linotype" w:hAnsi="Palatino Linotype" w:cs="Arial"/>
          <w:sz w:val="24"/>
          <w:szCs w:val="24"/>
        </w:rPr>
        <w:t xml:space="preserve">la respuesta del </w:t>
      </w:r>
      <w:r w:rsidR="00647EFF">
        <w:rPr>
          <w:rFonts w:ascii="Palatino Linotype" w:hAnsi="Palatino Linotype" w:cs="Arial"/>
          <w:b/>
          <w:sz w:val="24"/>
          <w:szCs w:val="24"/>
        </w:rPr>
        <w:t>SUJETO OBLIGADO</w:t>
      </w:r>
      <w:r w:rsidR="001D63FD">
        <w:rPr>
          <w:rFonts w:ascii="Palatino Linotype" w:hAnsi="Palatino Linotype" w:cs="Arial"/>
          <w:b/>
          <w:sz w:val="24"/>
          <w:szCs w:val="24"/>
        </w:rPr>
        <w:t xml:space="preserve">, </w:t>
      </w:r>
      <w:r w:rsidR="001D63FD">
        <w:rPr>
          <w:rFonts w:ascii="Palatino Linotype" w:hAnsi="Palatino Linotype" w:cs="Arial"/>
          <w:sz w:val="24"/>
          <w:szCs w:val="24"/>
        </w:rPr>
        <w:t>y ordenar la entrega, en versión pública de la siguiente información:</w:t>
      </w:r>
    </w:p>
    <w:p w:rsidR="001D63FD" w:rsidRPr="001D63FD" w:rsidRDefault="001D63FD" w:rsidP="001D63FD">
      <w:pPr>
        <w:pStyle w:val="Prrafodelista"/>
        <w:tabs>
          <w:tab w:val="left" w:pos="426"/>
        </w:tabs>
        <w:spacing w:after="0" w:line="360" w:lineRule="auto"/>
        <w:ind w:left="426"/>
        <w:jc w:val="both"/>
        <w:rPr>
          <w:rFonts w:ascii="Palatino Linotype" w:hAnsi="Palatino Linotype" w:cs="Arial"/>
          <w:i/>
          <w:sz w:val="24"/>
          <w:szCs w:val="24"/>
        </w:rPr>
      </w:pPr>
      <w:r w:rsidRPr="001D63FD">
        <w:rPr>
          <w:rFonts w:ascii="Palatino Linotype" w:hAnsi="Palatino Linotype" w:cs="Arial"/>
          <w:i/>
          <w:sz w:val="24"/>
          <w:szCs w:val="24"/>
        </w:rPr>
        <w:t>“(…)</w:t>
      </w:r>
    </w:p>
    <w:p w:rsidR="001D63FD" w:rsidRPr="001D63FD" w:rsidRDefault="001D63FD" w:rsidP="001D63FD">
      <w:pPr>
        <w:pStyle w:val="Prrafodelista"/>
        <w:numPr>
          <w:ilvl w:val="0"/>
          <w:numId w:val="19"/>
        </w:numPr>
        <w:tabs>
          <w:tab w:val="left" w:pos="1276"/>
        </w:tabs>
        <w:spacing w:after="0" w:line="240" w:lineRule="auto"/>
        <w:ind w:left="851" w:right="616"/>
        <w:jc w:val="both"/>
        <w:rPr>
          <w:rFonts w:ascii="Palatino Linotype" w:hAnsi="Palatino Linotype" w:cs="Arial"/>
          <w:i/>
          <w:sz w:val="24"/>
          <w:szCs w:val="24"/>
        </w:rPr>
      </w:pPr>
      <w:r w:rsidRPr="001D63FD">
        <w:rPr>
          <w:rFonts w:ascii="Palatino Linotype" w:hAnsi="Palatino Linotype" w:cs="Arial"/>
          <w:i/>
          <w:sz w:val="24"/>
          <w:szCs w:val="24"/>
        </w:rPr>
        <w:t>Documentos probatorios del último grado de estudio del Director de Desarrollo Urbano y Obras Públicas.</w:t>
      </w:r>
    </w:p>
    <w:p w:rsidR="001D63FD" w:rsidRPr="001D63FD" w:rsidRDefault="001D63FD" w:rsidP="001D63FD">
      <w:pPr>
        <w:pStyle w:val="Prrafodelista"/>
        <w:tabs>
          <w:tab w:val="left" w:pos="1276"/>
        </w:tabs>
        <w:spacing w:after="0" w:line="240" w:lineRule="auto"/>
        <w:ind w:left="851" w:right="616"/>
        <w:jc w:val="both"/>
        <w:rPr>
          <w:rFonts w:ascii="Palatino Linotype" w:hAnsi="Palatino Linotype" w:cs="Arial"/>
          <w:i/>
          <w:sz w:val="24"/>
          <w:szCs w:val="24"/>
        </w:rPr>
      </w:pPr>
    </w:p>
    <w:p w:rsidR="001D63FD" w:rsidRPr="001D63FD" w:rsidRDefault="001D63FD" w:rsidP="001D63FD">
      <w:pPr>
        <w:pStyle w:val="Prrafodelista"/>
        <w:tabs>
          <w:tab w:val="left" w:pos="1276"/>
        </w:tabs>
        <w:spacing w:after="0" w:line="240" w:lineRule="auto"/>
        <w:ind w:left="851" w:right="616"/>
        <w:jc w:val="both"/>
        <w:rPr>
          <w:rFonts w:ascii="Palatino Linotype" w:hAnsi="Palatino Linotype" w:cs="Arial"/>
          <w:i/>
          <w:sz w:val="24"/>
          <w:szCs w:val="24"/>
        </w:rPr>
      </w:pPr>
      <w:r w:rsidRPr="001D63FD">
        <w:rPr>
          <w:rFonts w:ascii="Palatino Linotype" w:hAnsi="Palatino Linotype" w:cs="Arial"/>
          <w:i/>
          <w:sz w:val="24"/>
          <w:szCs w:val="24"/>
        </w:rPr>
        <w:t xml:space="preserve">Para efecto de los anterior,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 </w:t>
      </w:r>
    </w:p>
    <w:p w:rsidR="001D63FD" w:rsidRPr="001D63FD" w:rsidRDefault="001D63FD" w:rsidP="001D63FD">
      <w:pPr>
        <w:pStyle w:val="Prrafodelista"/>
        <w:tabs>
          <w:tab w:val="left" w:pos="1276"/>
        </w:tabs>
        <w:spacing w:after="0" w:line="240" w:lineRule="auto"/>
        <w:ind w:left="851"/>
        <w:jc w:val="both"/>
        <w:rPr>
          <w:rFonts w:ascii="Palatino Linotype" w:hAnsi="Palatino Linotype" w:cs="Arial"/>
          <w:i/>
          <w:sz w:val="24"/>
          <w:szCs w:val="24"/>
        </w:rPr>
      </w:pPr>
    </w:p>
    <w:p w:rsidR="001D63FD" w:rsidRDefault="001D63FD" w:rsidP="001D63FD">
      <w:pPr>
        <w:pStyle w:val="Prrafodelista"/>
        <w:tabs>
          <w:tab w:val="left" w:pos="1276"/>
        </w:tabs>
        <w:spacing w:after="0" w:line="240" w:lineRule="auto"/>
        <w:ind w:left="851"/>
        <w:jc w:val="both"/>
        <w:rPr>
          <w:rFonts w:ascii="Palatino Linotype" w:hAnsi="Palatino Linotype" w:cs="Arial"/>
          <w:i/>
          <w:sz w:val="24"/>
          <w:szCs w:val="24"/>
        </w:rPr>
      </w:pPr>
      <w:r w:rsidRPr="001D63FD">
        <w:rPr>
          <w:rFonts w:ascii="Palatino Linotype" w:hAnsi="Palatino Linotype" w:cs="Arial"/>
          <w:i/>
          <w:sz w:val="24"/>
          <w:szCs w:val="24"/>
        </w:rPr>
        <w:t>(…)”</w:t>
      </w:r>
      <w:r>
        <w:rPr>
          <w:rFonts w:ascii="Palatino Linotype" w:hAnsi="Palatino Linotype" w:cs="Arial"/>
          <w:i/>
          <w:sz w:val="24"/>
          <w:szCs w:val="24"/>
        </w:rPr>
        <w:t xml:space="preserve"> </w:t>
      </w:r>
      <w:r w:rsidRPr="001D63FD">
        <w:rPr>
          <w:rFonts w:ascii="Palatino Linotype" w:hAnsi="Palatino Linotype" w:cs="Arial"/>
          <w:sz w:val="24"/>
          <w:szCs w:val="24"/>
        </w:rPr>
        <w:t>(Sic)</w:t>
      </w:r>
    </w:p>
    <w:p w:rsidR="001D63FD" w:rsidRPr="001D63FD" w:rsidRDefault="001D63FD" w:rsidP="001D63FD">
      <w:pPr>
        <w:tabs>
          <w:tab w:val="left" w:pos="1276"/>
        </w:tabs>
        <w:spacing w:after="0" w:line="240" w:lineRule="auto"/>
        <w:jc w:val="both"/>
        <w:rPr>
          <w:rFonts w:ascii="Palatino Linotype" w:hAnsi="Palatino Linotype" w:cs="Arial"/>
          <w:i/>
          <w:sz w:val="24"/>
          <w:szCs w:val="24"/>
        </w:rPr>
      </w:pPr>
    </w:p>
    <w:p w:rsidR="00270614" w:rsidRPr="005020DC" w:rsidRDefault="00270614" w:rsidP="0027061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E49DD">
        <w:rPr>
          <w:rFonts w:ascii="Palatino Linotype" w:hAnsi="Palatino Linotype" w:cs="Arial"/>
          <w:sz w:val="24"/>
          <w:szCs w:val="24"/>
        </w:rPr>
        <w:t xml:space="preserve">Sin embargo, mi voto particular se deriva del hecho de que </w:t>
      </w:r>
      <w:r w:rsidR="001D63FD">
        <w:rPr>
          <w:rFonts w:ascii="Palatino Linotype" w:hAnsi="Palatino Linotype" w:cs="Arial"/>
          <w:sz w:val="24"/>
          <w:szCs w:val="24"/>
        </w:rPr>
        <w:t xml:space="preserve">la Ponencia Resolutora considerara procedente la clasificación como información confidencial la relativa a la firma en la cédula profesional de servidores públicos que son titulares de unidades administrativas cuyo cargo corresponde a un nivel de mando medio o </w:t>
      </w:r>
      <w:r w:rsidR="001D63FD">
        <w:rPr>
          <w:rFonts w:ascii="Palatino Linotype" w:hAnsi="Palatino Linotype" w:cs="Arial"/>
          <w:sz w:val="24"/>
          <w:szCs w:val="24"/>
        </w:rPr>
        <w:lastRenderedPageBreak/>
        <w:t xml:space="preserve">superior, razón por la cual a consideración de un servidor </w:t>
      </w:r>
      <w:r w:rsidR="00CF5C13">
        <w:rPr>
          <w:rFonts w:ascii="Palatino Linotype" w:hAnsi="Palatino Linotype" w:cs="Arial"/>
          <w:sz w:val="24"/>
          <w:szCs w:val="24"/>
        </w:rPr>
        <w:t xml:space="preserve">dicho dato personal </w:t>
      </w:r>
      <w:r w:rsidR="001D63FD">
        <w:rPr>
          <w:rFonts w:ascii="Palatino Linotype" w:hAnsi="Palatino Linotype" w:cs="Arial"/>
          <w:sz w:val="24"/>
          <w:szCs w:val="24"/>
        </w:rPr>
        <w:t>tiene carácter de públic</w:t>
      </w:r>
      <w:r w:rsidR="00CF5C13">
        <w:rPr>
          <w:rFonts w:ascii="Palatino Linotype" w:hAnsi="Palatino Linotype" w:cs="Arial"/>
          <w:sz w:val="24"/>
          <w:szCs w:val="24"/>
        </w:rPr>
        <w:t>o</w:t>
      </w:r>
      <w:r w:rsidR="001D63FD">
        <w:rPr>
          <w:rFonts w:ascii="Palatino Linotype" w:hAnsi="Palatino Linotype" w:cs="Arial"/>
          <w:sz w:val="24"/>
          <w:szCs w:val="24"/>
        </w:rPr>
        <w:t xml:space="preserve">. </w:t>
      </w:r>
    </w:p>
    <w:p w:rsidR="00270614" w:rsidRPr="00F3161F" w:rsidRDefault="00270614" w:rsidP="00270614">
      <w:pPr>
        <w:pStyle w:val="Prrafodelista"/>
        <w:tabs>
          <w:tab w:val="left" w:pos="426"/>
        </w:tabs>
        <w:rPr>
          <w:rFonts w:ascii="Palatino Linotype" w:hAnsi="Palatino Linotype" w:cs="Arial"/>
          <w:sz w:val="20"/>
          <w:szCs w:val="24"/>
        </w:rPr>
      </w:pPr>
    </w:p>
    <w:p w:rsidR="00270614" w:rsidRDefault="00270614" w:rsidP="0027061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270614" w:rsidRPr="00E91EC9" w:rsidRDefault="00270614" w:rsidP="00270614">
      <w:pPr>
        <w:pStyle w:val="Prrafodelista"/>
        <w:rPr>
          <w:rFonts w:ascii="Palatino Linotype" w:hAnsi="Palatino Linotype" w:cs="Arial"/>
          <w:sz w:val="12"/>
          <w:szCs w:val="24"/>
        </w:rPr>
      </w:pPr>
    </w:p>
    <w:p w:rsidR="00270614" w:rsidRPr="0001046D" w:rsidRDefault="00270614" w:rsidP="0027061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3" w:name="_Toc8222818"/>
      <w:bookmarkStart w:id="4" w:name="_Toc11081709"/>
      <w:r w:rsidRPr="0001046D">
        <w:rPr>
          <w:rFonts w:ascii="Palatino Linotype" w:hAnsi="Palatino Linotype"/>
          <w:b/>
          <w:color w:val="auto"/>
          <w:sz w:val="24"/>
          <w:szCs w:val="24"/>
        </w:rPr>
        <w:t xml:space="preserve">De los requerimientos planteados en </w:t>
      </w:r>
      <w:r>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3"/>
      <w:bookmarkEnd w:id="4"/>
    </w:p>
    <w:p w:rsidR="00270614" w:rsidRPr="00E91EC9" w:rsidRDefault="00270614" w:rsidP="00270614">
      <w:pPr>
        <w:pStyle w:val="Prrafodelista"/>
        <w:spacing w:line="360" w:lineRule="auto"/>
        <w:ind w:left="1080"/>
        <w:jc w:val="both"/>
        <w:rPr>
          <w:rFonts w:ascii="Palatino Linotype" w:hAnsi="Palatino Linotype" w:cs="Arial"/>
          <w:sz w:val="10"/>
          <w:szCs w:val="24"/>
        </w:rPr>
      </w:pPr>
    </w:p>
    <w:p w:rsidR="00CF5C13" w:rsidRPr="00CF5C13" w:rsidRDefault="00647EFF" w:rsidP="00675868">
      <w:pPr>
        <w:pStyle w:val="Prrafodelista"/>
        <w:widowControl w:val="0"/>
        <w:numPr>
          <w:ilvl w:val="0"/>
          <w:numId w:val="1"/>
        </w:numPr>
        <w:tabs>
          <w:tab w:val="left" w:pos="426"/>
        </w:tabs>
        <w:autoSpaceDE w:val="0"/>
        <w:autoSpaceDN w:val="0"/>
        <w:adjustRightInd w:val="0"/>
        <w:spacing w:after="0" w:line="360" w:lineRule="auto"/>
        <w:ind w:left="0" w:firstLine="0"/>
        <w:jc w:val="both"/>
        <w:rPr>
          <w:rFonts w:ascii="Palatino Linotype" w:hAnsi="Palatino Linotype"/>
        </w:rPr>
      </w:pPr>
      <w:r w:rsidRPr="00CF5C13">
        <w:rPr>
          <w:rFonts w:ascii="Palatino Linotype" w:hAnsi="Palatino Linotype" w:cs="Arial"/>
          <w:sz w:val="24"/>
          <w:szCs w:val="24"/>
        </w:rPr>
        <w:t>El</w:t>
      </w:r>
      <w:r w:rsidR="00270614" w:rsidRPr="00CF5C13">
        <w:rPr>
          <w:rFonts w:ascii="Palatino Linotype" w:hAnsi="Palatino Linotype" w:cs="Arial"/>
          <w:sz w:val="24"/>
          <w:szCs w:val="24"/>
        </w:rPr>
        <w:t xml:space="preserve"> particular requirió de</w:t>
      </w:r>
      <w:r w:rsidR="003D6600" w:rsidRPr="00CF5C13">
        <w:rPr>
          <w:rFonts w:ascii="Palatino Linotype" w:hAnsi="Palatino Linotype" w:cs="Arial"/>
          <w:sz w:val="24"/>
          <w:szCs w:val="24"/>
        </w:rPr>
        <w:t xml:space="preserve"> </w:t>
      </w:r>
      <w:r w:rsidR="00CF5C13" w:rsidRPr="00CF5C13">
        <w:rPr>
          <w:rFonts w:ascii="Palatino Linotype" w:hAnsi="Palatino Linotype" w:cs="Arial"/>
          <w:b/>
          <w:sz w:val="24"/>
          <w:szCs w:val="24"/>
        </w:rPr>
        <w:t>Ayuntamiento de Atlacomulco</w:t>
      </w:r>
      <w:r w:rsidRPr="00CF5C13">
        <w:rPr>
          <w:rFonts w:ascii="Palatino Linotype" w:hAnsi="Palatino Linotype" w:cs="Arial"/>
          <w:sz w:val="24"/>
          <w:szCs w:val="24"/>
        </w:rPr>
        <w:t>,</w:t>
      </w:r>
      <w:r w:rsidR="00270614" w:rsidRPr="00CF5C13">
        <w:rPr>
          <w:rFonts w:ascii="Palatino Linotype" w:hAnsi="Palatino Linotype" w:cs="Arial"/>
          <w:sz w:val="24"/>
          <w:szCs w:val="24"/>
        </w:rPr>
        <w:t xml:space="preserve"> </w:t>
      </w:r>
      <w:r w:rsidR="00CF5C13" w:rsidRPr="00CF5C13">
        <w:rPr>
          <w:rFonts w:ascii="Palatino Linotype" w:hAnsi="Palatino Linotype" w:cs="Arial"/>
        </w:rPr>
        <w:t>l</w:t>
      </w:r>
      <w:r w:rsidR="00CF5C13" w:rsidRPr="00CF5C13">
        <w:rPr>
          <w:rFonts w:ascii="Palatino Linotype" w:hAnsi="Palatino Linotype"/>
        </w:rPr>
        <w:t xml:space="preserve">as fichas curriculares y el documento probatorio de grado de estudios de los </w:t>
      </w:r>
      <w:r w:rsidR="00CF5C13">
        <w:rPr>
          <w:rFonts w:ascii="Palatino Linotype" w:hAnsi="Palatino Linotype"/>
        </w:rPr>
        <w:t>servidores</w:t>
      </w:r>
      <w:r w:rsidR="00CF5C13" w:rsidRPr="00CF5C13">
        <w:rPr>
          <w:rFonts w:ascii="Palatino Linotype" w:hAnsi="Palatino Linotype"/>
        </w:rPr>
        <w:t xml:space="preserve"> públicos siguientes:</w:t>
      </w:r>
    </w:p>
    <w:p w:rsidR="00CF5C13" w:rsidRPr="003B7053" w:rsidRDefault="00CF5C13" w:rsidP="00CF5C13">
      <w:pPr>
        <w:pStyle w:val="Prrafodelista"/>
        <w:widowControl w:val="0"/>
        <w:autoSpaceDE w:val="0"/>
        <w:autoSpaceDN w:val="0"/>
        <w:adjustRightInd w:val="0"/>
        <w:spacing w:line="360" w:lineRule="auto"/>
        <w:ind w:left="0"/>
        <w:jc w:val="both"/>
        <w:rPr>
          <w:rFonts w:ascii="Palatino Linotype" w:hAnsi="Palatino Linotype"/>
          <w:sz w:val="12"/>
        </w:rPr>
      </w:pP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El Presidente Municipal;</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Secretario del Ayuntamiento, </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Tesorero; </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Obras Públicas;</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Desarrollo Económico;</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Coordinador General de Mejora Regulatoria;</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Ecología;</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Desarrollo Urbano; y</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Protección Civil.</w:t>
      </w:r>
    </w:p>
    <w:p w:rsidR="003D6600" w:rsidRPr="00CF5C13" w:rsidRDefault="003D6600" w:rsidP="00CF5C13">
      <w:pPr>
        <w:spacing w:after="0" w:line="276" w:lineRule="auto"/>
        <w:jc w:val="both"/>
        <w:rPr>
          <w:rFonts w:ascii="Palatino Linotype" w:hAnsi="Palatino Linotype" w:cs="Arial"/>
          <w:b/>
          <w:i/>
        </w:rPr>
      </w:pPr>
    </w:p>
    <w:p w:rsidR="00D324E3" w:rsidRPr="00340AFF" w:rsidRDefault="00270614" w:rsidP="00340AFF">
      <w:pPr>
        <w:pStyle w:val="Prrafodelista"/>
        <w:numPr>
          <w:ilvl w:val="0"/>
          <w:numId w:val="1"/>
        </w:numPr>
        <w:tabs>
          <w:tab w:val="left" w:pos="426"/>
        </w:tabs>
        <w:spacing w:after="0" w:line="360" w:lineRule="auto"/>
        <w:ind w:left="0" w:firstLine="0"/>
        <w:jc w:val="both"/>
        <w:rPr>
          <w:rFonts w:ascii="Palatino Linotype" w:hAnsi="Palatino Linotype" w:cs="Arial"/>
          <w:sz w:val="20"/>
          <w:szCs w:val="24"/>
        </w:rPr>
      </w:pPr>
      <w:r w:rsidRPr="00D324E3">
        <w:rPr>
          <w:rFonts w:ascii="Palatino Linotype" w:hAnsi="Palatino Linotype" w:cs="Arial"/>
          <w:sz w:val="24"/>
          <w:szCs w:val="24"/>
        </w:rPr>
        <w:t xml:space="preserve">El </w:t>
      </w:r>
      <w:r w:rsidRPr="00D324E3">
        <w:rPr>
          <w:rFonts w:ascii="Palatino Linotype" w:hAnsi="Palatino Linotype" w:cs="Arial"/>
          <w:b/>
          <w:sz w:val="24"/>
          <w:szCs w:val="24"/>
        </w:rPr>
        <w:t>SUJETO OBLIGADO</w:t>
      </w:r>
      <w:r w:rsidRPr="00D324E3">
        <w:rPr>
          <w:rFonts w:ascii="Palatino Linotype" w:hAnsi="Palatino Linotype" w:cs="Arial"/>
          <w:sz w:val="24"/>
          <w:szCs w:val="24"/>
        </w:rPr>
        <w:t xml:space="preserve"> </w:t>
      </w:r>
      <w:r w:rsidR="003D6600" w:rsidRPr="00D324E3">
        <w:rPr>
          <w:rFonts w:ascii="Palatino Linotype" w:hAnsi="Palatino Linotype" w:cs="Arial"/>
          <w:sz w:val="24"/>
          <w:szCs w:val="24"/>
        </w:rPr>
        <w:t xml:space="preserve">en respuesta </w:t>
      </w:r>
      <w:r w:rsidR="00D324E3">
        <w:rPr>
          <w:rFonts w:ascii="Palatino Linotype" w:hAnsi="Palatino Linotype" w:cs="Arial"/>
          <w:sz w:val="24"/>
          <w:szCs w:val="24"/>
        </w:rPr>
        <w:t xml:space="preserve">puso a disposición del particular fichas curriculares de todos los servidores públicos, así como los documentos que acreditaran su último grado de estudios, como títulos o cédulas profesionales, en los cuales se observó que se testaron datos como número de cédula, la foja y libro de registro, la fotografía, firma del titular, lugar y fecha de expedición, Clave Única de </w:t>
      </w:r>
      <w:r w:rsidR="00D324E3">
        <w:rPr>
          <w:rFonts w:ascii="Palatino Linotype" w:hAnsi="Palatino Linotype" w:cs="Arial"/>
          <w:sz w:val="24"/>
          <w:szCs w:val="24"/>
        </w:rPr>
        <w:lastRenderedPageBreak/>
        <w:t>Registro de Población, código de barras y código bidimensional; asimismo se entregó el Acta de la Vigésima Sesión Extraordinaria del Comité de Transparencia donde se aprobó la supresión de los datos personales.</w:t>
      </w:r>
    </w:p>
    <w:p w:rsidR="00340AFF" w:rsidRDefault="00340AFF" w:rsidP="00340AFF">
      <w:pPr>
        <w:pStyle w:val="Prrafodelista"/>
        <w:tabs>
          <w:tab w:val="left" w:pos="426"/>
        </w:tabs>
        <w:spacing w:after="0" w:line="360" w:lineRule="auto"/>
        <w:ind w:left="0"/>
        <w:jc w:val="both"/>
        <w:rPr>
          <w:rFonts w:ascii="Palatino Linotype" w:hAnsi="Palatino Linotype" w:cs="Arial"/>
          <w:sz w:val="20"/>
          <w:szCs w:val="24"/>
        </w:rPr>
      </w:pPr>
    </w:p>
    <w:p w:rsidR="00340AFF" w:rsidRPr="00340AFF" w:rsidRDefault="00340AFF" w:rsidP="00340AFF">
      <w:pPr>
        <w:pStyle w:val="Prrafodelista"/>
        <w:numPr>
          <w:ilvl w:val="0"/>
          <w:numId w:val="1"/>
        </w:numPr>
        <w:tabs>
          <w:tab w:val="left" w:pos="426"/>
        </w:tabs>
        <w:spacing w:after="0" w:line="360" w:lineRule="auto"/>
        <w:ind w:left="0" w:firstLine="0"/>
        <w:jc w:val="both"/>
        <w:rPr>
          <w:rFonts w:ascii="Palatino Linotype" w:hAnsi="Palatino Linotype" w:cs="Arial"/>
          <w:sz w:val="20"/>
          <w:szCs w:val="24"/>
        </w:rPr>
      </w:pPr>
      <w:r>
        <w:rPr>
          <w:rFonts w:ascii="Palatino Linotype" w:hAnsi="Palatino Linotype" w:cs="Arial"/>
          <w:sz w:val="24"/>
          <w:szCs w:val="24"/>
        </w:rPr>
        <w:t xml:space="preserve">Inconforme con la respuesta el particular interpuso el medio de impugnación citado al rubro, en el cual señalo como acto impugnado que no se le había hecho la entrega de la información, y como razones o motivos de inconformidad que toda persona tiene derecho a la información sin discriminación, las cuales a consideración de la Ponencia Resolutora resultaban fundadas, atendiendo que la clasificación de la información del </w:t>
      </w:r>
      <w:r w:rsidRPr="00340AFF">
        <w:rPr>
          <w:rFonts w:ascii="Palatino Linotype" w:hAnsi="Palatino Linotype" w:cs="Arial"/>
          <w:b/>
          <w:sz w:val="24"/>
          <w:szCs w:val="24"/>
        </w:rPr>
        <w:t>SUJETO OBLIGADO</w:t>
      </w:r>
      <w:r>
        <w:rPr>
          <w:rFonts w:ascii="Palatino Linotype" w:hAnsi="Palatino Linotype" w:cs="Arial"/>
          <w:sz w:val="24"/>
          <w:szCs w:val="24"/>
        </w:rPr>
        <w:t xml:space="preserve"> era excesiva.</w:t>
      </w:r>
    </w:p>
    <w:p w:rsidR="00D324E3" w:rsidRPr="00D324E3" w:rsidRDefault="00D324E3" w:rsidP="00D324E3">
      <w:pPr>
        <w:pStyle w:val="Prrafodelista"/>
        <w:tabs>
          <w:tab w:val="left" w:pos="426"/>
        </w:tabs>
        <w:spacing w:after="0" w:line="360" w:lineRule="auto"/>
        <w:ind w:left="0"/>
        <w:jc w:val="both"/>
        <w:rPr>
          <w:rFonts w:ascii="Palatino Linotype" w:hAnsi="Palatino Linotype" w:cs="Arial"/>
          <w:sz w:val="20"/>
          <w:szCs w:val="24"/>
        </w:rPr>
      </w:pPr>
    </w:p>
    <w:p w:rsidR="003D6600" w:rsidRDefault="00340AFF" w:rsidP="0027061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w:t>
      </w:r>
      <w:r w:rsidR="003D6600">
        <w:rPr>
          <w:rFonts w:ascii="Palatino Linotype" w:hAnsi="Palatino Linotype" w:cs="Arial"/>
          <w:sz w:val="24"/>
          <w:szCs w:val="24"/>
        </w:rPr>
        <w:t xml:space="preserve">sí, es de señalar que durante el periodo de manifestaciones el </w:t>
      </w:r>
      <w:r w:rsidR="003D6600" w:rsidRPr="00CC3BC2">
        <w:rPr>
          <w:rFonts w:ascii="Palatino Linotype" w:hAnsi="Palatino Linotype" w:cs="Arial"/>
          <w:b/>
          <w:sz w:val="24"/>
          <w:szCs w:val="24"/>
        </w:rPr>
        <w:t xml:space="preserve">SUJETO OBLIGADO </w:t>
      </w:r>
      <w:r w:rsidR="003D6600">
        <w:rPr>
          <w:rFonts w:ascii="Palatino Linotype" w:hAnsi="Palatino Linotype" w:cs="Arial"/>
          <w:sz w:val="24"/>
          <w:szCs w:val="24"/>
        </w:rPr>
        <w:t xml:space="preserve">rindió su informe justificado en el </w:t>
      </w:r>
      <w:r>
        <w:rPr>
          <w:rFonts w:ascii="Palatino Linotype" w:hAnsi="Palatino Linotype" w:cs="Arial"/>
          <w:sz w:val="24"/>
          <w:szCs w:val="24"/>
        </w:rPr>
        <w:t>modifico su respuesta primigenia y entregó nuevamente los documentos entregados en respuesta en una nueva versión pública.</w:t>
      </w:r>
    </w:p>
    <w:p w:rsidR="00340AFF" w:rsidRDefault="00340AFF" w:rsidP="00340AFF">
      <w:pPr>
        <w:pStyle w:val="Prrafodelista"/>
        <w:tabs>
          <w:tab w:val="left" w:pos="426"/>
        </w:tabs>
        <w:spacing w:before="240" w:after="240" w:line="360" w:lineRule="auto"/>
        <w:ind w:left="0" w:right="49"/>
        <w:jc w:val="both"/>
        <w:rPr>
          <w:rFonts w:ascii="Palatino Linotype" w:hAnsi="Palatino Linotype" w:cs="Arial"/>
          <w:sz w:val="24"/>
          <w:szCs w:val="24"/>
        </w:rPr>
      </w:pPr>
    </w:p>
    <w:p w:rsidR="00340AFF" w:rsidRDefault="00340AFF" w:rsidP="0027061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Sin embargo, dichos documentos no resultaron suficientes para garantizar el derecho de acceso a la informaci</w:t>
      </w:r>
      <w:r w:rsidR="00A47952">
        <w:rPr>
          <w:rFonts w:ascii="Palatino Linotype" w:hAnsi="Palatino Linotype" w:cs="Arial"/>
          <w:sz w:val="24"/>
          <w:szCs w:val="24"/>
        </w:rPr>
        <w:t xml:space="preserve">ón del particular, tan es así que la Ponencia Resolutora analizó cada uno de los documentos entregados, razón por la cual determinó modificar la respuesta del </w:t>
      </w:r>
      <w:r w:rsidR="00A47952" w:rsidRPr="00A47952">
        <w:rPr>
          <w:rFonts w:ascii="Palatino Linotype" w:hAnsi="Palatino Linotype" w:cs="Arial"/>
          <w:b/>
          <w:sz w:val="24"/>
          <w:szCs w:val="24"/>
        </w:rPr>
        <w:t>SUJETO OBLIGADO</w:t>
      </w:r>
      <w:r w:rsidR="00A47952">
        <w:rPr>
          <w:rFonts w:ascii="Palatino Linotype" w:hAnsi="Palatino Linotype" w:cs="Arial"/>
          <w:sz w:val="24"/>
          <w:szCs w:val="24"/>
        </w:rPr>
        <w:t xml:space="preserve"> y ordenar la entrega de la documentación faltante.</w:t>
      </w:r>
    </w:p>
    <w:p w:rsidR="00720600" w:rsidRPr="00720600" w:rsidRDefault="00720600" w:rsidP="00A47952">
      <w:pPr>
        <w:pStyle w:val="Prrafodelista"/>
        <w:tabs>
          <w:tab w:val="left" w:pos="426"/>
        </w:tabs>
        <w:spacing w:before="240" w:after="240" w:line="360" w:lineRule="auto"/>
        <w:ind w:left="0" w:right="49"/>
        <w:jc w:val="both"/>
        <w:rPr>
          <w:rFonts w:ascii="Palatino Linotype" w:hAnsi="Palatino Linotype" w:cs="Arial"/>
          <w:sz w:val="24"/>
          <w:szCs w:val="24"/>
        </w:rPr>
      </w:pPr>
    </w:p>
    <w:p w:rsidR="00270614" w:rsidRPr="004421B3" w:rsidRDefault="004421B3" w:rsidP="006945EF">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4421B3">
        <w:rPr>
          <w:rFonts w:ascii="Palatino Linotype" w:hAnsi="Palatino Linotype" w:cs="Arial"/>
          <w:sz w:val="24"/>
          <w:szCs w:val="24"/>
        </w:rPr>
        <w:lastRenderedPageBreak/>
        <w:t xml:space="preserve">Al respecto, si bien se comparte que el </w:t>
      </w:r>
      <w:r w:rsidR="005020DC">
        <w:rPr>
          <w:rFonts w:ascii="Palatino Linotype" w:hAnsi="Palatino Linotype" w:cs="Arial"/>
          <w:sz w:val="24"/>
          <w:szCs w:val="24"/>
        </w:rPr>
        <w:t xml:space="preserve">sentido de la resolución, no se comparte </w:t>
      </w:r>
      <w:r w:rsidR="00A47952">
        <w:rPr>
          <w:rFonts w:ascii="Palatino Linotype" w:hAnsi="Palatino Linotype" w:cs="Arial"/>
          <w:sz w:val="24"/>
          <w:szCs w:val="24"/>
        </w:rPr>
        <w:t xml:space="preserve">el hecho de que se haya tomado como procedente la nueva versión pública que emitió el </w:t>
      </w:r>
      <w:r w:rsidR="00A47952" w:rsidRPr="00A47952">
        <w:rPr>
          <w:rFonts w:ascii="Palatino Linotype" w:hAnsi="Palatino Linotype" w:cs="Arial"/>
          <w:b/>
          <w:sz w:val="24"/>
          <w:szCs w:val="24"/>
        </w:rPr>
        <w:t>SUJETO OBLIGADO</w:t>
      </w:r>
      <w:r w:rsidR="00A47952">
        <w:rPr>
          <w:rFonts w:ascii="Palatino Linotype" w:hAnsi="Palatino Linotype" w:cs="Arial"/>
          <w:sz w:val="24"/>
          <w:szCs w:val="24"/>
        </w:rPr>
        <w:t xml:space="preserve">, en razón de que se clasifico como confidencial el dato concerniente en la firma </w:t>
      </w:r>
      <w:r w:rsidR="006772F8">
        <w:rPr>
          <w:rFonts w:ascii="Palatino Linotype" w:hAnsi="Palatino Linotype" w:cs="Arial"/>
          <w:sz w:val="24"/>
          <w:szCs w:val="24"/>
        </w:rPr>
        <w:t>del Presidente Municipal, el Director de Desarrollo Económico y la Directora de Medio Ambiente y Recursos Naturales,</w:t>
      </w:r>
      <w:r w:rsidR="006772F8" w:rsidRPr="006772F8">
        <w:rPr>
          <w:rFonts w:ascii="Palatino Linotype" w:hAnsi="Palatino Linotype" w:cs="Arial"/>
          <w:sz w:val="24"/>
          <w:szCs w:val="24"/>
        </w:rPr>
        <w:t xml:space="preserve"> </w:t>
      </w:r>
      <w:r w:rsidR="006772F8">
        <w:rPr>
          <w:rFonts w:ascii="Palatino Linotype" w:hAnsi="Palatino Linotype" w:cs="Arial"/>
          <w:sz w:val="24"/>
          <w:szCs w:val="24"/>
        </w:rPr>
        <w:t xml:space="preserve">en las cédulas profesionales, respectivamente; dato que a consideración de un servidor es público por los siguientes argumentos. </w:t>
      </w:r>
    </w:p>
    <w:p w:rsidR="00270614" w:rsidRPr="0001046D" w:rsidRDefault="006772F8" w:rsidP="00270614">
      <w:pPr>
        <w:pStyle w:val="Ttulo1"/>
        <w:numPr>
          <w:ilvl w:val="0"/>
          <w:numId w:val="12"/>
        </w:numPr>
        <w:tabs>
          <w:tab w:val="left" w:pos="426"/>
        </w:tabs>
        <w:spacing w:line="360" w:lineRule="auto"/>
        <w:ind w:left="426" w:hanging="426"/>
        <w:jc w:val="both"/>
        <w:rPr>
          <w:rFonts w:ascii="Palatino Linotype" w:hAnsi="Palatino Linotype"/>
          <w:b/>
          <w:color w:val="auto"/>
          <w:sz w:val="24"/>
          <w:szCs w:val="24"/>
        </w:rPr>
      </w:pPr>
      <w:bookmarkStart w:id="5" w:name="_Toc11081710"/>
      <w:r>
        <w:rPr>
          <w:rFonts w:ascii="Palatino Linotype" w:hAnsi="Palatino Linotype"/>
          <w:b/>
          <w:color w:val="auto"/>
          <w:sz w:val="24"/>
          <w:szCs w:val="24"/>
        </w:rPr>
        <w:t>La naturaleza de la cédula profesional</w:t>
      </w:r>
      <w:bookmarkEnd w:id="5"/>
    </w:p>
    <w:p w:rsidR="00270614" w:rsidRPr="00E91EC9" w:rsidRDefault="00270614" w:rsidP="00270614">
      <w:pPr>
        <w:pStyle w:val="Prrafodelista"/>
        <w:spacing w:after="0" w:line="360" w:lineRule="auto"/>
        <w:ind w:left="1080"/>
        <w:jc w:val="both"/>
        <w:rPr>
          <w:rFonts w:ascii="Palatino Linotype" w:hAnsi="Palatino Linotype" w:cs="Arial"/>
          <w:b/>
          <w:sz w:val="12"/>
          <w:szCs w:val="24"/>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b/>
          <w:sz w:val="24"/>
        </w:rPr>
      </w:pPr>
      <w:r w:rsidRPr="006772F8">
        <w:rPr>
          <w:rFonts w:ascii="Palatino Linotype" w:hAnsi="Palatino Linotype" w:cs="Arial"/>
          <w:sz w:val="24"/>
        </w:rPr>
        <w:t xml:space="preserve">La Cédula Profesional es el documento por medio del cual se autoriza oficialmente a una persona </w:t>
      </w:r>
      <w:r>
        <w:rPr>
          <w:rFonts w:ascii="Palatino Linotype" w:hAnsi="Palatino Linotype" w:cs="Arial"/>
          <w:sz w:val="24"/>
        </w:rPr>
        <w:t xml:space="preserve">para </w:t>
      </w:r>
      <w:r w:rsidRPr="006772F8">
        <w:rPr>
          <w:rFonts w:ascii="Palatino Linotype" w:hAnsi="Palatino Linotype" w:cs="Arial"/>
          <w:sz w:val="24"/>
        </w:rPr>
        <w:t xml:space="preserve">ejercer su profesión, con lo que se atiende la disposición contenida en el segundo párrafo del artículo 5° de la Constitución Política de los Estados Unidos Mexicanos; en este orden de ideas, la Ley Reglamentaria antes señalada, en su artículo 2° amplía este supuesto jurídico a otras leyes que regulen campos de acción relacionados como alguna rama o especialidad profesional, mientras que el artículo 23, fracción IV, de la misma, faculta a la Dirección General de Profesiones para expedir la cédula profesional correspondiente, con efectos de patente para el ejercicio profesional y </w:t>
      </w:r>
      <w:r w:rsidRPr="006772F8">
        <w:rPr>
          <w:rFonts w:ascii="Palatino Linotype" w:hAnsi="Palatino Linotype" w:cs="Arial"/>
          <w:b/>
          <w:sz w:val="24"/>
        </w:rPr>
        <w:t>para la identidad de su titular en todas sus actividades profesionales.</w:t>
      </w:r>
    </w:p>
    <w:p w:rsidR="006772F8" w:rsidRPr="006772F8" w:rsidRDefault="006772F8" w:rsidP="006772F8">
      <w:pPr>
        <w:pStyle w:val="Prrafodelista"/>
        <w:tabs>
          <w:tab w:val="left" w:pos="426"/>
        </w:tabs>
        <w:spacing w:line="360" w:lineRule="auto"/>
        <w:ind w:left="0"/>
        <w:jc w:val="both"/>
        <w:rPr>
          <w:rFonts w:ascii="Palatino Linotype" w:hAnsi="Palatino Linotype" w:cs="Arial"/>
          <w:b/>
          <w:sz w:val="24"/>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El artículo 13, fracción III, de la Ley Reglamentaria multicitada,  prevé que el Ejecutivo Federal, por conducto de la Secretaría de Educación Pública, podrá </w:t>
      </w:r>
      <w:r w:rsidRPr="006772F8">
        <w:rPr>
          <w:rFonts w:ascii="Palatino Linotype" w:hAnsi="Palatino Linotype" w:cs="Arial"/>
          <w:sz w:val="24"/>
        </w:rPr>
        <w:lastRenderedPageBreak/>
        <w:t>celebrar convenios de coordinación con los gobiernos de los Estados para la unificación del registro profesional y establecer los requisitos necesarios para el reconocimiento de los títulos profesionales, así como los de forma y contenido que los mismos deberán satisfacer.</w:t>
      </w:r>
    </w:p>
    <w:p w:rsidR="006772F8" w:rsidRPr="006772F8" w:rsidRDefault="006772F8" w:rsidP="006772F8">
      <w:pPr>
        <w:pStyle w:val="Prrafodelista"/>
        <w:tabs>
          <w:tab w:val="left" w:pos="426"/>
        </w:tabs>
        <w:spacing w:after="0" w:line="360" w:lineRule="auto"/>
        <w:ind w:left="0"/>
        <w:jc w:val="both"/>
        <w:rPr>
          <w:rFonts w:ascii="Palatino Linotype" w:hAnsi="Palatino Linotype" w:cs="Arial"/>
          <w:sz w:val="24"/>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De ahí se advierte que la </w:t>
      </w:r>
      <w:r>
        <w:rPr>
          <w:rFonts w:ascii="Palatino Linotype" w:hAnsi="Palatino Linotype" w:cs="Arial"/>
          <w:sz w:val="24"/>
        </w:rPr>
        <w:t>firma</w:t>
      </w:r>
      <w:r w:rsidRPr="006772F8">
        <w:rPr>
          <w:rFonts w:ascii="Palatino Linotype" w:hAnsi="Palatino Linotype" w:cs="Arial"/>
          <w:sz w:val="24"/>
        </w:rPr>
        <w:t xml:space="preserve"> es un requisito común en </w:t>
      </w:r>
      <w:r w:rsidR="007E417E">
        <w:rPr>
          <w:rFonts w:ascii="Palatino Linotype" w:hAnsi="Palatino Linotype" w:cs="Arial"/>
          <w:sz w:val="24"/>
        </w:rPr>
        <w:t>la expedición de la patente para la expedición del documento</w:t>
      </w:r>
      <w:r w:rsidRPr="006772F8">
        <w:rPr>
          <w:rFonts w:ascii="Palatino Linotype" w:hAnsi="Palatino Linotype" w:cs="Arial"/>
          <w:sz w:val="24"/>
        </w:rPr>
        <w:t xml:space="preserve"> con independencia de la institución pública y la Entidad en la que se </w:t>
      </w:r>
      <w:r w:rsidR="007E417E">
        <w:rPr>
          <w:rFonts w:ascii="Palatino Linotype" w:hAnsi="Palatino Linotype" w:cs="Arial"/>
          <w:sz w:val="24"/>
        </w:rPr>
        <w:t>tramita</w:t>
      </w:r>
      <w:r w:rsidRPr="006772F8">
        <w:rPr>
          <w:rFonts w:ascii="Palatino Linotype" w:hAnsi="Palatino Linotype" w:cs="Arial"/>
          <w:sz w:val="24"/>
        </w:rPr>
        <w:t>.</w:t>
      </w:r>
    </w:p>
    <w:p w:rsidR="006772F8" w:rsidRPr="006772F8" w:rsidRDefault="006772F8" w:rsidP="006772F8">
      <w:pPr>
        <w:pStyle w:val="Prrafodelista"/>
        <w:tabs>
          <w:tab w:val="left" w:pos="426"/>
        </w:tabs>
        <w:spacing w:line="360" w:lineRule="auto"/>
        <w:ind w:left="0"/>
        <w:jc w:val="both"/>
        <w:rPr>
          <w:rFonts w:ascii="Palatino Linotype" w:hAnsi="Palatino Linotype" w:cs="Arial"/>
          <w:sz w:val="24"/>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En este sentido, el artículo 23, fracción IV de la Ley referida, establece que la cédula tiene “efectos de patente para el ejercicio profesional y para su identidad en actividades profesionales; por lo que constituye un documento de identidad frente a terceros, </w:t>
      </w:r>
      <w:r w:rsidR="007E417E">
        <w:rPr>
          <w:rFonts w:ascii="Palatino Linotype" w:hAnsi="Palatino Linotype" w:cs="Arial"/>
          <w:sz w:val="24"/>
        </w:rPr>
        <w:t xml:space="preserve">ya que permite </w:t>
      </w:r>
      <w:r w:rsidRPr="006772F8">
        <w:rPr>
          <w:rFonts w:ascii="Palatino Linotype" w:hAnsi="Palatino Linotype" w:cs="Arial"/>
          <w:sz w:val="24"/>
        </w:rPr>
        <w:t>iden</w:t>
      </w:r>
      <w:r w:rsidR="007E417E">
        <w:rPr>
          <w:rFonts w:ascii="Palatino Linotype" w:hAnsi="Palatino Linotype" w:cs="Arial"/>
          <w:sz w:val="24"/>
        </w:rPr>
        <w:t>tificar a la persona</w:t>
      </w:r>
      <w:r w:rsidRPr="006772F8">
        <w:rPr>
          <w:rFonts w:ascii="Palatino Linotype" w:hAnsi="Palatino Linotype" w:cs="Arial"/>
          <w:sz w:val="24"/>
        </w:rPr>
        <w:t xml:space="preserve"> y </w:t>
      </w:r>
      <w:r w:rsidR="007E417E">
        <w:rPr>
          <w:rFonts w:ascii="Palatino Linotype" w:hAnsi="Palatino Linotype" w:cs="Arial"/>
          <w:sz w:val="24"/>
        </w:rPr>
        <w:t xml:space="preserve">su consentimiento para realizar el trámite del documento para ejercer su </w:t>
      </w:r>
      <w:r w:rsidRPr="006772F8">
        <w:rPr>
          <w:rFonts w:ascii="Palatino Linotype" w:hAnsi="Palatino Linotype" w:cs="Arial"/>
          <w:sz w:val="24"/>
        </w:rPr>
        <w:t>profesión.</w:t>
      </w:r>
    </w:p>
    <w:p w:rsidR="00270614" w:rsidRPr="006664D8" w:rsidRDefault="00270614" w:rsidP="00270614">
      <w:pPr>
        <w:pStyle w:val="Ttulo1"/>
        <w:rPr>
          <w:rFonts w:ascii="Palatino Linotype" w:hAnsi="Palatino Linotype"/>
          <w:b/>
          <w:color w:val="000000" w:themeColor="text1"/>
          <w:sz w:val="24"/>
        </w:rPr>
      </w:pPr>
      <w:bookmarkStart w:id="6" w:name="_Toc8222820"/>
      <w:bookmarkStart w:id="7" w:name="_Toc11081711"/>
      <w:r w:rsidRPr="006664D8">
        <w:rPr>
          <w:rFonts w:ascii="Palatino Linotype" w:hAnsi="Palatino Linotype"/>
          <w:b/>
          <w:color w:val="000000" w:themeColor="text1"/>
          <w:sz w:val="24"/>
        </w:rPr>
        <w:t xml:space="preserve">IV. </w:t>
      </w:r>
      <w:bookmarkEnd w:id="6"/>
      <w:r w:rsidR="007E417E">
        <w:rPr>
          <w:rFonts w:ascii="Palatino Linotype" w:hAnsi="Palatino Linotype"/>
          <w:b/>
          <w:color w:val="000000" w:themeColor="text1"/>
          <w:sz w:val="24"/>
        </w:rPr>
        <w:t>De la naturaleza de la función pública que se desempeña</w:t>
      </w:r>
      <w:bookmarkEnd w:id="7"/>
    </w:p>
    <w:p w:rsidR="00270614" w:rsidRPr="006664D8" w:rsidRDefault="00270614" w:rsidP="00270614">
      <w:pPr>
        <w:pStyle w:val="Prrafodelista"/>
        <w:tabs>
          <w:tab w:val="left" w:pos="142"/>
          <w:tab w:val="left" w:pos="426"/>
        </w:tabs>
        <w:spacing w:after="0" w:line="360" w:lineRule="auto"/>
        <w:ind w:left="0" w:right="49"/>
        <w:jc w:val="both"/>
        <w:rPr>
          <w:rFonts w:ascii="Palatino Linotype" w:hAnsi="Palatino Linotype" w:cs="Arial"/>
          <w:b/>
          <w:sz w:val="24"/>
          <w:szCs w:val="24"/>
        </w:rPr>
      </w:pPr>
    </w:p>
    <w:p w:rsidR="00001F2D" w:rsidRDefault="007E417E" w:rsidP="00001F2D">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En el caso concreto, el particular requirió información de servidores públicos correspondientes a mandos medios y superiores, como lo son titulares de las diversas </w:t>
      </w:r>
      <w:r w:rsidR="00001F2D">
        <w:rPr>
          <w:rFonts w:ascii="Palatino Linotype" w:hAnsi="Palatino Linotype" w:cs="Arial"/>
          <w:sz w:val="24"/>
          <w:szCs w:val="24"/>
        </w:rPr>
        <w:t>áreas</w:t>
      </w:r>
      <w:r>
        <w:rPr>
          <w:rFonts w:ascii="Palatino Linotype" w:hAnsi="Palatino Linotype" w:cs="Arial"/>
          <w:sz w:val="24"/>
          <w:szCs w:val="24"/>
        </w:rPr>
        <w:t xml:space="preserve"> de la administración pública municipal</w:t>
      </w:r>
      <w:r w:rsidR="00001F2D">
        <w:rPr>
          <w:rFonts w:ascii="Palatino Linotype" w:hAnsi="Palatino Linotype" w:cs="Arial"/>
          <w:sz w:val="24"/>
          <w:szCs w:val="24"/>
        </w:rPr>
        <w:t>, Secretario del Ayuntamiento, hasta el Presidente Municipal.</w:t>
      </w:r>
    </w:p>
    <w:p w:rsidR="00001F2D" w:rsidRDefault="00001F2D" w:rsidP="00001F2D">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001F2D" w:rsidRPr="00001F2D" w:rsidRDefault="00001F2D" w:rsidP="00F36C32">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8"/>
          <w:szCs w:val="24"/>
        </w:rPr>
      </w:pPr>
      <w:r w:rsidRPr="00001F2D">
        <w:rPr>
          <w:rFonts w:ascii="Palatino Linotype" w:hAnsi="Palatino Linotype" w:cs="Arial"/>
          <w:sz w:val="24"/>
        </w:rPr>
        <w:lastRenderedPageBreak/>
        <w:t xml:space="preserve">En este sentido, si bien el </w:t>
      </w:r>
      <w:r w:rsidRPr="00001F2D">
        <w:rPr>
          <w:rFonts w:ascii="Palatino Linotype" w:hAnsi="Palatino Linotype" w:cs="Arial"/>
          <w:b/>
          <w:sz w:val="24"/>
        </w:rPr>
        <w:t>SUJETO OBLIGADO</w:t>
      </w:r>
      <w:r w:rsidRPr="00001F2D">
        <w:rPr>
          <w:rFonts w:ascii="Palatino Linotype" w:hAnsi="Palatino Linotype" w:cs="Arial"/>
          <w:sz w:val="24"/>
        </w:rPr>
        <w:t xml:space="preserve"> trato de solventar la deficiencia que tuvo al entregar en respuesta documentos que acreditaran el grado de estudios de dichos servidores públicos con un testado excesivo, a mi consideración este Órgano Garante </w:t>
      </w:r>
      <w:r>
        <w:rPr>
          <w:rFonts w:ascii="Palatino Linotype" w:hAnsi="Palatino Linotype" w:cs="Arial"/>
          <w:sz w:val="24"/>
        </w:rPr>
        <w:t>no debió dar por colmado la nueva emisión de las versiones públicas de las cédulas profesionales en las que se testó la firma del Presidente Municipal, el Director de Desarrollo Económico y la Directora de Medio Ambiente y Recursos Naturales.</w:t>
      </w:r>
    </w:p>
    <w:p w:rsidR="00001F2D" w:rsidRPr="003B7053" w:rsidRDefault="00001F2D" w:rsidP="00001F2D">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001F2D" w:rsidRDefault="00001F2D" w:rsidP="00F36C32">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01F2D">
        <w:rPr>
          <w:rFonts w:ascii="Palatino Linotype" w:hAnsi="Palatino Linotype" w:cs="Arial"/>
          <w:sz w:val="24"/>
          <w:szCs w:val="24"/>
        </w:rPr>
        <w:t>Lo anterior, en razón de que al ser cargos de nivel medio o superior, la publicidad de la firma resulta de interés público</w:t>
      </w:r>
      <w:r>
        <w:rPr>
          <w:rFonts w:ascii="Palatino Linotype" w:hAnsi="Palatino Linotype" w:cs="Arial"/>
          <w:sz w:val="24"/>
          <w:szCs w:val="24"/>
        </w:rPr>
        <w:t xml:space="preserve">, dado que </w:t>
      </w:r>
      <w:r w:rsidR="00C070B3">
        <w:rPr>
          <w:rFonts w:ascii="Palatino Linotype" w:hAnsi="Palatino Linotype" w:cs="Arial"/>
          <w:sz w:val="24"/>
          <w:szCs w:val="24"/>
        </w:rPr>
        <w:t xml:space="preserve">entre las atribuciones que tienen estos servidores </w:t>
      </w:r>
      <w:r>
        <w:rPr>
          <w:rFonts w:ascii="Palatino Linotype" w:hAnsi="Palatino Linotype" w:cs="Arial"/>
          <w:sz w:val="24"/>
          <w:szCs w:val="24"/>
        </w:rPr>
        <w:t xml:space="preserve">públicos </w:t>
      </w:r>
      <w:r w:rsidR="00C070B3">
        <w:rPr>
          <w:rFonts w:ascii="Palatino Linotype" w:hAnsi="Palatino Linotype" w:cs="Arial"/>
          <w:sz w:val="24"/>
          <w:szCs w:val="24"/>
        </w:rPr>
        <w:t>esta realizar actos de autoridad, los cuales por regla general se deben documentar, y por ende la firma en estos documentos se constituye como prueba del co</w:t>
      </w:r>
      <w:r w:rsidR="002F4BA6">
        <w:rPr>
          <w:rFonts w:ascii="Palatino Linotype" w:hAnsi="Palatino Linotype" w:cs="Arial"/>
          <w:sz w:val="24"/>
          <w:szCs w:val="24"/>
        </w:rPr>
        <w:t xml:space="preserve">nsentimiento de su titular al momento </w:t>
      </w:r>
      <w:r w:rsidR="00C070B3">
        <w:rPr>
          <w:rFonts w:ascii="Palatino Linotype" w:hAnsi="Palatino Linotype" w:cs="Arial"/>
          <w:sz w:val="24"/>
          <w:szCs w:val="24"/>
        </w:rPr>
        <w:t>de ejercer las atribuciones que le son conferidas.</w:t>
      </w:r>
    </w:p>
    <w:p w:rsidR="00C070B3" w:rsidRPr="003B7053" w:rsidRDefault="00C070B3" w:rsidP="00C070B3">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BA5503" w:rsidRDefault="00455FC8" w:rsidP="00BA550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La firma, </w:t>
      </w:r>
      <w:r w:rsidR="00986FE4">
        <w:rPr>
          <w:rFonts w:ascii="Palatino Linotype" w:hAnsi="Palatino Linotype" w:cs="Arial"/>
          <w:sz w:val="24"/>
          <w:szCs w:val="24"/>
        </w:rPr>
        <w:t xml:space="preserve">no puede ser testada en razón de las funciones que se desempeñan, toda vez que, como se ha mencionado, cualquier acto de autoridad que se emane, éste deberá constatar por escrito y a la vez firmado para su respectiva validez; de tal circunstancia se desprende que la firma plasmada en los documentos solicitados por el particular puede ser corroborada en aquellos documentos solicitados por el particular puede ser corroborada en aquellos documentos que haya suscrito el servidor público de acuerdo a sus funciones que desempeña, por lo tanto no se </w:t>
      </w:r>
      <w:r w:rsidR="00986FE4">
        <w:rPr>
          <w:rFonts w:ascii="Palatino Linotype" w:hAnsi="Palatino Linotype" w:cs="Arial"/>
          <w:sz w:val="24"/>
          <w:szCs w:val="24"/>
        </w:rPr>
        <w:lastRenderedPageBreak/>
        <w:t>puede considerar como un dato personal confidencial, en razón de que se ejercen actos de autoridad.</w:t>
      </w:r>
    </w:p>
    <w:p w:rsidR="00BA5503" w:rsidRPr="003B7053" w:rsidRDefault="00BA5503" w:rsidP="00BA5503">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BA5503" w:rsidRPr="00BA5503" w:rsidRDefault="00BA5503" w:rsidP="00BA550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BA5503">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BA5503" w:rsidRPr="00A96BA8" w:rsidRDefault="00BA5503" w:rsidP="00BA5503">
      <w:pPr>
        <w:spacing w:after="0" w:line="360" w:lineRule="auto"/>
        <w:ind w:left="567" w:right="616"/>
        <w:contextualSpacing/>
        <w:jc w:val="both"/>
        <w:rPr>
          <w:rFonts w:ascii="Palatino Linotype" w:eastAsia="MS Mincho" w:hAnsi="Palatino Linotype" w:cstheme="majorBidi"/>
          <w:lang w:eastAsia="es-ES"/>
        </w:rPr>
      </w:pPr>
    </w:p>
    <w:p w:rsidR="00BA5503" w:rsidRPr="00A96BA8" w:rsidRDefault="00BA5503" w:rsidP="00BA5503">
      <w:pPr>
        <w:spacing w:after="0" w:line="240" w:lineRule="auto"/>
        <w:ind w:left="567" w:right="616"/>
        <w:contextualSpacing/>
        <w:jc w:val="both"/>
        <w:rPr>
          <w:rFonts w:ascii="Palatino Linotype" w:eastAsia="MS Mincho" w:hAnsi="Palatino Linotype" w:cstheme="majorBidi"/>
          <w:i/>
          <w:lang w:eastAsia="es-ES"/>
        </w:rPr>
      </w:pPr>
      <w:r w:rsidRPr="00A96BA8">
        <w:rPr>
          <w:rFonts w:ascii="Palatino Linotype" w:eastAsia="MS Mincho" w:hAnsi="Palatino Linotype" w:cstheme="majorBidi"/>
          <w:i/>
          <w:lang w:eastAsia="es-ES"/>
        </w:rPr>
        <w:t>“</w:t>
      </w:r>
      <w:r w:rsidRPr="00A96BA8">
        <w:rPr>
          <w:rFonts w:ascii="Palatino Linotype" w:eastAsia="MS Mincho" w:hAnsi="Palatino Linotype" w:cstheme="majorBidi"/>
          <w:b/>
          <w:i/>
          <w:lang w:eastAsia="es-ES"/>
        </w:rPr>
        <w:t>La firma de los servidores públicos es información de carácter público cuando ésta es utilizada en el ejercicio de las facultades conferidas para el desempeño del servicio público</w:t>
      </w:r>
      <w:r w:rsidRPr="00A96BA8">
        <w:rPr>
          <w:rFonts w:ascii="Palatino Linotype" w:eastAsia="MS Mincho" w:hAnsi="Palatino Linotype" w:cstheme="majorBidi"/>
          <w:i/>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BA5503" w:rsidRPr="00A96BA8" w:rsidRDefault="00BA5503" w:rsidP="00BA5503">
      <w:pPr>
        <w:spacing w:after="0" w:line="360" w:lineRule="auto"/>
        <w:ind w:left="567" w:right="616"/>
        <w:contextualSpacing/>
        <w:jc w:val="both"/>
        <w:rPr>
          <w:rFonts w:ascii="Palatino Linotype" w:eastAsia="MS Mincho" w:hAnsi="Palatino Linotype" w:cstheme="majorBidi"/>
          <w:lang w:eastAsia="es-ES"/>
        </w:rPr>
      </w:pPr>
    </w:p>
    <w:p w:rsidR="00BA5503" w:rsidRPr="00480668" w:rsidRDefault="00BA5503" w:rsidP="00480668">
      <w:pPr>
        <w:numPr>
          <w:ilvl w:val="0"/>
          <w:numId w:val="1"/>
        </w:numPr>
        <w:tabs>
          <w:tab w:val="left" w:pos="426"/>
        </w:tabs>
        <w:spacing w:after="0" w:line="360" w:lineRule="auto"/>
        <w:ind w:left="0" w:right="49" w:firstLine="0"/>
        <w:contextualSpacing/>
        <w:jc w:val="both"/>
        <w:rPr>
          <w:rFonts w:ascii="Palatino Linotype" w:eastAsia="MS Mincho" w:hAnsi="Palatino Linotype" w:cstheme="majorBidi"/>
          <w:sz w:val="24"/>
          <w:szCs w:val="24"/>
          <w:lang w:eastAsia="es-ES"/>
        </w:rPr>
      </w:pPr>
      <w:r w:rsidRPr="00552680">
        <w:rPr>
          <w:rFonts w:ascii="Palatino Linotype" w:eastAsia="MS Mincho" w:hAnsi="Palatino Linotype" w:cstheme="majorBidi"/>
          <w:sz w:val="24"/>
          <w:szCs w:val="24"/>
          <w:lang w:eastAsia="es-ES"/>
        </w:rPr>
        <w:t xml:space="preserve">Así, en un acto de autoridad </w:t>
      </w:r>
      <w:r w:rsidR="00480668">
        <w:rPr>
          <w:rFonts w:ascii="Palatino Linotype" w:eastAsia="MS Mincho" w:hAnsi="Palatino Linotype" w:cstheme="majorBidi"/>
          <w:sz w:val="24"/>
          <w:szCs w:val="24"/>
          <w:lang w:eastAsia="es-ES"/>
        </w:rPr>
        <w:t xml:space="preserve">además se debe cumplir con </w:t>
      </w:r>
      <w:r w:rsidRPr="00552680">
        <w:rPr>
          <w:rFonts w:ascii="Palatino Linotype" w:eastAsia="MS Mincho" w:hAnsi="Palatino Linotype" w:cstheme="majorBidi"/>
          <w:sz w:val="24"/>
          <w:szCs w:val="24"/>
          <w:lang w:eastAsia="es-ES"/>
        </w:rPr>
        <w:t>la debida fundamentación</w:t>
      </w:r>
      <w:r w:rsidR="00480668">
        <w:rPr>
          <w:rFonts w:ascii="Palatino Linotype" w:eastAsia="MS Mincho" w:hAnsi="Palatino Linotype" w:cstheme="majorBidi"/>
          <w:sz w:val="24"/>
          <w:szCs w:val="24"/>
          <w:lang w:eastAsia="es-ES"/>
        </w:rPr>
        <w:t xml:space="preserve">, es decir, </w:t>
      </w:r>
      <w:r w:rsidRPr="00552680">
        <w:rPr>
          <w:rFonts w:ascii="Palatino Linotype" w:eastAsia="MS Mincho" w:hAnsi="Palatino Linotype" w:cstheme="majorBidi"/>
          <w:sz w:val="24"/>
          <w:szCs w:val="24"/>
          <w:lang w:eastAsia="es-ES"/>
        </w:rPr>
        <w:t>cita</w:t>
      </w:r>
      <w:r w:rsidR="00480668">
        <w:rPr>
          <w:rFonts w:ascii="Palatino Linotype" w:eastAsia="MS Mincho" w:hAnsi="Palatino Linotype" w:cstheme="majorBidi"/>
          <w:sz w:val="24"/>
          <w:szCs w:val="24"/>
          <w:lang w:eastAsia="es-ES"/>
        </w:rPr>
        <w:t>r</w:t>
      </w:r>
      <w:r w:rsidRPr="00552680">
        <w:rPr>
          <w:rFonts w:ascii="Palatino Linotype" w:eastAsia="MS Mincho" w:hAnsi="Palatino Linotype" w:cstheme="majorBidi"/>
          <w:sz w:val="24"/>
          <w:szCs w:val="24"/>
          <w:lang w:eastAsia="es-ES"/>
        </w:rPr>
        <w:t xml:space="preserve"> el precepto legal aplicable al caso concreto y la debida motivación cuando se expresan las razones, motivos o circunstancias que tomó en cuenta la autoridad para adecuar el hec</w:t>
      </w:r>
      <w:r w:rsidR="00480668">
        <w:rPr>
          <w:rFonts w:ascii="Palatino Linotype" w:eastAsia="MS Mincho" w:hAnsi="Palatino Linotype" w:cstheme="majorBidi"/>
          <w:sz w:val="24"/>
          <w:szCs w:val="24"/>
          <w:lang w:eastAsia="es-ES"/>
        </w:rPr>
        <w:t xml:space="preserve">ho a los fundamentos de derecho; en consecuencia, el fundamento legal, la motivación, y la firma del servidor público que emite el acto de autoridad, dichos elementos en su conjunto, brindan certeza jurídica a los particulares, dado que rinde cuentas sobre el debido ejercicio de sus </w:t>
      </w:r>
      <w:r w:rsidR="00480668">
        <w:rPr>
          <w:rFonts w:ascii="Palatino Linotype" w:eastAsia="MS Mincho" w:hAnsi="Palatino Linotype" w:cstheme="majorBidi"/>
          <w:sz w:val="24"/>
          <w:szCs w:val="24"/>
          <w:lang w:eastAsia="es-ES"/>
        </w:rPr>
        <w:lastRenderedPageBreak/>
        <w:t>atribuciones con motivo del empleo, cargo o comisión que al servidor público le han sido encomendados.</w:t>
      </w:r>
    </w:p>
    <w:p w:rsidR="00986FE4" w:rsidRPr="003B7053" w:rsidRDefault="00986FE4" w:rsidP="00986FE4">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480668" w:rsidRDefault="00480668" w:rsidP="00F36C32">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En ese sentido, se considera que las personas que deciden incursionar al servicio público, más aun cuando se ostentan cargos con nivel superior</w:t>
      </w:r>
      <w:r w:rsidR="002D15F9">
        <w:rPr>
          <w:rFonts w:ascii="Palatino Linotype" w:hAnsi="Palatino Linotype" w:cs="Arial"/>
          <w:sz w:val="24"/>
          <w:szCs w:val="24"/>
        </w:rPr>
        <w:t>, conlleva a permitir cierta intromisión en la vida privada de los mismos,</w:t>
      </w:r>
      <w:r w:rsidR="00455FC8">
        <w:rPr>
          <w:rFonts w:ascii="Palatino Linotype" w:hAnsi="Palatino Linotype" w:cs="Arial"/>
          <w:sz w:val="24"/>
          <w:szCs w:val="24"/>
        </w:rPr>
        <w:t xml:space="preserve"> es decir, la restricción a sus datos personales es menor a una persona que no realiza actos de autoridad, </w:t>
      </w:r>
      <w:r w:rsidR="002D15F9">
        <w:rPr>
          <w:rFonts w:ascii="Palatino Linotype" w:hAnsi="Palatino Linotype" w:cs="Arial"/>
          <w:sz w:val="24"/>
          <w:szCs w:val="24"/>
        </w:rPr>
        <w:t xml:space="preserve">dado que cuando la información reviste relevancia por o para el ejercicio de sus funciones, se tiene que permitir la publicidad del dato personal como lo es la firma, </w:t>
      </w:r>
      <w:r w:rsidR="00455FC8">
        <w:rPr>
          <w:rFonts w:ascii="Palatino Linotype" w:hAnsi="Palatino Linotype" w:cs="Arial"/>
          <w:sz w:val="24"/>
          <w:szCs w:val="24"/>
        </w:rPr>
        <w:t>máxime</w:t>
      </w:r>
      <w:r w:rsidR="002D15F9">
        <w:rPr>
          <w:rFonts w:ascii="Palatino Linotype" w:hAnsi="Palatino Linotype" w:cs="Arial"/>
          <w:sz w:val="24"/>
          <w:szCs w:val="24"/>
        </w:rPr>
        <w:t xml:space="preserve"> cuando derivado de las atribuciones son los responsables de autorizarlos o bien otorgar atención al público.</w:t>
      </w:r>
    </w:p>
    <w:p w:rsidR="00480668" w:rsidRPr="003B7053" w:rsidRDefault="00480668" w:rsidP="002D15F9">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455FC8" w:rsidRDefault="00455FC8" w:rsidP="00F36C32">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Considerar la firma como un dato personal confidencial, </w:t>
      </w:r>
      <w:r w:rsidR="00D5714D">
        <w:rPr>
          <w:rFonts w:ascii="Palatino Linotype" w:hAnsi="Palatino Linotype" w:cs="Arial"/>
          <w:sz w:val="24"/>
          <w:szCs w:val="24"/>
        </w:rPr>
        <w:t>susceptible de clasificarse</w:t>
      </w:r>
      <w:r>
        <w:rPr>
          <w:rFonts w:ascii="Palatino Linotype" w:hAnsi="Palatino Linotype" w:cs="Arial"/>
          <w:sz w:val="24"/>
          <w:szCs w:val="24"/>
        </w:rPr>
        <w:t xml:space="preserve"> en documentos como la cédula profesional, porque este </w:t>
      </w:r>
      <w:r w:rsidR="00D5714D">
        <w:rPr>
          <w:rFonts w:ascii="Palatino Linotype" w:hAnsi="Palatino Linotype" w:cs="Arial"/>
          <w:sz w:val="24"/>
          <w:szCs w:val="24"/>
        </w:rPr>
        <w:t xml:space="preserve">documento </w:t>
      </w:r>
      <w:r>
        <w:rPr>
          <w:rFonts w:ascii="Palatino Linotype" w:hAnsi="Palatino Linotype" w:cs="Arial"/>
          <w:sz w:val="24"/>
          <w:szCs w:val="24"/>
        </w:rPr>
        <w:t xml:space="preserve">fue expedido al particular en su calidad de ciudadano como parte de un trámite personal y especifico, </w:t>
      </w:r>
      <w:r w:rsidR="00D5714D">
        <w:rPr>
          <w:rFonts w:ascii="Palatino Linotype" w:hAnsi="Palatino Linotype" w:cs="Arial"/>
          <w:sz w:val="24"/>
          <w:szCs w:val="24"/>
        </w:rPr>
        <w:t xml:space="preserve">resulta un argumento restrictivo e inaplicable al caso concreto; ello en razón de que la persona a quien se le expide la patente para ejercer la profesión, tramita este documento con una finalidad, la cual es de acreditarse frente a terceros como la persona idónea que cuenta con los conocimientos para desempeñar el empleo, cargo o comisión al que pretende acceder. </w:t>
      </w:r>
    </w:p>
    <w:p w:rsidR="00455FC8" w:rsidRPr="003B7053" w:rsidRDefault="00455FC8" w:rsidP="00455FC8">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3B7E81" w:rsidRDefault="002D15F9" w:rsidP="003B7E8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Por lo anterior, no se considera procedente la clasificación de la firma de un servidor p</w:t>
      </w:r>
      <w:r w:rsidR="00D5714D">
        <w:rPr>
          <w:rFonts w:ascii="Palatino Linotype" w:hAnsi="Palatino Linotype" w:cs="Arial"/>
          <w:sz w:val="24"/>
          <w:szCs w:val="24"/>
        </w:rPr>
        <w:t>úblico, más aun cuando</w:t>
      </w:r>
      <w:r>
        <w:rPr>
          <w:rFonts w:ascii="Palatino Linotype" w:hAnsi="Palatino Linotype" w:cs="Arial"/>
          <w:sz w:val="24"/>
          <w:szCs w:val="24"/>
        </w:rPr>
        <w:t xml:space="preserve"> tenga nivel medio o superior, pues resulta mayor </w:t>
      </w:r>
      <w:r>
        <w:rPr>
          <w:rFonts w:ascii="Palatino Linotype" w:hAnsi="Palatino Linotype" w:cs="Arial"/>
          <w:sz w:val="24"/>
          <w:szCs w:val="24"/>
        </w:rPr>
        <w:lastRenderedPageBreak/>
        <w:t>el beneficio de conocer que el dato que permite identificar que la persona a quien se le expidió la patente para ejercer su profesión, es la misma que emitió el acto de autoridad.</w:t>
      </w:r>
    </w:p>
    <w:p w:rsidR="003B7E81" w:rsidRPr="003B7053" w:rsidRDefault="003B7E81" w:rsidP="003B7E81">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3B7E81" w:rsidRPr="0046455F" w:rsidRDefault="003B7E81" w:rsidP="003B7E81">
      <w:pPr>
        <w:keepNext/>
        <w:keepLines/>
        <w:spacing w:after="0"/>
        <w:outlineLvl w:val="0"/>
        <w:rPr>
          <w:rFonts w:ascii="Palatino Linotype" w:eastAsiaTheme="majorEastAsia" w:hAnsi="Palatino Linotype" w:cstheme="majorBidi"/>
          <w:b/>
          <w:color w:val="000000" w:themeColor="text1"/>
          <w:sz w:val="24"/>
          <w:szCs w:val="24"/>
        </w:rPr>
      </w:pPr>
      <w:bookmarkStart w:id="8" w:name="_Toc447988882"/>
      <w:bookmarkStart w:id="9" w:name="_Toc477524841"/>
      <w:bookmarkStart w:id="10" w:name="_Toc8748207"/>
      <w:bookmarkStart w:id="11" w:name="_Toc11081712"/>
      <w:r>
        <w:rPr>
          <w:rFonts w:ascii="Palatino Linotype" w:eastAsiaTheme="majorEastAsia" w:hAnsi="Palatino Linotype" w:cstheme="majorBidi"/>
          <w:b/>
          <w:color w:val="000000" w:themeColor="text1"/>
          <w:sz w:val="24"/>
          <w:szCs w:val="24"/>
        </w:rPr>
        <w:t>V.</w:t>
      </w:r>
      <w:r w:rsidRPr="0046455F">
        <w:rPr>
          <w:rFonts w:ascii="Palatino Linotype" w:eastAsiaTheme="majorEastAsia" w:hAnsi="Palatino Linotype" w:cstheme="majorBidi"/>
          <w:b/>
          <w:color w:val="000000" w:themeColor="text1"/>
          <w:sz w:val="24"/>
          <w:szCs w:val="24"/>
        </w:rPr>
        <w:t xml:space="preserve"> Restricciones legítimas al derecho a la privacidad.</w:t>
      </w:r>
      <w:bookmarkEnd w:id="8"/>
      <w:bookmarkEnd w:id="9"/>
      <w:bookmarkEnd w:id="10"/>
      <w:bookmarkEnd w:id="11"/>
    </w:p>
    <w:p w:rsidR="003B7E81" w:rsidRDefault="003B7E81" w:rsidP="003B7E8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3B7E81" w:rsidRDefault="002D473D" w:rsidP="003B7E8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Podría señalarse que el criterio que he sostenido constituye una restricción al derecho de protección de datos personales de las personas que desempeñan alguna función pública, lo cual es cierto ya que las mismas disposiciones señalan que ningún derecho es absoluto y es dable establecer límites, siempre y cuando se sujeten a procedimientos estrictos para la adecuada defensa de la dignidad humana y la propia viabilidad de la sociedad democrática, pero además, que exista un esfuerzo adecuado y proporcional de los titulares del derecho para propiciar su debido ejercicio.</w:t>
      </w:r>
    </w:p>
    <w:p w:rsidR="003B7E81" w:rsidRPr="003B7053" w:rsidRDefault="003B7E81" w:rsidP="003B7E81">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3B7E81" w:rsidRDefault="002D473D" w:rsidP="003B7E8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Para justificar el presente voto particular, vale la pena acudir a criterios de interpretación constitucional bajo el recurso del intérprete externo, según lo recomienda el Dr. Nestor Pedro Sagüés.</w:t>
      </w:r>
      <w:r w:rsidRPr="003C210B">
        <w:rPr>
          <w:sz w:val="24"/>
          <w:szCs w:val="24"/>
          <w:vertAlign w:val="superscript"/>
        </w:rPr>
        <w:footnoteReference w:id="1"/>
      </w:r>
      <w:r w:rsidRPr="003B7E81">
        <w:rPr>
          <w:rFonts w:ascii="Palatino Linotype" w:hAnsi="Palatino Linotype" w:cs="Arial"/>
          <w:color w:val="000000" w:themeColor="text1"/>
          <w:sz w:val="24"/>
          <w:szCs w:val="24"/>
        </w:rPr>
        <w:t xml:space="preserve"> Para ello se acude a la interpretación de las más Altas Cortes, en primer lugar el Tribunal Constitucional Alemán y en segundo término el Tribunal de Estrasburgo.</w:t>
      </w:r>
    </w:p>
    <w:p w:rsidR="003B7E81" w:rsidRDefault="003B7E81" w:rsidP="003B7E8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3B7E81" w:rsidRPr="003B7E81" w:rsidRDefault="002D473D" w:rsidP="002D473D">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lastRenderedPageBreak/>
        <w:t>El Tribunal Constitucional Alemán en su sentencia sobre el espionaje acústico masivo, de 3 de marzo de 2004 (BVerfGE 190, 279) señala:</w:t>
      </w:r>
    </w:p>
    <w:p w:rsidR="003B7E81" w:rsidRDefault="003B7E81" w:rsidP="003B7E8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3B7E81" w:rsidRPr="00F54208" w:rsidRDefault="003B7E81" w:rsidP="001B45FC">
      <w:pPr>
        <w:spacing w:after="0" w:line="276" w:lineRule="auto"/>
        <w:ind w:left="567" w:right="616"/>
        <w:contextualSpacing/>
        <w:jc w:val="both"/>
        <w:rPr>
          <w:rFonts w:ascii="Palatino Linotype" w:hAnsi="Palatino Linotype" w:cs="Arial"/>
          <w:i/>
          <w:color w:val="000000" w:themeColor="text1"/>
        </w:rPr>
      </w:pPr>
      <w:r w:rsidRPr="005C02A6">
        <w:rPr>
          <w:rFonts w:ascii="Palatino Linotype" w:hAnsi="Palatino Linotype" w:cs="Arial"/>
          <w:i/>
          <w:color w:val="000000" w:themeColor="text1"/>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5C02A6">
        <w:rPr>
          <w:rFonts w:ascii="Palatino Linotype" w:hAnsi="Palatino Linotype" w:cs="Arial"/>
          <w:i/>
          <w:color w:val="000000" w:themeColor="text1"/>
          <w:vertAlign w:val="superscript"/>
        </w:rPr>
        <w:footnoteReference w:id="2"/>
      </w:r>
    </w:p>
    <w:p w:rsidR="003B7E81" w:rsidRPr="003B7E81" w:rsidRDefault="003B7E81" w:rsidP="003B7E8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ED626B" w:rsidRPr="00ED626B" w:rsidRDefault="002D473D" w:rsidP="00ED626B">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 xml:space="preserve">En el caso que nos ocupa se trata de personas que, al decidir incursionar en el ejercicio de responsabilidades públicas, han decidido, por sí mismas, someterse al escrutinio de una sociedad democrática. Además y como ya se ha señalado, </w:t>
      </w:r>
      <w:r w:rsidR="003B7E81">
        <w:rPr>
          <w:rFonts w:ascii="Palatino Linotype" w:hAnsi="Palatino Linotype" w:cs="Arial"/>
          <w:color w:val="000000" w:themeColor="text1"/>
          <w:sz w:val="24"/>
          <w:szCs w:val="24"/>
        </w:rPr>
        <w:t xml:space="preserve">tanto el título como </w:t>
      </w:r>
      <w:r w:rsidRPr="003B7E81">
        <w:rPr>
          <w:rFonts w:ascii="Palatino Linotype" w:hAnsi="Palatino Linotype" w:cs="Arial"/>
          <w:color w:val="000000" w:themeColor="text1"/>
          <w:sz w:val="24"/>
          <w:szCs w:val="24"/>
        </w:rPr>
        <w:t>la cédul</w:t>
      </w:r>
      <w:r w:rsidR="003B7E81">
        <w:rPr>
          <w:rFonts w:ascii="Palatino Linotype" w:hAnsi="Palatino Linotype" w:cs="Arial"/>
          <w:color w:val="000000" w:themeColor="text1"/>
          <w:sz w:val="24"/>
          <w:szCs w:val="24"/>
        </w:rPr>
        <w:t xml:space="preserve">a profesional </w:t>
      </w:r>
      <w:r w:rsidRPr="003B7E81">
        <w:rPr>
          <w:rFonts w:ascii="Palatino Linotype" w:hAnsi="Palatino Linotype" w:cs="Arial"/>
          <w:color w:val="000000" w:themeColor="text1"/>
          <w:sz w:val="24"/>
          <w:szCs w:val="24"/>
        </w:rPr>
        <w:t xml:space="preserve">son documentos en los </w:t>
      </w:r>
      <w:r w:rsidR="003B7E81">
        <w:rPr>
          <w:rFonts w:ascii="Palatino Linotype" w:hAnsi="Palatino Linotype" w:cs="Arial"/>
          <w:color w:val="000000" w:themeColor="text1"/>
          <w:sz w:val="24"/>
          <w:szCs w:val="24"/>
        </w:rPr>
        <w:t>en</w:t>
      </w:r>
      <w:r w:rsidRPr="003B7E81">
        <w:rPr>
          <w:rFonts w:ascii="Palatino Linotype" w:hAnsi="Palatino Linotype" w:cs="Arial"/>
          <w:color w:val="000000" w:themeColor="text1"/>
          <w:sz w:val="24"/>
          <w:szCs w:val="24"/>
        </w:rPr>
        <w:t xml:space="preserve"> ocasiones se ha sostenido que el dato personal contenido en ellos como lo es la </w:t>
      </w:r>
      <w:r w:rsidR="003B7E81">
        <w:rPr>
          <w:rFonts w:ascii="Palatino Linotype" w:hAnsi="Palatino Linotype" w:cs="Arial"/>
          <w:color w:val="000000" w:themeColor="text1"/>
          <w:sz w:val="24"/>
          <w:szCs w:val="24"/>
        </w:rPr>
        <w:t>firma</w:t>
      </w:r>
      <w:r w:rsidRPr="003B7E81">
        <w:rPr>
          <w:rFonts w:ascii="Palatino Linotype" w:hAnsi="Palatino Linotype" w:cs="Arial"/>
          <w:color w:val="000000" w:themeColor="text1"/>
          <w:sz w:val="24"/>
          <w:szCs w:val="24"/>
        </w:rPr>
        <w:t xml:space="preserve"> es información de interés público, que acredita que la persona </w:t>
      </w:r>
      <w:r w:rsidR="003B7E81">
        <w:rPr>
          <w:rFonts w:ascii="Palatino Linotype" w:hAnsi="Palatino Linotype" w:cs="Arial"/>
          <w:color w:val="000000" w:themeColor="text1"/>
          <w:sz w:val="24"/>
          <w:szCs w:val="24"/>
        </w:rPr>
        <w:t>a quien se le expidió dichos documentos, además de haber cumplido</w:t>
      </w:r>
      <w:r w:rsidRPr="003B7E81">
        <w:rPr>
          <w:rFonts w:ascii="Palatino Linotype" w:hAnsi="Palatino Linotype" w:cs="Arial"/>
          <w:color w:val="000000" w:themeColor="text1"/>
          <w:sz w:val="24"/>
          <w:szCs w:val="24"/>
        </w:rPr>
        <w:t xml:space="preserve"> con los requisitos para ser acreedora a los mismo</w:t>
      </w:r>
      <w:r w:rsidR="003B7E81">
        <w:rPr>
          <w:rFonts w:ascii="Palatino Linotype" w:hAnsi="Palatino Linotype" w:cs="Arial"/>
          <w:color w:val="000000" w:themeColor="text1"/>
          <w:sz w:val="24"/>
          <w:szCs w:val="24"/>
        </w:rPr>
        <w:t>s</w:t>
      </w:r>
      <w:r w:rsidRPr="003B7E81">
        <w:rPr>
          <w:rFonts w:ascii="Palatino Linotype" w:hAnsi="Palatino Linotype" w:cs="Arial"/>
          <w:color w:val="000000" w:themeColor="text1"/>
          <w:sz w:val="24"/>
          <w:szCs w:val="24"/>
        </w:rPr>
        <w:t>, se advierte que al obtenerlos cuenta con los c</w:t>
      </w:r>
      <w:r w:rsidR="003B7E81">
        <w:rPr>
          <w:rFonts w:ascii="Palatino Linotype" w:hAnsi="Palatino Linotype" w:cs="Arial"/>
          <w:color w:val="000000" w:themeColor="text1"/>
          <w:sz w:val="24"/>
          <w:szCs w:val="24"/>
        </w:rPr>
        <w:t xml:space="preserve">onocimientos que refiere </w:t>
      </w:r>
      <w:r w:rsidR="003B7E81">
        <w:rPr>
          <w:rFonts w:ascii="Palatino Linotype" w:hAnsi="Palatino Linotype" w:cs="Arial"/>
          <w:color w:val="000000" w:themeColor="text1"/>
          <w:sz w:val="24"/>
          <w:szCs w:val="24"/>
        </w:rPr>
        <w:lastRenderedPageBreak/>
        <w:t>tener; documentos que constituyen elementos de identidad frente a terceros, además que en el caso de servidores públicos contribuye a brindar certeza de que el servidor que ejerce actos de autoridad lo hace en ejercicio de sus funciones y a partir de los conocimientos con los que cuenta y para los cuales se le expidi</w:t>
      </w:r>
      <w:r w:rsidR="00ED626B">
        <w:rPr>
          <w:rFonts w:ascii="Palatino Linotype" w:hAnsi="Palatino Linotype" w:cs="Arial"/>
          <w:color w:val="000000" w:themeColor="text1"/>
          <w:sz w:val="24"/>
          <w:szCs w:val="24"/>
        </w:rPr>
        <w:t>ó la documental que lo avala.</w:t>
      </w:r>
    </w:p>
    <w:p w:rsidR="00ED626B" w:rsidRPr="00ED626B" w:rsidRDefault="00ED626B" w:rsidP="00ED626B">
      <w:pPr>
        <w:keepNext/>
        <w:keepLines/>
        <w:spacing w:before="240" w:after="0"/>
        <w:outlineLvl w:val="0"/>
        <w:rPr>
          <w:rFonts w:ascii="Palatino Linotype" w:eastAsiaTheme="majorEastAsia" w:hAnsi="Palatino Linotype" w:cstheme="majorBidi"/>
          <w:b/>
          <w:sz w:val="24"/>
          <w:szCs w:val="24"/>
        </w:rPr>
      </w:pPr>
      <w:bookmarkStart w:id="12" w:name="_Toc8223280"/>
      <w:bookmarkStart w:id="13" w:name="_Toc8748208"/>
      <w:bookmarkStart w:id="14" w:name="_Toc11081713"/>
      <w:r w:rsidRPr="00ED626B">
        <w:rPr>
          <w:rFonts w:ascii="Palatino Linotype" w:eastAsiaTheme="majorEastAsia" w:hAnsi="Palatino Linotype" w:cstheme="majorBidi"/>
          <w:b/>
          <w:sz w:val="24"/>
          <w:szCs w:val="24"/>
        </w:rPr>
        <w:t>VI. Acceso a la información versus protección de datos personales.</w:t>
      </w:r>
      <w:bookmarkEnd w:id="12"/>
      <w:bookmarkEnd w:id="13"/>
      <w:bookmarkEnd w:id="14"/>
      <w:r w:rsidRPr="00ED626B">
        <w:rPr>
          <w:rFonts w:ascii="Palatino Linotype" w:eastAsiaTheme="majorEastAsia" w:hAnsi="Palatino Linotype" w:cstheme="majorBidi"/>
          <w:b/>
          <w:sz w:val="24"/>
          <w:szCs w:val="24"/>
        </w:rPr>
        <w:t xml:space="preserve"> </w:t>
      </w:r>
    </w:p>
    <w:p w:rsidR="00ED626B" w:rsidRPr="003B7053" w:rsidRDefault="00ED626B" w:rsidP="00ED626B">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ED626B" w:rsidRPr="00ED626B" w:rsidRDefault="00ED626B" w:rsidP="00ED626B">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Para que quienes se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w:t>
      </w:r>
    </w:p>
    <w:p w:rsidR="00ED626B" w:rsidRPr="003B7053" w:rsidRDefault="00ED626B" w:rsidP="00ED626B">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D626B" w:rsidRPr="001B45FC" w:rsidRDefault="00ED626B" w:rsidP="00ED626B">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El acceder a la </w:t>
      </w:r>
      <w:r>
        <w:rPr>
          <w:rFonts w:ascii="Palatino Linotype" w:hAnsi="Palatino Linotype"/>
          <w:sz w:val="24"/>
          <w:szCs w:val="24"/>
        </w:rPr>
        <w:t>foto</w:t>
      </w:r>
      <w:r w:rsidRPr="00ED626B">
        <w:rPr>
          <w:rFonts w:ascii="Palatino Linotype" w:hAnsi="Palatino Linotype"/>
          <w:sz w:val="24"/>
          <w:szCs w:val="24"/>
        </w:rPr>
        <w:t xml:space="preserve">copia del título </w:t>
      </w:r>
      <w:r>
        <w:rPr>
          <w:rFonts w:ascii="Palatino Linotype" w:hAnsi="Palatino Linotype"/>
          <w:sz w:val="24"/>
          <w:szCs w:val="24"/>
        </w:rPr>
        <w:t>o cédula profesional</w:t>
      </w:r>
      <w:r w:rsidRPr="00ED626B">
        <w:rPr>
          <w:rFonts w:ascii="Palatino Linotype" w:hAnsi="Palatino Linotype"/>
          <w:sz w:val="24"/>
          <w:szCs w:val="24"/>
        </w:rPr>
        <w:t xml:space="preserve">, </w:t>
      </w:r>
      <w:r>
        <w:rPr>
          <w:rFonts w:ascii="Palatino Linotype" w:hAnsi="Palatino Linotype"/>
          <w:sz w:val="24"/>
          <w:szCs w:val="24"/>
        </w:rPr>
        <w:t>como los documentos que acreditan</w:t>
      </w:r>
      <w:r w:rsidRPr="00ED626B">
        <w:rPr>
          <w:rFonts w:ascii="Palatino Linotype" w:hAnsi="Palatino Linotype"/>
          <w:sz w:val="24"/>
          <w:szCs w:val="24"/>
        </w:rPr>
        <w:t xml:space="preserve"> </w:t>
      </w:r>
      <w:r>
        <w:rPr>
          <w:rFonts w:ascii="Palatino Linotype" w:hAnsi="Palatino Linotype"/>
          <w:sz w:val="24"/>
          <w:szCs w:val="24"/>
        </w:rPr>
        <w:t>la experiencia académica</w:t>
      </w:r>
      <w:r w:rsidRPr="00ED626B">
        <w:rPr>
          <w:rFonts w:ascii="Palatino Linotype" w:hAnsi="Palatino Linotype"/>
          <w:sz w:val="24"/>
          <w:szCs w:val="24"/>
        </w:rPr>
        <w:t xml:space="preserve">, de quien ocupe cargos en la administración </w:t>
      </w:r>
      <w:r>
        <w:rPr>
          <w:rFonts w:ascii="Palatino Linotype" w:hAnsi="Palatino Linotype"/>
          <w:sz w:val="24"/>
          <w:szCs w:val="24"/>
        </w:rPr>
        <w:t xml:space="preserve">pública </w:t>
      </w:r>
      <w:r w:rsidRPr="00ED626B">
        <w:rPr>
          <w:rFonts w:ascii="Palatino Linotype" w:hAnsi="Palatino Linotype"/>
          <w:sz w:val="24"/>
          <w:szCs w:val="24"/>
        </w:rPr>
        <w:t xml:space="preserve">permitirá al particular conocer con toda certeza y de manera indudable si las personas que se desempeñan en los cargos cuenta con la idoneidad de desempeñarlos y así como la capacidad de desarrollar las actividades y atribuciones </w:t>
      </w:r>
      <w:r w:rsidRPr="00ED626B">
        <w:rPr>
          <w:rFonts w:ascii="Palatino Linotype" w:hAnsi="Palatino Linotype"/>
          <w:sz w:val="24"/>
          <w:szCs w:val="24"/>
        </w:rPr>
        <w:lastRenderedPageBreak/>
        <w:t>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w:t>
      </w:r>
      <w:r>
        <w:rPr>
          <w:rFonts w:ascii="Palatino Linotype" w:hAnsi="Palatino Linotype"/>
          <w:sz w:val="24"/>
          <w:szCs w:val="24"/>
        </w:rPr>
        <w:t xml:space="preserve"> documentos públicos requeridos.</w:t>
      </w:r>
    </w:p>
    <w:p w:rsidR="001B45FC" w:rsidRPr="003B7053" w:rsidRDefault="001B45FC" w:rsidP="001B45FC">
      <w:pPr>
        <w:pStyle w:val="Prrafodelista"/>
        <w:tabs>
          <w:tab w:val="left" w:pos="142"/>
          <w:tab w:val="left" w:pos="426"/>
        </w:tabs>
        <w:spacing w:after="0" w:line="360" w:lineRule="auto"/>
        <w:ind w:left="0" w:right="49"/>
        <w:jc w:val="both"/>
        <w:rPr>
          <w:rFonts w:ascii="Palatino Linotype" w:hAnsi="Palatino Linotype" w:cs="Arial"/>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Frente a esa situación, en ocasiones se ha coincidido en la necesidad de testar la firma como una medida de protección de la misma en su condición de dato personal, desde su punto de vista que señala que no es necesario que el ciudadano acceda a la firma para determinar la idoneidad del funcionario, y que está plasmada en documentos como el titulo o la cédula profesional fue tramitada en </w:t>
      </w:r>
      <w:r w:rsidRPr="00ED626B">
        <w:rPr>
          <w:rFonts w:ascii="Palatino Linotype" w:hAnsi="Palatino Linotype" w:cs="Arial"/>
          <w:sz w:val="24"/>
          <w:szCs w:val="24"/>
        </w:rPr>
        <w:t>calidad de ciudadano como parte de un trámite personal y especifico, a lo cual d</w:t>
      </w:r>
      <w:r w:rsidRPr="00ED626B">
        <w:rPr>
          <w:rFonts w:ascii="Palatino Linotype" w:hAnsi="Palatino Linotype"/>
          <w:sz w:val="24"/>
          <w:szCs w:val="24"/>
        </w:rPr>
        <w:t>esde mi perspectiva la reflexión debe situarse en otro terreno ya que, en efecto, no es la firma la que permite determinar la respectiva idoneidad profesional, pero si la concurrencia de todos los elementos que integran la documental, lo que permite constatar la acreditación profesional, entre los cuales, la firma resulta esencial para determinar la identidad de quien obtiene un Título Profesional, una cédula profesional o bien cualquier otro documento análogo, en concatenación con el servidor público que emite actos de autoridad.</w:t>
      </w:r>
    </w:p>
    <w:p w:rsidR="00E02E1E" w:rsidRPr="003B7053" w:rsidRDefault="00E02E1E" w:rsidP="00E02E1E">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Por tanto</w:t>
      </w:r>
      <w:r w:rsidRPr="00E02E1E">
        <w:rPr>
          <w:rFonts w:ascii="Palatino Linotype" w:eastAsia="Times New Roman" w:hAnsi="Palatino Linotype" w:cs="Arial"/>
          <w:sz w:val="24"/>
          <w:szCs w:val="24"/>
          <w:lang w:val="es-ES" w:eastAsia="es-MX"/>
        </w:rPr>
        <w:t>, en esos casos, la f</w:t>
      </w:r>
      <w:r w:rsidR="00E02E1E">
        <w:rPr>
          <w:rFonts w:ascii="Palatino Linotype" w:eastAsia="Times New Roman" w:hAnsi="Palatino Linotype" w:cs="Arial"/>
          <w:sz w:val="24"/>
          <w:szCs w:val="24"/>
          <w:lang w:val="es-ES" w:eastAsia="es-MX"/>
        </w:rPr>
        <w:t>irma</w:t>
      </w:r>
      <w:r w:rsidRPr="00E02E1E">
        <w:rPr>
          <w:rFonts w:ascii="Palatino Linotype" w:eastAsia="Times New Roman" w:hAnsi="Palatino Linotype" w:cs="Arial"/>
          <w:sz w:val="24"/>
          <w:szCs w:val="24"/>
          <w:lang w:val="es-ES" w:eastAsia="es-MX"/>
        </w:rPr>
        <w:t xml:space="preserve"> no puede constituir un dato personal que requiere del consentimiento del titular de la información para su difusión, pues </w:t>
      </w:r>
      <w:r w:rsidRPr="00E02E1E">
        <w:rPr>
          <w:rFonts w:ascii="Palatino Linotype" w:eastAsia="Times New Roman" w:hAnsi="Palatino Linotype" w:cs="Arial"/>
          <w:sz w:val="24"/>
          <w:szCs w:val="24"/>
          <w:lang w:val="es-ES" w:eastAsia="es-MX"/>
        </w:rPr>
        <w:lastRenderedPageBreak/>
        <w:t xml:space="preserve">constituye un elemento que permite reflejar que la persona que </w:t>
      </w:r>
      <w:r w:rsidR="00E02E1E">
        <w:rPr>
          <w:rFonts w:ascii="Palatino Linotype" w:eastAsia="Times New Roman" w:hAnsi="Palatino Linotype" w:cs="Arial"/>
          <w:sz w:val="24"/>
          <w:szCs w:val="24"/>
          <w:lang w:val="es-ES" w:eastAsia="es-MX"/>
        </w:rPr>
        <w:t>emite un acto de autoridad es la misma a quien se le expidió el titulo o la patente para ejercer la profesión y por ende el cargo encomendado como servidor público.</w:t>
      </w:r>
    </w:p>
    <w:p w:rsidR="00E02E1E" w:rsidRPr="003B7053" w:rsidRDefault="00E02E1E" w:rsidP="00E02E1E">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Ahora bien, 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E02E1E" w:rsidRPr="003B7053" w:rsidRDefault="00E02E1E" w:rsidP="00E02E1E">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E02E1E" w:rsidRPr="00E02E1E" w:rsidRDefault="00E02E1E" w:rsidP="00E02E1E">
      <w:pPr>
        <w:pStyle w:val="Ttulo1"/>
        <w:rPr>
          <w:rFonts w:ascii="Palatino Linotype" w:hAnsi="Palatino Linotype" w:cs="Arial"/>
          <w:b/>
          <w:color w:val="000000" w:themeColor="text1"/>
          <w:sz w:val="24"/>
        </w:rPr>
      </w:pPr>
      <w:bookmarkStart w:id="15" w:name="_Toc11081714"/>
      <w:r w:rsidRPr="00E02E1E">
        <w:rPr>
          <w:rFonts w:ascii="Palatino Linotype" w:hAnsi="Palatino Linotype"/>
          <w:b/>
          <w:color w:val="000000" w:themeColor="text1"/>
          <w:sz w:val="24"/>
        </w:rPr>
        <w:lastRenderedPageBreak/>
        <w:t>A. Juicio de idoneidad.</w:t>
      </w:r>
      <w:bookmarkEnd w:id="15"/>
    </w:p>
    <w:p w:rsidR="00E02E1E" w:rsidRPr="003B7053" w:rsidRDefault="00E02E1E" w:rsidP="00E02E1E">
      <w:pPr>
        <w:pStyle w:val="Prrafodelista"/>
        <w:tabs>
          <w:tab w:val="left" w:pos="142"/>
          <w:tab w:val="left" w:pos="426"/>
        </w:tabs>
        <w:spacing w:after="0" w:line="360" w:lineRule="auto"/>
        <w:ind w:left="0" w:right="49"/>
        <w:jc w:val="both"/>
        <w:rPr>
          <w:rFonts w:ascii="Palatino Linotype" w:hAnsi="Palatino Linotype" w:cs="Arial"/>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 xml:space="preserve">El derecho de acceso a la información se plantea a través de la solicitud del  particular para obtener el documento que acredite el último grado de estudios de los servidores  públicos, el título profesional o </w:t>
      </w:r>
      <w:r w:rsidR="00E02E1E">
        <w:rPr>
          <w:rFonts w:ascii="Palatino Linotype" w:hAnsi="Palatino Linotype"/>
          <w:sz w:val="24"/>
          <w:szCs w:val="24"/>
        </w:rPr>
        <w:t>cédula profesional,</w:t>
      </w:r>
      <w:r w:rsidRPr="00E02E1E">
        <w:rPr>
          <w:rFonts w:ascii="Palatino Linotype" w:hAnsi="Palatino Linotype"/>
          <w:sz w:val="24"/>
          <w:szCs w:val="24"/>
        </w:rPr>
        <w:t xml:space="preserve"> relacionado</w:t>
      </w:r>
      <w:r w:rsidR="00E02E1E">
        <w:rPr>
          <w:rFonts w:ascii="Palatino Linotype" w:hAnsi="Palatino Linotype"/>
          <w:sz w:val="24"/>
          <w:szCs w:val="24"/>
        </w:rPr>
        <w:t>s</w:t>
      </w:r>
      <w:r w:rsidRPr="00E02E1E">
        <w:rPr>
          <w:rFonts w:ascii="Palatino Linotype" w:hAnsi="Palatino Linotype"/>
          <w:sz w:val="24"/>
          <w:szCs w:val="24"/>
        </w:rPr>
        <w:t xml:space="preserve"> con su trayectoria académica</w:t>
      </w:r>
      <w:r w:rsidR="00E02E1E">
        <w:rPr>
          <w:rFonts w:ascii="Palatino Linotype" w:hAnsi="Palatino Linotype"/>
          <w:sz w:val="24"/>
          <w:szCs w:val="24"/>
        </w:rPr>
        <w:t>,</w:t>
      </w:r>
      <w:r w:rsidRPr="00E02E1E">
        <w:rPr>
          <w:rFonts w:ascii="Palatino Linotype" w:hAnsi="Palatino Linotype"/>
          <w:sz w:val="24"/>
          <w:szCs w:val="24"/>
        </w:rPr>
        <w:t xml:space="preserve">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w:t>
      </w:r>
      <w:r w:rsidR="00E02E1E">
        <w:rPr>
          <w:rFonts w:ascii="Palatino Linotype" w:hAnsi="Palatino Linotype"/>
          <w:sz w:val="24"/>
          <w:szCs w:val="24"/>
        </w:rPr>
        <w:t>, en el caso del título profesional y para el caso de la cédula profesional, en versión pública suprimiendo datos como lo son la Clave Única de Registro de Población,</w:t>
      </w:r>
      <w:r w:rsidRPr="00E02E1E">
        <w:rPr>
          <w:rFonts w:ascii="Palatino Linotype" w:hAnsi="Palatino Linotype"/>
          <w:sz w:val="24"/>
          <w:szCs w:val="24"/>
        </w:rPr>
        <w:t xml:space="preserve"> es la medida idónea para que el particular satisfaga su interés de verificar que las personas que desempeñan tales cargos cumplen con los requisitos señalados en la ley, lo cual permite asegurar el ejercicio del control popular sobre los actos de </w:t>
      </w:r>
      <w:r w:rsidR="00E02E1E">
        <w:rPr>
          <w:rFonts w:ascii="Palatino Linotype" w:hAnsi="Palatino Linotype"/>
          <w:sz w:val="24"/>
          <w:szCs w:val="24"/>
        </w:rPr>
        <w:t xml:space="preserve">autoridad que estos realizan, fortaleciendo  </w:t>
      </w:r>
      <w:r w:rsidRPr="00E02E1E">
        <w:rPr>
          <w:rFonts w:ascii="Palatino Linotype" w:hAnsi="Palatino Linotype"/>
          <w:sz w:val="24"/>
          <w:szCs w:val="24"/>
        </w:rPr>
        <w:t xml:space="preserve">la cultura de la rendición de cuentas al acreditar que los funcionarios públicos cumplen con el perfil señalado en la ley para desempeñarlo y </w:t>
      </w:r>
      <w:r w:rsidR="00E02E1E">
        <w:rPr>
          <w:rFonts w:ascii="Palatino Linotype" w:hAnsi="Palatino Linotype"/>
          <w:sz w:val="24"/>
          <w:szCs w:val="24"/>
        </w:rPr>
        <w:t xml:space="preserve">que además en ejercicio de las atribuciones conferidas de derecho público toman decisiones las cuales </w:t>
      </w:r>
      <w:r w:rsidRPr="00E02E1E">
        <w:rPr>
          <w:rFonts w:ascii="Palatino Linotype" w:hAnsi="Palatino Linotype"/>
          <w:sz w:val="24"/>
          <w:szCs w:val="24"/>
        </w:rPr>
        <w:t>fortalecen el debate informado de la sociedad democrática. Restar elemento</w:t>
      </w:r>
      <w:r w:rsidR="00E02E1E">
        <w:rPr>
          <w:rFonts w:ascii="Palatino Linotype" w:hAnsi="Palatino Linotype"/>
          <w:sz w:val="24"/>
          <w:szCs w:val="24"/>
        </w:rPr>
        <w:t>s a la documental como lo es la firma,</w:t>
      </w:r>
      <w:r w:rsidRPr="00E02E1E">
        <w:rPr>
          <w:rFonts w:ascii="Palatino Linotype" w:hAnsi="Palatino Linotype"/>
          <w:sz w:val="24"/>
          <w:szCs w:val="24"/>
        </w:rPr>
        <w:t xml:space="preserve"> reduce su valor y disminuye sensiblemente la información que aporta al debate público.</w:t>
      </w:r>
    </w:p>
    <w:p w:rsidR="00E02E1E" w:rsidRDefault="00E02E1E" w:rsidP="007A552B">
      <w:pPr>
        <w:pStyle w:val="Ttulo1"/>
        <w:rPr>
          <w:rFonts w:ascii="Palatino Linotype" w:hAnsi="Palatino Linotype"/>
          <w:b/>
          <w:color w:val="000000" w:themeColor="text1"/>
          <w:sz w:val="24"/>
        </w:rPr>
      </w:pPr>
      <w:bookmarkStart w:id="16" w:name="_Toc4503794"/>
      <w:bookmarkStart w:id="17" w:name="_Toc7424618"/>
      <w:bookmarkStart w:id="18" w:name="_Toc7428789"/>
      <w:bookmarkStart w:id="19" w:name="_Toc11081715"/>
      <w:r w:rsidRPr="007A552B">
        <w:rPr>
          <w:rFonts w:ascii="Palatino Linotype" w:hAnsi="Palatino Linotype"/>
          <w:b/>
          <w:color w:val="000000" w:themeColor="text1"/>
          <w:sz w:val="24"/>
        </w:rPr>
        <w:lastRenderedPageBreak/>
        <w:t>B.  Juicio de Necesidad.</w:t>
      </w:r>
      <w:bookmarkEnd w:id="16"/>
      <w:bookmarkEnd w:id="17"/>
      <w:bookmarkEnd w:id="18"/>
      <w:bookmarkEnd w:id="19"/>
    </w:p>
    <w:p w:rsidR="007A552B" w:rsidRPr="003B7053" w:rsidRDefault="007A552B" w:rsidP="007A552B">
      <w:pPr>
        <w:rPr>
          <w:sz w:val="24"/>
        </w:rPr>
      </w:pPr>
    </w:p>
    <w:p w:rsidR="00E91EC9" w:rsidRPr="00E91EC9" w:rsidRDefault="00ED626B" w:rsidP="00E91EC9">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 xml:space="preserve">Para que el particular vea satisfecha su pretensión y su derecho sea respetado, es necesario que acceda al documento que acredita el grado académico </w:t>
      </w:r>
      <w:r w:rsidR="00060AD6" w:rsidRPr="00060AD6">
        <w:rPr>
          <w:rFonts w:ascii="Palatino Linotype" w:hAnsi="Palatino Linotype"/>
          <w:sz w:val="24"/>
          <w:szCs w:val="24"/>
        </w:rPr>
        <w:t>y, en este caso de la cédula profesional como patente, con</w:t>
      </w:r>
      <w:r w:rsidRPr="00060AD6">
        <w:rPr>
          <w:rFonts w:ascii="Palatino Linotype" w:hAnsi="Palatino Linotype"/>
          <w:sz w:val="24"/>
          <w:szCs w:val="24"/>
        </w:rPr>
        <w:t xml:space="preserve"> </w:t>
      </w:r>
      <w:r w:rsidR="00060AD6" w:rsidRPr="00060AD6">
        <w:rPr>
          <w:rFonts w:ascii="Palatino Linotype" w:hAnsi="Palatino Linotype"/>
          <w:sz w:val="24"/>
          <w:szCs w:val="24"/>
        </w:rPr>
        <w:t>los</w:t>
      </w:r>
      <w:r w:rsidRPr="00060AD6">
        <w:rPr>
          <w:rFonts w:ascii="Palatino Linotype" w:hAnsi="Palatino Linotype"/>
          <w:sz w:val="24"/>
          <w:szCs w:val="24"/>
        </w:rPr>
        <w:t xml:space="preserve"> elementos que lo componen, </w:t>
      </w:r>
      <w:r w:rsidR="00060AD6" w:rsidRPr="00060AD6">
        <w:rPr>
          <w:rFonts w:ascii="Palatino Linotype" w:hAnsi="Palatino Linotype"/>
          <w:sz w:val="24"/>
          <w:szCs w:val="24"/>
        </w:rPr>
        <w:t xml:space="preserve">incluidos la firma, que al </w:t>
      </w:r>
      <w:r w:rsidRPr="00060AD6">
        <w:rPr>
          <w:rFonts w:ascii="Palatino Linotype" w:hAnsi="Palatino Linotype"/>
          <w:sz w:val="24"/>
          <w:szCs w:val="24"/>
        </w:rPr>
        <w:t xml:space="preserve">ser contrastado </w:t>
      </w:r>
      <w:r w:rsidR="00060AD6" w:rsidRPr="00060AD6">
        <w:rPr>
          <w:rFonts w:ascii="Palatino Linotype" w:hAnsi="Palatino Linotype"/>
          <w:sz w:val="24"/>
          <w:szCs w:val="24"/>
        </w:rPr>
        <w:t xml:space="preserve">dicho documento </w:t>
      </w:r>
      <w:r w:rsidRPr="00060AD6">
        <w:rPr>
          <w:rFonts w:ascii="Palatino Linotype" w:hAnsi="Palatino Linotype"/>
          <w:sz w:val="24"/>
          <w:szCs w:val="24"/>
        </w:rPr>
        <w:t xml:space="preserve">con cualquier otro documento </w:t>
      </w:r>
      <w:r w:rsidR="00060AD6" w:rsidRPr="00060AD6">
        <w:rPr>
          <w:rFonts w:ascii="Palatino Linotype" w:hAnsi="Palatino Linotype"/>
          <w:sz w:val="24"/>
          <w:szCs w:val="24"/>
        </w:rPr>
        <w:t>que se realizó en ejercicio de las atribuciones conferidas al servidor público, e</w:t>
      </w:r>
      <w:r w:rsidRPr="00060AD6">
        <w:rPr>
          <w:rFonts w:ascii="Palatino Linotype" w:hAnsi="Palatino Linotype"/>
          <w:sz w:val="24"/>
          <w:szCs w:val="24"/>
        </w:rPr>
        <w:t xml:space="preserve">l particular </w:t>
      </w:r>
      <w:r w:rsidR="00060AD6" w:rsidRPr="00060AD6">
        <w:rPr>
          <w:rFonts w:ascii="Palatino Linotype" w:hAnsi="Palatino Linotype"/>
          <w:sz w:val="24"/>
          <w:szCs w:val="24"/>
        </w:rPr>
        <w:t xml:space="preserve">cuente con los elementos que le permitan identificar que </w:t>
      </w:r>
      <w:r w:rsidRPr="00060AD6">
        <w:rPr>
          <w:rFonts w:ascii="Palatino Linotype" w:hAnsi="Palatino Linotype"/>
          <w:sz w:val="24"/>
          <w:szCs w:val="24"/>
        </w:rPr>
        <w:t>se trate de la misma persona</w:t>
      </w:r>
      <w:r w:rsidR="00060AD6">
        <w:rPr>
          <w:rFonts w:ascii="Palatino Linotype" w:hAnsi="Palatino Linotype"/>
          <w:sz w:val="24"/>
          <w:szCs w:val="24"/>
        </w:rPr>
        <w:t xml:space="preserve"> quien mediante su firma </w:t>
      </w:r>
      <w:r w:rsidRPr="00060AD6">
        <w:rPr>
          <w:rFonts w:ascii="Palatino Linotype" w:hAnsi="Palatino Linotype"/>
          <w:sz w:val="24"/>
          <w:szCs w:val="24"/>
        </w:rPr>
        <w:t xml:space="preserve">le da validez a los actos que documenta de acuerdo a sus </w:t>
      </w:r>
      <w:r w:rsidR="00060AD6">
        <w:rPr>
          <w:rFonts w:ascii="Palatino Linotype" w:hAnsi="Palatino Linotype"/>
          <w:sz w:val="24"/>
          <w:szCs w:val="24"/>
        </w:rPr>
        <w:t>facultades, competencias y funciones en</w:t>
      </w:r>
      <w:r w:rsidRPr="00060AD6">
        <w:rPr>
          <w:rFonts w:ascii="Palatino Linotype" w:hAnsi="Palatino Linotype"/>
          <w:sz w:val="24"/>
          <w:szCs w:val="24"/>
        </w:rPr>
        <w:t>comendadas, por l</w:t>
      </w:r>
      <w:r w:rsidR="00060AD6">
        <w:rPr>
          <w:rFonts w:ascii="Palatino Linotype" w:hAnsi="Palatino Linotype"/>
          <w:sz w:val="24"/>
          <w:szCs w:val="24"/>
        </w:rPr>
        <w:t xml:space="preserve">o tanto, el impedir el acceso al dato en mérito </w:t>
      </w:r>
      <w:r w:rsidRPr="00060AD6">
        <w:rPr>
          <w:rFonts w:ascii="Palatino Linotype" w:hAnsi="Palatino Linotype"/>
          <w:sz w:val="24"/>
          <w:szCs w:val="24"/>
        </w:rPr>
        <w:t>resta todo su valor y utilidad para los propósitos legítimos del particular por lo que resulta necesario que se conserve en el documento que será entregado.</w:t>
      </w:r>
    </w:p>
    <w:p w:rsidR="00867235" w:rsidRDefault="00060AD6" w:rsidP="00867235">
      <w:pPr>
        <w:pStyle w:val="Ttulo1"/>
        <w:rPr>
          <w:rFonts w:ascii="Palatino Linotype" w:hAnsi="Palatino Linotype"/>
          <w:b/>
          <w:color w:val="000000" w:themeColor="text1"/>
          <w:sz w:val="24"/>
        </w:rPr>
      </w:pPr>
      <w:bookmarkStart w:id="20" w:name="_Toc11081716"/>
      <w:r w:rsidRPr="00534F0F">
        <w:rPr>
          <w:rFonts w:ascii="Palatino Linotype" w:hAnsi="Palatino Linotype"/>
          <w:b/>
          <w:color w:val="000000" w:themeColor="text1"/>
          <w:sz w:val="24"/>
        </w:rPr>
        <w:t xml:space="preserve">C. </w:t>
      </w:r>
      <w:bookmarkStart w:id="21" w:name="_Toc4503795"/>
      <w:bookmarkStart w:id="22" w:name="_Toc7424619"/>
      <w:bookmarkStart w:id="23" w:name="_Toc7428790"/>
      <w:r w:rsidRPr="00534F0F">
        <w:rPr>
          <w:rFonts w:ascii="Palatino Linotype" w:hAnsi="Palatino Linotype"/>
          <w:b/>
          <w:color w:val="000000" w:themeColor="text1"/>
          <w:sz w:val="24"/>
        </w:rPr>
        <w:t>Juicio de estricta proporcionalidad.</w:t>
      </w:r>
      <w:bookmarkEnd w:id="20"/>
      <w:bookmarkEnd w:id="21"/>
      <w:bookmarkEnd w:id="22"/>
      <w:bookmarkEnd w:id="23"/>
    </w:p>
    <w:p w:rsidR="007A552B" w:rsidRPr="007A552B" w:rsidRDefault="007A552B" w:rsidP="007A552B">
      <w:pPr>
        <w:rPr>
          <w:sz w:val="4"/>
        </w:rPr>
      </w:pPr>
    </w:p>
    <w:p w:rsidR="00867235" w:rsidRPr="007A552B" w:rsidRDefault="00867235" w:rsidP="00867235">
      <w:pPr>
        <w:rPr>
          <w:sz w:val="18"/>
        </w:rPr>
      </w:pPr>
    </w:p>
    <w:p w:rsidR="00867235" w:rsidRPr="00867235" w:rsidRDefault="00ED626B" w:rsidP="00867235">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w:t>
      </w:r>
      <w:r w:rsidR="001B45FC">
        <w:rPr>
          <w:rFonts w:ascii="Palatino Linotype" w:hAnsi="Palatino Linotype"/>
          <w:sz w:val="24"/>
          <w:szCs w:val="24"/>
        </w:rPr>
        <w:t>a acceder al título o</w:t>
      </w:r>
      <w:r w:rsidRPr="00060AD6">
        <w:rPr>
          <w:rFonts w:ascii="Palatino Linotype" w:hAnsi="Palatino Linotype"/>
          <w:sz w:val="24"/>
          <w:szCs w:val="24"/>
        </w:rPr>
        <w:t xml:space="preserve"> cédula profesional con la finalidad de generarse los elementos necesarios que le permitan manifestar, de manera libre e informada, su expresión o sus ideas, </w:t>
      </w:r>
      <w:r w:rsidRPr="00060AD6">
        <w:rPr>
          <w:rFonts w:ascii="Palatino Linotype" w:hAnsi="Palatino Linotype"/>
          <w:sz w:val="24"/>
          <w:szCs w:val="24"/>
        </w:rPr>
        <w:lastRenderedPageBreak/>
        <w:t>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w:t>
      </w:r>
      <w:r w:rsidR="001B45FC">
        <w:rPr>
          <w:rFonts w:ascii="Palatino Linotype" w:hAnsi="Palatino Linotype"/>
          <w:sz w:val="24"/>
          <w:szCs w:val="24"/>
        </w:rPr>
        <w:t xml:space="preserve">le el acceso a las documentales, en el caso concreto, sin que se clasifique como dato personal confidencial la firma, </w:t>
      </w:r>
      <w:r w:rsidRPr="00060AD6">
        <w:rPr>
          <w:rFonts w:ascii="Palatino Linotype" w:hAnsi="Palatino Linotype"/>
          <w:sz w:val="24"/>
          <w:szCs w:val="24"/>
        </w:rPr>
        <w:t xml:space="preserve">es la medida estrictamente proporcional indispensable que satisface completamente </w:t>
      </w:r>
      <w:r w:rsidR="001B45FC">
        <w:rPr>
          <w:rFonts w:ascii="Palatino Linotype" w:hAnsi="Palatino Linotype"/>
          <w:sz w:val="24"/>
          <w:szCs w:val="24"/>
        </w:rPr>
        <w:t>su</w:t>
      </w:r>
      <w:r w:rsidRPr="00060AD6">
        <w:rPr>
          <w:rFonts w:ascii="Palatino Linotype" w:hAnsi="Palatino Linotype"/>
          <w:sz w:val="24"/>
          <w:szCs w:val="24"/>
        </w:rPr>
        <w:t xml:space="preserve"> requerimiento.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867235" w:rsidRPr="003B7053" w:rsidRDefault="00867235" w:rsidP="00867235">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867235" w:rsidRDefault="00ED626B" w:rsidP="00867235">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867235">
        <w:rPr>
          <w:rFonts w:ascii="Palatino Linotype" w:hAnsi="Palatino Linotype"/>
          <w:sz w:val="24"/>
          <w:szCs w:val="24"/>
        </w:rPr>
        <w:t xml:space="preserve">En sentido contrario, </w:t>
      </w:r>
      <w:r w:rsidR="001B45FC">
        <w:rPr>
          <w:rFonts w:ascii="Palatino Linotype" w:hAnsi="Palatino Linotype"/>
          <w:sz w:val="24"/>
          <w:szCs w:val="24"/>
        </w:rPr>
        <w:t>clasificar la firma</w:t>
      </w:r>
      <w:r w:rsidRPr="00867235">
        <w:rPr>
          <w:rFonts w:ascii="Palatino Linotype" w:hAnsi="Palatino Linotype"/>
          <w:sz w:val="24"/>
          <w:szCs w:val="24"/>
        </w:rPr>
        <w:t xml:space="preserve"> impide que el particular cuente con los elementos necesarios e indispensables </w:t>
      </w:r>
      <w:r w:rsidR="001B45FC">
        <w:rPr>
          <w:rFonts w:ascii="Palatino Linotype" w:hAnsi="Palatino Linotype" w:cs="Arial"/>
          <w:sz w:val="24"/>
          <w:szCs w:val="24"/>
        </w:rPr>
        <w:t xml:space="preserve">que permiten identificar que la persona a quien se le expidió la patente para ejercer su profesión, es la misma que emitió el acto de autoridad, y por ende la responsable de la decisión que tomo en ejercicio </w:t>
      </w:r>
      <w:r w:rsidR="00534F0F">
        <w:rPr>
          <w:rFonts w:ascii="Palatino Linotype" w:hAnsi="Palatino Linotype" w:cs="Arial"/>
          <w:sz w:val="24"/>
          <w:szCs w:val="24"/>
        </w:rPr>
        <w:t>de sus atribuciones</w:t>
      </w:r>
      <w:r w:rsidR="001B45FC">
        <w:rPr>
          <w:rFonts w:ascii="Palatino Linotype" w:hAnsi="Palatino Linotype" w:cs="Arial"/>
          <w:sz w:val="24"/>
          <w:szCs w:val="24"/>
        </w:rPr>
        <w:t>.</w:t>
      </w:r>
    </w:p>
    <w:p w:rsidR="007A552B" w:rsidRPr="003B7053" w:rsidRDefault="007A552B" w:rsidP="007A552B">
      <w:pPr>
        <w:pStyle w:val="Prrafodelista"/>
        <w:tabs>
          <w:tab w:val="left" w:pos="142"/>
          <w:tab w:val="left" w:pos="426"/>
        </w:tabs>
        <w:spacing w:after="0" w:line="360" w:lineRule="auto"/>
        <w:ind w:left="0" w:right="49"/>
        <w:jc w:val="both"/>
        <w:rPr>
          <w:rFonts w:ascii="Palatino Linotype" w:hAnsi="Palatino Linotype" w:cs="Arial"/>
          <w:sz w:val="12"/>
          <w:szCs w:val="24"/>
        </w:rPr>
      </w:pPr>
    </w:p>
    <w:p w:rsidR="007A552B" w:rsidRPr="003B7053" w:rsidRDefault="007A552B" w:rsidP="007A552B">
      <w:pPr>
        <w:pStyle w:val="Prrafodelista"/>
        <w:tabs>
          <w:tab w:val="left" w:pos="142"/>
          <w:tab w:val="left" w:pos="426"/>
        </w:tabs>
        <w:spacing w:after="0" w:line="360" w:lineRule="auto"/>
        <w:ind w:left="0" w:right="49"/>
        <w:jc w:val="both"/>
        <w:rPr>
          <w:rFonts w:ascii="Palatino Linotype" w:hAnsi="Palatino Linotype" w:cs="Arial"/>
          <w:sz w:val="2"/>
          <w:szCs w:val="24"/>
        </w:rPr>
      </w:pPr>
    </w:p>
    <w:p w:rsidR="00CB1DE4" w:rsidRPr="00CB1DE4" w:rsidRDefault="00CB1DE4" w:rsidP="00CB1DE4">
      <w:pPr>
        <w:pStyle w:val="Ttulo1"/>
        <w:rPr>
          <w:rFonts w:ascii="Palatino Linotype" w:hAnsi="Palatino Linotype"/>
          <w:b/>
          <w:color w:val="000000" w:themeColor="text1"/>
          <w:sz w:val="24"/>
        </w:rPr>
      </w:pPr>
      <w:bookmarkStart w:id="24" w:name="_Toc11081717"/>
      <w:r w:rsidRPr="00CB1DE4">
        <w:rPr>
          <w:rFonts w:ascii="Palatino Linotype" w:hAnsi="Palatino Linotype"/>
          <w:b/>
          <w:color w:val="000000" w:themeColor="text1"/>
          <w:sz w:val="24"/>
        </w:rPr>
        <w:t>VII. Conclusión</w:t>
      </w:r>
      <w:bookmarkEnd w:id="24"/>
    </w:p>
    <w:p w:rsidR="00534F0F" w:rsidRPr="00534F0F" w:rsidRDefault="00534F0F" w:rsidP="00534F0F">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534F0F" w:rsidRPr="00534F0F" w:rsidRDefault="00534F0F" w:rsidP="00534F0F">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534F0F">
        <w:rPr>
          <w:rFonts w:ascii="Palatino Linotype" w:hAnsi="Palatino Linotype" w:cs="Arial"/>
          <w:sz w:val="24"/>
          <w:szCs w:val="24"/>
        </w:rPr>
        <w:t xml:space="preserve">En atención a las consideraciones antes señaladas </w:t>
      </w:r>
      <w:r w:rsidRPr="00534F0F">
        <w:rPr>
          <w:rFonts w:ascii="Palatino Linotype" w:hAnsi="Palatino Linotype" w:cs="Arial"/>
          <w:color w:val="000000" w:themeColor="text1"/>
          <w:sz w:val="24"/>
          <w:szCs w:val="24"/>
        </w:rPr>
        <w:t xml:space="preserve">consideró legítimo entregar la información consistente </w:t>
      </w:r>
      <w:r>
        <w:rPr>
          <w:rFonts w:ascii="Palatino Linotype" w:hAnsi="Palatino Linotype" w:cs="Arial"/>
          <w:color w:val="000000" w:themeColor="text1"/>
          <w:sz w:val="24"/>
          <w:szCs w:val="24"/>
        </w:rPr>
        <w:t>la</w:t>
      </w:r>
      <w:r w:rsidRPr="00534F0F">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cédula profesional </w:t>
      </w:r>
      <w:r w:rsidRPr="00534F0F">
        <w:rPr>
          <w:rFonts w:ascii="Palatino Linotype" w:hAnsi="Palatino Linotype" w:cs="Arial"/>
          <w:b/>
          <w:color w:val="000000" w:themeColor="text1"/>
          <w:sz w:val="24"/>
          <w:szCs w:val="24"/>
        </w:rPr>
        <w:t>sin testar, eliminar o suprimir la f</w:t>
      </w:r>
      <w:r>
        <w:rPr>
          <w:rFonts w:ascii="Palatino Linotype" w:hAnsi="Palatino Linotype" w:cs="Arial"/>
          <w:b/>
          <w:color w:val="000000" w:themeColor="text1"/>
          <w:sz w:val="24"/>
          <w:szCs w:val="24"/>
        </w:rPr>
        <w:t>irma</w:t>
      </w:r>
      <w:r>
        <w:rPr>
          <w:rFonts w:ascii="Palatino Linotype" w:hAnsi="Palatino Linotype" w:cs="Arial"/>
          <w:color w:val="000000" w:themeColor="text1"/>
          <w:sz w:val="24"/>
          <w:szCs w:val="24"/>
        </w:rPr>
        <w:t xml:space="preserve">, ya que </w:t>
      </w:r>
      <w:r w:rsidRPr="00534F0F">
        <w:rPr>
          <w:rFonts w:ascii="Palatino Linotype" w:hAnsi="Palatino Linotype" w:cs="Arial"/>
          <w:color w:val="000000" w:themeColor="text1"/>
          <w:sz w:val="24"/>
          <w:szCs w:val="24"/>
        </w:rPr>
        <w:t xml:space="preserve">se trata de un documento </w:t>
      </w:r>
      <w:r>
        <w:rPr>
          <w:rFonts w:ascii="Palatino Linotype" w:hAnsi="Palatino Linotype" w:cs="Arial"/>
          <w:color w:val="000000" w:themeColor="text1"/>
          <w:sz w:val="24"/>
          <w:szCs w:val="24"/>
        </w:rPr>
        <w:t>que sirve para</w:t>
      </w:r>
      <w:r w:rsidRPr="00534F0F">
        <w:rPr>
          <w:rFonts w:ascii="Palatino Linotype" w:hAnsi="Palatino Linotype" w:cs="Arial"/>
          <w:color w:val="000000" w:themeColor="text1"/>
          <w:sz w:val="24"/>
          <w:szCs w:val="24"/>
        </w:rPr>
        <w:t xml:space="preserve"> acreditar la idoneidad o experiencia en el cargo público, porque los servidores públicos nos encontramos </w:t>
      </w:r>
      <w:r w:rsidRPr="00534F0F">
        <w:rPr>
          <w:rFonts w:ascii="Palatino Linotype" w:hAnsi="Palatino Linotype" w:cs="Arial"/>
          <w:color w:val="000000" w:themeColor="text1"/>
          <w:sz w:val="24"/>
          <w:szCs w:val="24"/>
        </w:rPr>
        <w:lastRenderedPageBreak/>
        <w:t>sujetos a un régimen de excepciones o de protección más limitado, restringido en razón de la naturaleza de la función pública en sí misma y del contenido de la propia información que se ha requerido y porque dicho documento se circunscribe directamente a la esfera de l</w:t>
      </w:r>
      <w:r>
        <w:rPr>
          <w:rFonts w:ascii="Palatino Linotype" w:hAnsi="Palatino Linotype" w:cs="Arial"/>
          <w:color w:val="000000" w:themeColor="text1"/>
          <w:sz w:val="24"/>
          <w:szCs w:val="24"/>
        </w:rPr>
        <w:t xml:space="preserve">as actividades públicas, en el caso concreto, en los actos de autoridad </w:t>
      </w:r>
      <w:r w:rsidRPr="00534F0F">
        <w:rPr>
          <w:rFonts w:ascii="Palatino Linotype" w:hAnsi="Palatino Linotype" w:cs="Arial"/>
          <w:color w:val="000000" w:themeColor="text1"/>
          <w:sz w:val="24"/>
          <w:szCs w:val="24"/>
        </w:rPr>
        <w:t>que realiza la persona</w:t>
      </w:r>
      <w:r>
        <w:rPr>
          <w:rFonts w:ascii="Palatino Linotype" w:hAnsi="Palatino Linotype" w:cs="Arial"/>
          <w:color w:val="000000" w:themeColor="text1"/>
          <w:sz w:val="24"/>
          <w:szCs w:val="24"/>
        </w:rPr>
        <w:t xml:space="preserve"> como servidor público,</w:t>
      </w:r>
      <w:r w:rsidRPr="00534F0F">
        <w:rPr>
          <w:rFonts w:ascii="Palatino Linotype" w:hAnsi="Palatino Linotype" w:cs="Arial"/>
          <w:color w:val="000000" w:themeColor="text1"/>
          <w:sz w:val="24"/>
          <w:szCs w:val="24"/>
        </w:rPr>
        <w:t xml:space="preserve"> y no en el terreno de su intimidad.</w:t>
      </w:r>
    </w:p>
    <w:p w:rsidR="00CC3BC2" w:rsidRDefault="00CC3BC2" w:rsidP="00270614">
      <w:pPr>
        <w:tabs>
          <w:tab w:val="left" w:pos="426"/>
        </w:tabs>
        <w:spacing w:after="0" w:line="360" w:lineRule="auto"/>
        <w:ind w:right="49"/>
        <w:jc w:val="both"/>
        <w:rPr>
          <w:rFonts w:ascii="Palatino Linotype" w:hAnsi="Palatino Linotype" w:cs="Arial"/>
          <w:sz w:val="24"/>
          <w:szCs w:val="24"/>
        </w:rPr>
      </w:pPr>
    </w:p>
    <w:p w:rsidR="00CC3BC2" w:rsidRDefault="00CC3BC2" w:rsidP="00270614">
      <w:pPr>
        <w:tabs>
          <w:tab w:val="left" w:pos="426"/>
        </w:tabs>
        <w:spacing w:after="0" w:line="360" w:lineRule="auto"/>
        <w:ind w:right="49"/>
        <w:jc w:val="both"/>
        <w:rPr>
          <w:rFonts w:ascii="Palatino Linotype" w:hAnsi="Palatino Linotype" w:cs="Arial"/>
          <w:sz w:val="24"/>
          <w:szCs w:val="24"/>
        </w:rPr>
      </w:pPr>
    </w:p>
    <w:p w:rsidR="003B7053" w:rsidRPr="004D6630" w:rsidRDefault="003B7053" w:rsidP="00270614">
      <w:pPr>
        <w:tabs>
          <w:tab w:val="left" w:pos="426"/>
        </w:tabs>
        <w:spacing w:after="0" w:line="360" w:lineRule="auto"/>
        <w:ind w:right="49"/>
        <w:jc w:val="both"/>
        <w:rPr>
          <w:rFonts w:ascii="Palatino Linotype" w:hAnsi="Palatino Linotype" w:cs="Arial"/>
          <w:sz w:val="24"/>
          <w:szCs w:val="24"/>
        </w:rPr>
      </w:pPr>
    </w:p>
    <w:p w:rsidR="00270614" w:rsidRPr="00534F0F" w:rsidRDefault="00270614" w:rsidP="00270614">
      <w:pPr>
        <w:pStyle w:val="Sinespaciado"/>
        <w:spacing w:line="360" w:lineRule="auto"/>
        <w:jc w:val="center"/>
        <w:rPr>
          <w:rFonts w:ascii="Palatino Linotype" w:hAnsi="Palatino Linotype"/>
          <w:b/>
          <w:sz w:val="18"/>
          <w:szCs w:val="24"/>
        </w:rPr>
      </w:pPr>
    </w:p>
    <w:p w:rsidR="00270614" w:rsidRPr="0001046D" w:rsidRDefault="00270614" w:rsidP="00270614">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270614" w:rsidRPr="0001046D" w:rsidRDefault="00270614" w:rsidP="00270614">
      <w:pPr>
        <w:spacing w:line="360" w:lineRule="auto"/>
        <w:jc w:val="center"/>
        <w:rPr>
          <w:rFonts w:ascii="Palatino Linotype" w:hAnsi="Palatino Linotype"/>
        </w:rPr>
      </w:pPr>
      <w:r w:rsidRPr="0001046D">
        <w:rPr>
          <w:rFonts w:ascii="Palatino Linotype" w:hAnsi="Palatino Linotype"/>
          <w:b/>
          <w:sz w:val="24"/>
          <w:szCs w:val="24"/>
        </w:rPr>
        <w:t>COMISIONADO</w:t>
      </w:r>
    </w:p>
    <w:p w:rsidR="00270614" w:rsidRDefault="00270614" w:rsidP="00270614">
      <w:pPr>
        <w:spacing w:line="360" w:lineRule="auto"/>
        <w:jc w:val="center"/>
        <w:rPr>
          <w:rFonts w:ascii="Palatino Linotype" w:hAnsi="Palatino Linotype"/>
          <w:b/>
          <w:sz w:val="24"/>
          <w:szCs w:val="24"/>
        </w:rPr>
      </w:pPr>
      <w:r>
        <w:rPr>
          <w:rFonts w:ascii="Palatino Linotype" w:hAnsi="Palatino Linotype"/>
          <w:b/>
          <w:sz w:val="24"/>
          <w:szCs w:val="24"/>
        </w:rPr>
        <w:t>(RÚBRICA)</w:t>
      </w:r>
    </w:p>
    <w:p w:rsidR="00270614" w:rsidRDefault="00270614" w:rsidP="00270614">
      <w:pPr>
        <w:spacing w:line="360" w:lineRule="auto"/>
        <w:rPr>
          <w:rFonts w:ascii="Palatino Linotype" w:hAnsi="Palatino Linotype"/>
          <w:b/>
          <w:sz w:val="24"/>
          <w:szCs w:val="24"/>
        </w:rPr>
      </w:pPr>
    </w:p>
    <w:p w:rsidR="00E91EC9" w:rsidRDefault="00E91EC9" w:rsidP="00270614">
      <w:pPr>
        <w:spacing w:line="360" w:lineRule="auto"/>
        <w:rPr>
          <w:rFonts w:ascii="Palatino Linotype" w:hAnsi="Palatino Linotype"/>
          <w:b/>
          <w:sz w:val="24"/>
          <w:szCs w:val="24"/>
        </w:rPr>
      </w:pPr>
    </w:p>
    <w:p w:rsidR="003B7053" w:rsidRDefault="003B7053" w:rsidP="00270614">
      <w:pPr>
        <w:spacing w:line="360" w:lineRule="auto"/>
        <w:rPr>
          <w:rFonts w:ascii="Palatino Linotype" w:hAnsi="Palatino Linotype"/>
          <w:b/>
          <w:sz w:val="24"/>
          <w:szCs w:val="24"/>
        </w:rPr>
      </w:pPr>
    </w:p>
    <w:p w:rsidR="003B7053" w:rsidRDefault="003B7053" w:rsidP="00270614">
      <w:pPr>
        <w:spacing w:line="360" w:lineRule="auto"/>
        <w:rPr>
          <w:rFonts w:ascii="Palatino Linotype" w:hAnsi="Palatino Linotype"/>
          <w:b/>
          <w:sz w:val="24"/>
          <w:szCs w:val="24"/>
        </w:rPr>
      </w:pPr>
    </w:p>
    <w:p w:rsidR="00575478" w:rsidRPr="0001046D" w:rsidRDefault="00534F0F" w:rsidP="00270614">
      <w:pPr>
        <w:spacing w:line="360" w:lineRule="auto"/>
        <w:rPr>
          <w:rFonts w:ascii="Palatino Linotype" w:hAnsi="Palatino Linotype"/>
          <w:b/>
          <w:sz w:val="24"/>
          <w:szCs w:val="24"/>
        </w:rPr>
      </w:pPr>
      <w:r>
        <w:rPr>
          <w:rFonts w:ascii="Palatino Linotype" w:hAnsi="Palatino Linotype"/>
          <w:b/>
          <w:sz w:val="24"/>
          <w:szCs w:val="24"/>
        </w:rPr>
        <w:t>J</w:t>
      </w:r>
      <w:r w:rsidR="00270614">
        <w:rPr>
          <w:rFonts w:ascii="Palatino Linotype" w:hAnsi="Palatino Linotype"/>
          <w:b/>
          <w:sz w:val="24"/>
          <w:szCs w:val="24"/>
        </w:rPr>
        <w:t>GLH/DAG.</w:t>
      </w:r>
    </w:p>
    <w:sectPr w:rsidR="00575478" w:rsidRPr="0001046D" w:rsidSect="00C06207">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13C" w:rsidRDefault="00A2613C" w:rsidP="00E706DA">
      <w:pPr>
        <w:spacing w:after="0" w:line="240" w:lineRule="auto"/>
      </w:pPr>
      <w:r>
        <w:separator/>
      </w:r>
    </w:p>
  </w:endnote>
  <w:endnote w:type="continuationSeparator" w:id="0">
    <w:p w:rsidR="00A2613C" w:rsidRDefault="00A2613C"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261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0759E">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0759E">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A261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261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13C" w:rsidRDefault="00A2613C" w:rsidP="00E706DA">
      <w:pPr>
        <w:spacing w:after="0" w:line="240" w:lineRule="auto"/>
      </w:pPr>
      <w:r>
        <w:separator/>
      </w:r>
    </w:p>
  </w:footnote>
  <w:footnote w:type="continuationSeparator" w:id="0">
    <w:p w:rsidR="00A2613C" w:rsidRDefault="00A2613C" w:rsidP="00E706DA">
      <w:pPr>
        <w:spacing w:after="0" w:line="240" w:lineRule="auto"/>
      </w:pPr>
      <w:r>
        <w:continuationSeparator/>
      </w:r>
    </w:p>
  </w:footnote>
  <w:footnote w:id="1">
    <w:p w:rsidR="002D473D" w:rsidRPr="00250C8B" w:rsidRDefault="002D473D" w:rsidP="002D473D">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SAGÜÉS, Néstor Pedro. </w:t>
      </w:r>
      <w:r w:rsidRPr="00250C8B">
        <w:rPr>
          <w:rFonts w:ascii="Palatino Linotype" w:hAnsi="Palatino Linotype" w:cs="Arial"/>
          <w:i/>
          <w:sz w:val="18"/>
        </w:rPr>
        <w:t>La interpretación judicial de la Constitución. De la Constitución nacional a la Constitución convencionalizada.</w:t>
      </w:r>
      <w:r w:rsidRPr="00250C8B">
        <w:rPr>
          <w:rFonts w:ascii="Palatino Linotype" w:hAnsi="Palatino Linotype" w:cs="Arial"/>
          <w:sz w:val="18"/>
        </w:rPr>
        <w:t xml:space="preserve"> México, Coed. Porrúa e Instituto Mexicano de Derecho Procesal Constitucional. 2013. Págs. 263 y 264.</w:t>
      </w:r>
    </w:p>
  </w:footnote>
  <w:footnote w:id="2">
    <w:p w:rsidR="003B7E81" w:rsidRPr="00250C8B" w:rsidRDefault="003B7E81" w:rsidP="003B7E81">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La versión en español de la resolución se obtiene de ALÁEZ CORRAL, Benito y ÁLVAREZ ÁLVAREZ, Leonardo. </w:t>
      </w:r>
      <w:r w:rsidRPr="00250C8B">
        <w:rPr>
          <w:rFonts w:ascii="Palatino Linotype" w:hAnsi="Palatino Linotype" w:cs="Arial"/>
          <w:i/>
          <w:sz w:val="18"/>
        </w:rPr>
        <w:t>Las decisiones básicas del Tribunal Constitucional Federal Alemán en las encrucijadas del cambio de milenio</w:t>
      </w:r>
      <w:r w:rsidRPr="00250C8B">
        <w:rPr>
          <w:rFonts w:ascii="Palatino Linotype" w:hAnsi="Palatino Linotype" w:cs="Arial"/>
          <w:sz w:val="18"/>
        </w:rPr>
        <w:t>. Madrid. Coed. Centro de Estudios Políticos y Constitucionales y Boletín Oficial Español. 2008. Págs. 179 y 180.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261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261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A2613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261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63168"/>
    <w:multiLevelType w:val="hybridMultilevel"/>
    <w:tmpl w:val="D0920D28"/>
    <w:lvl w:ilvl="0" w:tplc="378447FE">
      <w:start w:val="1"/>
      <w:numFmt w:val="lowerLetter"/>
      <w:lvlText w:val="%1)"/>
      <w:lvlJc w:val="left"/>
      <w:pPr>
        <w:ind w:left="502" w:hanging="360"/>
      </w:pPr>
      <w:rPr>
        <w:rFonts w:hint="default"/>
        <w:b w:val="0"/>
        <w:i/>
        <w:sz w:val="24"/>
        <w:szCs w:val="24"/>
      </w:rPr>
    </w:lvl>
    <w:lvl w:ilvl="1" w:tplc="080A0019">
      <w:start w:val="1"/>
      <w:numFmt w:val="lowerLetter"/>
      <w:lvlText w:val="%2."/>
      <w:lvlJc w:val="left"/>
      <w:pPr>
        <w:ind w:left="1440" w:hanging="360"/>
      </w:pPr>
    </w:lvl>
    <w:lvl w:ilvl="2" w:tplc="E3DAC860">
      <w:start w:val="1"/>
      <w:numFmt w:val="lowerLetter"/>
      <w:lvlText w:val="%3)"/>
      <w:lvlJc w:val="left"/>
      <w:pPr>
        <w:ind w:left="2670" w:hanging="6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9"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6B5A48"/>
    <w:multiLevelType w:val="hybridMultilevel"/>
    <w:tmpl w:val="404631D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7202FA"/>
    <w:multiLevelType w:val="hybridMultilevel"/>
    <w:tmpl w:val="DF8E0E40"/>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E3DAC860">
      <w:start w:val="1"/>
      <w:numFmt w:val="lowerLetter"/>
      <w:lvlText w:val="%3)"/>
      <w:lvlJc w:val="left"/>
      <w:pPr>
        <w:ind w:left="2670" w:hanging="6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273ADB"/>
    <w:multiLevelType w:val="hybridMultilevel"/>
    <w:tmpl w:val="93CC8FF4"/>
    <w:lvl w:ilvl="0" w:tplc="E4541E1C">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12"/>
  </w:num>
  <w:num w:numId="6">
    <w:abstractNumId w:val="14"/>
  </w:num>
  <w:num w:numId="7">
    <w:abstractNumId w:val="17"/>
  </w:num>
  <w:num w:numId="8">
    <w:abstractNumId w:val="15"/>
  </w:num>
  <w:num w:numId="9">
    <w:abstractNumId w:val="20"/>
  </w:num>
  <w:num w:numId="10">
    <w:abstractNumId w:val="1"/>
  </w:num>
  <w:num w:numId="11">
    <w:abstractNumId w:val="18"/>
  </w:num>
  <w:num w:numId="12">
    <w:abstractNumId w:val="9"/>
  </w:num>
  <w:num w:numId="13">
    <w:abstractNumId w:val="2"/>
  </w:num>
  <w:num w:numId="14">
    <w:abstractNumId w:val="8"/>
  </w:num>
  <w:num w:numId="15">
    <w:abstractNumId w:val="16"/>
  </w:num>
  <w:num w:numId="16">
    <w:abstractNumId w:val="7"/>
  </w:num>
  <w:num w:numId="17">
    <w:abstractNumId w:val="19"/>
  </w:num>
  <w:num w:numId="18">
    <w:abstractNumId w:val="6"/>
  </w:num>
  <w:num w:numId="19">
    <w:abstractNumId w:val="5"/>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1F2D"/>
    <w:rsid w:val="0000525F"/>
    <w:rsid w:val="0001046D"/>
    <w:rsid w:val="000154F1"/>
    <w:rsid w:val="00042ABC"/>
    <w:rsid w:val="00060AD6"/>
    <w:rsid w:val="00070F6A"/>
    <w:rsid w:val="00073F0D"/>
    <w:rsid w:val="000802F2"/>
    <w:rsid w:val="000951B4"/>
    <w:rsid w:val="000A77B5"/>
    <w:rsid w:val="000A7B66"/>
    <w:rsid w:val="000F6C81"/>
    <w:rsid w:val="000F6CBB"/>
    <w:rsid w:val="00105730"/>
    <w:rsid w:val="00122625"/>
    <w:rsid w:val="00132411"/>
    <w:rsid w:val="00182C6C"/>
    <w:rsid w:val="00194B6A"/>
    <w:rsid w:val="001B088A"/>
    <w:rsid w:val="001B45FC"/>
    <w:rsid w:val="001D3F34"/>
    <w:rsid w:val="001D63FD"/>
    <w:rsid w:val="001F692B"/>
    <w:rsid w:val="0020315F"/>
    <w:rsid w:val="002036ED"/>
    <w:rsid w:val="00222DD9"/>
    <w:rsid w:val="00225026"/>
    <w:rsid w:val="00254DF6"/>
    <w:rsid w:val="0025608F"/>
    <w:rsid w:val="00260D6C"/>
    <w:rsid w:val="002620E9"/>
    <w:rsid w:val="00270614"/>
    <w:rsid w:val="00281310"/>
    <w:rsid w:val="002C1F75"/>
    <w:rsid w:val="002D15F9"/>
    <w:rsid w:val="002D473D"/>
    <w:rsid w:val="002F4BA6"/>
    <w:rsid w:val="00302832"/>
    <w:rsid w:val="00303664"/>
    <w:rsid w:val="00340AFF"/>
    <w:rsid w:val="00346DBD"/>
    <w:rsid w:val="003500FC"/>
    <w:rsid w:val="00367E00"/>
    <w:rsid w:val="003705BB"/>
    <w:rsid w:val="003747A5"/>
    <w:rsid w:val="0037509B"/>
    <w:rsid w:val="00383512"/>
    <w:rsid w:val="003837C2"/>
    <w:rsid w:val="003A74F5"/>
    <w:rsid w:val="003B7053"/>
    <w:rsid w:val="003B7E81"/>
    <w:rsid w:val="003C5606"/>
    <w:rsid w:val="003D6600"/>
    <w:rsid w:val="003D7092"/>
    <w:rsid w:val="003D7B9E"/>
    <w:rsid w:val="00412952"/>
    <w:rsid w:val="00413496"/>
    <w:rsid w:val="004148A3"/>
    <w:rsid w:val="00424DE3"/>
    <w:rsid w:val="004421B3"/>
    <w:rsid w:val="00444048"/>
    <w:rsid w:val="00455FC8"/>
    <w:rsid w:val="0046491C"/>
    <w:rsid w:val="00480668"/>
    <w:rsid w:val="0048490F"/>
    <w:rsid w:val="0049456C"/>
    <w:rsid w:val="004A5486"/>
    <w:rsid w:val="004C0D39"/>
    <w:rsid w:val="004F5418"/>
    <w:rsid w:val="005009CB"/>
    <w:rsid w:val="005020DC"/>
    <w:rsid w:val="0050759E"/>
    <w:rsid w:val="005258C9"/>
    <w:rsid w:val="00532410"/>
    <w:rsid w:val="00534F0F"/>
    <w:rsid w:val="00563071"/>
    <w:rsid w:val="005715D7"/>
    <w:rsid w:val="00575478"/>
    <w:rsid w:val="005A3267"/>
    <w:rsid w:val="005A4C79"/>
    <w:rsid w:val="005B0177"/>
    <w:rsid w:val="005B680F"/>
    <w:rsid w:val="005C79C8"/>
    <w:rsid w:val="005F3760"/>
    <w:rsid w:val="00634736"/>
    <w:rsid w:val="00644249"/>
    <w:rsid w:val="00647EFF"/>
    <w:rsid w:val="00651380"/>
    <w:rsid w:val="00652F8C"/>
    <w:rsid w:val="00671C4B"/>
    <w:rsid w:val="006728FD"/>
    <w:rsid w:val="00673293"/>
    <w:rsid w:val="00675C07"/>
    <w:rsid w:val="006772F8"/>
    <w:rsid w:val="0069498B"/>
    <w:rsid w:val="006C1E90"/>
    <w:rsid w:val="006D5F6A"/>
    <w:rsid w:val="006E2606"/>
    <w:rsid w:val="006E4605"/>
    <w:rsid w:val="00717C0D"/>
    <w:rsid w:val="00720600"/>
    <w:rsid w:val="0072136B"/>
    <w:rsid w:val="00730A90"/>
    <w:rsid w:val="0076241F"/>
    <w:rsid w:val="00770016"/>
    <w:rsid w:val="007831E3"/>
    <w:rsid w:val="00790E37"/>
    <w:rsid w:val="007A552B"/>
    <w:rsid w:val="007A7FAD"/>
    <w:rsid w:val="007B2FBA"/>
    <w:rsid w:val="007E2CF8"/>
    <w:rsid w:val="007E417E"/>
    <w:rsid w:val="00806300"/>
    <w:rsid w:val="00814E97"/>
    <w:rsid w:val="00826FCB"/>
    <w:rsid w:val="008355BF"/>
    <w:rsid w:val="008361CA"/>
    <w:rsid w:val="00850252"/>
    <w:rsid w:val="00854C2E"/>
    <w:rsid w:val="00856FA1"/>
    <w:rsid w:val="00867235"/>
    <w:rsid w:val="008757A5"/>
    <w:rsid w:val="008822B3"/>
    <w:rsid w:val="00895A90"/>
    <w:rsid w:val="008B03B6"/>
    <w:rsid w:val="008C2FF2"/>
    <w:rsid w:val="008D4B3A"/>
    <w:rsid w:val="008E01AC"/>
    <w:rsid w:val="008E1DCC"/>
    <w:rsid w:val="008E4128"/>
    <w:rsid w:val="008F3E81"/>
    <w:rsid w:val="00900E75"/>
    <w:rsid w:val="00902248"/>
    <w:rsid w:val="009156AC"/>
    <w:rsid w:val="0091664D"/>
    <w:rsid w:val="00934A84"/>
    <w:rsid w:val="00937D7D"/>
    <w:rsid w:val="00941370"/>
    <w:rsid w:val="0094239C"/>
    <w:rsid w:val="009457EF"/>
    <w:rsid w:val="0095013C"/>
    <w:rsid w:val="009649F8"/>
    <w:rsid w:val="00981CCE"/>
    <w:rsid w:val="00983F08"/>
    <w:rsid w:val="00986FE4"/>
    <w:rsid w:val="00997A9C"/>
    <w:rsid w:val="009B4E7D"/>
    <w:rsid w:val="009C4EF6"/>
    <w:rsid w:val="00A2613C"/>
    <w:rsid w:val="00A47952"/>
    <w:rsid w:val="00A57BE6"/>
    <w:rsid w:val="00A63717"/>
    <w:rsid w:val="00A71441"/>
    <w:rsid w:val="00A76CB1"/>
    <w:rsid w:val="00AA49F3"/>
    <w:rsid w:val="00AB023D"/>
    <w:rsid w:val="00AB126B"/>
    <w:rsid w:val="00AC381E"/>
    <w:rsid w:val="00AC64C5"/>
    <w:rsid w:val="00AC7A54"/>
    <w:rsid w:val="00AE4797"/>
    <w:rsid w:val="00AE58DA"/>
    <w:rsid w:val="00AF73BC"/>
    <w:rsid w:val="00B02A47"/>
    <w:rsid w:val="00B120CA"/>
    <w:rsid w:val="00B1648F"/>
    <w:rsid w:val="00B25A37"/>
    <w:rsid w:val="00B62486"/>
    <w:rsid w:val="00B6406E"/>
    <w:rsid w:val="00BA5503"/>
    <w:rsid w:val="00BC7968"/>
    <w:rsid w:val="00BC7B0C"/>
    <w:rsid w:val="00BF3534"/>
    <w:rsid w:val="00C06207"/>
    <w:rsid w:val="00C070B3"/>
    <w:rsid w:val="00C330CF"/>
    <w:rsid w:val="00C364AB"/>
    <w:rsid w:val="00C76451"/>
    <w:rsid w:val="00CB1DE4"/>
    <w:rsid w:val="00CB7258"/>
    <w:rsid w:val="00CC3BC2"/>
    <w:rsid w:val="00CE0823"/>
    <w:rsid w:val="00CE4265"/>
    <w:rsid w:val="00CF5C13"/>
    <w:rsid w:val="00D23FE9"/>
    <w:rsid w:val="00D324E3"/>
    <w:rsid w:val="00D33AF9"/>
    <w:rsid w:val="00D363F7"/>
    <w:rsid w:val="00D37F5E"/>
    <w:rsid w:val="00D5714D"/>
    <w:rsid w:val="00D72985"/>
    <w:rsid w:val="00D740EF"/>
    <w:rsid w:val="00D7508B"/>
    <w:rsid w:val="00D95006"/>
    <w:rsid w:val="00DA6B18"/>
    <w:rsid w:val="00DB04F1"/>
    <w:rsid w:val="00DF6F7E"/>
    <w:rsid w:val="00E02E1E"/>
    <w:rsid w:val="00E114F4"/>
    <w:rsid w:val="00E30CD7"/>
    <w:rsid w:val="00E34F08"/>
    <w:rsid w:val="00E35329"/>
    <w:rsid w:val="00E361CB"/>
    <w:rsid w:val="00E6129E"/>
    <w:rsid w:val="00E61AB8"/>
    <w:rsid w:val="00E706DA"/>
    <w:rsid w:val="00E83E93"/>
    <w:rsid w:val="00E90EB5"/>
    <w:rsid w:val="00E91EC9"/>
    <w:rsid w:val="00E94FBF"/>
    <w:rsid w:val="00EA2C08"/>
    <w:rsid w:val="00ED288D"/>
    <w:rsid w:val="00ED57EE"/>
    <w:rsid w:val="00ED626B"/>
    <w:rsid w:val="00EF0C2D"/>
    <w:rsid w:val="00EF5D33"/>
    <w:rsid w:val="00F25783"/>
    <w:rsid w:val="00F352FD"/>
    <w:rsid w:val="00F45161"/>
    <w:rsid w:val="00F46E78"/>
    <w:rsid w:val="00F618FA"/>
    <w:rsid w:val="00F84F62"/>
    <w:rsid w:val="00F857BC"/>
    <w:rsid w:val="00F90F3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3D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3B22-02A5-480B-9DA0-AFEAE9A9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4155</Words>
  <Characters>22855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2019-06-10T23:53:00Z</cp:lastPrinted>
  <dcterms:created xsi:type="dcterms:W3CDTF">2019-07-09T16:39:00Z</dcterms:created>
  <dcterms:modified xsi:type="dcterms:W3CDTF">2019-07-09T16:39:00Z</dcterms:modified>
</cp:coreProperties>
</file>