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C105C7">
        <w:rPr>
          <w:rFonts w:ascii="Palatino Linotype" w:hAnsi="Palatino Linotype"/>
          <w:sz w:val="24"/>
          <w:szCs w:val="24"/>
          <w:lang w:eastAsia="es-MX"/>
        </w:rPr>
        <w:t>cinco de junio de dos mil diecinueve</w:t>
      </w:r>
      <w:r w:rsidRPr="00C35F18">
        <w:rPr>
          <w:rFonts w:ascii="Palatino Linotype" w:hAnsi="Palatino Linotype"/>
          <w:sz w:val="24"/>
          <w:szCs w:val="24"/>
          <w:lang w:eastAsia="es-MX"/>
        </w:rPr>
        <w:t>.</w:t>
      </w:r>
    </w:p>
    <w:p w:rsidR="007E2E80" w:rsidRPr="004A3433" w:rsidRDefault="007E2E80" w:rsidP="0014447C">
      <w:pPr>
        <w:pStyle w:val="Sinespaciado"/>
        <w:spacing w:line="360" w:lineRule="auto"/>
        <w:jc w:val="both"/>
        <w:rPr>
          <w:rFonts w:ascii="Palatino Linotype" w:hAnsi="Palatino Linotype"/>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E506E">
        <w:rPr>
          <w:rFonts w:ascii="Palatino Linotype" w:hAnsi="Palatino Linotype"/>
          <w:b/>
          <w:bCs/>
          <w:sz w:val="24"/>
          <w:szCs w:val="24"/>
          <w:lang w:eastAsia="es-MX"/>
        </w:rPr>
        <w:t>019</w:t>
      </w:r>
      <w:r w:rsidR="00C105C7">
        <w:rPr>
          <w:rFonts w:ascii="Palatino Linotype" w:hAnsi="Palatino Linotype"/>
          <w:b/>
          <w:bCs/>
          <w:sz w:val="24"/>
          <w:szCs w:val="24"/>
          <w:lang w:eastAsia="es-MX"/>
        </w:rPr>
        <w:t>15</w:t>
      </w:r>
      <w:r w:rsidR="008F0E31">
        <w:rPr>
          <w:rFonts w:ascii="Palatino Linotype" w:hAnsi="Palatino Linotype"/>
          <w:b/>
          <w:bCs/>
          <w:sz w:val="24"/>
          <w:szCs w:val="24"/>
          <w:lang w:eastAsia="es-MX"/>
        </w:rPr>
        <w:t>/INFOEM/IP/RR/2019</w:t>
      </w:r>
      <w:r w:rsidR="003C3124">
        <w:rPr>
          <w:rFonts w:ascii="Palatino Linotype" w:hAnsi="Palatino Linotype"/>
          <w:sz w:val="24"/>
          <w:szCs w:val="24"/>
        </w:rPr>
        <w:t>, interpuest</w:t>
      </w:r>
      <w:r w:rsidR="00893E0F">
        <w:rPr>
          <w:rFonts w:ascii="Palatino Linotype" w:hAnsi="Palatino Linotype"/>
          <w:sz w:val="24"/>
          <w:szCs w:val="24"/>
        </w:rPr>
        <w:t xml:space="preserve">o por </w:t>
      </w:r>
      <w:r w:rsidR="00BE506E">
        <w:rPr>
          <w:rFonts w:ascii="Palatino Linotype" w:hAnsi="Palatino Linotype"/>
          <w:b/>
          <w:sz w:val="24"/>
          <w:szCs w:val="24"/>
        </w:rPr>
        <w:t xml:space="preserve">                           </w:t>
      </w:r>
      <w:r w:rsidR="00DB5C15">
        <w:rPr>
          <w:rFonts w:ascii="Palatino Linotype" w:hAnsi="Palatino Linotype"/>
          <w:b/>
          <w:sz w:val="24"/>
          <w:szCs w:val="24"/>
        </w:rPr>
        <w:t xml:space="preserve">  </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C105C7">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6C2E42">
        <w:rPr>
          <w:rFonts w:ascii="Palatino Linotype" w:hAnsi="Palatino Linotype"/>
          <w:sz w:val="24"/>
          <w:szCs w:val="24"/>
        </w:rPr>
        <w:t>l</w:t>
      </w:r>
      <w:r w:rsidRPr="00216B8D">
        <w:rPr>
          <w:rFonts w:ascii="Palatino Linotype" w:hAnsi="Palatino Linotype"/>
          <w:sz w:val="24"/>
          <w:szCs w:val="24"/>
        </w:rPr>
        <w:t xml:space="preserve"> </w:t>
      </w:r>
      <w:r w:rsidR="00BE506E">
        <w:rPr>
          <w:rFonts w:ascii="Palatino Linotype" w:hAnsi="Palatino Linotype" w:cs="Arial"/>
          <w:b/>
          <w:sz w:val="24"/>
          <w:szCs w:val="24"/>
        </w:rPr>
        <w:t>Ayuntamiento de Morelos</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4A3433" w:rsidRDefault="00DD5971" w:rsidP="0014447C">
      <w:pPr>
        <w:pStyle w:val="Sinespaciado"/>
        <w:spacing w:line="360" w:lineRule="auto"/>
        <w:jc w:val="both"/>
        <w:rPr>
          <w:rFonts w:ascii="Palatino Linotype" w:hAnsi="Palatino Linotype"/>
          <w:b/>
          <w:sz w:val="1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BE506E">
        <w:rPr>
          <w:rFonts w:ascii="Palatino Linotype" w:hAnsi="Palatino Linotype"/>
          <w:sz w:val="24"/>
          <w:szCs w:val="24"/>
        </w:rPr>
        <w:t>veintiuno</w:t>
      </w:r>
      <w:r w:rsidR="00C105C7">
        <w:rPr>
          <w:rFonts w:ascii="Palatino Linotype" w:hAnsi="Palatino Linotype"/>
          <w:sz w:val="24"/>
          <w:szCs w:val="24"/>
        </w:rPr>
        <w:t xml:space="preserve"> de febrero de dos mil diecinueve,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8F0E31">
        <w:rPr>
          <w:rFonts w:ascii="Palatino Linotype" w:hAnsi="Palatino Linotype"/>
          <w:b/>
          <w:sz w:val="24"/>
          <w:szCs w:val="24"/>
        </w:rPr>
        <w:t xml:space="preserve"> 00013</w:t>
      </w:r>
      <w:r w:rsidR="00BE506E">
        <w:rPr>
          <w:rFonts w:ascii="Palatino Linotype" w:hAnsi="Palatino Linotype"/>
          <w:b/>
          <w:sz w:val="24"/>
          <w:szCs w:val="24"/>
        </w:rPr>
        <w:t>/MORELOS</w:t>
      </w:r>
      <w:r w:rsidR="00C105C7">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BE506E" w:rsidRPr="00BE506E">
        <w:rPr>
          <w:rFonts w:ascii="Palatino Linotype" w:eastAsia="Times New Roman" w:hAnsi="Palatino Linotype" w:cs="Times New Roman"/>
          <w:i/>
          <w:lang w:eastAsia="es-ES"/>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8C0E72">
        <w:rPr>
          <w:rFonts w:ascii="Palatino Linotype" w:eastAsia="Times New Roman" w:hAnsi="Palatino Linotype" w:cs="Times New Roman"/>
          <w:i/>
          <w:lang w:val="es-ES_tradnl" w:eastAsia="es-ES"/>
        </w:rPr>
        <w:t>” [Sic]</w:t>
      </w:r>
    </w:p>
    <w:p w:rsidR="00F31F81" w:rsidRDefault="00F31F81"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BE506E">
        <w:rPr>
          <w:rFonts w:ascii="Palatino Linotype" w:hAnsi="Palatino Linotype"/>
          <w:sz w:val="24"/>
        </w:rPr>
        <w:t>quince</w:t>
      </w:r>
      <w:r w:rsidR="00C105C7">
        <w:rPr>
          <w:rFonts w:ascii="Palatino Linotype" w:hAnsi="Palatino Linotype"/>
          <w:sz w:val="24"/>
        </w:rPr>
        <w:t xml:space="preserve"> de marzo de 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Pr="009C2D73" w:rsidRDefault="008C0E72" w:rsidP="0014447C">
      <w:pPr>
        <w:pStyle w:val="Sinespaciado"/>
        <w:spacing w:line="360" w:lineRule="auto"/>
        <w:jc w:val="both"/>
        <w:rPr>
          <w:rFonts w:ascii="Palatino Linotype" w:hAnsi="Palatino Linotype"/>
          <w:sz w:val="14"/>
        </w:rPr>
      </w:pPr>
    </w:p>
    <w:p w:rsidR="00C105C7" w:rsidRDefault="008C0E72" w:rsidP="00C105C7">
      <w:pPr>
        <w:pStyle w:val="Sinespaciado"/>
        <w:ind w:left="567" w:right="567"/>
        <w:jc w:val="both"/>
        <w:rPr>
          <w:rFonts w:ascii="Palatino Linotype" w:hAnsi="Palatino Linotype"/>
          <w:i/>
        </w:rPr>
      </w:pPr>
      <w:r>
        <w:rPr>
          <w:rFonts w:ascii="Palatino Linotype" w:hAnsi="Palatino Linotype"/>
          <w:sz w:val="24"/>
        </w:rPr>
        <w:t>“</w:t>
      </w:r>
      <w:r w:rsidR="00BE506E">
        <w:rPr>
          <w:rFonts w:ascii="Palatino Linotype" w:hAnsi="Palatino Linotype"/>
          <w:i/>
        </w:rPr>
        <w:t>información requerida</w:t>
      </w:r>
    </w:p>
    <w:p w:rsidR="00C105C7" w:rsidRPr="00C105C7" w:rsidRDefault="00C105C7" w:rsidP="00C105C7">
      <w:pPr>
        <w:pStyle w:val="Sinespaciado"/>
        <w:ind w:left="567" w:right="567"/>
        <w:jc w:val="both"/>
        <w:rPr>
          <w:rFonts w:ascii="Palatino Linotype" w:hAnsi="Palatino Linotype"/>
          <w:i/>
        </w:rPr>
      </w:pPr>
    </w:p>
    <w:p w:rsidR="00C105C7" w:rsidRPr="00C105C7" w:rsidRDefault="00C105C7" w:rsidP="00C105C7">
      <w:pPr>
        <w:pStyle w:val="Sinespaciado"/>
        <w:ind w:left="567" w:right="567"/>
        <w:jc w:val="both"/>
        <w:rPr>
          <w:rFonts w:ascii="Palatino Linotype" w:hAnsi="Palatino Linotype"/>
          <w:i/>
        </w:rPr>
      </w:pPr>
      <w:r w:rsidRPr="00C105C7">
        <w:rPr>
          <w:rFonts w:ascii="Palatino Linotype" w:hAnsi="Palatino Linotype"/>
          <w:i/>
        </w:rPr>
        <w:t>ATENTAMENTE</w:t>
      </w:r>
    </w:p>
    <w:p w:rsidR="008C0E72" w:rsidRPr="008C0E72" w:rsidRDefault="00BE506E" w:rsidP="00C105C7">
      <w:pPr>
        <w:pStyle w:val="Sinespaciado"/>
        <w:ind w:left="567" w:right="567"/>
        <w:jc w:val="both"/>
        <w:rPr>
          <w:rFonts w:ascii="Palatino Linotype" w:hAnsi="Palatino Linotype"/>
          <w:i/>
        </w:rPr>
      </w:pPr>
      <w:r>
        <w:rPr>
          <w:rFonts w:ascii="Palatino Linotype" w:hAnsi="Palatino Linotype"/>
          <w:i/>
        </w:rPr>
        <w:t>ING. FREDDY CASTILLO ROSALES</w:t>
      </w:r>
      <w:r w:rsidR="008C0E72" w:rsidRPr="008C0E72">
        <w:rPr>
          <w:rFonts w:ascii="Palatino Linotype" w:hAnsi="Palatino Linotype"/>
          <w:i/>
        </w:rPr>
        <w:t>” (Sic)</w:t>
      </w:r>
    </w:p>
    <w:p w:rsidR="008C0E72" w:rsidRPr="009C2D73" w:rsidRDefault="008C0E72" w:rsidP="0014447C">
      <w:pPr>
        <w:pStyle w:val="Sinespaciado"/>
        <w:spacing w:line="360" w:lineRule="auto"/>
        <w:jc w:val="both"/>
        <w:rPr>
          <w:rFonts w:ascii="Palatino Linotype" w:hAnsi="Palatino Linotype"/>
          <w:sz w:val="20"/>
        </w:rPr>
      </w:pPr>
    </w:p>
    <w:p w:rsidR="004A3433" w:rsidRDefault="00D04234"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 xml:space="preserve">A su respuesta anexó </w:t>
      </w:r>
      <w:r w:rsidR="003E12ED">
        <w:rPr>
          <w:rFonts w:ascii="Palatino Linotype" w:hAnsi="Palatino Linotype"/>
          <w:sz w:val="24"/>
          <w:szCs w:val="24"/>
        </w:rPr>
        <w:t xml:space="preserve">los </w:t>
      </w:r>
      <w:r w:rsidR="00D207DF">
        <w:rPr>
          <w:rFonts w:ascii="Palatino Linotype" w:hAnsi="Palatino Linotype"/>
          <w:sz w:val="24"/>
          <w:szCs w:val="24"/>
        </w:rPr>
        <w:t>archivo</w:t>
      </w:r>
      <w:r w:rsidR="003E12ED">
        <w:rPr>
          <w:rFonts w:ascii="Palatino Linotype" w:hAnsi="Palatino Linotype"/>
          <w:sz w:val="24"/>
          <w:szCs w:val="24"/>
        </w:rPr>
        <w:t>s d</w:t>
      </w:r>
      <w:r w:rsidR="00D207DF">
        <w:rPr>
          <w:rFonts w:ascii="Palatino Linotype" w:hAnsi="Palatino Linotype"/>
          <w:sz w:val="24"/>
          <w:szCs w:val="24"/>
        </w:rPr>
        <w:t>enominado</w:t>
      </w:r>
      <w:r w:rsidR="003E12ED">
        <w:rPr>
          <w:rFonts w:ascii="Palatino Linotype" w:hAnsi="Palatino Linotype"/>
          <w:sz w:val="24"/>
          <w:szCs w:val="24"/>
        </w:rPr>
        <w:t>s</w:t>
      </w:r>
      <w:r w:rsidR="00D207DF">
        <w:rPr>
          <w:rFonts w:ascii="Palatino Linotype" w:hAnsi="Palatino Linotype"/>
          <w:sz w:val="24"/>
          <w:szCs w:val="24"/>
        </w:rPr>
        <w:t xml:space="preserve"> </w:t>
      </w:r>
      <w:r w:rsidR="00D207DF" w:rsidRPr="00D207DF">
        <w:rPr>
          <w:rFonts w:ascii="Palatino Linotype" w:hAnsi="Palatino Linotype"/>
          <w:b/>
          <w:sz w:val="24"/>
          <w:szCs w:val="24"/>
        </w:rPr>
        <w:t>“</w:t>
      </w:r>
      <w:r w:rsidR="00DF3282">
        <w:rPr>
          <w:rFonts w:ascii="Palatino Linotype" w:hAnsi="Palatino Linotype"/>
          <w:b/>
          <w:sz w:val="24"/>
          <w:szCs w:val="24"/>
        </w:rPr>
        <w:t>00013-morelos-ip-2019.1</w:t>
      </w:r>
      <w:r w:rsidR="0090189E" w:rsidRPr="0090189E">
        <w:rPr>
          <w:rFonts w:ascii="Palatino Linotype" w:hAnsi="Palatino Linotype"/>
          <w:b/>
          <w:sz w:val="24"/>
          <w:szCs w:val="24"/>
        </w:rPr>
        <w:t>.PDF</w:t>
      </w:r>
      <w:r w:rsidR="00D207DF" w:rsidRPr="00D207DF">
        <w:rPr>
          <w:rFonts w:ascii="Palatino Linotype" w:hAnsi="Palatino Linotype"/>
          <w:b/>
          <w:sz w:val="24"/>
          <w:szCs w:val="24"/>
        </w:rPr>
        <w:t>”</w:t>
      </w:r>
      <w:r w:rsidR="00BE506E">
        <w:rPr>
          <w:rFonts w:ascii="Palatino Linotype" w:hAnsi="Palatino Linotype"/>
          <w:b/>
          <w:sz w:val="24"/>
          <w:szCs w:val="24"/>
        </w:rPr>
        <w:t xml:space="preserve"> y “00013-morelos-ip-2019.2.PDF</w:t>
      </w:r>
      <w:r w:rsidR="0090189E">
        <w:rPr>
          <w:rFonts w:ascii="Palatino Linotype" w:hAnsi="Palatino Linotype"/>
          <w:b/>
          <w:sz w:val="24"/>
          <w:szCs w:val="24"/>
        </w:rPr>
        <w:t>”</w:t>
      </w:r>
      <w:r w:rsidR="00D207DF">
        <w:rPr>
          <w:rFonts w:ascii="Palatino Linotype" w:hAnsi="Palatino Linotype"/>
          <w:sz w:val="24"/>
          <w:szCs w:val="24"/>
        </w:rPr>
        <w:t xml:space="preserve">, </w:t>
      </w:r>
      <w:r w:rsidR="003E12ED">
        <w:rPr>
          <w:rFonts w:ascii="Palatino Linotype" w:hAnsi="Palatino Linotype"/>
          <w:sz w:val="24"/>
          <w:szCs w:val="24"/>
        </w:rPr>
        <w:t>cuyo contenido no se reproduce por ser del conocimiento de las partes, sin embargo se hará mérito de</w:t>
      </w:r>
      <w:r w:rsidR="0090189E">
        <w:rPr>
          <w:rFonts w:ascii="Palatino Linotype" w:hAnsi="Palatino Linotype"/>
          <w:sz w:val="24"/>
          <w:szCs w:val="24"/>
        </w:rPr>
        <w:t xml:space="preserve"> </w:t>
      </w:r>
      <w:r w:rsidR="00E71020">
        <w:rPr>
          <w:rFonts w:ascii="Palatino Linotype" w:hAnsi="Palatino Linotype"/>
          <w:sz w:val="24"/>
          <w:szCs w:val="24"/>
        </w:rPr>
        <w:t>l</w:t>
      </w:r>
      <w:r w:rsidR="0090189E">
        <w:rPr>
          <w:rFonts w:ascii="Palatino Linotype" w:hAnsi="Palatino Linotype"/>
          <w:sz w:val="24"/>
          <w:szCs w:val="24"/>
        </w:rPr>
        <w:t>os</w:t>
      </w:r>
      <w:r w:rsidR="00E71020">
        <w:rPr>
          <w:rFonts w:ascii="Palatino Linotype" w:hAnsi="Palatino Linotype"/>
          <w:sz w:val="24"/>
          <w:szCs w:val="24"/>
        </w:rPr>
        <w:t xml:space="preserve"> mismo</w:t>
      </w:r>
      <w:r w:rsidR="0090189E">
        <w:rPr>
          <w:rFonts w:ascii="Palatino Linotype" w:hAnsi="Palatino Linotype"/>
          <w:sz w:val="24"/>
          <w:szCs w:val="24"/>
        </w:rPr>
        <w:t>s</w:t>
      </w:r>
      <w:r w:rsidR="003E12ED">
        <w:rPr>
          <w:rFonts w:ascii="Palatino Linotype" w:hAnsi="Palatino Linotype"/>
          <w:sz w:val="24"/>
          <w:szCs w:val="24"/>
        </w:rPr>
        <w:t xml:space="preserve"> durante </w:t>
      </w:r>
      <w:r w:rsidR="007D0387">
        <w:rPr>
          <w:rFonts w:ascii="Palatino Linotype" w:hAnsi="Palatino Linotype"/>
          <w:sz w:val="24"/>
          <w:szCs w:val="24"/>
        </w:rPr>
        <w:t>el estudio del presente recurso.</w:t>
      </w:r>
    </w:p>
    <w:p w:rsidR="00F31F81" w:rsidRDefault="00F31F81" w:rsidP="0014447C">
      <w:pPr>
        <w:pStyle w:val="Sinespaciado"/>
        <w:spacing w:line="360" w:lineRule="auto"/>
        <w:jc w:val="both"/>
        <w:rPr>
          <w:rFonts w:ascii="Palatino Linotype" w:hAnsi="Palatino Linotype"/>
          <w:sz w:val="24"/>
          <w:szCs w:val="24"/>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21213">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E71020">
        <w:rPr>
          <w:rFonts w:ascii="Palatino Linotype" w:hAnsi="Palatino Linotype"/>
          <w:sz w:val="24"/>
          <w:szCs w:val="24"/>
        </w:rPr>
        <w:t>diecinueve de marzo de dos mil diecinueve</w:t>
      </w:r>
      <w:r w:rsidRPr="00D04234">
        <w:rPr>
          <w:rFonts w:ascii="Palatino Linotype" w:hAnsi="Palatino Linotype"/>
          <w:sz w:val="24"/>
          <w:szCs w:val="24"/>
        </w:rPr>
        <w:t xml:space="preserve">, en el sistema electrónico con el expediente número </w:t>
      </w:r>
      <w:r w:rsidR="008F0E31">
        <w:rPr>
          <w:rFonts w:ascii="Palatino Linotype" w:hAnsi="Palatino Linotype"/>
          <w:b/>
          <w:bCs/>
          <w:sz w:val="24"/>
          <w:szCs w:val="24"/>
          <w:lang w:eastAsia="es-MX"/>
        </w:rPr>
        <w:t>019</w:t>
      </w:r>
      <w:bookmarkStart w:id="0" w:name="_GoBack"/>
      <w:bookmarkEnd w:id="0"/>
      <w:r w:rsidR="00E71020">
        <w:rPr>
          <w:rFonts w:ascii="Palatino Linotype" w:hAnsi="Palatino Linotype"/>
          <w:b/>
          <w:bCs/>
          <w:sz w:val="24"/>
          <w:szCs w:val="24"/>
          <w:lang w:eastAsia="es-MX"/>
        </w:rPr>
        <w:t>15/INFOEM/IP/RR/2019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90189E" w:rsidRPr="0090189E">
        <w:rPr>
          <w:rFonts w:ascii="Palatino Linotype" w:hAnsi="Palatino Linotype" w:cs="Arial"/>
          <w:i/>
        </w:rPr>
        <w:t>No se me entrego la información Solicitada</w:t>
      </w:r>
      <w:r w:rsidR="00BA011E" w:rsidRPr="00BA011E">
        <w:rPr>
          <w:rFonts w:ascii="Palatino Linotype" w:hAnsi="Palatino Linotype" w:cs="Arial"/>
          <w:i/>
        </w:rPr>
        <w:t>.</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90189E" w:rsidRPr="0090189E">
        <w:rPr>
          <w:rFonts w:ascii="Palatino Linotype" w:hAnsi="Palatino Linotype" w:cs="Arial"/>
          <w:i/>
        </w:rPr>
        <w:t xml:space="preserve">Artículo 15. Toda persona tiene derecho de acceso a la información, sin discriminación, por motivo alguno, que menoscabe o anule la transparencia o acceso a la información pública en posesión de los sujetos obligados. Artículo 16. El ejercicio </w:t>
      </w:r>
      <w:r w:rsidR="0090189E" w:rsidRPr="0090189E">
        <w:rPr>
          <w:rFonts w:ascii="Palatino Linotype" w:hAnsi="Palatino Linotype" w:cs="Arial"/>
          <w:i/>
        </w:rPr>
        <w:lastRenderedPageBreak/>
        <w:t>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90189E">
        <w:rPr>
          <w:rFonts w:ascii="Palatino Linotype" w:hAnsi="Palatino Linotype"/>
          <w:sz w:val="24"/>
          <w:szCs w:val="24"/>
        </w:rPr>
        <w:t>veintisiete</w:t>
      </w:r>
      <w:r w:rsidR="00BA011E">
        <w:rPr>
          <w:rFonts w:ascii="Palatino Linotype" w:hAnsi="Palatino Linotype"/>
          <w:sz w:val="24"/>
          <w:szCs w:val="24"/>
        </w:rPr>
        <w:t xml:space="preserve"> de marzo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BA011E" w:rsidRPr="0014447C" w:rsidRDefault="00BA011E" w:rsidP="00BA011E">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BA011E" w:rsidRDefault="00BA011E" w:rsidP="00BA011E">
      <w:pPr>
        <w:pStyle w:val="Sinespaciado"/>
        <w:spacing w:line="360" w:lineRule="auto"/>
        <w:jc w:val="both"/>
        <w:rPr>
          <w:rFonts w:ascii="Palatino Linotype" w:hAnsi="Palatino Linotype"/>
          <w:sz w:val="24"/>
          <w:szCs w:val="24"/>
        </w:rPr>
      </w:pPr>
      <w:r w:rsidRPr="00BA011E">
        <w:rPr>
          <w:rFonts w:ascii="Palatino Linotype" w:hAnsi="Palatino Linotype"/>
          <w:sz w:val="24"/>
          <w:szCs w:val="24"/>
        </w:rPr>
        <w:t xml:space="preserve">Así, una vez abierta la etapa de instrucción, se destaca que el Recurrente no presentó sus manifestaciones y alegatos. Asimismo, el Sujeto Obligado omitió rendir su Informe Justificado como se observa en la siguiente imagen: </w:t>
      </w:r>
    </w:p>
    <w:p w:rsidR="00BA011E" w:rsidRDefault="0090189E" w:rsidP="0090189E">
      <w:pPr>
        <w:pStyle w:val="Sinespaciado"/>
        <w:spacing w:line="360" w:lineRule="auto"/>
        <w:jc w:val="both"/>
        <w:rPr>
          <w:rFonts w:ascii="Palatino Linotype" w:hAnsi="Palatino Linotype"/>
          <w:sz w:val="24"/>
          <w:szCs w:val="24"/>
        </w:rPr>
      </w:pPr>
      <w:r>
        <w:rPr>
          <w:noProof/>
          <w:lang w:eastAsia="es-MX"/>
        </w:rPr>
        <w:drawing>
          <wp:inline distT="0" distB="0" distL="0" distR="0" wp14:anchorId="132BDAC7" wp14:editId="355A2379">
            <wp:extent cx="5704269" cy="178117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935" t="18519" r="29233" b="58259"/>
                    <a:stretch/>
                  </pic:blipFill>
                  <pic:spPr bwMode="auto">
                    <a:xfrm>
                      <a:off x="0" y="0"/>
                      <a:ext cx="5727759" cy="1788510"/>
                    </a:xfrm>
                    <a:prstGeom prst="rect">
                      <a:avLst/>
                    </a:prstGeom>
                    <a:ln>
                      <a:noFill/>
                    </a:ln>
                    <a:extLst>
                      <a:ext uri="{53640926-AAD7-44D8-BBD7-CCE9431645EC}">
                        <a14:shadowObscured xmlns:a14="http://schemas.microsoft.com/office/drawing/2010/main"/>
                      </a:ext>
                    </a:extLst>
                  </pic:spPr>
                </pic:pic>
              </a:graphicData>
            </a:graphic>
          </wp:inline>
        </w:drawing>
      </w:r>
    </w:p>
    <w:p w:rsidR="00BA011E" w:rsidRPr="00BA011E" w:rsidRDefault="00BA011E" w:rsidP="00BA011E">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5601F0"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90189E">
        <w:rPr>
          <w:rFonts w:ascii="Palatino Linotype" w:hAnsi="Palatino Linotype"/>
          <w:sz w:val="24"/>
          <w:szCs w:val="24"/>
        </w:rPr>
        <w:t>nueve</w:t>
      </w:r>
      <w:r w:rsidR="00BA011E">
        <w:rPr>
          <w:rFonts w:ascii="Palatino Linotype" w:hAnsi="Palatino Linotype"/>
          <w:sz w:val="24"/>
          <w:szCs w:val="24"/>
        </w:rPr>
        <w:t xml:space="preserve"> de abril de dos mil diecinueve</w:t>
      </w:r>
      <w:r w:rsidRPr="005601F0">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A422CD" w:rsidRPr="005601F0" w:rsidRDefault="00A422CD" w:rsidP="0014447C">
      <w:pPr>
        <w:pStyle w:val="Sinespaciado"/>
        <w:spacing w:line="360" w:lineRule="auto"/>
        <w:jc w:val="both"/>
        <w:rPr>
          <w:rFonts w:ascii="Palatino Linotype" w:hAnsi="Palatino Linotype"/>
          <w:sz w:val="24"/>
          <w:szCs w:val="24"/>
        </w:rPr>
      </w:pPr>
    </w:p>
    <w:p w:rsidR="00A422CD" w:rsidRPr="001D3382" w:rsidRDefault="001D3382" w:rsidP="00A422CD">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w:t>
      </w:r>
      <w:r w:rsidR="00A422CD" w:rsidRPr="001D3382">
        <w:rPr>
          <w:rFonts w:ascii="Palatino Linotype" w:hAnsi="Palatino Linotype" w:cs="Arial"/>
          <w:b/>
          <w:sz w:val="26"/>
          <w:szCs w:val="26"/>
        </w:rPr>
        <w:t>. De la ampliación del término para resolver.</w:t>
      </w:r>
    </w:p>
    <w:p w:rsidR="00A422CD" w:rsidRPr="001D3382" w:rsidRDefault="001D3382" w:rsidP="00A422CD">
      <w:pPr>
        <w:pStyle w:val="Sinespaciado"/>
        <w:spacing w:line="360" w:lineRule="auto"/>
        <w:jc w:val="both"/>
        <w:rPr>
          <w:rFonts w:ascii="Palatino Linotype" w:hAnsi="Palatino Linotype" w:cs="Arial"/>
          <w:sz w:val="24"/>
          <w:szCs w:val="24"/>
        </w:rPr>
      </w:pPr>
      <w:r w:rsidRPr="001D3382">
        <w:rPr>
          <w:rFonts w:ascii="Palatino Linotype" w:hAnsi="Palatino Linotype" w:cs="Arial"/>
          <w:sz w:val="24"/>
          <w:szCs w:val="24"/>
        </w:rPr>
        <w:t xml:space="preserve">En fecha </w:t>
      </w:r>
      <w:r w:rsidR="0090189E">
        <w:rPr>
          <w:rFonts w:ascii="Palatino Linotype" w:hAnsi="Palatino Linotype" w:cs="Arial"/>
          <w:sz w:val="24"/>
          <w:szCs w:val="24"/>
        </w:rPr>
        <w:t>veinte</w:t>
      </w:r>
      <w:r w:rsidR="00BA011E">
        <w:rPr>
          <w:rFonts w:ascii="Palatino Linotype" w:hAnsi="Palatino Linotype" w:cs="Arial"/>
          <w:sz w:val="24"/>
          <w:szCs w:val="24"/>
        </w:rPr>
        <w:t xml:space="preserve"> de mayo de dos mil diecinueve</w:t>
      </w:r>
      <w:r w:rsidR="00A422CD" w:rsidRPr="001D3382">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5601F0" w:rsidRPr="001D3382" w:rsidRDefault="005601F0" w:rsidP="00A422CD">
      <w:pPr>
        <w:pStyle w:val="Sinespaciado"/>
        <w:spacing w:line="360" w:lineRule="auto"/>
        <w:jc w:val="both"/>
        <w:rPr>
          <w:rFonts w:ascii="Palatino Linotype" w:hAnsi="Palatino Linotype" w:cs="Arial"/>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 xml:space="preserve">C O N S I D E R A N D </w:t>
      </w:r>
      <w:r w:rsidR="00F94CDE">
        <w:rPr>
          <w:rFonts w:ascii="Palatino Linotype" w:hAnsi="Palatino Linotype"/>
          <w:b/>
          <w:sz w:val="28"/>
          <w:szCs w:val="28"/>
        </w:rPr>
        <w:t>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w:t>
      </w:r>
      <w:r w:rsidRPr="0014447C">
        <w:rPr>
          <w:rFonts w:ascii="Palatino Linotype" w:hAnsi="Palatino Linotype"/>
          <w:sz w:val="24"/>
          <w:szCs w:val="24"/>
        </w:rPr>
        <w:lastRenderedPageBreak/>
        <w:t>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A16AD7" w:rsidRPr="00EE32A5" w:rsidRDefault="00A16AD7" w:rsidP="00A16AD7">
      <w:pPr>
        <w:pStyle w:val="Sinespaciado"/>
        <w:spacing w:line="360" w:lineRule="auto"/>
        <w:jc w:val="both"/>
        <w:rPr>
          <w:rFonts w:ascii="Palatino Linotype" w:hAnsi="Palatino Linotype"/>
          <w:b/>
          <w:sz w:val="26"/>
          <w:szCs w:val="26"/>
        </w:rPr>
      </w:pPr>
      <w:r w:rsidRPr="004C4003">
        <w:rPr>
          <w:rFonts w:ascii="Palatino Linotype" w:hAnsi="Palatino Linotype"/>
          <w:b/>
          <w:sz w:val="26"/>
          <w:szCs w:val="26"/>
        </w:rPr>
        <w:t xml:space="preserve">TERCERO. </w:t>
      </w:r>
      <w:r w:rsidRPr="00EE32A5">
        <w:rPr>
          <w:rFonts w:ascii="Palatino Linotype" w:hAnsi="Palatino Linotype"/>
          <w:b/>
          <w:sz w:val="26"/>
          <w:szCs w:val="26"/>
        </w:rPr>
        <w:t>Cuestiones de previo y especial pronunciamiento.</w:t>
      </w:r>
    </w:p>
    <w:p w:rsidR="00A16AD7" w:rsidRPr="00EE32A5" w:rsidRDefault="00A16AD7" w:rsidP="00A16AD7">
      <w:pPr>
        <w:spacing w:after="0" w:line="360" w:lineRule="auto"/>
        <w:jc w:val="both"/>
        <w:rPr>
          <w:rFonts w:ascii="Palatino Linotype" w:eastAsia="Times New Roman" w:hAnsi="Palatino Linotype" w:cs="Times New Roman"/>
          <w:sz w:val="24"/>
          <w:szCs w:val="24"/>
          <w:lang w:eastAsia="es-ES"/>
        </w:rPr>
      </w:pPr>
      <w:r w:rsidRPr="00EE32A5">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EE32A5">
        <w:rPr>
          <w:rFonts w:ascii="Palatino Linotype" w:eastAsia="Times New Roman" w:hAnsi="Palatino Linotype" w:cs="Times New Roman"/>
          <w:sz w:val="24"/>
          <w:szCs w:val="24"/>
          <w:lang w:val="es-ES_tradnl" w:eastAsia="es-ES"/>
        </w:rPr>
        <w:t>Acceso a la Información Pública del Estado de México y Municipios</w:t>
      </w:r>
      <w:r w:rsidRPr="00EE32A5">
        <w:rPr>
          <w:rFonts w:ascii="Palatino Linotype" w:eastAsia="Times New Roman" w:hAnsi="Palatino Linotype" w:cs="Times New Roman"/>
          <w:sz w:val="24"/>
          <w:szCs w:val="24"/>
          <w:lang w:eastAsia="es-ES"/>
        </w:rPr>
        <w:t>, establecidos en el artículo 180 que enuncia:</w:t>
      </w:r>
    </w:p>
    <w:p w:rsidR="00A16AD7" w:rsidRPr="00EE32A5" w:rsidRDefault="00A16AD7" w:rsidP="00A16AD7">
      <w:pPr>
        <w:spacing w:after="0" w:line="360" w:lineRule="auto"/>
        <w:jc w:val="both"/>
        <w:rPr>
          <w:rFonts w:ascii="Palatino Linotype" w:eastAsia="Times New Roman" w:hAnsi="Palatino Linotype" w:cs="Times New Roman"/>
          <w:sz w:val="24"/>
          <w:szCs w:val="24"/>
          <w:lang w:eastAsia="es-ES"/>
        </w:rPr>
      </w:pP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 xml:space="preserve">“Artículo 180. </w:t>
      </w:r>
      <w:r w:rsidRPr="00EE32A5">
        <w:rPr>
          <w:rFonts w:ascii="Palatino Linotype" w:eastAsia="Times New Roman" w:hAnsi="Palatino Linotype" w:cs="Arial"/>
          <w:i/>
          <w:lang w:eastAsia="es-ES"/>
        </w:rPr>
        <w:t>El recurso de revisión contendrá:</w:t>
      </w: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 El sujeto obligado ante la cual se presentó la solicitud;</w:t>
      </w: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II. El nombre del solicitante que recurre</w:t>
      </w:r>
      <w:r w:rsidRPr="00EE32A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III. El número de folio de respuesta de la solicitud de acceso;</w:t>
      </w: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 El acto que se recurre;</w:t>
      </w: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 Las razones o motivos de inconformidad;</w:t>
      </w: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VIII. Firma del recurrente, en su caso, cuando se presente por escrito, requisito sin el cual se dará trámite al recurso.</w:t>
      </w: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Adicionalmente, se podrán anexar las pruebas y demás elementos que considere procedentes someter a juicio del Instituto.</w:t>
      </w: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En ningún caso será necesario que el particular ratifique el recurso de revisión interpuesto.</w:t>
      </w:r>
    </w:p>
    <w:p w:rsidR="00A16AD7" w:rsidRPr="00EE32A5" w:rsidRDefault="00A16AD7" w:rsidP="00A16AD7">
      <w:pPr>
        <w:spacing w:after="0" w:line="240" w:lineRule="auto"/>
        <w:ind w:left="567" w:right="567"/>
        <w:jc w:val="both"/>
        <w:rPr>
          <w:rFonts w:ascii="Palatino Linotype" w:eastAsia="Times New Roman" w:hAnsi="Palatino Linotype" w:cs="Arial"/>
          <w:i/>
          <w:lang w:eastAsia="es-ES"/>
        </w:rPr>
      </w:pPr>
    </w:p>
    <w:p w:rsidR="00A16AD7" w:rsidRPr="00EE32A5" w:rsidRDefault="00A16AD7" w:rsidP="00A16AD7">
      <w:pPr>
        <w:spacing w:after="0" w:line="240" w:lineRule="auto"/>
        <w:ind w:left="567" w:right="567"/>
        <w:jc w:val="both"/>
        <w:rPr>
          <w:rFonts w:ascii="Palatino Linotype" w:eastAsia="Times New Roman" w:hAnsi="Palatino Linotype" w:cs="Arial"/>
          <w:i/>
          <w:sz w:val="24"/>
          <w:szCs w:val="24"/>
          <w:lang w:eastAsia="es-ES"/>
        </w:rPr>
      </w:pPr>
      <w:r w:rsidRPr="00EE32A5">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EE32A5">
        <w:rPr>
          <w:rFonts w:ascii="Palatino Linotype" w:eastAsia="Times New Roman" w:hAnsi="Palatino Linotype" w:cs="Arial"/>
          <w:i/>
          <w:lang w:eastAsia="es-ES"/>
        </w:rPr>
        <w:t>, IV, VII y VIII.”</w:t>
      </w:r>
    </w:p>
    <w:p w:rsidR="00A16AD7" w:rsidRPr="00EE32A5" w:rsidRDefault="00A16AD7" w:rsidP="00A16AD7">
      <w:pPr>
        <w:spacing w:after="0" w:line="360" w:lineRule="auto"/>
        <w:jc w:val="both"/>
        <w:rPr>
          <w:rFonts w:ascii="Palatino Linotype" w:eastAsia="Times New Roman" w:hAnsi="Palatino Linotype" w:cs="Arial"/>
          <w:b/>
          <w:i/>
          <w:sz w:val="24"/>
          <w:szCs w:val="24"/>
          <w:lang w:eastAsia="es-ES"/>
        </w:rPr>
      </w:pPr>
    </w:p>
    <w:p w:rsidR="00A16AD7" w:rsidRPr="00EE32A5" w:rsidRDefault="00A16AD7" w:rsidP="00A16AD7">
      <w:pPr>
        <w:spacing w:after="0" w:line="360" w:lineRule="auto"/>
        <w:jc w:val="both"/>
        <w:rPr>
          <w:rFonts w:ascii="Palatino Linotype" w:eastAsia="Calibri" w:hAnsi="Palatino Linotype" w:cs="Arial"/>
          <w:sz w:val="24"/>
          <w:szCs w:val="24"/>
          <w:lang w:val="es-ES" w:eastAsia="es-ES"/>
        </w:rPr>
      </w:pPr>
      <w:r w:rsidRPr="00EE32A5">
        <w:rPr>
          <w:rFonts w:ascii="Palatino Linotype" w:eastAsia="Calibri" w:hAnsi="Palatino Linotype" w:cs="Segoe UI"/>
          <w:sz w:val="24"/>
          <w:szCs w:val="24"/>
          <w:lang w:val="es-ES" w:eastAsia="es-ES"/>
        </w:rPr>
        <w:t>Cabe señalar que e</w:t>
      </w:r>
      <w:r w:rsidR="0090189E">
        <w:rPr>
          <w:rFonts w:ascii="Palatino Linotype" w:eastAsia="Calibri" w:hAnsi="Palatino Linotype" w:cs="Segoe UI"/>
          <w:sz w:val="24"/>
          <w:szCs w:val="24"/>
          <w:lang w:val="es-ES" w:eastAsia="es-ES"/>
        </w:rPr>
        <w:t>l Recurrente no se identificó de ninguna manera</w:t>
      </w:r>
      <w:r w:rsidR="00B97BEB">
        <w:rPr>
          <w:rFonts w:ascii="Palatino Linotype" w:eastAsia="Calibri" w:hAnsi="Palatino Linotype" w:cs="Segoe UI"/>
          <w:sz w:val="24"/>
          <w:szCs w:val="24"/>
          <w:lang w:val="es-ES" w:eastAsia="es-ES"/>
        </w:rPr>
        <w:t>, dejando en blanco los espacios destinados al nombre y apellidos</w:t>
      </w:r>
      <w:r w:rsidRPr="00EE32A5">
        <w:rPr>
          <w:rFonts w:ascii="Palatino Linotype" w:eastAsia="Times New Roman" w:hAnsi="Palatino Linotype" w:cs="Arial"/>
          <w:b/>
          <w:sz w:val="24"/>
          <w:szCs w:val="24"/>
          <w:lang w:val="es-ES" w:eastAsia="es-ES"/>
        </w:rPr>
        <w:t xml:space="preserve">. </w:t>
      </w:r>
      <w:r w:rsidRPr="00EE32A5">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EE32A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A16AD7" w:rsidRPr="00EE32A5" w:rsidRDefault="00A16AD7" w:rsidP="00A16AD7">
      <w:pPr>
        <w:spacing w:after="0" w:line="360" w:lineRule="auto"/>
        <w:jc w:val="both"/>
        <w:rPr>
          <w:rFonts w:ascii="Palatino Linotype" w:eastAsia="Calibri" w:hAnsi="Palatino Linotype" w:cs="Arial"/>
          <w:sz w:val="24"/>
          <w:szCs w:val="24"/>
          <w:lang w:val="es-ES" w:eastAsia="es-ES"/>
        </w:rPr>
      </w:pPr>
    </w:p>
    <w:p w:rsidR="00A16AD7" w:rsidRPr="00EE32A5" w:rsidRDefault="00A16AD7" w:rsidP="00A16AD7">
      <w:pPr>
        <w:spacing w:after="0" w:line="240" w:lineRule="auto"/>
        <w:ind w:left="567" w:right="567"/>
        <w:jc w:val="both"/>
        <w:rPr>
          <w:rFonts w:ascii="Palatino Linotype" w:eastAsia="Calibri" w:hAnsi="Palatino Linotype" w:cs="Arial"/>
          <w:i/>
          <w:lang w:val="es-ES" w:eastAsia="es-ES"/>
        </w:rPr>
      </w:pPr>
      <w:r w:rsidRPr="00EE32A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A16AD7" w:rsidRPr="00EE32A5" w:rsidRDefault="00A16AD7" w:rsidP="00A16AD7">
      <w:pPr>
        <w:spacing w:after="0" w:line="360" w:lineRule="auto"/>
        <w:jc w:val="both"/>
        <w:rPr>
          <w:rFonts w:ascii="Palatino Linotype" w:eastAsia="Times New Roman" w:hAnsi="Palatino Linotype" w:cs="Times New Roman"/>
          <w:sz w:val="24"/>
          <w:szCs w:val="24"/>
          <w:lang w:val="es-ES" w:eastAsia="es-ES"/>
        </w:rPr>
      </w:pPr>
    </w:p>
    <w:p w:rsidR="00A16AD7" w:rsidRPr="00EE32A5" w:rsidRDefault="00A16AD7" w:rsidP="00A16AD7">
      <w:pPr>
        <w:spacing w:after="0" w:line="360" w:lineRule="auto"/>
        <w:jc w:val="both"/>
        <w:rPr>
          <w:rFonts w:ascii="Palatino Linotype" w:eastAsia="Calibri" w:hAnsi="Palatino Linotype" w:cs="Times New Roman"/>
          <w:sz w:val="24"/>
          <w:szCs w:val="24"/>
          <w:lang w:val="es-ES" w:eastAsia="es-ES"/>
        </w:rPr>
      </w:pPr>
      <w:r w:rsidRPr="00EE32A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EE32A5">
        <w:rPr>
          <w:rFonts w:ascii="Palatino Linotype" w:eastAsia="Calibri" w:hAnsi="Palatino Linotype" w:cs="Times New Roman"/>
          <w:sz w:val="24"/>
          <w:szCs w:val="24"/>
          <w:lang w:val="es-ES" w:eastAsia="es-ES"/>
        </w:rPr>
        <w:lastRenderedPageBreak/>
        <w:t xml:space="preserve">párrafos </w:t>
      </w:r>
      <w:r w:rsidRPr="00EE32A5">
        <w:rPr>
          <w:rFonts w:ascii="Palatino Linotype" w:eastAsia="Calibri" w:hAnsi="Palatino Linotype" w:cs="Arial"/>
          <w:sz w:val="24"/>
          <w:szCs w:val="24"/>
          <w:lang w:val="es-ES" w:eastAsia="es-ES"/>
        </w:rPr>
        <w:t>vigésimo, vigésimo primero</w:t>
      </w:r>
      <w:r w:rsidRPr="00EE32A5">
        <w:rPr>
          <w:rFonts w:ascii="Palatino Linotype" w:eastAsia="Times New Roman" w:hAnsi="Palatino Linotype" w:cs="Arial"/>
          <w:sz w:val="24"/>
          <w:szCs w:val="24"/>
          <w:lang w:eastAsia="es-ES"/>
        </w:rPr>
        <w:t xml:space="preserve"> y vigésimo segundo</w:t>
      </w:r>
      <w:r w:rsidRPr="00EE32A5">
        <w:rPr>
          <w:rFonts w:ascii="Palatino Linotype" w:eastAsia="Calibri" w:hAnsi="Palatino Linotype" w:cs="Times New Roman"/>
          <w:sz w:val="24"/>
          <w:szCs w:val="24"/>
          <w:lang w:val="es-ES" w:eastAsia="es-ES"/>
        </w:rPr>
        <w:t>, de la Constitución Política del Estado Libre y Soberano de México, se establece lo siguiente:</w:t>
      </w:r>
    </w:p>
    <w:p w:rsidR="00A16AD7" w:rsidRPr="00EE32A5" w:rsidRDefault="00A16AD7" w:rsidP="00A16AD7">
      <w:pPr>
        <w:spacing w:after="0" w:line="360" w:lineRule="auto"/>
        <w:jc w:val="both"/>
        <w:rPr>
          <w:rFonts w:ascii="Palatino Linotype" w:eastAsia="Calibri" w:hAnsi="Palatino Linotype" w:cs="Times New Roman"/>
          <w:sz w:val="24"/>
          <w:szCs w:val="24"/>
          <w:lang w:val="es-ES" w:eastAsia="es-ES"/>
        </w:rPr>
      </w:pPr>
    </w:p>
    <w:p w:rsidR="00A16AD7" w:rsidRPr="00EE32A5" w:rsidRDefault="00A16AD7" w:rsidP="00A16AD7">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 los Estados Unidos Mexicanos</w:t>
      </w:r>
    </w:p>
    <w:p w:rsidR="00A16AD7" w:rsidRPr="00EE32A5" w:rsidRDefault="00A16AD7" w:rsidP="00A16AD7">
      <w:pPr>
        <w:spacing w:after="0" w:line="240" w:lineRule="auto"/>
        <w:ind w:left="567" w:right="567"/>
        <w:jc w:val="both"/>
        <w:rPr>
          <w:rFonts w:ascii="Palatino Linotype" w:eastAsia="Times New Roman" w:hAnsi="Palatino Linotype" w:cs="Times New Roman"/>
          <w:b/>
          <w:i/>
          <w:lang w:val="es-ES" w:eastAsia="es-ES"/>
        </w:rPr>
      </w:pP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6</w:t>
      </w:r>
      <w:r w:rsidRPr="00EE32A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efectos de lo dispuesto en el presente artículo se observará lo siguiente: </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p>
    <w:p w:rsidR="00A16AD7" w:rsidRPr="00EE32A5" w:rsidRDefault="00A16AD7" w:rsidP="00A16AD7">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del Estado Libre y Soberano de México</w:t>
      </w:r>
    </w:p>
    <w:p w:rsidR="00A16AD7" w:rsidRPr="00EE32A5" w:rsidRDefault="00A16AD7" w:rsidP="00A16AD7">
      <w:pPr>
        <w:spacing w:after="0" w:line="240" w:lineRule="auto"/>
        <w:ind w:left="567" w:right="567"/>
        <w:jc w:val="both"/>
        <w:rPr>
          <w:rFonts w:ascii="Palatino Linotype" w:eastAsia="Times New Roman" w:hAnsi="Palatino Linotype" w:cs="Times New Roman"/>
          <w:b/>
          <w:i/>
          <w:lang w:val="es-ES" w:eastAsia="es-ES"/>
        </w:rPr>
      </w:pP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5</w:t>
      </w:r>
      <w:r w:rsidRPr="00EE32A5">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 (…)</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A16AD7" w:rsidRPr="00EE32A5" w:rsidRDefault="00A16AD7" w:rsidP="00A16AD7">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16AD7" w:rsidRPr="00EE32A5" w:rsidRDefault="00A16AD7" w:rsidP="00A16AD7">
      <w:pPr>
        <w:spacing w:after="0" w:line="360" w:lineRule="auto"/>
        <w:ind w:left="567" w:right="567"/>
        <w:jc w:val="both"/>
        <w:rPr>
          <w:rFonts w:ascii="Palatino Linotype" w:eastAsia="Times New Roman" w:hAnsi="Palatino Linotype" w:cs="Times New Roman"/>
          <w:sz w:val="24"/>
          <w:szCs w:val="24"/>
          <w:lang w:val="es-ES" w:eastAsia="es-ES"/>
        </w:rPr>
      </w:pPr>
    </w:p>
    <w:p w:rsidR="00A16AD7" w:rsidRPr="00EE32A5" w:rsidRDefault="00A16AD7" w:rsidP="00A16AD7">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A16AD7" w:rsidRPr="00EE32A5" w:rsidRDefault="00A16AD7" w:rsidP="00A16AD7">
      <w:pPr>
        <w:spacing w:after="0" w:line="240" w:lineRule="auto"/>
        <w:ind w:left="567" w:right="567"/>
        <w:jc w:val="both"/>
        <w:rPr>
          <w:rFonts w:ascii="Palatino Linotype" w:eastAsia="Times New Roman" w:hAnsi="Palatino Linotype" w:cs="Times New Roman"/>
          <w:sz w:val="24"/>
          <w:szCs w:val="24"/>
          <w:lang w:val="es-ES" w:eastAsia="es-ES"/>
        </w:rPr>
      </w:pPr>
    </w:p>
    <w:p w:rsidR="00A16AD7" w:rsidRPr="00EE32A5" w:rsidRDefault="00A16AD7" w:rsidP="00A16AD7">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w:t>
      </w:r>
      <w:r w:rsidRPr="00EE32A5">
        <w:rPr>
          <w:rFonts w:ascii="Palatino Linotype" w:eastAsia="Calibri" w:hAnsi="Palatino Linotype" w:cs="Times New Roman"/>
          <w:b/>
          <w:i/>
          <w:lang w:val="es-ES" w:eastAsia="es-ES"/>
        </w:rPr>
        <w:t>Artículo 1o</w:t>
      </w:r>
      <w:r w:rsidRPr="00EE32A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16AD7" w:rsidRPr="00EE32A5" w:rsidRDefault="00A16AD7" w:rsidP="00A16AD7">
      <w:pPr>
        <w:spacing w:after="0" w:line="240" w:lineRule="auto"/>
        <w:ind w:left="567" w:right="567"/>
        <w:jc w:val="both"/>
        <w:rPr>
          <w:rFonts w:ascii="Palatino Linotype" w:eastAsia="Calibri" w:hAnsi="Palatino Linotype" w:cs="Times New Roman"/>
          <w:i/>
          <w:lang w:val="es-ES" w:eastAsia="es-ES"/>
        </w:rPr>
      </w:pPr>
    </w:p>
    <w:p w:rsidR="00A16AD7" w:rsidRPr="00EE32A5" w:rsidRDefault="00A16AD7" w:rsidP="00A16AD7">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A16AD7" w:rsidRPr="00EE32A5" w:rsidRDefault="00A16AD7" w:rsidP="00A16AD7">
      <w:pPr>
        <w:spacing w:after="0" w:line="240" w:lineRule="auto"/>
        <w:ind w:left="567" w:right="567"/>
        <w:jc w:val="both"/>
        <w:rPr>
          <w:rFonts w:ascii="Palatino Linotype" w:eastAsia="Calibri" w:hAnsi="Palatino Linotype" w:cs="Times New Roman"/>
          <w:i/>
          <w:lang w:val="es-ES" w:eastAsia="es-ES"/>
        </w:rPr>
      </w:pPr>
    </w:p>
    <w:p w:rsidR="00A16AD7" w:rsidRPr="00EE32A5" w:rsidRDefault="00A16AD7" w:rsidP="00A16AD7">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16AD7" w:rsidRPr="00EE32A5" w:rsidRDefault="00A16AD7" w:rsidP="00A16AD7">
      <w:pPr>
        <w:spacing w:after="0" w:line="360" w:lineRule="auto"/>
        <w:ind w:left="567" w:right="567"/>
        <w:jc w:val="both"/>
        <w:rPr>
          <w:rFonts w:ascii="Palatino Linotype" w:eastAsia="Times New Roman" w:hAnsi="Palatino Linotype" w:cs="Times New Roman"/>
          <w:sz w:val="24"/>
          <w:szCs w:val="24"/>
          <w:lang w:val="es-ES" w:eastAsia="es-ES"/>
        </w:rPr>
      </w:pPr>
    </w:p>
    <w:p w:rsidR="00A16AD7" w:rsidRPr="00EE32A5" w:rsidRDefault="00A16AD7" w:rsidP="00A16AD7">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16AD7" w:rsidRPr="00EE32A5" w:rsidRDefault="00A16AD7" w:rsidP="00A16AD7">
      <w:pPr>
        <w:spacing w:after="0" w:line="360" w:lineRule="auto"/>
        <w:jc w:val="both"/>
        <w:rPr>
          <w:rFonts w:ascii="Palatino Linotype" w:eastAsia="Times New Roman" w:hAnsi="Palatino Linotype" w:cs="Arial"/>
          <w:sz w:val="24"/>
          <w:szCs w:val="24"/>
          <w:lang w:val="es-ES" w:eastAsia="es-ES"/>
        </w:rPr>
      </w:pPr>
    </w:p>
    <w:p w:rsidR="00A16AD7" w:rsidRDefault="00A16AD7" w:rsidP="00A16AD7">
      <w:pPr>
        <w:pStyle w:val="Sinespaciado"/>
        <w:spacing w:line="360" w:lineRule="auto"/>
        <w:jc w:val="both"/>
        <w:rPr>
          <w:rFonts w:ascii="Palatino Linotype" w:eastAsia="Calibri" w:hAnsi="Palatino Linotype" w:cs="Arial"/>
          <w:lang w:val="es-ES"/>
        </w:rPr>
      </w:pPr>
      <w:r w:rsidRPr="00EE32A5">
        <w:rPr>
          <w:rFonts w:ascii="Palatino Linotype" w:eastAsia="Calibri" w:hAnsi="Palatino Linotype" w:cs="Arial"/>
          <w:lang w:val="es-ES"/>
        </w:rPr>
        <w:t>En conclusión, se cubrieron los requisitos de procedencia y procedibilidad y conforme a las constancias que obran en el expediente.</w:t>
      </w:r>
    </w:p>
    <w:p w:rsidR="00A16AD7" w:rsidRDefault="00A16AD7" w:rsidP="00A16AD7">
      <w:pPr>
        <w:pStyle w:val="Sinespaciado"/>
        <w:spacing w:line="360" w:lineRule="auto"/>
        <w:jc w:val="both"/>
        <w:rPr>
          <w:rFonts w:ascii="Palatino Linotype" w:hAnsi="Palatino Linotype"/>
          <w:b/>
          <w:sz w:val="26"/>
          <w:szCs w:val="26"/>
        </w:rPr>
      </w:pPr>
    </w:p>
    <w:p w:rsidR="00705D1C" w:rsidRPr="0014447C" w:rsidRDefault="00A16AD7"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705D1C" w:rsidRDefault="00705D1C" w:rsidP="0014447C">
      <w:pPr>
        <w:pStyle w:val="Sinespaciado"/>
        <w:spacing w:line="360" w:lineRule="auto"/>
        <w:jc w:val="both"/>
        <w:rPr>
          <w:rFonts w:ascii="Palatino Linotype" w:hAnsi="Palatino Linotype"/>
          <w:sz w:val="26"/>
          <w:szCs w:val="26"/>
        </w:rPr>
      </w:pPr>
    </w:p>
    <w:p w:rsidR="007E2E80" w:rsidRPr="0014447C" w:rsidRDefault="00A16AD7"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B97BEB" w:rsidRDefault="00B97BEB" w:rsidP="00B97BE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Pr>
          <w:rFonts w:ascii="Palatino Linotype" w:hAnsi="Palatino Linotype"/>
          <w:sz w:val="24"/>
          <w:szCs w:val="24"/>
        </w:rPr>
        <w:t xml:space="preserve"> el hoy Recurrente requirió que se le entregara la ficha curricular y el documento probatorio del último grado de estudios de los siguientes servidores públicos:</w:t>
      </w:r>
    </w:p>
    <w:p w:rsidR="00B97BEB" w:rsidRDefault="00B97BEB" w:rsidP="00B97BEB">
      <w:pPr>
        <w:pStyle w:val="Sinespaciado"/>
        <w:spacing w:line="360" w:lineRule="auto"/>
        <w:jc w:val="both"/>
        <w:rPr>
          <w:rFonts w:ascii="Palatino Linotype" w:hAnsi="Palatino Linotype"/>
          <w:sz w:val="24"/>
          <w:szCs w:val="24"/>
        </w:rPr>
      </w:pPr>
    </w:p>
    <w:p w:rsidR="00B97BEB" w:rsidRDefault="00B97BEB" w:rsidP="00B97BEB">
      <w:pPr>
        <w:pStyle w:val="Sinespaciado"/>
        <w:numPr>
          <w:ilvl w:val="0"/>
          <w:numId w:val="27"/>
        </w:numPr>
        <w:spacing w:line="360" w:lineRule="auto"/>
        <w:jc w:val="both"/>
        <w:rPr>
          <w:rFonts w:ascii="Palatino Linotype" w:hAnsi="Palatino Linotype"/>
          <w:sz w:val="24"/>
          <w:szCs w:val="24"/>
        </w:rPr>
      </w:pPr>
      <w:r>
        <w:rPr>
          <w:rFonts w:ascii="Palatino Linotype" w:hAnsi="Palatino Linotype"/>
          <w:sz w:val="24"/>
          <w:szCs w:val="24"/>
        </w:rPr>
        <w:t>Presidente municipal.</w:t>
      </w:r>
    </w:p>
    <w:p w:rsidR="00B97BEB" w:rsidRDefault="00B97BEB" w:rsidP="00B97BEB">
      <w:pPr>
        <w:pStyle w:val="Sinespaciado"/>
        <w:numPr>
          <w:ilvl w:val="0"/>
          <w:numId w:val="27"/>
        </w:numPr>
        <w:spacing w:line="360" w:lineRule="auto"/>
        <w:jc w:val="both"/>
        <w:rPr>
          <w:rFonts w:ascii="Palatino Linotype" w:hAnsi="Palatino Linotype"/>
          <w:sz w:val="24"/>
          <w:szCs w:val="24"/>
        </w:rPr>
      </w:pPr>
      <w:r>
        <w:rPr>
          <w:rFonts w:ascii="Palatino Linotype" w:hAnsi="Palatino Linotype"/>
          <w:sz w:val="24"/>
          <w:szCs w:val="24"/>
        </w:rPr>
        <w:t>Secretario del Ayuntamiento.</w:t>
      </w:r>
    </w:p>
    <w:p w:rsidR="00B97BEB" w:rsidRDefault="00B97BEB" w:rsidP="00B97BEB">
      <w:pPr>
        <w:pStyle w:val="Sinespaciado"/>
        <w:numPr>
          <w:ilvl w:val="0"/>
          <w:numId w:val="27"/>
        </w:numPr>
        <w:spacing w:line="360" w:lineRule="auto"/>
        <w:jc w:val="both"/>
        <w:rPr>
          <w:rFonts w:ascii="Palatino Linotype" w:hAnsi="Palatino Linotype"/>
          <w:sz w:val="24"/>
          <w:szCs w:val="24"/>
        </w:rPr>
      </w:pPr>
      <w:r>
        <w:rPr>
          <w:rFonts w:ascii="Palatino Linotype" w:hAnsi="Palatino Linotype"/>
          <w:sz w:val="24"/>
          <w:szCs w:val="24"/>
        </w:rPr>
        <w:t>Tesorero municipal.</w:t>
      </w:r>
    </w:p>
    <w:p w:rsidR="00B97BEB" w:rsidRDefault="00B97BEB" w:rsidP="00B97BEB">
      <w:pPr>
        <w:pStyle w:val="Sinespaciado"/>
        <w:numPr>
          <w:ilvl w:val="0"/>
          <w:numId w:val="27"/>
        </w:numPr>
        <w:spacing w:line="360" w:lineRule="auto"/>
        <w:jc w:val="both"/>
        <w:rPr>
          <w:rFonts w:ascii="Palatino Linotype" w:hAnsi="Palatino Linotype"/>
          <w:sz w:val="24"/>
          <w:szCs w:val="24"/>
        </w:rPr>
      </w:pPr>
      <w:r>
        <w:rPr>
          <w:rFonts w:ascii="Palatino Linotype" w:hAnsi="Palatino Linotype"/>
          <w:sz w:val="24"/>
          <w:szCs w:val="24"/>
        </w:rPr>
        <w:t>Director de Obras Públicas.</w:t>
      </w:r>
    </w:p>
    <w:p w:rsidR="00B97BEB" w:rsidRDefault="00B97BEB" w:rsidP="00B97BEB">
      <w:pPr>
        <w:pStyle w:val="Sinespaciado"/>
        <w:numPr>
          <w:ilvl w:val="0"/>
          <w:numId w:val="27"/>
        </w:numPr>
        <w:spacing w:line="360" w:lineRule="auto"/>
        <w:jc w:val="both"/>
        <w:rPr>
          <w:rFonts w:ascii="Palatino Linotype" w:hAnsi="Palatino Linotype"/>
          <w:sz w:val="24"/>
          <w:szCs w:val="24"/>
        </w:rPr>
      </w:pPr>
      <w:r>
        <w:rPr>
          <w:rFonts w:ascii="Palatino Linotype" w:hAnsi="Palatino Linotype"/>
          <w:sz w:val="24"/>
          <w:szCs w:val="24"/>
        </w:rPr>
        <w:t>Director de Desarrollo Económico.</w:t>
      </w:r>
    </w:p>
    <w:p w:rsidR="00B97BEB" w:rsidRDefault="00B97BEB" w:rsidP="00B97BEB">
      <w:pPr>
        <w:pStyle w:val="Sinespaciado"/>
        <w:numPr>
          <w:ilvl w:val="0"/>
          <w:numId w:val="27"/>
        </w:numPr>
        <w:spacing w:line="360" w:lineRule="auto"/>
        <w:jc w:val="both"/>
        <w:rPr>
          <w:rFonts w:ascii="Palatino Linotype" w:hAnsi="Palatino Linotype"/>
          <w:sz w:val="24"/>
          <w:szCs w:val="24"/>
        </w:rPr>
      </w:pPr>
      <w:r>
        <w:rPr>
          <w:rFonts w:ascii="Palatino Linotype" w:hAnsi="Palatino Linotype"/>
          <w:sz w:val="24"/>
          <w:szCs w:val="24"/>
        </w:rPr>
        <w:lastRenderedPageBreak/>
        <w:t>Coordinador General de Mejora Regulatoria, Ecología, Desarrollo Urbano y Protección Civil.</w:t>
      </w:r>
    </w:p>
    <w:p w:rsidR="00B97BEB" w:rsidRDefault="00B97BEB" w:rsidP="00B97BEB">
      <w:pPr>
        <w:pStyle w:val="Sinespaciado"/>
        <w:spacing w:line="360" w:lineRule="auto"/>
        <w:jc w:val="both"/>
        <w:rPr>
          <w:rFonts w:ascii="Palatino Linotype" w:hAnsi="Palatino Linotype"/>
          <w:sz w:val="24"/>
          <w:szCs w:val="24"/>
        </w:rPr>
      </w:pPr>
    </w:p>
    <w:p w:rsidR="00B97BEB" w:rsidRDefault="00B97BEB" w:rsidP="00B97BEB">
      <w:pPr>
        <w:pStyle w:val="Sinespaciado"/>
        <w:spacing w:line="360" w:lineRule="auto"/>
        <w:jc w:val="both"/>
        <w:rPr>
          <w:rFonts w:ascii="Palatino Linotype" w:hAnsi="Palatino Linotype"/>
          <w:sz w:val="24"/>
          <w:szCs w:val="24"/>
        </w:rPr>
      </w:pPr>
      <w:r w:rsidRPr="001D5207">
        <w:rPr>
          <w:rFonts w:ascii="Palatino Linotype" w:hAnsi="Palatino Linotype"/>
          <w:sz w:val="24"/>
          <w:szCs w:val="24"/>
        </w:rPr>
        <w:t>A dicha solicitud, el Sujeto Obliga</w:t>
      </w:r>
      <w:r w:rsidR="008B05F4" w:rsidRPr="001D5207">
        <w:rPr>
          <w:rFonts w:ascii="Palatino Linotype" w:hAnsi="Palatino Linotype"/>
          <w:sz w:val="24"/>
          <w:szCs w:val="24"/>
        </w:rPr>
        <w:t>do respondió haciendo entrega de la ficha curricular de ocho servidores públicos, entre los que se encuentran identificados el Presidente Municipal, el Secretario del Ayuntamiento, la Tesorera Municipal,</w:t>
      </w:r>
      <w:r w:rsidR="007A6E1B" w:rsidRPr="001D5207">
        <w:rPr>
          <w:rFonts w:ascii="Palatino Linotype" w:hAnsi="Palatino Linotype"/>
          <w:sz w:val="24"/>
          <w:szCs w:val="24"/>
        </w:rPr>
        <w:t xml:space="preserve"> el Titular de Desarrollo Urbano, Obras Públicas, Ecología y Servicios Públicos, el Titular de Desarrollo Económico y del Director de Seguridad Pública y Protección Civil; así como, a decir del Sujeto Obligado, se anexaron las fichas de </w:t>
      </w:r>
      <w:r w:rsidR="00877688" w:rsidRPr="00877688">
        <w:rPr>
          <w:rFonts w:ascii="Palatino Linotype" w:hAnsi="Palatino Linotype"/>
          <w:sz w:val="24"/>
          <w:szCs w:val="24"/>
        </w:rPr>
        <w:t>los servidores públicos de nombre Jorge Luis Hernández García y Carlos García Bernardo</w:t>
      </w:r>
      <w:r w:rsidR="00CF3398">
        <w:rPr>
          <w:rFonts w:ascii="Palatino Linotype" w:hAnsi="Palatino Linotype"/>
          <w:sz w:val="24"/>
          <w:szCs w:val="24"/>
        </w:rPr>
        <w:t xml:space="preserve">. Asimismo, adjunto los títulos profesionales del </w:t>
      </w:r>
      <w:r w:rsidR="00CF3398" w:rsidRPr="001D5207">
        <w:rPr>
          <w:rFonts w:ascii="Palatino Linotype" w:hAnsi="Palatino Linotype"/>
          <w:sz w:val="24"/>
          <w:szCs w:val="24"/>
        </w:rPr>
        <w:t>Secretario del Ayuntamiento, la Tesorera Municipal, el Titular de Desarrollo Urbano, Obras Públicas, Ecología y Servicios Públicos</w:t>
      </w:r>
      <w:r w:rsidR="00CF3398">
        <w:rPr>
          <w:rFonts w:ascii="Palatino Linotype" w:hAnsi="Palatino Linotype"/>
          <w:sz w:val="24"/>
          <w:szCs w:val="24"/>
        </w:rPr>
        <w:t>.</w:t>
      </w:r>
    </w:p>
    <w:p w:rsidR="00B96A05" w:rsidRDefault="00B96A05" w:rsidP="00B97BEB">
      <w:pPr>
        <w:pStyle w:val="Sinespaciado"/>
        <w:spacing w:line="360" w:lineRule="auto"/>
        <w:jc w:val="both"/>
        <w:rPr>
          <w:rFonts w:ascii="Palatino Linotype" w:hAnsi="Palatino Linotype"/>
          <w:sz w:val="24"/>
          <w:szCs w:val="24"/>
        </w:rPr>
      </w:pPr>
    </w:p>
    <w:p w:rsidR="00F26F12" w:rsidRDefault="00BF4E38"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emitida,</w:t>
      </w:r>
      <w:r w:rsidR="0049306E">
        <w:rPr>
          <w:rFonts w:ascii="Palatino Linotype" w:hAnsi="Palatino Linotype"/>
          <w:sz w:val="24"/>
          <w:szCs w:val="24"/>
        </w:rPr>
        <w:t xml:space="preserve"> el Recurrente consideró que su derecho a la información pública había sido conculcado, por lo que interpuso el presente recurso de revisión mediante el cual </w:t>
      </w:r>
      <w:r w:rsidR="00B96A05">
        <w:rPr>
          <w:rFonts w:ascii="Palatino Linotype" w:hAnsi="Palatino Linotype"/>
          <w:sz w:val="24"/>
          <w:szCs w:val="24"/>
        </w:rPr>
        <w:t>señala que no se le entregó la información solicitada y dando como razones o motivos de inconformidad lo siguiente: “</w:t>
      </w:r>
      <w:r w:rsidR="00B96A05" w:rsidRPr="00B96A05">
        <w:rPr>
          <w:rFonts w:ascii="Palatino Linotype" w:hAnsi="Palatino Linotype"/>
          <w:i/>
          <w:sz w:val="24"/>
          <w:szCs w:val="24"/>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B96A05">
        <w:rPr>
          <w:rFonts w:ascii="Palatino Linotype" w:hAnsi="Palatino Linotype"/>
          <w:i/>
          <w:sz w:val="24"/>
          <w:szCs w:val="24"/>
        </w:rPr>
        <w:t>” (Sic)</w:t>
      </w:r>
    </w:p>
    <w:p w:rsidR="00B96A05" w:rsidRDefault="00B96A05" w:rsidP="007B48AB">
      <w:pPr>
        <w:pStyle w:val="Sinespaciado"/>
        <w:spacing w:line="360" w:lineRule="auto"/>
        <w:jc w:val="both"/>
        <w:rPr>
          <w:rFonts w:ascii="Palatino Linotype" w:hAnsi="Palatino Linotype"/>
          <w:sz w:val="24"/>
          <w:szCs w:val="24"/>
        </w:rPr>
      </w:pPr>
    </w:p>
    <w:p w:rsidR="009D77B2" w:rsidRPr="009D77B2" w:rsidRDefault="009D77B2" w:rsidP="009D77B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No se omite señalar que el Sujeto Obligado no rindió su Informe Justificado. </w:t>
      </w:r>
      <w:r w:rsidRPr="009D77B2">
        <w:rPr>
          <w:rFonts w:ascii="Palatino Linotype" w:hAnsi="Palatino Linotype"/>
          <w:sz w:val="24"/>
          <w:szCs w:val="24"/>
        </w:rPr>
        <w:t>En consecuencia, es necesario precisar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9D77B2" w:rsidRPr="009D77B2" w:rsidRDefault="009D77B2" w:rsidP="009D77B2">
      <w:pPr>
        <w:spacing w:after="0" w:line="360" w:lineRule="auto"/>
        <w:jc w:val="both"/>
        <w:rPr>
          <w:rFonts w:ascii="Palatino Linotype" w:hAnsi="Palatino Linotype"/>
        </w:rPr>
      </w:pPr>
    </w:p>
    <w:p w:rsidR="009D77B2" w:rsidRPr="009D77B2" w:rsidRDefault="009D77B2" w:rsidP="009D77B2">
      <w:pPr>
        <w:spacing w:after="0" w:line="240" w:lineRule="auto"/>
        <w:ind w:left="567" w:right="567"/>
        <w:jc w:val="both"/>
        <w:rPr>
          <w:rFonts w:ascii="Palatino Linotype" w:hAnsi="Palatino Linotype"/>
          <w:i/>
        </w:rPr>
      </w:pPr>
      <w:r w:rsidRPr="009D77B2">
        <w:rPr>
          <w:rFonts w:ascii="Palatino Linotype" w:hAnsi="Palatino Linotype"/>
          <w:b/>
          <w:i/>
        </w:rPr>
        <w:t>QUEJA, RECURSO DE. LA OMISION DE RENDIR EL INFORME RESPECTIVO NO IMPIDE QUE SE RESUELVA.</w:t>
      </w:r>
      <w:r w:rsidRPr="009D77B2">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9D77B2" w:rsidRPr="009D77B2" w:rsidRDefault="009D77B2" w:rsidP="009D77B2">
      <w:pPr>
        <w:spacing w:after="0" w:line="360" w:lineRule="auto"/>
        <w:jc w:val="both"/>
        <w:rPr>
          <w:rFonts w:ascii="Palatino Linotype" w:hAnsi="Palatino Linotype"/>
          <w:sz w:val="24"/>
          <w:szCs w:val="24"/>
        </w:rPr>
      </w:pPr>
    </w:p>
    <w:p w:rsidR="009D77B2" w:rsidRPr="009D77B2" w:rsidRDefault="009D77B2" w:rsidP="009D77B2">
      <w:pPr>
        <w:spacing w:after="0" w:line="360" w:lineRule="auto"/>
        <w:jc w:val="both"/>
        <w:rPr>
          <w:rFonts w:ascii="Palatino Linotype" w:hAnsi="Palatino Linotype"/>
          <w:sz w:val="24"/>
          <w:szCs w:val="24"/>
        </w:rPr>
      </w:pPr>
      <w:r w:rsidRPr="009D77B2">
        <w:rPr>
          <w:rFonts w:ascii="Palatino Linotype" w:hAnsi="Palatino Linotype"/>
          <w:sz w:val="24"/>
          <w:szCs w:val="24"/>
        </w:rPr>
        <w:t xml:space="preserve">Por lo cual se reitera, que la falta de informe justificado no impide que este Órgano Garante conozca y resuelva el recurso de revisión, solo propicia que el Sujeto Obligado </w:t>
      </w:r>
      <w:r w:rsidRPr="009D77B2">
        <w:rPr>
          <w:rFonts w:ascii="Palatino Linotype" w:hAnsi="Palatino Linotype"/>
          <w:sz w:val="24"/>
          <w:szCs w:val="24"/>
        </w:rPr>
        <w:lastRenderedPageBreak/>
        <w:t>pierda la op</w:t>
      </w:r>
      <w:r>
        <w:rPr>
          <w:rFonts w:ascii="Palatino Linotype" w:hAnsi="Palatino Linotype"/>
          <w:sz w:val="24"/>
          <w:szCs w:val="24"/>
        </w:rPr>
        <w:t>ortunidad de justificar el contenido</w:t>
      </w:r>
      <w:r w:rsidRPr="009D77B2">
        <w:rPr>
          <w:rFonts w:ascii="Palatino Linotype" w:hAnsi="Palatino Linotype"/>
          <w:sz w:val="24"/>
          <w:szCs w:val="24"/>
        </w:rPr>
        <w:t xml:space="preserve"> de </w:t>
      </w:r>
      <w:r>
        <w:rPr>
          <w:rFonts w:ascii="Palatino Linotype" w:hAnsi="Palatino Linotype"/>
          <w:sz w:val="24"/>
          <w:szCs w:val="24"/>
        </w:rPr>
        <w:t xml:space="preserve">su </w:t>
      </w:r>
      <w:r w:rsidRPr="009D77B2">
        <w:rPr>
          <w:rFonts w:ascii="Palatino Linotype" w:hAnsi="Palatino Linotype"/>
          <w:sz w:val="24"/>
          <w:szCs w:val="24"/>
        </w:rPr>
        <w:t>respuesta y manifestar lo que a su derecho convenga.</w:t>
      </w:r>
    </w:p>
    <w:p w:rsidR="009D77B2" w:rsidRDefault="009D77B2" w:rsidP="009D77B2">
      <w:pPr>
        <w:spacing w:after="0" w:line="360" w:lineRule="auto"/>
        <w:jc w:val="both"/>
        <w:rPr>
          <w:rFonts w:ascii="Palatino Linotype" w:hAnsi="Palatino Linotype"/>
          <w:sz w:val="24"/>
          <w:szCs w:val="24"/>
        </w:rPr>
      </w:pPr>
    </w:p>
    <w:p w:rsidR="00B96A05" w:rsidRDefault="00B96A05" w:rsidP="009D77B2">
      <w:pPr>
        <w:spacing w:after="0" w:line="360" w:lineRule="auto"/>
        <w:jc w:val="both"/>
        <w:rPr>
          <w:rFonts w:ascii="Palatino Linotype" w:hAnsi="Palatino Linotype"/>
          <w:sz w:val="24"/>
          <w:szCs w:val="24"/>
        </w:rPr>
      </w:pPr>
      <w:r>
        <w:rPr>
          <w:rFonts w:ascii="Palatino Linotype" w:hAnsi="Palatino Linotype"/>
          <w:sz w:val="24"/>
          <w:szCs w:val="24"/>
        </w:rPr>
        <w:t xml:space="preserve">En ese tenor, este Instituto considera necesario verificar si la documentación presentada por el Sujeto Obligado es suficiente para colmar las pretensiones del Recurrente, por lo que es necesario realizar las siguientes precisiones: </w:t>
      </w:r>
    </w:p>
    <w:p w:rsidR="00B96A05" w:rsidRDefault="00B96A05" w:rsidP="009D77B2">
      <w:pPr>
        <w:spacing w:after="0" w:line="360" w:lineRule="auto"/>
        <w:jc w:val="both"/>
        <w:rPr>
          <w:rFonts w:ascii="Palatino Linotype" w:hAnsi="Palatino Linotype"/>
          <w:sz w:val="24"/>
          <w:szCs w:val="24"/>
        </w:rPr>
      </w:pPr>
    </w:p>
    <w:p w:rsidR="009D77B2" w:rsidRPr="009D77B2" w:rsidRDefault="009D77B2" w:rsidP="009D77B2">
      <w:pPr>
        <w:spacing w:after="0" w:line="360" w:lineRule="auto"/>
        <w:jc w:val="both"/>
        <w:rPr>
          <w:rFonts w:ascii="Palatino Linotype" w:hAnsi="Palatino Linotype"/>
          <w:color w:val="000000"/>
          <w:sz w:val="24"/>
          <w:szCs w:val="24"/>
        </w:rPr>
      </w:pPr>
      <w:r w:rsidRPr="009D77B2">
        <w:rPr>
          <w:rFonts w:ascii="Palatino Linotype" w:hAnsi="Palatino Linotype"/>
          <w:sz w:val="24"/>
          <w:szCs w:val="24"/>
        </w:rPr>
        <w:t xml:space="preserve">En primer lugar </w:t>
      </w:r>
      <w:r w:rsidRPr="009D77B2">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9D77B2" w:rsidRPr="009D77B2" w:rsidRDefault="009D77B2" w:rsidP="009D77B2">
      <w:pPr>
        <w:spacing w:after="0" w:line="360" w:lineRule="auto"/>
        <w:jc w:val="both"/>
        <w:rPr>
          <w:rFonts w:ascii="Palatino Linotype" w:hAnsi="Palatino Linotype"/>
          <w:color w:val="000000"/>
          <w:sz w:val="24"/>
          <w:szCs w:val="24"/>
        </w:rPr>
      </w:pPr>
    </w:p>
    <w:p w:rsidR="009D77B2" w:rsidRPr="009D77B2" w:rsidRDefault="009D77B2" w:rsidP="009D77B2">
      <w:pPr>
        <w:spacing w:after="0" w:line="240" w:lineRule="auto"/>
        <w:ind w:left="567" w:right="567"/>
        <w:jc w:val="both"/>
        <w:rPr>
          <w:rFonts w:ascii="Palatino Linotype" w:hAnsi="Palatino Linotype"/>
          <w:b/>
          <w:i/>
        </w:rPr>
      </w:pPr>
      <w:r w:rsidRPr="009D77B2">
        <w:rPr>
          <w:rFonts w:ascii="Palatino Linotype" w:hAnsi="Palatino Linotype"/>
          <w:b/>
          <w:i/>
        </w:rPr>
        <w:t>Artículo 6</w:t>
      </w:r>
    </w:p>
    <w:p w:rsidR="009D77B2" w:rsidRPr="009D77B2" w:rsidRDefault="009D77B2" w:rsidP="009D77B2">
      <w:pPr>
        <w:spacing w:after="0" w:line="240" w:lineRule="auto"/>
        <w:ind w:left="567" w:right="567"/>
        <w:jc w:val="both"/>
        <w:rPr>
          <w:rFonts w:ascii="Palatino Linotype" w:hAnsi="Palatino Linotype"/>
          <w:i/>
        </w:rPr>
      </w:pPr>
      <w:r w:rsidRPr="009D77B2">
        <w:rPr>
          <w:rFonts w:ascii="Palatino Linotype" w:hAnsi="Palatino Linotype"/>
          <w:i/>
        </w:rPr>
        <w:t>…</w:t>
      </w:r>
    </w:p>
    <w:p w:rsidR="009D77B2" w:rsidRPr="009D77B2" w:rsidRDefault="009D77B2" w:rsidP="009D77B2">
      <w:pPr>
        <w:spacing w:after="0" w:line="240" w:lineRule="auto"/>
        <w:ind w:left="567" w:right="567"/>
        <w:jc w:val="both"/>
        <w:rPr>
          <w:rFonts w:ascii="Palatino Linotype" w:hAnsi="Palatino Linotype"/>
          <w:i/>
        </w:rPr>
      </w:pPr>
      <w:r w:rsidRPr="009D77B2">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9D77B2" w:rsidRPr="009D77B2" w:rsidRDefault="009D77B2" w:rsidP="009D77B2">
      <w:pPr>
        <w:spacing w:after="0" w:line="240" w:lineRule="auto"/>
        <w:ind w:left="567" w:right="567"/>
        <w:jc w:val="both"/>
        <w:rPr>
          <w:rFonts w:ascii="Palatino Linotype" w:hAnsi="Palatino Linotype"/>
          <w:i/>
        </w:rPr>
      </w:pPr>
    </w:p>
    <w:p w:rsidR="009D77B2" w:rsidRPr="009D77B2" w:rsidRDefault="009D77B2" w:rsidP="009D77B2">
      <w:pPr>
        <w:numPr>
          <w:ilvl w:val="0"/>
          <w:numId w:val="14"/>
        </w:numPr>
        <w:spacing w:after="0" w:line="240" w:lineRule="auto"/>
        <w:ind w:left="993" w:right="567"/>
        <w:jc w:val="both"/>
        <w:rPr>
          <w:rFonts w:ascii="Palatino Linotype" w:hAnsi="Palatino Linotype"/>
          <w:i/>
        </w:rPr>
      </w:pPr>
      <w:r w:rsidRPr="009D77B2">
        <w:rPr>
          <w:rFonts w:ascii="Palatino Linotype" w:hAnsi="Palatino Linotype"/>
          <w:b/>
          <w:i/>
          <w:u w:val="single"/>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D77B2">
        <w:rPr>
          <w:rFonts w:ascii="Palatino Linotype" w:hAnsi="Palatino Linotype"/>
          <w:b/>
          <w:i/>
          <w:u w:val="single"/>
        </w:rPr>
        <w:lastRenderedPageBreak/>
        <w:t>es pública</w:t>
      </w:r>
      <w:r w:rsidRPr="009D77B2">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D77B2" w:rsidRPr="009D77B2" w:rsidRDefault="009D77B2" w:rsidP="009D77B2">
      <w:pPr>
        <w:spacing w:after="0" w:line="360" w:lineRule="auto"/>
        <w:jc w:val="both"/>
        <w:rPr>
          <w:rFonts w:ascii="Palatino Linotype" w:hAnsi="Palatino Linotype"/>
          <w:sz w:val="24"/>
          <w:szCs w:val="24"/>
        </w:rPr>
      </w:pPr>
    </w:p>
    <w:p w:rsidR="009D77B2" w:rsidRPr="009D77B2" w:rsidRDefault="009D77B2" w:rsidP="009D77B2">
      <w:pPr>
        <w:spacing w:after="0" w:line="360" w:lineRule="auto"/>
        <w:jc w:val="both"/>
        <w:rPr>
          <w:rFonts w:ascii="Palatino Linotype" w:hAnsi="Palatino Linotype" w:cs="Arial"/>
          <w:sz w:val="24"/>
          <w:szCs w:val="24"/>
        </w:rPr>
      </w:pPr>
      <w:r w:rsidRPr="009D77B2">
        <w:rPr>
          <w:rFonts w:ascii="Palatino Linotype" w:hAnsi="Palatino Linotype" w:cs="Arial"/>
          <w:sz w:val="24"/>
          <w:szCs w:val="24"/>
        </w:rPr>
        <w:t xml:space="preserve">Ahora bien, en atención a lo dispuesto por los artículos 3, fracción XI y 12 </w:t>
      </w:r>
      <w:r w:rsidRPr="009D77B2">
        <w:rPr>
          <w:rFonts w:ascii="Palatino Linotype" w:hAnsi="Palatino Linotype" w:cs="Arial"/>
          <w:bCs/>
          <w:sz w:val="24"/>
          <w:szCs w:val="24"/>
        </w:rPr>
        <w:t>de la Ley de Transparencia y Acceso a la Información Pública del Estado de México y Municipios</w:t>
      </w:r>
      <w:r w:rsidRPr="009D77B2">
        <w:rPr>
          <w:rFonts w:ascii="Palatino Linotype" w:hAnsi="Palatino Linotype" w:cs="Arial"/>
          <w:sz w:val="24"/>
          <w:szCs w:val="24"/>
        </w:rPr>
        <w:t>, los cuales son del tenor literal siguiente:</w:t>
      </w:r>
    </w:p>
    <w:p w:rsidR="009D77B2" w:rsidRPr="009D77B2" w:rsidRDefault="009D77B2" w:rsidP="009D77B2">
      <w:pPr>
        <w:spacing w:after="0" w:line="240" w:lineRule="auto"/>
        <w:ind w:left="567" w:right="567"/>
        <w:jc w:val="both"/>
        <w:rPr>
          <w:rFonts w:ascii="Palatino Linotype" w:hAnsi="Palatino Linotype"/>
          <w:sz w:val="24"/>
          <w:szCs w:val="24"/>
        </w:rPr>
      </w:pPr>
    </w:p>
    <w:p w:rsidR="009D77B2" w:rsidRPr="009D77B2" w:rsidRDefault="009D77B2" w:rsidP="009D77B2">
      <w:pPr>
        <w:spacing w:after="0" w:line="240" w:lineRule="auto"/>
        <w:ind w:left="567" w:right="567"/>
        <w:jc w:val="both"/>
        <w:rPr>
          <w:rFonts w:ascii="Palatino Linotype" w:hAnsi="Palatino Linotype"/>
          <w:i/>
        </w:rPr>
      </w:pPr>
      <w:r w:rsidRPr="009D77B2">
        <w:rPr>
          <w:rFonts w:ascii="Palatino Linotype" w:hAnsi="Palatino Linotype"/>
          <w:b/>
          <w:bCs/>
          <w:i/>
        </w:rPr>
        <w:t xml:space="preserve">Artículo 3.- </w:t>
      </w:r>
      <w:r w:rsidRPr="009D77B2">
        <w:rPr>
          <w:rFonts w:ascii="Palatino Linotype" w:hAnsi="Palatino Linotype"/>
          <w:i/>
        </w:rPr>
        <w:t>Para los efectos de la presente Ley se entenderá por:</w:t>
      </w:r>
    </w:p>
    <w:p w:rsidR="009D77B2" w:rsidRPr="009D77B2" w:rsidRDefault="009D77B2" w:rsidP="009D77B2">
      <w:pPr>
        <w:spacing w:after="0" w:line="240" w:lineRule="auto"/>
        <w:ind w:left="567" w:right="567"/>
        <w:jc w:val="both"/>
        <w:rPr>
          <w:rFonts w:ascii="Palatino Linotype" w:hAnsi="Palatino Linotype"/>
          <w:i/>
        </w:rPr>
      </w:pPr>
      <w:r w:rsidRPr="009D77B2">
        <w:rPr>
          <w:rFonts w:ascii="Palatino Linotype" w:hAnsi="Palatino Linotype"/>
          <w:i/>
        </w:rPr>
        <w:t>…</w:t>
      </w:r>
    </w:p>
    <w:p w:rsidR="009D77B2" w:rsidRPr="009D77B2" w:rsidRDefault="009D77B2" w:rsidP="009D77B2">
      <w:pPr>
        <w:spacing w:after="0" w:line="240" w:lineRule="auto"/>
        <w:ind w:left="567" w:right="567"/>
        <w:jc w:val="both"/>
        <w:rPr>
          <w:rFonts w:ascii="Palatino Linotype" w:hAnsi="Palatino Linotype"/>
          <w:i/>
        </w:rPr>
      </w:pPr>
      <w:r w:rsidRPr="009D77B2">
        <w:rPr>
          <w:rFonts w:ascii="Palatino Linotype" w:hAnsi="Palatino Linotype"/>
          <w:b/>
          <w:i/>
        </w:rPr>
        <w:t>XI.</w:t>
      </w:r>
      <w:r w:rsidRPr="009D77B2">
        <w:rPr>
          <w:rFonts w:ascii="Palatino Linotype" w:hAnsi="Palatino Linotype"/>
          <w:i/>
        </w:rPr>
        <w:t xml:space="preserve"> </w:t>
      </w:r>
      <w:r w:rsidRPr="009D77B2">
        <w:rPr>
          <w:rFonts w:ascii="Palatino Linotype" w:hAnsi="Palatino Linotype"/>
          <w:b/>
          <w:i/>
        </w:rPr>
        <w:t>Documento:</w:t>
      </w:r>
      <w:r w:rsidRPr="009D77B2">
        <w:rPr>
          <w:rFonts w:ascii="Palatino Linotype" w:hAnsi="Palatino Linotype"/>
          <w:i/>
        </w:rPr>
        <w:t xml:space="preserve"> Los expedientes, reportes, estudios, actas, resoluciones, </w:t>
      </w:r>
      <w:r w:rsidRPr="009D77B2">
        <w:rPr>
          <w:rFonts w:ascii="Palatino Linotype" w:hAnsi="Palatino Linotype"/>
          <w:b/>
          <w:i/>
          <w:u w:val="single"/>
        </w:rPr>
        <w:t>oficios</w:t>
      </w:r>
      <w:r w:rsidRPr="009D77B2">
        <w:rPr>
          <w:rFonts w:ascii="Palatino Linotype" w:hAnsi="Palatino Linotype"/>
          <w:i/>
        </w:rPr>
        <w:t xml:space="preserve">, correspondencia, acuerdos, directivas, directrices, circulares, contratos, convenios, instructivos, notas, memorandos, estadísticas o bien, </w:t>
      </w:r>
      <w:r w:rsidRPr="009D77B2">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D77B2">
        <w:rPr>
          <w:rFonts w:ascii="Palatino Linotype" w:hAnsi="Palatino Linotype"/>
          <w:i/>
        </w:rPr>
        <w:t xml:space="preserve"> Los documentos podrán estar en cualquier medio, sea escrito, impreso, sonoro, visual, electrónico, informático u holográfico;</w:t>
      </w:r>
    </w:p>
    <w:p w:rsidR="009D77B2" w:rsidRPr="009D77B2" w:rsidRDefault="009D77B2" w:rsidP="009D77B2">
      <w:pPr>
        <w:spacing w:after="0" w:line="240" w:lineRule="auto"/>
        <w:ind w:left="567" w:right="567"/>
        <w:jc w:val="both"/>
        <w:rPr>
          <w:rFonts w:ascii="Palatino Linotype" w:hAnsi="Palatino Linotype"/>
          <w:i/>
        </w:rPr>
      </w:pPr>
    </w:p>
    <w:p w:rsidR="009D77B2" w:rsidRPr="009D77B2" w:rsidRDefault="009D77B2" w:rsidP="009D77B2">
      <w:pPr>
        <w:spacing w:after="0" w:line="240" w:lineRule="auto"/>
        <w:ind w:left="567" w:right="567"/>
        <w:jc w:val="both"/>
        <w:rPr>
          <w:rFonts w:ascii="Palatino Linotype" w:hAnsi="Palatino Linotype"/>
          <w:bCs/>
          <w:i/>
        </w:rPr>
      </w:pPr>
      <w:r w:rsidRPr="009D77B2">
        <w:rPr>
          <w:rFonts w:ascii="Palatino Linotype" w:hAnsi="Palatino Linotype"/>
          <w:b/>
          <w:bCs/>
          <w:i/>
        </w:rPr>
        <w:t>Artículo 4.</w:t>
      </w:r>
      <w:r w:rsidRPr="009D77B2">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D77B2" w:rsidRPr="009D77B2" w:rsidRDefault="009D77B2" w:rsidP="009D77B2">
      <w:pPr>
        <w:spacing w:after="0" w:line="240" w:lineRule="auto"/>
        <w:ind w:left="567" w:right="567"/>
        <w:jc w:val="both"/>
        <w:rPr>
          <w:rFonts w:ascii="Palatino Linotype" w:hAnsi="Palatino Linotype"/>
          <w:bCs/>
          <w:i/>
        </w:rPr>
      </w:pPr>
    </w:p>
    <w:p w:rsidR="009D77B2" w:rsidRPr="009D77B2" w:rsidRDefault="009D77B2" w:rsidP="009D77B2">
      <w:pPr>
        <w:spacing w:after="0" w:line="240" w:lineRule="auto"/>
        <w:ind w:left="567" w:right="567"/>
        <w:jc w:val="both"/>
        <w:rPr>
          <w:rFonts w:ascii="Palatino Linotype" w:hAnsi="Palatino Linotype"/>
          <w:bCs/>
          <w:i/>
        </w:rPr>
      </w:pPr>
      <w:r w:rsidRPr="009D77B2">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D77B2">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D77B2" w:rsidRPr="009D77B2" w:rsidRDefault="009D77B2" w:rsidP="009D77B2">
      <w:pPr>
        <w:spacing w:after="0" w:line="240" w:lineRule="auto"/>
        <w:ind w:left="567" w:right="567"/>
        <w:jc w:val="both"/>
        <w:rPr>
          <w:rFonts w:ascii="Palatino Linotype" w:hAnsi="Palatino Linotype"/>
          <w:bCs/>
          <w:i/>
        </w:rPr>
      </w:pPr>
    </w:p>
    <w:p w:rsidR="009D77B2" w:rsidRPr="009D77B2" w:rsidRDefault="009D77B2" w:rsidP="009D77B2">
      <w:pPr>
        <w:spacing w:after="0" w:line="240" w:lineRule="auto"/>
        <w:ind w:left="567" w:right="567"/>
        <w:jc w:val="both"/>
        <w:rPr>
          <w:rFonts w:ascii="Palatino Linotype" w:hAnsi="Palatino Linotype"/>
          <w:bCs/>
          <w:i/>
        </w:rPr>
      </w:pPr>
      <w:r w:rsidRPr="009D77B2">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9D77B2" w:rsidRPr="009D77B2" w:rsidRDefault="009D77B2" w:rsidP="009D77B2">
      <w:pPr>
        <w:spacing w:after="0" w:line="240" w:lineRule="auto"/>
        <w:ind w:left="567" w:right="567"/>
        <w:jc w:val="both"/>
        <w:rPr>
          <w:rFonts w:ascii="Palatino Linotype" w:hAnsi="Palatino Linotype"/>
          <w:i/>
        </w:rPr>
      </w:pPr>
    </w:p>
    <w:p w:rsidR="009D77B2" w:rsidRPr="009D77B2" w:rsidRDefault="009D77B2" w:rsidP="009D77B2">
      <w:pPr>
        <w:spacing w:after="0" w:line="240" w:lineRule="auto"/>
        <w:ind w:left="567" w:right="567"/>
        <w:jc w:val="both"/>
        <w:rPr>
          <w:rFonts w:ascii="Palatino Linotype" w:hAnsi="Palatino Linotype"/>
          <w:i/>
        </w:rPr>
      </w:pPr>
      <w:r w:rsidRPr="009D77B2">
        <w:rPr>
          <w:rFonts w:ascii="Palatino Linotype" w:hAnsi="Palatino Linotype"/>
          <w:b/>
          <w:i/>
        </w:rPr>
        <w:t>Artículo 12.</w:t>
      </w:r>
      <w:r w:rsidRPr="009D77B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9D77B2" w:rsidRPr="009D77B2" w:rsidRDefault="009D77B2" w:rsidP="009D77B2">
      <w:pPr>
        <w:spacing w:after="0" w:line="240" w:lineRule="auto"/>
        <w:ind w:left="567" w:right="567"/>
        <w:jc w:val="both"/>
        <w:rPr>
          <w:rFonts w:ascii="Palatino Linotype" w:hAnsi="Palatino Linotype"/>
          <w:i/>
        </w:rPr>
      </w:pPr>
    </w:p>
    <w:p w:rsidR="009D77B2" w:rsidRPr="009D77B2" w:rsidRDefault="009D77B2" w:rsidP="009D77B2">
      <w:pPr>
        <w:spacing w:after="0" w:line="240" w:lineRule="auto"/>
        <w:ind w:left="567" w:right="567"/>
        <w:jc w:val="both"/>
        <w:rPr>
          <w:rFonts w:ascii="Palatino Linotype" w:hAnsi="Palatino Linotype"/>
          <w:i/>
          <w:u w:val="single"/>
        </w:rPr>
      </w:pPr>
      <w:r w:rsidRPr="009D77B2">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D77B2">
        <w:rPr>
          <w:rFonts w:ascii="Palatino Linotype" w:hAnsi="Palatino Linotype"/>
          <w:i/>
        </w:rPr>
        <w:t>.</w:t>
      </w:r>
    </w:p>
    <w:p w:rsidR="009D77B2" w:rsidRPr="009D77B2" w:rsidRDefault="009D77B2" w:rsidP="009D77B2">
      <w:pPr>
        <w:spacing w:after="0" w:line="360" w:lineRule="auto"/>
        <w:jc w:val="both"/>
        <w:rPr>
          <w:rFonts w:ascii="Palatino Linotype" w:hAnsi="Palatino Linotype"/>
          <w:sz w:val="24"/>
          <w:szCs w:val="24"/>
        </w:rPr>
      </w:pPr>
    </w:p>
    <w:p w:rsidR="00F26F12" w:rsidRDefault="009D77B2" w:rsidP="009D77B2">
      <w:pPr>
        <w:pStyle w:val="Sinespaciado"/>
        <w:spacing w:line="360" w:lineRule="auto"/>
        <w:jc w:val="both"/>
        <w:rPr>
          <w:rFonts w:ascii="Palatino Linotype" w:hAnsi="Palatino Linotype"/>
          <w:sz w:val="24"/>
          <w:szCs w:val="24"/>
        </w:rPr>
      </w:pPr>
      <w:r w:rsidRPr="009D77B2">
        <w:rPr>
          <w:rFonts w:ascii="Palatino Linotype" w:hAnsi="Palatino Linotype" w:cs="Arial"/>
          <w:sz w:val="24"/>
          <w:szCs w:val="24"/>
        </w:rPr>
        <w:t xml:space="preserve">De la interpretación a los preceptos citados, se desprende que </w:t>
      </w:r>
      <w:r w:rsidRPr="009D77B2">
        <w:rPr>
          <w:rFonts w:ascii="Palatino Linotype" w:hAnsi="Palatino Linotype" w:cs="Arial"/>
          <w:b/>
          <w:sz w:val="24"/>
          <w:szCs w:val="24"/>
          <w:u w:val="single"/>
        </w:rPr>
        <w:t>es información pública</w:t>
      </w:r>
      <w:r>
        <w:rPr>
          <w:rFonts w:ascii="Palatino Linotype" w:hAnsi="Palatino Linotype" w:cs="Arial"/>
          <w:b/>
          <w:sz w:val="24"/>
          <w:szCs w:val="24"/>
          <w:u w:val="single"/>
        </w:rPr>
        <w:t xml:space="preserve"> la contenida en los </w:t>
      </w:r>
      <w:r w:rsidRPr="009D77B2">
        <w:rPr>
          <w:rFonts w:ascii="Palatino Linotype" w:hAnsi="Palatino Linotype" w:cs="Arial"/>
          <w:b/>
          <w:sz w:val="24"/>
          <w:szCs w:val="24"/>
          <w:u w:val="single"/>
        </w:rPr>
        <w:t xml:space="preserve">documentos que los sujetos obligados generen, administren o se encuentren en su posesión en el ejercicio de sus atribuciones </w:t>
      </w:r>
      <w:r w:rsidRPr="009D77B2">
        <w:rPr>
          <w:rFonts w:ascii="Palatino Linotype" w:hAnsi="Palatino Linotype" w:cs="Arial"/>
          <w:sz w:val="24"/>
          <w:szCs w:val="24"/>
        </w:rPr>
        <w:t>y que toda la información generada, obtenida, adquirida, transformada, administrada o en posesión de los sujetos obligados es pública y accesible de manera permanente a cualquier persona.</w:t>
      </w:r>
    </w:p>
    <w:p w:rsidR="00BF4E38" w:rsidRDefault="00BF4E38" w:rsidP="007B48AB">
      <w:pPr>
        <w:pStyle w:val="Sinespaciado"/>
        <w:spacing w:line="360" w:lineRule="auto"/>
        <w:jc w:val="both"/>
        <w:rPr>
          <w:rFonts w:ascii="Palatino Linotype" w:hAnsi="Palatino Linotype"/>
          <w:sz w:val="24"/>
          <w:szCs w:val="24"/>
        </w:rPr>
      </w:pPr>
    </w:p>
    <w:p w:rsidR="00CD08F2" w:rsidRDefault="00CD08F2"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Ahora bien, se debe recordar que el Sujeto Obligado presentó ocho fichas curriculares y tres títulos profesionales, sin especificar el cargo que ostentan los ocho servidores públicos, por lo que se procedió a la verificación en la página oficial de internet del Sujeto Obligado y en su portal de Información Pública de Oficio Mexiquense (IPOMEX), lo que arrojó los siguientes resultados:</w:t>
      </w:r>
    </w:p>
    <w:p w:rsidR="00CD08F2" w:rsidRDefault="00CD08F2" w:rsidP="007B48AB">
      <w:pPr>
        <w:pStyle w:val="Sinespaciado"/>
        <w:spacing w:line="360" w:lineRule="auto"/>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2972"/>
        <w:gridCol w:w="3260"/>
        <w:gridCol w:w="1134"/>
        <w:gridCol w:w="1696"/>
      </w:tblGrid>
      <w:tr w:rsidR="00CD08F2" w:rsidRPr="001C1E0B" w:rsidTr="00756BCD">
        <w:tc>
          <w:tcPr>
            <w:tcW w:w="2972" w:type="dxa"/>
            <w:shd w:val="clear" w:color="auto" w:fill="BFBFBF" w:themeFill="background1" w:themeFillShade="BF"/>
            <w:vAlign w:val="center"/>
          </w:tcPr>
          <w:p w:rsidR="00CD08F2" w:rsidRPr="001C1E0B" w:rsidRDefault="001C1E0B" w:rsidP="001C1E0B">
            <w:pPr>
              <w:jc w:val="both"/>
              <w:rPr>
                <w:rFonts w:ascii="Palatino Linotype" w:hAnsi="Palatino Linotype"/>
                <w:b/>
                <w:sz w:val="20"/>
                <w:szCs w:val="20"/>
              </w:rPr>
            </w:pPr>
            <w:r w:rsidRPr="001C1E0B">
              <w:rPr>
                <w:rFonts w:ascii="Palatino Linotype" w:hAnsi="Palatino Linotype"/>
                <w:b/>
                <w:sz w:val="20"/>
                <w:szCs w:val="20"/>
              </w:rPr>
              <w:t>Servidor público</w:t>
            </w:r>
          </w:p>
        </w:tc>
        <w:tc>
          <w:tcPr>
            <w:tcW w:w="3260" w:type="dxa"/>
            <w:shd w:val="clear" w:color="auto" w:fill="BFBFBF" w:themeFill="background1" w:themeFillShade="BF"/>
            <w:vAlign w:val="center"/>
          </w:tcPr>
          <w:p w:rsidR="00CD08F2" w:rsidRPr="001C1E0B" w:rsidRDefault="001C1E0B" w:rsidP="001C1E0B">
            <w:pPr>
              <w:jc w:val="both"/>
              <w:rPr>
                <w:rFonts w:ascii="Palatino Linotype" w:hAnsi="Palatino Linotype"/>
                <w:b/>
                <w:sz w:val="20"/>
                <w:szCs w:val="20"/>
              </w:rPr>
            </w:pPr>
            <w:r w:rsidRPr="001C1E0B">
              <w:rPr>
                <w:rFonts w:ascii="Palatino Linotype" w:hAnsi="Palatino Linotype"/>
                <w:b/>
                <w:sz w:val="20"/>
                <w:szCs w:val="20"/>
              </w:rPr>
              <w:t>Cargo</w:t>
            </w:r>
          </w:p>
        </w:tc>
        <w:tc>
          <w:tcPr>
            <w:tcW w:w="1134" w:type="dxa"/>
            <w:shd w:val="clear" w:color="auto" w:fill="BFBFBF" w:themeFill="background1" w:themeFillShade="BF"/>
            <w:vAlign w:val="center"/>
          </w:tcPr>
          <w:p w:rsidR="00CD08F2" w:rsidRPr="001C1E0B" w:rsidRDefault="001C1E0B" w:rsidP="001C1E0B">
            <w:pPr>
              <w:jc w:val="both"/>
              <w:rPr>
                <w:rFonts w:ascii="Palatino Linotype" w:hAnsi="Palatino Linotype"/>
                <w:b/>
                <w:sz w:val="20"/>
                <w:szCs w:val="20"/>
              </w:rPr>
            </w:pPr>
            <w:r w:rsidRPr="001C1E0B">
              <w:rPr>
                <w:rFonts w:ascii="Palatino Linotype" w:hAnsi="Palatino Linotype"/>
                <w:b/>
                <w:sz w:val="20"/>
                <w:szCs w:val="20"/>
              </w:rPr>
              <w:t>Ficha curricular</w:t>
            </w:r>
          </w:p>
        </w:tc>
        <w:tc>
          <w:tcPr>
            <w:tcW w:w="1696" w:type="dxa"/>
            <w:shd w:val="clear" w:color="auto" w:fill="BFBFBF" w:themeFill="background1" w:themeFillShade="BF"/>
            <w:vAlign w:val="center"/>
          </w:tcPr>
          <w:p w:rsidR="00CD08F2" w:rsidRPr="001C1E0B" w:rsidRDefault="00EE29D5" w:rsidP="001C1E0B">
            <w:pPr>
              <w:jc w:val="both"/>
              <w:rPr>
                <w:rFonts w:ascii="Palatino Linotype" w:hAnsi="Palatino Linotype"/>
                <w:b/>
                <w:sz w:val="20"/>
                <w:szCs w:val="20"/>
              </w:rPr>
            </w:pPr>
            <w:r>
              <w:rPr>
                <w:rFonts w:ascii="Palatino Linotype" w:hAnsi="Palatino Linotype"/>
                <w:b/>
                <w:sz w:val="20"/>
                <w:szCs w:val="20"/>
              </w:rPr>
              <w:t>Último grado de estudios</w:t>
            </w:r>
          </w:p>
        </w:tc>
      </w:tr>
      <w:tr w:rsidR="00CD08F2" w:rsidRPr="001C1E0B" w:rsidTr="00756BCD">
        <w:tc>
          <w:tcPr>
            <w:tcW w:w="2972" w:type="dxa"/>
            <w:vAlign w:val="center"/>
          </w:tcPr>
          <w:p w:rsidR="00CD08F2" w:rsidRPr="001C1E0B" w:rsidRDefault="001C1E0B" w:rsidP="001C1E0B">
            <w:pPr>
              <w:jc w:val="both"/>
              <w:rPr>
                <w:rFonts w:ascii="Palatino Linotype" w:hAnsi="Palatino Linotype"/>
                <w:sz w:val="20"/>
                <w:szCs w:val="20"/>
              </w:rPr>
            </w:pPr>
            <w:r w:rsidRPr="001C1E0B">
              <w:rPr>
                <w:rFonts w:ascii="Palatino Linotype" w:hAnsi="Palatino Linotype"/>
                <w:sz w:val="20"/>
                <w:szCs w:val="20"/>
              </w:rPr>
              <w:t>Armando Mateos Cedillo</w:t>
            </w:r>
          </w:p>
        </w:tc>
        <w:tc>
          <w:tcPr>
            <w:tcW w:w="3260" w:type="dxa"/>
            <w:vAlign w:val="center"/>
          </w:tcPr>
          <w:p w:rsidR="00CD08F2" w:rsidRPr="001C1E0B" w:rsidRDefault="001C1E0B" w:rsidP="001C1E0B">
            <w:pPr>
              <w:jc w:val="both"/>
              <w:rPr>
                <w:rFonts w:ascii="Palatino Linotype" w:hAnsi="Palatino Linotype"/>
                <w:sz w:val="20"/>
                <w:szCs w:val="20"/>
              </w:rPr>
            </w:pPr>
            <w:r w:rsidRPr="001C1E0B">
              <w:rPr>
                <w:rFonts w:ascii="Palatino Linotype" w:hAnsi="Palatino Linotype"/>
                <w:sz w:val="20"/>
                <w:szCs w:val="20"/>
              </w:rPr>
              <w:t>Presidente Municipal</w:t>
            </w:r>
          </w:p>
        </w:tc>
        <w:tc>
          <w:tcPr>
            <w:tcW w:w="1134" w:type="dxa"/>
            <w:vAlign w:val="center"/>
          </w:tcPr>
          <w:p w:rsidR="00CD08F2" w:rsidRPr="001C1E0B" w:rsidRDefault="001C1E0B" w:rsidP="001C1E0B">
            <w:pPr>
              <w:jc w:val="center"/>
              <w:rPr>
                <w:rFonts w:ascii="Palatino Linotype" w:hAnsi="Palatino Linotype"/>
                <w:sz w:val="20"/>
                <w:szCs w:val="20"/>
              </w:rPr>
            </w:pPr>
            <w:r w:rsidRPr="001C1E0B">
              <w:rPr>
                <w:rFonts w:ascii="Palatino Linotype" w:hAnsi="Palatino Linotype"/>
                <w:sz w:val="20"/>
                <w:szCs w:val="20"/>
              </w:rPr>
              <w:t>Sí</w:t>
            </w:r>
          </w:p>
        </w:tc>
        <w:tc>
          <w:tcPr>
            <w:tcW w:w="1696" w:type="dxa"/>
            <w:vAlign w:val="center"/>
          </w:tcPr>
          <w:p w:rsidR="00CD08F2" w:rsidRPr="001C1E0B" w:rsidRDefault="001C1E0B" w:rsidP="001C1E0B">
            <w:pPr>
              <w:jc w:val="center"/>
              <w:rPr>
                <w:rFonts w:ascii="Palatino Linotype" w:hAnsi="Palatino Linotype"/>
                <w:sz w:val="20"/>
                <w:szCs w:val="20"/>
              </w:rPr>
            </w:pPr>
            <w:r w:rsidRPr="001C1E0B">
              <w:rPr>
                <w:rFonts w:ascii="Palatino Linotype" w:hAnsi="Palatino Linotype"/>
                <w:sz w:val="20"/>
                <w:szCs w:val="20"/>
              </w:rPr>
              <w:t>No</w:t>
            </w:r>
          </w:p>
        </w:tc>
      </w:tr>
      <w:tr w:rsidR="00CD08F2" w:rsidRPr="001C1E0B" w:rsidTr="00756BCD">
        <w:tc>
          <w:tcPr>
            <w:tcW w:w="2972" w:type="dxa"/>
            <w:vAlign w:val="center"/>
          </w:tcPr>
          <w:p w:rsidR="00CD08F2" w:rsidRPr="001C1E0B" w:rsidRDefault="001C1E0B" w:rsidP="001C1E0B">
            <w:pPr>
              <w:jc w:val="both"/>
              <w:rPr>
                <w:rFonts w:ascii="Palatino Linotype" w:hAnsi="Palatino Linotype"/>
                <w:sz w:val="20"/>
                <w:szCs w:val="20"/>
              </w:rPr>
            </w:pPr>
            <w:r w:rsidRPr="001C1E0B">
              <w:rPr>
                <w:rFonts w:ascii="Palatino Linotype" w:hAnsi="Palatino Linotype"/>
                <w:sz w:val="20"/>
                <w:szCs w:val="20"/>
              </w:rPr>
              <w:lastRenderedPageBreak/>
              <w:t>Víctor Manuel Munguía García</w:t>
            </w:r>
          </w:p>
        </w:tc>
        <w:tc>
          <w:tcPr>
            <w:tcW w:w="3260" w:type="dxa"/>
            <w:vAlign w:val="center"/>
          </w:tcPr>
          <w:p w:rsidR="00CD08F2" w:rsidRPr="001C1E0B" w:rsidRDefault="001C1E0B" w:rsidP="001C1E0B">
            <w:pPr>
              <w:jc w:val="both"/>
              <w:rPr>
                <w:rFonts w:ascii="Palatino Linotype" w:hAnsi="Palatino Linotype"/>
                <w:sz w:val="20"/>
                <w:szCs w:val="20"/>
              </w:rPr>
            </w:pPr>
            <w:r w:rsidRPr="001C1E0B">
              <w:rPr>
                <w:rFonts w:ascii="Palatino Linotype" w:hAnsi="Palatino Linotype"/>
                <w:sz w:val="20"/>
                <w:szCs w:val="20"/>
              </w:rPr>
              <w:t>Secretario del Ayuntamiento</w:t>
            </w:r>
          </w:p>
        </w:tc>
        <w:tc>
          <w:tcPr>
            <w:tcW w:w="1134" w:type="dxa"/>
            <w:vAlign w:val="center"/>
          </w:tcPr>
          <w:p w:rsidR="00CD08F2" w:rsidRPr="001C1E0B" w:rsidRDefault="001C1E0B" w:rsidP="001C1E0B">
            <w:pPr>
              <w:jc w:val="center"/>
              <w:rPr>
                <w:rFonts w:ascii="Palatino Linotype" w:hAnsi="Palatino Linotype"/>
                <w:sz w:val="20"/>
                <w:szCs w:val="20"/>
              </w:rPr>
            </w:pPr>
            <w:r w:rsidRPr="001C1E0B">
              <w:rPr>
                <w:rFonts w:ascii="Palatino Linotype" w:hAnsi="Palatino Linotype"/>
                <w:sz w:val="20"/>
                <w:szCs w:val="20"/>
              </w:rPr>
              <w:t>Sí</w:t>
            </w:r>
          </w:p>
        </w:tc>
        <w:tc>
          <w:tcPr>
            <w:tcW w:w="1696" w:type="dxa"/>
            <w:vAlign w:val="center"/>
          </w:tcPr>
          <w:p w:rsidR="00CD08F2" w:rsidRPr="001C1E0B" w:rsidRDefault="001C1E0B" w:rsidP="001C1E0B">
            <w:pPr>
              <w:jc w:val="center"/>
              <w:rPr>
                <w:rFonts w:ascii="Palatino Linotype" w:hAnsi="Palatino Linotype"/>
                <w:sz w:val="20"/>
                <w:szCs w:val="20"/>
              </w:rPr>
            </w:pPr>
            <w:r w:rsidRPr="001C1E0B">
              <w:rPr>
                <w:rFonts w:ascii="Palatino Linotype" w:hAnsi="Palatino Linotype"/>
                <w:sz w:val="20"/>
                <w:szCs w:val="20"/>
              </w:rPr>
              <w:t>Sí</w:t>
            </w:r>
          </w:p>
        </w:tc>
      </w:tr>
      <w:tr w:rsidR="00CD08F2" w:rsidRPr="001C1E0B" w:rsidTr="00756BCD">
        <w:tc>
          <w:tcPr>
            <w:tcW w:w="2972" w:type="dxa"/>
            <w:vAlign w:val="center"/>
          </w:tcPr>
          <w:p w:rsidR="00CD08F2" w:rsidRPr="001C1E0B" w:rsidRDefault="001C1E0B" w:rsidP="001C1E0B">
            <w:pPr>
              <w:jc w:val="both"/>
              <w:rPr>
                <w:rFonts w:ascii="Palatino Linotype" w:hAnsi="Palatino Linotype"/>
                <w:sz w:val="20"/>
                <w:szCs w:val="20"/>
              </w:rPr>
            </w:pPr>
            <w:r>
              <w:rPr>
                <w:rFonts w:ascii="Palatino Linotype" w:hAnsi="Palatino Linotype"/>
                <w:sz w:val="20"/>
                <w:szCs w:val="20"/>
              </w:rPr>
              <w:t>Mariela Mecado Gil</w:t>
            </w:r>
          </w:p>
        </w:tc>
        <w:tc>
          <w:tcPr>
            <w:tcW w:w="3260" w:type="dxa"/>
            <w:vAlign w:val="center"/>
          </w:tcPr>
          <w:p w:rsidR="00CD08F2" w:rsidRPr="001C1E0B" w:rsidRDefault="001C1E0B" w:rsidP="001C1E0B">
            <w:pPr>
              <w:jc w:val="both"/>
              <w:rPr>
                <w:rFonts w:ascii="Palatino Linotype" w:hAnsi="Palatino Linotype"/>
                <w:sz w:val="20"/>
                <w:szCs w:val="20"/>
              </w:rPr>
            </w:pPr>
            <w:r>
              <w:rPr>
                <w:rFonts w:ascii="Palatino Linotype" w:hAnsi="Palatino Linotype"/>
                <w:sz w:val="20"/>
                <w:szCs w:val="20"/>
              </w:rPr>
              <w:t xml:space="preserve">Tesorera Municipal </w:t>
            </w:r>
          </w:p>
        </w:tc>
        <w:tc>
          <w:tcPr>
            <w:tcW w:w="1134" w:type="dxa"/>
            <w:vAlign w:val="center"/>
          </w:tcPr>
          <w:p w:rsidR="00CD08F2" w:rsidRPr="001C1E0B" w:rsidRDefault="001C1E0B" w:rsidP="001C1E0B">
            <w:pPr>
              <w:jc w:val="center"/>
              <w:rPr>
                <w:rFonts w:ascii="Palatino Linotype" w:hAnsi="Palatino Linotype"/>
                <w:sz w:val="20"/>
                <w:szCs w:val="20"/>
              </w:rPr>
            </w:pPr>
            <w:r>
              <w:rPr>
                <w:rFonts w:ascii="Palatino Linotype" w:hAnsi="Palatino Linotype"/>
                <w:sz w:val="20"/>
                <w:szCs w:val="20"/>
              </w:rPr>
              <w:t>Sí</w:t>
            </w:r>
          </w:p>
        </w:tc>
        <w:tc>
          <w:tcPr>
            <w:tcW w:w="1696" w:type="dxa"/>
            <w:vAlign w:val="center"/>
          </w:tcPr>
          <w:p w:rsidR="00CD08F2" w:rsidRPr="001C1E0B" w:rsidRDefault="001C1E0B" w:rsidP="001C1E0B">
            <w:pPr>
              <w:jc w:val="center"/>
              <w:rPr>
                <w:rFonts w:ascii="Palatino Linotype" w:hAnsi="Palatino Linotype"/>
                <w:sz w:val="20"/>
                <w:szCs w:val="20"/>
              </w:rPr>
            </w:pPr>
            <w:r>
              <w:rPr>
                <w:rFonts w:ascii="Palatino Linotype" w:hAnsi="Palatino Linotype"/>
                <w:sz w:val="20"/>
                <w:szCs w:val="20"/>
              </w:rPr>
              <w:t>Sí</w:t>
            </w:r>
          </w:p>
        </w:tc>
      </w:tr>
      <w:tr w:rsidR="00CD08F2" w:rsidRPr="001C1E0B" w:rsidTr="00756BCD">
        <w:tc>
          <w:tcPr>
            <w:tcW w:w="2972" w:type="dxa"/>
            <w:vAlign w:val="center"/>
          </w:tcPr>
          <w:p w:rsidR="00CD08F2" w:rsidRPr="001C1E0B" w:rsidRDefault="00756BCD" w:rsidP="001C1E0B">
            <w:pPr>
              <w:jc w:val="both"/>
              <w:rPr>
                <w:rFonts w:ascii="Palatino Linotype" w:hAnsi="Palatino Linotype"/>
                <w:sz w:val="20"/>
                <w:szCs w:val="20"/>
              </w:rPr>
            </w:pPr>
            <w:r>
              <w:rPr>
                <w:rFonts w:ascii="Palatino Linotype" w:hAnsi="Palatino Linotype"/>
                <w:sz w:val="20"/>
                <w:szCs w:val="20"/>
              </w:rPr>
              <w:t>José Luis García Luna</w:t>
            </w:r>
          </w:p>
        </w:tc>
        <w:tc>
          <w:tcPr>
            <w:tcW w:w="3260" w:type="dxa"/>
            <w:vAlign w:val="center"/>
          </w:tcPr>
          <w:p w:rsidR="00CD08F2" w:rsidRPr="001C1E0B" w:rsidRDefault="00756BCD" w:rsidP="001C1E0B">
            <w:pPr>
              <w:jc w:val="both"/>
              <w:rPr>
                <w:rFonts w:ascii="Palatino Linotype" w:hAnsi="Palatino Linotype"/>
                <w:sz w:val="20"/>
                <w:szCs w:val="20"/>
              </w:rPr>
            </w:pPr>
            <w:r>
              <w:rPr>
                <w:rFonts w:ascii="Palatino Linotype" w:hAnsi="Palatino Linotype"/>
                <w:sz w:val="20"/>
                <w:szCs w:val="20"/>
              </w:rPr>
              <w:t>Director de Desarrollo Urbano, Obras Públicas, Ecología y Servicios Públicos</w:t>
            </w:r>
          </w:p>
        </w:tc>
        <w:tc>
          <w:tcPr>
            <w:tcW w:w="1134" w:type="dxa"/>
            <w:vAlign w:val="center"/>
          </w:tcPr>
          <w:p w:rsidR="00CD08F2" w:rsidRPr="001C1E0B" w:rsidRDefault="00756BCD" w:rsidP="001C1E0B">
            <w:pPr>
              <w:jc w:val="center"/>
              <w:rPr>
                <w:rFonts w:ascii="Palatino Linotype" w:hAnsi="Palatino Linotype"/>
                <w:sz w:val="20"/>
                <w:szCs w:val="20"/>
              </w:rPr>
            </w:pPr>
            <w:r>
              <w:rPr>
                <w:rFonts w:ascii="Palatino Linotype" w:hAnsi="Palatino Linotype"/>
                <w:sz w:val="20"/>
                <w:szCs w:val="20"/>
              </w:rPr>
              <w:t xml:space="preserve">Sí </w:t>
            </w:r>
          </w:p>
        </w:tc>
        <w:tc>
          <w:tcPr>
            <w:tcW w:w="1696" w:type="dxa"/>
            <w:vAlign w:val="center"/>
          </w:tcPr>
          <w:p w:rsidR="00CD08F2" w:rsidRPr="001C1E0B" w:rsidRDefault="00756BCD" w:rsidP="001C1E0B">
            <w:pPr>
              <w:jc w:val="center"/>
              <w:rPr>
                <w:rFonts w:ascii="Palatino Linotype" w:hAnsi="Palatino Linotype"/>
                <w:sz w:val="20"/>
                <w:szCs w:val="20"/>
              </w:rPr>
            </w:pPr>
            <w:r>
              <w:rPr>
                <w:rFonts w:ascii="Palatino Linotype" w:hAnsi="Palatino Linotype"/>
                <w:sz w:val="20"/>
                <w:szCs w:val="20"/>
              </w:rPr>
              <w:t>Sí</w:t>
            </w:r>
          </w:p>
        </w:tc>
      </w:tr>
      <w:tr w:rsidR="00CD08F2" w:rsidRPr="001C1E0B" w:rsidTr="00756BCD">
        <w:tc>
          <w:tcPr>
            <w:tcW w:w="2972" w:type="dxa"/>
            <w:vAlign w:val="center"/>
          </w:tcPr>
          <w:p w:rsidR="00CD08F2" w:rsidRPr="001C1E0B" w:rsidRDefault="00EE29D5" w:rsidP="001C1E0B">
            <w:pPr>
              <w:jc w:val="both"/>
              <w:rPr>
                <w:rFonts w:ascii="Palatino Linotype" w:hAnsi="Palatino Linotype"/>
                <w:sz w:val="20"/>
                <w:szCs w:val="20"/>
              </w:rPr>
            </w:pPr>
            <w:r>
              <w:rPr>
                <w:rFonts w:ascii="Palatino Linotype" w:hAnsi="Palatino Linotype"/>
                <w:sz w:val="20"/>
                <w:szCs w:val="20"/>
              </w:rPr>
              <w:t>Luis Á</w:t>
            </w:r>
            <w:r w:rsidR="00756BCD">
              <w:rPr>
                <w:rFonts w:ascii="Palatino Linotype" w:hAnsi="Palatino Linotype"/>
                <w:sz w:val="20"/>
                <w:szCs w:val="20"/>
              </w:rPr>
              <w:t>ngel Miranda Marcos</w:t>
            </w:r>
          </w:p>
        </w:tc>
        <w:tc>
          <w:tcPr>
            <w:tcW w:w="3260" w:type="dxa"/>
            <w:vAlign w:val="center"/>
          </w:tcPr>
          <w:p w:rsidR="00CD08F2" w:rsidRPr="001C1E0B" w:rsidRDefault="00756BCD" w:rsidP="001C1E0B">
            <w:pPr>
              <w:jc w:val="both"/>
              <w:rPr>
                <w:rFonts w:ascii="Palatino Linotype" w:hAnsi="Palatino Linotype"/>
                <w:sz w:val="20"/>
                <w:szCs w:val="20"/>
              </w:rPr>
            </w:pPr>
            <w:r>
              <w:rPr>
                <w:rFonts w:ascii="Palatino Linotype" w:hAnsi="Palatino Linotype"/>
                <w:sz w:val="20"/>
                <w:szCs w:val="20"/>
              </w:rPr>
              <w:t>Director de Seguridad Pública y Protección Civil</w:t>
            </w:r>
          </w:p>
        </w:tc>
        <w:tc>
          <w:tcPr>
            <w:tcW w:w="1134" w:type="dxa"/>
            <w:vAlign w:val="center"/>
          </w:tcPr>
          <w:p w:rsidR="00CD08F2" w:rsidRPr="001C1E0B" w:rsidRDefault="00756BCD" w:rsidP="001C1E0B">
            <w:pPr>
              <w:jc w:val="center"/>
              <w:rPr>
                <w:rFonts w:ascii="Palatino Linotype" w:hAnsi="Palatino Linotype"/>
                <w:sz w:val="20"/>
                <w:szCs w:val="20"/>
              </w:rPr>
            </w:pPr>
            <w:r>
              <w:rPr>
                <w:rFonts w:ascii="Palatino Linotype" w:hAnsi="Palatino Linotype"/>
                <w:sz w:val="20"/>
                <w:szCs w:val="20"/>
              </w:rPr>
              <w:t>Sí</w:t>
            </w:r>
          </w:p>
        </w:tc>
        <w:tc>
          <w:tcPr>
            <w:tcW w:w="1696" w:type="dxa"/>
            <w:vAlign w:val="center"/>
          </w:tcPr>
          <w:p w:rsidR="00CD08F2" w:rsidRPr="001C1E0B" w:rsidRDefault="00756BCD" w:rsidP="001C1E0B">
            <w:pPr>
              <w:jc w:val="center"/>
              <w:rPr>
                <w:rFonts w:ascii="Palatino Linotype" w:hAnsi="Palatino Linotype"/>
                <w:sz w:val="20"/>
                <w:szCs w:val="20"/>
              </w:rPr>
            </w:pPr>
            <w:r>
              <w:rPr>
                <w:rFonts w:ascii="Palatino Linotype" w:hAnsi="Palatino Linotype"/>
                <w:sz w:val="20"/>
                <w:szCs w:val="20"/>
              </w:rPr>
              <w:t>No</w:t>
            </w:r>
          </w:p>
        </w:tc>
      </w:tr>
      <w:tr w:rsidR="00CD08F2" w:rsidRPr="001C1E0B" w:rsidTr="00756BCD">
        <w:tc>
          <w:tcPr>
            <w:tcW w:w="2972" w:type="dxa"/>
            <w:vAlign w:val="center"/>
          </w:tcPr>
          <w:p w:rsidR="00CD08F2" w:rsidRPr="001C1E0B" w:rsidRDefault="00756BCD" w:rsidP="001C1E0B">
            <w:pPr>
              <w:jc w:val="both"/>
              <w:rPr>
                <w:rFonts w:ascii="Palatino Linotype" w:hAnsi="Palatino Linotype"/>
                <w:sz w:val="20"/>
                <w:szCs w:val="20"/>
              </w:rPr>
            </w:pPr>
            <w:r>
              <w:rPr>
                <w:rFonts w:ascii="Palatino Linotype" w:hAnsi="Palatino Linotype"/>
                <w:sz w:val="20"/>
                <w:szCs w:val="20"/>
              </w:rPr>
              <w:t>Salomón Irineo García</w:t>
            </w:r>
          </w:p>
        </w:tc>
        <w:tc>
          <w:tcPr>
            <w:tcW w:w="3260" w:type="dxa"/>
            <w:vAlign w:val="center"/>
          </w:tcPr>
          <w:p w:rsidR="00CD08F2" w:rsidRPr="001C1E0B" w:rsidRDefault="00756BCD" w:rsidP="001C1E0B">
            <w:pPr>
              <w:jc w:val="both"/>
              <w:rPr>
                <w:rFonts w:ascii="Palatino Linotype" w:hAnsi="Palatino Linotype"/>
                <w:sz w:val="20"/>
                <w:szCs w:val="20"/>
              </w:rPr>
            </w:pPr>
            <w:r>
              <w:rPr>
                <w:rFonts w:ascii="Palatino Linotype" w:hAnsi="Palatino Linotype"/>
                <w:sz w:val="20"/>
                <w:szCs w:val="20"/>
              </w:rPr>
              <w:t>Director de Desarrollo Económico</w:t>
            </w:r>
          </w:p>
        </w:tc>
        <w:tc>
          <w:tcPr>
            <w:tcW w:w="1134" w:type="dxa"/>
            <w:vAlign w:val="center"/>
          </w:tcPr>
          <w:p w:rsidR="00CD08F2" w:rsidRPr="001C1E0B" w:rsidRDefault="00756BCD" w:rsidP="001C1E0B">
            <w:pPr>
              <w:jc w:val="center"/>
              <w:rPr>
                <w:rFonts w:ascii="Palatino Linotype" w:hAnsi="Palatino Linotype"/>
                <w:sz w:val="20"/>
                <w:szCs w:val="20"/>
              </w:rPr>
            </w:pPr>
            <w:r>
              <w:rPr>
                <w:rFonts w:ascii="Palatino Linotype" w:hAnsi="Palatino Linotype"/>
                <w:sz w:val="20"/>
                <w:szCs w:val="20"/>
              </w:rPr>
              <w:t>Sí</w:t>
            </w:r>
          </w:p>
        </w:tc>
        <w:tc>
          <w:tcPr>
            <w:tcW w:w="1696" w:type="dxa"/>
            <w:vAlign w:val="center"/>
          </w:tcPr>
          <w:p w:rsidR="00CD08F2" w:rsidRPr="001C1E0B" w:rsidRDefault="00756BCD" w:rsidP="001C1E0B">
            <w:pPr>
              <w:jc w:val="center"/>
              <w:rPr>
                <w:rFonts w:ascii="Palatino Linotype" w:hAnsi="Palatino Linotype"/>
                <w:sz w:val="20"/>
                <w:szCs w:val="20"/>
              </w:rPr>
            </w:pPr>
            <w:r>
              <w:rPr>
                <w:rFonts w:ascii="Palatino Linotype" w:hAnsi="Palatino Linotype"/>
                <w:sz w:val="20"/>
                <w:szCs w:val="20"/>
              </w:rPr>
              <w:t>No</w:t>
            </w:r>
          </w:p>
        </w:tc>
      </w:tr>
      <w:tr w:rsidR="00CD08F2" w:rsidRPr="001C1E0B" w:rsidTr="00756BCD">
        <w:tc>
          <w:tcPr>
            <w:tcW w:w="2972" w:type="dxa"/>
            <w:vAlign w:val="center"/>
          </w:tcPr>
          <w:p w:rsidR="00CD08F2" w:rsidRPr="001C1E0B" w:rsidRDefault="00756BCD" w:rsidP="001C1E0B">
            <w:pPr>
              <w:jc w:val="both"/>
              <w:rPr>
                <w:rFonts w:ascii="Palatino Linotype" w:hAnsi="Palatino Linotype"/>
                <w:sz w:val="20"/>
                <w:szCs w:val="20"/>
              </w:rPr>
            </w:pPr>
            <w:r>
              <w:rPr>
                <w:rFonts w:ascii="Palatino Linotype" w:hAnsi="Palatino Linotype"/>
                <w:sz w:val="20"/>
                <w:szCs w:val="20"/>
              </w:rPr>
              <w:t>Jorge Luis Hernández García</w:t>
            </w:r>
          </w:p>
        </w:tc>
        <w:tc>
          <w:tcPr>
            <w:tcW w:w="3260" w:type="dxa"/>
            <w:vAlign w:val="center"/>
          </w:tcPr>
          <w:p w:rsidR="00CD08F2" w:rsidRPr="00756BCD" w:rsidRDefault="00756BCD" w:rsidP="001C1E0B">
            <w:pPr>
              <w:jc w:val="both"/>
              <w:rPr>
                <w:rFonts w:ascii="Palatino Linotype" w:hAnsi="Palatino Linotype"/>
                <w:i/>
                <w:sz w:val="20"/>
                <w:szCs w:val="20"/>
              </w:rPr>
            </w:pPr>
            <w:r w:rsidRPr="00756BCD">
              <w:rPr>
                <w:rFonts w:ascii="Palatino Linotype" w:hAnsi="Palatino Linotype"/>
                <w:i/>
                <w:sz w:val="20"/>
                <w:szCs w:val="20"/>
              </w:rPr>
              <w:t>No se especifica</w:t>
            </w:r>
          </w:p>
        </w:tc>
        <w:tc>
          <w:tcPr>
            <w:tcW w:w="1134" w:type="dxa"/>
            <w:vAlign w:val="center"/>
          </w:tcPr>
          <w:p w:rsidR="00CD08F2" w:rsidRPr="001C1E0B" w:rsidRDefault="00756BCD" w:rsidP="001C1E0B">
            <w:pPr>
              <w:jc w:val="center"/>
              <w:rPr>
                <w:rFonts w:ascii="Palatino Linotype" w:hAnsi="Palatino Linotype"/>
                <w:sz w:val="20"/>
                <w:szCs w:val="20"/>
              </w:rPr>
            </w:pPr>
            <w:r>
              <w:rPr>
                <w:rFonts w:ascii="Palatino Linotype" w:hAnsi="Palatino Linotype"/>
                <w:sz w:val="20"/>
                <w:szCs w:val="20"/>
              </w:rPr>
              <w:t>Sí</w:t>
            </w:r>
          </w:p>
        </w:tc>
        <w:tc>
          <w:tcPr>
            <w:tcW w:w="1696" w:type="dxa"/>
            <w:vAlign w:val="center"/>
          </w:tcPr>
          <w:p w:rsidR="00CD08F2" w:rsidRPr="001C1E0B" w:rsidRDefault="00756BCD" w:rsidP="001C1E0B">
            <w:pPr>
              <w:jc w:val="center"/>
              <w:rPr>
                <w:rFonts w:ascii="Palatino Linotype" w:hAnsi="Palatino Linotype"/>
                <w:sz w:val="20"/>
                <w:szCs w:val="20"/>
              </w:rPr>
            </w:pPr>
            <w:r>
              <w:rPr>
                <w:rFonts w:ascii="Palatino Linotype" w:hAnsi="Palatino Linotype"/>
                <w:sz w:val="20"/>
                <w:szCs w:val="20"/>
              </w:rPr>
              <w:t>No</w:t>
            </w:r>
          </w:p>
        </w:tc>
      </w:tr>
      <w:tr w:rsidR="00756BCD" w:rsidRPr="001C1E0B" w:rsidTr="00756BCD">
        <w:tc>
          <w:tcPr>
            <w:tcW w:w="2972" w:type="dxa"/>
            <w:vAlign w:val="center"/>
          </w:tcPr>
          <w:p w:rsidR="00756BCD" w:rsidRPr="001C1E0B" w:rsidRDefault="008F0E57" w:rsidP="001C1E0B">
            <w:pPr>
              <w:jc w:val="both"/>
              <w:rPr>
                <w:rFonts w:ascii="Palatino Linotype" w:hAnsi="Palatino Linotype"/>
                <w:sz w:val="20"/>
                <w:szCs w:val="20"/>
              </w:rPr>
            </w:pPr>
            <w:r>
              <w:rPr>
                <w:rFonts w:ascii="Palatino Linotype" w:hAnsi="Palatino Linotype"/>
                <w:sz w:val="20"/>
                <w:szCs w:val="20"/>
              </w:rPr>
              <w:t>Carlos García Bernardo</w:t>
            </w:r>
          </w:p>
        </w:tc>
        <w:tc>
          <w:tcPr>
            <w:tcW w:w="3260" w:type="dxa"/>
            <w:vAlign w:val="center"/>
          </w:tcPr>
          <w:p w:rsidR="00756BCD" w:rsidRPr="00756BCD" w:rsidRDefault="00756BCD" w:rsidP="001C1E0B">
            <w:pPr>
              <w:jc w:val="both"/>
              <w:rPr>
                <w:rFonts w:ascii="Palatino Linotype" w:hAnsi="Palatino Linotype"/>
                <w:i/>
                <w:sz w:val="20"/>
                <w:szCs w:val="20"/>
              </w:rPr>
            </w:pPr>
            <w:r w:rsidRPr="00756BCD">
              <w:rPr>
                <w:rFonts w:ascii="Palatino Linotype" w:hAnsi="Palatino Linotype"/>
                <w:i/>
                <w:sz w:val="20"/>
                <w:szCs w:val="20"/>
              </w:rPr>
              <w:t xml:space="preserve">No se especifica </w:t>
            </w:r>
          </w:p>
        </w:tc>
        <w:tc>
          <w:tcPr>
            <w:tcW w:w="1134" w:type="dxa"/>
            <w:vAlign w:val="center"/>
          </w:tcPr>
          <w:p w:rsidR="00756BCD" w:rsidRPr="001C1E0B" w:rsidRDefault="00756BCD" w:rsidP="001C1E0B">
            <w:pPr>
              <w:jc w:val="center"/>
              <w:rPr>
                <w:rFonts w:ascii="Palatino Linotype" w:hAnsi="Palatino Linotype"/>
                <w:sz w:val="20"/>
                <w:szCs w:val="20"/>
              </w:rPr>
            </w:pPr>
            <w:r>
              <w:rPr>
                <w:rFonts w:ascii="Palatino Linotype" w:hAnsi="Palatino Linotype"/>
                <w:sz w:val="20"/>
                <w:szCs w:val="20"/>
              </w:rPr>
              <w:t>Sí</w:t>
            </w:r>
          </w:p>
        </w:tc>
        <w:tc>
          <w:tcPr>
            <w:tcW w:w="1696" w:type="dxa"/>
            <w:vAlign w:val="center"/>
          </w:tcPr>
          <w:p w:rsidR="00756BCD" w:rsidRPr="001C1E0B" w:rsidRDefault="00756BCD" w:rsidP="001C1E0B">
            <w:pPr>
              <w:jc w:val="center"/>
              <w:rPr>
                <w:rFonts w:ascii="Palatino Linotype" w:hAnsi="Palatino Linotype"/>
                <w:sz w:val="20"/>
                <w:szCs w:val="20"/>
              </w:rPr>
            </w:pPr>
            <w:r>
              <w:rPr>
                <w:rFonts w:ascii="Palatino Linotype" w:hAnsi="Palatino Linotype"/>
                <w:sz w:val="20"/>
                <w:szCs w:val="20"/>
              </w:rPr>
              <w:t>No</w:t>
            </w:r>
          </w:p>
        </w:tc>
      </w:tr>
    </w:tbl>
    <w:p w:rsidR="00CD08F2" w:rsidRDefault="00CD08F2" w:rsidP="007B48AB">
      <w:pPr>
        <w:pStyle w:val="Sinespaciado"/>
        <w:spacing w:line="360" w:lineRule="auto"/>
        <w:jc w:val="both"/>
        <w:rPr>
          <w:rFonts w:ascii="Palatino Linotype" w:hAnsi="Palatino Linotype"/>
          <w:sz w:val="24"/>
          <w:szCs w:val="24"/>
        </w:rPr>
      </w:pPr>
    </w:p>
    <w:p w:rsidR="00866B25" w:rsidRPr="00224F48" w:rsidRDefault="008F0E57" w:rsidP="00866B25">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la impugnación señalada por el Recurrente resulta correcta, pues no se le entregó el total de la información solicitada. Sin embargo, las razones o motivos de inconformidad señalados por el Recurrente resultan sumamente ambiguos, pues únicamente consisten de la transcripción literal de los artículos 14 y 15 de la Ley de Transparencia y Acceso a la Información Pública del Estado de México y Municipios</w:t>
      </w:r>
      <w:r w:rsidR="00866B25">
        <w:rPr>
          <w:rFonts w:ascii="Palatino Linotype" w:hAnsi="Palatino Linotype"/>
          <w:sz w:val="24"/>
          <w:szCs w:val="24"/>
        </w:rPr>
        <w:t>, sin combatir ningún acto de la autoridad que vulnere el derecho de acceso a la información pública del Recurrente. P</w:t>
      </w:r>
      <w:r w:rsidR="00866B25" w:rsidRPr="00224F48">
        <w:rPr>
          <w:rFonts w:ascii="Palatino Linotype" w:hAnsi="Palatino Linotype"/>
          <w:sz w:val="24"/>
          <w:szCs w:val="24"/>
        </w:rPr>
        <w:t>ara mayor abundamiento es aplicable la Jurisprudencia con número de registro 173593 de la Novena Época, visible en el Semanario Judicial de la Federación y su Gaceta Tomo XXV, de enero de 2007, tesis I.4o.A. j/48 en materia común, en la que se establece lo siguiente:</w:t>
      </w:r>
    </w:p>
    <w:p w:rsidR="00866B25" w:rsidRPr="00224F48" w:rsidRDefault="00866B25" w:rsidP="00866B25">
      <w:pPr>
        <w:spacing w:after="0" w:line="360" w:lineRule="auto"/>
        <w:jc w:val="both"/>
        <w:rPr>
          <w:rFonts w:ascii="Palatino Linotype" w:hAnsi="Palatino Linotype"/>
          <w:sz w:val="24"/>
          <w:szCs w:val="24"/>
        </w:rPr>
      </w:pPr>
    </w:p>
    <w:p w:rsidR="00866B25" w:rsidRPr="00224F48" w:rsidRDefault="00866B25" w:rsidP="00866B25">
      <w:pPr>
        <w:spacing w:after="0" w:line="240" w:lineRule="auto"/>
        <w:ind w:left="567" w:right="567"/>
        <w:jc w:val="both"/>
        <w:rPr>
          <w:rFonts w:ascii="Palatino Linotype" w:hAnsi="Palatino Linotype"/>
          <w:b/>
          <w:i/>
        </w:rPr>
      </w:pPr>
      <w:r w:rsidRPr="00224F48">
        <w:rPr>
          <w:rFonts w:ascii="Palatino Linotype" w:hAnsi="Palatino Linotype"/>
          <w:b/>
          <w:i/>
        </w:rPr>
        <w:t>CONCEPTOS DE VIOLACIÓN O AGRAVIOS. SON INOPERANTES CUANDO LOS ARGUMENTOS EXPUESTOS POR EL QUEJOSO O EL RECURRENTE SON AMBIGUOS Y SUPERFICIALES.</w:t>
      </w:r>
    </w:p>
    <w:p w:rsidR="00866B25" w:rsidRPr="00224F48" w:rsidRDefault="00866B25" w:rsidP="00866B25">
      <w:pPr>
        <w:spacing w:after="0" w:line="240" w:lineRule="auto"/>
        <w:ind w:left="567" w:right="567"/>
        <w:jc w:val="both"/>
        <w:rPr>
          <w:rFonts w:ascii="Palatino Linotype" w:hAnsi="Palatino Linotype"/>
          <w:i/>
        </w:rPr>
      </w:pPr>
    </w:p>
    <w:p w:rsidR="00866B25" w:rsidRPr="00224F48" w:rsidRDefault="00866B25" w:rsidP="00866B25">
      <w:pPr>
        <w:spacing w:after="0" w:line="240" w:lineRule="auto"/>
        <w:ind w:left="567" w:right="567"/>
        <w:jc w:val="both"/>
        <w:rPr>
          <w:rFonts w:ascii="Palatino Linotype" w:hAnsi="Palatino Linotype"/>
          <w:i/>
        </w:rPr>
      </w:pPr>
      <w:r w:rsidRPr="00224F48">
        <w:rPr>
          <w:rFonts w:ascii="Palatino Linotype" w:hAnsi="Palatino Linotype"/>
          <w:i/>
        </w:rPr>
        <w:t xml:space="preserve">Los actos de autoridad y las sentencias están investidos de una presunción de validez que debe ser destruida. Por tanto, </w:t>
      </w:r>
      <w:r w:rsidRPr="00224F48">
        <w:rPr>
          <w:rFonts w:ascii="Palatino Linotype" w:hAnsi="Palatino Linotype"/>
          <w:b/>
          <w:i/>
          <w:u w:val="single"/>
        </w:rPr>
        <w:t xml:space="preserve">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w:t>
      </w:r>
      <w:r w:rsidRPr="00224F48">
        <w:rPr>
          <w:rFonts w:ascii="Palatino Linotype" w:hAnsi="Palatino Linotype"/>
          <w:b/>
          <w:i/>
          <w:u w:val="single"/>
        </w:rPr>
        <w:lastRenderedPageBreak/>
        <w:t>fundamento, razones decisorias o argumentos y al porqué de su reclamación</w:t>
      </w:r>
      <w:r w:rsidRPr="00224F48">
        <w:rPr>
          <w:rFonts w:ascii="Palatino Linotype" w:hAnsi="Palatino Linotype"/>
          <w:i/>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rsidR="00866B25" w:rsidRPr="00224F48" w:rsidRDefault="00866B25" w:rsidP="00866B25">
      <w:pPr>
        <w:spacing w:after="0" w:line="240" w:lineRule="auto"/>
        <w:ind w:left="567" w:right="567"/>
        <w:jc w:val="both"/>
        <w:rPr>
          <w:rFonts w:ascii="Palatino Linotype" w:hAnsi="Palatino Linotype"/>
          <w:i/>
        </w:rPr>
      </w:pPr>
    </w:p>
    <w:p w:rsidR="00866B25" w:rsidRPr="00224F48" w:rsidRDefault="00866B25" w:rsidP="00866B25">
      <w:pPr>
        <w:spacing w:after="0" w:line="240" w:lineRule="auto"/>
        <w:ind w:left="567" w:right="567"/>
        <w:jc w:val="both"/>
        <w:rPr>
          <w:rFonts w:ascii="Palatino Linotype" w:hAnsi="Palatino Linotype"/>
          <w:i/>
        </w:rPr>
      </w:pPr>
      <w:r w:rsidRPr="00224F48">
        <w:rPr>
          <w:rFonts w:ascii="Palatino Linotype" w:hAnsi="Palatino Linotype"/>
          <w:i/>
        </w:rPr>
        <w:t>CUARTO TRIBUNAL COLEGIADO EN MATERIA ADMINISTRATIVA DEL PRIMER CIRCUITO.</w:t>
      </w:r>
    </w:p>
    <w:p w:rsidR="00866B25" w:rsidRPr="00224F48" w:rsidRDefault="00866B25" w:rsidP="00866B25">
      <w:pPr>
        <w:spacing w:after="0" w:line="240" w:lineRule="auto"/>
        <w:ind w:left="567" w:right="567"/>
        <w:jc w:val="both"/>
        <w:rPr>
          <w:rFonts w:ascii="Palatino Linotype" w:hAnsi="Palatino Linotype"/>
          <w:i/>
        </w:rPr>
      </w:pPr>
    </w:p>
    <w:p w:rsidR="00866B25" w:rsidRPr="00224F48" w:rsidRDefault="00866B25" w:rsidP="00866B25">
      <w:pPr>
        <w:spacing w:after="0" w:line="240" w:lineRule="auto"/>
        <w:ind w:left="567" w:right="567"/>
        <w:jc w:val="both"/>
        <w:rPr>
          <w:rFonts w:ascii="Palatino Linotype" w:hAnsi="Palatino Linotype"/>
          <w:i/>
        </w:rPr>
      </w:pPr>
      <w:r w:rsidRPr="00224F48">
        <w:rPr>
          <w:rFonts w:ascii="Palatino Linotype" w:hAnsi="Palatino Linotype"/>
          <w:i/>
        </w:rPr>
        <w:t xml:space="preserve">Amparo en revisión 43/2006. Juan Silva Rodríguez y otros. 22 de febrero de 2006. Unanimidad de votos. Ponente: Jean Claude Tron Petit. Secretaria: Claudia Patricia Peraza Espinoza. </w:t>
      </w:r>
    </w:p>
    <w:p w:rsidR="00866B25" w:rsidRPr="00224F48" w:rsidRDefault="00866B25" w:rsidP="00866B25">
      <w:pPr>
        <w:spacing w:after="0" w:line="240" w:lineRule="auto"/>
        <w:ind w:left="567" w:right="567"/>
        <w:jc w:val="both"/>
        <w:rPr>
          <w:rFonts w:ascii="Palatino Linotype" w:hAnsi="Palatino Linotype"/>
          <w:i/>
        </w:rPr>
      </w:pPr>
    </w:p>
    <w:p w:rsidR="00866B25" w:rsidRPr="00224F48" w:rsidRDefault="00866B25" w:rsidP="00866B25">
      <w:pPr>
        <w:spacing w:after="0" w:line="240" w:lineRule="auto"/>
        <w:ind w:left="567" w:right="567"/>
        <w:jc w:val="both"/>
        <w:rPr>
          <w:rFonts w:ascii="Palatino Linotype" w:hAnsi="Palatino Linotype"/>
          <w:i/>
        </w:rPr>
      </w:pPr>
      <w:r w:rsidRPr="00224F48">
        <w:rPr>
          <w:rFonts w:ascii="Palatino Linotype" w:hAnsi="Palatino Linotype"/>
          <w:i/>
        </w:rPr>
        <w:t xml:space="preserve">Amparo directo 443/2005. Servicios Corporativos Cosmos, S.A. de C.V. 1o. de marzo de 2006. Unanimidad de votos. Ponente: Jean Claude Tron Petit. Secretario: Alfredo A. Martínez Jiménez. </w:t>
      </w:r>
    </w:p>
    <w:p w:rsidR="00866B25" w:rsidRPr="00224F48" w:rsidRDefault="00866B25" w:rsidP="00866B25">
      <w:pPr>
        <w:spacing w:after="0" w:line="240" w:lineRule="auto"/>
        <w:ind w:left="567" w:right="567"/>
        <w:jc w:val="both"/>
        <w:rPr>
          <w:rFonts w:ascii="Palatino Linotype" w:hAnsi="Palatino Linotype"/>
          <w:i/>
        </w:rPr>
      </w:pPr>
    </w:p>
    <w:p w:rsidR="00866B25" w:rsidRPr="00224F48" w:rsidRDefault="00866B25" w:rsidP="00866B25">
      <w:pPr>
        <w:spacing w:after="0" w:line="240" w:lineRule="auto"/>
        <w:ind w:left="567" w:right="567"/>
        <w:jc w:val="both"/>
        <w:rPr>
          <w:rFonts w:ascii="Palatino Linotype" w:hAnsi="Palatino Linotype"/>
          <w:i/>
        </w:rPr>
      </w:pPr>
      <w:r w:rsidRPr="00224F48">
        <w:rPr>
          <w:rFonts w:ascii="Palatino Linotype" w:hAnsi="Palatino Linotype"/>
          <w:i/>
        </w:rPr>
        <w:t xml:space="preserve">Amparo directo 125/2006. Víctor Hugo Reyes Monterrubio. 31 de mayo de 2006. Unanimidad de votos. Ponente: Jean Claude Tron Petit. Secretario: Alfredo A. Martínez Jiménez. </w:t>
      </w:r>
    </w:p>
    <w:p w:rsidR="00866B25" w:rsidRPr="00224F48" w:rsidRDefault="00866B25" w:rsidP="00866B25">
      <w:pPr>
        <w:spacing w:after="0" w:line="240" w:lineRule="auto"/>
        <w:ind w:left="567" w:right="567"/>
        <w:jc w:val="both"/>
        <w:rPr>
          <w:rFonts w:ascii="Palatino Linotype" w:hAnsi="Palatino Linotype"/>
          <w:i/>
        </w:rPr>
      </w:pPr>
    </w:p>
    <w:p w:rsidR="00866B25" w:rsidRPr="00224F48" w:rsidRDefault="00866B25" w:rsidP="00866B25">
      <w:pPr>
        <w:spacing w:after="0" w:line="240" w:lineRule="auto"/>
        <w:ind w:left="567" w:right="567"/>
        <w:jc w:val="both"/>
        <w:rPr>
          <w:rFonts w:ascii="Palatino Linotype" w:hAnsi="Palatino Linotype"/>
          <w:i/>
        </w:rPr>
      </w:pPr>
      <w:r w:rsidRPr="00224F48">
        <w:rPr>
          <w:rFonts w:ascii="Palatino Linotype" w:hAnsi="Palatino Linotype"/>
          <w:i/>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rsidR="00866B25" w:rsidRPr="00224F48" w:rsidRDefault="00866B25" w:rsidP="00866B25">
      <w:pPr>
        <w:spacing w:after="0" w:line="240" w:lineRule="auto"/>
        <w:ind w:left="567" w:right="567"/>
        <w:jc w:val="both"/>
        <w:rPr>
          <w:rFonts w:ascii="Palatino Linotype" w:hAnsi="Palatino Linotype"/>
          <w:i/>
        </w:rPr>
      </w:pPr>
    </w:p>
    <w:p w:rsidR="00866B25" w:rsidRPr="00224F48" w:rsidRDefault="00866B25" w:rsidP="00866B25">
      <w:pPr>
        <w:spacing w:after="0" w:line="240" w:lineRule="auto"/>
        <w:ind w:left="567" w:right="567"/>
        <w:jc w:val="both"/>
        <w:rPr>
          <w:rFonts w:ascii="Palatino Linotype" w:hAnsi="Palatino Linotype"/>
        </w:rPr>
      </w:pPr>
      <w:r w:rsidRPr="00224F48">
        <w:rPr>
          <w:rFonts w:ascii="Palatino Linotype" w:hAnsi="Palatino Linotype"/>
          <w:i/>
        </w:rPr>
        <w:t>Incidente de suspensión (revisión) 380/2006. Director General Jurídico y de Gobierno en la Delegación Tlalpan. 11 de octubre de 2006. Unanimidad de votos. Ponente: Jesús Antonio Nazar Sevilla. Secretaria: Indira Martínez Fernández.</w:t>
      </w:r>
    </w:p>
    <w:p w:rsidR="00866B25" w:rsidRPr="00224F48" w:rsidRDefault="00866B25" w:rsidP="00866B25">
      <w:pPr>
        <w:spacing w:after="0" w:line="360" w:lineRule="auto"/>
        <w:jc w:val="both"/>
        <w:rPr>
          <w:rFonts w:ascii="Palatino Linotype" w:hAnsi="Palatino Linotype"/>
          <w:sz w:val="24"/>
          <w:szCs w:val="24"/>
        </w:rPr>
      </w:pPr>
    </w:p>
    <w:p w:rsidR="00866B25" w:rsidRPr="00224F48" w:rsidRDefault="00866B25" w:rsidP="00866B25">
      <w:pPr>
        <w:spacing w:after="0" w:line="360" w:lineRule="auto"/>
        <w:jc w:val="both"/>
        <w:rPr>
          <w:rFonts w:ascii="Palatino Linotype" w:hAnsi="Palatino Linotype"/>
          <w:sz w:val="24"/>
          <w:szCs w:val="24"/>
        </w:rPr>
      </w:pPr>
      <w:r w:rsidRPr="00224F48">
        <w:rPr>
          <w:rFonts w:ascii="Palatino Linotype" w:hAnsi="Palatino Linotype"/>
          <w:sz w:val="24"/>
          <w:szCs w:val="24"/>
        </w:rPr>
        <w:t xml:space="preserve">De la misma forma, es aplicable la siguiente Tesis Aislada, número de registro 230923 de la Octava Época, que puede consultarse en el Semanario Judicial de la Federación </w:t>
      </w:r>
      <w:r w:rsidRPr="00224F48">
        <w:rPr>
          <w:rFonts w:ascii="Palatino Linotype" w:hAnsi="Palatino Linotype"/>
          <w:sz w:val="24"/>
          <w:szCs w:val="24"/>
        </w:rPr>
        <w:lastRenderedPageBreak/>
        <w:t>Tomo I, Segunda Parte, Enero – Junio de 1988 en materia común, en la que se dispone lo siguiente:</w:t>
      </w:r>
    </w:p>
    <w:p w:rsidR="00866B25" w:rsidRPr="00224F48" w:rsidRDefault="00866B25" w:rsidP="00866B25">
      <w:pPr>
        <w:spacing w:after="0" w:line="360" w:lineRule="auto"/>
        <w:jc w:val="both"/>
        <w:rPr>
          <w:rFonts w:ascii="Palatino Linotype" w:hAnsi="Palatino Linotype"/>
          <w:sz w:val="24"/>
          <w:szCs w:val="24"/>
        </w:rPr>
      </w:pPr>
    </w:p>
    <w:p w:rsidR="00866B25" w:rsidRPr="00224F48" w:rsidRDefault="00866B25" w:rsidP="00866B25">
      <w:pPr>
        <w:spacing w:after="0" w:line="240" w:lineRule="auto"/>
        <w:ind w:left="567" w:right="567"/>
        <w:jc w:val="both"/>
        <w:rPr>
          <w:rFonts w:ascii="Palatino Linotype" w:hAnsi="Palatino Linotype"/>
          <w:b/>
          <w:i/>
        </w:rPr>
      </w:pPr>
      <w:r w:rsidRPr="00224F48">
        <w:rPr>
          <w:rFonts w:ascii="Palatino Linotype" w:hAnsi="Palatino Linotype"/>
          <w:b/>
          <w:i/>
        </w:rPr>
        <w:t>AGRAVIOS, LO QUE DEBE CONSIDERARSE COMO TALES.</w:t>
      </w:r>
    </w:p>
    <w:p w:rsidR="00866B25" w:rsidRPr="00224F48" w:rsidRDefault="00866B25" w:rsidP="00866B25">
      <w:pPr>
        <w:spacing w:after="0" w:line="240" w:lineRule="auto"/>
        <w:ind w:left="567" w:right="567"/>
        <w:jc w:val="both"/>
        <w:rPr>
          <w:rFonts w:ascii="Palatino Linotype" w:hAnsi="Palatino Linotype"/>
          <w:i/>
        </w:rPr>
      </w:pPr>
    </w:p>
    <w:p w:rsidR="00866B25" w:rsidRPr="00224F48" w:rsidRDefault="00866B25" w:rsidP="00866B25">
      <w:pPr>
        <w:spacing w:after="0" w:line="240" w:lineRule="auto"/>
        <w:ind w:left="567" w:right="567"/>
        <w:jc w:val="both"/>
        <w:rPr>
          <w:rFonts w:ascii="Palatino Linotype" w:hAnsi="Palatino Linotype"/>
          <w:i/>
        </w:rPr>
      </w:pPr>
      <w:r w:rsidRPr="00224F48">
        <w:rPr>
          <w:rFonts w:ascii="Palatino Linotype" w:hAnsi="Palatino Linotype"/>
          <w:i/>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w:t>
      </w:r>
      <w:r w:rsidRPr="00224F48">
        <w:rPr>
          <w:rFonts w:ascii="Palatino Linotype" w:hAnsi="Palatino Linotype"/>
          <w:b/>
          <w:i/>
          <w:u w:val="single"/>
        </w:rPr>
        <w:t>no pueden considerarse como agravios la simple manifestación u opinión del recurrente de inconformidad con el sentido de la sentencia recurrida por considerarla ilegal, ya que él mismo debe impugnar con razonamientos lo que la hayan fundado</w:t>
      </w:r>
      <w:r w:rsidRPr="00224F48">
        <w:rPr>
          <w:rFonts w:ascii="Palatino Linotype" w:hAnsi="Palatino Linotype"/>
          <w:i/>
        </w:rPr>
        <w:t xml:space="preserve">. </w:t>
      </w:r>
    </w:p>
    <w:p w:rsidR="00866B25" w:rsidRPr="00224F48" w:rsidRDefault="00866B25" w:rsidP="00866B25">
      <w:pPr>
        <w:spacing w:after="0" w:line="240" w:lineRule="auto"/>
        <w:ind w:left="567" w:right="567"/>
        <w:jc w:val="both"/>
        <w:rPr>
          <w:rFonts w:ascii="Palatino Linotype" w:hAnsi="Palatino Linotype"/>
          <w:i/>
        </w:rPr>
      </w:pPr>
    </w:p>
    <w:p w:rsidR="00866B25" w:rsidRPr="00224F48" w:rsidRDefault="00866B25" w:rsidP="00866B25">
      <w:pPr>
        <w:spacing w:after="0" w:line="240" w:lineRule="auto"/>
        <w:ind w:left="567" w:right="567"/>
        <w:jc w:val="both"/>
        <w:rPr>
          <w:rFonts w:ascii="Palatino Linotype" w:hAnsi="Palatino Linotype"/>
          <w:i/>
        </w:rPr>
      </w:pPr>
      <w:r w:rsidRPr="00224F48">
        <w:rPr>
          <w:rFonts w:ascii="Palatino Linotype" w:hAnsi="Palatino Linotype"/>
          <w:i/>
        </w:rPr>
        <w:t>PRIMER TRIBUNAL COLEGIADO DEL SEPTIMO CIRCUITO.</w:t>
      </w:r>
    </w:p>
    <w:p w:rsidR="00866B25" w:rsidRPr="00224F48" w:rsidRDefault="00866B25" w:rsidP="00866B25">
      <w:pPr>
        <w:spacing w:after="0" w:line="240" w:lineRule="auto"/>
        <w:ind w:left="567" w:right="567"/>
        <w:jc w:val="both"/>
        <w:rPr>
          <w:rFonts w:ascii="Palatino Linotype" w:hAnsi="Palatino Linotype"/>
          <w:i/>
        </w:rPr>
      </w:pPr>
    </w:p>
    <w:p w:rsidR="00866B25" w:rsidRPr="00224F48" w:rsidRDefault="00866B25" w:rsidP="00866B25">
      <w:pPr>
        <w:spacing w:after="0" w:line="240" w:lineRule="auto"/>
        <w:ind w:left="567" w:right="567"/>
        <w:jc w:val="both"/>
        <w:rPr>
          <w:rFonts w:ascii="Palatino Linotype" w:hAnsi="Palatino Linotype"/>
          <w:sz w:val="24"/>
          <w:szCs w:val="24"/>
        </w:rPr>
      </w:pPr>
      <w:r w:rsidRPr="00224F48">
        <w:rPr>
          <w:rFonts w:ascii="Palatino Linotype" w:hAnsi="Palatino Linotype"/>
          <w:i/>
        </w:rPr>
        <w:t>Incidente 563/87. Jorge Orlando Cuallo. 20 de enero de 1988. Unanimidad de votos. Ponente: Tomás Enrique Ochoa Moguel. Secretario: Héctor Riveros Caraza.</w:t>
      </w:r>
    </w:p>
    <w:p w:rsidR="008F0E57" w:rsidRDefault="008F0E57" w:rsidP="007B48AB">
      <w:pPr>
        <w:pStyle w:val="Sinespaciado"/>
        <w:spacing w:line="360" w:lineRule="auto"/>
        <w:jc w:val="both"/>
        <w:rPr>
          <w:rFonts w:ascii="Palatino Linotype" w:hAnsi="Palatino Linotype"/>
          <w:sz w:val="24"/>
          <w:szCs w:val="24"/>
        </w:rPr>
      </w:pPr>
    </w:p>
    <w:p w:rsidR="00CD08F2" w:rsidRDefault="00866B25"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No obstante lo anterior, toda vez que este Instituto advirtió que la información entregada por el Sujeto Obligado no es suficiente para colmar las pretensiones del Recurrente, es dable suplir la deficiencia de la queja del particular en apego a lo establecido en el artículo 13 de la Ley de la Materia</w:t>
      </w:r>
      <w:r w:rsidR="005D5533">
        <w:rPr>
          <w:rStyle w:val="Refdenotaalpie"/>
          <w:rFonts w:ascii="Palatino Linotype" w:hAnsi="Palatino Linotype"/>
          <w:sz w:val="24"/>
          <w:szCs w:val="24"/>
        </w:rPr>
        <w:footnoteReference w:id="2"/>
      </w:r>
      <w:r w:rsidR="005D5533">
        <w:rPr>
          <w:rFonts w:ascii="Palatino Linotype" w:hAnsi="Palatino Linotype"/>
          <w:sz w:val="24"/>
          <w:szCs w:val="24"/>
        </w:rPr>
        <w:t>, por lo que se considera que los motivos de inconformidad son parcialmente fundados en razón de que no se especifica en las fichas curriculares enviadas el cargo del servidor público al que pertenecen y no se hizo entrega del documento en el que conste el último grado de estudios de cinco servidores públicos.</w:t>
      </w:r>
    </w:p>
    <w:p w:rsidR="005D5533" w:rsidRDefault="005D5533" w:rsidP="007B48AB">
      <w:pPr>
        <w:pStyle w:val="Sinespaciado"/>
        <w:spacing w:line="360" w:lineRule="auto"/>
        <w:jc w:val="both"/>
        <w:rPr>
          <w:rFonts w:ascii="Palatino Linotype" w:hAnsi="Palatino Linotype"/>
          <w:sz w:val="24"/>
          <w:szCs w:val="24"/>
        </w:rPr>
      </w:pPr>
    </w:p>
    <w:p w:rsidR="00585E4E" w:rsidRDefault="00585E4E"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En ese orden de ideas, respecto al documento solicitado en el que conste el grado de estudios de los servidores públicos referidos por el Recurrente, es menester señalar que existen cargos públicos para los cuales es necesario contar con un título o cédula profesional, </w:t>
      </w:r>
      <w:r w:rsidR="005A41F9">
        <w:rPr>
          <w:rFonts w:ascii="Palatino Linotype" w:hAnsi="Palatino Linotype"/>
          <w:sz w:val="24"/>
          <w:szCs w:val="24"/>
        </w:rPr>
        <w:t xml:space="preserve">por lo que es agible remitirse a lo dispuesto por el artículo 32 de la Ley Orgánica Municipal del Estado de México, </w:t>
      </w:r>
      <w:r w:rsidR="00712BA2">
        <w:rPr>
          <w:rFonts w:ascii="Palatino Linotype" w:hAnsi="Palatino Linotype"/>
          <w:sz w:val="24"/>
          <w:szCs w:val="24"/>
        </w:rPr>
        <w:t>que a la letra estipula lo siguiente:</w:t>
      </w:r>
    </w:p>
    <w:p w:rsidR="005A41F9" w:rsidRDefault="005A41F9" w:rsidP="007B48AB">
      <w:pPr>
        <w:pStyle w:val="Sinespaciado"/>
        <w:spacing w:line="360" w:lineRule="auto"/>
        <w:jc w:val="both"/>
        <w:rPr>
          <w:rFonts w:ascii="Palatino Linotype" w:hAnsi="Palatino Linotype"/>
          <w:sz w:val="24"/>
          <w:szCs w:val="24"/>
        </w:rPr>
      </w:pPr>
    </w:p>
    <w:p w:rsidR="005A41F9" w:rsidRPr="005A41F9" w:rsidRDefault="005A41F9" w:rsidP="005A41F9">
      <w:pPr>
        <w:pStyle w:val="Sinespaciado"/>
        <w:ind w:left="567" w:right="567"/>
        <w:jc w:val="both"/>
        <w:rPr>
          <w:rFonts w:ascii="Palatino Linotype" w:hAnsi="Palatino Linotype"/>
          <w:i/>
        </w:rPr>
      </w:pPr>
      <w:r w:rsidRPr="005A41F9">
        <w:rPr>
          <w:rFonts w:ascii="Palatino Linotype" w:hAnsi="Palatino Linotype"/>
          <w:b/>
          <w:bCs/>
          <w:i/>
        </w:rPr>
        <w:t>Artículo 32</w:t>
      </w:r>
      <w:r w:rsidRPr="005A41F9">
        <w:rPr>
          <w:rFonts w:ascii="Palatino Linotype" w:hAnsi="Palatino Linotype"/>
          <w:bCs/>
          <w:i/>
          <w:u w:val="single"/>
        </w:rPr>
        <w:t xml:space="preserve">. </w:t>
      </w:r>
      <w:r w:rsidRPr="005A41F9">
        <w:rPr>
          <w:rFonts w:ascii="Palatino Linotype" w:hAnsi="Palatino Linotype"/>
          <w:b/>
          <w:i/>
          <w:u w:val="single"/>
        </w:rPr>
        <w:t>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r w:rsidRPr="005A41F9">
        <w:rPr>
          <w:rFonts w:ascii="Palatino Linotype" w:hAnsi="Palatino Linotype"/>
          <w:b/>
          <w:i/>
        </w:rPr>
        <w:t>:</w:t>
      </w:r>
      <w:r w:rsidRPr="005A41F9">
        <w:rPr>
          <w:rFonts w:ascii="Palatino Linotype" w:hAnsi="Palatino Linotype"/>
          <w:i/>
        </w:rPr>
        <w:t xml:space="preserve"> </w:t>
      </w:r>
    </w:p>
    <w:p w:rsidR="005A41F9" w:rsidRPr="005A41F9" w:rsidRDefault="005A41F9" w:rsidP="005A41F9">
      <w:pPr>
        <w:pStyle w:val="Sinespaciado"/>
        <w:ind w:left="567" w:right="567"/>
        <w:jc w:val="both"/>
        <w:rPr>
          <w:rFonts w:ascii="Palatino Linotype" w:hAnsi="Palatino Linotype"/>
          <w:i/>
        </w:rPr>
      </w:pPr>
    </w:p>
    <w:p w:rsidR="005A41F9" w:rsidRPr="005A41F9" w:rsidRDefault="005A41F9" w:rsidP="005A41F9">
      <w:pPr>
        <w:pStyle w:val="Sinespaciado"/>
        <w:ind w:left="567" w:right="567"/>
        <w:jc w:val="both"/>
        <w:rPr>
          <w:rFonts w:ascii="Palatino Linotype" w:hAnsi="Palatino Linotype"/>
          <w:i/>
        </w:rPr>
      </w:pPr>
      <w:r w:rsidRPr="005A41F9">
        <w:rPr>
          <w:rFonts w:ascii="Palatino Linotype" w:hAnsi="Palatino Linotype"/>
          <w:i/>
        </w:rPr>
        <w:t xml:space="preserve">I. Ser ciudadano del Estado en pleno uso de sus derechos; </w:t>
      </w:r>
    </w:p>
    <w:p w:rsidR="005A41F9" w:rsidRPr="005A41F9" w:rsidRDefault="005A41F9" w:rsidP="005A41F9">
      <w:pPr>
        <w:pStyle w:val="Sinespaciado"/>
        <w:ind w:left="567" w:right="567"/>
        <w:jc w:val="both"/>
        <w:rPr>
          <w:rFonts w:ascii="Palatino Linotype" w:hAnsi="Palatino Linotype"/>
          <w:i/>
        </w:rPr>
      </w:pPr>
      <w:r w:rsidRPr="005A41F9">
        <w:rPr>
          <w:rFonts w:ascii="Palatino Linotype" w:hAnsi="Palatino Linotype"/>
          <w:i/>
        </w:rPr>
        <w:t xml:space="preserve">II. No estar inhabilitado para desempeñar cargo, empleo, o comisión pública. </w:t>
      </w:r>
    </w:p>
    <w:p w:rsidR="005A41F9" w:rsidRPr="005A41F9" w:rsidRDefault="005A41F9" w:rsidP="005A41F9">
      <w:pPr>
        <w:pStyle w:val="Sinespaciado"/>
        <w:ind w:left="567" w:right="567"/>
        <w:jc w:val="both"/>
        <w:rPr>
          <w:rFonts w:ascii="Palatino Linotype" w:hAnsi="Palatino Linotype"/>
          <w:i/>
        </w:rPr>
      </w:pPr>
      <w:r w:rsidRPr="005A41F9">
        <w:rPr>
          <w:rFonts w:ascii="Palatino Linotype" w:hAnsi="Palatino Linotype"/>
          <w:i/>
        </w:rPr>
        <w:t xml:space="preserve">III. No haber sido condenado en proceso penal, por delito intencional que amerite pena privativa de libertad; </w:t>
      </w:r>
    </w:p>
    <w:p w:rsidR="005A41F9" w:rsidRPr="005A41F9" w:rsidRDefault="005A41F9" w:rsidP="005A41F9">
      <w:pPr>
        <w:pStyle w:val="Sinespaciado"/>
        <w:ind w:left="567" w:right="567"/>
        <w:jc w:val="both"/>
        <w:rPr>
          <w:rFonts w:ascii="Palatino Linotype" w:hAnsi="Palatino Linotype"/>
          <w:i/>
        </w:rPr>
      </w:pPr>
      <w:r w:rsidRPr="005A41F9">
        <w:rPr>
          <w:rFonts w:ascii="Palatino Linotype" w:hAnsi="Palatino Linotype"/>
          <w:i/>
        </w:rPr>
        <w:t>IV</w:t>
      </w:r>
      <w:r w:rsidRPr="005A41F9">
        <w:rPr>
          <w:rFonts w:ascii="Palatino Linotype" w:hAnsi="Palatino Linotype"/>
          <w:b/>
          <w:i/>
          <w:u w:val="single"/>
        </w:rPr>
        <w:t>. Contar con título profesional y acreditar experiencia mínima de un año en la materia, anta el Presidente o el Ayuntamiento, cuando sea el caso, para el desempeño de los cargos que así lo requieran</w:t>
      </w:r>
      <w:r w:rsidRPr="005A41F9">
        <w:rPr>
          <w:rFonts w:ascii="Palatino Linotype" w:hAnsi="Palatino Linotype"/>
          <w:i/>
        </w:rPr>
        <w:t xml:space="preserve">; y </w:t>
      </w:r>
    </w:p>
    <w:p w:rsidR="005A41F9" w:rsidRDefault="005A41F9" w:rsidP="005A41F9">
      <w:pPr>
        <w:pStyle w:val="Sinespaciado"/>
        <w:ind w:left="567" w:right="567"/>
        <w:jc w:val="both"/>
        <w:rPr>
          <w:rFonts w:ascii="Palatino Linotype" w:hAnsi="Palatino Linotype"/>
          <w:sz w:val="24"/>
          <w:szCs w:val="24"/>
        </w:rPr>
      </w:pPr>
      <w:r w:rsidRPr="005A41F9">
        <w:rPr>
          <w:rFonts w:ascii="Palatino Linotype" w:hAnsi="Palatino Linotype"/>
          <w:i/>
        </w:rPr>
        <w:t>V. En su caso, contar con certificación en la materia del cargo que se desempeñará.</w:t>
      </w:r>
    </w:p>
    <w:p w:rsidR="005A41F9" w:rsidRDefault="005A41F9" w:rsidP="007B48AB">
      <w:pPr>
        <w:pStyle w:val="Sinespaciado"/>
        <w:spacing w:line="360" w:lineRule="auto"/>
        <w:jc w:val="both"/>
        <w:rPr>
          <w:rFonts w:ascii="Palatino Linotype" w:hAnsi="Palatino Linotype"/>
          <w:sz w:val="24"/>
          <w:szCs w:val="24"/>
        </w:rPr>
      </w:pPr>
    </w:p>
    <w:p w:rsidR="005A41F9" w:rsidRDefault="005A41F9"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Dado que el Sujeto Obligado remitió los títulos profesionales del Secretario del Ayuntamiento, Tesorera Municipal y del Director de Desarrollo Urbano, Obras Públicas, Ecología y Servicios Públicos, se tiene que la respuesta es incompleta en tanto no se remitan los documentos probatorios del grado de estudio del Presidente Municipal, Director de Desarrollo Económico o equivalente, </w:t>
      </w:r>
      <w:r w:rsidR="00E421CB">
        <w:rPr>
          <w:rFonts w:ascii="Palatino Linotype" w:hAnsi="Palatino Linotype"/>
          <w:sz w:val="24"/>
          <w:szCs w:val="24"/>
        </w:rPr>
        <w:t>del Director de Seguridad Pública y Protección Civil y Coordinador de Mejora Regulatoria.</w:t>
      </w:r>
    </w:p>
    <w:p w:rsidR="00E421CB" w:rsidRDefault="00E421CB" w:rsidP="007B48AB">
      <w:pPr>
        <w:pStyle w:val="Sinespaciado"/>
        <w:spacing w:line="360" w:lineRule="auto"/>
        <w:jc w:val="both"/>
        <w:rPr>
          <w:rFonts w:ascii="Palatino Linotype" w:hAnsi="Palatino Linotype"/>
          <w:sz w:val="24"/>
          <w:szCs w:val="24"/>
        </w:rPr>
      </w:pPr>
    </w:p>
    <w:p w:rsidR="00E421CB" w:rsidRDefault="00E421CB"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ese orden de ideas, es imperativo señalar que la Ley en cita establece que para ocupar el cargo de Coordinador de Mejora Regulatoria y de</w:t>
      </w:r>
      <w:r w:rsidRPr="00E421CB">
        <w:rPr>
          <w:rFonts w:ascii="Palatino Linotype" w:hAnsi="Palatino Linotype"/>
          <w:sz w:val="24"/>
          <w:szCs w:val="24"/>
        </w:rPr>
        <w:t xml:space="preserve"> </w:t>
      </w:r>
      <w:r>
        <w:rPr>
          <w:rFonts w:ascii="Palatino Linotype" w:hAnsi="Palatino Linotype"/>
          <w:sz w:val="24"/>
          <w:szCs w:val="24"/>
        </w:rPr>
        <w:t xml:space="preserve">Director de Desarrollo Económico, es un requisito contar con un título profesional, de acuerdo a lo dispuesto en los artículos 85 Sexies y </w:t>
      </w:r>
      <w:r w:rsidR="00B27D7A">
        <w:rPr>
          <w:rFonts w:ascii="Palatino Linotype" w:hAnsi="Palatino Linotype"/>
          <w:sz w:val="24"/>
          <w:szCs w:val="24"/>
        </w:rPr>
        <w:t>96 Quintos, en los que observa lo siguiente:</w:t>
      </w:r>
    </w:p>
    <w:p w:rsidR="005A41F9" w:rsidRDefault="005A41F9" w:rsidP="007B48AB">
      <w:pPr>
        <w:pStyle w:val="Sinespaciado"/>
        <w:spacing w:line="360" w:lineRule="auto"/>
        <w:jc w:val="both"/>
        <w:rPr>
          <w:rFonts w:ascii="Palatino Linotype" w:hAnsi="Palatino Linotype"/>
          <w:sz w:val="24"/>
          <w:szCs w:val="24"/>
        </w:rPr>
      </w:pPr>
    </w:p>
    <w:p w:rsidR="005A41F9" w:rsidRPr="00B27D7A" w:rsidRDefault="00B27D7A" w:rsidP="00B27D7A">
      <w:pPr>
        <w:pStyle w:val="Sinespaciado"/>
        <w:ind w:left="567" w:right="567"/>
        <w:jc w:val="both"/>
        <w:rPr>
          <w:rFonts w:ascii="Palatino Linotype" w:hAnsi="Palatino Linotype"/>
          <w:i/>
        </w:rPr>
      </w:pPr>
      <w:r w:rsidRPr="00B27D7A">
        <w:rPr>
          <w:rFonts w:ascii="Palatino Linotype" w:hAnsi="Palatino Linotype"/>
          <w:b/>
          <w:i/>
        </w:rPr>
        <w:t>Artículo 85 Sexies.</w:t>
      </w:r>
      <w:r w:rsidRPr="00B27D7A">
        <w:rPr>
          <w:rFonts w:ascii="Palatino Linotype" w:hAnsi="Palatino Linotype"/>
          <w:i/>
        </w:rPr>
        <w:t xml:space="preserve"> </w:t>
      </w:r>
      <w:r w:rsidRPr="00B27D7A">
        <w:rPr>
          <w:rFonts w:ascii="Palatino Linotype" w:hAnsi="Palatino Linotype"/>
          <w:b/>
          <w:i/>
          <w:u w:val="single"/>
        </w:rPr>
        <w:t>El Coordinador General Municipal de Mejora Regulatoria</w:t>
      </w:r>
      <w:r w:rsidRPr="00B27D7A">
        <w:rPr>
          <w:rFonts w:ascii="Palatino Linotype" w:hAnsi="Palatino Linotype"/>
          <w:i/>
        </w:rPr>
        <w:t xml:space="preserve">, además de los requisitos establecidos en el artículo 32 de esta Ley, </w:t>
      </w:r>
      <w:r w:rsidRPr="00B27D7A">
        <w:rPr>
          <w:rFonts w:ascii="Palatino Linotype" w:hAnsi="Palatino Linotype"/>
          <w:b/>
          <w:i/>
          <w:u w:val="single"/>
        </w:rPr>
        <w:t>requiere contar con título profesional</w:t>
      </w:r>
      <w:r w:rsidRPr="00B27D7A">
        <w:rPr>
          <w:rFonts w:ascii="Palatino Linotype" w:hAnsi="Palatino Linotype"/>
          <w:i/>
        </w:rPr>
        <w:t>,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p w:rsidR="00B27D7A" w:rsidRDefault="00B27D7A" w:rsidP="007B48AB">
      <w:pPr>
        <w:pStyle w:val="Sinespaciado"/>
        <w:spacing w:line="360" w:lineRule="auto"/>
        <w:jc w:val="both"/>
        <w:rPr>
          <w:rFonts w:ascii="Palatino Linotype" w:hAnsi="Palatino Linotype"/>
          <w:sz w:val="24"/>
          <w:szCs w:val="24"/>
        </w:rPr>
      </w:pPr>
    </w:p>
    <w:p w:rsidR="00712BA2" w:rsidRPr="00712BA2" w:rsidRDefault="00712BA2" w:rsidP="00712BA2">
      <w:pPr>
        <w:pStyle w:val="Sinespaciado"/>
        <w:ind w:left="567" w:right="567"/>
        <w:jc w:val="both"/>
        <w:rPr>
          <w:rFonts w:ascii="Palatino Linotype" w:hAnsi="Palatino Linotype"/>
          <w:i/>
        </w:rPr>
      </w:pPr>
      <w:r w:rsidRPr="00712BA2">
        <w:rPr>
          <w:rFonts w:ascii="Palatino Linotype" w:hAnsi="Palatino Linotype"/>
          <w:b/>
          <w:bCs/>
          <w:i/>
        </w:rPr>
        <w:t xml:space="preserve">Artículo 96 Quintus.- </w:t>
      </w:r>
      <w:r w:rsidRPr="00EE29D5">
        <w:rPr>
          <w:rFonts w:ascii="Palatino Linotype" w:hAnsi="Palatino Linotype"/>
          <w:b/>
          <w:i/>
          <w:u w:val="single"/>
        </w:rPr>
        <w:t>El Director de Desarrollo Económico o Titular de la Unidad Administrativa equivalente</w:t>
      </w:r>
      <w:r w:rsidRPr="00712BA2">
        <w:rPr>
          <w:rFonts w:ascii="Palatino Linotype" w:hAnsi="Palatino Linotype"/>
          <w:i/>
        </w:rPr>
        <w:t xml:space="preserve">, además de los requisitos del artículo 32 de esta Ley, </w:t>
      </w:r>
      <w:r w:rsidRPr="00EE29D5">
        <w:rPr>
          <w:rFonts w:ascii="Palatino Linotype" w:hAnsi="Palatino Linotype"/>
          <w:b/>
          <w:i/>
          <w:u w:val="single"/>
        </w:rPr>
        <w:t>requiere contar con título profesional en el área económico-administrativa</w:t>
      </w:r>
      <w:r w:rsidRPr="00712BA2">
        <w:rPr>
          <w:rFonts w:ascii="Palatino Linotype" w:hAnsi="Palatino Linotype"/>
          <w:i/>
        </w:rPr>
        <w:t xml:space="preserve">, y con experiencia mínima de un año, con anterioridad a la fecha de su designación. </w:t>
      </w:r>
    </w:p>
    <w:p w:rsidR="00712BA2" w:rsidRPr="00712BA2" w:rsidRDefault="00712BA2" w:rsidP="00712BA2">
      <w:pPr>
        <w:pStyle w:val="Sinespaciado"/>
        <w:ind w:left="567" w:right="567"/>
        <w:jc w:val="both"/>
        <w:rPr>
          <w:rFonts w:ascii="Palatino Linotype" w:hAnsi="Palatino Linotype"/>
          <w:i/>
        </w:rPr>
      </w:pPr>
    </w:p>
    <w:p w:rsidR="00585E4E" w:rsidRPr="00712BA2" w:rsidRDefault="00712BA2" w:rsidP="00712BA2">
      <w:pPr>
        <w:pStyle w:val="Sinespaciado"/>
        <w:ind w:left="567" w:right="567"/>
        <w:jc w:val="both"/>
        <w:rPr>
          <w:rFonts w:ascii="Palatino Linotype" w:hAnsi="Palatino Linotype"/>
          <w:i/>
        </w:rPr>
      </w:pPr>
      <w:r w:rsidRPr="00712BA2">
        <w:rPr>
          <w:rFonts w:ascii="Palatino Linotype" w:hAnsi="Palatino Linotype"/>
          <w:i/>
        </w:rPr>
        <w:t>Además deberá acreditar, dentro de los seis meses siguientes a la fecha en que inicie funciones, la certificación de competencia laboral expedida por el Instituto Hacendario del Estado de México.</w:t>
      </w:r>
    </w:p>
    <w:p w:rsidR="00585E4E" w:rsidRDefault="00585E4E" w:rsidP="007B48AB">
      <w:pPr>
        <w:pStyle w:val="Sinespaciado"/>
        <w:spacing w:line="360" w:lineRule="auto"/>
        <w:jc w:val="both"/>
        <w:rPr>
          <w:rFonts w:ascii="Palatino Linotype" w:hAnsi="Palatino Linotype"/>
          <w:sz w:val="24"/>
          <w:szCs w:val="24"/>
        </w:rPr>
      </w:pPr>
    </w:p>
    <w:p w:rsidR="00B27D7A" w:rsidRDefault="00B27D7A" w:rsidP="007B48AB">
      <w:pPr>
        <w:pStyle w:val="Sinespaciado"/>
        <w:spacing w:line="360" w:lineRule="auto"/>
        <w:jc w:val="both"/>
        <w:rPr>
          <w:rFonts w:ascii="Palatino Linotype" w:hAnsi="Palatino Linotype"/>
          <w:sz w:val="24"/>
          <w:szCs w:val="24"/>
        </w:rPr>
      </w:pPr>
    </w:p>
    <w:p w:rsidR="00EE29D5" w:rsidRDefault="00B118F3" w:rsidP="00EE29D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w:t>
      </w:r>
      <w:r w:rsidR="00736B94">
        <w:rPr>
          <w:rFonts w:ascii="Palatino Linotype" w:hAnsi="Palatino Linotype"/>
          <w:sz w:val="24"/>
          <w:szCs w:val="24"/>
        </w:rPr>
        <w:t>es procedente la entrega del título o cédula profesional de</w:t>
      </w:r>
      <w:r w:rsidR="00B27D7A">
        <w:rPr>
          <w:rFonts w:ascii="Palatino Linotype" w:hAnsi="Palatino Linotype"/>
          <w:sz w:val="24"/>
          <w:szCs w:val="24"/>
        </w:rPr>
        <w:t xml:space="preserve"> </w:t>
      </w:r>
      <w:r w:rsidR="00736B94">
        <w:rPr>
          <w:rFonts w:ascii="Palatino Linotype" w:hAnsi="Palatino Linotype"/>
          <w:sz w:val="24"/>
          <w:szCs w:val="24"/>
        </w:rPr>
        <w:t>l</w:t>
      </w:r>
      <w:r w:rsidR="00B27D7A">
        <w:rPr>
          <w:rFonts w:ascii="Palatino Linotype" w:hAnsi="Palatino Linotype"/>
          <w:sz w:val="24"/>
          <w:szCs w:val="24"/>
        </w:rPr>
        <w:t>os</w:t>
      </w:r>
      <w:r w:rsidR="00736B94">
        <w:rPr>
          <w:rFonts w:ascii="Palatino Linotype" w:hAnsi="Palatino Linotype"/>
          <w:sz w:val="24"/>
          <w:szCs w:val="24"/>
        </w:rPr>
        <w:t xml:space="preserve"> servidor</w:t>
      </w:r>
      <w:r w:rsidR="00B27D7A">
        <w:rPr>
          <w:rFonts w:ascii="Palatino Linotype" w:hAnsi="Palatino Linotype"/>
          <w:sz w:val="24"/>
          <w:szCs w:val="24"/>
        </w:rPr>
        <w:t>es</w:t>
      </w:r>
      <w:r w:rsidR="00736B94">
        <w:rPr>
          <w:rFonts w:ascii="Palatino Linotype" w:hAnsi="Palatino Linotype"/>
          <w:sz w:val="24"/>
          <w:szCs w:val="24"/>
        </w:rPr>
        <w:t xml:space="preserve"> público</w:t>
      </w:r>
      <w:r w:rsidR="00B27D7A">
        <w:rPr>
          <w:rFonts w:ascii="Palatino Linotype" w:hAnsi="Palatino Linotype"/>
          <w:sz w:val="24"/>
          <w:szCs w:val="24"/>
        </w:rPr>
        <w:t>s</w:t>
      </w:r>
      <w:r w:rsidR="00736B94">
        <w:rPr>
          <w:rFonts w:ascii="Palatino Linotype" w:hAnsi="Palatino Linotype"/>
          <w:sz w:val="24"/>
          <w:szCs w:val="24"/>
        </w:rPr>
        <w:t xml:space="preserve"> con el cargo de</w:t>
      </w:r>
      <w:r w:rsidR="00B27D7A">
        <w:rPr>
          <w:rFonts w:ascii="Palatino Linotype" w:hAnsi="Palatino Linotype"/>
          <w:sz w:val="24"/>
          <w:szCs w:val="24"/>
        </w:rPr>
        <w:t xml:space="preserve"> Coordinador de Mejora Regulatoria y</w:t>
      </w:r>
      <w:r w:rsidR="00736B94">
        <w:rPr>
          <w:rFonts w:ascii="Palatino Linotype" w:hAnsi="Palatino Linotype"/>
          <w:sz w:val="24"/>
          <w:szCs w:val="24"/>
        </w:rPr>
        <w:t xml:space="preserve"> Director de Desarrollo Económico o titular de la unidad administrativa equivalente.</w:t>
      </w:r>
    </w:p>
    <w:p w:rsidR="00EE29D5" w:rsidRDefault="00EE29D5" w:rsidP="00EE29D5">
      <w:pPr>
        <w:pStyle w:val="Sinespaciado"/>
        <w:spacing w:line="360" w:lineRule="auto"/>
        <w:jc w:val="both"/>
        <w:rPr>
          <w:rFonts w:ascii="Palatino Linotype" w:hAnsi="Palatino Linotype"/>
          <w:sz w:val="24"/>
          <w:szCs w:val="24"/>
        </w:rPr>
      </w:pPr>
    </w:p>
    <w:p w:rsidR="001337D1" w:rsidRDefault="00736B94" w:rsidP="00EE29D5">
      <w:pPr>
        <w:pStyle w:val="Sinespaciado"/>
        <w:spacing w:line="360" w:lineRule="auto"/>
        <w:jc w:val="both"/>
        <w:rPr>
          <w:rFonts w:ascii="Palatino Linotype" w:hAnsi="Palatino Linotype"/>
          <w:bCs/>
          <w:sz w:val="24"/>
          <w:szCs w:val="24"/>
          <w:lang w:eastAsia="es-MX"/>
        </w:rPr>
      </w:pPr>
      <w:r>
        <w:rPr>
          <w:rFonts w:ascii="Palatino Linotype" w:hAnsi="Palatino Linotype"/>
          <w:sz w:val="24"/>
          <w:szCs w:val="24"/>
        </w:rPr>
        <w:t>Por otra parte,</w:t>
      </w:r>
      <w:r w:rsidR="00B27D7A">
        <w:rPr>
          <w:rFonts w:ascii="Palatino Linotype" w:hAnsi="Palatino Linotype"/>
          <w:sz w:val="24"/>
          <w:szCs w:val="24"/>
        </w:rPr>
        <w:t xml:space="preserve"> por lo que respecta al grado de estudios del Presidente Municipal y Director de Seguridad Pública y Protección Civil,</w:t>
      </w:r>
      <w:r>
        <w:rPr>
          <w:rFonts w:ascii="Palatino Linotype" w:hAnsi="Palatino Linotype"/>
          <w:sz w:val="24"/>
          <w:szCs w:val="24"/>
        </w:rPr>
        <w:t xml:space="preserve"> si bien es cierto que </w:t>
      </w:r>
      <w:r w:rsidR="00B27D7A">
        <w:rPr>
          <w:rFonts w:ascii="Palatino Linotype" w:hAnsi="Palatino Linotype"/>
          <w:sz w:val="24"/>
          <w:szCs w:val="24"/>
        </w:rPr>
        <w:t xml:space="preserve">la normativad </w:t>
      </w:r>
      <w:r w:rsidR="00B27D7A">
        <w:rPr>
          <w:rFonts w:ascii="Palatino Linotype" w:hAnsi="Palatino Linotype"/>
          <w:sz w:val="24"/>
          <w:szCs w:val="24"/>
        </w:rPr>
        <w:lastRenderedPageBreak/>
        <w:t xml:space="preserve">no los constriñe a presentar un título o cédula profesional, </w:t>
      </w:r>
      <w:r>
        <w:rPr>
          <w:rFonts w:ascii="Palatino Linotype" w:hAnsi="Palatino Linotype"/>
          <w:sz w:val="24"/>
          <w:szCs w:val="24"/>
        </w:rPr>
        <w:t>esto no es óbice para que el Sujeto Obligado no cuente con el documento en el que conste el último grado de estudios del resto de los servidores p</w:t>
      </w:r>
      <w:r w:rsidR="001337D1">
        <w:rPr>
          <w:rFonts w:ascii="Palatino Linotype" w:hAnsi="Palatino Linotype"/>
          <w:sz w:val="24"/>
          <w:szCs w:val="24"/>
        </w:rPr>
        <w:t xml:space="preserve">úblicos referidos en la solicitud de información, pues </w:t>
      </w:r>
      <w:r w:rsidR="001337D1" w:rsidRPr="00AC44D4">
        <w:rPr>
          <w:rFonts w:ascii="Palatino Linotype" w:hAnsi="Palatino Linotype" w:cs="Arial"/>
          <w:sz w:val="24"/>
          <w:szCs w:val="24"/>
        </w:rPr>
        <w:t xml:space="preserve">, es de señalar que el </w:t>
      </w:r>
      <w:r w:rsidR="001337D1" w:rsidRPr="00AC44D4">
        <w:rPr>
          <w:rFonts w:ascii="Palatino Linotype" w:hAnsi="Palatino Linotype"/>
          <w:bCs/>
          <w:sz w:val="24"/>
          <w:szCs w:val="24"/>
          <w:lang w:eastAsia="es-MX"/>
        </w:rPr>
        <w:t>artículo 92, fracción XXI</w:t>
      </w:r>
      <w:r w:rsidR="001337D1">
        <w:rPr>
          <w:rFonts w:ascii="Palatino Linotype" w:hAnsi="Palatino Linotype"/>
          <w:bCs/>
          <w:sz w:val="24"/>
          <w:szCs w:val="24"/>
          <w:lang w:eastAsia="es-MX"/>
        </w:rPr>
        <w:t>,</w:t>
      </w:r>
      <w:r w:rsidR="001337D1" w:rsidRPr="00AC44D4">
        <w:rPr>
          <w:rFonts w:ascii="Palatino Linotype" w:hAnsi="Palatino Linotype"/>
          <w:bCs/>
          <w:sz w:val="24"/>
          <w:szCs w:val="24"/>
          <w:lang w:eastAsia="es-MX"/>
        </w:rPr>
        <w:t xml:space="preserve">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rsidR="00EE29D5" w:rsidRPr="00AC44D4" w:rsidRDefault="00EE29D5" w:rsidP="00EE29D5">
      <w:pPr>
        <w:pStyle w:val="Sinespaciado"/>
        <w:spacing w:line="360" w:lineRule="auto"/>
        <w:jc w:val="both"/>
        <w:rPr>
          <w:rFonts w:ascii="Palatino Linotype" w:hAnsi="Palatino Linotype"/>
          <w:bCs/>
          <w:sz w:val="24"/>
          <w:szCs w:val="24"/>
          <w:lang w:eastAsia="es-MX"/>
        </w:rPr>
      </w:pPr>
    </w:p>
    <w:p w:rsidR="001337D1" w:rsidRPr="00502EAD" w:rsidRDefault="001337D1" w:rsidP="001337D1">
      <w:pPr>
        <w:widowControl w:val="0"/>
        <w:autoSpaceDE w:val="0"/>
        <w:autoSpaceDN w:val="0"/>
        <w:adjustRightInd w:val="0"/>
        <w:spacing w:after="0"/>
        <w:ind w:left="567" w:right="567"/>
        <w:jc w:val="both"/>
        <w:rPr>
          <w:rFonts w:ascii="Palatino Linotype" w:hAnsi="Palatino Linotype"/>
          <w:bCs/>
          <w:i/>
          <w:lang w:eastAsia="es-MX"/>
        </w:rPr>
      </w:pPr>
      <w:r w:rsidRPr="00502EAD">
        <w:rPr>
          <w:rFonts w:ascii="Palatino Linotype" w:hAnsi="Palatino Linotype"/>
          <w:b/>
          <w:bCs/>
          <w:i/>
          <w:lang w:eastAsia="es-MX"/>
        </w:rPr>
        <w:t>Artículo 92</w:t>
      </w:r>
      <w:r w:rsidRPr="00502EAD">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337D1" w:rsidRPr="00502EAD" w:rsidRDefault="001337D1" w:rsidP="001337D1">
      <w:pPr>
        <w:widowControl w:val="0"/>
        <w:autoSpaceDE w:val="0"/>
        <w:autoSpaceDN w:val="0"/>
        <w:adjustRightInd w:val="0"/>
        <w:spacing w:after="0"/>
        <w:ind w:left="567" w:right="567"/>
        <w:jc w:val="both"/>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r w:rsidRPr="00502EAD">
        <w:t xml:space="preserve"> </w:t>
      </w:r>
    </w:p>
    <w:p w:rsidR="001337D1" w:rsidRPr="00502EAD" w:rsidRDefault="001337D1" w:rsidP="001337D1">
      <w:pPr>
        <w:widowControl w:val="0"/>
        <w:autoSpaceDE w:val="0"/>
        <w:autoSpaceDN w:val="0"/>
        <w:adjustRightInd w:val="0"/>
        <w:spacing w:after="0"/>
        <w:ind w:left="567" w:right="567"/>
        <w:jc w:val="both"/>
        <w:rPr>
          <w:rFonts w:ascii="Palatino Linotype" w:hAnsi="Palatino Linotype"/>
          <w:bCs/>
          <w:i/>
          <w:lang w:eastAsia="es-MX"/>
        </w:rPr>
      </w:pPr>
      <w:r w:rsidRPr="00502EAD">
        <w:rPr>
          <w:rFonts w:ascii="Palatino Linotype" w:hAnsi="Palatino Linotype"/>
          <w:b/>
          <w:bCs/>
          <w:i/>
          <w:lang w:eastAsia="es-MX"/>
        </w:rPr>
        <w:t>XXI.</w:t>
      </w:r>
      <w:r w:rsidRPr="00502EAD">
        <w:rPr>
          <w:rFonts w:ascii="Palatino Linotype" w:hAnsi="Palatino Linotype"/>
          <w:bCs/>
          <w:i/>
          <w:lang w:eastAsia="es-MX"/>
        </w:rPr>
        <w:t xml:space="preserve"> </w:t>
      </w:r>
      <w:r w:rsidRPr="00AC44D4">
        <w:rPr>
          <w:rFonts w:ascii="Palatino Linotype" w:hAnsi="Palatino Linotype"/>
          <w:b/>
          <w:bCs/>
          <w:i/>
          <w:u w:val="single"/>
          <w:lang w:eastAsia="es-MX"/>
        </w:rPr>
        <w:t>La información curricular</w:t>
      </w:r>
      <w:r w:rsidRPr="00AC44D4">
        <w:rPr>
          <w:rFonts w:ascii="Palatino Linotype" w:hAnsi="Palatino Linotype"/>
          <w:b/>
          <w:bCs/>
          <w:i/>
          <w:lang w:eastAsia="es-MX"/>
        </w:rPr>
        <w:t xml:space="preserve">, </w:t>
      </w:r>
      <w:r w:rsidRPr="00AC44D4">
        <w:rPr>
          <w:rFonts w:ascii="Palatino Linotype" w:hAnsi="Palatino Linotype"/>
          <w:b/>
          <w:bCs/>
          <w:i/>
          <w:u w:val="single"/>
          <w:lang w:eastAsia="es-MX"/>
        </w:rPr>
        <w:t>desde el nivel de jefe de departamento o equivalente, hasta el titular del sujeto obligado</w:t>
      </w:r>
      <w:r w:rsidRPr="00502EAD">
        <w:rPr>
          <w:rFonts w:ascii="Palatino Linotype" w:hAnsi="Palatino Linotype"/>
          <w:bCs/>
          <w:i/>
          <w:lang w:eastAsia="es-MX"/>
        </w:rPr>
        <w:t xml:space="preserve">, así como, en su caso, las sanciones administrativas de que haya sido objeto; </w:t>
      </w:r>
    </w:p>
    <w:p w:rsidR="001337D1" w:rsidRPr="00502EAD" w:rsidRDefault="001337D1" w:rsidP="001337D1">
      <w:pPr>
        <w:widowControl w:val="0"/>
        <w:autoSpaceDE w:val="0"/>
        <w:autoSpaceDN w:val="0"/>
        <w:adjustRightInd w:val="0"/>
        <w:spacing w:after="0"/>
        <w:ind w:left="567" w:right="567"/>
        <w:jc w:val="both"/>
        <w:rPr>
          <w:rFonts w:ascii="Palatino Linotype" w:hAnsi="Palatino Linotype"/>
          <w:bCs/>
          <w:i/>
          <w:lang w:eastAsia="es-MX"/>
        </w:rPr>
      </w:pPr>
      <w:r>
        <w:rPr>
          <w:rFonts w:ascii="Palatino Linotype" w:hAnsi="Palatino Linotype"/>
          <w:bCs/>
          <w:i/>
          <w:lang w:eastAsia="es-MX"/>
        </w:rPr>
        <w:t>(</w:t>
      </w:r>
      <w:r w:rsidRPr="00502EAD">
        <w:rPr>
          <w:rFonts w:ascii="Palatino Linotype" w:hAnsi="Palatino Linotype"/>
          <w:bCs/>
          <w:i/>
          <w:lang w:eastAsia="es-MX"/>
        </w:rPr>
        <w:t>…</w:t>
      </w:r>
      <w:r>
        <w:rPr>
          <w:rFonts w:ascii="Palatino Linotype" w:hAnsi="Palatino Linotype"/>
          <w:bCs/>
          <w:i/>
          <w:lang w:eastAsia="es-MX"/>
        </w:rPr>
        <w:t>)</w:t>
      </w:r>
    </w:p>
    <w:p w:rsidR="00736B94" w:rsidRDefault="00736B94" w:rsidP="007B48AB">
      <w:pPr>
        <w:pStyle w:val="Sinespaciado"/>
        <w:spacing w:line="360" w:lineRule="auto"/>
        <w:jc w:val="both"/>
        <w:rPr>
          <w:rFonts w:ascii="Palatino Linotype" w:hAnsi="Palatino Linotype"/>
          <w:sz w:val="24"/>
          <w:szCs w:val="24"/>
        </w:rPr>
      </w:pPr>
    </w:p>
    <w:p w:rsidR="008D6DB6" w:rsidRDefault="001337D1"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En este punto es necesario recalcar que el Sujeto Obligado hizo entrega de un total de ocho fichas curriculares, lo cual se considera colmado; sin embargo, no se hizo entrega de los documentos en los que consta el último grado de estudios del Presidente Municipal, Director de Seguridad Pública y Protecci</w:t>
      </w:r>
      <w:r w:rsidR="00844695">
        <w:rPr>
          <w:rFonts w:ascii="Palatino Linotype" w:hAnsi="Palatino Linotype"/>
          <w:sz w:val="24"/>
          <w:szCs w:val="24"/>
        </w:rPr>
        <w:t>ón Civil</w:t>
      </w:r>
      <w:r>
        <w:rPr>
          <w:rFonts w:ascii="Palatino Linotype" w:hAnsi="Palatino Linotype"/>
          <w:sz w:val="24"/>
          <w:szCs w:val="24"/>
        </w:rPr>
        <w:t xml:space="preserve"> y de dos servidores públicos </w:t>
      </w:r>
      <w:r w:rsidR="00B27D7A">
        <w:rPr>
          <w:rFonts w:ascii="Palatino Linotype" w:hAnsi="Palatino Linotype"/>
          <w:sz w:val="24"/>
          <w:szCs w:val="24"/>
        </w:rPr>
        <w:t>más</w:t>
      </w:r>
      <w:r w:rsidR="00F0250B">
        <w:rPr>
          <w:rFonts w:ascii="Palatino Linotype" w:hAnsi="Palatino Linotype"/>
          <w:sz w:val="24"/>
          <w:szCs w:val="24"/>
        </w:rPr>
        <w:t xml:space="preserve"> de los que se desconoce su cargo en la administración pública municipal</w:t>
      </w:r>
      <w:r w:rsidR="00B27D7A">
        <w:rPr>
          <w:rFonts w:ascii="Palatino Linotype" w:hAnsi="Palatino Linotype"/>
          <w:sz w:val="24"/>
          <w:szCs w:val="24"/>
        </w:rPr>
        <w:t xml:space="preserve">, </w:t>
      </w:r>
      <w:r w:rsidR="00585E4E">
        <w:rPr>
          <w:rFonts w:ascii="Palatino Linotype" w:hAnsi="Palatino Linotype"/>
          <w:sz w:val="24"/>
          <w:szCs w:val="24"/>
        </w:rPr>
        <w:t xml:space="preserve">lo que no es </w:t>
      </w:r>
      <w:r w:rsidR="00371211">
        <w:rPr>
          <w:rFonts w:ascii="Palatino Linotype" w:hAnsi="Palatino Linotype"/>
          <w:sz w:val="24"/>
          <w:szCs w:val="24"/>
        </w:rPr>
        <w:t xml:space="preserve">impedimento para deducir que cuenta con la información respecto del </w:t>
      </w:r>
      <w:r w:rsidR="00585E4E">
        <w:rPr>
          <w:rFonts w:ascii="Palatino Linotype" w:hAnsi="Palatino Linotype"/>
          <w:sz w:val="24"/>
          <w:szCs w:val="24"/>
        </w:rPr>
        <w:t xml:space="preserve">documento en el que conste el último grado de estudio de los </w:t>
      </w:r>
      <w:r w:rsidR="00F0250B">
        <w:rPr>
          <w:rFonts w:ascii="Palatino Linotype" w:hAnsi="Palatino Linotype"/>
          <w:sz w:val="24"/>
          <w:szCs w:val="24"/>
        </w:rPr>
        <w:t xml:space="preserve">cuatro </w:t>
      </w:r>
      <w:r w:rsidR="00585E4E">
        <w:rPr>
          <w:rFonts w:ascii="Palatino Linotype" w:hAnsi="Palatino Linotype"/>
          <w:sz w:val="24"/>
          <w:szCs w:val="24"/>
        </w:rPr>
        <w:t>servidores p</w:t>
      </w:r>
      <w:r w:rsidR="00CB2746">
        <w:rPr>
          <w:rFonts w:ascii="Palatino Linotype" w:hAnsi="Palatino Linotype"/>
          <w:sz w:val="24"/>
          <w:szCs w:val="24"/>
        </w:rPr>
        <w:t>úblicos.</w:t>
      </w:r>
    </w:p>
    <w:p w:rsidR="00CB2746" w:rsidRDefault="00CB2746" w:rsidP="007B48AB">
      <w:pPr>
        <w:pStyle w:val="Sinespaciado"/>
        <w:spacing w:line="360" w:lineRule="auto"/>
        <w:jc w:val="both"/>
        <w:rPr>
          <w:rFonts w:ascii="Palatino Linotype" w:hAnsi="Palatino Linotype"/>
          <w:sz w:val="24"/>
          <w:szCs w:val="24"/>
        </w:rPr>
      </w:pPr>
    </w:p>
    <w:p w:rsidR="00CB2746" w:rsidRDefault="00CB2746"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Lo anterior se concluye toda vez que la Ley del Trabajo de los Servidores Públicos del Estado de México y Municipio establece que para ingresar al servicio público se requiere lo siguiente:</w:t>
      </w:r>
    </w:p>
    <w:p w:rsidR="00CB2746" w:rsidRDefault="00CB2746" w:rsidP="007B48AB">
      <w:pPr>
        <w:pStyle w:val="Sinespaciado"/>
        <w:spacing w:line="360" w:lineRule="auto"/>
        <w:jc w:val="both"/>
        <w:rPr>
          <w:rFonts w:ascii="Palatino Linotype" w:hAnsi="Palatino Linotype"/>
          <w:sz w:val="24"/>
          <w:szCs w:val="24"/>
        </w:rPr>
      </w:pP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b/>
          <w:bCs/>
          <w:i/>
        </w:rPr>
        <w:t xml:space="preserve">ARTÍCULO 47. </w:t>
      </w:r>
      <w:r w:rsidRPr="001D6D43">
        <w:rPr>
          <w:rFonts w:ascii="Palatino Linotype" w:hAnsi="Palatino Linotype"/>
          <w:i/>
        </w:rPr>
        <w:t>Para ingresar al servicio público se requiere:</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 xml:space="preserve">I. </w:t>
      </w:r>
      <w:r w:rsidRPr="001D6D43">
        <w:rPr>
          <w:rFonts w:ascii="Palatino Linotype" w:hAnsi="Palatino Linotype"/>
          <w:b/>
          <w:i/>
          <w:u w:val="single"/>
        </w:rPr>
        <w:t>Presentar una solicitud utilizando la forma oficial que se autorice por la institución pública o dependencia correspondiente</w:t>
      </w:r>
      <w:r w:rsidRPr="001D6D43">
        <w:rPr>
          <w:rFonts w:ascii="Palatino Linotype" w:hAnsi="Palatino Linotype"/>
          <w:i/>
        </w:rPr>
        <w:t>;</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II. Ser de nacionalidad mexicana, con la excepción prevista en el artículo 17 de la presente ley;</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III. Estar en pleno ejercicio de sus derechos civiles y políticos, en su caso;</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IV. Acreditar, cuando proceda, el cumplimiento de la Ley del Servicio Militar Nacional;</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V. Derogada.</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VI. No haber sido separado anteriormente del servicio por las causas previstas en la fracción V del artículo 89 y en el artículo 93 de la presente ley;</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VII. Tener buena salud, lo que se comprobará con los certificados médicos correspondientes, en la forma en que se establezca en cada institución pública;</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VIII. Cumplir con los requisitos que se establezcan para los diferentes puestos;</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 xml:space="preserve">IX. </w:t>
      </w:r>
      <w:r w:rsidRPr="001D6D43">
        <w:rPr>
          <w:rFonts w:ascii="Palatino Linotype" w:hAnsi="Palatino Linotype"/>
          <w:b/>
          <w:i/>
          <w:u w:val="single"/>
        </w:rPr>
        <w:t>Acreditar por medio de los exámenes correspondientes los conocimientos y aptitudes necesarios para el desempeño del puesto</w:t>
      </w:r>
      <w:r w:rsidRPr="001D6D43">
        <w:rPr>
          <w:rFonts w:ascii="Palatino Linotype" w:hAnsi="Palatino Linotype"/>
          <w:i/>
        </w:rPr>
        <w:t>; y</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X. No estar inhabilitado para el ejercicio del servicio público.</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XI. Presentar certificado expedido por la Unidad del Registro de Deudores Alimentarios</w:t>
      </w:r>
    </w:p>
    <w:p w:rsidR="00CB2746" w:rsidRPr="001D6D43" w:rsidRDefault="00CB2746" w:rsidP="00CB2746">
      <w:pPr>
        <w:pStyle w:val="Sinespaciado"/>
        <w:ind w:left="567" w:right="567"/>
        <w:jc w:val="both"/>
        <w:rPr>
          <w:rFonts w:ascii="Palatino Linotype" w:hAnsi="Palatino Linotype"/>
          <w:i/>
        </w:rPr>
      </w:pPr>
      <w:r w:rsidRPr="001D6D43">
        <w:rPr>
          <w:rFonts w:ascii="Palatino Linotype" w:hAnsi="Palatino Linotype"/>
          <w:i/>
        </w:rPr>
        <w:t>Morosos en el que conste, si se encuentra inscrito o no en el mismo.</w:t>
      </w:r>
    </w:p>
    <w:p w:rsidR="00CB2746" w:rsidRPr="001D6D43" w:rsidRDefault="00CB2746" w:rsidP="00CB2746">
      <w:pPr>
        <w:pStyle w:val="Sinespaciado"/>
        <w:ind w:left="567" w:right="567"/>
        <w:jc w:val="both"/>
        <w:rPr>
          <w:rFonts w:ascii="Palatino Linotype" w:hAnsi="Palatino Linotype"/>
          <w:i/>
        </w:rPr>
      </w:pPr>
    </w:p>
    <w:p w:rsidR="00CB2746" w:rsidRDefault="00CB2746" w:rsidP="00CB2746">
      <w:pPr>
        <w:pStyle w:val="Sinespaciado"/>
        <w:ind w:left="567" w:right="567"/>
        <w:jc w:val="both"/>
        <w:rPr>
          <w:rFonts w:ascii="Palatino Linotype" w:hAnsi="Palatino Linotype"/>
          <w:sz w:val="23"/>
          <w:szCs w:val="23"/>
        </w:rPr>
      </w:pPr>
      <w:r w:rsidRPr="001D6D43">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CB2746" w:rsidRPr="00DB5C15" w:rsidRDefault="00CB2746" w:rsidP="00CB2746">
      <w:pPr>
        <w:pStyle w:val="Sinespaciado"/>
        <w:spacing w:line="360" w:lineRule="auto"/>
        <w:jc w:val="both"/>
        <w:rPr>
          <w:rFonts w:ascii="Palatino Linotype" w:hAnsi="Palatino Linotype"/>
          <w:sz w:val="24"/>
          <w:szCs w:val="24"/>
        </w:rPr>
      </w:pPr>
    </w:p>
    <w:p w:rsidR="00CB2746" w:rsidRPr="00DB5C15" w:rsidRDefault="00CB2746" w:rsidP="00CB2746">
      <w:pPr>
        <w:pStyle w:val="Sinespaciado"/>
        <w:spacing w:line="360" w:lineRule="auto"/>
        <w:jc w:val="both"/>
        <w:rPr>
          <w:rFonts w:ascii="Palatino Linotype" w:hAnsi="Palatino Linotype"/>
          <w:sz w:val="24"/>
          <w:szCs w:val="24"/>
        </w:rPr>
      </w:pPr>
      <w:r w:rsidRPr="00DB5C15">
        <w:rPr>
          <w:rFonts w:ascii="Palatino Linotype" w:hAnsi="Palatino Linotype"/>
          <w:sz w:val="24"/>
          <w:szCs w:val="24"/>
        </w:rPr>
        <w:t>Asimismo, la fracción XVII del artículo 98</w:t>
      </w:r>
      <w:r w:rsidRPr="00DB5C15">
        <w:rPr>
          <w:rStyle w:val="Refdenotaalpie"/>
          <w:rFonts w:ascii="Palatino Linotype" w:hAnsi="Palatino Linotype"/>
          <w:sz w:val="24"/>
          <w:szCs w:val="24"/>
        </w:rPr>
        <w:footnoteReference w:id="3"/>
      </w:r>
      <w:r w:rsidRPr="00DB5C15">
        <w:rPr>
          <w:rFonts w:ascii="Palatino Linotype" w:hAnsi="Palatino Linotype"/>
          <w:sz w:val="24"/>
          <w:szCs w:val="24"/>
        </w:rPr>
        <w:t xml:space="preserve"> de la Ley en cita constriñe al Sujeto Obligado a integrar los expedie</w:t>
      </w:r>
      <w:r w:rsidR="00E463E1" w:rsidRPr="00DB5C15">
        <w:rPr>
          <w:rFonts w:ascii="Palatino Linotype" w:hAnsi="Palatino Linotype"/>
          <w:sz w:val="24"/>
          <w:szCs w:val="24"/>
        </w:rPr>
        <w:t xml:space="preserve">ntes de los servidores públicos, por lo cual, de la </w:t>
      </w:r>
      <w:r w:rsidR="00E463E1" w:rsidRPr="00DB5C15">
        <w:rPr>
          <w:rFonts w:ascii="Palatino Linotype" w:hAnsi="Palatino Linotype"/>
          <w:sz w:val="24"/>
          <w:szCs w:val="24"/>
        </w:rPr>
        <w:lastRenderedPageBreak/>
        <w:t>interpretación sistemática de los artículos referidos, se tiene que los servidores públicos deberán presentar una solicitud y acreditar ante la institución los conocimientos y aptitudes necesarios para el desempeño del puesto, de lo que puede derivarse que en la solicitud normalmente se incluyen reseñas de los puestos desempeñados anteriormente y de su trayectoria académica, lo cual también es útil para acreditar los conocimientos que se requieren para cada puesto; por lo que, en el caso de que los servidores públicos de los que no fueron entregados los documentos en los que conste su último grado de estudios , el Sujeto Obligado puede contar con dicho documento toda vez que está obligado a integrar el expediente respectivos de cada uno de sus servidores públicos, en el que puede encontrarse el documento con el que hayan acreditado poseer los conocimientos necesarios para ejercer el cargo o puesto que están cubriendo.</w:t>
      </w:r>
    </w:p>
    <w:p w:rsidR="00053485" w:rsidRPr="00DB5C15" w:rsidRDefault="00053485" w:rsidP="00CB2746">
      <w:pPr>
        <w:pStyle w:val="Sinespaciado"/>
        <w:spacing w:line="360" w:lineRule="auto"/>
        <w:jc w:val="both"/>
        <w:rPr>
          <w:rFonts w:ascii="Palatino Linotype" w:hAnsi="Palatino Linotype"/>
          <w:sz w:val="24"/>
          <w:szCs w:val="24"/>
        </w:rPr>
      </w:pPr>
    </w:p>
    <w:p w:rsidR="00053485" w:rsidRPr="00DB5C15" w:rsidRDefault="00053485" w:rsidP="00CB2746">
      <w:pPr>
        <w:pStyle w:val="Sinespaciado"/>
        <w:spacing w:line="360" w:lineRule="auto"/>
        <w:jc w:val="both"/>
        <w:rPr>
          <w:rFonts w:ascii="Palatino Linotype" w:hAnsi="Palatino Linotype"/>
          <w:sz w:val="24"/>
          <w:szCs w:val="24"/>
        </w:rPr>
      </w:pPr>
      <w:r w:rsidRPr="00DB5C15">
        <w:rPr>
          <w:rFonts w:ascii="Palatino Linotype" w:hAnsi="Palatino Linotype"/>
          <w:sz w:val="24"/>
          <w:szCs w:val="24"/>
        </w:rPr>
        <w:t>En razón de lo anterior, este Instituto considera que los motivos de inconformidad son parcialmente fundados</w:t>
      </w:r>
      <w:r w:rsidR="00797B8B">
        <w:rPr>
          <w:rFonts w:ascii="Palatino Linotype" w:hAnsi="Palatino Linotype"/>
          <w:sz w:val="24"/>
          <w:szCs w:val="24"/>
        </w:rPr>
        <w:t xml:space="preserve"> – en virtud de que ya fueron entregadas las fichas curriculares y títulos profesionales del Secretario del Ayuntamiento, Tesorera Municipal y Director de Desarrollo Urbano, Obras Públicas, Ecología y Servicios Públicos –</w:t>
      </w:r>
      <w:r w:rsidRPr="00DB5C15">
        <w:rPr>
          <w:rFonts w:ascii="Palatino Linotype" w:hAnsi="Palatino Linotype"/>
          <w:sz w:val="24"/>
          <w:szCs w:val="24"/>
        </w:rPr>
        <w:t xml:space="preserve"> por lo que es procedente modificar la respuesta del Sujeto </w:t>
      </w:r>
      <w:r w:rsidR="00797B8B">
        <w:rPr>
          <w:rFonts w:ascii="Palatino Linotype" w:hAnsi="Palatino Linotype"/>
          <w:sz w:val="24"/>
          <w:szCs w:val="24"/>
        </w:rPr>
        <w:t xml:space="preserve">Obligado </w:t>
      </w:r>
      <w:r w:rsidRPr="00DB5C15">
        <w:rPr>
          <w:rFonts w:ascii="Palatino Linotype" w:hAnsi="Palatino Linotype"/>
          <w:sz w:val="24"/>
          <w:szCs w:val="24"/>
        </w:rPr>
        <w:t xml:space="preserve">y ordenar la entrega del título </w:t>
      </w:r>
      <w:r w:rsidR="001E4B27" w:rsidRPr="00DB5C15">
        <w:rPr>
          <w:rFonts w:ascii="Palatino Linotype" w:hAnsi="Palatino Linotype"/>
          <w:sz w:val="24"/>
          <w:szCs w:val="24"/>
        </w:rPr>
        <w:t xml:space="preserve">o cédula profesional del </w:t>
      </w:r>
      <w:r w:rsidR="00F0250B">
        <w:rPr>
          <w:rFonts w:ascii="Palatino Linotype" w:hAnsi="Palatino Linotype"/>
          <w:sz w:val="24"/>
          <w:szCs w:val="24"/>
        </w:rPr>
        <w:t xml:space="preserve">Coordinador de Mejora Regulatoria y del </w:t>
      </w:r>
      <w:r w:rsidR="001E4B27" w:rsidRPr="00DB5C15">
        <w:rPr>
          <w:rFonts w:ascii="Palatino Linotype" w:hAnsi="Palatino Linotype"/>
          <w:sz w:val="24"/>
          <w:szCs w:val="24"/>
        </w:rPr>
        <w:t xml:space="preserve">Director de Desarrollo Económico, así como el documento en el que conste el último grado de estudios </w:t>
      </w:r>
      <w:r w:rsidR="00B556E1" w:rsidRPr="00DB5C15">
        <w:rPr>
          <w:rFonts w:ascii="Palatino Linotype" w:hAnsi="Palatino Linotype"/>
          <w:sz w:val="24"/>
          <w:szCs w:val="24"/>
        </w:rPr>
        <w:t xml:space="preserve">del Presidente Municipal, Director de Seguridad Pública y Protección Civil, </w:t>
      </w:r>
      <w:r w:rsidR="00B556E1" w:rsidRPr="00DB5C15">
        <w:rPr>
          <w:rFonts w:ascii="Palatino Linotype" w:hAnsi="Palatino Linotype"/>
          <w:sz w:val="24"/>
          <w:szCs w:val="24"/>
        </w:rPr>
        <w:lastRenderedPageBreak/>
        <w:t>así como el de los servidores públicos de nombre Jorge Luis Hernández García y Carlos Garc</w:t>
      </w:r>
      <w:r w:rsidR="0076532B" w:rsidRPr="00DB5C15">
        <w:rPr>
          <w:rFonts w:ascii="Palatino Linotype" w:hAnsi="Palatino Linotype"/>
          <w:sz w:val="24"/>
          <w:szCs w:val="24"/>
        </w:rPr>
        <w:t>ía Bernardo; lo anterior en versión pública de ser necesario.</w:t>
      </w:r>
    </w:p>
    <w:p w:rsidR="00DB5C15" w:rsidRPr="00DB5C15" w:rsidRDefault="00DB5C15" w:rsidP="00CB2746">
      <w:pPr>
        <w:pStyle w:val="Sinespaciado"/>
        <w:spacing w:line="360" w:lineRule="auto"/>
        <w:jc w:val="both"/>
        <w:rPr>
          <w:rFonts w:ascii="Palatino Linotype" w:hAnsi="Palatino Linotype"/>
          <w:sz w:val="24"/>
          <w:szCs w:val="24"/>
        </w:rPr>
      </w:pPr>
    </w:p>
    <w:p w:rsidR="00B112F8" w:rsidRPr="00D323BC" w:rsidRDefault="00B112F8" w:rsidP="00B112F8">
      <w:pPr>
        <w:spacing w:after="0" w:line="360" w:lineRule="auto"/>
        <w:jc w:val="both"/>
        <w:rPr>
          <w:rFonts w:ascii="Palatino Linotype" w:hAnsi="Palatino Linotype" w:cs="Arial"/>
          <w:b/>
          <w:i/>
          <w:sz w:val="26"/>
          <w:szCs w:val="26"/>
          <w:u w:val="single"/>
        </w:rPr>
      </w:pPr>
      <w:r w:rsidRPr="00D323BC">
        <w:rPr>
          <w:rFonts w:ascii="Palatino Linotype" w:hAnsi="Palatino Linotype" w:cs="Arial"/>
          <w:b/>
          <w:i/>
          <w:sz w:val="26"/>
          <w:szCs w:val="26"/>
          <w:u w:val="single"/>
        </w:rPr>
        <w:t>DE LA VERSIÓN PÚBLICA.</w:t>
      </w:r>
    </w:p>
    <w:p w:rsidR="00B112F8" w:rsidRPr="00D323BC" w:rsidRDefault="00B112F8" w:rsidP="00B112F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B112F8" w:rsidRPr="00D323BC" w:rsidRDefault="00B112F8" w:rsidP="00B112F8">
      <w:pPr>
        <w:spacing w:after="0" w:line="360" w:lineRule="auto"/>
        <w:jc w:val="both"/>
        <w:rPr>
          <w:rFonts w:ascii="Palatino Linotype" w:hAnsi="Palatino Linotype" w:cs="Arial"/>
          <w:sz w:val="24"/>
          <w:szCs w:val="24"/>
        </w:rPr>
      </w:pP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Artículo 3.</w:t>
      </w:r>
      <w:r w:rsidRPr="00D323BC">
        <w:rPr>
          <w:rFonts w:ascii="Palatino Linotype" w:hAnsi="Palatino Linotype" w:cs="Arial"/>
          <w:i/>
        </w:rPr>
        <w:t xml:space="preserve"> Para los efectos de la presente Ley se entenderá por:</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IX. Datos personales:</w:t>
      </w:r>
      <w:r w:rsidRPr="00D323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XX.</w:t>
      </w:r>
      <w:r w:rsidRPr="00D323BC">
        <w:rPr>
          <w:rFonts w:ascii="Palatino Linotype" w:hAnsi="Palatino Linotype" w:cs="Arial"/>
          <w:i/>
        </w:rPr>
        <w:t xml:space="preserve"> </w:t>
      </w:r>
      <w:r w:rsidRPr="00D323BC">
        <w:rPr>
          <w:rFonts w:ascii="Palatino Linotype" w:hAnsi="Palatino Linotype" w:cs="Arial"/>
          <w:b/>
          <w:i/>
        </w:rPr>
        <w:t>Información clasificada:</w:t>
      </w:r>
      <w:r w:rsidRPr="00D323BC">
        <w:rPr>
          <w:rFonts w:ascii="Palatino Linotype" w:hAnsi="Palatino Linotype" w:cs="Arial"/>
          <w:i/>
        </w:rPr>
        <w:t xml:space="preserve"> Aquella considerada por la presente Ley como reservada o confidencial;</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XXI.</w:t>
      </w:r>
      <w:r w:rsidRPr="00D323BC">
        <w:rPr>
          <w:rFonts w:ascii="Palatino Linotype" w:hAnsi="Palatino Linotype" w:cs="Arial"/>
          <w:i/>
        </w:rPr>
        <w:t xml:space="preserve"> </w:t>
      </w:r>
      <w:r w:rsidRPr="00D323BC">
        <w:rPr>
          <w:rFonts w:ascii="Palatino Linotype" w:hAnsi="Palatino Linotype" w:cs="Arial"/>
          <w:b/>
          <w:i/>
        </w:rPr>
        <w:t>Información confidencial:</w:t>
      </w:r>
      <w:r w:rsidRPr="00D323B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XLV.</w:t>
      </w:r>
      <w:r w:rsidRPr="00D323BC">
        <w:rPr>
          <w:rFonts w:ascii="Palatino Linotype" w:hAnsi="Palatino Linotype" w:cs="Arial"/>
          <w:i/>
        </w:rPr>
        <w:t xml:space="preserve"> </w:t>
      </w:r>
      <w:r w:rsidRPr="00D323BC">
        <w:rPr>
          <w:rFonts w:ascii="Palatino Linotype" w:hAnsi="Palatino Linotype" w:cs="Arial"/>
          <w:b/>
          <w:i/>
        </w:rPr>
        <w:t>Versión pública:</w:t>
      </w:r>
      <w:r w:rsidRPr="00D323BC">
        <w:rPr>
          <w:rFonts w:ascii="Palatino Linotype" w:hAnsi="Palatino Linotype" w:cs="Arial"/>
          <w:i/>
        </w:rPr>
        <w:t xml:space="preserve"> Documento en el que se elimine, suprime o borra la información clasificada como reservada o confidencial para permitir su acceso.</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 xml:space="preserve">Artículo 91. </w:t>
      </w:r>
      <w:r w:rsidRPr="00D323BC">
        <w:rPr>
          <w:rFonts w:ascii="Palatino Linotype" w:hAnsi="Palatino Linotype" w:cs="Arial"/>
          <w:i/>
        </w:rPr>
        <w:t>El acceso a la información pública será restringido excepcionalmente, cuando ésta sea clasificada como reservada o confidencial.</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Artículo 132.</w:t>
      </w:r>
      <w:r w:rsidRPr="00D323BC">
        <w:rPr>
          <w:rFonts w:ascii="Palatino Linotype" w:hAnsi="Palatino Linotype" w:cs="Arial"/>
          <w:i/>
        </w:rPr>
        <w:t xml:space="preserve"> </w:t>
      </w:r>
      <w:r w:rsidRPr="00D323BC">
        <w:rPr>
          <w:rFonts w:ascii="Palatino Linotype" w:hAnsi="Palatino Linotype" w:cs="Arial"/>
          <w:i/>
          <w:u w:val="single"/>
        </w:rPr>
        <w:t>La clasificación de la información se llevará a cabo en el momento en que</w:t>
      </w:r>
      <w:r w:rsidRPr="00D323BC">
        <w:rPr>
          <w:rFonts w:ascii="Palatino Linotype" w:hAnsi="Palatino Linotype" w:cs="Arial"/>
          <w:i/>
        </w:rPr>
        <w:t>:</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I.</w:t>
      </w:r>
      <w:r w:rsidRPr="00D323BC">
        <w:rPr>
          <w:rFonts w:ascii="Palatino Linotype" w:hAnsi="Palatino Linotype" w:cs="Arial"/>
          <w:i/>
        </w:rPr>
        <w:t xml:space="preserve"> Se reciba una solicitud de acceso a la información;</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II.</w:t>
      </w:r>
      <w:r w:rsidRPr="00D323BC">
        <w:rPr>
          <w:rFonts w:ascii="Palatino Linotype" w:hAnsi="Palatino Linotype" w:cs="Arial"/>
          <w:i/>
        </w:rPr>
        <w:t xml:space="preserve"> </w:t>
      </w:r>
      <w:r w:rsidRPr="00D323BC">
        <w:rPr>
          <w:rFonts w:ascii="Palatino Linotype" w:hAnsi="Palatino Linotype" w:cs="Arial"/>
          <w:i/>
          <w:u w:val="single"/>
        </w:rPr>
        <w:t>Se determine mediante resolución de autoridad competente; o</w:t>
      </w:r>
    </w:p>
    <w:p w:rsidR="00B112F8" w:rsidRPr="00D323BC" w:rsidRDefault="00B112F8" w:rsidP="00B112F8">
      <w:pPr>
        <w:spacing w:after="0" w:line="240" w:lineRule="auto"/>
        <w:ind w:left="567" w:right="567"/>
        <w:jc w:val="both"/>
        <w:rPr>
          <w:rFonts w:ascii="Palatino Linotype" w:hAnsi="Palatino Linotype" w:cs="Arial"/>
          <w:i/>
          <w:u w:val="single"/>
        </w:rPr>
      </w:pPr>
      <w:r w:rsidRPr="00D323BC">
        <w:rPr>
          <w:rFonts w:ascii="Palatino Linotype" w:hAnsi="Palatino Linotype" w:cs="Arial"/>
          <w:b/>
          <w:i/>
        </w:rPr>
        <w:t>III.</w:t>
      </w:r>
      <w:r w:rsidRPr="00D323BC">
        <w:rPr>
          <w:rFonts w:ascii="Palatino Linotype" w:hAnsi="Palatino Linotype" w:cs="Arial"/>
          <w:i/>
        </w:rPr>
        <w:t xml:space="preserve"> </w:t>
      </w:r>
      <w:r w:rsidRPr="00D323BC">
        <w:rPr>
          <w:rFonts w:ascii="Palatino Linotype" w:hAnsi="Palatino Linotype" w:cs="Arial"/>
          <w:i/>
          <w:u w:val="single"/>
        </w:rPr>
        <w:t>Se generen versiones públicas para dar cumplimiento a las obligaciones de transparencia previstas en esta Ley.</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B112F8" w:rsidRPr="00D323BC" w:rsidRDefault="00B112F8" w:rsidP="00B112F8">
      <w:pPr>
        <w:spacing w:after="0" w:line="360" w:lineRule="auto"/>
        <w:jc w:val="both"/>
        <w:rPr>
          <w:rFonts w:ascii="Palatino Linotype" w:hAnsi="Palatino Linotype" w:cs="Arial"/>
          <w:i/>
          <w:sz w:val="24"/>
          <w:szCs w:val="24"/>
        </w:rPr>
      </w:pPr>
    </w:p>
    <w:p w:rsidR="00B112F8" w:rsidRPr="00D323BC" w:rsidRDefault="00B112F8" w:rsidP="00B112F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112F8" w:rsidRPr="00D323BC" w:rsidRDefault="00B112F8" w:rsidP="00B112F8">
      <w:pPr>
        <w:spacing w:after="0" w:line="360" w:lineRule="auto"/>
        <w:jc w:val="both"/>
        <w:rPr>
          <w:rFonts w:ascii="Palatino Linotype" w:hAnsi="Palatino Linotype" w:cs="Arial"/>
          <w:sz w:val="24"/>
          <w:szCs w:val="24"/>
        </w:rPr>
      </w:pPr>
    </w:p>
    <w:p w:rsidR="00B112F8" w:rsidRPr="00D323BC" w:rsidRDefault="00B112F8" w:rsidP="00B112F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otro lado, los </w:t>
      </w:r>
      <w:r w:rsidRPr="00D323BC">
        <w:rPr>
          <w:rFonts w:ascii="Palatino Linotype" w:hAnsi="Palatino Linotype" w:cs="Arial"/>
          <w:i/>
          <w:sz w:val="24"/>
          <w:szCs w:val="24"/>
        </w:rPr>
        <w:t>Lineamientos Generales en Materia de Clasificación y Desclasificación de la Información, así como para la elaboración de Versiones Públicas</w:t>
      </w:r>
      <w:r w:rsidRPr="00D323BC">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112F8" w:rsidRPr="00D323BC" w:rsidRDefault="00B112F8" w:rsidP="00B112F8">
      <w:pPr>
        <w:spacing w:after="0" w:line="360" w:lineRule="auto"/>
        <w:jc w:val="both"/>
        <w:rPr>
          <w:rFonts w:ascii="Palatino Linotype" w:hAnsi="Palatino Linotype" w:cs="Arial"/>
          <w:sz w:val="24"/>
          <w:szCs w:val="24"/>
        </w:rPr>
      </w:pPr>
    </w:p>
    <w:p w:rsidR="00B112F8" w:rsidRPr="00D323BC" w:rsidRDefault="00B112F8" w:rsidP="00B112F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Entorno a lo que aquí nos interesa, los Lineamientos Quincuagésimo sexto, Quincuagésimo séptimo y Quincuagésimo octavo, establecen lo siguiente:</w:t>
      </w:r>
    </w:p>
    <w:p w:rsidR="00B112F8" w:rsidRPr="00D323BC" w:rsidRDefault="00B112F8" w:rsidP="00B112F8">
      <w:pPr>
        <w:spacing w:after="0" w:line="360" w:lineRule="auto"/>
        <w:jc w:val="both"/>
        <w:rPr>
          <w:rFonts w:ascii="Palatino Linotype" w:hAnsi="Palatino Linotype" w:cs="Arial"/>
          <w:sz w:val="24"/>
          <w:szCs w:val="24"/>
        </w:rPr>
      </w:pP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sexto.</w:t>
      </w:r>
      <w:r w:rsidRPr="00D323B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B112F8" w:rsidRPr="00D323BC" w:rsidRDefault="00B112F8" w:rsidP="00B112F8">
      <w:pPr>
        <w:spacing w:after="0" w:line="240" w:lineRule="auto"/>
        <w:ind w:left="567" w:right="567"/>
        <w:jc w:val="both"/>
        <w:rPr>
          <w:rFonts w:ascii="Palatino Linotype" w:hAnsi="Palatino Linotype" w:cs="Arial"/>
          <w:i/>
        </w:rPr>
      </w:pP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séptimo.</w:t>
      </w:r>
      <w:r w:rsidRPr="00D323BC">
        <w:rPr>
          <w:rFonts w:ascii="Palatino Linotype" w:hAnsi="Palatino Linotype" w:cs="Arial"/>
          <w:i/>
        </w:rPr>
        <w:t xml:space="preserve"> Se considera, en principio, como información pública y no podrá omitirse de las versiones públicas la siguiente: </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 La relativa a las Obligaciones de Transparencia que contempla el Título V de la Ley General y las demás disposiciones legales aplicables; </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B112F8" w:rsidRPr="00D323BC" w:rsidRDefault="00B112F8" w:rsidP="00B112F8">
      <w:pPr>
        <w:spacing w:after="0" w:line="240" w:lineRule="auto"/>
        <w:ind w:left="567" w:right="567"/>
        <w:jc w:val="both"/>
        <w:rPr>
          <w:rFonts w:ascii="Palatino Linotype" w:hAnsi="Palatino Linotype" w:cs="Arial"/>
          <w:i/>
        </w:rPr>
      </w:pP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B112F8" w:rsidRPr="00D323BC" w:rsidRDefault="00B112F8" w:rsidP="00B112F8">
      <w:pPr>
        <w:spacing w:after="0" w:line="240" w:lineRule="auto"/>
        <w:ind w:left="567" w:right="567"/>
        <w:jc w:val="both"/>
        <w:rPr>
          <w:rFonts w:ascii="Palatino Linotype" w:hAnsi="Palatino Linotype" w:cs="Arial"/>
          <w:i/>
        </w:rPr>
      </w:pPr>
    </w:p>
    <w:p w:rsidR="00B112F8" w:rsidRPr="00D323BC" w:rsidRDefault="00B112F8" w:rsidP="00B112F8">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octavo.</w:t>
      </w:r>
      <w:r w:rsidRPr="00D323B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B112F8" w:rsidRPr="00D323BC" w:rsidRDefault="00B112F8" w:rsidP="00B112F8">
      <w:pPr>
        <w:spacing w:after="0" w:line="360" w:lineRule="auto"/>
        <w:jc w:val="both"/>
        <w:rPr>
          <w:rFonts w:ascii="Palatino Linotype" w:hAnsi="Palatino Linotype" w:cs="Arial"/>
          <w:i/>
          <w:sz w:val="24"/>
          <w:szCs w:val="24"/>
        </w:rPr>
      </w:pPr>
    </w:p>
    <w:p w:rsidR="00B112F8" w:rsidRPr="00D323BC" w:rsidRDefault="00B112F8" w:rsidP="00B112F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112F8" w:rsidRPr="00D323BC" w:rsidRDefault="00B112F8" w:rsidP="00B112F8">
      <w:pPr>
        <w:spacing w:after="0" w:line="360" w:lineRule="auto"/>
        <w:jc w:val="both"/>
        <w:rPr>
          <w:rFonts w:ascii="Palatino Linotype" w:hAnsi="Palatino Linotype" w:cs="Arial"/>
          <w:sz w:val="24"/>
          <w:szCs w:val="24"/>
        </w:rPr>
      </w:pPr>
    </w:p>
    <w:p w:rsidR="00B112F8" w:rsidRPr="00D323BC" w:rsidRDefault="00B112F8" w:rsidP="00B112F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B112F8" w:rsidRPr="00D323BC" w:rsidRDefault="00B112F8" w:rsidP="00B112F8">
      <w:pPr>
        <w:spacing w:after="0" w:line="360" w:lineRule="auto"/>
        <w:jc w:val="both"/>
        <w:rPr>
          <w:rFonts w:ascii="Palatino Linotype" w:hAnsi="Palatino Linotype" w:cs="Arial"/>
          <w:sz w:val="24"/>
          <w:szCs w:val="24"/>
        </w:rPr>
      </w:pPr>
    </w:p>
    <w:p w:rsidR="001D3A62" w:rsidRDefault="00B112F8" w:rsidP="00B112F8">
      <w:pPr>
        <w:pStyle w:val="Sinespaciado"/>
        <w:spacing w:line="360" w:lineRule="auto"/>
        <w:jc w:val="both"/>
        <w:rPr>
          <w:rFonts w:ascii="Palatino Linotype" w:hAnsi="Palatino Linotype"/>
          <w:sz w:val="23"/>
          <w:szCs w:val="23"/>
        </w:rPr>
      </w:pPr>
      <w:r w:rsidRPr="00D323BC">
        <w:rPr>
          <w:rFonts w:ascii="Palatino Linotype" w:hAnsi="Palatino Linotype" w:cs="Arial"/>
          <w:bCs/>
          <w:sz w:val="24"/>
          <w:szCs w:val="24"/>
        </w:rPr>
        <w:lastRenderedPageBreak/>
        <w:t xml:space="preserve">En ese tenor y de acuerdo a la interpretación en el orden administrativo que le da la Ley de la materia a este Instituto específicamente, en términos de su artículo 36, fracción I, </w:t>
      </w:r>
      <w:r w:rsidRPr="00D323BC">
        <w:rPr>
          <w:rFonts w:ascii="Palatino Linotype" w:hAnsi="Palatino Linotype" w:cs="Arial"/>
          <w:sz w:val="24"/>
          <w:szCs w:val="24"/>
        </w:rPr>
        <w:t xml:space="preserve">de la Ley de Transparencia y Acceso a la Información Pública del Estado de México y Municipios, </w:t>
      </w:r>
      <w:r w:rsidRPr="00D323BC">
        <w:rPr>
          <w:rFonts w:ascii="Palatino Linotype" w:hAnsi="Palatino Linotype" w:cs="Arial"/>
          <w:bCs/>
          <w:sz w:val="24"/>
          <w:szCs w:val="24"/>
        </w:rPr>
        <w:t>a efecto de salvaguardar el derecho de acceso a la información pública consignado a favor del Recurrente.</w:t>
      </w:r>
    </w:p>
    <w:p w:rsidR="0076532B" w:rsidRPr="001D3A62" w:rsidRDefault="0076532B" w:rsidP="001D3A62">
      <w:pPr>
        <w:pStyle w:val="Sinespaciado"/>
        <w:spacing w:line="360" w:lineRule="auto"/>
        <w:jc w:val="both"/>
        <w:rPr>
          <w:rFonts w:ascii="Palatino Linotype" w:hAnsi="Palatino Linotype"/>
          <w:sz w:val="24"/>
          <w:szCs w:val="24"/>
        </w:rPr>
      </w:pPr>
    </w:p>
    <w:p w:rsidR="001D3A62" w:rsidRPr="00DB5C15" w:rsidRDefault="001D3A62" w:rsidP="001D3A62">
      <w:pPr>
        <w:pStyle w:val="Sinespaciado"/>
        <w:spacing w:line="360" w:lineRule="auto"/>
        <w:jc w:val="both"/>
        <w:rPr>
          <w:rFonts w:ascii="Palatino Linotype" w:hAnsi="Palatino Linotype"/>
          <w:sz w:val="24"/>
          <w:szCs w:val="24"/>
        </w:rPr>
      </w:pPr>
      <w:r w:rsidRPr="00DB5C15">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Pr="00DB5C15">
        <w:rPr>
          <w:rFonts w:ascii="Palatino Linotype" w:hAnsi="Palatino Linotype" w:cs="Arial"/>
          <w:b/>
          <w:sz w:val="24"/>
          <w:szCs w:val="24"/>
        </w:rPr>
        <w:t>con fundame</w:t>
      </w:r>
      <w:r w:rsidR="00CF03C7" w:rsidRPr="00DB5C15">
        <w:rPr>
          <w:rFonts w:ascii="Palatino Linotype" w:hAnsi="Palatino Linotype" w:cs="Arial"/>
          <w:b/>
          <w:sz w:val="24"/>
          <w:szCs w:val="24"/>
        </w:rPr>
        <w:t>nto en la segunda</w:t>
      </w:r>
      <w:r w:rsidRPr="00DB5C15">
        <w:rPr>
          <w:rFonts w:ascii="Palatino Linotype" w:hAnsi="Palatino Linotype" w:cs="Arial"/>
          <w:b/>
          <w:sz w:val="24"/>
          <w:szCs w:val="24"/>
        </w:rPr>
        <w:t xml:space="preserve"> hipótesis de la fracción III del artículo 186, </w:t>
      </w:r>
      <w:r w:rsidRPr="00DB5C15">
        <w:rPr>
          <w:rFonts w:ascii="Palatino Linotype" w:hAnsi="Palatino Linotype" w:cs="Arial"/>
          <w:sz w:val="24"/>
          <w:szCs w:val="24"/>
        </w:rPr>
        <w:t xml:space="preserve">de la Ley de Transparencia y Acceso a la Información Pública del Estado de México y Municipios, se </w:t>
      </w:r>
      <w:r w:rsidR="00CF03C7" w:rsidRPr="00DB5C15">
        <w:rPr>
          <w:rFonts w:ascii="Palatino Linotype" w:hAnsi="Palatino Linotype" w:cs="Arial"/>
          <w:b/>
          <w:sz w:val="24"/>
          <w:szCs w:val="24"/>
        </w:rPr>
        <w:t>MODIFICA</w:t>
      </w:r>
      <w:r w:rsidRPr="00DB5C15">
        <w:rPr>
          <w:rFonts w:ascii="Palatino Linotype" w:hAnsi="Palatino Linotype" w:cs="Arial"/>
          <w:b/>
          <w:sz w:val="24"/>
          <w:szCs w:val="24"/>
        </w:rPr>
        <w:t xml:space="preserve"> </w:t>
      </w:r>
      <w:r w:rsidRPr="00DB5C15">
        <w:rPr>
          <w:rFonts w:ascii="Palatino Linotype" w:hAnsi="Palatino Linotype" w:cs="Arial"/>
          <w:sz w:val="24"/>
          <w:szCs w:val="24"/>
        </w:rPr>
        <w:t>la respuesta a la solicitud de información número</w:t>
      </w:r>
      <w:r w:rsidRPr="00DB5C15">
        <w:rPr>
          <w:rFonts w:ascii="Palatino Linotype" w:hAnsi="Palatino Linotype"/>
          <w:b/>
          <w:sz w:val="24"/>
          <w:szCs w:val="24"/>
        </w:rPr>
        <w:t xml:space="preserve"> </w:t>
      </w:r>
      <w:r w:rsidR="00DB5C15" w:rsidRPr="00DB5C15">
        <w:rPr>
          <w:rFonts w:ascii="Palatino Linotype" w:hAnsi="Palatino Linotype" w:cs="Arial"/>
          <w:b/>
          <w:sz w:val="24"/>
          <w:szCs w:val="24"/>
        </w:rPr>
        <w:t>00013/MORELOS</w:t>
      </w:r>
      <w:r w:rsidR="00E41ACC" w:rsidRPr="00DB5C15">
        <w:rPr>
          <w:rFonts w:ascii="Palatino Linotype" w:hAnsi="Palatino Linotype" w:cs="Arial"/>
          <w:b/>
          <w:sz w:val="24"/>
          <w:szCs w:val="24"/>
        </w:rPr>
        <w:t>/IP/2019</w:t>
      </w:r>
      <w:r w:rsidRPr="00DB5C15">
        <w:rPr>
          <w:rFonts w:ascii="Palatino Linotype" w:hAnsi="Palatino Linotype"/>
          <w:sz w:val="24"/>
          <w:szCs w:val="24"/>
        </w:rPr>
        <w:t xml:space="preserve"> que ha sido materia del presente fallo.</w:t>
      </w:r>
    </w:p>
    <w:p w:rsidR="001D3A62" w:rsidRPr="00DB5C15" w:rsidRDefault="001D3A62" w:rsidP="001D3A62">
      <w:pPr>
        <w:pStyle w:val="Sinespaciado"/>
        <w:spacing w:line="360" w:lineRule="auto"/>
        <w:jc w:val="both"/>
        <w:rPr>
          <w:rFonts w:ascii="Palatino Linotype" w:hAnsi="Palatino Linotype"/>
          <w:sz w:val="24"/>
          <w:szCs w:val="24"/>
        </w:rPr>
      </w:pPr>
    </w:p>
    <w:p w:rsidR="001D3A62" w:rsidRPr="00DB5C15" w:rsidRDefault="001D3A62" w:rsidP="001D3A62">
      <w:pPr>
        <w:pStyle w:val="Sinespaciado"/>
        <w:spacing w:line="360" w:lineRule="auto"/>
        <w:jc w:val="both"/>
        <w:rPr>
          <w:rFonts w:ascii="Palatino Linotype" w:hAnsi="Palatino Linotype"/>
          <w:sz w:val="24"/>
          <w:szCs w:val="24"/>
        </w:rPr>
      </w:pPr>
      <w:r w:rsidRPr="00DB5C15">
        <w:rPr>
          <w:rFonts w:ascii="Palatino Linotype" w:hAnsi="Palatino Linotype"/>
          <w:sz w:val="24"/>
          <w:szCs w:val="24"/>
        </w:rPr>
        <w:t>Por lo antes expuesto y fundado es de resolverse y,</w:t>
      </w:r>
    </w:p>
    <w:p w:rsidR="00EF4D17" w:rsidRPr="001D3A62" w:rsidRDefault="00EF4D17" w:rsidP="0014447C">
      <w:pPr>
        <w:pStyle w:val="Sinespaciado"/>
        <w:spacing w:line="360" w:lineRule="auto"/>
        <w:jc w:val="both"/>
        <w:rPr>
          <w:rFonts w:ascii="Palatino Linotype" w:hAnsi="Palatino Linotype"/>
          <w:sz w:val="24"/>
          <w:szCs w:val="24"/>
        </w:rPr>
      </w:pPr>
    </w:p>
    <w:p w:rsidR="00EF4D17" w:rsidRPr="0014447C" w:rsidRDefault="00EF4D17" w:rsidP="00D71A39">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D71A39">
      <w:pPr>
        <w:pStyle w:val="Sinespaciado"/>
        <w:spacing w:line="276" w:lineRule="auto"/>
        <w:jc w:val="both"/>
        <w:rPr>
          <w:rFonts w:ascii="Palatino Linotype" w:hAnsi="Palatino Linotype"/>
          <w:b/>
          <w:sz w:val="2"/>
          <w:szCs w:val="24"/>
        </w:rPr>
      </w:pPr>
    </w:p>
    <w:p w:rsidR="003D490B" w:rsidRDefault="003D490B" w:rsidP="00D71A39">
      <w:pPr>
        <w:pStyle w:val="Sinespaciado"/>
        <w:spacing w:line="276" w:lineRule="auto"/>
        <w:jc w:val="both"/>
        <w:rPr>
          <w:rFonts w:ascii="Palatino Linotype" w:hAnsi="Palatino Linotype"/>
          <w:b/>
          <w:sz w:val="24"/>
          <w:szCs w:val="24"/>
        </w:rPr>
      </w:pPr>
    </w:p>
    <w:p w:rsidR="00EF4D17" w:rsidRPr="00E02B94" w:rsidRDefault="00EF4D17" w:rsidP="0014447C">
      <w:pPr>
        <w:pStyle w:val="Sinespaciado"/>
        <w:spacing w:line="360" w:lineRule="auto"/>
        <w:jc w:val="both"/>
        <w:rPr>
          <w:rFonts w:ascii="Palatino Linotype" w:hAnsi="Palatino Linotype"/>
          <w:sz w:val="24"/>
          <w:szCs w:val="24"/>
        </w:rPr>
      </w:pPr>
      <w:r w:rsidRPr="00E02B94">
        <w:rPr>
          <w:rFonts w:ascii="Palatino Linotype" w:hAnsi="Palatino Linotype"/>
          <w:b/>
          <w:sz w:val="24"/>
          <w:szCs w:val="24"/>
        </w:rPr>
        <w:t xml:space="preserve">PRIMERO. </w:t>
      </w:r>
      <w:r w:rsidRPr="00E02B94">
        <w:rPr>
          <w:rFonts w:ascii="Palatino Linotype" w:hAnsi="Palatino Linotype"/>
          <w:sz w:val="24"/>
          <w:szCs w:val="24"/>
        </w:rPr>
        <w:t xml:space="preserve">Se </w:t>
      </w:r>
      <w:r w:rsidR="00CF03C7">
        <w:rPr>
          <w:rFonts w:ascii="Palatino Linotype" w:hAnsi="Palatino Linotype"/>
          <w:b/>
          <w:sz w:val="24"/>
          <w:szCs w:val="24"/>
        </w:rPr>
        <w:t>MODIFICA</w:t>
      </w:r>
      <w:r w:rsidRPr="00E02B94">
        <w:rPr>
          <w:rFonts w:ascii="Palatino Linotype" w:hAnsi="Palatino Linotype"/>
          <w:sz w:val="24"/>
          <w:szCs w:val="24"/>
        </w:rPr>
        <w:t xml:space="preserve"> la respuesta del Sujeto Obligado</w:t>
      </w:r>
      <w:r w:rsidRPr="00E02B94">
        <w:rPr>
          <w:rFonts w:ascii="Palatino Linotype" w:hAnsi="Palatino Linotype"/>
          <w:b/>
          <w:sz w:val="24"/>
          <w:szCs w:val="24"/>
        </w:rPr>
        <w:t xml:space="preserve"> </w:t>
      </w:r>
      <w:r w:rsidRPr="00E02B94">
        <w:rPr>
          <w:rFonts w:ascii="Palatino Linotype" w:hAnsi="Palatino Linotype"/>
          <w:bCs/>
          <w:sz w:val="24"/>
          <w:szCs w:val="24"/>
        </w:rPr>
        <w:t xml:space="preserve">a la solicitud de información </w:t>
      </w:r>
      <w:r w:rsidR="00DB5C15" w:rsidRPr="00B112F8">
        <w:rPr>
          <w:rFonts w:ascii="Palatino Linotype" w:hAnsi="Palatino Linotype" w:cs="Arial"/>
          <w:b/>
          <w:sz w:val="24"/>
          <w:szCs w:val="24"/>
        </w:rPr>
        <w:t>00013/MORELOS/IP/2019</w:t>
      </w:r>
      <w:r w:rsidR="00DB5C15" w:rsidRPr="00B112F8">
        <w:rPr>
          <w:rFonts w:ascii="Palatino Linotype" w:hAnsi="Palatino Linotype"/>
          <w:sz w:val="24"/>
          <w:szCs w:val="24"/>
        </w:rPr>
        <w:t xml:space="preserve"> </w:t>
      </w:r>
      <w:r w:rsidRPr="00E02B94">
        <w:rPr>
          <w:rFonts w:ascii="Palatino Linotype" w:hAnsi="Palatino Linotype"/>
          <w:sz w:val="24"/>
          <w:szCs w:val="24"/>
        </w:rPr>
        <w:t>por resultar fundadas las razones o motivos de i</w:t>
      </w:r>
      <w:r w:rsidR="00C10AAE" w:rsidRPr="00E02B94">
        <w:rPr>
          <w:rFonts w:ascii="Palatino Linotype" w:hAnsi="Palatino Linotype"/>
          <w:sz w:val="24"/>
          <w:szCs w:val="24"/>
        </w:rPr>
        <w:t>nconformidad hechos valer por el</w:t>
      </w:r>
      <w:r w:rsidRPr="00E02B94">
        <w:rPr>
          <w:rFonts w:ascii="Palatino Linotype" w:hAnsi="Palatino Linotype"/>
          <w:sz w:val="24"/>
          <w:szCs w:val="24"/>
        </w:rPr>
        <w:t xml:space="preserve"> Recurrente, en términos del </w:t>
      </w:r>
      <w:r w:rsidRPr="00A16AD7">
        <w:rPr>
          <w:rFonts w:ascii="Palatino Linotype" w:hAnsi="Palatino Linotype"/>
          <w:b/>
          <w:sz w:val="24"/>
          <w:szCs w:val="24"/>
        </w:rPr>
        <w:t xml:space="preserve">Considerando </w:t>
      </w:r>
      <w:r w:rsidR="00A16AD7">
        <w:rPr>
          <w:rFonts w:ascii="Palatino Linotype" w:hAnsi="Palatino Linotype"/>
          <w:b/>
          <w:sz w:val="24"/>
          <w:szCs w:val="24"/>
        </w:rPr>
        <w:t>QUIN</w:t>
      </w:r>
      <w:r w:rsidR="00BC64D4" w:rsidRPr="00A16AD7">
        <w:rPr>
          <w:rFonts w:ascii="Palatino Linotype" w:hAnsi="Palatino Linotype"/>
          <w:b/>
          <w:sz w:val="24"/>
          <w:szCs w:val="24"/>
        </w:rPr>
        <w:t>TO</w:t>
      </w:r>
      <w:r w:rsidRPr="00E02B94">
        <w:rPr>
          <w:rFonts w:ascii="Palatino Linotype" w:hAnsi="Palatino Linotype"/>
          <w:b/>
          <w:sz w:val="24"/>
          <w:szCs w:val="24"/>
        </w:rPr>
        <w:t xml:space="preserve"> </w:t>
      </w:r>
      <w:r w:rsidRPr="00E02B94">
        <w:rPr>
          <w:rFonts w:ascii="Palatino Linotype" w:hAnsi="Palatino Linotype"/>
          <w:sz w:val="24"/>
          <w:szCs w:val="24"/>
        </w:rPr>
        <w:t>de esta resolución.</w:t>
      </w:r>
    </w:p>
    <w:p w:rsidR="00EF4D17" w:rsidRPr="00E02B94" w:rsidRDefault="00EF4D17" w:rsidP="0014447C">
      <w:pPr>
        <w:pStyle w:val="Sinespaciado"/>
        <w:spacing w:line="360" w:lineRule="auto"/>
        <w:jc w:val="both"/>
        <w:rPr>
          <w:rFonts w:ascii="Palatino Linotype" w:hAnsi="Palatino Linotype"/>
          <w:sz w:val="24"/>
          <w:szCs w:val="24"/>
        </w:rPr>
      </w:pPr>
    </w:p>
    <w:p w:rsidR="00C216D4" w:rsidRDefault="00C216D4" w:rsidP="00C216D4">
      <w:pPr>
        <w:pStyle w:val="Sinespaciado"/>
        <w:spacing w:line="360" w:lineRule="auto"/>
        <w:jc w:val="both"/>
        <w:rPr>
          <w:rFonts w:ascii="Palatino Linotype" w:hAnsi="Palatino Linotype" w:cs="Arial"/>
          <w:sz w:val="24"/>
          <w:szCs w:val="24"/>
        </w:rPr>
      </w:pPr>
      <w:r w:rsidRPr="00C216D4">
        <w:rPr>
          <w:rFonts w:ascii="Palatino Linotype" w:hAnsi="Palatino Linotype" w:cs="Arial"/>
          <w:b/>
          <w:sz w:val="24"/>
          <w:szCs w:val="24"/>
        </w:rPr>
        <w:lastRenderedPageBreak/>
        <w:t>SEGUNDO.</w:t>
      </w:r>
      <w:r w:rsidRPr="00C216D4">
        <w:rPr>
          <w:rFonts w:ascii="Palatino Linotype" w:hAnsi="Palatino Linotype" w:cs="Arial"/>
          <w:sz w:val="24"/>
          <w:szCs w:val="24"/>
        </w:rPr>
        <w:t xml:space="preserve"> Se </w:t>
      </w:r>
      <w:r w:rsidRPr="00C216D4">
        <w:rPr>
          <w:rFonts w:ascii="Palatino Linotype" w:hAnsi="Palatino Linotype" w:cs="Arial"/>
          <w:b/>
          <w:sz w:val="24"/>
          <w:szCs w:val="24"/>
        </w:rPr>
        <w:t>ORDENA</w:t>
      </w:r>
      <w:r w:rsidRPr="00C216D4">
        <w:rPr>
          <w:rFonts w:ascii="Palatino Linotype" w:hAnsi="Palatino Linotype" w:cs="Arial"/>
          <w:sz w:val="24"/>
          <w:szCs w:val="24"/>
        </w:rPr>
        <w:t xml:space="preserve"> al Sujeto Obligado que </w:t>
      </w:r>
      <w:r w:rsidR="00D314F6">
        <w:rPr>
          <w:rFonts w:ascii="Palatino Linotype" w:hAnsi="Palatino Linotype" w:cs="Arial"/>
          <w:sz w:val="24"/>
          <w:szCs w:val="24"/>
        </w:rPr>
        <w:t>haga entrega a</w:t>
      </w:r>
      <w:r w:rsidR="00DB5C15">
        <w:rPr>
          <w:rFonts w:ascii="Palatino Linotype" w:hAnsi="Palatino Linotype" w:cs="Arial"/>
          <w:sz w:val="24"/>
          <w:szCs w:val="24"/>
        </w:rPr>
        <w:t>l</w:t>
      </w:r>
      <w:r w:rsidRPr="00C216D4">
        <w:rPr>
          <w:rFonts w:ascii="Palatino Linotype" w:hAnsi="Palatino Linotype" w:cs="Arial"/>
          <w:sz w:val="24"/>
          <w:szCs w:val="24"/>
        </w:rPr>
        <w:t xml:space="preserve"> Recurrente </w:t>
      </w:r>
      <w:r w:rsidR="001C791F">
        <w:rPr>
          <w:rFonts w:ascii="Palatino Linotype" w:hAnsi="Palatino Linotype" w:cs="Arial"/>
          <w:sz w:val="24"/>
          <w:szCs w:val="24"/>
        </w:rPr>
        <w:t xml:space="preserve">en términos el </w:t>
      </w:r>
      <w:r w:rsidR="001C791F" w:rsidRPr="00A16AD7">
        <w:rPr>
          <w:rFonts w:ascii="Palatino Linotype" w:hAnsi="Palatino Linotype" w:cs="Arial"/>
          <w:b/>
          <w:sz w:val="24"/>
          <w:szCs w:val="24"/>
        </w:rPr>
        <w:t xml:space="preserve">Considerando </w:t>
      </w:r>
      <w:r w:rsidR="00A16AD7">
        <w:rPr>
          <w:rFonts w:ascii="Palatino Linotype" w:hAnsi="Palatino Linotype" w:cs="Arial"/>
          <w:b/>
          <w:sz w:val="24"/>
          <w:szCs w:val="24"/>
        </w:rPr>
        <w:t>QUIN</w:t>
      </w:r>
      <w:r w:rsidR="001C791F" w:rsidRPr="00A16AD7">
        <w:rPr>
          <w:rFonts w:ascii="Palatino Linotype" w:hAnsi="Palatino Linotype" w:cs="Arial"/>
          <w:b/>
          <w:sz w:val="24"/>
          <w:szCs w:val="24"/>
        </w:rPr>
        <w:t>TO</w:t>
      </w:r>
      <w:r w:rsidR="001C791F">
        <w:rPr>
          <w:rFonts w:ascii="Palatino Linotype" w:hAnsi="Palatino Linotype" w:cs="Arial"/>
          <w:sz w:val="24"/>
          <w:szCs w:val="24"/>
        </w:rPr>
        <w:t>,</w:t>
      </w:r>
      <w:r w:rsidR="001C791F" w:rsidRPr="00C216D4">
        <w:rPr>
          <w:rFonts w:ascii="Palatino Linotype" w:hAnsi="Palatino Linotype" w:cs="Arial"/>
          <w:sz w:val="24"/>
          <w:szCs w:val="24"/>
        </w:rPr>
        <w:t xml:space="preserve"> </w:t>
      </w:r>
      <w:r w:rsidR="001C791F">
        <w:rPr>
          <w:rFonts w:ascii="Palatino Linotype" w:hAnsi="Palatino Linotype" w:cs="Arial"/>
          <w:sz w:val="24"/>
          <w:szCs w:val="24"/>
        </w:rPr>
        <w:t>vía SAIMEX</w:t>
      </w:r>
      <w:r w:rsidR="00DB5C15">
        <w:rPr>
          <w:rFonts w:ascii="Palatino Linotype" w:hAnsi="Palatino Linotype" w:cs="Arial"/>
          <w:sz w:val="24"/>
          <w:szCs w:val="24"/>
        </w:rPr>
        <w:t>, la versión publica de ser procedente,</w:t>
      </w:r>
      <w:r w:rsidR="001C791F">
        <w:rPr>
          <w:rFonts w:ascii="Palatino Linotype" w:hAnsi="Palatino Linotype" w:cs="Arial"/>
          <w:sz w:val="24"/>
          <w:szCs w:val="24"/>
        </w:rPr>
        <w:t xml:space="preserve"> </w:t>
      </w:r>
      <w:r w:rsidR="00F60F3F">
        <w:rPr>
          <w:rFonts w:ascii="Palatino Linotype" w:hAnsi="Palatino Linotype" w:cs="Arial"/>
          <w:sz w:val="24"/>
          <w:szCs w:val="24"/>
        </w:rPr>
        <w:t>de</w:t>
      </w:r>
      <w:r w:rsidR="00F0250B">
        <w:rPr>
          <w:rFonts w:ascii="Palatino Linotype" w:hAnsi="Palatino Linotype" w:cs="Arial"/>
          <w:sz w:val="24"/>
          <w:szCs w:val="24"/>
        </w:rPr>
        <w:t xml:space="preserve">l documento en el que conste lo </w:t>
      </w:r>
      <w:r w:rsidR="006E0255">
        <w:rPr>
          <w:rFonts w:ascii="Palatino Linotype" w:hAnsi="Palatino Linotype" w:cs="Arial"/>
          <w:sz w:val="24"/>
          <w:szCs w:val="24"/>
        </w:rPr>
        <w:t>siguiente</w:t>
      </w:r>
      <w:r w:rsidRPr="00C216D4">
        <w:rPr>
          <w:rFonts w:ascii="Palatino Linotype" w:hAnsi="Palatino Linotype" w:cs="Arial"/>
          <w:sz w:val="24"/>
          <w:szCs w:val="24"/>
        </w:rPr>
        <w:t xml:space="preserve">: </w:t>
      </w:r>
    </w:p>
    <w:p w:rsidR="00F0250B" w:rsidRDefault="00F0250B" w:rsidP="00C216D4">
      <w:pPr>
        <w:pStyle w:val="Sinespaciado"/>
        <w:spacing w:line="360" w:lineRule="auto"/>
        <w:jc w:val="both"/>
        <w:rPr>
          <w:rFonts w:ascii="Palatino Linotype" w:hAnsi="Palatino Linotype" w:cs="Arial"/>
          <w:sz w:val="24"/>
          <w:szCs w:val="24"/>
        </w:rPr>
      </w:pPr>
    </w:p>
    <w:p w:rsidR="00C216D4" w:rsidRPr="00F0250B" w:rsidRDefault="001B4EC3" w:rsidP="00360EFA">
      <w:pPr>
        <w:pStyle w:val="Sinespaciado"/>
        <w:numPr>
          <w:ilvl w:val="0"/>
          <w:numId w:val="28"/>
        </w:numPr>
        <w:spacing w:line="360" w:lineRule="auto"/>
        <w:jc w:val="both"/>
        <w:rPr>
          <w:rFonts w:ascii="Palatino Linotype" w:hAnsi="Palatino Linotype" w:cs="Arial"/>
          <w:i/>
          <w:sz w:val="24"/>
          <w:szCs w:val="24"/>
        </w:rPr>
      </w:pPr>
      <w:r>
        <w:rPr>
          <w:rFonts w:ascii="Palatino Linotype" w:hAnsi="Palatino Linotype" w:cs="Arial"/>
          <w:i/>
          <w:sz w:val="24"/>
          <w:szCs w:val="24"/>
        </w:rPr>
        <w:t>El ú</w:t>
      </w:r>
      <w:r w:rsidR="00F0250B" w:rsidRPr="00F0250B">
        <w:rPr>
          <w:rFonts w:ascii="Palatino Linotype" w:hAnsi="Palatino Linotype" w:cs="Arial"/>
          <w:i/>
          <w:sz w:val="24"/>
          <w:szCs w:val="24"/>
        </w:rPr>
        <w:t>ltimo grado de estudios del Presidente Municipal, Coordinador de Mejora Regulatoria, Director de Desarrollo Económico, Director de Seguridad Pública y Protección Civil, y de los dos servidores públicos de los cuales no se tiene la certeza del cargo que ostentan en la Administración Pública Municipal.</w:t>
      </w:r>
    </w:p>
    <w:p w:rsidR="00E41ACC" w:rsidRDefault="00E41ACC" w:rsidP="00C216D4">
      <w:pPr>
        <w:pStyle w:val="Sinespaciado"/>
        <w:spacing w:line="360" w:lineRule="auto"/>
        <w:jc w:val="both"/>
        <w:rPr>
          <w:rFonts w:ascii="Palatino Linotype" w:hAnsi="Palatino Linotype" w:cs="Arial"/>
          <w:b/>
          <w:sz w:val="24"/>
          <w:szCs w:val="24"/>
        </w:rPr>
      </w:pPr>
    </w:p>
    <w:p w:rsidR="000E78A5" w:rsidRPr="000E78A5" w:rsidRDefault="000E78A5" w:rsidP="00C216D4">
      <w:pPr>
        <w:pStyle w:val="Sinespaciado"/>
        <w:spacing w:line="360" w:lineRule="auto"/>
        <w:jc w:val="both"/>
        <w:rPr>
          <w:rFonts w:ascii="Palatino Linotype" w:hAnsi="Palatino Linotype" w:cs="Arial"/>
          <w:sz w:val="24"/>
          <w:szCs w:val="24"/>
        </w:rPr>
      </w:pPr>
      <w:r w:rsidRPr="000E78A5">
        <w:rPr>
          <w:rFonts w:ascii="Palatino Linotype" w:hAnsi="Palatino Linotype" w:cs="Arial"/>
          <w:sz w:val="24"/>
          <w:szCs w:val="24"/>
        </w:rPr>
        <w:t>Para efecto de lo anterior, se deberá emitir el acuerdo de clasificación que respalde</w:t>
      </w:r>
      <w:r>
        <w:rPr>
          <w:rFonts w:ascii="Palatino Linotype" w:hAnsi="Palatino Linotype" w:cs="Arial"/>
          <w:sz w:val="24"/>
          <w:szCs w:val="24"/>
        </w:rPr>
        <w:t xml:space="preserve"> la versión pública</w:t>
      </w:r>
      <w:r w:rsidRPr="000E78A5">
        <w:rPr>
          <w:rFonts w:ascii="Palatino Linotype" w:hAnsi="Palatino Linotype" w:cs="Arial"/>
          <w:sz w:val="24"/>
          <w:szCs w:val="24"/>
        </w:rPr>
        <w:t>, en términos de los artículos 49, fracción VIII, 132, fracción II, de la Ley de Transparencia y Acceso a la Información Pública del Estado de México y Municipios y demás normatividades aplicables.</w:t>
      </w:r>
    </w:p>
    <w:p w:rsidR="000E78A5" w:rsidRPr="000E78A5" w:rsidRDefault="000E78A5" w:rsidP="00C216D4">
      <w:pPr>
        <w:pStyle w:val="Sinespaciado"/>
        <w:spacing w:line="360" w:lineRule="auto"/>
        <w:jc w:val="both"/>
        <w:rPr>
          <w:rFonts w:ascii="Palatino Linotype" w:hAnsi="Palatino Linotype" w:cs="Arial"/>
          <w:sz w:val="24"/>
          <w:szCs w:val="24"/>
        </w:rPr>
      </w:pPr>
    </w:p>
    <w:p w:rsidR="00C216D4" w:rsidRPr="00ED7486" w:rsidRDefault="00C216D4" w:rsidP="00C216D4">
      <w:pPr>
        <w:pStyle w:val="Sinespaciado"/>
        <w:spacing w:line="360" w:lineRule="auto"/>
        <w:jc w:val="both"/>
        <w:rPr>
          <w:rFonts w:ascii="Palatino Linotype" w:hAnsi="Palatino Linotype" w:cs="Arial"/>
          <w:sz w:val="24"/>
          <w:szCs w:val="24"/>
        </w:rPr>
      </w:pPr>
      <w:r w:rsidRPr="00C216D4">
        <w:rPr>
          <w:rFonts w:ascii="Palatino Linotype" w:hAnsi="Palatino Linotype" w:cs="Arial"/>
          <w:b/>
          <w:sz w:val="24"/>
          <w:szCs w:val="24"/>
        </w:rPr>
        <w:t>TERCERO. Notifíquese</w:t>
      </w:r>
      <w:r w:rsidRPr="00C216D4">
        <w:rPr>
          <w:rFonts w:ascii="Palatino Linotype" w:hAnsi="Palatino Linotype" w:cs="Arial"/>
          <w:b/>
          <w:i/>
          <w:sz w:val="24"/>
          <w:szCs w:val="24"/>
        </w:rPr>
        <w:t xml:space="preserve"> </w:t>
      </w:r>
      <w:r w:rsidRPr="00C216D4">
        <w:rPr>
          <w:rFonts w:ascii="Palatino Linotype" w:hAnsi="Palatino Linotype" w:cs="Arial"/>
          <w:sz w:val="24"/>
          <w:szCs w:val="24"/>
        </w:rPr>
        <w:t>al Titular de la Unidad de Transparencia del</w:t>
      </w:r>
      <w:r w:rsidRPr="00C216D4">
        <w:rPr>
          <w:rFonts w:ascii="Palatino Linotype" w:hAnsi="Palatino Linotype" w:cs="Arial"/>
          <w:b/>
          <w:sz w:val="24"/>
          <w:szCs w:val="24"/>
        </w:rPr>
        <w:t xml:space="preserve"> SUJETO OBLIGADO</w:t>
      </w:r>
      <w:r w:rsidRPr="00C216D4">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ED7486">
        <w:rPr>
          <w:rFonts w:ascii="Palatino Linotype" w:hAnsi="Palatino Linotype" w:cs="Arial"/>
          <w:sz w:val="24"/>
          <w:szCs w:val="24"/>
        </w:rPr>
        <w:t>México y Municipios; dé cumplimiento a lo ordenado dentro del plazo de diez días hábiles, debiendo informar a este Instituto en un plazo de tres días hábiles siguientes sobre el cumplimiento dado a la presente resolución.</w:t>
      </w:r>
    </w:p>
    <w:p w:rsidR="00C216D4" w:rsidRPr="00ED7486" w:rsidRDefault="00C216D4" w:rsidP="00C216D4">
      <w:pPr>
        <w:pStyle w:val="Sinespaciado"/>
        <w:spacing w:line="360" w:lineRule="auto"/>
        <w:jc w:val="both"/>
        <w:rPr>
          <w:rFonts w:ascii="Palatino Linotype" w:hAnsi="Palatino Linotype" w:cs="Arial"/>
          <w:sz w:val="24"/>
          <w:szCs w:val="24"/>
        </w:rPr>
      </w:pPr>
    </w:p>
    <w:p w:rsidR="00EF4D17" w:rsidRPr="00ED7486" w:rsidRDefault="00C216D4" w:rsidP="00C216D4">
      <w:pPr>
        <w:pStyle w:val="Sinespaciado"/>
        <w:spacing w:line="360" w:lineRule="auto"/>
        <w:jc w:val="both"/>
        <w:rPr>
          <w:rFonts w:ascii="Palatino Linotype" w:hAnsi="Palatino Linotype"/>
          <w:color w:val="222222"/>
          <w:sz w:val="24"/>
          <w:szCs w:val="24"/>
          <w:shd w:val="clear" w:color="auto" w:fill="FFFFFF"/>
        </w:rPr>
      </w:pPr>
      <w:r w:rsidRPr="00ED7486">
        <w:rPr>
          <w:rFonts w:ascii="Palatino Linotype" w:hAnsi="Palatino Linotype" w:cs="Arial"/>
          <w:b/>
          <w:sz w:val="24"/>
          <w:szCs w:val="24"/>
        </w:rPr>
        <w:t xml:space="preserve">CUARTO. Notifíquese </w:t>
      </w:r>
      <w:r w:rsidRPr="00ED7486">
        <w:rPr>
          <w:rFonts w:ascii="Palatino Linotype" w:hAnsi="Palatino Linotype" w:cs="Arial"/>
          <w:sz w:val="24"/>
          <w:szCs w:val="24"/>
        </w:rPr>
        <w:t>la presente resolución a</w:t>
      </w:r>
      <w:r w:rsidR="002638D9" w:rsidRPr="00ED7486">
        <w:rPr>
          <w:rFonts w:ascii="Palatino Linotype" w:hAnsi="Palatino Linotype" w:cs="Arial"/>
          <w:sz w:val="24"/>
          <w:szCs w:val="24"/>
        </w:rPr>
        <w:t xml:space="preserve"> </w:t>
      </w:r>
      <w:r w:rsidR="00D23781" w:rsidRPr="00ED7486">
        <w:rPr>
          <w:rFonts w:ascii="Palatino Linotype" w:hAnsi="Palatino Linotype" w:cs="Arial"/>
          <w:sz w:val="24"/>
          <w:szCs w:val="24"/>
        </w:rPr>
        <w:t>l</w:t>
      </w:r>
      <w:r w:rsidR="002638D9" w:rsidRPr="00ED7486">
        <w:rPr>
          <w:rFonts w:ascii="Palatino Linotype" w:hAnsi="Palatino Linotype" w:cs="Arial"/>
          <w:sz w:val="24"/>
          <w:szCs w:val="24"/>
        </w:rPr>
        <w:t>a</w:t>
      </w:r>
      <w:r w:rsidRPr="00ED7486">
        <w:rPr>
          <w:rFonts w:ascii="Palatino Linotype" w:hAnsi="Palatino Linotype" w:cs="Arial"/>
          <w:sz w:val="24"/>
          <w:szCs w:val="24"/>
        </w:rPr>
        <w:t xml:space="preserve"> Recurrente y hágase de su conocimiento que, </w:t>
      </w:r>
      <w:r w:rsidRPr="00ED7486">
        <w:rPr>
          <w:rFonts w:ascii="Palatino Linotype" w:hAnsi="Palatino Linotype"/>
          <w:color w:val="222222"/>
          <w:sz w:val="24"/>
          <w:szCs w:val="24"/>
          <w:shd w:val="clear" w:color="auto" w:fill="FFFFFF"/>
        </w:rPr>
        <w:t xml:space="preserve">de conformidad con lo establecido en el artículo 196 de la Ley de </w:t>
      </w:r>
      <w:r w:rsidRPr="00ED7486">
        <w:rPr>
          <w:rFonts w:ascii="Palatino Linotype" w:hAnsi="Palatino Linotype"/>
          <w:color w:val="222222"/>
          <w:sz w:val="24"/>
          <w:szCs w:val="24"/>
          <w:shd w:val="clear" w:color="auto" w:fill="FFFFFF"/>
        </w:rPr>
        <w:lastRenderedPageBreak/>
        <w:t>Transparencia y Acceso a la Información Pública del Estado de México y Municipios,</w:t>
      </w:r>
      <w:r w:rsidRPr="00ED7486">
        <w:rPr>
          <w:rStyle w:val="apple-converted-space"/>
          <w:rFonts w:ascii="Palatino Linotype" w:hAnsi="Palatino Linotype"/>
          <w:color w:val="222222"/>
          <w:sz w:val="24"/>
          <w:szCs w:val="24"/>
          <w:shd w:val="clear" w:color="auto" w:fill="FFFFFF"/>
        </w:rPr>
        <w:t xml:space="preserve"> </w:t>
      </w:r>
      <w:r w:rsidRPr="00ED7486">
        <w:rPr>
          <w:rFonts w:ascii="Palatino Linotype" w:hAnsi="Palatino Linotype"/>
          <w:color w:val="222222"/>
          <w:sz w:val="24"/>
          <w:szCs w:val="24"/>
          <w:shd w:val="clear" w:color="auto" w:fill="FFFFFF"/>
        </w:rPr>
        <w:t>podrá promover el Juicio de Amparo en los términos de las leyes aplicables.</w:t>
      </w:r>
    </w:p>
    <w:p w:rsidR="00A31E6A" w:rsidRPr="00ED7486" w:rsidRDefault="00A31E6A" w:rsidP="00C216D4">
      <w:pPr>
        <w:pStyle w:val="Sinespaciado"/>
        <w:spacing w:line="360" w:lineRule="auto"/>
        <w:jc w:val="both"/>
        <w:rPr>
          <w:rFonts w:ascii="Palatino Linotype" w:hAnsi="Palatino Linotype"/>
          <w:color w:val="222222"/>
          <w:sz w:val="24"/>
          <w:szCs w:val="24"/>
          <w:shd w:val="clear" w:color="auto" w:fill="FFFFFF"/>
        </w:rPr>
      </w:pPr>
    </w:p>
    <w:p w:rsidR="002419D8" w:rsidRDefault="007E2E80" w:rsidP="00E41AC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E5468">
        <w:rPr>
          <w:rFonts w:ascii="Palatino Linotype" w:hAnsi="Palatino Linotype"/>
          <w:sz w:val="24"/>
          <w:szCs w:val="24"/>
        </w:rPr>
        <w:t>HERNÁNDEZ</w:t>
      </w:r>
      <w:r w:rsidR="002419D8">
        <w:rPr>
          <w:rFonts w:ascii="Palatino Linotype" w:hAnsi="Palatino Linotype"/>
          <w:sz w:val="24"/>
          <w:szCs w:val="24"/>
        </w:rPr>
        <w:t>,</w:t>
      </w:r>
      <w:r w:rsidRPr="0014447C">
        <w:rPr>
          <w:rFonts w:ascii="Palatino Linotype" w:hAnsi="Palatino Linotype"/>
          <w:sz w:val="24"/>
          <w:szCs w:val="24"/>
        </w:rPr>
        <w:t xml:space="preserve"> JAVIER MARTÍNEZ CRUZ</w:t>
      </w:r>
      <w:r w:rsidR="002419D8">
        <w:rPr>
          <w:rFonts w:ascii="Palatino Linotype" w:hAnsi="Palatino Linotype"/>
          <w:sz w:val="24"/>
          <w:szCs w:val="24"/>
        </w:rPr>
        <w:t xml:space="preserve"> </w:t>
      </w:r>
      <w:r w:rsidR="003E1EDD">
        <w:rPr>
          <w:rFonts w:ascii="Palatino Linotype" w:hAnsi="Palatino Linotype"/>
          <w:sz w:val="24"/>
          <w:szCs w:val="24"/>
        </w:rPr>
        <w:t xml:space="preserve">CON VOTO PARTICULAR </w:t>
      </w:r>
      <w:r w:rsidR="002419D8">
        <w:rPr>
          <w:rFonts w:ascii="Palatino Linotype" w:hAnsi="Palatino Linotype"/>
          <w:sz w:val="24"/>
          <w:szCs w:val="24"/>
        </w:rPr>
        <w:t>Y LUIS GUSTAVO PARRA NORIEGA</w:t>
      </w:r>
      <w:r w:rsidRPr="0014447C">
        <w:rPr>
          <w:rFonts w:ascii="Palatino Linotype" w:hAnsi="Palatino Linotype"/>
          <w:sz w:val="24"/>
          <w:szCs w:val="24"/>
        </w:rPr>
        <w:t xml:space="preserve">, EN LA </w:t>
      </w:r>
      <w:r w:rsidR="00C105C7">
        <w:rPr>
          <w:rFonts w:ascii="Palatino Linotype" w:hAnsi="Palatino Linotype"/>
          <w:sz w:val="24"/>
          <w:szCs w:val="24"/>
        </w:rPr>
        <w:t>VIGÉSIMA PRIMERA</w:t>
      </w:r>
      <w:r w:rsidR="001930CB">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C105C7">
        <w:rPr>
          <w:rFonts w:ascii="Palatino Linotype" w:hAnsi="Palatino Linotype"/>
          <w:sz w:val="24"/>
          <w:szCs w:val="24"/>
        </w:rPr>
        <w:t>CINCO DE JUNIO DE 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B341EE">
        <w:rPr>
          <w:rFonts w:ascii="Palatino Linotype" w:hAnsi="Palatino Linotype"/>
          <w:sz w:val="24"/>
          <w:szCs w:val="24"/>
        </w:rPr>
        <w:t>--------------------------------------------</w:t>
      </w:r>
      <w:r w:rsidR="001C791F">
        <w:rPr>
          <w:rFonts w:ascii="Palatino Linotype" w:hAnsi="Palatino Linotype"/>
          <w:sz w:val="24"/>
          <w:szCs w:val="24"/>
        </w:rPr>
        <w:t>-----------------------------------</w:t>
      </w:r>
      <w:r w:rsidR="00DE5468">
        <w:rPr>
          <w:rFonts w:ascii="Palatino Linotype" w:hAnsi="Palatino Linotype"/>
          <w:sz w:val="24"/>
          <w:szCs w:val="24"/>
        </w:rPr>
        <w:t>-</w:t>
      </w:r>
      <w:r w:rsidR="001C791F">
        <w:rPr>
          <w:rFonts w:ascii="Palatino Linotype" w:hAnsi="Palatino Linotype"/>
          <w:sz w:val="24"/>
          <w:szCs w:val="24"/>
        </w:rPr>
        <w:t>---</w:t>
      </w:r>
      <w:r w:rsidR="00D71A39">
        <w:rPr>
          <w:rFonts w:ascii="Palatino Linotype" w:hAnsi="Palatino Linotype"/>
          <w:sz w:val="24"/>
          <w:szCs w:val="24"/>
        </w:rPr>
        <w:t>------------------------------</w:t>
      </w:r>
      <w:r w:rsidR="00E41ACC">
        <w:rPr>
          <w:rFonts w:ascii="Palatino Linotype" w:hAnsi="Palatino Linotype"/>
          <w:sz w:val="24"/>
          <w:szCs w:val="24"/>
        </w:rPr>
        <w:t>---------------------------------</w:t>
      </w:r>
      <w:r w:rsidR="00E41ACC" w:rsidRPr="00E41ACC">
        <w:rPr>
          <w:rFonts w:ascii="Palatino Linotype" w:hAnsi="Palatino Linotype"/>
          <w:sz w:val="24"/>
          <w:szCs w:val="24"/>
        </w:rPr>
        <w:t xml:space="preserve"> </w:t>
      </w:r>
      <w:r w:rsidR="00E41ACC">
        <w:rPr>
          <w:rFonts w:ascii="Palatino Linotype" w:hAnsi="Palatino Linotype"/>
          <w:sz w:val="24"/>
          <w:szCs w:val="24"/>
        </w:rPr>
        <w:t>--------------------------------------------------------------------------------------------------------------------------------------------------------------------------------------------------------------------------------------------------------------------------------------------------------------------------------------------------------------------------------------------------------------------------------------------------------------------------------------------------------------------------------------------------------------------------------------------------------------------------------------------------------------------------------------------------------------------------------------------------------------------------------------------------------------------------------------------------------------------------------------------------------------------------------------------------------------------------------------------------------------------------------------------------------------------------------------------------------------------------------------------------------------------------------------------------------------------------------</w:t>
      </w:r>
      <w:r w:rsidR="003E1EDD">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58BB" w:rsidRPr="001D58BB" w:rsidTr="00D33787">
        <w:tc>
          <w:tcPr>
            <w:tcW w:w="9062" w:type="dxa"/>
            <w:gridSpan w:val="2"/>
          </w:tcPr>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3D490B" w:rsidRPr="001D58BB" w:rsidRDefault="003D490B"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Zulema Martínez Sánchez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Comisionada Presidenta</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D33787">
        <w:tc>
          <w:tcPr>
            <w:tcW w:w="4531" w:type="dxa"/>
          </w:tcPr>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Eva Abaid Yapur</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Comisionada</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c>
          <w:tcPr>
            <w:tcW w:w="4531" w:type="dxa"/>
          </w:tcPr>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José Guadalupe Luna Hernández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D33787">
        <w:tc>
          <w:tcPr>
            <w:tcW w:w="4531" w:type="dxa"/>
          </w:tcPr>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Javier Martínez Cruz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sz w:val="24"/>
                <w:szCs w:val="24"/>
              </w:rPr>
              <w:t>(Rúbrica)</w:t>
            </w:r>
          </w:p>
        </w:tc>
        <w:tc>
          <w:tcPr>
            <w:tcW w:w="4531" w:type="dxa"/>
          </w:tcPr>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Luis Gustavo Parra Noriega</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D33787">
        <w:tc>
          <w:tcPr>
            <w:tcW w:w="9062" w:type="dxa"/>
            <w:gridSpan w:val="2"/>
          </w:tcPr>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3D490B" w:rsidRPr="001D58BB" w:rsidRDefault="003D490B" w:rsidP="00D33787">
            <w:pPr>
              <w:pStyle w:val="Sinespaciado"/>
              <w:jc w:val="both"/>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Alexis Tapia Ramírez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Secretario Técnico del Pleno</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bl>
    <w:p w:rsidR="004617C7" w:rsidRPr="00AA4F9A" w:rsidRDefault="004617C7" w:rsidP="0014447C">
      <w:pPr>
        <w:pStyle w:val="Sinespaciado"/>
        <w:jc w:val="both"/>
        <w:rPr>
          <w:rFonts w:ascii="Palatino Linotype" w:hAnsi="Palatino Linotype"/>
          <w:sz w:val="24"/>
          <w:szCs w:val="24"/>
        </w:rPr>
      </w:pPr>
    </w:p>
    <w:p w:rsidR="00AA4F9A" w:rsidRPr="00E02B94" w:rsidRDefault="007E2E80" w:rsidP="0014447C">
      <w:pPr>
        <w:pStyle w:val="Sinespaciado"/>
        <w:jc w:val="both"/>
        <w:rPr>
          <w:rFonts w:ascii="Palatino Linotype" w:hAnsi="Palatino Linotype"/>
          <w:bCs/>
          <w:sz w:val="20"/>
          <w:szCs w:val="20"/>
          <w:lang w:eastAsia="es-MX"/>
        </w:rPr>
      </w:pPr>
      <w:r w:rsidRPr="00E02B94">
        <w:rPr>
          <w:rFonts w:ascii="Palatino Linotype" w:hAnsi="Palatino Linotype"/>
          <w:sz w:val="20"/>
          <w:szCs w:val="20"/>
        </w:rPr>
        <w:t xml:space="preserve">Esta hoja corresponde a la resolución de fecha </w:t>
      </w:r>
      <w:r w:rsidR="007F3794">
        <w:rPr>
          <w:rFonts w:ascii="Palatino Linotype" w:hAnsi="Palatino Linotype"/>
          <w:sz w:val="20"/>
          <w:szCs w:val="20"/>
        </w:rPr>
        <w:t>cinco de junio de dos mil diecinueve</w:t>
      </w:r>
      <w:r w:rsidRPr="00E02B94">
        <w:rPr>
          <w:rFonts w:ascii="Palatino Linotype" w:hAnsi="Palatino Linotype"/>
          <w:sz w:val="20"/>
          <w:szCs w:val="20"/>
        </w:rPr>
        <w:t xml:space="preserve">, emitida en el recurso de revisión </w:t>
      </w:r>
      <w:r w:rsidR="000E78A5">
        <w:rPr>
          <w:rFonts w:ascii="Palatino Linotype" w:hAnsi="Palatino Linotype"/>
          <w:bCs/>
          <w:sz w:val="20"/>
          <w:szCs w:val="20"/>
          <w:lang w:eastAsia="es-MX"/>
        </w:rPr>
        <w:t>01915</w:t>
      </w:r>
      <w:r w:rsidR="007F3794">
        <w:rPr>
          <w:rFonts w:ascii="Palatino Linotype" w:hAnsi="Palatino Linotype"/>
          <w:bCs/>
          <w:sz w:val="20"/>
          <w:szCs w:val="20"/>
          <w:lang w:eastAsia="es-MX"/>
        </w:rPr>
        <w:t>/INFOEM/IP/RR/2019</w:t>
      </w:r>
      <w:r w:rsidRPr="00E02B94">
        <w:rPr>
          <w:rFonts w:ascii="Palatino Linotype" w:hAnsi="Palatino Linotype"/>
          <w:bCs/>
          <w:sz w:val="20"/>
          <w:szCs w:val="20"/>
          <w:lang w:eastAsia="es-MX"/>
        </w:rPr>
        <w:t>.</w:t>
      </w:r>
    </w:p>
    <w:p w:rsidR="007E2E80" w:rsidRPr="00AA4F9A" w:rsidRDefault="00DA26AF"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E6F" w:rsidRDefault="002D2E6F" w:rsidP="007E2E80">
      <w:pPr>
        <w:spacing w:after="0" w:line="240" w:lineRule="auto"/>
      </w:pPr>
      <w:r>
        <w:separator/>
      </w:r>
    </w:p>
  </w:endnote>
  <w:endnote w:type="continuationSeparator" w:id="0">
    <w:p w:rsidR="002D2E6F" w:rsidRDefault="002D2E6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46" w:rsidRPr="000B69FA" w:rsidRDefault="00CB274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0E3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0E31">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46" w:rsidRPr="000B69FA" w:rsidRDefault="00CB274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0E3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0E31">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E6F" w:rsidRDefault="002D2E6F" w:rsidP="007E2E80">
      <w:pPr>
        <w:spacing w:after="0" w:line="240" w:lineRule="auto"/>
      </w:pPr>
      <w:r>
        <w:separator/>
      </w:r>
    </w:p>
  </w:footnote>
  <w:footnote w:type="continuationSeparator" w:id="0">
    <w:p w:rsidR="002D2E6F" w:rsidRDefault="002D2E6F" w:rsidP="007E2E80">
      <w:pPr>
        <w:spacing w:after="0" w:line="240" w:lineRule="auto"/>
      </w:pPr>
      <w:r>
        <w:continuationSeparator/>
      </w:r>
    </w:p>
  </w:footnote>
  <w:footnote w:id="1">
    <w:p w:rsidR="00CB2746" w:rsidRDefault="00CB2746" w:rsidP="00705D1C">
      <w:pPr>
        <w:pStyle w:val="Textonotapie"/>
        <w:jc w:val="both"/>
        <w:rPr>
          <w:rFonts w:ascii="Palatino Linotype" w:hAnsi="Palatino Linotype" w:cs="Arial"/>
          <w:i/>
          <w:sz w:val="18"/>
          <w:szCs w:val="18"/>
        </w:rPr>
      </w:pPr>
      <w:r w:rsidRPr="00EE29D5">
        <w:rPr>
          <w:rStyle w:val="Refdenotaalpie"/>
          <w:i/>
          <w:sz w:val="18"/>
          <w:szCs w:val="18"/>
        </w:rPr>
        <w:footnoteRef/>
      </w:r>
      <w:r w:rsidRPr="00EE29D5">
        <w:rPr>
          <w:i/>
          <w:sz w:val="18"/>
          <w:szCs w:val="18"/>
        </w:rPr>
        <w:t xml:space="preserve"> </w:t>
      </w:r>
      <w:r w:rsidRPr="00EE29D5">
        <w:rPr>
          <w:rFonts w:ascii="Palatino Linotype" w:hAnsi="Palatino Linotype" w:cs="Arial"/>
          <w:i/>
          <w:sz w:val="18"/>
          <w:szCs w:val="18"/>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E29D5" w:rsidRPr="00EE29D5" w:rsidRDefault="00EE29D5" w:rsidP="00705D1C">
      <w:pPr>
        <w:pStyle w:val="Textonotapie"/>
        <w:jc w:val="both"/>
        <w:rPr>
          <w:rFonts w:ascii="Palatino Linotype" w:hAnsi="Palatino Linotype" w:cs="Arial"/>
          <w:i/>
          <w:sz w:val="18"/>
          <w:szCs w:val="18"/>
        </w:rPr>
      </w:pPr>
    </w:p>
    <w:p w:rsidR="00CB2746" w:rsidRPr="00EE29D5" w:rsidRDefault="00CB2746" w:rsidP="00705D1C">
      <w:pPr>
        <w:jc w:val="both"/>
        <w:rPr>
          <w:rFonts w:ascii="Palatino Linotype" w:hAnsi="Palatino Linotype"/>
          <w:i/>
          <w:sz w:val="18"/>
          <w:szCs w:val="18"/>
        </w:rPr>
      </w:pPr>
      <w:r w:rsidRPr="00EE29D5">
        <w:rPr>
          <w:rFonts w:ascii="Palatino Linotype" w:hAnsi="Palatino Linotype"/>
          <w:b/>
          <w:bCs/>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r w:rsidRPr="00EE29D5">
        <w:rPr>
          <w:rFonts w:ascii="Palatino Linotype" w:hAnsi="Palatino Linotype"/>
          <w:i/>
          <w:sz w:val="18"/>
          <w:szCs w:val="18"/>
        </w:rPr>
        <w:t>Del examen de compatibilidad de los artículos</w:t>
      </w:r>
      <w:r w:rsidRPr="00EE29D5">
        <w:rPr>
          <w:rStyle w:val="apple-converted-space"/>
          <w:rFonts w:ascii="Palatino Linotype" w:hAnsi="Palatino Linotype"/>
          <w:i/>
          <w:sz w:val="18"/>
          <w:szCs w:val="18"/>
        </w:rPr>
        <w:t> </w:t>
      </w:r>
      <w:hyperlink r:id="rId1" w:history="1">
        <w:r w:rsidRPr="00EE29D5">
          <w:rPr>
            <w:rStyle w:val="Hipervnculo"/>
            <w:rFonts w:ascii="Palatino Linotype" w:hAnsi="Palatino Linotype"/>
            <w:i/>
            <w:color w:val="auto"/>
            <w:sz w:val="18"/>
            <w:szCs w:val="18"/>
          </w:rPr>
          <w:t>73 y 74 de la Ley de Amparo</w:t>
        </w:r>
      </w:hyperlink>
      <w:r w:rsidRPr="00EE29D5">
        <w:rPr>
          <w:rStyle w:val="apple-converted-space"/>
          <w:rFonts w:ascii="Palatino Linotype" w:hAnsi="Palatino Linotype"/>
          <w:i/>
          <w:sz w:val="18"/>
          <w:szCs w:val="18"/>
        </w:rPr>
        <w:t> </w:t>
      </w:r>
      <w:r w:rsidRPr="00EE29D5">
        <w:rPr>
          <w:rFonts w:ascii="Palatino Linotype" w:hAnsi="Palatino Linotype"/>
          <w:i/>
          <w:sz w:val="18"/>
          <w:szCs w:val="18"/>
        </w:rPr>
        <w:t>con el artículo</w:t>
      </w:r>
      <w:r w:rsidRPr="00EE29D5">
        <w:rPr>
          <w:rStyle w:val="apple-converted-space"/>
          <w:rFonts w:ascii="Palatino Linotype" w:hAnsi="Palatino Linotype"/>
          <w:i/>
          <w:sz w:val="18"/>
          <w:szCs w:val="18"/>
        </w:rPr>
        <w:t> </w:t>
      </w:r>
      <w:hyperlink r:id="rId2" w:history="1">
        <w:r w:rsidRPr="00EE29D5">
          <w:rPr>
            <w:rStyle w:val="Hipervnculo"/>
            <w:rFonts w:ascii="Palatino Linotype" w:hAnsi="Palatino Linotype"/>
            <w:i/>
            <w:color w:val="auto"/>
            <w:sz w:val="18"/>
            <w:szCs w:val="18"/>
          </w:rPr>
          <w:t>25.1 de la Convención Americana sobre Derechos Humanos</w:t>
        </w:r>
      </w:hyperlink>
      <w:r w:rsidRPr="00EE29D5">
        <w:rPr>
          <w:rStyle w:val="apple-converted-space"/>
          <w:rFonts w:ascii="Palatino Linotype" w:hAnsi="Palatino Linotype"/>
          <w:i/>
          <w:sz w:val="18"/>
          <w:szCs w:val="18"/>
        </w:rPr>
        <w:t> </w:t>
      </w:r>
      <w:r w:rsidRPr="00EE29D5">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29D5">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B2746" w:rsidRPr="00EE29D5" w:rsidRDefault="00CB2746" w:rsidP="005D5533">
      <w:pPr>
        <w:pStyle w:val="Textonotapie"/>
        <w:jc w:val="both"/>
        <w:rPr>
          <w:rFonts w:ascii="Palatino Linotype" w:hAnsi="Palatino Linotype"/>
          <w:i/>
          <w:sz w:val="18"/>
          <w:szCs w:val="18"/>
        </w:rPr>
      </w:pPr>
      <w:r w:rsidRPr="00EE29D5">
        <w:rPr>
          <w:rStyle w:val="Refdenotaalpie"/>
          <w:rFonts w:ascii="Palatino Linotype" w:hAnsi="Palatino Linotype"/>
          <w:i/>
          <w:sz w:val="18"/>
          <w:szCs w:val="18"/>
        </w:rPr>
        <w:footnoteRef/>
      </w:r>
      <w:r w:rsidRPr="00EE29D5">
        <w:rPr>
          <w:rFonts w:ascii="Palatino Linotype" w:hAnsi="Palatino Linotype"/>
          <w:i/>
          <w:sz w:val="18"/>
          <w:szCs w:val="18"/>
        </w:rPr>
        <w:t xml:space="preserve"> </w:t>
      </w:r>
      <w:r w:rsidRPr="00EE29D5">
        <w:rPr>
          <w:rFonts w:ascii="Palatino Linotype" w:hAnsi="Palatino Linotype"/>
          <w:b/>
          <w:i/>
          <w:sz w:val="18"/>
          <w:szCs w:val="18"/>
        </w:rPr>
        <w:t>Artículo 13</w:t>
      </w:r>
      <w:r w:rsidRPr="00EE29D5">
        <w:rPr>
          <w:rFonts w:ascii="Palatino Linotype" w:hAnsi="Palatino Linotype"/>
          <w:i/>
          <w:sz w:val="18"/>
          <w:szCs w:val="18"/>
        </w:rPr>
        <w:t>. El Instituto, en el ámbito de sus atribuciones, deberá suplir cualquier deficiencia para garantizar el ejercicio del derecho de acceso a la información.</w:t>
      </w:r>
    </w:p>
  </w:footnote>
  <w:footnote w:id="3">
    <w:p w:rsidR="00CB2746" w:rsidRPr="00E463E1" w:rsidRDefault="00CB2746" w:rsidP="00CB2746">
      <w:pPr>
        <w:pStyle w:val="Textonotapie"/>
        <w:rPr>
          <w:rFonts w:ascii="Palatino Linotype" w:hAnsi="Palatino Linotype"/>
          <w:i/>
          <w:sz w:val="18"/>
          <w:szCs w:val="18"/>
        </w:rPr>
      </w:pPr>
      <w:r w:rsidRPr="00E463E1">
        <w:rPr>
          <w:rStyle w:val="Refdenotaalpie"/>
          <w:rFonts w:ascii="Palatino Linotype" w:hAnsi="Palatino Linotype"/>
          <w:i/>
          <w:sz w:val="18"/>
          <w:szCs w:val="18"/>
        </w:rPr>
        <w:footnoteRef/>
      </w:r>
      <w:r w:rsidRPr="00E463E1">
        <w:rPr>
          <w:rFonts w:ascii="Palatino Linotype" w:hAnsi="Palatino Linotype"/>
          <w:i/>
          <w:sz w:val="18"/>
          <w:szCs w:val="18"/>
        </w:rPr>
        <w:t xml:space="preserve"> </w:t>
      </w:r>
      <w:r w:rsidRPr="00E463E1">
        <w:rPr>
          <w:rFonts w:ascii="Palatino Linotype" w:hAnsi="Palatino Linotype"/>
          <w:b/>
          <w:i/>
          <w:sz w:val="18"/>
          <w:szCs w:val="18"/>
        </w:rPr>
        <w:t>ARTÍCULO 98.</w:t>
      </w:r>
      <w:r w:rsidRPr="00E463E1">
        <w:rPr>
          <w:rFonts w:ascii="Palatino Linotype" w:hAnsi="Palatino Linotype"/>
          <w:i/>
          <w:sz w:val="18"/>
          <w:szCs w:val="18"/>
        </w:rPr>
        <w:t xml:space="preserve"> Son obligaciones de las instituciones públicas:</w:t>
      </w:r>
    </w:p>
    <w:p w:rsidR="00E463E1" w:rsidRPr="00E463E1" w:rsidRDefault="00E463E1" w:rsidP="00CB2746">
      <w:pPr>
        <w:pStyle w:val="Textonotapie"/>
        <w:rPr>
          <w:rFonts w:ascii="Palatino Linotype" w:hAnsi="Palatino Linotype"/>
          <w:i/>
          <w:sz w:val="18"/>
          <w:szCs w:val="18"/>
        </w:rPr>
      </w:pPr>
      <w:r w:rsidRPr="00E463E1">
        <w:rPr>
          <w:rFonts w:ascii="Palatino Linotype" w:hAnsi="Palatino Linotype"/>
          <w:i/>
          <w:sz w:val="18"/>
          <w:szCs w:val="18"/>
        </w:rPr>
        <w:t>(…)</w:t>
      </w:r>
    </w:p>
    <w:p w:rsidR="00CB2746" w:rsidRPr="00E463E1" w:rsidRDefault="00CB2746" w:rsidP="00CB2746">
      <w:pPr>
        <w:pStyle w:val="Textonotapie"/>
        <w:rPr>
          <w:rFonts w:ascii="Palatino Linotype" w:hAnsi="Palatino Linotype"/>
          <w:i/>
          <w:sz w:val="18"/>
          <w:szCs w:val="18"/>
        </w:rPr>
      </w:pPr>
      <w:r w:rsidRPr="00E463E1">
        <w:rPr>
          <w:rFonts w:ascii="Palatino Linotype" w:hAnsi="Palatino Linotype"/>
          <w:i/>
          <w:sz w:val="18"/>
          <w:szCs w:val="18"/>
        </w:rPr>
        <w:t>XVII</w:t>
      </w:r>
      <w:r w:rsidRPr="00E463E1">
        <w:rPr>
          <w:rFonts w:ascii="Palatino Linotype" w:hAnsi="Palatino Linotype"/>
          <w:b/>
          <w:i/>
          <w:sz w:val="18"/>
          <w:szCs w:val="18"/>
        </w:rPr>
        <w:t>. Integrar los expedientes de los servidores públicos</w:t>
      </w:r>
      <w:r w:rsidRPr="00E463E1">
        <w:rPr>
          <w:rFonts w:ascii="Palatino Linotype" w:hAnsi="Palatino Linotype"/>
          <w:i/>
          <w:sz w:val="18"/>
          <w:szCs w:val="18"/>
        </w:rPr>
        <w:t xml:space="preserve"> y proporcionar las constancias que éstos soliciten para el trámite de los asuntos de su interés en los términos que señalen los ordenamientos respectivos.</w:t>
      </w:r>
    </w:p>
    <w:p w:rsidR="00E463E1" w:rsidRPr="00E463E1" w:rsidRDefault="00E463E1" w:rsidP="00CB2746">
      <w:pPr>
        <w:pStyle w:val="Textonotapie"/>
        <w:rPr>
          <w:rFonts w:ascii="Palatino Linotype" w:hAnsi="Palatino Linotype"/>
          <w:i/>
          <w:sz w:val="18"/>
          <w:szCs w:val="18"/>
        </w:rPr>
      </w:pPr>
      <w:r w:rsidRPr="00E463E1">
        <w:rPr>
          <w:rFonts w:ascii="Palatino Linotype" w:hAnsi="Palatino Linotype"/>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46" w:rsidRDefault="00CB2746">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CB2746" w:rsidTr="00182616">
      <w:trPr>
        <w:trHeight w:val="227"/>
      </w:trPr>
      <w:tc>
        <w:tcPr>
          <w:tcW w:w="5949" w:type="dxa"/>
          <w:hideMark/>
        </w:tcPr>
        <w:p w:rsidR="00CB2746" w:rsidRDefault="00CB2746"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CB2746" w:rsidRDefault="00CB2746"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01915/INFOEM/IP/RR/2019</w:t>
          </w:r>
        </w:p>
      </w:tc>
    </w:tr>
    <w:tr w:rsidR="00CB2746" w:rsidTr="00182616">
      <w:trPr>
        <w:trHeight w:val="242"/>
      </w:trPr>
      <w:tc>
        <w:tcPr>
          <w:tcW w:w="5949" w:type="dxa"/>
          <w:hideMark/>
        </w:tcPr>
        <w:p w:rsidR="00CB2746" w:rsidRDefault="00CB2746"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CB2746" w:rsidRDefault="00CB2746" w:rsidP="0018261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Morelos</w:t>
          </w:r>
        </w:p>
      </w:tc>
    </w:tr>
    <w:tr w:rsidR="00CB2746" w:rsidTr="00182616">
      <w:trPr>
        <w:trHeight w:val="342"/>
      </w:trPr>
      <w:tc>
        <w:tcPr>
          <w:tcW w:w="5949" w:type="dxa"/>
          <w:hideMark/>
        </w:tcPr>
        <w:p w:rsidR="00CB2746" w:rsidRDefault="00CB2746"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CB2746" w:rsidRDefault="00CB2746"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B2746" w:rsidRDefault="00CB2746">
    <w:pPr>
      <w:pStyle w:val="Encabezado"/>
    </w:pPr>
  </w:p>
  <w:p w:rsidR="00CB2746" w:rsidRDefault="00CB27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CB2746" w:rsidTr="00182616">
      <w:trPr>
        <w:trHeight w:val="227"/>
      </w:trPr>
      <w:tc>
        <w:tcPr>
          <w:tcW w:w="5103" w:type="dxa"/>
          <w:hideMark/>
        </w:tcPr>
        <w:p w:rsidR="00CB2746" w:rsidRDefault="00CB274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CB2746" w:rsidRPr="00B4142F" w:rsidRDefault="00CB2746"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01915/INFOEM/IP/RR/2019</w:t>
          </w:r>
        </w:p>
      </w:tc>
    </w:tr>
    <w:tr w:rsidR="00CB2746" w:rsidTr="00182616">
      <w:trPr>
        <w:trHeight w:val="196"/>
      </w:trPr>
      <w:tc>
        <w:tcPr>
          <w:tcW w:w="5103" w:type="dxa"/>
          <w:hideMark/>
        </w:tcPr>
        <w:p w:rsidR="00CB2746" w:rsidRDefault="00CB274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CB2746" w:rsidRPr="00F06FED" w:rsidRDefault="00CB2746" w:rsidP="00212498">
          <w:pPr>
            <w:spacing w:after="120" w:line="256" w:lineRule="auto"/>
            <w:ind w:left="208" w:right="214"/>
            <w:jc w:val="right"/>
            <w:rPr>
              <w:rFonts w:ascii="Palatino Linotype" w:hAnsi="Palatino Linotype" w:cs="Arial"/>
            </w:rPr>
          </w:pPr>
        </w:p>
      </w:tc>
    </w:tr>
    <w:tr w:rsidR="00CB2746" w:rsidTr="00182616">
      <w:trPr>
        <w:trHeight w:val="242"/>
      </w:trPr>
      <w:tc>
        <w:tcPr>
          <w:tcW w:w="5103" w:type="dxa"/>
          <w:hideMark/>
        </w:tcPr>
        <w:p w:rsidR="00CB2746" w:rsidRDefault="00CB274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CB2746" w:rsidRDefault="00CB2746"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Morelos</w:t>
          </w:r>
        </w:p>
      </w:tc>
    </w:tr>
    <w:tr w:rsidR="00CB2746" w:rsidTr="00182616">
      <w:trPr>
        <w:trHeight w:val="342"/>
      </w:trPr>
      <w:tc>
        <w:tcPr>
          <w:tcW w:w="5103" w:type="dxa"/>
          <w:hideMark/>
        </w:tcPr>
        <w:p w:rsidR="00CB2746" w:rsidRDefault="00CB2746"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CB2746" w:rsidRDefault="00CB2746"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B2746" w:rsidRDefault="00CB27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1B1C84"/>
    <w:multiLevelType w:val="hybridMultilevel"/>
    <w:tmpl w:val="36AE0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FF45FB"/>
    <w:multiLevelType w:val="hybridMultilevel"/>
    <w:tmpl w:val="08AC0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815767"/>
    <w:multiLevelType w:val="hybridMultilevel"/>
    <w:tmpl w:val="A11A0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595CAF"/>
    <w:multiLevelType w:val="hybridMultilevel"/>
    <w:tmpl w:val="BC8861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AC7AB3"/>
    <w:multiLevelType w:val="hybridMultilevel"/>
    <w:tmpl w:val="033EB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C5558B"/>
    <w:multiLevelType w:val="hybridMultilevel"/>
    <w:tmpl w:val="E10E5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CAB11C7"/>
    <w:multiLevelType w:val="hybridMultilevel"/>
    <w:tmpl w:val="07024CB6"/>
    <w:lvl w:ilvl="0" w:tplc="9544FC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2E0D4A"/>
    <w:multiLevelType w:val="hybridMultilevel"/>
    <w:tmpl w:val="6C72A9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873E3"/>
    <w:multiLevelType w:val="hybridMultilevel"/>
    <w:tmpl w:val="1A1AB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A0055B"/>
    <w:multiLevelType w:val="hybridMultilevel"/>
    <w:tmpl w:val="6D62A4DE"/>
    <w:lvl w:ilvl="0" w:tplc="336E60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015552"/>
    <w:multiLevelType w:val="hybridMultilevel"/>
    <w:tmpl w:val="E0F83B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6"/>
  </w:num>
  <w:num w:numId="5">
    <w:abstractNumId w:val="4"/>
  </w:num>
  <w:num w:numId="6">
    <w:abstractNumId w:val="3"/>
  </w:num>
  <w:num w:numId="7">
    <w:abstractNumId w:val="13"/>
  </w:num>
  <w:num w:numId="8">
    <w:abstractNumId w:val="12"/>
  </w:num>
  <w:num w:numId="9">
    <w:abstractNumId w:val="21"/>
  </w:num>
  <w:num w:numId="10">
    <w:abstractNumId w:val="6"/>
  </w:num>
  <w:num w:numId="11">
    <w:abstractNumId w:val="22"/>
  </w:num>
  <w:num w:numId="12">
    <w:abstractNumId w:val="20"/>
  </w:num>
  <w:num w:numId="13">
    <w:abstractNumId w:val="16"/>
  </w:num>
  <w:num w:numId="14">
    <w:abstractNumId w:val="9"/>
  </w:num>
  <w:num w:numId="15">
    <w:abstractNumId w:val="1"/>
  </w:num>
  <w:num w:numId="16">
    <w:abstractNumId w:val="5"/>
  </w:num>
  <w:num w:numId="17">
    <w:abstractNumId w:val="25"/>
  </w:num>
  <w:num w:numId="18">
    <w:abstractNumId w:val="19"/>
  </w:num>
  <w:num w:numId="19">
    <w:abstractNumId w:val="7"/>
  </w:num>
  <w:num w:numId="20">
    <w:abstractNumId w:val="23"/>
  </w:num>
  <w:num w:numId="21">
    <w:abstractNumId w:val="11"/>
  </w:num>
  <w:num w:numId="22">
    <w:abstractNumId w:val="24"/>
  </w:num>
  <w:num w:numId="23">
    <w:abstractNumId w:val="10"/>
  </w:num>
  <w:num w:numId="24">
    <w:abstractNumId w:val="18"/>
  </w:num>
  <w:num w:numId="25">
    <w:abstractNumId w:val="17"/>
  </w:num>
  <w:num w:numId="26">
    <w:abstractNumId w:val="27"/>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3601"/>
    <w:rsid w:val="000145BA"/>
    <w:rsid w:val="000146A2"/>
    <w:rsid w:val="00014D80"/>
    <w:rsid w:val="00015A5D"/>
    <w:rsid w:val="00022E72"/>
    <w:rsid w:val="000276E0"/>
    <w:rsid w:val="000319CB"/>
    <w:rsid w:val="00032DBD"/>
    <w:rsid w:val="00033949"/>
    <w:rsid w:val="00033A37"/>
    <w:rsid w:val="00040E4E"/>
    <w:rsid w:val="00043018"/>
    <w:rsid w:val="00050A9C"/>
    <w:rsid w:val="00051311"/>
    <w:rsid w:val="000526BF"/>
    <w:rsid w:val="00053485"/>
    <w:rsid w:val="00053C9B"/>
    <w:rsid w:val="00055831"/>
    <w:rsid w:val="00057570"/>
    <w:rsid w:val="0007328F"/>
    <w:rsid w:val="000738E9"/>
    <w:rsid w:val="0007742A"/>
    <w:rsid w:val="0008795C"/>
    <w:rsid w:val="00095218"/>
    <w:rsid w:val="000A27C1"/>
    <w:rsid w:val="000A3B93"/>
    <w:rsid w:val="000B2E5B"/>
    <w:rsid w:val="000C5F79"/>
    <w:rsid w:val="000C6125"/>
    <w:rsid w:val="000D47AB"/>
    <w:rsid w:val="000D6982"/>
    <w:rsid w:val="000D756B"/>
    <w:rsid w:val="000E78A5"/>
    <w:rsid w:val="000E7C0A"/>
    <w:rsid w:val="000F18B2"/>
    <w:rsid w:val="000F199E"/>
    <w:rsid w:val="000F3722"/>
    <w:rsid w:val="0010352B"/>
    <w:rsid w:val="00112E80"/>
    <w:rsid w:val="00113B41"/>
    <w:rsid w:val="00114A3F"/>
    <w:rsid w:val="00114C3C"/>
    <w:rsid w:val="0012508A"/>
    <w:rsid w:val="001307AF"/>
    <w:rsid w:val="00132E9F"/>
    <w:rsid w:val="001337D1"/>
    <w:rsid w:val="00135494"/>
    <w:rsid w:val="00137BC4"/>
    <w:rsid w:val="00140AE4"/>
    <w:rsid w:val="0014191F"/>
    <w:rsid w:val="00143AC6"/>
    <w:rsid w:val="0014447C"/>
    <w:rsid w:val="001510E8"/>
    <w:rsid w:val="00151C12"/>
    <w:rsid w:val="00153C33"/>
    <w:rsid w:val="001552E9"/>
    <w:rsid w:val="001602EB"/>
    <w:rsid w:val="00162176"/>
    <w:rsid w:val="00164477"/>
    <w:rsid w:val="00165929"/>
    <w:rsid w:val="00166046"/>
    <w:rsid w:val="00166602"/>
    <w:rsid w:val="00166FB7"/>
    <w:rsid w:val="00174BE6"/>
    <w:rsid w:val="0018081E"/>
    <w:rsid w:val="00180F6B"/>
    <w:rsid w:val="00181E8D"/>
    <w:rsid w:val="00182616"/>
    <w:rsid w:val="001920BF"/>
    <w:rsid w:val="00192E42"/>
    <w:rsid w:val="001930CB"/>
    <w:rsid w:val="001A0F85"/>
    <w:rsid w:val="001A17B9"/>
    <w:rsid w:val="001A27CB"/>
    <w:rsid w:val="001A4700"/>
    <w:rsid w:val="001B4EC3"/>
    <w:rsid w:val="001C0CE9"/>
    <w:rsid w:val="001C1E0B"/>
    <w:rsid w:val="001C3BBA"/>
    <w:rsid w:val="001C407E"/>
    <w:rsid w:val="001C791F"/>
    <w:rsid w:val="001D3382"/>
    <w:rsid w:val="001D3A62"/>
    <w:rsid w:val="001D5207"/>
    <w:rsid w:val="001D58BB"/>
    <w:rsid w:val="001D61D0"/>
    <w:rsid w:val="001E00EF"/>
    <w:rsid w:val="001E07AC"/>
    <w:rsid w:val="001E4B27"/>
    <w:rsid w:val="001E60B7"/>
    <w:rsid w:val="001F021C"/>
    <w:rsid w:val="00203FA5"/>
    <w:rsid w:val="00207DA3"/>
    <w:rsid w:val="002108D8"/>
    <w:rsid w:val="00211473"/>
    <w:rsid w:val="00212498"/>
    <w:rsid w:val="00216B8D"/>
    <w:rsid w:val="00217292"/>
    <w:rsid w:val="002252AD"/>
    <w:rsid w:val="0023199E"/>
    <w:rsid w:val="002419D8"/>
    <w:rsid w:val="002450D9"/>
    <w:rsid w:val="002508D1"/>
    <w:rsid w:val="002543BD"/>
    <w:rsid w:val="00254523"/>
    <w:rsid w:val="002572CF"/>
    <w:rsid w:val="002611C1"/>
    <w:rsid w:val="0026191D"/>
    <w:rsid w:val="002636B7"/>
    <w:rsid w:val="002638D9"/>
    <w:rsid w:val="00271762"/>
    <w:rsid w:val="0028585E"/>
    <w:rsid w:val="00287072"/>
    <w:rsid w:val="00290397"/>
    <w:rsid w:val="002933BD"/>
    <w:rsid w:val="002936EF"/>
    <w:rsid w:val="002A1927"/>
    <w:rsid w:val="002A4081"/>
    <w:rsid w:val="002B194A"/>
    <w:rsid w:val="002B1C55"/>
    <w:rsid w:val="002B5B14"/>
    <w:rsid w:val="002C2D19"/>
    <w:rsid w:val="002D2E6F"/>
    <w:rsid w:val="002D4991"/>
    <w:rsid w:val="002D6110"/>
    <w:rsid w:val="002E22D8"/>
    <w:rsid w:val="002E2D4C"/>
    <w:rsid w:val="002E6036"/>
    <w:rsid w:val="002F044A"/>
    <w:rsid w:val="002F160B"/>
    <w:rsid w:val="002F17FB"/>
    <w:rsid w:val="002F67C7"/>
    <w:rsid w:val="00301A01"/>
    <w:rsid w:val="003021C1"/>
    <w:rsid w:val="00304C91"/>
    <w:rsid w:val="003063F3"/>
    <w:rsid w:val="00307784"/>
    <w:rsid w:val="00310760"/>
    <w:rsid w:val="00311191"/>
    <w:rsid w:val="00311C61"/>
    <w:rsid w:val="00312E7E"/>
    <w:rsid w:val="00316132"/>
    <w:rsid w:val="00326769"/>
    <w:rsid w:val="00327932"/>
    <w:rsid w:val="00336EDF"/>
    <w:rsid w:val="003527CA"/>
    <w:rsid w:val="0035375B"/>
    <w:rsid w:val="00363308"/>
    <w:rsid w:val="0036513D"/>
    <w:rsid w:val="00365ADF"/>
    <w:rsid w:val="00371211"/>
    <w:rsid w:val="00374450"/>
    <w:rsid w:val="00375FF5"/>
    <w:rsid w:val="0038385D"/>
    <w:rsid w:val="00385FE4"/>
    <w:rsid w:val="003908F4"/>
    <w:rsid w:val="00390A54"/>
    <w:rsid w:val="003919AC"/>
    <w:rsid w:val="0039265B"/>
    <w:rsid w:val="003A13D2"/>
    <w:rsid w:val="003A3096"/>
    <w:rsid w:val="003B0D59"/>
    <w:rsid w:val="003C25F7"/>
    <w:rsid w:val="003C3124"/>
    <w:rsid w:val="003C3EF4"/>
    <w:rsid w:val="003C74AF"/>
    <w:rsid w:val="003D2672"/>
    <w:rsid w:val="003D3420"/>
    <w:rsid w:val="003D4709"/>
    <w:rsid w:val="003D490B"/>
    <w:rsid w:val="003E08B9"/>
    <w:rsid w:val="003E12ED"/>
    <w:rsid w:val="003E1EDD"/>
    <w:rsid w:val="003F3606"/>
    <w:rsid w:val="003F56F1"/>
    <w:rsid w:val="00400852"/>
    <w:rsid w:val="00404F9D"/>
    <w:rsid w:val="00406B61"/>
    <w:rsid w:val="00407282"/>
    <w:rsid w:val="004132B8"/>
    <w:rsid w:val="004171DA"/>
    <w:rsid w:val="00417EBD"/>
    <w:rsid w:val="00422BFE"/>
    <w:rsid w:val="00423C27"/>
    <w:rsid w:val="00423DAA"/>
    <w:rsid w:val="00425199"/>
    <w:rsid w:val="00437CD8"/>
    <w:rsid w:val="00443826"/>
    <w:rsid w:val="004440DD"/>
    <w:rsid w:val="0045270C"/>
    <w:rsid w:val="0045396C"/>
    <w:rsid w:val="004572BE"/>
    <w:rsid w:val="004617C7"/>
    <w:rsid w:val="004657BE"/>
    <w:rsid w:val="004666AF"/>
    <w:rsid w:val="00475B53"/>
    <w:rsid w:val="004807F7"/>
    <w:rsid w:val="00482C85"/>
    <w:rsid w:val="004830B5"/>
    <w:rsid w:val="00483BB8"/>
    <w:rsid w:val="00484E47"/>
    <w:rsid w:val="00486B11"/>
    <w:rsid w:val="00487B8B"/>
    <w:rsid w:val="0049306E"/>
    <w:rsid w:val="00497B93"/>
    <w:rsid w:val="004A3433"/>
    <w:rsid w:val="004A51FF"/>
    <w:rsid w:val="004B2C63"/>
    <w:rsid w:val="004C43EB"/>
    <w:rsid w:val="004C7E18"/>
    <w:rsid w:val="004D23A9"/>
    <w:rsid w:val="004D5421"/>
    <w:rsid w:val="004E1092"/>
    <w:rsid w:val="004F1C97"/>
    <w:rsid w:val="004F483E"/>
    <w:rsid w:val="0050104C"/>
    <w:rsid w:val="005023F4"/>
    <w:rsid w:val="005033CC"/>
    <w:rsid w:val="00507FE7"/>
    <w:rsid w:val="0052393E"/>
    <w:rsid w:val="00524986"/>
    <w:rsid w:val="00525A73"/>
    <w:rsid w:val="00526740"/>
    <w:rsid w:val="00530BFE"/>
    <w:rsid w:val="0053215F"/>
    <w:rsid w:val="005328FB"/>
    <w:rsid w:val="00537419"/>
    <w:rsid w:val="0054021E"/>
    <w:rsid w:val="005421C7"/>
    <w:rsid w:val="005448FA"/>
    <w:rsid w:val="005601F0"/>
    <w:rsid w:val="00561C2B"/>
    <w:rsid w:val="00566699"/>
    <w:rsid w:val="005733EB"/>
    <w:rsid w:val="005737AA"/>
    <w:rsid w:val="00574E3B"/>
    <w:rsid w:val="0057534D"/>
    <w:rsid w:val="00585E4E"/>
    <w:rsid w:val="005872F9"/>
    <w:rsid w:val="00590126"/>
    <w:rsid w:val="00591988"/>
    <w:rsid w:val="00596856"/>
    <w:rsid w:val="005A41F9"/>
    <w:rsid w:val="005A6F55"/>
    <w:rsid w:val="005B2616"/>
    <w:rsid w:val="005B2A31"/>
    <w:rsid w:val="005B42CD"/>
    <w:rsid w:val="005B7E58"/>
    <w:rsid w:val="005C057C"/>
    <w:rsid w:val="005C3192"/>
    <w:rsid w:val="005C76D5"/>
    <w:rsid w:val="005D02A8"/>
    <w:rsid w:val="005D5533"/>
    <w:rsid w:val="005D5EEB"/>
    <w:rsid w:val="005F0CCB"/>
    <w:rsid w:val="005F1462"/>
    <w:rsid w:val="005F3FBD"/>
    <w:rsid w:val="00600D67"/>
    <w:rsid w:val="0060633A"/>
    <w:rsid w:val="006121FC"/>
    <w:rsid w:val="006149F1"/>
    <w:rsid w:val="00614F4E"/>
    <w:rsid w:val="00620FA6"/>
    <w:rsid w:val="0062102B"/>
    <w:rsid w:val="006246A5"/>
    <w:rsid w:val="00627F9C"/>
    <w:rsid w:val="00631F1B"/>
    <w:rsid w:val="00633C3F"/>
    <w:rsid w:val="00636F8F"/>
    <w:rsid w:val="00640D07"/>
    <w:rsid w:val="00640EA6"/>
    <w:rsid w:val="00642541"/>
    <w:rsid w:val="00644363"/>
    <w:rsid w:val="006446F7"/>
    <w:rsid w:val="00644F96"/>
    <w:rsid w:val="00647B4C"/>
    <w:rsid w:val="006565EA"/>
    <w:rsid w:val="006575E2"/>
    <w:rsid w:val="00660763"/>
    <w:rsid w:val="00661204"/>
    <w:rsid w:val="006639E2"/>
    <w:rsid w:val="006648B7"/>
    <w:rsid w:val="0066610F"/>
    <w:rsid w:val="00673D7C"/>
    <w:rsid w:val="006749FD"/>
    <w:rsid w:val="00676C32"/>
    <w:rsid w:val="00684E94"/>
    <w:rsid w:val="006850A8"/>
    <w:rsid w:val="00686046"/>
    <w:rsid w:val="0069776E"/>
    <w:rsid w:val="006A0ADE"/>
    <w:rsid w:val="006A29C5"/>
    <w:rsid w:val="006A3A54"/>
    <w:rsid w:val="006A561E"/>
    <w:rsid w:val="006A7BF7"/>
    <w:rsid w:val="006B280D"/>
    <w:rsid w:val="006C0DE2"/>
    <w:rsid w:val="006C2E42"/>
    <w:rsid w:val="006C6176"/>
    <w:rsid w:val="006D1136"/>
    <w:rsid w:val="006D254A"/>
    <w:rsid w:val="006D4AD4"/>
    <w:rsid w:val="006D780C"/>
    <w:rsid w:val="006E0255"/>
    <w:rsid w:val="006E0601"/>
    <w:rsid w:val="006E1FEA"/>
    <w:rsid w:val="006E6394"/>
    <w:rsid w:val="006E69B5"/>
    <w:rsid w:val="006E6C81"/>
    <w:rsid w:val="006F18FD"/>
    <w:rsid w:val="006F2076"/>
    <w:rsid w:val="006F4A35"/>
    <w:rsid w:val="006F6C87"/>
    <w:rsid w:val="00702DB6"/>
    <w:rsid w:val="00705D1C"/>
    <w:rsid w:val="00711C4D"/>
    <w:rsid w:val="0071210D"/>
    <w:rsid w:val="00712BA2"/>
    <w:rsid w:val="00714D2E"/>
    <w:rsid w:val="007218F2"/>
    <w:rsid w:val="007256EA"/>
    <w:rsid w:val="00730DE0"/>
    <w:rsid w:val="00736B94"/>
    <w:rsid w:val="0074093D"/>
    <w:rsid w:val="00756BCD"/>
    <w:rsid w:val="00761E90"/>
    <w:rsid w:val="00762400"/>
    <w:rsid w:val="00763D73"/>
    <w:rsid w:val="007640C8"/>
    <w:rsid w:val="0076532B"/>
    <w:rsid w:val="00766E80"/>
    <w:rsid w:val="007676AF"/>
    <w:rsid w:val="00771933"/>
    <w:rsid w:val="00776087"/>
    <w:rsid w:val="00777017"/>
    <w:rsid w:val="00785145"/>
    <w:rsid w:val="00786497"/>
    <w:rsid w:val="00797B8B"/>
    <w:rsid w:val="00797BE3"/>
    <w:rsid w:val="007A0571"/>
    <w:rsid w:val="007A223B"/>
    <w:rsid w:val="007A4E13"/>
    <w:rsid w:val="007A6E1B"/>
    <w:rsid w:val="007B0292"/>
    <w:rsid w:val="007B0E30"/>
    <w:rsid w:val="007B48AB"/>
    <w:rsid w:val="007C4240"/>
    <w:rsid w:val="007C7BF3"/>
    <w:rsid w:val="007D0387"/>
    <w:rsid w:val="007D0CFF"/>
    <w:rsid w:val="007D4F78"/>
    <w:rsid w:val="007D62D3"/>
    <w:rsid w:val="007E2E80"/>
    <w:rsid w:val="007E7D5D"/>
    <w:rsid w:val="007F2237"/>
    <w:rsid w:val="007F282E"/>
    <w:rsid w:val="007F3794"/>
    <w:rsid w:val="007F7846"/>
    <w:rsid w:val="008041A7"/>
    <w:rsid w:val="00807197"/>
    <w:rsid w:val="00821898"/>
    <w:rsid w:val="00823454"/>
    <w:rsid w:val="00824894"/>
    <w:rsid w:val="00827DC5"/>
    <w:rsid w:val="00831CCC"/>
    <w:rsid w:val="0083540E"/>
    <w:rsid w:val="0083761F"/>
    <w:rsid w:val="0084082E"/>
    <w:rsid w:val="00844695"/>
    <w:rsid w:val="008450F3"/>
    <w:rsid w:val="008455DC"/>
    <w:rsid w:val="00847DC1"/>
    <w:rsid w:val="00853CC3"/>
    <w:rsid w:val="00855C7E"/>
    <w:rsid w:val="00863A1D"/>
    <w:rsid w:val="0086441A"/>
    <w:rsid w:val="00866B25"/>
    <w:rsid w:val="00867D56"/>
    <w:rsid w:val="00870064"/>
    <w:rsid w:val="00870220"/>
    <w:rsid w:val="008725EE"/>
    <w:rsid w:val="0087345F"/>
    <w:rsid w:val="00877688"/>
    <w:rsid w:val="00887CA6"/>
    <w:rsid w:val="00892543"/>
    <w:rsid w:val="00893E0F"/>
    <w:rsid w:val="00896101"/>
    <w:rsid w:val="008A1C19"/>
    <w:rsid w:val="008B05F4"/>
    <w:rsid w:val="008B40C5"/>
    <w:rsid w:val="008B6907"/>
    <w:rsid w:val="008B6AE4"/>
    <w:rsid w:val="008B6DAC"/>
    <w:rsid w:val="008C0E72"/>
    <w:rsid w:val="008C0F70"/>
    <w:rsid w:val="008C651F"/>
    <w:rsid w:val="008C7CEB"/>
    <w:rsid w:val="008D17A8"/>
    <w:rsid w:val="008D6DB6"/>
    <w:rsid w:val="008E572E"/>
    <w:rsid w:val="008E63C2"/>
    <w:rsid w:val="008F0E31"/>
    <w:rsid w:val="008F0E57"/>
    <w:rsid w:val="008F3739"/>
    <w:rsid w:val="008F4829"/>
    <w:rsid w:val="008F79AE"/>
    <w:rsid w:val="0090189E"/>
    <w:rsid w:val="00903599"/>
    <w:rsid w:val="00905CE1"/>
    <w:rsid w:val="00924E30"/>
    <w:rsid w:val="00926D76"/>
    <w:rsid w:val="009272C6"/>
    <w:rsid w:val="00927ABA"/>
    <w:rsid w:val="00930F68"/>
    <w:rsid w:val="00931362"/>
    <w:rsid w:val="009339EC"/>
    <w:rsid w:val="00933F17"/>
    <w:rsid w:val="0093743A"/>
    <w:rsid w:val="00942349"/>
    <w:rsid w:val="00943B37"/>
    <w:rsid w:val="009443C5"/>
    <w:rsid w:val="009468DB"/>
    <w:rsid w:val="00946A93"/>
    <w:rsid w:val="00954DC1"/>
    <w:rsid w:val="00954E06"/>
    <w:rsid w:val="00960D8F"/>
    <w:rsid w:val="0096284F"/>
    <w:rsid w:val="0096359D"/>
    <w:rsid w:val="00967270"/>
    <w:rsid w:val="0097111D"/>
    <w:rsid w:val="0097416D"/>
    <w:rsid w:val="009759F9"/>
    <w:rsid w:val="009820BB"/>
    <w:rsid w:val="00984CA8"/>
    <w:rsid w:val="009859B8"/>
    <w:rsid w:val="00987008"/>
    <w:rsid w:val="00991C58"/>
    <w:rsid w:val="00994FE7"/>
    <w:rsid w:val="009A3AEB"/>
    <w:rsid w:val="009B205B"/>
    <w:rsid w:val="009B3592"/>
    <w:rsid w:val="009B70C3"/>
    <w:rsid w:val="009C1EA2"/>
    <w:rsid w:val="009C2D73"/>
    <w:rsid w:val="009C3FC7"/>
    <w:rsid w:val="009C4183"/>
    <w:rsid w:val="009C5156"/>
    <w:rsid w:val="009D00B5"/>
    <w:rsid w:val="009D46DE"/>
    <w:rsid w:val="009D56AA"/>
    <w:rsid w:val="009D77B2"/>
    <w:rsid w:val="009E0089"/>
    <w:rsid w:val="009E0332"/>
    <w:rsid w:val="009E396D"/>
    <w:rsid w:val="009E5D77"/>
    <w:rsid w:val="009F7B22"/>
    <w:rsid w:val="00A06551"/>
    <w:rsid w:val="00A10000"/>
    <w:rsid w:val="00A10775"/>
    <w:rsid w:val="00A112EB"/>
    <w:rsid w:val="00A11783"/>
    <w:rsid w:val="00A16AD7"/>
    <w:rsid w:val="00A21213"/>
    <w:rsid w:val="00A217FA"/>
    <w:rsid w:val="00A2199B"/>
    <w:rsid w:val="00A22469"/>
    <w:rsid w:val="00A3134D"/>
    <w:rsid w:val="00A31E6A"/>
    <w:rsid w:val="00A33B3A"/>
    <w:rsid w:val="00A35392"/>
    <w:rsid w:val="00A35B31"/>
    <w:rsid w:val="00A35FBB"/>
    <w:rsid w:val="00A4214D"/>
    <w:rsid w:val="00A422CD"/>
    <w:rsid w:val="00A50C85"/>
    <w:rsid w:val="00A62727"/>
    <w:rsid w:val="00A64FF4"/>
    <w:rsid w:val="00A65C29"/>
    <w:rsid w:val="00A666CE"/>
    <w:rsid w:val="00A701B8"/>
    <w:rsid w:val="00A83CC3"/>
    <w:rsid w:val="00A871F0"/>
    <w:rsid w:val="00A9172E"/>
    <w:rsid w:val="00A92336"/>
    <w:rsid w:val="00A94BF6"/>
    <w:rsid w:val="00AA4F9A"/>
    <w:rsid w:val="00AA5A0A"/>
    <w:rsid w:val="00AA5F4F"/>
    <w:rsid w:val="00AB1AF3"/>
    <w:rsid w:val="00AD0168"/>
    <w:rsid w:val="00AD3C94"/>
    <w:rsid w:val="00AD5BD6"/>
    <w:rsid w:val="00AD767C"/>
    <w:rsid w:val="00AE0851"/>
    <w:rsid w:val="00AE658B"/>
    <w:rsid w:val="00AF188D"/>
    <w:rsid w:val="00AF4065"/>
    <w:rsid w:val="00AF4386"/>
    <w:rsid w:val="00AF67C7"/>
    <w:rsid w:val="00B06243"/>
    <w:rsid w:val="00B070F5"/>
    <w:rsid w:val="00B112F8"/>
    <w:rsid w:val="00B118F3"/>
    <w:rsid w:val="00B12CBA"/>
    <w:rsid w:val="00B16CAC"/>
    <w:rsid w:val="00B1716E"/>
    <w:rsid w:val="00B27D7A"/>
    <w:rsid w:val="00B31ACE"/>
    <w:rsid w:val="00B341EE"/>
    <w:rsid w:val="00B34950"/>
    <w:rsid w:val="00B41108"/>
    <w:rsid w:val="00B43296"/>
    <w:rsid w:val="00B446CC"/>
    <w:rsid w:val="00B501B2"/>
    <w:rsid w:val="00B549E1"/>
    <w:rsid w:val="00B55472"/>
    <w:rsid w:val="00B556E1"/>
    <w:rsid w:val="00B56587"/>
    <w:rsid w:val="00B56C20"/>
    <w:rsid w:val="00B673A9"/>
    <w:rsid w:val="00B75842"/>
    <w:rsid w:val="00B867F4"/>
    <w:rsid w:val="00B87A48"/>
    <w:rsid w:val="00B93C5C"/>
    <w:rsid w:val="00B952E1"/>
    <w:rsid w:val="00B96A05"/>
    <w:rsid w:val="00B97BEB"/>
    <w:rsid w:val="00B97CAC"/>
    <w:rsid w:val="00BA011E"/>
    <w:rsid w:val="00BA05C1"/>
    <w:rsid w:val="00BA1A75"/>
    <w:rsid w:val="00BA2B89"/>
    <w:rsid w:val="00BA69A0"/>
    <w:rsid w:val="00BB2359"/>
    <w:rsid w:val="00BB4E00"/>
    <w:rsid w:val="00BB77FB"/>
    <w:rsid w:val="00BC64D4"/>
    <w:rsid w:val="00BD115E"/>
    <w:rsid w:val="00BD20DA"/>
    <w:rsid w:val="00BE100C"/>
    <w:rsid w:val="00BE163E"/>
    <w:rsid w:val="00BE48F3"/>
    <w:rsid w:val="00BE506E"/>
    <w:rsid w:val="00BE6D77"/>
    <w:rsid w:val="00BF0AEC"/>
    <w:rsid w:val="00BF107A"/>
    <w:rsid w:val="00BF123B"/>
    <w:rsid w:val="00BF123D"/>
    <w:rsid w:val="00BF3765"/>
    <w:rsid w:val="00BF4E38"/>
    <w:rsid w:val="00BF5EE2"/>
    <w:rsid w:val="00BF69B1"/>
    <w:rsid w:val="00BF6EA1"/>
    <w:rsid w:val="00C01DE0"/>
    <w:rsid w:val="00C07F1B"/>
    <w:rsid w:val="00C105C7"/>
    <w:rsid w:val="00C10AAE"/>
    <w:rsid w:val="00C115F4"/>
    <w:rsid w:val="00C2107B"/>
    <w:rsid w:val="00C216D4"/>
    <w:rsid w:val="00C25822"/>
    <w:rsid w:val="00C25B89"/>
    <w:rsid w:val="00C277F4"/>
    <w:rsid w:val="00C34B47"/>
    <w:rsid w:val="00C35F18"/>
    <w:rsid w:val="00C40345"/>
    <w:rsid w:val="00C521C4"/>
    <w:rsid w:val="00C61A93"/>
    <w:rsid w:val="00C638F5"/>
    <w:rsid w:val="00C650AB"/>
    <w:rsid w:val="00C67A59"/>
    <w:rsid w:val="00C76D26"/>
    <w:rsid w:val="00C801A2"/>
    <w:rsid w:val="00C8573E"/>
    <w:rsid w:val="00C90CE9"/>
    <w:rsid w:val="00C921D5"/>
    <w:rsid w:val="00C95F13"/>
    <w:rsid w:val="00CA2ED9"/>
    <w:rsid w:val="00CA3DD3"/>
    <w:rsid w:val="00CA5271"/>
    <w:rsid w:val="00CA5EC1"/>
    <w:rsid w:val="00CB2746"/>
    <w:rsid w:val="00CC5EB6"/>
    <w:rsid w:val="00CD08F2"/>
    <w:rsid w:val="00CD5D9E"/>
    <w:rsid w:val="00CE15C8"/>
    <w:rsid w:val="00CF03C7"/>
    <w:rsid w:val="00CF27C6"/>
    <w:rsid w:val="00CF3398"/>
    <w:rsid w:val="00CF7E3D"/>
    <w:rsid w:val="00D01B24"/>
    <w:rsid w:val="00D020E2"/>
    <w:rsid w:val="00D04234"/>
    <w:rsid w:val="00D0540D"/>
    <w:rsid w:val="00D12C1C"/>
    <w:rsid w:val="00D13B83"/>
    <w:rsid w:val="00D14D51"/>
    <w:rsid w:val="00D14E3B"/>
    <w:rsid w:val="00D17D2C"/>
    <w:rsid w:val="00D207DF"/>
    <w:rsid w:val="00D23781"/>
    <w:rsid w:val="00D23F11"/>
    <w:rsid w:val="00D314F6"/>
    <w:rsid w:val="00D32304"/>
    <w:rsid w:val="00D32449"/>
    <w:rsid w:val="00D32E6F"/>
    <w:rsid w:val="00D33787"/>
    <w:rsid w:val="00D43DD3"/>
    <w:rsid w:val="00D52643"/>
    <w:rsid w:val="00D5329C"/>
    <w:rsid w:val="00D54889"/>
    <w:rsid w:val="00D57072"/>
    <w:rsid w:val="00D57A8D"/>
    <w:rsid w:val="00D62BC7"/>
    <w:rsid w:val="00D633B6"/>
    <w:rsid w:val="00D64F6D"/>
    <w:rsid w:val="00D70758"/>
    <w:rsid w:val="00D71A39"/>
    <w:rsid w:val="00D72377"/>
    <w:rsid w:val="00D73F9B"/>
    <w:rsid w:val="00D74EB6"/>
    <w:rsid w:val="00D756E2"/>
    <w:rsid w:val="00D760EF"/>
    <w:rsid w:val="00D77F62"/>
    <w:rsid w:val="00D80239"/>
    <w:rsid w:val="00D82C3F"/>
    <w:rsid w:val="00D83520"/>
    <w:rsid w:val="00DA0E70"/>
    <w:rsid w:val="00DA21DB"/>
    <w:rsid w:val="00DA26AF"/>
    <w:rsid w:val="00DA5A00"/>
    <w:rsid w:val="00DA6917"/>
    <w:rsid w:val="00DB49E0"/>
    <w:rsid w:val="00DB5C15"/>
    <w:rsid w:val="00DB5FF7"/>
    <w:rsid w:val="00DC0CB0"/>
    <w:rsid w:val="00DC4E35"/>
    <w:rsid w:val="00DD08ED"/>
    <w:rsid w:val="00DD13E2"/>
    <w:rsid w:val="00DD2781"/>
    <w:rsid w:val="00DD2D53"/>
    <w:rsid w:val="00DD51A5"/>
    <w:rsid w:val="00DD5971"/>
    <w:rsid w:val="00DD5DC9"/>
    <w:rsid w:val="00DE0587"/>
    <w:rsid w:val="00DE16E2"/>
    <w:rsid w:val="00DE3362"/>
    <w:rsid w:val="00DE5468"/>
    <w:rsid w:val="00DF0AF9"/>
    <w:rsid w:val="00DF1527"/>
    <w:rsid w:val="00DF2F2C"/>
    <w:rsid w:val="00DF3282"/>
    <w:rsid w:val="00DF3485"/>
    <w:rsid w:val="00DF51C8"/>
    <w:rsid w:val="00E014FE"/>
    <w:rsid w:val="00E02B94"/>
    <w:rsid w:val="00E03878"/>
    <w:rsid w:val="00E23E06"/>
    <w:rsid w:val="00E25492"/>
    <w:rsid w:val="00E26EB3"/>
    <w:rsid w:val="00E31685"/>
    <w:rsid w:val="00E37AA1"/>
    <w:rsid w:val="00E41ACC"/>
    <w:rsid w:val="00E421CB"/>
    <w:rsid w:val="00E426C9"/>
    <w:rsid w:val="00E434EF"/>
    <w:rsid w:val="00E463E1"/>
    <w:rsid w:val="00E50EFF"/>
    <w:rsid w:val="00E50F4B"/>
    <w:rsid w:val="00E51947"/>
    <w:rsid w:val="00E53096"/>
    <w:rsid w:val="00E56111"/>
    <w:rsid w:val="00E571B8"/>
    <w:rsid w:val="00E57C04"/>
    <w:rsid w:val="00E60476"/>
    <w:rsid w:val="00E61468"/>
    <w:rsid w:val="00E63312"/>
    <w:rsid w:val="00E65AE8"/>
    <w:rsid w:val="00E6741A"/>
    <w:rsid w:val="00E70CAE"/>
    <w:rsid w:val="00E71020"/>
    <w:rsid w:val="00E726BA"/>
    <w:rsid w:val="00E73222"/>
    <w:rsid w:val="00E83DA0"/>
    <w:rsid w:val="00E8669D"/>
    <w:rsid w:val="00E923CE"/>
    <w:rsid w:val="00E93579"/>
    <w:rsid w:val="00EA0886"/>
    <w:rsid w:val="00EA2AAB"/>
    <w:rsid w:val="00EA46A2"/>
    <w:rsid w:val="00EB2068"/>
    <w:rsid w:val="00EC1776"/>
    <w:rsid w:val="00EC4B6A"/>
    <w:rsid w:val="00ED4829"/>
    <w:rsid w:val="00ED5BAB"/>
    <w:rsid w:val="00ED60C2"/>
    <w:rsid w:val="00ED6CAE"/>
    <w:rsid w:val="00ED7486"/>
    <w:rsid w:val="00ED78F3"/>
    <w:rsid w:val="00EE03F5"/>
    <w:rsid w:val="00EE11FA"/>
    <w:rsid w:val="00EE29D5"/>
    <w:rsid w:val="00EE2EAD"/>
    <w:rsid w:val="00EE30D8"/>
    <w:rsid w:val="00EF4D17"/>
    <w:rsid w:val="00EF6B28"/>
    <w:rsid w:val="00EF7FA1"/>
    <w:rsid w:val="00F0250B"/>
    <w:rsid w:val="00F07DC2"/>
    <w:rsid w:val="00F14A25"/>
    <w:rsid w:val="00F1770B"/>
    <w:rsid w:val="00F2178A"/>
    <w:rsid w:val="00F2343A"/>
    <w:rsid w:val="00F26F12"/>
    <w:rsid w:val="00F31F81"/>
    <w:rsid w:val="00F37957"/>
    <w:rsid w:val="00F44637"/>
    <w:rsid w:val="00F45389"/>
    <w:rsid w:val="00F4708B"/>
    <w:rsid w:val="00F51438"/>
    <w:rsid w:val="00F53B53"/>
    <w:rsid w:val="00F60F3F"/>
    <w:rsid w:val="00F64701"/>
    <w:rsid w:val="00F66A72"/>
    <w:rsid w:val="00F755A2"/>
    <w:rsid w:val="00F7667E"/>
    <w:rsid w:val="00F83F9F"/>
    <w:rsid w:val="00F8521C"/>
    <w:rsid w:val="00F86466"/>
    <w:rsid w:val="00F8646C"/>
    <w:rsid w:val="00F92D09"/>
    <w:rsid w:val="00F94CDE"/>
    <w:rsid w:val="00F970B1"/>
    <w:rsid w:val="00F97341"/>
    <w:rsid w:val="00FA47E2"/>
    <w:rsid w:val="00FA5EE9"/>
    <w:rsid w:val="00FA70AB"/>
    <w:rsid w:val="00FA7200"/>
    <w:rsid w:val="00FB2F77"/>
    <w:rsid w:val="00FB55E9"/>
    <w:rsid w:val="00FC7D8B"/>
    <w:rsid w:val="00FD3A3C"/>
    <w:rsid w:val="00FD7A85"/>
    <w:rsid w:val="00FE597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A3A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61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607676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41B05-4383-4E62-8DA3-CCA5ED79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31</Pages>
  <Words>7793</Words>
  <Characters>42866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14</cp:revision>
  <cp:lastPrinted>2019-06-10T22:09:00Z</cp:lastPrinted>
  <dcterms:created xsi:type="dcterms:W3CDTF">2019-05-22T00:40:00Z</dcterms:created>
  <dcterms:modified xsi:type="dcterms:W3CDTF">2019-06-10T22:15:00Z</dcterms:modified>
</cp:coreProperties>
</file>