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1102C3">
        <w:rPr>
          <w:rFonts w:ascii="Palatino Linotype" w:eastAsia="Times New Roman" w:hAnsi="Palatino Linotype" w:cs="Arial"/>
          <w:color w:val="000000"/>
          <w:szCs w:val="24"/>
          <w:lang w:eastAsia="es-MX"/>
        </w:rPr>
        <w:t>cinco de marzo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E62C5E">
        <w:rPr>
          <w:rFonts w:ascii="Palatino Linotype" w:hAnsi="Palatino Linotype" w:cs="Arial"/>
        </w:rPr>
        <w:t>rónico formado con motivo del</w:t>
      </w:r>
      <w:r w:rsidRPr="00AC0CA2">
        <w:rPr>
          <w:rFonts w:ascii="Palatino Linotype" w:hAnsi="Palatino Linotype" w:cs="Arial"/>
        </w:rPr>
        <w:t xml:space="preserve"> recurso de revisión número </w:t>
      </w:r>
      <w:r w:rsidR="00D23940">
        <w:rPr>
          <w:rFonts w:ascii="Palatino Linotype" w:hAnsi="Palatino Linotype" w:cs="Arial"/>
          <w:b/>
          <w:bCs/>
          <w:lang w:eastAsia="es-MX"/>
        </w:rPr>
        <w:t>095</w:t>
      </w:r>
      <w:r w:rsidR="00E62C5E">
        <w:rPr>
          <w:rFonts w:ascii="Palatino Linotype" w:hAnsi="Palatino Linotype" w:cs="Arial"/>
          <w:b/>
          <w:bCs/>
          <w:lang w:eastAsia="es-MX"/>
        </w:rPr>
        <w:t>95</w:t>
      </w:r>
      <w:r w:rsidR="004B2880">
        <w:rPr>
          <w:rFonts w:ascii="Palatino Linotype" w:hAnsi="Palatino Linotype" w:cs="Arial"/>
          <w:b/>
          <w:bCs/>
          <w:lang w:eastAsia="es-MX"/>
        </w:rPr>
        <w:t>/INFOEM/IP/RR/2019</w:t>
      </w:r>
      <w:r w:rsidRPr="00AC0CA2">
        <w:rPr>
          <w:rFonts w:ascii="Palatino Linotype" w:hAnsi="Palatino Linotype" w:cs="Arial"/>
        </w:rPr>
        <w:t>,</w:t>
      </w:r>
      <w:r w:rsidR="00B00245">
        <w:rPr>
          <w:rFonts w:ascii="Palatino Linotype" w:hAnsi="Palatino Linotype" w:cs="Arial"/>
        </w:rPr>
        <w:t xml:space="preserve"> </w:t>
      </w:r>
      <w:r w:rsidRPr="00AC0CA2">
        <w:rPr>
          <w:rFonts w:ascii="Palatino Linotype" w:hAnsi="Palatino Linotype" w:cs="Arial"/>
          <w:szCs w:val="24"/>
        </w:rPr>
        <w:t>interpuesto</w:t>
      </w:r>
      <w:r w:rsidR="00B00245">
        <w:rPr>
          <w:rFonts w:ascii="Palatino Linotype" w:hAnsi="Palatino Linotype" w:cs="Arial"/>
          <w:szCs w:val="24"/>
        </w:rPr>
        <w:t>s</w:t>
      </w:r>
      <w:r w:rsidRPr="00AC0CA2">
        <w:rPr>
          <w:rFonts w:ascii="Palatino Linotype" w:hAnsi="Palatino Linotype" w:cs="Arial"/>
          <w:szCs w:val="24"/>
        </w:rPr>
        <w:t xml:space="preserve"> por el </w:t>
      </w:r>
      <w:r w:rsidRPr="00AC0CA2">
        <w:rPr>
          <w:rFonts w:ascii="Palatino Linotype" w:hAnsi="Palatino Linotype" w:cs="Arial"/>
          <w:b/>
          <w:szCs w:val="24"/>
        </w:rPr>
        <w:t xml:space="preserve">C. </w:t>
      </w:r>
      <w:r w:rsidR="00D23940">
        <w:rPr>
          <w:rFonts w:ascii="Palatino Linotype" w:hAnsi="Palatino Linotype" w:cs="Arial"/>
          <w:b/>
          <w:szCs w:val="24"/>
        </w:rPr>
        <w:t xml:space="preserve">        </w:t>
      </w:r>
      <w:r w:rsidR="000026BA">
        <w:rPr>
          <w:rFonts w:ascii="Palatino Linotype" w:hAnsi="Palatino Linotype" w:cs="Arial"/>
          <w:b/>
          <w:szCs w:val="24"/>
        </w:rPr>
        <w:t>xxxx</w:t>
      </w:r>
      <w:bookmarkStart w:id="0" w:name="_GoBack"/>
      <w:bookmarkEnd w:id="0"/>
      <w:r w:rsidR="00D23940">
        <w:rPr>
          <w:rFonts w:ascii="Palatino Linotype" w:hAnsi="Palatino Linotype" w:cs="Arial"/>
          <w:b/>
          <w:szCs w:val="24"/>
        </w:rPr>
        <w:t xml:space="preserve">                        </w:t>
      </w:r>
      <w:r w:rsidR="00A01E1E">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 xml:space="preserve">en contra de </w:t>
      </w:r>
      <w:r w:rsidR="00185374">
        <w:rPr>
          <w:rFonts w:ascii="Palatino Linotype" w:hAnsi="Palatino Linotype" w:cs="Arial"/>
          <w:szCs w:val="24"/>
        </w:rPr>
        <w:t>la falta de respuestas</w:t>
      </w:r>
      <w:r w:rsidRPr="00AC0CA2">
        <w:rPr>
          <w:rFonts w:ascii="Palatino Linotype" w:hAnsi="Palatino Linotype" w:cs="Arial"/>
          <w:szCs w:val="24"/>
        </w:rPr>
        <w:t xml:space="preserve"> del </w:t>
      </w:r>
      <w:r w:rsidR="00E62C5E">
        <w:rPr>
          <w:rFonts w:ascii="Palatino Linotype" w:hAnsi="Palatino Linotype" w:cs="Arial"/>
          <w:b/>
          <w:szCs w:val="24"/>
        </w:rPr>
        <w:t xml:space="preserve">Ayuntamiento de </w:t>
      </w:r>
      <w:r w:rsidR="00D23940">
        <w:rPr>
          <w:rFonts w:ascii="Palatino Linotype" w:hAnsi="Palatino Linotype" w:cs="Arial"/>
          <w:b/>
          <w:szCs w:val="24"/>
        </w:rPr>
        <w:t>Capulhuac</w:t>
      </w:r>
      <w:r w:rsidR="00A01E1E">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A01E1E">
        <w:rPr>
          <w:rFonts w:ascii="Palatino Linotype" w:hAnsi="Palatino Linotype" w:cs="Arial"/>
        </w:rPr>
        <w:t xml:space="preserve">trece </w:t>
      </w:r>
      <w:r w:rsidR="001B7FE2">
        <w:rPr>
          <w:rFonts w:ascii="Palatino Linotype" w:hAnsi="Palatino Linotype" w:cs="Arial"/>
        </w:rPr>
        <w:t>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6C1EFC">
        <w:rPr>
          <w:rFonts w:ascii="Palatino Linotype" w:hAnsi="Palatino Linotype" w:cs="Arial"/>
        </w:rPr>
        <w:t xml:space="preserve"> información pública, registrada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D23940" w:rsidRPr="00D23940">
        <w:rPr>
          <w:rFonts w:ascii="Palatino Linotype" w:hAnsi="Palatino Linotype" w:cs="Arial"/>
          <w:b/>
          <w:sz w:val="24"/>
          <w:szCs w:val="24"/>
        </w:rPr>
        <w:t>00480/CAPULHUA/IP/2019</w:t>
      </w:r>
      <w:r w:rsidR="007B7A90">
        <w:rPr>
          <w:rFonts w:ascii="Palatino Linotype" w:hAnsi="Palatino Linotype" w:cs="Arial"/>
          <w:b/>
        </w:rPr>
        <w:t>,</w:t>
      </w:r>
      <w:r w:rsidRPr="00AC0CA2">
        <w:rPr>
          <w:rFonts w:ascii="Palatino Linotype" w:hAnsi="Palatino Linotype" w:cs="Arial"/>
          <w:b/>
        </w:rPr>
        <w:t xml:space="preserve"> </w:t>
      </w:r>
      <w:r w:rsidRPr="00AC0CA2">
        <w:rPr>
          <w:rFonts w:ascii="Palatino Linotype" w:hAnsi="Palatino Linotype" w:cs="Arial"/>
        </w:rPr>
        <w:t>mediante la</w:t>
      </w:r>
      <w:r w:rsidR="006C1EFC">
        <w:rPr>
          <w:rFonts w:ascii="Palatino Linotype" w:hAnsi="Palatino Linotype" w:cs="Arial"/>
        </w:rPr>
        <w:t xml:space="preserve"> cual</w:t>
      </w:r>
      <w:r w:rsidRPr="00AC0CA2">
        <w:rPr>
          <w:rFonts w:ascii="Palatino Linotype" w:hAnsi="Palatino Linotype" w:cs="Arial"/>
        </w:rPr>
        <w:t xml:space="preserve"> solicitó información en el tenor siguiente:</w:t>
      </w:r>
    </w:p>
    <w:p w:rsidR="002745B9" w:rsidRDefault="006C1EFC"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D23940" w:rsidRPr="00D23940">
        <w:rPr>
          <w:rFonts w:ascii="Palatino Linotype" w:eastAsia="Times New Roman" w:hAnsi="Palatino Linotype" w:cs="Times New Roman"/>
          <w:i/>
          <w:lang w:val="es-ES_tradnl" w:eastAsia="es-ES"/>
        </w:rPr>
        <w:t>. Solicito las resoluciones que ha emitido la sindicatura en el presente año.</w:t>
      </w:r>
      <w:r w:rsidR="00A944BC">
        <w:rPr>
          <w:rFonts w:ascii="Palatino Linotype" w:eastAsia="Times New Roman" w:hAnsi="Palatino Linotype" w:cs="Times New Roman"/>
          <w:i/>
          <w:lang w:val="es-ES_tradnl" w:eastAsia="es-ES"/>
        </w:rPr>
        <w:t>” [Sic]</w:t>
      </w:r>
    </w:p>
    <w:p w:rsidR="00697A1C" w:rsidRDefault="00697A1C" w:rsidP="002745B9">
      <w:pPr>
        <w:spacing w:before="240" w:line="360" w:lineRule="auto"/>
        <w:ind w:right="850"/>
        <w:jc w:val="both"/>
        <w:rPr>
          <w:rFonts w:ascii="Palatino Linotype" w:eastAsia="Times New Roman" w:hAnsi="Palatino Linotype" w:cs="Times New Roman"/>
          <w:b/>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AD44D5" w:rsidRDefault="00C75866" w:rsidP="00AD44D5">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00AD44D5">
        <w:rPr>
          <w:rFonts w:ascii="Palatino Linotype" w:hAnsi="Palatino Linotype" w:cs="Arial"/>
        </w:rPr>
        <w:t>, se aprecia que el Sujeto Obligado fue omiso en rendir respuesta a la solicitud de información.</w:t>
      </w:r>
    </w:p>
    <w:p w:rsidR="007136D6" w:rsidRDefault="00C75866" w:rsidP="00AD44D5">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E82558"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AD44D5">
        <w:rPr>
          <w:rFonts w:ascii="Palatino Linotype" w:hAnsi="Palatino Linotype" w:cs="Arial"/>
          <w:szCs w:val="24"/>
        </w:rPr>
        <w:t>doce</w:t>
      </w:r>
      <w:r w:rsidR="000C1189">
        <w:rPr>
          <w:rFonts w:ascii="Palatino Linotype" w:hAnsi="Palatino Linotype" w:cs="Arial"/>
          <w:szCs w:val="24"/>
        </w:rPr>
        <w:t xml:space="preserve"> de diciembre</w:t>
      </w:r>
      <w:r>
        <w:rPr>
          <w:rFonts w:ascii="Palatino Linotype" w:hAnsi="Palatino Linotype" w:cs="Arial"/>
          <w:szCs w:val="24"/>
        </w:rPr>
        <w:t xml:space="preserve"> de dos mil diecinueve </w:t>
      </w:r>
      <w:r w:rsidR="00EF4493" w:rsidRPr="00AC0CA2">
        <w:rPr>
          <w:rFonts w:ascii="Palatino Linotype" w:hAnsi="Palatino Linotype" w:cs="Arial"/>
          <w:b/>
          <w:szCs w:val="24"/>
        </w:rPr>
        <w:t xml:space="preserve">El Recurrente </w:t>
      </w:r>
      <w:r w:rsidR="00D56BC0">
        <w:rPr>
          <w:rFonts w:ascii="Palatino Linotype" w:hAnsi="Palatino Linotype" w:cs="Arial"/>
          <w:szCs w:val="24"/>
        </w:rPr>
        <w:t>interpuso</w:t>
      </w:r>
      <w:r w:rsidR="000C1189">
        <w:rPr>
          <w:rFonts w:ascii="Palatino Linotype" w:hAnsi="Palatino Linotype" w:cs="Arial"/>
          <w:szCs w:val="24"/>
        </w:rPr>
        <w:t xml:space="preserve"> el recurso de revisión</w:t>
      </w:r>
      <w:r w:rsidR="00EF4493" w:rsidRPr="00AC0CA2">
        <w:rPr>
          <w:rFonts w:ascii="Palatino Linotype" w:hAnsi="Palatino Linotype" w:cs="Arial"/>
          <w:szCs w:val="24"/>
        </w:rPr>
        <w:t>,</w:t>
      </w:r>
      <w:r w:rsidR="000C1189">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0C1189">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1F72E7">
        <w:rPr>
          <w:rFonts w:ascii="Palatino Linotype" w:hAnsi="Palatino Linotype"/>
          <w:b/>
          <w:sz w:val="24"/>
          <w:szCs w:val="24"/>
        </w:rPr>
        <w:t>0</w:t>
      </w:r>
      <w:r w:rsidR="00D23940">
        <w:rPr>
          <w:rFonts w:ascii="Palatino Linotype" w:hAnsi="Palatino Linotype"/>
          <w:b/>
          <w:sz w:val="24"/>
          <w:szCs w:val="24"/>
        </w:rPr>
        <w:t>95</w:t>
      </w:r>
      <w:r w:rsidR="0023164D">
        <w:rPr>
          <w:rFonts w:ascii="Palatino Linotype" w:hAnsi="Palatino Linotype"/>
          <w:b/>
          <w:sz w:val="24"/>
          <w:szCs w:val="24"/>
        </w:rPr>
        <w:t>95</w:t>
      </w:r>
      <w:r w:rsidR="001F72E7" w:rsidRPr="002076B5">
        <w:rPr>
          <w:rFonts w:ascii="Palatino Linotype" w:hAnsi="Palatino Linotype"/>
          <w:b/>
          <w:sz w:val="24"/>
          <w:szCs w:val="24"/>
        </w:rPr>
        <w:t>/INFOEM/IP/RR/2019</w:t>
      </w:r>
      <w:r w:rsidR="00F21AB0">
        <w:rPr>
          <w:rFonts w:ascii="Palatino Linotype" w:hAnsi="Palatino Linotype"/>
          <w:b/>
          <w:sz w:val="24"/>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w:t>
      </w:r>
      <w:r w:rsidR="00F21AB0">
        <w:rPr>
          <w:rFonts w:ascii="Palatino Linotype" w:hAnsi="Palatino Linotype" w:cs="Arial"/>
          <w:b/>
        </w:rPr>
        <w:t>s</w:t>
      </w:r>
      <w:r w:rsidRPr="00AC0CA2">
        <w:rPr>
          <w:rFonts w:ascii="Palatino Linotype" w:hAnsi="Palatino Linotype" w:cs="Arial"/>
          <w:b/>
        </w:rPr>
        <w:t xml:space="preserve"> Impugnado</w:t>
      </w:r>
      <w:r w:rsidR="00F21AB0">
        <w:rPr>
          <w:rFonts w:ascii="Palatino Linotype" w:hAnsi="Palatino Linotype" w:cs="Arial"/>
          <w:b/>
        </w:rPr>
        <w:t>s</w:t>
      </w:r>
      <w:r w:rsidRPr="00AC0CA2">
        <w:rPr>
          <w:rFonts w:ascii="Palatino Linotype" w:hAnsi="Palatino Linotype" w:cs="Arial"/>
          <w:b/>
        </w:rPr>
        <w:t>:</w:t>
      </w:r>
    </w:p>
    <w:p w:rsidR="00F21AB0" w:rsidRPr="00D66256" w:rsidRDefault="0023164D" w:rsidP="00D66256">
      <w:pPr>
        <w:ind w:left="851" w:right="850"/>
        <w:jc w:val="both"/>
        <w:rPr>
          <w:rFonts w:ascii="Palatino Linotype" w:hAnsi="Palatino Linotype" w:cs="Arial"/>
          <w:i/>
        </w:rPr>
      </w:pPr>
      <w:r w:rsidRPr="00B15A94">
        <w:rPr>
          <w:rFonts w:ascii="Palatino Linotype" w:hAnsi="Palatino Linotype" w:cs="Arial"/>
          <w:i/>
        </w:rPr>
        <w:t xml:space="preserve"> </w:t>
      </w:r>
      <w:r w:rsidR="00D66256" w:rsidRPr="00B15A94">
        <w:rPr>
          <w:rFonts w:ascii="Palatino Linotype" w:hAnsi="Palatino Linotype" w:cs="Arial"/>
          <w:i/>
        </w:rPr>
        <w:t>“</w:t>
      </w:r>
      <w:r w:rsidR="00D23940" w:rsidRPr="00D23940">
        <w:rPr>
          <w:rFonts w:ascii="Palatino Linotype" w:hAnsi="Palatino Linotype" w:cs="Arial"/>
          <w:i/>
        </w:rPr>
        <w:t>falta de respuesta a la solicitud</w:t>
      </w:r>
      <w:r w:rsidR="00D66256">
        <w:rPr>
          <w:rFonts w:ascii="Palatino Linotype" w:hAnsi="Palatino Linotype" w:cs="Arial"/>
          <w:i/>
        </w:rPr>
        <w:t>” (sic)</w:t>
      </w:r>
    </w:p>
    <w:p w:rsidR="00185C3A" w:rsidRPr="00185C3A" w:rsidRDefault="00185C3A" w:rsidP="00185C3A">
      <w:pPr>
        <w:spacing w:line="360" w:lineRule="auto"/>
        <w:ind w:left="851"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F3C31" w:rsidRPr="006F3C31" w:rsidRDefault="006F3C31" w:rsidP="006F3C31">
      <w:pPr>
        <w:ind w:left="851" w:right="850"/>
        <w:jc w:val="both"/>
        <w:rPr>
          <w:rFonts w:ascii="Palatino Linotype" w:hAnsi="Palatino Linotype" w:cs="Arial"/>
          <w:i/>
          <w:sz w:val="10"/>
        </w:rPr>
      </w:pPr>
    </w:p>
    <w:p w:rsidR="006F3C31" w:rsidRPr="006F3C31" w:rsidRDefault="0023164D" w:rsidP="006F3C31">
      <w:pPr>
        <w:ind w:left="851" w:right="850"/>
        <w:jc w:val="both"/>
        <w:rPr>
          <w:rFonts w:ascii="Palatino Linotype" w:hAnsi="Palatino Linotype" w:cs="Arial"/>
          <w:i/>
        </w:rPr>
      </w:pPr>
      <w:r w:rsidRPr="004469D5">
        <w:rPr>
          <w:rFonts w:ascii="Palatino Linotype" w:hAnsi="Palatino Linotype" w:cs="Arial"/>
          <w:i/>
        </w:rPr>
        <w:t xml:space="preserve"> </w:t>
      </w:r>
      <w:r w:rsidR="00E026B4" w:rsidRPr="004469D5">
        <w:rPr>
          <w:rFonts w:ascii="Palatino Linotype" w:hAnsi="Palatino Linotype" w:cs="Arial"/>
          <w:i/>
        </w:rPr>
        <w:t>“</w:t>
      </w:r>
      <w:r w:rsidR="00D23940" w:rsidRPr="00D23940">
        <w:rPr>
          <w:rFonts w:ascii="Palatino Linotype" w:hAnsi="Palatino Linotype" w:cs="Arial"/>
          <w:i/>
        </w:rPr>
        <w:t>NO LA ATENDIERON COMO DICE LA LEY DE TRANSPARENCIA</w:t>
      </w:r>
      <w:r w:rsidR="00E026B4">
        <w:rPr>
          <w:rFonts w:ascii="Palatino Linotype" w:hAnsi="Palatino Linotype" w:cs="Arial"/>
          <w:i/>
        </w:rPr>
        <w:t>” (sic)</w:t>
      </w: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Pr="00134121" w:rsidRDefault="00955218" w:rsidP="00D317E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34259">
        <w:rPr>
          <w:rFonts w:ascii="Palatino Linotype" w:hAnsi="Palatino Linotype" w:cs="Arial"/>
          <w:sz w:val="24"/>
          <w:szCs w:val="24"/>
        </w:rPr>
        <w:t>dieciocho</w:t>
      </w:r>
      <w:r w:rsidR="00C557FB">
        <w:rPr>
          <w:rFonts w:ascii="Palatino Linotype" w:hAnsi="Palatino Linotype" w:cs="Arial"/>
          <w:sz w:val="24"/>
          <w:szCs w:val="24"/>
        </w:rPr>
        <w:t xml:space="preserve"> de diciembre</w:t>
      </w:r>
      <w:r>
        <w:rPr>
          <w:rFonts w:ascii="Palatino Linotype" w:hAnsi="Palatino Linotype" w:cs="Arial"/>
          <w:sz w:val="24"/>
          <w:szCs w:val="24"/>
        </w:rPr>
        <w:t xml:space="preserve"> de</w:t>
      </w:r>
      <w:r w:rsidR="00C557FB">
        <w:rPr>
          <w:rFonts w:ascii="Palatino Linotype" w:hAnsi="Palatino Linotype" w:cs="Arial"/>
          <w:sz w:val="24"/>
          <w:szCs w:val="24"/>
        </w:rPr>
        <w:t xml:space="preserv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D317E2" w:rsidRDefault="00D317E2" w:rsidP="004901C7">
      <w:pPr>
        <w:spacing w:before="240" w:line="360" w:lineRule="auto"/>
        <w:jc w:val="both"/>
        <w:rPr>
          <w:rFonts w:ascii="Palatino Linotype" w:hAnsi="Palatino Linotype" w:cs="Arial"/>
          <w:sz w:val="24"/>
          <w:szCs w:val="24"/>
        </w:rPr>
      </w:pPr>
    </w:p>
    <w:p w:rsidR="004901C7" w:rsidRDefault="00087BFB" w:rsidP="00EF4493">
      <w:pPr>
        <w:spacing w:before="240" w:line="360" w:lineRule="auto"/>
        <w:jc w:val="both"/>
        <w:rPr>
          <w:rFonts w:ascii="Palatino Linotype" w:hAnsi="Palatino Linotype" w:cs="Arial"/>
          <w:sz w:val="24"/>
          <w:szCs w:val="24"/>
        </w:rPr>
      </w:pPr>
      <w:r w:rsidRPr="00CB17A8">
        <w:rPr>
          <w:rFonts w:ascii="Palatino Linotype" w:hAnsi="Palatino Linotype" w:cs="Arial"/>
          <w:b/>
          <w:sz w:val="28"/>
          <w:highlight w:val="yellow"/>
        </w:rPr>
        <w:t>QUINTO</w:t>
      </w:r>
      <w:r w:rsidR="004901C7" w:rsidRPr="00CB17A8">
        <w:rPr>
          <w:rFonts w:ascii="Palatino Linotype" w:hAnsi="Palatino Linotype" w:cs="Arial"/>
          <w:b/>
          <w:sz w:val="28"/>
          <w:highlight w:val="yellow"/>
        </w:rPr>
        <w:t>.</w:t>
      </w:r>
      <w:r w:rsidR="004901C7" w:rsidRPr="00CB17A8">
        <w:rPr>
          <w:rFonts w:ascii="Palatino Linotype" w:hAnsi="Palatino Linotype" w:cs="Arial"/>
          <w:b/>
          <w:sz w:val="28"/>
          <w:szCs w:val="28"/>
          <w:highlight w:val="yellow"/>
        </w:rPr>
        <w:t xml:space="preserve"> De la etapa de instrucción</w:t>
      </w:r>
    </w:p>
    <w:p w:rsidR="006B11C6" w:rsidRPr="00A46BBA" w:rsidRDefault="00EF4493" w:rsidP="00E81DA2">
      <w:pPr>
        <w:spacing w:before="240" w:line="480" w:lineRule="auto"/>
        <w:jc w:val="both"/>
        <w:rPr>
          <w:rFonts w:ascii="Palatino Linotype" w:hAnsi="Palatino Linotype" w:cs="Arial"/>
          <w:sz w:val="24"/>
          <w:szCs w:val="24"/>
        </w:rPr>
      </w:pPr>
      <w:r w:rsidRPr="00BA18D5">
        <w:rPr>
          <w:rFonts w:ascii="Palatino Linotype" w:hAnsi="Palatino Linotype" w:cs="Arial"/>
          <w:sz w:val="24"/>
          <w:szCs w:val="24"/>
        </w:rPr>
        <w:lastRenderedPageBreak/>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6B11C6">
        <w:rPr>
          <w:rFonts w:ascii="Palatino Linotype" w:hAnsi="Palatino Linotype" w:cs="Arial"/>
          <w:sz w:val="24"/>
          <w:szCs w:val="24"/>
        </w:rPr>
        <w:t xml:space="preserve">que </w:t>
      </w:r>
      <w:r w:rsidR="00C14C6C">
        <w:rPr>
          <w:rFonts w:ascii="Palatino Linotype" w:hAnsi="Palatino Linotype" w:cs="Arial"/>
          <w:sz w:val="24"/>
          <w:szCs w:val="24"/>
        </w:rPr>
        <w:t>E</w:t>
      </w:r>
      <w:r w:rsidR="008B69BA">
        <w:rPr>
          <w:rFonts w:ascii="Palatino Linotype" w:hAnsi="Palatino Linotype" w:cs="Arial"/>
          <w:sz w:val="24"/>
          <w:szCs w:val="24"/>
        </w:rPr>
        <w:t xml:space="preserve">l Sujeto Obligado </w:t>
      </w:r>
      <w:r w:rsidR="00134259">
        <w:rPr>
          <w:rFonts w:ascii="Palatino Linotype" w:hAnsi="Palatino Linotype" w:cs="Arial"/>
          <w:sz w:val="24"/>
          <w:szCs w:val="24"/>
        </w:rPr>
        <w:t xml:space="preserve">fue omiso en </w:t>
      </w:r>
      <w:r w:rsidR="00336A6A">
        <w:rPr>
          <w:rFonts w:ascii="Palatino Linotype" w:hAnsi="Palatino Linotype" w:cs="Arial"/>
          <w:sz w:val="24"/>
          <w:szCs w:val="24"/>
        </w:rPr>
        <w:t>rendir</w:t>
      </w:r>
      <w:r w:rsidR="008B69BA">
        <w:rPr>
          <w:rFonts w:ascii="Palatino Linotype" w:hAnsi="Palatino Linotype" w:cs="Arial"/>
          <w:sz w:val="24"/>
          <w:szCs w:val="24"/>
        </w:rPr>
        <w:t xml:space="preserve"> informe justificado</w:t>
      </w:r>
      <w:r w:rsidR="00336A6A">
        <w:rPr>
          <w:rFonts w:ascii="Palatino Linotype" w:hAnsi="Palatino Linotype" w:cs="Arial"/>
          <w:sz w:val="24"/>
          <w:szCs w:val="24"/>
        </w:rPr>
        <w:t>, por su parte el</w:t>
      </w:r>
      <w:r w:rsidR="00E81DA2">
        <w:rPr>
          <w:rFonts w:ascii="Palatino Linotype" w:hAnsi="Palatino Linotype" w:cs="Arial"/>
          <w:sz w:val="24"/>
          <w:szCs w:val="24"/>
        </w:rPr>
        <w:t xml:space="preserve"> Recurrente </w:t>
      </w:r>
      <w:r w:rsidR="00336A6A">
        <w:rPr>
          <w:rFonts w:ascii="Palatino Linotype" w:hAnsi="Palatino Linotype" w:cs="Arial"/>
          <w:sz w:val="24"/>
          <w:szCs w:val="24"/>
        </w:rPr>
        <w:t>tampoco rindió manifestación alguna.</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D50082"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w:t>
      </w:r>
      <w:r w:rsidR="00B3566B">
        <w:rPr>
          <w:rFonts w:ascii="Palatino Linotype" w:hAnsi="Palatino Linotype" w:cs="Arial"/>
          <w:sz w:val="24"/>
          <w:szCs w:val="24"/>
        </w:rPr>
        <w:t>cierre de instrucción con fecha quince de enero de dos mil veinte</w:t>
      </w:r>
      <w:r w:rsidR="00EF4493">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323F00" w:rsidRPr="00D50082" w:rsidRDefault="00323F00" w:rsidP="00323F00">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Pr>
          <w:rFonts w:ascii="Palatino Linotype" w:hAnsi="Palatino Linotype" w:cs="Arial"/>
          <w:sz w:val="24"/>
          <w:szCs w:val="24"/>
        </w:rPr>
        <w:t>diecisiete de febrero</w:t>
      </w:r>
      <w:r w:rsidRPr="00DC3C2C">
        <w:rPr>
          <w:rFonts w:ascii="Palatino Linotype" w:hAnsi="Palatino Linotype" w:cs="Arial"/>
          <w:sz w:val="24"/>
          <w:szCs w:val="24"/>
        </w:rPr>
        <w:t xml:space="preserve"> de dos mil veinte este órgano garante con fundamento en el artículo 181 párrafo tercero de la Ley de Transparencia de la entidad, declaro la ampliación de término para resolver el recurso de revisión por un plazo de quince días hábiles.</w:t>
      </w: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w:t>
      </w:r>
      <w:r w:rsidRPr="008F797B">
        <w:rPr>
          <w:rFonts w:ascii="Palatino Linotype" w:hAnsi="Palatino Linotype" w:cs="Arial"/>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w:t>
      </w:r>
      <w:r w:rsidR="00323F00">
        <w:rPr>
          <w:rFonts w:ascii="Palatino Linotype" w:hAnsi="Palatino Linotype" w:cs="Arial"/>
        </w:rPr>
        <w:t>ncipio rector de máxima publicid</w:t>
      </w:r>
      <w:r w:rsidRPr="00B10F60">
        <w:rPr>
          <w:rFonts w:ascii="Palatino Linotype" w:hAnsi="Palatino Linotype" w:cs="Arial"/>
        </w:rPr>
        <w:t>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EF4493" w:rsidRPr="009A0D0A" w:rsidRDefault="00336A6A"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Antes de entrar al</w:t>
      </w:r>
      <w:r>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066163" w:rsidRDefault="00066163" w:rsidP="00066163">
      <w:pPr>
        <w:pStyle w:val="Prrafodelista"/>
        <w:autoSpaceDE w:val="0"/>
        <w:autoSpaceDN w:val="0"/>
        <w:adjustRightInd w:val="0"/>
        <w:spacing w:line="360" w:lineRule="auto"/>
        <w:ind w:left="0"/>
        <w:jc w:val="both"/>
        <w:rPr>
          <w:rFonts w:ascii="Palatino Linotype" w:hAnsi="Palatino Linotype" w:cs="Arial"/>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Ante la omisión del sujeto o</w:t>
      </w:r>
      <w:r w:rsidRPr="006010FE">
        <w:rPr>
          <w:rFonts w:ascii="Palatino Linotype" w:eastAsia="Times New Roman" w:hAnsi="Palatino Linotype" w:cs="Times New Roman"/>
          <w:sz w:val="24"/>
          <w:szCs w:val="24"/>
          <w:lang w:eastAsia="es-ES"/>
        </w:rPr>
        <w:t xml:space="preserve">bligado para dar respuesta al Recurrente,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66163" w:rsidRPr="00C174F2" w:rsidRDefault="00066163" w:rsidP="00066163">
      <w:pPr>
        <w:spacing w:after="0" w:line="360" w:lineRule="auto"/>
        <w:jc w:val="both"/>
        <w:rPr>
          <w:rFonts w:ascii="Palatino Linotype" w:hAnsi="Palatino Linotype" w:cs="Arial"/>
          <w:sz w:val="24"/>
          <w:szCs w:val="24"/>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rsidR="00066163" w:rsidRPr="006010FE" w:rsidRDefault="00066163" w:rsidP="00066163">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066163" w:rsidRPr="006010FE" w:rsidRDefault="00066163" w:rsidP="00066163">
      <w:pPr>
        <w:pStyle w:val="Sinespaciado"/>
      </w:pPr>
    </w:p>
    <w:p w:rsidR="00066163" w:rsidRDefault="00066163" w:rsidP="00066163">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066163" w:rsidRPr="006010FE" w:rsidRDefault="00066163" w:rsidP="00066163">
      <w:pPr>
        <w:spacing w:after="0" w:line="240" w:lineRule="auto"/>
        <w:ind w:left="567" w:right="567"/>
        <w:jc w:val="both"/>
        <w:rPr>
          <w:rFonts w:ascii="Palatino Linotype" w:eastAsia="Times New Roman" w:hAnsi="Palatino Linotype" w:cs="Arial"/>
          <w:i/>
          <w:lang w:eastAsia="es-ES"/>
        </w:rPr>
      </w:pP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rsidR="00066163" w:rsidRPr="006010FE" w:rsidRDefault="00066163" w:rsidP="00066163">
      <w:pPr>
        <w:pStyle w:val="Sinespaciado"/>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lastRenderedPageBreak/>
        <w:t>(..</w:t>
      </w:r>
      <w:r w:rsidRPr="006010FE">
        <w:rPr>
          <w:rFonts w:ascii="Palatino Linotype" w:eastAsia="Times New Roman" w:hAnsi="Palatino Linotype" w:cs="Times New Roman"/>
          <w:i/>
          <w:lang w:eastAsia="es-ES"/>
        </w:rPr>
        <w:t>.)</w:t>
      </w:r>
    </w:p>
    <w:p w:rsidR="00066163" w:rsidRDefault="00066163" w:rsidP="001635B1">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1635B1" w:rsidRPr="001635B1" w:rsidRDefault="001635B1" w:rsidP="001635B1">
      <w:pPr>
        <w:spacing w:after="0" w:line="240" w:lineRule="auto"/>
        <w:ind w:left="567" w:right="567"/>
        <w:jc w:val="both"/>
        <w:rPr>
          <w:rFonts w:ascii="Palatino Linotype" w:eastAsia="Times New Roman" w:hAnsi="Palatino Linotype" w:cs="Times New Roman"/>
          <w:bCs/>
          <w:i/>
          <w:lang w:eastAsia="es-ES"/>
        </w:rPr>
      </w:pPr>
    </w:p>
    <w:p w:rsidR="00032B17"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w:t>
      </w:r>
      <w:r w:rsidRPr="00FD725A">
        <w:rPr>
          <w:rFonts w:ascii="Palatino Linotype" w:hAnsi="Palatino Linotype" w:cs="Arial"/>
        </w:rPr>
        <w:t xml:space="preserve">siguiente información: </w:t>
      </w:r>
    </w:p>
    <w:p w:rsidR="00032B17" w:rsidRPr="00032B17" w:rsidRDefault="00032B17" w:rsidP="00032B17">
      <w:pPr>
        <w:rPr>
          <w:lang w:val="es-ES" w:eastAsia="es-ES"/>
        </w:rPr>
      </w:pPr>
    </w:p>
    <w:p w:rsidR="00B0264D" w:rsidRDefault="00731681" w:rsidP="00731681">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rPr>
        <w:t>Las resoluciones emitidas por la sindicatura en el presente año (2019).</w:t>
      </w:r>
    </w:p>
    <w:p w:rsidR="002A33CE" w:rsidRPr="002A33CE" w:rsidRDefault="00EF4493" w:rsidP="002A33CE">
      <w:pPr>
        <w:tabs>
          <w:tab w:val="left" w:pos="709"/>
        </w:tabs>
        <w:spacing w:before="240" w:line="360" w:lineRule="auto"/>
        <w:ind w:right="51"/>
        <w:jc w:val="both"/>
        <w:rPr>
          <w:rFonts w:ascii="Palatino Linotype" w:hAnsi="Palatino Linotype" w:cs="Arial"/>
        </w:rPr>
      </w:pPr>
      <w:r w:rsidRPr="001F42BD">
        <w:rPr>
          <w:rFonts w:ascii="Palatino Linotype" w:hAnsi="Palatino Linotype" w:cs="Arial"/>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w:t>
      </w:r>
      <w:r w:rsidR="001F42BD">
        <w:rPr>
          <w:rFonts w:ascii="Palatino Linotype" w:hAnsi="Palatino Linotype" w:cs="Arial"/>
        </w:rPr>
        <w:t xml:space="preserve">ales en los que </w:t>
      </w:r>
      <w:r w:rsidRPr="001F42BD">
        <w:rPr>
          <w:rFonts w:ascii="Palatino Linotype" w:hAnsi="Palatino Linotype" w:cs="Arial"/>
        </w:rPr>
        <w:t>el Estado Mexicano sea parte, en concordancia con el artículo 8 de la Ley de Transparencia local.</w:t>
      </w:r>
    </w:p>
    <w:p w:rsidR="00875DC4" w:rsidRDefault="00875DC4" w:rsidP="00875DC4">
      <w:pPr>
        <w:tabs>
          <w:tab w:val="left" w:pos="4962"/>
        </w:tabs>
        <w:spacing w:line="360" w:lineRule="auto"/>
        <w:jc w:val="both"/>
        <w:rPr>
          <w:rFonts w:ascii="Palatino Linotype" w:eastAsia="Calibri" w:hAnsi="Palatino Linotype" w:cs="Tahoma"/>
          <w:b/>
          <w:iCs/>
          <w:lang w:eastAsia="es-ES_tradnl"/>
        </w:rPr>
      </w:pPr>
    </w:p>
    <w:p w:rsidR="005B518C" w:rsidRPr="00407282" w:rsidRDefault="005B518C" w:rsidP="005B518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rPr>
        <w:lastRenderedPageBreak/>
        <w:t>se aprecia en el Artículo 6, apartado A, numeral I de la Constitución Política de los Estados Unidos Mexicanos que a la letra establece:</w:t>
      </w:r>
    </w:p>
    <w:p w:rsidR="005B518C" w:rsidRPr="00407282" w:rsidRDefault="005B518C" w:rsidP="005B518C">
      <w:pPr>
        <w:pStyle w:val="Sinespaciado"/>
        <w:spacing w:line="360" w:lineRule="auto"/>
        <w:jc w:val="both"/>
        <w:rPr>
          <w:rFonts w:ascii="Palatino Linotype" w:hAnsi="Palatino Linotype"/>
          <w:color w:val="000000"/>
        </w:rPr>
      </w:pPr>
    </w:p>
    <w:p w:rsidR="005B518C" w:rsidRPr="004E6B5B" w:rsidRDefault="005B518C" w:rsidP="005B518C">
      <w:pPr>
        <w:pStyle w:val="Sinespaciado"/>
        <w:ind w:left="567" w:right="567"/>
        <w:jc w:val="both"/>
        <w:rPr>
          <w:rFonts w:ascii="Palatino Linotype" w:hAnsi="Palatino Linotype"/>
          <w:b/>
          <w:i/>
        </w:rPr>
      </w:pPr>
      <w:r w:rsidRPr="004E6B5B">
        <w:rPr>
          <w:rFonts w:ascii="Palatino Linotype" w:hAnsi="Palatino Linotype"/>
          <w:b/>
          <w:i/>
        </w:rPr>
        <w:t>Artículo 6</w:t>
      </w:r>
    </w:p>
    <w:p w:rsidR="005B518C" w:rsidRPr="004E6B5B" w:rsidRDefault="005B518C" w:rsidP="005B518C">
      <w:pPr>
        <w:pStyle w:val="Sinespaciado"/>
        <w:ind w:left="567" w:right="567"/>
        <w:jc w:val="both"/>
        <w:rPr>
          <w:rFonts w:ascii="Palatino Linotype" w:hAnsi="Palatino Linotype"/>
          <w:i/>
        </w:rPr>
      </w:pPr>
      <w:r w:rsidRPr="004E6B5B">
        <w:rPr>
          <w:rFonts w:ascii="Palatino Linotype" w:hAnsi="Palatino Linotype"/>
          <w:i/>
        </w:rPr>
        <w:t>…</w:t>
      </w:r>
    </w:p>
    <w:p w:rsidR="005B518C" w:rsidRPr="004E6B5B" w:rsidRDefault="005B518C" w:rsidP="005B518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5B518C" w:rsidRPr="004E6B5B" w:rsidRDefault="005B518C" w:rsidP="005B518C">
      <w:pPr>
        <w:pStyle w:val="Sinespaciado"/>
        <w:ind w:left="567" w:right="567"/>
        <w:jc w:val="both"/>
        <w:rPr>
          <w:rFonts w:ascii="Palatino Linotype" w:hAnsi="Palatino Linotype"/>
          <w:i/>
        </w:rPr>
      </w:pPr>
    </w:p>
    <w:p w:rsidR="005B518C" w:rsidRDefault="005B518C" w:rsidP="005B518C">
      <w:pPr>
        <w:pStyle w:val="Sinespaciado"/>
        <w:numPr>
          <w:ilvl w:val="0"/>
          <w:numId w:val="43"/>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B518C" w:rsidRPr="00407282" w:rsidRDefault="005B518C" w:rsidP="005B518C">
      <w:pPr>
        <w:pStyle w:val="Sinespaciado"/>
        <w:spacing w:line="360" w:lineRule="auto"/>
        <w:jc w:val="both"/>
        <w:rPr>
          <w:rFonts w:ascii="Palatino Linotype" w:hAnsi="Palatino Linotype"/>
        </w:rPr>
      </w:pPr>
    </w:p>
    <w:p w:rsidR="005B518C" w:rsidRPr="00407282" w:rsidRDefault="005B518C" w:rsidP="005B518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5B518C" w:rsidRPr="00407282" w:rsidRDefault="005B518C" w:rsidP="005B518C">
      <w:pPr>
        <w:pStyle w:val="Sinespaciado"/>
        <w:ind w:left="567" w:right="567"/>
        <w:jc w:val="both"/>
        <w:rPr>
          <w:rFonts w:ascii="Palatino Linotype" w:hAnsi="Palatino Linotype"/>
        </w:rPr>
      </w:pPr>
    </w:p>
    <w:p w:rsidR="005B518C" w:rsidRPr="006376FA" w:rsidRDefault="005B518C" w:rsidP="005B518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5B518C" w:rsidRPr="006376FA" w:rsidRDefault="005B518C" w:rsidP="005B518C">
      <w:pPr>
        <w:pStyle w:val="Sinespaciado"/>
        <w:ind w:left="567" w:right="567"/>
        <w:jc w:val="both"/>
        <w:rPr>
          <w:rFonts w:ascii="Palatino Linotype" w:hAnsi="Palatino Linotype"/>
          <w:i/>
        </w:rPr>
      </w:pPr>
      <w:r w:rsidRPr="006376FA">
        <w:rPr>
          <w:rFonts w:ascii="Palatino Linotype" w:hAnsi="Palatino Linotype"/>
          <w:i/>
        </w:rPr>
        <w:t>…</w:t>
      </w:r>
    </w:p>
    <w:p w:rsidR="005B518C" w:rsidRPr="006376FA" w:rsidRDefault="005B518C" w:rsidP="005B518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 xml:space="preserve">cualquier otro registro que documente el ejercicio de las facultades, funciones y competencias de los sujetos obligados, sus servidores públicos e integrantes, sin importar su </w:t>
      </w:r>
      <w:r w:rsidRPr="006376FA">
        <w:rPr>
          <w:rFonts w:ascii="Palatino Linotype" w:hAnsi="Palatino Linotype"/>
          <w:b/>
          <w:i/>
          <w:u w:val="single"/>
        </w:rPr>
        <w:lastRenderedPageBreak/>
        <w:t>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5B518C" w:rsidRPr="006376FA" w:rsidRDefault="005B518C" w:rsidP="005B518C">
      <w:pPr>
        <w:pStyle w:val="Sinespaciado"/>
        <w:ind w:left="567" w:right="567"/>
        <w:jc w:val="both"/>
        <w:rPr>
          <w:rFonts w:ascii="Palatino Linotype" w:hAnsi="Palatino Linotype"/>
          <w:i/>
        </w:rPr>
      </w:pPr>
    </w:p>
    <w:p w:rsidR="005B518C" w:rsidRPr="006376FA" w:rsidRDefault="005B518C" w:rsidP="005B518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B518C" w:rsidRPr="006376FA" w:rsidRDefault="005B518C" w:rsidP="005B518C">
      <w:pPr>
        <w:pStyle w:val="Sinespaciado"/>
        <w:ind w:left="567" w:right="567"/>
        <w:jc w:val="both"/>
        <w:rPr>
          <w:rFonts w:ascii="Palatino Linotype" w:hAnsi="Palatino Linotype"/>
          <w:bCs/>
          <w:i/>
        </w:rPr>
      </w:pPr>
    </w:p>
    <w:p w:rsidR="005B518C" w:rsidRPr="006376FA" w:rsidRDefault="005B518C" w:rsidP="005B518C">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B518C" w:rsidRPr="006376FA" w:rsidRDefault="005B518C" w:rsidP="005B518C">
      <w:pPr>
        <w:pStyle w:val="Sinespaciado"/>
        <w:ind w:left="567" w:right="567"/>
        <w:jc w:val="both"/>
        <w:rPr>
          <w:rFonts w:ascii="Palatino Linotype" w:hAnsi="Palatino Linotype"/>
          <w:bCs/>
          <w:i/>
        </w:rPr>
      </w:pPr>
    </w:p>
    <w:p w:rsidR="005B518C" w:rsidRPr="006376FA" w:rsidRDefault="005B518C" w:rsidP="005B518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5B518C" w:rsidRPr="006376FA" w:rsidRDefault="005B518C" w:rsidP="005B518C">
      <w:pPr>
        <w:pStyle w:val="Sinespaciado"/>
        <w:ind w:left="567" w:right="567"/>
        <w:jc w:val="both"/>
        <w:rPr>
          <w:rFonts w:ascii="Palatino Linotype" w:hAnsi="Palatino Linotype"/>
          <w:i/>
        </w:rPr>
      </w:pPr>
    </w:p>
    <w:p w:rsidR="005B518C" w:rsidRPr="006376FA" w:rsidRDefault="005B518C" w:rsidP="005B518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5B518C" w:rsidRPr="006376FA" w:rsidRDefault="005B518C" w:rsidP="005B518C">
      <w:pPr>
        <w:pStyle w:val="Sinespaciado"/>
        <w:ind w:left="567" w:right="567"/>
        <w:jc w:val="both"/>
        <w:rPr>
          <w:rFonts w:ascii="Palatino Linotype" w:hAnsi="Palatino Linotype"/>
          <w:i/>
        </w:rPr>
      </w:pPr>
    </w:p>
    <w:p w:rsidR="005B518C" w:rsidRPr="004E6B5B" w:rsidRDefault="005B518C" w:rsidP="005B518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5B518C" w:rsidRPr="00407282" w:rsidRDefault="005B518C" w:rsidP="005B518C">
      <w:pPr>
        <w:pStyle w:val="Sinespaciado"/>
        <w:spacing w:line="360" w:lineRule="auto"/>
        <w:jc w:val="both"/>
        <w:rPr>
          <w:rFonts w:ascii="Palatino Linotype" w:hAnsi="Palatino Linotype"/>
        </w:rPr>
      </w:pPr>
    </w:p>
    <w:p w:rsidR="005B518C" w:rsidRDefault="005B518C" w:rsidP="005B518C">
      <w:pPr>
        <w:pStyle w:val="Sinespaciado"/>
        <w:spacing w:line="360" w:lineRule="auto"/>
        <w:jc w:val="both"/>
        <w:rPr>
          <w:rFonts w:ascii="Palatino Linotype" w:hAnsi="Palatino Linotype" w:cs="Arial"/>
        </w:rPr>
      </w:pPr>
      <w:r w:rsidRPr="00407282">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07282">
        <w:rPr>
          <w:rFonts w:ascii="Palatino Linotype" w:hAnsi="Palatino Linotype" w:cs="Arial"/>
        </w:rPr>
        <w:lastRenderedPageBreak/>
        <w:t>generada, obtenida, adquirida, transformada, administrada o en posesión de los sujetos obligados es pública y accesible de manera permanente a cualquier persona.</w:t>
      </w:r>
    </w:p>
    <w:p w:rsidR="005B518C" w:rsidRDefault="005B518C" w:rsidP="005B518C">
      <w:pPr>
        <w:pStyle w:val="Sinespaciado"/>
        <w:spacing w:line="360" w:lineRule="auto"/>
        <w:jc w:val="both"/>
        <w:rPr>
          <w:rFonts w:ascii="Palatino Linotype" w:hAnsi="Palatino Linotype" w:cs="Arial"/>
        </w:rPr>
      </w:pPr>
    </w:p>
    <w:p w:rsidR="005B518C" w:rsidRDefault="005B518C" w:rsidP="005B518C">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 lo siguiente:</w:t>
      </w:r>
    </w:p>
    <w:p w:rsidR="005B518C" w:rsidRPr="00870CBA" w:rsidRDefault="005B518C" w:rsidP="005B518C">
      <w:pPr>
        <w:spacing w:after="0" w:line="360" w:lineRule="auto"/>
        <w:jc w:val="both"/>
        <w:rPr>
          <w:rFonts w:ascii="Palatino Linotype" w:eastAsia="Times New Roman" w:hAnsi="Palatino Linotype" w:cs="Times New Roman"/>
          <w:sz w:val="24"/>
          <w:szCs w:val="24"/>
          <w:lang w:val="es-ES" w:eastAsia="es-ES"/>
        </w:rPr>
      </w:pPr>
    </w:p>
    <w:p w:rsidR="005B518C" w:rsidRPr="00870CBA" w:rsidRDefault="005B518C" w:rsidP="005B518C">
      <w:pPr>
        <w:spacing w:after="120" w:line="24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5B518C" w:rsidRPr="00870CBA" w:rsidRDefault="005B518C" w:rsidP="005B518C">
      <w:pPr>
        <w:spacing w:after="0" w:line="24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rsidR="005B518C" w:rsidRPr="00870CBA" w:rsidRDefault="005B518C" w:rsidP="005B518C">
      <w:pPr>
        <w:spacing w:after="0" w:line="24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rsidR="005B518C" w:rsidRPr="00B87B77" w:rsidRDefault="005B518C" w:rsidP="005B518C">
      <w:pPr>
        <w:autoSpaceDE w:val="0"/>
        <w:autoSpaceDN w:val="0"/>
        <w:adjustRightInd w:val="0"/>
        <w:spacing w:before="100" w:beforeAutospacing="1" w:after="100" w:afterAutospacing="1"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Del precepto legal</w:t>
      </w:r>
      <w:r w:rsidRPr="00870CB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cita</w:t>
      </w:r>
      <w:r w:rsidRPr="00870CBA">
        <w:rPr>
          <w:rFonts w:ascii="Palatino Linotype" w:eastAsia="Times New Roman" w:hAnsi="Palatino Linotype" w:cs="Arial"/>
          <w:sz w:val="24"/>
          <w:szCs w:val="24"/>
          <w:lang w:val="es-ES" w:eastAsia="es-ES"/>
        </w:rPr>
        <w:t xml:space="preserve"> se establece que los Ayuntamientos se encuentran obligados a transparentar </w:t>
      </w:r>
      <w:r>
        <w:rPr>
          <w:rFonts w:ascii="Palatino Linotype" w:eastAsia="Times New Roman" w:hAnsi="Palatino Linotype" w:cs="Arial"/>
          <w:sz w:val="24"/>
          <w:szCs w:val="24"/>
          <w:lang w:val="es-ES" w:eastAsia="es-ES"/>
        </w:rPr>
        <w:t>y</w:t>
      </w:r>
      <w:r w:rsidRPr="00870CBA">
        <w:rPr>
          <w:rFonts w:ascii="Palatino Linotype" w:eastAsia="Times New Roman" w:hAnsi="Palatino Linotype" w:cs="Arial"/>
          <w:sz w:val="24"/>
          <w:szCs w:val="24"/>
          <w:lang w:val="es-ES" w:eastAsia="es-ES"/>
        </w:rPr>
        <w:t xml:space="preserve"> permitir el acceso a la información que generen, posean o administren; de ahí que la Ley de la materia delimita perfectamente los alcances de las obligaciones que corresponden a los Ayuntamientos</w:t>
      </w:r>
      <w:r>
        <w:rPr>
          <w:rFonts w:ascii="Palatino Linotype" w:eastAsia="Times New Roman" w:hAnsi="Palatino Linotype" w:cs="Arial"/>
          <w:sz w:val="24"/>
          <w:szCs w:val="24"/>
          <w:lang w:val="es-ES" w:eastAsia="es-ES"/>
        </w:rPr>
        <w:t xml:space="preserve">; </w:t>
      </w:r>
      <w:r>
        <w:rPr>
          <w:rFonts w:ascii="Palatino Linotype" w:hAnsi="Palatino Linotype"/>
          <w:sz w:val="24"/>
          <w:szCs w:val="24"/>
        </w:rPr>
        <w:t xml:space="preserve">en ese tenor, conviene remitirse </w:t>
      </w:r>
      <w:r w:rsidR="00731681">
        <w:rPr>
          <w:rFonts w:ascii="Palatino Linotype" w:hAnsi="Palatino Linotype"/>
          <w:sz w:val="24"/>
          <w:szCs w:val="24"/>
        </w:rPr>
        <w:t>los artículos 52 y 53</w:t>
      </w:r>
      <w:r w:rsidRPr="00493E07">
        <w:rPr>
          <w:rFonts w:ascii="Palatino Linotype" w:hAnsi="Palatino Linotype"/>
          <w:sz w:val="24"/>
          <w:szCs w:val="24"/>
        </w:rPr>
        <w:t xml:space="preserve"> de la Ley Orgánica Municipal del Estado de México; normatividad invocada que dispone a la literalidad:</w:t>
      </w:r>
    </w:p>
    <w:p w:rsidR="005B518C" w:rsidRPr="00493E07" w:rsidRDefault="005B518C" w:rsidP="005B518C">
      <w:pPr>
        <w:spacing w:after="0" w:line="360" w:lineRule="auto"/>
        <w:jc w:val="both"/>
        <w:rPr>
          <w:rFonts w:ascii="Palatino Linotype" w:eastAsia="Times New Roman" w:hAnsi="Palatino Linotype" w:cs="Times New Roman"/>
          <w:sz w:val="24"/>
          <w:szCs w:val="24"/>
          <w:lang w:eastAsia="es-ES"/>
        </w:rPr>
      </w:pPr>
    </w:p>
    <w:p w:rsidR="005B518C" w:rsidRDefault="00731681" w:rsidP="00731681">
      <w:pPr>
        <w:spacing w:after="120" w:line="240" w:lineRule="auto"/>
        <w:ind w:left="851" w:right="851"/>
        <w:jc w:val="both"/>
        <w:rPr>
          <w:rFonts w:ascii="Palatino Linotype" w:eastAsia="Times New Roman" w:hAnsi="Palatino Linotype" w:cs="Times New Roman"/>
          <w:b/>
          <w:i/>
          <w:lang w:eastAsia="es-ES"/>
        </w:rPr>
      </w:pPr>
      <w:r w:rsidRPr="00731681">
        <w:rPr>
          <w:rFonts w:ascii="Palatino Linotype" w:eastAsia="Times New Roman" w:hAnsi="Palatino Linotype" w:cs="Times New Roman"/>
          <w:b/>
          <w:i/>
          <w:lang w:eastAsia="es-ES"/>
        </w:rPr>
        <w:t xml:space="preserve">Artículo 52.- </w:t>
      </w:r>
      <w:r w:rsidRPr="00731681">
        <w:rPr>
          <w:rFonts w:ascii="Palatino Linotype" w:eastAsia="Times New Roman" w:hAnsi="Palatino Linotype" w:cs="Times New Roman"/>
          <w:i/>
          <w:lang w:eastAsia="es-ES"/>
        </w:rPr>
        <w:t xml:space="preserve">Los síndicos municipales tendrán a su cargo </w:t>
      </w:r>
      <w:r w:rsidRPr="0007056A">
        <w:rPr>
          <w:rFonts w:ascii="Palatino Linotype" w:eastAsia="Times New Roman" w:hAnsi="Palatino Linotype" w:cs="Times New Roman"/>
          <w:i/>
          <w:u w:val="single"/>
          <w:lang w:eastAsia="es-ES"/>
        </w:rPr>
        <w:t>la procuración y defensa de los derechos e intereses del municipio</w:t>
      </w:r>
      <w:r w:rsidRPr="00731681">
        <w:rPr>
          <w:rFonts w:ascii="Palatino Linotype" w:eastAsia="Times New Roman" w:hAnsi="Palatino Linotype" w:cs="Times New Roman"/>
          <w:i/>
          <w:lang w:eastAsia="es-ES"/>
        </w:rPr>
        <w:t xml:space="preserve">, en especial los de carácter patrimonial y </w:t>
      </w:r>
      <w:r w:rsidRPr="0007056A">
        <w:rPr>
          <w:rFonts w:ascii="Palatino Linotype" w:eastAsia="Times New Roman" w:hAnsi="Palatino Linotype" w:cs="Times New Roman"/>
          <w:i/>
          <w:u w:val="single"/>
          <w:lang w:eastAsia="es-ES"/>
        </w:rPr>
        <w:t>la función de contraloría interna</w:t>
      </w:r>
      <w:r w:rsidRPr="00731681">
        <w:rPr>
          <w:rFonts w:ascii="Palatino Linotype" w:eastAsia="Times New Roman" w:hAnsi="Palatino Linotype" w:cs="Times New Roman"/>
          <w:i/>
          <w:lang w:eastAsia="es-ES"/>
        </w:rPr>
        <w:t>, la que, en su caso, ejercerán conjuntamente con el órgano de control y evaluación que al efecto establezcan los ayuntamientos</w:t>
      </w:r>
      <w:r w:rsidRPr="00731681">
        <w:rPr>
          <w:rFonts w:ascii="Palatino Linotype" w:eastAsia="Times New Roman" w:hAnsi="Palatino Linotype" w:cs="Times New Roman"/>
          <w:b/>
          <w:i/>
          <w:lang w:eastAsia="es-ES"/>
        </w:rPr>
        <w:t xml:space="preserve">. </w:t>
      </w:r>
    </w:p>
    <w:p w:rsidR="00E84541" w:rsidRDefault="00E84541" w:rsidP="00731681">
      <w:pPr>
        <w:spacing w:after="120" w:line="240" w:lineRule="auto"/>
        <w:ind w:left="851" w:right="851"/>
        <w:jc w:val="both"/>
        <w:rPr>
          <w:rFonts w:ascii="Palatino Linotype" w:eastAsia="Times New Roman" w:hAnsi="Palatino Linotype" w:cs="Times New Roman"/>
          <w:b/>
          <w:i/>
          <w:lang w:eastAsia="es-ES"/>
        </w:rPr>
      </w:pPr>
    </w:p>
    <w:p w:rsidR="00E84541" w:rsidRPr="00E84541" w:rsidRDefault="00E84541" w:rsidP="00E84541">
      <w:pPr>
        <w:spacing w:after="120" w:line="240" w:lineRule="auto"/>
        <w:ind w:left="851" w:right="851"/>
        <w:jc w:val="both"/>
        <w:rPr>
          <w:rFonts w:ascii="Palatino Linotype" w:eastAsia="Times New Roman" w:hAnsi="Palatino Linotype" w:cs="Times New Roman"/>
          <w:i/>
          <w:lang w:eastAsia="es-ES"/>
        </w:rPr>
      </w:pPr>
      <w:r w:rsidRPr="00E84541">
        <w:rPr>
          <w:rFonts w:ascii="Palatino Linotype" w:eastAsia="Times New Roman" w:hAnsi="Palatino Linotype" w:cs="Times New Roman"/>
          <w:b/>
          <w:i/>
          <w:lang w:eastAsia="es-ES"/>
        </w:rPr>
        <w:t xml:space="preserve">Artículo 53.- </w:t>
      </w:r>
      <w:r w:rsidRPr="00E84541">
        <w:rPr>
          <w:rFonts w:ascii="Palatino Linotype" w:eastAsia="Times New Roman" w:hAnsi="Palatino Linotype" w:cs="Times New Roman"/>
          <w:i/>
          <w:lang w:eastAsia="es-ES"/>
        </w:rPr>
        <w:t>Los síndicos tendrán las siguientes atribuciones:</w:t>
      </w:r>
    </w:p>
    <w:p w:rsidR="00E84541" w:rsidRPr="00E84541" w:rsidRDefault="00E84541" w:rsidP="00E84541">
      <w:pPr>
        <w:spacing w:after="120" w:line="240" w:lineRule="auto"/>
        <w:ind w:left="851" w:right="851"/>
        <w:jc w:val="both"/>
        <w:rPr>
          <w:rFonts w:ascii="Palatino Linotype" w:eastAsia="Times New Roman" w:hAnsi="Palatino Linotype" w:cs="Times New Roman"/>
          <w:i/>
          <w:lang w:eastAsia="es-ES"/>
        </w:rPr>
      </w:pPr>
      <w:r w:rsidRPr="00E84541">
        <w:rPr>
          <w:rFonts w:ascii="Palatino Linotype" w:eastAsia="Times New Roman" w:hAnsi="Palatino Linotype" w:cs="Times New Roman"/>
          <w:b/>
          <w:i/>
          <w:lang w:eastAsia="es-ES"/>
        </w:rPr>
        <w:t xml:space="preserve">I. </w:t>
      </w:r>
      <w:r w:rsidRPr="00E84541">
        <w:rPr>
          <w:rFonts w:ascii="Palatino Linotype" w:eastAsia="Times New Roman" w:hAnsi="Palatino Linotype" w:cs="Times New Roman"/>
          <w:b/>
          <w:i/>
          <w:u w:val="single"/>
          <w:lang w:eastAsia="es-ES"/>
        </w:rPr>
        <w:t xml:space="preserve">Procurar, defender y promover los derechos e intereses municipales; representar jurídicamente a los integrantes de los ayuntamientos, facultándolos para otorgar y revocar poderes generales y especiales a </w:t>
      </w:r>
      <w:r w:rsidRPr="00E84541">
        <w:rPr>
          <w:rFonts w:ascii="Palatino Linotype" w:eastAsia="Times New Roman" w:hAnsi="Palatino Linotype" w:cs="Times New Roman"/>
          <w:b/>
          <w:i/>
          <w:u w:val="single"/>
          <w:lang w:eastAsia="es-ES"/>
        </w:rPr>
        <w:lastRenderedPageBreak/>
        <w:t>terceros o mediante oficio para la debida representación jurídica correspondiente, pudiendo convenir en los mismos.</w:t>
      </w:r>
    </w:p>
    <w:p w:rsidR="00E84541" w:rsidRPr="00E84541" w:rsidRDefault="00E84541" w:rsidP="00E84541">
      <w:pPr>
        <w:spacing w:after="120" w:line="240" w:lineRule="auto"/>
        <w:ind w:left="851" w:right="851"/>
        <w:jc w:val="both"/>
        <w:rPr>
          <w:rFonts w:ascii="Palatino Linotype" w:eastAsia="Times New Roman" w:hAnsi="Palatino Linotype" w:cs="Times New Roman"/>
          <w:i/>
          <w:lang w:eastAsia="es-ES"/>
        </w:rPr>
      </w:pPr>
      <w:r w:rsidRPr="00E84541">
        <w:rPr>
          <w:rFonts w:ascii="Palatino Linotype" w:eastAsia="Times New Roman" w:hAnsi="Palatino Linotype" w:cs="Times New Roman"/>
          <w:i/>
          <w:lang w:eastAsia="es-ES"/>
        </w:rPr>
        <w:t>La representación legal de los miembros de los ayuntamientos, sólo se dará en asuntos oficiales;</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I Bis. </w:t>
      </w:r>
      <w:r w:rsidRPr="00E84541">
        <w:rPr>
          <w:rFonts w:ascii="Palatino Linotype" w:eastAsia="Times New Roman" w:hAnsi="Palatino Linotype" w:cs="Times New Roman"/>
          <w:i/>
          <w:lang w:eastAsia="es-ES"/>
        </w:rPr>
        <w:t>Supervisar a los representantes legales asignados por el Ayuntamiento, en la correcta atención y defensa de los litigios laborales;</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I Ter. </w:t>
      </w:r>
      <w:r w:rsidRPr="00E84541">
        <w:rPr>
          <w:rFonts w:ascii="Palatino Linotype" w:eastAsia="Times New Roman" w:hAnsi="Palatino Linotype" w:cs="Times New Roman"/>
          <w:i/>
          <w:lang w:eastAsia="es-ES"/>
        </w:rPr>
        <w:t>Informar al presidente, en caso de cualquier irregularidad en la atención y/o defensa de los litigios laborales seguidos ante las autoridades laborales competentes.</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Derogado</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II. </w:t>
      </w:r>
      <w:r w:rsidRPr="00E84541">
        <w:rPr>
          <w:rFonts w:ascii="Palatino Linotype" w:eastAsia="Times New Roman" w:hAnsi="Palatino Linotype" w:cs="Times New Roman"/>
          <w:i/>
          <w:lang w:eastAsia="es-ES"/>
        </w:rPr>
        <w:t>Revisar y firmar los cortes de caja de la tesorería municipal;</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III. </w:t>
      </w:r>
      <w:r w:rsidRPr="00E84541">
        <w:rPr>
          <w:rFonts w:ascii="Palatino Linotype" w:eastAsia="Times New Roman" w:hAnsi="Palatino Linotype" w:cs="Times New Roman"/>
          <w:i/>
          <w:lang w:eastAsia="es-ES"/>
        </w:rPr>
        <w:t>Cuidar que la aplicación de los gastos se haga llenando todos los requisitos legales y conforme al presupuesto respectivo;</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IV. </w:t>
      </w:r>
      <w:r w:rsidRPr="00E84541">
        <w:rPr>
          <w:rFonts w:ascii="Palatino Linotype" w:eastAsia="Times New Roman" w:hAnsi="Palatino Linotype" w:cs="Times New Roman"/>
          <w:i/>
          <w:lang w:eastAsia="es-ES"/>
        </w:rPr>
        <w:t>Vigilar que las multas que impongan las autoridades municipales ingresen a la tesorería, previo comprobante respectivo;</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V. </w:t>
      </w:r>
      <w:r w:rsidRPr="00E84541">
        <w:rPr>
          <w:rFonts w:ascii="Palatino Linotype" w:eastAsia="Times New Roman" w:hAnsi="Palatino Linotype" w:cs="Times New Roman"/>
          <w:i/>
          <w:lang w:eastAsia="es-ES"/>
        </w:rPr>
        <w:t>Asistir a las visitas de inspección que realice el Órgano Superior de Fiscalización del Estado de México a la tesorería e informar de los resultados al ayuntamiento;</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VI. </w:t>
      </w:r>
      <w:r w:rsidRPr="00E84541">
        <w:rPr>
          <w:rFonts w:ascii="Palatino Linotype" w:eastAsia="Times New Roman" w:hAnsi="Palatino Linotype" w:cs="Times New Roman"/>
          <w:i/>
          <w:lang w:eastAsia="es-ES"/>
        </w:rPr>
        <w:t>Hacer que oportunamente se remitan al Órgano Superior de Fiscalización del Estado de México las cuentas de la tesorería municipal y remitir copia del resumen financiero a los miembros del ayuntamiento;</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VII. </w:t>
      </w:r>
      <w:r w:rsidRPr="00E84541">
        <w:rPr>
          <w:rFonts w:ascii="Palatino Linotype" w:eastAsia="Times New Roman" w:hAnsi="Palatino Linotype" w:cs="Times New Roman"/>
          <w:i/>
          <w:lang w:eastAsia="es-ES"/>
        </w:rPr>
        <w:t>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VIII. </w:t>
      </w:r>
      <w:r w:rsidRPr="00E84541">
        <w:rPr>
          <w:rFonts w:ascii="Palatino Linotype" w:eastAsia="Times New Roman" w:hAnsi="Palatino Linotype" w:cs="Times New Roman"/>
          <w:i/>
          <w:lang w:eastAsia="es-ES"/>
        </w:rPr>
        <w:t>Regularizar la propiedad de los bienes inmuebles municipales, para ello tendrán un plazo de ciento veinte días hábiles, contados a partir de la adquisición;</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IX. </w:t>
      </w:r>
      <w:r w:rsidRPr="00E84541">
        <w:rPr>
          <w:rFonts w:ascii="Palatino Linotype" w:eastAsia="Times New Roman" w:hAnsi="Palatino Linotype" w:cs="Times New Roman"/>
          <w:i/>
          <w:lang w:eastAsia="es-ES"/>
        </w:rPr>
        <w:t>Inscribir los bienes inmuebles municipales en el Registro Público de la Propiedad, para iniciar los trámites correspondientes tendrán un plazo de ciento veinte días hábiles contados a partir de aquel en que concluyo el proceso de regularización;</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X. </w:t>
      </w:r>
      <w:r w:rsidRPr="00E84541">
        <w:rPr>
          <w:rFonts w:ascii="Palatino Linotype" w:eastAsia="Times New Roman" w:hAnsi="Palatino Linotype" w:cs="Times New Roman"/>
          <w:i/>
          <w:lang w:eastAsia="es-ES"/>
        </w:rPr>
        <w:t>Vigilar que los Oficiales Calificadores, observen las disposiciones legales en cuanto a las garantías que asisten a los detenidos;</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XI. </w:t>
      </w:r>
      <w:r w:rsidRPr="00E84541">
        <w:rPr>
          <w:rFonts w:ascii="Palatino Linotype" w:eastAsia="Times New Roman" w:hAnsi="Palatino Linotype" w:cs="Times New Roman"/>
          <w:i/>
          <w:lang w:eastAsia="es-ES"/>
        </w:rPr>
        <w:t>Participar en los remates públicos en los que tenga interés el municipio, para que se finquen al mejor postor y se guarden los términos y disposiciones prevenidos en las leyes respectivas;</w:t>
      </w:r>
    </w:p>
    <w:p w:rsidR="00E84541" w:rsidRDefault="00E84541" w:rsidP="00E84541">
      <w:pPr>
        <w:spacing w:after="120" w:line="240" w:lineRule="auto"/>
        <w:ind w:left="851" w:right="851"/>
        <w:jc w:val="both"/>
        <w:rPr>
          <w:rFonts w:ascii="Palatino Linotype" w:eastAsia="Times New Roman" w:hAnsi="Palatino Linotype" w:cs="Times New Roman"/>
          <w:i/>
          <w:lang w:eastAsia="es-ES"/>
        </w:rPr>
      </w:pPr>
      <w:r w:rsidRPr="00E84541">
        <w:rPr>
          <w:rFonts w:ascii="Palatino Linotype" w:eastAsia="Times New Roman" w:hAnsi="Palatino Linotype" w:cs="Times New Roman"/>
          <w:b/>
          <w:i/>
          <w:lang w:eastAsia="es-ES"/>
        </w:rPr>
        <w:lastRenderedPageBreak/>
        <w:t xml:space="preserve">XII. </w:t>
      </w:r>
      <w:r w:rsidRPr="00E84541">
        <w:rPr>
          <w:rFonts w:ascii="Palatino Linotype" w:eastAsia="Times New Roman" w:hAnsi="Palatino Linotype" w:cs="Times New Roman"/>
          <w:i/>
          <w:lang w:eastAsia="es-ES"/>
        </w:rPr>
        <w:t>Verificar que los remates públicos se realicen en los términos de las leyes respectivas;</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XIII. </w:t>
      </w:r>
      <w:r w:rsidRPr="00E84541">
        <w:rPr>
          <w:rFonts w:ascii="Palatino Linotype" w:eastAsia="Times New Roman" w:hAnsi="Palatino Linotype" w:cs="Times New Roman"/>
          <w:i/>
          <w:lang w:eastAsia="es-ES"/>
        </w:rPr>
        <w:t>Verificar que los funcionarios y empleados del municipio cumplan con hacer la manifestación de bienes que prevé la Ley de Responsabilidades Administrativas del Estado de México y Municipios;</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XIV. </w:t>
      </w:r>
      <w:r w:rsidRPr="00E84541">
        <w:rPr>
          <w:rFonts w:ascii="Palatino Linotype" w:eastAsia="Times New Roman" w:hAnsi="Palatino Linotype" w:cs="Times New Roman"/>
          <w:i/>
          <w:lang w:eastAsia="es-ES"/>
        </w:rPr>
        <w:t>Admitir, tramitar y resolver los recursos administrativos que sean de su competencia;</w:t>
      </w:r>
    </w:p>
    <w:p w:rsidR="00E84541" w:rsidRPr="00E84541" w:rsidRDefault="00E84541" w:rsidP="00E84541">
      <w:pPr>
        <w:spacing w:after="120" w:line="240" w:lineRule="auto"/>
        <w:ind w:left="851" w:right="851"/>
        <w:jc w:val="both"/>
        <w:rPr>
          <w:rFonts w:ascii="Palatino Linotype" w:eastAsia="Times New Roman" w:hAnsi="Palatino Linotype" w:cs="Times New Roman"/>
          <w:i/>
          <w:lang w:eastAsia="es-ES"/>
        </w:rPr>
      </w:pPr>
      <w:r w:rsidRPr="00E84541">
        <w:rPr>
          <w:rFonts w:ascii="Palatino Linotype" w:eastAsia="Times New Roman" w:hAnsi="Palatino Linotype" w:cs="Times New Roman"/>
          <w:b/>
          <w:i/>
          <w:lang w:eastAsia="es-ES"/>
        </w:rPr>
        <w:t xml:space="preserve">XV. </w:t>
      </w:r>
      <w:r w:rsidRPr="00E84541">
        <w:rPr>
          <w:rFonts w:ascii="Palatino Linotype" w:eastAsia="Times New Roman" w:hAnsi="Palatino Linotype" w:cs="Times New Roman"/>
          <w:i/>
          <w:lang w:eastAsia="es-ES"/>
        </w:rPr>
        <w:t>Revisar las relaciones de rezagos para que sean liquidados;</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XVI. </w:t>
      </w:r>
      <w:r w:rsidRPr="00E84541">
        <w:rPr>
          <w:rFonts w:ascii="Palatino Linotype" w:eastAsia="Times New Roman" w:hAnsi="Palatino Linotype" w:cs="Times New Roman"/>
          <w:i/>
          <w:lang w:eastAsia="es-ES"/>
        </w:rPr>
        <w:t>Revisar el informe mensual que le remita el Tesorero, y en su caso formular las observaciones correspondientes.</w:t>
      </w:r>
    </w:p>
    <w:p w:rsidR="00E84541" w:rsidRPr="00E84541" w:rsidRDefault="00E84541" w:rsidP="00E84541">
      <w:pPr>
        <w:spacing w:after="120" w:line="240" w:lineRule="auto"/>
        <w:ind w:left="851" w:right="851"/>
        <w:jc w:val="both"/>
        <w:rPr>
          <w:rFonts w:ascii="Palatino Linotype" w:eastAsia="Times New Roman" w:hAnsi="Palatino Linotype" w:cs="Times New Roman"/>
          <w:b/>
          <w:i/>
          <w:lang w:eastAsia="es-ES"/>
        </w:rPr>
      </w:pPr>
      <w:r w:rsidRPr="00E84541">
        <w:rPr>
          <w:rFonts w:ascii="Palatino Linotype" w:eastAsia="Times New Roman" w:hAnsi="Palatino Linotype" w:cs="Times New Roman"/>
          <w:b/>
          <w:i/>
          <w:lang w:eastAsia="es-ES"/>
        </w:rPr>
        <w:t xml:space="preserve">XVII. </w:t>
      </w:r>
      <w:r w:rsidRPr="00E84541">
        <w:rPr>
          <w:rFonts w:ascii="Palatino Linotype" w:eastAsia="Times New Roman" w:hAnsi="Palatino Linotype" w:cs="Times New Roman"/>
          <w:i/>
          <w:lang w:eastAsia="es-ES"/>
        </w:rPr>
        <w:t>Las demás que les señalen las disposiciones aplicables.</w:t>
      </w:r>
    </w:p>
    <w:p w:rsidR="00E84541" w:rsidRPr="00E84541" w:rsidRDefault="00E84541" w:rsidP="00E84541">
      <w:pPr>
        <w:spacing w:after="120" w:line="240" w:lineRule="auto"/>
        <w:ind w:left="851" w:right="851"/>
        <w:jc w:val="both"/>
        <w:rPr>
          <w:rFonts w:ascii="Palatino Linotype" w:eastAsia="Times New Roman" w:hAnsi="Palatino Linotype" w:cs="Times New Roman"/>
          <w:i/>
          <w:lang w:eastAsia="es-ES"/>
        </w:rPr>
      </w:pPr>
      <w:r w:rsidRPr="00E84541">
        <w:rPr>
          <w:rFonts w:ascii="Palatino Linotype" w:eastAsia="Times New Roman" w:hAnsi="Palatino Linotype" w:cs="Times New Roman"/>
          <w:i/>
          <w:lang w:eastAsia="es-ES"/>
        </w:rPr>
        <w:t>En el caso de que sean dos los síndicos que se elijan, uno esta</w:t>
      </w:r>
      <w:r>
        <w:rPr>
          <w:rFonts w:ascii="Palatino Linotype" w:eastAsia="Times New Roman" w:hAnsi="Palatino Linotype" w:cs="Times New Roman"/>
          <w:i/>
          <w:lang w:eastAsia="es-ES"/>
        </w:rPr>
        <w:t xml:space="preserve">rá encargado de los ingresos de </w:t>
      </w:r>
      <w:r w:rsidRPr="00E84541">
        <w:rPr>
          <w:rFonts w:ascii="Palatino Linotype" w:eastAsia="Times New Roman" w:hAnsi="Palatino Linotype" w:cs="Times New Roman"/>
          <w:i/>
          <w:lang w:eastAsia="es-ES"/>
        </w:rPr>
        <w:t>la hacienda municipal y el otro de los egresos. El primero tendr</w:t>
      </w:r>
      <w:r>
        <w:rPr>
          <w:rFonts w:ascii="Palatino Linotype" w:eastAsia="Times New Roman" w:hAnsi="Palatino Linotype" w:cs="Times New Roman"/>
          <w:i/>
          <w:lang w:eastAsia="es-ES"/>
        </w:rPr>
        <w:t xml:space="preserve">á las facultades y obligaciones </w:t>
      </w:r>
      <w:r w:rsidRPr="00E84541">
        <w:rPr>
          <w:rFonts w:ascii="Palatino Linotype" w:eastAsia="Times New Roman" w:hAnsi="Palatino Linotype" w:cs="Times New Roman"/>
          <w:i/>
          <w:lang w:eastAsia="es-ES"/>
        </w:rPr>
        <w:t>consignadas en las fracciones I, IV, V, y XVI y el segundo, las contenidas en las fracciones II, III, VI, VII, VIII, IX, X y XII entendiéndose que se ejercerán indistintamente las demás.</w:t>
      </w:r>
    </w:p>
    <w:p w:rsidR="00E84541" w:rsidRPr="00E84541" w:rsidRDefault="00E84541" w:rsidP="00E84541">
      <w:pPr>
        <w:spacing w:after="120" w:line="240" w:lineRule="auto"/>
        <w:ind w:left="851" w:right="851"/>
        <w:jc w:val="both"/>
        <w:rPr>
          <w:rFonts w:ascii="Palatino Linotype" w:eastAsia="Times New Roman" w:hAnsi="Palatino Linotype" w:cs="Times New Roman"/>
          <w:i/>
          <w:lang w:eastAsia="es-ES"/>
        </w:rPr>
      </w:pPr>
      <w:r w:rsidRPr="00E84541">
        <w:rPr>
          <w:rFonts w:ascii="Palatino Linotype" w:eastAsia="Times New Roman" w:hAnsi="Palatino Linotype" w:cs="Times New Roman"/>
          <w:i/>
          <w:lang w:eastAsia="es-ES"/>
        </w:rPr>
        <w:t>En el caso de que se elija un tercer síndico, este ejercerá las atribuciones del segundo a que se refieren las fracciones VII, VIII, IX, y X.</w:t>
      </w:r>
    </w:p>
    <w:p w:rsidR="005B518C" w:rsidRDefault="00E84541" w:rsidP="006219AA">
      <w:pPr>
        <w:spacing w:after="120" w:line="240" w:lineRule="auto"/>
        <w:ind w:left="851" w:right="851"/>
        <w:jc w:val="both"/>
        <w:rPr>
          <w:rFonts w:ascii="Palatino Linotype" w:eastAsia="Calibri" w:hAnsi="Palatino Linotype" w:cs="Times New Roman"/>
          <w:b/>
          <w:i/>
        </w:rPr>
      </w:pPr>
      <w:r w:rsidRPr="00E84541">
        <w:rPr>
          <w:rFonts w:ascii="Palatino Linotype" w:eastAsia="Times New Roman" w:hAnsi="Palatino Linotype" w:cs="Times New Roman"/>
          <w:i/>
          <w:lang w:eastAsia="es-ES"/>
        </w:rPr>
        <w:t>Los síndicos y los presidentes municipales que asuman la representación jurídica del Ayuntamiento, no pueden desistirse, transigir, comprometerse en árbitros, ni hacer cesión de bienes muebles o inmuebles municipales, sin la autorización expresa del Ayuntamiento.</w:t>
      </w:r>
      <w:r w:rsidR="006219AA">
        <w:rPr>
          <w:rFonts w:ascii="Palatino Linotype" w:eastAsia="Times New Roman" w:hAnsi="Palatino Linotype" w:cs="Times New Roman"/>
          <w:i/>
          <w:lang w:eastAsia="es-ES"/>
        </w:rPr>
        <w:t xml:space="preserve"> </w:t>
      </w:r>
      <w:r w:rsidR="005B518C" w:rsidRPr="00493E07">
        <w:rPr>
          <w:rFonts w:ascii="Palatino Linotype" w:eastAsia="Calibri" w:hAnsi="Palatino Linotype" w:cs="Times New Roman"/>
          <w:b/>
          <w:i/>
        </w:rPr>
        <w:t>[Sic]</w:t>
      </w:r>
    </w:p>
    <w:p w:rsidR="0073345E" w:rsidRDefault="0073345E" w:rsidP="006219AA">
      <w:pPr>
        <w:spacing w:after="120" w:line="240" w:lineRule="auto"/>
        <w:ind w:left="851" w:right="851"/>
        <w:jc w:val="both"/>
        <w:rPr>
          <w:rFonts w:ascii="Palatino Linotype" w:eastAsia="Times New Roman" w:hAnsi="Palatino Linotype" w:cs="Times New Roman"/>
          <w:i/>
          <w:lang w:eastAsia="es-ES"/>
        </w:rPr>
      </w:pPr>
    </w:p>
    <w:p w:rsidR="0073345E" w:rsidRDefault="0073345E" w:rsidP="0073345E">
      <w:pPr>
        <w:spacing w:after="0" w:line="360" w:lineRule="auto"/>
        <w:jc w:val="both"/>
        <w:rPr>
          <w:rFonts w:ascii="Palatino Linotype" w:hAnsi="Palatino Linotype"/>
          <w:sz w:val="24"/>
          <w:szCs w:val="24"/>
        </w:rPr>
      </w:pPr>
      <w:r>
        <w:rPr>
          <w:rFonts w:ascii="Palatino Linotype" w:hAnsi="Palatino Linotype"/>
          <w:sz w:val="24"/>
          <w:szCs w:val="24"/>
        </w:rPr>
        <w:t>Asimismo, en el Bando Municipal en el Título Décimo, capítulo I, artículos 212 y 213, a la letra señalan lo siguiente:</w:t>
      </w:r>
    </w:p>
    <w:p w:rsidR="0073345E" w:rsidRDefault="0073345E" w:rsidP="0073345E">
      <w:pPr>
        <w:tabs>
          <w:tab w:val="left" w:pos="851"/>
        </w:tabs>
        <w:spacing w:before="120" w:after="120"/>
        <w:ind w:left="993" w:right="709"/>
        <w:jc w:val="both"/>
        <w:rPr>
          <w:rFonts w:ascii="Palatino Linotype" w:hAnsi="Palatino Linotype" w:cs="Arial"/>
          <w:i/>
        </w:rPr>
      </w:pPr>
      <w:r w:rsidRPr="00643C1D">
        <w:rPr>
          <w:rFonts w:ascii="Palatino Linotype" w:hAnsi="Palatino Linotype" w:cs="Arial"/>
          <w:i/>
        </w:rPr>
        <w:t>“</w:t>
      </w:r>
      <w:r w:rsidRPr="00271A47">
        <w:rPr>
          <w:rFonts w:ascii="Palatino Linotype" w:hAnsi="Palatino Linotype" w:cs="Arial"/>
          <w:b/>
          <w:i/>
        </w:rPr>
        <w:t xml:space="preserve">Artículo 212. </w:t>
      </w:r>
      <w:r w:rsidRPr="00271A47">
        <w:rPr>
          <w:rFonts w:ascii="Palatino Linotype" w:hAnsi="Palatino Linotype" w:cs="Arial"/>
          <w:i/>
        </w:rPr>
        <w:t>Contra los actos y resoluciones administrativas que dicten o ejecuten las autoridades municipales, los particulares afectados tendrán la opción de interponer el recurso administrativo de inconformidad ante la propia autoridad o promover el juicio correspondiente ante el Tribunal de lo Contencioso Administrativo, conforme a las disposiciones del Código de Procedimientos Administrativos del Estado de México y demás disposiciones legales aplicables.</w:t>
      </w:r>
    </w:p>
    <w:p w:rsidR="0073345E" w:rsidRPr="00271A47" w:rsidRDefault="0073345E" w:rsidP="0073345E">
      <w:pPr>
        <w:tabs>
          <w:tab w:val="left" w:pos="851"/>
        </w:tabs>
        <w:spacing w:before="120" w:after="120"/>
        <w:ind w:left="993" w:right="709"/>
        <w:jc w:val="both"/>
        <w:rPr>
          <w:rFonts w:ascii="Palatino Linotype" w:hAnsi="Palatino Linotype" w:cs="Arial"/>
          <w:b/>
          <w:i/>
        </w:rPr>
      </w:pPr>
    </w:p>
    <w:p w:rsidR="0073345E" w:rsidRPr="006219AA" w:rsidRDefault="0073345E" w:rsidP="0073345E">
      <w:pPr>
        <w:spacing w:after="120" w:line="240" w:lineRule="auto"/>
        <w:ind w:left="993" w:right="851"/>
        <w:jc w:val="both"/>
        <w:rPr>
          <w:rFonts w:ascii="Palatino Linotype" w:eastAsia="Times New Roman" w:hAnsi="Palatino Linotype" w:cs="Times New Roman"/>
          <w:i/>
          <w:lang w:eastAsia="es-ES"/>
        </w:rPr>
      </w:pPr>
      <w:r w:rsidRPr="00271A47">
        <w:rPr>
          <w:rFonts w:ascii="Palatino Linotype" w:hAnsi="Palatino Linotype" w:cs="Arial"/>
          <w:b/>
          <w:i/>
        </w:rPr>
        <w:lastRenderedPageBreak/>
        <w:t xml:space="preserve">Artículo 213. </w:t>
      </w:r>
      <w:r w:rsidRPr="00271A47">
        <w:rPr>
          <w:rFonts w:ascii="Palatino Linotype" w:hAnsi="Palatino Linotype" w:cs="Arial"/>
          <w:b/>
          <w:i/>
          <w:u w:val="single"/>
        </w:rPr>
        <w:t>Conocerá del recurso de inconformidad la Síndico Municipal quien tramitará y resolverá el recurso</w:t>
      </w:r>
      <w:r w:rsidRPr="00271A47">
        <w:rPr>
          <w:rFonts w:ascii="Palatino Linotype" w:hAnsi="Palatino Linotype" w:cs="Arial"/>
          <w:i/>
        </w:rPr>
        <w:t>, excepto el instaurado en contra del Presidente Municipal, en cuyo caso le corresponde conocer y resolver al Ayuntamiento.</w:t>
      </w:r>
      <w:r>
        <w:rPr>
          <w:rFonts w:ascii="Palatino Linotype" w:hAnsi="Palatino Linotype" w:cs="Arial"/>
          <w:i/>
        </w:rPr>
        <w:t>”</w:t>
      </w:r>
    </w:p>
    <w:p w:rsidR="005B518C" w:rsidRPr="00493E07" w:rsidRDefault="005B518C" w:rsidP="005B518C">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p>
    <w:p w:rsidR="005B518C" w:rsidRDefault="005B518C" w:rsidP="005B518C">
      <w:pPr>
        <w:spacing w:after="0" w:line="360" w:lineRule="auto"/>
        <w:jc w:val="both"/>
        <w:rPr>
          <w:rFonts w:ascii="Palatino Linotype" w:eastAsia="Calibri" w:hAnsi="Palatino Linotype" w:cs="Times New Roman"/>
          <w:sz w:val="24"/>
          <w:szCs w:val="24"/>
        </w:rPr>
      </w:pPr>
      <w:r w:rsidRPr="00493E07">
        <w:rPr>
          <w:rFonts w:ascii="Palatino Linotype" w:eastAsia="Calibri" w:hAnsi="Palatino Linotype" w:cs="Times New Roman"/>
          <w:sz w:val="24"/>
          <w:szCs w:val="24"/>
        </w:rPr>
        <w:t>Del análisis sistemático y armónico de la normatividad previamente plasmada se desprende que</w:t>
      </w:r>
      <w:r w:rsidRPr="00493E07">
        <w:t xml:space="preserve"> </w:t>
      </w:r>
      <w:r w:rsidRPr="00493E07">
        <w:rPr>
          <w:rFonts w:ascii="Palatino Linotype" w:eastAsia="Calibri" w:hAnsi="Palatino Linotype" w:cs="Times New Roman"/>
          <w:sz w:val="24"/>
          <w:szCs w:val="24"/>
        </w:rPr>
        <w:t xml:space="preserve">dentro de las atribuciones del </w:t>
      </w:r>
      <w:r w:rsidR="0007056A">
        <w:rPr>
          <w:rFonts w:ascii="Palatino Linotype" w:eastAsia="Calibri" w:hAnsi="Palatino Linotype" w:cs="Times New Roman"/>
          <w:sz w:val="24"/>
          <w:szCs w:val="24"/>
        </w:rPr>
        <w:t xml:space="preserve">Síndico se encuentran </w:t>
      </w:r>
      <w:r w:rsidR="0007056A" w:rsidRPr="0007056A">
        <w:rPr>
          <w:rFonts w:ascii="Palatino Linotype" w:eastAsia="Calibri" w:hAnsi="Palatino Linotype" w:cs="Times New Roman"/>
          <w:sz w:val="24"/>
          <w:szCs w:val="24"/>
        </w:rPr>
        <w:t>la procuración y defensa de los derechos e intereses del municipio, en especi</w:t>
      </w:r>
      <w:r w:rsidR="0007056A">
        <w:rPr>
          <w:rFonts w:ascii="Palatino Linotype" w:eastAsia="Calibri" w:hAnsi="Palatino Linotype" w:cs="Times New Roman"/>
          <w:sz w:val="24"/>
          <w:szCs w:val="24"/>
        </w:rPr>
        <w:t>al los de carácter patrimonial, así como la de conocer del recurso de inconformidad</w:t>
      </w:r>
      <w:r w:rsidRPr="00493E07">
        <w:rPr>
          <w:rFonts w:ascii="Palatino Linotype" w:eastAsia="Calibri" w:hAnsi="Palatino Linotype" w:cs="Times New Roman"/>
          <w:sz w:val="24"/>
          <w:szCs w:val="24"/>
        </w:rPr>
        <w:t>, por ello se advierte que la información requerida en la solicitud de información pudiera obrar en la documentación que generó el Sujeto Obligado</w:t>
      </w:r>
      <w:r w:rsidR="00DB7AA9">
        <w:rPr>
          <w:rFonts w:ascii="Palatino Linotype" w:eastAsia="Calibri" w:hAnsi="Palatino Linotype" w:cs="Times New Roman"/>
          <w:sz w:val="24"/>
          <w:szCs w:val="24"/>
        </w:rPr>
        <w:t>.</w:t>
      </w:r>
    </w:p>
    <w:p w:rsidR="005B518C" w:rsidRDefault="005B518C" w:rsidP="005B518C">
      <w:pPr>
        <w:pStyle w:val="Sinespaciado"/>
        <w:spacing w:line="360" w:lineRule="auto"/>
        <w:jc w:val="both"/>
        <w:rPr>
          <w:rFonts w:ascii="Palatino Linotype" w:hAnsi="Palatino Linotype" w:cs="Arial"/>
        </w:rPr>
      </w:pPr>
    </w:p>
    <w:p w:rsidR="005B518C" w:rsidRPr="00281F5A" w:rsidRDefault="005B518C" w:rsidP="005B518C">
      <w:pPr>
        <w:spacing w:after="240" w:line="360" w:lineRule="auto"/>
        <w:ind w:right="142"/>
        <w:jc w:val="both"/>
        <w:rPr>
          <w:rFonts w:ascii="Palatino Linotype" w:eastAsia="Times New Roman" w:hAnsi="Palatino Linotype" w:cs="Times New Roman"/>
          <w:sz w:val="24"/>
          <w:szCs w:val="24"/>
          <w:lang w:val="es-ES_tradnl" w:eastAsia="es-ES"/>
        </w:rPr>
      </w:pPr>
      <w:r>
        <w:rPr>
          <w:rFonts w:ascii="Palatino Linotype" w:hAnsi="Palatino Linotype"/>
          <w:sz w:val="24"/>
          <w:szCs w:val="24"/>
          <w:lang w:eastAsia="es-MX"/>
        </w:rPr>
        <w:t xml:space="preserve">Aunado a lo anterior, cabe señalar que la información referida forma parte de las Obligaciones de Transparencia Comunes del </w:t>
      </w:r>
      <w:r w:rsidRPr="00297D5B">
        <w:rPr>
          <w:rFonts w:ascii="Palatino Linotype" w:hAnsi="Palatino Linotype"/>
          <w:b/>
          <w:sz w:val="24"/>
          <w:szCs w:val="24"/>
          <w:lang w:eastAsia="es-MX"/>
        </w:rPr>
        <w:t>Sujeto Obligado</w:t>
      </w:r>
      <w:r>
        <w:rPr>
          <w:rFonts w:ascii="Palatino Linotype" w:hAnsi="Palatino Linotype"/>
          <w:sz w:val="24"/>
          <w:szCs w:val="24"/>
          <w:lang w:eastAsia="es-MX"/>
        </w:rPr>
        <w:t>,</w:t>
      </w:r>
      <w:r>
        <w:rPr>
          <w:rFonts w:ascii="Palatino Linotype" w:eastAsia="Times New Roman" w:hAnsi="Palatino Linotype" w:cs="Times New Roman"/>
          <w:sz w:val="24"/>
          <w:szCs w:val="24"/>
          <w:lang w:eastAsia="es-MX"/>
        </w:rPr>
        <w:t xml:space="preserve"> lo que nos </w:t>
      </w:r>
      <w:r w:rsidRPr="00643C1D">
        <w:rPr>
          <w:rFonts w:ascii="Palatino Linotype" w:eastAsia="Times New Roman" w:hAnsi="Palatino Linotype" w:cs="Times New Roman"/>
          <w:sz w:val="24"/>
          <w:szCs w:val="24"/>
          <w:lang w:val="es-ES_tradnl" w:eastAsia="es-ES"/>
        </w:rPr>
        <w:t>permite traer a colación lo</w:t>
      </w:r>
      <w:r w:rsidR="00DB7AA9">
        <w:rPr>
          <w:rFonts w:ascii="Palatino Linotype" w:eastAsia="Times New Roman" w:hAnsi="Palatino Linotype" w:cs="Times New Roman"/>
          <w:sz w:val="24"/>
          <w:szCs w:val="24"/>
          <w:lang w:val="es-ES_tradnl" w:eastAsia="es-ES"/>
        </w:rPr>
        <w:t xml:space="preserve"> dispuesto por la fracción</w:t>
      </w:r>
      <w:r>
        <w:rPr>
          <w:rFonts w:ascii="Palatino Linotype" w:eastAsia="Times New Roman" w:hAnsi="Palatino Linotype" w:cs="Times New Roman"/>
          <w:sz w:val="24"/>
          <w:szCs w:val="24"/>
          <w:lang w:val="es-ES_tradnl" w:eastAsia="es-ES"/>
        </w:rPr>
        <w:t xml:space="preserve"> </w:t>
      </w:r>
      <w:r w:rsidR="00FA480F">
        <w:rPr>
          <w:rFonts w:ascii="Palatino Linotype" w:eastAsia="Times New Roman" w:hAnsi="Palatino Linotype" w:cs="Times New Roman"/>
          <w:sz w:val="24"/>
          <w:szCs w:val="24"/>
          <w:lang w:val="es-ES_tradnl" w:eastAsia="es-ES"/>
        </w:rPr>
        <w:t>XL</w:t>
      </w:r>
      <w:r>
        <w:rPr>
          <w:rFonts w:ascii="Palatino Linotype" w:eastAsia="Times New Roman" w:hAnsi="Palatino Linotype" w:cs="Times New Roman"/>
          <w:sz w:val="24"/>
          <w:szCs w:val="24"/>
          <w:lang w:val="es-ES_tradnl" w:eastAsia="es-ES"/>
        </w:rPr>
        <w:t xml:space="preserve"> </w:t>
      </w:r>
      <w:r w:rsidRPr="00643C1D">
        <w:rPr>
          <w:rFonts w:ascii="Palatino Linotype" w:eastAsia="Times New Roman" w:hAnsi="Palatino Linotype" w:cs="Times New Roman"/>
          <w:sz w:val="24"/>
          <w:szCs w:val="24"/>
          <w:lang w:val="es-ES_tradnl" w:eastAsia="es-ES"/>
        </w:rPr>
        <w:t>del artículo 92 de la Ley de Transparencia y Acceso a la Información Pública del Estado de México y Municipios en el cual se aprecia lo siguiente:</w:t>
      </w:r>
    </w:p>
    <w:p w:rsidR="005B518C" w:rsidRPr="00643C1D" w:rsidRDefault="005B518C" w:rsidP="005B518C">
      <w:pPr>
        <w:tabs>
          <w:tab w:val="left" w:pos="851"/>
        </w:tabs>
        <w:spacing w:before="120" w:after="120"/>
        <w:ind w:left="709" w:right="709"/>
        <w:jc w:val="both"/>
        <w:rPr>
          <w:rFonts w:ascii="Palatino Linotype" w:hAnsi="Palatino Linotype" w:cs="Arial"/>
          <w:i/>
        </w:rPr>
      </w:pPr>
      <w:r w:rsidRPr="00643C1D">
        <w:rPr>
          <w:rFonts w:ascii="Palatino Linotype" w:hAnsi="Palatino Linotype" w:cs="Arial"/>
          <w:i/>
        </w:rPr>
        <w:t>“</w:t>
      </w:r>
      <w:r w:rsidRPr="00643C1D">
        <w:rPr>
          <w:rFonts w:ascii="Palatino Linotype" w:hAnsi="Palatino Linotype" w:cs="Arial"/>
          <w:b/>
          <w:i/>
        </w:rPr>
        <w:t>Artículo 92</w:t>
      </w:r>
      <w:r w:rsidRPr="00643C1D">
        <w:rPr>
          <w:rFonts w:ascii="Palatino Linotype" w:hAnsi="Palatino Linotype" w:cs="Arial"/>
          <w:i/>
        </w:rPr>
        <w:t xml:space="preserve">. </w:t>
      </w:r>
      <w:r w:rsidRPr="00643C1D">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643C1D">
        <w:rPr>
          <w:rFonts w:ascii="Palatino Linotype" w:hAnsi="Palatino Linotype" w:cs="Arial"/>
          <w:i/>
        </w:rPr>
        <w:t xml:space="preserve">, de acuerdo con sus facultades, atribuciones, funciones u objeto social, según corresponda, la información, </w:t>
      </w:r>
      <w:r w:rsidRPr="00643C1D">
        <w:rPr>
          <w:rFonts w:ascii="Palatino Linotype" w:hAnsi="Palatino Linotype" w:cs="Arial"/>
          <w:b/>
          <w:i/>
          <w:u w:val="single"/>
        </w:rPr>
        <w:t>por lo menos, de los temas, documentos y políticas que a continuación se señalan</w:t>
      </w:r>
      <w:r w:rsidRPr="00643C1D">
        <w:rPr>
          <w:rFonts w:ascii="Palatino Linotype" w:hAnsi="Palatino Linotype" w:cs="Arial"/>
          <w:i/>
        </w:rPr>
        <w:t>:</w:t>
      </w:r>
    </w:p>
    <w:p w:rsidR="005B518C" w:rsidRDefault="005B518C" w:rsidP="005B518C">
      <w:pPr>
        <w:tabs>
          <w:tab w:val="left" w:pos="851"/>
        </w:tabs>
        <w:spacing w:before="120" w:after="120"/>
        <w:ind w:left="851" w:right="709"/>
        <w:jc w:val="both"/>
        <w:rPr>
          <w:rFonts w:ascii="Palatino Linotype" w:hAnsi="Palatino Linotype"/>
          <w:b/>
          <w:i/>
        </w:rPr>
      </w:pPr>
    </w:p>
    <w:p w:rsidR="005B518C" w:rsidRPr="00FA480F" w:rsidRDefault="00FA480F" w:rsidP="00FA480F">
      <w:pPr>
        <w:autoSpaceDE w:val="0"/>
        <w:autoSpaceDN w:val="0"/>
        <w:adjustRightInd w:val="0"/>
        <w:spacing w:before="240" w:line="360" w:lineRule="auto"/>
        <w:jc w:val="both"/>
        <w:rPr>
          <w:rFonts w:ascii="Palatino Linotype" w:eastAsia="Calibri" w:hAnsi="Palatino Linotype" w:cs="Times New Roman"/>
          <w:b/>
          <w:i/>
        </w:rPr>
      </w:pPr>
      <w:r>
        <w:rPr>
          <w:rFonts w:ascii="Palatino Linotype" w:eastAsia="Calibri" w:hAnsi="Palatino Linotype" w:cs="Times New Roman"/>
          <w:b/>
          <w:i/>
        </w:rPr>
        <w:t xml:space="preserve">XL. </w:t>
      </w:r>
      <w:r w:rsidRPr="00FA480F">
        <w:rPr>
          <w:rFonts w:ascii="Palatino Linotype" w:eastAsia="Calibri" w:hAnsi="Palatino Linotype" w:cs="Times New Roman"/>
          <w:i/>
          <w:u w:val="single"/>
        </w:rPr>
        <w:t>Las resoluciones y laudos que se emitan en procesos o procedimient</w:t>
      </w:r>
      <w:r w:rsidR="00271A47">
        <w:rPr>
          <w:rFonts w:ascii="Palatino Linotype" w:eastAsia="Calibri" w:hAnsi="Palatino Linotype" w:cs="Times New Roman"/>
          <w:i/>
          <w:u w:val="single"/>
        </w:rPr>
        <w:t>os seguidos en forma de juicio;”</w:t>
      </w:r>
      <w:r w:rsidR="00EE3FBD" w:rsidRPr="00FA480F">
        <w:rPr>
          <w:rFonts w:ascii="Palatino Linotype" w:eastAsia="Times New Roman" w:hAnsi="Palatino Linotype" w:cs="Times New Roman"/>
          <w:sz w:val="24"/>
          <w:szCs w:val="24"/>
          <w:u w:val="single"/>
          <w:lang w:val="es-ES_tradnl" w:eastAsia="es-ES"/>
        </w:rPr>
        <w:t xml:space="preserve">                                                                                                                                                        </w:t>
      </w:r>
    </w:p>
    <w:p w:rsidR="00FA480F" w:rsidRDefault="00FA480F" w:rsidP="005B518C">
      <w:pPr>
        <w:spacing w:after="0" w:line="360" w:lineRule="auto"/>
        <w:jc w:val="both"/>
        <w:rPr>
          <w:rFonts w:ascii="Palatino Linotype" w:hAnsi="Palatino Linotype"/>
          <w:sz w:val="24"/>
          <w:szCs w:val="24"/>
        </w:rPr>
      </w:pPr>
    </w:p>
    <w:p w:rsidR="00271A47" w:rsidRPr="00271A47" w:rsidRDefault="00271A47" w:rsidP="00271A47">
      <w:pPr>
        <w:tabs>
          <w:tab w:val="left" w:pos="851"/>
        </w:tabs>
        <w:spacing w:before="120" w:after="120"/>
        <w:ind w:left="709" w:right="709"/>
        <w:jc w:val="both"/>
        <w:rPr>
          <w:rFonts w:ascii="Palatino Linotype" w:hAnsi="Palatino Linotype" w:cs="Arial"/>
          <w:i/>
        </w:rPr>
      </w:pPr>
    </w:p>
    <w:p w:rsidR="00FA480F" w:rsidRDefault="00FA480F" w:rsidP="005B518C">
      <w:pPr>
        <w:spacing w:after="0" w:line="360" w:lineRule="auto"/>
        <w:jc w:val="both"/>
        <w:rPr>
          <w:rFonts w:ascii="Palatino Linotype" w:hAnsi="Palatino Linotype"/>
          <w:sz w:val="24"/>
          <w:szCs w:val="24"/>
        </w:rPr>
      </w:pPr>
    </w:p>
    <w:p w:rsidR="005B518C" w:rsidRDefault="005B518C" w:rsidP="005B518C">
      <w:pPr>
        <w:spacing w:after="0" w:line="360" w:lineRule="auto"/>
        <w:jc w:val="both"/>
        <w:rPr>
          <w:rFonts w:ascii="Palatino Linotype" w:hAnsi="Palatino Linotype" w:cs="Arial"/>
          <w:sz w:val="24"/>
          <w:szCs w:val="24"/>
        </w:rPr>
      </w:pPr>
      <w:r w:rsidRPr="00643C1D">
        <w:rPr>
          <w:rFonts w:ascii="Palatino Linotype" w:hAnsi="Palatino Linotype"/>
          <w:sz w:val="24"/>
          <w:szCs w:val="24"/>
        </w:rPr>
        <w:t>De</w:t>
      </w:r>
      <w:r>
        <w:rPr>
          <w:rFonts w:ascii="Palatino Linotype" w:hAnsi="Palatino Linotype"/>
          <w:sz w:val="24"/>
          <w:szCs w:val="24"/>
        </w:rPr>
        <w:t>l</w:t>
      </w:r>
      <w:r w:rsidRPr="00643C1D">
        <w:rPr>
          <w:rFonts w:ascii="Palatino Linotype" w:hAnsi="Palatino Linotype"/>
          <w:sz w:val="24"/>
          <w:szCs w:val="24"/>
        </w:rPr>
        <w:t xml:space="preserve"> numeral</w:t>
      </w:r>
      <w:r>
        <w:rPr>
          <w:rFonts w:ascii="Palatino Linotype" w:hAnsi="Palatino Linotype"/>
          <w:sz w:val="24"/>
          <w:szCs w:val="24"/>
        </w:rPr>
        <w:t xml:space="preserve"> citado</w:t>
      </w:r>
      <w:r w:rsidRPr="00643C1D">
        <w:rPr>
          <w:rFonts w:ascii="Palatino Linotype" w:hAnsi="Palatino Linotype"/>
          <w:sz w:val="24"/>
          <w:szCs w:val="24"/>
        </w:rPr>
        <w:t xml:space="preserve">, se observa que </w:t>
      </w:r>
      <w:r w:rsidRPr="00643C1D">
        <w:rPr>
          <w:rFonts w:ascii="Palatino Linotype" w:hAnsi="Palatino Linotype" w:cs="Arial"/>
          <w:sz w:val="24"/>
          <w:szCs w:val="24"/>
          <w:lang w:eastAsia="es-MX"/>
        </w:rPr>
        <w:t xml:space="preserve">la información solicitada forma parte de las Obligaciones de Transparencia Comunes de los Sujetos Obligados, las cuales deben </w:t>
      </w:r>
      <w:r w:rsidRPr="00643C1D">
        <w:rPr>
          <w:rFonts w:ascii="Palatino Linotype" w:hAnsi="Palatino Linotype" w:cs="Arial"/>
          <w:sz w:val="24"/>
          <w:szCs w:val="24"/>
        </w:rPr>
        <w:t>poner a disposición de manera permanente y actualizada en los respectivos medios electrónicos</w:t>
      </w:r>
      <w:r>
        <w:rPr>
          <w:rFonts w:ascii="Palatino Linotype" w:hAnsi="Palatino Linotype" w:cs="Arial"/>
          <w:sz w:val="24"/>
          <w:szCs w:val="24"/>
        </w:rPr>
        <w:t xml:space="preserve">, como lo es </w:t>
      </w:r>
      <w:r w:rsidRPr="00FC531E">
        <w:rPr>
          <w:rFonts w:ascii="Palatino Linotype" w:hAnsi="Palatino Linotype" w:cs="Arial"/>
          <w:sz w:val="24"/>
          <w:szCs w:val="24"/>
        </w:rPr>
        <w:t>el portal de Información Públic</w:t>
      </w:r>
      <w:r>
        <w:rPr>
          <w:rFonts w:ascii="Palatino Linotype" w:hAnsi="Palatino Linotype" w:cs="Arial"/>
          <w:sz w:val="24"/>
          <w:szCs w:val="24"/>
        </w:rPr>
        <w:t>a de Oficio Mexiquense (IPOMEX) y por tanto el Sujeto Obligado es</w:t>
      </w:r>
      <w:r w:rsidRPr="00E44607">
        <w:t xml:space="preserve"> </w:t>
      </w:r>
      <w:r w:rsidRPr="00E44607">
        <w:rPr>
          <w:rFonts w:ascii="Palatino Linotype" w:hAnsi="Palatino Linotype" w:cs="Arial"/>
          <w:sz w:val="24"/>
          <w:szCs w:val="24"/>
        </w:rPr>
        <w:t>competente para conocer de la información requerida</w:t>
      </w:r>
      <w:r>
        <w:rPr>
          <w:rFonts w:ascii="Palatino Linotype" w:hAnsi="Palatino Linotype" w:cs="Arial"/>
          <w:sz w:val="24"/>
          <w:szCs w:val="24"/>
        </w:rPr>
        <w:t>.</w:t>
      </w:r>
    </w:p>
    <w:p w:rsidR="005B518C" w:rsidRDefault="005B518C" w:rsidP="00875DC4">
      <w:pPr>
        <w:spacing w:line="360" w:lineRule="auto"/>
        <w:jc w:val="both"/>
        <w:rPr>
          <w:rFonts w:ascii="Palatino Linotype" w:eastAsia="Calibri" w:hAnsi="Palatino Linotype" w:cs="Tahoma"/>
          <w:lang w:eastAsia="es-ES_tradnl"/>
        </w:rPr>
      </w:pPr>
    </w:p>
    <w:p w:rsidR="00875DC4" w:rsidRPr="00401946" w:rsidRDefault="00875DC4" w:rsidP="00875DC4">
      <w:pPr>
        <w:spacing w:line="360" w:lineRule="auto"/>
        <w:ind w:right="-93"/>
        <w:jc w:val="both"/>
        <w:rPr>
          <w:rFonts w:ascii="Palatino Linotype" w:hAnsi="Palatino Linotype" w:cs="Tahoma"/>
          <w:b/>
        </w:rPr>
      </w:pPr>
      <w:r w:rsidRPr="00401946">
        <w:rPr>
          <w:rFonts w:ascii="Palatino Linotype" w:hAnsi="Palatino Linotype" w:cs="Tahoma"/>
          <w:b/>
        </w:rPr>
        <w:t>Versión Pública</w:t>
      </w:r>
    </w:p>
    <w:p w:rsidR="00875DC4" w:rsidRPr="00401946" w:rsidRDefault="00875DC4" w:rsidP="00875DC4">
      <w:pPr>
        <w:spacing w:line="360" w:lineRule="auto"/>
        <w:ind w:right="-93"/>
        <w:jc w:val="both"/>
        <w:rPr>
          <w:rFonts w:ascii="Palatino Linotype" w:eastAsia="Calibri" w:hAnsi="Palatino Linotype" w:cs="Tahoma"/>
          <w:bCs/>
          <w:iCs/>
          <w:lang w:eastAsia="es-ES_tradnl"/>
        </w:rPr>
      </w:pPr>
    </w:p>
    <w:p w:rsidR="00875DC4" w:rsidRDefault="00875DC4" w:rsidP="00875DC4">
      <w:pPr>
        <w:spacing w:line="360" w:lineRule="auto"/>
        <w:ind w:right="-93"/>
        <w:jc w:val="both"/>
        <w:rPr>
          <w:rFonts w:ascii="Palatino Linotype" w:eastAsia="Calibri" w:hAnsi="Palatino Linotype" w:cs="Tahoma"/>
          <w:bCs/>
          <w:iCs/>
          <w:lang w:eastAsia="es-ES_tradnl"/>
        </w:rPr>
      </w:pPr>
      <w:r w:rsidRPr="00401946">
        <w:rPr>
          <w:rFonts w:ascii="Palatino Linotype" w:eastAsia="Calibri" w:hAnsi="Palatino Linotype" w:cs="Tahoma"/>
          <w:bCs/>
          <w:iCs/>
          <w:lang w:eastAsia="es-ES_tradnl"/>
        </w:rPr>
        <w:t xml:space="preserve">No se deja de lado que, es </w:t>
      </w:r>
      <w:r w:rsidRPr="00401946">
        <w:rPr>
          <w:rFonts w:ascii="Palatino Linotype" w:eastAsia="Calibri" w:hAnsi="Palatino Linotype" w:cs="Tahoma"/>
          <w:bCs/>
          <w:lang w:val="es-ES_tradnl"/>
        </w:rPr>
        <w:t>posible</w:t>
      </w:r>
      <w:r w:rsidRPr="00401946">
        <w:rPr>
          <w:rFonts w:ascii="Palatino Linotype" w:eastAsia="Calibri" w:hAnsi="Palatino Linotype" w:cs="Tahoma"/>
          <w:bCs/>
          <w:iCs/>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875DC4" w:rsidRDefault="00875DC4" w:rsidP="00875DC4">
      <w:pPr>
        <w:spacing w:line="360" w:lineRule="auto"/>
        <w:ind w:right="-93"/>
        <w:jc w:val="both"/>
        <w:rPr>
          <w:rFonts w:ascii="Palatino Linotype" w:eastAsia="Calibri" w:hAnsi="Palatino Linotype" w:cs="Tahoma"/>
          <w:bCs/>
          <w:iCs/>
          <w:lang w:eastAsia="es-ES_tradnl"/>
        </w:rPr>
      </w:pPr>
    </w:p>
    <w:p w:rsidR="00875DC4" w:rsidRPr="00261227" w:rsidRDefault="00BB22AE" w:rsidP="00875DC4">
      <w:pPr>
        <w:tabs>
          <w:tab w:val="left" w:pos="4962"/>
        </w:tabs>
        <w:spacing w:line="360" w:lineRule="auto"/>
        <w:jc w:val="both"/>
        <w:rPr>
          <w:rFonts w:ascii="Palatino Linotype" w:eastAsia="Calibri" w:hAnsi="Palatino Linotype" w:cs="Tahoma"/>
          <w:b/>
          <w:iCs/>
          <w:lang w:eastAsia="es-ES_tradnl"/>
        </w:rPr>
      </w:pPr>
      <w:r w:rsidRPr="00DA4E2B">
        <w:rPr>
          <w:rFonts w:ascii="Palatino Linotype" w:eastAsia="Calibri" w:hAnsi="Palatino Linotype" w:cs="Tahoma"/>
          <w:b/>
          <w:iCs/>
          <w:sz w:val="24"/>
          <w:lang w:eastAsia="es-ES_tradnl"/>
        </w:rPr>
        <w:t>QUINTO</w:t>
      </w:r>
      <w:r w:rsidR="00875DC4" w:rsidRPr="00DA4E2B">
        <w:rPr>
          <w:rFonts w:ascii="Palatino Linotype" w:eastAsia="Calibri" w:hAnsi="Palatino Linotype" w:cs="Tahoma"/>
          <w:b/>
          <w:iCs/>
          <w:sz w:val="24"/>
          <w:lang w:eastAsia="es-ES_tradnl"/>
        </w:rPr>
        <w:t>. Vista a la Contraloría Interna y Órgano de Control y Vigilancia.</w:t>
      </w:r>
      <w:r w:rsidR="00875DC4" w:rsidRPr="00261227">
        <w:rPr>
          <w:rFonts w:ascii="Palatino Linotype" w:eastAsia="Calibri" w:hAnsi="Palatino Linotype" w:cs="Tahoma"/>
          <w:b/>
          <w:iCs/>
          <w:lang w:eastAsia="es-ES_tradnl"/>
        </w:rPr>
        <w:t xml:space="preserve"> </w:t>
      </w:r>
    </w:p>
    <w:p w:rsidR="00875DC4" w:rsidRDefault="00875DC4" w:rsidP="00875DC4">
      <w:pPr>
        <w:spacing w:line="360" w:lineRule="auto"/>
        <w:ind w:right="-93"/>
        <w:jc w:val="both"/>
        <w:rPr>
          <w:rFonts w:ascii="Palatino Linotype" w:hAnsi="Palatino Linotype" w:cs="Tahoma"/>
        </w:rPr>
      </w:pPr>
    </w:p>
    <w:p w:rsidR="00875DC4" w:rsidRPr="001E0D8F" w:rsidRDefault="00875DC4" w:rsidP="00875DC4">
      <w:pPr>
        <w:spacing w:line="360" w:lineRule="auto"/>
        <w:ind w:right="-93"/>
        <w:jc w:val="both"/>
        <w:rPr>
          <w:rFonts w:ascii="Palatino Linotype" w:hAnsi="Palatino Linotype" w:cs="Tahoma"/>
        </w:rPr>
      </w:pPr>
      <w:r w:rsidRPr="001E0D8F">
        <w:rPr>
          <w:rFonts w:ascii="Palatino Linotype" w:hAnsi="Palatino Linotype" w:cs="Tahoma"/>
        </w:rPr>
        <w:lastRenderedPageBreak/>
        <w:t xml:space="preserve">En el caso en estudio, ha quedado acreditado que el </w:t>
      </w:r>
      <w:r>
        <w:rPr>
          <w:rFonts w:ascii="Palatino Linotype" w:eastAsia="Calibri" w:hAnsi="Palatino Linotype" w:cs="Tahoma"/>
          <w:iCs/>
          <w:lang w:val="es-ES" w:eastAsia="es-ES_tradnl"/>
        </w:rPr>
        <w:t xml:space="preserve">Ayuntamiento de </w:t>
      </w:r>
      <w:r w:rsidR="00441515">
        <w:rPr>
          <w:rFonts w:ascii="Palatino Linotype" w:eastAsia="Calibri" w:hAnsi="Palatino Linotype" w:cs="Tahoma"/>
          <w:iCs/>
          <w:lang w:val="es-ES" w:eastAsia="es-ES_tradnl"/>
        </w:rPr>
        <w:t>Ecatepec de Morelos</w:t>
      </w:r>
      <w:r>
        <w:rPr>
          <w:rFonts w:ascii="Palatino Linotype" w:eastAsia="Calibri" w:hAnsi="Palatino Linotype" w:cs="Tahoma"/>
          <w:iCs/>
          <w:lang w:val="es-ES" w:eastAsia="es-ES_tradnl"/>
        </w:rPr>
        <w:t xml:space="preserve"> </w:t>
      </w:r>
      <w:r>
        <w:rPr>
          <w:rFonts w:ascii="Palatino Linotype" w:hAnsi="Palatino Linotype" w:cs="Tahoma"/>
        </w:rPr>
        <w:t>omitió dar</w:t>
      </w:r>
      <w:r w:rsidRPr="001E0D8F">
        <w:rPr>
          <w:rFonts w:ascii="Palatino Linotype" w:hAnsi="Palatino Linotype" w:cs="Tahoma"/>
        </w:rPr>
        <w:t xml:space="preserve"> respuesta en el plazo señalado en el artículo 163 de la Ley de Transparencia y Acceso a la Información Pública del Estado de México y Municipios.</w:t>
      </w:r>
    </w:p>
    <w:p w:rsidR="00875DC4" w:rsidRPr="001E0D8F" w:rsidRDefault="00875DC4" w:rsidP="00875DC4">
      <w:pPr>
        <w:spacing w:line="360" w:lineRule="auto"/>
        <w:ind w:right="-93"/>
        <w:jc w:val="both"/>
        <w:rPr>
          <w:rFonts w:ascii="Palatino Linotype" w:hAnsi="Palatino Linotype" w:cs="Tahoma"/>
        </w:rPr>
      </w:pPr>
    </w:p>
    <w:p w:rsidR="00875DC4" w:rsidRDefault="00875DC4" w:rsidP="00875DC4">
      <w:pPr>
        <w:spacing w:line="360" w:lineRule="auto"/>
        <w:ind w:right="-93"/>
        <w:jc w:val="both"/>
        <w:rPr>
          <w:rFonts w:ascii="Palatino Linotype" w:eastAsia="Calibri" w:hAnsi="Palatino Linotype" w:cs="Tahoma"/>
          <w:bCs/>
        </w:rPr>
      </w:pPr>
      <w:r w:rsidRPr="001E0D8F">
        <w:rPr>
          <w:rFonts w:ascii="Palatino Linotype" w:hAnsi="Palatino Linotype" w:cs="Tahoma"/>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rsidR="00875DC4" w:rsidRPr="001E0D8F" w:rsidRDefault="00875DC4" w:rsidP="00875DC4">
      <w:pPr>
        <w:spacing w:line="360" w:lineRule="auto"/>
        <w:ind w:right="-93"/>
        <w:jc w:val="both"/>
        <w:rPr>
          <w:rFonts w:ascii="Palatino Linotype" w:eastAsia="Calibri" w:hAnsi="Palatino Linotype" w:cs="Tahoma"/>
          <w:bCs/>
        </w:rPr>
      </w:pPr>
    </w:p>
    <w:p w:rsidR="00875DC4" w:rsidRPr="001E0D8F" w:rsidRDefault="00875DC4" w:rsidP="00875DC4">
      <w:pPr>
        <w:spacing w:line="360" w:lineRule="auto"/>
        <w:ind w:right="-93"/>
        <w:jc w:val="both"/>
        <w:rPr>
          <w:rFonts w:ascii="Palatino Linotype" w:eastAsia="Calibri" w:hAnsi="Palatino Linotype" w:cs="Tahoma"/>
          <w:bCs/>
        </w:rPr>
      </w:pPr>
      <w:r w:rsidRPr="001E0D8F">
        <w:rPr>
          <w:rFonts w:ascii="Palatino Linotype" w:eastAsia="Calibri" w:hAnsi="Palatino Linotype"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875DC4" w:rsidRPr="001E0D8F" w:rsidRDefault="00875DC4" w:rsidP="00875DC4">
      <w:pPr>
        <w:spacing w:line="360" w:lineRule="auto"/>
        <w:ind w:right="-93"/>
        <w:jc w:val="both"/>
        <w:rPr>
          <w:rFonts w:ascii="Palatino Linotype" w:eastAsia="Calibri" w:hAnsi="Palatino Linotype" w:cs="Tahoma"/>
          <w:bCs/>
        </w:rPr>
      </w:pPr>
    </w:p>
    <w:p w:rsidR="00875DC4" w:rsidRPr="001E0D8F" w:rsidRDefault="00875DC4" w:rsidP="00875DC4">
      <w:pPr>
        <w:spacing w:line="360" w:lineRule="auto"/>
        <w:ind w:right="-93"/>
        <w:jc w:val="both"/>
        <w:rPr>
          <w:rFonts w:ascii="Palatino Linotype" w:eastAsia="Calibri" w:hAnsi="Palatino Linotype" w:cs="Tahoma"/>
          <w:bCs/>
        </w:rPr>
      </w:pPr>
      <w:r w:rsidRPr="001E0D8F">
        <w:rPr>
          <w:rFonts w:ascii="Palatino Linotype" w:eastAsia="Calibri" w:hAnsi="Palatino Linotype"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lang w:val="es-ES_tradnl"/>
        </w:rPr>
        <w:t>al Contralor Interno y Titular del Órgano de Control y Vigilancia de este Instituto</w:t>
      </w:r>
      <w:r w:rsidRPr="001E0D8F">
        <w:rPr>
          <w:rFonts w:ascii="Palatino Linotype" w:eastAsia="Calibri" w:hAnsi="Palatino Linotype" w:cs="Tahoma"/>
          <w:bCs/>
        </w:rPr>
        <w:t>.</w:t>
      </w:r>
    </w:p>
    <w:p w:rsidR="00875DC4" w:rsidRDefault="00875DC4" w:rsidP="00875DC4">
      <w:pPr>
        <w:tabs>
          <w:tab w:val="left" w:pos="4962"/>
        </w:tabs>
        <w:spacing w:line="360" w:lineRule="auto"/>
        <w:jc w:val="both"/>
        <w:rPr>
          <w:rFonts w:ascii="Palatino Linotype" w:eastAsia="Calibri" w:hAnsi="Palatino Linotype" w:cs="Tahoma"/>
          <w:lang w:eastAsia="es-ES_tradnl"/>
        </w:rPr>
      </w:pPr>
    </w:p>
    <w:p w:rsidR="00124810" w:rsidRPr="00651AE7" w:rsidRDefault="00875DC4" w:rsidP="00651AE7">
      <w:pPr>
        <w:spacing w:line="360" w:lineRule="auto"/>
        <w:jc w:val="both"/>
        <w:rPr>
          <w:rFonts w:ascii="Palatino Linotype" w:hAnsi="Palatino Linotype" w:cs="Tahoma"/>
        </w:rPr>
      </w:pPr>
      <w:r w:rsidRPr="00AF6580">
        <w:rPr>
          <w:rFonts w:ascii="Palatino Linotype" w:hAnsi="Palatino Linotype" w:cs="Tahoma"/>
        </w:rPr>
        <w:t xml:space="preserve">Por lo antes expuesto y fundado. </w:t>
      </w:r>
    </w:p>
    <w:p w:rsidR="00EF4493" w:rsidRPr="00D3389F" w:rsidRDefault="00EF4493" w:rsidP="00EF4493">
      <w:pPr>
        <w:spacing w:before="240" w:after="240" w:line="360" w:lineRule="auto"/>
        <w:jc w:val="center"/>
        <w:rPr>
          <w:rFonts w:ascii="Palatino Linotype" w:hAnsi="Palatino Linotype"/>
          <w:b/>
          <w:spacing w:val="60"/>
          <w:sz w:val="28"/>
          <w:szCs w:val="24"/>
        </w:rPr>
      </w:pPr>
      <w:r w:rsidRPr="00D3389F">
        <w:rPr>
          <w:rFonts w:ascii="Palatino Linotype" w:hAnsi="Palatino Linotype"/>
          <w:b/>
          <w:spacing w:val="60"/>
          <w:sz w:val="24"/>
          <w:szCs w:val="24"/>
        </w:rPr>
        <w:lastRenderedPageBreak/>
        <w:t>S E  RESUELVE</w:t>
      </w:r>
    </w:p>
    <w:p w:rsidR="0019756E" w:rsidRPr="001A4779" w:rsidRDefault="0019756E" w:rsidP="0019756E">
      <w:pPr>
        <w:shd w:val="clear" w:color="auto" w:fill="FFFFFF" w:themeFill="background1"/>
        <w:spacing w:line="360" w:lineRule="auto"/>
        <w:jc w:val="both"/>
        <w:rPr>
          <w:rFonts w:ascii="Palatino Linotype" w:eastAsia="Calibri" w:hAnsi="Palatino Linotype" w:cs="Tahoma"/>
          <w:bCs/>
          <w:sz w:val="24"/>
          <w:szCs w:val="24"/>
        </w:rPr>
      </w:pPr>
      <w:r w:rsidRPr="00D3389F">
        <w:rPr>
          <w:rFonts w:ascii="Palatino Linotype" w:hAnsi="Palatino Linotype" w:cs="Tahoma"/>
          <w:b/>
          <w:bCs/>
          <w:sz w:val="28"/>
          <w:szCs w:val="24"/>
        </w:rPr>
        <w:t xml:space="preserve">PRIMERO. </w:t>
      </w:r>
      <w:r w:rsidR="001A4779">
        <w:rPr>
          <w:rFonts w:ascii="Palatino Linotype" w:eastAsia="Calibri" w:hAnsi="Palatino Linotype" w:cs="Tahoma"/>
          <w:bCs/>
          <w:sz w:val="24"/>
          <w:szCs w:val="24"/>
        </w:rPr>
        <w:t xml:space="preserve">Resultan fundadas las razones y motivos de inconformidad hechos valer por el Recurrente en términos del considerando </w:t>
      </w:r>
      <w:r w:rsidR="00651AE7">
        <w:rPr>
          <w:rFonts w:ascii="Palatino Linotype" w:eastAsia="Calibri" w:hAnsi="Palatino Linotype" w:cs="Tahoma"/>
          <w:b/>
          <w:bCs/>
          <w:sz w:val="24"/>
          <w:szCs w:val="24"/>
        </w:rPr>
        <w:t>CUARTO</w:t>
      </w:r>
      <w:r w:rsidR="001A4779">
        <w:rPr>
          <w:rFonts w:ascii="Palatino Linotype" w:eastAsia="Calibri" w:hAnsi="Palatino Linotype" w:cs="Tahoma"/>
          <w:bCs/>
          <w:sz w:val="24"/>
          <w:szCs w:val="24"/>
        </w:rPr>
        <w:t xml:space="preserve"> de la presente resolución.</w:t>
      </w:r>
    </w:p>
    <w:p w:rsidR="0019756E" w:rsidRPr="00D3389F" w:rsidRDefault="0019756E" w:rsidP="0019756E">
      <w:pPr>
        <w:spacing w:line="360" w:lineRule="auto"/>
        <w:jc w:val="both"/>
        <w:rPr>
          <w:rFonts w:ascii="Palatino Linotype" w:hAnsi="Palatino Linotype" w:cs="Tahoma"/>
          <w:b/>
          <w:bCs/>
          <w:sz w:val="24"/>
          <w:szCs w:val="24"/>
        </w:rPr>
      </w:pPr>
    </w:p>
    <w:p w:rsidR="0019756E" w:rsidRPr="00D3389F" w:rsidRDefault="0019756E" w:rsidP="0019756E">
      <w:pPr>
        <w:spacing w:line="360" w:lineRule="auto"/>
        <w:ind w:right="-93"/>
        <w:jc w:val="both"/>
        <w:rPr>
          <w:rFonts w:ascii="Palatino Linotype" w:hAnsi="Palatino Linotype" w:cs="Tahoma"/>
          <w:sz w:val="24"/>
          <w:szCs w:val="24"/>
          <w:lang w:val="es-ES"/>
        </w:rPr>
      </w:pPr>
      <w:r w:rsidRPr="00D3389F">
        <w:rPr>
          <w:rFonts w:ascii="Palatino Linotype" w:eastAsia="Calibri" w:hAnsi="Palatino Linotype" w:cs="Tahoma"/>
          <w:b/>
          <w:bCs/>
          <w:sz w:val="28"/>
          <w:szCs w:val="24"/>
        </w:rPr>
        <w:t>SEGUNDO.</w:t>
      </w:r>
      <w:r w:rsidRPr="00D3389F">
        <w:rPr>
          <w:rFonts w:ascii="Palatino Linotype" w:eastAsia="Calibri" w:hAnsi="Palatino Linotype" w:cs="Tahoma"/>
          <w:sz w:val="28"/>
          <w:szCs w:val="24"/>
          <w:lang w:eastAsia="es-MX"/>
        </w:rPr>
        <w:t xml:space="preserve">  </w:t>
      </w:r>
      <w:r w:rsidRPr="00D3389F">
        <w:rPr>
          <w:rFonts w:ascii="Palatino Linotype" w:eastAsia="Calibri" w:hAnsi="Palatino Linotype" w:cs="Tahoma"/>
          <w:sz w:val="24"/>
          <w:szCs w:val="24"/>
          <w:lang w:eastAsia="es-MX"/>
        </w:rPr>
        <w:t xml:space="preserve">Se </w:t>
      </w:r>
      <w:r w:rsidRPr="00D3389F">
        <w:rPr>
          <w:rFonts w:ascii="Palatino Linotype" w:eastAsia="Calibri" w:hAnsi="Palatino Linotype" w:cs="Tahoma"/>
          <w:b/>
          <w:sz w:val="24"/>
          <w:szCs w:val="24"/>
          <w:lang w:eastAsia="es-MX"/>
        </w:rPr>
        <w:t xml:space="preserve">ORDENA </w:t>
      </w:r>
      <w:r w:rsidRPr="00D3389F">
        <w:rPr>
          <w:rFonts w:ascii="Palatino Linotype" w:eastAsia="Calibri" w:hAnsi="Palatino Linotype" w:cs="Tahoma"/>
          <w:sz w:val="24"/>
          <w:szCs w:val="24"/>
          <w:lang w:eastAsia="es-MX"/>
        </w:rPr>
        <w:t xml:space="preserve">al Sujeto Obligado, </w:t>
      </w:r>
      <w:r w:rsidR="001A4779">
        <w:rPr>
          <w:rFonts w:ascii="Palatino Linotype" w:eastAsia="Calibri" w:hAnsi="Palatino Linotype" w:cs="Tahoma"/>
          <w:sz w:val="24"/>
          <w:szCs w:val="24"/>
          <w:lang w:eastAsia="es-MX"/>
        </w:rPr>
        <w:t>atienda la solicitud de información número</w:t>
      </w:r>
      <w:r w:rsidRPr="00D3389F">
        <w:rPr>
          <w:rFonts w:ascii="Palatino Linotype" w:hAnsi="Palatino Linotype" w:cs="Tahoma"/>
          <w:sz w:val="24"/>
          <w:szCs w:val="24"/>
        </w:rPr>
        <w:t xml:space="preserve"> </w:t>
      </w:r>
      <w:r w:rsidR="00DB7AA9" w:rsidRPr="00D3389F">
        <w:rPr>
          <w:rFonts w:ascii="Palatino Linotype" w:hAnsi="Palatino Linotype"/>
          <w:b/>
          <w:bCs/>
          <w:sz w:val="24"/>
          <w:szCs w:val="24"/>
        </w:rPr>
        <w:t>00480/CAPULHUA/IP/2019</w:t>
      </w:r>
      <w:r w:rsidR="001A4779">
        <w:rPr>
          <w:rFonts w:ascii="Palatino Linotype" w:hAnsi="Palatino Linotype" w:cs="Tahoma"/>
          <w:sz w:val="24"/>
          <w:szCs w:val="24"/>
        </w:rPr>
        <w:t xml:space="preserve"> </w:t>
      </w:r>
      <w:r w:rsidR="00651AE7">
        <w:rPr>
          <w:rFonts w:ascii="Palatino Linotype" w:hAnsi="Palatino Linotype" w:cs="Tahoma"/>
          <w:sz w:val="24"/>
          <w:szCs w:val="24"/>
        </w:rPr>
        <w:t xml:space="preserve">en términos del considerando </w:t>
      </w:r>
      <w:r w:rsidR="00651AE7">
        <w:rPr>
          <w:rFonts w:ascii="Palatino Linotype" w:hAnsi="Palatino Linotype" w:cs="Tahoma"/>
          <w:b/>
          <w:sz w:val="24"/>
          <w:szCs w:val="24"/>
        </w:rPr>
        <w:t xml:space="preserve">CUARTO </w:t>
      </w:r>
      <w:r w:rsidR="00651AE7">
        <w:rPr>
          <w:rFonts w:ascii="Palatino Linotype" w:hAnsi="Palatino Linotype" w:cs="Tahoma"/>
          <w:sz w:val="24"/>
          <w:szCs w:val="24"/>
        </w:rPr>
        <w:t>de esta resolución, vía Sistema de Acceso a la Información Mexiquense (SAIMEX).</w:t>
      </w:r>
    </w:p>
    <w:p w:rsidR="0019756E" w:rsidRPr="00D3389F" w:rsidRDefault="0019756E" w:rsidP="0019756E">
      <w:pPr>
        <w:tabs>
          <w:tab w:val="left" w:pos="4962"/>
        </w:tabs>
        <w:spacing w:line="360" w:lineRule="auto"/>
        <w:jc w:val="both"/>
        <w:rPr>
          <w:rFonts w:ascii="Palatino Linotype" w:eastAsia="Calibri" w:hAnsi="Palatino Linotype" w:cs="Tahoma"/>
          <w:bCs/>
          <w:sz w:val="24"/>
          <w:szCs w:val="24"/>
        </w:rPr>
      </w:pPr>
    </w:p>
    <w:p w:rsidR="0019756E" w:rsidRPr="00D3389F" w:rsidRDefault="0019756E" w:rsidP="0019756E">
      <w:pPr>
        <w:spacing w:line="360" w:lineRule="auto"/>
        <w:jc w:val="both"/>
        <w:rPr>
          <w:rFonts w:ascii="Palatino Linotype" w:hAnsi="Palatino Linotype" w:cs="Tahoma"/>
          <w:i/>
          <w:sz w:val="24"/>
          <w:szCs w:val="24"/>
        </w:rPr>
      </w:pPr>
      <w:r w:rsidRPr="00D3389F">
        <w:rPr>
          <w:rFonts w:ascii="Palatino Linotype" w:eastAsia="Calibri" w:hAnsi="Palatino Linotype" w:cs="Tahoma"/>
          <w:b/>
          <w:bCs/>
          <w:sz w:val="28"/>
          <w:szCs w:val="24"/>
        </w:rPr>
        <w:t xml:space="preserve">TERCERO. </w:t>
      </w:r>
      <w:r w:rsidRPr="00D3389F">
        <w:rPr>
          <w:rFonts w:ascii="Palatino Linotype" w:hAnsi="Palatino Linotype" w:cs="Tahoma"/>
          <w:b/>
          <w:sz w:val="24"/>
          <w:szCs w:val="24"/>
        </w:rPr>
        <w:t xml:space="preserve">NOTIFÍQUESE </w:t>
      </w:r>
      <w:r w:rsidRPr="00D3389F">
        <w:rPr>
          <w:rFonts w:ascii="Palatino Linotype" w:hAnsi="Palatino Linotype" w:cs="Tahoma"/>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9756E" w:rsidRPr="00D3389F" w:rsidRDefault="0019756E" w:rsidP="0019756E">
      <w:pPr>
        <w:shd w:val="clear" w:color="auto" w:fill="FFFFFF" w:themeFill="background1"/>
        <w:spacing w:line="360" w:lineRule="auto"/>
        <w:jc w:val="both"/>
        <w:rPr>
          <w:rFonts w:ascii="Palatino Linotype" w:eastAsia="Calibri" w:hAnsi="Palatino Linotype" w:cs="Tahoma"/>
          <w:sz w:val="24"/>
          <w:szCs w:val="24"/>
          <w:lang w:eastAsia="es-MX"/>
        </w:rPr>
      </w:pPr>
    </w:p>
    <w:p w:rsidR="0019756E" w:rsidRPr="00D3389F" w:rsidRDefault="0019756E" w:rsidP="0019756E">
      <w:pPr>
        <w:shd w:val="clear" w:color="auto" w:fill="FFFFFF" w:themeFill="background1"/>
        <w:spacing w:line="360" w:lineRule="auto"/>
        <w:jc w:val="both"/>
        <w:rPr>
          <w:rFonts w:ascii="Palatino Linotype" w:hAnsi="Palatino Linotype" w:cs="Tahoma"/>
          <w:sz w:val="24"/>
          <w:szCs w:val="24"/>
        </w:rPr>
      </w:pPr>
      <w:r w:rsidRPr="00D3389F">
        <w:rPr>
          <w:rFonts w:ascii="Palatino Linotype" w:eastAsia="Calibri" w:hAnsi="Palatino Linotype" w:cs="Tahoma"/>
          <w:b/>
          <w:sz w:val="28"/>
          <w:szCs w:val="24"/>
          <w:lang w:eastAsia="es-MX"/>
        </w:rPr>
        <w:t>CUARTO</w:t>
      </w:r>
      <w:r w:rsidRPr="00D3389F">
        <w:rPr>
          <w:rFonts w:ascii="Palatino Linotype" w:eastAsia="Calibri" w:hAnsi="Palatino Linotype" w:cs="Tahoma"/>
          <w:b/>
          <w:bCs/>
          <w:sz w:val="28"/>
          <w:szCs w:val="24"/>
        </w:rPr>
        <w:t xml:space="preserve">. </w:t>
      </w:r>
      <w:r w:rsidRPr="00D3389F">
        <w:rPr>
          <w:rFonts w:ascii="Palatino Linotype" w:hAnsi="Palatino Linotype" w:cs="Tahoma"/>
          <w:b/>
          <w:sz w:val="24"/>
          <w:szCs w:val="24"/>
        </w:rPr>
        <w:t>NOTIFÍQUESE</w:t>
      </w:r>
      <w:r w:rsidRPr="00D3389F">
        <w:rPr>
          <w:rFonts w:ascii="Palatino Linotype" w:hAnsi="Palatino Linotype" w:cs="Tahoma"/>
          <w:sz w:val="24"/>
          <w:szCs w:val="24"/>
        </w:rPr>
        <w:t xml:space="preserve"> al Recurrente la presente Resolución a través del </w:t>
      </w:r>
      <w:r w:rsidRPr="00D3389F">
        <w:rPr>
          <w:rFonts w:ascii="Palatino Linotype" w:eastAsia="Calibri" w:hAnsi="Palatino Linotype" w:cs="Tahoma"/>
          <w:bCs/>
          <w:sz w:val="24"/>
          <w:szCs w:val="24"/>
        </w:rPr>
        <w:t>Sistema de Acceso a la Información Mexiquense (SAIMEX)</w:t>
      </w:r>
      <w:r w:rsidRPr="00D3389F">
        <w:rPr>
          <w:rFonts w:ascii="Palatino Linotype" w:hAnsi="Palatino Linotype" w:cs="Tahoma"/>
          <w:sz w:val="24"/>
          <w:szCs w:val="24"/>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9756E" w:rsidRPr="00D3389F" w:rsidRDefault="0019756E" w:rsidP="0019756E">
      <w:pPr>
        <w:spacing w:line="360" w:lineRule="auto"/>
        <w:jc w:val="both"/>
        <w:rPr>
          <w:rFonts w:ascii="Palatino Linotype" w:eastAsia="Calibri" w:hAnsi="Palatino Linotype" w:cs="Tahoma"/>
          <w:bCs/>
          <w:color w:val="000000"/>
          <w:sz w:val="24"/>
          <w:szCs w:val="24"/>
          <w:lang w:val="es-ES" w:eastAsia="es-ES_tradnl"/>
        </w:rPr>
      </w:pPr>
    </w:p>
    <w:p w:rsidR="0019756E" w:rsidRPr="00D3389F" w:rsidRDefault="0019756E" w:rsidP="0019756E">
      <w:pPr>
        <w:spacing w:line="360" w:lineRule="auto"/>
        <w:jc w:val="both"/>
        <w:rPr>
          <w:rFonts w:ascii="Palatino Linotype" w:eastAsia="Calibri" w:hAnsi="Palatino Linotype" w:cs="Tahoma"/>
          <w:bCs/>
          <w:sz w:val="24"/>
          <w:szCs w:val="24"/>
          <w:lang w:val="es-ES_tradnl"/>
        </w:rPr>
      </w:pPr>
      <w:r w:rsidRPr="00D3389F">
        <w:rPr>
          <w:rFonts w:ascii="Palatino Linotype" w:hAnsi="Palatino Linotype" w:cs="Tahoma"/>
          <w:b/>
          <w:sz w:val="28"/>
          <w:szCs w:val="24"/>
        </w:rPr>
        <w:lastRenderedPageBreak/>
        <w:t xml:space="preserve">QUINTO. </w:t>
      </w:r>
      <w:r w:rsidRPr="00D3389F">
        <w:rPr>
          <w:rFonts w:ascii="Palatino Linotype" w:eastAsia="Calibri" w:hAnsi="Palatino Linotype" w:cs="Tahoma"/>
          <w:bCs/>
          <w:sz w:val="24"/>
          <w:szCs w:val="24"/>
          <w:lang w:val="es-ES_tradnl"/>
        </w:rPr>
        <w:t xml:space="preserve">Con fundamento en lo dispuesto en los artículos 190 de la </w:t>
      </w:r>
      <w:r w:rsidRPr="00D3389F">
        <w:rPr>
          <w:rFonts w:ascii="Palatino Linotype" w:hAnsi="Palatino Linotype" w:cs="Tahoma"/>
          <w:sz w:val="24"/>
          <w:szCs w:val="24"/>
        </w:rPr>
        <w:t xml:space="preserve">Ley de Transparencia y Acceso a la Información Pública del Estado de México y Municipios, gírese </w:t>
      </w:r>
      <w:r w:rsidRPr="00D3389F">
        <w:rPr>
          <w:rFonts w:ascii="Palatino Linotype" w:eastAsia="Calibri" w:hAnsi="Palatino Linotype" w:cs="Tahoma"/>
          <w:bCs/>
          <w:sz w:val="24"/>
          <w:szCs w:val="24"/>
          <w:lang w:val="es-ES_tradnl"/>
        </w:rPr>
        <w:t xml:space="preserve">oficio al Contralor Interno y Titular del Órgano de Control y Vigilancia de este Instituto con la finalidad de que actúe en razón de su competencia, en términos de lo dispuesto en el Considerando </w:t>
      </w:r>
      <w:r w:rsidR="00DA4E2B">
        <w:rPr>
          <w:rFonts w:ascii="Palatino Linotype" w:eastAsia="Calibri" w:hAnsi="Palatino Linotype" w:cs="Tahoma"/>
          <w:b/>
          <w:bCs/>
          <w:sz w:val="24"/>
          <w:szCs w:val="24"/>
          <w:lang w:val="es-ES_tradnl"/>
        </w:rPr>
        <w:t>QUINTO</w:t>
      </w:r>
      <w:r w:rsidRPr="00D3389F">
        <w:rPr>
          <w:rFonts w:ascii="Palatino Linotype" w:eastAsia="Calibri" w:hAnsi="Palatino Linotype" w:cs="Tahoma"/>
          <w:b/>
          <w:bCs/>
          <w:sz w:val="24"/>
          <w:szCs w:val="24"/>
          <w:lang w:val="es-ES_tradnl"/>
        </w:rPr>
        <w:t xml:space="preserve"> </w:t>
      </w:r>
      <w:r w:rsidRPr="00D3389F">
        <w:rPr>
          <w:rFonts w:ascii="Palatino Linotype" w:eastAsia="Calibri" w:hAnsi="Palatino Linotype" w:cs="Tahoma"/>
          <w:bCs/>
          <w:sz w:val="24"/>
          <w:szCs w:val="24"/>
          <w:lang w:val="es-ES_tradnl"/>
        </w:rPr>
        <w:t>de la presente Resolución.</w:t>
      </w:r>
    </w:p>
    <w:p w:rsidR="00D3389F" w:rsidRPr="00D3389F" w:rsidRDefault="00D3389F" w:rsidP="0019756E">
      <w:pPr>
        <w:spacing w:line="360" w:lineRule="auto"/>
        <w:jc w:val="both"/>
        <w:rPr>
          <w:rFonts w:ascii="Palatino Linotype" w:eastAsia="Calibri" w:hAnsi="Palatino Linotype" w:cs="Tahoma"/>
          <w:bCs/>
          <w:sz w:val="24"/>
          <w:szCs w:val="24"/>
          <w:lang w:val="es-ES_tradnl"/>
        </w:rPr>
      </w:pPr>
    </w:p>
    <w:p w:rsidR="00D3389F" w:rsidRPr="00D3389F" w:rsidRDefault="00D3389F" w:rsidP="00D3389F">
      <w:pPr>
        <w:autoSpaceDE w:val="0"/>
        <w:autoSpaceDN w:val="0"/>
        <w:adjustRightInd w:val="0"/>
        <w:spacing w:before="240" w:line="360" w:lineRule="auto"/>
        <w:jc w:val="both"/>
        <w:rPr>
          <w:rFonts w:ascii="Palatino Linotype" w:hAnsi="Palatino Linotype" w:cs="Arial"/>
          <w:sz w:val="24"/>
          <w:szCs w:val="24"/>
        </w:rPr>
      </w:pPr>
      <w:r w:rsidRPr="00D3389F">
        <w:rPr>
          <w:rFonts w:ascii="Palatino Linotype" w:hAnsi="Palatino Linotype" w:cs="Arial"/>
          <w:b/>
          <w:sz w:val="28"/>
          <w:szCs w:val="24"/>
        </w:rPr>
        <w:t>SEXTO</w:t>
      </w:r>
      <w:r>
        <w:rPr>
          <w:rFonts w:ascii="Palatino Linotype" w:hAnsi="Palatino Linotype" w:cs="Arial"/>
          <w:b/>
          <w:sz w:val="28"/>
          <w:szCs w:val="24"/>
        </w:rPr>
        <w:t>.</w:t>
      </w:r>
      <w:r w:rsidRPr="00D3389F">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D3389F" w:rsidRDefault="00D3389F" w:rsidP="00EF4493">
      <w:pPr>
        <w:autoSpaceDE w:val="0"/>
        <w:autoSpaceDN w:val="0"/>
        <w:adjustRightInd w:val="0"/>
        <w:spacing w:before="240" w:line="360" w:lineRule="auto"/>
        <w:jc w:val="both"/>
        <w:rPr>
          <w:rFonts w:ascii="Palatino Linotype" w:hAnsi="Palatino Linotype" w:cs="Arial"/>
          <w:sz w:val="24"/>
          <w:szCs w:val="24"/>
        </w:rPr>
      </w:pPr>
    </w:p>
    <w:p w:rsidR="00F02CF6" w:rsidRDefault="00EF4493" w:rsidP="00CD400D">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sidR="00F22BC0">
        <w:rPr>
          <w:rFonts w:ascii="Palatino Linotype" w:hAnsi="Palatino Linotype" w:cs="Arial"/>
        </w:rPr>
        <w:t>,</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JAVIER MARTÍNEZ CRUZ</w:t>
      </w:r>
      <w:r w:rsidR="00FE285D">
        <w:rPr>
          <w:rFonts w:ascii="Palatino Linotype" w:hAnsi="Palatino Linotype" w:cs="Arial"/>
        </w:rPr>
        <w:t xml:space="preserve"> (AUSENCIA JUSTIFICADA)</w:t>
      </w:r>
      <w:r w:rsidRPr="005B37EF">
        <w:rPr>
          <w:rFonts w:ascii="Palatino Linotype" w:hAnsi="Palatino Linotype" w:cs="Arial"/>
        </w:rPr>
        <w:t xml:space="preserve"> Y LUIS GUSTAVO PARRA NORIEGA</w:t>
      </w:r>
      <w:r w:rsidR="00CD400D">
        <w:rPr>
          <w:rFonts w:ascii="Palatino Linotype" w:hAnsi="Palatino Linotype" w:cs="Arial"/>
        </w:rPr>
        <w:t xml:space="preserve">; </w:t>
      </w:r>
      <w:r>
        <w:rPr>
          <w:rFonts w:ascii="Palatino Linotype" w:hAnsi="Palatino Linotype" w:cs="Arial"/>
        </w:rPr>
        <w:t xml:space="preserve">EN LA </w:t>
      </w:r>
      <w:r w:rsidR="00FE285D" w:rsidRPr="00251EEB">
        <w:rPr>
          <w:rFonts w:ascii="Palatino Linotype" w:hAnsi="Palatino Linotype" w:cs="Arial"/>
        </w:rPr>
        <w:t>OCTAVA</w:t>
      </w:r>
      <w:r w:rsidR="00025E59">
        <w:rPr>
          <w:rFonts w:ascii="Palatino Linotype" w:hAnsi="Palatino Linotype" w:cs="Arial"/>
        </w:rPr>
        <w:t xml:space="preserve"> </w:t>
      </w:r>
      <w:r>
        <w:rPr>
          <w:rFonts w:ascii="Palatino Linotype" w:hAnsi="Palatino Linotype" w:cs="Arial"/>
        </w:rPr>
        <w:t xml:space="preserve">SESIÓN ORDINARIA CELEBRADA EL </w:t>
      </w:r>
      <w:r w:rsidR="00FE285D">
        <w:rPr>
          <w:rFonts w:ascii="Palatino Linotype" w:hAnsi="Palatino Linotype" w:cs="Arial"/>
        </w:rPr>
        <w:t>CINCO DE MARZO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FE285D">
        <w:rPr>
          <w:rFonts w:ascii="Palatino Linotype" w:hAnsi="Palatino Linotype" w:cs="Arial"/>
        </w:rPr>
        <w:t>------------------------------------------------------------------------------------------------------------------------------------------------------------------------------------------------------------------------------------------------------------------------------------------------------------------------------------------------------------------------------------------</w:t>
      </w:r>
      <w:r w:rsidR="00F22BC0">
        <w:rPr>
          <w:rFonts w:ascii="Palatino Linotype" w:hAnsi="Palatino Linotype" w:cs="Arial"/>
        </w:rPr>
        <w:t>----</w:t>
      </w:r>
      <w:r w:rsidR="00FE285D">
        <w:rPr>
          <w:rFonts w:ascii="Palatino Linotype" w:hAnsi="Palatino Linotype" w:cs="Arial"/>
        </w:rPr>
        <w:t>---------------------</w:t>
      </w:r>
    </w:p>
    <w:p w:rsidR="00D3389F" w:rsidRPr="00CD400D" w:rsidRDefault="00D3389F" w:rsidP="00CD400D">
      <w:pPr>
        <w:spacing w:before="240" w:after="240" w:line="360" w:lineRule="auto"/>
        <w:ind w:right="49"/>
        <w:jc w:val="both"/>
        <w:rPr>
          <w:rFonts w:ascii="Palatino Linotype" w:hAnsi="Palatino Linotype" w:cs="Arial"/>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FE285D" w:rsidP="00CD400D">
                            <w:pPr>
                              <w:jc w:val="center"/>
                              <w:rPr>
                                <w:rFonts w:ascii="Palatino Linotype" w:hAnsi="Palatino Linotype"/>
                              </w:rPr>
                            </w:pPr>
                            <w:r>
                              <w:rPr>
                                <w:rFonts w:ascii="Palatino Linotype" w:hAnsi="Palatino Linotype"/>
                              </w:rPr>
                              <w:t>(</w:t>
                            </w:r>
                            <w:r w:rsidR="00251EEB">
                              <w:rPr>
                                <w:rFonts w:ascii="Palatino Linotype" w:hAnsi="Palatino Linotype"/>
                              </w:rPr>
                              <w:t>Ausencia justificada</w:t>
                            </w:r>
                            <w:r w:rsidR="00CD400D">
                              <w:rPr>
                                <w:rFonts w:ascii="Palatino Linotype" w:hAnsi="Palatino Linotype"/>
                              </w:rPr>
                              <w:t>)</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34A71" id="_x0000_t202" coordsize="21600,21600" o:spt="202" path="m,l,21600r21600,l21600,xe">
                <v:stroke joinstyle="miter"/>
                <v:path gradientshapeok="t" o:connecttype="rect"/>
              </v:shapetype>
              <v:shape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FE285D" w:rsidP="00CD400D">
                      <w:pPr>
                        <w:jc w:val="center"/>
                        <w:rPr>
                          <w:rFonts w:ascii="Palatino Linotype" w:hAnsi="Palatino Linotype"/>
                        </w:rPr>
                      </w:pPr>
                      <w:r>
                        <w:rPr>
                          <w:rFonts w:ascii="Palatino Linotype" w:hAnsi="Palatino Linotype"/>
                        </w:rPr>
                        <w:t>(</w:t>
                      </w:r>
                      <w:r w:rsidR="00251EEB">
                        <w:rPr>
                          <w:rFonts w:ascii="Palatino Linotype" w:hAnsi="Palatino Linotype"/>
                        </w:rPr>
                        <w:t>Ausencia justificada</w:t>
                      </w:r>
                      <w:r w:rsidR="00CD400D">
                        <w:rPr>
                          <w:rFonts w:ascii="Palatino Linotype" w:hAnsi="Palatino Linotype"/>
                        </w:rPr>
                        <w:t>)</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EF4493" w:rsidRDefault="00EF4493" w:rsidP="00EF449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251EEB">
        <w:rPr>
          <w:rFonts w:ascii="Palatino Linotype" w:hAnsi="Palatino Linotype" w:cs="Arial"/>
          <w:sz w:val="16"/>
          <w:szCs w:val="16"/>
        </w:rPr>
        <w:t>cinco de marzo</w:t>
      </w:r>
      <w:r w:rsidR="00441515">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DB7AA9">
        <w:rPr>
          <w:rFonts w:ascii="Palatino Linotype" w:hAnsi="Palatino Linotype" w:cs="Arial"/>
          <w:bCs/>
          <w:sz w:val="16"/>
          <w:szCs w:val="16"/>
          <w:lang w:eastAsia="es-MX"/>
        </w:rPr>
        <w:t>095</w:t>
      </w:r>
      <w:r w:rsidR="00441515">
        <w:rPr>
          <w:rFonts w:ascii="Palatino Linotype" w:hAnsi="Palatino Linotype" w:cs="Arial"/>
          <w:bCs/>
          <w:sz w:val="16"/>
          <w:szCs w:val="16"/>
          <w:lang w:eastAsia="es-MX"/>
        </w:rPr>
        <w:t>95</w:t>
      </w:r>
      <w:r w:rsidR="00025E59">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w:t>
      </w:r>
    </w:p>
    <w:p w:rsidR="00EF4493" w:rsidRPr="008978ED" w:rsidRDefault="00025E59" w:rsidP="00EF4493">
      <w:pPr>
        <w:spacing w:before="240"/>
        <w:jc w:val="both"/>
        <w:rPr>
          <w:rFonts w:ascii="Palatino Linotype" w:hAnsi="Palatino Linotype" w:cs="Arial"/>
          <w:sz w:val="24"/>
          <w:szCs w:val="24"/>
        </w:rPr>
      </w:pPr>
      <w:r>
        <w:rPr>
          <w:rFonts w:ascii="Palatino Linotype" w:hAnsi="Palatino Linotype" w:cs="Arial"/>
          <w:bCs/>
          <w:sz w:val="16"/>
          <w:szCs w:val="16"/>
          <w:lang w:eastAsia="es-MX"/>
        </w:rPr>
        <w:t>OSAM/FJJC</w:t>
      </w:r>
    </w:p>
    <w:p w:rsidR="00696FBF" w:rsidRDefault="00696FBF"/>
    <w:sectPr w:rsidR="00696FBF"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6D4" w:rsidRDefault="004A56D4" w:rsidP="00EF4493">
      <w:pPr>
        <w:spacing w:after="0" w:line="240" w:lineRule="auto"/>
      </w:pPr>
      <w:r>
        <w:separator/>
      </w:r>
    </w:p>
  </w:endnote>
  <w:endnote w:type="continuationSeparator" w:id="0">
    <w:p w:rsidR="004A56D4" w:rsidRDefault="004A56D4"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26BA">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026BA">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26B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026BA">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6D4" w:rsidRDefault="004A56D4" w:rsidP="00EF4493">
      <w:pPr>
        <w:spacing w:after="0" w:line="240" w:lineRule="auto"/>
      </w:pPr>
      <w:r>
        <w:separator/>
      </w:r>
    </w:p>
  </w:footnote>
  <w:footnote w:type="continuationSeparator" w:id="0">
    <w:p w:rsidR="004A56D4" w:rsidRDefault="004A56D4"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26222" w:rsidTr="006F251D">
      <w:trPr>
        <w:trHeight w:val="227"/>
      </w:trPr>
      <w:tc>
        <w:tcPr>
          <w:tcW w:w="552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26222" w:rsidRPr="00546BD1" w:rsidRDefault="00FA480F" w:rsidP="00546BD1">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095</w:t>
          </w:r>
          <w:r w:rsidR="006F650F">
            <w:rPr>
              <w:rFonts w:ascii="Palatino Linotype" w:hAnsi="Palatino Linotype" w:cs="Arial"/>
              <w:bCs/>
              <w:sz w:val="24"/>
              <w:lang w:eastAsia="es-MX"/>
            </w:rPr>
            <w:t>9</w:t>
          </w:r>
          <w:r w:rsidR="00E26222">
            <w:rPr>
              <w:rFonts w:ascii="Palatino Linotype" w:hAnsi="Palatino Linotype" w:cs="Arial"/>
              <w:bCs/>
              <w:sz w:val="24"/>
              <w:lang w:eastAsia="es-MX"/>
            </w:rPr>
            <w:t>5/INFOEM/IP/RR/2019</w:t>
          </w:r>
        </w:p>
      </w:tc>
    </w:tr>
    <w:tr w:rsidR="00E26222" w:rsidTr="006F251D">
      <w:trPr>
        <w:trHeight w:val="242"/>
      </w:trPr>
      <w:tc>
        <w:tcPr>
          <w:tcW w:w="552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26222" w:rsidRPr="00F06FED" w:rsidRDefault="006F650F" w:rsidP="00FA480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w:t>
          </w:r>
          <w:r w:rsidR="00FA480F">
            <w:rPr>
              <w:rFonts w:ascii="Palatino Linotype" w:hAnsi="Palatino Linotype" w:cs="Arial"/>
              <w:szCs w:val="20"/>
            </w:rPr>
            <w:t>Capulhuac</w:t>
          </w:r>
        </w:p>
      </w:tc>
    </w:tr>
    <w:tr w:rsidR="00E26222" w:rsidTr="006F251D">
      <w:trPr>
        <w:trHeight w:val="342"/>
      </w:trPr>
      <w:tc>
        <w:tcPr>
          <w:tcW w:w="552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26222" w:rsidRDefault="00E26222"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25" w:type="dxa"/>
      <w:tblInd w:w="-851" w:type="dxa"/>
      <w:tblLayout w:type="fixed"/>
      <w:tblCellMar>
        <w:left w:w="70" w:type="dxa"/>
        <w:right w:w="70" w:type="dxa"/>
      </w:tblCellMar>
      <w:tblLook w:val="04A0" w:firstRow="1" w:lastRow="0" w:firstColumn="1" w:lastColumn="0" w:noHBand="0" w:noVBand="1"/>
    </w:tblPr>
    <w:tblGrid>
      <w:gridCol w:w="5562"/>
      <w:gridCol w:w="4563"/>
    </w:tblGrid>
    <w:tr w:rsidR="00E26222" w:rsidTr="00AA27DA">
      <w:trPr>
        <w:trHeight w:val="199"/>
      </w:trPr>
      <w:tc>
        <w:tcPr>
          <w:tcW w:w="5562"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63" w:type="dxa"/>
          <w:hideMark/>
        </w:tcPr>
        <w:p w:rsidR="00E26222" w:rsidRPr="00B4142F" w:rsidRDefault="001A4779"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095</w:t>
          </w:r>
          <w:r w:rsidR="00AA27DA">
            <w:rPr>
              <w:rFonts w:ascii="Palatino Linotype" w:hAnsi="Palatino Linotype" w:cs="Arial"/>
              <w:bCs/>
              <w:sz w:val="24"/>
              <w:lang w:eastAsia="es-MX"/>
            </w:rPr>
            <w:t>95</w:t>
          </w:r>
          <w:r w:rsidR="00E26222">
            <w:rPr>
              <w:rFonts w:ascii="Palatino Linotype" w:hAnsi="Palatino Linotype" w:cs="Arial"/>
              <w:bCs/>
              <w:sz w:val="24"/>
              <w:lang w:eastAsia="es-MX"/>
            </w:rPr>
            <w:t>/INFOEM/IP/RR/2019</w:t>
          </w:r>
        </w:p>
      </w:tc>
    </w:tr>
    <w:tr w:rsidR="00E26222" w:rsidTr="00AA27DA">
      <w:trPr>
        <w:trHeight w:val="172"/>
      </w:trPr>
      <w:tc>
        <w:tcPr>
          <w:tcW w:w="5562"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63" w:type="dxa"/>
          <w:hideMark/>
        </w:tcPr>
        <w:p w:rsidR="00E26222" w:rsidRPr="00F06FED" w:rsidRDefault="000026BA" w:rsidP="006F251D">
          <w:pPr>
            <w:spacing w:after="120" w:line="256" w:lineRule="auto"/>
            <w:ind w:left="639" w:right="214"/>
            <w:jc w:val="both"/>
            <w:rPr>
              <w:rFonts w:ascii="Palatino Linotype" w:hAnsi="Palatino Linotype" w:cs="Arial"/>
            </w:rPr>
          </w:pPr>
          <w:r>
            <w:rPr>
              <w:rFonts w:ascii="Palatino Linotype" w:hAnsi="Palatino Linotype" w:cs="Arial"/>
            </w:rPr>
            <w:t>xxxx</w:t>
          </w:r>
        </w:p>
      </w:tc>
    </w:tr>
    <w:tr w:rsidR="00E26222" w:rsidTr="00AA27DA">
      <w:trPr>
        <w:trHeight w:val="213"/>
      </w:trPr>
      <w:tc>
        <w:tcPr>
          <w:tcW w:w="5562"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63" w:type="dxa"/>
          <w:hideMark/>
        </w:tcPr>
        <w:p w:rsidR="00E26222" w:rsidRDefault="00AA27DA" w:rsidP="00BB22A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BB22AE">
            <w:rPr>
              <w:rFonts w:ascii="Palatino Linotype" w:hAnsi="Palatino Linotype" w:cs="Arial"/>
              <w:szCs w:val="20"/>
            </w:rPr>
            <w:t>Capulhuac</w:t>
          </w:r>
        </w:p>
      </w:tc>
    </w:tr>
    <w:tr w:rsidR="00E26222" w:rsidTr="00AA27DA">
      <w:trPr>
        <w:trHeight w:val="301"/>
      </w:trPr>
      <w:tc>
        <w:tcPr>
          <w:tcW w:w="5562"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63" w:type="dxa"/>
          <w:hideMark/>
        </w:tcPr>
        <w:p w:rsidR="00E26222" w:rsidRDefault="00E26222"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9"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7F5D5C"/>
    <w:multiLevelType w:val="hybridMultilevel"/>
    <w:tmpl w:val="B29A554C"/>
    <w:lvl w:ilvl="0" w:tplc="080A0001">
      <w:start w:val="1"/>
      <w:numFmt w:val="bullet"/>
      <w:lvlText w:val=""/>
      <w:lvlJc w:val="left"/>
      <w:pPr>
        <w:ind w:left="720" w:hanging="360"/>
      </w:pPr>
      <w:rPr>
        <w:rFonts w:ascii="Symbol" w:hAnsi="Symbo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8"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8971D9"/>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0"/>
  </w:num>
  <w:num w:numId="3">
    <w:abstractNumId w:val="2"/>
  </w:num>
  <w:num w:numId="4">
    <w:abstractNumId w:val="30"/>
  </w:num>
  <w:num w:numId="5">
    <w:abstractNumId w:val="15"/>
  </w:num>
  <w:num w:numId="6">
    <w:abstractNumId w:val="39"/>
  </w:num>
  <w:num w:numId="7">
    <w:abstractNumId w:val="3"/>
  </w:num>
  <w:num w:numId="8">
    <w:abstractNumId w:val="16"/>
  </w:num>
  <w:num w:numId="9">
    <w:abstractNumId w:val="18"/>
  </w:num>
  <w:num w:numId="10">
    <w:abstractNumId w:val="33"/>
  </w:num>
  <w:num w:numId="11">
    <w:abstractNumId w:val="7"/>
  </w:num>
  <w:num w:numId="12">
    <w:abstractNumId w:val="28"/>
  </w:num>
  <w:num w:numId="13">
    <w:abstractNumId w:val="5"/>
  </w:num>
  <w:num w:numId="14">
    <w:abstractNumId w:val="32"/>
  </w:num>
  <w:num w:numId="15">
    <w:abstractNumId w:val="24"/>
  </w:num>
  <w:num w:numId="16">
    <w:abstractNumId w:val="6"/>
  </w:num>
  <w:num w:numId="17">
    <w:abstractNumId w:val="21"/>
  </w:num>
  <w:num w:numId="18">
    <w:abstractNumId w:val="1"/>
  </w:num>
  <w:num w:numId="19">
    <w:abstractNumId w:val="23"/>
  </w:num>
  <w:num w:numId="20">
    <w:abstractNumId w:val="11"/>
  </w:num>
  <w:num w:numId="21">
    <w:abstractNumId w:val="8"/>
  </w:num>
  <w:num w:numId="22">
    <w:abstractNumId w:val="31"/>
  </w:num>
  <w:num w:numId="23">
    <w:abstractNumId w:val="12"/>
  </w:num>
  <w:num w:numId="24">
    <w:abstractNumId w:val="37"/>
  </w:num>
  <w:num w:numId="25">
    <w:abstractNumId w:val="35"/>
  </w:num>
  <w:num w:numId="26">
    <w:abstractNumId w:val="4"/>
  </w:num>
  <w:num w:numId="27">
    <w:abstractNumId w:val="22"/>
  </w:num>
  <w:num w:numId="28">
    <w:abstractNumId w:val="34"/>
  </w:num>
  <w:num w:numId="29">
    <w:abstractNumId w:val="41"/>
  </w:num>
  <w:num w:numId="30">
    <w:abstractNumId w:val="25"/>
  </w:num>
  <w:num w:numId="31">
    <w:abstractNumId w:val="27"/>
  </w:num>
  <w:num w:numId="32">
    <w:abstractNumId w:val="38"/>
  </w:num>
  <w:num w:numId="33">
    <w:abstractNumId w:val="29"/>
  </w:num>
  <w:num w:numId="34">
    <w:abstractNumId w:val="17"/>
  </w:num>
  <w:num w:numId="35">
    <w:abstractNumId w:val="14"/>
  </w:num>
  <w:num w:numId="36">
    <w:abstractNumId w:val="9"/>
  </w:num>
  <w:num w:numId="37">
    <w:abstractNumId w:val="10"/>
  </w:num>
  <w:num w:numId="38">
    <w:abstractNumId w:val="36"/>
  </w:num>
  <w:num w:numId="39">
    <w:abstractNumId w:val="19"/>
  </w:num>
  <w:num w:numId="40">
    <w:abstractNumId w:val="26"/>
  </w:num>
  <w:num w:numId="41">
    <w:abstractNumId w:val="42"/>
  </w:num>
  <w:num w:numId="42">
    <w:abstractNumId w:val="2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BA"/>
    <w:rsid w:val="0000624A"/>
    <w:rsid w:val="00014D7C"/>
    <w:rsid w:val="000214BB"/>
    <w:rsid w:val="00025141"/>
    <w:rsid w:val="00025E59"/>
    <w:rsid w:val="00032B17"/>
    <w:rsid w:val="000337D4"/>
    <w:rsid w:val="00066163"/>
    <w:rsid w:val="000702DB"/>
    <w:rsid w:val="0007056A"/>
    <w:rsid w:val="00073303"/>
    <w:rsid w:val="000750D2"/>
    <w:rsid w:val="00084213"/>
    <w:rsid w:val="000851CB"/>
    <w:rsid w:val="00087BFB"/>
    <w:rsid w:val="00097FA1"/>
    <w:rsid w:val="000A6FDA"/>
    <w:rsid w:val="000B5A64"/>
    <w:rsid w:val="000B739F"/>
    <w:rsid w:val="000C1189"/>
    <w:rsid w:val="000C68C4"/>
    <w:rsid w:val="000D2D22"/>
    <w:rsid w:val="000D6C1E"/>
    <w:rsid w:val="000E1C5C"/>
    <w:rsid w:val="000E610B"/>
    <w:rsid w:val="000E694F"/>
    <w:rsid w:val="000E7FFE"/>
    <w:rsid w:val="000F1092"/>
    <w:rsid w:val="000F5EEF"/>
    <w:rsid w:val="000F6658"/>
    <w:rsid w:val="00106E8D"/>
    <w:rsid w:val="001102C3"/>
    <w:rsid w:val="00114686"/>
    <w:rsid w:val="00124810"/>
    <w:rsid w:val="00124E05"/>
    <w:rsid w:val="001267CD"/>
    <w:rsid w:val="001278E0"/>
    <w:rsid w:val="00134259"/>
    <w:rsid w:val="001501CA"/>
    <w:rsid w:val="001633F9"/>
    <w:rsid w:val="001635B1"/>
    <w:rsid w:val="00166EC3"/>
    <w:rsid w:val="00185374"/>
    <w:rsid w:val="00185C3A"/>
    <w:rsid w:val="00187FF4"/>
    <w:rsid w:val="00190B39"/>
    <w:rsid w:val="0019756E"/>
    <w:rsid w:val="001A4779"/>
    <w:rsid w:val="001B7FE2"/>
    <w:rsid w:val="001C3A84"/>
    <w:rsid w:val="001C5682"/>
    <w:rsid w:val="001C79BB"/>
    <w:rsid w:val="001D4B3C"/>
    <w:rsid w:val="001D4E42"/>
    <w:rsid w:val="001F421D"/>
    <w:rsid w:val="001F42BD"/>
    <w:rsid w:val="001F72E7"/>
    <w:rsid w:val="001F7B55"/>
    <w:rsid w:val="00207EE0"/>
    <w:rsid w:val="00227141"/>
    <w:rsid w:val="0023164D"/>
    <w:rsid w:val="00231C6B"/>
    <w:rsid w:val="00251EEB"/>
    <w:rsid w:val="00255CDF"/>
    <w:rsid w:val="00264B85"/>
    <w:rsid w:val="002672A7"/>
    <w:rsid w:val="00270E4A"/>
    <w:rsid w:val="00271A47"/>
    <w:rsid w:val="00272926"/>
    <w:rsid w:val="002745B9"/>
    <w:rsid w:val="00277E83"/>
    <w:rsid w:val="00280DE4"/>
    <w:rsid w:val="00294D5A"/>
    <w:rsid w:val="002A33CE"/>
    <w:rsid w:val="002A5ADB"/>
    <w:rsid w:val="002A5D64"/>
    <w:rsid w:val="002A7D7A"/>
    <w:rsid w:val="002D04E8"/>
    <w:rsid w:val="002F7FF2"/>
    <w:rsid w:val="00306529"/>
    <w:rsid w:val="00311601"/>
    <w:rsid w:val="00320299"/>
    <w:rsid w:val="00323F00"/>
    <w:rsid w:val="00325503"/>
    <w:rsid w:val="00330894"/>
    <w:rsid w:val="003309AB"/>
    <w:rsid w:val="00336A6A"/>
    <w:rsid w:val="00344DF6"/>
    <w:rsid w:val="00344ED3"/>
    <w:rsid w:val="00352FAD"/>
    <w:rsid w:val="0036453F"/>
    <w:rsid w:val="0036658A"/>
    <w:rsid w:val="00394381"/>
    <w:rsid w:val="003A3011"/>
    <w:rsid w:val="003E33B1"/>
    <w:rsid w:val="003E6C68"/>
    <w:rsid w:val="003F02AB"/>
    <w:rsid w:val="00400282"/>
    <w:rsid w:val="00401F93"/>
    <w:rsid w:val="0041352A"/>
    <w:rsid w:val="00415AB6"/>
    <w:rsid w:val="00430260"/>
    <w:rsid w:val="00441515"/>
    <w:rsid w:val="004560BF"/>
    <w:rsid w:val="00461E98"/>
    <w:rsid w:val="00463292"/>
    <w:rsid w:val="004708A3"/>
    <w:rsid w:val="00473A34"/>
    <w:rsid w:val="004826F4"/>
    <w:rsid w:val="004901C7"/>
    <w:rsid w:val="004902C5"/>
    <w:rsid w:val="00490653"/>
    <w:rsid w:val="00492346"/>
    <w:rsid w:val="004A56D4"/>
    <w:rsid w:val="004B13E8"/>
    <w:rsid w:val="004B1B2D"/>
    <w:rsid w:val="004B2880"/>
    <w:rsid w:val="004C1447"/>
    <w:rsid w:val="004C565B"/>
    <w:rsid w:val="004F4459"/>
    <w:rsid w:val="00513367"/>
    <w:rsid w:val="00540B2F"/>
    <w:rsid w:val="00545C18"/>
    <w:rsid w:val="00546BD1"/>
    <w:rsid w:val="0055089B"/>
    <w:rsid w:val="005649E2"/>
    <w:rsid w:val="00583579"/>
    <w:rsid w:val="00586B5A"/>
    <w:rsid w:val="005A5CE2"/>
    <w:rsid w:val="005A7CA3"/>
    <w:rsid w:val="005B3EB0"/>
    <w:rsid w:val="005B4B11"/>
    <w:rsid w:val="005B518C"/>
    <w:rsid w:val="005C1239"/>
    <w:rsid w:val="005C2079"/>
    <w:rsid w:val="005D137B"/>
    <w:rsid w:val="005D72CE"/>
    <w:rsid w:val="005E56B2"/>
    <w:rsid w:val="005F743B"/>
    <w:rsid w:val="00604565"/>
    <w:rsid w:val="006046ED"/>
    <w:rsid w:val="00604ABB"/>
    <w:rsid w:val="006219AA"/>
    <w:rsid w:val="00625F95"/>
    <w:rsid w:val="006340B0"/>
    <w:rsid w:val="00651AE7"/>
    <w:rsid w:val="00684514"/>
    <w:rsid w:val="00696FBF"/>
    <w:rsid w:val="00697A1C"/>
    <w:rsid w:val="006B11C6"/>
    <w:rsid w:val="006B2A06"/>
    <w:rsid w:val="006B740B"/>
    <w:rsid w:val="006C1EFC"/>
    <w:rsid w:val="006D6D37"/>
    <w:rsid w:val="006F251D"/>
    <w:rsid w:val="006F2DE7"/>
    <w:rsid w:val="006F3A75"/>
    <w:rsid w:val="006F3C31"/>
    <w:rsid w:val="006F63D2"/>
    <w:rsid w:val="006F650F"/>
    <w:rsid w:val="007136D6"/>
    <w:rsid w:val="0071506B"/>
    <w:rsid w:val="0072323C"/>
    <w:rsid w:val="00731681"/>
    <w:rsid w:val="00732820"/>
    <w:rsid w:val="0073345E"/>
    <w:rsid w:val="00733917"/>
    <w:rsid w:val="007370D5"/>
    <w:rsid w:val="00741959"/>
    <w:rsid w:val="00770A89"/>
    <w:rsid w:val="00784619"/>
    <w:rsid w:val="0078535E"/>
    <w:rsid w:val="00791E63"/>
    <w:rsid w:val="0079621F"/>
    <w:rsid w:val="007B5341"/>
    <w:rsid w:val="007B70F6"/>
    <w:rsid w:val="007B7A90"/>
    <w:rsid w:val="007D0F08"/>
    <w:rsid w:val="007D3B67"/>
    <w:rsid w:val="007D4141"/>
    <w:rsid w:val="0080077B"/>
    <w:rsid w:val="00803304"/>
    <w:rsid w:val="00815A0F"/>
    <w:rsid w:val="00817E7B"/>
    <w:rsid w:val="008229F9"/>
    <w:rsid w:val="00850810"/>
    <w:rsid w:val="00860249"/>
    <w:rsid w:val="008626E3"/>
    <w:rsid w:val="0087164D"/>
    <w:rsid w:val="0087286F"/>
    <w:rsid w:val="00875DC4"/>
    <w:rsid w:val="00877591"/>
    <w:rsid w:val="008805F2"/>
    <w:rsid w:val="008860FD"/>
    <w:rsid w:val="00893572"/>
    <w:rsid w:val="008938CF"/>
    <w:rsid w:val="008B69BA"/>
    <w:rsid w:val="008D16FA"/>
    <w:rsid w:val="008E23FF"/>
    <w:rsid w:val="008E67E9"/>
    <w:rsid w:val="009017C6"/>
    <w:rsid w:val="00903DAE"/>
    <w:rsid w:val="009061C9"/>
    <w:rsid w:val="009364EB"/>
    <w:rsid w:val="0093663D"/>
    <w:rsid w:val="009404A3"/>
    <w:rsid w:val="00941706"/>
    <w:rsid w:val="00955218"/>
    <w:rsid w:val="00956723"/>
    <w:rsid w:val="00964511"/>
    <w:rsid w:val="0096759B"/>
    <w:rsid w:val="0097766B"/>
    <w:rsid w:val="00983BC6"/>
    <w:rsid w:val="009900EC"/>
    <w:rsid w:val="009A304B"/>
    <w:rsid w:val="009A7AB8"/>
    <w:rsid w:val="009B21CC"/>
    <w:rsid w:val="009B5455"/>
    <w:rsid w:val="009D55B4"/>
    <w:rsid w:val="009E56E2"/>
    <w:rsid w:val="009F286E"/>
    <w:rsid w:val="00A01E1E"/>
    <w:rsid w:val="00A03694"/>
    <w:rsid w:val="00A257B9"/>
    <w:rsid w:val="00A46BBA"/>
    <w:rsid w:val="00A62BC0"/>
    <w:rsid w:val="00A771BB"/>
    <w:rsid w:val="00A944BC"/>
    <w:rsid w:val="00A9565C"/>
    <w:rsid w:val="00AA2046"/>
    <w:rsid w:val="00AA27DA"/>
    <w:rsid w:val="00AC0CA2"/>
    <w:rsid w:val="00AC4B71"/>
    <w:rsid w:val="00AD44D5"/>
    <w:rsid w:val="00AF41F9"/>
    <w:rsid w:val="00B00245"/>
    <w:rsid w:val="00B0264D"/>
    <w:rsid w:val="00B071B9"/>
    <w:rsid w:val="00B26705"/>
    <w:rsid w:val="00B3566B"/>
    <w:rsid w:val="00B469C1"/>
    <w:rsid w:val="00B53142"/>
    <w:rsid w:val="00B61C99"/>
    <w:rsid w:val="00B64DAF"/>
    <w:rsid w:val="00B82722"/>
    <w:rsid w:val="00B82D5C"/>
    <w:rsid w:val="00B84C69"/>
    <w:rsid w:val="00B85928"/>
    <w:rsid w:val="00B85B37"/>
    <w:rsid w:val="00B85E7C"/>
    <w:rsid w:val="00B86F58"/>
    <w:rsid w:val="00B94AF5"/>
    <w:rsid w:val="00BB22AE"/>
    <w:rsid w:val="00BB502B"/>
    <w:rsid w:val="00BC02DE"/>
    <w:rsid w:val="00BD0523"/>
    <w:rsid w:val="00BE1CF1"/>
    <w:rsid w:val="00BE6F62"/>
    <w:rsid w:val="00BF4A39"/>
    <w:rsid w:val="00C07D1E"/>
    <w:rsid w:val="00C11C06"/>
    <w:rsid w:val="00C14C6C"/>
    <w:rsid w:val="00C2405E"/>
    <w:rsid w:val="00C2663F"/>
    <w:rsid w:val="00C47430"/>
    <w:rsid w:val="00C557FB"/>
    <w:rsid w:val="00C64549"/>
    <w:rsid w:val="00C66054"/>
    <w:rsid w:val="00C67CCC"/>
    <w:rsid w:val="00C74C20"/>
    <w:rsid w:val="00C75866"/>
    <w:rsid w:val="00C767D9"/>
    <w:rsid w:val="00C76FD3"/>
    <w:rsid w:val="00CA0678"/>
    <w:rsid w:val="00CB17A8"/>
    <w:rsid w:val="00CB33B2"/>
    <w:rsid w:val="00CD400D"/>
    <w:rsid w:val="00CF17C0"/>
    <w:rsid w:val="00CF36A8"/>
    <w:rsid w:val="00D110B7"/>
    <w:rsid w:val="00D23940"/>
    <w:rsid w:val="00D305A5"/>
    <w:rsid w:val="00D317E2"/>
    <w:rsid w:val="00D3389F"/>
    <w:rsid w:val="00D43C37"/>
    <w:rsid w:val="00D449DB"/>
    <w:rsid w:val="00D50082"/>
    <w:rsid w:val="00D5314D"/>
    <w:rsid w:val="00D56BC0"/>
    <w:rsid w:val="00D632D6"/>
    <w:rsid w:val="00D64AFF"/>
    <w:rsid w:val="00D66256"/>
    <w:rsid w:val="00D706AD"/>
    <w:rsid w:val="00D75807"/>
    <w:rsid w:val="00D919D3"/>
    <w:rsid w:val="00DA4E2B"/>
    <w:rsid w:val="00DB7AA9"/>
    <w:rsid w:val="00DC796C"/>
    <w:rsid w:val="00DD295B"/>
    <w:rsid w:val="00DE3168"/>
    <w:rsid w:val="00E026B4"/>
    <w:rsid w:val="00E15DE0"/>
    <w:rsid w:val="00E250DA"/>
    <w:rsid w:val="00E26222"/>
    <w:rsid w:val="00E31918"/>
    <w:rsid w:val="00E47967"/>
    <w:rsid w:val="00E6268F"/>
    <w:rsid w:val="00E62C5E"/>
    <w:rsid w:val="00E67266"/>
    <w:rsid w:val="00E81DA2"/>
    <w:rsid w:val="00E82558"/>
    <w:rsid w:val="00E84541"/>
    <w:rsid w:val="00E87339"/>
    <w:rsid w:val="00EA0996"/>
    <w:rsid w:val="00EB22D0"/>
    <w:rsid w:val="00EB293A"/>
    <w:rsid w:val="00EB49FB"/>
    <w:rsid w:val="00EE3FBD"/>
    <w:rsid w:val="00EF3741"/>
    <w:rsid w:val="00EF4493"/>
    <w:rsid w:val="00F02CF6"/>
    <w:rsid w:val="00F21AB0"/>
    <w:rsid w:val="00F22BC0"/>
    <w:rsid w:val="00F37D99"/>
    <w:rsid w:val="00F476C5"/>
    <w:rsid w:val="00F56D87"/>
    <w:rsid w:val="00F635E6"/>
    <w:rsid w:val="00F701B3"/>
    <w:rsid w:val="00F83132"/>
    <w:rsid w:val="00FA480F"/>
    <w:rsid w:val="00FB2284"/>
    <w:rsid w:val="00FC75FB"/>
    <w:rsid w:val="00FC7A72"/>
    <w:rsid w:val="00FD2516"/>
    <w:rsid w:val="00FE285D"/>
    <w:rsid w:val="00FE415E"/>
    <w:rsid w:val="00FE646D"/>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8727">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09833229">
      <w:bodyDiv w:val="1"/>
      <w:marLeft w:val="0"/>
      <w:marRight w:val="0"/>
      <w:marTop w:val="0"/>
      <w:marBottom w:val="0"/>
      <w:divBdr>
        <w:top w:val="none" w:sz="0" w:space="0" w:color="auto"/>
        <w:left w:val="none" w:sz="0" w:space="0" w:color="auto"/>
        <w:bottom w:val="none" w:sz="0" w:space="0" w:color="auto"/>
        <w:right w:val="none" w:sz="0" w:space="0" w:color="auto"/>
      </w:divBdr>
    </w:div>
    <w:div w:id="772700393">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55373236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0DD0F-4A0F-458B-A621-3E4F1552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4844</Words>
  <Characters>26645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2020-03-11T01:16:00Z</cp:lastPrinted>
  <dcterms:created xsi:type="dcterms:W3CDTF">2020-04-23T06:39:00Z</dcterms:created>
  <dcterms:modified xsi:type="dcterms:W3CDTF">2020-04-23T06:39:00Z</dcterms:modified>
</cp:coreProperties>
</file>