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AA6CFE">
      <w:pPr>
        <w:widowControl w:val="0"/>
        <w:spacing w:before="100" w:beforeAutospacing="1" w:after="100" w:afterAutospacing="1"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D60AE">
        <w:rPr>
          <w:rFonts w:ascii="Palatino Linotype" w:hAnsi="Palatino Linotype" w:cs="Arial"/>
          <w:b/>
        </w:rPr>
        <w:t xml:space="preserve">CUADRAGÉSIMA </w:t>
      </w:r>
      <w:r w:rsidR="00144EF8">
        <w:rPr>
          <w:rFonts w:ascii="Palatino Linotype" w:hAnsi="Palatino Linotype" w:cs="Arial"/>
          <w:b/>
        </w:rPr>
        <w:t xml:space="preserve">SEGUNDA </w:t>
      </w:r>
      <w:r w:rsidRPr="00C8035B">
        <w:rPr>
          <w:rFonts w:ascii="Palatino Linotype" w:hAnsi="Palatino Linotype" w:cs="Arial"/>
          <w:b/>
        </w:rPr>
        <w:t>SESIÓN ORDINARIA DE</w:t>
      </w:r>
      <w:r w:rsidR="004A2D78">
        <w:rPr>
          <w:rFonts w:ascii="Palatino Linotype" w:hAnsi="Palatino Linotype" w:cs="Arial"/>
          <w:b/>
        </w:rPr>
        <w:t xml:space="preserve"> </w:t>
      </w:r>
      <w:r w:rsidR="00144EF8">
        <w:rPr>
          <w:rFonts w:ascii="Palatino Linotype" w:hAnsi="Palatino Linotype" w:cs="Arial"/>
          <w:b/>
        </w:rPr>
        <w:t xml:space="preserve">TRECE </w:t>
      </w:r>
      <w:r w:rsidR="003C7A79">
        <w:rPr>
          <w:rFonts w:ascii="Palatino Linotype" w:hAnsi="Palatino Linotype" w:cs="Arial"/>
          <w:b/>
        </w:rPr>
        <w:t xml:space="preserve">DE </w:t>
      </w:r>
      <w:r w:rsidR="00144EF8">
        <w:rPr>
          <w:rFonts w:ascii="Palatino Linotype" w:hAnsi="Palatino Linotype" w:cs="Arial"/>
          <w:b/>
        </w:rPr>
        <w:t xml:space="preserve">NOVIEMBRE </w:t>
      </w:r>
      <w:r w:rsidR="003C7A79">
        <w:rPr>
          <w:rFonts w:ascii="Palatino Linotype" w:hAnsi="Palatino Linotype" w:cs="Arial"/>
          <w:b/>
        </w:rPr>
        <w:t>DE DOS MIL DIECINUEVE</w:t>
      </w:r>
      <w:r w:rsidRPr="00C8035B">
        <w:rPr>
          <w:rFonts w:ascii="Palatino Linotype" w:hAnsi="Palatino Linotype" w:cs="Arial"/>
          <w:b/>
        </w:rPr>
        <w:t xml:space="preserve">, EN EL RECURSO DE REVISIÓN </w:t>
      </w:r>
      <w:r w:rsidR="00144EF8">
        <w:rPr>
          <w:rFonts w:ascii="Palatino Linotype" w:hAnsi="Palatino Linotype" w:cs="Arial"/>
          <w:b/>
        </w:rPr>
        <w:t>07303</w:t>
      </w:r>
      <w:r w:rsidR="003C7A79" w:rsidRPr="003C7A79">
        <w:rPr>
          <w:rFonts w:ascii="Palatino Linotype" w:hAnsi="Palatino Linotype" w:cs="Arial"/>
          <w:b/>
        </w:rPr>
        <w:t>/INFOEM/IP/RR/2019</w:t>
      </w:r>
      <w:r w:rsidRPr="00C8035B">
        <w:rPr>
          <w:rFonts w:ascii="Palatino Linotype" w:eastAsia="Calibri" w:hAnsi="Palatino Linotype" w:cs="Arial"/>
          <w:b/>
          <w:color w:val="000000"/>
        </w:rPr>
        <w:t>.</w:t>
      </w:r>
    </w:p>
    <w:p w:rsidR="00DC5C4E" w:rsidRPr="00C8035B" w:rsidRDefault="00DC5C4E"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Con fundamento en lo dispuesto por el artículo 14</w:t>
      </w:r>
      <w:r w:rsidR="0008792F">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144EF8">
        <w:rPr>
          <w:rFonts w:ascii="Palatino Linotype" w:eastAsia="Calibri" w:hAnsi="Palatino Linotype" w:cs="Arial"/>
          <w:b/>
          <w:color w:val="000000"/>
        </w:rPr>
        <w:t>07303</w:t>
      </w:r>
      <w:r w:rsidR="003C7A79" w:rsidRPr="003C7A79">
        <w:rPr>
          <w:rFonts w:ascii="Palatino Linotype" w:eastAsia="Calibri" w:hAnsi="Palatino Linotype" w:cs="Arial"/>
          <w:b/>
          <w:color w:val="000000"/>
        </w:rPr>
        <w:t>/INFOEM/IP/RR/2019</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3C7A79">
        <w:rPr>
          <w:rFonts w:ascii="Palatino Linotype" w:hAnsi="Palatino Linotype" w:cs="Arial"/>
        </w:rPr>
        <w:t>el</w:t>
      </w:r>
      <w:r w:rsidR="00C70E10">
        <w:rPr>
          <w:rFonts w:ascii="Palatino Linotype" w:hAnsi="Palatino Linotype" w:cs="Arial"/>
        </w:rPr>
        <w:t xml:space="preserve"> Comisionad</w:t>
      </w:r>
      <w:r w:rsidR="003C7A79">
        <w:rPr>
          <w:rFonts w:ascii="Palatino Linotype" w:hAnsi="Palatino Linotype" w:cs="Arial"/>
        </w:rPr>
        <w:t>o</w:t>
      </w:r>
      <w:r w:rsidR="00C81447">
        <w:rPr>
          <w:rFonts w:ascii="Palatino Linotype" w:hAnsi="Palatino Linotype" w:cs="Arial"/>
        </w:rPr>
        <w:t xml:space="preserve"> </w:t>
      </w:r>
      <w:r w:rsidR="006D60AE">
        <w:rPr>
          <w:rFonts w:ascii="Palatino Linotype" w:hAnsi="Palatino Linotype" w:cs="Arial"/>
          <w:b/>
        </w:rPr>
        <w:t>JOSÉ GUADALUPE LUNA HERNÁNDEZ</w:t>
      </w:r>
      <w:r w:rsidR="00135DAD">
        <w:rPr>
          <w:rFonts w:ascii="Palatino Linotype" w:hAnsi="Palatino Linotype" w:cs="Arial"/>
        </w:rPr>
        <w:t>, que es del tenor siguiente.</w:t>
      </w:r>
    </w:p>
    <w:p w:rsidR="00DC5C4E" w:rsidRPr="00C8035B" w:rsidRDefault="00DC5C4E" w:rsidP="00AA6CFE">
      <w:pPr>
        <w:spacing w:before="100" w:beforeAutospacing="1" w:after="100" w:afterAutospacing="1" w:line="360" w:lineRule="auto"/>
        <w:ind w:right="49"/>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08792F">
        <w:rPr>
          <w:rFonts w:ascii="Palatino Linotype" w:hAnsi="Palatino Linotype"/>
        </w:rPr>
        <w:t>estimo</w:t>
      </w:r>
      <w:r w:rsidRPr="00C8035B">
        <w:rPr>
          <w:rFonts w:ascii="Palatino Linotype" w:hAnsi="Palatino Linotype"/>
        </w:rPr>
        <w:t xml:space="preserve">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6D60AE" w:rsidRPr="006D60AE" w:rsidRDefault="00DC5C4E" w:rsidP="00AA6CFE">
      <w:pPr>
        <w:spacing w:before="100" w:beforeAutospacing="1" w:after="100" w:afterAutospacing="1" w:line="360" w:lineRule="auto"/>
        <w:ind w:right="49"/>
        <w:jc w:val="both"/>
        <w:rPr>
          <w:rFonts w:ascii="Palatino Linotype" w:hAnsi="Palatino Linotype"/>
        </w:rPr>
      </w:pPr>
      <w:r w:rsidRPr="00C8035B">
        <w:rPr>
          <w:rFonts w:ascii="Palatino Linotype" w:hAnsi="Palatino Linotype"/>
        </w:rPr>
        <w:t xml:space="preserve">Al respecto, tal y como quedó debidamente asentado en la resolución materia del presente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144EF8" w:rsidRPr="00144EF8">
        <w:rPr>
          <w:rFonts w:ascii="Palatino Linotype" w:hAnsi="Palatino Linotype"/>
          <w:b/>
        </w:rPr>
        <w:t>Secretaría de Desarrollo Urbano y Metropolitano</w:t>
      </w:r>
      <w:r w:rsidR="003C7A79">
        <w:rPr>
          <w:rFonts w:ascii="Palatino Linotype" w:hAnsi="Palatino Linotype"/>
          <w:b/>
        </w:rPr>
        <w:t>,</w:t>
      </w:r>
      <w:r w:rsidR="003C7A79" w:rsidRPr="003C7A79">
        <w:rPr>
          <w:rFonts w:ascii="Palatino Linotype" w:hAnsi="Palatino Linotype"/>
          <w:b/>
        </w:rPr>
        <w:t xml:space="preserve"> </w:t>
      </w:r>
      <w:r w:rsidR="00C70E10" w:rsidRPr="00C70E10">
        <w:rPr>
          <w:rFonts w:ascii="Palatino Linotype" w:hAnsi="Palatino Linotype"/>
        </w:rPr>
        <w:t xml:space="preserve">en 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135DAD">
        <w:rPr>
          <w:rFonts w:ascii="Palatino Linotype" w:hAnsi="Palatino Linotype"/>
        </w:rPr>
        <w:t xml:space="preserve"> </w:t>
      </w:r>
      <w:r w:rsidR="00144EF8">
        <w:rPr>
          <w:rFonts w:ascii="Palatino Linotype" w:hAnsi="Palatino Linotype"/>
        </w:rPr>
        <w:t>c</w:t>
      </w:r>
      <w:r w:rsidR="00144EF8" w:rsidRPr="00144EF8">
        <w:rPr>
          <w:rFonts w:ascii="Palatino Linotype" w:hAnsi="Palatino Linotype"/>
        </w:rPr>
        <w:t xml:space="preserve">opia de la visita de </w:t>
      </w:r>
      <w:r w:rsidR="00144EF8" w:rsidRPr="00144EF8">
        <w:rPr>
          <w:rFonts w:ascii="Palatino Linotype" w:hAnsi="Palatino Linotype"/>
        </w:rPr>
        <w:lastRenderedPageBreak/>
        <w:t xml:space="preserve">verificación al predio </w:t>
      </w:r>
      <w:r w:rsidR="00144EF8">
        <w:rPr>
          <w:rFonts w:ascii="Palatino Linotype" w:hAnsi="Palatino Linotype"/>
        </w:rPr>
        <w:t>referido</w:t>
      </w:r>
      <w:r w:rsidR="00144EF8" w:rsidRPr="00144EF8">
        <w:rPr>
          <w:rFonts w:ascii="Palatino Linotype" w:hAnsi="Palatino Linotype"/>
        </w:rPr>
        <w:t xml:space="preserve"> en el oficio 21200002000000S/575/2019, </w:t>
      </w:r>
      <w:r w:rsidR="007D1FFB" w:rsidRPr="00144EF8">
        <w:rPr>
          <w:rFonts w:ascii="Palatino Linotype" w:hAnsi="Palatino Linotype"/>
        </w:rPr>
        <w:t>de fecha 27 de agosto del 2019.</w:t>
      </w:r>
    </w:p>
    <w:p w:rsidR="00144EF8" w:rsidRDefault="00B51260"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6D60AE">
        <w:rPr>
          <w:rFonts w:ascii="Palatino Linotype" w:hAnsi="Palatino Linotype" w:cs="Arial"/>
        </w:rPr>
        <w:t xml:space="preserve">manifestó </w:t>
      </w:r>
      <w:r w:rsidR="00144EF8" w:rsidRPr="00144EF8">
        <w:rPr>
          <w:rFonts w:ascii="Palatino Linotype" w:hAnsi="Palatino Linotype" w:cs="Arial"/>
        </w:rPr>
        <w:t xml:space="preserve">que no </w:t>
      </w:r>
      <w:r w:rsidR="00144EF8">
        <w:rPr>
          <w:rFonts w:ascii="Palatino Linotype" w:hAnsi="Palatino Linotype" w:cs="Arial"/>
        </w:rPr>
        <w:t>contaba</w:t>
      </w:r>
      <w:r w:rsidR="00144EF8" w:rsidRPr="00144EF8">
        <w:rPr>
          <w:rFonts w:ascii="Palatino Linotype" w:hAnsi="Palatino Linotype" w:cs="Arial"/>
        </w:rPr>
        <w:t xml:space="preserve"> con la información solicitada debido a que aún no se había realizado la verificación referida</w:t>
      </w:r>
      <w:r w:rsidR="00144EF8">
        <w:rPr>
          <w:rFonts w:ascii="Palatino Linotype" w:hAnsi="Palatino Linotype" w:cs="Arial"/>
        </w:rPr>
        <w:t xml:space="preserve">. </w:t>
      </w:r>
    </w:p>
    <w:p w:rsidR="00144EF8" w:rsidRDefault="00144EF8" w:rsidP="00AA6CFE">
      <w:pPr>
        <w:spacing w:before="100" w:beforeAutospacing="1" w:after="100" w:afterAutospacing="1" w:line="360" w:lineRule="auto"/>
        <w:ind w:right="49"/>
        <w:jc w:val="both"/>
        <w:rPr>
          <w:rFonts w:ascii="Palatino Linotype" w:hAnsi="Palatino Linotype" w:cs="Arial"/>
        </w:rPr>
      </w:pPr>
      <w:r w:rsidRPr="00144EF8">
        <w:rPr>
          <w:rFonts w:ascii="Palatino Linotype" w:hAnsi="Palatino Linotype" w:cs="Arial"/>
        </w:rPr>
        <w:t xml:space="preserve">Inconforme con la respuesta otorgada por parte del </w:t>
      </w:r>
      <w:r w:rsidRPr="00AF4000">
        <w:rPr>
          <w:rFonts w:ascii="Palatino Linotype" w:hAnsi="Palatino Linotype" w:cs="Arial"/>
          <w:b/>
        </w:rPr>
        <w:t>SUJETO OBLIGADO</w:t>
      </w:r>
      <w:r w:rsidRPr="00144EF8">
        <w:rPr>
          <w:rFonts w:ascii="Palatino Linotype" w:hAnsi="Palatino Linotype" w:cs="Arial"/>
        </w:rPr>
        <w:t xml:space="preserve">, </w:t>
      </w:r>
      <w:r w:rsidRPr="00AF4000">
        <w:rPr>
          <w:rFonts w:ascii="Palatino Linotype" w:hAnsi="Palatino Linotype" w:cs="Arial"/>
          <w:b/>
        </w:rPr>
        <w:t>EL</w:t>
      </w:r>
      <w:r w:rsidRPr="00144EF8">
        <w:rPr>
          <w:rFonts w:ascii="Palatino Linotype" w:hAnsi="Palatino Linotype" w:cs="Arial"/>
        </w:rPr>
        <w:t xml:space="preserve"> </w:t>
      </w:r>
      <w:r w:rsidRPr="00AF4000">
        <w:rPr>
          <w:rFonts w:ascii="Palatino Linotype" w:hAnsi="Palatino Linotype" w:cs="Arial"/>
          <w:b/>
        </w:rPr>
        <w:t>RECURRENTE</w:t>
      </w:r>
      <w:r w:rsidRPr="00144EF8">
        <w:rPr>
          <w:rFonts w:ascii="Palatino Linotype" w:hAnsi="Palatino Linotype" w:cs="Arial"/>
        </w:rPr>
        <w:t xml:space="preserve"> interpuso el recurso de revisión de mérito, </w:t>
      </w:r>
      <w:r w:rsidR="00AF4000">
        <w:rPr>
          <w:rFonts w:ascii="Palatino Linotype" w:hAnsi="Palatino Linotype" w:cs="Arial"/>
        </w:rPr>
        <w:t xml:space="preserve">adoleciéndose de </w:t>
      </w:r>
      <w:r w:rsidRPr="00144EF8">
        <w:rPr>
          <w:rFonts w:ascii="Palatino Linotype" w:hAnsi="Palatino Linotype" w:cs="Arial"/>
        </w:rPr>
        <w:t>la entrega de información que no corresponde con lo solicitado.</w:t>
      </w:r>
    </w:p>
    <w:p w:rsidR="000A7F22" w:rsidRDefault="00B51260" w:rsidP="00AA6CFE">
      <w:pPr>
        <w:spacing w:before="100" w:beforeAutospacing="1" w:after="100" w:afterAutospacing="1" w:line="360" w:lineRule="auto"/>
        <w:ind w:right="49"/>
        <w:jc w:val="both"/>
        <w:rPr>
          <w:rFonts w:ascii="Palatino Linotype" w:hAnsi="Palatino Linotype" w:cs="Arial"/>
        </w:rPr>
      </w:pPr>
      <w:r w:rsidRPr="00C8035B">
        <w:rPr>
          <w:rFonts w:ascii="Palatino Linotype" w:hAnsi="Palatino Linotype" w:cs="Arial"/>
        </w:rPr>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AF4000">
        <w:rPr>
          <w:rFonts w:ascii="Palatino Linotype" w:hAnsi="Palatino Linotype" w:cs="Arial"/>
          <w:b/>
        </w:rPr>
        <w:t xml:space="preserve">MODIFICAR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ordenándole entregar,</w:t>
      </w:r>
      <w:r w:rsidR="00AF4000">
        <w:rPr>
          <w:rFonts w:ascii="Palatino Linotype" w:hAnsi="Palatino Linotype" w:cs="Arial"/>
        </w:rPr>
        <w:t xml:space="preserve"> previa búsqueda exhaustiva y razonable, </w:t>
      </w:r>
      <w:r w:rsidR="000D1151">
        <w:rPr>
          <w:rFonts w:ascii="Palatino Linotype" w:hAnsi="Palatino Linotype" w:cs="Arial"/>
        </w:rPr>
        <w:t>en versión pública</w:t>
      </w:r>
      <w:r w:rsidR="00AF4000">
        <w:rPr>
          <w:rFonts w:ascii="Palatino Linotype" w:hAnsi="Palatino Linotype" w:cs="Arial"/>
        </w:rPr>
        <w:t xml:space="preserve"> de ser el caso</w:t>
      </w:r>
      <w:r w:rsidR="000D1151">
        <w:rPr>
          <w:rFonts w:ascii="Palatino Linotype" w:hAnsi="Palatino Linotype" w:cs="Arial"/>
        </w:rPr>
        <w:t xml:space="preserve">, </w:t>
      </w:r>
      <w:r w:rsidR="00AF4000">
        <w:rPr>
          <w:rFonts w:ascii="Palatino Linotype" w:hAnsi="Palatino Linotype" w:cs="Arial"/>
        </w:rPr>
        <w:t xml:space="preserve">de </w:t>
      </w:r>
      <w:r w:rsidR="006E7D4B">
        <w:rPr>
          <w:rFonts w:ascii="Palatino Linotype" w:hAnsi="Palatino Linotype" w:cs="Arial"/>
        </w:rPr>
        <w:t xml:space="preserve">la siguiente información: </w:t>
      </w:r>
    </w:p>
    <w:p w:rsidR="00AF4000" w:rsidRPr="00AF4000" w:rsidRDefault="00AF4000" w:rsidP="00AA6CFE">
      <w:pPr>
        <w:pStyle w:val="Prrafodelista"/>
        <w:numPr>
          <w:ilvl w:val="0"/>
          <w:numId w:val="13"/>
        </w:numPr>
        <w:tabs>
          <w:tab w:val="left" w:pos="709"/>
        </w:tabs>
        <w:ind w:left="851" w:right="902" w:firstLine="0"/>
        <w:jc w:val="both"/>
        <w:rPr>
          <w:rFonts w:ascii="Palatino Linotype" w:hAnsi="Palatino Linotype" w:cs="Arial"/>
          <w:b/>
          <w:i/>
          <w:sz w:val="22"/>
        </w:rPr>
      </w:pPr>
      <w:r w:rsidRPr="00AF4000">
        <w:rPr>
          <w:rFonts w:ascii="Palatino Linotype" w:hAnsi="Palatino Linotype" w:cs="Arial"/>
          <w:b/>
          <w:i/>
          <w:sz w:val="22"/>
        </w:rPr>
        <w:t>Todos los documentos que se hayan generado en relación a la verificación realizada al predio referido en la solicitud de información 00231/SEDUM/IP/2019.</w:t>
      </w:r>
    </w:p>
    <w:p w:rsidR="00AF4000" w:rsidRPr="00AF4000" w:rsidRDefault="00AF4000" w:rsidP="00AA6CFE">
      <w:pPr>
        <w:tabs>
          <w:tab w:val="left" w:pos="709"/>
        </w:tabs>
        <w:ind w:left="851" w:right="902"/>
        <w:jc w:val="both"/>
        <w:rPr>
          <w:rFonts w:ascii="Palatino Linotype" w:eastAsiaTheme="minorEastAsia" w:hAnsi="Palatino Linotype" w:cs="Arial"/>
          <w:i/>
          <w:sz w:val="22"/>
          <w:lang w:val="es-ES_tradnl"/>
        </w:rPr>
      </w:pPr>
      <w:r w:rsidRPr="00AF4000">
        <w:rPr>
          <w:rFonts w:ascii="Palatino Linotype" w:eastAsiaTheme="minorEastAsia" w:hAnsi="Palatino Linotype" w:cs="Arial"/>
          <w:i/>
          <w:sz w:val="22"/>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AF4000">
        <w:rPr>
          <w:rFonts w:ascii="Palatino Linotype" w:eastAsiaTheme="minorEastAsia" w:hAnsi="Palatino Linotype" w:cs="Arial"/>
          <w:b/>
          <w:i/>
          <w:sz w:val="22"/>
          <w:lang w:val="es-ES_tradnl"/>
        </w:rPr>
        <w:t>RECURRENTE</w:t>
      </w:r>
      <w:r w:rsidRPr="00AF4000">
        <w:rPr>
          <w:rFonts w:ascii="Palatino Linotype" w:eastAsiaTheme="minorEastAsia" w:hAnsi="Palatino Linotype" w:cs="Arial"/>
          <w:i/>
          <w:sz w:val="22"/>
          <w:lang w:val="es-ES_tradnl"/>
        </w:rPr>
        <w:t>.</w:t>
      </w:r>
    </w:p>
    <w:p w:rsidR="00AF4000" w:rsidRPr="00AF4000" w:rsidRDefault="00AF4000" w:rsidP="00AA6CFE">
      <w:pPr>
        <w:tabs>
          <w:tab w:val="left" w:pos="709"/>
        </w:tabs>
        <w:ind w:left="851" w:right="902"/>
        <w:jc w:val="both"/>
        <w:rPr>
          <w:rFonts w:ascii="Palatino Linotype" w:eastAsiaTheme="minorEastAsia" w:hAnsi="Palatino Linotype" w:cs="Arial"/>
          <w:i/>
          <w:sz w:val="22"/>
          <w:lang w:val="es-ES_tradnl"/>
        </w:rPr>
      </w:pPr>
    </w:p>
    <w:p w:rsidR="006E7D4B" w:rsidRPr="00AF4000" w:rsidRDefault="00AF4000" w:rsidP="00AA6CFE">
      <w:pPr>
        <w:tabs>
          <w:tab w:val="left" w:pos="709"/>
        </w:tabs>
        <w:ind w:left="851" w:right="902"/>
        <w:jc w:val="both"/>
        <w:rPr>
          <w:rFonts w:ascii="Palatino Linotype" w:eastAsia="Calibri" w:hAnsi="Palatino Linotype" w:cs="Arial"/>
          <w:i/>
        </w:rPr>
      </w:pPr>
      <w:r w:rsidRPr="00AF4000">
        <w:rPr>
          <w:rFonts w:ascii="Palatino Linotype" w:eastAsiaTheme="minorEastAsia" w:hAnsi="Palatino Linotype" w:cs="Arial"/>
          <w:i/>
          <w:sz w:val="22"/>
          <w:lang w:val="es-ES_tradnl"/>
        </w:rPr>
        <w:t xml:space="preserve">Para el caso de que el </w:t>
      </w:r>
      <w:r w:rsidRPr="00AF4000">
        <w:rPr>
          <w:rFonts w:ascii="Palatino Linotype" w:eastAsiaTheme="minorEastAsia" w:hAnsi="Palatino Linotype" w:cs="Arial"/>
          <w:b/>
          <w:i/>
          <w:sz w:val="22"/>
          <w:lang w:val="es-ES_tradnl"/>
        </w:rPr>
        <w:t>SUJETO OBLIGADO</w:t>
      </w:r>
      <w:r w:rsidRPr="00AF4000">
        <w:rPr>
          <w:rFonts w:ascii="Palatino Linotype" w:eastAsiaTheme="minorEastAsia" w:hAnsi="Palatino Linotype" w:cs="Arial"/>
          <w:i/>
          <w:sz w:val="22"/>
          <w:lang w:val="es-ES_tradnl"/>
        </w:rPr>
        <w:t xml:space="preserve"> a la fecha de la notificación de la solicitud no cuente con la información referida en el inicio “a)”, deberá de emitir el Acuerdo de Inexistencia en términos de los artículos 49, fracciones II y XIII, 169 y </w:t>
      </w:r>
      <w:r w:rsidRPr="00AF4000">
        <w:rPr>
          <w:rFonts w:ascii="Palatino Linotype" w:eastAsiaTheme="minorEastAsia" w:hAnsi="Palatino Linotype" w:cs="Arial"/>
          <w:i/>
          <w:sz w:val="22"/>
          <w:lang w:val="es-ES_tradnl"/>
        </w:rPr>
        <w:lastRenderedPageBreak/>
        <w:t>170 de la Ley de Transparencia y Acceso a la Información Pública del Estado de México y Municipios que al respecto emita su Comité de Transparencia</w:t>
      </w:r>
      <w:r w:rsidRPr="00AF4000">
        <w:rPr>
          <w:rFonts w:ascii="Palatino Linotype" w:eastAsiaTheme="minorEastAsia" w:hAnsi="Palatino Linotype" w:cs="Arial"/>
          <w:i/>
          <w:lang w:val="es-ES_tradnl"/>
        </w:rPr>
        <w:t>.</w:t>
      </w:r>
    </w:p>
    <w:p w:rsidR="007226C9" w:rsidRDefault="000A7F22" w:rsidP="00AA6CFE">
      <w:pPr>
        <w:spacing w:before="100" w:beforeAutospacing="1" w:after="100" w:afterAutospacing="1" w:line="360" w:lineRule="auto"/>
        <w:ind w:right="49"/>
        <w:jc w:val="both"/>
        <w:rPr>
          <w:rFonts w:ascii="Palatino Linotype" w:hAnsi="Palatino Linotype" w:cs="Arial"/>
          <w:lang w:val="es-MX"/>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w:t>
      </w:r>
      <w:r w:rsidR="0008792F">
        <w:rPr>
          <w:rFonts w:ascii="Palatino Linotype" w:hAnsi="Palatino Linotype" w:cs="Arial"/>
          <w:lang w:val="es-MX"/>
        </w:rPr>
        <w:t xml:space="preserve">considero importante resaltar que </w:t>
      </w:r>
      <w:r w:rsidR="006428A3">
        <w:rPr>
          <w:rFonts w:ascii="Palatino Linotype" w:hAnsi="Palatino Linotype" w:cs="Arial"/>
          <w:lang w:val="es-MX"/>
        </w:rPr>
        <w:t xml:space="preserve">de </w:t>
      </w:r>
      <w:r w:rsidR="00801526" w:rsidRPr="00801526">
        <w:rPr>
          <w:rFonts w:ascii="Palatino Linotype" w:hAnsi="Palatino Linotype" w:cs="Arial"/>
          <w:lang w:val="es-MX"/>
        </w:rPr>
        <w:t xml:space="preserve">la información </w:t>
      </w:r>
      <w:r w:rsidR="005C181A">
        <w:rPr>
          <w:rFonts w:ascii="Palatino Linotype" w:hAnsi="Palatino Linotype" w:cs="Arial"/>
          <w:lang w:val="es-MX"/>
        </w:rPr>
        <w:t xml:space="preserve">que </w:t>
      </w:r>
      <w:r w:rsidR="00BF425E">
        <w:rPr>
          <w:rFonts w:ascii="Palatino Linotype" w:hAnsi="Palatino Linotype" w:cs="Arial"/>
          <w:lang w:val="es-MX"/>
        </w:rPr>
        <w:t xml:space="preserve">se </w:t>
      </w:r>
      <w:r w:rsidR="006428A3">
        <w:rPr>
          <w:rFonts w:ascii="Palatino Linotype" w:hAnsi="Palatino Linotype" w:cs="Arial"/>
          <w:lang w:val="es-MX"/>
        </w:rPr>
        <w:t xml:space="preserve">ordena haga entrega </w:t>
      </w:r>
      <w:r w:rsidR="00837EFD" w:rsidRPr="00D80DD5">
        <w:rPr>
          <w:rFonts w:ascii="Palatino Linotype" w:hAnsi="Palatino Linotype" w:cs="Arial"/>
          <w:b/>
          <w:lang w:val="es-MX"/>
        </w:rPr>
        <w:t>EL SUJETO OBLIGADO</w:t>
      </w:r>
      <w:r w:rsidR="00D80DD5">
        <w:rPr>
          <w:rFonts w:ascii="Palatino Linotype" w:hAnsi="Palatino Linotype" w:cs="Arial"/>
          <w:b/>
          <w:lang w:val="es-MX"/>
        </w:rPr>
        <w:t>,</w:t>
      </w:r>
      <w:r w:rsidR="00837EFD">
        <w:rPr>
          <w:rFonts w:ascii="Palatino Linotype" w:hAnsi="Palatino Linotype" w:cs="Arial"/>
          <w:lang w:val="es-MX"/>
        </w:rPr>
        <w:t xml:space="preserve"> </w:t>
      </w:r>
      <w:r w:rsidR="006428A3" w:rsidRPr="006428A3">
        <w:rPr>
          <w:rFonts w:ascii="Palatino Linotype" w:hAnsi="Palatino Linotype" w:cs="Arial"/>
          <w:lang w:val="es-MX"/>
        </w:rPr>
        <w:t>si bien</w:t>
      </w:r>
      <w:r w:rsidR="00D80DD5">
        <w:rPr>
          <w:rFonts w:ascii="Palatino Linotype" w:hAnsi="Palatino Linotype" w:cs="Arial"/>
          <w:lang w:val="es-MX"/>
        </w:rPr>
        <w:t xml:space="preserve"> para el caso</w:t>
      </w:r>
      <w:r w:rsidR="006428A3" w:rsidRPr="006428A3">
        <w:rPr>
          <w:rFonts w:ascii="Palatino Linotype" w:hAnsi="Palatino Linotype" w:cs="Arial"/>
          <w:lang w:val="es-MX"/>
        </w:rPr>
        <w:t xml:space="preserve"> a la fecha de la solicitud no había realizado la verificación señalada, si debió realizar y desplegar diversos actos tendientes a ejecutar su realización, mismos que como ya refirió</w:t>
      </w:r>
      <w:r w:rsidR="00837EFD">
        <w:rPr>
          <w:rFonts w:ascii="Palatino Linotype" w:hAnsi="Palatino Linotype" w:cs="Arial"/>
          <w:lang w:val="es-MX"/>
        </w:rPr>
        <w:t xml:space="preserve"> en su estudio la Ponencia </w:t>
      </w:r>
      <w:proofErr w:type="spellStart"/>
      <w:r w:rsidR="00837EFD">
        <w:rPr>
          <w:rFonts w:ascii="Palatino Linotype" w:hAnsi="Palatino Linotype" w:cs="Arial"/>
          <w:lang w:val="es-MX"/>
        </w:rPr>
        <w:t>Resolutora</w:t>
      </w:r>
      <w:proofErr w:type="spellEnd"/>
      <w:r w:rsidR="006428A3" w:rsidRPr="006428A3">
        <w:rPr>
          <w:rFonts w:ascii="Palatino Linotype" w:hAnsi="Palatino Linotype" w:cs="Arial"/>
          <w:lang w:val="es-MX"/>
        </w:rPr>
        <w:t xml:space="preserve"> debieron ser documentados, y consecuentemente puestos </w:t>
      </w:r>
      <w:r w:rsidR="00837EFD">
        <w:rPr>
          <w:rFonts w:ascii="Palatino Linotype" w:hAnsi="Palatino Linotype" w:cs="Arial"/>
          <w:lang w:val="es-MX"/>
        </w:rPr>
        <w:t xml:space="preserve">a disposición del particular; razón por la que la suscrita considera que se debió contemplar la </w:t>
      </w:r>
      <w:r w:rsidR="005C181A">
        <w:rPr>
          <w:rFonts w:ascii="Palatino Linotype" w:hAnsi="Palatino Linotype" w:cs="Arial"/>
          <w:lang w:val="es-MX"/>
        </w:rPr>
        <w:t xml:space="preserve">clasificación </w:t>
      </w:r>
      <w:r w:rsidR="00837EFD">
        <w:rPr>
          <w:rFonts w:ascii="Palatino Linotype" w:hAnsi="Palatino Linotype" w:cs="Arial"/>
          <w:lang w:val="es-MX"/>
        </w:rPr>
        <w:t>de los documentos</w:t>
      </w:r>
      <w:r w:rsidR="00D80DD5">
        <w:rPr>
          <w:rFonts w:ascii="Palatino Linotype" w:hAnsi="Palatino Linotype" w:cs="Arial"/>
          <w:lang w:val="es-MX"/>
        </w:rPr>
        <w:t xml:space="preserve"> como información reservada</w:t>
      </w:r>
      <w:r w:rsidR="00837EFD">
        <w:rPr>
          <w:rFonts w:ascii="Palatino Linotype" w:hAnsi="Palatino Linotype" w:cs="Arial"/>
          <w:lang w:val="es-MX"/>
        </w:rPr>
        <w:t xml:space="preserve">, esto </w:t>
      </w:r>
      <w:r w:rsidR="00BF425E">
        <w:rPr>
          <w:rFonts w:ascii="Palatino Linotype" w:hAnsi="Palatino Linotype" w:cs="Arial"/>
          <w:lang w:val="es-MX"/>
        </w:rPr>
        <w:t>al formar</w:t>
      </w:r>
      <w:r w:rsidR="00801526" w:rsidRPr="00801526">
        <w:rPr>
          <w:rFonts w:ascii="Palatino Linotype" w:hAnsi="Palatino Linotype" w:cs="Arial"/>
          <w:lang w:val="es-MX"/>
        </w:rPr>
        <w:t xml:space="preserve"> parte de </w:t>
      </w:r>
      <w:r w:rsidR="00837EFD">
        <w:rPr>
          <w:rFonts w:ascii="Palatino Linotype" w:hAnsi="Palatino Linotype" w:cs="Arial"/>
          <w:lang w:val="es-MX"/>
        </w:rPr>
        <w:t>las verificaciones, aunado a que estos no fueron los documentos que el particular requirió en su solicitud</w:t>
      </w:r>
      <w:r w:rsidR="007226C9">
        <w:rPr>
          <w:rFonts w:ascii="Palatino Linotype" w:hAnsi="Palatino Linotype" w:cs="Arial"/>
          <w:lang w:val="es-MX"/>
        </w:rPr>
        <w:t>.</w:t>
      </w:r>
    </w:p>
    <w:p w:rsidR="006A22D8" w:rsidRDefault="00DC566E" w:rsidP="00AA6CFE">
      <w:pPr>
        <w:spacing w:before="100" w:beforeAutospacing="1" w:after="100" w:afterAutospacing="1" w:line="360" w:lineRule="auto"/>
        <w:ind w:right="49"/>
        <w:jc w:val="both"/>
        <w:rPr>
          <w:rFonts w:ascii="Palatino Linotype" w:eastAsia="Arial Unicode MS" w:hAnsi="Palatino Linotype" w:cs="Arial"/>
        </w:rPr>
      </w:pPr>
      <w:r>
        <w:rPr>
          <w:rFonts w:ascii="Palatino Linotype" w:eastAsia="Calibri" w:hAnsi="Palatino Linotype" w:cs="Arial"/>
        </w:rPr>
        <w:t xml:space="preserve">Lo anterior obedece a que </w:t>
      </w:r>
      <w:r w:rsidR="00DC6647">
        <w:rPr>
          <w:rFonts w:ascii="Palatino Linotype" w:eastAsia="Calibri" w:hAnsi="Palatino Linotype" w:cs="Arial"/>
        </w:rPr>
        <w:t xml:space="preserve">si bien </w:t>
      </w:r>
      <w:r w:rsidR="0006223A">
        <w:rPr>
          <w:rFonts w:ascii="Palatino Linotype" w:eastAsia="Calibri" w:hAnsi="Palatino Linotype" w:cs="Arial"/>
        </w:rPr>
        <w:t xml:space="preserve">para el caso que nos ocupa el derecho a la información en posesión de las autoridades, </w:t>
      </w:r>
      <w:r w:rsidR="006A22D8" w:rsidRPr="00531684">
        <w:rPr>
          <w:rFonts w:ascii="Palatino Linotype" w:eastAsia="Arial Unicode MS" w:hAnsi="Palatino Linotype" w:cs="Arial"/>
        </w:rPr>
        <w:t>podrá restringirse excepcion</w:t>
      </w:r>
      <w:r w:rsidR="006A22D8">
        <w:rPr>
          <w:rFonts w:ascii="Palatino Linotype" w:eastAsia="Arial Unicode MS" w:hAnsi="Palatino Linotype" w:cs="Arial"/>
        </w:rPr>
        <w:t>al</w:t>
      </w:r>
      <w:r w:rsidR="006A22D8" w:rsidRPr="00531684">
        <w:rPr>
          <w:rFonts w:ascii="Palatino Linotype" w:eastAsia="Arial Unicode MS" w:hAnsi="Palatino Linotype" w:cs="Arial"/>
        </w:rPr>
        <w:t>mente</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por caus</w:t>
      </w:r>
      <w:r w:rsidR="006A22D8">
        <w:rPr>
          <w:rFonts w:ascii="Palatino Linotype" w:eastAsia="Arial Unicode MS" w:hAnsi="Palatino Linotype" w:cs="Arial"/>
        </w:rPr>
        <w:t>as espec</w:t>
      </w:r>
      <w:r w:rsidR="00BE59EA">
        <w:rPr>
          <w:rFonts w:ascii="Palatino Linotype" w:eastAsia="Arial Unicode MS" w:hAnsi="Palatino Linotype" w:cs="Arial"/>
        </w:rPr>
        <w:t>í</w:t>
      </w:r>
      <w:r w:rsidR="006A22D8">
        <w:rPr>
          <w:rFonts w:ascii="Palatino Linotype" w:eastAsia="Arial Unicode MS" w:hAnsi="Palatino Linotype" w:cs="Arial"/>
        </w:rPr>
        <w:t>ficas contempladas en el</w:t>
      </w:r>
      <w:r w:rsidR="006A22D8" w:rsidRPr="00531684">
        <w:rPr>
          <w:rFonts w:ascii="Palatino Linotype" w:eastAsia="Arial Unicode MS" w:hAnsi="Palatino Linotype" w:cs="Arial"/>
        </w:rPr>
        <w:t xml:space="preserve"> catálogo de hipótesis previst</w:t>
      </w:r>
      <w:r w:rsidR="006A22D8">
        <w:rPr>
          <w:rFonts w:ascii="Palatino Linotype" w:eastAsia="Arial Unicode MS" w:hAnsi="Palatino Linotype" w:cs="Arial"/>
        </w:rPr>
        <w:t>a</w:t>
      </w:r>
      <w:r w:rsidR="006A22D8" w:rsidRPr="00531684">
        <w:rPr>
          <w:rFonts w:ascii="Palatino Linotype" w:eastAsia="Arial Unicode MS" w:hAnsi="Palatino Linotype" w:cs="Arial"/>
        </w:rPr>
        <w:t>s, entre e</w:t>
      </w:r>
      <w:r w:rsidR="006A22D8">
        <w:rPr>
          <w:rFonts w:ascii="Palatino Linotype" w:eastAsia="Arial Unicode MS" w:hAnsi="Palatino Linotype" w:cs="Arial"/>
        </w:rPr>
        <w:t>ll</w:t>
      </w:r>
      <w:r w:rsidR="006A22D8" w:rsidRPr="00531684">
        <w:rPr>
          <w:rFonts w:ascii="Palatino Linotype" w:eastAsia="Arial Unicode MS" w:hAnsi="Palatino Linotype" w:cs="Arial"/>
        </w:rPr>
        <w:t xml:space="preserve">as, </w:t>
      </w:r>
      <w:r w:rsidR="006A22D8" w:rsidRPr="0006223A">
        <w:rPr>
          <w:rFonts w:ascii="Palatino Linotype" w:eastAsia="Arial Unicode MS" w:hAnsi="Palatino Linotype" w:cs="Arial"/>
          <w:u w:val="single"/>
        </w:rPr>
        <w:t>que la</w:t>
      </w:r>
      <w:r w:rsidR="006A22D8" w:rsidRPr="00531684">
        <w:rPr>
          <w:rFonts w:ascii="Palatino Linotype" w:eastAsia="Arial Unicode MS" w:hAnsi="Palatino Linotype" w:cs="Arial"/>
        </w:rPr>
        <w:t xml:space="preserve"> </w:t>
      </w:r>
      <w:r w:rsidR="006A22D8" w:rsidRPr="0006223A">
        <w:rPr>
          <w:rFonts w:ascii="Palatino Linotype" w:eastAsia="Arial Unicode MS" w:hAnsi="Palatino Linotype" w:cs="Arial"/>
          <w:u w:val="single"/>
        </w:rPr>
        <w:t>información solicitada corresponda a actuaciones, diligencias o constancias</w:t>
      </w:r>
      <w:r w:rsidR="006A22D8" w:rsidRPr="00531684">
        <w:rPr>
          <w:rFonts w:ascii="Palatino Linotype" w:eastAsia="Arial Unicode MS" w:hAnsi="Palatino Linotype" w:cs="Arial"/>
        </w:rPr>
        <w:t xml:space="preserve"> propias un ju</w:t>
      </w:r>
      <w:r w:rsidR="006A22D8">
        <w:rPr>
          <w:rFonts w:ascii="Palatino Linotype" w:eastAsia="Arial Unicode MS" w:hAnsi="Palatino Linotype" w:cs="Arial"/>
        </w:rPr>
        <w:t>i</w:t>
      </w:r>
      <w:r w:rsidR="006A22D8" w:rsidRPr="00531684">
        <w:rPr>
          <w:rFonts w:ascii="Palatino Linotype" w:eastAsia="Arial Unicode MS" w:hAnsi="Palatino Linotype" w:cs="Arial"/>
        </w:rPr>
        <w:t xml:space="preserve">cio o </w:t>
      </w:r>
      <w:r w:rsidR="006A22D8">
        <w:rPr>
          <w:rFonts w:ascii="Palatino Linotype" w:eastAsia="Arial Unicode MS" w:hAnsi="Palatino Linotype" w:cs="Arial"/>
        </w:rPr>
        <w:t>pro</w:t>
      </w:r>
      <w:r w:rsidR="006A22D8" w:rsidRPr="00531684">
        <w:rPr>
          <w:rFonts w:ascii="Palatino Linotype" w:eastAsia="Arial Unicode MS" w:hAnsi="Palatino Linotype" w:cs="Arial"/>
        </w:rPr>
        <w:t>cedimiento administrativo materi</w:t>
      </w:r>
      <w:r w:rsidR="006A22D8">
        <w:rPr>
          <w:rFonts w:ascii="Palatino Linotype" w:eastAsia="Arial Unicode MS" w:hAnsi="Palatino Linotype" w:cs="Arial"/>
        </w:rPr>
        <w:t>al</w:t>
      </w:r>
      <w:r w:rsidR="006A22D8" w:rsidRPr="00531684">
        <w:rPr>
          <w:rFonts w:ascii="Palatino Linotype" w:eastAsia="Arial Unicode MS" w:hAnsi="Palatino Linotype" w:cs="Arial"/>
        </w:rPr>
        <w:t xml:space="preserve">mente jurisdiccional, </w:t>
      </w:r>
      <w:r w:rsidR="006A22D8" w:rsidRPr="0006223A">
        <w:rPr>
          <w:rFonts w:ascii="Palatino Linotype" w:eastAsia="Arial Unicode MS" w:hAnsi="Palatino Linotype" w:cs="Arial"/>
          <w:u w:val="single"/>
        </w:rPr>
        <w:t>que se encuentre en trámite y que la publicación de las mismas vulnere la conducción del expediente de que se trate</w:t>
      </w:r>
      <w:r w:rsidR="00BE59EA">
        <w:rPr>
          <w:rFonts w:ascii="Palatino Linotype" w:eastAsia="Arial Unicode MS" w:hAnsi="Palatino Linotype" w:cs="Arial"/>
        </w:rPr>
        <w:t>.</w:t>
      </w:r>
    </w:p>
    <w:p w:rsidR="006A22D8" w:rsidRDefault="006A22D8" w:rsidP="00AA6CFE">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lastRenderedPageBreak/>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rsidR="006A22D8" w:rsidRDefault="006A22D8" w:rsidP="00AA6CFE">
      <w:pPr>
        <w:spacing w:before="100" w:beforeAutospacing="1" w:after="100" w:afterAutospacing="1" w:line="360" w:lineRule="auto"/>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sidR="00DC6647">
        <w:rPr>
          <w:rFonts w:ascii="Palatino Linotype" w:hAnsi="Palatino Linotype"/>
        </w:rPr>
        <w:t xml:space="preserve">por ser reservada hasta </w:t>
      </w:r>
      <w:r>
        <w:rPr>
          <w:rFonts w:ascii="Palatino Linotype" w:hAnsi="Palatino Linotype"/>
        </w:rPr>
        <w:t xml:space="preserve">por cinco años o en tanto </w:t>
      </w:r>
      <w:r w:rsidR="00DC6647">
        <w:rPr>
          <w:rFonts w:ascii="Palatino Linotype" w:hAnsi="Palatino Linotype"/>
        </w:rPr>
        <w:t>dejen</w:t>
      </w:r>
      <w:r>
        <w:rPr>
          <w:rFonts w:ascii="Palatino Linotype" w:hAnsi="Palatino Linotype"/>
        </w:rPr>
        <w:t xml:space="preserve"> de subsistir las causales </w:t>
      </w:r>
      <w:r w:rsidR="005C181A">
        <w:rPr>
          <w:rFonts w:ascii="Palatino Linotype" w:hAnsi="Palatino Linotype"/>
        </w:rPr>
        <w:t xml:space="preserve">que motivaron la </w:t>
      </w:r>
      <w:r>
        <w:rPr>
          <w:rFonts w:ascii="Palatino Linotype" w:hAnsi="Palatino Linotype"/>
        </w:rPr>
        <w:t>reserva.</w:t>
      </w:r>
    </w:p>
    <w:p w:rsidR="006A22D8" w:rsidRDefault="006A22D8" w:rsidP="00AA6CFE">
      <w:pPr>
        <w:spacing w:before="100" w:beforeAutospacing="1" w:after="100" w:afterAutospacing="1" w:line="360" w:lineRule="auto"/>
        <w:jc w:val="both"/>
        <w:rPr>
          <w:rFonts w:ascii="Palatino Linotype" w:hAnsi="Palatino Linotype" w:cs="Arial"/>
          <w:lang w:eastAsia="es-MX"/>
        </w:rPr>
      </w:pPr>
      <w:r>
        <w:rPr>
          <w:rFonts w:ascii="Palatino Linotype" w:hAnsi="Palatino Linotype" w:cs="Arial"/>
          <w:lang w:eastAsia="es-MX"/>
        </w:rPr>
        <w:t>Así,</w:t>
      </w:r>
      <w:r w:rsidRPr="00FA1B0C">
        <w:rPr>
          <w:rFonts w:ascii="Palatino Linotype" w:hAnsi="Palatino Linotype" w:cs="Arial"/>
          <w:lang w:eastAsia="es-MX"/>
        </w:rPr>
        <w:t xml:space="preserve"> toda vez que </w:t>
      </w:r>
      <w:r w:rsidRPr="00FA1B0C">
        <w:rPr>
          <w:rFonts w:ascii="Palatino Linotype" w:hAnsi="Palatino Linotype" w:cs="Arial"/>
          <w:b/>
          <w:lang w:eastAsia="es-MX"/>
        </w:rPr>
        <w:t>EL SUJETO OBLIGADO</w:t>
      </w:r>
      <w:r w:rsidRPr="00FA1B0C">
        <w:rPr>
          <w:rFonts w:ascii="Palatino Linotype" w:hAnsi="Palatino Linotype" w:cs="Arial"/>
          <w:lang w:eastAsia="es-MX"/>
        </w:rPr>
        <w:t xml:space="preserve"> </w:t>
      </w:r>
      <w:r>
        <w:rPr>
          <w:rFonts w:ascii="Palatino Linotype" w:hAnsi="Palatino Linotype" w:cs="Arial"/>
          <w:lang w:eastAsia="es-MX"/>
        </w:rPr>
        <w:t>se pronunció respecto de</w:t>
      </w:r>
      <w:r w:rsidRPr="00FA1B0C">
        <w:rPr>
          <w:rFonts w:ascii="Palatino Linotype" w:hAnsi="Palatino Linotype" w:cs="Arial"/>
          <w:lang w:eastAsia="es-MX"/>
        </w:rPr>
        <w:t xml:space="preserve"> la información solicitada y atendiendo a la naturaleza de la misma, este Instituto no está facultado para pronunciarse sobre la veracidad de la información proporcionada. </w:t>
      </w:r>
    </w:p>
    <w:p w:rsidR="006A22D8" w:rsidRDefault="006A22D8" w:rsidP="00AA6CFE">
      <w:pPr>
        <w:spacing w:before="100" w:beforeAutospacing="1" w:after="100" w:afterAutospacing="1" w:line="360" w:lineRule="auto"/>
        <w:jc w:val="both"/>
        <w:rPr>
          <w:rFonts w:ascii="Palatino Linotype" w:hAnsi="Palatino Linotype" w:cs="Arial"/>
          <w:lang w:eastAsia="es-MX"/>
        </w:rPr>
      </w:pPr>
      <w:r w:rsidRPr="00FA1B0C">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w:t>
      </w:r>
      <w:r w:rsidRPr="00EA7796">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FA1B0C">
        <w:rPr>
          <w:rFonts w:ascii="Palatino Linotype" w:hAnsi="Palatino Linotype" w:cs="Arial"/>
          <w:i/>
          <w:sz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FA1B0C">
        <w:rPr>
          <w:rFonts w:ascii="Palatino Linotype" w:hAnsi="Palatino Linotype" w:cs="Arial"/>
          <w:i/>
          <w:sz w:val="22"/>
          <w:lang w:eastAsia="es-MX"/>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A22D8" w:rsidRDefault="006A22D8" w:rsidP="00AA6CFE">
      <w:pPr>
        <w:ind w:left="709" w:right="760"/>
        <w:jc w:val="both"/>
        <w:rPr>
          <w:rFonts w:ascii="Palatino Linotype" w:hAnsi="Palatino Linotype" w:cs="Arial"/>
          <w:i/>
          <w:sz w:val="22"/>
          <w:lang w:eastAsia="es-MX"/>
        </w:rPr>
      </w:pP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Expedientes:</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2440/07 Comisión Federal de Electricidad - Alonso Lujambio Irazábal</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0113/09 Instituto de Seguridad y Servicios Sociales de los Trabajadores del Estado – Alonso Lujambio Irazábal</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 xml:space="preserve">1624/09 Instituto Nacional para la Educación de los Adultos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 xml:space="preserve">2395/09 Secretaría de Economía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AA6CFE">
      <w:pPr>
        <w:ind w:left="709" w:right="760"/>
        <w:jc w:val="both"/>
        <w:rPr>
          <w:rFonts w:ascii="Palatino Linotype" w:hAnsi="Palatino Linotype" w:cs="Arial"/>
          <w:i/>
          <w:sz w:val="22"/>
          <w:lang w:eastAsia="es-MX"/>
        </w:rPr>
      </w:pPr>
      <w:r w:rsidRPr="00FA1B0C">
        <w:rPr>
          <w:rFonts w:ascii="Palatino Linotype" w:hAnsi="Palatino Linotype" w:cs="Arial"/>
          <w:i/>
          <w:sz w:val="22"/>
          <w:lang w:eastAsia="es-MX"/>
        </w:rPr>
        <w:t xml:space="preserve">0837/10 Administración Portuaria Integral de Veracruz, S.A. de C.V.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Default="006A22D8" w:rsidP="00AA6CFE">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 xml:space="preserve">Una vez establecido ello, lo conveniente es el análisis de las premisas que podemos obtener de lo manifestado por </w:t>
      </w:r>
      <w:r w:rsidRPr="00BE7DCE">
        <w:rPr>
          <w:rFonts w:ascii="Palatino Linotype" w:eastAsia="Arial Unicode MS" w:hAnsi="Palatino Linotype" w:cs="Arial"/>
          <w:b/>
        </w:rPr>
        <w:t>EL SUJETO OBLIGADO</w:t>
      </w:r>
      <w:r>
        <w:rPr>
          <w:rFonts w:ascii="Palatino Linotype" w:eastAsia="Arial Unicode MS" w:hAnsi="Palatino Linotype" w:cs="Arial"/>
        </w:rPr>
        <w:t xml:space="preserve"> a través de su respuesta</w:t>
      </w:r>
      <w:r w:rsidR="00DC6647">
        <w:rPr>
          <w:rFonts w:ascii="Palatino Linotype" w:eastAsia="Arial Unicode MS" w:hAnsi="Palatino Linotype" w:cs="Arial"/>
        </w:rPr>
        <w:t xml:space="preserve"> e Informe Justificado </w:t>
      </w:r>
      <w:r>
        <w:rPr>
          <w:rFonts w:ascii="Palatino Linotype" w:eastAsia="Arial Unicode MS" w:hAnsi="Palatino Linotype" w:cs="Arial"/>
        </w:rPr>
        <w:t xml:space="preserve">y de las constancias que integra </w:t>
      </w:r>
      <w:r w:rsidR="00D80DD5">
        <w:rPr>
          <w:rFonts w:ascii="Palatino Linotype" w:eastAsia="Arial Unicode MS" w:hAnsi="Palatino Linotype" w:cs="Arial"/>
        </w:rPr>
        <w:t xml:space="preserve">el </w:t>
      </w:r>
      <w:r>
        <w:rPr>
          <w:rFonts w:ascii="Palatino Linotype" w:eastAsia="Arial Unicode MS" w:hAnsi="Palatino Linotype" w:cs="Arial"/>
        </w:rPr>
        <w:t>expediente electrónico de</w:t>
      </w:r>
      <w:r w:rsidR="00D80DD5">
        <w:rPr>
          <w:rFonts w:ascii="Palatino Linotype" w:eastAsia="Arial Unicode MS" w:hAnsi="Palatino Linotype" w:cs="Arial"/>
        </w:rPr>
        <w:t>l</w:t>
      </w:r>
      <w:r>
        <w:rPr>
          <w:rFonts w:ascii="Palatino Linotype" w:eastAsia="Arial Unicode MS" w:hAnsi="Palatino Linotype" w:cs="Arial"/>
        </w:rPr>
        <w:t xml:space="preserve"> recurso de revisión que en este acto se resuelve:</w:t>
      </w:r>
    </w:p>
    <w:p w:rsidR="006A22D8" w:rsidRDefault="006A22D8" w:rsidP="00AA6CFE">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rPr>
      </w:pPr>
      <w:r w:rsidRPr="0006223A">
        <w:rPr>
          <w:rFonts w:ascii="Palatino Linotype" w:eastAsia="Arial Unicode MS" w:hAnsi="Palatino Linotype" w:cs="Arial"/>
        </w:rPr>
        <w:t xml:space="preserve">Que toda la información requerida por el particular es la relacionada con </w:t>
      </w:r>
      <w:r w:rsidR="00642959" w:rsidRPr="0006223A">
        <w:rPr>
          <w:rFonts w:ascii="Palatino Linotype" w:eastAsia="Arial Unicode MS" w:hAnsi="Palatino Linotype" w:cs="Arial"/>
        </w:rPr>
        <w:t xml:space="preserve">las actuaciones y resultado de las mismas respecto a </w:t>
      </w:r>
      <w:r w:rsidR="001E2E77" w:rsidRPr="0006223A">
        <w:rPr>
          <w:rFonts w:ascii="Palatino Linotype" w:eastAsia="Arial Unicode MS" w:hAnsi="Palatino Linotype" w:cs="Arial"/>
        </w:rPr>
        <w:t>la</w:t>
      </w:r>
      <w:r w:rsidR="0006223A" w:rsidRPr="0006223A">
        <w:rPr>
          <w:rFonts w:ascii="Palatino Linotype" w:eastAsia="Arial Unicode MS" w:hAnsi="Palatino Linotype" w:cs="Arial"/>
        </w:rPr>
        <w:t xml:space="preserve"> visita de verificación </w:t>
      </w:r>
      <w:r w:rsidR="0006223A">
        <w:rPr>
          <w:rFonts w:ascii="Palatino Linotype" w:eastAsia="Arial Unicode MS" w:hAnsi="Palatino Linotype" w:cs="Arial"/>
        </w:rPr>
        <w:t xml:space="preserve">al predio señalado en solicitud. </w:t>
      </w:r>
    </w:p>
    <w:p w:rsidR="006A22D8" w:rsidRPr="005C181A" w:rsidRDefault="006A22D8" w:rsidP="00AA6CFE">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rPr>
      </w:pPr>
      <w:r w:rsidRPr="005C181A">
        <w:rPr>
          <w:rFonts w:ascii="Palatino Linotype" w:eastAsia="Arial Unicode MS" w:hAnsi="Palatino Linotype" w:cs="Arial"/>
        </w:rPr>
        <w:t xml:space="preserve">Que </w:t>
      </w:r>
      <w:r w:rsidR="00642959" w:rsidRPr="005C181A">
        <w:rPr>
          <w:rFonts w:ascii="Palatino Linotype" w:eastAsia="Arial Unicode MS" w:hAnsi="Palatino Linotype" w:cs="Arial"/>
        </w:rPr>
        <w:t xml:space="preserve">para el caso en que </w:t>
      </w:r>
      <w:r w:rsidR="0006223A">
        <w:rPr>
          <w:rFonts w:ascii="Palatino Linotype" w:eastAsia="Arial Unicode MS" w:hAnsi="Palatino Linotype" w:cs="Arial"/>
        </w:rPr>
        <w:t>ya se hubiese llevado a cabo la visita de verificación</w:t>
      </w:r>
      <w:r w:rsidR="00642959" w:rsidRPr="005C181A">
        <w:rPr>
          <w:rFonts w:ascii="Palatino Linotype" w:eastAsia="Arial Unicode MS" w:hAnsi="Palatino Linotype" w:cs="Arial"/>
        </w:rPr>
        <w:t>, ello no implica que estas</w:t>
      </w:r>
      <w:r w:rsidR="00DC6647" w:rsidRPr="005C181A">
        <w:rPr>
          <w:rFonts w:ascii="Palatino Linotype" w:eastAsia="Arial Unicode MS" w:hAnsi="Palatino Linotype" w:cs="Arial"/>
        </w:rPr>
        <w:t xml:space="preserve"> han quedado firme</w:t>
      </w:r>
      <w:r w:rsidR="00BE59EA" w:rsidRPr="005C181A">
        <w:rPr>
          <w:rFonts w:ascii="Palatino Linotype" w:eastAsia="Arial Unicode MS" w:hAnsi="Palatino Linotype" w:cs="Arial"/>
        </w:rPr>
        <w:t>s</w:t>
      </w:r>
      <w:r w:rsidR="000D202B" w:rsidRPr="005C181A">
        <w:rPr>
          <w:rFonts w:ascii="Palatino Linotype" w:eastAsia="Arial Unicode MS" w:hAnsi="Palatino Linotype" w:cs="Arial"/>
        </w:rPr>
        <w:t xml:space="preserve"> pues recae en ella</w:t>
      </w:r>
      <w:r w:rsidR="00DC6647" w:rsidRPr="005C181A">
        <w:rPr>
          <w:rFonts w:ascii="Palatino Linotype" w:eastAsia="Arial Unicode MS" w:hAnsi="Palatino Linotype" w:cs="Arial"/>
        </w:rPr>
        <w:t>s figuras de impugnación</w:t>
      </w:r>
      <w:r w:rsidRPr="005C181A">
        <w:rPr>
          <w:rFonts w:ascii="Palatino Linotype" w:eastAsia="Arial Unicode MS" w:hAnsi="Palatino Linotype" w:cs="Arial"/>
        </w:rPr>
        <w:t>.</w:t>
      </w:r>
    </w:p>
    <w:p w:rsidR="001E2E77" w:rsidRPr="001E2E77" w:rsidRDefault="006A22D8" w:rsidP="00AA6CFE">
      <w:pPr>
        <w:pStyle w:val="Prrafodelista"/>
        <w:widowControl w:val="0"/>
        <w:numPr>
          <w:ilvl w:val="0"/>
          <w:numId w:val="10"/>
        </w:numPr>
        <w:autoSpaceDE w:val="0"/>
        <w:autoSpaceDN w:val="0"/>
        <w:adjustRightInd w:val="0"/>
        <w:spacing w:before="100" w:beforeAutospacing="1" w:after="100" w:afterAutospacing="1" w:line="360" w:lineRule="auto"/>
        <w:ind w:right="757"/>
        <w:contextualSpacing w:val="0"/>
        <w:jc w:val="both"/>
        <w:rPr>
          <w:rFonts w:ascii="Palatino Linotype" w:eastAsia="Arial Unicode MS" w:hAnsi="Palatino Linotype" w:cs="Arial"/>
          <w:sz w:val="22"/>
        </w:rPr>
      </w:pPr>
      <w:r w:rsidRPr="005C181A">
        <w:rPr>
          <w:rFonts w:ascii="Palatino Linotype" w:eastAsia="Arial Unicode MS" w:hAnsi="Palatino Linotype" w:cs="Arial"/>
        </w:rPr>
        <w:t xml:space="preserve">Que </w:t>
      </w:r>
      <w:r w:rsidR="001E2E77" w:rsidRPr="005C181A">
        <w:rPr>
          <w:rFonts w:ascii="Palatino Linotype" w:eastAsia="Arial Unicode MS" w:hAnsi="Palatino Linotype" w:cs="Arial"/>
        </w:rPr>
        <w:t>suponiendo sin conceder que todo el expediente generado con motivo de la</w:t>
      </w:r>
      <w:r w:rsidR="0006223A">
        <w:rPr>
          <w:rFonts w:ascii="Palatino Linotype" w:eastAsia="Arial Unicode MS" w:hAnsi="Palatino Linotype" w:cs="Arial"/>
        </w:rPr>
        <w:t xml:space="preserve"> visita de verificación al predio señalado </w:t>
      </w:r>
      <w:r w:rsidR="001E2E77" w:rsidRPr="005C181A">
        <w:rPr>
          <w:rFonts w:ascii="Palatino Linotype" w:eastAsia="Arial Unicode MS" w:hAnsi="Palatino Linotype" w:cs="Arial"/>
        </w:rPr>
        <w:t xml:space="preserve">se encuentre inmerso en un procedimiento administrativo que a la fecha de la resolución no haya quedado firme, el Comité de Transparencia deberá </w:t>
      </w:r>
      <w:r w:rsidR="001E2E77" w:rsidRPr="005C181A">
        <w:rPr>
          <w:rFonts w:ascii="Palatino Linotype" w:eastAsia="Arial Unicode MS" w:hAnsi="Palatino Linotype" w:cs="Arial"/>
        </w:rPr>
        <w:lastRenderedPageBreak/>
        <w:t>emitir un acuerdo de reserva de la información y confidencialidad en caso de contener datos personales pero con las formalidades exigidas por la normatividad aplicable en la materia.</w:t>
      </w:r>
    </w:p>
    <w:p w:rsidR="006A22D8" w:rsidRPr="005606EB" w:rsidRDefault="006A22D8" w:rsidP="00AA6CFE">
      <w:pPr>
        <w:widowControl w:val="0"/>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eastAsia="Arial Unicode MS" w:hAnsi="Palatino Linotype" w:cs="Arial"/>
        </w:rPr>
        <w:t xml:space="preserve">Al respecto, la Ley de Transparencia y Acceso a la Información Pública del Estado de México y Municipios señala que para la clasificación </w:t>
      </w:r>
      <w:r w:rsidRPr="005606EB">
        <w:rPr>
          <w:rFonts w:ascii="Palatino Linotype" w:hAnsi="Palatino Linotype" w:cs="Arial"/>
        </w:rPr>
        <w:t>formal</w:t>
      </w:r>
      <w:r>
        <w:rPr>
          <w:rFonts w:ascii="Palatino Linotype" w:hAnsi="Palatino Linotype" w:cs="Arial"/>
        </w:rPr>
        <w:t xml:space="preserve"> de </w:t>
      </w:r>
      <w:r w:rsidRPr="005606EB">
        <w:rPr>
          <w:rFonts w:ascii="Palatino Linotype" w:hAnsi="Palatino Linotype" w:cs="Arial"/>
        </w:rPr>
        <w:t xml:space="preserve">la información solicitada </w:t>
      </w:r>
      <w:r w:rsidRPr="005606EB">
        <w:rPr>
          <w:rFonts w:ascii="Palatino Linotype" w:hAnsi="Palatino Linotype" w:cs="Arial"/>
          <w:b/>
        </w:rPr>
        <w:t>EL SUJETO OBLIGADO</w:t>
      </w:r>
      <w:r>
        <w:rPr>
          <w:rFonts w:ascii="Palatino Linotype" w:hAnsi="Palatino Linotype" w:cs="Arial"/>
        </w:rPr>
        <w:t xml:space="preserve"> deberá remitir el debido</w:t>
      </w:r>
      <w:r w:rsidRPr="005606EB">
        <w:rPr>
          <w:rFonts w:ascii="Palatino Linotype" w:hAnsi="Palatino Linotype" w:cs="Arial"/>
        </w:rPr>
        <w:t xml:space="preserve"> Acuerdo de clasificación </w:t>
      </w:r>
      <w:r>
        <w:rPr>
          <w:rFonts w:ascii="Palatino Linotype" w:hAnsi="Palatino Linotype" w:cs="Arial"/>
        </w:rPr>
        <w:t xml:space="preserve">fundado y motivado donde determine la clasificación de </w:t>
      </w:r>
      <w:r w:rsidRPr="005606EB">
        <w:rPr>
          <w:rFonts w:ascii="Palatino Linotype" w:hAnsi="Palatino Linotype" w:cs="Arial"/>
        </w:rPr>
        <w:t xml:space="preserve">la información como reservada, </w:t>
      </w:r>
      <w:r>
        <w:rPr>
          <w:rFonts w:ascii="Palatino Linotype" w:hAnsi="Palatino Linotype" w:cs="Arial"/>
        </w:rPr>
        <w:t xml:space="preserve">de conformidad con lo dispuesto </w:t>
      </w:r>
      <w:r w:rsidRPr="005606EB">
        <w:rPr>
          <w:rFonts w:ascii="Palatino Linotype" w:hAnsi="Palatino Linotype" w:cs="Arial"/>
        </w:rPr>
        <w:t>en los numerales 49</w:t>
      </w:r>
      <w:r w:rsidR="00BE59EA">
        <w:rPr>
          <w:rFonts w:ascii="Palatino Linotype" w:hAnsi="Palatino Linotype" w:cs="Arial"/>
        </w:rPr>
        <w:t>,</w:t>
      </w:r>
      <w:r w:rsidRPr="005606EB">
        <w:rPr>
          <w:rFonts w:ascii="Palatino Linotype" w:hAnsi="Palatino Linotype" w:cs="Arial"/>
        </w:rPr>
        <w:t xml:space="preserve"> fracción VIII y 132 fracciones </w:t>
      </w:r>
      <w:r>
        <w:rPr>
          <w:rFonts w:ascii="Palatino Linotype" w:hAnsi="Palatino Linotype" w:cs="Arial"/>
        </w:rPr>
        <w:t xml:space="preserve">I, </w:t>
      </w:r>
      <w:r w:rsidRPr="005606EB">
        <w:rPr>
          <w:rFonts w:ascii="Palatino Linotype" w:hAnsi="Palatino Linotype" w:cs="Arial"/>
        </w:rPr>
        <w:t>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 xml:space="preserve">“Artículo 49. </w:t>
      </w:r>
      <w:r w:rsidRPr="005606EB">
        <w:rPr>
          <w:rFonts w:ascii="Palatino Linotype" w:hAnsi="Palatino Linotype" w:cs="Arial"/>
          <w:i/>
          <w:sz w:val="22"/>
          <w:szCs w:val="22"/>
          <w:lang w:eastAsia="es-MX"/>
        </w:rPr>
        <w:t>Los Comités de Transparencia tendrán las siguientes atribuciones: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VIII.</w:t>
      </w:r>
      <w:r w:rsidRPr="005606EB">
        <w:rPr>
          <w:rFonts w:ascii="Palatino Linotype" w:hAnsi="Palatino Linotype" w:cs="Arial"/>
          <w:i/>
          <w:sz w:val="22"/>
          <w:szCs w:val="22"/>
          <w:lang w:eastAsia="es-MX"/>
        </w:rPr>
        <w:t xml:space="preserve"> Aprobar, modificar o revocar la clasificación de la información;</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Artículo 132.</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AA6CFE">
      <w:pPr>
        <w:ind w:left="709" w:right="760"/>
        <w:jc w:val="both"/>
        <w:rPr>
          <w:rFonts w:ascii="Palatino Linotype" w:hAnsi="Palatino Linotype" w:cs="Arial"/>
          <w:b/>
          <w:i/>
          <w:sz w:val="22"/>
          <w:szCs w:val="22"/>
          <w:lang w:eastAsia="es-MX"/>
        </w:rPr>
      </w:pPr>
      <w:r w:rsidRPr="005606EB">
        <w:rPr>
          <w:rFonts w:ascii="Palatino Linotype" w:hAnsi="Palatino Linotype" w:cs="Arial"/>
          <w:i/>
          <w:sz w:val="22"/>
          <w:szCs w:val="22"/>
          <w:lang w:eastAsia="es-MX"/>
        </w:rPr>
        <w:t>III. Se generen versiones públicas para dar cumplimiento a las obligaciones de transparencia previstas en esta Ley.</w:t>
      </w:r>
      <w:r w:rsidRPr="005606EB">
        <w:rPr>
          <w:rFonts w:ascii="Palatino Linotype" w:hAnsi="Palatino Linotype" w:cs="Arial"/>
          <w:b/>
          <w:i/>
          <w:sz w:val="22"/>
          <w:szCs w:val="22"/>
          <w:lang w:eastAsia="es-MX"/>
        </w:rPr>
        <w:t>”</w:t>
      </w:r>
    </w:p>
    <w:p w:rsidR="006A22D8" w:rsidRPr="005606EB" w:rsidRDefault="006A22D8" w:rsidP="00AA6CFE">
      <w:pPr>
        <w:ind w:left="709" w:right="760"/>
        <w:jc w:val="both"/>
        <w:rPr>
          <w:rFonts w:ascii="Palatino Linotype" w:hAnsi="Palatino Linotype" w:cs="Arial"/>
          <w:b/>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Cuarto.</w:t>
      </w:r>
      <w:r w:rsidRPr="005606EB">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5606EB">
        <w:rPr>
          <w:rFonts w:ascii="Palatino Linotype" w:hAnsi="Palatino Linotype" w:cs="Arial"/>
          <w:i/>
          <w:sz w:val="22"/>
          <w:szCs w:val="22"/>
          <w:lang w:eastAsia="es-MX"/>
        </w:rPr>
        <w:lastRenderedPageBreak/>
        <w:t>lineamientos, así como en aquellas disposiciones legales aplicables a la materia en el ámbito de sus respectivas competencias, en tanto estas últimas no contravengan lo dispuesto en la Ley General.</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Quinto.</w:t>
      </w:r>
      <w:r w:rsidRPr="005606E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Sexto.</w:t>
      </w:r>
      <w:r w:rsidRPr="005606E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Séptimo.</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III.</w:t>
      </w:r>
      <w:r w:rsidRPr="005606E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lastRenderedPageBreak/>
        <w:t>Octavo.</w:t>
      </w:r>
      <w:r w:rsidRPr="005606E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0D202B" w:rsidRDefault="000D202B"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A3262E" w:rsidRPr="005606EB" w:rsidRDefault="00A3262E"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Noveno.</w:t>
      </w:r>
      <w:r w:rsidRPr="005606E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Décimo.</w:t>
      </w:r>
      <w:r w:rsidRPr="005606E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A22D8" w:rsidRPr="005606EB" w:rsidRDefault="006A22D8" w:rsidP="00AA6CFE">
      <w:pPr>
        <w:ind w:left="709" w:right="760"/>
        <w:jc w:val="both"/>
        <w:rPr>
          <w:rFonts w:ascii="Palatino Linotype" w:hAnsi="Palatino Linotype" w:cs="Arial"/>
          <w:i/>
          <w:sz w:val="22"/>
          <w:szCs w:val="22"/>
          <w:lang w:eastAsia="es-MX"/>
        </w:rPr>
      </w:pPr>
    </w:p>
    <w:p w:rsidR="006A22D8" w:rsidRDefault="006A22D8" w:rsidP="00AA6CFE">
      <w:pPr>
        <w:ind w:left="709" w:right="760"/>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A22D8" w:rsidRPr="005606EB" w:rsidRDefault="006A22D8" w:rsidP="00AA6CFE">
      <w:pPr>
        <w:ind w:left="709" w:right="760"/>
        <w:jc w:val="both"/>
        <w:rPr>
          <w:rFonts w:ascii="Palatino Linotype" w:hAnsi="Palatino Linotype" w:cs="Arial"/>
          <w:i/>
          <w:sz w:val="22"/>
          <w:szCs w:val="22"/>
          <w:lang w:eastAsia="es-MX"/>
        </w:rPr>
      </w:pPr>
    </w:p>
    <w:p w:rsidR="006A22D8" w:rsidRPr="005606EB" w:rsidRDefault="006A22D8" w:rsidP="00AA6CFE">
      <w:pPr>
        <w:ind w:left="709" w:right="760"/>
        <w:jc w:val="both"/>
        <w:rPr>
          <w:rFonts w:ascii="Palatino Linotype" w:hAnsi="Palatino Linotype" w:cs="Arial"/>
          <w:b/>
          <w:i/>
          <w:sz w:val="22"/>
          <w:szCs w:val="22"/>
          <w:lang w:eastAsia="es-MX"/>
        </w:rPr>
      </w:pPr>
      <w:r w:rsidRPr="005606EB">
        <w:rPr>
          <w:rFonts w:ascii="Palatino Linotype" w:hAnsi="Palatino Linotype" w:cs="Arial"/>
          <w:b/>
          <w:i/>
          <w:sz w:val="22"/>
          <w:szCs w:val="22"/>
          <w:lang w:eastAsia="es-MX"/>
        </w:rPr>
        <w:t>Décimo primero.</w:t>
      </w:r>
      <w:r w:rsidRPr="005606E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5606EB">
        <w:rPr>
          <w:rFonts w:ascii="Palatino Linotype" w:hAnsi="Palatino Linotype" w:cs="Arial"/>
          <w:i/>
          <w:sz w:val="22"/>
          <w:szCs w:val="22"/>
          <w:lang w:eastAsia="es-MX"/>
        </w:rPr>
        <w:lastRenderedPageBreak/>
        <w:t>llevar la leyenda correspondiente de conformidad con lo dispuesto en el Capítulo VIII de los presentes lineamientos.</w:t>
      </w:r>
      <w:r w:rsidRPr="005606EB">
        <w:rPr>
          <w:rFonts w:ascii="Palatino Linotype" w:hAnsi="Palatino Linotype" w:cs="Arial"/>
          <w:b/>
          <w:i/>
          <w:sz w:val="22"/>
          <w:szCs w:val="22"/>
          <w:lang w:eastAsia="es-MX"/>
        </w:rPr>
        <w:t>”</w:t>
      </w:r>
    </w:p>
    <w:p w:rsidR="006A22D8" w:rsidRDefault="006A22D8" w:rsidP="00AA6CFE">
      <w:pPr>
        <w:spacing w:before="100" w:beforeAutospacing="1" w:after="100" w:afterAutospacing="1" w:line="360" w:lineRule="auto"/>
        <w:ind w:right="49"/>
        <w:jc w:val="both"/>
        <w:rPr>
          <w:rFonts w:ascii="Palatino Linotype" w:hAnsi="Palatino Linotype" w:cs="Arial"/>
        </w:rPr>
      </w:pPr>
      <w:r>
        <w:rPr>
          <w:rFonts w:ascii="Palatino Linotype" w:eastAsia="Arial Unicode MS" w:hAnsi="Palatino Linotype" w:cs="Arial"/>
        </w:rPr>
        <w:t xml:space="preserve">Ahora bien, en </w:t>
      </w:r>
      <w:r>
        <w:rPr>
          <w:rFonts w:ascii="Palatino Linotype" w:hAnsi="Palatino Linotype" w:cs="Arial"/>
        </w:rPr>
        <w:t>dicho</w:t>
      </w:r>
      <w:r w:rsidRPr="00FF4450">
        <w:rPr>
          <w:rFonts w:ascii="Palatino Linotype" w:hAnsi="Palatino Linotype" w:cs="Arial"/>
        </w:rPr>
        <w:t xml:space="preserve"> Acuerdo de Clasificación de la Información </w:t>
      </w:r>
      <w:r>
        <w:rPr>
          <w:rFonts w:ascii="Palatino Linotype" w:hAnsi="Palatino Linotype" w:cs="Arial"/>
        </w:rPr>
        <w:t>no debe realizarse un</w:t>
      </w:r>
      <w:r w:rsidRPr="00FF4450">
        <w:rPr>
          <w:rFonts w:ascii="Palatino Linotype" w:hAnsi="Palatino Linotype" w:cs="Arial"/>
        </w:rPr>
        <w:t xml:space="preserve"> pr</w:t>
      </w:r>
      <w:r>
        <w:rPr>
          <w:rFonts w:ascii="Palatino Linotype" w:hAnsi="Palatino Linotype" w:cs="Arial"/>
        </w:rPr>
        <w:t xml:space="preserve">onunciamiento de manera general, sino que debe demostrar que la entrega de la información </w:t>
      </w:r>
      <w:r w:rsidRPr="00FF4450">
        <w:rPr>
          <w:rFonts w:ascii="Palatino Linotype" w:hAnsi="Palatino Linotype" w:cs="Arial"/>
        </w:rPr>
        <w:t xml:space="preserve">constituye un riesgo, real, demostrable e identificable, determinación que </w:t>
      </w:r>
      <w:r w:rsidR="00BE59EA">
        <w:rPr>
          <w:rFonts w:ascii="Palatino Linotype" w:hAnsi="Palatino Linotype" w:cs="Arial"/>
        </w:rPr>
        <w:t xml:space="preserve">se </w:t>
      </w:r>
      <w:r>
        <w:rPr>
          <w:rFonts w:ascii="Palatino Linotype" w:hAnsi="Palatino Linotype" w:cs="Arial"/>
        </w:rPr>
        <w:t xml:space="preserve">hará </w:t>
      </w:r>
      <w:r w:rsidRPr="00FF4450">
        <w:rPr>
          <w:rFonts w:ascii="Palatino Linotype" w:hAnsi="Palatino Linotype" w:cs="Arial"/>
        </w:rPr>
        <w:t xml:space="preserve">con precisión, </w:t>
      </w:r>
      <w:r w:rsidR="005C181A">
        <w:rPr>
          <w:rFonts w:ascii="Palatino Linotype" w:hAnsi="Palatino Linotype" w:cs="Arial"/>
        </w:rPr>
        <w:t xml:space="preserve">aunado </w:t>
      </w:r>
      <w:r w:rsidRPr="00FF4450">
        <w:rPr>
          <w:rFonts w:ascii="Palatino Linotype" w:hAnsi="Palatino Linotype" w:cs="Arial"/>
        </w:rPr>
        <w:t>motiv</w:t>
      </w:r>
      <w:r>
        <w:rPr>
          <w:rFonts w:ascii="Palatino Linotype" w:hAnsi="Palatino Linotype" w:cs="Arial"/>
        </w:rPr>
        <w:t>ar</w:t>
      </w:r>
      <w:r w:rsidRPr="00FF4450">
        <w:rPr>
          <w:rFonts w:ascii="Palatino Linotype" w:hAnsi="Palatino Linotype" w:cs="Arial"/>
        </w:rPr>
        <w:t xml:space="preserve"> las razones o circunstancias especiales por las que el caso particular se ajusta al supuesto previsto por la norma legal invocada, fund</w:t>
      </w:r>
      <w:r>
        <w:rPr>
          <w:rFonts w:ascii="Palatino Linotype" w:hAnsi="Palatino Linotype" w:cs="Arial"/>
        </w:rPr>
        <w:t>ando</w:t>
      </w:r>
      <w:r w:rsidRPr="00FF4450">
        <w:rPr>
          <w:rFonts w:ascii="Palatino Linotype" w:hAnsi="Palatino Linotype" w:cs="Arial"/>
        </w:rPr>
        <w:t xml:space="preserve"> la prueba de daño y causales de reserva con las disposiciones señaladas en los artículos 129, 140 y 141 de la Ley de Transparencia y Acceso a la Información Pública del Estado de México y Municipios</w:t>
      </w:r>
      <w:r>
        <w:rPr>
          <w:rFonts w:ascii="Palatino Linotype" w:hAnsi="Palatino Linotype" w:cs="Arial"/>
        </w:rPr>
        <w:t>, que a la letra dicta:</w:t>
      </w:r>
    </w:p>
    <w:p w:rsidR="006A22D8" w:rsidRDefault="006A22D8" w:rsidP="00AA6CFE">
      <w:pPr>
        <w:ind w:left="709" w:right="760"/>
        <w:jc w:val="both"/>
        <w:rPr>
          <w:rFonts w:ascii="Palatino Linotype" w:hAnsi="Palatino Linotype" w:cs="Arial"/>
          <w:i/>
          <w:sz w:val="22"/>
        </w:rPr>
      </w:pPr>
      <w:r>
        <w:rPr>
          <w:rFonts w:ascii="Palatino Linotype" w:hAnsi="Palatino Linotype" w:cs="Arial"/>
          <w:i/>
          <w:sz w:val="22"/>
        </w:rPr>
        <w:t>“</w:t>
      </w:r>
      <w:r w:rsidRPr="000501DB">
        <w:rPr>
          <w:rFonts w:ascii="Palatino Linotype" w:hAnsi="Palatino Linotype" w:cs="Arial"/>
          <w:b/>
          <w:i/>
          <w:sz w:val="22"/>
        </w:rPr>
        <w:t>Artículo 129</w:t>
      </w:r>
      <w:r w:rsidRPr="000501DB">
        <w:rPr>
          <w:rFonts w:ascii="Palatino Linotype" w:hAnsi="Palatino Linotype" w:cs="Arial"/>
          <w:i/>
          <w:sz w:val="22"/>
        </w:rPr>
        <w:t>. En la aplicación de la prueba de daño, el sujeto obligado deberá precisar las razones objetivas por las que la</w:t>
      </w:r>
      <w:r>
        <w:rPr>
          <w:rFonts w:ascii="Palatino Linotype" w:hAnsi="Palatino Linotype" w:cs="Arial"/>
          <w:i/>
          <w:sz w:val="22"/>
        </w:rPr>
        <w:t xml:space="preserve"> </w:t>
      </w:r>
      <w:r w:rsidRPr="000501DB">
        <w:rPr>
          <w:rFonts w:ascii="Palatino Linotype" w:hAnsi="Palatino Linotype" w:cs="Arial"/>
          <w:i/>
          <w:sz w:val="22"/>
        </w:rPr>
        <w:t>apertura de la información generaría una afectación, justificando que:</w:t>
      </w:r>
    </w:p>
    <w:p w:rsidR="006A22D8" w:rsidRPr="000501DB"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w:t>
      </w:r>
      <w:r w:rsidRPr="000501DB">
        <w:rPr>
          <w:rFonts w:ascii="Palatino Linotype" w:hAnsi="Palatino Linotype" w:cs="Arial"/>
          <w:i/>
          <w:sz w:val="22"/>
        </w:rPr>
        <w:t>. La divulgación de la información representa un riesgo real, demostrable e identificable del perjuicio significativo al interés</w:t>
      </w:r>
      <w:r>
        <w:rPr>
          <w:rFonts w:ascii="Palatino Linotype" w:hAnsi="Palatino Linotype" w:cs="Arial"/>
          <w:i/>
          <w:sz w:val="22"/>
        </w:rPr>
        <w:t xml:space="preserve"> </w:t>
      </w:r>
      <w:r w:rsidRPr="000501DB">
        <w:rPr>
          <w:rFonts w:ascii="Palatino Linotype" w:hAnsi="Palatino Linotype" w:cs="Arial"/>
          <w:i/>
          <w:sz w:val="22"/>
        </w:rPr>
        <w:t>público o a la seguridad pública;</w:t>
      </w: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II</w:t>
      </w:r>
      <w:r w:rsidRPr="000501DB">
        <w:rPr>
          <w:rFonts w:ascii="Palatino Linotype" w:hAnsi="Palatino Linotype" w:cs="Arial"/>
          <w:i/>
          <w:sz w:val="22"/>
        </w:rPr>
        <w:t>. El riesgo de perjuicio que supondría la divulgación supera el interés público general de que se difunda; y</w:t>
      </w:r>
      <w:r>
        <w:rPr>
          <w:rFonts w:ascii="Palatino Linotype" w:hAnsi="Palatino Linotype" w:cs="Arial"/>
          <w:i/>
          <w:sz w:val="22"/>
        </w:rPr>
        <w:t xml:space="preserve"> </w:t>
      </w:r>
    </w:p>
    <w:p w:rsidR="006A22D8"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III</w:t>
      </w:r>
      <w:r w:rsidRPr="000501DB">
        <w:rPr>
          <w:rFonts w:ascii="Palatino Linotype" w:hAnsi="Palatino Linotype" w:cs="Arial"/>
          <w:i/>
          <w:sz w:val="22"/>
        </w:rPr>
        <w:t>. La limitación se adecua al principio de proporcionalidad y representa el medio menos restrictivo disponible representa el</w:t>
      </w:r>
      <w:r>
        <w:rPr>
          <w:rFonts w:ascii="Palatino Linotype" w:hAnsi="Palatino Linotype" w:cs="Arial"/>
          <w:i/>
          <w:sz w:val="22"/>
        </w:rPr>
        <w:t xml:space="preserve"> </w:t>
      </w:r>
      <w:r w:rsidRPr="000501DB">
        <w:rPr>
          <w:rFonts w:ascii="Palatino Linotype" w:hAnsi="Palatino Linotype" w:cs="Arial"/>
          <w:i/>
          <w:sz w:val="22"/>
        </w:rPr>
        <w:t>medio menos restrictivo disponible para evitar el perjuicio.</w:t>
      </w:r>
    </w:p>
    <w:p w:rsidR="000D202B" w:rsidRDefault="000D202B" w:rsidP="00AA6CFE">
      <w:pPr>
        <w:ind w:left="709" w:right="760"/>
        <w:jc w:val="both"/>
        <w:rPr>
          <w:rFonts w:ascii="Palatino Linotype" w:hAnsi="Palatino Linotype" w:cs="Arial"/>
          <w:b/>
          <w:i/>
          <w:sz w:val="22"/>
        </w:rPr>
      </w:pPr>
    </w:p>
    <w:p w:rsidR="006A22D8" w:rsidRDefault="006A22D8" w:rsidP="00AA6CFE">
      <w:pPr>
        <w:ind w:left="709" w:right="760"/>
        <w:jc w:val="both"/>
        <w:rPr>
          <w:rFonts w:ascii="Palatino Linotype" w:hAnsi="Palatino Linotype" w:cs="Arial"/>
          <w:i/>
          <w:sz w:val="22"/>
        </w:rPr>
      </w:pPr>
      <w:r w:rsidRPr="000501DB">
        <w:rPr>
          <w:rFonts w:ascii="Palatino Linotype" w:hAnsi="Palatino Linotype" w:cs="Arial"/>
          <w:b/>
          <w:i/>
          <w:sz w:val="22"/>
        </w:rPr>
        <w:t>Artículo 140</w:t>
      </w:r>
      <w:r w:rsidRPr="000501DB">
        <w:rPr>
          <w:rFonts w:ascii="Palatino Linotype" w:hAnsi="Palatino Linotype" w:cs="Arial"/>
          <w:i/>
          <w:sz w:val="22"/>
        </w:rPr>
        <w:t>. El acceso a la información pública será restringido excepcionalmente, cuando por razones de interés público,</w:t>
      </w:r>
      <w:r>
        <w:rPr>
          <w:rFonts w:ascii="Palatino Linotype" w:hAnsi="Palatino Linotype" w:cs="Arial"/>
          <w:i/>
          <w:sz w:val="22"/>
        </w:rPr>
        <w:t xml:space="preserve"> </w:t>
      </w:r>
      <w:r w:rsidRPr="000501DB">
        <w:rPr>
          <w:rFonts w:ascii="Palatino Linotype" w:hAnsi="Palatino Linotype" w:cs="Arial"/>
          <w:i/>
          <w:sz w:val="22"/>
        </w:rPr>
        <w:t>ésta sea clasificada como reservada, conforme a los criterios siguientes:</w:t>
      </w:r>
    </w:p>
    <w:p w:rsidR="006A22D8" w:rsidRPr="000501DB"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 Comprometa la seguridad pública y cuente con un propósito genuino y un efecto demostrable;</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II. Pueda menoscabar la conducción de las negociaciones y relaciones internacionales;</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III. Se entregue a la Entidad expresamente con ese caráct</w:t>
      </w:r>
      <w:r>
        <w:rPr>
          <w:rFonts w:ascii="Palatino Linotype" w:hAnsi="Palatino Linotype" w:cs="Arial"/>
          <w:i/>
          <w:sz w:val="22"/>
        </w:rPr>
        <w:t xml:space="preserve">er o el de confidencialidad por otro u otros sujetos de derecho </w:t>
      </w:r>
      <w:r w:rsidRPr="000501DB">
        <w:rPr>
          <w:rFonts w:ascii="Palatino Linotype" w:hAnsi="Palatino Linotype" w:cs="Arial"/>
          <w:i/>
          <w:sz w:val="22"/>
        </w:rPr>
        <w:t>internacional, excepto cuando se trate de violaciones graves de derechos humanos o delitos de lesa humanidad de</w:t>
      </w:r>
      <w:r>
        <w:rPr>
          <w:rFonts w:ascii="Palatino Linotype" w:hAnsi="Palatino Linotype" w:cs="Arial"/>
          <w:i/>
          <w:sz w:val="22"/>
        </w:rPr>
        <w:t xml:space="preserve"> </w:t>
      </w:r>
      <w:r w:rsidRPr="000501DB">
        <w:rPr>
          <w:rFonts w:ascii="Palatino Linotype" w:hAnsi="Palatino Linotype" w:cs="Arial"/>
          <w:i/>
          <w:sz w:val="22"/>
        </w:rPr>
        <w:t>conformidad con el derecho internacional;</w:t>
      </w:r>
    </w:p>
    <w:p w:rsidR="006A22D8" w:rsidRDefault="006A22D8" w:rsidP="00AA6CFE">
      <w:pPr>
        <w:ind w:left="709" w:right="760"/>
        <w:jc w:val="both"/>
        <w:rPr>
          <w:rFonts w:ascii="Palatino Linotype" w:hAnsi="Palatino Linotype" w:cs="Arial"/>
          <w:i/>
          <w:sz w:val="22"/>
        </w:rPr>
      </w:pPr>
    </w:p>
    <w:p w:rsidR="006A22D8" w:rsidRPr="000501DB" w:rsidRDefault="006A22D8" w:rsidP="00AA6CFE">
      <w:pPr>
        <w:ind w:left="709" w:right="760"/>
        <w:jc w:val="both"/>
        <w:rPr>
          <w:rFonts w:ascii="Palatino Linotype" w:hAnsi="Palatino Linotype" w:cs="Arial"/>
          <w:i/>
          <w:sz w:val="22"/>
        </w:rPr>
      </w:pPr>
      <w:r w:rsidRPr="000501DB">
        <w:rPr>
          <w:rFonts w:ascii="Palatino Linotype" w:hAnsi="Palatino Linotype" w:cs="Arial"/>
          <w:i/>
          <w:sz w:val="22"/>
        </w:rPr>
        <w:t>IV. Ponga en riesgo la vida, la seguridad o la salud de una persona física;</w:t>
      </w:r>
    </w:p>
    <w:p w:rsidR="006A22D8" w:rsidRDefault="006A22D8" w:rsidP="00AA6CFE">
      <w:pPr>
        <w:ind w:left="709" w:right="760"/>
        <w:jc w:val="both"/>
        <w:rPr>
          <w:rFonts w:ascii="Palatino Linotype" w:hAnsi="Palatino Linotype" w:cs="Arial"/>
          <w:i/>
          <w:sz w:val="22"/>
        </w:rPr>
      </w:pPr>
    </w:p>
    <w:p w:rsidR="006A22D8" w:rsidRPr="0076646A" w:rsidRDefault="006A22D8" w:rsidP="00AA6CFE">
      <w:pPr>
        <w:ind w:left="709" w:right="760"/>
        <w:jc w:val="both"/>
        <w:rPr>
          <w:rFonts w:ascii="Palatino Linotype" w:hAnsi="Palatino Linotype" w:cs="Arial"/>
          <w:i/>
          <w:sz w:val="22"/>
        </w:rPr>
      </w:pPr>
      <w:r w:rsidRPr="0076646A">
        <w:rPr>
          <w:rFonts w:ascii="Palatino Linotype" w:hAnsi="Palatino Linotype" w:cs="Arial"/>
          <w:i/>
          <w:sz w:val="22"/>
        </w:rPr>
        <w:t>V. Aquella cuya divulgación obstruya o pueda causar un serio perjuicio a:</w:t>
      </w:r>
    </w:p>
    <w:p w:rsidR="006A22D8" w:rsidRPr="0076646A" w:rsidRDefault="006A22D8" w:rsidP="00AA6CFE">
      <w:pPr>
        <w:ind w:left="709" w:right="760"/>
        <w:jc w:val="both"/>
        <w:rPr>
          <w:rFonts w:ascii="Palatino Linotype" w:hAnsi="Palatino Linotype" w:cs="Arial"/>
          <w:i/>
          <w:sz w:val="22"/>
        </w:rPr>
      </w:pPr>
    </w:p>
    <w:p w:rsidR="006A22D8" w:rsidRPr="0076646A" w:rsidRDefault="006A22D8" w:rsidP="00AA6CFE">
      <w:pPr>
        <w:ind w:left="1416" w:right="760"/>
        <w:jc w:val="both"/>
        <w:rPr>
          <w:rFonts w:ascii="Palatino Linotype" w:hAnsi="Palatino Linotype" w:cs="Arial"/>
          <w:i/>
          <w:sz w:val="22"/>
        </w:rPr>
      </w:pPr>
      <w:r w:rsidRPr="0076646A">
        <w:rPr>
          <w:rFonts w:ascii="Palatino Linotype" w:hAnsi="Palatino Linotype" w:cs="Arial"/>
          <w:i/>
          <w:sz w:val="22"/>
        </w:rPr>
        <w:t>1. Las actividades de fiscalización, verificación, inspección, comprobación y auditoría sobre el cumplimiento de las Leyes; o</w:t>
      </w:r>
    </w:p>
    <w:p w:rsidR="006A22D8" w:rsidRDefault="006A22D8" w:rsidP="00AA6CFE">
      <w:pPr>
        <w:ind w:left="709" w:right="760" w:firstLine="707"/>
        <w:jc w:val="both"/>
        <w:rPr>
          <w:rFonts w:ascii="Palatino Linotype" w:hAnsi="Palatino Linotype" w:cs="Arial"/>
          <w:i/>
          <w:sz w:val="22"/>
        </w:rPr>
      </w:pPr>
      <w:r w:rsidRPr="000501DB">
        <w:rPr>
          <w:rFonts w:ascii="Palatino Linotype" w:hAnsi="Palatino Linotype" w:cs="Arial"/>
          <w:i/>
          <w:sz w:val="22"/>
        </w:rPr>
        <w:t>2. La recaudación de las contribuciones.</w:t>
      </w:r>
    </w:p>
    <w:p w:rsidR="006A22D8" w:rsidRDefault="006A22D8" w:rsidP="00AA6CFE">
      <w:pPr>
        <w:ind w:left="709" w:right="760" w:firstLine="707"/>
        <w:jc w:val="both"/>
        <w:rPr>
          <w:rFonts w:ascii="Palatino Linotype" w:hAnsi="Palatino Linotype" w:cs="Arial"/>
          <w:i/>
          <w:sz w:val="22"/>
        </w:rPr>
      </w:pPr>
    </w:p>
    <w:p w:rsidR="006A22D8" w:rsidRDefault="006A22D8" w:rsidP="00AA6CFE">
      <w:pPr>
        <w:ind w:left="705" w:right="760"/>
        <w:jc w:val="both"/>
        <w:rPr>
          <w:rFonts w:ascii="Palatino Linotype" w:hAnsi="Palatino Linotype" w:cs="Arial"/>
          <w:i/>
          <w:sz w:val="22"/>
        </w:rPr>
      </w:pPr>
      <w:r w:rsidRPr="005C181A">
        <w:rPr>
          <w:rFonts w:ascii="Palatino Linotype" w:hAnsi="Palatino Linotype" w:cs="Arial"/>
          <w:i/>
          <w:sz w:val="22"/>
        </w:rPr>
        <w:t>VI. Pueda causar daño u obstruya la prevención o persecución</w:t>
      </w:r>
      <w:r w:rsidRPr="0076646A">
        <w:rPr>
          <w:rFonts w:ascii="Palatino Linotype" w:hAnsi="Palatino Linotype" w:cs="Arial"/>
          <w:i/>
          <w:sz w:val="22"/>
        </w:rPr>
        <w:t xml:space="preserve"> de los delitos, altere el proceso de investigación de las</w:t>
      </w:r>
      <w:r>
        <w:rPr>
          <w:rFonts w:ascii="Palatino Linotype" w:hAnsi="Palatino Linotype" w:cs="Arial"/>
          <w:i/>
          <w:sz w:val="22"/>
        </w:rPr>
        <w:t xml:space="preserve"> </w:t>
      </w:r>
      <w:r w:rsidRPr="0076646A">
        <w:rPr>
          <w:rFonts w:ascii="Palatino Linotype" w:hAnsi="Palatino Linotype" w:cs="Arial"/>
          <w:i/>
          <w:sz w:val="22"/>
        </w:rPr>
        <w:t xml:space="preserve">carpetas de investigación, afecte o vulnere la conducción o los derechos del debido proceso en los </w:t>
      </w:r>
      <w:r w:rsidRPr="0076646A">
        <w:rPr>
          <w:rFonts w:ascii="Palatino Linotype" w:hAnsi="Palatino Linotype" w:cs="Arial"/>
          <w:b/>
          <w:i/>
          <w:sz w:val="22"/>
        </w:rPr>
        <w:t>procedimientos</w:t>
      </w:r>
      <w:r w:rsidRPr="0076646A">
        <w:rPr>
          <w:rFonts w:ascii="Palatino Linotype" w:hAnsi="Palatino Linotype" w:cs="Arial"/>
          <w:i/>
          <w:sz w:val="22"/>
        </w:rPr>
        <w:t xml:space="preserve"> judiciales</w:t>
      </w:r>
      <w:r>
        <w:rPr>
          <w:rFonts w:ascii="Palatino Linotype" w:hAnsi="Palatino Linotype" w:cs="Arial"/>
          <w:i/>
          <w:sz w:val="22"/>
        </w:rPr>
        <w:t xml:space="preserve"> </w:t>
      </w:r>
      <w:r w:rsidRPr="0076646A">
        <w:rPr>
          <w:rFonts w:ascii="Palatino Linotype" w:hAnsi="Palatino Linotype" w:cs="Arial"/>
          <w:i/>
          <w:sz w:val="22"/>
        </w:rPr>
        <w:t xml:space="preserve">o </w:t>
      </w:r>
      <w:r w:rsidRPr="0076646A">
        <w:rPr>
          <w:rFonts w:ascii="Palatino Linotype" w:hAnsi="Palatino Linotype" w:cs="Arial"/>
          <w:b/>
          <w:i/>
          <w:sz w:val="22"/>
        </w:rPr>
        <w:t>administrativos</w:t>
      </w:r>
      <w:r w:rsidRPr="0076646A">
        <w:rPr>
          <w:rFonts w:ascii="Palatino Linotype" w:hAnsi="Palatino Linotype" w:cs="Arial"/>
          <w:i/>
          <w:sz w:val="22"/>
        </w:rPr>
        <w:t>, incluidos los de quejas, denuncias, inconformidades, responsabilidades administrativas y resarcitorias en</w:t>
      </w:r>
      <w:r>
        <w:rPr>
          <w:rFonts w:ascii="Palatino Linotype" w:hAnsi="Palatino Linotype" w:cs="Arial"/>
          <w:i/>
          <w:sz w:val="22"/>
        </w:rPr>
        <w:t xml:space="preserve"> </w:t>
      </w:r>
      <w:r w:rsidRPr="0076646A">
        <w:rPr>
          <w:rFonts w:ascii="Palatino Linotype" w:hAnsi="Palatino Linotype" w:cs="Arial"/>
          <w:i/>
          <w:sz w:val="22"/>
        </w:rPr>
        <w:t>tanto no hayan quedado firmes o afecte la administración de justicia o la seguridad de un denunciante, querellante o testigo,</w:t>
      </w:r>
      <w:r>
        <w:rPr>
          <w:rFonts w:ascii="Palatino Linotype" w:hAnsi="Palatino Linotype" w:cs="Arial"/>
          <w:i/>
          <w:sz w:val="22"/>
        </w:rPr>
        <w:t xml:space="preserve"> </w:t>
      </w:r>
      <w:r w:rsidRPr="0076646A">
        <w:rPr>
          <w:rFonts w:ascii="Palatino Linotype" w:hAnsi="Palatino Linotype" w:cs="Arial"/>
          <w:i/>
          <w:sz w:val="22"/>
        </w:rPr>
        <w:t>así como sus familias, en los términos de las disposiciones jurídicas aplicables;</w:t>
      </w:r>
    </w:p>
    <w:p w:rsidR="006A22D8" w:rsidRDefault="006A22D8" w:rsidP="00AA6CFE">
      <w:pPr>
        <w:ind w:right="760" w:firstLine="705"/>
        <w:jc w:val="both"/>
        <w:rPr>
          <w:rFonts w:ascii="Palatino Linotype" w:hAnsi="Palatino Linotype" w:cs="Arial"/>
          <w:i/>
          <w:sz w:val="22"/>
        </w:rPr>
      </w:pPr>
    </w:p>
    <w:p w:rsidR="006A22D8" w:rsidRPr="00D80DD5" w:rsidRDefault="006A22D8" w:rsidP="00AA6CFE">
      <w:pPr>
        <w:ind w:left="705" w:right="760"/>
        <w:jc w:val="both"/>
        <w:rPr>
          <w:rFonts w:ascii="Palatino Linotype" w:hAnsi="Palatino Linotype" w:cs="Arial"/>
          <w:b/>
          <w:i/>
          <w:sz w:val="22"/>
        </w:rPr>
      </w:pPr>
      <w:r w:rsidRPr="00D80DD5">
        <w:rPr>
          <w:rFonts w:ascii="Palatino Linotype" w:hAnsi="Palatino Linotype" w:cs="Arial"/>
          <w:b/>
          <w:i/>
          <w:sz w:val="22"/>
        </w:rPr>
        <w:t>VII. La que contengan las opiniones, recomendaciones o puntos de vista que formen parte del proceso deliberativo de los servidores públicos, hasta en tanto sea adoptada la decisión definitiva, la cual deberá estar documentada;</w:t>
      </w:r>
    </w:p>
    <w:p w:rsidR="006A22D8" w:rsidRDefault="006A22D8" w:rsidP="00AA6CFE">
      <w:pPr>
        <w:ind w:right="760" w:firstLine="705"/>
        <w:jc w:val="both"/>
        <w:rPr>
          <w:rFonts w:ascii="Palatino Linotype" w:hAnsi="Palatino Linotype" w:cs="Arial"/>
          <w:i/>
          <w:sz w:val="22"/>
        </w:rPr>
      </w:pPr>
    </w:p>
    <w:p w:rsidR="006A22D8" w:rsidRPr="00D80DD5" w:rsidRDefault="006A22D8" w:rsidP="00AA6CFE">
      <w:pPr>
        <w:ind w:left="705" w:right="760"/>
        <w:jc w:val="both"/>
        <w:rPr>
          <w:rFonts w:ascii="Palatino Linotype" w:hAnsi="Palatino Linotype" w:cs="Arial"/>
          <w:i/>
          <w:sz w:val="22"/>
        </w:rPr>
      </w:pPr>
      <w:r w:rsidRPr="00D80DD5">
        <w:rPr>
          <w:rFonts w:ascii="Palatino Linotype" w:hAnsi="Palatino Linotype" w:cs="Arial"/>
          <w:i/>
          <w:sz w:val="22"/>
        </w:rPr>
        <w:t>VIII. Vulnere la conducción de los expedientes judiciales o de los procedimientos administrativos seguidos en forma de juicio, en tanto no hayan quedado firmes;</w:t>
      </w:r>
    </w:p>
    <w:p w:rsidR="00A3262E" w:rsidRDefault="00A3262E" w:rsidP="00AA6CFE">
      <w:pPr>
        <w:ind w:left="705" w:right="760"/>
        <w:jc w:val="both"/>
        <w:rPr>
          <w:rFonts w:ascii="Palatino Linotype" w:hAnsi="Palatino Linotype" w:cs="Arial"/>
          <w:b/>
          <w:i/>
          <w:sz w:val="22"/>
        </w:rPr>
      </w:pPr>
    </w:p>
    <w:p w:rsidR="006A22D8" w:rsidRDefault="006A22D8" w:rsidP="00AA6CFE">
      <w:pPr>
        <w:ind w:left="709" w:right="760"/>
        <w:jc w:val="both"/>
        <w:rPr>
          <w:rFonts w:ascii="Palatino Linotype" w:hAnsi="Palatino Linotype" w:cs="Arial"/>
          <w:i/>
          <w:sz w:val="22"/>
        </w:rPr>
      </w:pPr>
      <w:r w:rsidRPr="00AC5BDF">
        <w:rPr>
          <w:rFonts w:ascii="Palatino Linotype" w:hAnsi="Palatino Linotype" w:cs="Arial"/>
          <w:b/>
          <w:i/>
          <w:sz w:val="22"/>
        </w:rPr>
        <w:t>Artículo 141</w:t>
      </w:r>
      <w:r w:rsidRPr="000501DB">
        <w:rPr>
          <w:rFonts w:ascii="Palatino Linotype" w:hAnsi="Palatino Linotype" w:cs="Arial"/>
          <w:i/>
          <w:sz w:val="22"/>
        </w:rPr>
        <w:t>. Las causales de reserva previstas en este Capítulo se deberán fundar y motivar, a través de la aplicación de</w:t>
      </w:r>
      <w:r>
        <w:rPr>
          <w:rFonts w:ascii="Palatino Linotype" w:hAnsi="Palatino Linotype" w:cs="Arial"/>
          <w:i/>
          <w:sz w:val="22"/>
        </w:rPr>
        <w:t xml:space="preserve"> </w:t>
      </w:r>
      <w:r w:rsidRPr="000501DB">
        <w:rPr>
          <w:rFonts w:ascii="Palatino Linotype" w:hAnsi="Palatino Linotype" w:cs="Arial"/>
          <w:i/>
          <w:sz w:val="22"/>
        </w:rPr>
        <w:t>la prueba de daño a la que se hace referencia en el presente Título.</w:t>
      </w:r>
      <w:r>
        <w:rPr>
          <w:rFonts w:ascii="Palatino Linotype" w:hAnsi="Palatino Linotype" w:cs="Arial"/>
          <w:i/>
          <w:sz w:val="22"/>
        </w:rPr>
        <w:t>”</w:t>
      </w:r>
    </w:p>
    <w:p w:rsidR="006C7DF8" w:rsidRPr="00BF3FFC" w:rsidRDefault="006C7DF8" w:rsidP="00AA6CFE">
      <w:pPr>
        <w:spacing w:before="100" w:beforeAutospacing="1" w:after="100" w:afterAutospacing="1" w:line="360" w:lineRule="auto"/>
        <w:jc w:val="both"/>
        <w:rPr>
          <w:rFonts w:ascii="Palatino Linotype" w:hAnsi="Palatino Linotype"/>
        </w:rPr>
      </w:pPr>
      <w:r w:rsidRPr="00BF3FFC">
        <w:rPr>
          <w:rFonts w:ascii="Palatino Linotype" w:hAnsi="Palatino Linotype" w:cs="Arial"/>
        </w:rPr>
        <w:t xml:space="preserve">En adición a lo anterior, </w:t>
      </w:r>
      <w:r w:rsidRPr="006C7DF8">
        <w:rPr>
          <w:rFonts w:ascii="Palatino Linotype" w:hAnsi="Palatino Linotype" w:cs="Arial"/>
        </w:rPr>
        <w:t>de ser el caso</w:t>
      </w:r>
      <w:r w:rsidRPr="00BF3FFC">
        <w:rPr>
          <w:rFonts w:ascii="Palatino Linotype" w:hAnsi="Palatino Linotype" w:cs="Arial"/>
        </w:rPr>
        <w:t xml:space="preserve">, en el Acuerdo de Clasificación deberá constar la realización de la </w:t>
      </w:r>
      <w:r w:rsidRPr="00BF3FFC">
        <w:rPr>
          <w:rFonts w:ascii="Palatino Linotype" w:hAnsi="Palatino Linotype" w:cs="Arial"/>
          <w:b/>
        </w:rPr>
        <w:t>prueba de daño</w:t>
      </w:r>
      <w:r w:rsidRPr="00BF3FFC">
        <w:rPr>
          <w:rFonts w:ascii="Palatino Linotype" w:hAnsi="Palatino Linotype" w:cs="Arial"/>
        </w:rPr>
        <w:t xml:space="preserve">, </w:t>
      </w:r>
      <w:r w:rsidRPr="00BF3FFC">
        <w:rPr>
          <w:rFonts w:ascii="Palatino Linotype" w:hAnsi="Palatino Linotype"/>
        </w:rPr>
        <w:t xml:space="preserve">en la que se justifiquen las razones, motivos y circunstancias que avalen que la divulgación de la información representa un </w:t>
      </w:r>
      <w:r w:rsidRPr="00BF3FFC">
        <w:rPr>
          <w:rFonts w:ascii="Palatino Linotype" w:hAnsi="Palatino Linotype"/>
          <w:b/>
        </w:rPr>
        <w:t xml:space="preserve">riesgo </w:t>
      </w:r>
      <w:r w:rsidRPr="00BF3FFC">
        <w:rPr>
          <w:rFonts w:ascii="Palatino Linotype" w:hAnsi="Palatino Linotype"/>
          <w:b/>
        </w:rPr>
        <w:lastRenderedPageBreak/>
        <w:t>real, demostrable e identificable</w:t>
      </w:r>
      <w:r w:rsidRPr="00BF3FFC">
        <w:rPr>
          <w:rFonts w:ascii="Palatino Linotype" w:hAnsi="Palatino Linotype"/>
        </w:rPr>
        <w:t xml:space="preserve"> de perjuicio significativo al interés público; que el riesgo de perjuicio que supondría la divulgación supera el interés público general de </w:t>
      </w:r>
      <w:r w:rsidRPr="00BF3FFC">
        <w:rPr>
          <w:rFonts w:ascii="Palatino Linotype" w:hAnsi="Palatino Linotype" w:cs="Arial"/>
        </w:rPr>
        <w:t>que</w:t>
      </w:r>
      <w:r w:rsidRPr="00BF3FFC">
        <w:rPr>
          <w:rFonts w:ascii="Palatino Linotype" w:hAnsi="Palatino Linotype"/>
        </w:rPr>
        <w:t xml:space="preserve"> se difunda, y que la limitación se adecúa al principio de proporcionalidad y representa el medio menos restrictivo disponible para evitar el perjuicio. En ese tenor, los artículos 114 de la Ley General de Transparencia y Acceso a la Información Pública, 128 de la Ley de Transparencia y Acceso a la Información Pública del Estado de México y Municipios, los cuales se transcriben a </w:t>
      </w:r>
      <w:r w:rsidRPr="00BF3FFC">
        <w:rPr>
          <w:rFonts w:ascii="Palatino Linotype" w:hAnsi="Palatino Linotype" w:cs="Arial"/>
        </w:rPr>
        <w:t>continuación</w:t>
      </w:r>
      <w:r w:rsidRPr="00BF3FFC">
        <w:rPr>
          <w:rFonts w:ascii="Palatino Linotype" w:hAnsi="Palatino Linotype"/>
        </w:rPr>
        <w:t xml:space="preserve"> para mejor ilustración:</w:t>
      </w:r>
    </w:p>
    <w:p w:rsidR="006C7DF8" w:rsidRDefault="006C7DF8" w:rsidP="00AA6CFE">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General de Transparencia y Acceso a la Información Pública</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114</w:t>
      </w:r>
      <w:r w:rsidRPr="00E267F2">
        <w:rPr>
          <w:rFonts w:ascii="Palatino Linotype" w:hAnsi="Palatino Linotype" w:cs="Arial"/>
          <w:bCs/>
          <w:i/>
        </w:rPr>
        <w:t xml:space="preserve">. </w:t>
      </w:r>
      <w:r w:rsidRPr="006C7DF8">
        <w:rPr>
          <w:rFonts w:ascii="Palatino Linotype" w:hAnsi="Palatino Linotype" w:cs="Arial"/>
          <w:bCs/>
          <w:i/>
          <w:u w:val="single"/>
        </w:rPr>
        <w:t xml:space="preserve">Las causales de reserva previstas en el artículo anterior se deberán fundar y motivar, a través de la aplicación de la prueba de daño </w:t>
      </w:r>
      <w:r w:rsidRPr="00E267F2">
        <w:rPr>
          <w:rFonts w:ascii="Palatino Linotype" w:hAnsi="Palatino Linotype" w:cs="Arial"/>
          <w:bCs/>
          <w:i/>
        </w:rPr>
        <w:t>a la que se hace referencia en el presente Título.</w:t>
      </w:r>
    </w:p>
    <w:p w:rsidR="006C7DF8" w:rsidRPr="00E267F2" w:rsidRDefault="006C7DF8" w:rsidP="00AA6CFE">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de Transparencia y Acceso a la Información Pública del Estado de México y Municipios</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128</w:t>
      </w:r>
      <w:r w:rsidRPr="00E267F2">
        <w:rPr>
          <w:rFonts w:ascii="Palatino Linotype" w:hAnsi="Palatino Linotype" w:cs="Arial"/>
          <w:bCs/>
          <w:i/>
        </w:rPr>
        <w:t xml:space="preserve">. En los casos en que se niegue el acceso a la información, por actualizarse alguno de los supuestos de clasificación, el Comité de Transparencia deberá confirmar, modificar o revocar la decisión. </w:t>
      </w:r>
    </w:p>
    <w:p w:rsidR="006C7DF8" w:rsidRPr="00E267F2" w:rsidRDefault="006C7DF8" w:rsidP="00AA6CFE">
      <w:pPr>
        <w:tabs>
          <w:tab w:val="left" w:pos="7938"/>
        </w:tabs>
        <w:ind w:left="851" w:right="1185"/>
        <w:jc w:val="both"/>
        <w:rPr>
          <w:rFonts w:ascii="Palatino Linotype" w:hAnsi="Palatino Linotype" w:cs="Arial"/>
          <w:bCs/>
          <w:i/>
        </w:rPr>
      </w:pPr>
      <w:r w:rsidRPr="006C7DF8">
        <w:rPr>
          <w:rFonts w:ascii="Palatino Linotype" w:hAnsi="Palatino Linotype" w:cs="Arial"/>
          <w:bCs/>
          <w:i/>
          <w:u w:val="single"/>
        </w:rPr>
        <w:t>Para motivar la clasificación de la información</w:t>
      </w:r>
      <w:r w:rsidRPr="00E267F2">
        <w:rPr>
          <w:rFonts w:ascii="Palatino Linotype" w:hAnsi="Palatino Linotype" w:cs="Arial"/>
          <w:bCs/>
          <w:i/>
        </w:rPr>
        <w:t xml:space="preserve"> y la ampliación del plazo de reserva, </w:t>
      </w:r>
      <w:r w:rsidRPr="006C7DF8">
        <w:rPr>
          <w:rFonts w:ascii="Palatino Linotype" w:hAnsi="Palatino Linotype" w:cs="Arial"/>
          <w:bCs/>
          <w:i/>
          <w:u w:val="single"/>
        </w:rPr>
        <w:t>se deberán señalar las razones, motivos o circunstancias especiales que llevaron al sujeto obligado a concluir que el caso particular se ajusta al supuesto previsto por la norma legal invocada</w:t>
      </w:r>
      <w:r w:rsidRPr="00E267F2">
        <w:rPr>
          <w:rFonts w:ascii="Palatino Linotype" w:hAnsi="Palatino Linotype" w:cs="Arial"/>
          <w:bCs/>
          <w:i/>
        </w:rPr>
        <w:t xml:space="preserve"> como fundamento. Además, </w:t>
      </w:r>
      <w:r w:rsidRPr="00E267F2">
        <w:rPr>
          <w:rFonts w:ascii="Palatino Linotype" w:hAnsi="Palatino Linotype" w:cs="Arial"/>
          <w:b/>
          <w:bCs/>
          <w:i/>
        </w:rPr>
        <w:t>el sujeto obligado deberá, en todo momento, aplicar una prueba de daño</w:t>
      </w:r>
      <w:r w:rsidRPr="00E267F2">
        <w:rPr>
          <w:rFonts w:ascii="Palatino Linotype" w:hAnsi="Palatino Linotype" w:cs="Arial"/>
          <w:bCs/>
          <w:i/>
        </w:rPr>
        <w:t xml:space="preserve">. </w:t>
      </w:r>
    </w:p>
    <w:p w:rsidR="006C7DF8" w:rsidRPr="00E267F2" w:rsidRDefault="006C7DF8" w:rsidP="00AA6CFE">
      <w:pPr>
        <w:tabs>
          <w:tab w:val="left" w:pos="7938"/>
        </w:tabs>
        <w:ind w:left="851" w:right="1185"/>
        <w:jc w:val="both"/>
        <w:rPr>
          <w:rFonts w:ascii="Palatino Linotype" w:hAnsi="Palatino Linotype" w:cs="Arial"/>
          <w:bCs/>
          <w:i/>
        </w:rPr>
      </w:pPr>
      <w:r w:rsidRPr="00E267F2">
        <w:rPr>
          <w:rFonts w:ascii="Palatino Linotype" w:hAnsi="Palatino Linotype" w:cs="Arial"/>
          <w:bCs/>
          <w:i/>
        </w:rPr>
        <w:t xml:space="preserve">Tratándose de aquélla información que actualice los supuestos de clasificación, deberá señalarse el plazo al que estará sujeto la reserva. </w:t>
      </w:r>
    </w:p>
    <w:p w:rsidR="006C7DF8" w:rsidRPr="00E267F2" w:rsidRDefault="006C7DF8" w:rsidP="00AA6CFE">
      <w:pPr>
        <w:tabs>
          <w:tab w:val="left" w:pos="7938"/>
        </w:tabs>
        <w:ind w:left="851" w:right="1185"/>
        <w:jc w:val="both"/>
        <w:rPr>
          <w:rFonts w:ascii="Palatino Linotype" w:hAnsi="Palatino Linotype" w:cs="Arial"/>
          <w:bCs/>
        </w:rPr>
      </w:pPr>
      <w:r w:rsidRPr="00E267F2">
        <w:rPr>
          <w:rFonts w:ascii="Palatino Linotype" w:hAnsi="Palatino Linotype" w:cs="Arial"/>
          <w:bCs/>
        </w:rPr>
        <w:t>(Énfasis añadido)</w:t>
      </w:r>
    </w:p>
    <w:p w:rsidR="005C0FCA" w:rsidRPr="005C181A" w:rsidRDefault="00440036" w:rsidP="00AA6CFE">
      <w:pPr>
        <w:widowControl w:val="0"/>
        <w:autoSpaceDE w:val="0"/>
        <w:autoSpaceDN w:val="0"/>
        <w:adjustRightInd w:val="0"/>
        <w:spacing w:before="100" w:beforeAutospacing="1" w:after="100" w:afterAutospacing="1" w:line="360" w:lineRule="auto"/>
        <w:mirrorIndents/>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sidR="00857D87">
        <w:rPr>
          <w:rFonts w:ascii="Palatino Linotype" w:hAnsi="Palatino Linotype" w:cs="Arial"/>
        </w:rPr>
        <w:t xml:space="preserve">respecto de </w:t>
      </w:r>
      <w:r w:rsidR="00A3262E">
        <w:rPr>
          <w:rFonts w:ascii="Palatino Linotype" w:hAnsi="Palatino Linotype" w:cs="Arial"/>
        </w:rPr>
        <w:t xml:space="preserve">la información que se ordena, </w:t>
      </w:r>
      <w:r w:rsidR="0008792F">
        <w:rPr>
          <w:rFonts w:ascii="Palatino Linotype" w:hAnsi="Palatino Linotype" w:cs="Arial"/>
        </w:rPr>
        <w:t xml:space="preserve">debe ser únicamente de aquellos que </w:t>
      </w:r>
      <w:r w:rsidR="005C181A">
        <w:rPr>
          <w:rFonts w:ascii="Palatino Linotype" w:hAnsi="Palatino Linotype" w:cs="Arial"/>
        </w:rPr>
        <w:t>no afecten o generen un riesgo de perjuicio</w:t>
      </w:r>
      <w:r w:rsidR="0008792F">
        <w:rPr>
          <w:rFonts w:ascii="Palatino Linotype" w:hAnsi="Palatino Linotype" w:cs="Arial"/>
        </w:rPr>
        <w:t>, puesto que los procedimientos en trámite son</w:t>
      </w:r>
      <w:r w:rsidR="00682AA1">
        <w:rPr>
          <w:rFonts w:ascii="Palatino Linotype" w:hAnsi="Palatino Linotype" w:cs="Arial"/>
        </w:rPr>
        <w:t xml:space="preserve"> </w:t>
      </w:r>
      <w:r w:rsidR="00682AA1">
        <w:rPr>
          <w:rFonts w:ascii="Palatino Linotype" w:hAnsi="Palatino Linotype" w:cs="Arial"/>
        </w:rPr>
        <w:lastRenderedPageBreak/>
        <w:t>susceptible</w:t>
      </w:r>
      <w:r w:rsidR="0008792F">
        <w:rPr>
          <w:rFonts w:ascii="Palatino Linotype" w:hAnsi="Palatino Linotype" w:cs="Arial"/>
        </w:rPr>
        <w:t>s</w:t>
      </w:r>
      <w:r w:rsidR="00682AA1">
        <w:rPr>
          <w:rFonts w:ascii="Palatino Linotype" w:hAnsi="Palatino Linotype" w:cs="Arial"/>
        </w:rPr>
        <w:t xml:space="preserve"> de ser clasificad</w:t>
      </w:r>
      <w:r w:rsidR="0008792F">
        <w:rPr>
          <w:rFonts w:ascii="Palatino Linotype" w:hAnsi="Palatino Linotype" w:cs="Arial"/>
        </w:rPr>
        <w:t>os</w:t>
      </w:r>
      <w:r w:rsidR="00682AA1">
        <w:rPr>
          <w:rFonts w:ascii="Palatino Linotype" w:hAnsi="Palatino Linotype" w:cs="Arial"/>
        </w:rPr>
        <w:t xml:space="preserve"> como información</w:t>
      </w:r>
      <w:r w:rsidR="00857D87">
        <w:rPr>
          <w:rFonts w:ascii="Palatino Linotype" w:hAnsi="Palatino Linotype" w:cs="Arial"/>
        </w:rPr>
        <w:t xml:space="preserve"> reservada</w:t>
      </w:r>
      <w:r w:rsidR="005C181A">
        <w:rPr>
          <w:rFonts w:ascii="Palatino Linotype" w:hAnsi="Palatino Linotype" w:cs="Arial"/>
        </w:rPr>
        <w:t>, respecto de la información que vulnere la conducción de los procedimientos administrativos</w:t>
      </w:r>
      <w:r w:rsidR="00682AA1">
        <w:rPr>
          <w:rFonts w:ascii="Palatino Linotype" w:hAnsi="Palatino Linotype" w:cs="Arial"/>
        </w:rPr>
        <w:t xml:space="preserve">, </w:t>
      </w:r>
      <w:r w:rsidR="0008792F">
        <w:rPr>
          <w:rFonts w:ascii="Palatino Linotype" w:hAnsi="Palatino Linotype" w:cs="Arial"/>
        </w:rPr>
        <w:t>al</w:t>
      </w:r>
      <w:r w:rsidR="00857D87">
        <w:rPr>
          <w:rFonts w:ascii="Palatino Linotype" w:hAnsi="Palatino Linotype" w:cs="Arial"/>
        </w:rPr>
        <w:t xml:space="preserve"> actualizar las causal</w:t>
      </w:r>
      <w:r w:rsidR="0008792F">
        <w:rPr>
          <w:rFonts w:ascii="Palatino Linotype" w:hAnsi="Palatino Linotype" w:cs="Arial"/>
        </w:rPr>
        <w:t>es</w:t>
      </w:r>
      <w:r w:rsidR="00857D87">
        <w:rPr>
          <w:rFonts w:ascii="Palatino Linotype" w:hAnsi="Palatino Linotype" w:cs="Arial"/>
        </w:rPr>
        <w:t xml:space="preserve"> previstas en el ordinal 140 de la Ley de Transparencia, Acceso a la Información Pública de</w:t>
      </w:r>
      <w:r w:rsidR="005C181A">
        <w:rPr>
          <w:rFonts w:ascii="Palatino Linotype" w:hAnsi="Palatino Linotype" w:cs="Arial"/>
        </w:rPr>
        <w:t>l Estado de México y Municipios</w:t>
      </w:r>
      <w:r w:rsidR="00A3262E">
        <w:rPr>
          <w:rFonts w:ascii="Palatino Linotype" w:hAnsi="Palatino Linotype" w:cs="Arial"/>
        </w:rPr>
        <w:t xml:space="preserve">. </w:t>
      </w:r>
    </w:p>
    <w:p w:rsidR="005C0FCA" w:rsidRPr="00682AA1" w:rsidRDefault="005C0FCA" w:rsidP="00AA6CFE">
      <w:pPr>
        <w:spacing w:before="100" w:beforeAutospacing="1" w:after="100" w:afterAutospacing="1" w:line="360" w:lineRule="auto"/>
        <w:ind w:right="49"/>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1E2E77" w:rsidRDefault="001E2E77" w:rsidP="00AA6CFE">
            <w:pPr>
              <w:ind w:right="51"/>
              <w:jc w:val="center"/>
              <w:rPr>
                <w:rFonts w:ascii="Palatino Linotype" w:hAnsi="Palatino Linotype"/>
                <w:b/>
              </w:rPr>
            </w:pPr>
          </w:p>
          <w:p w:rsidR="001E2E77" w:rsidRDefault="001E2E77" w:rsidP="00AA6CFE">
            <w:pPr>
              <w:ind w:right="51"/>
              <w:jc w:val="center"/>
              <w:rPr>
                <w:rFonts w:ascii="Palatino Linotype" w:hAnsi="Palatino Linotype"/>
                <w:b/>
              </w:rPr>
            </w:pPr>
          </w:p>
          <w:p w:rsidR="00AA6CFE" w:rsidRDefault="00AA6CFE" w:rsidP="00AA6CFE">
            <w:pPr>
              <w:ind w:right="51"/>
              <w:jc w:val="center"/>
              <w:rPr>
                <w:rFonts w:ascii="Palatino Linotype" w:hAnsi="Palatino Linotype"/>
                <w:b/>
              </w:rPr>
            </w:pPr>
          </w:p>
          <w:p w:rsidR="00AA6CFE" w:rsidRDefault="00AA6CFE" w:rsidP="00AA6CFE">
            <w:pPr>
              <w:ind w:right="51"/>
              <w:jc w:val="center"/>
              <w:rPr>
                <w:rFonts w:ascii="Palatino Linotype" w:hAnsi="Palatino Linotype"/>
                <w:b/>
              </w:rPr>
            </w:pPr>
          </w:p>
          <w:p w:rsidR="00AA6CFE" w:rsidRDefault="00AA6CFE" w:rsidP="00AA6CFE">
            <w:pPr>
              <w:ind w:right="51"/>
              <w:jc w:val="center"/>
              <w:rPr>
                <w:rFonts w:ascii="Palatino Linotype" w:hAnsi="Palatino Linotype"/>
                <w:b/>
              </w:rPr>
            </w:pPr>
          </w:p>
          <w:p w:rsidR="00AA6CFE" w:rsidRDefault="00AA6CFE" w:rsidP="00AA6CFE">
            <w:pPr>
              <w:ind w:right="51"/>
              <w:jc w:val="center"/>
              <w:rPr>
                <w:rFonts w:ascii="Palatino Linotype" w:hAnsi="Palatino Linotype"/>
                <w:b/>
              </w:rPr>
            </w:pPr>
          </w:p>
          <w:p w:rsidR="003B3259" w:rsidRDefault="003B3259" w:rsidP="00AA6CFE">
            <w:pPr>
              <w:ind w:right="51"/>
              <w:jc w:val="center"/>
              <w:rPr>
                <w:rFonts w:ascii="Palatino Linotype" w:hAnsi="Palatino Linotype"/>
                <w:b/>
              </w:rPr>
            </w:pPr>
            <w:bookmarkStart w:id="0" w:name="_GoBack"/>
            <w:bookmarkEnd w:id="0"/>
          </w:p>
          <w:p w:rsidR="009701AB" w:rsidRPr="00C8035B" w:rsidRDefault="009701AB" w:rsidP="00AA6CFE">
            <w:pPr>
              <w:ind w:right="51"/>
              <w:jc w:val="center"/>
              <w:rPr>
                <w:rFonts w:ascii="Palatino Linotype" w:hAnsi="Palatino Linotype"/>
                <w:b/>
              </w:rPr>
            </w:pPr>
            <w:r w:rsidRPr="00C8035B">
              <w:rPr>
                <w:rFonts w:ascii="Palatino Linotype" w:hAnsi="Palatino Linotype"/>
                <w:b/>
              </w:rPr>
              <w:t>EVA ABAID YAPUR</w:t>
            </w:r>
          </w:p>
          <w:p w:rsidR="001E2E77" w:rsidRDefault="009701AB" w:rsidP="003B3259">
            <w:pPr>
              <w:ind w:right="51"/>
              <w:jc w:val="center"/>
              <w:rPr>
                <w:rFonts w:ascii="Palatino Linotype" w:hAnsi="Palatino Linotype"/>
                <w:b/>
              </w:rPr>
            </w:pPr>
            <w:r w:rsidRPr="00C8035B">
              <w:rPr>
                <w:rFonts w:ascii="Palatino Linotype" w:hAnsi="Palatino Linotype"/>
                <w:b/>
              </w:rPr>
              <w:t>COMISIONADA</w:t>
            </w:r>
          </w:p>
          <w:p w:rsidR="0011782A" w:rsidRPr="00C8035B" w:rsidRDefault="0011782A" w:rsidP="003B3259">
            <w:pPr>
              <w:ind w:right="51"/>
              <w:jc w:val="center"/>
              <w:rPr>
                <w:rFonts w:ascii="Palatino Linotype" w:hAnsi="Palatino Linotype"/>
                <w:b/>
              </w:rPr>
            </w:pPr>
            <w:r>
              <w:rPr>
                <w:rFonts w:ascii="Palatino Linotype" w:hAnsi="Palatino Linotype" w:cs="Arial"/>
                <w:b/>
              </w:rPr>
              <w:t>(RÚBRICA)</w:t>
            </w:r>
          </w:p>
        </w:tc>
      </w:tr>
    </w:tbl>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AA6CFE" w:rsidRDefault="00AA6CFE" w:rsidP="00AA6CFE">
      <w:pPr>
        <w:ind w:right="51"/>
        <w:jc w:val="both"/>
        <w:rPr>
          <w:rFonts w:ascii="Palatino Linotype" w:eastAsia="Calibri" w:hAnsi="Palatino Linotype" w:cs="Arial"/>
          <w:color w:val="000000" w:themeColor="text1"/>
          <w:sz w:val="20"/>
          <w:szCs w:val="22"/>
        </w:rPr>
      </w:pPr>
    </w:p>
    <w:p w:rsidR="00D80DD5" w:rsidRDefault="00D80DD5" w:rsidP="00AA6CFE">
      <w:pPr>
        <w:ind w:right="51"/>
        <w:jc w:val="both"/>
        <w:rPr>
          <w:rFonts w:ascii="Palatino Linotype" w:eastAsia="Calibri" w:hAnsi="Palatino Linotype" w:cs="Arial"/>
          <w:color w:val="000000" w:themeColor="text1"/>
          <w:sz w:val="20"/>
          <w:szCs w:val="22"/>
        </w:rPr>
      </w:pPr>
    </w:p>
    <w:p w:rsidR="003B3259" w:rsidRDefault="003B3259" w:rsidP="00AA6CFE">
      <w:pPr>
        <w:ind w:right="51"/>
        <w:jc w:val="both"/>
        <w:rPr>
          <w:rFonts w:ascii="Palatino Linotype" w:eastAsia="Calibri" w:hAnsi="Palatino Linotype" w:cs="Arial"/>
          <w:color w:val="000000" w:themeColor="text1"/>
          <w:sz w:val="20"/>
          <w:szCs w:val="22"/>
        </w:rPr>
      </w:pPr>
    </w:p>
    <w:p w:rsidR="003B3259" w:rsidRDefault="003B3259" w:rsidP="00AA6CFE">
      <w:pPr>
        <w:ind w:right="51"/>
        <w:jc w:val="both"/>
        <w:rPr>
          <w:rFonts w:ascii="Palatino Linotype" w:eastAsia="Calibri" w:hAnsi="Palatino Linotype" w:cs="Arial"/>
          <w:color w:val="000000" w:themeColor="text1"/>
          <w:sz w:val="20"/>
          <w:szCs w:val="22"/>
        </w:rPr>
      </w:pPr>
    </w:p>
    <w:p w:rsidR="003B3259" w:rsidRDefault="003B3259" w:rsidP="00AA6CFE">
      <w:pPr>
        <w:ind w:right="51"/>
        <w:jc w:val="both"/>
        <w:rPr>
          <w:rFonts w:ascii="Palatino Linotype" w:eastAsia="Calibri" w:hAnsi="Palatino Linotype" w:cs="Arial"/>
          <w:color w:val="000000" w:themeColor="text1"/>
          <w:sz w:val="20"/>
          <w:szCs w:val="22"/>
        </w:rPr>
      </w:pPr>
    </w:p>
    <w:p w:rsidR="003B3259" w:rsidRDefault="003B3259" w:rsidP="00AA6CFE">
      <w:pPr>
        <w:ind w:right="51"/>
        <w:jc w:val="both"/>
        <w:rPr>
          <w:rFonts w:ascii="Palatino Linotype" w:eastAsia="Calibri" w:hAnsi="Palatino Linotype" w:cs="Arial"/>
          <w:color w:val="000000" w:themeColor="text1"/>
          <w:sz w:val="20"/>
          <w:szCs w:val="22"/>
        </w:rPr>
      </w:pPr>
    </w:p>
    <w:p w:rsidR="003B3259" w:rsidRDefault="003B3259" w:rsidP="00AA6CFE">
      <w:pPr>
        <w:ind w:right="51"/>
        <w:jc w:val="both"/>
        <w:rPr>
          <w:rFonts w:ascii="Palatino Linotype" w:eastAsia="Calibri" w:hAnsi="Palatino Linotype" w:cs="Arial"/>
          <w:color w:val="000000" w:themeColor="text1"/>
          <w:sz w:val="20"/>
          <w:szCs w:val="22"/>
        </w:rPr>
      </w:pPr>
    </w:p>
    <w:p w:rsidR="00BE619B" w:rsidRDefault="009701AB" w:rsidP="00AA6CFE">
      <w:pPr>
        <w:ind w:right="51"/>
        <w:jc w:val="both"/>
        <w:rPr>
          <w:rFonts w:ascii="Palatino Linotype" w:eastAsia="Calibri" w:hAnsi="Palatino Linotype" w:cs="Arial"/>
          <w:color w:val="000000" w:themeColor="text1"/>
          <w:sz w:val="20"/>
          <w:szCs w:val="22"/>
        </w:rPr>
      </w:pPr>
      <w:r w:rsidRPr="00BE619B">
        <w:rPr>
          <w:rFonts w:ascii="Palatino Linotype" w:eastAsia="Calibri" w:hAnsi="Palatino Linotype" w:cs="Arial"/>
          <w:color w:val="000000" w:themeColor="text1"/>
          <w:sz w:val="20"/>
          <w:szCs w:val="22"/>
        </w:rPr>
        <w:t xml:space="preserve">Esta hoja corresponde al voto particular emitido en </w:t>
      </w:r>
      <w:r w:rsidR="00A3262E" w:rsidRPr="00BE619B">
        <w:rPr>
          <w:rFonts w:ascii="Palatino Linotype" w:eastAsia="Calibri" w:hAnsi="Palatino Linotype" w:cs="Arial"/>
          <w:color w:val="000000" w:themeColor="text1"/>
          <w:sz w:val="20"/>
          <w:szCs w:val="22"/>
        </w:rPr>
        <w:t xml:space="preserve">la resolución del </w:t>
      </w:r>
      <w:r w:rsidR="005C0FCA" w:rsidRPr="00BE619B">
        <w:rPr>
          <w:rFonts w:ascii="Palatino Linotype" w:eastAsia="Calibri" w:hAnsi="Palatino Linotype" w:cs="Arial"/>
          <w:color w:val="000000" w:themeColor="text1"/>
          <w:sz w:val="20"/>
          <w:szCs w:val="22"/>
        </w:rPr>
        <w:t>recurso de revisión 0</w:t>
      </w:r>
      <w:r w:rsidR="0006223A">
        <w:rPr>
          <w:rFonts w:ascii="Palatino Linotype" w:eastAsia="Calibri" w:hAnsi="Palatino Linotype" w:cs="Arial"/>
          <w:color w:val="000000" w:themeColor="text1"/>
          <w:sz w:val="20"/>
          <w:szCs w:val="22"/>
        </w:rPr>
        <w:t>7303</w:t>
      </w:r>
      <w:r w:rsidR="005C0FCA" w:rsidRPr="00BE619B">
        <w:rPr>
          <w:rFonts w:ascii="Palatino Linotype" w:eastAsia="Calibri" w:hAnsi="Palatino Linotype" w:cs="Arial"/>
          <w:color w:val="000000" w:themeColor="text1"/>
          <w:sz w:val="20"/>
          <w:szCs w:val="22"/>
        </w:rPr>
        <w:t>/INFOEM/IP/RR/201</w:t>
      </w:r>
      <w:r w:rsidR="000D202B" w:rsidRPr="00BE619B">
        <w:rPr>
          <w:rFonts w:ascii="Palatino Linotype" w:eastAsia="Calibri" w:hAnsi="Palatino Linotype" w:cs="Arial"/>
          <w:color w:val="000000" w:themeColor="text1"/>
          <w:sz w:val="20"/>
          <w:szCs w:val="22"/>
        </w:rPr>
        <w:t>9</w:t>
      </w:r>
      <w:r w:rsidRPr="00BE619B">
        <w:rPr>
          <w:rFonts w:ascii="Palatino Linotype" w:eastAsia="Calibri" w:hAnsi="Palatino Linotype" w:cs="Arial"/>
          <w:color w:val="000000" w:themeColor="text1"/>
          <w:sz w:val="20"/>
          <w:szCs w:val="22"/>
        </w:rPr>
        <w:t>, aprobad</w:t>
      </w:r>
      <w:r w:rsidR="00A3262E" w:rsidRPr="00BE619B">
        <w:rPr>
          <w:rFonts w:ascii="Palatino Linotype" w:eastAsia="Calibri" w:hAnsi="Palatino Linotype" w:cs="Arial"/>
          <w:color w:val="000000" w:themeColor="text1"/>
          <w:sz w:val="20"/>
          <w:szCs w:val="22"/>
        </w:rPr>
        <w:t>a</w:t>
      </w:r>
      <w:r w:rsidRPr="00BE619B">
        <w:rPr>
          <w:rFonts w:ascii="Palatino Linotype" w:eastAsia="Calibri" w:hAnsi="Palatino Linotype" w:cs="Arial"/>
          <w:color w:val="000000" w:themeColor="text1"/>
          <w:sz w:val="20"/>
          <w:szCs w:val="22"/>
        </w:rPr>
        <w:t xml:space="preserve"> el</w:t>
      </w:r>
      <w:r w:rsidR="00101AC9" w:rsidRPr="00BE619B">
        <w:rPr>
          <w:rFonts w:ascii="Palatino Linotype" w:eastAsia="Calibri" w:hAnsi="Palatino Linotype" w:cs="Arial"/>
          <w:color w:val="000000" w:themeColor="text1"/>
          <w:sz w:val="20"/>
          <w:szCs w:val="22"/>
        </w:rPr>
        <w:t xml:space="preserve"> </w:t>
      </w:r>
      <w:r w:rsidR="0006223A">
        <w:rPr>
          <w:rFonts w:ascii="Palatino Linotype" w:eastAsia="Calibri" w:hAnsi="Palatino Linotype" w:cs="Arial"/>
          <w:color w:val="000000" w:themeColor="text1"/>
          <w:sz w:val="20"/>
          <w:szCs w:val="22"/>
        </w:rPr>
        <w:t>trece</w:t>
      </w:r>
      <w:r w:rsidR="000D202B" w:rsidRPr="00BE619B">
        <w:rPr>
          <w:rFonts w:ascii="Palatino Linotype" w:eastAsia="Calibri" w:hAnsi="Palatino Linotype" w:cs="Arial"/>
          <w:color w:val="000000" w:themeColor="text1"/>
          <w:sz w:val="20"/>
          <w:szCs w:val="22"/>
        </w:rPr>
        <w:t xml:space="preserve"> </w:t>
      </w:r>
      <w:r w:rsidR="00A3262E" w:rsidRPr="00BE619B">
        <w:rPr>
          <w:rFonts w:ascii="Palatino Linotype" w:eastAsia="Calibri" w:hAnsi="Palatino Linotype" w:cs="Arial"/>
          <w:color w:val="000000" w:themeColor="text1"/>
          <w:sz w:val="20"/>
          <w:szCs w:val="22"/>
        </w:rPr>
        <w:t xml:space="preserve">de </w:t>
      </w:r>
      <w:r w:rsidR="0006223A">
        <w:rPr>
          <w:rFonts w:ascii="Palatino Linotype" w:eastAsia="Calibri" w:hAnsi="Palatino Linotype" w:cs="Arial"/>
          <w:color w:val="000000" w:themeColor="text1"/>
          <w:sz w:val="20"/>
          <w:szCs w:val="22"/>
        </w:rPr>
        <w:t xml:space="preserve">noviembre </w:t>
      </w:r>
      <w:r w:rsidR="000D202B" w:rsidRPr="00BE619B">
        <w:rPr>
          <w:rFonts w:ascii="Palatino Linotype" w:eastAsia="Calibri" w:hAnsi="Palatino Linotype" w:cs="Arial"/>
          <w:color w:val="000000" w:themeColor="text1"/>
          <w:sz w:val="20"/>
          <w:szCs w:val="22"/>
        </w:rPr>
        <w:t xml:space="preserve">de dos mil diecinueve. </w:t>
      </w:r>
    </w:p>
    <w:p w:rsidR="00AA6CFE" w:rsidRPr="00AA6CFE" w:rsidRDefault="00AA6CFE" w:rsidP="00AA6CFE">
      <w:pPr>
        <w:ind w:right="51"/>
        <w:jc w:val="both"/>
        <w:rPr>
          <w:rFonts w:ascii="Palatino Linotype" w:eastAsia="Calibri" w:hAnsi="Palatino Linotype" w:cs="Arial"/>
          <w:color w:val="000000" w:themeColor="text1"/>
          <w:sz w:val="8"/>
          <w:szCs w:val="8"/>
        </w:rPr>
      </w:pPr>
    </w:p>
    <w:p w:rsidR="00A272FC" w:rsidRPr="00BE619B" w:rsidRDefault="009701AB" w:rsidP="00AA6CFE">
      <w:pPr>
        <w:ind w:right="51"/>
        <w:jc w:val="both"/>
        <w:rPr>
          <w:sz w:val="20"/>
          <w:szCs w:val="22"/>
        </w:rPr>
      </w:pPr>
      <w:r w:rsidRPr="00BE619B">
        <w:rPr>
          <w:rFonts w:ascii="Palatino Linotype" w:eastAsia="Calibri" w:hAnsi="Palatino Linotype" w:cs="Arial"/>
          <w:color w:val="000000" w:themeColor="text1"/>
          <w:sz w:val="20"/>
          <w:szCs w:val="22"/>
        </w:rPr>
        <w:t>YSM/</w:t>
      </w:r>
      <w:r w:rsidR="00682AA1" w:rsidRPr="00BE619B">
        <w:rPr>
          <w:rFonts w:ascii="Palatino Linotype" w:eastAsia="Calibri" w:hAnsi="Palatino Linotype" w:cs="Arial"/>
          <w:color w:val="000000" w:themeColor="text1"/>
          <w:sz w:val="20"/>
          <w:szCs w:val="22"/>
        </w:rPr>
        <w:t>ATU</w:t>
      </w:r>
      <w:r w:rsidR="001E2E77">
        <w:rPr>
          <w:rFonts w:ascii="Palatino Linotype" w:eastAsia="Calibri" w:hAnsi="Palatino Linotype" w:cs="Arial"/>
          <w:color w:val="000000" w:themeColor="text1"/>
          <w:sz w:val="20"/>
          <w:szCs w:val="22"/>
        </w:rPr>
        <w:t>/IAHA</w:t>
      </w:r>
    </w:p>
    <w:sectPr w:rsidR="00A272FC" w:rsidRPr="00BE619B"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8F" w:rsidRDefault="00EE1D8F" w:rsidP="00E41B3B">
      <w:r>
        <w:separator/>
      </w:r>
    </w:p>
  </w:endnote>
  <w:endnote w:type="continuationSeparator" w:id="0">
    <w:p w:rsidR="00EE1D8F" w:rsidRDefault="00EE1D8F"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1782A">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1782A">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8F" w:rsidRDefault="00EE1D8F" w:rsidP="00E41B3B">
      <w:r>
        <w:separator/>
      </w:r>
    </w:p>
  </w:footnote>
  <w:footnote w:type="continuationSeparator" w:id="0">
    <w:p w:rsidR="00EE1D8F" w:rsidRDefault="00EE1D8F"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178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Pr="00BE619B" w:rsidRDefault="005C7C8F" w:rsidP="00DC5C4E">
    <w:pPr>
      <w:pStyle w:val="Encabezado"/>
      <w:tabs>
        <w:tab w:val="clear" w:pos="4252"/>
        <w:tab w:val="clear" w:pos="8504"/>
        <w:tab w:val="left" w:pos="2326"/>
      </w:tabs>
      <w:jc w:val="right"/>
      <w:rPr>
        <w:rFonts w:ascii="Palatino Linotype" w:hAnsi="Palatino Linotype"/>
        <w:sz w:val="22"/>
      </w:rPr>
    </w:pPr>
  </w:p>
  <w:p w:rsidR="00C81447" w:rsidRDefault="00C81447" w:rsidP="00C81447">
    <w:pPr>
      <w:pStyle w:val="Encabezado"/>
      <w:tabs>
        <w:tab w:val="clear" w:pos="4252"/>
        <w:tab w:val="clear" w:pos="8504"/>
        <w:tab w:val="left" w:pos="2326"/>
      </w:tabs>
      <w:jc w:val="right"/>
      <w:rPr>
        <w:rFonts w:ascii="Palatino Linotype" w:hAnsi="Palatino Linotype" w:cs="Arial"/>
        <w:sz w:val="20"/>
        <w:szCs w:val="20"/>
      </w:rPr>
    </w:pP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144EF8">
      <w:rPr>
        <w:rFonts w:ascii="Palatino Linotype" w:hAnsi="Palatino Linotype" w:cs="Arial"/>
        <w:sz w:val="20"/>
        <w:szCs w:val="20"/>
      </w:rPr>
      <w:t>07303</w:t>
    </w:r>
    <w:r w:rsidRPr="003C7A79">
      <w:rPr>
        <w:rFonts w:ascii="Palatino Linotype" w:hAnsi="Palatino Linotype" w:cs="Arial"/>
        <w:sz w:val="20"/>
        <w:szCs w:val="20"/>
      </w:rPr>
      <w:t>/INFOEM/IP/RR/2019</w:t>
    </w:r>
  </w:p>
  <w:p w:rsidR="003C7A79" w:rsidRDefault="0011782A"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47.7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11782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42D02"/>
    <w:multiLevelType w:val="hybridMultilevel"/>
    <w:tmpl w:val="B0202EF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770136A0"/>
    <w:multiLevelType w:val="hybridMultilevel"/>
    <w:tmpl w:val="14508E8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4"/>
  </w:num>
  <w:num w:numId="5">
    <w:abstractNumId w:val="9"/>
  </w:num>
  <w:num w:numId="6">
    <w:abstractNumId w:val="8"/>
  </w:num>
  <w:num w:numId="7">
    <w:abstractNumId w:val="3"/>
  </w:num>
  <w:num w:numId="8">
    <w:abstractNumId w:val="6"/>
  </w:num>
  <w:num w:numId="9">
    <w:abstractNumId w:val="0"/>
  </w:num>
  <w:num w:numId="10">
    <w:abstractNumId w:val="1"/>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6223A"/>
    <w:rsid w:val="00080305"/>
    <w:rsid w:val="0008792F"/>
    <w:rsid w:val="00090AAC"/>
    <w:rsid w:val="000A7F22"/>
    <w:rsid w:val="000C77C5"/>
    <w:rsid w:val="000D1151"/>
    <w:rsid w:val="000D202B"/>
    <w:rsid w:val="00101AC9"/>
    <w:rsid w:val="0011782A"/>
    <w:rsid w:val="00122242"/>
    <w:rsid w:val="00135DAD"/>
    <w:rsid w:val="00141D1C"/>
    <w:rsid w:val="00144EF8"/>
    <w:rsid w:val="00146755"/>
    <w:rsid w:val="00164D8A"/>
    <w:rsid w:val="00174F2A"/>
    <w:rsid w:val="0019398B"/>
    <w:rsid w:val="0019638D"/>
    <w:rsid w:val="001A7CEE"/>
    <w:rsid w:val="001B45FD"/>
    <w:rsid w:val="001C3DCD"/>
    <w:rsid w:val="001D4114"/>
    <w:rsid w:val="001E2E77"/>
    <w:rsid w:val="001F2929"/>
    <w:rsid w:val="001F6251"/>
    <w:rsid w:val="00216380"/>
    <w:rsid w:val="00270A69"/>
    <w:rsid w:val="00296C85"/>
    <w:rsid w:val="002C22D6"/>
    <w:rsid w:val="002C638A"/>
    <w:rsid w:val="0031149D"/>
    <w:rsid w:val="0032320E"/>
    <w:rsid w:val="00324EBE"/>
    <w:rsid w:val="003343CD"/>
    <w:rsid w:val="00343A89"/>
    <w:rsid w:val="003948FF"/>
    <w:rsid w:val="003A6D28"/>
    <w:rsid w:val="003B3259"/>
    <w:rsid w:val="003C2F6A"/>
    <w:rsid w:val="003C6346"/>
    <w:rsid w:val="003C7A79"/>
    <w:rsid w:val="00420511"/>
    <w:rsid w:val="004320EF"/>
    <w:rsid w:val="00433B82"/>
    <w:rsid w:val="00437359"/>
    <w:rsid w:val="00440036"/>
    <w:rsid w:val="00446B28"/>
    <w:rsid w:val="00463EE4"/>
    <w:rsid w:val="0046519A"/>
    <w:rsid w:val="0048476A"/>
    <w:rsid w:val="004A2D78"/>
    <w:rsid w:val="004D1499"/>
    <w:rsid w:val="004E6C48"/>
    <w:rsid w:val="00506BBC"/>
    <w:rsid w:val="0053148C"/>
    <w:rsid w:val="00537CDD"/>
    <w:rsid w:val="005A4D7F"/>
    <w:rsid w:val="005C0FCA"/>
    <w:rsid w:val="005C181A"/>
    <w:rsid w:val="005C7C8F"/>
    <w:rsid w:val="005F3E71"/>
    <w:rsid w:val="006428A3"/>
    <w:rsid w:val="00642959"/>
    <w:rsid w:val="0065035B"/>
    <w:rsid w:val="00654FE9"/>
    <w:rsid w:val="00672FC7"/>
    <w:rsid w:val="00674996"/>
    <w:rsid w:val="006801D4"/>
    <w:rsid w:val="00682AA1"/>
    <w:rsid w:val="006838B2"/>
    <w:rsid w:val="00690CB5"/>
    <w:rsid w:val="00697966"/>
    <w:rsid w:val="006A1C64"/>
    <w:rsid w:val="006A22D8"/>
    <w:rsid w:val="006A78C2"/>
    <w:rsid w:val="006B109D"/>
    <w:rsid w:val="006B30CD"/>
    <w:rsid w:val="006C7DF8"/>
    <w:rsid w:val="006D4AD6"/>
    <w:rsid w:val="006D60AE"/>
    <w:rsid w:val="006E7D4B"/>
    <w:rsid w:val="00712C80"/>
    <w:rsid w:val="007170C1"/>
    <w:rsid w:val="007226C9"/>
    <w:rsid w:val="00725B3B"/>
    <w:rsid w:val="00732411"/>
    <w:rsid w:val="00733C54"/>
    <w:rsid w:val="00756313"/>
    <w:rsid w:val="00767B65"/>
    <w:rsid w:val="00782E9A"/>
    <w:rsid w:val="007C0272"/>
    <w:rsid w:val="007C3451"/>
    <w:rsid w:val="007C7A0C"/>
    <w:rsid w:val="007D1FFB"/>
    <w:rsid w:val="007F1F51"/>
    <w:rsid w:val="00801526"/>
    <w:rsid w:val="00810DE3"/>
    <w:rsid w:val="00811B0B"/>
    <w:rsid w:val="00820D1B"/>
    <w:rsid w:val="00826D09"/>
    <w:rsid w:val="00837EFD"/>
    <w:rsid w:val="00842E34"/>
    <w:rsid w:val="008457D1"/>
    <w:rsid w:val="008542C4"/>
    <w:rsid w:val="00857D87"/>
    <w:rsid w:val="00864D3F"/>
    <w:rsid w:val="008A35FA"/>
    <w:rsid w:val="008B0732"/>
    <w:rsid w:val="008C16DF"/>
    <w:rsid w:val="008E5C82"/>
    <w:rsid w:val="008F0D8C"/>
    <w:rsid w:val="008F34EF"/>
    <w:rsid w:val="0095790A"/>
    <w:rsid w:val="009661C8"/>
    <w:rsid w:val="009701AB"/>
    <w:rsid w:val="00972394"/>
    <w:rsid w:val="00990B93"/>
    <w:rsid w:val="009B3920"/>
    <w:rsid w:val="009B519C"/>
    <w:rsid w:val="009D1CB5"/>
    <w:rsid w:val="00A272FC"/>
    <w:rsid w:val="00A3262E"/>
    <w:rsid w:val="00A37BF2"/>
    <w:rsid w:val="00A502D2"/>
    <w:rsid w:val="00A66652"/>
    <w:rsid w:val="00A956B4"/>
    <w:rsid w:val="00A96975"/>
    <w:rsid w:val="00A97455"/>
    <w:rsid w:val="00AA6CFE"/>
    <w:rsid w:val="00AE18DA"/>
    <w:rsid w:val="00AE2464"/>
    <w:rsid w:val="00AE7810"/>
    <w:rsid w:val="00AF4000"/>
    <w:rsid w:val="00B17086"/>
    <w:rsid w:val="00B51260"/>
    <w:rsid w:val="00B64194"/>
    <w:rsid w:val="00B716F8"/>
    <w:rsid w:val="00BD4FD3"/>
    <w:rsid w:val="00BE59EA"/>
    <w:rsid w:val="00BE619B"/>
    <w:rsid w:val="00BF425E"/>
    <w:rsid w:val="00C07CE2"/>
    <w:rsid w:val="00C33AE1"/>
    <w:rsid w:val="00C52D7C"/>
    <w:rsid w:val="00C60EC0"/>
    <w:rsid w:val="00C70E10"/>
    <w:rsid w:val="00C8035B"/>
    <w:rsid w:val="00C81447"/>
    <w:rsid w:val="00CB63A8"/>
    <w:rsid w:val="00CB71BF"/>
    <w:rsid w:val="00CC453C"/>
    <w:rsid w:val="00CC4E44"/>
    <w:rsid w:val="00CD7154"/>
    <w:rsid w:val="00CE0D21"/>
    <w:rsid w:val="00CE1537"/>
    <w:rsid w:val="00CE70C8"/>
    <w:rsid w:val="00D22D52"/>
    <w:rsid w:val="00D450FE"/>
    <w:rsid w:val="00D724F4"/>
    <w:rsid w:val="00D80DD5"/>
    <w:rsid w:val="00D909EF"/>
    <w:rsid w:val="00DC0116"/>
    <w:rsid w:val="00DC566E"/>
    <w:rsid w:val="00DC5C4E"/>
    <w:rsid w:val="00DC6647"/>
    <w:rsid w:val="00DC6C4E"/>
    <w:rsid w:val="00DF4164"/>
    <w:rsid w:val="00E001DD"/>
    <w:rsid w:val="00E041ED"/>
    <w:rsid w:val="00E15CE2"/>
    <w:rsid w:val="00E20B21"/>
    <w:rsid w:val="00E415A4"/>
    <w:rsid w:val="00E41B3B"/>
    <w:rsid w:val="00E441F3"/>
    <w:rsid w:val="00E44E5C"/>
    <w:rsid w:val="00E55769"/>
    <w:rsid w:val="00E64666"/>
    <w:rsid w:val="00E77C64"/>
    <w:rsid w:val="00EA0656"/>
    <w:rsid w:val="00ED3750"/>
    <w:rsid w:val="00ED78BB"/>
    <w:rsid w:val="00EE1D8F"/>
    <w:rsid w:val="00F04176"/>
    <w:rsid w:val="00F26150"/>
    <w:rsid w:val="00F4326E"/>
    <w:rsid w:val="00F452C7"/>
    <w:rsid w:val="00F50C10"/>
    <w:rsid w:val="00F64CC1"/>
    <w:rsid w:val="00F9070F"/>
    <w:rsid w:val="00FA0BF5"/>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144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06C5-4665-4B56-9C4F-96309804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3149</Words>
  <Characters>17322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8</cp:revision>
  <cp:lastPrinted>2019-11-04T23:01:00Z</cp:lastPrinted>
  <dcterms:created xsi:type="dcterms:W3CDTF">2019-11-15T17:56:00Z</dcterms:created>
  <dcterms:modified xsi:type="dcterms:W3CDTF">2019-11-29T01:48:00Z</dcterms:modified>
</cp:coreProperties>
</file>