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85B8" w14:textId="77777777"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F86997">
        <w:rPr>
          <w:rFonts w:ascii="Palatino Linotype" w:hAnsi="Palatino Linotype" w:cs="Tahoma"/>
          <w:bCs/>
          <w:sz w:val="22"/>
          <w:szCs w:val="22"/>
        </w:rPr>
        <w:t xml:space="preserve">cinco de junio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28A57444"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F86997">
        <w:rPr>
          <w:rFonts w:ascii="Palatino Linotype" w:hAnsi="Palatino Linotype" w:cs="Tahoma"/>
          <w:b/>
          <w:bCs/>
          <w:color w:val="0D0D0D" w:themeColor="text1" w:themeTint="F2"/>
          <w:sz w:val="22"/>
          <w:szCs w:val="22"/>
        </w:rPr>
        <w:t>0</w:t>
      </w:r>
      <w:r w:rsidR="00311D8B" w:rsidRPr="00F86997">
        <w:rPr>
          <w:rFonts w:ascii="Palatino Linotype" w:hAnsi="Palatino Linotype" w:cs="Tahoma"/>
          <w:b/>
          <w:bCs/>
          <w:color w:val="0D0D0D" w:themeColor="text1" w:themeTint="F2"/>
          <w:sz w:val="22"/>
          <w:szCs w:val="22"/>
        </w:rPr>
        <w:t>1</w:t>
      </w:r>
      <w:r w:rsidR="005C3851" w:rsidRPr="00F86997">
        <w:rPr>
          <w:rFonts w:ascii="Palatino Linotype" w:hAnsi="Palatino Linotype" w:cs="Tahoma"/>
          <w:b/>
          <w:bCs/>
          <w:color w:val="0D0D0D" w:themeColor="text1" w:themeTint="F2"/>
          <w:sz w:val="22"/>
          <w:szCs w:val="22"/>
        </w:rPr>
        <w:t>791</w:t>
      </w:r>
      <w:r w:rsidR="00D34402" w:rsidRPr="00F86997">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EF69C4" w:rsidRPr="00EF69C4">
        <w:rPr>
          <w:rFonts w:ascii="Palatino Linotype" w:hAnsi="Palatino Linotype" w:cs="Tahoma"/>
          <w:b/>
          <w:bCs/>
          <w:color w:val="0D0D0D" w:themeColor="text1" w:themeTint="F2"/>
          <w:sz w:val="22"/>
          <w:szCs w:val="22"/>
          <w:highlight w:val="black"/>
        </w:rPr>
        <w:t>XXXXXXXXXXXXXXXXXX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5C3851" w:rsidRPr="005C3851">
        <w:rPr>
          <w:rFonts w:ascii="Palatino Linotype" w:hAnsi="Palatino Linotype" w:cs="Tahoma"/>
          <w:b/>
          <w:bCs/>
          <w:color w:val="0D0D0D" w:themeColor="text1" w:themeTint="F2"/>
          <w:sz w:val="22"/>
          <w:szCs w:val="22"/>
        </w:rPr>
        <w:t>Ayuntamiento de Rayón</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7777777"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77406913"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fecha dieciocho</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F86997">
        <w:rPr>
          <w:rFonts w:ascii="Palatino Linotype" w:hAnsi="Palatino Linotype" w:cs="Tahoma"/>
          <w:szCs w:val="22"/>
        </w:rPr>
        <w:t>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DE21BA">
        <w:rPr>
          <w:rFonts w:ascii="Palatino Linotype" w:hAnsi="Palatino Linotype" w:cs="Tahoma"/>
          <w:szCs w:val="22"/>
        </w:rPr>
        <w:t xml:space="preserve">presentó solicitud de </w:t>
      </w:r>
      <w:r w:rsidR="001171BD" w:rsidRPr="00AD50F9">
        <w:rPr>
          <w:rFonts w:ascii="Palatino Linotype" w:hAnsi="Palatino Linotype" w:cs="Tahoma"/>
          <w:szCs w:val="22"/>
        </w:rPr>
        <w:t xml:space="preserve">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96C9B" w:rsidRPr="00796C9B">
        <w:rPr>
          <w:rFonts w:ascii="Palatino Linotype" w:hAnsi="Palatino Linotype" w:cs="Tahoma"/>
          <w:b/>
          <w:szCs w:val="22"/>
        </w:rPr>
        <w:t>Ayuntamiento de Rayón</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D43E69" w:rsidRPr="00D43E69">
        <w:rPr>
          <w:rFonts w:ascii="Palatino Linotype" w:hAnsi="Palatino Linotype" w:cs="Tahoma"/>
          <w:b/>
          <w:bCs/>
          <w:szCs w:val="22"/>
        </w:rPr>
        <w:t>00011/RAYON/IP/2019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77777777" w:rsidR="00D01F75" w:rsidRDefault="00796C9B" w:rsidP="0090360E">
      <w:pPr>
        <w:tabs>
          <w:tab w:val="left" w:pos="4667"/>
        </w:tabs>
        <w:spacing w:line="360" w:lineRule="auto"/>
        <w:ind w:left="567" w:right="567"/>
        <w:jc w:val="both"/>
        <w:rPr>
          <w:rFonts w:ascii="Palatino Linotype" w:hAnsi="Palatino Linotype" w:cs="Tahoma"/>
          <w:bCs/>
          <w:i/>
        </w:rPr>
      </w:pPr>
      <w:r w:rsidRPr="00D43E69">
        <w:rPr>
          <w:rFonts w:ascii="Palatino Linotype" w:hAnsi="Palatino Linotype" w:cs="Tahoma"/>
          <w:bCs/>
          <w:i/>
        </w:rPr>
        <w:t>SOLICITO INFORMACIÓN SOBRE EL SECRETARIO TÉCNICO MUNICIPAL, PREPARACIÓN ACADÉMICA Y DOCUMENTOS QUE SUSTENTEN SU CARGO, ASÍ COMO CONVOCATORIAS Y PROCESOS EN EJECUCIÓN PARA LA ELABORACIÓN DEL PLAN MUNICIPAL DE DESARROLLO Y SI SE ESTA TOMANDO EN CUENTA PARA SU EVALUACIÓN TODOS LOS ASPECTOS QUE MARCAN LAS DIFERENTES DISPOSICIONES APLICABLES EN LA MATERIA</w:t>
      </w:r>
      <w:r w:rsidR="00D01F75" w:rsidRPr="00D43E69">
        <w:rPr>
          <w:rFonts w:ascii="Palatino Linotype" w:hAnsi="Palatino Linotype" w:cs="Tahoma"/>
          <w:bCs/>
          <w:i/>
        </w:rPr>
        <w:t xml:space="preserve"> (Sic.)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lastRenderedPageBreak/>
        <w:t>MODALIDAD DE ENTREGA</w:t>
      </w:r>
    </w:p>
    <w:p w14:paraId="6AA85CD8" w14:textId="77777777" w:rsidR="00D01F75" w:rsidRPr="00D43E69" w:rsidRDefault="00E64BD9" w:rsidP="0090360E">
      <w:pPr>
        <w:tabs>
          <w:tab w:val="left" w:pos="4667"/>
        </w:tabs>
        <w:spacing w:line="360" w:lineRule="auto"/>
        <w:ind w:left="567" w:right="567"/>
        <w:jc w:val="both"/>
        <w:rPr>
          <w:rFonts w:ascii="Palatino Linotype" w:hAnsi="Palatino Linotype" w:cs="Tahoma"/>
          <w:bCs/>
          <w:i/>
          <w:szCs w:val="22"/>
        </w:rPr>
      </w:pPr>
      <w:r w:rsidRPr="00D43E69">
        <w:rPr>
          <w:rFonts w:ascii="Palatino Linotype" w:hAnsi="Palatino Linotype" w:cs="Tahoma"/>
          <w:bCs/>
          <w:i/>
          <w:szCs w:val="22"/>
        </w:rPr>
        <w:t>A través del SAIMEX</w:t>
      </w:r>
    </w:p>
    <w:p w14:paraId="57FECA25" w14:textId="77777777" w:rsidR="0092073B" w:rsidRPr="00AD50F9"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14:paraId="649DDB0F" w14:textId="77777777" w:rsidR="000527B4" w:rsidRPr="003A3855" w:rsidRDefault="006C1B1D" w:rsidP="000527B4">
      <w:pPr>
        <w:pStyle w:val="Prrafodelista"/>
        <w:tabs>
          <w:tab w:val="left" w:pos="567"/>
        </w:tabs>
        <w:spacing w:line="360" w:lineRule="auto"/>
        <w:ind w:left="0"/>
        <w:contextualSpacing w:val="0"/>
        <w:jc w:val="both"/>
        <w:rPr>
          <w:rFonts w:ascii="Palatino Linotype" w:hAnsi="Palatino Linotype" w:cs="Tahoma"/>
          <w:b/>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0527B4" w:rsidRPr="003A3855">
        <w:rPr>
          <w:rFonts w:ascii="Palatino Linotype" w:hAnsi="Palatino Linotype" w:cs="Tahoma"/>
          <w:b/>
        </w:rPr>
        <w:t>Ampliación de plazo para dar respuesta.</w:t>
      </w:r>
    </w:p>
    <w:p w14:paraId="16E9C4B0" w14:textId="77777777" w:rsidR="000527B4" w:rsidRPr="003A3855" w:rsidRDefault="000527B4" w:rsidP="000527B4">
      <w:pPr>
        <w:pStyle w:val="Prrafodelista"/>
        <w:tabs>
          <w:tab w:val="left" w:pos="567"/>
        </w:tabs>
        <w:spacing w:line="360" w:lineRule="auto"/>
        <w:ind w:left="0"/>
        <w:contextualSpacing w:val="0"/>
        <w:jc w:val="both"/>
        <w:rPr>
          <w:rFonts w:ascii="Palatino Linotype" w:hAnsi="Palatino Linotype" w:cs="Tahoma"/>
          <w:b/>
        </w:rPr>
      </w:pPr>
    </w:p>
    <w:p w14:paraId="212B5F8B" w14:textId="77777777" w:rsidR="000527B4" w:rsidRPr="003A3855" w:rsidRDefault="000527B4" w:rsidP="000527B4">
      <w:pPr>
        <w:pStyle w:val="Prrafodelista"/>
        <w:tabs>
          <w:tab w:val="left" w:pos="567"/>
        </w:tabs>
        <w:spacing w:line="360" w:lineRule="auto"/>
        <w:ind w:left="0"/>
        <w:contextualSpacing w:val="0"/>
        <w:jc w:val="both"/>
        <w:rPr>
          <w:rFonts w:ascii="Palatino Linotype" w:hAnsi="Palatino Linotype" w:cs="Tahoma"/>
        </w:rPr>
      </w:pPr>
      <w:r w:rsidRPr="003A3855">
        <w:rPr>
          <w:rFonts w:ascii="Palatino Linotype" w:hAnsi="Palatino Linotype" w:cs="Tahoma"/>
        </w:rPr>
        <w:t xml:space="preserve">Con fecha </w:t>
      </w:r>
      <w:r>
        <w:rPr>
          <w:rFonts w:ascii="Palatino Linotype" w:hAnsi="Palatino Linotype" w:cs="Tahoma"/>
        </w:rPr>
        <w:t xml:space="preserve">once de marzo </w:t>
      </w:r>
      <w:r w:rsidRPr="003A3855">
        <w:rPr>
          <w:rFonts w:ascii="Palatino Linotype" w:hAnsi="Palatino Linotype" w:cs="Tahoma"/>
        </w:rPr>
        <w:t xml:space="preserve">de dos mil diecinueve, a través del Sistema de Acceso a la Información Mexiquense (SAIMEX), el Sujeto Obligado notificó al Particular, la aprobación de la ampliación de plazo para dar respuesta a la solicitud de acceso a la información </w:t>
      </w:r>
      <w:r w:rsidRPr="003A3855">
        <w:rPr>
          <w:rFonts w:ascii="Palatino Linotype" w:hAnsi="Palatino Linotype" w:cs="Tahoma"/>
          <w:szCs w:val="22"/>
          <w:lang w:val="es-ES_tradnl"/>
        </w:rPr>
        <w:t xml:space="preserve">con número de folio </w:t>
      </w:r>
      <w:r w:rsidR="006C1136" w:rsidRPr="006C1136">
        <w:rPr>
          <w:rFonts w:ascii="Palatino Linotype" w:hAnsi="Palatino Linotype" w:cs="Tahoma"/>
          <w:b/>
          <w:bCs/>
          <w:szCs w:val="22"/>
        </w:rPr>
        <w:t>00011/RAYON/IP/2019</w:t>
      </w:r>
      <w:r w:rsidRPr="003A3855">
        <w:rPr>
          <w:rFonts w:ascii="Palatino Linotype" w:hAnsi="Palatino Linotype" w:cs="Tahoma"/>
        </w:rPr>
        <w:t>, bajo el argumento siguiente:</w:t>
      </w:r>
    </w:p>
    <w:p w14:paraId="17FD158A" w14:textId="77777777" w:rsidR="000527B4" w:rsidRPr="003A3855" w:rsidRDefault="000527B4" w:rsidP="000527B4">
      <w:pPr>
        <w:pStyle w:val="Prrafodelista"/>
        <w:tabs>
          <w:tab w:val="left" w:pos="567"/>
        </w:tabs>
        <w:spacing w:line="360" w:lineRule="auto"/>
        <w:ind w:left="0"/>
        <w:contextualSpacing w:val="0"/>
        <w:jc w:val="both"/>
        <w:rPr>
          <w:rFonts w:ascii="Palatino Linotype" w:hAnsi="Palatino Linotype" w:cs="Tahoma"/>
        </w:rPr>
      </w:pPr>
    </w:p>
    <w:p w14:paraId="633011E4" w14:textId="77777777" w:rsidR="000527B4" w:rsidRPr="000527B4" w:rsidRDefault="000527B4" w:rsidP="000527B4">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r w:rsidRPr="000527B4">
        <w:rPr>
          <w:rFonts w:ascii="Palatino Linotype" w:hAnsi="Palatino Linotype" w:cs="Tahoma"/>
          <w:i/>
          <w:sz w:val="20"/>
          <w:szCs w:val="20"/>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62B51F6" w14:textId="77777777" w:rsidR="000527B4" w:rsidRPr="000527B4" w:rsidRDefault="000527B4" w:rsidP="000527B4">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r w:rsidRPr="000527B4">
        <w:rPr>
          <w:rFonts w:ascii="Palatino Linotype" w:hAnsi="Palatino Linotype"/>
          <w:i/>
          <w:color w:val="000000"/>
          <w:sz w:val="20"/>
          <w:szCs w:val="20"/>
        </w:rPr>
        <w:t>Prorroga Aprobada</w:t>
      </w:r>
    </w:p>
    <w:p w14:paraId="06F4270F" w14:textId="77777777" w:rsidR="000527B4" w:rsidRPr="003A3855" w:rsidRDefault="000527B4" w:rsidP="000527B4">
      <w:pPr>
        <w:pStyle w:val="Prrafodelista"/>
        <w:tabs>
          <w:tab w:val="left" w:pos="567"/>
        </w:tabs>
        <w:spacing w:line="360" w:lineRule="auto"/>
        <w:ind w:left="0"/>
        <w:contextualSpacing w:val="0"/>
        <w:jc w:val="both"/>
        <w:rPr>
          <w:rFonts w:ascii="Palatino Linotype" w:hAnsi="Palatino Linotype" w:cs="Tahoma"/>
        </w:rPr>
      </w:pPr>
    </w:p>
    <w:p w14:paraId="5F8B1202" w14:textId="77777777" w:rsidR="000527B4" w:rsidRPr="003A3855" w:rsidRDefault="000527B4" w:rsidP="000527B4">
      <w:pPr>
        <w:pStyle w:val="Prrafodelista"/>
        <w:tabs>
          <w:tab w:val="left" w:pos="567"/>
        </w:tabs>
        <w:spacing w:line="360" w:lineRule="auto"/>
        <w:ind w:left="0"/>
        <w:contextualSpacing w:val="0"/>
        <w:jc w:val="both"/>
        <w:rPr>
          <w:rFonts w:ascii="Palatino Linotype" w:hAnsi="Palatino Linotype" w:cs="Tahoma"/>
        </w:rPr>
      </w:pPr>
      <w:r w:rsidRPr="003A3855">
        <w:rPr>
          <w:rFonts w:ascii="Palatino Linotype" w:hAnsi="Palatino Linotype" w:cs="Tahoma"/>
        </w:rPr>
        <w:t>Es de señalar que el Sujeto Obligado no adjuntó el respectivo acuerdo del Comité de Tr</w:t>
      </w:r>
      <w:r w:rsidR="00E17FA7">
        <w:rPr>
          <w:rFonts w:ascii="Palatino Linotype" w:hAnsi="Palatino Linotype" w:cs="Tahoma"/>
        </w:rPr>
        <w:t>ansparencia, en el que se aprobó</w:t>
      </w:r>
      <w:r w:rsidRPr="003A3855">
        <w:rPr>
          <w:rFonts w:ascii="Palatino Linotype" w:hAnsi="Palatino Linotype" w:cs="Tahoma"/>
        </w:rPr>
        <w:t xml:space="preserve"> la prórroga notificada.</w:t>
      </w:r>
    </w:p>
    <w:p w14:paraId="753ED354" w14:textId="77777777" w:rsidR="000527B4" w:rsidRDefault="000527B4" w:rsidP="000527B4">
      <w:pPr>
        <w:spacing w:line="360" w:lineRule="auto"/>
        <w:jc w:val="both"/>
        <w:rPr>
          <w:rFonts w:ascii="Palatino Linotype" w:eastAsia="Calibri" w:hAnsi="Palatino Linotype" w:cs="Tahoma"/>
          <w:b/>
          <w:bCs/>
          <w:sz w:val="22"/>
          <w:szCs w:val="22"/>
          <w:lang w:eastAsia="en-US"/>
        </w:rPr>
      </w:pPr>
    </w:p>
    <w:p w14:paraId="063E4058" w14:textId="77777777" w:rsidR="000527B4" w:rsidRPr="003E4E33"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II. Respuesta del Sujeto Obligado.</w:t>
      </w:r>
    </w:p>
    <w:p w14:paraId="1D372924" w14:textId="77777777" w:rsidR="00AA5A86" w:rsidRPr="00AD50F9" w:rsidRDefault="00AA5A86" w:rsidP="000527B4">
      <w:pPr>
        <w:pStyle w:val="Prrafodelista"/>
        <w:tabs>
          <w:tab w:val="left" w:pos="567"/>
        </w:tabs>
        <w:spacing w:line="360" w:lineRule="auto"/>
        <w:ind w:left="0"/>
        <w:contextualSpacing w:val="0"/>
        <w:jc w:val="both"/>
        <w:rPr>
          <w:rFonts w:ascii="Palatino Linotype" w:hAnsi="Palatino Linotype" w:cs="Tahoma"/>
          <w:b/>
          <w:szCs w:val="22"/>
        </w:rPr>
      </w:pPr>
    </w:p>
    <w:p w14:paraId="68321441" w14:textId="53CE4568" w:rsidR="002312EA" w:rsidRDefault="00E43A0F"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9F58BE">
        <w:rPr>
          <w:rFonts w:ascii="Palatino Linotype" w:hAnsi="Palatino Linotype" w:cs="Tahoma"/>
          <w:sz w:val="22"/>
          <w:szCs w:val="22"/>
        </w:rPr>
        <w:t>catorce</w:t>
      </w:r>
      <w:r w:rsidR="006E7DA9" w:rsidRPr="00AD50F9">
        <w:rPr>
          <w:rFonts w:ascii="Palatino Linotype" w:hAnsi="Palatino Linotype" w:cs="Tahoma"/>
          <w:sz w:val="22"/>
          <w:szCs w:val="22"/>
        </w:rPr>
        <w:t xml:space="preser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2312EA">
        <w:rPr>
          <w:rFonts w:ascii="Palatino Linotype" w:hAnsi="Palatino Linotype" w:cs="Tahoma"/>
          <w:sz w:val="22"/>
          <w:szCs w:val="22"/>
        </w:rPr>
        <w:t>a través</w:t>
      </w:r>
      <w:r w:rsidR="002312EA" w:rsidRPr="00AD50F9">
        <w:rPr>
          <w:rFonts w:ascii="Palatino Linotype" w:hAnsi="Palatino Linotype" w:cs="Tahoma"/>
          <w:sz w:val="22"/>
          <w:szCs w:val="22"/>
        </w:rPr>
        <w:t xml:space="preserve"> </w:t>
      </w:r>
      <w:r w:rsidR="002312EA">
        <w:rPr>
          <w:rFonts w:ascii="Palatino Linotype" w:hAnsi="Palatino Linotype" w:cs="Tahoma"/>
          <w:sz w:val="22"/>
          <w:szCs w:val="22"/>
        </w:rPr>
        <w:t>d</w:t>
      </w:r>
      <w:r w:rsidR="002312EA" w:rsidRPr="00AD50F9">
        <w:rPr>
          <w:rFonts w:ascii="Palatino Linotype" w:hAnsi="Palatino Linotype" w:cs="Tahoma"/>
          <w:sz w:val="22"/>
          <w:szCs w:val="22"/>
        </w:rPr>
        <w:t>el Sistema de Acceso a la Información Mexiquense (SAIMEX)</w:t>
      </w:r>
      <w:r w:rsidR="002312EA">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w:t>
      </w:r>
      <w:proofErr w:type="gramStart"/>
      <w:r w:rsidR="009F58BE" w:rsidRPr="009F58BE">
        <w:rPr>
          <w:rFonts w:ascii="Palatino Linotype" w:hAnsi="Palatino Linotype" w:cs="Tahoma"/>
          <w:sz w:val="22"/>
          <w:szCs w:val="22"/>
        </w:rPr>
        <w:t>Respon</w:t>
      </w:r>
      <w:r w:rsidR="009F58BE">
        <w:rPr>
          <w:rFonts w:ascii="Palatino Linotype" w:hAnsi="Palatino Linotype" w:cs="Tahoma"/>
          <w:sz w:val="22"/>
          <w:szCs w:val="22"/>
        </w:rPr>
        <w:t>sable</w:t>
      </w:r>
      <w:proofErr w:type="gramEnd"/>
      <w:r w:rsidR="009F58BE">
        <w:rPr>
          <w:rFonts w:ascii="Palatino Linotype" w:hAnsi="Palatino Linotype" w:cs="Tahoma"/>
          <w:sz w:val="22"/>
          <w:szCs w:val="22"/>
        </w:rPr>
        <w:t xml:space="preserve"> de la Unidad de Informació</w:t>
      </w:r>
      <w:r w:rsidR="009F58BE" w:rsidRPr="009F58BE">
        <w:rPr>
          <w:rFonts w:ascii="Palatino Linotype" w:hAnsi="Palatino Linotype" w:cs="Tahoma"/>
          <w:sz w:val="22"/>
          <w:szCs w:val="22"/>
        </w:rPr>
        <w:t>n</w:t>
      </w:r>
      <w:r w:rsidR="00311D8B" w:rsidRPr="00AD50F9">
        <w:rPr>
          <w:rFonts w:ascii="Palatino Linotype" w:hAnsi="Palatino Linotype" w:cs="Tahoma"/>
          <w:sz w:val="22"/>
          <w:szCs w:val="22"/>
        </w:rPr>
        <w:t xml:space="preserve"> de</w:t>
      </w:r>
      <w:r w:rsidR="009F58BE">
        <w:rPr>
          <w:rFonts w:ascii="Palatino Linotype" w:hAnsi="Palatino Linotype" w:cs="Tahoma"/>
          <w:sz w:val="22"/>
          <w:szCs w:val="22"/>
        </w:rPr>
        <w:t>l Ayuntamiento de Rayón</w:t>
      </w:r>
      <w:r w:rsidR="002312EA">
        <w:rPr>
          <w:rFonts w:ascii="Palatino Linotype" w:hAnsi="Palatino Linotype" w:cs="Tahoma"/>
          <w:sz w:val="22"/>
          <w:szCs w:val="22"/>
        </w:rPr>
        <w:t>,</w:t>
      </w:r>
      <w:r w:rsidR="00AA2AFF">
        <w:rPr>
          <w:rFonts w:ascii="Palatino Linotype" w:hAnsi="Palatino Linotype" w:cs="Tahoma"/>
          <w:sz w:val="22"/>
          <w:szCs w:val="22"/>
        </w:rPr>
        <w:t xml:space="preserve"> </w:t>
      </w:r>
      <w:r w:rsidRPr="00AD50F9">
        <w:rPr>
          <w:rFonts w:ascii="Palatino Linotype" w:hAnsi="Palatino Linotype" w:cs="Tahoma"/>
          <w:sz w:val="22"/>
          <w:szCs w:val="22"/>
        </w:rPr>
        <w:t>notificó a</w:t>
      </w:r>
      <w:r w:rsidR="002312EA">
        <w:rPr>
          <w:rFonts w:ascii="Palatino Linotype" w:hAnsi="Palatino Linotype" w:cs="Tahoma"/>
          <w:sz w:val="22"/>
          <w:szCs w:val="22"/>
        </w:rPr>
        <w:t>l Particular</w:t>
      </w:r>
      <w:r w:rsidRPr="00AD50F9">
        <w:rPr>
          <w:rFonts w:ascii="Palatino Linotype" w:hAnsi="Palatino Linotype" w:cs="Tahoma"/>
          <w:sz w:val="22"/>
          <w:szCs w:val="22"/>
        </w:rPr>
        <w:t xml:space="preserve"> </w:t>
      </w:r>
      <w:r w:rsidR="009E110C">
        <w:rPr>
          <w:rFonts w:ascii="Palatino Linotype" w:hAnsi="Palatino Linotype" w:cs="Tahoma"/>
          <w:sz w:val="22"/>
          <w:szCs w:val="22"/>
        </w:rPr>
        <w:t xml:space="preserve">la respuesta a </w:t>
      </w:r>
      <w:r w:rsidR="00AA2AFF">
        <w:rPr>
          <w:rFonts w:ascii="Palatino Linotype" w:hAnsi="Palatino Linotype" w:cs="Tahoma"/>
          <w:sz w:val="22"/>
          <w:szCs w:val="22"/>
        </w:rPr>
        <w:t xml:space="preserve">la </w:t>
      </w:r>
      <w:r w:rsidR="009E110C">
        <w:rPr>
          <w:rFonts w:ascii="Palatino Linotype" w:hAnsi="Palatino Linotype" w:cs="Tahoma"/>
          <w:sz w:val="22"/>
          <w:szCs w:val="22"/>
        </w:rPr>
        <w:t xml:space="preserve">solicitud de acceso a la información con número de folio </w:t>
      </w:r>
      <w:r w:rsidR="009E110C" w:rsidRPr="009E110C">
        <w:rPr>
          <w:rFonts w:ascii="Palatino Linotype" w:hAnsi="Palatino Linotype" w:cs="Tahoma"/>
          <w:sz w:val="22"/>
          <w:szCs w:val="22"/>
        </w:rPr>
        <w:t>00011/RAYON/IP/2019</w:t>
      </w:r>
      <w:r w:rsidR="009E110C">
        <w:rPr>
          <w:rFonts w:ascii="Palatino Linotype" w:hAnsi="Palatino Linotype" w:cs="Tahoma"/>
          <w:sz w:val="22"/>
          <w:szCs w:val="22"/>
        </w:rPr>
        <w:t>, en los términos siguientes:</w:t>
      </w:r>
    </w:p>
    <w:p w14:paraId="643FFB12" w14:textId="77777777" w:rsidR="002312EA" w:rsidRDefault="002312EA" w:rsidP="0090360E">
      <w:pPr>
        <w:autoSpaceDE w:val="0"/>
        <w:autoSpaceDN w:val="0"/>
        <w:adjustRightInd w:val="0"/>
        <w:spacing w:line="360" w:lineRule="auto"/>
        <w:jc w:val="both"/>
        <w:rPr>
          <w:rFonts w:ascii="Palatino Linotype" w:hAnsi="Palatino Linotype" w:cs="Tahoma"/>
          <w:sz w:val="22"/>
          <w:szCs w:val="22"/>
        </w:rPr>
      </w:pPr>
    </w:p>
    <w:p w14:paraId="058FCC3E" w14:textId="77777777" w:rsidR="00176773" w:rsidRPr="009E110C" w:rsidRDefault="00176773" w:rsidP="009E110C">
      <w:pPr>
        <w:autoSpaceDE w:val="0"/>
        <w:autoSpaceDN w:val="0"/>
        <w:adjustRightInd w:val="0"/>
        <w:spacing w:line="360" w:lineRule="auto"/>
        <w:ind w:left="567" w:right="567"/>
        <w:jc w:val="both"/>
        <w:rPr>
          <w:rFonts w:ascii="Palatino Linotype" w:hAnsi="Palatino Linotype" w:cs="Tahoma"/>
          <w:i/>
          <w:sz w:val="22"/>
          <w:szCs w:val="22"/>
        </w:rPr>
      </w:pPr>
      <w:r w:rsidRPr="009E110C">
        <w:rPr>
          <w:rFonts w:ascii="Palatino Linotype" w:hAnsi="Palatino Linotype" w:cs="Tahoma"/>
          <w:i/>
          <w:sz w:val="22"/>
          <w:szCs w:val="22"/>
        </w:rPr>
        <w:t>…</w:t>
      </w:r>
    </w:p>
    <w:p w14:paraId="789B0CCF" w14:textId="77777777" w:rsidR="00787B77" w:rsidRPr="009E110C" w:rsidRDefault="009E110C" w:rsidP="009E110C">
      <w:pPr>
        <w:autoSpaceDE w:val="0"/>
        <w:autoSpaceDN w:val="0"/>
        <w:adjustRightInd w:val="0"/>
        <w:spacing w:line="360" w:lineRule="auto"/>
        <w:ind w:left="567" w:right="567"/>
        <w:jc w:val="both"/>
        <w:rPr>
          <w:rFonts w:ascii="Palatino Linotype" w:hAnsi="Palatino Linotype" w:cs="Tahoma"/>
          <w:bCs/>
          <w:i/>
          <w:szCs w:val="22"/>
        </w:rPr>
      </w:pPr>
      <w:r w:rsidRPr="009E110C">
        <w:rPr>
          <w:rFonts w:ascii="Palatino Linotype" w:hAnsi="Palatino Linotype" w:cs="Tahoma"/>
          <w:i/>
          <w:szCs w:val="22"/>
        </w:rPr>
        <w:lastRenderedPageBreak/>
        <w:t xml:space="preserve">En cuanto a preparación académica se refiere, le hago del cocimiento que  </w:t>
      </w:r>
      <w:r w:rsidR="00176773" w:rsidRPr="009E110C">
        <w:rPr>
          <w:rFonts w:ascii="Palatino Linotype" w:hAnsi="Palatino Linotype" w:cs="Tahoma"/>
          <w:i/>
          <w:szCs w:val="22"/>
        </w:rPr>
        <w:t>actualmente me encuentro realizando la licenciatura en derecho, anexo copia del nombramiento que ostenta el cargo de secretario técnico, por lo que hace a convocatorias y procesos en ejecución para la elaboración del plan municipal de desarrollo o si se están tomando en cuenta para su evaluación todos los aspectos que marcan las diferentes disposiciones aplicables en la materia, le hago del conocimiento que la responsable de realizar esta acción es la titular de la Unidad de Información, Planeación, Programación y Evaluación (UIPPE).</w:t>
      </w:r>
      <w:r w:rsidR="00176773" w:rsidRPr="009E110C">
        <w:rPr>
          <w:rFonts w:ascii="Palatino Linotype" w:hAnsi="Palatino Linotype" w:cs="Tahoma"/>
          <w:bCs/>
          <w:i/>
          <w:szCs w:val="22"/>
        </w:rPr>
        <w:t xml:space="preserve"> (Sic).</w:t>
      </w:r>
    </w:p>
    <w:p w14:paraId="6F475A6E" w14:textId="77777777" w:rsidR="00580BBC" w:rsidRDefault="00580BBC" w:rsidP="0090360E">
      <w:pPr>
        <w:autoSpaceDE w:val="0"/>
        <w:autoSpaceDN w:val="0"/>
        <w:adjustRightInd w:val="0"/>
        <w:spacing w:line="360" w:lineRule="auto"/>
        <w:jc w:val="both"/>
        <w:rPr>
          <w:rFonts w:ascii="Palatino Linotype" w:hAnsi="Palatino Linotype" w:cs="Tahoma"/>
          <w:bCs/>
          <w:sz w:val="22"/>
          <w:szCs w:val="22"/>
        </w:rPr>
      </w:pPr>
    </w:p>
    <w:p w14:paraId="1F652A45" w14:textId="77777777" w:rsidR="009E110C" w:rsidRDefault="009E110C" w:rsidP="0090360E">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Asimismo, adjuntó a su respuesta el archivo electrónico denominado </w:t>
      </w:r>
      <w:r w:rsidRPr="009E110C">
        <w:rPr>
          <w:rFonts w:ascii="Palatino Linotype" w:hAnsi="Palatino Linotype" w:cs="Tahoma"/>
          <w:b/>
          <w:bCs/>
          <w:i/>
          <w:sz w:val="22"/>
          <w:szCs w:val="22"/>
        </w:rPr>
        <w:t>SOLICITUD 011.pdf</w:t>
      </w:r>
      <w:r>
        <w:rPr>
          <w:rFonts w:ascii="Palatino Linotype" w:hAnsi="Palatino Linotype" w:cs="Tahoma"/>
          <w:bCs/>
          <w:sz w:val="22"/>
          <w:szCs w:val="22"/>
        </w:rPr>
        <w:t xml:space="preserve">, que contiene el Nombramiento de </w:t>
      </w:r>
      <w:r w:rsidR="001D00D6">
        <w:rPr>
          <w:rFonts w:ascii="Palatino Linotype" w:hAnsi="Palatino Linotype" w:cs="Tahoma"/>
          <w:bCs/>
          <w:sz w:val="22"/>
          <w:szCs w:val="22"/>
        </w:rPr>
        <w:t>Secretario Técnico del Ayuntamiento de Rayón.</w:t>
      </w:r>
    </w:p>
    <w:p w14:paraId="071359BC" w14:textId="77777777" w:rsidR="001D00D6" w:rsidRPr="00AD50F9" w:rsidRDefault="001D00D6" w:rsidP="0090360E">
      <w:pPr>
        <w:autoSpaceDE w:val="0"/>
        <w:autoSpaceDN w:val="0"/>
        <w:adjustRightInd w:val="0"/>
        <w:spacing w:line="360" w:lineRule="auto"/>
        <w:jc w:val="both"/>
        <w:rPr>
          <w:rFonts w:ascii="Palatino Linotype" w:hAnsi="Palatino Linotype" w:cs="Tahoma"/>
          <w:bCs/>
          <w:sz w:val="22"/>
          <w:szCs w:val="22"/>
        </w:rPr>
      </w:pPr>
    </w:p>
    <w:p w14:paraId="0C662B69" w14:textId="77777777" w:rsidR="00587F23" w:rsidRPr="00AD50F9"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IV</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69C11C4" w14:textId="77777777" w:rsidR="00587F23" w:rsidRPr="00AD50F9" w:rsidRDefault="00587F23" w:rsidP="0090360E">
      <w:pPr>
        <w:autoSpaceDE w:val="0"/>
        <w:autoSpaceDN w:val="0"/>
        <w:adjustRightInd w:val="0"/>
        <w:spacing w:line="360" w:lineRule="auto"/>
        <w:jc w:val="both"/>
        <w:rPr>
          <w:rFonts w:ascii="Palatino Linotype" w:hAnsi="Palatino Linotype" w:cs="Tahoma"/>
          <w:b/>
          <w:sz w:val="22"/>
          <w:szCs w:val="22"/>
        </w:rPr>
      </w:pPr>
    </w:p>
    <w:p w14:paraId="6C627600" w14:textId="77777777"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6811F2">
        <w:rPr>
          <w:rFonts w:ascii="Palatino Linotype" w:hAnsi="Palatino Linotype" w:cs="Tahoma"/>
          <w:sz w:val="22"/>
          <w:szCs w:val="22"/>
        </w:rPr>
        <w:t xml:space="preserve">diecinueve </w:t>
      </w:r>
      <w:r w:rsidR="00E47C0D" w:rsidRPr="00AD50F9">
        <w:rPr>
          <w:rFonts w:ascii="Palatino Linotype" w:hAnsi="Palatino Linotype" w:cs="Tahoma"/>
          <w:sz w:val="22"/>
          <w:szCs w:val="22"/>
        </w:rPr>
        <w:t>de 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77777777"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77777777" w:rsidR="00CD3A5D" w:rsidRPr="001D00D6" w:rsidRDefault="006811F2" w:rsidP="0090360E">
      <w:pPr>
        <w:autoSpaceDE w:val="0"/>
        <w:autoSpaceDN w:val="0"/>
        <w:adjustRightInd w:val="0"/>
        <w:spacing w:line="360" w:lineRule="auto"/>
        <w:ind w:left="567" w:right="567"/>
        <w:jc w:val="both"/>
        <w:rPr>
          <w:rFonts w:ascii="Palatino Linotype" w:hAnsi="Palatino Linotype" w:cs="Tahoma"/>
          <w:i/>
        </w:rPr>
      </w:pPr>
      <w:r w:rsidRPr="001D00D6">
        <w:rPr>
          <w:rFonts w:ascii="Palatino Linotype" w:hAnsi="Palatino Linotype" w:cs="Tahoma"/>
          <w:i/>
        </w:rPr>
        <w:t>no se brinda la información solicitada al plan de desarrollo municipal</w:t>
      </w:r>
      <w:r w:rsidR="00092475" w:rsidRPr="001D00D6">
        <w:rPr>
          <w:rFonts w:ascii="Palatino Linotype" w:hAnsi="Palatino Linotype" w:cs="Tahoma"/>
          <w:i/>
        </w:rPr>
        <w:t xml:space="preserve"> (Sic.)</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6AF3A796" w14:textId="77777777" w:rsidR="00B31222" w:rsidRPr="001D00D6" w:rsidRDefault="006811F2" w:rsidP="0090360E">
      <w:pPr>
        <w:autoSpaceDE w:val="0"/>
        <w:autoSpaceDN w:val="0"/>
        <w:adjustRightInd w:val="0"/>
        <w:spacing w:line="360" w:lineRule="auto"/>
        <w:ind w:left="567" w:right="567"/>
        <w:jc w:val="both"/>
        <w:rPr>
          <w:rFonts w:ascii="Palatino Linotype" w:hAnsi="Palatino Linotype" w:cs="Tahoma"/>
          <w:i/>
        </w:rPr>
      </w:pPr>
      <w:r w:rsidRPr="001D00D6">
        <w:rPr>
          <w:rFonts w:ascii="Palatino Linotype" w:hAnsi="Palatino Linotype" w:cs="Tahoma"/>
          <w:i/>
        </w:rPr>
        <w:t>no se brinda la información completa</w:t>
      </w:r>
      <w:r w:rsidR="006C1B1D" w:rsidRPr="001D00D6">
        <w:rPr>
          <w:rFonts w:ascii="Palatino Linotype" w:hAnsi="Palatino Linotype" w:cs="Tahoma"/>
          <w:i/>
        </w:rPr>
        <w:t xml:space="preserve"> (Sic.)</w:t>
      </w:r>
    </w:p>
    <w:p w14:paraId="207114D7" w14:textId="77777777" w:rsidR="00BB545D" w:rsidRDefault="00BB545D" w:rsidP="0090360E">
      <w:pPr>
        <w:spacing w:line="360" w:lineRule="auto"/>
        <w:jc w:val="both"/>
        <w:rPr>
          <w:rFonts w:ascii="Palatino Linotype" w:hAnsi="Palatino Linotype" w:cs="Tahoma"/>
          <w:b/>
          <w:sz w:val="22"/>
          <w:szCs w:val="22"/>
        </w:rPr>
      </w:pPr>
    </w:p>
    <w:p w14:paraId="2D392C96" w14:textId="77777777" w:rsidR="009D5C33" w:rsidRDefault="009D5C33" w:rsidP="0090360E">
      <w:pPr>
        <w:spacing w:line="360" w:lineRule="auto"/>
        <w:jc w:val="both"/>
        <w:rPr>
          <w:rFonts w:ascii="Palatino Linotype" w:hAnsi="Palatino Linotype" w:cs="Tahoma"/>
          <w:b/>
          <w:sz w:val="22"/>
          <w:szCs w:val="22"/>
        </w:rPr>
      </w:pPr>
    </w:p>
    <w:p w14:paraId="05703DFA" w14:textId="77777777" w:rsidR="009D5C33" w:rsidRDefault="009D5C33" w:rsidP="0090360E">
      <w:pPr>
        <w:spacing w:line="360" w:lineRule="auto"/>
        <w:jc w:val="both"/>
        <w:rPr>
          <w:rFonts w:ascii="Palatino Linotype" w:hAnsi="Palatino Linotype" w:cs="Tahoma"/>
          <w:b/>
          <w:sz w:val="22"/>
          <w:szCs w:val="22"/>
        </w:rPr>
      </w:pPr>
    </w:p>
    <w:p w14:paraId="3E065E3C" w14:textId="77777777" w:rsidR="009D5C33" w:rsidRPr="00AD50F9" w:rsidRDefault="009D5C33" w:rsidP="0090360E">
      <w:pPr>
        <w:spacing w:line="360" w:lineRule="auto"/>
        <w:jc w:val="both"/>
        <w:rPr>
          <w:rFonts w:ascii="Palatino Linotype" w:hAnsi="Palatino Linotype" w:cs="Tahoma"/>
          <w:b/>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77777777"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033BE7">
        <w:rPr>
          <w:rFonts w:ascii="Palatino Linotype" w:eastAsia="Batang" w:hAnsi="Palatino Linotype" w:cs="Tahoma"/>
          <w:bCs/>
          <w:sz w:val="22"/>
          <w:szCs w:val="22"/>
        </w:rPr>
        <w:t>diecinueve</w:t>
      </w:r>
      <w:r w:rsidR="0030032A" w:rsidRPr="00AD50F9">
        <w:rPr>
          <w:rFonts w:ascii="Palatino Linotype" w:eastAsia="Batang" w:hAnsi="Palatino Linotype" w:cs="Tahoma"/>
          <w:bCs/>
          <w:sz w:val="22"/>
          <w:szCs w:val="22"/>
        </w:rPr>
        <w:t xml:space="preserve"> 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311D8B" w:rsidRPr="001D00D6">
        <w:rPr>
          <w:rFonts w:ascii="Palatino Linotype" w:eastAsia="Batang" w:hAnsi="Palatino Linotype" w:cs="Tahoma"/>
          <w:b/>
          <w:bCs/>
          <w:sz w:val="22"/>
          <w:szCs w:val="22"/>
        </w:rPr>
        <w:t>1</w:t>
      </w:r>
      <w:r w:rsidR="00033BE7" w:rsidRPr="001D00D6">
        <w:rPr>
          <w:rFonts w:ascii="Palatino Linotype" w:eastAsia="Batang" w:hAnsi="Palatino Linotype" w:cs="Tahoma"/>
          <w:b/>
          <w:bCs/>
          <w:sz w:val="22"/>
          <w:szCs w:val="22"/>
        </w:rPr>
        <w:t>791</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77777777"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19151D">
        <w:rPr>
          <w:rFonts w:ascii="Palatino Linotype" w:eastAsia="Batang" w:hAnsi="Palatino Linotype" w:cs="Tahoma"/>
          <w:bCs/>
          <w:sz w:val="22"/>
          <w:szCs w:val="22"/>
          <w:lang w:val="es-ES_tradnl"/>
        </w:rPr>
        <w:t xml:space="preserve">veinticinco </w:t>
      </w:r>
      <w:r w:rsidR="00E47C0D" w:rsidRPr="00AD50F9">
        <w:rPr>
          <w:rFonts w:ascii="Palatino Linotype" w:eastAsia="Batang" w:hAnsi="Palatino Linotype" w:cs="Tahoma"/>
          <w:bCs/>
          <w:sz w:val="22"/>
          <w:szCs w:val="22"/>
          <w:lang w:val="es-ES_tradnl"/>
        </w:rPr>
        <w:t>de marzo</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051A156B" w14:textId="77777777" w:rsidR="0061115C" w:rsidRPr="00AD50F9" w:rsidRDefault="004406CF" w:rsidP="00A60A2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A60A2E" w:rsidRPr="00A60A2E">
        <w:rPr>
          <w:rFonts w:ascii="Palatino Linotype" w:hAnsi="Palatino Linotype" w:cs="Tahoma"/>
          <w:sz w:val="22"/>
          <w:szCs w:val="22"/>
        </w:rPr>
        <w:t>De las constancias que obran en el Sistema de Acceso a la Información Mexiquense (SAIMEX)</w:t>
      </w:r>
      <w:r w:rsidR="001D00D6">
        <w:rPr>
          <w:rFonts w:ascii="Palatino Linotype" w:hAnsi="Palatino Linotype" w:cs="Tahoma"/>
          <w:sz w:val="22"/>
          <w:szCs w:val="22"/>
        </w:rPr>
        <w:t>, se advierte que el S</w:t>
      </w:r>
      <w:r w:rsidR="00A60A2E" w:rsidRPr="00A60A2E">
        <w:rPr>
          <w:rFonts w:ascii="Palatino Linotype" w:hAnsi="Palatino Linotype" w:cs="Tahoma"/>
          <w:sz w:val="22"/>
          <w:szCs w:val="22"/>
        </w:rPr>
        <w:t xml:space="preserve">ujeto </w:t>
      </w:r>
      <w:r w:rsidR="001D00D6">
        <w:rPr>
          <w:rFonts w:ascii="Palatino Linotype" w:hAnsi="Palatino Linotype" w:cs="Tahoma"/>
          <w:sz w:val="22"/>
          <w:szCs w:val="22"/>
        </w:rPr>
        <w:t>Obligado fue omiso en presentar Informe J</w:t>
      </w:r>
      <w:r w:rsidR="00A60A2E" w:rsidRPr="00A60A2E">
        <w:rPr>
          <w:rFonts w:ascii="Palatino Linotype" w:hAnsi="Palatino Linotype" w:cs="Tahoma"/>
          <w:sz w:val="22"/>
          <w:szCs w:val="22"/>
        </w:rPr>
        <w:t>ustificado</w:t>
      </w:r>
      <w:r w:rsidR="00A60A2E" w:rsidRPr="00A60A2E">
        <w:rPr>
          <w:rFonts w:ascii="Palatino Linotype" w:hAnsi="Palatino Linotype" w:cs="Tahoma"/>
          <w:bCs/>
          <w:iCs/>
          <w:sz w:val="22"/>
          <w:szCs w:val="22"/>
        </w:rPr>
        <w:t>.</w:t>
      </w:r>
      <w:r w:rsidR="0067001F" w:rsidRPr="00AD50F9">
        <w:rPr>
          <w:rFonts w:ascii="Palatino Linotype" w:hAnsi="Palatino Linotype" w:cs="Tahoma"/>
          <w:sz w:val="22"/>
          <w:szCs w:val="22"/>
        </w:rPr>
        <w:t xml:space="preserve"> </w:t>
      </w:r>
    </w:p>
    <w:p w14:paraId="54B455B4" w14:textId="77777777" w:rsidR="00ED2AC0" w:rsidRPr="00AD50F9" w:rsidRDefault="00ED2AC0" w:rsidP="0090360E">
      <w:pPr>
        <w:spacing w:line="360" w:lineRule="auto"/>
        <w:jc w:val="both"/>
        <w:rPr>
          <w:rFonts w:ascii="Palatino Linotype" w:hAnsi="Palatino Linotype" w:cs="Tahoma"/>
          <w:sz w:val="22"/>
          <w:szCs w:val="22"/>
        </w:rPr>
      </w:pPr>
    </w:p>
    <w:p w14:paraId="2548BE32" w14:textId="77777777" w:rsidR="00377383" w:rsidRDefault="00377383" w:rsidP="00377383">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 </w:t>
      </w:r>
      <w:r w:rsidRPr="00377383">
        <w:rPr>
          <w:rFonts w:ascii="Palatino Linotype" w:hAnsi="Palatino Linotype" w:cs="Tahoma"/>
          <w:sz w:val="22"/>
          <w:szCs w:val="22"/>
        </w:rPr>
        <w:t>De las constancias que obran en el Sistema de Acceso a la Información Mexiquen</w:t>
      </w:r>
      <w:r w:rsidR="001D00D6">
        <w:rPr>
          <w:rFonts w:ascii="Palatino Linotype" w:hAnsi="Palatino Linotype" w:cs="Tahoma"/>
          <w:sz w:val="22"/>
          <w:szCs w:val="22"/>
        </w:rPr>
        <w:t>se (SAIMEX), se advierte que el R</w:t>
      </w:r>
      <w:r w:rsidRPr="00377383">
        <w:rPr>
          <w:rFonts w:ascii="Palatino Linotype" w:hAnsi="Palatino Linotype" w:cs="Tahoma"/>
          <w:sz w:val="22"/>
          <w:szCs w:val="22"/>
        </w:rPr>
        <w:t xml:space="preserve">ecurrente </w:t>
      </w:r>
      <w:r w:rsidR="001D00D6">
        <w:rPr>
          <w:rFonts w:ascii="Palatino Linotype" w:hAnsi="Palatino Linotype" w:cs="Tahoma"/>
          <w:sz w:val="22"/>
          <w:szCs w:val="22"/>
        </w:rPr>
        <w:t>fue omiso en presentar manifestaciones</w:t>
      </w:r>
      <w:r w:rsidRPr="00377383">
        <w:rPr>
          <w:rFonts w:ascii="Palatino Linotype" w:hAnsi="Palatino Linotype" w:cs="Tahoma"/>
          <w:sz w:val="22"/>
          <w:szCs w:val="22"/>
        </w:rPr>
        <w:t>.</w:t>
      </w:r>
      <w:r w:rsidR="00A60A2E" w:rsidRPr="00AD50F9">
        <w:rPr>
          <w:rFonts w:ascii="Palatino Linotype" w:hAnsi="Palatino Linotype" w:cs="Tahoma"/>
          <w:sz w:val="22"/>
          <w:szCs w:val="22"/>
        </w:rPr>
        <w:t xml:space="preserve"> </w:t>
      </w:r>
    </w:p>
    <w:p w14:paraId="72B55BE7" w14:textId="77777777" w:rsidR="00377383" w:rsidRDefault="00377383" w:rsidP="0090360E">
      <w:pPr>
        <w:widowControl w:val="0"/>
        <w:spacing w:line="360" w:lineRule="auto"/>
        <w:jc w:val="both"/>
        <w:rPr>
          <w:rFonts w:ascii="Palatino Linotype" w:hAnsi="Palatino Linotype" w:cs="Tahoma"/>
          <w:b/>
          <w:sz w:val="22"/>
          <w:szCs w:val="22"/>
        </w:rPr>
      </w:pPr>
    </w:p>
    <w:p w14:paraId="3293A1A8" w14:textId="77777777" w:rsidR="00991FA0" w:rsidRDefault="00377383" w:rsidP="0090360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991FA0">
        <w:rPr>
          <w:rFonts w:ascii="Palatino Linotype" w:hAnsi="Palatino Linotype" w:cs="Tahoma"/>
          <w:sz w:val="22"/>
          <w:szCs w:val="24"/>
        </w:rPr>
        <w:t xml:space="preserve">catorce de mayo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991FA0">
        <w:rPr>
          <w:rFonts w:ascii="Palatino Linotype" w:hAnsi="Palatino Linotype" w:cs="Tahoma"/>
          <w:sz w:val="22"/>
          <w:szCs w:val="24"/>
        </w:rPr>
        <w:t>mismo día, mes y año</w:t>
      </w:r>
      <w:r w:rsidR="00991FA0" w:rsidRPr="003E4E33">
        <w:rPr>
          <w:rFonts w:ascii="Palatino Linotype" w:hAnsi="Palatino Linotype" w:cs="Tahoma"/>
          <w:sz w:val="22"/>
          <w:szCs w:val="24"/>
        </w:rPr>
        <w:t>.</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77777777" w:rsidR="00B31222" w:rsidRPr="00AD50F9" w:rsidRDefault="00991FA0" w:rsidP="0090360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veinticuatro de</w:t>
      </w:r>
      <w:r w:rsidR="00A60A2E">
        <w:rPr>
          <w:rFonts w:ascii="Palatino Linotype" w:hAnsi="Palatino Linotype" w:cs="Tahoma"/>
          <w:sz w:val="22"/>
          <w:szCs w:val="22"/>
        </w:rPr>
        <w:t xml:space="preserve"> m</w:t>
      </w:r>
      <w:r w:rsidR="00ED2AC0" w:rsidRPr="00AD50F9">
        <w:rPr>
          <w:rFonts w:ascii="Palatino Linotype" w:hAnsi="Palatino Linotype" w:cs="Tahoma"/>
          <w:sz w:val="22"/>
          <w:szCs w:val="22"/>
        </w:rPr>
        <w:t>ayo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77777777"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D50F9" w:rsidRDefault="00BB545D" w:rsidP="0090360E">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DA430AC"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Asimismo, se actualiza la causal de procedencia señalada en el artículo 179, fracción </w:t>
      </w:r>
      <w:r>
        <w:rPr>
          <w:rFonts w:ascii="Palatino Linotype" w:eastAsia="Calibri" w:hAnsi="Palatino Linotype" w:cs="Tahoma"/>
          <w:color w:val="000000"/>
          <w:sz w:val="22"/>
          <w:szCs w:val="22"/>
          <w:lang w:eastAsia="es-MX"/>
        </w:rPr>
        <w:t>V</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Pr>
          <w:rFonts w:ascii="Palatino Linotype" w:eastAsia="Calibri" w:hAnsi="Palatino Linotype" w:cs="Tahoma"/>
          <w:color w:val="000000"/>
          <w:sz w:val="22"/>
          <w:szCs w:val="22"/>
          <w:lang w:eastAsia="es-MX"/>
        </w:rPr>
        <w:t>entrega de información incompleta</w:t>
      </w:r>
      <w:r w:rsidRPr="003E4E33">
        <w:rPr>
          <w:rFonts w:ascii="Palatino Linotype" w:eastAsia="Calibri" w:hAnsi="Palatino Linotype" w:cs="Tahoma"/>
          <w:color w:val="000000"/>
          <w:sz w:val="22"/>
          <w:szCs w:val="22"/>
          <w:lang w:eastAsia="es-MX"/>
        </w:rPr>
        <w:t>.</w:t>
      </w:r>
    </w:p>
    <w:p w14:paraId="67A0D26E" w14:textId="77777777" w:rsidR="00057250" w:rsidRPr="00AD50F9" w:rsidRDefault="00057250" w:rsidP="0090360E">
      <w:pPr>
        <w:spacing w:line="360" w:lineRule="auto"/>
        <w:jc w:val="both"/>
        <w:rPr>
          <w:rFonts w:ascii="Palatino Linotype" w:hAnsi="Palatino Linotype" w:cs="Tahoma"/>
          <w:sz w:val="22"/>
          <w:szCs w:val="22"/>
        </w:rPr>
      </w:pPr>
    </w:p>
    <w:p w14:paraId="1FB5AEF0"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0EBEBBF" w14:textId="77777777" w:rsidR="00F0528B" w:rsidRPr="00CE05C3" w:rsidRDefault="00F0528B" w:rsidP="00F0528B">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E</w:t>
      </w:r>
      <w:r w:rsidRPr="00CE05C3">
        <w:rPr>
          <w:rFonts w:ascii="Palatino Linotype" w:hAnsi="Palatino Linotype" w:cs="Tahoma"/>
          <w:sz w:val="22"/>
          <w:szCs w:val="22"/>
        </w:rPr>
        <w:t xml:space="preserve">l artículo 192 de la </w:t>
      </w:r>
      <w:r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45BFCB90" w14:textId="77777777" w:rsidR="00F0528B" w:rsidRPr="00CE05C3" w:rsidRDefault="00F0528B" w:rsidP="00F0528B">
      <w:pPr>
        <w:spacing w:line="360" w:lineRule="auto"/>
        <w:jc w:val="both"/>
        <w:rPr>
          <w:rFonts w:ascii="Palatino Linotype" w:eastAsia="Calibri" w:hAnsi="Palatino Linotype" w:cs="Tahoma"/>
          <w:bCs/>
          <w:color w:val="000000"/>
          <w:sz w:val="22"/>
          <w:szCs w:val="22"/>
          <w:lang w:eastAsia="es-ES_tradnl"/>
        </w:rPr>
      </w:pPr>
    </w:p>
    <w:p w14:paraId="69F13099" w14:textId="77777777" w:rsidR="00F0528B" w:rsidRPr="00CE05C3" w:rsidRDefault="00F0528B" w:rsidP="00F0528B">
      <w:pPr>
        <w:numPr>
          <w:ilvl w:val="0"/>
          <w:numId w:val="47"/>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64E23CE4" w14:textId="77777777" w:rsidR="00F0528B" w:rsidRPr="00CE05C3" w:rsidRDefault="00F0528B" w:rsidP="00F0528B">
      <w:pPr>
        <w:numPr>
          <w:ilvl w:val="0"/>
          <w:numId w:val="47"/>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5646D277" w14:textId="77777777" w:rsidR="00F0528B" w:rsidRPr="00CE05C3" w:rsidRDefault="00F0528B" w:rsidP="00F0528B">
      <w:pPr>
        <w:numPr>
          <w:ilvl w:val="0"/>
          <w:numId w:val="47"/>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604FEB0" w14:textId="77777777" w:rsidR="00F0528B" w:rsidRPr="00CE05C3" w:rsidRDefault="00F0528B" w:rsidP="00F0528B">
      <w:pPr>
        <w:numPr>
          <w:ilvl w:val="0"/>
          <w:numId w:val="47"/>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38AB8F83" w14:textId="77777777" w:rsidR="00F0528B" w:rsidRPr="00CE05C3" w:rsidRDefault="00F0528B" w:rsidP="00F0528B">
      <w:pPr>
        <w:numPr>
          <w:ilvl w:val="0"/>
          <w:numId w:val="47"/>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28AD6BE2" w14:textId="77777777" w:rsidR="00F0528B" w:rsidRPr="00CE05C3" w:rsidRDefault="00F0528B" w:rsidP="00F0528B">
      <w:pPr>
        <w:spacing w:line="360" w:lineRule="auto"/>
        <w:jc w:val="both"/>
        <w:rPr>
          <w:rFonts w:ascii="Palatino Linotype" w:eastAsia="Calibri" w:hAnsi="Palatino Linotype" w:cs="Tahoma"/>
          <w:bCs/>
          <w:color w:val="000000"/>
          <w:sz w:val="22"/>
          <w:szCs w:val="22"/>
          <w:lang w:eastAsia="es-ES_tradnl"/>
        </w:rPr>
      </w:pPr>
    </w:p>
    <w:p w14:paraId="20108808" w14:textId="77777777" w:rsidR="00F0528B" w:rsidRPr="00CE05C3" w:rsidRDefault="00F0528B" w:rsidP="00F0528B">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Sin embargo,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w:t>
      </w:r>
      <w:r>
        <w:rPr>
          <w:rFonts w:ascii="Palatino Linotype" w:hAnsi="Palatino Linotype" w:cs="Tahoma"/>
          <w:sz w:val="22"/>
          <w:szCs w:val="22"/>
        </w:rPr>
        <w:t>el Sujeto Obligado modificara su respuesta</w:t>
      </w:r>
      <w:r w:rsidRPr="00CE05C3">
        <w:rPr>
          <w:rFonts w:ascii="Palatino Linotype" w:hAnsi="Palatino Linotype" w:cs="Tahoma"/>
          <w:sz w:val="22"/>
          <w:szCs w:val="22"/>
        </w:rPr>
        <w:t xml:space="preserve">. </w:t>
      </w:r>
    </w:p>
    <w:p w14:paraId="353F66F6" w14:textId="77777777" w:rsidR="00F0528B" w:rsidRPr="00CE05C3" w:rsidRDefault="00F0528B" w:rsidP="00F0528B">
      <w:pPr>
        <w:spacing w:line="360" w:lineRule="auto"/>
        <w:jc w:val="both"/>
        <w:rPr>
          <w:rFonts w:ascii="Palatino Linotype" w:hAnsi="Palatino Linotype" w:cs="Tahoma"/>
          <w:sz w:val="22"/>
          <w:szCs w:val="22"/>
        </w:rPr>
      </w:pPr>
    </w:p>
    <w:p w14:paraId="5C5DACDA" w14:textId="77777777" w:rsidR="004F2D88" w:rsidRDefault="00F0528B" w:rsidP="00F0528B">
      <w:pPr>
        <w:spacing w:line="360" w:lineRule="auto"/>
        <w:jc w:val="both"/>
        <w:rPr>
          <w:rFonts w:ascii="Palatino Linotype" w:eastAsia="Calibri" w:hAnsi="Palatino Linotype" w:cs="Tahoma"/>
          <w:bCs/>
          <w:color w:val="000000"/>
          <w:sz w:val="22"/>
          <w:szCs w:val="22"/>
          <w:lang w:eastAsia="es-ES_tradnl"/>
        </w:rPr>
      </w:pPr>
      <w:r w:rsidRPr="00E03F09">
        <w:rPr>
          <w:rFonts w:ascii="Palatino Linotype" w:hAnsi="Palatino Linotype" w:cs="Tahoma"/>
          <w:sz w:val="22"/>
          <w:szCs w:val="22"/>
        </w:rPr>
        <w:t xml:space="preserve">Ahora bien, es susceptible de análisis la actualización del supuesto jurídico previsto en </w:t>
      </w:r>
      <w:r>
        <w:rPr>
          <w:rFonts w:ascii="Palatino Linotype" w:hAnsi="Palatino Linotype" w:cs="Tahoma"/>
          <w:sz w:val="22"/>
          <w:szCs w:val="22"/>
        </w:rPr>
        <w:t>la fracción IV</w:t>
      </w:r>
      <w:r w:rsidRPr="00E03F09">
        <w:rPr>
          <w:rFonts w:ascii="Palatino Linotype" w:hAnsi="Palatino Linotype" w:cs="Tahoma"/>
          <w:sz w:val="22"/>
          <w:szCs w:val="22"/>
        </w:rPr>
        <w:t xml:space="preserve">, del artículo 192 de la Ley en cita, mismo que dispone que el </w:t>
      </w:r>
      <w:r w:rsidRPr="00E03F09">
        <w:rPr>
          <w:rFonts w:ascii="Palatino Linotype" w:eastAsia="Calibri" w:hAnsi="Palatino Linotype" w:cs="Tahoma"/>
          <w:bCs/>
          <w:color w:val="000000"/>
          <w:sz w:val="22"/>
          <w:szCs w:val="22"/>
          <w:lang w:eastAsia="es-ES_tradnl"/>
        </w:rPr>
        <w:t>Recurso de Revisión</w:t>
      </w:r>
      <w:r>
        <w:rPr>
          <w:rFonts w:ascii="Palatino Linotype" w:eastAsia="Calibri" w:hAnsi="Palatino Linotype" w:cs="Tahoma"/>
          <w:bCs/>
          <w:color w:val="000000"/>
          <w:sz w:val="22"/>
          <w:szCs w:val="22"/>
          <w:lang w:eastAsia="es-ES_tradnl"/>
        </w:rPr>
        <w:t xml:space="preserve"> será sobreseído cuando una vez admitido aparezca una causal de improcedencia.</w:t>
      </w:r>
    </w:p>
    <w:p w14:paraId="10BD1DF6" w14:textId="77777777" w:rsidR="00F0528B" w:rsidRDefault="00F0528B" w:rsidP="00F0528B">
      <w:pPr>
        <w:spacing w:line="360" w:lineRule="auto"/>
        <w:jc w:val="both"/>
        <w:rPr>
          <w:rFonts w:ascii="Palatino Linotype" w:eastAsia="Calibri" w:hAnsi="Palatino Linotype" w:cs="Tahoma"/>
          <w:bCs/>
          <w:color w:val="000000"/>
          <w:sz w:val="22"/>
          <w:szCs w:val="22"/>
          <w:lang w:eastAsia="es-ES_tradnl"/>
        </w:rPr>
      </w:pPr>
    </w:p>
    <w:p w14:paraId="42331606" w14:textId="77777777" w:rsidR="00F0528B" w:rsidRPr="00F0528B" w:rsidRDefault="00F0528B" w:rsidP="00F0528B">
      <w:pPr>
        <w:spacing w:line="360" w:lineRule="auto"/>
        <w:jc w:val="both"/>
        <w:rPr>
          <w:rFonts w:ascii="Palatino Linotype" w:hAnsi="Palatino Linotype" w:cs="Arial"/>
          <w:bCs/>
          <w:color w:val="000000" w:themeColor="text1"/>
          <w:sz w:val="22"/>
        </w:rPr>
      </w:pPr>
      <w:r>
        <w:rPr>
          <w:rFonts w:ascii="Palatino Linotype" w:eastAsia="Calibri" w:hAnsi="Palatino Linotype" w:cs="Tahoma"/>
          <w:bCs/>
          <w:color w:val="000000"/>
          <w:sz w:val="22"/>
          <w:szCs w:val="22"/>
          <w:lang w:eastAsia="es-ES_tradnl"/>
        </w:rPr>
        <w:t>En este sentido, del análisis a la solicitud de información, se advierte que el Particular requiere saber s</w:t>
      </w:r>
      <w:r w:rsidRPr="00F0528B">
        <w:rPr>
          <w:rFonts w:ascii="Palatino Linotype" w:eastAsia="Calibri" w:hAnsi="Palatino Linotype" w:cs="Tahoma"/>
          <w:bCs/>
          <w:color w:val="000000"/>
          <w:sz w:val="22"/>
          <w:szCs w:val="22"/>
          <w:lang w:eastAsia="es-ES_tradnl"/>
        </w:rPr>
        <w:t>i se está tomando en cuenta para la evaluación del Plan Municipal de Desarrollo todos los aspectos que marcan las diferentes disposiciones aplicables en la ma</w:t>
      </w:r>
      <w:r>
        <w:rPr>
          <w:rFonts w:ascii="Palatino Linotype" w:eastAsia="Calibri" w:hAnsi="Palatino Linotype" w:cs="Tahoma"/>
          <w:bCs/>
          <w:color w:val="000000"/>
          <w:sz w:val="22"/>
          <w:szCs w:val="22"/>
          <w:lang w:eastAsia="es-ES_tradnl"/>
        </w:rPr>
        <w:t>teria</w:t>
      </w:r>
      <w:r w:rsidR="00BD455F">
        <w:rPr>
          <w:rFonts w:ascii="Palatino Linotype" w:eastAsia="Calibri" w:hAnsi="Palatino Linotype" w:cs="Tahoma"/>
          <w:bCs/>
          <w:color w:val="000000"/>
          <w:sz w:val="22"/>
          <w:szCs w:val="22"/>
          <w:lang w:eastAsia="es-ES_tradnl"/>
        </w:rPr>
        <w:t xml:space="preserve">, requerimiento que consiste en una consulta de información, misma que es considerada como una causal de improcedencia en términos del </w:t>
      </w:r>
      <w:r w:rsidRPr="00F0528B">
        <w:rPr>
          <w:rFonts w:ascii="Palatino Linotype" w:hAnsi="Palatino Linotype" w:cs="Arial"/>
          <w:bCs/>
          <w:color w:val="000000" w:themeColor="text1"/>
          <w:sz w:val="22"/>
        </w:rPr>
        <w:t>artículo 191, fracción VI, de la Ley de Transparencia y Acceso a la Información Pública del Estado de Mé</w:t>
      </w:r>
      <w:r w:rsidR="00BD455F">
        <w:rPr>
          <w:rFonts w:ascii="Palatino Linotype" w:hAnsi="Palatino Linotype" w:cs="Arial"/>
          <w:bCs/>
          <w:color w:val="000000" w:themeColor="text1"/>
          <w:sz w:val="22"/>
        </w:rPr>
        <w:t>xico y Municipios, como se observa a continuación</w:t>
      </w:r>
      <w:r w:rsidRPr="00F0528B">
        <w:rPr>
          <w:rFonts w:ascii="Palatino Linotype" w:hAnsi="Palatino Linotype" w:cs="Arial"/>
          <w:bCs/>
          <w:color w:val="000000" w:themeColor="text1"/>
          <w:sz w:val="22"/>
        </w:rPr>
        <w:t>:</w:t>
      </w:r>
    </w:p>
    <w:p w14:paraId="3CE0ABBD" w14:textId="77777777" w:rsidR="00F0528B" w:rsidRPr="00F0528B" w:rsidRDefault="00F0528B" w:rsidP="00F0528B">
      <w:pPr>
        <w:spacing w:line="360" w:lineRule="auto"/>
        <w:jc w:val="both"/>
        <w:rPr>
          <w:rFonts w:ascii="Palatino Linotype" w:hAnsi="Palatino Linotype" w:cs="Arial"/>
          <w:bCs/>
          <w:color w:val="000000" w:themeColor="text1"/>
          <w:sz w:val="22"/>
        </w:rPr>
      </w:pPr>
    </w:p>
    <w:p w14:paraId="1229370C" w14:textId="77777777" w:rsidR="00F0528B" w:rsidRPr="00BD455F" w:rsidRDefault="00F0528B" w:rsidP="00F0528B">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
          <w:bCs/>
          <w:i/>
          <w:color w:val="000000" w:themeColor="text1"/>
        </w:rPr>
        <w:t xml:space="preserve">Artículo 191. </w:t>
      </w:r>
      <w:r w:rsidRPr="00BD455F">
        <w:rPr>
          <w:rFonts w:ascii="Palatino Linotype" w:hAnsi="Palatino Linotype" w:cs="Arial"/>
          <w:bCs/>
          <w:i/>
          <w:color w:val="000000" w:themeColor="text1"/>
        </w:rPr>
        <w:t>El recurso será desechado por improcedente cuando:</w:t>
      </w:r>
    </w:p>
    <w:p w14:paraId="5231827A" w14:textId="77777777" w:rsidR="00F0528B" w:rsidRPr="00BD455F" w:rsidRDefault="00F0528B" w:rsidP="00F0528B">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Cs/>
          <w:i/>
          <w:color w:val="000000" w:themeColor="text1"/>
        </w:rPr>
        <w:t>…</w:t>
      </w:r>
    </w:p>
    <w:p w14:paraId="50676839" w14:textId="77777777" w:rsidR="00F0528B" w:rsidRPr="00BD455F" w:rsidRDefault="00F0528B" w:rsidP="00F0528B">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Cs/>
          <w:i/>
          <w:color w:val="000000" w:themeColor="text1"/>
        </w:rPr>
        <w:t xml:space="preserve">VI. </w:t>
      </w:r>
      <w:r w:rsidRPr="00BD455F">
        <w:rPr>
          <w:rFonts w:ascii="Palatino Linotype" w:hAnsi="Palatino Linotype" w:cs="Arial"/>
          <w:b/>
          <w:bCs/>
          <w:i/>
          <w:color w:val="000000" w:themeColor="text1"/>
        </w:rPr>
        <w:t>Se trate de una consulta</w:t>
      </w:r>
      <w:r w:rsidRPr="00BD455F">
        <w:rPr>
          <w:rFonts w:ascii="Palatino Linotype" w:hAnsi="Palatino Linotype" w:cs="Arial"/>
          <w:bCs/>
          <w:i/>
          <w:color w:val="000000" w:themeColor="text1"/>
        </w:rPr>
        <w:t>, o trámite en específico; y</w:t>
      </w:r>
    </w:p>
    <w:p w14:paraId="2A162DBF" w14:textId="77777777" w:rsidR="00F0528B" w:rsidRPr="00BD455F" w:rsidRDefault="00BD455F" w:rsidP="00F0528B">
      <w:pPr>
        <w:spacing w:line="360" w:lineRule="auto"/>
        <w:ind w:left="567" w:right="567"/>
        <w:jc w:val="both"/>
        <w:rPr>
          <w:rFonts w:ascii="Palatino Linotype" w:hAnsi="Palatino Linotype" w:cs="Arial"/>
          <w:bCs/>
          <w:i/>
          <w:color w:val="000000" w:themeColor="text1"/>
        </w:rPr>
      </w:pPr>
      <w:r>
        <w:rPr>
          <w:rFonts w:ascii="Palatino Linotype" w:hAnsi="Palatino Linotype" w:cs="Arial"/>
          <w:bCs/>
          <w:i/>
          <w:color w:val="000000" w:themeColor="text1"/>
        </w:rPr>
        <w:t>…</w:t>
      </w:r>
    </w:p>
    <w:p w14:paraId="2FE5C677" w14:textId="77777777" w:rsidR="00F0528B" w:rsidRPr="00F0528B" w:rsidRDefault="00F0528B" w:rsidP="00F0528B">
      <w:pPr>
        <w:spacing w:line="360" w:lineRule="auto"/>
        <w:jc w:val="both"/>
        <w:rPr>
          <w:rFonts w:ascii="Palatino Linotype" w:hAnsi="Palatino Linotype" w:cs="Arial"/>
          <w:bCs/>
          <w:color w:val="000000" w:themeColor="text1"/>
          <w:sz w:val="22"/>
        </w:rPr>
      </w:pPr>
    </w:p>
    <w:p w14:paraId="1CFB810C" w14:textId="77777777" w:rsidR="00F0528B" w:rsidRPr="00F0528B" w:rsidRDefault="00F0528B" w:rsidP="00F0528B">
      <w:pPr>
        <w:spacing w:line="360" w:lineRule="auto"/>
        <w:jc w:val="both"/>
        <w:rPr>
          <w:rFonts w:ascii="Palatino Linotype" w:hAnsi="Palatino Linotype" w:cs="Arial"/>
          <w:bCs/>
          <w:i/>
          <w:color w:val="000000" w:themeColor="text1"/>
          <w:sz w:val="22"/>
        </w:rPr>
      </w:pPr>
      <w:r w:rsidRPr="00F0528B">
        <w:rPr>
          <w:rFonts w:ascii="Palatino Linotype" w:hAnsi="Palatino Linotype" w:cs="Arial"/>
          <w:bCs/>
          <w:color w:val="000000" w:themeColor="text1"/>
          <w:sz w:val="22"/>
        </w:rPr>
        <w:t xml:space="preserve">En ese contexto, </w:t>
      </w:r>
      <w:r w:rsidR="00BD455F">
        <w:rPr>
          <w:rFonts w:ascii="Palatino Linotype" w:hAnsi="Palatino Linotype" w:cs="Arial"/>
          <w:bCs/>
          <w:color w:val="000000" w:themeColor="text1"/>
          <w:sz w:val="22"/>
        </w:rPr>
        <w:t>del análisis a</w:t>
      </w:r>
      <w:r w:rsidRPr="00F0528B">
        <w:rPr>
          <w:rFonts w:ascii="Palatino Linotype" w:hAnsi="Palatino Linotype" w:cs="Arial"/>
          <w:bCs/>
          <w:color w:val="000000" w:themeColor="text1"/>
          <w:sz w:val="22"/>
        </w:rPr>
        <w:t xml:space="preserve"> la solicitud de información, se desprende </w:t>
      </w:r>
      <w:r w:rsidRPr="00F0528B">
        <w:rPr>
          <w:rFonts w:ascii="Palatino Linotype" w:hAnsi="Palatino Linotype"/>
          <w:color w:val="222222"/>
          <w:sz w:val="22"/>
          <w:lang w:eastAsia="es-MX"/>
        </w:rPr>
        <w:t>que el Recurrente requirió se le dé respuesta a los cuestionamientos </w:t>
      </w:r>
      <w:r w:rsidRPr="00BD455F">
        <w:rPr>
          <w:rFonts w:ascii="Palatino Linotype" w:hAnsi="Palatino Linotype"/>
          <w:bCs/>
          <w:color w:val="222222"/>
          <w:sz w:val="22"/>
          <w:lang w:eastAsia="es-MX"/>
        </w:rPr>
        <w:t>consistente</w:t>
      </w:r>
      <w:r w:rsidR="00BD455F">
        <w:rPr>
          <w:rFonts w:ascii="Palatino Linotype" w:hAnsi="Palatino Linotype"/>
          <w:bCs/>
          <w:color w:val="222222"/>
          <w:sz w:val="22"/>
          <w:lang w:eastAsia="es-MX"/>
        </w:rPr>
        <w:t xml:space="preserve">s en </w:t>
      </w:r>
      <w:r w:rsidR="00BD455F">
        <w:rPr>
          <w:rFonts w:ascii="Palatino Linotype" w:eastAsia="Calibri" w:hAnsi="Palatino Linotype" w:cs="Tahoma"/>
          <w:bCs/>
          <w:color w:val="000000"/>
          <w:sz w:val="22"/>
          <w:szCs w:val="22"/>
          <w:lang w:eastAsia="es-ES_tradnl"/>
        </w:rPr>
        <w:t>saber “s</w:t>
      </w:r>
      <w:r w:rsidR="00BD455F" w:rsidRPr="00F0528B">
        <w:rPr>
          <w:rFonts w:ascii="Palatino Linotype" w:eastAsia="Calibri" w:hAnsi="Palatino Linotype" w:cs="Tahoma"/>
          <w:bCs/>
          <w:color w:val="000000"/>
          <w:sz w:val="22"/>
          <w:szCs w:val="22"/>
          <w:lang w:eastAsia="es-ES_tradnl"/>
        </w:rPr>
        <w:t>i se está tomando en cuenta para la evaluación del Plan Municipal de Desarrollo todos los aspectos que marcan las diferentes disposiciones aplicables en la ma</w:t>
      </w:r>
      <w:r w:rsidR="00BD455F">
        <w:rPr>
          <w:rFonts w:ascii="Palatino Linotype" w:eastAsia="Calibri" w:hAnsi="Palatino Linotype" w:cs="Tahoma"/>
          <w:bCs/>
          <w:color w:val="000000"/>
          <w:sz w:val="22"/>
          <w:szCs w:val="22"/>
          <w:lang w:eastAsia="es-ES_tradnl"/>
        </w:rPr>
        <w:t xml:space="preserve">teria”, </w:t>
      </w:r>
      <w:r w:rsidRPr="00F0528B">
        <w:rPr>
          <w:rFonts w:ascii="Palatino Linotype" w:hAnsi="Palatino Linotype"/>
          <w:bCs/>
          <w:color w:val="222222"/>
          <w:sz w:val="22"/>
          <w:lang w:eastAsia="es-MX"/>
        </w:rPr>
        <w:t>por lo cual se puede colegir que el Particular requiere un pronunciamiento específico a la pregunta señalada</w:t>
      </w:r>
      <w:r w:rsidR="00BD455F">
        <w:rPr>
          <w:rFonts w:ascii="Palatino Linotype" w:hAnsi="Palatino Linotype"/>
          <w:bCs/>
          <w:color w:val="222222"/>
          <w:sz w:val="22"/>
          <w:lang w:eastAsia="es-MX"/>
        </w:rPr>
        <w:t>, para lo cual el Sujeto Obligado tendría que elaborar un documento específico que atienda lo solicitado.</w:t>
      </w:r>
    </w:p>
    <w:p w14:paraId="77927D93" w14:textId="77777777" w:rsidR="00F0528B" w:rsidRPr="00F0528B" w:rsidRDefault="00F0528B" w:rsidP="00F0528B">
      <w:pPr>
        <w:shd w:val="clear" w:color="auto" w:fill="FFFFFF"/>
        <w:spacing w:line="360" w:lineRule="auto"/>
        <w:jc w:val="both"/>
        <w:rPr>
          <w:rFonts w:ascii="Palatino Linotype" w:hAnsi="Palatino Linotype"/>
          <w:b/>
          <w:bCs/>
          <w:color w:val="222222"/>
          <w:sz w:val="22"/>
          <w:lang w:eastAsia="es-MX"/>
        </w:rPr>
      </w:pPr>
    </w:p>
    <w:p w14:paraId="49E876E6" w14:textId="77777777" w:rsidR="00F0528B" w:rsidRPr="00F0528B" w:rsidRDefault="00F0528B" w:rsidP="00F0528B">
      <w:pPr>
        <w:shd w:val="clear" w:color="auto" w:fill="FFFFFF"/>
        <w:spacing w:line="360" w:lineRule="auto"/>
        <w:jc w:val="both"/>
        <w:rPr>
          <w:rFonts w:ascii="Palatino Linotype" w:hAnsi="Palatino Linotype"/>
          <w:color w:val="222222"/>
          <w:sz w:val="22"/>
          <w:lang w:eastAsia="es-MX"/>
        </w:rPr>
      </w:pPr>
      <w:r w:rsidRPr="00F0528B">
        <w:rPr>
          <w:rFonts w:ascii="Palatino Linotype" w:hAnsi="Palatino Linotype"/>
          <w:color w:val="222222"/>
          <w:sz w:val="22"/>
          <w:lang w:eastAsia="es-MX"/>
        </w:rPr>
        <w:t xml:space="preserve">Sobre el particular, cabe traer a colación los artículos 2°, fracción II; 3°, fracción XI y 18 de la Ley de Transparencia y Acceso a la Información Pública del Estado de México y </w:t>
      </w:r>
      <w:proofErr w:type="gramStart"/>
      <w:r w:rsidRPr="00F0528B">
        <w:rPr>
          <w:rFonts w:ascii="Palatino Linotype" w:hAnsi="Palatino Linotype"/>
          <w:color w:val="222222"/>
          <w:sz w:val="22"/>
          <w:lang w:eastAsia="es-MX"/>
        </w:rPr>
        <w:t>Municipios;  los</w:t>
      </w:r>
      <w:proofErr w:type="gramEnd"/>
      <w:r w:rsidRPr="00F0528B">
        <w:rPr>
          <w:rFonts w:ascii="Palatino Linotype" w:hAnsi="Palatino Linotype"/>
          <w:color w:val="222222"/>
          <w:sz w:val="22"/>
          <w:lang w:eastAsia="es-MX"/>
        </w:rPr>
        <w:t xml:space="preserve"> cuales disponen lo siguiente:</w:t>
      </w:r>
    </w:p>
    <w:p w14:paraId="76263130" w14:textId="77777777" w:rsidR="00F0528B" w:rsidRDefault="00F0528B" w:rsidP="00F0528B">
      <w:pPr>
        <w:shd w:val="clear" w:color="auto" w:fill="FFFFFF"/>
        <w:spacing w:line="360" w:lineRule="auto"/>
        <w:jc w:val="both"/>
        <w:rPr>
          <w:rFonts w:ascii="Palatino Linotype" w:hAnsi="Palatino Linotype"/>
          <w:color w:val="222222"/>
          <w:lang w:eastAsia="es-MX"/>
        </w:rPr>
      </w:pPr>
    </w:p>
    <w:p w14:paraId="323A0443" w14:textId="77777777" w:rsidR="00F0528B" w:rsidRPr="00F82D48" w:rsidRDefault="00F0528B" w:rsidP="00F0528B">
      <w:pPr>
        <w:pStyle w:val="Prrafodelista"/>
        <w:numPr>
          <w:ilvl w:val="0"/>
          <w:numId w:val="24"/>
        </w:numPr>
        <w:shd w:val="clear" w:color="auto" w:fill="FFFFFF"/>
        <w:spacing w:line="360" w:lineRule="auto"/>
        <w:jc w:val="both"/>
        <w:rPr>
          <w:rFonts w:ascii="Times New Roman" w:hAnsi="Times New Roman"/>
          <w:color w:val="222222"/>
          <w:lang w:eastAsia="es-MX"/>
        </w:rPr>
      </w:pPr>
      <w:r w:rsidRPr="00F82D48">
        <w:rPr>
          <w:rFonts w:ascii="Palatino Linotype" w:hAnsi="Palatino Linotype"/>
          <w:color w:val="222222"/>
          <w:lang w:eastAsia="es-MX"/>
        </w:rPr>
        <w:t xml:space="preserve">Que uno de los objetivos de la Ley es proveer lo necesario para garantizar a toda persona el derecho de acceso a la información pública; </w:t>
      </w:r>
    </w:p>
    <w:p w14:paraId="76C241B3" w14:textId="77777777" w:rsidR="00F0528B" w:rsidRPr="00F82D48" w:rsidRDefault="00F0528B" w:rsidP="00F0528B">
      <w:pPr>
        <w:pStyle w:val="Prrafodelista"/>
        <w:shd w:val="clear" w:color="auto" w:fill="FFFFFF"/>
        <w:spacing w:line="360" w:lineRule="auto"/>
        <w:jc w:val="both"/>
        <w:rPr>
          <w:rFonts w:ascii="Times New Roman" w:hAnsi="Times New Roman"/>
          <w:color w:val="222222"/>
          <w:lang w:eastAsia="es-MX"/>
        </w:rPr>
      </w:pPr>
    </w:p>
    <w:p w14:paraId="155F552F" w14:textId="77777777" w:rsidR="00F0528B" w:rsidRPr="00F82D48" w:rsidRDefault="00F0528B" w:rsidP="00F0528B">
      <w:pPr>
        <w:pStyle w:val="Prrafodelista"/>
        <w:numPr>
          <w:ilvl w:val="0"/>
          <w:numId w:val="24"/>
        </w:numPr>
        <w:shd w:val="clear" w:color="auto" w:fill="FFFFFF"/>
        <w:spacing w:line="360" w:lineRule="auto"/>
        <w:jc w:val="both"/>
        <w:rPr>
          <w:rFonts w:ascii="Times New Roman" w:hAnsi="Times New Roman"/>
          <w:color w:val="222222"/>
          <w:lang w:eastAsia="es-MX"/>
        </w:rPr>
      </w:pPr>
      <w:r>
        <w:rPr>
          <w:rFonts w:ascii="Palatino Linotype" w:hAnsi="Palatino Linotype"/>
          <w:color w:val="222222"/>
          <w:lang w:eastAsia="es-MX"/>
        </w:rPr>
        <w:t>Q</w:t>
      </w:r>
      <w:r w:rsidRPr="00F82D48">
        <w:rPr>
          <w:rFonts w:ascii="Palatino Linotype" w:hAnsi="Palatino Linotype"/>
          <w:color w:val="222222"/>
          <w:lang w:eastAsia="es-MX"/>
        </w:rPr>
        <w:t>ue los </w:t>
      </w:r>
      <w:r w:rsidRPr="00F82D48">
        <w:rPr>
          <w:rFonts w:ascii="Palatino Linotype" w:hAnsi="Palatino Linotype"/>
          <w:b/>
          <w:bCs/>
          <w:color w:val="222222"/>
          <w:lang w:eastAsia="es-MX"/>
        </w:rPr>
        <w:t>documentos </w:t>
      </w:r>
      <w:r w:rsidRPr="00F82D48">
        <w:rPr>
          <w:rFonts w:ascii="Palatino Linotype" w:hAnsi="Palatino Linotype"/>
          <w:color w:val="222222"/>
          <w:lang w:eastAsia="es-MX"/>
        </w:rPr>
        <w:t>son los expedientes, reportes, estudios, actas, resoluciones, contratos, convenios, instructivos, notas, memorandos, estadísticas o </w:t>
      </w:r>
      <w:r w:rsidRPr="00F82D48">
        <w:rPr>
          <w:rFonts w:ascii="Palatino Linotype" w:hAnsi="Palatino Linotype"/>
          <w:b/>
          <w:bCs/>
          <w:color w:val="222222"/>
          <w:lang w:eastAsia="es-MX"/>
        </w:rPr>
        <w:t>cualquier registro que documente el ejercicio de facultades, funciones y competencia</w:t>
      </w:r>
      <w:r w:rsidRPr="00F82D48">
        <w:rPr>
          <w:rFonts w:ascii="Palatino Linotype" w:hAnsi="Palatino Linotype"/>
          <w:color w:val="222222"/>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553A7F2" w14:textId="77777777" w:rsidR="00F0528B" w:rsidRPr="00F82D48" w:rsidRDefault="00F0528B" w:rsidP="00F0528B">
      <w:pPr>
        <w:shd w:val="clear" w:color="auto" w:fill="FFFFFF"/>
        <w:spacing w:line="360" w:lineRule="auto"/>
        <w:jc w:val="both"/>
        <w:rPr>
          <w:color w:val="222222"/>
          <w:lang w:eastAsia="es-MX"/>
        </w:rPr>
      </w:pPr>
      <w:r w:rsidRPr="00F82D48">
        <w:rPr>
          <w:rFonts w:ascii="Palatino Linotype" w:hAnsi="Palatino Linotype"/>
          <w:color w:val="222222"/>
          <w:lang w:eastAsia="es-MX"/>
        </w:rPr>
        <w:t> </w:t>
      </w:r>
    </w:p>
    <w:p w14:paraId="755EA768"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xml:space="preserve">Aunado a lo anterior, el artículo 4° de dicho ordenamiento jurídico, </w:t>
      </w:r>
      <w:r w:rsidR="00BD455F">
        <w:rPr>
          <w:rFonts w:ascii="Palatino Linotype" w:hAnsi="Palatino Linotype"/>
          <w:color w:val="222222"/>
          <w:sz w:val="22"/>
          <w:lang w:eastAsia="es-MX"/>
        </w:rPr>
        <w:t xml:space="preserve">establece que la </w:t>
      </w:r>
      <w:r w:rsidR="00BD455F" w:rsidRPr="00BD455F">
        <w:rPr>
          <w:rFonts w:ascii="Palatino Linotype" w:hAnsi="Palatino Linotype"/>
          <w:b/>
          <w:color w:val="222222"/>
          <w:sz w:val="22"/>
          <w:lang w:eastAsia="es-MX"/>
        </w:rPr>
        <w:t>información</w:t>
      </w:r>
      <w:r w:rsidR="00BD455F">
        <w:rPr>
          <w:rFonts w:ascii="Palatino Linotype" w:hAnsi="Palatino Linotype"/>
          <w:color w:val="222222"/>
          <w:sz w:val="22"/>
          <w:lang w:eastAsia="es-MX"/>
        </w:rPr>
        <w:t xml:space="preserve"> es </w:t>
      </w:r>
      <w:r w:rsidRPr="00F0528B">
        <w:rPr>
          <w:rFonts w:ascii="Palatino Linotype" w:hAnsi="Palatino Linotype"/>
          <w:color w:val="222222"/>
          <w:sz w:val="22"/>
          <w:lang w:eastAsia="es-MX"/>
        </w:rPr>
        <w:t>aquella </w:t>
      </w:r>
      <w:r w:rsidRPr="00F0528B">
        <w:rPr>
          <w:rFonts w:ascii="Palatino Linotype" w:hAnsi="Palatino Linotype"/>
          <w:b/>
          <w:bCs/>
          <w:color w:val="222222"/>
          <w:sz w:val="22"/>
          <w:lang w:eastAsia="es-MX"/>
        </w:rPr>
        <w:t>generada, obtenida, adquirida, transformada</w:t>
      </w:r>
      <w:r w:rsidRPr="00F0528B">
        <w:rPr>
          <w:rFonts w:ascii="Palatino Linotype" w:hAnsi="Palatino Linotype"/>
          <w:color w:val="222222"/>
          <w:sz w:val="22"/>
          <w:lang w:eastAsia="es-MX"/>
        </w:rPr>
        <w:t> por los sujetos obligados, o en su caso, </w:t>
      </w:r>
      <w:r w:rsidRPr="00F0528B">
        <w:rPr>
          <w:rFonts w:ascii="Palatino Linotype" w:hAnsi="Palatino Linotype"/>
          <w:b/>
          <w:bCs/>
          <w:color w:val="222222"/>
          <w:sz w:val="22"/>
          <w:lang w:eastAsia="es-MX"/>
        </w:rPr>
        <w:t>la tengan en su posesión, será pública y accesible para cualquier persona.</w:t>
      </w:r>
    </w:p>
    <w:p w14:paraId="4B493F56"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540F9823" w14:textId="77777777" w:rsidR="00F0528B" w:rsidRPr="00F0528B" w:rsidRDefault="00BD455F" w:rsidP="00F0528B">
      <w:pPr>
        <w:shd w:val="clear" w:color="auto" w:fill="FFFFFF"/>
        <w:spacing w:line="360" w:lineRule="auto"/>
        <w:jc w:val="both"/>
        <w:rPr>
          <w:b/>
          <w:color w:val="222222"/>
          <w:sz w:val="22"/>
          <w:lang w:eastAsia="es-MX"/>
        </w:rPr>
      </w:pPr>
      <w:r>
        <w:rPr>
          <w:rFonts w:ascii="Palatino Linotype" w:hAnsi="Palatino Linotype"/>
          <w:color w:val="222222"/>
          <w:sz w:val="22"/>
          <w:lang w:eastAsia="es-MX"/>
        </w:rPr>
        <w:t>En este sentido</w:t>
      </w:r>
      <w:r w:rsidR="00F0528B" w:rsidRPr="00F0528B">
        <w:rPr>
          <w:rFonts w:ascii="Palatino Linotype" w:hAnsi="Palatino Linotype"/>
          <w:color w:val="222222"/>
          <w:sz w:val="22"/>
          <w:lang w:eastAsia="es-MX"/>
        </w:rPr>
        <w:t xml:space="preserve">, se advierte que el derecho de acceso a la información, consiste en una prerrogativa de cualquier persona, a solicitar información pública que conste en </w:t>
      </w:r>
      <w:r w:rsidR="00F0528B" w:rsidRPr="00F0528B">
        <w:rPr>
          <w:rFonts w:ascii="Palatino Linotype" w:hAnsi="Palatino Linotype"/>
          <w:b/>
          <w:color w:val="222222"/>
          <w:sz w:val="22"/>
          <w:lang w:eastAsia="es-MX"/>
        </w:rPr>
        <w:t>documentos generados, obtenidos, adquiridos, transformados o que tengan en posesión los sujetos obligados.</w:t>
      </w:r>
    </w:p>
    <w:p w14:paraId="754C6502"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0ECBE5F5"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3F418E98"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51082599"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xml:space="preserve">De tales circunstancias, se colige que los sujetos obligados únicamente están constreñidos a proporcionar </w:t>
      </w:r>
      <w:r w:rsidRPr="00F0528B">
        <w:rPr>
          <w:rFonts w:ascii="Palatino Linotype" w:hAnsi="Palatino Linotype"/>
          <w:b/>
          <w:color w:val="222222"/>
          <w:sz w:val="22"/>
          <w:lang w:eastAsia="es-MX"/>
        </w:rPr>
        <w:t>la documentación que obre en sus archivos</w:t>
      </w:r>
      <w:r w:rsidRPr="00F0528B">
        <w:rPr>
          <w:rFonts w:ascii="Palatino Linotype" w:hAnsi="Palatino Linotype"/>
          <w:color w:val="222222"/>
          <w:sz w:val="22"/>
          <w:lang w:eastAsia="es-MX"/>
        </w:rPr>
        <w:t>; por lo que, no están obligados a generar o elaborar documentos </w:t>
      </w:r>
      <w:r w:rsidRPr="00F0528B">
        <w:rPr>
          <w:rFonts w:ascii="Palatino Linotype" w:hAnsi="Palatino Linotype"/>
          <w:i/>
          <w:iCs/>
          <w:color w:val="222222"/>
          <w:sz w:val="22"/>
          <w:lang w:eastAsia="es-MX"/>
        </w:rPr>
        <w:t>ad hoc, </w:t>
      </w:r>
      <w:r w:rsidRPr="00F0528B">
        <w:rPr>
          <w:rFonts w:ascii="Palatino Linotype" w:hAnsi="Palatino Linotype"/>
          <w:color w:val="222222"/>
          <w:sz w:val="22"/>
          <w:lang w:eastAsia="es-MX"/>
        </w:rPr>
        <w:t>como es el caso de proporcionar respuesta a un cuestionamiento.</w:t>
      </w:r>
    </w:p>
    <w:p w14:paraId="40974A41"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07087A21" w14:textId="77777777" w:rsidR="00F0528B" w:rsidRPr="00F0528B" w:rsidRDefault="00F0528B" w:rsidP="00F0528B">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Robustece lo anterior el Criterio 03/17 emitido por el Instituto Nacional de Transparencia, Acceso a la Información y Protección de Datos Personales, que a continuación se cita:</w:t>
      </w:r>
    </w:p>
    <w:p w14:paraId="6B4207A5" w14:textId="77777777" w:rsidR="00F0528B" w:rsidRPr="00F82D48" w:rsidRDefault="00F0528B" w:rsidP="00F0528B">
      <w:pPr>
        <w:shd w:val="clear" w:color="auto" w:fill="FFFFFF"/>
        <w:spacing w:line="360" w:lineRule="auto"/>
        <w:jc w:val="both"/>
        <w:rPr>
          <w:color w:val="222222"/>
          <w:lang w:eastAsia="es-MX"/>
        </w:rPr>
      </w:pPr>
      <w:r w:rsidRPr="00F82D48">
        <w:rPr>
          <w:rFonts w:ascii="Palatino Linotype" w:hAnsi="Palatino Linotype"/>
          <w:color w:val="222222"/>
          <w:lang w:eastAsia="es-MX"/>
        </w:rPr>
        <w:t> </w:t>
      </w:r>
    </w:p>
    <w:p w14:paraId="5F2C45F7" w14:textId="77777777" w:rsidR="00F0528B" w:rsidRPr="00F0528B" w:rsidRDefault="00F0528B" w:rsidP="00F0528B">
      <w:pPr>
        <w:shd w:val="clear" w:color="auto" w:fill="FFFFFF"/>
        <w:spacing w:before="73" w:line="360" w:lineRule="auto"/>
        <w:ind w:left="567" w:right="567"/>
        <w:jc w:val="both"/>
        <w:rPr>
          <w:i/>
          <w:color w:val="222222"/>
          <w:lang w:eastAsia="es-MX"/>
        </w:rPr>
      </w:pPr>
      <w:r w:rsidRPr="00F0528B">
        <w:rPr>
          <w:rFonts w:ascii="Palatino Linotype" w:hAnsi="Palatino Linotype"/>
          <w:b/>
          <w:bCs/>
          <w:i/>
          <w:color w:val="222222"/>
          <w:lang w:eastAsia="es-MX"/>
        </w:rPr>
        <w:t>No existe obligación de elaborar </w:t>
      </w:r>
      <w:r w:rsidRPr="00F0528B">
        <w:rPr>
          <w:rFonts w:ascii="Palatino Linotype" w:hAnsi="Palatino Linotype"/>
          <w:b/>
          <w:bCs/>
          <w:i/>
          <w:color w:val="222222"/>
          <w:spacing w:val="-3"/>
          <w:lang w:eastAsia="es-MX"/>
        </w:rPr>
        <w:t>d</w:t>
      </w:r>
      <w:r w:rsidRPr="00F0528B">
        <w:rPr>
          <w:rFonts w:ascii="Palatino Linotype" w:hAnsi="Palatino Linotype"/>
          <w:b/>
          <w:bCs/>
          <w:i/>
          <w:color w:val="222222"/>
          <w:lang w:eastAsia="es-MX"/>
        </w:rPr>
        <w:t>ocum</w:t>
      </w:r>
      <w:r w:rsidRPr="00F0528B">
        <w:rPr>
          <w:rFonts w:ascii="Palatino Linotype" w:hAnsi="Palatino Linotype"/>
          <w:b/>
          <w:bCs/>
          <w:i/>
          <w:color w:val="222222"/>
          <w:spacing w:val="1"/>
          <w:lang w:eastAsia="es-MX"/>
        </w:rPr>
        <w:t>e</w:t>
      </w:r>
      <w:r w:rsidRPr="00F0528B">
        <w:rPr>
          <w:rFonts w:ascii="Palatino Linotype" w:hAnsi="Palatino Linotype"/>
          <w:b/>
          <w:bCs/>
          <w:i/>
          <w:color w:val="222222"/>
          <w:lang w:eastAsia="es-MX"/>
        </w:rPr>
        <w:t>n</w:t>
      </w:r>
      <w:r w:rsidRPr="00F0528B">
        <w:rPr>
          <w:rFonts w:ascii="Palatino Linotype" w:hAnsi="Palatino Linotype"/>
          <w:b/>
          <w:bCs/>
          <w:i/>
          <w:color w:val="222222"/>
          <w:spacing w:val="-1"/>
          <w:lang w:eastAsia="es-MX"/>
        </w:rPr>
        <w:t>t</w:t>
      </w:r>
      <w:r w:rsidRPr="00F0528B">
        <w:rPr>
          <w:rFonts w:ascii="Palatino Linotype" w:hAnsi="Palatino Linotype"/>
          <w:b/>
          <w:bCs/>
          <w:i/>
          <w:color w:val="222222"/>
          <w:lang w:eastAsia="es-MX"/>
        </w:rPr>
        <w:t>os </w:t>
      </w:r>
      <w:r w:rsidRPr="00F0528B">
        <w:rPr>
          <w:rFonts w:ascii="Palatino Linotype" w:hAnsi="Palatino Linotype"/>
          <w:b/>
          <w:bCs/>
          <w:i/>
          <w:iCs/>
          <w:color w:val="222222"/>
          <w:spacing w:val="-1"/>
          <w:lang w:eastAsia="es-MX"/>
        </w:rPr>
        <w:t>ad </w:t>
      </w:r>
      <w:r w:rsidRPr="00F0528B">
        <w:rPr>
          <w:rFonts w:ascii="Palatino Linotype" w:hAnsi="Palatino Linotype"/>
          <w:b/>
          <w:bCs/>
          <w:i/>
          <w:iCs/>
          <w:color w:val="222222"/>
          <w:lang w:eastAsia="es-MX"/>
        </w:rPr>
        <w:t>hoc </w:t>
      </w:r>
      <w:r w:rsidRPr="00F0528B">
        <w:rPr>
          <w:rFonts w:ascii="Palatino Linotype" w:hAnsi="Palatino Linotype"/>
          <w:b/>
          <w:bCs/>
          <w:i/>
          <w:color w:val="222222"/>
          <w:lang w:eastAsia="es-MX"/>
        </w:rPr>
        <w:t>para atender las sol</w:t>
      </w:r>
      <w:r w:rsidRPr="00F0528B">
        <w:rPr>
          <w:rFonts w:ascii="Palatino Linotype" w:hAnsi="Palatino Linotype"/>
          <w:b/>
          <w:bCs/>
          <w:i/>
          <w:color w:val="222222"/>
          <w:spacing w:val="-2"/>
          <w:lang w:eastAsia="es-MX"/>
        </w:rPr>
        <w:t>i</w:t>
      </w:r>
      <w:r w:rsidRPr="00F0528B">
        <w:rPr>
          <w:rFonts w:ascii="Palatino Linotype" w:hAnsi="Palatino Linotype"/>
          <w:b/>
          <w:bCs/>
          <w:i/>
          <w:color w:val="222222"/>
          <w:spacing w:val="1"/>
          <w:lang w:eastAsia="es-MX"/>
        </w:rPr>
        <w:t>c</w:t>
      </w:r>
      <w:r w:rsidRPr="00F0528B">
        <w:rPr>
          <w:rFonts w:ascii="Palatino Linotype" w:hAnsi="Palatino Linotype"/>
          <w:b/>
          <w:bCs/>
          <w:i/>
          <w:color w:val="222222"/>
          <w:lang w:eastAsia="es-MX"/>
        </w:rPr>
        <w:t>itudes de </w:t>
      </w:r>
      <w:r w:rsidRPr="00F0528B">
        <w:rPr>
          <w:rFonts w:ascii="Palatino Linotype" w:hAnsi="Palatino Linotype"/>
          <w:b/>
          <w:bCs/>
          <w:i/>
          <w:color w:val="222222"/>
          <w:spacing w:val="1"/>
          <w:lang w:eastAsia="es-MX"/>
        </w:rPr>
        <w:t>ac</w:t>
      </w:r>
      <w:r w:rsidRPr="00F0528B">
        <w:rPr>
          <w:rFonts w:ascii="Palatino Linotype" w:hAnsi="Palatino Linotype"/>
          <w:b/>
          <w:bCs/>
          <w:i/>
          <w:color w:val="222222"/>
          <w:spacing w:val="-1"/>
          <w:lang w:eastAsia="es-MX"/>
        </w:rPr>
        <w:t>c</w:t>
      </w:r>
      <w:r w:rsidRPr="00F0528B">
        <w:rPr>
          <w:rFonts w:ascii="Palatino Linotype" w:hAnsi="Palatino Linotype"/>
          <w:b/>
          <w:bCs/>
          <w:i/>
          <w:color w:val="222222"/>
          <w:spacing w:val="1"/>
          <w:lang w:eastAsia="es-MX"/>
        </w:rPr>
        <w:t>es</w:t>
      </w:r>
      <w:r w:rsidRPr="00F0528B">
        <w:rPr>
          <w:rFonts w:ascii="Palatino Linotype" w:hAnsi="Palatino Linotype"/>
          <w:b/>
          <w:bCs/>
          <w:i/>
          <w:color w:val="222222"/>
          <w:lang w:eastAsia="es-MX"/>
        </w:rPr>
        <w:t>o a la informa</w:t>
      </w:r>
      <w:r w:rsidRPr="00F0528B">
        <w:rPr>
          <w:rFonts w:ascii="Palatino Linotype" w:hAnsi="Palatino Linotype"/>
          <w:b/>
          <w:bCs/>
          <w:i/>
          <w:color w:val="222222"/>
          <w:spacing w:val="1"/>
          <w:lang w:eastAsia="es-MX"/>
        </w:rPr>
        <w:t>c</w:t>
      </w:r>
      <w:r w:rsidRPr="00F0528B">
        <w:rPr>
          <w:rFonts w:ascii="Palatino Linotype" w:hAnsi="Palatino Linotype"/>
          <w:b/>
          <w:bCs/>
          <w:i/>
          <w:color w:val="222222"/>
          <w:lang w:eastAsia="es-MX"/>
        </w:rPr>
        <w:t>ió</w:t>
      </w:r>
      <w:r w:rsidRPr="00F0528B">
        <w:rPr>
          <w:rFonts w:ascii="Palatino Linotype" w:hAnsi="Palatino Linotype"/>
          <w:b/>
          <w:bCs/>
          <w:i/>
          <w:color w:val="222222"/>
          <w:spacing w:val="-2"/>
          <w:lang w:eastAsia="es-MX"/>
        </w:rPr>
        <w:t>n</w:t>
      </w:r>
      <w:r w:rsidRPr="00F0528B">
        <w:rPr>
          <w:rFonts w:ascii="Palatino Linotype" w:hAnsi="Palatino Linotype"/>
          <w:b/>
          <w:bCs/>
          <w:i/>
          <w:color w:val="222222"/>
          <w:lang w:eastAsia="es-MX"/>
        </w:rPr>
        <w:t>. </w:t>
      </w:r>
      <w:r w:rsidRPr="00F0528B">
        <w:rPr>
          <w:rFonts w:ascii="Palatino Linotype" w:hAnsi="Palatino Linotype"/>
          <w:i/>
          <w:color w:val="222222"/>
          <w:spacing w:val="18"/>
          <w:lang w:eastAsia="es-MX"/>
        </w:rPr>
        <w:t>L</w:t>
      </w:r>
      <w:r w:rsidRPr="00F0528B">
        <w:rPr>
          <w:rFonts w:ascii="Palatino Linotype" w:hAnsi="Palatino Linotype"/>
          <w:i/>
          <w:color w:val="222222"/>
          <w:spacing w:val="-1"/>
          <w:lang w:eastAsia="es-MX"/>
        </w:rPr>
        <w:t>os </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rt</w:t>
      </w:r>
      <w:r w:rsidRPr="00F0528B">
        <w:rPr>
          <w:rFonts w:ascii="Palatino Linotype" w:hAnsi="Palatino Linotype"/>
          <w:i/>
          <w:color w:val="222222"/>
          <w:spacing w:val="-2"/>
          <w:lang w:eastAsia="es-MX"/>
        </w:rPr>
        <w:t>í</w:t>
      </w:r>
      <w:r w:rsidRPr="00F0528B">
        <w:rPr>
          <w:rFonts w:ascii="Palatino Linotype" w:hAnsi="Palatino Linotype"/>
          <w:i/>
          <w:color w:val="222222"/>
          <w:lang w:eastAsia="es-MX"/>
        </w:rPr>
        <w:t>c</w:t>
      </w:r>
      <w:r w:rsidRPr="00F0528B">
        <w:rPr>
          <w:rFonts w:ascii="Palatino Linotype" w:hAnsi="Palatino Linotype"/>
          <w:i/>
          <w:color w:val="222222"/>
          <w:spacing w:val="1"/>
          <w:lang w:eastAsia="es-MX"/>
        </w:rPr>
        <w:t>u</w:t>
      </w:r>
      <w:r w:rsidRPr="00F0528B">
        <w:rPr>
          <w:rFonts w:ascii="Palatino Linotype" w:hAnsi="Palatino Linotype"/>
          <w:i/>
          <w:color w:val="222222"/>
          <w:lang w:eastAsia="es-MX"/>
        </w:rPr>
        <w:t>los</w:t>
      </w:r>
      <w:r w:rsidRPr="00F0528B">
        <w:rPr>
          <w:rFonts w:ascii="Palatino Linotype" w:hAnsi="Palatino Linotype"/>
          <w:i/>
          <w:color w:val="222222"/>
          <w:spacing w:val="8"/>
          <w:lang w:eastAsia="es-MX"/>
        </w:rPr>
        <w:t> 129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la </w:t>
      </w:r>
      <w:r w:rsidRPr="00F0528B">
        <w:rPr>
          <w:rFonts w:ascii="Palatino Linotype" w:hAnsi="Palatino Linotype"/>
          <w:i/>
          <w:color w:val="222222"/>
          <w:spacing w:val="-1"/>
          <w:lang w:eastAsia="es-MX"/>
        </w:rPr>
        <w:t>L</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y General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 xml:space="preserve">e </w:t>
      </w:r>
      <w:r w:rsidRPr="00F0528B">
        <w:rPr>
          <w:rFonts w:ascii="Palatino Linotype" w:hAnsi="Palatino Linotype"/>
          <w:i/>
          <w:color w:val="222222"/>
          <w:spacing w:val="2"/>
          <w:lang w:eastAsia="es-MX"/>
        </w:rPr>
        <w:t>T</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a</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s</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cia y Acc</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so a la I</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spacing w:val="-3"/>
          <w:lang w:eastAsia="es-MX"/>
        </w:rPr>
        <w:t>r</w:t>
      </w:r>
      <w:r w:rsidRPr="00F0528B">
        <w:rPr>
          <w:rFonts w:ascii="Palatino Linotype" w:hAnsi="Palatino Linotype"/>
          <w:i/>
          <w:color w:val="222222"/>
          <w:spacing w:val="1"/>
          <w:lang w:eastAsia="es-MX"/>
        </w:rPr>
        <w:t>ma</w:t>
      </w:r>
      <w:r w:rsidRPr="00F0528B">
        <w:rPr>
          <w:rFonts w:ascii="Palatino Linotype" w:hAnsi="Palatino Linotype"/>
          <w:i/>
          <w:color w:val="222222"/>
          <w:lang w:eastAsia="es-MX"/>
        </w:rPr>
        <w:t>ci</w:t>
      </w:r>
      <w:r w:rsidRPr="00F0528B">
        <w:rPr>
          <w:rFonts w:ascii="Palatino Linotype" w:hAnsi="Palatino Linotype"/>
          <w:i/>
          <w:color w:val="222222"/>
          <w:spacing w:val="-2"/>
          <w:lang w:eastAsia="es-MX"/>
        </w:rPr>
        <w:t>ó</w:t>
      </w:r>
      <w:r w:rsidRPr="00F0528B">
        <w:rPr>
          <w:rFonts w:ascii="Palatino Linotype" w:hAnsi="Palatino Linotype"/>
          <w:i/>
          <w:color w:val="222222"/>
          <w:lang w:eastAsia="es-MX"/>
        </w:rPr>
        <w:t>n </w:t>
      </w:r>
      <w:r w:rsidRPr="00F0528B">
        <w:rPr>
          <w:rFonts w:ascii="Palatino Linotype" w:hAnsi="Palatino Linotype"/>
          <w:i/>
          <w:color w:val="222222"/>
          <w:spacing w:val="-2"/>
          <w:lang w:eastAsia="es-MX"/>
        </w:rPr>
        <w:t>P</w:t>
      </w:r>
      <w:r w:rsidRPr="00F0528B">
        <w:rPr>
          <w:rFonts w:ascii="Palatino Linotype" w:hAnsi="Palatino Linotype"/>
          <w:i/>
          <w:color w:val="222222"/>
          <w:spacing w:val="1"/>
          <w:lang w:eastAsia="es-MX"/>
        </w:rPr>
        <w:t>úb</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ca y </w:t>
      </w:r>
      <w:r w:rsidRPr="00F0528B">
        <w:rPr>
          <w:rFonts w:ascii="Palatino Linotype" w:hAnsi="Palatino Linotype"/>
          <w:i/>
          <w:color w:val="222222"/>
          <w:spacing w:val="8"/>
          <w:lang w:eastAsia="es-MX"/>
        </w:rPr>
        <w:t>130, párrafo cuarto,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 xml:space="preserve">e la </w:t>
      </w:r>
      <w:r w:rsidRPr="00F0528B">
        <w:rPr>
          <w:rFonts w:ascii="Palatino Linotype" w:hAnsi="Palatino Linotype"/>
          <w:i/>
          <w:color w:val="222222"/>
          <w:spacing w:val="-1"/>
          <w:lang w:eastAsia="es-MX"/>
        </w:rPr>
        <w:t>L</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y Fe</w:t>
      </w:r>
      <w:r w:rsidRPr="00F0528B">
        <w:rPr>
          <w:rFonts w:ascii="Palatino Linotype" w:hAnsi="Palatino Linotype"/>
          <w:i/>
          <w:color w:val="222222"/>
          <w:spacing w:val="1"/>
          <w:lang w:eastAsia="es-MX"/>
        </w:rPr>
        <w:t>de</w:t>
      </w:r>
      <w:r w:rsidRPr="00F0528B">
        <w:rPr>
          <w:rFonts w:ascii="Palatino Linotype" w:hAnsi="Palatino Linotype"/>
          <w:i/>
          <w:color w:val="222222"/>
          <w:lang w:eastAsia="es-MX"/>
        </w:rPr>
        <w:t>ral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w:t>
      </w:r>
      <w:r w:rsidRPr="00F0528B">
        <w:rPr>
          <w:rFonts w:ascii="Palatino Linotype" w:hAnsi="Palatino Linotype"/>
          <w:i/>
          <w:color w:val="222222"/>
          <w:spacing w:val="2"/>
          <w:lang w:eastAsia="es-MX"/>
        </w:rPr>
        <w:t>T</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a</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s</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cia y Acc</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so a la I</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spacing w:val="-3"/>
          <w:lang w:eastAsia="es-MX"/>
        </w:rPr>
        <w:t>r</w:t>
      </w:r>
      <w:r w:rsidRPr="00F0528B">
        <w:rPr>
          <w:rFonts w:ascii="Palatino Linotype" w:hAnsi="Palatino Linotype"/>
          <w:i/>
          <w:color w:val="222222"/>
          <w:spacing w:val="1"/>
          <w:lang w:eastAsia="es-MX"/>
        </w:rPr>
        <w:t>ma</w:t>
      </w:r>
      <w:r w:rsidRPr="00F0528B">
        <w:rPr>
          <w:rFonts w:ascii="Palatino Linotype" w:hAnsi="Palatino Linotype"/>
          <w:i/>
          <w:color w:val="222222"/>
          <w:lang w:eastAsia="es-MX"/>
        </w:rPr>
        <w:t>ci</w:t>
      </w:r>
      <w:r w:rsidRPr="00F0528B">
        <w:rPr>
          <w:rFonts w:ascii="Palatino Linotype" w:hAnsi="Palatino Linotype"/>
          <w:i/>
          <w:color w:val="222222"/>
          <w:spacing w:val="-2"/>
          <w:lang w:eastAsia="es-MX"/>
        </w:rPr>
        <w:t>ó</w:t>
      </w:r>
      <w:r w:rsidRPr="00F0528B">
        <w:rPr>
          <w:rFonts w:ascii="Palatino Linotype" w:hAnsi="Palatino Linotype"/>
          <w:i/>
          <w:color w:val="222222"/>
          <w:lang w:eastAsia="es-MX"/>
        </w:rPr>
        <w:t>n </w:t>
      </w:r>
      <w:r w:rsidRPr="00F0528B">
        <w:rPr>
          <w:rFonts w:ascii="Palatino Linotype" w:hAnsi="Palatino Linotype"/>
          <w:i/>
          <w:color w:val="222222"/>
          <w:spacing w:val="-2"/>
          <w:lang w:eastAsia="es-MX"/>
        </w:rPr>
        <w:t>P</w:t>
      </w:r>
      <w:r w:rsidRPr="00F0528B">
        <w:rPr>
          <w:rFonts w:ascii="Palatino Linotype" w:hAnsi="Palatino Linotype"/>
          <w:i/>
          <w:color w:val="222222"/>
          <w:spacing w:val="1"/>
          <w:lang w:eastAsia="es-MX"/>
        </w:rPr>
        <w:t>úb</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ca, </w:t>
      </w:r>
      <w:r w:rsidRPr="00F0528B">
        <w:rPr>
          <w:rFonts w:ascii="Palatino Linotype" w:hAnsi="Palatino Linotype"/>
          <w:i/>
          <w:color w:val="222222"/>
          <w:spacing w:val="-1"/>
          <w:lang w:eastAsia="es-MX"/>
        </w:rPr>
        <w:t>señalan q</w:t>
      </w:r>
      <w:r w:rsidRPr="00F0528B">
        <w:rPr>
          <w:rFonts w:ascii="Palatino Linotype" w:hAnsi="Palatino Linotype"/>
          <w:i/>
          <w:color w:val="222222"/>
          <w:spacing w:val="1"/>
          <w:lang w:eastAsia="es-MX"/>
        </w:rPr>
        <w:t>u</w:t>
      </w:r>
      <w:r w:rsidRPr="00F0528B">
        <w:rPr>
          <w:rFonts w:ascii="Palatino Linotype" w:hAnsi="Palatino Linotype"/>
          <w:i/>
          <w:color w:val="222222"/>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0528B">
        <w:rPr>
          <w:rFonts w:ascii="Palatino Linotype" w:hAnsi="Palatino Linotype"/>
          <w:i/>
          <w:color w:val="222222"/>
          <w:spacing w:val="-1"/>
          <w:lang w:eastAsia="es-MX"/>
        </w:rPr>
        <w:t> sin necesidad de</w:t>
      </w:r>
      <w:r w:rsidRPr="00F0528B">
        <w:rPr>
          <w:rFonts w:ascii="Palatino Linotype" w:hAnsi="Palatino Linotype"/>
          <w:i/>
          <w:color w:val="222222"/>
          <w:spacing w:val="1"/>
          <w:lang w:eastAsia="es-MX"/>
        </w:rPr>
        <w:t> e</w:t>
      </w:r>
      <w:r w:rsidRPr="00F0528B">
        <w:rPr>
          <w:rFonts w:ascii="Palatino Linotype" w:hAnsi="Palatino Linotype"/>
          <w:i/>
          <w:color w:val="222222"/>
          <w:lang w:eastAsia="es-MX"/>
        </w:rPr>
        <w:t>la</w:t>
      </w:r>
      <w:r w:rsidRPr="00F0528B">
        <w:rPr>
          <w:rFonts w:ascii="Palatino Linotype" w:hAnsi="Palatino Linotype"/>
          <w:i/>
          <w:color w:val="222222"/>
          <w:spacing w:val="1"/>
          <w:lang w:eastAsia="es-MX"/>
        </w:rPr>
        <w:t>bo</w:t>
      </w:r>
      <w:r w:rsidRPr="00F0528B">
        <w:rPr>
          <w:rFonts w:ascii="Palatino Linotype" w:hAnsi="Palatino Linotype"/>
          <w:i/>
          <w:color w:val="222222"/>
          <w:lang w:eastAsia="es-MX"/>
        </w:rPr>
        <w:t>rar </w:t>
      </w:r>
      <w:r w:rsidRPr="00F0528B">
        <w:rPr>
          <w:rFonts w:ascii="Palatino Linotype" w:hAnsi="Palatino Linotype"/>
          <w:i/>
          <w:color w:val="222222"/>
          <w:spacing w:val="1"/>
          <w:lang w:eastAsia="es-MX"/>
        </w:rPr>
        <w:t>do</w:t>
      </w:r>
      <w:r w:rsidRPr="00F0528B">
        <w:rPr>
          <w:rFonts w:ascii="Palatino Linotype" w:hAnsi="Palatino Linotype"/>
          <w:i/>
          <w:color w:val="222222"/>
          <w:spacing w:val="-2"/>
          <w:lang w:eastAsia="es-MX"/>
        </w:rPr>
        <w:t>c</w:t>
      </w:r>
      <w:r w:rsidRPr="00F0528B">
        <w:rPr>
          <w:rFonts w:ascii="Palatino Linotype" w:hAnsi="Palatino Linotype"/>
          <w:i/>
          <w:color w:val="222222"/>
          <w:spacing w:val="1"/>
          <w:lang w:eastAsia="es-MX"/>
        </w:rPr>
        <w:t>u</w:t>
      </w:r>
      <w:r w:rsidRPr="00F0528B">
        <w:rPr>
          <w:rFonts w:ascii="Palatino Linotype" w:hAnsi="Palatino Linotype"/>
          <w:i/>
          <w:color w:val="222222"/>
          <w:spacing w:val="-1"/>
          <w:lang w:eastAsia="es-MX"/>
        </w:rPr>
        <w:t>m</w:t>
      </w:r>
      <w:r w:rsidRPr="00F0528B">
        <w:rPr>
          <w:rFonts w:ascii="Palatino Linotype" w:hAnsi="Palatino Linotype"/>
          <w:i/>
          <w:color w:val="222222"/>
          <w:spacing w:val="1"/>
          <w:lang w:eastAsia="es-MX"/>
        </w:rPr>
        <w:t>en</w:t>
      </w:r>
      <w:r w:rsidRPr="00F0528B">
        <w:rPr>
          <w:rFonts w:ascii="Palatino Linotype" w:hAnsi="Palatino Linotype"/>
          <w:i/>
          <w:color w:val="222222"/>
          <w:spacing w:val="-2"/>
          <w:lang w:eastAsia="es-MX"/>
        </w:rPr>
        <w:t>t</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s </w:t>
      </w:r>
      <w:r w:rsidRPr="00F0528B">
        <w:rPr>
          <w:rFonts w:ascii="Palatino Linotype" w:hAnsi="Palatino Linotype"/>
          <w:i/>
          <w:iCs/>
          <w:color w:val="222222"/>
          <w:spacing w:val="1"/>
          <w:lang w:eastAsia="es-MX"/>
        </w:rPr>
        <w:t>a</w:t>
      </w:r>
      <w:r w:rsidRPr="00F0528B">
        <w:rPr>
          <w:rFonts w:ascii="Palatino Linotype" w:hAnsi="Palatino Linotype"/>
          <w:i/>
          <w:iCs/>
          <w:color w:val="222222"/>
          <w:lang w:eastAsia="es-MX"/>
        </w:rPr>
        <w:t>d</w:t>
      </w:r>
      <w:r w:rsidRPr="00F0528B">
        <w:rPr>
          <w:rFonts w:ascii="Palatino Linotype" w:hAnsi="Palatino Linotype"/>
          <w:i/>
          <w:iCs/>
          <w:color w:val="222222"/>
          <w:spacing w:val="1"/>
          <w:lang w:eastAsia="es-MX"/>
        </w:rPr>
        <w:t> ho</w:t>
      </w:r>
      <w:r w:rsidRPr="00F0528B">
        <w:rPr>
          <w:rFonts w:ascii="Palatino Linotype" w:hAnsi="Palatino Linotype"/>
          <w:i/>
          <w:iCs/>
          <w:color w:val="222222"/>
          <w:lang w:eastAsia="es-MX"/>
        </w:rPr>
        <w:t>c </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 xml:space="preserve">ra </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t</w:t>
      </w:r>
      <w:r w:rsidRPr="00F0528B">
        <w:rPr>
          <w:rFonts w:ascii="Palatino Linotype" w:hAnsi="Palatino Linotype"/>
          <w:i/>
          <w:color w:val="222222"/>
          <w:spacing w:val="-1"/>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spacing w:val="-1"/>
          <w:lang w:eastAsia="es-MX"/>
        </w:rPr>
        <w:t>d</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rl</w:t>
      </w:r>
      <w:r w:rsidRPr="00F0528B">
        <w:rPr>
          <w:rFonts w:ascii="Palatino Linotype" w:hAnsi="Palatino Linotype"/>
          <w:i/>
          <w:color w:val="222222"/>
          <w:spacing w:val="-2"/>
          <w:lang w:eastAsia="es-MX"/>
        </w:rPr>
        <w:t>a</w:t>
      </w:r>
      <w:r w:rsidRPr="00F0528B">
        <w:rPr>
          <w:rFonts w:ascii="Palatino Linotype" w:hAnsi="Palatino Linotype"/>
          <w:i/>
          <w:color w:val="222222"/>
          <w:lang w:eastAsia="es-MX"/>
        </w:rPr>
        <w:t>s s</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cit</w:t>
      </w:r>
      <w:r w:rsidRPr="00F0528B">
        <w:rPr>
          <w:rFonts w:ascii="Palatino Linotype" w:hAnsi="Palatino Linotype"/>
          <w:i/>
          <w:color w:val="222222"/>
          <w:spacing w:val="1"/>
          <w:lang w:eastAsia="es-MX"/>
        </w:rPr>
        <w:t>ude</w:t>
      </w:r>
      <w:r w:rsidRPr="00F0528B">
        <w:rPr>
          <w:rFonts w:ascii="Palatino Linotype" w:hAnsi="Palatino Linotype"/>
          <w:i/>
          <w:color w:val="222222"/>
          <w:lang w:eastAsia="es-MX"/>
        </w:rPr>
        <w:t>s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i</w:t>
      </w:r>
      <w:r w:rsidRPr="00F0528B">
        <w:rPr>
          <w:rFonts w:ascii="Palatino Linotype" w:hAnsi="Palatino Linotype"/>
          <w:i/>
          <w:color w:val="222222"/>
          <w:spacing w:val="-2"/>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r</w:t>
      </w:r>
      <w:r w:rsidRPr="00F0528B">
        <w:rPr>
          <w:rFonts w:ascii="Palatino Linotype" w:hAnsi="Palatino Linotype"/>
          <w:i/>
          <w:color w:val="222222"/>
          <w:spacing w:val="-1"/>
          <w:lang w:eastAsia="es-MX"/>
        </w:rPr>
        <w:t>m</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ció</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w:t>
      </w:r>
    </w:p>
    <w:p w14:paraId="40850CD7" w14:textId="77777777" w:rsidR="00F0528B" w:rsidRPr="00F82D48" w:rsidRDefault="00F0528B" w:rsidP="00F0528B">
      <w:pPr>
        <w:spacing w:line="360" w:lineRule="auto"/>
        <w:jc w:val="both"/>
        <w:rPr>
          <w:rFonts w:ascii="Palatino Linotype" w:hAnsi="Palatino Linotype" w:cs="Arial"/>
          <w:bCs/>
          <w:color w:val="000000" w:themeColor="text1"/>
        </w:rPr>
      </w:pPr>
    </w:p>
    <w:p w14:paraId="4B4A7476" w14:textId="77777777" w:rsidR="00F0528B" w:rsidRPr="00F0528B" w:rsidRDefault="00F0528B" w:rsidP="00F0528B">
      <w:pPr>
        <w:spacing w:line="360" w:lineRule="auto"/>
        <w:jc w:val="both"/>
        <w:rPr>
          <w:rFonts w:ascii="Palatino Linotype" w:hAnsi="Palatino Linotype" w:cs="Arial"/>
          <w:bCs/>
          <w:color w:val="000000" w:themeColor="text1"/>
          <w:sz w:val="22"/>
        </w:rPr>
      </w:pPr>
      <w:r w:rsidRPr="00F0528B">
        <w:rPr>
          <w:rFonts w:ascii="Palatino Linotype" w:hAnsi="Palatino Linotype" w:cs="Arial"/>
          <w:bCs/>
          <w:color w:val="000000" w:themeColor="text1"/>
          <w:sz w:val="22"/>
        </w:rPr>
        <w:t xml:space="preserve">Conforme a lo anterior, se advierte que </w:t>
      </w:r>
      <w:proofErr w:type="gramStart"/>
      <w:r w:rsidRPr="00F0528B">
        <w:rPr>
          <w:rFonts w:ascii="Palatino Linotype" w:hAnsi="Palatino Linotype" w:cs="Arial"/>
          <w:bCs/>
          <w:color w:val="000000" w:themeColor="text1"/>
          <w:sz w:val="22"/>
        </w:rPr>
        <w:t>la respuesta a los cuestionamientos realizados por el Particular corresponden</w:t>
      </w:r>
      <w:proofErr w:type="gramEnd"/>
      <w:r w:rsidRPr="00F0528B">
        <w:rPr>
          <w:rFonts w:ascii="Palatino Linotype" w:hAnsi="Palatino Linotype" w:cs="Arial"/>
          <w:bCs/>
          <w:color w:val="000000" w:themeColor="text1"/>
          <w:sz w:val="22"/>
        </w:rPr>
        <w:t xml:space="preserve"> a una consulta</w:t>
      </w:r>
      <w:r w:rsidRPr="00F0528B">
        <w:rPr>
          <w:rFonts w:ascii="Palatino Linotype" w:hAnsi="Palatino Linotype" w:cs="Arial"/>
          <w:b/>
          <w:bCs/>
          <w:color w:val="000000" w:themeColor="text1"/>
          <w:sz w:val="22"/>
        </w:rPr>
        <w:t xml:space="preserve">; </w:t>
      </w:r>
      <w:r w:rsidRPr="00F0528B">
        <w:rPr>
          <w:rFonts w:ascii="Palatino Linotype" w:hAnsi="Palatino Linotype" w:cs="Arial"/>
          <w:bCs/>
          <w:color w:val="000000" w:themeColor="text1"/>
          <w:sz w:val="22"/>
        </w:rPr>
        <w:t xml:space="preserve">y no así una solicitud de acceso a información pública que pueda ser atendida mediante una expresión documental; pues corresponde a una pregunta que implicaría elaborar un documento </w:t>
      </w:r>
      <w:r w:rsidRPr="00F0528B">
        <w:rPr>
          <w:rFonts w:ascii="Palatino Linotype" w:hAnsi="Palatino Linotype" w:cs="Arial"/>
          <w:bCs/>
          <w:i/>
          <w:color w:val="000000" w:themeColor="text1"/>
          <w:sz w:val="22"/>
        </w:rPr>
        <w:t>ad hoc.</w:t>
      </w:r>
      <w:r w:rsidRPr="00F0528B">
        <w:rPr>
          <w:rFonts w:ascii="Palatino Linotype" w:hAnsi="Palatino Linotype" w:cs="Arial"/>
          <w:b/>
          <w:bCs/>
          <w:color w:val="000000" w:themeColor="text1"/>
          <w:sz w:val="22"/>
        </w:rPr>
        <w:t xml:space="preserve"> </w:t>
      </w:r>
    </w:p>
    <w:p w14:paraId="0262C357" w14:textId="77777777" w:rsidR="00F0528B" w:rsidRPr="00F0528B" w:rsidRDefault="00F0528B" w:rsidP="00F0528B">
      <w:pPr>
        <w:spacing w:line="360" w:lineRule="auto"/>
        <w:jc w:val="both"/>
        <w:rPr>
          <w:rFonts w:ascii="Palatino Linotype" w:hAnsi="Palatino Linotype" w:cs="Arial"/>
          <w:bCs/>
          <w:color w:val="000000" w:themeColor="text1"/>
          <w:sz w:val="22"/>
        </w:rPr>
      </w:pPr>
    </w:p>
    <w:p w14:paraId="21EC865F" w14:textId="77777777" w:rsidR="00F0528B" w:rsidRDefault="00F0528B" w:rsidP="00F0528B">
      <w:pPr>
        <w:spacing w:line="360" w:lineRule="auto"/>
        <w:jc w:val="both"/>
        <w:rPr>
          <w:rFonts w:ascii="Palatino Linotype" w:eastAsia="Calibri" w:hAnsi="Palatino Linotype" w:cs="Tahoma"/>
          <w:bCs/>
          <w:color w:val="000000"/>
          <w:sz w:val="22"/>
          <w:szCs w:val="22"/>
          <w:lang w:eastAsia="es-ES_tradnl"/>
        </w:rPr>
      </w:pPr>
      <w:r w:rsidRPr="00F0528B">
        <w:rPr>
          <w:rFonts w:ascii="Palatino Linotype" w:hAnsi="Palatino Linotype" w:cs="Arial"/>
          <w:color w:val="000000" w:themeColor="text1"/>
          <w:sz w:val="22"/>
        </w:rPr>
        <w:t xml:space="preserve">En consecuencia, en virtud de que la solicitud de acceso a la información se trata de una consulta, </w:t>
      </w:r>
      <w:r w:rsidR="00BD455F">
        <w:rPr>
          <w:rFonts w:ascii="Palatino Linotype" w:hAnsi="Palatino Linotype" w:cs="Arial"/>
          <w:color w:val="000000" w:themeColor="text1"/>
          <w:sz w:val="22"/>
        </w:rPr>
        <w:t>se actualiza la causal de sobreseimiento establecida en el artículo 192, fracción IV, de la Ley de Transparencia y Acceso a la Información Pública del Estado de México y Municipios, en correlación con el artículo 191, fracción VI, del mismo ordenamiento jurídico.</w:t>
      </w:r>
    </w:p>
    <w:p w14:paraId="09EBB2F9" w14:textId="77777777" w:rsidR="00F0528B" w:rsidRPr="00AD50F9" w:rsidRDefault="00F0528B" w:rsidP="00F0528B">
      <w:pPr>
        <w:spacing w:line="360" w:lineRule="auto"/>
        <w:jc w:val="both"/>
        <w:rPr>
          <w:rFonts w:ascii="Palatino Linotype" w:hAnsi="Palatino Linotype" w:cs="Tahoma"/>
          <w:b/>
          <w:sz w:val="22"/>
          <w:szCs w:val="22"/>
          <w:lang w:val="es-ES"/>
        </w:rPr>
      </w:pPr>
    </w:p>
    <w:p w14:paraId="323DB760" w14:textId="77777777" w:rsidR="0025469C" w:rsidRPr="00AD50F9"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4B0AB34" w14:textId="77777777" w:rsidR="0025469C" w:rsidRPr="00AD50F9"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77777777" w:rsidR="0091055D" w:rsidRDefault="00F02171" w:rsidP="00F42AB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Pr>
          <w:rFonts w:ascii="Palatino Linotype" w:eastAsia="Calibri" w:hAnsi="Palatino Linotype" w:cs="Tahoma"/>
          <w:iCs/>
          <w:sz w:val="22"/>
          <w:szCs w:val="22"/>
          <w:lang w:val="es-ES" w:eastAsia="es-ES_tradnl"/>
        </w:rPr>
        <w:t>que el ahora Recurrente solicitó al Ayuntamiento de Rayón, la información siguiente:</w:t>
      </w:r>
    </w:p>
    <w:p w14:paraId="30D0D2D1" w14:textId="77777777" w:rsidR="009D5C33" w:rsidRDefault="009D5C33" w:rsidP="00F42AB5">
      <w:pPr>
        <w:tabs>
          <w:tab w:val="left" w:pos="4962"/>
        </w:tabs>
        <w:spacing w:line="360" w:lineRule="auto"/>
        <w:jc w:val="both"/>
        <w:rPr>
          <w:rFonts w:ascii="Palatino Linotype" w:eastAsia="Calibri" w:hAnsi="Palatino Linotype" w:cs="Tahoma"/>
          <w:iCs/>
          <w:sz w:val="22"/>
          <w:szCs w:val="22"/>
          <w:lang w:val="es-ES" w:eastAsia="es-ES_tradnl"/>
        </w:rPr>
      </w:pPr>
    </w:p>
    <w:p w14:paraId="56347850" w14:textId="77777777" w:rsidR="00F42AB5" w:rsidRDefault="00F42AB5" w:rsidP="00F42AB5">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Preparación académica del Secretario Técnico Municipal.</w:t>
      </w:r>
    </w:p>
    <w:p w14:paraId="35F86D7B" w14:textId="77777777" w:rsidR="00F42AB5" w:rsidRDefault="00F42AB5" w:rsidP="00F42AB5">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Documento que sustenta </w:t>
      </w:r>
      <w:r w:rsidR="00AB75E2">
        <w:rPr>
          <w:rFonts w:ascii="Palatino Linotype" w:eastAsia="Calibri" w:hAnsi="Palatino Linotype" w:cs="Tahoma"/>
          <w:iCs/>
          <w:szCs w:val="22"/>
          <w:lang w:val="es-ES" w:eastAsia="es-ES_tradnl"/>
        </w:rPr>
        <w:t>el cargo de Secretario Técnico Municipal.</w:t>
      </w:r>
    </w:p>
    <w:p w14:paraId="168CC80D" w14:textId="77777777" w:rsidR="00AB75E2" w:rsidRPr="00AB75E2" w:rsidRDefault="00AB75E2" w:rsidP="00F42AB5">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AB75E2">
        <w:rPr>
          <w:rFonts w:ascii="Palatino Linotype" w:eastAsia="Calibri" w:hAnsi="Palatino Linotype" w:cs="Tahoma"/>
          <w:bCs/>
          <w:iCs/>
          <w:szCs w:val="22"/>
          <w:lang w:eastAsia="es-ES_tradnl"/>
        </w:rPr>
        <w:t xml:space="preserve">Convocatorias y procesos en ejecución para la </w:t>
      </w:r>
      <w:r w:rsidR="006D3563">
        <w:rPr>
          <w:rFonts w:ascii="Palatino Linotype" w:eastAsia="Calibri" w:hAnsi="Palatino Linotype" w:cs="Tahoma"/>
          <w:bCs/>
          <w:iCs/>
          <w:szCs w:val="22"/>
          <w:lang w:eastAsia="es-ES_tradnl"/>
        </w:rPr>
        <w:t>elaboración del Plan Municipal d</w:t>
      </w:r>
      <w:r w:rsidRPr="00AB75E2">
        <w:rPr>
          <w:rFonts w:ascii="Palatino Linotype" w:eastAsia="Calibri" w:hAnsi="Palatino Linotype" w:cs="Tahoma"/>
          <w:bCs/>
          <w:iCs/>
          <w:szCs w:val="22"/>
          <w:lang w:eastAsia="es-ES_tradnl"/>
        </w:rPr>
        <w:t>e Desarrollo</w:t>
      </w:r>
      <w:r>
        <w:rPr>
          <w:rFonts w:ascii="Palatino Linotype" w:eastAsia="Calibri" w:hAnsi="Palatino Linotype" w:cs="Tahoma"/>
          <w:bCs/>
          <w:iCs/>
          <w:szCs w:val="22"/>
          <w:lang w:eastAsia="es-ES_tradnl"/>
        </w:rPr>
        <w:t>.</w:t>
      </w:r>
    </w:p>
    <w:p w14:paraId="31E34F53" w14:textId="77777777" w:rsidR="00AB75E2" w:rsidRPr="009D5C33" w:rsidRDefault="00AB75E2" w:rsidP="00F42AB5">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AB75E2">
        <w:rPr>
          <w:rFonts w:ascii="Palatino Linotype" w:eastAsia="Calibri" w:hAnsi="Palatino Linotype" w:cs="Tahoma"/>
          <w:bCs/>
          <w:iCs/>
          <w:szCs w:val="22"/>
          <w:lang w:eastAsia="es-ES_tradnl"/>
        </w:rPr>
        <w:t xml:space="preserve">Si se está tomando en cuenta para </w:t>
      </w:r>
      <w:r>
        <w:rPr>
          <w:rFonts w:ascii="Palatino Linotype" w:eastAsia="Calibri" w:hAnsi="Palatino Linotype" w:cs="Tahoma"/>
          <w:bCs/>
          <w:iCs/>
          <w:szCs w:val="22"/>
          <w:lang w:eastAsia="es-ES_tradnl"/>
        </w:rPr>
        <w:t xml:space="preserve">la </w:t>
      </w:r>
      <w:r w:rsidRPr="00AB75E2">
        <w:rPr>
          <w:rFonts w:ascii="Palatino Linotype" w:eastAsia="Calibri" w:hAnsi="Palatino Linotype" w:cs="Tahoma"/>
          <w:bCs/>
          <w:iCs/>
          <w:szCs w:val="22"/>
          <w:lang w:eastAsia="es-ES_tradnl"/>
        </w:rPr>
        <w:t xml:space="preserve">evaluación </w:t>
      </w:r>
      <w:r>
        <w:rPr>
          <w:rFonts w:ascii="Palatino Linotype" w:eastAsia="Calibri" w:hAnsi="Palatino Linotype" w:cs="Tahoma"/>
          <w:bCs/>
          <w:iCs/>
          <w:szCs w:val="22"/>
          <w:lang w:eastAsia="es-ES_tradnl"/>
        </w:rPr>
        <w:t>del</w:t>
      </w:r>
      <w:r w:rsidR="006D3563">
        <w:rPr>
          <w:rFonts w:ascii="Palatino Linotype" w:eastAsia="Calibri" w:hAnsi="Palatino Linotype" w:cs="Tahoma"/>
          <w:bCs/>
          <w:iCs/>
          <w:szCs w:val="22"/>
          <w:lang w:eastAsia="es-ES_tradnl"/>
        </w:rPr>
        <w:t xml:space="preserve"> Plan Municipal d</w:t>
      </w:r>
      <w:r w:rsidRPr="00AB75E2">
        <w:rPr>
          <w:rFonts w:ascii="Palatino Linotype" w:eastAsia="Calibri" w:hAnsi="Palatino Linotype" w:cs="Tahoma"/>
          <w:bCs/>
          <w:iCs/>
          <w:szCs w:val="22"/>
          <w:lang w:eastAsia="es-ES_tradnl"/>
        </w:rPr>
        <w:t>e Desarrollo todos los aspectos que marcan las diferentes disposiciones aplicables en la materia</w:t>
      </w:r>
      <w:r>
        <w:rPr>
          <w:rFonts w:ascii="Palatino Linotype" w:eastAsia="Calibri" w:hAnsi="Palatino Linotype" w:cs="Tahoma"/>
          <w:bCs/>
          <w:iCs/>
          <w:szCs w:val="22"/>
          <w:lang w:eastAsia="es-ES_tradnl"/>
        </w:rPr>
        <w:t>.</w:t>
      </w:r>
    </w:p>
    <w:p w14:paraId="7866EA42" w14:textId="77777777" w:rsidR="009D5C33" w:rsidRPr="00AB75E2" w:rsidRDefault="009D5C33" w:rsidP="009D5C3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F35CE47" w14:textId="77777777" w:rsidR="006A4EAE" w:rsidRPr="00AB75E2" w:rsidRDefault="007343FD"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informó que el Secretario Técnico se encuentra estudiando la Licenciatura en Derecho, a su vez, remitió copia del nombramiento del Secretario Técnico del Ayuntamiento de Rayón, e hizo de conocimiento </w:t>
      </w:r>
      <w:proofErr w:type="gramStart"/>
      <w:r w:rsidR="00AB75E2">
        <w:rPr>
          <w:rFonts w:ascii="Palatino Linotype" w:eastAsia="Calibri" w:hAnsi="Palatino Linotype" w:cs="Tahoma"/>
          <w:iCs/>
          <w:sz w:val="22"/>
          <w:szCs w:val="22"/>
          <w:lang w:val="es-ES" w:eastAsia="es-ES_tradnl"/>
        </w:rPr>
        <w:t>que</w:t>
      </w:r>
      <w:proofErr w:type="gramEnd"/>
      <w:r w:rsidR="00AB75E2">
        <w:rPr>
          <w:rFonts w:ascii="Palatino Linotype" w:eastAsia="Calibri" w:hAnsi="Palatino Linotype" w:cs="Tahoma"/>
          <w:iCs/>
          <w:sz w:val="22"/>
          <w:szCs w:val="22"/>
          <w:lang w:val="es-ES" w:eastAsia="es-ES_tradnl"/>
        </w:rPr>
        <w:t xml:space="preserve"> respecto a la información relacionada con el Plan Municipal de Desarrollo, </w:t>
      </w:r>
      <w:r w:rsidR="00AB75E2" w:rsidRPr="00AB75E2">
        <w:rPr>
          <w:rFonts w:ascii="Palatino Linotype" w:eastAsia="Calibri" w:hAnsi="Palatino Linotype" w:cs="Tahoma"/>
          <w:iCs/>
          <w:sz w:val="22"/>
          <w:szCs w:val="22"/>
          <w:lang w:eastAsia="es-ES_tradnl"/>
        </w:rPr>
        <w:t>la responsable es la titular de la Unidad de Información, Planeación, Programación y Evaluación (UIPPE)</w:t>
      </w:r>
      <w:r w:rsidR="0098056C">
        <w:rPr>
          <w:rFonts w:ascii="Palatino Linotype" w:eastAsia="Calibri" w:hAnsi="Palatino Linotype" w:cs="Tahoma"/>
          <w:iCs/>
          <w:sz w:val="22"/>
          <w:szCs w:val="22"/>
          <w:lang w:eastAsia="es-ES_tradnl"/>
        </w:rPr>
        <w:t>.</w:t>
      </w:r>
    </w:p>
    <w:p w14:paraId="6E374DA3" w14:textId="77777777" w:rsidR="00CC5595" w:rsidRDefault="00533B79"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w:t>
      </w:r>
      <w:r w:rsidR="0098056C">
        <w:rPr>
          <w:rFonts w:ascii="Palatino Linotype" w:eastAsia="Calibri" w:hAnsi="Palatino Linotype" w:cs="Tahoma"/>
          <w:iCs/>
          <w:sz w:val="22"/>
          <w:szCs w:val="22"/>
          <w:lang w:val="es-ES" w:eastAsia="es-ES_tradnl"/>
        </w:rPr>
        <w:t>la respuesta, 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98056C">
        <w:rPr>
          <w:rFonts w:ascii="Palatino Linotype" w:eastAsia="Calibri" w:hAnsi="Palatino Linotype" w:cs="Tahoma"/>
          <w:iCs/>
          <w:sz w:val="22"/>
          <w:szCs w:val="22"/>
          <w:lang w:val="es-ES" w:eastAsia="es-ES_tradnl"/>
        </w:rPr>
        <w:t>por la entrega de información incompleta, ya que no le proporcionaron la información relacionada con el Plan de Desarrollo Municipal</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D50F9">
        <w:rPr>
          <w:rFonts w:ascii="Palatino Linotype" w:eastAsia="Calibri" w:hAnsi="Palatino Linotype" w:cs="Tahoma"/>
          <w:iCs/>
          <w:sz w:val="22"/>
          <w:szCs w:val="22"/>
          <w:lang w:val="es-ES" w:eastAsia="es-ES_tradnl"/>
        </w:rPr>
        <w:t>V</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D50F9" w:rsidRDefault="0098056C" w:rsidP="0090360E">
      <w:pPr>
        <w:tabs>
          <w:tab w:val="left" w:pos="4962"/>
        </w:tabs>
        <w:spacing w:line="360" w:lineRule="auto"/>
        <w:jc w:val="both"/>
        <w:rPr>
          <w:rFonts w:ascii="Palatino Linotype" w:hAnsi="Palatino Linotype" w:cs="Tahoma"/>
          <w:sz w:val="22"/>
          <w:szCs w:val="22"/>
          <w:lang w:val="es-ES"/>
        </w:rPr>
      </w:pPr>
    </w:p>
    <w:p w14:paraId="51E0B9F7" w14:textId="77777777" w:rsidR="00DF7DF3" w:rsidRDefault="009D5C33"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 su </w:t>
      </w:r>
      <w:proofErr w:type="gramStart"/>
      <w:r>
        <w:rPr>
          <w:rFonts w:ascii="Palatino Linotype" w:eastAsia="Calibri" w:hAnsi="Palatino Linotype" w:cs="Tahoma"/>
          <w:bCs/>
          <w:sz w:val="22"/>
          <w:szCs w:val="22"/>
          <w:lang w:val="es-ES_tradnl" w:eastAsia="en-US"/>
        </w:rPr>
        <w:t xml:space="preserve">vez, </w:t>
      </w:r>
      <w:r w:rsidR="00DF7DF3">
        <w:rPr>
          <w:rFonts w:ascii="Palatino Linotype" w:eastAsia="Calibri" w:hAnsi="Palatino Linotype" w:cs="Tahoma"/>
          <w:bCs/>
          <w:sz w:val="22"/>
          <w:szCs w:val="22"/>
          <w:lang w:val="es-ES_tradnl" w:eastAsia="en-US"/>
        </w:rPr>
        <w:t xml:space="preserve"> el</w:t>
      </w:r>
      <w:proofErr w:type="gramEnd"/>
      <w:r w:rsidR="00DF7DF3">
        <w:rPr>
          <w:rFonts w:ascii="Palatino Linotype" w:eastAsia="Calibri" w:hAnsi="Palatino Linotype" w:cs="Tahoma"/>
          <w:bCs/>
          <w:sz w:val="22"/>
          <w:szCs w:val="22"/>
          <w:lang w:val="es-ES_tradnl" w:eastAsia="en-US"/>
        </w:rPr>
        <w:t xml:space="preserve"> Sujeto Obligado fue omiso en presentar Informe Justificado.</w:t>
      </w:r>
    </w:p>
    <w:p w14:paraId="354B1D49" w14:textId="77777777" w:rsidR="009D5C33" w:rsidRDefault="009D5C33" w:rsidP="00DF7DF3">
      <w:pPr>
        <w:spacing w:line="360" w:lineRule="auto"/>
        <w:jc w:val="both"/>
        <w:rPr>
          <w:rFonts w:ascii="Palatino Linotype" w:eastAsia="Calibri" w:hAnsi="Palatino Linotype" w:cs="Tahoma"/>
          <w:bCs/>
          <w:sz w:val="22"/>
          <w:szCs w:val="22"/>
          <w:lang w:val="es-ES_tradnl" w:eastAsia="en-US"/>
        </w:rPr>
      </w:pPr>
    </w:p>
    <w:p w14:paraId="1DAF4A38" w14:textId="77777777" w:rsidR="009D5C33" w:rsidRPr="00A85294" w:rsidRDefault="009D5C33"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Cabe señalar que, </w:t>
      </w:r>
      <w:r>
        <w:rPr>
          <w:rFonts w:ascii="Palatino Linotype" w:eastAsia="Calibri" w:hAnsi="Palatino Linotype" w:cs="Tahoma"/>
          <w:bCs/>
          <w:iCs/>
          <w:sz w:val="22"/>
          <w:lang w:eastAsia="es-ES_tradnl"/>
        </w:rPr>
        <w:t>como ha quedado expuesto en el Considerando Segundo, respecto al requerimiento identificado con el numeral 4, consiste en una consulta y no propiamente el acceso a la información, por lo cual no será susceptible de estudio.</w:t>
      </w:r>
    </w:p>
    <w:p w14:paraId="68BF11DF" w14:textId="77777777" w:rsidR="00DF7DF3"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p>
    <w:p w14:paraId="051D7574" w14:textId="77777777" w:rsidR="00DF7DF3" w:rsidRPr="00A85294"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r w:rsidRPr="00A85294">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62F83A9" w14:textId="77777777" w:rsidR="00DF7DF3" w:rsidRPr="00AD50F9" w:rsidRDefault="00DF7DF3" w:rsidP="0090360E">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90360E">
      <w:pPr>
        <w:spacing w:line="360" w:lineRule="auto"/>
        <w:ind w:right="-93"/>
        <w:jc w:val="both"/>
        <w:rPr>
          <w:rFonts w:ascii="Palatino Linotype" w:hAnsi="Palatino Linotype" w:cs="Tahoma"/>
          <w:b/>
          <w:sz w:val="22"/>
          <w:szCs w:val="22"/>
        </w:rPr>
      </w:pPr>
    </w:p>
    <w:p w14:paraId="7C955962" w14:textId="77777777" w:rsidR="00D200AB" w:rsidRPr="00AD50F9" w:rsidRDefault="00D200AB"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90360E">
      <w:pPr>
        <w:spacing w:line="360" w:lineRule="auto"/>
        <w:contextualSpacing/>
        <w:jc w:val="both"/>
        <w:rPr>
          <w:rFonts w:ascii="Palatino Linotype" w:hAnsi="Palatino Linotype" w:cs="Tahoma"/>
          <w:sz w:val="22"/>
          <w:szCs w:val="22"/>
        </w:rPr>
      </w:pPr>
    </w:p>
    <w:p w14:paraId="0A5A4E1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AD50F9" w:rsidRDefault="00D200AB" w:rsidP="0090360E">
      <w:pPr>
        <w:spacing w:line="360" w:lineRule="auto"/>
        <w:jc w:val="both"/>
        <w:rPr>
          <w:rFonts w:ascii="Palatino Linotype" w:hAnsi="Palatino Linotype" w:cs="Tahoma"/>
          <w:sz w:val="22"/>
          <w:szCs w:val="22"/>
        </w:rPr>
      </w:pPr>
    </w:p>
    <w:p w14:paraId="6661389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D50F9" w:rsidRDefault="00D200AB" w:rsidP="0090360E">
      <w:pPr>
        <w:spacing w:line="360" w:lineRule="auto"/>
        <w:jc w:val="both"/>
        <w:rPr>
          <w:rFonts w:ascii="Palatino Linotype" w:hAnsi="Palatino Linotype" w:cs="Tahoma"/>
          <w:sz w:val="22"/>
          <w:szCs w:val="22"/>
        </w:rPr>
      </w:pPr>
    </w:p>
    <w:p w14:paraId="3F1B4A49"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D50F9" w:rsidRDefault="00D200AB" w:rsidP="0090360E">
      <w:pPr>
        <w:spacing w:line="360" w:lineRule="auto"/>
        <w:jc w:val="both"/>
        <w:rPr>
          <w:rFonts w:ascii="Palatino Linotype" w:hAnsi="Palatino Linotype" w:cs="Tahoma"/>
          <w:sz w:val="22"/>
          <w:szCs w:val="22"/>
        </w:rPr>
      </w:pPr>
    </w:p>
    <w:p w14:paraId="602C553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90360E">
      <w:pPr>
        <w:spacing w:line="360" w:lineRule="auto"/>
        <w:jc w:val="both"/>
        <w:rPr>
          <w:rFonts w:ascii="Palatino Linotype" w:hAnsi="Palatino Linotype" w:cs="Tahoma"/>
          <w:sz w:val="22"/>
          <w:szCs w:val="22"/>
        </w:rPr>
      </w:pPr>
    </w:p>
    <w:p w14:paraId="4D287A27"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90360E">
      <w:pPr>
        <w:spacing w:line="360" w:lineRule="auto"/>
        <w:jc w:val="both"/>
        <w:rPr>
          <w:rFonts w:ascii="Palatino Linotype" w:hAnsi="Palatino Linotype" w:cs="Tahoma"/>
          <w:sz w:val="22"/>
          <w:szCs w:val="22"/>
        </w:rPr>
      </w:pPr>
    </w:p>
    <w:p w14:paraId="343D30F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8CB93E"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AD50F9" w:rsidRDefault="00D200AB" w:rsidP="0090360E">
      <w:pPr>
        <w:spacing w:line="360" w:lineRule="auto"/>
        <w:jc w:val="both"/>
        <w:rPr>
          <w:rFonts w:ascii="Palatino Linotype" w:hAnsi="Palatino Linotype" w:cs="Tahoma"/>
          <w:sz w:val="22"/>
          <w:szCs w:val="22"/>
        </w:rPr>
      </w:pPr>
    </w:p>
    <w:p w14:paraId="0E70A365" w14:textId="77777777" w:rsidR="007876CF"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90360E">
      <w:pPr>
        <w:spacing w:line="360" w:lineRule="auto"/>
        <w:ind w:right="-93"/>
        <w:jc w:val="both"/>
        <w:rPr>
          <w:rFonts w:ascii="Palatino Linotype" w:hAnsi="Palatino Linotype" w:cs="Tahoma"/>
          <w:b/>
          <w:sz w:val="22"/>
          <w:szCs w:val="22"/>
          <w:lang w:val="es-ES"/>
        </w:rPr>
      </w:pPr>
    </w:p>
    <w:p w14:paraId="30340DE2"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Expuesta la controversia, se procede al anális</w:t>
      </w:r>
      <w:r>
        <w:rPr>
          <w:rFonts w:ascii="Palatino Linotype" w:eastAsia="Calibri" w:hAnsi="Palatino Linotype" w:cs="Tahoma"/>
          <w:bCs/>
          <w:sz w:val="22"/>
          <w:szCs w:val="22"/>
          <w:lang w:eastAsia="en-US"/>
        </w:rPr>
        <w:t>is del agravio hecho valer por el</w:t>
      </w:r>
      <w:r w:rsidRPr="007C06DE">
        <w:rPr>
          <w:rFonts w:ascii="Palatino Linotype" w:eastAsia="Calibri" w:hAnsi="Palatino Linotype" w:cs="Tahoma"/>
          <w:bCs/>
          <w:sz w:val="22"/>
          <w:szCs w:val="22"/>
          <w:lang w:eastAsia="en-US"/>
        </w:rPr>
        <w:t xml:space="preserve"> Recurrente.</w:t>
      </w:r>
    </w:p>
    <w:p w14:paraId="5805618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617A79DD"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9BF2E8A"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692C71" w14:textId="77777777" w:rsidR="00DF7DF3" w:rsidRPr="007C06DE" w:rsidRDefault="00DF7DF3" w:rsidP="00DF7DF3">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7C06DE" w:rsidRDefault="00DF7DF3" w:rsidP="00DF7DF3">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4112087E"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Conforme a lo anterior, se deprende que </w:t>
      </w:r>
      <w:r w:rsidRPr="007C06DE">
        <w:rPr>
          <w:rFonts w:ascii="Palatino Linotype" w:eastAsia="Calibri" w:hAnsi="Palatino Linotype" w:cs="Tahoma"/>
          <w:b/>
          <w:bCs/>
          <w:sz w:val="22"/>
          <w:szCs w:val="22"/>
          <w:lang w:eastAsia="en-US"/>
        </w:rPr>
        <w:t>los objetivos de la Ley de la materia,</w:t>
      </w:r>
      <w:r w:rsidRPr="007C06D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A2473B8"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En ese orden de ideas, para la atención de </w:t>
      </w:r>
      <w:proofErr w:type="gramStart"/>
      <w:r w:rsidRPr="007C06DE">
        <w:rPr>
          <w:rFonts w:ascii="Palatino Linotype" w:eastAsia="Calibri" w:hAnsi="Palatino Linotype" w:cs="Tahoma"/>
          <w:bCs/>
          <w:sz w:val="22"/>
          <w:szCs w:val="22"/>
          <w:lang w:eastAsia="en-US"/>
        </w:rPr>
        <w:t>las solicitud</w:t>
      </w:r>
      <w:proofErr w:type="gramEnd"/>
      <w:r w:rsidRPr="007C06DE">
        <w:rPr>
          <w:rFonts w:ascii="Palatino Linotype" w:eastAsia="Calibri" w:hAnsi="Palatino Linotype" w:cs="Tahoma"/>
          <w:bCs/>
          <w:sz w:val="22"/>
          <w:szCs w:val="22"/>
          <w:lang w:eastAsia="en-US"/>
        </w:rPr>
        <w:t xml:space="preserve"> de acceso a la información, debe privilegiarse el </w:t>
      </w:r>
      <w:r w:rsidRPr="007C06DE">
        <w:rPr>
          <w:rFonts w:ascii="Palatino Linotype" w:eastAsia="Calibri" w:hAnsi="Palatino Linotype" w:cs="Tahoma"/>
          <w:b/>
          <w:bCs/>
          <w:sz w:val="22"/>
          <w:szCs w:val="22"/>
          <w:lang w:eastAsia="en-US"/>
        </w:rPr>
        <w:t>principio de máxima publicidad,</w:t>
      </w:r>
      <w:r w:rsidRPr="007C06D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78199C"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217B3F4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36625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1166EF75"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7C06DE" w:rsidRDefault="00DF7DF3" w:rsidP="00DF7DF3">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BC1F1F">
        <w:rPr>
          <w:rFonts w:ascii="Palatino Linotype" w:eastAsia="Calibri" w:hAnsi="Palatino Linotype" w:cs="Tahoma"/>
          <w:bCs/>
          <w:szCs w:val="22"/>
          <w:lang w:eastAsia="en-US"/>
        </w:rPr>
        <w:t>quince días hábiles, contados a partir del día siguiente a la presentación de éste.</w:t>
      </w:r>
      <w:r w:rsidRPr="007C06D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A440E95"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Las </w:t>
      </w:r>
      <w:r w:rsidRPr="000D6CF8">
        <w:rPr>
          <w:rFonts w:ascii="Palatino Linotype" w:eastAsia="Calibri" w:hAnsi="Palatino Linotype" w:cs="Tahoma"/>
          <w:b/>
          <w:bCs/>
          <w:szCs w:val="22"/>
          <w:lang w:eastAsia="en-US"/>
        </w:rPr>
        <w:t>Unidades de Transparencia garantizarán que las solicitudes se turnen a todas las áreas competentes</w:t>
      </w:r>
      <w:r w:rsidRPr="007C06DE">
        <w:rPr>
          <w:rFonts w:ascii="Palatino Linotype" w:eastAsia="Calibri" w:hAnsi="Palatino Linotype" w:cs="Tahoma"/>
          <w:bCs/>
          <w:szCs w:val="22"/>
          <w:lang w:eastAsia="en-US"/>
        </w:rPr>
        <w:t xml:space="preserve"> que cuenten con la información o deban tenerla de acuerdo a sus facultades, funciones y atribuciones, </w:t>
      </w:r>
      <w:r w:rsidRPr="000D6CF8">
        <w:rPr>
          <w:rFonts w:ascii="Palatino Linotype" w:eastAsia="Calibri" w:hAnsi="Palatino Linotype" w:cs="Tahoma"/>
          <w:b/>
          <w:bCs/>
          <w:szCs w:val="22"/>
          <w:lang w:eastAsia="en-US"/>
        </w:rPr>
        <w:t>para que realicen una búsqueda exhaustiva y razonable</w:t>
      </w:r>
      <w:r w:rsidRPr="007C06DE">
        <w:rPr>
          <w:rFonts w:ascii="Palatino Linotype" w:eastAsia="Calibri" w:hAnsi="Palatino Linotype" w:cs="Tahoma"/>
          <w:bCs/>
          <w:szCs w:val="22"/>
          <w:lang w:eastAsia="en-US"/>
        </w:rPr>
        <w:t xml:space="preserve"> de la documentación solicitada, con el fin de que </w:t>
      </w:r>
      <w:r w:rsidRPr="007C06DE">
        <w:rPr>
          <w:rFonts w:ascii="Palatino Linotype" w:eastAsia="Calibri" w:hAnsi="Palatino Linotype" w:cs="Tahoma"/>
          <w:b/>
          <w:bCs/>
          <w:szCs w:val="22"/>
          <w:lang w:eastAsia="en-US"/>
        </w:rPr>
        <w:t>proporcionen las expresiones documentales</w:t>
      </w:r>
      <w:r w:rsidRPr="007C06DE">
        <w:rPr>
          <w:rFonts w:ascii="Palatino Linotype" w:eastAsia="Calibri" w:hAnsi="Palatino Linotype" w:cs="Tahoma"/>
          <w:bCs/>
          <w:szCs w:val="22"/>
          <w:lang w:eastAsia="en-US"/>
        </w:rPr>
        <w:t xml:space="preserve"> </w:t>
      </w:r>
      <w:r w:rsidRPr="007C06DE">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7C06DE" w:rsidRDefault="00DF7DF3" w:rsidP="00DF7DF3">
      <w:pPr>
        <w:pStyle w:val="Prrafodelista"/>
        <w:rPr>
          <w:rFonts w:ascii="Palatino Linotype" w:eastAsia="Calibri" w:hAnsi="Palatino Linotype" w:cs="Tahoma"/>
          <w:b/>
          <w:bCs/>
          <w:szCs w:val="22"/>
          <w:lang w:eastAsia="en-US"/>
        </w:rPr>
      </w:pPr>
    </w:p>
    <w:p w14:paraId="50C0ED92" w14:textId="77777777" w:rsidR="00DF7DF3" w:rsidRPr="007C06DE" w:rsidRDefault="00DF7DF3" w:rsidP="00DF7DF3">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466ECAF" w14:textId="77777777" w:rsidR="00DF7DF3" w:rsidRPr="007C06DE" w:rsidRDefault="00DF7DF3" w:rsidP="00DF7DF3">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7C06DE" w:rsidRDefault="00DF7DF3" w:rsidP="00DF7DF3">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Default="00C746D9" w:rsidP="0090360E">
      <w:pPr>
        <w:spacing w:line="360" w:lineRule="auto"/>
        <w:ind w:right="-93"/>
        <w:jc w:val="both"/>
        <w:rPr>
          <w:rFonts w:ascii="Palatino Linotype" w:hAnsi="Palatino Linotype" w:cs="Tahoma"/>
          <w:sz w:val="22"/>
          <w:szCs w:val="22"/>
          <w:lang w:val="es-ES"/>
        </w:rPr>
      </w:pPr>
    </w:p>
    <w:p w14:paraId="03D5DA1D" w14:textId="77777777" w:rsidR="00FB2A36" w:rsidRDefault="000D6CF8"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 xml:space="preserve">Una vez establecido lo anterior, </w:t>
      </w:r>
      <w:r w:rsidR="00FB2A36">
        <w:rPr>
          <w:rFonts w:ascii="Palatino Linotype" w:hAnsi="Palatino Linotype" w:cs="Tahoma"/>
          <w:sz w:val="22"/>
          <w:szCs w:val="22"/>
          <w:lang w:val="es-ES"/>
        </w:rPr>
        <w:t>que el Recurrente solicitó al</w:t>
      </w:r>
      <w:r w:rsidR="00FB2A36">
        <w:rPr>
          <w:rFonts w:ascii="Palatino Linotype" w:eastAsia="Calibri" w:hAnsi="Palatino Linotype" w:cs="Tahoma"/>
          <w:iCs/>
          <w:sz w:val="22"/>
          <w:szCs w:val="22"/>
          <w:lang w:val="es-ES" w:eastAsia="es-ES_tradnl"/>
        </w:rPr>
        <w:t xml:space="preserve"> Ayuntamiento de Rayón, la información siguiente:</w:t>
      </w:r>
    </w:p>
    <w:p w14:paraId="3E1D4787" w14:textId="77777777" w:rsidR="009D5C33" w:rsidRDefault="009D5C3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044DDA57" w14:textId="77777777" w:rsidR="009D5C33" w:rsidRDefault="009D5C3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39BDFC58" w14:textId="77777777" w:rsidR="00FB2A36" w:rsidRDefault="00FB2A36" w:rsidP="00FB2A36">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Preparación académica del Secretario Técnico Municipal.</w:t>
      </w:r>
    </w:p>
    <w:p w14:paraId="48869369" w14:textId="77777777" w:rsidR="00FB2A36" w:rsidRDefault="00FB2A36" w:rsidP="00FB2A36">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Documento que sustenta el cargo de Secretario Técnico Municipal.</w:t>
      </w:r>
    </w:p>
    <w:p w14:paraId="6DD1FC02" w14:textId="77777777" w:rsidR="00FB2A36" w:rsidRPr="00AB75E2" w:rsidRDefault="00FB2A36" w:rsidP="00FB2A36">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AB75E2">
        <w:rPr>
          <w:rFonts w:ascii="Palatino Linotype" w:eastAsia="Calibri" w:hAnsi="Palatino Linotype" w:cs="Tahoma"/>
          <w:bCs/>
          <w:iCs/>
          <w:szCs w:val="22"/>
          <w:lang w:eastAsia="es-ES_tradnl"/>
        </w:rPr>
        <w:t xml:space="preserve">Convocatorias y procesos en ejecución para la elaboración del Plan </w:t>
      </w:r>
      <w:r w:rsidR="006D3563">
        <w:rPr>
          <w:rFonts w:ascii="Palatino Linotype" w:eastAsia="Calibri" w:hAnsi="Palatino Linotype" w:cs="Tahoma"/>
          <w:bCs/>
          <w:iCs/>
          <w:szCs w:val="22"/>
          <w:lang w:eastAsia="es-ES_tradnl"/>
        </w:rPr>
        <w:t>d</w:t>
      </w:r>
      <w:r w:rsidRPr="00AB75E2">
        <w:rPr>
          <w:rFonts w:ascii="Palatino Linotype" w:eastAsia="Calibri" w:hAnsi="Palatino Linotype" w:cs="Tahoma"/>
          <w:bCs/>
          <w:iCs/>
          <w:szCs w:val="22"/>
          <w:lang w:eastAsia="es-ES_tradnl"/>
        </w:rPr>
        <w:t>e Desarrollo</w:t>
      </w:r>
      <w:r w:rsidR="006D3563" w:rsidRPr="006D3563">
        <w:rPr>
          <w:rFonts w:ascii="Palatino Linotype" w:eastAsia="Calibri" w:hAnsi="Palatino Linotype" w:cs="Tahoma"/>
          <w:bCs/>
          <w:iCs/>
          <w:szCs w:val="22"/>
          <w:lang w:eastAsia="es-ES_tradnl"/>
        </w:rPr>
        <w:t xml:space="preserve"> </w:t>
      </w:r>
      <w:r w:rsidR="006D3563" w:rsidRPr="00AB75E2">
        <w:rPr>
          <w:rFonts w:ascii="Palatino Linotype" w:eastAsia="Calibri" w:hAnsi="Palatino Linotype" w:cs="Tahoma"/>
          <w:bCs/>
          <w:iCs/>
          <w:szCs w:val="22"/>
          <w:lang w:eastAsia="es-ES_tradnl"/>
        </w:rPr>
        <w:t>Municipal</w:t>
      </w:r>
      <w:r>
        <w:rPr>
          <w:rFonts w:ascii="Palatino Linotype" w:eastAsia="Calibri" w:hAnsi="Palatino Linotype" w:cs="Tahoma"/>
          <w:bCs/>
          <w:iCs/>
          <w:szCs w:val="22"/>
          <w:lang w:eastAsia="es-ES_tradnl"/>
        </w:rPr>
        <w:t>.</w:t>
      </w:r>
    </w:p>
    <w:p w14:paraId="2BBDC2E7" w14:textId="77777777" w:rsidR="00FB2A36" w:rsidRPr="00AB75E2" w:rsidRDefault="00FB2A36" w:rsidP="00FB2A36">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AB75E2">
        <w:rPr>
          <w:rFonts w:ascii="Palatino Linotype" w:eastAsia="Calibri" w:hAnsi="Palatino Linotype" w:cs="Tahoma"/>
          <w:bCs/>
          <w:iCs/>
          <w:szCs w:val="22"/>
          <w:lang w:eastAsia="es-ES_tradnl"/>
        </w:rPr>
        <w:t xml:space="preserve">Si se está tomando en cuenta para </w:t>
      </w:r>
      <w:r>
        <w:rPr>
          <w:rFonts w:ascii="Palatino Linotype" w:eastAsia="Calibri" w:hAnsi="Palatino Linotype" w:cs="Tahoma"/>
          <w:bCs/>
          <w:iCs/>
          <w:szCs w:val="22"/>
          <w:lang w:eastAsia="es-ES_tradnl"/>
        </w:rPr>
        <w:t xml:space="preserve">la </w:t>
      </w:r>
      <w:r w:rsidRPr="00AB75E2">
        <w:rPr>
          <w:rFonts w:ascii="Palatino Linotype" w:eastAsia="Calibri" w:hAnsi="Palatino Linotype" w:cs="Tahoma"/>
          <w:bCs/>
          <w:iCs/>
          <w:szCs w:val="22"/>
          <w:lang w:eastAsia="es-ES_tradnl"/>
        </w:rPr>
        <w:t xml:space="preserve">evaluación </w:t>
      </w:r>
      <w:r>
        <w:rPr>
          <w:rFonts w:ascii="Palatino Linotype" w:eastAsia="Calibri" w:hAnsi="Palatino Linotype" w:cs="Tahoma"/>
          <w:bCs/>
          <w:iCs/>
          <w:szCs w:val="22"/>
          <w:lang w:eastAsia="es-ES_tradnl"/>
        </w:rPr>
        <w:t>del</w:t>
      </w:r>
      <w:r w:rsidRPr="00AB75E2">
        <w:rPr>
          <w:rFonts w:ascii="Palatino Linotype" w:eastAsia="Calibri" w:hAnsi="Palatino Linotype" w:cs="Tahoma"/>
          <w:bCs/>
          <w:iCs/>
          <w:szCs w:val="22"/>
          <w:lang w:eastAsia="es-ES_tradnl"/>
        </w:rPr>
        <w:t xml:space="preserve"> Plan </w:t>
      </w:r>
      <w:r w:rsidR="006D3563">
        <w:rPr>
          <w:rFonts w:ascii="Palatino Linotype" w:eastAsia="Calibri" w:hAnsi="Palatino Linotype" w:cs="Tahoma"/>
          <w:bCs/>
          <w:iCs/>
          <w:szCs w:val="22"/>
          <w:lang w:eastAsia="es-ES_tradnl"/>
        </w:rPr>
        <w:t>d</w:t>
      </w:r>
      <w:r w:rsidRPr="00AB75E2">
        <w:rPr>
          <w:rFonts w:ascii="Palatino Linotype" w:eastAsia="Calibri" w:hAnsi="Palatino Linotype" w:cs="Tahoma"/>
          <w:bCs/>
          <w:iCs/>
          <w:szCs w:val="22"/>
          <w:lang w:eastAsia="es-ES_tradnl"/>
        </w:rPr>
        <w:t xml:space="preserve">e Desarrollo </w:t>
      </w:r>
      <w:r w:rsidR="006D3563" w:rsidRPr="00AB75E2">
        <w:rPr>
          <w:rFonts w:ascii="Palatino Linotype" w:eastAsia="Calibri" w:hAnsi="Palatino Linotype" w:cs="Tahoma"/>
          <w:bCs/>
          <w:iCs/>
          <w:szCs w:val="22"/>
          <w:lang w:eastAsia="es-ES_tradnl"/>
        </w:rPr>
        <w:t xml:space="preserve">Municipal </w:t>
      </w:r>
      <w:r w:rsidRPr="00AB75E2">
        <w:rPr>
          <w:rFonts w:ascii="Palatino Linotype" w:eastAsia="Calibri" w:hAnsi="Palatino Linotype" w:cs="Tahoma"/>
          <w:bCs/>
          <w:iCs/>
          <w:szCs w:val="22"/>
          <w:lang w:eastAsia="es-ES_tradnl"/>
        </w:rPr>
        <w:t>todos los aspectos que marcan las diferentes disposiciones aplicables en la materia</w:t>
      </w:r>
      <w:r>
        <w:rPr>
          <w:rFonts w:ascii="Palatino Linotype" w:eastAsia="Calibri" w:hAnsi="Palatino Linotype" w:cs="Tahoma"/>
          <w:bCs/>
          <w:iCs/>
          <w:szCs w:val="22"/>
          <w:lang w:eastAsia="es-ES_tradnl"/>
        </w:rPr>
        <w:t>.</w:t>
      </w:r>
    </w:p>
    <w:p w14:paraId="29EADA3B" w14:textId="77777777" w:rsidR="000D6CF8" w:rsidRDefault="000D6CF8" w:rsidP="006D3563">
      <w:pPr>
        <w:spacing w:line="360" w:lineRule="auto"/>
        <w:ind w:right="-93"/>
        <w:jc w:val="center"/>
        <w:rPr>
          <w:rFonts w:ascii="Palatino Linotype" w:hAnsi="Palatino Linotype" w:cs="Tahoma"/>
          <w:sz w:val="22"/>
          <w:szCs w:val="22"/>
          <w:lang w:val="es-ES"/>
        </w:rPr>
      </w:pPr>
    </w:p>
    <w:p w14:paraId="31C2D9C2" w14:textId="77777777"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la información proporcionada por el Sujeto Obligado en la respuesta a la solicitud, destaca que hizo de conocimiento que el Secretario Técnico se encuentra estudiando la Licenciatura en Derecho, asimismo, remitió copia del nombramiento del Secretario Técnico del Ayuntamiento de Rayón, con lo cual se tienen por atendidos los requerimientos descritos en los numerales 1 y 2, toda vez que el Sujeto Obligado proporcionó la información requerida por el Particular, aunado a que del análisis a los motivos de informidad del Recurrente, éste no manifiesta agravio alguno relacionado con la información entregada.</w:t>
      </w:r>
    </w:p>
    <w:p w14:paraId="1B28B687" w14:textId="77777777"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p>
    <w:p w14:paraId="03EF24B9" w14:textId="404AC93E"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bien, es oportuno señalar que en el Recurso de Revisión el Recurrente manifestó que </w:t>
      </w:r>
      <w:r w:rsidR="006D3563">
        <w:rPr>
          <w:rFonts w:ascii="Palatino Linotype" w:eastAsia="Calibri" w:hAnsi="Palatino Linotype" w:cs="Tahoma"/>
          <w:iCs/>
          <w:sz w:val="22"/>
          <w:szCs w:val="22"/>
          <w:lang w:val="es-ES" w:eastAsia="es-ES_tradnl"/>
        </w:rPr>
        <w:t>n</w:t>
      </w:r>
      <w:r>
        <w:rPr>
          <w:rFonts w:ascii="Palatino Linotype" w:eastAsia="Calibri" w:hAnsi="Palatino Linotype" w:cs="Tahoma"/>
          <w:iCs/>
          <w:sz w:val="22"/>
          <w:szCs w:val="22"/>
          <w:lang w:val="es-ES" w:eastAsia="es-ES_tradnl"/>
        </w:rPr>
        <w:t>o le proporcionaron la información relacionada con el Plan de Desarrollo Municipal</w:t>
      </w:r>
      <w:r w:rsidR="00AA2AFF">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es decir, la descrita en los numerales 3 y 4, por lo cual, se procede al análisis de los requerimientos </w:t>
      </w:r>
      <w:r w:rsidR="006D3563">
        <w:rPr>
          <w:rFonts w:ascii="Palatino Linotype" w:eastAsia="Calibri" w:hAnsi="Palatino Linotype" w:cs="Tahoma"/>
          <w:iCs/>
          <w:sz w:val="22"/>
          <w:szCs w:val="22"/>
          <w:lang w:val="es-ES" w:eastAsia="es-ES_tradnl"/>
        </w:rPr>
        <w:t>mencionado</w:t>
      </w:r>
      <w:r>
        <w:rPr>
          <w:rFonts w:ascii="Palatino Linotype" w:eastAsia="Calibri" w:hAnsi="Palatino Linotype" w:cs="Tahoma"/>
          <w:iCs/>
          <w:sz w:val="22"/>
          <w:szCs w:val="22"/>
          <w:lang w:val="es-ES" w:eastAsia="es-ES_tradnl"/>
        </w:rPr>
        <w:t>s a efecto de determinar si la respuesta proporcionada por el Sujeto Obligado, satisface el derecho de acceso a la información del Particular</w:t>
      </w:r>
      <w:r w:rsidR="00AA2AFF">
        <w:rPr>
          <w:rFonts w:ascii="Palatino Linotype" w:eastAsia="Calibri" w:hAnsi="Palatino Linotype" w:cs="Tahoma"/>
          <w:iCs/>
          <w:sz w:val="22"/>
          <w:szCs w:val="22"/>
          <w:lang w:val="es-ES" w:eastAsia="es-ES_tradnl"/>
        </w:rPr>
        <w:t>, en virtud de que los relacionado con el Secretario Técnico fue colmado.</w:t>
      </w:r>
    </w:p>
    <w:p w14:paraId="08609238" w14:textId="77777777" w:rsidR="00FB2A36" w:rsidRDefault="00FB2A36" w:rsidP="00FB2A36">
      <w:pPr>
        <w:tabs>
          <w:tab w:val="left" w:pos="4962"/>
        </w:tabs>
        <w:spacing w:line="360" w:lineRule="auto"/>
        <w:jc w:val="both"/>
        <w:rPr>
          <w:rFonts w:ascii="Palatino Linotype" w:eastAsia="Calibri" w:hAnsi="Palatino Linotype" w:cs="Tahoma"/>
          <w:iCs/>
          <w:sz w:val="22"/>
          <w:szCs w:val="22"/>
          <w:lang w:val="es-ES" w:eastAsia="es-ES_tradnl"/>
        </w:rPr>
      </w:pPr>
    </w:p>
    <w:p w14:paraId="7BD62CFB" w14:textId="77777777" w:rsidR="006D3563" w:rsidRPr="006D3563" w:rsidRDefault="006D3563" w:rsidP="006D3563">
      <w:pPr>
        <w:pStyle w:val="Prrafodelista"/>
        <w:numPr>
          <w:ilvl w:val="0"/>
          <w:numId w:val="45"/>
        </w:numPr>
        <w:tabs>
          <w:tab w:val="left" w:pos="4962"/>
        </w:tabs>
        <w:spacing w:line="360" w:lineRule="auto"/>
        <w:jc w:val="both"/>
        <w:rPr>
          <w:rFonts w:ascii="Palatino Linotype" w:eastAsia="Calibri" w:hAnsi="Palatino Linotype" w:cs="Tahoma"/>
          <w:b/>
          <w:iCs/>
          <w:szCs w:val="22"/>
          <w:lang w:val="es-ES" w:eastAsia="es-ES_tradnl"/>
        </w:rPr>
      </w:pPr>
      <w:r w:rsidRPr="006D3563">
        <w:rPr>
          <w:rFonts w:ascii="Palatino Linotype" w:eastAsia="Calibri" w:hAnsi="Palatino Linotype" w:cs="Tahoma"/>
          <w:b/>
          <w:bCs/>
          <w:iCs/>
          <w:szCs w:val="22"/>
          <w:lang w:eastAsia="es-ES_tradnl"/>
        </w:rPr>
        <w:t xml:space="preserve">Convocatorias y procesos en ejecución para la elaboración del Plan </w:t>
      </w:r>
      <w:r>
        <w:rPr>
          <w:rFonts w:ascii="Palatino Linotype" w:eastAsia="Calibri" w:hAnsi="Palatino Linotype" w:cs="Tahoma"/>
          <w:b/>
          <w:bCs/>
          <w:iCs/>
          <w:szCs w:val="22"/>
          <w:lang w:eastAsia="es-ES_tradnl"/>
        </w:rPr>
        <w:t>d</w:t>
      </w:r>
      <w:r w:rsidRPr="006D3563">
        <w:rPr>
          <w:rFonts w:ascii="Palatino Linotype" w:eastAsia="Calibri" w:hAnsi="Palatino Linotype" w:cs="Tahoma"/>
          <w:b/>
          <w:bCs/>
          <w:iCs/>
          <w:szCs w:val="22"/>
          <w:lang w:eastAsia="es-ES_tradnl"/>
        </w:rPr>
        <w:t>e Desarrollo Municipal.</w:t>
      </w:r>
    </w:p>
    <w:p w14:paraId="628893B1" w14:textId="77777777" w:rsidR="006D3563" w:rsidRDefault="006D3563" w:rsidP="00FB2A36">
      <w:pPr>
        <w:tabs>
          <w:tab w:val="left" w:pos="4962"/>
        </w:tabs>
        <w:spacing w:line="360" w:lineRule="auto"/>
        <w:jc w:val="both"/>
        <w:rPr>
          <w:rFonts w:ascii="Palatino Linotype" w:eastAsia="Calibri" w:hAnsi="Palatino Linotype" w:cs="Tahoma"/>
          <w:iCs/>
          <w:sz w:val="22"/>
          <w:szCs w:val="22"/>
          <w:lang w:val="es-ES" w:eastAsia="es-ES_tradnl"/>
        </w:rPr>
      </w:pPr>
    </w:p>
    <w:p w14:paraId="2C96C68B" w14:textId="77777777" w:rsidR="00FB2A36" w:rsidRDefault="001E6927" w:rsidP="00FB2A36">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Respecto a este punto, es menester señalar </w:t>
      </w:r>
      <w:proofErr w:type="gramStart"/>
      <w:r>
        <w:rPr>
          <w:rFonts w:ascii="Palatino Linotype" w:eastAsia="Calibri" w:hAnsi="Palatino Linotype" w:cs="Tahoma"/>
          <w:iCs/>
          <w:sz w:val="22"/>
          <w:szCs w:val="22"/>
          <w:lang w:val="es-ES" w:eastAsia="es-ES_tradnl"/>
        </w:rPr>
        <w:t>que</w:t>
      </w:r>
      <w:proofErr w:type="gramEnd"/>
      <w:r>
        <w:rPr>
          <w:rFonts w:ascii="Palatino Linotype" w:eastAsia="Calibri" w:hAnsi="Palatino Linotype" w:cs="Tahoma"/>
          <w:iCs/>
          <w:sz w:val="22"/>
          <w:szCs w:val="22"/>
          <w:lang w:val="es-ES" w:eastAsia="es-ES_tradnl"/>
        </w:rPr>
        <w:t xml:space="preserve"> en la respuesta proporcionada por el Sujeto Obligado, hizo de conocimiento que </w:t>
      </w:r>
      <w:r w:rsidR="00FB2A36">
        <w:rPr>
          <w:rFonts w:ascii="Palatino Linotype" w:eastAsia="Calibri" w:hAnsi="Palatino Linotype" w:cs="Tahoma"/>
          <w:iCs/>
          <w:sz w:val="22"/>
          <w:szCs w:val="22"/>
          <w:lang w:val="es-ES" w:eastAsia="es-ES_tradnl"/>
        </w:rPr>
        <w:t xml:space="preserve">la información relacionada con el Plan Municipal de Desarrollo, </w:t>
      </w:r>
      <w:r w:rsidR="00FB2A36" w:rsidRPr="00AB75E2">
        <w:rPr>
          <w:rFonts w:ascii="Palatino Linotype" w:eastAsia="Calibri" w:hAnsi="Palatino Linotype" w:cs="Tahoma"/>
          <w:iCs/>
          <w:sz w:val="22"/>
          <w:szCs w:val="22"/>
          <w:lang w:eastAsia="es-ES_tradnl"/>
        </w:rPr>
        <w:t>la responsable es la titular de la Unidad de Información, Planeación, Programación y Evaluación (UIPPE)</w:t>
      </w:r>
      <w:r>
        <w:rPr>
          <w:rFonts w:ascii="Palatino Linotype" w:eastAsia="Calibri" w:hAnsi="Palatino Linotype" w:cs="Tahoma"/>
          <w:iCs/>
          <w:sz w:val="22"/>
          <w:szCs w:val="22"/>
          <w:lang w:eastAsia="es-ES_tradnl"/>
        </w:rPr>
        <w:t>, por lo cual se advierte que reprodujo de manera íntegra la respuesta proporcionada por el Servidor Público al que turnó la solicitud y que sólo fue competente para atender los numerales 1 y 2.</w:t>
      </w:r>
    </w:p>
    <w:p w14:paraId="2F4B82C9" w14:textId="77777777" w:rsidR="001E6927" w:rsidRDefault="001E6927" w:rsidP="00FB2A36">
      <w:pPr>
        <w:tabs>
          <w:tab w:val="left" w:pos="4962"/>
        </w:tabs>
        <w:spacing w:line="360" w:lineRule="auto"/>
        <w:jc w:val="both"/>
        <w:rPr>
          <w:rFonts w:ascii="Palatino Linotype" w:eastAsia="Calibri" w:hAnsi="Palatino Linotype" w:cs="Tahoma"/>
          <w:iCs/>
          <w:sz w:val="22"/>
          <w:szCs w:val="22"/>
          <w:lang w:eastAsia="es-ES_tradnl"/>
        </w:rPr>
      </w:pPr>
    </w:p>
    <w:p w14:paraId="7EE52D03" w14:textId="77777777" w:rsidR="00330729" w:rsidRPr="001E6927" w:rsidRDefault="001E6927" w:rsidP="001E692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Asimismo, de la revisión al expediente electrónico que obra en el Sistema de Acceso a la información Mexiquense (SAIMEX), se advierte que el requerimiento que nos ocupa no fue turnado al área competente</w:t>
      </w:r>
      <w:r w:rsidR="00C64A51" w:rsidRPr="00AD50F9">
        <w:rPr>
          <w:rFonts w:ascii="Palatino Linotype" w:eastAsia="Calibri" w:hAnsi="Palatino Linotype" w:cs="Tahoma"/>
          <w:bCs/>
          <w:sz w:val="22"/>
          <w:szCs w:val="22"/>
          <w:lang w:eastAsia="en-US"/>
        </w:rPr>
        <w:t xml:space="preserve">; </w:t>
      </w:r>
      <w:r w:rsidR="00330729" w:rsidRPr="00AD50F9">
        <w:rPr>
          <w:rFonts w:ascii="Palatino Linotype" w:eastAsia="Calibri" w:hAnsi="Palatino Linotype" w:cs="Tahoma"/>
          <w:bCs/>
          <w:sz w:val="22"/>
          <w:szCs w:val="22"/>
          <w:lang w:eastAsia="en-US"/>
        </w:rPr>
        <w:t xml:space="preserve">por lo que, es necesario hacer referencia </w:t>
      </w:r>
      <w:r w:rsidR="00330729" w:rsidRPr="00AD50F9">
        <w:rPr>
          <w:rFonts w:ascii="Palatino Linotype" w:hAnsi="Palatino Linotype" w:cs="Tahoma"/>
          <w:sz w:val="22"/>
          <w:szCs w:val="22"/>
        </w:rPr>
        <w:t xml:space="preserve">al </w:t>
      </w:r>
      <w:r w:rsidR="00330729" w:rsidRPr="00AD50F9">
        <w:rPr>
          <w:rFonts w:ascii="Palatino Linotype" w:hAnsi="Palatino Linotype" w:cs="Tahoma"/>
          <w:b/>
          <w:sz w:val="22"/>
          <w:szCs w:val="22"/>
        </w:rPr>
        <w:t>procedimiento de búsqueda que deben de seguir los Sujetos Obligados para localizar la información</w:t>
      </w:r>
      <w:r w:rsidR="00330729" w:rsidRPr="00AD50F9">
        <w:rPr>
          <w:rFonts w:ascii="Palatino Linotype" w:hAnsi="Palatino Linotype" w:cs="Tahoma"/>
          <w:sz w:val="22"/>
          <w:szCs w:val="22"/>
        </w:rPr>
        <w:t>, el cual se encuentra previsto en los artículos</w:t>
      </w:r>
      <w:r w:rsidR="00330729" w:rsidRPr="00AD50F9">
        <w:rPr>
          <w:rFonts w:ascii="Palatino Linotype" w:eastAsia="Calibri" w:hAnsi="Palatino Linotype" w:cs="Tahoma"/>
          <w:bCs/>
          <w:sz w:val="22"/>
          <w:szCs w:val="22"/>
          <w:lang w:eastAsia="en-US"/>
        </w:rPr>
        <w:t xml:space="preserve"> 160 y 162</w:t>
      </w:r>
      <w:r w:rsidR="00B31FDB" w:rsidRPr="00AD50F9">
        <w:rPr>
          <w:rFonts w:ascii="Palatino Linotype" w:eastAsia="Calibri" w:hAnsi="Palatino Linotype" w:cs="Tahoma"/>
          <w:bCs/>
          <w:sz w:val="22"/>
          <w:szCs w:val="22"/>
          <w:lang w:eastAsia="en-US"/>
        </w:rPr>
        <w:t xml:space="preserve"> </w:t>
      </w:r>
      <w:r w:rsidR="00330729" w:rsidRPr="00AD50F9">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38FCBDAF" w14:textId="77777777" w:rsidR="00330729" w:rsidRPr="00AD50F9" w:rsidRDefault="00330729" w:rsidP="0090360E">
      <w:pPr>
        <w:spacing w:line="360" w:lineRule="auto"/>
        <w:jc w:val="both"/>
        <w:rPr>
          <w:rFonts w:ascii="Palatino Linotype" w:eastAsia="Calibri" w:hAnsi="Palatino Linotype" w:cs="Tahoma"/>
          <w:bCs/>
          <w:sz w:val="22"/>
          <w:szCs w:val="22"/>
          <w:lang w:val="es-ES" w:eastAsia="en-US"/>
        </w:rPr>
      </w:pPr>
    </w:p>
    <w:p w14:paraId="5305A423" w14:textId="77777777" w:rsidR="00330729" w:rsidRPr="00AD50F9"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A76AA15" w14:textId="77777777" w:rsidR="00330729" w:rsidRPr="00AD50F9" w:rsidRDefault="00330729" w:rsidP="0090360E">
      <w:pPr>
        <w:spacing w:line="360" w:lineRule="auto"/>
        <w:ind w:left="720"/>
        <w:jc w:val="both"/>
        <w:rPr>
          <w:rFonts w:ascii="Palatino Linotype" w:eastAsia="Calibri" w:hAnsi="Palatino Linotype" w:cs="Tahoma"/>
          <w:bCs/>
          <w:sz w:val="22"/>
          <w:szCs w:val="22"/>
          <w:lang w:val="es-ES" w:eastAsia="en-US"/>
        </w:rPr>
      </w:pPr>
    </w:p>
    <w:p w14:paraId="5567B986" w14:textId="77777777" w:rsidR="00330729" w:rsidRPr="00AD50F9"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730D35">
        <w:rPr>
          <w:rFonts w:ascii="Palatino Linotype" w:eastAsia="Calibri" w:hAnsi="Palatino Linotype" w:cs="Tahoma"/>
          <w:bCs/>
          <w:sz w:val="22"/>
          <w:szCs w:val="22"/>
          <w:lang w:val="es-ES" w:eastAsia="en-US"/>
        </w:rPr>
        <w:t>la</w:t>
      </w:r>
      <w:r w:rsidRPr="00AD50F9">
        <w:rPr>
          <w:rFonts w:ascii="Palatino Linotype" w:eastAsia="Calibri" w:hAnsi="Palatino Linotype" w:cs="Tahoma"/>
          <w:bCs/>
          <w:sz w:val="22"/>
          <w:szCs w:val="22"/>
          <w:lang w:val="es-ES" w:eastAsia="en-US"/>
        </w:rPr>
        <w:t xml:space="preserve"> solicitante manifieste, de entre aquellos formatos existentes.</w:t>
      </w:r>
    </w:p>
    <w:p w14:paraId="074537FA" w14:textId="77777777" w:rsidR="00330729" w:rsidRPr="00AD50F9" w:rsidRDefault="00330729" w:rsidP="0090360E">
      <w:pPr>
        <w:spacing w:line="360" w:lineRule="auto"/>
        <w:rPr>
          <w:rFonts w:ascii="Palatino Linotype" w:eastAsia="Calibri" w:hAnsi="Palatino Linotype" w:cs="Tahoma"/>
          <w:b/>
          <w:bCs/>
          <w:sz w:val="22"/>
          <w:szCs w:val="22"/>
          <w:lang w:eastAsia="en-US"/>
        </w:rPr>
      </w:pPr>
    </w:p>
    <w:p w14:paraId="058133B0" w14:textId="77777777" w:rsidR="006E7DEE" w:rsidRDefault="002934DF" w:rsidP="009036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atención </w:t>
      </w:r>
      <w:r w:rsidR="00330729" w:rsidRPr="00AD50F9">
        <w:rPr>
          <w:rFonts w:ascii="Palatino Linotype" w:eastAsia="Calibri" w:hAnsi="Palatino Linotype" w:cs="Tahoma"/>
          <w:bCs/>
          <w:sz w:val="22"/>
          <w:szCs w:val="22"/>
          <w:lang w:eastAsia="en-US"/>
        </w:rPr>
        <w:t>a lo dispuesto en los preceptos legales de referencia, a efecto de determinar si el Sujeto Obligado siguió el procedimiento antes descrito, es necesario citar el</w:t>
      </w:r>
      <w:r>
        <w:rPr>
          <w:rFonts w:ascii="Palatino Linotype" w:eastAsia="Calibri" w:hAnsi="Palatino Linotype" w:cs="Tahoma"/>
          <w:bCs/>
          <w:sz w:val="22"/>
          <w:szCs w:val="22"/>
          <w:lang w:eastAsia="en-US"/>
        </w:rPr>
        <w:t xml:space="preserve"> artículo 9</w:t>
      </w:r>
      <w:r w:rsidR="00B01191" w:rsidRPr="00AD50F9">
        <w:rPr>
          <w:rFonts w:ascii="Palatino Linotype" w:eastAsia="Calibri" w:hAnsi="Palatino Linotype" w:cs="Tahoma"/>
          <w:bCs/>
          <w:sz w:val="22"/>
          <w:szCs w:val="22"/>
          <w:lang w:eastAsia="en-US"/>
        </w:rPr>
        <w:t xml:space="preserve">9, </w:t>
      </w:r>
      <w:r>
        <w:rPr>
          <w:rFonts w:ascii="Palatino Linotype" w:eastAsia="Calibri" w:hAnsi="Palatino Linotype" w:cs="Tahoma"/>
          <w:bCs/>
          <w:sz w:val="22"/>
          <w:szCs w:val="22"/>
          <w:lang w:eastAsia="en-US"/>
        </w:rPr>
        <w:t xml:space="preserve">del Bando Municipal 2019, del Ayuntamiento de Rayón, </w:t>
      </w:r>
      <w:r w:rsidR="00330729" w:rsidRPr="00AD50F9">
        <w:rPr>
          <w:rFonts w:ascii="Palatino Linotype" w:eastAsia="Calibri" w:hAnsi="Palatino Linotype" w:cs="Tahoma"/>
          <w:bCs/>
          <w:sz w:val="22"/>
          <w:szCs w:val="22"/>
          <w:lang w:eastAsia="en-US"/>
        </w:rPr>
        <w:t xml:space="preserve">establece que </w:t>
      </w:r>
      <w:r w:rsidRPr="002934DF">
        <w:rPr>
          <w:rFonts w:ascii="Palatino Linotype" w:eastAsia="Calibri" w:hAnsi="Palatino Linotype" w:cs="Tahoma"/>
          <w:bCs/>
          <w:sz w:val="22"/>
          <w:szCs w:val="22"/>
          <w:lang w:eastAsia="en-US"/>
        </w:rPr>
        <w:t>La Unidad de Información, Planeación, Programación y Evaluación</w:t>
      </w:r>
      <w:r>
        <w:rPr>
          <w:rFonts w:ascii="Palatino Linotype" w:eastAsia="Calibri" w:hAnsi="Palatino Linotype" w:cs="Tahoma"/>
          <w:bCs/>
          <w:sz w:val="22"/>
          <w:szCs w:val="22"/>
          <w:lang w:eastAsia="en-US"/>
        </w:rPr>
        <w:t xml:space="preserve"> </w:t>
      </w:r>
      <w:r w:rsidRPr="002934DF">
        <w:rPr>
          <w:rFonts w:ascii="Palatino Linotype" w:eastAsia="Calibri" w:hAnsi="Palatino Linotype" w:cs="Tahoma"/>
          <w:bCs/>
          <w:sz w:val="22"/>
          <w:szCs w:val="22"/>
          <w:lang w:eastAsia="en-US"/>
        </w:rPr>
        <w:t>Municipal</w:t>
      </w:r>
      <w:r>
        <w:rPr>
          <w:rFonts w:ascii="Palatino Linotype" w:eastAsia="Calibri" w:hAnsi="Palatino Linotype" w:cs="Tahoma"/>
          <w:bCs/>
          <w:sz w:val="22"/>
          <w:szCs w:val="22"/>
          <w:lang w:eastAsia="en-US"/>
        </w:rPr>
        <w:t>,</w:t>
      </w:r>
      <w:r w:rsidRPr="002934DF">
        <w:rPr>
          <w:rFonts w:ascii="Palatino Linotype" w:eastAsia="Calibri" w:hAnsi="Palatino Linotype" w:cs="Tahoma"/>
          <w:bCs/>
          <w:sz w:val="22"/>
          <w:szCs w:val="22"/>
          <w:lang w:eastAsia="en-US"/>
        </w:rPr>
        <w:t xml:space="preserve"> es la dependencia responsable de recopilar, procesar y proporcionar la información en materia de planeación, verificar que los programas y la asignación de recursos guarden relación con los objetivos, metas y prioridades de los planes y programas de la Administración Pública Municipal, dar seguimiento al cumplimiento del Plan de Desarrollo Municipal y los programas que de él se deriven.</w:t>
      </w:r>
    </w:p>
    <w:p w14:paraId="48A88D73" w14:textId="77777777" w:rsidR="009D5C33" w:rsidRPr="00AD50F9" w:rsidRDefault="009D5C33" w:rsidP="0090360E">
      <w:pPr>
        <w:spacing w:line="360" w:lineRule="auto"/>
        <w:ind w:right="-93"/>
        <w:jc w:val="both"/>
        <w:rPr>
          <w:rFonts w:ascii="Palatino Linotype" w:eastAsia="Calibri" w:hAnsi="Palatino Linotype" w:cs="Tahoma"/>
          <w:bCs/>
          <w:sz w:val="22"/>
          <w:szCs w:val="22"/>
          <w:lang w:eastAsia="en-US"/>
        </w:rPr>
      </w:pPr>
    </w:p>
    <w:p w14:paraId="05475C8F" w14:textId="77777777" w:rsidR="0075402E" w:rsidRDefault="00D16656"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w:t>
      </w:r>
      <w:r w:rsidR="002934DF" w:rsidRPr="002934DF">
        <w:rPr>
          <w:rFonts w:ascii="Palatino Linotype" w:eastAsia="Calibri" w:hAnsi="Palatino Linotype" w:cs="Tahoma"/>
          <w:bCs/>
          <w:sz w:val="22"/>
          <w:szCs w:val="22"/>
          <w:lang w:eastAsia="en-US"/>
        </w:rPr>
        <w:t>Unidad de Información, Planeación, Programación y Evaluación</w:t>
      </w:r>
      <w:r w:rsidR="002934DF">
        <w:rPr>
          <w:rFonts w:ascii="Palatino Linotype" w:eastAsia="Calibri" w:hAnsi="Palatino Linotype" w:cs="Tahoma"/>
          <w:bCs/>
          <w:sz w:val="22"/>
          <w:szCs w:val="22"/>
          <w:lang w:eastAsia="en-US"/>
        </w:rPr>
        <w:t>, que conoce</w:t>
      </w:r>
      <w:r w:rsidRPr="00AD50F9">
        <w:rPr>
          <w:rFonts w:ascii="Palatino Linotype" w:eastAsia="Calibri" w:hAnsi="Palatino Linotype" w:cs="Tahoma"/>
          <w:bCs/>
          <w:sz w:val="22"/>
          <w:szCs w:val="22"/>
          <w:lang w:eastAsia="en-US"/>
        </w:rPr>
        <w:t xml:space="preserve"> de todas las cuestiones relacionadas con </w:t>
      </w:r>
      <w:r w:rsidR="002934DF">
        <w:rPr>
          <w:rFonts w:ascii="Palatino Linotype" w:eastAsia="Calibri" w:hAnsi="Palatino Linotype" w:cs="Tahoma"/>
          <w:bCs/>
          <w:sz w:val="22"/>
          <w:szCs w:val="22"/>
          <w:lang w:eastAsia="en-US"/>
        </w:rPr>
        <w:t>la planeación y evaluación, así como el cumplimiento al Plan de Desarrollo Municipal</w:t>
      </w:r>
      <w:r w:rsidRPr="00AD50F9">
        <w:rPr>
          <w:rFonts w:ascii="Palatino Linotype" w:eastAsia="Calibri" w:hAnsi="Palatino Linotype" w:cs="Tahoma"/>
          <w:bCs/>
          <w:sz w:val="22"/>
          <w:szCs w:val="22"/>
          <w:lang w:eastAsia="en-US"/>
        </w:rPr>
        <w:t>; por lo que, se colige que</w:t>
      </w:r>
      <w:r w:rsidR="002934DF">
        <w:rPr>
          <w:rFonts w:ascii="Palatino Linotype" w:eastAsia="Calibri" w:hAnsi="Palatino Linotype" w:cs="Tahoma"/>
          <w:bCs/>
          <w:sz w:val="22"/>
          <w:szCs w:val="22"/>
          <w:lang w:eastAsia="en-US"/>
        </w:rPr>
        <w:t xml:space="preserve"> el Sujeto Obligado no</w:t>
      </w:r>
      <w:r w:rsidRPr="00AD50F9">
        <w:rPr>
          <w:rFonts w:ascii="Palatino Linotype" w:eastAsia="Calibri" w:hAnsi="Palatino Linotype" w:cs="Tahoma"/>
          <w:bCs/>
          <w:sz w:val="22"/>
          <w:szCs w:val="22"/>
          <w:lang w:eastAsia="en-US"/>
        </w:rPr>
        <w:t xml:space="preserve"> cumplió con el procedimiento de búsqueda establecido en el artículo 162 de la Ley de la materia, pues </w:t>
      </w:r>
      <w:r w:rsidR="002934DF">
        <w:rPr>
          <w:rFonts w:ascii="Palatino Linotype" w:eastAsia="Calibri" w:hAnsi="Palatino Linotype" w:cs="Tahoma"/>
          <w:bCs/>
          <w:sz w:val="22"/>
          <w:szCs w:val="22"/>
          <w:lang w:eastAsia="en-US"/>
        </w:rPr>
        <w:t>no se tiene evidencia de que haya gestionado</w:t>
      </w:r>
      <w:r w:rsidRPr="00AD50F9">
        <w:rPr>
          <w:rFonts w:ascii="Palatino Linotype" w:eastAsia="Calibri" w:hAnsi="Palatino Linotype" w:cs="Tahoma"/>
          <w:bCs/>
          <w:sz w:val="22"/>
          <w:szCs w:val="22"/>
          <w:lang w:eastAsia="en-US"/>
        </w:rPr>
        <w:t xml:space="preserve"> el requerimiento </w:t>
      </w:r>
      <w:r w:rsidR="002934DF">
        <w:rPr>
          <w:rFonts w:ascii="Palatino Linotype" w:eastAsia="Calibri" w:hAnsi="Palatino Linotype" w:cs="Tahoma"/>
          <w:bCs/>
          <w:sz w:val="22"/>
          <w:szCs w:val="22"/>
          <w:lang w:eastAsia="en-US"/>
        </w:rPr>
        <w:t xml:space="preserve">en todas las áreas competentes </w:t>
      </w:r>
      <w:r w:rsidRPr="00AD50F9">
        <w:rPr>
          <w:rFonts w:ascii="Palatino Linotype" w:eastAsia="Calibri" w:hAnsi="Palatino Linotype" w:cs="Tahoma"/>
          <w:bCs/>
          <w:sz w:val="22"/>
          <w:szCs w:val="22"/>
          <w:lang w:eastAsia="en-US"/>
        </w:rPr>
        <w:t xml:space="preserve">para conocer de lo </w:t>
      </w:r>
      <w:r w:rsidR="002934DF">
        <w:rPr>
          <w:rFonts w:ascii="Palatino Linotype" w:eastAsia="Calibri" w:hAnsi="Palatino Linotype" w:cs="Tahoma"/>
          <w:bCs/>
          <w:sz w:val="22"/>
          <w:szCs w:val="22"/>
          <w:lang w:eastAsia="en-US"/>
        </w:rPr>
        <w:t>solicitad</w:t>
      </w:r>
      <w:r w:rsidRPr="00AD50F9">
        <w:rPr>
          <w:rFonts w:ascii="Palatino Linotype" w:eastAsia="Calibri" w:hAnsi="Palatino Linotype" w:cs="Tahoma"/>
          <w:bCs/>
          <w:sz w:val="22"/>
          <w:szCs w:val="22"/>
          <w:lang w:eastAsia="en-US"/>
        </w:rPr>
        <w:t>o.</w:t>
      </w:r>
    </w:p>
    <w:p w14:paraId="1DB67D05" w14:textId="77777777" w:rsidR="006A59BC" w:rsidRDefault="006A59BC" w:rsidP="0090360E">
      <w:pPr>
        <w:spacing w:line="360" w:lineRule="auto"/>
        <w:ind w:right="-93"/>
        <w:jc w:val="both"/>
        <w:rPr>
          <w:rFonts w:ascii="Palatino Linotype" w:eastAsia="Calibri" w:hAnsi="Palatino Linotype" w:cs="Tahoma"/>
          <w:bCs/>
          <w:sz w:val="22"/>
          <w:szCs w:val="22"/>
          <w:lang w:eastAsia="en-US"/>
        </w:rPr>
      </w:pPr>
    </w:p>
    <w:p w14:paraId="7CE6DC97" w14:textId="101718E2" w:rsidR="006A59BC" w:rsidRDefault="006A59BC" w:rsidP="006A59BC">
      <w:pPr>
        <w:tabs>
          <w:tab w:val="left" w:pos="4962"/>
        </w:tabs>
        <w:spacing w:line="360" w:lineRule="auto"/>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Ahora bien, es oportuno señalar </w:t>
      </w:r>
      <w:r w:rsidRPr="00DD3919">
        <w:rPr>
          <w:rFonts w:ascii="Palatino Linotype" w:eastAsia="Calibri" w:hAnsi="Palatino Linotype" w:cs="Tahoma"/>
          <w:iCs/>
          <w:sz w:val="22"/>
          <w:szCs w:val="22"/>
          <w:lang w:val="es-ES_tradnl" w:eastAsia="es-ES_tradnl"/>
        </w:rPr>
        <w:t>los ayuntamientos que inician su periodo, de enero de dos mil diecinueve a diciembre de dos mil veintiuno, cuenta co</w:t>
      </w:r>
      <w:r w:rsidR="00CD049D">
        <w:rPr>
          <w:rFonts w:ascii="Palatino Linotype" w:eastAsia="Calibri" w:hAnsi="Palatino Linotype" w:cs="Tahoma"/>
          <w:iCs/>
          <w:sz w:val="22"/>
          <w:szCs w:val="22"/>
          <w:lang w:val="es-ES_tradnl" w:eastAsia="es-ES_tradnl"/>
        </w:rPr>
        <w:t>n la obligación de elaborar un Plan de Desarrollo M</w:t>
      </w:r>
      <w:r w:rsidRPr="00DD3919">
        <w:rPr>
          <w:rFonts w:ascii="Palatino Linotype" w:eastAsia="Calibri" w:hAnsi="Palatino Linotype" w:cs="Tahoma"/>
          <w:iCs/>
          <w:sz w:val="22"/>
          <w:szCs w:val="22"/>
          <w:lang w:val="es-ES_tradnl" w:eastAsia="es-ES_tradnl"/>
        </w:rPr>
        <w:t>unicipal, el cual, debe ser elaborado, aprobado y publicado dentro de los primeros meses</w:t>
      </w:r>
      <w:r>
        <w:rPr>
          <w:rFonts w:ascii="Palatino Linotype" w:eastAsia="Calibri" w:hAnsi="Palatino Linotype" w:cs="Tahoma"/>
          <w:iCs/>
          <w:sz w:val="22"/>
          <w:szCs w:val="22"/>
          <w:lang w:val="es-ES_tradnl" w:eastAsia="es-ES_tradnl"/>
        </w:rPr>
        <w:t xml:space="preserve"> de inicio de la gestión ya que este </w:t>
      </w:r>
      <w:r w:rsidRPr="00DD3919">
        <w:rPr>
          <w:rFonts w:ascii="Palatino Linotype" w:eastAsia="Calibri" w:hAnsi="Palatino Linotype" w:cs="Tahoma"/>
          <w:iCs/>
          <w:sz w:val="22"/>
          <w:szCs w:val="22"/>
          <w:lang w:val="es-ES_tradnl" w:eastAsia="es-ES_tradnl"/>
        </w:rPr>
        <w:t xml:space="preserve"> </w:t>
      </w:r>
      <w:r w:rsidRPr="00D65277">
        <w:rPr>
          <w:rFonts w:ascii="Palatino Linotype" w:eastAsia="Calibri" w:hAnsi="Palatino Linotype" w:cs="Tahoma"/>
          <w:iCs/>
          <w:sz w:val="22"/>
          <w:szCs w:val="22"/>
          <w:lang w:val="es-ES_tradnl" w:eastAsia="es-ES_tradnl"/>
        </w:rPr>
        <w:t>es el documento rector de las políticas públicas municipales y debe</w:t>
      </w:r>
      <w:r>
        <w:rPr>
          <w:rFonts w:ascii="Palatino Linotype" w:eastAsia="Calibri" w:hAnsi="Palatino Linotype" w:cs="Tahoma"/>
          <w:iCs/>
          <w:sz w:val="22"/>
          <w:szCs w:val="22"/>
          <w:lang w:val="es-ES_tradnl" w:eastAsia="es-ES_tradnl"/>
        </w:rPr>
        <w:t xml:space="preserve"> </w:t>
      </w:r>
      <w:r w:rsidRPr="00D65277">
        <w:rPr>
          <w:rFonts w:ascii="Palatino Linotype" w:eastAsia="Calibri" w:hAnsi="Palatino Linotype" w:cs="Tahoma"/>
          <w:iCs/>
          <w:sz w:val="22"/>
          <w:szCs w:val="22"/>
          <w:lang w:val="es-ES_tradnl" w:eastAsia="es-ES_tradnl"/>
        </w:rPr>
        <w:t>entenderse como un instrumento estratégico de gobierno que da rumbo a la transformación de la realidad local y fortalece</w:t>
      </w:r>
      <w:r>
        <w:rPr>
          <w:rFonts w:ascii="Palatino Linotype" w:eastAsia="Calibri" w:hAnsi="Palatino Linotype" w:cs="Tahoma"/>
          <w:iCs/>
          <w:sz w:val="22"/>
          <w:szCs w:val="22"/>
          <w:lang w:val="es-ES_tradnl" w:eastAsia="es-ES_tradnl"/>
        </w:rPr>
        <w:t xml:space="preserve"> </w:t>
      </w:r>
      <w:r w:rsidRPr="00D65277">
        <w:rPr>
          <w:rFonts w:ascii="Palatino Linotype" w:eastAsia="Calibri" w:hAnsi="Palatino Linotype" w:cs="Tahoma"/>
          <w:iCs/>
          <w:sz w:val="22"/>
          <w:szCs w:val="22"/>
          <w:lang w:val="es-ES_tradnl" w:eastAsia="es-ES_tradnl"/>
        </w:rPr>
        <w:t>la coordinación con el Gobierno Federal y el Gobierno del Estado de México, en el seno del Sistema Nacional de Planeación</w:t>
      </w:r>
      <w:r>
        <w:rPr>
          <w:rFonts w:ascii="Palatino Linotype" w:eastAsia="Calibri" w:hAnsi="Palatino Linotype" w:cs="Tahoma"/>
          <w:iCs/>
          <w:sz w:val="22"/>
          <w:szCs w:val="22"/>
          <w:lang w:val="es-ES_tradnl" w:eastAsia="es-ES_tradnl"/>
        </w:rPr>
        <w:t xml:space="preserve"> </w:t>
      </w:r>
      <w:r w:rsidRPr="00D65277">
        <w:rPr>
          <w:rFonts w:ascii="Palatino Linotype" w:eastAsia="Calibri" w:hAnsi="Palatino Linotype" w:cs="Tahoma"/>
          <w:iCs/>
          <w:sz w:val="22"/>
          <w:szCs w:val="22"/>
          <w:lang w:val="es-ES_tradnl" w:eastAsia="es-ES_tradnl"/>
        </w:rPr>
        <w:t>Democrática. Permite la alineación necesaria en cuanto a estructura e identificación de objetivos comunes entre los tres</w:t>
      </w:r>
      <w:r>
        <w:rPr>
          <w:rFonts w:ascii="Palatino Linotype" w:eastAsia="Calibri" w:hAnsi="Palatino Linotype" w:cs="Tahoma"/>
          <w:iCs/>
          <w:sz w:val="22"/>
          <w:szCs w:val="22"/>
          <w:lang w:val="es-ES_tradnl" w:eastAsia="es-ES_tradnl"/>
        </w:rPr>
        <w:t xml:space="preserve"> </w:t>
      </w:r>
      <w:r w:rsidRPr="00D65277">
        <w:rPr>
          <w:rFonts w:ascii="Palatino Linotype" w:eastAsia="Calibri" w:hAnsi="Palatino Linotype" w:cs="Tahoma"/>
          <w:iCs/>
          <w:sz w:val="22"/>
          <w:szCs w:val="22"/>
          <w:lang w:val="es-ES_tradnl" w:eastAsia="es-ES_tradnl"/>
        </w:rPr>
        <w:t>órdenes de gobierno. Asimismo, este documento permite evidenciar y establecer la relación inmediata con la sociedad,</w:t>
      </w:r>
      <w:r>
        <w:rPr>
          <w:rFonts w:ascii="Palatino Linotype" w:eastAsia="Calibri" w:hAnsi="Palatino Linotype" w:cs="Tahoma"/>
          <w:iCs/>
          <w:sz w:val="22"/>
          <w:szCs w:val="22"/>
          <w:lang w:val="es-ES_tradnl" w:eastAsia="es-ES_tradnl"/>
        </w:rPr>
        <w:t xml:space="preserve"> con el fin de </w:t>
      </w:r>
      <w:r w:rsidRPr="00D65277">
        <w:rPr>
          <w:rFonts w:ascii="Palatino Linotype" w:eastAsia="Calibri" w:hAnsi="Palatino Linotype" w:cs="Tahoma"/>
          <w:iCs/>
          <w:sz w:val="22"/>
          <w:szCs w:val="22"/>
          <w:lang w:val="es-ES_tradnl" w:eastAsia="es-ES_tradnl"/>
        </w:rPr>
        <w:t>favorec</w:t>
      </w:r>
      <w:r>
        <w:rPr>
          <w:rFonts w:ascii="Palatino Linotype" w:eastAsia="Calibri" w:hAnsi="Palatino Linotype" w:cs="Tahoma"/>
          <w:iCs/>
          <w:sz w:val="22"/>
          <w:szCs w:val="22"/>
          <w:lang w:val="es-ES_tradnl" w:eastAsia="es-ES_tradnl"/>
        </w:rPr>
        <w:t>er</w:t>
      </w:r>
      <w:r w:rsidRPr="00D65277">
        <w:rPr>
          <w:rFonts w:ascii="Palatino Linotype" w:eastAsia="Calibri" w:hAnsi="Palatino Linotype" w:cs="Tahoma"/>
          <w:iCs/>
          <w:sz w:val="22"/>
          <w:szCs w:val="22"/>
          <w:lang w:val="es-ES_tradnl" w:eastAsia="es-ES_tradnl"/>
        </w:rPr>
        <w:t xml:space="preserve"> la eficiencia en el que</w:t>
      </w:r>
      <w:r>
        <w:rPr>
          <w:rFonts w:ascii="Palatino Linotype" w:eastAsia="Calibri" w:hAnsi="Palatino Linotype" w:cs="Tahoma"/>
          <w:iCs/>
          <w:sz w:val="22"/>
          <w:szCs w:val="22"/>
          <w:lang w:val="es-ES_tradnl" w:eastAsia="es-ES_tradnl"/>
        </w:rPr>
        <w:t>h</w:t>
      </w:r>
      <w:r w:rsidRPr="00D65277">
        <w:rPr>
          <w:rFonts w:ascii="Palatino Linotype" w:eastAsia="Calibri" w:hAnsi="Palatino Linotype" w:cs="Tahoma"/>
          <w:iCs/>
          <w:sz w:val="22"/>
          <w:szCs w:val="22"/>
          <w:lang w:val="es-ES_tradnl" w:eastAsia="es-ES_tradnl"/>
        </w:rPr>
        <w:t xml:space="preserve">acer gubernamental, ya que aporta la claridad respecto a las necesidades </w:t>
      </w:r>
      <w:r>
        <w:rPr>
          <w:rFonts w:ascii="Palatino Linotype" w:eastAsia="Calibri" w:hAnsi="Palatino Linotype" w:cs="Tahoma"/>
          <w:iCs/>
          <w:sz w:val="22"/>
          <w:szCs w:val="22"/>
          <w:lang w:val="es-ES_tradnl" w:eastAsia="es-ES_tradnl"/>
        </w:rPr>
        <w:t xml:space="preserve">particulares, </w:t>
      </w:r>
      <w:r w:rsidRPr="00DD3919">
        <w:rPr>
          <w:rFonts w:ascii="Palatino Linotype" w:eastAsia="Calibri" w:hAnsi="Palatino Linotype" w:cs="Tahoma"/>
          <w:iCs/>
          <w:sz w:val="22"/>
          <w:szCs w:val="22"/>
          <w:lang w:val="es-ES_tradnl" w:eastAsia="es-ES_tradnl"/>
        </w:rPr>
        <w:t>situación que prevé la Ley Orgánica</w:t>
      </w:r>
      <w:r w:rsidR="00CD049D">
        <w:rPr>
          <w:rFonts w:ascii="Palatino Linotype" w:eastAsia="Calibri" w:hAnsi="Palatino Linotype" w:cs="Tahoma"/>
          <w:iCs/>
          <w:sz w:val="22"/>
          <w:szCs w:val="22"/>
          <w:lang w:val="es-ES_tradnl" w:eastAsia="es-ES_tradnl"/>
        </w:rPr>
        <w:t xml:space="preserve"> Municipal del Estado de México, en los artículos siguientes:</w:t>
      </w:r>
    </w:p>
    <w:p w14:paraId="3FA97A67" w14:textId="77777777" w:rsidR="00CD049D" w:rsidRPr="00DD3919" w:rsidRDefault="00CD049D" w:rsidP="006A59BC">
      <w:pPr>
        <w:tabs>
          <w:tab w:val="left" w:pos="4962"/>
        </w:tabs>
        <w:spacing w:line="360" w:lineRule="auto"/>
        <w:jc w:val="both"/>
        <w:rPr>
          <w:rFonts w:ascii="Palatino Linotype" w:eastAsia="Calibri" w:hAnsi="Palatino Linotype" w:cs="Tahoma"/>
          <w:iCs/>
          <w:sz w:val="22"/>
          <w:szCs w:val="22"/>
          <w:lang w:val="es-ES_tradnl" w:eastAsia="es-ES_tradnl"/>
        </w:rPr>
      </w:pPr>
    </w:p>
    <w:p w14:paraId="63C98A79" w14:textId="77777777" w:rsidR="00CD049D" w:rsidRPr="00863A1C" w:rsidRDefault="00CD049D" w:rsidP="00CD049D">
      <w:pPr>
        <w:tabs>
          <w:tab w:val="left" w:pos="4962"/>
        </w:tabs>
        <w:spacing w:line="360" w:lineRule="auto"/>
        <w:ind w:left="567" w:right="680"/>
        <w:jc w:val="center"/>
        <w:rPr>
          <w:rFonts w:ascii="Palatino Linotype" w:eastAsia="Calibri" w:hAnsi="Palatino Linotype" w:cs="Tahoma"/>
          <w:b/>
          <w:i/>
          <w:iCs/>
          <w:lang w:val="es-ES_tradnl" w:eastAsia="es-ES_tradnl"/>
        </w:rPr>
      </w:pPr>
      <w:r w:rsidRPr="00863A1C">
        <w:rPr>
          <w:rFonts w:ascii="Palatino Linotype" w:eastAsia="Calibri" w:hAnsi="Palatino Linotype" w:cs="Tahoma"/>
          <w:b/>
          <w:i/>
          <w:iCs/>
          <w:lang w:val="es-ES_tradnl" w:eastAsia="es-ES_tradnl"/>
        </w:rPr>
        <w:t>CAPITULO SEPTIMO</w:t>
      </w:r>
    </w:p>
    <w:p w14:paraId="45D2219E" w14:textId="77777777" w:rsidR="00CD049D" w:rsidRPr="00863A1C" w:rsidRDefault="00CD049D" w:rsidP="00CD049D">
      <w:pPr>
        <w:tabs>
          <w:tab w:val="left" w:pos="4962"/>
        </w:tabs>
        <w:spacing w:line="360" w:lineRule="auto"/>
        <w:ind w:left="567" w:right="680"/>
        <w:jc w:val="center"/>
        <w:rPr>
          <w:rFonts w:ascii="Palatino Linotype" w:eastAsia="Calibri" w:hAnsi="Palatino Linotype" w:cs="Tahoma"/>
          <w:b/>
          <w:i/>
          <w:iCs/>
          <w:lang w:val="es-ES_tradnl" w:eastAsia="es-ES_tradnl"/>
        </w:rPr>
      </w:pPr>
      <w:r w:rsidRPr="00863A1C">
        <w:rPr>
          <w:rFonts w:ascii="Palatino Linotype" w:eastAsia="Calibri" w:hAnsi="Palatino Linotype" w:cs="Tahoma"/>
          <w:b/>
          <w:i/>
          <w:iCs/>
          <w:lang w:val="es-ES_tradnl" w:eastAsia="es-ES_tradnl"/>
        </w:rPr>
        <w:t>Comisión de Planeación para el Desarrollo Municipal</w:t>
      </w:r>
    </w:p>
    <w:p w14:paraId="29608630" w14:textId="77777777" w:rsidR="00CD049D" w:rsidRPr="00863A1C" w:rsidRDefault="00CD049D" w:rsidP="00CD049D">
      <w:pPr>
        <w:tabs>
          <w:tab w:val="left" w:pos="4962"/>
        </w:tabs>
        <w:spacing w:line="360" w:lineRule="auto"/>
        <w:ind w:left="567" w:right="680"/>
        <w:jc w:val="center"/>
        <w:rPr>
          <w:rFonts w:ascii="Palatino Linotype" w:eastAsia="Calibri" w:hAnsi="Palatino Linotype" w:cs="Tahoma"/>
          <w:b/>
          <w:i/>
          <w:iCs/>
          <w:lang w:val="es-ES_tradnl" w:eastAsia="es-ES_tradnl"/>
        </w:rPr>
      </w:pPr>
    </w:p>
    <w:p w14:paraId="7708A677" w14:textId="77777777" w:rsidR="00CD049D" w:rsidRPr="00863A1C" w:rsidRDefault="00CD049D" w:rsidP="00CD049D">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82.-</w:t>
      </w:r>
      <w:r w:rsidRPr="00863A1C">
        <w:rPr>
          <w:rFonts w:ascii="Palatino Linotype" w:eastAsia="Calibri" w:hAnsi="Palatino Linotype" w:cs="Tahoma"/>
          <w:i/>
          <w:iCs/>
          <w:lang w:val="es-ES_tradnl" w:eastAsia="es-ES_tradnl"/>
        </w:rPr>
        <w:t xml:space="preserve"> 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w:t>
      </w:r>
    </w:p>
    <w:p w14:paraId="21E72AEE" w14:textId="77777777" w:rsidR="00CD049D" w:rsidRPr="00863A1C" w:rsidRDefault="00CD049D" w:rsidP="00CD049D">
      <w:pPr>
        <w:tabs>
          <w:tab w:val="left" w:pos="4962"/>
        </w:tabs>
        <w:spacing w:line="360" w:lineRule="auto"/>
        <w:ind w:left="567" w:right="680"/>
        <w:jc w:val="both"/>
        <w:rPr>
          <w:rFonts w:ascii="Palatino Linotype" w:eastAsia="Calibri" w:hAnsi="Palatino Linotype" w:cs="Tahoma"/>
          <w:i/>
          <w:iCs/>
          <w:lang w:val="es-ES_tradnl" w:eastAsia="es-ES_tradnl"/>
        </w:rPr>
      </w:pPr>
    </w:p>
    <w:p w14:paraId="3C669E24" w14:textId="77777777" w:rsidR="00CD049D" w:rsidRPr="00863A1C" w:rsidRDefault="00CD049D" w:rsidP="00CD049D">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83.-</w:t>
      </w:r>
      <w:r w:rsidRPr="00863A1C">
        <w:rPr>
          <w:rFonts w:ascii="Palatino Linotype" w:eastAsia="Calibri" w:hAnsi="Palatino Linotype" w:cs="Tahoma"/>
          <w:i/>
          <w:iCs/>
          <w:lang w:val="es-ES_tradnl" w:eastAsia="es-ES_tradnl"/>
        </w:rPr>
        <w:t xml:space="preserve"> La Comisión de Planeación para el Desarrollo Municipal tendrá las siguientes atribuciones:</w:t>
      </w:r>
    </w:p>
    <w:p w14:paraId="47CD8EF7" w14:textId="77777777" w:rsidR="00CD049D" w:rsidRPr="00863A1C" w:rsidRDefault="00CD049D" w:rsidP="00CD049D">
      <w:pPr>
        <w:tabs>
          <w:tab w:val="left" w:pos="4962"/>
        </w:tabs>
        <w:spacing w:line="360" w:lineRule="auto"/>
        <w:ind w:left="567" w:right="680"/>
        <w:jc w:val="both"/>
        <w:rPr>
          <w:rFonts w:ascii="Palatino Linotype" w:eastAsia="Calibri" w:hAnsi="Palatino Linotype" w:cs="Tahoma"/>
          <w:b/>
          <w:i/>
          <w:iCs/>
          <w:lang w:val="es-ES_tradnl" w:eastAsia="es-ES_tradnl"/>
        </w:rPr>
      </w:pPr>
      <w:r w:rsidRPr="00863A1C">
        <w:rPr>
          <w:rFonts w:ascii="Palatino Linotype" w:eastAsia="Calibri" w:hAnsi="Palatino Linotype" w:cs="Tahoma"/>
          <w:i/>
          <w:iCs/>
          <w:lang w:val="es-ES_tradnl" w:eastAsia="es-ES_tradnl"/>
        </w:rPr>
        <w:t xml:space="preserve">I. </w:t>
      </w:r>
      <w:r w:rsidRPr="00863A1C">
        <w:rPr>
          <w:rFonts w:ascii="Palatino Linotype" w:eastAsia="Calibri" w:hAnsi="Palatino Linotype" w:cs="Tahoma"/>
          <w:i/>
          <w:iCs/>
          <w:u w:val="single"/>
          <w:lang w:val="es-ES_tradnl" w:eastAsia="es-ES_tradnl"/>
        </w:rPr>
        <w:t>Proponer al ayuntamiento los mecanismos, instrumentos o acciones para la formulación, control y evaluación del Plan de Desarrollo Municipal</w:t>
      </w:r>
      <w:r w:rsidRPr="00863A1C">
        <w:rPr>
          <w:rFonts w:ascii="Palatino Linotype" w:eastAsia="Calibri" w:hAnsi="Palatino Linotype" w:cs="Tahoma"/>
          <w:i/>
          <w:iCs/>
          <w:lang w:val="es-ES_tradnl" w:eastAsia="es-ES_tradnl"/>
        </w:rPr>
        <w:t>;</w:t>
      </w:r>
      <w:r w:rsidRPr="00863A1C">
        <w:rPr>
          <w:rFonts w:ascii="Palatino Linotype" w:eastAsia="Calibri" w:hAnsi="Palatino Linotype" w:cs="Tahoma"/>
          <w:i/>
          <w:iCs/>
          <w:lang w:val="es-ES_tradnl" w:eastAsia="es-ES_tradnl"/>
        </w:rPr>
        <w:cr/>
      </w:r>
    </w:p>
    <w:p w14:paraId="33F262F0" w14:textId="77777777" w:rsidR="006A59BC" w:rsidRPr="00863A1C" w:rsidRDefault="006A59BC" w:rsidP="006A59BC">
      <w:pPr>
        <w:tabs>
          <w:tab w:val="left" w:pos="4962"/>
        </w:tabs>
        <w:spacing w:line="360" w:lineRule="auto"/>
        <w:ind w:left="567" w:right="680"/>
        <w:jc w:val="center"/>
        <w:rPr>
          <w:rFonts w:ascii="Palatino Linotype" w:eastAsia="Calibri" w:hAnsi="Palatino Linotype" w:cs="Tahoma"/>
          <w:b/>
          <w:i/>
          <w:iCs/>
          <w:lang w:val="es-ES_tradnl" w:eastAsia="es-ES_tradnl"/>
        </w:rPr>
      </w:pPr>
      <w:r w:rsidRPr="00863A1C">
        <w:rPr>
          <w:rFonts w:ascii="Palatino Linotype" w:eastAsia="Calibri" w:hAnsi="Palatino Linotype" w:cs="Tahoma"/>
          <w:b/>
          <w:i/>
          <w:iCs/>
          <w:lang w:val="es-ES_tradnl" w:eastAsia="es-ES_tradnl"/>
        </w:rPr>
        <w:t>CAPITULO QUINTO</w:t>
      </w:r>
    </w:p>
    <w:p w14:paraId="74CA566B" w14:textId="77777777" w:rsidR="006A59BC" w:rsidRPr="00863A1C" w:rsidRDefault="006A59BC" w:rsidP="006A59BC">
      <w:pPr>
        <w:tabs>
          <w:tab w:val="left" w:pos="4962"/>
        </w:tabs>
        <w:spacing w:line="360" w:lineRule="auto"/>
        <w:ind w:left="567" w:right="680"/>
        <w:jc w:val="center"/>
        <w:rPr>
          <w:rFonts w:ascii="Palatino Linotype" w:eastAsia="Calibri" w:hAnsi="Palatino Linotype" w:cs="Tahoma"/>
          <w:b/>
          <w:i/>
          <w:iCs/>
          <w:lang w:val="es-ES_tradnl" w:eastAsia="es-ES_tradnl"/>
        </w:rPr>
      </w:pPr>
      <w:r w:rsidRPr="00863A1C">
        <w:rPr>
          <w:rFonts w:ascii="Palatino Linotype" w:eastAsia="Calibri" w:hAnsi="Palatino Linotype" w:cs="Tahoma"/>
          <w:b/>
          <w:i/>
          <w:iCs/>
          <w:lang w:val="es-ES_tradnl" w:eastAsia="es-ES_tradnl"/>
        </w:rPr>
        <w:t>De la Planeación</w:t>
      </w:r>
    </w:p>
    <w:p w14:paraId="116240C8"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114.-</w:t>
      </w:r>
      <w:r w:rsidRPr="00863A1C">
        <w:rPr>
          <w:rFonts w:ascii="Palatino Linotype" w:eastAsia="Calibri" w:hAnsi="Palatino Linotype" w:cs="Tahoma"/>
          <w:i/>
          <w:iCs/>
          <w:lang w:val="es-ES_tradnl" w:eastAsia="es-ES_tradnl"/>
        </w:rPr>
        <w:t xml:space="preserve"> </w:t>
      </w:r>
      <w:r w:rsidRPr="00863A1C">
        <w:rPr>
          <w:rFonts w:ascii="Palatino Linotype" w:eastAsia="Calibri" w:hAnsi="Palatino Linotype" w:cs="Tahoma"/>
          <w:i/>
          <w:iCs/>
          <w:u w:val="single"/>
          <w:lang w:val="es-ES_tradnl" w:eastAsia="es-ES_tradnl"/>
        </w:rPr>
        <w:t>Cada ayuntamiento elaborará su plan de desarrollo municipal y los programas de trabajo necesarios para su ejecución en forma democrática y participativa</w:t>
      </w:r>
      <w:r w:rsidRPr="00863A1C">
        <w:rPr>
          <w:rFonts w:ascii="Palatino Linotype" w:eastAsia="Calibri" w:hAnsi="Palatino Linotype" w:cs="Tahoma"/>
          <w:i/>
          <w:iCs/>
          <w:lang w:val="es-ES_tradnl" w:eastAsia="es-ES_tradnl"/>
        </w:rPr>
        <w:t>.</w:t>
      </w:r>
    </w:p>
    <w:p w14:paraId="015C0084"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418C82D9"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115.- La formulación, aprobación, ejecución, control y evaluación</w:t>
      </w:r>
      <w:r w:rsidRPr="00863A1C">
        <w:rPr>
          <w:rFonts w:ascii="Palatino Linotype" w:eastAsia="Calibri" w:hAnsi="Palatino Linotype" w:cs="Tahoma"/>
          <w:i/>
          <w:iCs/>
          <w:lang w:val="es-ES_tradnl" w:eastAsia="es-ES_tradnl"/>
        </w:rPr>
        <w:t xml:space="preserve"> del plan y programas municipales estarán a cargo de los órganos, dependencias o servidores públicos que determinen los ayuntamientos, conforme a las normas legales de la materia y las que cada cabildo determine. </w:t>
      </w:r>
    </w:p>
    <w:p w14:paraId="46848FD5"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668EAAE1"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 xml:space="preserve">Artículo 116.- </w:t>
      </w:r>
      <w:r w:rsidRPr="00863A1C">
        <w:rPr>
          <w:rFonts w:ascii="Palatino Linotype" w:eastAsia="Calibri" w:hAnsi="Palatino Linotype" w:cs="Tahoma"/>
          <w:i/>
          <w:iCs/>
          <w:lang w:val="es-ES_tradnl" w:eastAsia="es-ES_tradnl"/>
        </w:rPr>
        <w:t xml:space="preserve">El Plan de Desarrollo Municipal </w:t>
      </w:r>
      <w:r w:rsidRPr="00863A1C">
        <w:rPr>
          <w:rFonts w:ascii="Palatino Linotype" w:eastAsia="Calibri" w:hAnsi="Palatino Linotype" w:cs="Tahoma"/>
          <w:b/>
          <w:i/>
          <w:iCs/>
          <w:u w:val="single"/>
          <w:lang w:val="es-ES_tradnl" w:eastAsia="es-ES_tradnl"/>
        </w:rPr>
        <w:t>deberá ser elaborado, aprobado y publicado, dentro de los primeros tres meses de la gestión municipal</w:t>
      </w:r>
      <w:r w:rsidRPr="00863A1C">
        <w:rPr>
          <w:rFonts w:ascii="Palatino Linotype" w:eastAsia="Calibri" w:hAnsi="Palatino Linotype" w:cs="Tahoma"/>
          <w:i/>
          <w:iCs/>
          <w:lang w:val="es-ES_tradnl" w:eastAsia="es-ES_tradnl"/>
        </w:rPr>
        <w:t>. Su evaluación deberá realizarse anualmente; y en caso de no hacerse se hará acreedor a las sanciones de las dependencias normativas en el ámbito de su competencia.</w:t>
      </w:r>
    </w:p>
    <w:p w14:paraId="0A3E650A"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16B6E84F"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117</w:t>
      </w:r>
      <w:r w:rsidRPr="00863A1C">
        <w:rPr>
          <w:rFonts w:ascii="Palatino Linotype" w:eastAsia="Calibri" w:hAnsi="Palatino Linotype" w:cs="Tahoma"/>
          <w:i/>
          <w:iCs/>
          <w:lang w:val="es-ES_tradnl" w:eastAsia="es-ES_tradnl"/>
        </w:rPr>
        <w:t xml:space="preserve">.- El Plan de Desarrollo Municipal tendrá los objetivos siguientes: </w:t>
      </w:r>
    </w:p>
    <w:p w14:paraId="01FAD09B"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i/>
          <w:iCs/>
          <w:lang w:val="es-ES_tradnl" w:eastAsia="es-ES_tradnl"/>
        </w:rPr>
        <w:t xml:space="preserve">I. Atender las demandas prioritarias de la población; </w:t>
      </w:r>
    </w:p>
    <w:p w14:paraId="0E217CBD"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i/>
          <w:iCs/>
          <w:lang w:val="es-ES_tradnl" w:eastAsia="es-ES_tradnl"/>
        </w:rPr>
        <w:t>II. Propiciar el desarrollo armónico del municipio;</w:t>
      </w:r>
    </w:p>
    <w:p w14:paraId="35BB1B81"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i/>
          <w:iCs/>
          <w:lang w:val="es-ES_tradnl" w:eastAsia="es-ES_tradnl"/>
        </w:rPr>
        <w:t xml:space="preserve">III. Asegurar la participación de la sociedad en las acciones del gobierno municipal; </w:t>
      </w:r>
    </w:p>
    <w:p w14:paraId="661B0139"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i/>
          <w:iCs/>
          <w:lang w:val="es-ES_tradnl" w:eastAsia="es-ES_tradnl"/>
        </w:rPr>
        <w:t xml:space="preserve">IV. Vincular el Plan de Desarrollo Municipal con los planes de desarrollo federal y estatal; </w:t>
      </w:r>
    </w:p>
    <w:p w14:paraId="350ACDFC"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i/>
          <w:iCs/>
          <w:lang w:val="es-ES_tradnl" w:eastAsia="es-ES_tradnl"/>
        </w:rPr>
        <w:t xml:space="preserve">V. Aplicar de manera racional los recursos financieros para el cumplimiento del plan y los programas de desarrollo. </w:t>
      </w:r>
    </w:p>
    <w:p w14:paraId="7A8D140F"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114789A6"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b/>
          <w:i/>
          <w:iCs/>
          <w:u w:val="single"/>
          <w:lang w:val="es-ES_tradnl" w:eastAsia="es-ES_tradnl"/>
        </w:rPr>
      </w:pPr>
      <w:r w:rsidRPr="00863A1C">
        <w:rPr>
          <w:rFonts w:ascii="Palatino Linotype" w:eastAsia="Calibri" w:hAnsi="Palatino Linotype" w:cs="Tahoma"/>
          <w:b/>
          <w:i/>
          <w:iCs/>
          <w:lang w:val="es-ES_tradnl" w:eastAsia="es-ES_tradnl"/>
        </w:rPr>
        <w:t>Artículo 118.-</w:t>
      </w:r>
      <w:r w:rsidRPr="00863A1C">
        <w:rPr>
          <w:rFonts w:ascii="Palatino Linotype" w:eastAsia="Calibri" w:hAnsi="Palatino Linotype" w:cs="Tahoma"/>
          <w:i/>
          <w:iCs/>
          <w:lang w:val="es-ES_tradnl" w:eastAsia="es-ES_tradnl"/>
        </w:rPr>
        <w:t xml:space="preserve"> El Plan de Desarrollo Municipal contendrá al menos, un diagnóstico </w:t>
      </w:r>
      <w:r w:rsidRPr="00863A1C">
        <w:rPr>
          <w:rFonts w:ascii="Palatino Linotype" w:eastAsia="Calibri" w:hAnsi="Palatino Linotype" w:cs="Tahoma"/>
          <w:b/>
          <w:i/>
          <w:iCs/>
          <w:u w:val="single"/>
          <w:lang w:val="es-ES_tradnl" w:eastAsia="es-ES_tradnl"/>
        </w:rPr>
        <w:t xml:space="preserve">sobre las condiciones económicas y sociales del municipio, las metas a alcanzar, las estrategias a seguir, los plazos de ejecución, las dependencias y organismos responsables de su cumplimiento y las bases de coordinación y concertación que se requieren para su cumplimiento. </w:t>
      </w:r>
    </w:p>
    <w:p w14:paraId="00786513"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25CA2D1F"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119.-</w:t>
      </w:r>
      <w:r w:rsidRPr="00863A1C">
        <w:rPr>
          <w:rFonts w:ascii="Palatino Linotype" w:eastAsia="Calibri" w:hAnsi="Palatino Linotype" w:cs="Tahoma"/>
          <w:i/>
          <w:iCs/>
          <w:lang w:val="es-ES_tradnl" w:eastAsia="es-ES_tradnl"/>
        </w:rPr>
        <w:t xml:space="preserve"> El Plan de Desarrollo Municipal se complementará con programas anuales sectoriales de la administración municipal y con programas especiales de los organismos desconcentrados y descentralizados de carácter municipal. </w:t>
      </w:r>
    </w:p>
    <w:p w14:paraId="5831BFF9"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079EA444"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120.-</w:t>
      </w:r>
      <w:r w:rsidRPr="00863A1C">
        <w:rPr>
          <w:rFonts w:ascii="Palatino Linotype" w:eastAsia="Calibri" w:hAnsi="Palatino Linotype" w:cs="Tahoma"/>
          <w:i/>
          <w:iCs/>
          <w:lang w:val="es-ES_tradnl" w:eastAsia="es-ES_tradnl"/>
        </w:rPr>
        <w:t xml:space="preserve"> En la elaboración de su Plan de Desarrollo Municipal, </w:t>
      </w:r>
      <w:r w:rsidRPr="00863A1C">
        <w:rPr>
          <w:rFonts w:ascii="Palatino Linotype" w:eastAsia="Calibri" w:hAnsi="Palatino Linotype" w:cs="Tahoma"/>
          <w:b/>
          <w:i/>
          <w:iCs/>
          <w:u w:val="single"/>
          <w:lang w:val="es-ES_tradnl" w:eastAsia="es-ES_tradnl"/>
        </w:rPr>
        <w:t>los ayuntamientos proveerán lo necesario para promover la participación y consulta populares</w:t>
      </w:r>
      <w:r w:rsidRPr="00863A1C">
        <w:rPr>
          <w:rFonts w:ascii="Palatino Linotype" w:eastAsia="Calibri" w:hAnsi="Palatino Linotype" w:cs="Tahoma"/>
          <w:i/>
          <w:iCs/>
          <w:lang w:val="es-ES_tradnl" w:eastAsia="es-ES_tradnl"/>
        </w:rPr>
        <w:t xml:space="preserve">. </w:t>
      </w:r>
    </w:p>
    <w:p w14:paraId="6C10769A"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p>
    <w:p w14:paraId="4EA2F119"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 xml:space="preserve">Artículo 121.- </w:t>
      </w:r>
      <w:r w:rsidRPr="00863A1C">
        <w:rPr>
          <w:rFonts w:ascii="Palatino Linotype" w:eastAsia="Calibri" w:hAnsi="Palatino Linotype" w:cs="Tahoma"/>
          <w:i/>
          <w:iCs/>
          <w:lang w:val="es-ES_tradnl" w:eastAsia="es-ES_tradnl"/>
        </w:rPr>
        <w:t xml:space="preserve">Los ayuntamientos publicarán su Plan de Desarrollo Municipal a través de la Gaceta Municipal y de los estrados de los Ayuntamientos durante el primer año de gestión y lo difundirán en forma extensa. </w:t>
      </w:r>
    </w:p>
    <w:p w14:paraId="410DD01D" w14:textId="77777777" w:rsidR="006A59BC" w:rsidRPr="00863A1C" w:rsidRDefault="006A59BC" w:rsidP="006A59BC">
      <w:pPr>
        <w:tabs>
          <w:tab w:val="left" w:pos="4962"/>
        </w:tabs>
        <w:spacing w:line="360" w:lineRule="auto"/>
        <w:ind w:left="567" w:right="680"/>
        <w:jc w:val="both"/>
        <w:rPr>
          <w:rFonts w:ascii="Palatino Linotype" w:eastAsia="Calibri" w:hAnsi="Palatino Linotype" w:cs="Tahoma"/>
          <w:i/>
          <w:iCs/>
          <w:lang w:val="es-ES_tradnl" w:eastAsia="es-ES_tradnl"/>
        </w:rPr>
      </w:pPr>
      <w:r w:rsidRPr="00863A1C">
        <w:rPr>
          <w:rFonts w:ascii="Palatino Linotype" w:eastAsia="Calibri" w:hAnsi="Palatino Linotype" w:cs="Tahoma"/>
          <w:b/>
          <w:i/>
          <w:iCs/>
          <w:lang w:val="es-ES_tradnl" w:eastAsia="es-ES_tradnl"/>
        </w:rPr>
        <w:t>Artículo 122.-</w:t>
      </w:r>
      <w:r w:rsidRPr="00863A1C">
        <w:rPr>
          <w:rFonts w:ascii="Palatino Linotype" w:eastAsia="Calibri" w:hAnsi="Palatino Linotype" w:cs="Tahoma"/>
          <w:i/>
          <w:iCs/>
          <w:lang w:val="es-ES_tradnl" w:eastAsia="es-ES_tradnl"/>
        </w:rPr>
        <w:t xml:space="preserve"> El Plan de Desarrollo y los programas que de éste se deriven, serán obligatorios para las dependencias de la administración pública municipal, y en general para las entidades públicas de carácter municipal. Los planes y programas podrán ser modificados o suspendidos siguiendo el mismo procedimiento que para su elaboración, aprobación y publicación, cuando lo demande el interés social o lo requieran las circunstancias de tipo técnico o económico.</w:t>
      </w:r>
    </w:p>
    <w:p w14:paraId="49F5AD65" w14:textId="77777777" w:rsidR="006A59BC" w:rsidRPr="00DD3919" w:rsidRDefault="006A59BC" w:rsidP="006A59BC">
      <w:pPr>
        <w:tabs>
          <w:tab w:val="left" w:pos="4962"/>
        </w:tabs>
        <w:spacing w:line="360" w:lineRule="auto"/>
        <w:ind w:left="567" w:right="680"/>
        <w:jc w:val="both"/>
        <w:rPr>
          <w:rFonts w:ascii="Palatino Linotype" w:eastAsia="Calibri" w:hAnsi="Palatino Linotype" w:cs="Tahoma"/>
          <w:iCs/>
          <w:lang w:val="es-ES_tradnl" w:eastAsia="es-ES_tradnl"/>
        </w:rPr>
      </w:pPr>
    </w:p>
    <w:p w14:paraId="7109D2C1" w14:textId="77777777" w:rsidR="006A59BC" w:rsidRDefault="006A59BC" w:rsidP="00CD049D">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De lo expuesto, podemos advertir qu</w:t>
      </w:r>
      <w:r w:rsidR="00CD049D">
        <w:rPr>
          <w:rFonts w:ascii="Palatino Linotype" w:eastAsia="Calibri" w:hAnsi="Palatino Linotype" w:cs="Tahoma"/>
          <w:iCs/>
          <w:sz w:val="22"/>
          <w:szCs w:val="22"/>
          <w:lang w:val="es-ES_tradnl" w:eastAsia="es-ES_tradnl"/>
        </w:rPr>
        <w:t>e el Ayuntamiento de Rayón tiene la obligación de elaborar el Plan de Desarrollo Municipal dentro de los primeros tres meses de cada administración</w:t>
      </w:r>
      <w:r w:rsidR="002229C6">
        <w:rPr>
          <w:rFonts w:ascii="Palatino Linotype" w:eastAsia="Calibri" w:hAnsi="Palatino Linotype" w:cs="Tahoma"/>
          <w:iCs/>
          <w:sz w:val="22"/>
          <w:szCs w:val="22"/>
          <w:lang w:val="es-ES_tradnl" w:eastAsia="es-ES_tradnl"/>
        </w:rPr>
        <w:t xml:space="preserve">, para lo cual deberán proveer lo necesario para promover la participación y consulta populares, es decir, tomar en cuenta a la ciudadanía y su opinión para la elaboración de </w:t>
      </w:r>
      <w:proofErr w:type="gramStart"/>
      <w:r w:rsidR="002229C6">
        <w:rPr>
          <w:rFonts w:ascii="Palatino Linotype" w:eastAsia="Calibri" w:hAnsi="Palatino Linotype" w:cs="Tahoma"/>
          <w:iCs/>
          <w:sz w:val="22"/>
          <w:szCs w:val="22"/>
          <w:lang w:val="es-ES_tradnl" w:eastAsia="es-ES_tradnl"/>
        </w:rPr>
        <w:t>dicho documentos</w:t>
      </w:r>
      <w:proofErr w:type="gramEnd"/>
      <w:r w:rsidR="002229C6">
        <w:rPr>
          <w:rFonts w:ascii="Palatino Linotype" w:eastAsia="Calibri" w:hAnsi="Palatino Linotype" w:cs="Tahoma"/>
          <w:iCs/>
          <w:sz w:val="22"/>
          <w:szCs w:val="22"/>
          <w:lang w:val="es-ES_tradnl" w:eastAsia="es-ES_tradnl"/>
        </w:rPr>
        <w:t>.</w:t>
      </w:r>
    </w:p>
    <w:p w14:paraId="20E738DE" w14:textId="77777777" w:rsidR="002229C6" w:rsidRDefault="002229C6" w:rsidP="00CD049D">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617D4EC6" w14:textId="77777777" w:rsidR="002229C6" w:rsidRDefault="002229C6" w:rsidP="002229C6">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2229C6">
        <w:rPr>
          <w:rFonts w:ascii="Palatino Linotype" w:eastAsia="Calibri" w:hAnsi="Palatino Linotype" w:cs="Tahoma"/>
          <w:iCs/>
          <w:sz w:val="22"/>
          <w:szCs w:val="22"/>
          <w:lang w:val="es-ES_tradnl" w:eastAsia="es-ES_tradnl"/>
        </w:rPr>
        <w:t xml:space="preserve">Asimismo, el Ayuntamiento debe contar con la Comisión de Planeación para el Desarrollo Municipal, que se integrará con ciudadanos distinguidos del municipio, representativos de los sectores público, social y privado, </w:t>
      </w:r>
      <w:r>
        <w:rPr>
          <w:rFonts w:ascii="Palatino Linotype" w:eastAsia="Calibri" w:hAnsi="Palatino Linotype" w:cs="Tahoma"/>
          <w:iCs/>
          <w:sz w:val="22"/>
          <w:szCs w:val="22"/>
          <w:lang w:val="es-ES_tradnl" w:eastAsia="es-ES_tradnl"/>
        </w:rPr>
        <w:t xml:space="preserve">la cual tiene la atribución de </w:t>
      </w:r>
      <w:r w:rsidRPr="002229C6">
        <w:rPr>
          <w:rFonts w:ascii="Palatino Linotype" w:eastAsia="Calibri" w:hAnsi="Palatino Linotype" w:cs="Tahoma"/>
          <w:iCs/>
          <w:sz w:val="22"/>
          <w:szCs w:val="22"/>
          <w:lang w:val="es-ES_tradnl" w:eastAsia="es-ES_tradnl"/>
        </w:rPr>
        <w:t>proponer al ayuntamiento los mecanismos, instrumentos o acciones para la formulación, control y evaluación de</w:t>
      </w:r>
      <w:r>
        <w:rPr>
          <w:rFonts w:ascii="Palatino Linotype" w:eastAsia="Calibri" w:hAnsi="Palatino Linotype" w:cs="Tahoma"/>
          <w:iCs/>
          <w:sz w:val="22"/>
          <w:szCs w:val="22"/>
          <w:lang w:val="es-ES_tradnl" w:eastAsia="es-ES_tradnl"/>
        </w:rPr>
        <w:t>l Plan de Desarrollo Municipal</w:t>
      </w:r>
      <w:r w:rsidR="00C436E3">
        <w:rPr>
          <w:rFonts w:ascii="Palatino Linotype" w:eastAsia="Calibri" w:hAnsi="Palatino Linotype" w:cs="Tahoma"/>
          <w:iCs/>
          <w:sz w:val="22"/>
          <w:szCs w:val="22"/>
          <w:lang w:val="es-ES_tradnl" w:eastAsia="es-ES_tradnl"/>
        </w:rPr>
        <w:t>.</w:t>
      </w:r>
    </w:p>
    <w:p w14:paraId="1F43EFA1" w14:textId="77777777" w:rsidR="00C436E3" w:rsidRDefault="00C436E3" w:rsidP="002229C6">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0C4CA3F8" w14:textId="77777777" w:rsidR="00C436E3" w:rsidRDefault="00C436E3" w:rsidP="002229C6">
      <w:pPr>
        <w:tabs>
          <w:tab w:val="left" w:pos="8931"/>
        </w:tabs>
        <w:spacing w:line="360" w:lineRule="auto"/>
        <w:ind w:right="-28"/>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_tradnl" w:eastAsia="es-ES_tradnl"/>
        </w:rPr>
        <w:t xml:space="preserve">Por su parte, la Ley de Planeación del Estado de México y Municipios, en su artículo 19 determina que compete a los ayuntamientos, en materia de planeación democrática para el desarrollo, </w:t>
      </w:r>
      <w:r>
        <w:rPr>
          <w:rFonts w:ascii="Palatino Linotype" w:eastAsia="Calibri" w:hAnsi="Palatino Linotype" w:cs="Tahoma"/>
          <w:iCs/>
          <w:sz w:val="22"/>
          <w:szCs w:val="22"/>
          <w:lang w:eastAsia="es-ES_tradnl"/>
        </w:rPr>
        <w:t>e</w:t>
      </w:r>
      <w:r w:rsidRPr="00C436E3">
        <w:rPr>
          <w:rFonts w:ascii="Palatino Linotype" w:eastAsia="Calibri" w:hAnsi="Palatino Linotype" w:cs="Tahoma"/>
          <w:iCs/>
          <w:sz w:val="22"/>
          <w:szCs w:val="22"/>
          <w:lang w:eastAsia="es-ES_tradnl"/>
        </w:rPr>
        <w:t>laborar, aprobar, ejecutar, dar seguimiento, evaluar y el control del Plan de Desarrollo Municipal y sus programas</w:t>
      </w:r>
      <w:r>
        <w:rPr>
          <w:rFonts w:ascii="Palatino Linotype" w:eastAsia="Calibri" w:hAnsi="Palatino Linotype" w:cs="Tahoma"/>
          <w:iCs/>
          <w:sz w:val="22"/>
          <w:szCs w:val="22"/>
          <w:lang w:eastAsia="es-ES_tradnl"/>
        </w:rPr>
        <w:t>.</w:t>
      </w:r>
    </w:p>
    <w:p w14:paraId="733B2893" w14:textId="77777777" w:rsidR="00C436E3" w:rsidRDefault="00C436E3" w:rsidP="002229C6">
      <w:pPr>
        <w:tabs>
          <w:tab w:val="left" w:pos="8931"/>
        </w:tabs>
        <w:spacing w:line="360" w:lineRule="auto"/>
        <w:ind w:right="-28"/>
        <w:jc w:val="both"/>
        <w:rPr>
          <w:rFonts w:ascii="Palatino Linotype" w:eastAsia="Calibri" w:hAnsi="Palatino Linotype" w:cs="Tahoma"/>
          <w:iCs/>
          <w:sz w:val="22"/>
          <w:szCs w:val="22"/>
          <w:lang w:eastAsia="es-ES_tradnl"/>
        </w:rPr>
      </w:pPr>
    </w:p>
    <w:p w14:paraId="3F90742E" w14:textId="77777777" w:rsidR="00C436E3" w:rsidRDefault="00C436E3" w:rsidP="002229C6">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eastAsia="es-ES_tradnl"/>
        </w:rPr>
        <w:t xml:space="preserve">Asimismo, el artículo 24 del Reglamento de </w:t>
      </w:r>
      <w:r>
        <w:rPr>
          <w:rFonts w:ascii="Palatino Linotype" w:eastAsia="Calibri" w:hAnsi="Palatino Linotype" w:cs="Tahoma"/>
          <w:iCs/>
          <w:sz w:val="22"/>
          <w:szCs w:val="22"/>
          <w:lang w:val="es-ES_tradnl" w:eastAsia="es-ES_tradnl"/>
        </w:rPr>
        <w:t>la Ley de Planeación del Estado de México y Municipios, determina:</w:t>
      </w:r>
    </w:p>
    <w:p w14:paraId="23C5EE64" w14:textId="77777777" w:rsidR="00C436E3" w:rsidRDefault="00C436E3" w:rsidP="002229C6">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7B573875"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b/>
          <w:i/>
          <w:iCs/>
          <w:szCs w:val="22"/>
          <w:lang w:eastAsia="es-ES_tradnl"/>
        </w:rPr>
        <w:t>Artículo 24.-</w:t>
      </w:r>
      <w:r w:rsidRPr="00C436E3">
        <w:rPr>
          <w:rFonts w:ascii="Palatino Linotype" w:eastAsia="Calibri" w:hAnsi="Palatino Linotype" w:cs="Tahoma"/>
          <w:i/>
          <w:iCs/>
          <w:szCs w:val="22"/>
          <w:lang w:eastAsia="es-ES_tradnl"/>
        </w:rPr>
        <w:t xml:space="preserve"> </w:t>
      </w:r>
      <w:r w:rsidRPr="00863A1C">
        <w:rPr>
          <w:rFonts w:ascii="Palatino Linotype" w:eastAsia="Calibri" w:hAnsi="Palatino Linotype" w:cs="Tahoma"/>
          <w:b/>
          <w:i/>
          <w:iCs/>
          <w:szCs w:val="22"/>
          <w:lang w:eastAsia="es-ES_tradnl"/>
        </w:rPr>
        <w:t>Para la elaboración</w:t>
      </w:r>
      <w:r w:rsidRPr="00C436E3">
        <w:rPr>
          <w:rFonts w:ascii="Palatino Linotype" w:eastAsia="Calibri" w:hAnsi="Palatino Linotype" w:cs="Tahoma"/>
          <w:i/>
          <w:iCs/>
          <w:szCs w:val="22"/>
          <w:lang w:eastAsia="es-ES_tradnl"/>
        </w:rPr>
        <w:t xml:space="preserve"> e integración de los planes y programas en los términos que señala la Ley y el presente Reglamento, </w:t>
      </w:r>
      <w:r w:rsidRPr="00863A1C">
        <w:rPr>
          <w:rFonts w:ascii="Palatino Linotype" w:eastAsia="Calibri" w:hAnsi="Palatino Linotype" w:cs="Tahoma"/>
          <w:b/>
          <w:i/>
          <w:iCs/>
          <w:szCs w:val="22"/>
          <w:lang w:eastAsia="es-ES_tradnl"/>
        </w:rPr>
        <w:t>los mecanismos e instrumentos de participación social</w:t>
      </w:r>
      <w:r w:rsidRPr="00C436E3">
        <w:rPr>
          <w:rFonts w:ascii="Palatino Linotype" w:eastAsia="Calibri" w:hAnsi="Palatino Linotype" w:cs="Tahoma"/>
          <w:i/>
          <w:iCs/>
          <w:szCs w:val="22"/>
          <w:lang w:eastAsia="es-ES_tradnl"/>
        </w:rPr>
        <w:t xml:space="preserve"> </w:t>
      </w:r>
      <w:r w:rsidRPr="00863A1C">
        <w:rPr>
          <w:rFonts w:ascii="Palatino Linotype" w:eastAsia="Calibri" w:hAnsi="Palatino Linotype" w:cs="Tahoma"/>
          <w:b/>
          <w:i/>
          <w:iCs/>
          <w:szCs w:val="22"/>
          <w:lang w:eastAsia="es-ES_tradnl"/>
        </w:rPr>
        <w:t>a través de los cuales se podrá captar y considerar las propuestas y aportaciones de la sociedad</w:t>
      </w:r>
      <w:r w:rsidRPr="00C436E3">
        <w:rPr>
          <w:rFonts w:ascii="Palatino Linotype" w:eastAsia="Calibri" w:hAnsi="Palatino Linotype" w:cs="Tahoma"/>
          <w:i/>
          <w:iCs/>
          <w:szCs w:val="22"/>
          <w:lang w:eastAsia="es-ES_tradnl"/>
        </w:rPr>
        <w:t xml:space="preserve"> en el proceso de planeación del desarrollo podrán ser: </w:t>
      </w:r>
    </w:p>
    <w:p w14:paraId="5C1DE14E"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 xml:space="preserve">I. Foros temáticos abiertos; </w:t>
      </w:r>
    </w:p>
    <w:p w14:paraId="01595078"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 xml:space="preserve">II. Foros regionales abiertos; </w:t>
      </w:r>
    </w:p>
    <w:p w14:paraId="5A70CAFB"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 xml:space="preserve">III. Encuestas y sondeos de opinión; </w:t>
      </w:r>
    </w:p>
    <w:p w14:paraId="3427F2A6"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 xml:space="preserve">IV. Buzones de opinión ciudadana; </w:t>
      </w:r>
    </w:p>
    <w:p w14:paraId="7B94AC15" w14:textId="77777777" w:rsidR="00863A1C"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 xml:space="preserve">V. Estudios e investigaciones académicas y sociales; </w:t>
      </w:r>
    </w:p>
    <w:p w14:paraId="119AA368" w14:textId="77777777" w:rsidR="00C436E3" w:rsidRDefault="00C436E3"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C436E3">
        <w:rPr>
          <w:rFonts w:ascii="Palatino Linotype" w:eastAsia="Calibri" w:hAnsi="Palatino Linotype" w:cs="Tahoma"/>
          <w:i/>
          <w:iCs/>
          <w:szCs w:val="22"/>
          <w:lang w:eastAsia="es-ES_tradnl"/>
        </w:rPr>
        <w:t>VI. Registro de demandas de campaña;</w:t>
      </w:r>
    </w:p>
    <w:p w14:paraId="747B9755" w14:textId="77777777" w:rsidR="00863A1C" w:rsidRDefault="00863A1C"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863A1C">
        <w:rPr>
          <w:rFonts w:ascii="Palatino Linotype" w:eastAsia="Calibri" w:hAnsi="Palatino Linotype" w:cs="Tahoma"/>
          <w:i/>
          <w:iCs/>
          <w:szCs w:val="22"/>
          <w:lang w:eastAsia="es-ES_tradnl"/>
        </w:rPr>
        <w:t xml:space="preserve">VII. Consulta popular a través de medios electrónicos; y </w:t>
      </w:r>
    </w:p>
    <w:p w14:paraId="44698DD1" w14:textId="77777777" w:rsidR="004D0A3B" w:rsidRDefault="00863A1C" w:rsidP="00C436E3">
      <w:pPr>
        <w:tabs>
          <w:tab w:val="left" w:pos="8931"/>
        </w:tabs>
        <w:spacing w:line="360" w:lineRule="auto"/>
        <w:ind w:left="567" w:right="567"/>
        <w:jc w:val="both"/>
        <w:rPr>
          <w:rFonts w:ascii="Palatino Linotype" w:eastAsia="Calibri" w:hAnsi="Palatino Linotype" w:cs="Tahoma"/>
          <w:i/>
          <w:iCs/>
          <w:szCs w:val="22"/>
          <w:lang w:eastAsia="es-ES_tradnl"/>
        </w:rPr>
      </w:pPr>
      <w:r w:rsidRPr="00863A1C">
        <w:rPr>
          <w:rFonts w:ascii="Palatino Linotype" w:eastAsia="Calibri" w:hAnsi="Palatino Linotype" w:cs="Tahoma"/>
          <w:i/>
          <w:iCs/>
          <w:szCs w:val="22"/>
          <w:lang w:eastAsia="es-ES_tradnl"/>
        </w:rPr>
        <w:t xml:space="preserve">VIII. Recepción de documentos y propuestas en las instancias auxiliares del COPLADEM. </w:t>
      </w:r>
    </w:p>
    <w:p w14:paraId="2072612C" w14:textId="77777777" w:rsidR="00863A1C" w:rsidRPr="00C436E3" w:rsidRDefault="00863A1C" w:rsidP="00C436E3">
      <w:pPr>
        <w:tabs>
          <w:tab w:val="left" w:pos="8931"/>
        </w:tabs>
        <w:spacing w:line="360" w:lineRule="auto"/>
        <w:ind w:left="567" w:right="567"/>
        <w:jc w:val="both"/>
        <w:rPr>
          <w:rFonts w:ascii="Palatino Linotype" w:eastAsia="Calibri" w:hAnsi="Palatino Linotype" w:cs="Tahoma"/>
          <w:i/>
          <w:iCs/>
          <w:szCs w:val="22"/>
          <w:lang w:val="es-ES_tradnl" w:eastAsia="es-ES_tradnl"/>
        </w:rPr>
      </w:pPr>
      <w:r w:rsidRPr="00863A1C">
        <w:rPr>
          <w:rFonts w:ascii="Palatino Linotype" w:eastAsia="Calibri" w:hAnsi="Palatino Linotype" w:cs="Tahoma"/>
          <w:i/>
          <w:iCs/>
          <w:szCs w:val="22"/>
          <w:lang w:eastAsia="es-ES_tradnl"/>
        </w:rPr>
        <w:t>Con los resultados, se integrará un expediente o memoria que contendrá su correspondiente registro, análisis y conclusiones, las que deberán incorporarse y ser parte del plan.</w:t>
      </w:r>
    </w:p>
    <w:p w14:paraId="5F068B15" w14:textId="77777777" w:rsidR="002934DF" w:rsidRDefault="002934DF" w:rsidP="0090360E">
      <w:pPr>
        <w:tabs>
          <w:tab w:val="left" w:pos="4962"/>
        </w:tabs>
        <w:spacing w:line="360" w:lineRule="auto"/>
        <w:jc w:val="both"/>
        <w:rPr>
          <w:rFonts w:ascii="Palatino Linotype" w:hAnsi="Palatino Linotype" w:cs="Tahoma"/>
          <w:sz w:val="22"/>
          <w:szCs w:val="22"/>
        </w:rPr>
      </w:pPr>
    </w:p>
    <w:p w14:paraId="19128404" w14:textId="77777777" w:rsidR="002934DF" w:rsidRDefault="00863A1C" w:rsidP="0090360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Del precepto jurídico aludido se observan los mecanismos de participación social que pueden ser implementados en el proceso de elaboración del Plan de Desarrollo Municipal, para lo cual, se estima necesario que exista una convocat</w:t>
      </w:r>
      <w:r w:rsidR="004D0A3B">
        <w:rPr>
          <w:rFonts w:ascii="Palatino Linotype" w:hAnsi="Palatino Linotype" w:cs="Tahoma"/>
          <w:sz w:val="22"/>
          <w:szCs w:val="22"/>
        </w:rPr>
        <w:t>oria a efecto de invitar a la ciudadanía a participar en los foros, encuentras, consultas, estudios, investigaciones.</w:t>
      </w:r>
    </w:p>
    <w:p w14:paraId="765F49B1" w14:textId="77777777" w:rsidR="004D0A3B" w:rsidRDefault="004D0A3B" w:rsidP="0090360E">
      <w:pPr>
        <w:tabs>
          <w:tab w:val="left" w:pos="4962"/>
        </w:tabs>
        <w:spacing w:line="360" w:lineRule="auto"/>
        <w:jc w:val="both"/>
        <w:rPr>
          <w:rFonts w:ascii="Palatino Linotype" w:hAnsi="Palatino Linotype" w:cs="Tahoma"/>
          <w:sz w:val="22"/>
          <w:szCs w:val="22"/>
        </w:rPr>
      </w:pPr>
    </w:p>
    <w:p w14:paraId="409B0D00" w14:textId="77777777" w:rsidR="004D0A3B" w:rsidRDefault="004D0A3B" w:rsidP="0090360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Fortalece lo expuesto, los artículos 105 y 106, del Bando Municipal 2019, del Ayuntamiento de Rayón, que señala:</w:t>
      </w:r>
    </w:p>
    <w:p w14:paraId="174EA307" w14:textId="77777777" w:rsidR="004D0A3B" w:rsidRDefault="004D0A3B" w:rsidP="0090360E">
      <w:pPr>
        <w:tabs>
          <w:tab w:val="left" w:pos="4962"/>
        </w:tabs>
        <w:spacing w:line="360" w:lineRule="auto"/>
        <w:jc w:val="both"/>
        <w:rPr>
          <w:rFonts w:ascii="Palatino Linotype" w:hAnsi="Palatino Linotype" w:cs="Tahoma"/>
          <w:sz w:val="22"/>
          <w:szCs w:val="22"/>
        </w:rPr>
      </w:pPr>
    </w:p>
    <w:p w14:paraId="3ED0F7D8" w14:textId="77777777" w:rsid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b/>
          <w:i/>
          <w:szCs w:val="22"/>
        </w:rPr>
        <w:t>ARTÍCULO 105.</w:t>
      </w:r>
      <w:r w:rsidRPr="004D0A3B">
        <w:rPr>
          <w:rFonts w:ascii="Palatino Linotype" w:hAnsi="Palatino Linotype" w:cs="Tahoma"/>
          <w:i/>
          <w:szCs w:val="22"/>
        </w:rPr>
        <w:t xml:space="preserve"> Se instituyen en el Municipio de Rayón, los instrumentos de participación ciudadana que se señalan en el artículo siguiente, como mecanismos democráticos de participación directa de la ciudadanía para la toma de decisiones sobre asuntos públicos de importancia a juicio del Ayuntamiento; dichos instrumentos cumplirán con los siguientes fines: </w:t>
      </w:r>
    </w:p>
    <w:p w14:paraId="71C0EB10"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p>
    <w:p w14:paraId="1106BD9A"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 Valorar las propuestas de acciones, obras y servicios públicos, para que previo estudio y dictamen, sean incluidas en el Plan de Desarrollo Municipal; </w:t>
      </w:r>
    </w:p>
    <w:p w14:paraId="4AA468EE"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II. Atender las demandas que se presenten por actos que pongan en peligro la seguridad, el orden, la salud, el medio ambiente o denuncien hechos que se consideren sean en detrimento de la hacienda y el patrimonio municipal; </w:t>
      </w:r>
    </w:p>
    <w:p w14:paraId="205A3DD7"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III. Fortalecer los canales de comunicación para que la ciudadanía participe en el diseño, ejecución y evaluación de las políticas públicas; y </w:t>
      </w:r>
    </w:p>
    <w:p w14:paraId="4103309B" w14:textId="77777777" w:rsid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IV. Fortalecer el vínculo institucional, la comunicación y la gestión de las autoridades auxiliares mediante acciones encaminadas a mejorar su desempeño y elevar la calidad de vida de sus comunidades en un marco de cordialidad. </w:t>
      </w:r>
    </w:p>
    <w:p w14:paraId="326C796F" w14:textId="77777777" w:rsidR="004D0A3B" w:rsidRDefault="004D0A3B" w:rsidP="004D0A3B">
      <w:pPr>
        <w:tabs>
          <w:tab w:val="left" w:pos="4962"/>
        </w:tabs>
        <w:spacing w:line="360" w:lineRule="auto"/>
        <w:ind w:left="567" w:right="567"/>
        <w:jc w:val="both"/>
        <w:rPr>
          <w:rFonts w:ascii="Palatino Linotype" w:hAnsi="Palatino Linotype" w:cs="Tahoma"/>
          <w:i/>
          <w:szCs w:val="22"/>
        </w:rPr>
      </w:pPr>
    </w:p>
    <w:p w14:paraId="067B69F9" w14:textId="77777777" w:rsidR="004D0A3B" w:rsidRPr="004D0A3B" w:rsidRDefault="004D0A3B" w:rsidP="004D0A3B">
      <w:pPr>
        <w:tabs>
          <w:tab w:val="left" w:pos="4962"/>
        </w:tabs>
        <w:spacing w:line="360" w:lineRule="auto"/>
        <w:ind w:left="567" w:right="567"/>
        <w:jc w:val="both"/>
        <w:rPr>
          <w:rFonts w:ascii="Palatino Linotype" w:hAnsi="Palatino Linotype" w:cs="Tahoma"/>
          <w:b/>
          <w:i/>
          <w:szCs w:val="22"/>
        </w:rPr>
      </w:pPr>
      <w:r w:rsidRPr="004D0A3B">
        <w:rPr>
          <w:rFonts w:ascii="Palatino Linotype" w:hAnsi="Palatino Linotype" w:cs="Tahoma"/>
          <w:b/>
          <w:i/>
          <w:szCs w:val="22"/>
        </w:rPr>
        <w:t xml:space="preserve">ARTÍCULO 106. Son </w:t>
      </w:r>
      <w:r w:rsidRPr="004D0A3B">
        <w:rPr>
          <w:rFonts w:ascii="Palatino Linotype" w:hAnsi="Palatino Linotype" w:cs="Tahoma"/>
          <w:b/>
          <w:i/>
          <w:szCs w:val="22"/>
          <w:u w:val="single"/>
        </w:rPr>
        <w:t>instrumentos de Participación Ciudadana</w:t>
      </w:r>
      <w:r w:rsidRPr="004D0A3B">
        <w:rPr>
          <w:rFonts w:ascii="Palatino Linotype" w:hAnsi="Palatino Linotype" w:cs="Tahoma"/>
          <w:b/>
          <w:i/>
          <w:szCs w:val="22"/>
        </w:rPr>
        <w:t xml:space="preserve">: </w:t>
      </w:r>
    </w:p>
    <w:p w14:paraId="479D3658"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 Referéndum: Procedimiento por el que se somete a voto ciudadano la aceptación o no de una propuesta de reforma al presente Bando o a la reglamentación municipal que sea de trascendencia e interés social; </w:t>
      </w:r>
    </w:p>
    <w:p w14:paraId="753AB358"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II. Plebiscito: Votación de la ciudadanía para decidir sobre alguna cuestión de importancia colectiva; </w:t>
      </w:r>
    </w:p>
    <w:p w14:paraId="67FF2DF4"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III. </w:t>
      </w:r>
      <w:r w:rsidRPr="004D0A3B">
        <w:rPr>
          <w:rFonts w:ascii="Palatino Linotype" w:hAnsi="Palatino Linotype" w:cs="Tahoma"/>
          <w:b/>
          <w:i/>
          <w:szCs w:val="22"/>
        </w:rPr>
        <w:t>Consulta Ciudadana</w:t>
      </w:r>
      <w:r w:rsidRPr="004D0A3B">
        <w:rPr>
          <w:rFonts w:ascii="Palatino Linotype" w:hAnsi="Palatino Linotype" w:cs="Tahoma"/>
          <w:i/>
          <w:szCs w:val="22"/>
        </w:rPr>
        <w:t xml:space="preserve">: Instrumento a través del cual el Presidente Municipal, somete a consideración de la ciudadanía por medio de preguntas directas, foros, o cualquier otro instrumento de consulta, los temas que tengan impacto trascendental en distintos ámbitos temáticos y/o territoriales en el Municipio; y </w:t>
      </w:r>
    </w:p>
    <w:p w14:paraId="4392D490"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 xml:space="preserve">IV. Audiencia Pública: Mecanismo deliberante por medio del cual los habitantes y organizaciones sociales del Municipio se reúnen con el Presidente Municipal e integrantes de la Administración Pública Municipal, para manifestar de forma directa propuestas y peticiones, permitiendo el seguimiento y evaluación de los compromisos, planes y programas por parte de la Administración Pública. </w:t>
      </w:r>
    </w:p>
    <w:p w14:paraId="72F179DE" w14:textId="77777777" w:rsidR="004D0A3B" w:rsidRPr="004D0A3B" w:rsidRDefault="004D0A3B" w:rsidP="004D0A3B">
      <w:pPr>
        <w:tabs>
          <w:tab w:val="left" w:pos="4962"/>
        </w:tabs>
        <w:spacing w:line="360" w:lineRule="auto"/>
        <w:ind w:left="567" w:right="567"/>
        <w:jc w:val="both"/>
        <w:rPr>
          <w:rFonts w:ascii="Palatino Linotype" w:hAnsi="Palatino Linotype" w:cs="Tahoma"/>
          <w:i/>
          <w:szCs w:val="22"/>
        </w:rPr>
      </w:pPr>
      <w:r w:rsidRPr="004D0A3B">
        <w:rPr>
          <w:rFonts w:ascii="Palatino Linotype" w:hAnsi="Palatino Linotype" w:cs="Tahoma"/>
          <w:i/>
          <w:szCs w:val="22"/>
        </w:rPr>
        <w:t>El plebiscito y el referéndum se realizarán por convocatoria del Ayuntamiento, cuando así lo determinen las dos terceras partes de sus integrantes, de conformidad con lo establecido en la reglamentación correspondiente.</w:t>
      </w:r>
    </w:p>
    <w:p w14:paraId="34DD2685" w14:textId="77777777" w:rsidR="002934DF" w:rsidRDefault="002934DF" w:rsidP="0090360E">
      <w:pPr>
        <w:tabs>
          <w:tab w:val="left" w:pos="4962"/>
        </w:tabs>
        <w:spacing w:line="360" w:lineRule="auto"/>
        <w:jc w:val="both"/>
        <w:rPr>
          <w:rFonts w:ascii="Palatino Linotype" w:hAnsi="Palatino Linotype" w:cs="Tahoma"/>
          <w:sz w:val="22"/>
          <w:szCs w:val="22"/>
        </w:rPr>
      </w:pPr>
    </w:p>
    <w:p w14:paraId="231B934F" w14:textId="77777777" w:rsidR="002934DF" w:rsidRDefault="00D87AA2" w:rsidP="0090360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Como se observa, el Sujeto Obligado cuenta con mecanismos de participación ciudadana que pueden ser implementados en la elaboración del Plan de Desarrollo Municipal.</w:t>
      </w:r>
    </w:p>
    <w:p w14:paraId="73EF131D" w14:textId="77777777" w:rsidR="00D87AA2" w:rsidRDefault="00D87AA2" w:rsidP="0090360E">
      <w:pPr>
        <w:tabs>
          <w:tab w:val="left" w:pos="4962"/>
        </w:tabs>
        <w:spacing w:line="360" w:lineRule="auto"/>
        <w:jc w:val="both"/>
        <w:rPr>
          <w:rFonts w:ascii="Palatino Linotype" w:hAnsi="Palatino Linotype" w:cs="Tahoma"/>
          <w:sz w:val="22"/>
          <w:szCs w:val="22"/>
        </w:rPr>
      </w:pPr>
    </w:p>
    <w:p w14:paraId="35BD4270" w14:textId="612242E8" w:rsidR="00D87AA2" w:rsidRPr="001500C3" w:rsidRDefault="00D72264" w:rsidP="00D87AA2">
      <w:pPr>
        <w:tabs>
          <w:tab w:val="left" w:pos="4962"/>
        </w:tabs>
        <w:spacing w:line="360" w:lineRule="auto"/>
        <w:jc w:val="both"/>
        <w:rPr>
          <w:rFonts w:ascii="Palatino Linotype" w:hAnsi="Palatino Linotype" w:cs="Tahoma"/>
          <w:sz w:val="22"/>
          <w:szCs w:val="22"/>
        </w:rPr>
      </w:pPr>
      <w:r>
        <w:rPr>
          <w:rFonts w:ascii="Palatino Linotype" w:hAnsi="Palatino Linotype" w:cs="Tahoma"/>
          <w:sz w:val="22"/>
          <w:lang w:val="es-ES"/>
        </w:rPr>
        <w:t>E</w:t>
      </w:r>
      <w:r w:rsidR="00D87AA2" w:rsidRPr="001500C3">
        <w:rPr>
          <w:rFonts w:ascii="Palatino Linotype" w:hAnsi="Palatino Linotype" w:cs="Tahoma"/>
          <w:sz w:val="22"/>
          <w:lang w:val="es-ES"/>
        </w:rPr>
        <w:t xml:space="preserve">s oportuno señalar que, </w:t>
      </w:r>
      <w:r w:rsidR="00D87AA2">
        <w:rPr>
          <w:rFonts w:ascii="Palatino Linotype" w:hAnsi="Palatino Linotype" w:cs="Tahoma"/>
          <w:b/>
          <w:sz w:val="22"/>
          <w:szCs w:val="22"/>
        </w:rPr>
        <w:t>si bien el</w:t>
      </w:r>
      <w:r w:rsidR="00D87AA2" w:rsidRPr="001500C3">
        <w:rPr>
          <w:rFonts w:ascii="Palatino Linotype" w:hAnsi="Palatino Linotype" w:cs="Tahoma"/>
          <w:b/>
          <w:sz w:val="22"/>
          <w:szCs w:val="22"/>
        </w:rPr>
        <w:t xml:space="preserve"> solicitante</w:t>
      </w:r>
      <w:r w:rsidR="00D87AA2" w:rsidRPr="001500C3">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Criterio 28/10 del INAI, mismo que se cita a continuación: </w:t>
      </w:r>
    </w:p>
    <w:p w14:paraId="38AA82C1" w14:textId="77777777" w:rsidR="00D87AA2" w:rsidRPr="001500C3" w:rsidRDefault="00D87AA2" w:rsidP="00D87AA2">
      <w:pPr>
        <w:tabs>
          <w:tab w:val="left" w:pos="4962"/>
        </w:tabs>
        <w:spacing w:line="360" w:lineRule="auto"/>
        <w:jc w:val="both"/>
        <w:rPr>
          <w:rFonts w:ascii="Palatino Linotype" w:hAnsi="Palatino Linotype" w:cs="Tahoma"/>
          <w:sz w:val="24"/>
        </w:rPr>
      </w:pPr>
    </w:p>
    <w:p w14:paraId="0066E535" w14:textId="77777777" w:rsidR="00D87AA2" w:rsidRPr="009D5C33" w:rsidRDefault="00D87AA2" w:rsidP="00D87AA2">
      <w:pPr>
        <w:tabs>
          <w:tab w:val="left" w:pos="4962"/>
        </w:tabs>
        <w:spacing w:line="360" w:lineRule="auto"/>
        <w:ind w:left="567" w:right="539"/>
        <w:jc w:val="both"/>
        <w:rPr>
          <w:rFonts w:ascii="Palatino Linotype" w:hAnsi="Palatino Linotype" w:cs="Tahoma"/>
          <w:i/>
        </w:rPr>
      </w:pPr>
      <w:r w:rsidRPr="009D5C33">
        <w:rPr>
          <w:rFonts w:ascii="Palatino Linotype" w:hAnsi="Palatino Linotype" w:cs="Tahoma"/>
          <w:b/>
          <w:i/>
        </w:rPr>
        <w:t>Cuando en una solicitud de información no se identifique un documento en específico, si ésta tiene una expresión documental, el sujeto obligado deberá entregar al particular el documento en específico</w:t>
      </w:r>
      <w:r w:rsidRPr="009D5C33">
        <w:rPr>
          <w:rFonts w:ascii="Palatino Linotype" w:hAnsi="Palatino Linotype" w:cs="Tahoma"/>
          <w:i/>
        </w:rPr>
        <w:t xml:space="preserve">. La Ley Federal de Transparencia y Acceso a la Información Pública Gubernamental tiene por objeto garantizar el acceso </w:t>
      </w:r>
      <w:proofErr w:type="gramStart"/>
      <w:r w:rsidRPr="009D5C33">
        <w:rPr>
          <w:rFonts w:ascii="Palatino Linotype" w:hAnsi="Palatino Linotype" w:cs="Tahoma"/>
          <w:i/>
        </w:rPr>
        <w:t>a  la</w:t>
      </w:r>
      <w:proofErr w:type="gramEnd"/>
      <w:r w:rsidRPr="009D5C33">
        <w:rPr>
          <w:rFonts w:ascii="Palatino Linotype" w:hAnsi="Palatino Linotype" w:cs="Tahoma"/>
          <w:i/>
        </w:rPr>
        <w:t xml:space="preserve">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9D5C33">
        <w:rPr>
          <w:rFonts w:ascii="Palatino Linotype" w:hAnsi="Palatino Linotype" w:cs="Tahoma"/>
          <w:b/>
          <w:i/>
        </w:rPr>
        <w:t>cuando el particular lleve a cabo una solicitud de información sin identificar de forma precisa la documentación específica que pudiera contener dicha información</w:t>
      </w:r>
      <w:r w:rsidRPr="009D5C33">
        <w:rPr>
          <w:rFonts w:ascii="Palatino Linotype" w:hAnsi="Palatino Linotype" w:cs="Tahoma"/>
          <w:i/>
        </w:rPr>
        <w:t xml:space="preserve">, </w:t>
      </w:r>
      <w:r w:rsidRPr="009D5C33">
        <w:rPr>
          <w:rFonts w:ascii="Palatino Linotype" w:hAnsi="Palatino Linotype" w:cs="Tahoma"/>
          <w:b/>
          <w:i/>
        </w:rPr>
        <w:t>o</w:t>
      </w:r>
      <w:r w:rsidRPr="009D5C33">
        <w:rPr>
          <w:rFonts w:ascii="Palatino Linotype" w:hAnsi="Palatino Linotype" w:cs="Tahoma"/>
          <w:i/>
        </w:rPr>
        <w:t xml:space="preserve"> bien </w:t>
      </w:r>
      <w:r w:rsidRPr="009D5C33">
        <w:rPr>
          <w:rFonts w:ascii="Palatino Linotype" w:hAnsi="Palatino Linotype" w:cs="Tahoma"/>
          <w:b/>
          <w:i/>
        </w:rPr>
        <w:t>pareciera que más bien la solicitud se constituye como una consulta</w:t>
      </w:r>
      <w:r w:rsidRPr="009D5C33">
        <w:rPr>
          <w:rFonts w:ascii="Palatino Linotype" w:hAnsi="Palatino Linotype" w:cs="Tahoma"/>
          <w:i/>
        </w:rPr>
        <w:t xml:space="preserve"> y no como una solicitud de acceso en términos de la Ley Federal de Transparencia y Acceso a la Información Pública Gubernamental, </w:t>
      </w:r>
      <w:r w:rsidRPr="009D5C33">
        <w:rPr>
          <w:rFonts w:ascii="Palatino Linotype" w:hAnsi="Palatino Linotype" w:cs="Tahoma"/>
          <w:b/>
          <w:i/>
        </w:rPr>
        <w:t>pero su respuesta puede obrar en algún documento, el sujeto obligado debe dar a la solicitud una interpretación que le dé una expresión documental</w:t>
      </w:r>
      <w:r w:rsidRPr="009D5C33">
        <w:rPr>
          <w:rFonts w:ascii="Palatino Linotype" w:hAnsi="Palatino Linotype" w:cs="Tahoma"/>
          <w:i/>
        </w:rPr>
        <w:t xml:space="preserve">. Es decir, </w:t>
      </w:r>
      <w:r w:rsidRPr="009D5C33">
        <w:rPr>
          <w:rFonts w:ascii="Palatino Linotype" w:hAnsi="Palatino Linotype" w:cs="Tahoma"/>
          <w:b/>
          <w:i/>
        </w:rPr>
        <w:t>si la respuesta a la solicitud obra en algún documento en poder de la autoridad</w:t>
      </w:r>
      <w:r w:rsidRPr="009D5C33">
        <w:rPr>
          <w:rFonts w:ascii="Palatino Linotype" w:hAnsi="Palatino Linotype" w:cs="Tahoma"/>
          <w:i/>
        </w:rPr>
        <w:t xml:space="preserve">, pero el particular no hace referencia específica a tal documento, </w:t>
      </w:r>
      <w:r w:rsidRPr="009D5C33">
        <w:rPr>
          <w:rFonts w:ascii="Palatino Linotype" w:hAnsi="Palatino Linotype" w:cs="Tahoma"/>
          <w:b/>
          <w:i/>
        </w:rPr>
        <w:t>se deberá hacer entrega del mismo</w:t>
      </w:r>
      <w:r w:rsidRPr="009D5C33">
        <w:rPr>
          <w:rFonts w:ascii="Palatino Linotype" w:hAnsi="Palatino Linotype" w:cs="Tahoma"/>
          <w:i/>
        </w:rPr>
        <w:t xml:space="preserve"> al solicitante.</w:t>
      </w:r>
    </w:p>
    <w:p w14:paraId="0673D37C" w14:textId="77777777" w:rsidR="00D87AA2" w:rsidRPr="001500C3" w:rsidRDefault="00D87AA2" w:rsidP="00D87AA2">
      <w:pPr>
        <w:tabs>
          <w:tab w:val="left" w:pos="4962"/>
        </w:tabs>
        <w:spacing w:line="276" w:lineRule="auto"/>
        <w:ind w:right="539"/>
        <w:jc w:val="both"/>
        <w:rPr>
          <w:rFonts w:ascii="Palatino Linotype" w:hAnsi="Palatino Linotype" w:cs="Tahoma"/>
          <w:sz w:val="22"/>
          <w:szCs w:val="22"/>
        </w:rPr>
      </w:pPr>
    </w:p>
    <w:p w14:paraId="2484FC7D" w14:textId="77777777" w:rsidR="00D87AA2" w:rsidRPr="001500C3" w:rsidRDefault="00D87AA2" w:rsidP="00D87AA2">
      <w:pPr>
        <w:tabs>
          <w:tab w:val="left" w:pos="4962"/>
        </w:tabs>
        <w:spacing w:line="360" w:lineRule="auto"/>
        <w:ind w:right="-28"/>
        <w:jc w:val="both"/>
        <w:rPr>
          <w:rFonts w:ascii="Palatino Linotype" w:hAnsi="Palatino Linotype" w:cs="Tahoma"/>
          <w:sz w:val="22"/>
          <w:szCs w:val="22"/>
        </w:rPr>
      </w:pPr>
      <w:r w:rsidRPr="001500C3">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por lo que la</w:t>
      </w:r>
      <w:r w:rsidRPr="001500C3">
        <w:rPr>
          <w:rFonts w:ascii="Palatino Linotype" w:hAnsi="Palatino Linotype" w:cs="Tahoma"/>
          <w:b/>
          <w:sz w:val="22"/>
          <w:szCs w:val="22"/>
        </w:rPr>
        <w:t xml:space="preserve"> respuesta puede obrar en algún documento que el Sujeto Obligado esta constreñido a generar, </w:t>
      </w:r>
      <w:r w:rsidRPr="001500C3">
        <w:rPr>
          <w:rFonts w:ascii="Palatino Linotype" w:hAnsi="Palatino Linotype" w:cs="Tahoma"/>
          <w:b/>
          <w:sz w:val="22"/>
          <w:szCs w:val="22"/>
          <w:u w:val="single"/>
        </w:rPr>
        <w:t>por lo que debe dar a la solicitud una interpretación que le dé una expresión documental</w:t>
      </w:r>
      <w:r w:rsidRPr="001500C3">
        <w:rPr>
          <w:rFonts w:ascii="Palatino Linotype" w:hAnsi="Palatino Linotype" w:cs="Tahoma"/>
          <w:b/>
          <w:sz w:val="22"/>
          <w:szCs w:val="22"/>
        </w:rPr>
        <w:t>.</w:t>
      </w:r>
    </w:p>
    <w:p w14:paraId="1CD7115A" w14:textId="77777777" w:rsidR="00D87AA2" w:rsidRDefault="00D87AA2" w:rsidP="0090360E">
      <w:pPr>
        <w:tabs>
          <w:tab w:val="left" w:pos="4962"/>
        </w:tabs>
        <w:spacing w:line="360" w:lineRule="auto"/>
        <w:jc w:val="both"/>
        <w:rPr>
          <w:rFonts w:ascii="Palatino Linotype" w:hAnsi="Palatino Linotype" w:cs="Tahoma"/>
          <w:sz w:val="22"/>
          <w:szCs w:val="22"/>
        </w:rPr>
      </w:pPr>
    </w:p>
    <w:p w14:paraId="01C1775D" w14:textId="77777777" w:rsidR="00D87AA2" w:rsidRDefault="00D87AA2" w:rsidP="0090360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es de señalar que si bien el ahora Recurrente no mencionó el periodo del cual requiere la información, es dable considerar que su interés es sobre el Plan de Desarrollo Municipal de la actual administración 2019-2021, máxime si se toma en consideración que el referido instrumento se elabora cada tres años, </w:t>
      </w:r>
      <w:r w:rsidR="008E54AD">
        <w:rPr>
          <w:rFonts w:ascii="Palatino Linotype" w:hAnsi="Palatino Linotype" w:cs="Tahoma"/>
          <w:sz w:val="22"/>
          <w:szCs w:val="22"/>
        </w:rPr>
        <w:t>consecuentemente</w:t>
      </w:r>
      <w:r>
        <w:rPr>
          <w:rFonts w:ascii="Palatino Linotype" w:hAnsi="Palatino Linotype" w:cs="Tahoma"/>
          <w:sz w:val="22"/>
          <w:szCs w:val="22"/>
        </w:rPr>
        <w:t>, el Sujeto Obligado deberá entregar la información correspondiente al Plan de Desarrollo Municipal 2019-2021.</w:t>
      </w:r>
    </w:p>
    <w:p w14:paraId="760CD574" w14:textId="77777777" w:rsidR="009D5C33" w:rsidRDefault="009D5C33" w:rsidP="0090360E">
      <w:pPr>
        <w:tabs>
          <w:tab w:val="left" w:pos="4962"/>
        </w:tabs>
        <w:spacing w:line="360" w:lineRule="auto"/>
        <w:jc w:val="both"/>
        <w:rPr>
          <w:rFonts w:ascii="Palatino Linotype" w:hAnsi="Palatino Linotype" w:cs="Tahoma"/>
          <w:sz w:val="22"/>
          <w:szCs w:val="22"/>
        </w:rPr>
      </w:pPr>
    </w:p>
    <w:p w14:paraId="6565C135" w14:textId="77777777" w:rsidR="008E54AD" w:rsidRDefault="008E54AD" w:rsidP="0090360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Aunado a lo anterior, debe precisarse que el Particular requirió las convocatorias y procesos en ejecución, por lo cual es dable considerar que se refiere los mecanismos que estaba llevando a cabo el Ayuntamiento de Rayón al momento de la presentación de la solicitud, a </w:t>
      </w:r>
      <w:proofErr w:type="gramStart"/>
      <w:r>
        <w:rPr>
          <w:rFonts w:ascii="Palatino Linotype" w:hAnsi="Palatino Linotype" w:cs="Tahoma"/>
          <w:sz w:val="22"/>
          <w:szCs w:val="22"/>
        </w:rPr>
        <w:t>saber</w:t>
      </w:r>
      <w:proofErr w:type="gramEnd"/>
      <w:r>
        <w:rPr>
          <w:rFonts w:ascii="Palatino Linotype" w:hAnsi="Palatino Linotype" w:cs="Tahoma"/>
          <w:sz w:val="22"/>
          <w:szCs w:val="22"/>
        </w:rPr>
        <w:t xml:space="preserve"> </w:t>
      </w:r>
      <w:r w:rsidRPr="008E54AD">
        <w:rPr>
          <w:rFonts w:ascii="Palatino Linotype" w:hAnsi="Palatino Linotype" w:cs="Tahoma"/>
          <w:sz w:val="22"/>
          <w:szCs w:val="22"/>
        </w:rPr>
        <w:t>dieciocho de febrero de dos mil diecinueve</w:t>
      </w:r>
      <w:r w:rsidR="000F2580">
        <w:rPr>
          <w:rFonts w:ascii="Palatino Linotype" w:hAnsi="Palatino Linotype" w:cs="Tahoma"/>
          <w:sz w:val="22"/>
          <w:szCs w:val="22"/>
        </w:rPr>
        <w:t xml:space="preserve">. En este sentido se considera que el periodo del cual se deberá entregar la información requerida es del primero de enero de dos mil diecinueve al </w:t>
      </w:r>
      <w:r w:rsidR="000F2580" w:rsidRPr="008E54AD">
        <w:rPr>
          <w:rFonts w:ascii="Palatino Linotype" w:hAnsi="Palatino Linotype" w:cs="Tahoma"/>
          <w:sz w:val="22"/>
          <w:szCs w:val="22"/>
        </w:rPr>
        <w:t>dieciocho de febrero de dos mil diecinueve</w:t>
      </w:r>
      <w:r w:rsidR="000F2580">
        <w:rPr>
          <w:rFonts w:ascii="Palatino Linotype" w:hAnsi="Palatino Linotype" w:cs="Tahoma"/>
          <w:sz w:val="22"/>
          <w:szCs w:val="22"/>
        </w:rPr>
        <w:t>.</w:t>
      </w:r>
    </w:p>
    <w:p w14:paraId="0BB2035F" w14:textId="77777777" w:rsidR="008E54AD" w:rsidRDefault="008E54AD" w:rsidP="0090360E">
      <w:pPr>
        <w:tabs>
          <w:tab w:val="left" w:pos="4962"/>
        </w:tabs>
        <w:spacing w:line="360" w:lineRule="auto"/>
        <w:jc w:val="both"/>
        <w:rPr>
          <w:rFonts w:ascii="Palatino Linotype" w:hAnsi="Palatino Linotype" w:cs="Tahoma"/>
          <w:sz w:val="22"/>
          <w:szCs w:val="22"/>
        </w:rPr>
      </w:pPr>
    </w:p>
    <w:p w14:paraId="47380351" w14:textId="77777777" w:rsidR="000F2580" w:rsidRDefault="00D87AA2" w:rsidP="000F2580">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Conforme a lo expuesto, resulta viable ordenar al Sujeto Obligado</w:t>
      </w:r>
      <w:r w:rsidR="008E54AD">
        <w:rPr>
          <w:rFonts w:ascii="Palatino Linotype" w:eastAsia="Calibri" w:hAnsi="Palatino Linotype" w:cs="Tahoma"/>
          <w:bCs/>
          <w:sz w:val="22"/>
          <w:szCs w:val="22"/>
          <w:lang w:eastAsia="en-US"/>
        </w:rPr>
        <w:t>, previa búsqueda exhaustiva y razonable en todas las áreas competentes que pudieran contar con la información solicitada, entregue los documentos que den cuenta de las convocatorias y procesos que ejecutó para la elaboración del Plan de Desarroll</w:t>
      </w:r>
      <w:r w:rsidR="000F2580">
        <w:rPr>
          <w:rFonts w:ascii="Palatino Linotype" w:eastAsia="Calibri" w:hAnsi="Palatino Linotype" w:cs="Tahoma"/>
          <w:bCs/>
          <w:sz w:val="22"/>
          <w:szCs w:val="22"/>
          <w:lang w:eastAsia="en-US"/>
        </w:rPr>
        <w:t>o Municipal 2019-2021, en el periodo del</w:t>
      </w:r>
      <w:r w:rsidR="000F2580" w:rsidRPr="000F2580">
        <w:rPr>
          <w:rFonts w:ascii="Palatino Linotype" w:hAnsi="Palatino Linotype" w:cs="Tahoma"/>
          <w:sz w:val="22"/>
          <w:szCs w:val="22"/>
        </w:rPr>
        <w:t xml:space="preserve"> </w:t>
      </w:r>
      <w:r w:rsidR="000F2580">
        <w:rPr>
          <w:rFonts w:ascii="Palatino Linotype" w:hAnsi="Palatino Linotype" w:cs="Tahoma"/>
          <w:sz w:val="22"/>
          <w:szCs w:val="22"/>
        </w:rPr>
        <w:t xml:space="preserve">primero de enero de dos mil diecinueve al </w:t>
      </w:r>
      <w:r w:rsidR="000F2580" w:rsidRPr="008E54AD">
        <w:rPr>
          <w:rFonts w:ascii="Palatino Linotype" w:hAnsi="Palatino Linotype" w:cs="Tahoma"/>
          <w:sz w:val="22"/>
          <w:szCs w:val="22"/>
        </w:rPr>
        <w:t>dieciocho de febrero de dos mil diecinueve</w:t>
      </w:r>
      <w:r w:rsidR="000F2580">
        <w:rPr>
          <w:rFonts w:ascii="Palatino Linotype" w:hAnsi="Palatino Linotype" w:cs="Tahoma"/>
          <w:sz w:val="22"/>
          <w:szCs w:val="22"/>
        </w:rPr>
        <w:t>.</w:t>
      </w:r>
    </w:p>
    <w:p w14:paraId="4AE40FEB" w14:textId="77777777" w:rsidR="008E54AD" w:rsidRPr="00D87AA2" w:rsidRDefault="008E54AD" w:rsidP="0090360E">
      <w:pPr>
        <w:spacing w:line="360" w:lineRule="auto"/>
        <w:ind w:right="-93"/>
        <w:jc w:val="both"/>
        <w:rPr>
          <w:rFonts w:ascii="Palatino Linotype" w:eastAsia="Calibri" w:hAnsi="Palatino Linotype" w:cs="Tahoma"/>
          <w:bCs/>
          <w:sz w:val="22"/>
          <w:szCs w:val="22"/>
          <w:lang w:eastAsia="en-US"/>
        </w:rPr>
      </w:pPr>
    </w:p>
    <w:p w14:paraId="2A438DE1" w14:textId="77777777" w:rsidR="00BB545D" w:rsidRDefault="00134409" w:rsidP="0036164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36164E">
      <w:pPr>
        <w:spacing w:line="360" w:lineRule="auto"/>
        <w:ind w:right="-93"/>
        <w:jc w:val="both"/>
        <w:rPr>
          <w:rFonts w:ascii="Palatino Linotype" w:hAnsi="Palatino Linotype" w:cs="Tahoma"/>
          <w:b/>
          <w:sz w:val="22"/>
          <w:szCs w:val="22"/>
        </w:rPr>
      </w:pPr>
    </w:p>
    <w:p w14:paraId="2138952C" w14:textId="77777777" w:rsidR="00ED3ECA" w:rsidRPr="00AD50F9" w:rsidRDefault="00134409" w:rsidP="00BB545D">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BB545D">
        <w:rPr>
          <w:rFonts w:ascii="Palatino Linotype" w:hAnsi="Palatino Linotype" w:cs="Tahoma"/>
          <w:sz w:val="22"/>
          <w:szCs w:val="22"/>
        </w:rPr>
        <w:t>Ayuntamiento de Rayón</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BB545D">
        <w:rPr>
          <w:rFonts w:ascii="Palatino Linotype" w:eastAsia="Calibri" w:hAnsi="Palatino Linotype" w:cs="Tahoma"/>
          <w:bCs/>
          <w:sz w:val="22"/>
          <w:szCs w:val="22"/>
          <w:lang w:eastAsia="en-US"/>
        </w:rPr>
        <w:t>previa búsqueda exhaustiva y razonable en todas las áreas competentes que pudieran contar con la información solicitada, los documentos que den cuenta de las convocatorias y procesos que ejecutó para la elaboración del Plan de Desarrollo Municipal 2019-2021, en el periodo del</w:t>
      </w:r>
      <w:r w:rsidR="00BB545D" w:rsidRPr="000F2580">
        <w:rPr>
          <w:rFonts w:ascii="Palatino Linotype" w:hAnsi="Palatino Linotype" w:cs="Tahoma"/>
          <w:sz w:val="22"/>
          <w:szCs w:val="22"/>
        </w:rPr>
        <w:t xml:space="preserve"> </w:t>
      </w:r>
      <w:r w:rsidR="00BB545D">
        <w:rPr>
          <w:rFonts w:ascii="Palatino Linotype" w:hAnsi="Palatino Linotype" w:cs="Tahoma"/>
          <w:sz w:val="22"/>
          <w:szCs w:val="22"/>
        </w:rPr>
        <w:t xml:space="preserve">primero de enero de dos mil diecinueve al </w:t>
      </w:r>
      <w:r w:rsidR="00BB545D" w:rsidRPr="008E54AD">
        <w:rPr>
          <w:rFonts w:ascii="Palatino Linotype" w:hAnsi="Palatino Linotype" w:cs="Tahoma"/>
          <w:sz w:val="22"/>
          <w:szCs w:val="22"/>
        </w:rPr>
        <w:t>dieciocho de febrero de dos mil diecinueve</w:t>
      </w:r>
      <w:r w:rsidR="00BB545D">
        <w:rPr>
          <w:rFonts w:ascii="Palatino Linotype" w:hAnsi="Palatino Linotype" w:cs="Tahoma"/>
          <w:sz w:val="22"/>
          <w:szCs w:val="22"/>
        </w:rPr>
        <w:t>.</w:t>
      </w:r>
    </w:p>
    <w:p w14:paraId="12BF6AF7" w14:textId="77777777" w:rsidR="00BB545D" w:rsidRDefault="00BB545D" w:rsidP="0090360E">
      <w:pPr>
        <w:spacing w:line="360" w:lineRule="auto"/>
        <w:jc w:val="both"/>
        <w:rPr>
          <w:rFonts w:ascii="Palatino Linotype" w:eastAsia="Calibri" w:hAnsi="Palatino Linotype" w:cs="Tahoma"/>
          <w:bCs/>
          <w:sz w:val="22"/>
          <w:szCs w:val="22"/>
          <w:lang w:eastAsia="en-US"/>
        </w:rPr>
      </w:pPr>
    </w:p>
    <w:p w14:paraId="54773F20" w14:textId="77777777" w:rsidR="00536006" w:rsidRPr="00AD50F9" w:rsidRDefault="00536006" w:rsidP="0090360E">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7DBD8DB5" w14:textId="77777777" w:rsidR="00536006" w:rsidRPr="00AD50F9" w:rsidRDefault="00536006" w:rsidP="0090360E">
      <w:pPr>
        <w:spacing w:line="360" w:lineRule="auto"/>
        <w:jc w:val="both"/>
        <w:rPr>
          <w:rFonts w:ascii="Palatino Linotype" w:eastAsia="Calibri" w:hAnsi="Palatino Linotype" w:cs="Tahoma"/>
          <w:bCs/>
          <w:sz w:val="22"/>
          <w:szCs w:val="22"/>
          <w:lang w:eastAsia="en-US"/>
        </w:rPr>
      </w:pPr>
    </w:p>
    <w:p w14:paraId="6BF245D9" w14:textId="77777777" w:rsidR="00536006" w:rsidRPr="00AD50F9" w:rsidRDefault="00BB545D" w:rsidP="0090360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86E81A7" w14:textId="77777777" w:rsidR="00536006" w:rsidRPr="00AD50F9" w:rsidRDefault="00536006" w:rsidP="0090360E">
      <w:pPr>
        <w:spacing w:line="360" w:lineRule="auto"/>
        <w:jc w:val="center"/>
        <w:rPr>
          <w:rFonts w:ascii="Palatino Linotype" w:hAnsi="Palatino Linotype" w:cs="Tahoma"/>
          <w:b/>
          <w:bCs/>
          <w:sz w:val="22"/>
          <w:szCs w:val="22"/>
        </w:rPr>
      </w:pPr>
    </w:p>
    <w:p w14:paraId="5270CC31" w14:textId="77777777"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BB545D" w:rsidRPr="00BB545D">
        <w:rPr>
          <w:rFonts w:ascii="Palatino Linotype" w:hAnsi="Palatino Linotype" w:cs="Tahoma"/>
          <w:b/>
          <w:bCs/>
          <w:iCs/>
          <w:sz w:val="22"/>
          <w:szCs w:val="22"/>
        </w:rPr>
        <w:t>00011/RAYON/IP/2019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36164E"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4C565C8D" w14:textId="77777777" w:rsidR="00536006" w:rsidRPr="00AD50F9" w:rsidRDefault="00536006" w:rsidP="0090360E">
      <w:pPr>
        <w:spacing w:line="360" w:lineRule="auto"/>
        <w:jc w:val="both"/>
        <w:rPr>
          <w:rFonts w:ascii="Palatino Linotype" w:hAnsi="Palatino Linotype" w:cs="Tahoma"/>
          <w:sz w:val="22"/>
          <w:szCs w:val="22"/>
        </w:rPr>
      </w:pPr>
    </w:p>
    <w:p w14:paraId="28296484" w14:textId="43CC3312" w:rsidR="00BB545D" w:rsidRDefault="00536006" w:rsidP="00BB545D">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BB545D">
        <w:rPr>
          <w:rFonts w:ascii="Palatino Linotype" w:eastAsia="Calibri" w:hAnsi="Palatino Linotype" w:cs="Tahoma"/>
          <w:bCs/>
          <w:sz w:val="22"/>
          <w:szCs w:val="22"/>
          <w:lang w:eastAsia="en-US"/>
        </w:rPr>
        <w:t xml:space="preserve">previa búsqueda exhaustiva y razonable en todas las áreas competentes que pudieran contar con la información solicitada, </w:t>
      </w:r>
      <w:r w:rsidR="00A67022">
        <w:rPr>
          <w:rFonts w:ascii="Palatino Linotype" w:eastAsia="Calibri" w:hAnsi="Palatino Linotype" w:cs="Tahoma"/>
          <w:bCs/>
          <w:sz w:val="22"/>
          <w:szCs w:val="22"/>
          <w:lang w:eastAsia="en-US"/>
        </w:rPr>
        <w:t xml:space="preserve">en su caso en versión pública, </w:t>
      </w:r>
      <w:r w:rsidR="00BB545D">
        <w:rPr>
          <w:rFonts w:ascii="Palatino Linotype" w:eastAsia="Calibri" w:hAnsi="Palatino Linotype" w:cs="Tahoma"/>
          <w:bCs/>
          <w:sz w:val="22"/>
          <w:szCs w:val="22"/>
          <w:lang w:eastAsia="en-US"/>
        </w:rPr>
        <w:t>los documentos que den cuenta de:</w:t>
      </w:r>
    </w:p>
    <w:p w14:paraId="5701E6E1" w14:textId="77777777" w:rsidR="00BB545D" w:rsidRDefault="00BB545D" w:rsidP="00BB545D">
      <w:pPr>
        <w:spacing w:line="360" w:lineRule="auto"/>
        <w:ind w:right="-93"/>
        <w:jc w:val="both"/>
        <w:rPr>
          <w:rFonts w:ascii="Palatino Linotype" w:eastAsia="Calibri" w:hAnsi="Palatino Linotype" w:cs="Tahoma"/>
          <w:bCs/>
          <w:sz w:val="22"/>
          <w:szCs w:val="22"/>
          <w:lang w:eastAsia="en-US"/>
        </w:rPr>
      </w:pPr>
    </w:p>
    <w:p w14:paraId="7F033826" w14:textId="33D8CE0E" w:rsidR="00BB545D" w:rsidRPr="00AB7A1A" w:rsidRDefault="00BB545D" w:rsidP="00BB545D">
      <w:pPr>
        <w:pStyle w:val="Prrafodelista"/>
        <w:numPr>
          <w:ilvl w:val="0"/>
          <w:numId w:val="48"/>
        </w:numPr>
        <w:spacing w:line="360" w:lineRule="auto"/>
        <w:ind w:right="-93"/>
        <w:jc w:val="both"/>
        <w:rPr>
          <w:rFonts w:ascii="Palatino Linotype" w:eastAsia="Calibri" w:hAnsi="Palatino Linotype" w:cs="Tahoma"/>
          <w:iCs/>
          <w:szCs w:val="22"/>
          <w:lang w:eastAsia="es-ES_tradnl"/>
        </w:rPr>
      </w:pPr>
      <w:r w:rsidRPr="00BB545D">
        <w:rPr>
          <w:rFonts w:ascii="Palatino Linotype" w:eastAsia="Calibri" w:hAnsi="Palatino Linotype" w:cs="Tahoma"/>
          <w:bCs/>
          <w:szCs w:val="22"/>
          <w:lang w:eastAsia="en-US"/>
        </w:rPr>
        <w:t xml:space="preserve">Las convocatorias y procesos que ejecutó </w:t>
      </w:r>
      <w:r w:rsidR="00A67022">
        <w:rPr>
          <w:rFonts w:ascii="Palatino Linotype" w:eastAsia="Calibri" w:hAnsi="Palatino Linotype" w:cs="Tahoma"/>
          <w:bCs/>
          <w:szCs w:val="22"/>
          <w:lang w:eastAsia="en-US"/>
        </w:rPr>
        <w:t xml:space="preserve">el Ayuntamiento </w:t>
      </w:r>
      <w:r w:rsidRPr="00BB545D">
        <w:rPr>
          <w:rFonts w:ascii="Palatino Linotype" w:eastAsia="Calibri" w:hAnsi="Palatino Linotype" w:cs="Tahoma"/>
          <w:bCs/>
          <w:szCs w:val="22"/>
          <w:lang w:eastAsia="en-US"/>
        </w:rPr>
        <w:t xml:space="preserve">para la elaboración del Plan de Desarrollo Municipal 2019-2021, en el periodo </w:t>
      </w:r>
      <w:r w:rsidR="00A67022">
        <w:rPr>
          <w:rFonts w:ascii="Palatino Linotype" w:eastAsia="Calibri" w:hAnsi="Palatino Linotype" w:cs="Tahoma"/>
          <w:bCs/>
          <w:szCs w:val="22"/>
          <w:lang w:eastAsia="en-US"/>
        </w:rPr>
        <w:t xml:space="preserve">comprendido </w:t>
      </w:r>
      <w:r w:rsidRPr="00BB545D">
        <w:rPr>
          <w:rFonts w:ascii="Palatino Linotype" w:eastAsia="Calibri" w:hAnsi="Palatino Linotype" w:cs="Tahoma"/>
          <w:bCs/>
          <w:szCs w:val="22"/>
          <w:lang w:eastAsia="en-US"/>
        </w:rPr>
        <w:t>del</w:t>
      </w:r>
      <w:r w:rsidRPr="00BB545D">
        <w:rPr>
          <w:rFonts w:ascii="Palatino Linotype" w:hAnsi="Palatino Linotype" w:cs="Tahoma"/>
          <w:szCs w:val="22"/>
        </w:rPr>
        <w:t xml:space="preserve"> primero de enero de dos mil diecinueve al dieciocho de febrero de dos mil diecinueve.</w:t>
      </w:r>
    </w:p>
    <w:p w14:paraId="398E1805" w14:textId="77777777" w:rsidR="00D72264" w:rsidRDefault="00D72264" w:rsidP="00D72264">
      <w:pPr>
        <w:spacing w:line="360" w:lineRule="auto"/>
        <w:ind w:right="-93"/>
        <w:jc w:val="both"/>
        <w:rPr>
          <w:rFonts w:ascii="Palatino Linotype" w:eastAsia="Calibri" w:hAnsi="Palatino Linotype" w:cs="Tahoma"/>
          <w:iCs/>
          <w:szCs w:val="22"/>
          <w:lang w:eastAsia="es-ES_tradnl"/>
        </w:rPr>
      </w:pPr>
    </w:p>
    <w:p w14:paraId="1B3C485E" w14:textId="7A6DAFF2" w:rsidR="00D72264" w:rsidRPr="00AB7A1A" w:rsidRDefault="00FC12ED" w:rsidP="00AB7A1A">
      <w:pPr>
        <w:spacing w:line="360" w:lineRule="auto"/>
        <w:ind w:right="-93"/>
        <w:jc w:val="both"/>
        <w:rPr>
          <w:rFonts w:ascii="Palatino Linotype" w:eastAsia="Calibri" w:hAnsi="Palatino Linotype" w:cs="Tahoma"/>
          <w:iCs/>
          <w:szCs w:val="22"/>
          <w:lang w:eastAsia="es-ES_tradnl"/>
        </w:rPr>
      </w:pPr>
      <w:r w:rsidRPr="00FC12ED">
        <w:rPr>
          <w:rFonts w:ascii="Palatino Linotype" w:eastAsia="Calibri" w:hAnsi="Palatino Linotype" w:cs="Tahoma"/>
          <w:iCs/>
          <w:sz w:val="22"/>
          <w:szCs w:val="22"/>
          <w:lang w:eastAsia="es-ES_tradnl"/>
        </w:rPr>
        <w:t>De ser necesaria la versión pública, se deber</w:t>
      </w:r>
      <w:r>
        <w:rPr>
          <w:rFonts w:ascii="Palatino Linotype" w:eastAsia="Calibri" w:hAnsi="Palatino Linotype" w:cs="Tahoma"/>
          <w:iCs/>
          <w:sz w:val="22"/>
          <w:szCs w:val="22"/>
          <w:lang w:eastAsia="es-ES_tradnl"/>
        </w:rPr>
        <w:t>á</w:t>
      </w:r>
      <w:r w:rsidRPr="00FC12ED">
        <w:rPr>
          <w:rFonts w:ascii="Palatino Linotype" w:eastAsia="Calibri" w:hAnsi="Palatino Linotype" w:cs="Tahoma"/>
          <w:iCs/>
          <w:sz w:val="22"/>
          <w:szCs w:val="22"/>
          <w:lang w:eastAsia="es-ES_tradnl"/>
        </w:rPr>
        <w:t xml:space="preserve"> entregar</w:t>
      </w:r>
      <w:r>
        <w:rPr>
          <w:rFonts w:ascii="Palatino Linotype" w:eastAsia="Calibri" w:hAnsi="Palatino Linotype" w:cs="Tahoma"/>
          <w:iCs/>
          <w:sz w:val="22"/>
          <w:szCs w:val="22"/>
          <w:lang w:eastAsia="es-ES_tradnl"/>
        </w:rPr>
        <w:t xml:space="preserve"> junto con el acuerdo del Comité de Transparencia en el que se funde y motive </w:t>
      </w:r>
      <w:r w:rsidR="00B568D8">
        <w:rPr>
          <w:rFonts w:ascii="Palatino Linotype" w:eastAsia="Calibri" w:hAnsi="Palatino Linotype" w:cs="Tahoma"/>
          <w:iCs/>
          <w:sz w:val="22"/>
          <w:szCs w:val="22"/>
          <w:lang w:eastAsia="es-ES_tradnl"/>
        </w:rPr>
        <w:t xml:space="preserve">la eliminación de información confidencial, de acuerdo a lo dispuesto en los artículos 49, fracción VIII, 143, fracción I y 149 de la </w:t>
      </w:r>
      <w:r w:rsidR="00B568D8" w:rsidRPr="00B568D8">
        <w:rPr>
          <w:rFonts w:ascii="Palatino Linotype" w:eastAsia="Calibri" w:hAnsi="Palatino Linotype" w:cs="Tahoma"/>
          <w:iCs/>
          <w:sz w:val="22"/>
          <w:szCs w:val="22"/>
          <w:lang w:val="es-ES" w:eastAsia="es-ES_tradnl"/>
        </w:rPr>
        <w:t>Ley de Transparencia y Acceso a la Información Pública del Estado de México y Municipios</w:t>
      </w:r>
      <w:r w:rsidR="00B568D8">
        <w:rPr>
          <w:rFonts w:ascii="Palatino Linotype" w:eastAsia="Calibri" w:hAnsi="Palatino Linotype" w:cs="Tahoma"/>
          <w:iCs/>
          <w:sz w:val="22"/>
          <w:szCs w:val="22"/>
          <w:lang w:eastAsia="es-ES_tradnl"/>
        </w:rPr>
        <w:t>.</w:t>
      </w:r>
    </w:p>
    <w:p w14:paraId="72B0FBBD" w14:textId="77777777" w:rsidR="0036164E" w:rsidRPr="00AD50F9" w:rsidRDefault="0036164E" w:rsidP="00BB545D">
      <w:pPr>
        <w:tabs>
          <w:tab w:val="left" w:pos="4962"/>
        </w:tabs>
        <w:spacing w:line="360" w:lineRule="auto"/>
        <w:jc w:val="both"/>
        <w:rPr>
          <w:rFonts w:ascii="Palatino Linotype" w:hAnsi="Palatino Linotype" w:cs="Tahoma"/>
          <w:bCs/>
          <w:sz w:val="22"/>
          <w:szCs w:val="22"/>
          <w:lang w:eastAsia="es-MX"/>
        </w:rPr>
      </w:pPr>
    </w:p>
    <w:p w14:paraId="0AB66757" w14:textId="77777777"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A73AD1" w14:textId="77777777"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77777777" w:rsidR="00536006" w:rsidRPr="00AD50F9" w:rsidRDefault="00536006" w:rsidP="009036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0896BEB5" w14:textId="77777777"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BB545D">
        <w:rPr>
          <w:rFonts w:ascii="Palatino Linotype" w:hAnsi="Palatino Linotype" w:cs="Tahoma"/>
          <w:sz w:val="22"/>
          <w:szCs w:val="22"/>
          <w:lang w:eastAsia="es-MX"/>
        </w:rPr>
        <w:t>VIGÉSIMA PRIMERA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BB545D">
        <w:rPr>
          <w:rFonts w:ascii="Palatino Linotype" w:hAnsi="Palatino Linotype" w:cs="Tahoma"/>
          <w:sz w:val="22"/>
          <w:szCs w:val="22"/>
          <w:lang w:eastAsia="es-MX"/>
        </w:rPr>
        <w:t xml:space="preserve">CINCO DE JUNIO </w:t>
      </w:r>
      <w:r w:rsidRPr="00AD50F9">
        <w:rPr>
          <w:rFonts w:ascii="Palatino Linotype" w:hAnsi="Palatino Linotype" w:cs="Tahoma"/>
          <w:sz w:val="22"/>
          <w:szCs w:val="22"/>
          <w:lang w:eastAsia="es-MX"/>
        </w:rPr>
        <w:t>DE DOS MIL DIECINUEVE, ANTE EL SECRETARIO TÉCNICO DEL PLENO, ALEXIS TAPIA RAMÍREZ.</w:t>
      </w:r>
    </w:p>
    <w:p w14:paraId="1A1ECD18" w14:textId="77777777" w:rsidR="00536006" w:rsidRDefault="00536006" w:rsidP="0090360E">
      <w:pPr>
        <w:tabs>
          <w:tab w:val="left" w:pos="8931"/>
        </w:tabs>
        <w:spacing w:line="360" w:lineRule="auto"/>
        <w:ind w:right="-93"/>
        <w:rPr>
          <w:rFonts w:ascii="Palatino Linotype" w:eastAsia="Calibri" w:hAnsi="Palatino Linotype" w:cs="Tahoma"/>
          <w:b/>
          <w:bCs/>
          <w:sz w:val="22"/>
          <w:szCs w:val="22"/>
          <w:lang w:eastAsia="en-US"/>
        </w:rPr>
      </w:pPr>
    </w:p>
    <w:p w14:paraId="2AAED30F" w14:textId="77777777" w:rsidR="009D5C33" w:rsidRPr="00AD50F9" w:rsidRDefault="009D5C33"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Pr="00AD50F9" w:rsidRDefault="00536006" w:rsidP="0090360E">
            <w:pPr>
              <w:spacing w:line="360" w:lineRule="auto"/>
              <w:rPr>
                <w:rFonts w:ascii="Palatino Linotype" w:eastAsia="Calibri" w:hAnsi="Palatino Linotype" w:cs="Tahoma"/>
                <w:b/>
                <w:sz w:val="22"/>
                <w:szCs w:val="22"/>
                <w:lang w:eastAsia="es-MX"/>
              </w:rPr>
            </w:pPr>
          </w:p>
          <w:p w14:paraId="510EB8E5" w14:textId="77777777" w:rsidR="00DE21BA" w:rsidRDefault="00DE21BA" w:rsidP="0090360E">
            <w:pPr>
              <w:tabs>
                <w:tab w:val="left" w:pos="2445"/>
                <w:tab w:val="center" w:pos="4428"/>
              </w:tabs>
              <w:spacing w:line="360" w:lineRule="auto"/>
              <w:jc w:val="center"/>
              <w:rPr>
                <w:rFonts w:ascii="Palatino Linotype" w:eastAsia="Calibri" w:hAnsi="Palatino Linotype" w:cs="Tahoma"/>
                <w:b/>
                <w:sz w:val="22"/>
                <w:szCs w:val="22"/>
                <w:lang w:eastAsia="es-MX"/>
              </w:rPr>
            </w:pPr>
          </w:p>
          <w:p w14:paraId="27A372E3" w14:textId="77777777" w:rsidR="00DE21BA" w:rsidRDefault="00DE21BA" w:rsidP="0090360E">
            <w:pPr>
              <w:tabs>
                <w:tab w:val="left" w:pos="2445"/>
                <w:tab w:val="center" w:pos="4428"/>
              </w:tabs>
              <w:spacing w:line="360" w:lineRule="auto"/>
              <w:jc w:val="center"/>
              <w:rPr>
                <w:rFonts w:ascii="Palatino Linotype" w:eastAsia="Calibri" w:hAnsi="Palatino Linotype" w:cs="Tahoma"/>
                <w:b/>
                <w:sz w:val="22"/>
                <w:szCs w:val="22"/>
                <w:lang w:eastAsia="es-MX"/>
              </w:rPr>
            </w:pPr>
          </w:p>
          <w:p w14:paraId="2BD3D0E8" w14:textId="77777777"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Comisionada </w:t>
            </w:r>
            <w:proofErr w:type="gramStart"/>
            <w:r w:rsidRPr="00AD50F9">
              <w:rPr>
                <w:rFonts w:ascii="Palatino Linotype" w:eastAsia="Calibri" w:hAnsi="Palatino Linotype" w:cs="Tahoma"/>
                <w:sz w:val="22"/>
                <w:szCs w:val="22"/>
                <w:lang w:eastAsia="es-MX"/>
              </w:rPr>
              <w:t>Presidenta</w:t>
            </w:r>
            <w:proofErr w:type="gramEnd"/>
          </w:p>
          <w:p w14:paraId="03D60DC9"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5DB95FC" w14:textId="77777777" w:rsidR="009D5C33" w:rsidRDefault="009D5C33" w:rsidP="0090360E">
            <w:pPr>
              <w:spacing w:line="360" w:lineRule="auto"/>
              <w:ind w:right="-108"/>
              <w:rPr>
                <w:rFonts w:ascii="Palatino Linotype" w:eastAsia="Calibri" w:hAnsi="Palatino Linotype" w:cs="Tahoma"/>
                <w:b/>
                <w:sz w:val="22"/>
                <w:szCs w:val="22"/>
              </w:rPr>
            </w:pPr>
          </w:p>
          <w:p w14:paraId="2274BF49" w14:textId="77777777" w:rsidR="009D5C33" w:rsidRPr="00AD50F9" w:rsidRDefault="009D5C33" w:rsidP="0090360E">
            <w:pPr>
              <w:spacing w:line="360" w:lineRule="auto"/>
              <w:ind w:right="-108"/>
              <w:rPr>
                <w:rFonts w:ascii="Palatino Linotype" w:eastAsia="Calibri" w:hAnsi="Palatino Linotype" w:cs="Tahoma"/>
                <w:b/>
                <w:sz w:val="22"/>
                <w:szCs w:val="22"/>
              </w:rPr>
            </w:pPr>
          </w:p>
        </w:tc>
      </w:tr>
      <w:tr w:rsidR="00536006" w:rsidRPr="00AD50F9" w14:paraId="7E810E5F" w14:textId="77777777" w:rsidTr="00E84AD7">
        <w:trPr>
          <w:trHeight w:val="2673"/>
        </w:trPr>
        <w:tc>
          <w:tcPr>
            <w:tcW w:w="4678" w:type="dxa"/>
          </w:tcPr>
          <w:p w14:paraId="6B4BF48E"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w:t>
            </w:r>
            <w:proofErr w:type="spellStart"/>
            <w:r w:rsidRPr="00AD50F9">
              <w:rPr>
                <w:rFonts w:ascii="Palatino Linotype" w:eastAsia="Calibri" w:hAnsi="Palatino Linotype" w:cs="Tahoma"/>
                <w:b/>
                <w:sz w:val="22"/>
                <w:szCs w:val="22"/>
              </w:rPr>
              <w:t>Abaid</w:t>
            </w:r>
            <w:proofErr w:type="spellEnd"/>
            <w:r w:rsidRPr="00AD50F9">
              <w:rPr>
                <w:rFonts w:ascii="Palatino Linotype" w:eastAsia="Calibri" w:hAnsi="Palatino Linotype" w:cs="Tahoma"/>
                <w:b/>
                <w:sz w:val="22"/>
                <w:szCs w:val="22"/>
              </w:rPr>
              <w:t xml:space="preserve"> Yapur </w:t>
            </w:r>
          </w:p>
          <w:p w14:paraId="5BF1CD24" w14:textId="77777777"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511762EF" w14:textId="77777777" w:rsidR="009D5C33"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44949F19"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4A86105"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A9EB59D" w14:textId="77777777" w:rsidR="009D5C33" w:rsidRDefault="009D5C33" w:rsidP="0090360E">
            <w:pPr>
              <w:spacing w:line="360" w:lineRule="auto"/>
              <w:ind w:right="29"/>
              <w:rPr>
                <w:rFonts w:ascii="Palatino Linotype" w:eastAsia="Calibri" w:hAnsi="Palatino Linotype" w:cs="Tahoma"/>
                <w:sz w:val="22"/>
                <w:szCs w:val="22"/>
                <w:lang w:eastAsia="es-MX"/>
              </w:rPr>
            </w:pPr>
          </w:p>
          <w:p w14:paraId="55AA15BC" w14:textId="77777777" w:rsidR="00536006" w:rsidRPr="00AD50F9"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tc>
        <w:tc>
          <w:tcPr>
            <w:tcW w:w="4536" w:type="dxa"/>
          </w:tcPr>
          <w:p w14:paraId="10FC8377"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7EFF7C57" w14:textId="77777777" w:rsidR="00536006" w:rsidRPr="00AD50F9" w:rsidRDefault="00536006" w:rsidP="0090360E">
            <w:pPr>
              <w:spacing w:line="360" w:lineRule="auto"/>
              <w:rPr>
                <w:rFonts w:ascii="Palatino Linotype" w:eastAsia="Calibri" w:hAnsi="Palatino Linotype" w:cs="Tahoma"/>
                <w:b/>
                <w:sz w:val="22"/>
                <w:szCs w:val="22"/>
              </w:rPr>
            </w:pPr>
          </w:p>
          <w:p w14:paraId="2A521FC7" w14:textId="77777777" w:rsidR="00536006" w:rsidRDefault="00536006" w:rsidP="0090360E">
            <w:pPr>
              <w:spacing w:line="360" w:lineRule="auto"/>
              <w:rPr>
                <w:rFonts w:ascii="Palatino Linotype" w:eastAsia="Calibri" w:hAnsi="Palatino Linotype" w:cs="Tahoma"/>
                <w:b/>
                <w:sz w:val="22"/>
                <w:szCs w:val="22"/>
              </w:rPr>
            </w:pPr>
          </w:p>
          <w:p w14:paraId="47222EF1" w14:textId="77777777" w:rsidR="009D5C33" w:rsidRPr="00AD50F9" w:rsidRDefault="009D5C33" w:rsidP="0090360E">
            <w:pPr>
              <w:spacing w:line="360" w:lineRule="auto"/>
              <w:rPr>
                <w:rFonts w:ascii="Palatino Linotype" w:eastAsia="Calibri" w:hAnsi="Palatino Linotype" w:cs="Tahoma"/>
                <w:b/>
                <w:sz w:val="22"/>
                <w:szCs w:val="22"/>
              </w:rPr>
            </w:pPr>
          </w:p>
          <w:p w14:paraId="056FBEC7" w14:textId="77777777"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7666D98" w14:textId="7D0C0452" w:rsidR="00536006" w:rsidRPr="00AD50F9" w:rsidRDefault="00536006" w:rsidP="00DE21BA">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r>
    </w:tbl>
    <w:p w14:paraId="405E5AD8" w14:textId="5D03C5CE"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Pr>
          <w:rFonts w:ascii="Palatino Linotype" w:eastAsia="Calibri" w:hAnsi="Palatino Linotype" w:cs="Tahoma"/>
          <w:sz w:val="22"/>
          <w:szCs w:val="22"/>
          <w:lang w:eastAsia="en-US"/>
        </w:rPr>
        <w:t xml:space="preserve">cinco 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1791</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even" r:id="rId8"/>
      <w:headerReference w:type="default" r:id="rId9"/>
      <w:footerReference w:type="even"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8CAF" w14:textId="77777777" w:rsidR="002B3E72" w:rsidRDefault="002B3E72" w:rsidP="00B31222">
      <w:r>
        <w:separator/>
      </w:r>
    </w:p>
  </w:endnote>
  <w:endnote w:type="continuationSeparator" w:id="0">
    <w:p w14:paraId="153428C0" w14:textId="77777777" w:rsidR="002B3E72" w:rsidRDefault="002B3E7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0ECE" w14:textId="77777777" w:rsidR="00EF69C4" w:rsidRDefault="00EF69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BB545D" w:rsidRDefault="00BB545D">
            <w:pPr>
              <w:pStyle w:val="Piedepgina"/>
              <w:jc w:val="right"/>
            </w:pPr>
          </w:p>
          <w:p w14:paraId="58BFAB62" w14:textId="77777777"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5541">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5541">
              <w:rPr>
                <w:b/>
                <w:bCs/>
                <w:noProof/>
              </w:rPr>
              <w:t>29</w:t>
            </w:r>
            <w:r>
              <w:rPr>
                <w:b/>
                <w:bCs/>
                <w:sz w:val="24"/>
                <w:szCs w:val="24"/>
              </w:rPr>
              <w:fldChar w:fldCharType="end"/>
            </w:r>
          </w:p>
        </w:sdtContent>
      </w:sdt>
    </w:sdtContent>
  </w:sdt>
  <w:p w14:paraId="4C1EBC12" w14:textId="77777777" w:rsidR="00BD455F" w:rsidRDefault="00BD45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BD455F" w:rsidRDefault="00BD4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55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5541">
              <w:rPr>
                <w:b/>
                <w:bCs/>
                <w:noProof/>
              </w:rPr>
              <w:t>29</w:t>
            </w:r>
            <w:r>
              <w:rPr>
                <w:b/>
                <w:bCs/>
                <w:sz w:val="24"/>
                <w:szCs w:val="24"/>
              </w:rPr>
              <w:fldChar w:fldCharType="end"/>
            </w:r>
          </w:p>
        </w:sdtContent>
      </w:sdt>
    </w:sdtContent>
  </w:sdt>
  <w:p w14:paraId="15BD444E" w14:textId="77777777" w:rsidR="00BD455F" w:rsidRDefault="00BD4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8832C" w14:textId="77777777" w:rsidR="002B3E72" w:rsidRDefault="002B3E72" w:rsidP="00B31222">
      <w:r>
        <w:separator/>
      </w:r>
    </w:p>
  </w:footnote>
  <w:footnote w:type="continuationSeparator" w:id="0">
    <w:p w14:paraId="1DCD3A44" w14:textId="77777777" w:rsidR="002B3E72" w:rsidRDefault="002B3E7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1DC6" w14:textId="77777777" w:rsidR="00EF69C4" w:rsidRDefault="00EF69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5C106F" w14:paraId="717A868E" w14:textId="77777777" w:rsidTr="00202DB8">
      <w:trPr>
        <w:trHeight w:val="1435"/>
      </w:trPr>
      <w:tc>
        <w:tcPr>
          <w:tcW w:w="2835" w:type="dxa"/>
          <w:shd w:val="clear" w:color="auto" w:fill="auto"/>
        </w:tcPr>
        <w:p w14:paraId="4289BF87" w14:textId="77777777" w:rsidR="00BD455F" w:rsidRPr="005C106F" w:rsidRDefault="00BD455F"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BD455F" w:rsidRDefault="00BD455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D455F" w14:paraId="39F88D19" w14:textId="77777777" w:rsidTr="00FF46FD">
            <w:trPr>
              <w:trHeight w:val="144"/>
            </w:trPr>
            <w:tc>
              <w:tcPr>
                <w:tcW w:w="2727" w:type="dxa"/>
              </w:tcPr>
              <w:p w14:paraId="4E3B62F5" w14:textId="77777777" w:rsidR="00BD455F" w:rsidRPr="00FF46FD" w:rsidRDefault="00BD455F"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7502DC4" w14:textId="77777777" w:rsidR="00BD455F" w:rsidRPr="00FF46FD" w:rsidRDefault="00BD455F" w:rsidP="00E43A0F">
                <w:pPr>
                  <w:tabs>
                    <w:tab w:val="right" w:pos="8838"/>
                  </w:tabs>
                  <w:ind w:left="-28" w:right="171"/>
                  <w:jc w:val="both"/>
                  <w:rPr>
                    <w:rFonts w:ascii="Palatino Linotype" w:eastAsia="Calibri" w:hAnsi="Palatino Linotype" w:cs="Tahoma"/>
                    <w:bCs/>
                    <w:sz w:val="24"/>
                    <w:szCs w:val="24"/>
                    <w:lang w:eastAsia="en-US"/>
                  </w:rPr>
                </w:pPr>
                <w:r w:rsidRPr="00BF03EB">
                  <w:rPr>
                    <w:rFonts w:ascii="Palatino Linotype" w:eastAsia="Calibri" w:hAnsi="Palatino Linotype" w:cs="Tahoma"/>
                    <w:bCs/>
                    <w:sz w:val="24"/>
                    <w:szCs w:val="24"/>
                    <w:lang w:eastAsia="en-US"/>
                  </w:rPr>
                  <w:t>01791/INFOEM/IP/RR/2019</w:t>
                </w:r>
              </w:p>
            </w:tc>
          </w:tr>
          <w:tr w:rsidR="00BD455F" w14:paraId="3385006F" w14:textId="77777777" w:rsidTr="00FF46FD">
            <w:trPr>
              <w:trHeight w:val="283"/>
            </w:trPr>
            <w:tc>
              <w:tcPr>
                <w:tcW w:w="2727" w:type="dxa"/>
              </w:tcPr>
              <w:p w14:paraId="0F49CA35" w14:textId="77777777" w:rsidR="00BD455F" w:rsidRPr="00FF46FD" w:rsidRDefault="00BD455F"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1CDF09BB" w14:textId="77777777" w:rsidR="00BD455F" w:rsidRPr="00FF46FD" w:rsidRDefault="00BD455F" w:rsidP="00E43A0F">
                <w:pPr>
                  <w:tabs>
                    <w:tab w:val="left" w:pos="2834"/>
                    <w:tab w:val="right" w:pos="8838"/>
                  </w:tabs>
                  <w:ind w:right="171"/>
                  <w:jc w:val="both"/>
                  <w:rPr>
                    <w:rFonts w:ascii="Palatino Linotype" w:eastAsia="Calibri" w:hAnsi="Palatino Linotype" w:cs="Tahoma"/>
                    <w:b/>
                    <w:sz w:val="24"/>
                    <w:szCs w:val="24"/>
                    <w:lang w:eastAsia="en-US"/>
                  </w:rPr>
                </w:pPr>
                <w:r w:rsidRPr="00CC34C5">
                  <w:rPr>
                    <w:rFonts w:ascii="Palatino Linotype" w:eastAsia="Calibri" w:hAnsi="Palatino Linotype" w:cs="Tahoma"/>
                    <w:sz w:val="22"/>
                    <w:szCs w:val="22"/>
                    <w:lang w:eastAsia="en-US"/>
                  </w:rPr>
                  <w:t>Ayuntamiento de Rayón</w:t>
                </w:r>
              </w:p>
            </w:tc>
          </w:tr>
          <w:tr w:rsidR="00BD455F" w14:paraId="341FB120" w14:textId="77777777" w:rsidTr="00FF46FD">
            <w:trPr>
              <w:trHeight w:val="283"/>
            </w:trPr>
            <w:tc>
              <w:tcPr>
                <w:tcW w:w="2727" w:type="dxa"/>
              </w:tcPr>
              <w:p w14:paraId="106E7054" w14:textId="77777777" w:rsidR="00BD455F" w:rsidRPr="00FF46FD" w:rsidRDefault="00BD455F"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77D7FD5C" w14:textId="77777777" w:rsidR="00BD455F" w:rsidRPr="00FF46FD" w:rsidRDefault="00BD455F"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EDAF875" w14:textId="77777777" w:rsidR="00BD455F" w:rsidRPr="005C106F" w:rsidRDefault="00BD455F" w:rsidP="005743D2">
          <w:pPr>
            <w:tabs>
              <w:tab w:val="right" w:pos="8838"/>
            </w:tabs>
            <w:ind w:left="-28"/>
            <w:jc w:val="both"/>
            <w:rPr>
              <w:rFonts w:ascii="Arial" w:eastAsia="Calibri" w:hAnsi="Arial" w:cs="Arial"/>
              <w:b/>
              <w:sz w:val="22"/>
              <w:szCs w:val="22"/>
              <w:lang w:eastAsia="en-US"/>
            </w:rPr>
          </w:pPr>
        </w:p>
      </w:tc>
    </w:tr>
  </w:tbl>
  <w:p w14:paraId="0488DE90" w14:textId="77777777" w:rsidR="00BD455F" w:rsidRDefault="00BD455F" w:rsidP="00EF4A64">
    <w:pPr>
      <w:pStyle w:val="Encabezado"/>
      <w:rPr>
        <w:sz w:val="14"/>
      </w:rPr>
    </w:pPr>
  </w:p>
  <w:p w14:paraId="11CF0039" w14:textId="77777777" w:rsidR="00BB545D" w:rsidRDefault="00BB545D" w:rsidP="00EF4A64">
    <w:pPr>
      <w:pStyle w:val="Encabezado"/>
      <w:rPr>
        <w:sz w:val="14"/>
      </w:rPr>
    </w:pPr>
  </w:p>
  <w:p w14:paraId="4D48503D" w14:textId="77777777" w:rsidR="00BD455F" w:rsidRPr="00443C6B" w:rsidRDefault="00BD455F"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D455F" w:rsidRPr="00330DA7" w14:paraId="0756BAA3" w14:textId="77777777" w:rsidTr="003B165A">
      <w:trPr>
        <w:trHeight w:val="1435"/>
      </w:trPr>
      <w:tc>
        <w:tcPr>
          <w:tcW w:w="2835" w:type="dxa"/>
          <w:shd w:val="clear" w:color="auto" w:fill="auto"/>
        </w:tcPr>
        <w:p w14:paraId="79A199F2" w14:textId="77777777" w:rsidR="00BD455F" w:rsidRPr="00330DA7" w:rsidRDefault="00BD455F" w:rsidP="00DB7E5F">
          <w:pPr>
            <w:tabs>
              <w:tab w:val="right" w:pos="4273"/>
            </w:tabs>
            <w:rPr>
              <w:rFonts w:ascii="Garamond" w:eastAsia="Calibri" w:hAnsi="Garamond"/>
              <w:sz w:val="22"/>
              <w:szCs w:val="22"/>
              <w:lang w:eastAsia="en-US"/>
            </w:rPr>
          </w:pPr>
          <w:bookmarkStart w:id="0" w:name="_GoBack"/>
          <w:bookmarkEnd w:id="0"/>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D455F" w:rsidRPr="00330DA7" w14:paraId="1FED1AD9" w14:textId="77777777" w:rsidTr="001171BD">
            <w:trPr>
              <w:trHeight w:val="144"/>
            </w:trPr>
            <w:tc>
              <w:tcPr>
                <w:tcW w:w="2727" w:type="dxa"/>
              </w:tcPr>
              <w:p w14:paraId="479BE2EF" w14:textId="77777777" w:rsidR="00BD455F" w:rsidRPr="00330DA7" w:rsidRDefault="00BD455F"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425DB4C7" w14:textId="77777777" w:rsidR="00BD455F" w:rsidRPr="00330DA7" w:rsidRDefault="00BD455F" w:rsidP="00CC34C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1791/</w:t>
                </w:r>
                <w:r w:rsidRPr="00330DA7">
                  <w:rPr>
                    <w:rFonts w:ascii="Palatino Linotype" w:eastAsia="Calibri" w:hAnsi="Palatino Linotype" w:cs="Tahoma"/>
                    <w:bCs/>
                    <w:sz w:val="22"/>
                    <w:szCs w:val="22"/>
                    <w:lang w:eastAsia="en-US"/>
                  </w:rPr>
                  <w:t>INFOEM/IP/RR/2019</w:t>
                </w:r>
              </w:p>
            </w:tc>
          </w:tr>
          <w:tr w:rsidR="00BD455F" w:rsidRPr="00330DA7" w14:paraId="660FE942" w14:textId="77777777" w:rsidTr="001171BD">
            <w:trPr>
              <w:trHeight w:val="144"/>
            </w:trPr>
            <w:tc>
              <w:tcPr>
                <w:tcW w:w="2727" w:type="dxa"/>
              </w:tcPr>
              <w:p w14:paraId="662BC787" w14:textId="77777777" w:rsidR="00BD455F" w:rsidRPr="00330DA7" w:rsidRDefault="00BD455F"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14:paraId="389277EF" w14:textId="0B0A4AA0" w:rsidR="00BD455F" w:rsidRPr="00330DA7" w:rsidRDefault="00EF69C4" w:rsidP="00CC34C5">
                <w:pPr>
                  <w:tabs>
                    <w:tab w:val="left" w:pos="3122"/>
                    <w:tab w:val="right" w:pos="8838"/>
                  </w:tabs>
                  <w:ind w:left="-74" w:right="-105"/>
                  <w:jc w:val="both"/>
                  <w:rPr>
                    <w:rFonts w:ascii="Palatino Linotype" w:eastAsia="Calibri" w:hAnsi="Palatino Linotype" w:cs="Tahoma"/>
                    <w:sz w:val="22"/>
                    <w:szCs w:val="22"/>
                    <w:lang w:eastAsia="en-US"/>
                  </w:rPr>
                </w:pPr>
                <w:proofErr w:type="spellStart"/>
                <w:r w:rsidRPr="00EF69C4">
                  <w:rPr>
                    <w:rFonts w:ascii="Palatino Linotype" w:eastAsia="Calibri" w:hAnsi="Palatino Linotype" w:cs="Tahoma"/>
                    <w:sz w:val="22"/>
                    <w:szCs w:val="22"/>
                    <w:highlight w:val="black"/>
                    <w:lang w:eastAsia="en-US"/>
                  </w:rPr>
                  <w:t>xxxxxxxxxxxxxxxxxx</w:t>
                </w:r>
                <w:proofErr w:type="spellEnd"/>
              </w:p>
            </w:tc>
          </w:tr>
          <w:tr w:rsidR="00BD455F" w:rsidRPr="00330DA7" w14:paraId="215691A8" w14:textId="77777777" w:rsidTr="001171BD">
            <w:trPr>
              <w:trHeight w:val="283"/>
            </w:trPr>
            <w:tc>
              <w:tcPr>
                <w:tcW w:w="2727" w:type="dxa"/>
              </w:tcPr>
              <w:p w14:paraId="0B74763A" w14:textId="77777777" w:rsidR="00BD455F" w:rsidRPr="00330DA7" w:rsidRDefault="00BD455F"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77777777" w:rsidR="00BD455F" w:rsidRPr="00330DA7" w:rsidRDefault="00BD455F" w:rsidP="00844CB5">
                <w:pPr>
                  <w:tabs>
                    <w:tab w:val="left" w:pos="2834"/>
                    <w:tab w:val="right" w:pos="8838"/>
                  </w:tabs>
                  <w:ind w:left="-74" w:right="-105"/>
                  <w:jc w:val="both"/>
                  <w:rPr>
                    <w:rFonts w:ascii="Palatino Linotype" w:eastAsia="Calibri" w:hAnsi="Palatino Linotype" w:cs="Tahoma"/>
                    <w:b/>
                    <w:sz w:val="22"/>
                    <w:szCs w:val="22"/>
                    <w:lang w:eastAsia="en-US"/>
                  </w:rPr>
                </w:pPr>
                <w:r w:rsidRPr="00CC34C5">
                  <w:rPr>
                    <w:rFonts w:ascii="Palatino Linotype" w:eastAsia="Calibri" w:hAnsi="Palatino Linotype" w:cs="Tahoma"/>
                    <w:sz w:val="22"/>
                    <w:szCs w:val="22"/>
                    <w:lang w:eastAsia="en-US"/>
                  </w:rPr>
                  <w:t>Ayuntamiento de Rayón</w:t>
                </w:r>
              </w:p>
            </w:tc>
          </w:tr>
          <w:tr w:rsidR="00BD455F" w:rsidRPr="00330DA7" w14:paraId="6B309D42" w14:textId="77777777" w:rsidTr="001171BD">
            <w:trPr>
              <w:trHeight w:val="283"/>
            </w:trPr>
            <w:tc>
              <w:tcPr>
                <w:tcW w:w="2727" w:type="dxa"/>
              </w:tcPr>
              <w:p w14:paraId="111E9634" w14:textId="77777777" w:rsidR="00BD455F" w:rsidRPr="00330DA7" w:rsidRDefault="00BD455F"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BD455F" w:rsidRPr="00330DA7" w:rsidRDefault="00BD455F"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BD455F" w:rsidRPr="00330DA7" w:rsidRDefault="00BD455F" w:rsidP="00DB7E5F">
          <w:pPr>
            <w:tabs>
              <w:tab w:val="right" w:pos="8838"/>
            </w:tabs>
            <w:ind w:left="-28"/>
            <w:jc w:val="both"/>
            <w:rPr>
              <w:rFonts w:ascii="Arial" w:eastAsia="Calibri" w:hAnsi="Arial" w:cs="Arial"/>
              <w:b/>
              <w:sz w:val="22"/>
              <w:szCs w:val="22"/>
              <w:lang w:eastAsia="en-US"/>
            </w:rPr>
          </w:pPr>
        </w:p>
      </w:tc>
    </w:tr>
  </w:tbl>
  <w:p w14:paraId="2542BF81" w14:textId="77777777" w:rsidR="00BD455F" w:rsidRDefault="00BD455F" w:rsidP="00B727C5">
    <w:pPr>
      <w:pStyle w:val="Encabezado"/>
      <w:rPr>
        <w:sz w:val="22"/>
        <w:szCs w:val="22"/>
      </w:rPr>
    </w:pPr>
  </w:p>
  <w:p w14:paraId="0CB98BDD" w14:textId="77777777" w:rsidR="00BD455F" w:rsidRPr="009D5C33" w:rsidRDefault="00BD455F" w:rsidP="00B727C5">
    <w:pPr>
      <w:pStyle w:val="Encabezado"/>
      <w:rPr>
        <w:sz w:val="3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907898"/>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A3131"/>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7"/>
  </w:num>
  <w:num w:numId="2">
    <w:abstractNumId w:val="0"/>
  </w:num>
  <w:num w:numId="3">
    <w:abstractNumId w:val="4"/>
  </w:num>
  <w:num w:numId="4">
    <w:abstractNumId w:val="46"/>
  </w:num>
  <w:num w:numId="5">
    <w:abstractNumId w:val="11"/>
  </w:num>
  <w:num w:numId="6">
    <w:abstractNumId w:val="43"/>
  </w:num>
  <w:num w:numId="7">
    <w:abstractNumId w:val="10"/>
  </w:num>
  <w:num w:numId="8">
    <w:abstractNumId w:val="42"/>
  </w:num>
  <w:num w:numId="9">
    <w:abstractNumId w:val="19"/>
  </w:num>
  <w:num w:numId="10">
    <w:abstractNumId w:val="1"/>
  </w:num>
  <w:num w:numId="11">
    <w:abstractNumId w:val="15"/>
  </w:num>
  <w:num w:numId="12">
    <w:abstractNumId w:val="33"/>
  </w:num>
  <w:num w:numId="13">
    <w:abstractNumId w:val="40"/>
  </w:num>
  <w:num w:numId="14">
    <w:abstractNumId w:val="26"/>
  </w:num>
  <w:num w:numId="15">
    <w:abstractNumId w:val="21"/>
  </w:num>
  <w:num w:numId="16">
    <w:abstractNumId w:val="22"/>
  </w:num>
  <w:num w:numId="17">
    <w:abstractNumId w:val="18"/>
  </w:num>
  <w:num w:numId="18">
    <w:abstractNumId w:val="25"/>
  </w:num>
  <w:num w:numId="19">
    <w:abstractNumId w:val="29"/>
  </w:num>
  <w:num w:numId="20">
    <w:abstractNumId w:val="30"/>
  </w:num>
  <w:num w:numId="21">
    <w:abstractNumId w:val="2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34"/>
  </w:num>
  <w:num w:numId="26">
    <w:abstractNumId w:val="13"/>
  </w:num>
  <w:num w:numId="27">
    <w:abstractNumId w:val="5"/>
  </w:num>
  <w:num w:numId="28">
    <w:abstractNumId w:val="6"/>
  </w:num>
  <w:num w:numId="29">
    <w:abstractNumId w:val="39"/>
  </w:num>
  <w:num w:numId="30">
    <w:abstractNumId w:val="35"/>
  </w:num>
  <w:num w:numId="31">
    <w:abstractNumId w:val="27"/>
  </w:num>
  <w:num w:numId="32">
    <w:abstractNumId w:val="14"/>
  </w:num>
  <w:num w:numId="33">
    <w:abstractNumId w:val="44"/>
  </w:num>
  <w:num w:numId="34">
    <w:abstractNumId w:val="45"/>
  </w:num>
  <w:num w:numId="35">
    <w:abstractNumId w:val="37"/>
  </w:num>
  <w:num w:numId="36">
    <w:abstractNumId w:val="12"/>
  </w:num>
  <w:num w:numId="37">
    <w:abstractNumId w:val="31"/>
  </w:num>
  <w:num w:numId="38">
    <w:abstractNumId w:val="8"/>
  </w:num>
  <w:num w:numId="39">
    <w:abstractNumId w:val="28"/>
  </w:num>
  <w:num w:numId="40">
    <w:abstractNumId w:val="36"/>
  </w:num>
  <w:num w:numId="41">
    <w:abstractNumId w:val="17"/>
  </w:num>
  <w:num w:numId="42">
    <w:abstractNumId w:val="7"/>
  </w:num>
  <w:num w:numId="43">
    <w:abstractNumId w:val="2"/>
  </w:num>
  <w:num w:numId="44">
    <w:abstractNumId w:val="23"/>
  </w:num>
  <w:num w:numId="45">
    <w:abstractNumId w:val="32"/>
  </w:num>
  <w:num w:numId="46">
    <w:abstractNumId w:val="9"/>
  </w:num>
  <w:num w:numId="47">
    <w:abstractNumId w:val="16"/>
  </w:num>
  <w:num w:numId="4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747"/>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2D6C"/>
    <w:rsid w:val="00182DCE"/>
    <w:rsid w:val="00182F0F"/>
    <w:rsid w:val="00183D24"/>
    <w:rsid w:val="001851A6"/>
    <w:rsid w:val="001875A7"/>
    <w:rsid w:val="001879E1"/>
    <w:rsid w:val="0019151D"/>
    <w:rsid w:val="0019389B"/>
    <w:rsid w:val="00196522"/>
    <w:rsid w:val="001A1B94"/>
    <w:rsid w:val="001A22F5"/>
    <w:rsid w:val="001A4B83"/>
    <w:rsid w:val="001A7FD2"/>
    <w:rsid w:val="001B107D"/>
    <w:rsid w:val="001B2CD9"/>
    <w:rsid w:val="001B38FF"/>
    <w:rsid w:val="001B62A0"/>
    <w:rsid w:val="001C17B0"/>
    <w:rsid w:val="001C282F"/>
    <w:rsid w:val="001D0086"/>
    <w:rsid w:val="001D0094"/>
    <w:rsid w:val="001D00D6"/>
    <w:rsid w:val="001D67AC"/>
    <w:rsid w:val="001D7012"/>
    <w:rsid w:val="001D7BD2"/>
    <w:rsid w:val="001E2A4D"/>
    <w:rsid w:val="001E53C2"/>
    <w:rsid w:val="001E5541"/>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34DF"/>
    <w:rsid w:val="00295F53"/>
    <w:rsid w:val="002A0FB8"/>
    <w:rsid w:val="002A1B97"/>
    <w:rsid w:val="002A57D2"/>
    <w:rsid w:val="002A6193"/>
    <w:rsid w:val="002A66CD"/>
    <w:rsid w:val="002A7BD4"/>
    <w:rsid w:val="002A7F32"/>
    <w:rsid w:val="002B20A1"/>
    <w:rsid w:val="002B226E"/>
    <w:rsid w:val="002B3E72"/>
    <w:rsid w:val="002B46D4"/>
    <w:rsid w:val="002B54CF"/>
    <w:rsid w:val="002C06E4"/>
    <w:rsid w:val="002C0DC2"/>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45880"/>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0A3B"/>
    <w:rsid w:val="004D2B43"/>
    <w:rsid w:val="004D583C"/>
    <w:rsid w:val="004D5DB3"/>
    <w:rsid w:val="004E345F"/>
    <w:rsid w:val="004E3BBA"/>
    <w:rsid w:val="004E401B"/>
    <w:rsid w:val="004E41C7"/>
    <w:rsid w:val="004E7DB7"/>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C9B"/>
    <w:rsid w:val="00796F2A"/>
    <w:rsid w:val="007A0176"/>
    <w:rsid w:val="007A0314"/>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58DF"/>
    <w:rsid w:val="008D1369"/>
    <w:rsid w:val="008D2C4C"/>
    <w:rsid w:val="008D7E0D"/>
    <w:rsid w:val="008D7EDB"/>
    <w:rsid w:val="008E1829"/>
    <w:rsid w:val="008E1A61"/>
    <w:rsid w:val="008E2327"/>
    <w:rsid w:val="008E2D66"/>
    <w:rsid w:val="008E5077"/>
    <w:rsid w:val="008E54AD"/>
    <w:rsid w:val="008E64F0"/>
    <w:rsid w:val="008E6FF3"/>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8056C"/>
    <w:rsid w:val="00980900"/>
    <w:rsid w:val="00983EDC"/>
    <w:rsid w:val="00983EED"/>
    <w:rsid w:val="009849EF"/>
    <w:rsid w:val="00986DB7"/>
    <w:rsid w:val="00991FA0"/>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2AFF"/>
    <w:rsid w:val="00AA35D5"/>
    <w:rsid w:val="00AA417B"/>
    <w:rsid w:val="00AA533F"/>
    <w:rsid w:val="00AA5A86"/>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552E"/>
    <w:rsid w:val="00AF08DA"/>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45BEE"/>
    <w:rsid w:val="00B520F9"/>
    <w:rsid w:val="00B52812"/>
    <w:rsid w:val="00B5495A"/>
    <w:rsid w:val="00B568D8"/>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20B81"/>
    <w:rsid w:val="00D244BD"/>
    <w:rsid w:val="00D31CD5"/>
    <w:rsid w:val="00D34402"/>
    <w:rsid w:val="00D348F7"/>
    <w:rsid w:val="00D3564E"/>
    <w:rsid w:val="00D36EF4"/>
    <w:rsid w:val="00D371D0"/>
    <w:rsid w:val="00D4062A"/>
    <w:rsid w:val="00D40BC3"/>
    <w:rsid w:val="00D434EC"/>
    <w:rsid w:val="00D43E69"/>
    <w:rsid w:val="00D44E9D"/>
    <w:rsid w:val="00D472A7"/>
    <w:rsid w:val="00D51515"/>
    <w:rsid w:val="00D54BD5"/>
    <w:rsid w:val="00D575F0"/>
    <w:rsid w:val="00D60578"/>
    <w:rsid w:val="00D61A0E"/>
    <w:rsid w:val="00D71CF9"/>
    <w:rsid w:val="00D72264"/>
    <w:rsid w:val="00D7675E"/>
    <w:rsid w:val="00D80080"/>
    <w:rsid w:val="00D80F9D"/>
    <w:rsid w:val="00D80FFB"/>
    <w:rsid w:val="00D81BAE"/>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4BCD"/>
    <w:rsid w:val="00DD1107"/>
    <w:rsid w:val="00DD178F"/>
    <w:rsid w:val="00DD1FE4"/>
    <w:rsid w:val="00DE21BA"/>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69C4"/>
    <w:rsid w:val="00F02171"/>
    <w:rsid w:val="00F033EF"/>
    <w:rsid w:val="00F0528B"/>
    <w:rsid w:val="00F061A6"/>
    <w:rsid w:val="00F0710C"/>
    <w:rsid w:val="00F11AB3"/>
    <w:rsid w:val="00F14017"/>
    <w:rsid w:val="00F1684C"/>
    <w:rsid w:val="00F20633"/>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B7F"/>
    <w:rsid w:val="00F62370"/>
    <w:rsid w:val="00F628D3"/>
    <w:rsid w:val="00F62EF2"/>
    <w:rsid w:val="00F638C3"/>
    <w:rsid w:val="00F6497E"/>
    <w:rsid w:val="00F677E2"/>
    <w:rsid w:val="00F717E6"/>
    <w:rsid w:val="00F73751"/>
    <w:rsid w:val="00F75EAD"/>
    <w:rsid w:val="00F77154"/>
    <w:rsid w:val="00F80F33"/>
    <w:rsid w:val="00F846D6"/>
    <w:rsid w:val="00F86997"/>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EF19D92"/>
  <w15:docId w15:val="{167E6528-6553-47B5-887D-D97893C0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F8CD-DD24-4601-9A77-7470C9A9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7109</Words>
  <Characters>39104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USUARIO INFOEM</cp:lastModifiedBy>
  <cp:revision>2</cp:revision>
  <cp:lastPrinted>2019-06-05T23:13:00Z</cp:lastPrinted>
  <dcterms:created xsi:type="dcterms:W3CDTF">2019-05-29T17:45:00Z</dcterms:created>
  <dcterms:modified xsi:type="dcterms:W3CDTF">2019-07-01T15:22:00Z</dcterms:modified>
</cp:coreProperties>
</file>