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2523A">
        <w:rPr>
          <w:rFonts w:ascii="Palatino Linotype" w:hAnsi="Palatino Linotype" w:cs="Arial"/>
          <w:b/>
          <w:sz w:val="24"/>
          <w:szCs w:val="24"/>
        </w:rPr>
        <w:t>TERCERA</w:t>
      </w:r>
      <w:r w:rsidRPr="009F71D8">
        <w:rPr>
          <w:rFonts w:ascii="Palatino Linotype" w:hAnsi="Palatino Linotype" w:cs="Arial"/>
          <w:b/>
          <w:sz w:val="24"/>
          <w:szCs w:val="24"/>
        </w:rPr>
        <w:t xml:space="preserve"> SESIÓN ORDINARIA DE </w:t>
      </w:r>
      <w:r w:rsidR="0032523A">
        <w:rPr>
          <w:rFonts w:ascii="Palatino Linotype" w:hAnsi="Palatino Linotype" w:cs="Arial"/>
          <w:b/>
          <w:sz w:val="24"/>
          <w:szCs w:val="24"/>
        </w:rPr>
        <w:t>VEINTINUEVE</w:t>
      </w:r>
      <w:r w:rsidR="00694104">
        <w:rPr>
          <w:rFonts w:ascii="Palatino Linotype" w:hAnsi="Palatino Linotype" w:cs="Arial"/>
          <w:b/>
          <w:sz w:val="24"/>
          <w:szCs w:val="24"/>
        </w:rPr>
        <w:t xml:space="preserve"> DE ENERO DE DOS MIL VEINTE</w:t>
      </w:r>
      <w:r w:rsidRPr="009F71D8">
        <w:rPr>
          <w:rFonts w:ascii="Palatino Linotype" w:hAnsi="Palatino Linotype" w:cs="Arial"/>
          <w:b/>
          <w:sz w:val="24"/>
          <w:szCs w:val="24"/>
        </w:rPr>
        <w:t xml:space="preserve">, EN EL RECURSO DE REVISIÓN </w:t>
      </w:r>
      <w:r w:rsidR="0032523A">
        <w:rPr>
          <w:rFonts w:ascii="Palatino Linotype" w:hAnsi="Palatino Linotype" w:cs="Arial"/>
          <w:b/>
          <w:bCs/>
          <w:sz w:val="24"/>
          <w:szCs w:val="24"/>
        </w:rPr>
        <w:t>08571</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32523A">
        <w:rPr>
          <w:rFonts w:ascii="Palatino Linotype" w:hAnsi="Palatino Linotype" w:cs="Arial"/>
          <w:b/>
          <w:bCs/>
          <w:sz w:val="24"/>
          <w:szCs w:val="24"/>
        </w:rPr>
        <w:t>08571</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694104">
        <w:rPr>
          <w:rFonts w:ascii="Palatino Linotype" w:hAnsi="Palatino Linotype" w:cs="Arial"/>
          <w:sz w:val="24"/>
          <w:szCs w:val="24"/>
        </w:rPr>
        <w:t xml:space="preserve">el Comisionado </w:t>
      </w:r>
      <w:r w:rsidR="0032523A">
        <w:rPr>
          <w:rFonts w:ascii="Palatino Linotype" w:hAnsi="Palatino Linotype" w:cs="Arial"/>
          <w:b/>
          <w:sz w:val="24"/>
          <w:szCs w:val="24"/>
        </w:rPr>
        <w:t>LUIS GUSTAVO PARRA NORIEGA</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DD6808" w:rsidRDefault="00222D15" w:rsidP="00694104">
      <w:pPr>
        <w:spacing w:before="240"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32523A" w:rsidRPr="0032523A">
        <w:rPr>
          <w:rFonts w:ascii="Palatino Linotype" w:hAnsi="Palatino Linotype" w:cs="Arial"/>
          <w:b/>
          <w:sz w:val="24"/>
          <w:szCs w:val="24"/>
        </w:rPr>
        <w:t>Ayuntamiento de Chalco</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32523A">
        <w:rPr>
          <w:rFonts w:ascii="Palatino Linotype" w:hAnsi="Palatino Linotype"/>
          <w:sz w:val="24"/>
          <w:szCs w:val="24"/>
        </w:rPr>
        <w:t>lo siguiente.</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tblGrid>
      <w:tr w:rsidR="0032523A" w:rsidRPr="0032523A" w:rsidTr="00045B6F">
        <w:tc>
          <w:tcPr>
            <w:tcW w:w="7654"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hAnsi="Palatino Linotype" w:cs="Tahoma"/>
                <w:bCs/>
                <w:i/>
              </w:rPr>
              <w:lastRenderedPageBreak/>
              <w:t xml:space="preserve">1. Los perfiles o </w:t>
            </w:r>
            <w:proofErr w:type="spellStart"/>
            <w:r w:rsidRPr="0032523A">
              <w:rPr>
                <w:rFonts w:ascii="Palatino Linotype" w:hAnsi="Palatino Linotype" w:cs="Tahoma"/>
                <w:bCs/>
                <w:i/>
              </w:rPr>
              <w:t>curricula</w:t>
            </w:r>
            <w:proofErr w:type="spellEnd"/>
            <w:r w:rsidRPr="0032523A">
              <w:rPr>
                <w:rFonts w:ascii="Palatino Linotype" w:hAnsi="Palatino Linotype" w:cs="Tahoma"/>
                <w:bCs/>
                <w:i/>
              </w:rPr>
              <w:t xml:space="preserve"> de los 7 aspirantes que acudieron a la convocatoria para la Defensoría de Derechos Humanos en el Municipio Chalco. </w:t>
            </w:r>
          </w:p>
        </w:tc>
      </w:tr>
      <w:tr w:rsidR="0032523A" w:rsidRPr="0032523A" w:rsidTr="00045B6F">
        <w:tc>
          <w:tcPr>
            <w:tcW w:w="7654"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hAnsi="Palatino Linotype" w:cs="Tahoma"/>
                <w:bCs/>
                <w:i/>
              </w:rPr>
              <w:t xml:space="preserve">2. Forma y medios en que se dio a conocer a la sociedad civil, el nombre, perfil y méritos de los aspirantes que participaron en la convocatoria para ser titular de la Defensoría de Derechos Humanos en el Municipio Chalco. </w:t>
            </w:r>
          </w:p>
        </w:tc>
      </w:tr>
      <w:tr w:rsidR="0032523A" w:rsidRPr="0032523A" w:rsidTr="00045B6F">
        <w:tc>
          <w:tcPr>
            <w:tcW w:w="7654"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hAnsi="Palatino Linotype" w:cs="Tahoma"/>
                <w:bCs/>
                <w:i/>
              </w:rPr>
              <w:t xml:space="preserve">3. Declaratoria de la terna realizada por la Comisión Municipal de Derechos Humanos. Así como el perfil, méritos de cada integrante de la terna. </w:t>
            </w:r>
          </w:p>
        </w:tc>
      </w:tr>
      <w:tr w:rsidR="0032523A" w:rsidRPr="0032523A" w:rsidTr="00045B6F">
        <w:tc>
          <w:tcPr>
            <w:tcW w:w="7654"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hAnsi="Palatino Linotype" w:cs="Tahoma"/>
                <w:bCs/>
                <w:i/>
              </w:rPr>
              <w:t xml:space="preserve">4. La copia del acta de la sesión ordinaria de cabildo en la que fueron expuestos los planes de trabajo de los aspirantes que integraron la terna propuesta por la Comisión Municipal de Derechos Humanos, notificada al Ayuntamiento. Así como copia de los respectivos planes de trabajo. </w:t>
            </w:r>
          </w:p>
        </w:tc>
      </w:tr>
      <w:tr w:rsidR="0032523A" w:rsidRPr="0032523A" w:rsidTr="00045B6F">
        <w:tc>
          <w:tcPr>
            <w:tcW w:w="7654"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hAnsi="Palatino Linotype" w:cs="Tahoma"/>
                <w:bCs/>
                <w:i/>
              </w:rPr>
              <w:t xml:space="preserve">5. El Plan del Trabajo del titular de la Defensoría de Derechos Humanos en el Municipio Chalco designado por el Ayuntamiento. </w:t>
            </w:r>
          </w:p>
        </w:tc>
      </w:tr>
      <w:tr w:rsidR="0032523A" w:rsidRPr="0032523A" w:rsidTr="00045B6F">
        <w:tc>
          <w:tcPr>
            <w:tcW w:w="7654"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hAnsi="Palatino Linotype" w:cs="Tahoma"/>
                <w:bCs/>
                <w:i/>
              </w:rPr>
              <w:t>6. Copia del acta de sesión de cabildo en la que se haya llevado a cabo la designación de Defensor Municipal de Derechos Humanos, enviada a la Comisión de Derechos Humanos del Estado de México.</w:t>
            </w:r>
          </w:p>
        </w:tc>
      </w:tr>
    </w:tbl>
    <w:p w:rsidR="00EE0542" w:rsidRPr="00DD6808" w:rsidRDefault="00EE0542" w:rsidP="00DD6808">
      <w:pPr>
        <w:spacing w:before="240" w:line="240" w:lineRule="auto"/>
        <w:ind w:left="851" w:right="757"/>
        <w:jc w:val="both"/>
        <w:rPr>
          <w:rFonts w:ascii="Palatino Linotype" w:hAnsi="Palatino Linotype" w:cs="Arial"/>
          <w:sz w:val="24"/>
        </w:rPr>
      </w:pPr>
    </w:p>
    <w:p w:rsidR="008C3005" w:rsidRDefault="00222D15" w:rsidP="00121F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56331">
        <w:rPr>
          <w:rFonts w:ascii="Palatino Linotype" w:hAnsi="Palatino Linotype" w:cs="Arial"/>
          <w:b/>
          <w:sz w:val="24"/>
          <w:szCs w:val="24"/>
        </w:rPr>
        <w:t xml:space="preserve">, </w:t>
      </w:r>
      <w:r w:rsidR="00E56331">
        <w:rPr>
          <w:rFonts w:ascii="Palatino Linotype" w:hAnsi="Palatino Linotype" w:cs="Arial"/>
          <w:sz w:val="24"/>
          <w:szCs w:val="24"/>
        </w:rPr>
        <w:t xml:space="preserve">a través de su respuesta </w:t>
      </w:r>
      <w:r w:rsidR="0032523A">
        <w:rPr>
          <w:rFonts w:ascii="Palatino Linotype" w:hAnsi="Palatino Linotype" w:cs="Arial"/>
          <w:sz w:val="24"/>
          <w:szCs w:val="24"/>
        </w:rPr>
        <w:t>remitió lo que se desagrega a continuación:</w:t>
      </w:r>
    </w:p>
    <w:tbl>
      <w:tblPr>
        <w:tblStyle w:val="Tablaconcuadrcula"/>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8"/>
      </w:tblGrid>
      <w:tr w:rsidR="0032523A" w:rsidRPr="0032523A" w:rsidTr="00045B6F">
        <w:tc>
          <w:tcPr>
            <w:tcW w:w="7518"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eastAsia="Calibri" w:hAnsi="Palatino Linotype" w:cs="Tahoma"/>
                <w:i/>
                <w:iCs/>
                <w:lang w:eastAsia="es-ES_tradnl"/>
              </w:rPr>
              <w:t>1. Remitió 7 archivos en formato PDF, que contienen los Currículum en versión pública de las personas aspirantes que acudieron a la convocatoria para el cargo de Defensor Municipal de Derechos Humanos en el Municipio de Chalco. Así mismo, se envía archivo en PDF que contiene el Acta del Comité de Transparencia, del Acuerdo número CTMCH/041/2019, donde se aprobó la clasificación de la información como confidencial y se autorizó la realización de la versión pública de los currículum vitae.</w:t>
            </w:r>
          </w:p>
        </w:tc>
      </w:tr>
      <w:tr w:rsidR="0032523A" w:rsidRPr="0032523A" w:rsidTr="00045B6F">
        <w:tc>
          <w:tcPr>
            <w:tcW w:w="7518"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eastAsia="Calibri" w:hAnsi="Palatino Linotype" w:cs="Tahoma"/>
                <w:i/>
                <w:iCs/>
                <w:lang w:eastAsia="es-ES_tradnl"/>
              </w:rPr>
              <w:lastRenderedPageBreak/>
              <w:t xml:space="preserve">2. El medio por el cual se dio a conocer a la sociedad civil, fue mediante la página oficial del Gobierno de Chalco, en el Boletín número 107, con la siguiente liga: </w:t>
            </w:r>
            <w:hyperlink r:id="rId8" w:history="1">
              <w:r w:rsidRPr="0032523A">
                <w:rPr>
                  <w:rStyle w:val="Hipervnculo"/>
                  <w:rFonts w:ascii="Palatino Linotype" w:eastAsia="Calibri" w:hAnsi="Palatino Linotype" w:cs="Tahoma"/>
                  <w:i/>
                  <w:iCs/>
                  <w:lang w:eastAsia="es-ES_tradnl"/>
                </w:rPr>
                <w:t>https://gobiernodechalco.gob.mx/prensa/190-boletin-comision-de-derechos-humanos-del-gobierno-de-chalco-realiza-consulta-publica-para-eleccion-del-defensor-municipal</w:t>
              </w:r>
            </w:hyperlink>
            <w:r w:rsidRPr="0032523A">
              <w:rPr>
                <w:rFonts w:ascii="Palatino Linotype" w:eastAsia="Calibri" w:hAnsi="Palatino Linotype" w:cs="Tahoma"/>
                <w:i/>
                <w:iCs/>
                <w:lang w:eastAsia="es-ES_tradnl"/>
              </w:rPr>
              <w:t xml:space="preserve">.  </w:t>
            </w:r>
          </w:p>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eastAsia="Calibri" w:hAnsi="Palatino Linotype" w:cs="Tahoma"/>
                <w:i/>
                <w:iCs/>
                <w:lang w:eastAsia="es-ES_tradnl"/>
              </w:rPr>
              <w:t>La cual funciona y da acceso al Boletín 107.-Comisión de Derechos Humanos del Gobierno de Chalco realiza consulta pública para elección del Defensor Municipal.</w:t>
            </w:r>
          </w:p>
        </w:tc>
      </w:tr>
      <w:tr w:rsidR="0032523A" w:rsidRPr="0032523A" w:rsidTr="00045B6F">
        <w:tc>
          <w:tcPr>
            <w:tcW w:w="7518"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eastAsia="Calibri" w:hAnsi="Palatino Linotype" w:cs="Tahoma"/>
                <w:i/>
                <w:iCs/>
                <w:lang w:eastAsia="es-ES_tradnl"/>
              </w:rPr>
              <w:t>3. Remitió en archivo PDF el Acta de la Declaratoria de Terna realizada por la Comisión Municipal de Derechos Humanos.</w:t>
            </w:r>
          </w:p>
        </w:tc>
      </w:tr>
      <w:tr w:rsidR="0032523A" w:rsidRPr="0032523A" w:rsidTr="00045B6F">
        <w:tc>
          <w:tcPr>
            <w:tcW w:w="7518"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eastAsia="Calibri" w:hAnsi="Palatino Linotype" w:cs="Tahoma"/>
                <w:i/>
                <w:iCs/>
                <w:lang w:eastAsia="es-ES_tradnl"/>
              </w:rPr>
              <w:t>4. Envió copia en formato PDF, del Acta de Cabildo No. 50, de fecha 30 de septiembre de 2019, mediante la cual se expusieron los planes de trabajo de los aspirantes de la terna.</w:t>
            </w:r>
          </w:p>
        </w:tc>
      </w:tr>
      <w:tr w:rsidR="0032523A" w:rsidRPr="0032523A" w:rsidTr="00045B6F">
        <w:tc>
          <w:tcPr>
            <w:tcW w:w="7518"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eastAsia="Calibri" w:hAnsi="Palatino Linotype" w:cs="Tahoma"/>
                <w:i/>
                <w:iCs/>
                <w:lang w:eastAsia="es-ES_tradnl"/>
              </w:rPr>
              <w:t>5. Envío copia en formato PDF, del Plan de Trabajo del aspirante que fue designado por el Ayuntamiento.</w:t>
            </w:r>
          </w:p>
        </w:tc>
      </w:tr>
      <w:tr w:rsidR="0032523A" w:rsidRPr="0032523A" w:rsidTr="00045B6F">
        <w:tc>
          <w:tcPr>
            <w:tcW w:w="7518" w:type="dxa"/>
          </w:tcPr>
          <w:p w:rsidR="0032523A" w:rsidRPr="0032523A" w:rsidRDefault="0032523A" w:rsidP="0032523A">
            <w:pPr>
              <w:tabs>
                <w:tab w:val="left" w:pos="4962"/>
              </w:tabs>
              <w:spacing w:before="240"/>
              <w:jc w:val="both"/>
              <w:rPr>
                <w:rFonts w:ascii="Palatino Linotype" w:eastAsia="Calibri" w:hAnsi="Palatino Linotype" w:cs="Tahoma"/>
                <w:i/>
                <w:iCs/>
                <w:lang w:eastAsia="es-ES_tradnl"/>
              </w:rPr>
            </w:pPr>
            <w:r w:rsidRPr="0032523A">
              <w:rPr>
                <w:rFonts w:ascii="Palatino Linotype" w:eastAsia="Calibri" w:hAnsi="Palatino Linotype" w:cs="Tahoma"/>
                <w:i/>
                <w:iCs/>
                <w:lang w:eastAsia="es-ES_tradnl"/>
              </w:rPr>
              <w:t>6. Remitió en copia en formato PDF, del Acta de Cabildo No. 50, de fecha 30 de septiembre del año en curso, mediante la cual se designó al Defensor Municipal de Derechos Humanos del Municipio de Chalco.</w:t>
            </w:r>
          </w:p>
        </w:tc>
      </w:tr>
    </w:tbl>
    <w:p w:rsidR="00E97C45"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5848D9">
        <w:rPr>
          <w:rFonts w:ascii="Palatino Linotype" w:hAnsi="Palatino Linotype" w:cs="Arial"/>
          <w:sz w:val="24"/>
          <w:szCs w:val="24"/>
        </w:rPr>
        <w:t xml:space="preserve"> 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AA2FDF">
        <w:rPr>
          <w:rFonts w:ascii="Palatino Linotype" w:hAnsi="Palatino Linotype" w:cs="Arial"/>
          <w:sz w:val="24"/>
          <w:szCs w:val="24"/>
        </w:rPr>
        <w:t>que no se hacía entrega de la totalidad de los planes de trabajo.</w:t>
      </w:r>
    </w:p>
    <w:p w:rsidR="00AA2FDF" w:rsidRPr="00AA2FDF" w:rsidRDefault="00AA2FDF"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En un acto procesal posterior, se puede advertir que </w:t>
      </w:r>
      <w:r w:rsidRPr="00AA2FDF">
        <w:rPr>
          <w:rFonts w:ascii="Palatino Linotype" w:hAnsi="Palatino Linotype" w:cs="Arial"/>
          <w:b/>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 xml:space="preserve">rindió su Informe Justificado, remitiendo así los planes de trabajo faltantes de los aspirantes a defensor municipal, mismos que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puso a disposición del particular.</w:t>
      </w:r>
    </w:p>
    <w:p w:rsidR="005E0746" w:rsidRDefault="00222D15" w:rsidP="005E0746">
      <w:pPr>
        <w:pStyle w:val="Sinespaciado"/>
        <w:spacing w:line="360" w:lineRule="auto"/>
        <w:jc w:val="both"/>
        <w:rPr>
          <w:rFonts w:ascii="Palatino Linotype" w:eastAsia="Calibri" w:hAnsi="Palatino Linotype" w:cs="Arial"/>
          <w:sz w:val="24"/>
          <w:szCs w:val="24"/>
        </w:rPr>
      </w:pPr>
      <w:r w:rsidRPr="009F71D8">
        <w:rPr>
          <w:rFonts w:ascii="Palatino Linotype" w:hAnsi="Palatino Linotype" w:cs="Arial"/>
          <w:sz w:val="24"/>
          <w:szCs w:val="24"/>
        </w:rPr>
        <w:lastRenderedPageBreak/>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w:t>
      </w:r>
      <w:proofErr w:type="spellStart"/>
      <w:r w:rsidRPr="009F71D8">
        <w:rPr>
          <w:rFonts w:ascii="Palatino Linotype" w:hAnsi="Palatino Linotype" w:cs="Arial"/>
          <w:sz w:val="24"/>
          <w:szCs w:val="24"/>
        </w:rPr>
        <w:t>Resolutora</w:t>
      </w:r>
      <w:proofErr w:type="spellEnd"/>
      <w:r w:rsidRPr="009F71D8">
        <w:rPr>
          <w:rFonts w:ascii="Palatino Linotype" w:hAnsi="Palatino Linotype" w:cs="Arial"/>
          <w:sz w:val="24"/>
          <w:szCs w:val="24"/>
        </w:rPr>
        <w:t xml:space="preserve"> determinó </w:t>
      </w:r>
      <w:r w:rsidR="00AA2FDF" w:rsidRPr="00AA2FDF">
        <w:rPr>
          <w:rFonts w:ascii="Palatino Linotype" w:hAnsi="Palatino Linotype"/>
          <w:b/>
          <w:sz w:val="24"/>
          <w:szCs w:val="24"/>
        </w:rPr>
        <w:t>SOBRESEE</w:t>
      </w:r>
      <w:r w:rsidR="00AA2FDF">
        <w:rPr>
          <w:rFonts w:ascii="Palatino Linotype" w:hAnsi="Palatino Linotype"/>
          <w:b/>
          <w:sz w:val="24"/>
          <w:szCs w:val="24"/>
        </w:rPr>
        <w:t>R</w:t>
      </w:r>
      <w:r w:rsidR="00AA2FDF" w:rsidRPr="00AA2FDF">
        <w:rPr>
          <w:rFonts w:ascii="Palatino Linotype" w:hAnsi="Palatino Linotype"/>
          <w:b/>
          <w:sz w:val="24"/>
          <w:szCs w:val="24"/>
        </w:rPr>
        <w:t xml:space="preserve"> </w:t>
      </w:r>
      <w:r w:rsidR="00AA2FDF" w:rsidRPr="00AA2FDF">
        <w:rPr>
          <w:rFonts w:ascii="Palatino Linotype" w:hAnsi="Palatino Linotype"/>
          <w:sz w:val="24"/>
          <w:szCs w:val="24"/>
        </w:rPr>
        <w:t>el Recurso de Revisión 08571/INFOEM/IP/RR/2019, porque el Sujeto Obligado al modificar la respuesta de la solicitud con número de folio 00394/CHALCO/IP/2019, el Recurso de Revisión quedó sin materia, en términos del Considerando SEGUNDO de la presente Resolución.</w:t>
      </w:r>
    </w:p>
    <w:p w:rsidR="001F5492" w:rsidRPr="00F70C03" w:rsidRDefault="001F5492" w:rsidP="00F70C03">
      <w:pPr>
        <w:autoSpaceDE w:val="0"/>
        <w:autoSpaceDN w:val="0"/>
        <w:adjustRightInd w:val="0"/>
        <w:ind w:right="757"/>
        <w:jc w:val="both"/>
        <w:rPr>
          <w:rFonts w:ascii="Palatino Linotype" w:eastAsia="Calibri" w:hAnsi="Palatino Linotype" w:cs="Arial"/>
          <w:i/>
          <w:color w:val="000000" w:themeColor="text1"/>
          <w:lang w:val="es-ES"/>
        </w:rPr>
      </w:pPr>
    </w:p>
    <w:p w:rsidR="004B7753" w:rsidRPr="00DB79F9"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En ese sentido,</w:t>
      </w:r>
      <w:r w:rsidR="00F70C03">
        <w:rPr>
          <w:rFonts w:ascii="Palatino Linotype" w:hAnsi="Palatino Linotype" w:cs="Arial"/>
          <w:sz w:val="24"/>
          <w:szCs w:val="24"/>
        </w:rPr>
        <w:t xml:space="preserve"> se</w:t>
      </w:r>
      <w:r>
        <w:rPr>
          <w:rFonts w:ascii="Palatino Linotype" w:hAnsi="Palatino Linotype" w:cs="Arial"/>
          <w:sz w:val="24"/>
          <w:szCs w:val="24"/>
        </w:rPr>
        <w:t xml:space="preserve"> difi</w:t>
      </w:r>
      <w:r w:rsidR="00F70C03">
        <w:rPr>
          <w:rFonts w:ascii="Palatino Linotype" w:hAnsi="Palatino Linotype" w:cs="Arial"/>
          <w:sz w:val="24"/>
          <w:szCs w:val="24"/>
        </w:rPr>
        <w:t>ere</w:t>
      </w:r>
      <w:r w:rsidR="00434F2D">
        <w:rPr>
          <w:rFonts w:ascii="Palatino Linotype" w:hAnsi="Palatino Linotype" w:cs="Arial"/>
          <w:sz w:val="24"/>
          <w:szCs w:val="24"/>
        </w:rPr>
        <w:t xml:space="preserve"> respecto a que </w:t>
      </w:r>
      <w:r w:rsidR="006A112C">
        <w:rPr>
          <w:rFonts w:ascii="Palatino Linotype" w:hAnsi="Palatino Linotype" w:cs="Arial"/>
          <w:sz w:val="24"/>
          <w:szCs w:val="24"/>
        </w:rPr>
        <w:t xml:space="preserve">se haya </w:t>
      </w:r>
      <w:r w:rsidR="00F70C03">
        <w:rPr>
          <w:rFonts w:ascii="Palatino Linotype" w:hAnsi="Palatino Linotype" w:cs="Arial"/>
          <w:sz w:val="24"/>
          <w:szCs w:val="24"/>
        </w:rPr>
        <w:t xml:space="preserve">SOBRESEIDO el recurso de revisión con fundamento en el artículo </w:t>
      </w:r>
      <w:r w:rsidR="00F70C03" w:rsidRPr="00F70C03">
        <w:rPr>
          <w:rFonts w:ascii="Palatino Linotype" w:hAnsi="Palatino Linotype" w:cs="Arial"/>
          <w:sz w:val="24"/>
          <w:szCs w:val="24"/>
        </w:rPr>
        <w:t>192</w:t>
      </w:r>
      <w:r w:rsidR="00F70C03">
        <w:rPr>
          <w:rFonts w:ascii="Palatino Linotype" w:hAnsi="Palatino Linotype" w:cs="Arial"/>
          <w:sz w:val="24"/>
          <w:szCs w:val="24"/>
        </w:rPr>
        <w:t>,</w:t>
      </w:r>
      <w:r w:rsidR="00F70C03" w:rsidRPr="00F70C03">
        <w:rPr>
          <w:rFonts w:ascii="Palatino Linotype" w:hAnsi="Palatino Linotype" w:cs="Arial"/>
          <w:sz w:val="24"/>
          <w:szCs w:val="24"/>
        </w:rPr>
        <w:t xml:space="preserve"> </w:t>
      </w:r>
      <w:r w:rsidR="00F70C03">
        <w:rPr>
          <w:rFonts w:ascii="Palatino Linotype" w:hAnsi="Palatino Linotype" w:cs="Arial"/>
          <w:sz w:val="24"/>
          <w:szCs w:val="24"/>
        </w:rPr>
        <w:t>fracción</w:t>
      </w:r>
      <w:r w:rsidR="00F70C03" w:rsidRPr="00F70C03">
        <w:rPr>
          <w:rFonts w:ascii="Palatino Linotype" w:hAnsi="Palatino Linotype" w:cs="Arial"/>
          <w:sz w:val="24"/>
          <w:szCs w:val="24"/>
        </w:rPr>
        <w:t xml:space="preserve"> III, de la Ley de Transparencia y Acceso a la Información Pública del Estado de México y Municipios</w:t>
      </w:r>
      <w:r w:rsidR="00B41A82">
        <w:rPr>
          <w:rFonts w:ascii="Palatino Linotype" w:hAnsi="Palatino Linotype" w:cs="Arial"/>
          <w:sz w:val="24"/>
          <w:szCs w:val="24"/>
        </w:rPr>
        <w:t>, así como se difiere con que se haya puesto a disposición del particular el Informe Justificado.</w:t>
      </w:r>
    </w:p>
    <w:p w:rsidR="00C176BF" w:rsidRPr="00C176BF" w:rsidRDefault="00B32D33" w:rsidP="00C176BF">
      <w:pPr>
        <w:spacing w:line="360" w:lineRule="auto"/>
        <w:ind w:right="49"/>
        <w:jc w:val="both"/>
        <w:rPr>
          <w:rFonts w:ascii="Palatino Linotype" w:eastAsia="Calibri" w:hAnsi="Palatino Linotype" w:cs="Arial"/>
          <w:sz w:val="24"/>
          <w:szCs w:val="24"/>
        </w:rPr>
      </w:pPr>
      <w:r>
        <w:rPr>
          <w:rFonts w:ascii="Palatino Linotype" w:eastAsia="Calibri" w:hAnsi="Palatino Linotype" w:cs="Arial"/>
          <w:sz w:val="24"/>
          <w:szCs w:val="24"/>
        </w:rPr>
        <w:t>Lo anterior</w:t>
      </w:r>
      <w:r w:rsidR="00C176BF" w:rsidRPr="00C176BF">
        <w:rPr>
          <w:rFonts w:ascii="Palatino Linotype" w:eastAsia="Calibri" w:hAnsi="Palatino Linotype" w:cs="Arial"/>
          <w:sz w:val="24"/>
          <w:szCs w:val="24"/>
        </w:rPr>
        <w:t xml:space="preserve">, obedece a que las personas que no fueron seleccionadas como </w:t>
      </w:r>
      <w:r w:rsidR="00C176BF">
        <w:rPr>
          <w:rFonts w:ascii="Palatino Linotype" w:eastAsia="Calibri" w:hAnsi="Palatino Linotype" w:cs="Arial"/>
          <w:sz w:val="24"/>
          <w:szCs w:val="24"/>
        </w:rPr>
        <w:t>Defensor Municipal</w:t>
      </w:r>
      <w:r w:rsidR="00C176BF" w:rsidRPr="00C176BF">
        <w:rPr>
          <w:rFonts w:ascii="Palatino Linotype" w:eastAsia="Calibri" w:hAnsi="Palatino Linotype" w:cs="Arial"/>
          <w:sz w:val="24"/>
          <w:szCs w:val="24"/>
        </w:rPr>
        <w:t xml:space="preserve"> no les reviste el carácter de Sujetos Obligados, pues conforme al artículo 23 de la Ley de Transparencia y Acceso a la Información Pública, los Sujetos Obligados son los siguientes:</w:t>
      </w:r>
    </w:p>
    <w:p w:rsidR="00C176BF" w:rsidRDefault="00C176BF" w:rsidP="00C176BF">
      <w:pPr>
        <w:spacing w:line="360" w:lineRule="auto"/>
        <w:ind w:right="49"/>
        <w:jc w:val="both"/>
        <w:rPr>
          <w:rFonts w:ascii="Palatino Linotype" w:eastAsia="Calibri" w:hAnsi="Palatino Linotype" w:cs="Arial"/>
        </w:rPr>
      </w:pPr>
    </w:p>
    <w:p w:rsidR="00C176BF" w:rsidRPr="00CB63A8" w:rsidRDefault="00C176BF" w:rsidP="00C176BF">
      <w:pPr>
        <w:ind w:left="709" w:right="757"/>
        <w:jc w:val="both"/>
        <w:rPr>
          <w:rFonts w:ascii="Palatino Linotype" w:eastAsia="Calibri" w:hAnsi="Palatino Linotype" w:cs="Arial"/>
          <w:i/>
        </w:rPr>
      </w:pPr>
      <w:r w:rsidRPr="00A37BF2">
        <w:rPr>
          <w:rFonts w:ascii="Palatino Linotype" w:eastAsia="Calibri" w:hAnsi="Palatino Linotype" w:cs="Arial"/>
          <w:b/>
          <w:i/>
        </w:rPr>
        <w:t>Artículo 23</w:t>
      </w:r>
      <w:r w:rsidRPr="00CB63A8">
        <w:rPr>
          <w:rFonts w:ascii="Palatino Linotype" w:eastAsia="Calibri" w:hAnsi="Palatino Linotype" w:cs="Arial"/>
          <w:i/>
        </w:rPr>
        <w:t>. Son sujetos obligados a transparentar y permitir el acceso a su información y proteger los datos personales que</w:t>
      </w:r>
      <w:r>
        <w:rPr>
          <w:rFonts w:ascii="Palatino Linotype" w:eastAsia="Calibri" w:hAnsi="Palatino Linotype" w:cs="Arial"/>
          <w:i/>
        </w:rPr>
        <w:t xml:space="preserve"> </w:t>
      </w:r>
      <w:r w:rsidRPr="00CB63A8">
        <w:rPr>
          <w:rFonts w:ascii="Palatino Linotype" w:eastAsia="Calibri" w:hAnsi="Palatino Linotype" w:cs="Arial"/>
          <w:i/>
        </w:rPr>
        <w:t>obren en su poder:</w:t>
      </w:r>
    </w:p>
    <w:p w:rsidR="00C176BF" w:rsidRDefault="00C176BF" w:rsidP="00C176BF">
      <w:pPr>
        <w:ind w:left="709" w:right="757"/>
        <w:jc w:val="both"/>
        <w:rPr>
          <w:rFonts w:ascii="Palatino Linotype" w:eastAsia="Calibri" w:hAnsi="Palatino Linotype" w:cs="Arial"/>
          <w:i/>
        </w:rPr>
      </w:pPr>
    </w:p>
    <w:p w:rsidR="00C176BF"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I</w:t>
      </w:r>
      <w:r w:rsidRPr="00CB63A8">
        <w:rPr>
          <w:rFonts w:ascii="Palatino Linotype" w:eastAsia="Calibri" w:hAnsi="Palatino Linotype" w:cs="Arial"/>
          <w:i/>
        </w:rPr>
        <w:t>. El Poder Ejecutivo del Estado de México, las dependencias, organismos auxiliares, órganos, entidades, fideicomisos y</w:t>
      </w:r>
      <w:r>
        <w:rPr>
          <w:rFonts w:ascii="Palatino Linotype" w:eastAsia="Calibri" w:hAnsi="Palatino Linotype" w:cs="Arial"/>
          <w:i/>
        </w:rPr>
        <w:t xml:space="preserve"> </w:t>
      </w:r>
      <w:r w:rsidRPr="00CB63A8">
        <w:rPr>
          <w:rFonts w:ascii="Palatino Linotype" w:eastAsia="Calibri" w:hAnsi="Palatino Linotype" w:cs="Arial"/>
          <w:i/>
        </w:rPr>
        <w:t>fondos públicos, así como la Procuraduría General de Justicia;</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II</w:t>
      </w:r>
      <w:r w:rsidRPr="00CB63A8">
        <w:rPr>
          <w:rFonts w:ascii="Palatino Linotype" w:eastAsia="Calibri" w:hAnsi="Palatino Linotype" w:cs="Arial"/>
          <w:i/>
        </w:rPr>
        <w:t>. El Poder Legislativo del Estado, los organismos, órganos y entidades de la Legislatura y sus dependencias;</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III</w:t>
      </w:r>
      <w:r w:rsidRPr="00CB63A8">
        <w:rPr>
          <w:rFonts w:ascii="Palatino Linotype" w:eastAsia="Calibri" w:hAnsi="Palatino Linotype" w:cs="Arial"/>
          <w:i/>
        </w:rPr>
        <w:t>. El Poder Judicial, sus organismos, órganos y entidades, así como el Consejo de la Judicatura del Estado;</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IV</w:t>
      </w:r>
      <w:r w:rsidRPr="00CB63A8">
        <w:rPr>
          <w:rFonts w:ascii="Palatino Linotype" w:eastAsia="Calibri" w:hAnsi="Palatino Linotype" w:cs="Arial"/>
          <w:i/>
        </w:rPr>
        <w:t>. Los ayuntamientos y las dependencias, organismos, órganos y entidades de la administración municipal;</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V</w:t>
      </w:r>
      <w:r w:rsidRPr="00CB63A8">
        <w:rPr>
          <w:rFonts w:ascii="Palatino Linotype" w:eastAsia="Calibri" w:hAnsi="Palatino Linotype" w:cs="Arial"/>
          <w:i/>
        </w:rPr>
        <w:t>. Los órganos autónomos;</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VI</w:t>
      </w:r>
      <w:r w:rsidRPr="00CB63A8">
        <w:rPr>
          <w:rFonts w:ascii="Palatino Linotype" w:eastAsia="Calibri" w:hAnsi="Palatino Linotype" w:cs="Arial"/>
          <w:i/>
        </w:rPr>
        <w:t>. Los tribunales administrativos y autoridades jurisdiccionales en materia laboral;</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VII</w:t>
      </w:r>
      <w:r w:rsidRPr="00CB63A8">
        <w:rPr>
          <w:rFonts w:ascii="Palatino Linotype" w:eastAsia="Calibri" w:hAnsi="Palatino Linotype" w:cs="Arial"/>
          <w:i/>
        </w:rPr>
        <w:t>. Los partidos políticos y agrupaciones políticas, en lo</w:t>
      </w:r>
      <w:r>
        <w:rPr>
          <w:rFonts w:ascii="Palatino Linotype" w:eastAsia="Calibri" w:hAnsi="Palatino Linotype" w:cs="Arial"/>
          <w:i/>
        </w:rPr>
        <w:t xml:space="preserve">s términos de las disposiciones </w:t>
      </w:r>
      <w:r w:rsidRPr="00CB63A8">
        <w:rPr>
          <w:rFonts w:ascii="Palatino Linotype" w:eastAsia="Calibri" w:hAnsi="Palatino Linotype" w:cs="Arial"/>
          <w:i/>
        </w:rPr>
        <w:t>aplicables;</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VIII</w:t>
      </w:r>
      <w:r w:rsidRPr="00CB63A8">
        <w:rPr>
          <w:rFonts w:ascii="Palatino Linotype" w:eastAsia="Calibri" w:hAnsi="Palatino Linotype" w:cs="Arial"/>
          <w:i/>
        </w:rPr>
        <w:t>. Los fideicomisos y fondos públicos que cuenten con financiamiento público, parcial o total, o con participación de</w:t>
      </w:r>
      <w:r>
        <w:rPr>
          <w:rFonts w:ascii="Palatino Linotype" w:eastAsia="Calibri" w:hAnsi="Palatino Linotype" w:cs="Arial"/>
          <w:i/>
        </w:rPr>
        <w:t xml:space="preserve"> </w:t>
      </w:r>
      <w:r w:rsidRPr="00CB63A8">
        <w:rPr>
          <w:rFonts w:ascii="Palatino Linotype" w:eastAsia="Calibri" w:hAnsi="Palatino Linotype" w:cs="Arial"/>
          <w:i/>
        </w:rPr>
        <w:t>entidades de gobierno;</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IX</w:t>
      </w:r>
      <w:r w:rsidRPr="00CB63A8">
        <w:rPr>
          <w:rFonts w:ascii="Palatino Linotype" w:eastAsia="Calibri" w:hAnsi="Palatino Linotype" w:cs="Arial"/>
          <w:i/>
        </w:rPr>
        <w:t>. Los sindicatos que reciban y/o ejerzan recursos públicos en el ámbito estatal y municipal;</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X</w:t>
      </w:r>
      <w:r w:rsidRPr="00CB63A8">
        <w:rPr>
          <w:rFonts w:ascii="Palatino Linotype" w:eastAsia="Calibri" w:hAnsi="Palatino Linotype" w:cs="Arial"/>
          <w:i/>
        </w:rPr>
        <w:t>. Cualquier persona física o jurídico colectiva que reciba y ejerza recursos públicos en el ámbito estatal o municipal; y</w:t>
      </w:r>
    </w:p>
    <w:p w:rsidR="00C176BF" w:rsidRPr="00CB63A8" w:rsidRDefault="00C176BF" w:rsidP="00C176BF">
      <w:pPr>
        <w:ind w:left="709" w:right="757"/>
        <w:jc w:val="both"/>
        <w:rPr>
          <w:rFonts w:ascii="Palatino Linotype" w:eastAsia="Calibri" w:hAnsi="Palatino Linotype" w:cs="Arial"/>
          <w:i/>
        </w:rPr>
      </w:pPr>
      <w:r w:rsidRPr="002B7268">
        <w:rPr>
          <w:rFonts w:ascii="Palatino Linotype" w:eastAsia="Calibri" w:hAnsi="Palatino Linotype" w:cs="Arial"/>
          <w:b/>
          <w:i/>
        </w:rPr>
        <w:t>XI</w:t>
      </w:r>
      <w:r w:rsidRPr="00CB63A8">
        <w:rPr>
          <w:rFonts w:ascii="Palatino Linotype" w:eastAsia="Calibri" w:hAnsi="Palatino Linotype" w:cs="Arial"/>
          <w:i/>
        </w:rPr>
        <w:t>. Cualquier otra autoridad, entidad, órgano u organismo de los poderes estatal o municipal, que reciba recursos públicos.</w:t>
      </w:r>
    </w:p>
    <w:p w:rsidR="00C176BF" w:rsidRDefault="00C176BF" w:rsidP="00C176BF">
      <w:pPr>
        <w:ind w:left="709" w:right="757"/>
        <w:jc w:val="both"/>
        <w:rPr>
          <w:rFonts w:ascii="Palatino Linotype" w:eastAsia="Calibri" w:hAnsi="Palatino Linotype" w:cs="Arial"/>
          <w:i/>
        </w:rPr>
      </w:pPr>
    </w:p>
    <w:p w:rsidR="00C176BF" w:rsidRPr="00CB63A8" w:rsidRDefault="00C176BF" w:rsidP="00C176BF">
      <w:pPr>
        <w:ind w:left="709" w:right="757"/>
        <w:jc w:val="both"/>
        <w:rPr>
          <w:rFonts w:ascii="Palatino Linotype" w:eastAsia="Calibri" w:hAnsi="Palatino Linotype" w:cs="Arial"/>
          <w:i/>
        </w:rPr>
      </w:pPr>
      <w:r w:rsidRPr="00CB63A8">
        <w:rPr>
          <w:rFonts w:ascii="Palatino Linotype" w:eastAsia="Calibri" w:hAnsi="Palatino Linotype" w:cs="Arial"/>
          <w:i/>
        </w:rPr>
        <w:t>Los sujetos obligados deberán hacer pública toda aquella información relativa a los montos y las personas a quienes</w:t>
      </w:r>
      <w:r>
        <w:rPr>
          <w:rFonts w:ascii="Palatino Linotype" w:eastAsia="Calibri" w:hAnsi="Palatino Linotype" w:cs="Arial"/>
          <w:i/>
        </w:rPr>
        <w:t xml:space="preserve"> </w:t>
      </w:r>
      <w:r w:rsidRPr="00CB63A8">
        <w:rPr>
          <w:rFonts w:ascii="Palatino Linotype" w:eastAsia="Calibri" w:hAnsi="Palatino Linotype" w:cs="Arial"/>
          <w:i/>
        </w:rPr>
        <w:t>entreguen, por cualquier motivo, recursos públicos, así como los informes que dichas personas les entreguen sobre el uso y</w:t>
      </w:r>
      <w:r>
        <w:rPr>
          <w:rFonts w:ascii="Palatino Linotype" w:eastAsia="Calibri" w:hAnsi="Palatino Linotype" w:cs="Arial"/>
          <w:i/>
        </w:rPr>
        <w:t xml:space="preserve"> </w:t>
      </w:r>
      <w:r w:rsidRPr="00CB63A8">
        <w:rPr>
          <w:rFonts w:ascii="Palatino Linotype" w:eastAsia="Calibri" w:hAnsi="Palatino Linotype" w:cs="Arial"/>
          <w:i/>
        </w:rPr>
        <w:t>destino de dichos recursos.</w:t>
      </w:r>
    </w:p>
    <w:p w:rsidR="00C176BF" w:rsidRPr="00CB63A8" w:rsidRDefault="00C176BF" w:rsidP="00C176BF">
      <w:pPr>
        <w:ind w:left="709" w:right="757"/>
        <w:jc w:val="both"/>
        <w:rPr>
          <w:rFonts w:ascii="Palatino Linotype" w:eastAsia="Calibri" w:hAnsi="Palatino Linotype" w:cs="Arial"/>
          <w:i/>
        </w:rPr>
      </w:pPr>
      <w:r w:rsidRPr="00CB63A8">
        <w:rPr>
          <w:rFonts w:ascii="Palatino Linotype" w:eastAsia="Calibri" w:hAnsi="Palatino Linotype" w:cs="Arial"/>
          <w:i/>
        </w:rPr>
        <w:t xml:space="preserve">Los servidores públicos deberán transparentar sus acciones así como garantizar y </w:t>
      </w:r>
      <w:r>
        <w:rPr>
          <w:rFonts w:ascii="Palatino Linotype" w:eastAsia="Calibri" w:hAnsi="Palatino Linotype" w:cs="Arial"/>
          <w:i/>
        </w:rPr>
        <w:t xml:space="preserve"> </w:t>
      </w:r>
      <w:r w:rsidRPr="00CB63A8">
        <w:rPr>
          <w:rFonts w:ascii="Palatino Linotype" w:eastAsia="Calibri" w:hAnsi="Palatino Linotype" w:cs="Arial"/>
          <w:i/>
        </w:rPr>
        <w:t>respetar el derecho de acceso a la</w:t>
      </w:r>
      <w:r>
        <w:rPr>
          <w:rFonts w:ascii="Palatino Linotype" w:eastAsia="Calibri" w:hAnsi="Palatino Linotype" w:cs="Arial"/>
          <w:i/>
        </w:rPr>
        <w:t xml:space="preserve"> </w:t>
      </w:r>
      <w:r w:rsidRPr="00CB63A8">
        <w:rPr>
          <w:rFonts w:ascii="Palatino Linotype" w:eastAsia="Calibri" w:hAnsi="Palatino Linotype" w:cs="Arial"/>
          <w:i/>
        </w:rPr>
        <w:t>información pública.</w:t>
      </w:r>
    </w:p>
    <w:p w:rsidR="00C176BF" w:rsidRDefault="00C176BF" w:rsidP="00C176BF">
      <w:pPr>
        <w:spacing w:line="360" w:lineRule="auto"/>
        <w:ind w:right="49"/>
        <w:jc w:val="both"/>
        <w:rPr>
          <w:rFonts w:ascii="Palatino Linotype" w:hAnsi="Palatino Linotype" w:cs="Arial"/>
        </w:rPr>
      </w:pPr>
    </w:p>
    <w:p w:rsidR="00C176BF" w:rsidRPr="00B32D33" w:rsidRDefault="00C176BF" w:rsidP="00C176BF">
      <w:pPr>
        <w:spacing w:line="360" w:lineRule="auto"/>
        <w:ind w:right="49"/>
        <w:jc w:val="both"/>
        <w:rPr>
          <w:rFonts w:ascii="Palatino Linotype" w:hAnsi="Palatino Linotype" w:cs="Arial"/>
          <w:sz w:val="24"/>
          <w:szCs w:val="24"/>
        </w:rPr>
      </w:pPr>
      <w:r w:rsidRPr="00B32D33">
        <w:rPr>
          <w:rFonts w:ascii="Palatino Linotype" w:hAnsi="Palatino Linotype" w:cs="Arial"/>
          <w:sz w:val="24"/>
          <w:szCs w:val="24"/>
        </w:rPr>
        <w:t xml:space="preserve">En este sentido, los aspirantes no seleccionados, no corresponden ni encuadran en alguno de los supuestos anteriormente enlistados, por lo tanto no se encuentran obligados a transparentar su información, aunado ello, </w:t>
      </w:r>
      <w:r w:rsidRPr="00B32D33">
        <w:rPr>
          <w:rFonts w:ascii="Palatino Linotype" w:hAnsi="Palatino Linotype" w:cs="Arial"/>
          <w:sz w:val="24"/>
          <w:szCs w:val="24"/>
          <w:lang w:eastAsia="es-MX"/>
        </w:rPr>
        <w:t>a los documentos requeridos, no les reviste la calidad de públicos, en razón de que no se trata de información que refleje el actuar de un servidor público en ejercicio de sus funciones, no representan actos de autoridad, y los particulares de quienes se refiere no reciben ni ejercen recursos públicos en el ámbito estatal o municipal, por lo tanto, son susceptibles de ser clasificadas como información confidencial en términos del artículo 4, fracción  XI de la Ley de Protección de Datos Personales en Posesión de Sujetos Obligados del Estado de México y Municipios:</w:t>
      </w:r>
    </w:p>
    <w:p w:rsidR="00C176BF" w:rsidRDefault="00C176BF" w:rsidP="00C176BF">
      <w:pPr>
        <w:ind w:left="709" w:right="757"/>
        <w:jc w:val="both"/>
        <w:rPr>
          <w:rFonts w:ascii="Palatino Linotype" w:hAnsi="Palatino Linotype" w:cs="Arial"/>
          <w:i/>
          <w:lang w:eastAsia="es-MX"/>
        </w:rPr>
      </w:pPr>
      <w:r w:rsidRPr="008E33B0">
        <w:rPr>
          <w:rFonts w:ascii="Palatino Linotype" w:hAnsi="Palatino Linotype" w:cs="Arial"/>
          <w:i/>
          <w:lang w:eastAsia="es-MX"/>
        </w:rPr>
        <w:t xml:space="preserve">XI. </w:t>
      </w:r>
      <w:r w:rsidRPr="008E33B0">
        <w:rPr>
          <w:rFonts w:ascii="Palatino Linotype" w:hAnsi="Palatino Linotype" w:cs="Arial"/>
          <w:b/>
          <w:i/>
          <w:lang w:eastAsia="es-MX"/>
        </w:rPr>
        <w:t>Datos personales</w:t>
      </w:r>
      <w:r w:rsidRPr="008E33B0">
        <w:rPr>
          <w:rFonts w:ascii="Palatino Linotype" w:hAnsi="Palatino Linotype" w:cs="Arial"/>
          <w:i/>
          <w:lang w:eastAsia="es-MX"/>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rsidR="00C176BF" w:rsidRDefault="00C176BF" w:rsidP="00C176BF">
      <w:pPr>
        <w:ind w:left="709" w:right="757"/>
        <w:jc w:val="both"/>
        <w:rPr>
          <w:rFonts w:ascii="Palatino Linotype" w:hAnsi="Palatino Linotype" w:cs="Arial"/>
          <w:i/>
          <w:lang w:eastAsia="es-MX"/>
        </w:rPr>
      </w:pPr>
    </w:p>
    <w:p w:rsidR="00C176BF" w:rsidRPr="008E33B0" w:rsidRDefault="00C176BF" w:rsidP="00C176BF">
      <w:pPr>
        <w:ind w:left="709" w:right="757"/>
        <w:jc w:val="both"/>
        <w:rPr>
          <w:rFonts w:ascii="Palatino Linotype" w:hAnsi="Palatino Linotype" w:cs="Arial"/>
          <w:i/>
          <w:lang w:eastAsia="es-MX"/>
        </w:rPr>
      </w:pPr>
      <w:r w:rsidRPr="008E33B0">
        <w:rPr>
          <w:rFonts w:ascii="Palatino Linotype" w:hAnsi="Palatino Linotype" w:cs="Arial"/>
          <w:i/>
          <w:lang w:eastAsia="es-MX"/>
        </w:rPr>
        <w:t xml:space="preserve">XXI. </w:t>
      </w:r>
      <w:r w:rsidRPr="008E33B0">
        <w:rPr>
          <w:rFonts w:ascii="Palatino Linotype" w:hAnsi="Palatino Linotype" w:cs="Arial"/>
          <w:b/>
          <w:i/>
          <w:lang w:eastAsia="es-MX"/>
        </w:rPr>
        <w:t>Información confidencial</w:t>
      </w:r>
      <w:r w:rsidRPr="008E33B0">
        <w:rPr>
          <w:rFonts w:ascii="Palatino Linotype" w:hAnsi="Palatino Linotype" w:cs="Arial"/>
          <w:i/>
          <w:lang w:eastAsia="es-MX"/>
        </w:rPr>
        <w:t xml:space="preserve">: Se considera como información confidencial los secretos bancario, fiduciario, industrial, </w:t>
      </w:r>
      <w:r w:rsidRPr="00C026C0">
        <w:rPr>
          <w:rFonts w:ascii="Palatino Linotype" w:hAnsi="Palatino Linotype" w:cs="Arial"/>
          <w:i/>
          <w:lang w:eastAsia="es-MX"/>
        </w:rPr>
        <w:t>comercial</w:t>
      </w:r>
      <w:r w:rsidRPr="008E33B0">
        <w:rPr>
          <w:rFonts w:ascii="Palatino Linotype" w:hAnsi="Palatino Linotype" w:cs="Arial"/>
          <w:i/>
          <w:lang w:eastAsia="es-MX"/>
        </w:rPr>
        <w:t xml:space="preserve">, fiscal, bursátil y postal, </w:t>
      </w:r>
      <w:r w:rsidRPr="008E33B0">
        <w:rPr>
          <w:rFonts w:ascii="Palatino Linotype" w:hAnsi="Palatino Linotype" w:cs="Arial"/>
          <w:b/>
          <w:i/>
          <w:lang w:eastAsia="es-MX"/>
        </w:rPr>
        <w:t>cuya titularidad corresponda a particulares</w:t>
      </w:r>
      <w:r w:rsidRPr="008E33B0">
        <w:rPr>
          <w:rFonts w:ascii="Palatino Linotype" w:hAnsi="Palatino Linotype" w:cs="Arial"/>
          <w:i/>
          <w:lang w:eastAsia="es-MX"/>
        </w:rPr>
        <w:t>, sujetos de derecho internacional o a sujetos obligados cuando no involucren el ejercicio de recursos públicos</w:t>
      </w:r>
    </w:p>
    <w:p w:rsidR="00C176BF" w:rsidRPr="008E33B0" w:rsidRDefault="00C176BF" w:rsidP="00C176BF">
      <w:pPr>
        <w:ind w:left="709" w:right="757"/>
        <w:jc w:val="both"/>
        <w:rPr>
          <w:rFonts w:ascii="Palatino Linotype" w:hAnsi="Palatino Linotype" w:cs="Arial"/>
          <w:i/>
          <w:lang w:eastAsia="es-MX"/>
        </w:rPr>
      </w:pPr>
    </w:p>
    <w:p w:rsidR="00C176BF" w:rsidRPr="00045B6F" w:rsidRDefault="00C176BF" w:rsidP="00C176BF">
      <w:pPr>
        <w:spacing w:line="360" w:lineRule="auto"/>
        <w:jc w:val="both"/>
        <w:rPr>
          <w:rFonts w:ascii="Palatino Linotype" w:hAnsi="Palatino Linotype" w:cs="Arial"/>
          <w:sz w:val="24"/>
        </w:rPr>
      </w:pPr>
      <w:r w:rsidRPr="00045B6F">
        <w:rPr>
          <w:rFonts w:ascii="Palatino Linotype" w:hAnsi="Palatino Linotype" w:cs="Arial"/>
          <w:sz w:val="24"/>
          <w:lang w:eastAsia="es-MX"/>
        </w:rPr>
        <w:t xml:space="preserve">Entonces, no es procedente la divulgación de la información y en consecuencia lo </w:t>
      </w:r>
      <w:r w:rsidR="00B32D33" w:rsidRPr="00045B6F">
        <w:rPr>
          <w:rFonts w:ascii="Palatino Linotype" w:hAnsi="Palatino Linotype" w:cs="Arial"/>
          <w:sz w:val="24"/>
          <w:lang w:eastAsia="es-MX"/>
        </w:rPr>
        <w:t>procedente era</w:t>
      </w:r>
      <w:r w:rsidRPr="00045B6F">
        <w:rPr>
          <w:rFonts w:ascii="Palatino Linotype" w:hAnsi="Palatino Linotype" w:cs="Arial"/>
          <w:sz w:val="24"/>
          <w:lang w:eastAsia="es-MX"/>
        </w:rPr>
        <w:t xml:space="preserve"> que hubiese entregado el Acuerdo de Clasificación de la Información como confidencial de </w:t>
      </w:r>
      <w:r w:rsidR="00B32D33" w:rsidRPr="00045B6F">
        <w:rPr>
          <w:rFonts w:ascii="Palatino Linotype" w:hAnsi="Palatino Linotype" w:cs="Arial"/>
          <w:sz w:val="24"/>
          <w:lang w:eastAsia="es-MX"/>
        </w:rPr>
        <w:t>los planes de trabajo</w:t>
      </w:r>
      <w:r w:rsidRPr="00045B6F">
        <w:rPr>
          <w:rFonts w:ascii="Palatino Linotype" w:hAnsi="Palatino Linotype" w:cs="Arial"/>
          <w:sz w:val="24"/>
          <w:lang w:eastAsia="es-MX"/>
        </w:rPr>
        <w:t xml:space="preserve"> de aspirantes que no hayan sido favore</w:t>
      </w:r>
      <w:r w:rsidR="00B32D33" w:rsidRPr="00045B6F">
        <w:rPr>
          <w:rFonts w:ascii="Palatino Linotype" w:hAnsi="Palatino Linotype" w:cs="Arial"/>
          <w:sz w:val="24"/>
          <w:lang w:eastAsia="es-MX"/>
        </w:rPr>
        <w:t>cidas con la designación del multicitado</w:t>
      </w:r>
      <w:r w:rsidRPr="00045B6F">
        <w:rPr>
          <w:rFonts w:ascii="Palatino Linotype" w:hAnsi="Palatino Linotype" w:cs="Arial"/>
          <w:sz w:val="24"/>
          <w:lang w:eastAsia="es-MX"/>
        </w:rPr>
        <w:t xml:space="preserve"> c</w:t>
      </w:r>
      <w:r w:rsidR="00B32D33" w:rsidRPr="00045B6F">
        <w:rPr>
          <w:rFonts w:ascii="Palatino Linotype" w:hAnsi="Palatino Linotype" w:cs="Arial"/>
          <w:sz w:val="24"/>
          <w:lang w:eastAsia="es-MX"/>
        </w:rPr>
        <w:t xml:space="preserve">argo </w:t>
      </w:r>
      <w:r w:rsidRPr="00045B6F">
        <w:rPr>
          <w:rFonts w:ascii="Palatino Linotype" w:hAnsi="Palatino Linotype" w:cs="Arial"/>
          <w:sz w:val="24"/>
        </w:rPr>
        <w:t>en su totalidad conforme al artículo 131, 133 y 143 de la Ley de la materia.</w:t>
      </w:r>
    </w:p>
    <w:p w:rsidR="00C176BF" w:rsidRDefault="00C176BF" w:rsidP="00C176BF">
      <w:pPr>
        <w:spacing w:line="360" w:lineRule="auto"/>
        <w:jc w:val="both"/>
        <w:rPr>
          <w:rFonts w:ascii="Palatino Linotype" w:hAnsi="Palatino Linotype" w:cs="Arial"/>
        </w:rPr>
      </w:pPr>
    </w:p>
    <w:p w:rsidR="00C176BF" w:rsidRPr="000C63B2" w:rsidRDefault="00045B6F" w:rsidP="00C176BF">
      <w:pPr>
        <w:spacing w:line="240" w:lineRule="atLeast"/>
        <w:ind w:left="709" w:right="902"/>
        <w:jc w:val="both"/>
        <w:rPr>
          <w:rFonts w:ascii="Palatino Linotype" w:hAnsi="Palatino Linotype" w:cs="Arial"/>
          <w:i/>
          <w:lang w:eastAsia="es-MX"/>
        </w:rPr>
      </w:pPr>
      <w:r w:rsidRPr="000C63B2">
        <w:rPr>
          <w:rFonts w:ascii="Palatino Linotype" w:hAnsi="Palatino Linotype" w:cs="Arial"/>
          <w:b/>
          <w:i/>
          <w:lang w:eastAsia="es-MX"/>
        </w:rPr>
        <w:t xml:space="preserve">Artículo </w:t>
      </w:r>
      <w:r w:rsidR="00C176BF" w:rsidRPr="000C63B2">
        <w:rPr>
          <w:rFonts w:ascii="Palatino Linotype" w:hAnsi="Palatino Linotype" w:cs="Arial"/>
          <w:b/>
          <w:i/>
          <w:lang w:eastAsia="es-MX"/>
        </w:rPr>
        <w:t>130</w:t>
      </w:r>
      <w:r w:rsidR="00C176BF" w:rsidRPr="000C63B2">
        <w:rPr>
          <w:rFonts w:ascii="Palatino Linotype" w:hAnsi="Palatino Linotype" w:cs="Arial"/>
          <w:i/>
          <w:lang w:eastAsia="es-MX"/>
        </w:rPr>
        <w:t xml:space="preserve">. Los sujetos obligados </w:t>
      </w:r>
      <w:r w:rsidRPr="000C63B2">
        <w:rPr>
          <w:rFonts w:ascii="Palatino Linotype" w:hAnsi="Palatino Linotype" w:cs="Arial"/>
          <w:i/>
          <w:lang w:eastAsia="es-MX"/>
        </w:rPr>
        <w:t>deberán</w:t>
      </w:r>
      <w:r w:rsidR="00C176BF" w:rsidRPr="000C63B2">
        <w:rPr>
          <w:rFonts w:ascii="Palatino Linotype" w:hAnsi="Palatino Linotype" w:cs="Arial"/>
          <w:i/>
          <w:lang w:eastAsia="es-MX"/>
        </w:rPr>
        <w:t xml:space="preserve"> aplicar, de manera restrictiva y limitada, las excepciones al derecho de acceso a la </w:t>
      </w:r>
      <w:r w:rsidRPr="000C63B2">
        <w:rPr>
          <w:rFonts w:ascii="Palatino Linotype" w:hAnsi="Palatino Linotype" w:cs="Arial"/>
          <w:i/>
          <w:lang w:eastAsia="es-MX"/>
        </w:rPr>
        <w:t>información</w:t>
      </w:r>
      <w:r w:rsidR="00C176BF" w:rsidRPr="000C63B2">
        <w:rPr>
          <w:rFonts w:ascii="Palatino Linotype" w:hAnsi="Palatino Linotype" w:cs="Arial"/>
          <w:i/>
          <w:lang w:eastAsia="es-MX"/>
        </w:rPr>
        <w:t xml:space="preserve"> y </w:t>
      </w:r>
      <w:r w:rsidRPr="000C63B2">
        <w:rPr>
          <w:rFonts w:ascii="Palatino Linotype" w:hAnsi="Palatino Linotype" w:cs="Arial"/>
          <w:i/>
          <w:lang w:eastAsia="es-MX"/>
        </w:rPr>
        <w:t>sólo</w:t>
      </w:r>
      <w:r w:rsidR="00C176BF" w:rsidRPr="000C63B2">
        <w:rPr>
          <w:rFonts w:ascii="Palatino Linotype" w:hAnsi="Palatino Linotype" w:cs="Arial"/>
          <w:i/>
          <w:lang w:eastAsia="es-MX"/>
        </w:rPr>
        <w:t xml:space="preserve"> </w:t>
      </w:r>
      <w:r w:rsidRPr="000C63B2">
        <w:rPr>
          <w:rFonts w:ascii="Palatino Linotype" w:hAnsi="Palatino Linotype" w:cs="Arial"/>
          <w:i/>
          <w:lang w:eastAsia="es-MX"/>
        </w:rPr>
        <w:t>podrán</w:t>
      </w:r>
      <w:r w:rsidR="00C176BF" w:rsidRPr="000C63B2">
        <w:rPr>
          <w:rFonts w:ascii="Palatino Linotype" w:hAnsi="Palatino Linotype" w:cs="Arial"/>
          <w:i/>
          <w:lang w:eastAsia="es-MX"/>
        </w:rPr>
        <w:t xml:space="preserve"> invocarlas cuando acrediten su procedencia, sin ampliar las excepciones o supuestos de reserva o confidencialidad previstos en la Ley General y la presente Ley, aduciendo </w:t>
      </w:r>
      <w:r w:rsidRPr="000C63B2">
        <w:rPr>
          <w:rFonts w:ascii="Palatino Linotype" w:hAnsi="Palatino Linotype" w:cs="Arial"/>
          <w:i/>
          <w:lang w:eastAsia="es-MX"/>
        </w:rPr>
        <w:t>analogía</w:t>
      </w:r>
      <w:r w:rsidR="00C176BF" w:rsidRPr="000C63B2">
        <w:rPr>
          <w:rFonts w:ascii="Palatino Linotype" w:hAnsi="Palatino Linotype" w:cs="Arial"/>
          <w:i/>
          <w:lang w:eastAsia="es-MX"/>
        </w:rPr>
        <w:t xml:space="preserve"> o </w:t>
      </w:r>
      <w:r w:rsidRPr="000C63B2">
        <w:rPr>
          <w:rFonts w:ascii="Palatino Linotype" w:hAnsi="Palatino Linotype" w:cs="Arial"/>
          <w:i/>
          <w:lang w:eastAsia="es-MX"/>
        </w:rPr>
        <w:t>mayoría</w:t>
      </w:r>
      <w:r w:rsidR="00C176BF" w:rsidRPr="000C63B2">
        <w:rPr>
          <w:rFonts w:ascii="Palatino Linotype" w:hAnsi="Palatino Linotype" w:cs="Arial"/>
          <w:i/>
          <w:lang w:eastAsia="es-MX"/>
        </w:rPr>
        <w:t xml:space="preserve"> de </w:t>
      </w:r>
      <w:r w:rsidRPr="000C63B2">
        <w:rPr>
          <w:rFonts w:ascii="Palatino Linotype" w:hAnsi="Palatino Linotype" w:cs="Arial"/>
          <w:i/>
          <w:lang w:eastAsia="es-MX"/>
        </w:rPr>
        <w:t>razón</w:t>
      </w:r>
      <w:r w:rsidR="00C176BF" w:rsidRPr="000C63B2">
        <w:rPr>
          <w:rFonts w:ascii="Palatino Linotype" w:hAnsi="Palatino Linotype" w:cs="Arial"/>
          <w:i/>
          <w:lang w:eastAsia="es-MX"/>
        </w:rPr>
        <w:t>.</w:t>
      </w:r>
    </w:p>
    <w:p w:rsidR="00C176BF" w:rsidRPr="000C63B2" w:rsidRDefault="00C176BF" w:rsidP="00C176BF">
      <w:pPr>
        <w:spacing w:line="240" w:lineRule="atLeast"/>
        <w:ind w:left="709" w:right="902"/>
        <w:jc w:val="both"/>
        <w:rPr>
          <w:rFonts w:ascii="Palatino Linotype" w:hAnsi="Palatino Linotype" w:cs="Arial"/>
          <w:i/>
          <w:lang w:eastAsia="es-MX"/>
        </w:rPr>
      </w:pPr>
    </w:p>
    <w:p w:rsidR="00C176BF" w:rsidRPr="000C63B2" w:rsidRDefault="00045B6F" w:rsidP="00C176BF">
      <w:pPr>
        <w:spacing w:line="240" w:lineRule="atLeast"/>
        <w:ind w:left="709" w:right="902"/>
        <w:jc w:val="both"/>
        <w:rPr>
          <w:rFonts w:ascii="Palatino Linotype" w:hAnsi="Palatino Linotype" w:cs="Arial"/>
          <w:i/>
          <w:lang w:eastAsia="es-MX"/>
        </w:rPr>
      </w:pPr>
      <w:r w:rsidRPr="000C63B2">
        <w:rPr>
          <w:rFonts w:ascii="Palatino Linotype" w:hAnsi="Palatino Linotype" w:cs="Arial"/>
          <w:b/>
          <w:i/>
          <w:lang w:eastAsia="es-MX"/>
        </w:rPr>
        <w:t>Artículo</w:t>
      </w:r>
      <w:r w:rsidR="00C176BF" w:rsidRPr="000C63B2">
        <w:rPr>
          <w:rFonts w:ascii="Palatino Linotype" w:hAnsi="Palatino Linotype" w:cs="Arial"/>
          <w:b/>
          <w:i/>
          <w:lang w:eastAsia="es-MX"/>
        </w:rPr>
        <w:t xml:space="preserve"> 133</w:t>
      </w:r>
      <w:r w:rsidR="00C176BF" w:rsidRPr="000C63B2">
        <w:rPr>
          <w:rFonts w:ascii="Palatino Linotype" w:hAnsi="Palatino Linotype" w:cs="Arial"/>
          <w:i/>
          <w:lang w:eastAsia="es-MX"/>
        </w:rPr>
        <w:t xml:space="preserve">. Los documentos clasificados total o parcialmente </w:t>
      </w:r>
      <w:r w:rsidRPr="000C63B2">
        <w:rPr>
          <w:rFonts w:ascii="Palatino Linotype" w:hAnsi="Palatino Linotype" w:cs="Arial"/>
          <w:i/>
          <w:lang w:eastAsia="es-MX"/>
        </w:rPr>
        <w:t>deberán</w:t>
      </w:r>
      <w:r w:rsidR="00C176BF" w:rsidRPr="000C63B2">
        <w:rPr>
          <w:rFonts w:ascii="Palatino Linotype" w:hAnsi="Palatino Linotype" w:cs="Arial"/>
          <w:i/>
          <w:lang w:eastAsia="es-MX"/>
        </w:rPr>
        <w:t xml:space="preserve"> llevar una leyenda que indique tal </w:t>
      </w:r>
      <w:r w:rsidRPr="000C63B2">
        <w:rPr>
          <w:rFonts w:ascii="Palatino Linotype" w:hAnsi="Palatino Linotype" w:cs="Arial"/>
          <w:i/>
          <w:lang w:eastAsia="es-MX"/>
        </w:rPr>
        <w:t>carácter</w:t>
      </w:r>
      <w:r w:rsidR="00C176BF" w:rsidRPr="000C63B2">
        <w:rPr>
          <w:rFonts w:ascii="Palatino Linotype" w:hAnsi="Palatino Linotype" w:cs="Arial"/>
          <w:i/>
          <w:lang w:eastAsia="es-MX"/>
        </w:rPr>
        <w:t xml:space="preserve">, la fecha de </w:t>
      </w:r>
      <w:r w:rsidRPr="000C63B2">
        <w:rPr>
          <w:rFonts w:ascii="Palatino Linotype" w:hAnsi="Palatino Linotype" w:cs="Arial"/>
          <w:i/>
          <w:lang w:eastAsia="es-MX"/>
        </w:rPr>
        <w:t>clasificación</w:t>
      </w:r>
      <w:r w:rsidR="00C176BF" w:rsidRPr="000C63B2">
        <w:rPr>
          <w:rFonts w:ascii="Palatino Linotype" w:hAnsi="Palatino Linotype" w:cs="Arial"/>
          <w:i/>
          <w:lang w:eastAsia="es-MX"/>
        </w:rPr>
        <w:t>, el fundamento legal y, en su caso, el periodo de reserva.</w:t>
      </w:r>
    </w:p>
    <w:p w:rsidR="00C176BF" w:rsidRPr="000C63B2" w:rsidRDefault="00C176BF" w:rsidP="00C176BF">
      <w:pPr>
        <w:spacing w:line="240" w:lineRule="atLeast"/>
        <w:ind w:left="709" w:right="902"/>
        <w:jc w:val="both"/>
        <w:rPr>
          <w:rFonts w:ascii="Palatino Linotype" w:hAnsi="Palatino Linotype" w:cs="Arial"/>
          <w:i/>
          <w:lang w:eastAsia="es-MX"/>
        </w:rPr>
      </w:pPr>
    </w:p>
    <w:p w:rsidR="00C176BF" w:rsidRPr="000C63B2" w:rsidRDefault="00045B6F" w:rsidP="00C176BF">
      <w:pPr>
        <w:spacing w:line="240" w:lineRule="atLeast"/>
        <w:ind w:left="709" w:right="902"/>
        <w:jc w:val="both"/>
        <w:rPr>
          <w:rFonts w:ascii="Palatino Linotype" w:hAnsi="Palatino Linotype" w:cs="Arial"/>
          <w:i/>
        </w:rPr>
      </w:pPr>
      <w:r w:rsidRPr="000C63B2">
        <w:rPr>
          <w:rFonts w:ascii="Palatino Linotype" w:hAnsi="Palatino Linotype" w:cs="Arial"/>
          <w:b/>
          <w:i/>
        </w:rPr>
        <w:t xml:space="preserve">Artículo </w:t>
      </w:r>
      <w:r w:rsidR="00C176BF" w:rsidRPr="000C63B2">
        <w:rPr>
          <w:rFonts w:ascii="Palatino Linotype" w:hAnsi="Palatino Linotype" w:cs="Arial"/>
          <w:b/>
          <w:i/>
        </w:rPr>
        <w:t xml:space="preserve">143. Para los efectos de esta Ley se considera </w:t>
      </w:r>
      <w:r w:rsidRPr="000C63B2">
        <w:rPr>
          <w:rFonts w:ascii="Palatino Linotype" w:hAnsi="Palatino Linotype" w:cs="Arial"/>
          <w:b/>
          <w:i/>
        </w:rPr>
        <w:t>información</w:t>
      </w:r>
      <w:r w:rsidR="00C176BF" w:rsidRPr="000C63B2">
        <w:rPr>
          <w:rFonts w:ascii="Palatino Linotype" w:hAnsi="Palatino Linotype" w:cs="Arial"/>
          <w:b/>
          <w:i/>
        </w:rPr>
        <w:t xml:space="preserve"> confidencial</w:t>
      </w:r>
      <w:r w:rsidR="00C176BF" w:rsidRPr="000C63B2">
        <w:rPr>
          <w:rFonts w:ascii="Palatino Linotype" w:hAnsi="Palatino Linotype" w:cs="Arial"/>
          <w:i/>
        </w:rPr>
        <w:t>, la clasificada como tal, de manera</w:t>
      </w:r>
      <w:r>
        <w:rPr>
          <w:rFonts w:ascii="Palatino Linotype" w:hAnsi="Palatino Linotype" w:cs="Arial"/>
          <w:i/>
        </w:rPr>
        <w:t xml:space="preserve"> </w:t>
      </w:r>
      <w:r w:rsidR="00C176BF" w:rsidRPr="000C63B2">
        <w:rPr>
          <w:rFonts w:ascii="Palatino Linotype" w:hAnsi="Palatino Linotype" w:cs="Arial"/>
          <w:i/>
        </w:rPr>
        <w:t>permanente, por su naturaleza, cuando:</w:t>
      </w:r>
    </w:p>
    <w:p w:rsidR="00C176BF" w:rsidRDefault="00C176BF" w:rsidP="00C176BF">
      <w:pPr>
        <w:spacing w:line="240" w:lineRule="atLeast"/>
        <w:ind w:left="709" w:right="902"/>
        <w:jc w:val="both"/>
        <w:rPr>
          <w:rFonts w:ascii="Palatino Linotype" w:hAnsi="Palatino Linotype" w:cs="Arial"/>
          <w:b/>
          <w:i/>
        </w:rPr>
      </w:pPr>
    </w:p>
    <w:p w:rsidR="00C176BF" w:rsidRPr="000C63B2" w:rsidRDefault="00C176BF" w:rsidP="00C176BF">
      <w:pPr>
        <w:spacing w:line="240" w:lineRule="atLeast"/>
        <w:ind w:left="709" w:right="902"/>
        <w:jc w:val="both"/>
        <w:rPr>
          <w:rFonts w:ascii="Palatino Linotype" w:hAnsi="Palatino Linotype" w:cs="Arial"/>
          <w:b/>
          <w:i/>
        </w:rPr>
      </w:pPr>
      <w:r w:rsidRPr="000C63B2">
        <w:rPr>
          <w:rFonts w:ascii="Palatino Linotype" w:hAnsi="Palatino Linotype" w:cs="Arial"/>
          <w:b/>
          <w:i/>
        </w:rPr>
        <w:t xml:space="preserve">I. Se refiera a la </w:t>
      </w:r>
      <w:r w:rsidR="00045B6F" w:rsidRPr="000C63B2">
        <w:rPr>
          <w:rFonts w:ascii="Palatino Linotype" w:hAnsi="Palatino Linotype" w:cs="Arial"/>
          <w:b/>
          <w:i/>
        </w:rPr>
        <w:t>información</w:t>
      </w:r>
      <w:r w:rsidRPr="000C63B2">
        <w:rPr>
          <w:rFonts w:ascii="Palatino Linotype" w:hAnsi="Palatino Linotype" w:cs="Arial"/>
          <w:b/>
          <w:i/>
        </w:rPr>
        <w:t xml:space="preserve"> privada y los datos personales concernientes a una persona </w:t>
      </w:r>
      <w:r w:rsidR="00045B6F" w:rsidRPr="000C63B2">
        <w:rPr>
          <w:rFonts w:ascii="Palatino Linotype" w:hAnsi="Palatino Linotype" w:cs="Arial"/>
          <w:b/>
          <w:i/>
        </w:rPr>
        <w:t>física</w:t>
      </w:r>
      <w:r w:rsidRPr="000C63B2">
        <w:rPr>
          <w:rFonts w:ascii="Palatino Linotype" w:hAnsi="Palatino Linotype" w:cs="Arial"/>
          <w:b/>
          <w:i/>
        </w:rPr>
        <w:t xml:space="preserve"> o </w:t>
      </w:r>
      <w:r w:rsidR="00045B6F" w:rsidRPr="000C63B2">
        <w:rPr>
          <w:rFonts w:ascii="Palatino Linotype" w:hAnsi="Palatino Linotype" w:cs="Arial"/>
          <w:b/>
          <w:i/>
        </w:rPr>
        <w:t>jurídico</w:t>
      </w:r>
      <w:r w:rsidRPr="000C63B2">
        <w:rPr>
          <w:rFonts w:ascii="Palatino Linotype" w:hAnsi="Palatino Linotype" w:cs="Arial"/>
          <w:b/>
          <w:i/>
        </w:rPr>
        <w:t xml:space="preserve"> colectiva identificada o identificable;</w:t>
      </w:r>
    </w:p>
    <w:p w:rsidR="00C176BF" w:rsidRPr="000C63B2" w:rsidRDefault="00C176BF" w:rsidP="00C176BF">
      <w:pPr>
        <w:spacing w:line="240" w:lineRule="atLeast"/>
        <w:ind w:left="709" w:right="902"/>
        <w:jc w:val="both"/>
        <w:rPr>
          <w:rFonts w:ascii="Palatino Linotype" w:hAnsi="Palatino Linotype" w:cs="Arial"/>
          <w:i/>
        </w:rPr>
      </w:pPr>
      <w:r w:rsidRPr="000C63B2">
        <w:rPr>
          <w:rFonts w:ascii="Palatino Linotype" w:hAnsi="Palatino Linotype" w:cs="Arial"/>
          <w:i/>
        </w:rPr>
        <w:t xml:space="preserve">II. Los secretos bancario, fiduciario, industrial, comercial, fiscal, </w:t>
      </w:r>
      <w:r w:rsidR="00045B6F" w:rsidRPr="000C63B2">
        <w:rPr>
          <w:rFonts w:ascii="Palatino Linotype" w:hAnsi="Palatino Linotype" w:cs="Arial"/>
          <w:i/>
        </w:rPr>
        <w:t>bursátil</w:t>
      </w:r>
      <w:r w:rsidRPr="000C63B2">
        <w:rPr>
          <w:rFonts w:ascii="Palatino Linotype" w:hAnsi="Palatino Linotype" w:cs="Arial"/>
          <w:i/>
        </w:rPr>
        <w:t xml:space="preserve"> y postal, cuya titularidad corresponda a particulares, sujetos de derecho internacional o a sujetos obligados cuando no involucren el ejercicio de recursos </w:t>
      </w:r>
      <w:r w:rsidR="00045B6F" w:rsidRPr="000C63B2">
        <w:rPr>
          <w:rFonts w:ascii="Palatino Linotype" w:hAnsi="Palatino Linotype" w:cs="Arial"/>
          <w:i/>
        </w:rPr>
        <w:t>públicos</w:t>
      </w:r>
      <w:r w:rsidRPr="000C63B2">
        <w:rPr>
          <w:rFonts w:ascii="Palatino Linotype" w:hAnsi="Palatino Linotype" w:cs="Arial"/>
          <w:i/>
        </w:rPr>
        <w:t>; y</w:t>
      </w:r>
    </w:p>
    <w:p w:rsidR="00C176BF" w:rsidRPr="000C63B2" w:rsidRDefault="00C176BF" w:rsidP="00C176BF">
      <w:pPr>
        <w:spacing w:line="240" w:lineRule="atLeast"/>
        <w:ind w:left="709" w:right="902"/>
        <w:jc w:val="both"/>
        <w:rPr>
          <w:rFonts w:ascii="Palatino Linotype" w:hAnsi="Palatino Linotype" w:cs="Arial"/>
          <w:i/>
        </w:rPr>
      </w:pPr>
      <w:r w:rsidRPr="000C63B2">
        <w:rPr>
          <w:rFonts w:ascii="Palatino Linotype" w:hAnsi="Palatino Linotype" w:cs="Arial"/>
          <w:i/>
        </w:rPr>
        <w:t>III. La que presenten los particulares a los sujetos obligados, de conformidad con lo dispuesto por las leyes o los tratados internacionales.</w:t>
      </w:r>
    </w:p>
    <w:p w:rsidR="00C176BF" w:rsidRDefault="00C176BF" w:rsidP="00C176BF">
      <w:pPr>
        <w:spacing w:line="240" w:lineRule="atLeast"/>
        <w:ind w:left="709" w:right="902"/>
        <w:jc w:val="both"/>
        <w:rPr>
          <w:rFonts w:ascii="Palatino Linotype" w:hAnsi="Palatino Linotype" w:cs="Arial"/>
          <w:i/>
        </w:rPr>
      </w:pPr>
    </w:p>
    <w:p w:rsidR="00C176BF" w:rsidRPr="000C63B2" w:rsidRDefault="00C176BF" w:rsidP="00C176BF">
      <w:pPr>
        <w:spacing w:line="240" w:lineRule="atLeast"/>
        <w:ind w:left="709" w:right="902"/>
        <w:jc w:val="both"/>
        <w:rPr>
          <w:rFonts w:ascii="Palatino Linotype" w:hAnsi="Palatino Linotype" w:cs="Arial"/>
          <w:i/>
        </w:rPr>
      </w:pPr>
      <w:r w:rsidRPr="000C63B2">
        <w:rPr>
          <w:rFonts w:ascii="Palatino Linotype" w:hAnsi="Palatino Linotype" w:cs="Arial"/>
          <w:i/>
        </w:rPr>
        <w:t xml:space="preserve">La </w:t>
      </w:r>
      <w:r w:rsidR="00045B6F" w:rsidRPr="000C63B2">
        <w:rPr>
          <w:rFonts w:ascii="Palatino Linotype" w:hAnsi="Palatino Linotype" w:cs="Arial"/>
          <w:i/>
        </w:rPr>
        <w:t>información</w:t>
      </w:r>
      <w:r w:rsidRPr="000C63B2">
        <w:rPr>
          <w:rFonts w:ascii="Palatino Linotype" w:hAnsi="Palatino Linotype" w:cs="Arial"/>
          <w:i/>
        </w:rPr>
        <w:t xml:space="preserve"> confidencial no </w:t>
      </w:r>
      <w:r w:rsidR="00045B6F" w:rsidRPr="000C63B2">
        <w:rPr>
          <w:rFonts w:ascii="Palatino Linotype" w:hAnsi="Palatino Linotype" w:cs="Arial"/>
          <w:i/>
        </w:rPr>
        <w:t>estará</w:t>
      </w:r>
      <w:r w:rsidRPr="000C63B2">
        <w:rPr>
          <w:rFonts w:ascii="Palatino Linotype" w:hAnsi="Palatino Linotype" w:cs="Arial"/>
          <w:i/>
        </w:rPr>
        <w:t xml:space="preserve">́ sujeta a temporalidad alguna y </w:t>
      </w:r>
      <w:r w:rsidR="00045B6F" w:rsidRPr="000C63B2">
        <w:rPr>
          <w:rFonts w:ascii="Palatino Linotype" w:hAnsi="Palatino Linotype" w:cs="Arial"/>
          <w:i/>
        </w:rPr>
        <w:t>sólo</w:t>
      </w:r>
      <w:r w:rsidRPr="000C63B2">
        <w:rPr>
          <w:rFonts w:ascii="Palatino Linotype" w:hAnsi="Palatino Linotype" w:cs="Arial"/>
          <w:i/>
        </w:rPr>
        <w:t xml:space="preserve"> </w:t>
      </w:r>
      <w:r w:rsidR="00045B6F" w:rsidRPr="000C63B2">
        <w:rPr>
          <w:rFonts w:ascii="Palatino Linotype" w:hAnsi="Palatino Linotype" w:cs="Arial"/>
          <w:i/>
        </w:rPr>
        <w:t>podrán</w:t>
      </w:r>
      <w:r w:rsidRPr="000C63B2">
        <w:rPr>
          <w:rFonts w:ascii="Palatino Linotype" w:hAnsi="Palatino Linotype" w:cs="Arial"/>
          <w:i/>
        </w:rPr>
        <w:t xml:space="preserve"> tener acceso a ella los titulares de la misma, sus representantes y los servidores </w:t>
      </w:r>
      <w:r w:rsidR="00045B6F" w:rsidRPr="000C63B2">
        <w:rPr>
          <w:rFonts w:ascii="Palatino Linotype" w:hAnsi="Palatino Linotype" w:cs="Arial"/>
          <w:i/>
        </w:rPr>
        <w:t>públicos</w:t>
      </w:r>
      <w:r w:rsidRPr="000C63B2">
        <w:rPr>
          <w:rFonts w:ascii="Palatino Linotype" w:hAnsi="Palatino Linotype" w:cs="Arial"/>
          <w:i/>
        </w:rPr>
        <w:t xml:space="preserve"> facultados para ello.</w:t>
      </w:r>
    </w:p>
    <w:p w:rsidR="00C176BF" w:rsidRDefault="00C176BF" w:rsidP="00C176BF">
      <w:pPr>
        <w:spacing w:line="240" w:lineRule="atLeast"/>
        <w:ind w:left="709" w:right="902"/>
        <w:jc w:val="both"/>
        <w:rPr>
          <w:rFonts w:ascii="Palatino Linotype" w:hAnsi="Palatino Linotype" w:cs="Arial"/>
          <w:i/>
        </w:rPr>
      </w:pPr>
    </w:p>
    <w:p w:rsidR="00C176BF" w:rsidRPr="000C63B2" w:rsidRDefault="00C176BF" w:rsidP="00C176BF">
      <w:pPr>
        <w:spacing w:line="240" w:lineRule="atLeast"/>
        <w:ind w:left="709" w:right="902"/>
        <w:jc w:val="both"/>
        <w:rPr>
          <w:rFonts w:ascii="Palatino Linotype" w:hAnsi="Palatino Linotype" w:cs="Arial"/>
          <w:i/>
        </w:rPr>
      </w:pPr>
      <w:r w:rsidRPr="000C63B2">
        <w:rPr>
          <w:rFonts w:ascii="Palatino Linotype" w:hAnsi="Palatino Linotype" w:cs="Arial"/>
          <w:i/>
        </w:rPr>
        <w:t xml:space="preserve">No se considerará confidencial la </w:t>
      </w:r>
      <w:proofErr w:type="spellStart"/>
      <w:r w:rsidRPr="000C63B2">
        <w:rPr>
          <w:rFonts w:ascii="Palatino Linotype" w:hAnsi="Palatino Linotype" w:cs="Arial"/>
          <w:i/>
        </w:rPr>
        <w:t>información</w:t>
      </w:r>
      <w:proofErr w:type="spellEnd"/>
      <w:r w:rsidRPr="000C63B2">
        <w:rPr>
          <w:rFonts w:ascii="Palatino Linotype" w:hAnsi="Palatino Linotype" w:cs="Arial"/>
          <w:i/>
        </w:rPr>
        <w:t xml:space="preserve"> que se encuentre en los registros </w:t>
      </w:r>
      <w:proofErr w:type="spellStart"/>
      <w:r w:rsidRPr="000C63B2">
        <w:rPr>
          <w:rFonts w:ascii="Palatino Linotype" w:hAnsi="Palatino Linotype" w:cs="Arial"/>
          <w:i/>
        </w:rPr>
        <w:t>públicos</w:t>
      </w:r>
      <w:proofErr w:type="spellEnd"/>
      <w:r w:rsidRPr="000C63B2">
        <w:rPr>
          <w:rFonts w:ascii="Palatino Linotype" w:hAnsi="Palatino Linotype" w:cs="Arial"/>
          <w:i/>
        </w:rPr>
        <w:t xml:space="preserve"> o en fuentes de acceso </w:t>
      </w:r>
      <w:proofErr w:type="spellStart"/>
      <w:r w:rsidRPr="000C63B2">
        <w:rPr>
          <w:rFonts w:ascii="Palatino Linotype" w:hAnsi="Palatino Linotype" w:cs="Arial"/>
          <w:i/>
        </w:rPr>
        <w:t>público</w:t>
      </w:r>
      <w:proofErr w:type="spellEnd"/>
      <w:r w:rsidRPr="000C63B2">
        <w:rPr>
          <w:rFonts w:ascii="Palatino Linotype" w:hAnsi="Palatino Linotype" w:cs="Arial"/>
          <w:i/>
        </w:rPr>
        <w:t xml:space="preserve">, ni tampoco la que sea considerada por la presente ley como </w:t>
      </w:r>
      <w:proofErr w:type="spellStart"/>
      <w:r w:rsidRPr="000C63B2">
        <w:rPr>
          <w:rFonts w:ascii="Palatino Linotype" w:hAnsi="Palatino Linotype" w:cs="Arial"/>
          <w:i/>
        </w:rPr>
        <w:t>información</w:t>
      </w:r>
      <w:proofErr w:type="spellEnd"/>
      <w:r w:rsidRPr="000C63B2">
        <w:rPr>
          <w:rFonts w:ascii="Palatino Linotype" w:hAnsi="Palatino Linotype" w:cs="Arial"/>
          <w:i/>
        </w:rPr>
        <w:t xml:space="preserve"> </w:t>
      </w:r>
      <w:proofErr w:type="spellStart"/>
      <w:r w:rsidRPr="000C63B2">
        <w:rPr>
          <w:rFonts w:ascii="Palatino Linotype" w:hAnsi="Palatino Linotype" w:cs="Arial"/>
          <w:i/>
        </w:rPr>
        <w:t>pública</w:t>
      </w:r>
      <w:proofErr w:type="spellEnd"/>
      <w:r w:rsidRPr="000C63B2">
        <w:rPr>
          <w:rFonts w:ascii="Palatino Linotype" w:hAnsi="Palatino Linotype" w:cs="Arial"/>
          <w:i/>
        </w:rPr>
        <w:t>.</w:t>
      </w:r>
    </w:p>
    <w:p w:rsidR="00C176BF" w:rsidRDefault="00C176BF" w:rsidP="00C176BF">
      <w:pPr>
        <w:spacing w:line="360" w:lineRule="auto"/>
        <w:ind w:right="49"/>
        <w:jc w:val="both"/>
        <w:rPr>
          <w:rFonts w:ascii="Palatino Linotype" w:hAnsi="Palatino Linotype" w:cs="Arial"/>
        </w:rPr>
      </w:pPr>
    </w:p>
    <w:p w:rsidR="000D3E21" w:rsidRPr="00045B6F" w:rsidRDefault="00C176BF" w:rsidP="00C176BF">
      <w:pPr>
        <w:spacing w:before="100" w:beforeAutospacing="1" w:after="100" w:afterAutospacing="1" w:line="360" w:lineRule="auto"/>
        <w:jc w:val="both"/>
        <w:rPr>
          <w:rFonts w:ascii="Palatino Linotype" w:hAnsi="Palatino Linotype" w:cs="Arial"/>
          <w:sz w:val="28"/>
          <w:szCs w:val="24"/>
        </w:rPr>
      </w:pPr>
      <w:r w:rsidRPr="00045B6F">
        <w:rPr>
          <w:rFonts w:ascii="Palatino Linotype" w:hAnsi="Palatino Linotype" w:cs="Arial"/>
          <w:sz w:val="24"/>
        </w:rPr>
        <w:t xml:space="preserve">Atento a lo expuesto, la que suscribe emite </w:t>
      </w:r>
      <w:r w:rsidRPr="00045B6F">
        <w:rPr>
          <w:rFonts w:ascii="Palatino Linotype" w:hAnsi="Palatino Linotype" w:cs="Arial"/>
          <w:b/>
          <w:sz w:val="24"/>
        </w:rPr>
        <w:t>VOTO PARTICULAR</w:t>
      </w:r>
      <w:r w:rsidRPr="00045B6F">
        <w:rPr>
          <w:rFonts w:ascii="Palatino Linotype" w:hAnsi="Palatino Linotype" w:cs="Arial"/>
          <w:sz w:val="24"/>
        </w:rPr>
        <w:t xml:space="preserve">, pues se insiste que tocante a la información que se ordena relativa a los planes de trabajo </w:t>
      </w:r>
      <w:r w:rsidR="00B32D33" w:rsidRPr="00045B6F">
        <w:rPr>
          <w:rFonts w:ascii="Palatino Linotype" w:hAnsi="Palatino Linotype" w:cs="Arial"/>
          <w:sz w:val="24"/>
        </w:rPr>
        <w:t xml:space="preserve">de los aspirantes </w:t>
      </w:r>
      <w:r w:rsidRPr="00045B6F">
        <w:rPr>
          <w:rFonts w:ascii="Palatino Linotype" w:hAnsi="Palatino Linotype" w:cs="Arial"/>
          <w:sz w:val="24"/>
        </w:rPr>
        <w:t>que no hayan sido favorecidas con la designación de Defensor Municipal, ésta es susceptible de ser clasificada como información confidencial, por lo que debió ordenarse el Acuerdo de Clasificación de Información en términos de los artículos 49, fracción VIII, 131, 133, 143 fracción I y II y 149 de la Ley de Transparencia y Acceso a la Información Pública del Estado de México y Municipios</w:t>
      </w:r>
      <w:r w:rsidRPr="00045B6F">
        <w:rPr>
          <w:rFonts w:ascii="Palatino Linotype" w:hAnsi="Palatino Linotype"/>
          <w:sz w:val="24"/>
        </w:rPr>
        <w:t>.</w:t>
      </w: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045B6F" w:rsidRDefault="00045B6F" w:rsidP="00FF74B8">
            <w:pPr>
              <w:spacing w:after="0"/>
              <w:ind w:right="51"/>
              <w:jc w:val="center"/>
              <w:rPr>
                <w:rFonts w:ascii="Palatino Linotype" w:hAnsi="Palatino Linotype"/>
                <w:b/>
                <w:sz w:val="24"/>
                <w:szCs w:val="24"/>
              </w:rPr>
            </w:pPr>
          </w:p>
          <w:p w:rsidR="00045B6F" w:rsidRDefault="00045B6F" w:rsidP="00FF74B8">
            <w:pPr>
              <w:spacing w:after="0"/>
              <w:ind w:right="51"/>
              <w:jc w:val="center"/>
              <w:rPr>
                <w:rFonts w:ascii="Palatino Linotype" w:hAnsi="Palatino Linotype"/>
                <w:b/>
                <w:sz w:val="24"/>
                <w:szCs w:val="24"/>
              </w:rPr>
            </w:pPr>
          </w:p>
          <w:p w:rsidR="00045B6F" w:rsidRDefault="00045B6F" w:rsidP="00FF74B8">
            <w:pPr>
              <w:spacing w:after="0"/>
              <w:ind w:right="51"/>
              <w:jc w:val="center"/>
              <w:rPr>
                <w:rFonts w:ascii="Palatino Linotype" w:hAnsi="Palatino Linotype"/>
                <w:b/>
                <w:sz w:val="24"/>
                <w:szCs w:val="24"/>
              </w:rPr>
            </w:pPr>
          </w:p>
          <w:p w:rsidR="00045B6F" w:rsidRDefault="00045B6F" w:rsidP="00FF74B8">
            <w:pPr>
              <w:spacing w:after="0"/>
              <w:ind w:right="51"/>
              <w:jc w:val="center"/>
              <w:rPr>
                <w:rFonts w:ascii="Palatino Linotype" w:hAnsi="Palatino Linotype"/>
                <w:b/>
                <w:sz w:val="24"/>
                <w:szCs w:val="24"/>
              </w:rPr>
            </w:pPr>
          </w:p>
          <w:p w:rsidR="00045B6F" w:rsidRDefault="00045B6F" w:rsidP="00FF74B8">
            <w:pPr>
              <w:spacing w:after="0"/>
              <w:ind w:right="51"/>
              <w:jc w:val="center"/>
              <w:rPr>
                <w:rFonts w:ascii="Palatino Linotype" w:hAnsi="Palatino Linotype"/>
                <w:b/>
                <w:sz w:val="24"/>
                <w:szCs w:val="24"/>
              </w:rPr>
            </w:pPr>
          </w:p>
          <w:p w:rsidR="00045B6F" w:rsidRDefault="00045B6F" w:rsidP="00FF74B8">
            <w:pPr>
              <w:spacing w:after="0"/>
              <w:ind w:right="51"/>
              <w:jc w:val="center"/>
              <w:rPr>
                <w:rFonts w:ascii="Palatino Linotype" w:hAnsi="Palatino Linotype"/>
                <w:b/>
                <w:sz w:val="24"/>
                <w:szCs w:val="24"/>
              </w:rPr>
            </w:pPr>
          </w:p>
          <w:p w:rsidR="00045B6F" w:rsidRDefault="00045B6F" w:rsidP="00FF74B8">
            <w:pPr>
              <w:spacing w:after="0"/>
              <w:ind w:right="51"/>
              <w:jc w:val="center"/>
              <w:rPr>
                <w:rFonts w:ascii="Palatino Linotype" w:hAnsi="Palatino Linotype"/>
                <w:b/>
                <w:sz w:val="24"/>
                <w:szCs w:val="24"/>
              </w:rPr>
            </w:pPr>
          </w:p>
          <w:p w:rsidR="00045B6F" w:rsidRDefault="00045B6F" w:rsidP="00FF74B8">
            <w:pPr>
              <w:spacing w:after="0"/>
              <w:ind w:right="51"/>
              <w:jc w:val="center"/>
              <w:rPr>
                <w:rFonts w:ascii="Palatino Linotype" w:hAnsi="Palatino Linotype"/>
                <w:b/>
                <w:sz w:val="24"/>
                <w:szCs w:val="24"/>
              </w:rPr>
            </w:pP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Default="00222D15" w:rsidP="00045B6F">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563873" w:rsidRPr="009F71D8" w:rsidRDefault="00563873" w:rsidP="00045B6F">
            <w:pPr>
              <w:spacing w:after="0"/>
              <w:ind w:right="51"/>
              <w:jc w:val="center"/>
              <w:rPr>
                <w:rFonts w:ascii="Palatino Linotype" w:hAnsi="Palatino Linotype"/>
                <w:b/>
                <w:sz w:val="24"/>
                <w:szCs w:val="24"/>
              </w:rPr>
            </w:pPr>
            <w:r>
              <w:rPr>
                <w:rFonts w:ascii="Palatino Linotype" w:hAnsi="Palatino Linotype"/>
                <w:b/>
              </w:rPr>
              <w:t>(</w:t>
            </w:r>
            <w:r w:rsidRPr="009F71D8">
              <w:rPr>
                <w:rFonts w:ascii="Palatino Linotype" w:hAnsi="Palatino Linotype"/>
                <w:b/>
                <w:sz w:val="24"/>
                <w:szCs w:val="24"/>
              </w:rPr>
              <w:t>RÚBRICA)</w:t>
            </w:r>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B6F" w:rsidRDefault="00045B6F" w:rsidP="00222D15">
      <w:pPr>
        <w:widowControl w:val="0"/>
        <w:spacing w:after="0" w:line="240" w:lineRule="auto"/>
        <w:ind w:right="51"/>
        <w:jc w:val="both"/>
        <w:rPr>
          <w:rFonts w:ascii="Palatino Linotype" w:eastAsia="Calibri" w:hAnsi="Palatino Linotype" w:cs="Arial"/>
          <w:color w:val="000000" w:themeColor="text1"/>
          <w:sz w:val="20"/>
          <w:szCs w:val="20"/>
        </w:rPr>
      </w:pPr>
      <w:bookmarkStart w:id="0" w:name="_GoBack"/>
      <w:bookmarkEnd w:id="0"/>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B6F" w:rsidRDefault="00045B6F" w:rsidP="00222D15">
      <w:pPr>
        <w:widowControl w:val="0"/>
        <w:spacing w:after="0" w:line="240" w:lineRule="auto"/>
        <w:ind w:right="51"/>
        <w:jc w:val="both"/>
        <w:rPr>
          <w:rFonts w:ascii="Palatino Linotype" w:eastAsia="Calibri" w:hAnsi="Palatino Linotype" w:cs="Arial"/>
          <w:color w:val="000000" w:themeColor="text1"/>
          <w:sz w:val="20"/>
          <w:szCs w:val="20"/>
        </w:rPr>
      </w:pPr>
    </w:p>
    <w:p w:rsidR="00045B6F" w:rsidRDefault="00045B6F"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C176BF">
        <w:rPr>
          <w:rFonts w:ascii="Palatino Linotype" w:hAnsi="Palatino Linotype" w:cs="Arial"/>
          <w:bCs/>
          <w:sz w:val="20"/>
          <w:szCs w:val="20"/>
        </w:rPr>
        <w:t>8571</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C176BF">
        <w:rPr>
          <w:rFonts w:ascii="Palatino Linotype" w:hAnsi="Palatino Linotype" w:cs="Arial"/>
          <w:bCs/>
          <w:sz w:val="20"/>
          <w:szCs w:val="20"/>
        </w:rPr>
        <w:t>veintinueve</w:t>
      </w:r>
      <w:r w:rsidR="007F0383">
        <w:rPr>
          <w:rFonts w:ascii="Palatino Linotype" w:hAnsi="Palatino Linotype" w:cs="Arial"/>
          <w:bCs/>
          <w:sz w:val="20"/>
          <w:szCs w:val="20"/>
        </w:rPr>
        <w:t xml:space="preserve"> de enero de dos mil veinte</w:t>
      </w:r>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A5E" w:rsidRDefault="00AE2A5E" w:rsidP="00222D15">
      <w:pPr>
        <w:spacing w:after="0" w:line="240" w:lineRule="auto"/>
      </w:pPr>
      <w:r>
        <w:separator/>
      </w:r>
    </w:p>
  </w:endnote>
  <w:endnote w:type="continuationSeparator" w:id="0">
    <w:p w:rsidR="00AE2A5E" w:rsidRDefault="00AE2A5E"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63873" w:rsidP="00DC5C4E">
    <w:pPr>
      <w:pStyle w:val="Piedepgina"/>
      <w:tabs>
        <w:tab w:val="clear" w:pos="4252"/>
        <w:tab w:val="left" w:pos="4228"/>
      </w:tabs>
      <w:rPr>
        <w:rFonts w:ascii="Palatino Linotype" w:hAnsi="Palatino Linotype" w:cs="Arial"/>
        <w:b/>
        <w:bCs/>
        <w:sz w:val="20"/>
        <w:szCs w:val="20"/>
      </w:rPr>
    </w:pPr>
  </w:p>
  <w:p w:rsidR="005C7C8F" w:rsidRDefault="00563873" w:rsidP="00DC5C4E">
    <w:pPr>
      <w:pStyle w:val="Piedepgina"/>
      <w:tabs>
        <w:tab w:val="clear" w:pos="4252"/>
        <w:tab w:val="left" w:pos="4228"/>
      </w:tabs>
      <w:rPr>
        <w:rFonts w:ascii="Palatino Linotype" w:hAnsi="Palatino Linotype" w:cs="Arial"/>
        <w:b/>
        <w:bCs/>
        <w:sz w:val="20"/>
        <w:szCs w:val="20"/>
      </w:rPr>
    </w:pPr>
  </w:p>
  <w:p w:rsidR="005C7C8F" w:rsidRDefault="00563873" w:rsidP="00DC5C4E">
    <w:pPr>
      <w:pStyle w:val="Piedepgina"/>
      <w:tabs>
        <w:tab w:val="clear" w:pos="4252"/>
        <w:tab w:val="left" w:pos="4228"/>
      </w:tabs>
      <w:rPr>
        <w:rFonts w:ascii="Palatino Linotype" w:hAnsi="Palatino Linotype" w:cs="Arial"/>
        <w:b/>
        <w:bCs/>
        <w:sz w:val="20"/>
        <w:szCs w:val="20"/>
      </w:rPr>
    </w:pPr>
  </w:p>
  <w:p w:rsidR="005C7C8F" w:rsidRDefault="00563873"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63873">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63873">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5C7C8F" w:rsidRDefault="00563873"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A5E" w:rsidRDefault="00AE2A5E" w:rsidP="00222D15">
      <w:pPr>
        <w:spacing w:after="0" w:line="240" w:lineRule="auto"/>
      </w:pPr>
      <w:r>
        <w:separator/>
      </w:r>
    </w:p>
  </w:footnote>
  <w:footnote w:type="continuationSeparator" w:id="0">
    <w:p w:rsidR="00AE2A5E" w:rsidRDefault="00AE2A5E"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638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94E9C" w:rsidRDefault="00563873"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563873"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32523A">
      <w:rPr>
        <w:rFonts w:ascii="Palatino Linotype" w:hAnsi="Palatino Linotype" w:cs="Arial"/>
        <w:sz w:val="20"/>
        <w:szCs w:val="20"/>
      </w:rPr>
      <w:t>8571</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563873"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81.55pt;margin-top:238.5pt;width:642.75pt;height:93.55pt;rotation:315;z-index:-251658240;mso-position-horizontal-relative:margin;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6387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541E1A"/>
    <w:multiLevelType w:val="hybridMultilevel"/>
    <w:tmpl w:val="4CDE2E4A"/>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5EA8288C"/>
    <w:multiLevelType w:val="hybridMultilevel"/>
    <w:tmpl w:val="8F843E6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6"/>
  </w:num>
  <w:num w:numId="9">
    <w:abstractNumId w:val="13"/>
  </w:num>
  <w:num w:numId="10">
    <w:abstractNumId w:val="1"/>
  </w:num>
  <w:num w:numId="11">
    <w:abstractNumId w:val="4"/>
  </w:num>
  <w:num w:numId="12">
    <w:abstractNumId w:val="5"/>
  </w:num>
  <w:num w:numId="13">
    <w:abstractNumId w:val="11"/>
  </w:num>
  <w:num w:numId="14">
    <w:abstractNumId w:val="8"/>
  </w:num>
  <w:num w:numId="15">
    <w:abstractNumId w:val="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45B6F"/>
    <w:rsid w:val="0008352F"/>
    <w:rsid w:val="000B3CE1"/>
    <w:rsid w:val="000B643B"/>
    <w:rsid w:val="000D3E21"/>
    <w:rsid w:val="00121F69"/>
    <w:rsid w:val="001354EB"/>
    <w:rsid w:val="0013576C"/>
    <w:rsid w:val="001375AB"/>
    <w:rsid w:val="00142B10"/>
    <w:rsid w:val="00177DDB"/>
    <w:rsid w:val="001B737F"/>
    <w:rsid w:val="001F5492"/>
    <w:rsid w:val="00222D15"/>
    <w:rsid w:val="002670F4"/>
    <w:rsid w:val="00267DAC"/>
    <w:rsid w:val="00280712"/>
    <w:rsid w:val="002B43B8"/>
    <w:rsid w:val="002F537D"/>
    <w:rsid w:val="00303FB7"/>
    <w:rsid w:val="0030441A"/>
    <w:rsid w:val="00304C76"/>
    <w:rsid w:val="0032523A"/>
    <w:rsid w:val="00333EEC"/>
    <w:rsid w:val="00334792"/>
    <w:rsid w:val="00352450"/>
    <w:rsid w:val="00352721"/>
    <w:rsid w:val="00363930"/>
    <w:rsid w:val="00387A19"/>
    <w:rsid w:val="003A0433"/>
    <w:rsid w:val="003B2D2B"/>
    <w:rsid w:val="003E5AB1"/>
    <w:rsid w:val="003E6C2F"/>
    <w:rsid w:val="003F231C"/>
    <w:rsid w:val="00411FC3"/>
    <w:rsid w:val="004128D7"/>
    <w:rsid w:val="00432008"/>
    <w:rsid w:val="00434F2D"/>
    <w:rsid w:val="0046713B"/>
    <w:rsid w:val="004773D0"/>
    <w:rsid w:val="004801C3"/>
    <w:rsid w:val="0049469C"/>
    <w:rsid w:val="004A2D8C"/>
    <w:rsid w:val="004B607A"/>
    <w:rsid w:val="004B622D"/>
    <w:rsid w:val="004B7753"/>
    <w:rsid w:val="004E7395"/>
    <w:rsid w:val="004F1058"/>
    <w:rsid w:val="004F307F"/>
    <w:rsid w:val="004F3722"/>
    <w:rsid w:val="0051785B"/>
    <w:rsid w:val="00517C66"/>
    <w:rsid w:val="00520810"/>
    <w:rsid w:val="005327CF"/>
    <w:rsid w:val="00534C05"/>
    <w:rsid w:val="00541D04"/>
    <w:rsid w:val="00563873"/>
    <w:rsid w:val="00563884"/>
    <w:rsid w:val="00571F3C"/>
    <w:rsid w:val="005848D9"/>
    <w:rsid w:val="0059520B"/>
    <w:rsid w:val="005D1C17"/>
    <w:rsid w:val="005E0490"/>
    <w:rsid w:val="005E0746"/>
    <w:rsid w:val="005F2664"/>
    <w:rsid w:val="006079F6"/>
    <w:rsid w:val="00642D83"/>
    <w:rsid w:val="006537E7"/>
    <w:rsid w:val="00657587"/>
    <w:rsid w:val="00661074"/>
    <w:rsid w:val="00692DB6"/>
    <w:rsid w:val="00694104"/>
    <w:rsid w:val="006A112C"/>
    <w:rsid w:val="006D6DB2"/>
    <w:rsid w:val="00702877"/>
    <w:rsid w:val="00740A94"/>
    <w:rsid w:val="0075624F"/>
    <w:rsid w:val="00772859"/>
    <w:rsid w:val="00784D68"/>
    <w:rsid w:val="00787DD5"/>
    <w:rsid w:val="00792EC9"/>
    <w:rsid w:val="007A3711"/>
    <w:rsid w:val="007F0383"/>
    <w:rsid w:val="007F36C7"/>
    <w:rsid w:val="008C3005"/>
    <w:rsid w:val="008C3EA5"/>
    <w:rsid w:val="008C4B77"/>
    <w:rsid w:val="00920D70"/>
    <w:rsid w:val="009A5EFD"/>
    <w:rsid w:val="009C0562"/>
    <w:rsid w:val="009F1B96"/>
    <w:rsid w:val="00A55C30"/>
    <w:rsid w:val="00A85D7A"/>
    <w:rsid w:val="00AA2FDF"/>
    <w:rsid w:val="00AC0AFF"/>
    <w:rsid w:val="00AE1C6B"/>
    <w:rsid w:val="00AE2A5E"/>
    <w:rsid w:val="00AE4B1F"/>
    <w:rsid w:val="00AE56B4"/>
    <w:rsid w:val="00AF155E"/>
    <w:rsid w:val="00B26C8F"/>
    <w:rsid w:val="00B32D33"/>
    <w:rsid w:val="00B41A82"/>
    <w:rsid w:val="00B41EAB"/>
    <w:rsid w:val="00B65E8A"/>
    <w:rsid w:val="00BA7978"/>
    <w:rsid w:val="00BB75BA"/>
    <w:rsid w:val="00BC647D"/>
    <w:rsid w:val="00BF0709"/>
    <w:rsid w:val="00C10C4B"/>
    <w:rsid w:val="00C10CE9"/>
    <w:rsid w:val="00C176BF"/>
    <w:rsid w:val="00C23B43"/>
    <w:rsid w:val="00C3408B"/>
    <w:rsid w:val="00C76FD9"/>
    <w:rsid w:val="00C83DFF"/>
    <w:rsid w:val="00C92D53"/>
    <w:rsid w:val="00C9714C"/>
    <w:rsid w:val="00CB35F6"/>
    <w:rsid w:val="00CB3EA9"/>
    <w:rsid w:val="00CD75F6"/>
    <w:rsid w:val="00CE3D7A"/>
    <w:rsid w:val="00D05991"/>
    <w:rsid w:val="00D34ECE"/>
    <w:rsid w:val="00D67AAB"/>
    <w:rsid w:val="00D72673"/>
    <w:rsid w:val="00D83EB3"/>
    <w:rsid w:val="00D9781B"/>
    <w:rsid w:val="00DB79F9"/>
    <w:rsid w:val="00DD6808"/>
    <w:rsid w:val="00DE19BE"/>
    <w:rsid w:val="00E02985"/>
    <w:rsid w:val="00E43478"/>
    <w:rsid w:val="00E45F71"/>
    <w:rsid w:val="00E471A2"/>
    <w:rsid w:val="00E47517"/>
    <w:rsid w:val="00E56331"/>
    <w:rsid w:val="00E838CF"/>
    <w:rsid w:val="00E842B6"/>
    <w:rsid w:val="00E97C45"/>
    <w:rsid w:val="00EA3494"/>
    <w:rsid w:val="00EB3365"/>
    <w:rsid w:val="00EB621D"/>
    <w:rsid w:val="00EC447A"/>
    <w:rsid w:val="00ED22F1"/>
    <w:rsid w:val="00ED29D1"/>
    <w:rsid w:val="00EE0542"/>
    <w:rsid w:val="00EE67AD"/>
    <w:rsid w:val="00F3668C"/>
    <w:rsid w:val="00F367F5"/>
    <w:rsid w:val="00F5763D"/>
    <w:rsid w:val="00F7093C"/>
    <w:rsid w:val="00F70C03"/>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331"/>
    <w:rPr>
      <w:sz w:val="20"/>
      <w:szCs w:val="20"/>
    </w:rPr>
  </w:style>
  <w:style w:type="table" w:styleId="Tablaconcuadrcula">
    <w:name w:val="Table Grid"/>
    <w:basedOn w:val="Tablanormal"/>
    <w:uiPriority w:val="59"/>
    <w:rsid w:val="0032523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3252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biernodechalco.gob.mx/prensa/190-boletin-comision-de-derechos-humanos-del-gobierno-de-chalco-realiza-consulta-publica-para-eleccion-del-defensor-municip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84429-5836-4ED6-BC58-29780BB7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1827</Words>
  <Characters>10049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2020-02-04T20:11:00Z</cp:lastPrinted>
  <dcterms:created xsi:type="dcterms:W3CDTF">2020-02-04T20:11:00Z</dcterms:created>
  <dcterms:modified xsi:type="dcterms:W3CDTF">2020-02-14T16:57:00Z</dcterms:modified>
</cp:coreProperties>
</file>