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CE3D7A">
        <w:rPr>
          <w:rFonts w:ascii="Palatino Linotype" w:hAnsi="Palatino Linotype" w:cs="Arial"/>
          <w:b/>
          <w:sz w:val="24"/>
          <w:szCs w:val="24"/>
        </w:rPr>
        <w:t>VIGÉSIMA SEGUNDA</w:t>
      </w:r>
      <w:r w:rsidRPr="009F71D8">
        <w:rPr>
          <w:rFonts w:ascii="Palatino Linotype" w:hAnsi="Palatino Linotype" w:cs="Arial"/>
          <w:b/>
          <w:sz w:val="24"/>
          <w:szCs w:val="24"/>
        </w:rPr>
        <w:t xml:space="preserve"> SESIÓN ORDINARIA DE </w:t>
      </w:r>
      <w:r w:rsidR="00FA59D8">
        <w:rPr>
          <w:rFonts w:ascii="Palatino Linotype" w:hAnsi="Palatino Linotype" w:cs="Arial"/>
          <w:b/>
          <w:sz w:val="24"/>
          <w:szCs w:val="24"/>
        </w:rPr>
        <w:t>DOCE DE JUNIO</w:t>
      </w:r>
      <w:r w:rsidRPr="009F71D8">
        <w:rPr>
          <w:rFonts w:ascii="Palatino Linotype" w:hAnsi="Palatino Linotype" w:cs="Arial"/>
          <w:b/>
          <w:sz w:val="24"/>
          <w:szCs w:val="24"/>
        </w:rPr>
        <w:t xml:space="preserve"> 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FA59D8">
        <w:rPr>
          <w:rFonts w:ascii="Palatino Linotype" w:hAnsi="Palatino Linotype" w:cs="Arial"/>
          <w:b/>
          <w:bCs/>
          <w:sz w:val="24"/>
          <w:szCs w:val="24"/>
        </w:rPr>
        <w:t>02185</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FA59D8">
        <w:rPr>
          <w:rFonts w:ascii="Palatino Linotype" w:hAnsi="Palatino Linotype" w:cs="Arial"/>
          <w:b/>
          <w:bCs/>
          <w:sz w:val="24"/>
          <w:szCs w:val="24"/>
        </w:rPr>
        <w:t>02185</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7A3711">
        <w:rPr>
          <w:rFonts w:ascii="Palatino Linotype" w:hAnsi="Palatino Linotype" w:cs="Arial"/>
          <w:sz w:val="24"/>
          <w:szCs w:val="24"/>
        </w:rPr>
        <w:t>la Comisionada</w:t>
      </w:r>
      <w:r w:rsidRPr="009F71D8">
        <w:rPr>
          <w:rFonts w:ascii="Palatino Linotype" w:hAnsi="Palatino Linotype" w:cs="Arial"/>
          <w:sz w:val="24"/>
          <w:szCs w:val="24"/>
        </w:rPr>
        <w:t xml:space="preserve"> </w:t>
      </w:r>
      <w:r w:rsidR="007A3711">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D72673" w:rsidRPr="000E13D9" w:rsidRDefault="00222D15" w:rsidP="00D72673">
      <w:pPr>
        <w:spacing w:before="240" w:line="360" w:lineRule="auto"/>
        <w:jc w:val="both"/>
        <w:rPr>
          <w:rFonts w:ascii="Palatino Linotype" w:hAnsi="Palatino Linotype" w:cs="Arial"/>
          <w:sz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FA59D8" w:rsidRPr="00774DEF">
        <w:rPr>
          <w:rFonts w:ascii="Palatino Linotype" w:hAnsi="Palatino Linotype" w:cs="Arial"/>
          <w:b/>
          <w:sz w:val="24"/>
          <w:szCs w:val="24"/>
        </w:rPr>
        <w:t>Poder Judicial</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004F1058" w:rsidRPr="004F1058">
        <w:t xml:space="preserve"> </w:t>
      </w:r>
      <w:r w:rsidR="00D72673">
        <w:rPr>
          <w:rFonts w:ascii="Palatino Linotype" w:hAnsi="Palatino Linotype" w:cs="Arial"/>
          <w:sz w:val="24"/>
        </w:rPr>
        <w:t>solicitó de los servidores públicos señalado</w:t>
      </w:r>
      <w:r w:rsidR="00D6606A">
        <w:rPr>
          <w:rFonts w:ascii="Palatino Linotype" w:hAnsi="Palatino Linotype" w:cs="Arial"/>
          <w:sz w:val="24"/>
        </w:rPr>
        <w:t>s</w:t>
      </w:r>
      <w:r w:rsidR="00D72673">
        <w:rPr>
          <w:rFonts w:ascii="Palatino Linotype" w:hAnsi="Palatino Linotype" w:cs="Arial"/>
          <w:sz w:val="24"/>
        </w:rPr>
        <w:t xml:space="preserve"> en la solicitó: </w:t>
      </w:r>
      <w:r w:rsidR="00FA59D8">
        <w:rPr>
          <w:rFonts w:ascii="Palatino Linotype" w:hAnsi="Palatino Linotype" w:cs="Arial"/>
          <w:sz w:val="24"/>
        </w:rPr>
        <w:t xml:space="preserve"> </w:t>
      </w:r>
    </w:p>
    <w:p w:rsidR="00D72673" w:rsidRPr="00FA59D8" w:rsidRDefault="00FA59D8" w:rsidP="00D72673">
      <w:pPr>
        <w:pStyle w:val="Prrafodelista"/>
        <w:numPr>
          <w:ilvl w:val="0"/>
          <w:numId w:val="9"/>
        </w:numPr>
        <w:spacing w:before="240"/>
        <w:ind w:left="851" w:right="851"/>
        <w:contextualSpacing w:val="0"/>
        <w:jc w:val="both"/>
        <w:rPr>
          <w:rFonts w:ascii="Palatino Linotype" w:hAnsi="Palatino Linotype" w:cs="Arial"/>
          <w:i/>
        </w:rPr>
      </w:pPr>
      <w:r>
        <w:rPr>
          <w:rFonts w:ascii="Palatino Linotype" w:hAnsi="Palatino Linotype"/>
          <w:i/>
        </w:rPr>
        <w:lastRenderedPageBreak/>
        <w:t>V</w:t>
      </w:r>
      <w:r w:rsidRPr="00961F97">
        <w:rPr>
          <w:rFonts w:ascii="Palatino Linotype" w:hAnsi="Palatino Linotype"/>
          <w:i/>
        </w:rPr>
        <w:t>ersión pública de las pruebas documentales ofrecidas en el juicio civil ordinario civil y ejecutivo mercantil número 145/2015 de índice del Juzgado Segundo Civil de Ecatepec</w:t>
      </w:r>
      <w:r>
        <w:rPr>
          <w:rFonts w:ascii="Palatino Linotype" w:hAnsi="Palatino Linotype"/>
          <w:i/>
          <w:color w:val="000000"/>
        </w:rPr>
        <w:t>;</w:t>
      </w:r>
    </w:p>
    <w:p w:rsidR="00FA59D8" w:rsidRPr="00FA59D8" w:rsidRDefault="00FA59D8" w:rsidP="00D72673">
      <w:pPr>
        <w:pStyle w:val="Prrafodelista"/>
        <w:numPr>
          <w:ilvl w:val="0"/>
          <w:numId w:val="9"/>
        </w:numPr>
        <w:spacing w:before="240"/>
        <w:ind w:left="851" w:right="851"/>
        <w:contextualSpacing w:val="0"/>
        <w:jc w:val="both"/>
        <w:rPr>
          <w:rFonts w:ascii="Palatino Linotype" w:hAnsi="Palatino Linotype" w:cs="Arial"/>
          <w:i/>
        </w:rPr>
      </w:pPr>
      <w:r w:rsidRPr="00961F97">
        <w:rPr>
          <w:rFonts w:ascii="Palatino Linotype" w:hAnsi="Palatino Linotype"/>
          <w:i/>
        </w:rPr>
        <w:t>El certificado expedido el 17/03/2015 por el registrador de la propiedad de Ecatepec y Coacalco, y/o datos hipotecarios</w:t>
      </w:r>
      <w:r>
        <w:rPr>
          <w:rFonts w:ascii="Palatino Linotype" w:hAnsi="Palatino Linotype"/>
          <w:i/>
        </w:rPr>
        <w:t>;</w:t>
      </w:r>
    </w:p>
    <w:p w:rsidR="00FA59D8" w:rsidRPr="00FA59D8" w:rsidRDefault="00FA59D8" w:rsidP="00D72673">
      <w:pPr>
        <w:pStyle w:val="Prrafodelista"/>
        <w:numPr>
          <w:ilvl w:val="0"/>
          <w:numId w:val="9"/>
        </w:numPr>
        <w:spacing w:before="240"/>
        <w:ind w:left="851" w:right="851"/>
        <w:contextualSpacing w:val="0"/>
        <w:jc w:val="both"/>
        <w:rPr>
          <w:rFonts w:ascii="Palatino Linotype" w:hAnsi="Palatino Linotype" w:cs="Arial"/>
          <w:i/>
        </w:rPr>
      </w:pPr>
      <w:r w:rsidRPr="00961F97">
        <w:rPr>
          <w:rFonts w:ascii="Palatino Linotype" w:hAnsi="Palatino Linotype"/>
          <w:i/>
        </w:rPr>
        <w:t>El número de escritura pública, volumen y página, así como el número de la notaría</w:t>
      </w:r>
      <w:r>
        <w:rPr>
          <w:rFonts w:ascii="Palatino Linotype" w:hAnsi="Palatino Linotype"/>
          <w:i/>
        </w:rPr>
        <w:t>;</w:t>
      </w:r>
    </w:p>
    <w:p w:rsidR="00FA59D8" w:rsidRPr="00FA59D8" w:rsidRDefault="00FA59D8" w:rsidP="00D72673">
      <w:pPr>
        <w:pStyle w:val="Prrafodelista"/>
        <w:numPr>
          <w:ilvl w:val="0"/>
          <w:numId w:val="9"/>
        </w:numPr>
        <w:spacing w:before="240"/>
        <w:ind w:left="851" w:right="851"/>
        <w:contextualSpacing w:val="0"/>
        <w:jc w:val="both"/>
        <w:rPr>
          <w:rFonts w:ascii="Palatino Linotype" w:hAnsi="Palatino Linotype" w:cs="Arial"/>
          <w:i/>
        </w:rPr>
      </w:pPr>
      <w:r w:rsidRPr="00961F97">
        <w:rPr>
          <w:rFonts w:ascii="Palatino Linotype" w:hAnsi="Palatino Linotype"/>
          <w:i/>
        </w:rPr>
        <w:t>El nombre de la institución financiera y los datos hipotecarios, los números de cédulas profesionales.</w:t>
      </w:r>
    </w:p>
    <w:p w:rsidR="00FA59D8" w:rsidRPr="00BB75BA" w:rsidRDefault="00FA59D8" w:rsidP="00D72673">
      <w:pPr>
        <w:pStyle w:val="Prrafodelista"/>
        <w:numPr>
          <w:ilvl w:val="0"/>
          <w:numId w:val="9"/>
        </w:numPr>
        <w:spacing w:before="240"/>
        <w:ind w:left="851" w:right="851"/>
        <w:contextualSpacing w:val="0"/>
        <w:jc w:val="both"/>
        <w:rPr>
          <w:rFonts w:ascii="Palatino Linotype" w:hAnsi="Palatino Linotype" w:cs="Arial"/>
          <w:i/>
        </w:rPr>
      </w:pPr>
      <w:r w:rsidRPr="00961F97">
        <w:rPr>
          <w:rFonts w:ascii="Palatino Linotype" w:hAnsi="Palatino Linotype"/>
          <w:i/>
        </w:rPr>
        <w:t>Solicito que se revise si el juzgador del procedimiento civil 145/2015 apercibió a las partes a oponerse a la divulgación y tomando en cuenta que éstos no se opusieron, se haga efectivo el apercibimiento y consentimiento ficto que conlleva no oponerse y se tenga por consentida la divulgación</w:t>
      </w:r>
    </w:p>
    <w:p w:rsidR="00BB75BA" w:rsidRPr="008906BA" w:rsidRDefault="00BB75BA" w:rsidP="00BB75BA">
      <w:pPr>
        <w:pStyle w:val="Prrafodelista"/>
        <w:spacing w:before="240"/>
        <w:ind w:left="851" w:right="851"/>
        <w:contextualSpacing w:val="0"/>
        <w:jc w:val="both"/>
        <w:rPr>
          <w:rFonts w:ascii="Palatino Linotype" w:hAnsi="Palatino Linotype" w:cs="Arial"/>
          <w:i/>
        </w:rPr>
      </w:pPr>
    </w:p>
    <w:p w:rsidR="001354EB" w:rsidRDefault="00222D15" w:rsidP="00D72673">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97C45">
        <w:rPr>
          <w:rFonts w:ascii="Palatino Linotype" w:hAnsi="Palatino Linotype" w:cs="Arial"/>
          <w:b/>
          <w:sz w:val="24"/>
          <w:szCs w:val="24"/>
        </w:rPr>
        <w:t xml:space="preserve"> </w:t>
      </w:r>
      <w:r w:rsidR="00534C05">
        <w:rPr>
          <w:rFonts w:ascii="Palatino Linotype" w:hAnsi="Palatino Linotype" w:cs="Arial"/>
          <w:sz w:val="24"/>
          <w:szCs w:val="24"/>
        </w:rPr>
        <w:t xml:space="preserve">emitió su respuesta, </w:t>
      </w:r>
      <w:r w:rsidR="00D72673">
        <w:rPr>
          <w:rFonts w:ascii="Palatino Linotype" w:hAnsi="Palatino Linotype"/>
          <w:sz w:val="24"/>
          <w:szCs w:val="24"/>
        </w:rPr>
        <w:t>adjuntando diversos archivos electrónicos, pretendiendo satisfacer el derecho de acceso a la información accionado por el particular.</w:t>
      </w:r>
    </w:p>
    <w:p w:rsidR="00E97C45" w:rsidRPr="00D72673" w:rsidRDefault="00A85D7A"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Inconforme con la</w:t>
      </w:r>
      <w:r w:rsidR="004B7753">
        <w:rPr>
          <w:rFonts w:ascii="Palatino Linotype" w:hAnsi="Palatino Linotype" w:cs="Arial"/>
          <w:sz w:val="24"/>
          <w:szCs w:val="24"/>
        </w:rPr>
        <w:t xml:space="preserve"> respuesta, la</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BB75BA">
        <w:rPr>
          <w:rFonts w:ascii="Palatino Linotype" w:hAnsi="Palatino Linotype" w:cs="Arial"/>
          <w:sz w:val="24"/>
          <w:szCs w:val="24"/>
        </w:rPr>
        <w:t>que no se le había remitido la documentación con los datos sin testar requeridos</w:t>
      </w:r>
      <w:r w:rsidR="00D72673">
        <w:rPr>
          <w:rFonts w:ascii="Palatino Linotype" w:hAnsi="Palatino Linotype" w:cs="Arial"/>
          <w:sz w:val="24"/>
          <w:szCs w:val="24"/>
        </w:rPr>
        <w:t>.</w:t>
      </w:r>
    </w:p>
    <w:p w:rsidR="007A3711" w:rsidRDefault="00222D15" w:rsidP="007A3711">
      <w:pPr>
        <w:pStyle w:val="Sinespaciado"/>
        <w:spacing w:line="360" w:lineRule="auto"/>
        <w:jc w:val="both"/>
        <w:rPr>
          <w:rFonts w:ascii="Palatino Linotype"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BB75BA">
        <w:rPr>
          <w:rFonts w:ascii="Palatino Linotype" w:hAnsi="Palatino Linotype"/>
          <w:b/>
          <w:sz w:val="24"/>
          <w:szCs w:val="24"/>
        </w:rPr>
        <w:t>REVOCAR</w:t>
      </w:r>
      <w:r w:rsidR="007A3711" w:rsidRPr="0014447C">
        <w:rPr>
          <w:rFonts w:ascii="Palatino Linotype" w:hAnsi="Palatino Linotype"/>
          <w:sz w:val="24"/>
          <w:szCs w:val="24"/>
        </w:rPr>
        <w:t xml:space="preserve"> </w:t>
      </w:r>
      <w:r w:rsidR="004B7753">
        <w:rPr>
          <w:rFonts w:ascii="Palatino Linotype" w:hAnsi="Palatino Linotype" w:cs="Arial"/>
          <w:sz w:val="24"/>
          <w:szCs w:val="24"/>
        </w:rPr>
        <w:t xml:space="preserve">la respuesta entregada por </w:t>
      </w:r>
      <w:r w:rsidR="004B7753">
        <w:rPr>
          <w:rFonts w:ascii="Palatino Linotype" w:hAnsi="Palatino Linotype" w:cs="Arial"/>
          <w:b/>
          <w:sz w:val="24"/>
          <w:szCs w:val="24"/>
        </w:rPr>
        <w:t xml:space="preserve">EL SUJETO OBLIGADO, </w:t>
      </w:r>
      <w:r w:rsidR="00787DD5">
        <w:rPr>
          <w:rFonts w:ascii="Palatino Linotype" w:eastAsia="Calibri" w:hAnsi="Palatino Linotype" w:cs="Arial"/>
          <w:sz w:val="24"/>
          <w:szCs w:val="24"/>
        </w:rPr>
        <w:t>ordenando la</w:t>
      </w:r>
      <w:r w:rsidR="00787DD5" w:rsidRPr="00AB2C05">
        <w:rPr>
          <w:rFonts w:ascii="Palatino Linotype" w:eastAsia="Calibri" w:hAnsi="Palatino Linotype" w:cs="Arial"/>
          <w:sz w:val="24"/>
          <w:szCs w:val="24"/>
        </w:rPr>
        <w:t xml:space="preserve"> entrega al </w:t>
      </w:r>
      <w:r w:rsidR="00787DD5" w:rsidRPr="00AB2C05">
        <w:rPr>
          <w:rFonts w:ascii="Palatino Linotype" w:eastAsia="Calibri" w:hAnsi="Palatino Linotype" w:cs="Arial"/>
          <w:b/>
          <w:sz w:val="24"/>
          <w:szCs w:val="24"/>
        </w:rPr>
        <w:t xml:space="preserve">Recurrente, </w:t>
      </w:r>
      <w:r w:rsidR="00787DD5" w:rsidRPr="00AB2C05">
        <w:rPr>
          <w:rFonts w:ascii="Palatino Linotype" w:eastAsia="Calibri" w:hAnsi="Palatino Linotype" w:cs="Arial"/>
          <w:sz w:val="24"/>
          <w:szCs w:val="24"/>
        </w:rPr>
        <w:t>a través del SAIMEX,</w:t>
      </w:r>
      <w:r w:rsidR="00787DD5" w:rsidRPr="00CA7662">
        <w:t xml:space="preserve"> </w:t>
      </w:r>
      <w:r w:rsidR="00787DD5">
        <w:rPr>
          <w:rFonts w:ascii="Palatino Linotype" w:eastAsia="Calibri" w:hAnsi="Palatino Linotype" w:cs="Arial"/>
          <w:sz w:val="24"/>
          <w:szCs w:val="24"/>
        </w:rPr>
        <w:t>en términos del C</w:t>
      </w:r>
      <w:r w:rsidR="00787DD5" w:rsidRPr="00CA7662">
        <w:rPr>
          <w:rFonts w:ascii="Palatino Linotype" w:eastAsia="Calibri" w:hAnsi="Palatino Linotype" w:cs="Arial"/>
          <w:sz w:val="24"/>
          <w:szCs w:val="24"/>
        </w:rPr>
        <w:t xml:space="preserve">onsiderando </w:t>
      </w:r>
      <w:r w:rsidR="00787DD5">
        <w:rPr>
          <w:rFonts w:ascii="Palatino Linotype" w:eastAsia="Calibri" w:hAnsi="Palatino Linotype" w:cs="Arial"/>
          <w:b/>
          <w:sz w:val="24"/>
          <w:szCs w:val="24"/>
        </w:rPr>
        <w:t>CUARTO</w:t>
      </w:r>
      <w:r w:rsidR="00787DD5" w:rsidRPr="00CA7662">
        <w:rPr>
          <w:rFonts w:ascii="Palatino Linotype" w:eastAsia="Calibri" w:hAnsi="Palatino Linotype" w:cs="Arial"/>
          <w:sz w:val="24"/>
          <w:szCs w:val="24"/>
        </w:rPr>
        <w:t xml:space="preserve"> de la presente resolución</w:t>
      </w:r>
      <w:r w:rsidR="00787DD5">
        <w:rPr>
          <w:rFonts w:ascii="Palatino Linotype" w:eastAsia="Calibri" w:hAnsi="Palatino Linotype" w:cs="Arial"/>
          <w:sz w:val="24"/>
          <w:szCs w:val="24"/>
        </w:rPr>
        <w:t>,</w:t>
      </w:r>
      <w:r w:rsidR="00787DD5" w:rsidRPr="00AB2C05">
        <w:rPr>
          <w:rFonts w:ascii="Palatino Linotype" w:eastAsia="Calibri" w:hAnsi="Palatino Linotype" w:cs="Arial"/>
          <w:sz w:val="24"/>
          <w:szCs w:val="24"/>
        </w:rPr>
        <w:t xml:space="preserve"> de lo siguiente:</w:t>
      </w:r>
    </w:p>
    <w:p w:rsidR="00787DD5" w:rsidRPr="00267DAC" w:rsidRDefault="00787DD5" w:rsidP="00267DAC">
      <w:pPr>
        <w:numPr>
          <w:ilvl w:val="0"/>
          <w:numId w:val="11"/>
        </w:numPr>
        <w:spacing w:after="120" w:line="240" w:lineRule="auto"/>
        <w:ind w:left="851" w:right="757"/>
        <w:jc w:val="both"/>
        <w:rPr>
          <w:rFonts w:ascii="Palatino Linotype" w:eastAsia="Times New Roman" w:hAnsi="Palatino Linotype" w:cs="Times New Roman"/>
          <w:i/>
          <w:lang w:val="es-ES" w:eastAsia="es-MX"/>
        </w:rPr>
      </w:pPr>
      <w:r w:rsidRPr="00787DD5">
        <w:rPr>
          <w:rFonts w:ascii="Palatino Linotype" w:eastAsia="Times New Roman" w:hAnsi="Palatino Linotype" w:cs="Times New Roman"/>
          <w:i/>
          <w:lang w:val="es-ES" w:eastAsia="es-MX"/>
        </w:rPr>
        <w:lastRenderedPageBreak/>
        <w:t>En versión pública, el expediente 145/2015 radicado en el Juzgado Segundo Civil de Primera Instancia del Distrito Judicial de Ecatepec</w:t>
      </w:r>
      <w:r w:rsidRPr="00787DD5">
        <w:rPr>
          <w:rFonts w:ascii="Palatino Linotype" w:hAnsi="Palatino Linotype" w:cs="Arial"/>
          <w:i/>
        </w:rPr>
        <w:t xml:space="preserve">. </w:t>
      </w:r>
    </w:p>
    <w:p w:rsidR="00787DD5" w:rsidRDefault="00787DD5" w:rsidP="00787DD5">
      <w:pPr>
        <w:autoSpaceDE w:val="0"/>
        <w:autoSpaceDN w:val="0"/>
        <w:adjustRightInd w:val="0"/>
        <w:spacing w:after="0" w:line="240" w:lineRule="auto"/>
        <w:ind w:left="851" w:right="757"/>
        <w:jc w:val="both"/>
        <w:rPr>
          <w:rFonts w:ascii="Palatino Linotype" w:eastAsia="Times New Roman" w:hAnsi="Palatino Linotype" w:cs="Times New Roman"/>
          <w:i/>
          <w:color w:val="000000"/>
          <w:lang w:val="es-ES" w:eastAsia="es-ES"/>
        </w:rPr>
      </w:pPr>
      <w:r w:rsidRPr="00787DD5">
        <w:rPr>
          <w:rFonts w:ascii="Palatino Linotype" w:eastAsia="Times New Roman" w:hAnsi="Palatino Linotype" w:cs="Times New Roman"/>
          <w:i/>
          <w:color w:val="000000"/>
          <w:lang w:val="es-ES" w:eastAsia="es-ES"/>
        </w:rPr>
        <w:t>Debiéndose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787DD5" w:rsidRPr="00787DD5" w:rsidRDefault="00787DD5" w:rsidP="00787DD5">
      <w:pPr>
        <w:autoSpaceDE w:val="0"/>
        <w:autoSpaceDN w:val="0"/>
        <w:adjustRightInd w:val="0"/>
        <w:spacing w:after="0" w:line="240" w:lineRule="auto"/>
        <w:ind w:left="851" w:right="757"/>
        <w:jc w:val="both"/>
        <w:rPr>
          <w:rFonts w:ascii="Palatino Linotype" w:eastAsia="Times New Roman" w:hAnsi="Palatino Linotype" w:cs="Times New Roman"/>
          <w:i/>
          <w:color w:val="000000"/>
          <w:lang w:val="es-ES" w:eastAsia="es-ES"/>
        </w:rPr>
      </w:pPr>
    </w:p>
    <w:p w:rsidR="004B7753" w:rsidRPr="00DB79F9"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6A112C">
        <w:rPr>
          <w:rFonts w:ascii="Palatino Linotype" w:hAnsi="Palatino Linotype" w:cs="Arial"/>
          <w:sz w:val="24"/>
          <w:szCs w:val="24"/>
        </w:rPr>
        <w:t xml:space="preserve">se haya </w:t>
      </w:r>
      <w:r w:rsidR="006079F6">
        <w:rPr>
          <w:rFonts w:ascii="Palatino Linotype" w:hAnsi="Palatino Linotype" w:cs="Arial"/>
          <w:sz w:val="24"/>
          <w:szCs w:val="24"/>
        </w:rPr>
        <w:t>ordenado</w:t>
      </w:r>
      <w:r w:rsidR="00541D04">
        <w:rPr>
          <w:rFonts w:ascii="Palatino Linotype" w:hAnsi="Palatino Linotype" w:cs="Arial"/>
          <w:sz w:val="24"/>
          <w:szCs w:val="24"/>
        </w:rPr>
        <w:t xml:space="preserve"> </w:t>
      </w:r>
      <w:r w:rsidR="00DB79F9" w:rsidRPr="00DB79F9">
        <w:rPr>
          <w:rFonts w:ascii="Palatino Linotype" w:eastAsia="Times New Roman" w:hAnsi="Palatino Linotype" w:cs="Times New Roman"/>
          <w:sz w:val="24"/>
          <w:szCs w:val="24"/>
          <w:lang w:val="es-ES" w:eastAsia="es-MX"/>
        </w:rPr>
        <w:t>en versión pública, el expediente 145/2015 radicado en el Juzgado Segundo Civil de Primera Instancia del Distrito Judicial de Ecatepec</w:t>
      </w:r>
      <w:r w:rsidR="00DB79F9" w:rsidRPr="00DB79F9">
        <w:rPr>
          <w:rFonts w:ascii="Palatino Linotype" w:hAnsi="Palatino Linotype" w:cs="Arial"/>
          <w:sz w:val="24"/>
          <w:szCs w:val="24"/>
        </w:rPr>
        <w:t>.</w:t>
      </w:r>
    </w:p>
    <w:p w:rsidR="00D05991" w:rsidRPr="002670F4" w:rsidRDefault="006079F6" w:rsidP="002670F4">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Lo anterior en razón, de que se </w:t>
      </w:r>
      <w:r w:rsidR="00CD75F6">
        <w:rPr>
          <w:rFonts w:ascii="Palatino Linotype" w:hAnsi="Palatino Linotype" w:cs="Arial"/>
          <w:sz w:val="24"/>
          <w:szCs w:val="24"/>
        </w:rPr>
        <w:t>evidencia</w:t>
      </w:r>
      <w:r w:rsidR="004B7753">
        <w:rPr>
          <w:rFonts w:ascii="Palatino Linotype" w:hAnsi="Palatino Linotype" w:cs="Arial"/>
          <w:sz w:val="24"/>
          <w:szCs w:val="24"/>
        </w:rPr>
        <w:t xml:space="preserve"> dentro </w:t>
      </w:r>
      <w:r w:rsidR="00CD75F6">
        <w:rPr>
          <w:rFonts w:ascii="Palatino Linotype" w:hAnsi="Palatino Linotype" w:cs="Arial"/>
          <w:sz w:val="24"/>
          <w:szCs w:val="24"/>
        </w:rPr>
        <w:t>del expediente electrónico integrado dentro del SAIMEX</w:t>
      </w:r>
      <w:r w:rsidR="00363930">
        <w:rPr>
          <w:rFonts w:ascii="Palatino Linotype" w:hAnsi="Palatino Linotype" w:cs="Arial"/>
          <w:sz w:val="24"/>
          <w:szCs w:val="24"/>
        </w:rPr>
        <w:t xml:space="preserve"> que el</w:t>
      </w:r>
      <w:r w:rsidR="00CD75F6">
        <w:rPr>
          <w:rFonts w:ascii="Palatino Linotype" w:hAnsi="Palatino Linotype" w:cs="Arial"/>
          <w:sz w:val="24"/>
          <w:szCs w:val="24"/>
        </w:rPr>
        <w:t xml:space="preserve"> ahora </w:t>
      </w:r>
      <w:r w:rsidR="00363930">
        <w:rPr>
          <w:rFonts w:ascii="Palatino Linotype" w:hAnsi="Palatino Linotype" w:cs="Arial"/>
          <w:b/>
          <w:sz w:val="24"/>
          <w:szCs w:val="24"/>
        </w:rPr>
        <w:t xml:space="preserve">RECURRENTE, </w:t>
      </w:r>
      <w:r w:rsidR="00363930">
        <w:rPr>
          <w:rFonts w:ascii="Palatino Linotype" w:hAnsi="Palatino Linotype" w:cs="Arial"/>
          <w:sz w:val="24"/>
          <w:szCs w:val="24"/>
        </w:rPr>
        <w:t xml:space="preserve">puntualizó de manera específica la información </w:t>
      </w:r>
      <w:r w:rsidR="000127CC">
        <w:rPr>
          <w:rFonts w:ascii="Palatino Linotype" w:hAnsi="Palatino Linotype" w:cs="Arial"/>
          <w:sz w:val="24"/>
          <w:szCs w:val="24"/>
        </w:rPr>
        <w:t>que se requería</w:t>
      </w:r>
      <w:r w:rsidR="00363930">
        <w:rPr>
          <w:rFonts w:ascii="Palatino Linotype" w:hAnsi="Palatino Linotype" w:cs="Arial"/>
          <w:sz w:val="24"/>
          <w:szCs w:val="24"/>
        </w:rPr>
        <w:t>, que si bien</w:t>
      </w:r>
      <w:r w:rsidR="000127CC">
        <w:rPr>
          <w:rFonts w:ascii="Palatino Linotype" w:hAnsi="Palatino Linotype" w:cs="Arial"/>
          <w:sz w:val="24"/>
          <w:szCs w:val="24"/>
        </w:rPr>
        <w:t xml:space="preserve"> es cierto, est</w:t>
      </w:r>
      <w:r w:rsidR="002670F4">
        <w:rPr>
          <w:rFonts w:ascii="Palatino Linotype" w:hAnsi="Palatino Linotype" w:cs="Arial"/>
          <w:sz w:val="24"/>
          <w:szCs w:val="24"/>
        </w:rPr>
        <w:t>á integrada</w:t>
      </w:r>
      <w:r w:rsidR="000127CC">
        <w:rPr>
          <w:rFonts w:ascii="Palatino Linotype" w:hAnsi="Palatino Linotype" w:cs="Arial"/>
          <w:sz w:val="24"/>
          <w:szCs w:val="24"/>
        </w:rPr>
        <w:t xml:space="preserve"> </w:t>
      </w:r>
      <w:r w:rsidR="002670F4">
        <w:rPr>
          <w:rFonts w:ascii="Palatino Linotype" w:hAnsi="Palatino Linotype" w:cs="Arial"/>
          <w:sz w:val="24"/>
          <w:szCs w:val="24"/>
        </w:rPr>
        <w:t>al</w:t>
      </w:r>
      <w:r w:rsidR="000127CC">
        <w:rPr>
          <w:rFonts w:ascii="Palatino Linotype" w:hAnsi="Palatino Linotype" w:cs="Arial"/>
          <w:sz w:val="24"/>
          <w:szCs w:val="24"/>
        </w:rPr>
        <w:t xml:space="preserve"> </w:t>
      </w:r>
      <w:r w:rsidR="000127CC" w:rsidRPr="00DB79F9">
        <w:rPr>
          <w:rFonts w:ascii="Palatino Linotype" w:eastAsia="Times New Roman" w:hAnsi="Palatino Linotype" w:cs="Times New Roman"/>
          <w:sz w:val="24"/>
          <w:szCs w:val="24"/>
          <w:lang w:val="es-ES" w:eastAsia="es-MX"/>
        </w:rPr>
        <w:t>expediente 145/2015</w:t>
      </w:r>
      <w:r w:rsidR="000127CC">
        <w:rPr>
          <w:rFonts w:ascii="Palatino Linotype" w:eastAsia="Times New Roman" w:hAnsi="Palatino Linotype" w:cs="Times New Roman"/>
          <w:sz w:val="24"/>
          <w:szCs w:val="24"/>
          <w:lang w:val="es-ES" w:eastAsia="es-MX"/>
        </w:rPr>
        <w:t xml:space="preserve">, también lo es que no se advierte que </w:t>
      </w:r>
      <w:r w:rsidR="002670F4">
        <w:rPr>
          <w:rFonts w:ascii="Palatino Linotype" w:eastAsia="Times New Roman" w:hAnsi="Palatino Linotype" w:cs="Times New Roman"/>
          <w:sz w:val="24"/>
          <w:szCs w:val="24"/>
          <w:lang w:val="es-ES" w:eastAsia="es-MX"/>
        </w:rPr>
        <w:t>el particular lo haya requerido como tal.</w:t>
      </w:r>
    </w:p>
    <w:p w:rsidR="00CB35F6" w:rsidRDefault="00CB35F6" w:rsidP="00CB35F6">
      <w:pPr>
        <w:spacing w:line="360" w:lineRule="auto"/>
        <w:jc w:val="both"/>
        <w:rPr>
          <w:rFonts w:ascii="Palatino Linotype" w:hAnsi="Palatino Linotype" w:cs="Arial"/>
          <w:sz w:val="24"/>
          <w:szCs w:val="24"/>
        </w:rPr>
      </w:pPr>
      <w:r>
        <w:rPr>
          <w:rFonts w:ascii="Palatino Linotype" w:eastAsia="Calibri" w:hAnsi="Palatino Linotype"/>
          <w:sz w:val="24"/>
          <w:szCs w:val="24"/>
        </w:rPr>
        <w:t xml:space="preserve">Es por ello que la Ponencia </w:t>
      </w:r>
      <w:proofErr w:type="spellStart"/>
      <w:r>
        <w:rPr>
          <w:rFonts w:ascii="Palatino Linotype" w:eastAsia="Calibri" w:hAnsi="Palatino Linotype"/>
          <w:sz w:val="24"/>
          <w:szCs w:val="24"/>
        </w:rPr>
        <w:t>Resolutora</w:t>
      </w:r>
      <w:proofErr w:type="spellEnd"/>
      <w:r>
        <w:rPr>
          <w:rFonts w:ascii="Palatino Linotype" w:eastAsia="Calibri" w:hAnsi="Palatino Linotype"/>
          <w:sz w:val="24"/>
          <w:szCs w:val="24"/>
        </w:rPr>
        <w:t xml:space="preserve"> debió considerar el ordenar al </w:t>
      </w:r>
      <w:r w:rsidRPr="00CB35F6">
        <w:rPr>
          <w:rFonts w:ascii="Palatino Linotype" w:eastAsia="Calibri" w:hAnsi="Palatino Linotype"/>
          <w:b/>
          <w:sz w:val="24"/>
          <w:szCs w:val="24"/>
        </w:rPr>
        <w:t>SUJETO OBLIGADO</w:t>
      </w:r>
      <w:r w:rsidR="002670F4">
        <w:rPr>
          <w:rFonts w:ascii="Palatino Linotype" w:eastAsia="Calibri" w:hAnsi="Palatino Linotype"/>
          <w:b/>
          <w:sz w:val="24"/>
          <w:szCs w:val="24"/>
        </w:rPr>
        <w:t xml:space="preserve">, </w:t>
      </w:r>
      <w:r w:rsidR="002670F4">
        <w:rPr>
          <w:rFonts w:ascii="Palatino Linotype" w:eastAsia="Calibri" w:hAnsi="Palatino Linotype"/>
          <w:sz w:val="24"/>
          <w:szCs w:val="24"/>
        </w:rPr>
        <w:t>v</w:t>
      </w:r>
      <w:r w:rsidR="002670F4" w:rsidRPr="002670F4">
        <w:rPr>
          <w:rFonts w:ascii="Palatino Linotype" w:eastAsia="Calibri" w:hAnsi="Palatino Linotype"/>
          <w:sz w:val="24"/>
          <w:szCs w:val="24"/>
        </w:rPr>
        <w:t>ersión pública de las pruebas documentales ofrecidas en el juicio civil ordinario civil y ejecutivo mercantil número 145/2015 de índice del Juzgado Segundo Civil de Ecatepec</w:t>
      </w:r>
      <w:r w:rsidR="002670F4" w:rsidRPr="002670F4">
        <w:rPr>
          <w:rFonts w:ascii="Palatino Linotype" w:eastAsia="Calibri" w:hAnsi="Palatino Linotype"/>
          <w:b/>
          <w:sz w:val="24"/>
          <w:szCs w:val="24"/>
        </w:rPr>
        <w:t>;</w:t>
      </w:r>
      <w:r w:rsidR="002670F4">
        <w:rPr>
          <w:rFonts w:ascii="Palatino Linotype" w:eastAsia="Calibri" w:hAnsi="Palatino Linotype"/>
          <w:b/>
          <w:sz w:val="24"/>
          <w:szCs w:val="24"/>
        </w:rPr>
        <w:t xml:space="preserve"> </w:t>
      </w:r>
      <w:r w:rsidR="002670F4">
        <w:rPr>
          <w:rFonts w:ascii="Palatino Linotype" w:eastAsia="Calibri" w:hAnsi="Palatino Linotype"/>
          <w:sz w:val="24"/>
          <w:szCs w:val="24"/>
        </w:rPr>
        <w:t>e</w:t>
      </w:r>
      <w:r w:rsidR="002670F4" w:rsidRPr="002670F4">
        <w:rPr>
          <w:rFonts w:ascii="Palatino Linotype" w:eastAsia="Calibri" w:hAnsi="Palatino Linotype"/>
          <w:sz w:val="24"/>
          <w:szCs w:val="24"/>
        </w:rPr>
        <w:t xml:space="preserve">l certificado expedido el </w:t>
      </w:r>
      <w:r w:rsidR="00520810">
        <w:rPr>
          <w:rFonts w:ascii="Palatino Linotype" w:eastAsia="Calibri" w:hAnsi="Palatino Linotype"/>
          <w:sz w:val="24"/>
          <w:szCs w:val="24"/>
        </w:rPr>
        <w:t>diecisiete de marzo de dos mil quince</w:t>
      </w:r>
      <w:r w:rsidR="002670F4" w:rsidRPr="002670F4">
        <w:rPr>
          <w:rFonts w:ascii="Palatino Linotype" w:eastAsia="Calibri" w:hAnsi="Palatino Linotype"/>
          <w:sz w:val="24"/>
          <w:szCs w:val="24"/>
        </w:rPr>
        <w:t xml:space="preserve"> por el registrador de la propiedad de Ecatepec y Coacalco, y/o datos hipotecarios</w:t>
      </w:r>
      <w:r w:rsidR="00520810">
        <w:rPr>
          <w:rFonts w:ascii="Palatino Linotype" w:eastAsia="Calibri" w:hAnsi="Palatino Linotype"/>
          <w:sz w:val="24"/>
          <w:szCs w:val="24"/>
        </w:rPr>
        <w:t>; e</w:t>
      </w:r>
      <w:r w:rsidR="00520810" w:rsidRPr="00520810">
        <w:rPr>
          <w:rFonts w:ascii="Palatino Linotype" w:eastAsia="Calibri" w:hAnsi="Palatino Linotype"/>
          <w:sz w:val="24"/>
          <w:szCs w:val="24"/>
        </w:rPr>
        <w:t>l número de escritura pública, volumen y página, así como el número de la notaría</w:t>
      </w:r>
      <w:r w:rsidR="00520810">
        <w:rPr>
          <w:rFonts w:ascii="Palatino Linotype" w:eastAsia="Calibri" w:hAnsi="Palatino Linotype"/>
          <w:sz w:val="24"/>
          <w:szCs w:val="24"/>
        </w:rPr>
        <w:t xml:space="preserve">; </w:t>
      </w:r>
      <w:r w:rsidR="00267DAC" w:rsidRPr="00267DAC">
        <w:rPr>
          <w:rFonts w:ascii="Palatino Linotype" w:eastAsia="Calibri" w:hAnsi="Palatino Linotype"/>
          <w:sz w:val="24"/>
          <w:szCs w:val="24"/>
        </w:rPr>
        <w:t>si el juzgador del procedimiento civil 145/2015 apercibió a las partes a oponerse a la divulgación y tomando en cuenta que éstos no se opusieron, se haga efectivo el apercibimiento y consentimiento ficto que conlleva no oponerse y se tenga por consentida la divulgación</w:t>
      </w:r>
      <w:r w:rsidR="00D05991">
        <w:rPr>
          <w:rFonts w:ascii="Palatino Linotype" w:hAnsi="Palatino Linotype" w:cs="Arial"/>
          <w:sz w:val="24"/>
          <w:szCs w:val="24"/>
        </w:rPr>
        <w:t>.</w:t>
      </w:r>
    </w:p>
    <w:p w:rsidR="00D05991" w:rsidRPr="00D05991" w:rsidRDefault="00C76FD9" w:rsidP="00CB35F6">
      <w:pPr>
        <w:spacing w:line="360" w:lineRule="auto"/>
        <w:jc w:val="both"/>
        <w:rPr>
          <w:rFonts w:ascii="Palatino Linotype" w:hAnsi="Palatino Linotype" w:cs="Arial"/>
          <w:sz w:val="24"/>
          <w:szCs w:val="24"/>
        </w:rPr>
      </w:pPr>
      <w:r>
        <w:rPr>
          <w:rFonts w:ascii="Palatino Linotype" w:hAnsi="Palatino Linotype" w:cs="Arial"/>
          <w:sz w:val="24"/>
          <w:szCs w:val="24"/>
        </w:rPr>
        <w:t>Es así,</w:t>
      </w:r>
      <w:r w:rsidR="00D05991">
        <w:rPr>
          <w:rFonts w:ascii="Palatino Linotype" w:hAnsi="Palatino Linotype" w:cs="Arial"/>
          <w:sz w:val="24"/>
          <w:szCs w:val="24"/>
        </w:rPr>
        <w:t xml:space="preserve"> que al ordenar la entrega </w:t>
      </w:r>
      <w:r w:rsidR="00267DAC">
        <w:rPr>
          <w:rFonts w:ascii="Palatino Linotype" w:hAnsi="Palatino Linotype" w:cs="Arial"/>
          <w:sz w:val="24"/>
          <w:szCs w:val="24"/>
        </w:rPr>
        <w:t>del expediente completo</w:t>
      </w:r>
      <w:r w:rsidR="00D05991">
        <w:rPr>
          <w:rFonts w:ascii="Palatino Linotype" w:hAnsi="Palatino Linotype" w:cs="Arial"/>
          <w:sz w:val="24"/>
          <w:szCs w:val="24"/>
        </w:rPr>
        <w:t xml:space="preserve"> se estaría bajo el supuesto de que </w:t>
      </w:r>
      <w:r w:rsidR="00267DAC">
        <w:rPr>
          <w:rFonts w:ascii="Palatino Linotype" w:hAnsi="Palatino Linotype" w:cs="Arial"/>
          <w:sz w:val="24"/>
          <w:szCs w:val="24"/>
        </w:rPr>
        <w:t>se haría entrega de información de más por parte del</w:t>
      </w:r>
      <w:r w:rsidR="00D05991">
        <w:rPr>
          <w:rFonts w:ascii="Palatino Linotype" w:hAnsi="Palatino Linotype" w:cs="Arial"/>
          <w:sz w:val="24"/>
          <w:szCs w:val="24"/>
        </w:rPr>
        <w:t xml:space="preserve"> </w:t>
      </w:r>
      <w:r w:rsidR="00D05991" w:rsidRPr="00D05991">
        <w:rPr>
          <w:rFonts w:ascii="Palatino Linotype" w:hAnsi="Palatino Linotype" w:cs="Arial"/>
          <w:b/>
          <w:sz w:val="24"/>
          <w:szCs w:val="24"/>
        </w:rPr>
        <w:t>SUJETO OBLIGADO</w:t>
      </w:r>
      <w:r w:rsidR="00D05991">
        <w:rPr>
          <w:rFonts w:ascii="Palatino Linotype" w:hAnsi="Palatino Linotype" w:cs="Arial"/>
          <w:b/>
          <w:sz w:val="24"/>
          <w:szCs w:val="24"/>
        </w:rPr>
        <w:t xml:space="preserve">, </w:t>
      </w:r>
      <w:r w:rsidR="00267DAC">
        <w:rPr>
          <w:rFonts w:ascii="Palatino Linotype" w:hAnsi="Palatino Linotype" w:cs="Arial"/>
          <w:sz w:val="24"/>
          <w:szCs w:val="24"/>
        </w:rPr>
        <w:t>toda vez que es información que no se advierte que sea requerida por el particular</w:t>
      </w:r>
      <w:r w:rsidR="00D05991">
        <w:rPr>
          <w:rFonts w:ascii="Palatino Linotype" w:hAnsi="Palatino Linotype" w:cs="Arial"/>
          <w:sz w:val="24"/>
          <w:szCs w:val="24"/>
        </w:rPr>
        <w:t>.</w:t>
      </w:r>
    </w:p>
    <w:p w:rsidR="00D05991" w:rsidRPr="00D05991" w:rsidRDefault="00D05991" w:rsidP="00D05991">
      <w:pPr>
        <w:spacing w:before="100" w:beforeAutospacing="1" w:after="100" w:afterAutospacing="1" w:line="360" w:lineRule="auto"/>
        <w:jc w:val="both"/>
        <w:rPr>
          <w:rFonts w:ascii="Palatino Linotype" w:hAnsi="Palatino Linotype"/>
          <w:color w:val="000000"/>
          <w:sz w:val="24"/>
          <w:szCs w:val="24"/>
        </w:rPr>
      </w:pPr>
      <w:r w:rsidRPr="00D05991">
        <w:rPr>
          <w:rFonts w:ascii="Palatino Linotype" w:hAnsi="Palatino Linotype"/>
          <w:sz w:val="24"/>
          <w:szCs w:val="24"/>
        </w:rPr>
        <w:t>lo anterior a fin de  dar certeza jurídica a las partes</w:t>
      </w:r>
      <w:r w:rsidRPr="00D05991">
        <w:rPr>
          <w:rFonts w:ascii="Palatino Linotype" w:hAnsi="Palatino Linotype"/>
          <w:color w:val="000000"/>
          <w:sz w:val="24"/>
          <w:szCs w:val="24"/>
        </w:rPr>
        <w:t>, atendiendo a lo señalado en la fracción I del artículo 9 de la Ley de Transparencia y Acceso a la Información Pública del Estado de México y Municipios que establece lo siguiente:</w:t>
      </w:r>
    </w:p>
    <w:p w:rsidR="00D05991" w:rsidRPr="00FB66FE" w:rsidRDefault="00D05991" w:rsidP="00C76FD9">
      <w:pPr>
        <w:spacing w:before="100" w:beforeAutospacing="1" w:after="100" w:afterAutospacing="1" w:line="240" w:lineRule="auto"/>
        <w:ind w:left="709" w:right="757"/>
        <w:jc w:val="both"/>
        <w:rPr>
          <w:rFonts w:ascii="Palatino Linotype" w:hAnsi="Palatino Linotype"/>
          <w:i/>
          <w:color w:val="000000"/>
        </w:rPr>
      </w:pPr>
      <w:r w:rsidRPr="00FB66FE">
        <w:rPr>
          <w:rFonts w:ascii="Palatino Linotype" w:hAnsi="Palatino Linotype"/>
          <w:b/>
          <w:i/>
          <w:color w:val="000000"/>
        </w:rPr>
        <w:t>Artículo 9.</w:t>
      </w:r>
      <w:r w:rsidRPr="00FB66FE">
        <w:rPr>
          <w:rFonts w:ascii="Palatino Linotype" w:hAnsi="Palatino Linotype"/>
          <w:i/>
          <w:color w:val="000000"/>
        </w:rPr>
        <w:t xml:space="preserve"> El Instituto deberá regir su funcionamiento de acuerdo a los siguientes principios:</w:t>
      </w:r>
    </w:p>
    <w:p w:rsidR="00D05991" w:rsidRDefault="00D05991" w:rsidP="00C76FD9">
      <w:pPr>
        <w:spacing w:before="100" w:beforeAutospacing="1" w:after="100" w:afterAutospacing="1" w:line="240" w:lineRule="auto"/>
        <w:ind w:left="709" w:right="757"/>
        <w:jc w:val="both"/>
        <w:rPr>
          <w:rFonts w:ascii="Palatino Linotype" w:hAnsi="Palatino Linotype"/>
          <w:i/>
          <w:color w:val="000000"/>
        </w:rPr>
      </w:pPr>
      <w:r w:rsidRPr="00FB66FE">
        <w:rPr>
          <w:rFonts w:ascii="Palatino Linotype" w:hAnsi="Palatino Linotype"/>
          <w:b/>
          <w:i/>
          <w:color w:val="000000"/>
        </w:rPr>
        <w:t>I.</w:t>
      </w:r>
      <w:r w:rsidRPr="00FB66FE">
        <w:rPr>
          <w:rFonts w:ascii="Palatino Linotype" w:hAnsi="Palatino Linotype"/>
          <w:b/>
          <w:i/>
          <w:color w:val="000000"/>
        </w:rPr>
        <w:tab/>
        <w:t>Certeza:</w:t>
      </w:r>
      <w:r w:rsidRPr="00FB66FE">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C76FD9" w:rsidRDefault="00C76FD9" w:rsidP="00C76FD9">
      <w:pPr>
        <w:spacing w:before="100" w:beforeAutospacing="1" w:after="100" w:afterAutospacing="1" w:line="240" w:lineRule="auto"/>
        <w:ind w:left="709" w:right="757"/>
        <w:jc w:val="both"/>
        <w:rPr>
          <w:rFonts w:ascii="Palatino Linotype" w:hAnsi="Palatino Linotype"/>
          <w:i/>
          <w:color w:val="000000"/>
        </w:rPr>
      </w:pPr>
    </w:p>
    <w:p w:rsidR="00267DAC" w:rsidRPr="00C76FD9" w:rsidRDefault="00C76FD9" w:rsidP="00267DAC">
      <w:pPr>
        <w:autoSpaceDE w:val="0"/>
        <w:autoSpaceDN w:val="0"/>
        <w:adjustRightInd w:val="0"/>
        <w:spacing w:before="100" w:beforeAutospacing="1" w:after="100" w:afterAutospacing="1" w:line="360" w:lineRule="auto"/>
        <w:ind w:right="49"/>
        <w:jc w:val="both"/>
        <w:rPr>
          <w:rFonts w:ascii="Palatino Linotype" w:hAnsi="Palatino Linotype" w:cs="Arial"/>
          <w:sz w:val="24"/>
          <w:szCs w:val="24"/>
        </w:rPr>
      </w:pPr>
      <w:r w:rsidRPr="00C76FD9">
        <w:rPr>
          <w:rFonts w:ascii="Palatino Linotype" w:hAnsi="Palatino Linotype" w:cs="Arial"/>
          <w:sz w:val="24"/>
          <w:szCs w:val="24"/>
        </w:rPr>
        <w:t>Asimismo,</w:t>
      </w:r>
      <w:r w:rsidR="00267DAC" w:rsidRPr="00C76FD9">
        <w:rPr>
          <w:rFonts w:ascii="Palatino Linotype" w:hAnsi="Palatino Linotype" w:cs="Arial"/>
          <w:sz w:val="24"/>
          <w:szCs w:val="24"/>
        </w:rPr>
        <w:t xml:space="preserve"> se sustenta con el criterio jurisprudencial emitido por la Suprema Corte de Justicia de la nación, siguiente</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Época: Décima Época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Registro: 2005968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Instancia: Tribunales Colegiados de Circuito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Tipo de Tesis: Aislada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Fuente: Gaceta del Semanario Judicial de la Federación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Libro 4, Marzo de 2014, Tomo II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Materia(s): Constitucional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Tesis: I.4o.C.2 K (10a.)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Página: 1772 </w:t>
      </w:r>
    </w:p>
    <w:p w:rsidR="00267DAC" w:rsidRPr="00D53E35" w:rsidRDefault="00267DAC" w:rsidP="00267DAC">
      <w:pPr>
        <w:autoSpaceDE w:val="0"/>
        <w:autoSpaceDN w:val="0"/>
        <w:adjustRightInd w:val="0"/>
        <w:spacing w:before="100" w:beforeAutospacing="1"/>
        <w:ind w:left="709" w:right="757"/>
        <w:jc w:val="both"/>
        <w:rPr>
          <w:rFonts w:ascii="Palatino Linotype" w:hAnsi="Palatino Linotype" w:cs="Arial"/>
          <w:i/>
        </w:rPr>
      </w:pPr>
      <w:r w:rsidRPr="00D53E35">
        <w:rPr>
          <w:rFonts w:ascii="Palatino Linotype" w:hAnsi="Palatino Linotype" w:cs="Arial"/>
          <w:b/>
          <w:i/>
        </w:rPr>
        <w:t>EXHAUSTIVIDAD</w:t>
      </w:r>
      <w:r w:rsidRPr="00D53E35">
        <w:rPr>
          <w:rFonts w:ascii="Palatino Linotype" w:hAnsi="Palatino Linotype" w:cs="Arial"/>
          <w:i/>
        </w:rPr>
        <w:t>. SU EXIGENCIA IMPLICA LA MAYOR CALIDAD POSIBLE DE LAS SENTENCIAS, PARA CUMPLIR CON LA PLENITUD EXIGIDA POR EL ARTÍCULO 17 CONSTITUCIONAL.</w:t>
      </w:r>
    </w:p>
    <w:p w:rsidR="00267DAC" w:rsidRPr="00D53E35" w:rsidRDefault="00267DAC" w:rsidP="00267DAC">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267DAC" w:rsidRPr="00D53E35" w:rsidRDefault="00267DAC" w:rsidP="00267DAC">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CUARTO TRIBUNAL COLEGIADO EN MATERIA CIVIL DEL PRIMER CIRCUITO.</w:t>
      </w:r>
    </w:p>
    <w:p w:rsidR="00267DAC" w:rsidRPr="00D53E35" w:rsidRDefault="00267DAC" w:rsidP="00267DAC">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Amparo directo 401/2013. Carlos Sánchez Castillo. 20 de septiembre de 2013. Unanimidad de votos. Ponente: Leonel Castillo González. Secretaria: Norma Leonor Morales González.</w:t>
      </w:r>
    </w:p>
    <w:p w:rsidR="00267DAC" w:rsidRPr="00267DAC" w:rsidRDefault="00267DAC" w:rsidP="00267DAC">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Esta tesis se publicó el viernes 21 de marzo de 2014 a las 11:03 horas en el Semanario Judicial de la Federación.</w:t>
      </w:r>
    </w:p>
    <w:p w:rsidR="00267DAC" w:rsidRPr="00C76FD9" w:rsidRDefault="00267DAC" w:rsidP="00267DAC">
      <w:pPr>
        <w:spacing w:before="100" w:beforeAutospacing="1" w:after="100" w:afterAutospacing="1" w:line="360" w:lineRule="auto"/>
        <w:jc w:val="both"/>
        <w:rPr>
          <w:rFonts w:ascii="Palatino Linotype" w:hAnsi="Palatino Linotype" w:cs="Arial"/>
          <w:sz w:val="24"/>
          <w:szCs w:val="24"/>
        </w:rPr>
      </w:pPr>
      <w:r w:rsidRPr="00C76FD9">
        <w:rPr>
          <w:rFonts w:ascii="Palatino Linotype" w:hAnsi="Palatino Linotype"/>
          <w:sz w:val="24"/>
          <w:szCs w:val="24"/>
        </w:rPr>
        <w:t xml:space="preserve">A fin de robustecer lo expuesto, conviene citar </w:t>
      </w:r>
      <w:r w:rsidRPr="00C76FD9">
        <w:rPr>
          <w:rFonts w:ascii="Palatino Linotype" w:hAnsi="Palatino Linotype" w:cs="Segoe UI"/>
          <w:sz w:val="24"/>
          <w:szCs w:val="24"/>
        </w:rPr>
        <w:t xml:space="preserve">el criterio orientador </w:t>
      </w:r>
      <w:r w:rsidRPr="00C76FD9">
        <w:rPr>
          <w:rFonts w:ascii="Palatino Linotype" w:hAnsi="Palatino Linotype"/>
          <w:sz w:val="24"/>
          <w:szCs w:val="24"/>
          <w:lang w:eastAsia="es-MX"/>
        </w:rPr>
        <w:t>002/2017 del Instituto Nacional de Acceso a la Información y Protección de Datos (INAI),</w:t>
      </w:r>
      <w:r w:rsidRPr="00C76FD9">
        <w:rPr>
          <w:rFonts w:ascii="Palatino Linotype" w:hAnsi="Palatino Linotype" w:cs="Arial"/>
          <w:sz w:val="24"/>
          <w:szCs w:val="24"/>
        </w:rPr>
        <w:t xml:space="preserve"> cuyo tenor es el siguiente:</w:t>
      </w:r>
    </w:p>
    <w:p w:rsidR="00267DAC" w:rsidRPr="00D621C2" w:rsidRDefault="00267DAC" w:rsidP="00267DAC">
      <w:pPr>
        <w:spacing w:before="100" w:beforeAutospacing="1" w:after="100" w:afterAutospacing="1"/>
        <w:ind w:left="851" w:right="899"/>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267DAC" w:rsidRDefault="00267DAC" w:rsidP="00D6606A">
      <w:pPr>
        <w:spacing w:before="100" w:beforeAutospacing="1" w:after="100" w:afterAutospacing="1" w:line="276" w:lineRule="auto"/>
        <w:ind w:left="851" w:right="899"/>
        <w:jc w:val="both"/>
        <w:rPr>
          <w:rFonts w:ascii="Palatino Linotype" w:hAnsi="Palatino Linotype" w:cs="Arial"/>
        </w:rPr>
      </w:pPr>
      <w:r w:rsidRPr="006807DD">
        <w:rPr>
          <w:rFonts w:ascii="Palatino Linotype" w:hAnsi="Palatino Linotype" w:cs="Arial"/>
          <w:bCs/>
          <w:i/>
        </w:rPr>
        <w:t xml:space="preserve">Resoluciones: </w:t>
      </w:r>
      <w:r w:rsidRPr="006807DD">
        <w:rPr>
          <w:rFonts w:ascii="Palatino Linotype" w:hAnsi="Palatino Linotype" w:cs="Arial"/>
          <w:bCs/>
          <w:i/>
        </w:rPr>
        <w:sym w:font="Symbol" w:char="F0B7"/>
      </w:r>
      <w:r w:rsidRPr="006807DD">
        <w:rPr>
          <w:rFonts w:ascii="Palatino Linotype" w:hAnsi="Palatino Linotype" w:cs="Arial"/>
          <w:bCs/>
          <w:i/>
        </w:rPr>
        <w:t xml:space="preserve"> RRA 0003/16. Comisión Nacional de las Zonas Áridas. 29 de junio de 2016. Por unanimidad. Comisionado Ponente Oscar Mauricio Guerra Ford. </w:t>
      </w:r>
      <w:r w:rsidRPr="006807DD">
        <w:rPr>
          <w:rFonts w:ascii="Palatino Linotype" w:hAnsi="Palatino Linotype" w:cs="Arial"/>
          <w:bCs/>
          <w:i/>
        </w:rPr>
        <w:sym w:font="Symbol" w:char="F0B7"/>
      </w:r>
      <w:r w:rsidRPr="006807DD">
        <w:rPr>
          <w:rFonts w:ascii="Palatino Linotype" w:hAnsi="Palatino Linotype" w:cs="Arial"/>
          <w:bCs/>
          <w:i/>
        </w:rPr>
        <w:t xml:space="preserve"> RRA 0100/16. Sindicato Nacional de Trabajadores de la Educación. 13 de julio de 2016. Por unanimidad. Comisionada Ponente. Areli Cano Guadiana. </w:t>
      </w:r>
      <w:r w:rsidRPr="006807DD">
        <w:rPr>
          <w:rFonts w:ascii="Palatino Linotype" w:hAnsi="Palatino Linotype" w:cs="Arial"/>
          <w:bCs/>
          <w:i/>
        </w:rPr>
        <w:sym w:font="Symbol" w:char="F0B7"/>
      </w:r>
      <w:r w:rsidRPr="006807DD">
        <w:rPr>
          <w:rFonts w:ascii="Palatino Linotype" w:hAnsi="Palatino Linotype" w:cs="Arial"/>
          <w:bCs/>
          <w:i/>
        </w:rPr>
        <w:t xml:space="preserve"> RRA 1419/16. Secretaría de Educación Pública. 14 de septiembre de 2016. Por unanimidad. Comisionado Ponente </w:t>
      </w:r>
      <w:proofErr w:type="spellStart"/>
      <w:r w:rsidRPr="006807DD">
        <w:rPr>
          <w:rFonts w:ascii="Palatino Linotype" w:hAnsi="Palatino Linotype" w:cs="Arial"/>
          <w:bCs/>
          <w:i/>
        </w:rPr>
        <w:t>Rosendoevgueni</w:t>
      </w:r>
      <w:proofErr w:type="spellEnd"/>
      <w:r w:rsidRPr="006807DD">
        <w:rPr>
          <w:rFonts w:ascii="Palatino Linotype" w:hAnsi="Palatino Linotype" w:cs="Arial"/>
          <w:bCs/>
          <w:i/>
        </w:rPr>
        <w:t xml:space="preserve"> Monterrey </w:t>
      </w:r>
      <w:proofErr w:type="spellStart"/>
      <w:r w:rsidRPr="006807DD">
        <w:rPr>
          <w:rFonts w:ascii="Palatino Linotype" w:hAnsi="Palatino Linotype" w:cs="Arial"/>
          <w:bCs/>
          <w:i/>
        </w:rPr>
        <w:t>Chepov</w:t>
      </w:r>
      <w:proofErr w:type="spellEnd"/>
      <w:r w:rsidRPr="007D2ED5">
        <w:rPr>
          <w:rFonts w:ascii="Palatino Linotype" w:hAnsi="Palatino Linotype" w:cs="Arial"/>
          <w:b/>
          <w:bCs/>
          <w:i/>
        </w:rPr>
        <w:t>.”</w:t>
      </w:r>
      <w:r>
        <w:rPr>
          <w:rFonts w:ascii="Palatino Linotype" w:hAnsi="Palatino Linotype" w:cs="Arial"/>
        </w:rPr>
        <w:t xml:space="preserve"> </w:t>
      </w:r>
      <w:r w:rsidR="00D05991">
        <w:rPr>
          <w:rFonts w:ascii="Palatino Linotype" w:hAnsi="Palatino Linotype" w:cs="Arial"/>
        </w:rPr>
        <w:t xml:space="preserve"> </w:t>
      </w:r>
    </w:p>
    <w:p w:rsidR="00D67AAB" w:rsidRPr="002601BD" w:rsidRDefault="00D05991" w:rsidP="00036E28">
      <w:pPr>
        <w:spacing w:before="100" w:beforeAutospacing="1" w:after="100" w:afterAutospacing="1" w:line="360" w:lineRule="auto"/>
        <w:jc w:val="both"/>
        <w:rPr>
          <w:rFonts w:ascii="Palatino Linotype" w:hAnsi="Palatino Linotype" w:cs="Arial"/>
          <w:sz w:val="24"/>
          <w:szCs w:val="24"/>
        </w:rPr>
      </w:pPr>
      <w:r w:rsidRPr="00D05991">
        <w:rPr>
          <w:rFonts w:ascii="Palatino Linotype" w:hAnsi="Palatino Linotype"/>
          <w:color w:val="000000"/>
          <w:sz w:val="24"/>
          <w:szCs w:val="24"/>
        </w:rPr>
        <w:t>Por lo tanto,</w:t>
      </w:r>
      <w:r w:rsidRPr="00D05991">
        <w:rPr>
          <w:rFonts w:ascii="Palatino Linotype" w:hAnsi="Palatino Linotype" w:cs="Arial"/>
          <w:sz w:val="24"/>
          <w:szCs w:val="24"/>
        </w:rPr>
        <w:t xml:space="preserve"> la que suscribe emite </w:t>
      </w:r>
      <w:r w:rsidRPr="00D05991">
        <w:rPr>
          <w:rFonts w:ascii="Palatino Linotype" w:hAnsi="Palatino Linotype" w:cs="Arial"/>
          <w:b/>
          <w:sz w:val="24"/>
          <w:szCs w:val="24"/>
        </w:rPr>
        <w:t>VOTO PARTICULAR</w:t>
      </w:r>
      <w:r w:rsidRPr="00D05991">
        <w:rPr>
          <w:rFonts w:ascii="Palatino Linotype" w:hAnsi="Palatino Linotype" w:cs="Arial"/>
          <w:sz w:val="24"/>
          <w:szCs w:val="24"/>
        </w:rPr>
        <w:t xml:space="preserve"> a fin de precisar que se debió especificar dentro del resolutivo y en estudio de la resolución de mérito </w:t>
      </w:r>
      <w:r>
        <w:rPr>
          <w:rFonts w:ascii="Palatino Linotype" w:hAnsi="Palatino Linotype" w:cs="Arial"/>
          <w:sz w:val="24"/>
          <w:szCs w:val="24"/>
        </w:rPr>
        <w:t>que no se trataba de</w:t>
      </w:r>
      <w:r w:rsidR="00036E28">
        <w:rPr>
          <w:rFonts w:ascii="Palatino Linotype" w:hAnsi="Palatino Linotype" w:cs="Arial"/>
          <w:sz w:val="24"/>
          <w:szCs w:val="24"/>
        </w:rPr>
        <w:t>l expediente completo</w:t>
      </w:r>
      <w:r w:rsidR="005E0490">
        <w:rPr>
          <w:rFonts w:ascii="Palatino Linotype" w:hAnsi="Palatino Linotype" w:cs="Arial"/>
          <w:sz w:val="24"/>
          <w:szCs w:val="24"/>
        </w:rPr>
        <w:t>,</w:t>
      </w:r>
      <w:r>
        <w:rPr>
          <w:rFonts w:ascii="Palatino Linotype" w:hAnsi="Palatino Linotype" w:cs="Arial"/>
          <w:sz w:val="24"/>
          <w:szCs w:val="24"/>
        </w:rPr>
        <w:t xml:space="preserve"> por lo que se debió ordenar</w:t>
      </w:r>
      <w:r w:rsidR="00036E28">
        <w:rPr>
          <w:rFonts w:ascii="Palatino Linotype" w:hAnsi="Palatino Linotype" w:cs="Arial"/>
          <w:sz w:val="24"/>
          <w:szCs w:val="24"/>
        </w:rPr>
        <w:t xml:space="preserve"> únicamente</w:t>
      </w:r>
      <w:r>
        <w:rPr>
          <w:rFonts w:ascii="Palatino Linotype" w:hAnsi="Palatino Linotype" w:cs="Arial"/>
          <w:sz w:val="24"/>
          <w:szCs w:val="24"/>
        </w:rPr>
        <w:t xml:space="preserve"> la entrega </w:t>
      </w:r>
      <w:r w:rsidR="00036E28">
        <w:rPr>
          <w:rFonts w:ascii="Palatino Linotype" w:hAnsi="Palatino Linotype" w:cs="Arial"/>
          <w:sz w:val="24"/>
          <w:szCs w:val="24"/>
        </w:rPr>
        <w:t xml:space="preserve">los puntos requeridos por el ahora </w:t>
      </w:r>
      <w:r w:rsidR="00036E28" w:rsidRPr="00036E28">
        <w:rPr>
          <w:rFonts w:ascii="Palatino Linotype" w:hAnsi="Palatino Linotype" w:cs="Arial"/>
          <w:b/>
          <w:sz w:val="24"/>
          <w:szCs w:val="24"/>
        </w:rPr>
        <w:t>RECURRENTE</w:t>
      </w:r>
      <w:r w:rsidRPr="00D05991">
        <w:rPr>
          <w:rFonts w:ascii="Palatino Linotype" w:hAnsi="Palatino Linotype" w:cs="Arial"/>
          <w:sz w:val="24"/>
          <w:szCs w:val="24"/>
        </w:rPr>
        <w:t>, lo anterior, a fin de dar certeza jurídica a las partes, tanto al</w:t>
      </w:r>
      <w:r w:rsidRPr="00D05991">
        <w:rPr>
          <w:rFonts w:ascii="Palatino Linotype" w:hAnsi="Palatino Linotype" w:cs="Arial"/>
          <w:b/>
          <w:sz w:val="24"/>
          <w:szCs w:val="24"/>
        </w:rPr>
        <w:t xml:space="preserve"> SUJETO OBLIGADO </w:t>
      </w:r>
      <w:r w:rsidRPr="00D05991">
        <w:rPr>
          <w:rFonts w:ascii="Palatino Linotype" w:hAnsi="Palatino Linotype" w:cs="Arial"/>
          <w:sz w:val="24"/>
          <w:szCs w:val="24"/>
        </w:rPr>
        <w:t xml:space="preserve">como para </w:t>
      </w:r>
      <w:r w:rsidRPr="00D05991">
        <w:rPr>
          <w:rFonts w:ascii="Palatino Linotype" w:hAnsi="Palatino Linotype" w:cs="Arial"/>
          <w:b/>
          <w:sz w:val="24"/>
          <w:szCs w:val="24"/>
        </w:rPr>
        <w:t>EL RECURRENTE</w:t>
      </w:r>
      <w:r w:rsidRPr="00D05991">
        <w:rPr>
          <w:rFonts w:ascii="Palatino Linotype" w:hAnsi="Palatino Linotype" w:cs="Arial"/>
          <w:sz w:val="24"/>
          <w:szCs w:val="24"/>
        </w:rPr>
        <w:t xml:space="preserve"> al ver el análisis de la resolución, esto en atención a los principios</w:t>
      </w:r>
      <w:r w:rsidR="00036E28">
        <w:rPr>
          <w:rFonts w:ascii="Palatino Linotype" w:hAnsi="Palatino Linotype" w:cs="Arial"/>
          <w:sz w:val="24"/>
          <w:szCs w:val="24"/>
        </w:rPr>
        <w:t xml:space="preserve"> de exhaustividad y congruencia.</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D6606A" w:rsidRPr="00D6606A" w:rsidRDefault="00D6606A" w:rsidP="00FF74B8">
            <w:pPr>
              <w:spacing w:after="0"/>
              <w:ind w:right="51"/>
              <w:jc w:val="center"/>
              <w:rPr>
                <w:rFonts w:ascii="Palatino Linotype" w:hAnsi="Palatino Linotype"/>
                <w:b/>
                <w:sz w:val="18"/>
                <w:szCs w:val="24"/>
              </w:rPr>
            </w:pPr>
          </w:p>
          <w:p w:rsidR="00D6606A" w:rsidRDefault="00D6606A"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D6606A">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6078B9" w:rsidRPr="009F71D8" w:rsidRDefault="006078B9" w:rsidP="00D6606A">
            <w:pPr>
              <w:spacing w:after="0"/>
              <w:ind w:right="51"/>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tc>
      </w:tr>
    </w:tbl>
    <w:p w:rsidR="00D67AAB" w:rsidRPr="00D6606A" w:rsidRDefault="00D67AAB" w:rsidP="00222D15">
      <w:pPr>
        <w:widowControl w:val="0"/>
        <w:spacing w:after="0" w:line="240" w:lineRule="auto"/>
        <w:ind w:right="51"/>
        <w:jc w:val="both"/>
        <w:rPr>
          <w:rFonts w:ascii="Palatino Linotype" w:eastAsia="Calibri" w:hAnsi="Palatino Linotype" w:cs="Arial"/>
          <w:color w:val="000000" w:themeColor="text1"/>
          <w:sz w:val="8"/>
          <w:szCs w:val="8"/>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036E28">
        <w:rPr>
          <w:rFonts w:ascii="Palatino Linotype" w:hAnsi="Palatino Linotype" w:cs="Arial"/>
          <w:bCs/>
          <w:sz w:val="20"/>
          <w:szCs w:val="20"/>
        </w:rPr>
        <w:t>2185</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036E28">
        <w:rPr>
          <w:rFonts w:ascii="Palatino Linotype" w:hAnsi="Palatino Linotype" w:cs="Arial"/>
          <w:bCs/>
          <w:sz w:val="20"/>
          <w:szCs w:val="20"/>
        </w:rPr>
        <w:t>doce de junio</w:t>
      </w:r>
      <w:r w:rsidR="00F860A0">
        <w:rPr>
          <w:rFonts w:ascii="Palatino Linotype" w:hAnsi="Palatino Linotype" w:cs="Arial"/>
          <w:bCs/>
          <w:sz w:val="20"/>
          <w:szCs w:val="20"/>
        </w:rPr>
        <w:t xml:space="preserve"> de dos mil diecinueve</w:t>
      </w:r>
      <w:r w:rsidRPr="002D79AC">
        <w:rPr>
          <w:rFonts w:ascii="Palatino Linotype" w:hAnsi="Palatino Linotype" w:cs="Arial"/>
          <w:bCs/>
          <w:sz w:val="20"/>
          <w:szCs w:val="20"/>
        </w:rPr>
        <w:t>.</w:t>
      </w:r>
    </w:p>
    <w:p w:rsidR="00222D15" w:rsidRPr="00D6606A" w:rsidRDefault="00222D15" w:rsidP="00222D15">
      <w:pPr>
        <w:spacing w:after="0" w:line="240" w:lineRule="auto"/>
        <w:ind w:right="51"/>
        <w:jc w:val="both"/>
        <w:rPr>
          <w:rFonts w:ascii="Palatino Linotype" w:eastAsia="Calibri" w:hAnsi="Palatino Linotype" w:cs="Arial"/>
          <w:color w:val="000000" w:themeColor="text1"/>
          <w:sz w:val="8"/>
          <w:szCs w:val="10"/>
        </w:rPr>
      </w:pPr>
    </w:p>
    <w:p w:rsidR="00C23B43" w:rsidRPr="00F5763D" w:rsidRDefault="002B43B8"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ATU</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FC4" w:rsidRDefault="00161FC4" w:rsidP="00222D15">
      <w:pPr>
        <w:spacing w:after="0" w:line="240" w:lineRule="auto"/>
      </w:pPr>
      <w:r>
        <w:separator/>
      </w:r>
    </w:p>
  </w:endnote>
  <w:endnote w:type="continuationSeparator" w:id="0">
    <w:p w:rsidR="00161FC4" w:rsidRDefault="00161FC4"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078B9" w:rsidP="00DC5C4E">
    <w:pPr>
      <w:pStyle w:val="Piedepgina"/>
      <w:tabs>
        <w:tab w:val="clear" w:pos="4252"/>
        <w:tab w:val="left" w:pos="4228"/>
      </w:tabs>
      <w:rPr>
        <w:rFonts w:ascii="Palatino Linotype" w:hAnsi="Palatino Linotype" w:cs="Arial"/>
        <w:b/>
        <w:bCs/>
        <w:sz w:val="20"/>
        <w:szCs w:val="20"/>
      </w:rPr>
    </w:pPr>
  </w:p>
  <w:p w:rsidR="005C7C8F" w:rsidRDefault="006078B9" w:rsidP="00DC5C4E">
    <w:pPr>
      <w:pStyle w:val="Piedepgina"/>
      <w:tabs>
        <w:tab w:val="clear" w:pos="4252"/>
        <w:tab w:val="left" w:pos="4228"/>
      </w:tabs>
      <w:rPr>
        <w:rFonts w:ascii="Palatino Linotype" w:hAnsi="Palatino Linotype" w:cs="Arial"/>
        <w:b/>
        <w:bCs/>
        <w:sz w:val="20"/>
        <w:szCs w:val="20"/>
      </w:rPr>
    </w:pPr>
  </w:p>
  <w:p w:rsidR="005C7C8F" w:rsidRDefault="006078B9" w:rsidP="00DC5C4E">
    <w:pPr>
      <w:pStyle w:val="Piedepgina"/>
      <w:tabs>
        <w:tab w:val="clear" w:pos="4252"/>
        <w:tab w:val="left" w:pos="4228"/>
      </w:tabs>
      <w:rPr>
        <w:rFonts w:ascii="Palatino Linotype" w:hAnsi="Palatino Linotype" w:cs="Arial"/>
        <w:b/>
        <w:bCs/>
        <w:sz w:val="20"/>
        <w:szCs w:val="20"/>
      </w:rPr>
    </w:pPr>
  </w:p>
  <w:p w:rsidR="005C7C8F" w:rsidRDefault="006078B9"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078B9">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078B9">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6078B9"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FC4" w:rsidRDefault="00161FC4" w:rsidP="00222D15">
      <w:pPr>
        <w:spacing w:after="0" w:line="240" w:lineRule="auto"/>
      </w:pPr>
      <w:r>
        <w:separator/>
      </w:r>
    </w:p>
  </w:footnote>
  <w:footnote w:type="continuationSeparator" w:id="0">
    <w:p w:rsidR="00161FC4" w:rsidRDefault="00161FC4"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078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6078B9"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6078B9"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FA59D8">
      <w:rPr>
        <w:rFonts w:ascii="Palatino Linotype" w:hAnsi="Palatino Linotype" w:cs="Arial"/>
        <w:sz w:val="20"/>
        <w:szCs w:val="20"/>
      </w:rPr>
      <w:t>2185</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6078B9"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5.55pt;margin-top:242.95pt;width:641.6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078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36E28"/>
    <w:rsid w:val="001354EB"/>
    <w:rsid w:val="001375AB"/>
    <w:rsid w:val="00142B10"/>
    <w:rsid w:val="00161FC4"/>
    <w:rsid w:val="00177DDB"/>
    <w:rsid w:val="00222D15"/>
    <w:rsid w:val="002670F4"/>
    <w:rsid w:val="00267DAC"/>
    <w:rsid w:val="00280712"/>
    <w:rsid w:val="002B43B8"/>
    <w:rsid w:val="002F537D"/>
    <w:rsid w:val="00303FB7"/>
    <w:rsid w:val="00333EEC"/>
    <w:rsid w:val="00334792"/>
    <w:rsid w:val="00352450"/>
    <w:rsid w:val="00352721"/>
    <w:rsid w:val="00363930"/>
    <w:rsid w:val="003B2D2B"/>
    <w:rsid w:val="003E5AB1"/>
    <w:rsid w:val="003F231C"/>
    <w:rsid w:val="00434F2D"/>
    <w:rsid w:val="0046713B"/>
    <w:rsid w:val="004773D0"/>
    <w:rsid w:val="004801C3"/>
    <w:rsid w:val="004B607A"/>
    <w:rsid w:val="004B7753"/>
    <w:rsid w:val="004F1058"/>
    <w:rsid w:val="004F307F"/>
    <w:rsid w:val="0051785B"/>
    <w:rsid w:val="00517C66"/>
    <w:rsid w:val="00520810"/>
    <w:rsid w:val="00534C05"/>
    <w:rsid w:val="00541D04"/>
    <w:rsid w:val="00563884"/>
    <w:rsid w:val="00571F3C"/>
    <w:rsid w:val="005D1C17"/>
    <w:rsid w:val="005E0490"/>
    <w:rsid w:val="006078B9"/>
    <w:rsid w:val="006079F6"/>
    <w:rsid w:val="00642D83"/>
    <w:rsid w:val="006537E7"/>
    <w:rsid w:val="00657587"/>
    <w:rsid w:val="00661074"/>
    <w:rsid w:val="006A112C"/>
    <w:rsid w:val="00702877"/>
    <w:rsid w:val="0075624F"/>
    <w:rsid w:val="00784D68"/>
    <w:rsid w:val="00787DD5"/>
    <w:rsid w:val="00792EC9"/>
    <w:rsid w:val="007A3711"/>
    <w:rsid w:val="008C4B77"/>
    <w:rsid w:val="00920D70"/>
    <w:rsid w:val="009C0562"/>
    <w:rsid w:val="009F1B96"/>
    <w:rsid w:val="00A55C30"/>
    <w:rsid w:val="00A85D7A"/>
    <w:rsid w:val="00AC0AFF"/>
    <w:rsid w:val="00AE56B4"/>
    <w:rsid w:val="00AF155E"/>
    <w:rsid w:val="00B26C8F"/>
    <w:rsid w:val="00B65E8A"/>
    <w:rsid w:val="00BA7978"/>
    <w:rsid w:val="00BB75BA"/>
    <w:rsid w:val="00BC647D"/>
    <w:rsid w:val="00C10C4B"/>
    <w:rsid w:val="00C23B43"/>
    <w:rsid w:val="00C3408B"/>
    <w:rsid w:val="00C76FD9"/>
    <w:rsid w:val="00C83DFF"/>
    <w:rsid w:val="00C92D53"/>
    <w:rsid w:val="00C9714C"/>
    <w:rsid w:val="00CB35F6"/>
    <w:rsid w:val="00CB3EA9"/>
    <w:rsid w:val="00CD75F6"/>
    <w:rsid w:val="00CE3D7A"/>
    <w:rsid w:val="00D05991"/>
    <w:rsid w:val="00D34ECE"/>
    <w:rsid w:val="00D6606A"/>
    <w:rsid w:val="00D67AAB"/>
    <w:rsid w:val="00D72673"/>
    <w:rsid w:val="00D83EB3"/>
    <w:rsid w:val="00D9781B"/>
    <w:rsid w:val="00DB79F9"/>
    <w:rsid w:val="00E02985"/>
    <w:rsid w:val="00E43478"/>
    <w:rsid w:val="00E45F71"/>
    <w:rsid w:val="00E471A2"/>
    <w:rsid w:val="00E47517"/>
    <w:rsid w:val="00E838CF"/>
    <w:rsid w:val="00E842B6"/>
    <w:rsid w:val="00E97C45"/>
    <w:rsid w:val="00EA3494"/>
    <w:rsid w:val="00EB3365"/>
    <w:rsid w:val="00EB621D"/>
    <w:rsid w:val="00EC447A"/>
    <w:rsid w:val="00ED22F1"/>
    <w:rsid w:val="00ED29D1"/>
    <w:rsid w:val="00EE67AD"/>
    <w:rsid w:val="00F3668C"/>
    <w:rsid w:val="00F5763D"/>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609E-B90D-4680-962F-D229295C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1828</Words>
  <Characters>10060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7</cp:revision>
  <cp:lastPrinted>2019-06-14T20:24:00Z</cp:lastPrinted>
  <dcterms:created xsi:type="dcterms:W3CDTF">2019-06-14T20:12:00Z</dcterms:created>
  <dcterms:modified xsi:type="dcterms:W3CDTF">2019-08-08T18:58:00Z</dcterms:modified>
</cp:coreProperties>
</file>