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06" w:rsidRPr="00817725" w:rsidRDefault="001C5306" w:rsidP="00817725">
      <w:pPr>
        <w:spacing w:before="240" w:after="240" w:line="360" w:lineRule="auto"/>
        <w:ind w:right="-142"/>
        <w:jc w:val="center"/>
        <w:rPr>
          <w:rFonts w:ascii="Palatino Linotype" w:eastAsiaTheme="minorEastAsia" w:hAnsi="Palatino Linotype"/>
          <w:b/>
          <w:sz w:val="24"/>
          <w:szCs w:val="24"/>
          <w:lang w:val="es-ES_tradnl" w:eastAsia="es-ES"/>
        </w:rPr>
      </w:pPr>
      <w:r w:rsidRPr="00817725">
        <w:rPr>
          <w:rFonts w:ascii="Palatino Linotype" w:eastAsiaTheme="minorEastAsia" w:hAnsi="Palatino Linotype"/>
          <w:b/>
          <w:sz w:val="24"/>
          <w:szCs w:val="24"/>
          <w:lang w:val="es-ES_tradnl" w:eastAsia="es-ES"/>
        </w:rPr>
        <w:t>LÍNEAS ARGUMENTATIVAS</w:t>
      </w:r>
    </w:p>
    <w:p w:rsidR="001C5306" w:rsidRPr="00817725" w:rsidRDefault="001C5306" w:rsidP="00817725">
      <w:pPr>
        <w:spacing w:after="0" w:line="360" w:lineRule="auto"/>
        <w:jc w:val="both"/>
        <w:rPr>
          <w:rFonts w:ascii="Palatino Linotype" w:eastAsia="Arial Unicode MS" w:hAnsi="Palatino Linotype" w:cs="Arial"/>
          <w:sz w:val="24"/>
          <w:szCs w:val="24"/>
          <w:lang w:val="es-ES_tradnl" w:eastAsia="es-ES"/>
        </w:rPr>
      </w:pPr>
      <w:r w:rsidRPr="00817725">
        <w:rPr>
          <w:rFonts w:ascii="Palatino Linotype" w:eastAsia="Arial Unicode MS" w:hAnsi="Palatino Linotype" w:cs="Arial"/>
          <w:b/>
          <w:sz w:val="24"/>
          <w:szCs w:val="24"/>
          <w:lang w:val="es-ES_tradnl" w:eastAsia="es-ES"/>
        </w:rPr>
        <w:t>DEBERES DE LAS AUTORIDADES</w:t>
      </w:r>
      <w:r w:rsidRPr="0081772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1C5306" w:rsidRPr="00817725" w:rsidRDefault="001C5306" w:rsidP="00817725">
      <w:pPr>
        <w:spacing w:after="0" w:line="360" w:lineRule="auto"/>
        <w:contextualSpacing/>
        <w:jc w:val="both"/>
        <w:rPr>
          <w:rFonts w:ascii="Palatino Linotype" w:eastAsia="Calibri" w:hAnsi="Palatino Linotype" w:cs="Times New Roman"/>
          <w:b/>
          <w:sz w:val="24"/>
          <w:szCs w:val="24"/>
        </w:rPr>
      </w:pPr>
      <w:bookmarkStart w:id="0" w:name="_GoBack"/>
      <w:bookmarkEnd w:id="0"/>
    </w:p>
    <w:p w:rsidR="001C5306" w:rsidRPr="00817725" w:rsidRDefault="001C5306" w:rsidP="00817725">
      <w:pPr>
        <w:spacing w:after="0" w:line="360" w:lineRule="auto"/>
        <w:contextualSpacing/>
        <w:jc w:val="both"/>
        <w:rPr>
          <w:rFonts w:ascii="Palatino Linotype" w:eastAsia="Times New Roman" w:hAnsi="Palatino Linotype" w:cs="Arial"/>
          <w:sz w:val="24"/>
          <w:szCs w:val="24"/>
          <w:lang w:val="es-ES_tradnl" w:eastAsia="es-MX"/>
        </w:rPr>
      </w:pPr>
      <w:r w:rsidRPr="00817725">
        <w:rPr>
          <w:rFonts w:ascii="Palatino Linotype" w:eastAsia="Calibri" w:hAnsi="Palatino Linotype" w:cs="Times New Roman"/>
          <w:b/>
          <w:sz w:val="24"/>
          <w:szCs w:val="24"/>
        </w:rPr>
        <w:t>DE LAS RESPUESTAS INCOMPLETAS Y DEFICIENTES.</w:t>
      </w:r>
      <w:r w:rsidRPr="00817725">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817725">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1C5306" w:rsidRPr="00817725" w:rsidRDefault="001C5306" w:rsidP="00817725">
      <w:pPr>
        <w:spacing w:after="0" w:line="360" w:lineRule="auto"/>
        <w:jc w:val="both"/>
        <w:rPr>
          <w:rFonts w:ascii="Palatino Linotype" w:eastAsia="Calibri" w:hAnsi="Palatino Linotype" w:cs="Times New Roman"/>
          <w:b/>
          <w:sz w:val="24"/>
          <w:szCs w:val="24"/>
          <w:lang w:val="es-ES_tradnl" w:eastAsia="es-ES"/>
        </w:rPr>
      </w:pPr>
    </w:p>
    <w:p w:rsidR="001C5306" w:rsidRPr="00817725" w:rsidRDefault="001C5306" w:rsidP="00817725">
      <w:pPr>
        <w:spacing w:after="0" w:line="360" w:lineRule="auto"/>
        <w:jc w:val="both"/>
        <w:rPr>
          <w:rFonts w:ascii="Palatino Linotype" w:eastAsia="Calibri" w:hAnsi="Palatino Linotype" w:cs="Times New Roman"/>
          <w:sz w:val="24"/>
          <w:szCs w:val="24"/>
          <w:lang w:val="es-ES_tradnl" w:eastAsia="es-ES"/>
        </w:rPr>
      </w:pPr>
      <w:r w:rsidRPr="00817725">
        <w:rPr>
          <w:rFonts w:ascii="Palatino Linotype" w:eastAsia="Calibri" w:hAnsi="Palatino Linotype" w:cs="Times New Roman"/>
          <w:b/>
          <w:sz w:val="24"/>
          <w:szCs w:val="24"/>
          <w:lang w:val="es-ES_tradnl" w:eastAsia="es-ES"/>
        </w:rPr>
        <w:t>DE LA GARANTÍA DE PROPORCIONAR LA INFORMACIÓN PÚBLICA GUBERNAMENTAL.</w:t>
      </w:r>
      <w:r w:rsidRPr="00817725">
        <w:rPr>
          <w:rFonts w:ascii="Palatino Linotype" w:eastAsia="Calibri" w:hAnsi="Palatino Linotype" w:cs="Times New Roman"/>
          <w:sz w:val="24"/>
          <w:szCs w:val="24"/>
          <w:lang w:val="es-ES_tradnl" w:eastAsia="es-ES"/>
        </w:rPr>
        <w:t xml:space="preserve"> Los sujetos obligados tienen el deber de entregar la </w:t>
      </w:r>
      <w:proofErr w:type="gramStart"/>
      <w:r w:rsidRPr="00817725">
        <w:rPr>
          <w:rFonts w:ascii="Palatino Linotype" w:eastAsia="Calibri" w:hAnsi="Palatino Linotype" w:cs="Times New Roman"/>
          <w:sz w:val="24"/>
          <w:szCs w:val="24"/>
          <w:lang w:val="es-ES_tradnl" w:eastAsia="es-ES"/>
        </w:rPr>
        <w:t>información</w:t>
      </w:r>
      <w:proofErr w:type="gramEnd"/>
      <w:r w:rsidRPr="00817725">
        <w:rPr>
          <w:rFonts w:ascii="Palatino Linotype" w:eastAsia="Calibri" w:hAnsi="Palatino Linotype" w:cs="Times New Roman"/>
          <w:sz w:val="24"/>
          <w:szCs w:val="24"/>
          <w:lang w:val="es-ES_tradnl" w:eastAsia="es-ES"/>
        </w:rPr>
        <w:t xml:space="preserve"> solicitada en los términos en los que esta fue generada, poseída o administrada.</w:t>
      </w:r>
    </w:p>
    <w:p w:rsidR="001C5306" w:rsidRPr="00817725" w:rsidRDefault="00817725" w:rsidP="00817725">
      <w:pPr>
        <w:spacing w:before="240" w:after="240" w:line="360" w:lineRule="auto"/>
        <w:ind w:right="-142"/>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-9216</wp:posOffset>
                </wp:positionH>
                <wp:positionV relativeFrom="paragraph">
                  <wp:posOffset>121353</wp:posOffset>
                </wp:positionV>
                <wp:extent cx="5559991" cy="2669025"/>
                <wp:effectExtent l="19050" t="19050" r="22225" b="36195"/>
                <wp:wrapNone/>
                <wp:docPr id="1" name="Conector recto 1"/>
                <wp:cNvGraphicFramePr/>
                <a:graphic xmlns:a="http://schemas.openxmlformats.org/drawingml/2006/main">
                  <a:graphicData uri="http://schemas.microsoft.com/office/word/2010/wordprocessingShape">
                    <wps:wsp>
                      <wps:cNvCnPr/>
                      <wps:spPr>
                        <a:xfrm>
                          <a:off x="0" y="0"/>
                          <a:ext cx="5559991" cy="2669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09C05"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55pt" to="437.05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" strokecolor="#5b9bd5 [3204]" strokeweight="3pt">
                <v:stroke joinstyle="miter"/>
              </v:line>
            </w:pict>
          </mc:Fallback>
        </mc:AlternateContent>
      </w:r>
    </w:p>
    <w:p w:rsidR="001C5306" w:rsidRPr="00817725" w:rsidRDefault="001C5306" w:rsidP="00817725">
      <w:pPr>
        <w:spacing w:before="240" w:after="240" w:line="360" w:lineRule="auto"/>
        <w:ind w:right="-142"/>
        <w:jc w:val="both"/>
        <w:rPr>
          <w:rFonts w:ascii="Palatino Linotype" w:eastAsia="Times New Roman" w:hAnsi="Palatino Linotype" w:cs="Arial"/>
          <w:color w:val="000000"/>
          <w:sz w:val="24"/>
          <w:szCs w:val="24"/>
          <w:lang w:val="es-ES" w:eastAsia="es-MX"/>
        </w:rPr>
      </w:pPr>
    </w:p>
    <w:p w:rsidR="001C5306" w:rsidRPr="00817725" w:rsidRDefault="001C5306" w:rsidP="00817725">
      <w:pPr>
        <w:spacing w:before="240" w:after="240" w:line="360" w:lineRule="auto"/>
        <w:ind w:right="-142"/>
        <w:jc w:val="both"/>
        <w:rPr>
          <w:rFonts w:ascii="Palatino Linotype" w:eastAsia="Times New Roman" w:hAnsi="Palatino Linotype" w:cs="Arial"/>
          <w:color w:val="000000"/>
          <w:sz w:val="24"/>
          <w:szCs w:val="24"/>
          <w:lang w:val="es-ES" w:eastAsia="es-MX"/>
        </w:rPr>
      </w:pPr>
    </w:p>
    <w:p w:rsidR="001C5306" w:rsidRPr="00817725" w:rsidRDefault="001C5306" w:rsidP="00817725">
      <w:pPr>
        <w:spacing w:before="240" w:after="240" w:line="360" w:lineRule="auto"/>
        <w:ind w:right="-142"/>
        <w:jc w:val="both"/>
        <w:rPr>
          <w:rFonts w:ascii="Palatino Linotype" w:eastAsia="Times New Roman" w:hAnsi="Palatino Linotype" w:cs="Arial"/>
          <w:color w:val="000000"/>
          <w:sz w:val="24"/>
          <w:szCs w:val="24"/>
          <w:lang w:val="es-ES" w:eastAsia="es-MX"/>
        </w:rPr>
      </w:pPr>
    </w:p>
    <w:p w:rsidR="001C5306" w:rsidRPr="00817725" w:rsidRDefault="001C5306" w:rsidP="00817725">
      <w:pPr>
        <w:spacing w:before="240" w:after="240" w:line="360" w:lineRule="auto"/>
        <w:ind w:right="-142"/>
        <w:jc w:val="center"/>
        <w:rPr>
          <w:rFonts w:ascii="Palatino Linotype" w:eastAsiaTheme="minorEastAsia" w:hAnsi="Palatino Linotype"/>
          <w:sz w:val="24"/>
          <w:szCs w:val="24"/>
          <w:lang w:val="es-ES_tradnl" w:eastAsia="es-ES"/>
        </w:rPr>
      </w:pPr>
      <w:r w:rsidRPr="00817725">
        <w:rPr>
          <w:rFonts w:ascii="Palatino Linotype" w:eastAsiaTheme="minorEastAsia" w:hAnsi="Palatino Linotype"/>
          <w:b/>
          <w:sz w:val="24"/>
          <w:szCs w:val="24"/>
          <w:lang w:val="es-ES_tradnl" w:eastAsia="es-ES"/>
        </w:rPr>
        <w:lastRenderedPageBreak/>
        <w:t>Índice</w:t>
      </w:r>
      <w:r w:rsidRPr="0081772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1C5306" w:rsidRPr="00817725" w:rsidRDefault="001C5306" w:rsidP="00817725">
          <w:pPr>
            <w:keepNext/>
            <w:keepLines/>
            <w:spacing w:before="240" w:after="0" w:line="360" w:lineRule="auto"/>
            <w:ind w:right="-142"/>
            <w:rPr>
              <w:rFonts w:ascii="Palatino Linotype" w:eastAsiaTheme="majorEastAsia" w:hAnsi="Palatino Linotype" w:cstheme="majorBidi"/>
              <w:b/>
              <w:sz w:val="24"/>
              <w:szCs w:val="24"/>
              <w:lang w:eastAsia="es-MX"/>
            </w:rPr>
          </w:pPr>
        </w:p>
        <w:p w:rsidR="00287D40" w:rsidRPr="00817725" w:rsidRDefault="001C5306" w:rsidP="00817725">
          <w:pPr>
            <w:pStyle w:val="TDC1"/>
            <w:tabs>
              <w:tab w:val="right" w:leader="dot" w:pos="8828"/>
            </w:tabs>
            <w:spacing w:line="360" w:lineRule="auto"/>
            <w:rPr>
              <w:rFonts w:ascii="Palatino Linotype" w:hAnsi="Palatino Linotype"/>
              <w:noProof/>
              <w:sz w:val="24"/>
              <w:szCs w:val="24"/>
            </w:rPr>
          </w:pPr>
          <w:r w:rsidRPr="00817725">
            <w:rPr>
              <w:rFonts w:ascii="Palatino Linotype" w:eastAsiaTheme="minorEastAsia" w:hAnsi="Palatino Linotype"/>
              <w:b/>
              <w:sz w:val="24"/>
              <w:szCs w:val="24"/>
              <w:lang w:val="es-ES_tradnl" w:eastAsia="es-ES"/>
            </w:rPr>
            <w:fldChar w:fldCharType="begin"/>
          </w:r>
          <w:r w:rsidRPr="00817725">
            <w:rPr>
              <w:rFonts w:ascii="Palatino Linotype" w:eastAsiaTheme="minorEastAsia" w:hAnsi="Palatino Linotype"/>
              <w:b/>
              <w:sz w:val="24"/>
              <w:szCs w:val="24"/>
              <w:lang w:val="es-ES_tradnl" w:eastAsia="es-ES"/>
            </w:rPr>
            <w:instrText xml:space="preserve"> TOC \o "1-3" \h \z \u </w:instrText>
          </w:r>
          <w:r w:rsidRPr="00817725">
            <w:rPr>
              <w:rFonts w:ascii="Palatino Linotype" w:eastAsiaTheme="minorEastAsia" w:hAnsi="Palatino Linotype"/>
              <w:b/>
              <w:sz w:val="24"/>
              <w:szCs w:val="24"/>
              <w:lang w:val="es-ES_tradnl" w:eastAsia="es-ES"/>
            </w:rPr>
            <w:fldChar w:fldCharType="separate"/>
          </w:r>
          <w:hyperlink w:anchor="_Toc20387824" w:history="1">
            <w:r w:rsidR="00287D40" w:rsidRPr="00817725">
              <w:rPr>
                <w:rStyle w:val="Hipervnculo"/>
                <w:rFonts w:ascii="Palatino Linotype" w:eastAsiaTheme="majorEastAsia" w:hAnsi="Palatino Linotype" w:cstheme="majorBidi"/>
                <w:b/>
                <w:noProof/>
                <w:sz w:val="24"/>
                <w:szCs w:val="24"/>
              </w:rPr>
              <w:t>A N T E C E D E N T E S</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_Toc20387824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3</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25" w:history="1">
            <w:r w:rsidR="00287D40" w:rsidRPr="00817725">
              <w:rPr>
                <w:rStyle w:val="Hipervnculo"/>
                <w:rFonts w:ascii="Palatino Linotype" w:eastAsiaTheme="majorEastAsia" w:hAnsi="Palatino Linotype" w:cstheme="majorBidi"/>
                <w:b/>
                <w:noProof/>
                <w:sz w:val="24"/>
                <w:szCs w:val="24"/>
              </w:rPr>
              <w:t>C O N S I D E R A N D O</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_Toc20387825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9</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2"/>
            <w:tabs>
              <w:tab w:val="right" w:leader="dot" w:pos="8828"/>
            </w:tabs>
            <w:spacing w:line="360" w:lineRule="auto"/>
            <w:ind w:left="0"/>
            <w:rPr>
              <w:rFonts w:ascii="Palatino Linotype" w:hAnsi="Palatino Linotype"/>
              <w:noProof/>
              <w:sz w:val="24"/>
              <w:szCs w:val="24"/>
            </w:rPr>
          </w:pPr>
          <w:hyperlink w:anchor="_Toc20387826" w:history="1">
            <w:r w:rsidR="00287D40" w:rsidRPr="00817725">
              <w:rPr>
                <w:rStyle w:val="Hipervnculo"/>
                <w:rFonts w:ascii="Palatino Linotype" w:eastAsiaTheme="majorEastAsia" w:hAnsi="Palatino Linotype" w:cstheme="majorBidi"/>
                <w:b/>
                <w:noProof/>
                <w:sz w:val="24"/>
                <w:szCs w:val="24"/>
              </w:rPr>
              <w:t>PRIMERO. De la competencia.</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_Toc20387826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9</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2"/>
            <w:tabs>
              <w:tab w:val="right" w:leader="dot" w:pos="8828"/>
            </w:tabs>
            <w:spacing w:line="360" w:lineRule="auto"/>
            <w:ind w:left="0"/>
            <w:rPr>
              <w:rFonts w:ascii="Palatino Linotype" w:hAnsi="Palatino Linotype"/>
              <w:noProof/>
              <w:sz w:val="24"/>
              <w:szCs w:val="24"/>
            </w:rPr>
          </w:pPr>
          <w:hyperlink w:anchor="_Toc20387827" w:history="1">
            <w:r w:rsidR="00287D40" w:rsidRPr="00817725">
              <w:rPr>
                <w:rStyle w:val="Hipervnculo"/>
                <w:rFonts w:ascii="Palatino Linotype" w:eastAsiaTheme="majorEastAsia" w:hAnsi="Palatino Linotype" w:cstheme="majorBidi"/>
                <w:b/>
                <w:noProof/>
                <w:sz w:val="24"/>
                <w:szCs w:val="24"/>
              </w:rPr>
              <w:t>SEGUNDO. De la oportunidad y procedencia.</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_Toc20387827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10</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28" w:history="1">
            <w:r w:rsidR="00287D40" w:rsidRPr="00817725">
              <w:rPr>
                <w:rStyle w:val="Hipervnculo"/>
                <w:rFonts w:ascii="Palatino Linotype" w:eastAsia="MS Mincho" w:hAnsi="Palatino Linotype" w:cstheme="majorBidi"/>
                <w:b/>
                <w:noProof/>
                <w:sz w:val="24"/>
                <w:szCs w:val="24"/>
                <w:lang w:val="es-ES_tradnl" w:eastAsia="es-ES"/>
              </w:rPr>
              <w:t>TERCERO. Del planteamiento de la Litis.</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_Toc20387828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11</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29" w:history="1">
            <w:r w:rsidR="00287D40" w:rsidRPr="00817725">
              <w:rPr>
                <w:rStyle w:val="Hipervnculo"/>
                <w:rFonts w:ascii="Palatino Linotype" w:eastAsia="MS Gothic" w:hAnsi="Palatino Linotype" w:cstheme="majorBidi"/>
                <w:b/>
                <w:noProof/>
                <w:sz w:val="24"/>
                <w:szCs w:val="24"/>
                <w:lang w:val="es-ES_tradnl" w:eastAsia="es-ES"/>
              </w:rPr>
              <w:t>CUARTO. Del estudio y resolución del recurso de revisión.</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_Toc20387829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12</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left" w:pos="440"/>
              <w:tab w:val="right" w:leader="dot" w:pos="8828"/>
            </w:tabs>
            <w:spacing w:line="360" w:lineRule="auto"/>
            <w:rPr>
              <w:rFonts w:ascii="Palatino Linotype" w:hAnsi="Palatino Linotype"/>
              <w:noProof/>
              <w:sz w:val="24"/>
              <w:szCs w:val="24"/>
            </w:rPr>
          </w:pPr>
          <w:hyperlink w:anchor="_Toc20387830" w:history="1">
            <w:r w:rsidR="00287D40" w:rsidRPr="00817725">
              <w:rPr>
                <w:rStyle w:val="Hipervnculo"/>
                <w:rFonts w:ascii="Palatino Linotype" w:hAnsi="Palatino Linotype"/>
                <w:b/>
                <w:i/>
                <w:noProof/>
                <w:sz w:val="24"/>
                <w:szCs w:val="24"/>
                <w:lang w:val="es-ES_tradnl" w:eastAsia="es-MX"/>
              </w:rPr>
              <w:t>I.</w:t>
            </w:r>
            <w:r w:rsidR="00287D40" w:rsidRPr="00817725">
              <w:rPr>
                <w:rFonts w:ascii="Palatino Linotype" w:hAnsi="Palatino Linotype"/>
                <w:noProof/>
                <w:sz w:val="24"/>
                <w:szCs w:val="24"/>
              </w:rPr>
              <w:tab/>
            </w:r>
            <w:r w:rsidR="00287D40" w:rsidRPr="00817725">
              <w:rPr>
                <w:rStyle w:val="Hipervnculo"/>
                <w:rFonts w:ascii="Palatino Linotype" w:eastAsia="MS Gothic" w:hAnsi="Palatino Linotype" w:cstheme="majorBidi"/>
                <w:b/>
                <w:i/>
                <w:noProof/>
                <w:sz w:val="24"/>
                <w:szCs w:val="24"/>
              </w:rPr>
              <w:t>El derecho de acceso a la información publica</w:t>
            </w:r>
            <w:r w:rsidR="00287D40" w:rsidRPr="00817725">
              <w:rPr>
                <w:rStyle w:val="Hipervnculo"/>
                <w:rFonts w:ascii="Palatino Linotype" w:eastAsia="MS Mincho" w:hAnsi="Palatino Linotype" w:cs="Arial"/>
                <w:b/>
                <w:i/>
                <w:noProof/>
                <w:sz w:val="24"/>
                <w:szCs w:val="24"/>
                <w:lang w:val="es-ES_tradnl" w:eastAsia="es-MX"/>
              </w:rPr>
              <w:t>.</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_Toc20387830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12</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2"/>
            <w:tabs>
              <w:tab w:val="right" w:leader="dot" w:pos="8828"/>
            </w:tabs>
            <w:spacing w:line="360" w:lineRule="auto"/>
            <w:ind w:left="0"/>
            <w:rPr>
              <w:rFonts w:ascii="Palatino Linotype" w:hAnsi="Palatino Linotype"/>
              <w:noProof/>
              <w:sz w:val="24"/>
              <w:szCs w:val="24"/>
            </w:rPr>
          </w:pPr>
          <w:hyperlink w:anchor="_Toc20387831" w:history="1">
            <w:r w:rsidR="00287D40" w:rsidRPr="00817725">
              <w:rPr>
                <w:rStyle w:val="Hipervnculo"/>
                <w:rFonts w:ascii="Palatino Linotype" w:eastAsia="MS Mincho" w:hAnsi="Palatino Linotype" w:cstheme="majorBidi"/>
                <w:b/>
                <w:i/>
                <w:noProof/>
                <w:sz w:val="24"/>
                <w:szCs w:val="24"/>
                <w:lang w:val="es-ES_tradnl" w:eastAsia="es-ES"/>
              </w:rPr>
              <w:t>II. Análisis del contenido de la repuesta</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_Toc20387831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14</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32" w:history="1">
            <w:r w:rsidR="00287D40" w:rsidRPr="00817725">
              <w:rPr>
                <w:rStyle w:val="Hipervnculo"/>
                <w:rFonts w:ascii="Palatino Linotype" w:eastAsia="MS Mincho" w:hAnsi="Palatino Linotype"/>
                <w:b/>
                <w:i/>
                <w:noProof/>
                <w:sz w:val="24"/>
                <w:szCs w:val="24"/>
                <w:lang w:val="es-ES_tradnl" w:eastAsia="es-ES"/>
              </w:rPr>
              <w:t>III. De la solicitud del cambio de modalidad.</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_Toc20387832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17</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33" w:history="1">
            <w:r w:rsidR="00287D40" w:rsidRPr="00817725">
              <w:rPr>
                <w:rStyle w:val="Hipervnculo"/>
                <w:rFonts w:ascii="Palatino Linotype" w:eastAsia="Cambria" w:hAnsi="Palatino Linotype"/>
                <w:b/>
                <w:noProof/>
                <w:sz w:val="24"/>
                <w:szCs w:val="24"/>
              </w:rPr>
              <w:t>IV. Del acuerdo de inexistencia.</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_Toc20387833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19</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34" w:history="1">
            <w:r w:rsidR="00287D40" w:rsidRPr="00817725">
              <w:rPr>
                <w:rStyle w:val="Hipervnculo"/>
                <w:rFonts w:ascii="Palatino Linotype" w:eastAsia="Cambria" w:hAnsi="Palatino Linotype" w:cs="Times New Roman"/>
                <w:b/>
                <w:i/>
                <w:noProof/>
                <w:sz w:val="24"/>
                <w:szCs w:val="24"/>
              </w:rPr>
              <w:t>V. De la digitalización y cobro de la información</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_Toc20387834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30</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35" w:history="1">
            <w:r w:rsidR="00287D40" w:rsidRPr="00817725">
              <w:rPr>
                <w:rStyle w:val="Hipervnculo"/>
                <w:rFonts w:ascii="Palatino Linotype" w:eastAsia="MS Gothic" w:hAnsi="Palatino Linotype" w:cstheme="majorBidi"/>
                <w:b/>
                <w:noProof/>
                <w:sz w:val="24"/>
                <w:szCs w:val="24"/>
                <w:lang w:val="es-ES_tradnl"/>
              </w:rPr>
              <w:t>QUINTO. De la Versión Pública</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_Toc20387835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37</w:t>
            </w:r>
            <w:r w:rsidR="00287D40" w:rsidRPr="00817725">
              <w:rPr>
                <w:rFonts w:ascii="Palatino Linotype" w:hAnsi="Palatino Linotype"/>
                <w:noProof/>
                <w:webHidden/>
                <w:sz w:val="24"/>
                <w:szCs w:val="24"/>
              </w:rPr>
              <w:fldChar w:fldCharType="end"/>
            </w:r>
          </w:hyperlink>
        </w:p>
        <w:p w:rsidR="00287D40" w:rsidRPr="00817725" w:rsidRDefault="00883458" w:rsidP="00817725">
          <w:pPr>
            <w:pStyle w:val="TDC1"/>
            <w:tabs>
              <w:tab w:val="right" w:leader="dot" w:pos="8828"/>
            </w:tabs>
            <w:spacing w:line="360" w:lineRule="auto"/>
            <w:rPr>
              <w:rFonts w:ascii="Palatino Linotype" w:hAnsi="Palatino Linotype"/>
              <w:noProof/>
              <w:sz w:val="24"/>
              <w:szCs w:val="24"/>
            </w:rPr>
          </w:pPr>
          <w:hyperlink w:anchor="_Toc20387836" w:history="1">
            <w:r w:rsidR="00287D40" w:rsidRPr="00817725">
              <w:rPr>
                <w:rStyle w:val="Hipervnculo"/>
                <w:rFonts w:ascii="Palatino Linotype" w:eastAsia="Calibri" w:hAnsi="Palatino Linotype" w:cstheme="majorBidi"/>
                <w:b/>
                <w:noProof/>
                <w:sz w:val="24"/>
                <w:szCs w:val="24"/>
                <w:lang w:val="es-ES" w:eastAsia="es-ES"/>
              </w:rPr>
              <w:t>R E S O L U T I V O S</w:t>
            </w:r>
            <w:r w:rsidR="00287D40" w:rsidRPr="00817725">
              <w:rPr>
                <w:rFonts w:ascii="Palatino Linotype" w:hAnsi="Palatino Linotype"/>
                <w:noProof/>
                <w:webHidden/>
                <w:sz w:val="24"/>
                <w:szCs w:val="24"/>
              </w:rPr>
              <w:tab/>
            </w:r>
            <w:r w:rsidR="00287D40" w:rsidRPr="00817725">
              <w:rPr>
                <w:rFonts w:ascii="Palatino Linotype" w:hAnsi="Palatino Linotype"/>
                <w:noProof/>
                <w:webHidden/>
                <w:sz w:val="24"/>
                <w:szCs w:val="24"/>
              </w:rPr>
              <w:fldChar w:fldCharType="begin"/>
            </w:r>
            <w:r w:rsidR="00287D40" w:rsidRPr="00817725">
              <w:rPr>
                <w:rFonts w:ascii="Palatino Linotype" w:hAnsi="Palatino Linotype"/>
                <w:noProof/>
                <w:webHidden/>
                <w:sz w:val="24"/>
                <w:szCs w:val="24"/>
              </w:rPr>
              <w:instrText xml:space="preserve"> PAGEREF _Toc20387836 \h </w:instrText>
            </w:r>
            <w:r w:rsidR="00287D40" w:rsidRPr="00817725">
              <w:rPr>
                <w:rFonts w:ascii="Palatino Linotype" w:hAnsi="Palatino Linotype"/>
                <w:noProof/>
                <w:webHidden/>
                <w:sz w:val="24"/>
                <w:szCs w:val="24"/>
              </w:rPr>
            </w:r>
            <w:r w:rsidR="00287D40" w:rsidRPr="00817725">
              <w:rPr>
                <w:rFonts w:ascii="Palatino Linotype" w:hAnsi="Palatino Linotype"/>
                <w:noProof/>
                <w:webHidden/>
                <w:sz w:val="24"/>
                <w:szCs w:val="24"/>
              </w:rPr>
              <w:fldChar w:fldCharType="separate"/>
            </w:r>
            <w:r w:rsidR="00AA2BC8">
              <w:rPr>
                <w:rFonts w:ascii="Palatino Linotype" w:hAnsi="Palatino Linotype"/>
                <w:noProof/>
                <w:webHidden/>
                <w:sz w:val="24"/>
                <w:szCs w:val="24"/>
              </w:rPr>
              <w:t>56</w:t>
            </w:r>
            <w:r w:rsidR="00287D40" w:rsidRPr="00817725">
              <w:rPr>
                <w:rFonts w:ascii="Palatino Linotype" w:hAnsi="Palatino Linotype"/>
                <w:noProof/>
                <w:webHidden/>
                <w:sz w:val="24"/>
                <w:szCs w:val="24"/>
              </w:rPr>
              <w:fldChar w:fldCharType="end"/>
            </w:r>
          </w:hyperlink>
        </w:p>
        <w:p w:rsidR="001C5306" w:rsidRPr="00817725" w:rsidRDefault="001C5306" w:rsidP="00817725">
          <w:pPr>
            <w:spacing w:after="0" w:line="360" w:lineRule="auto"/>
            <w:ind w:right="-142"/>
            <w:rPr>
              <w:rFonts w:ascii="Palatino Linotype" w:eastAsiaTheme="minorEastAsia" w:hAnsi="Palatino Linotype"/>
              <w:bCs/>
              <w:sz w:val="24"/>
              <w:szCs w:val="24"/>
              <w:lang w:val="es-ES" w:eastAsia="es-ES"/>
            </w:rPr>
          </w:pPr>
          <w:r w:rsidRPr="00817725">
            <w:rPr>
              <w:rFonts w:ascii="Palatino Linotype" w:eastAsiaTheme="minorEastAsia" w:hAnsi="Palatino Linotype"/>
              <w:b/>
              <w:bCs/>
              <w:sz w:val="24"/>
              <w:szCs w:val="24"/>
              <w:lang w:val="es-ES" w:eastAsia="es-ES"/>
            </w:rPr>
            <w:fldChar w:fldCharType="end"/>
          </w:r>
        </w:p>
      </w:sdtContent>
    </w:sdt>
    <w:p w:rsidR="001C5306" w:rsidRPr="00817725" w:rsidRDefault="001C5306" w:rsidP="00817725">
      <w:pPr>
        <w:spacing w:before="240" w:after="240" w:line="360" w:lineRule="auto"/>
        <w:jc w:val="both"/>
        <w:rPr>
          <w:rFonts w:ascii="Palatino Linotype" w:eastAsiaTheme="minorEastAsia" w:hAnsi="Palatino Linotype"/>
          <w:sz w:val="24"/>
          <w:szCs w:val="24"/>
          <w:lang w:val="es-ES_tradnl" w:eastAsia="es-ES"/>
        </w:rPr>
      </w:pPr>
    </w:p>
    <w:p w:rsidR="001C5306" w:rsidRPr="00817725" w:rsidRDefault="001C5306" w:rsidP="00817725">
      <w:pPr>
        <w:spacing w:before="240" w:after="240" w:line="360" w:lineRule="auto"/>
        <w:jc w:val="both"/>
        <w:rPr>
          <w:rFonts w:ascii="Palatino Linotype" w:eastAsiaTheme="minorEastAsia" w:hAnsi="Palatino Linotype"/>
          <w:sz w:val="24"/>
          <w:szCs w:val="24"/>
          <w:lang w:val="es-ES_tradnl" w:eastAsia="es-ES"/>
        </w:rPr>
      </w:pPr>
    </w:p>
    <w:p w:rsidR="001C5306" w:rsidRPr="00817725" w:rsidRDefault="001C5306" w:rsidP="00817725">
      <w:pPr>
        <w:spacing w:before="240" w:after="240" w:line="360" w:lineRule="auto"/>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A506C" w:rsidRPr="00817725">
        <w:rPr>
          <w:rFonts w:ascii="Palatino Linotype" w:eastAsiaTheme="minorEastAsia" w:hAnsi="Palatino Linotype"/>
          <w:sz w:val="24"/>
          <w:szCs w:val="24"/>
          <w:lang w:val="es-ES_tradnl" w:eastAsia="es-ES"/>
        </w:rPr>
        <w:t>dos (</w:t>
      </w:r>
      <w:r w:rsidR="00817725">
        <w:rPr>
          <w:rFonts w:ascii="Palatino Linotype" w:eastAsiaTheme="minorEastAsia" w:hAnsi="Palatino Linotype"/>
          <w:sz w:val="24"/>
          <w:szCs w:val="24"/>
          <w:lang w:val="es-ES_tradnl" w:eastAsia="es-ES"/>
        </w:rPr>
        <w:t>0</w:t>
      </w:r>
      <w:r w:rsidR="00BA506C" w:rsidRPr="00817725">
        <w:rPr>
          <w:rFonts w:ascii="Palatino Linotype" w:eastAsiaTheme="minorEastAsia" w:hAnsi="Palatino Linotype"/>
          <w:sz w:val="24"/>
          <w:szCs w:val="24"/>
          <w:lang w:val="es-ES_tradnl" w:eastAsia="es-ES"/>
        </w:rPr>
        <w:t xml:space="preserve">2) de octubre </w:t>
      </w:r>
      <w:r w:rsidRPr="00817725">
        <w:rPr>
          <w:rFonts w:ascii="Palatino Linotype" w:eastAsiaTheme="minorEastAsia" w:hAnsi="Palatino Linotype"/>
          <w:sz w:val="24"/>
          <w:szCs w:val="24"/>
          <w:lang w:val="es-ES_tradnl" w:eastAsia="es-ES"/>
        </w:rPr>
        <w:t>de dos mil diecinueve.</w:t>
      </w:r>
    </w:p>
    <w:p w:rsidR="001C5306" w:rsidRPr="00817725" w:rsidRDefault="001C5306" w:rsidP="00817725">
      <w:pPr>
        <w:spacing w:before="240" w:after="360" w:line="360" w:lineRule="auto"/>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b/>
          <w:sz w:val="24"/>
          <w:szCs w:val="24"/>
          <w:lang w:val="es-ES_tradnl" w:eastAsia="es-ES"/>
        </w:rPr>
        <w:t>VISTO</w:t>
      </w:r>
      <w:r w:rsidRPr="00817725">
        <w:rPr>
          <w:rFonts w:ascii="Palatino Linotype" w:eastAsiaTheme="minorEastAsia" w:hAnsi="Palatino Linotype"/>
          <w:sz w:val="24"/>
          <w:szCs w:val="24"/>
          <w:lang w:val="es-ES_tradnl" w:eastAsia="es-ES"/>
        </w:rPr>
        <w:t xml:space="preserve"> el expediente electrónico formado con motivo del recurso de revisión </w:t>
      </w:r>
      <w:r w:rsidRPr="00817725">
        <w:rPr>
          <w:rFonts w:ascii="Palatino Linotype" w:eastAsiaTheme="minorEastAsia" w:hAnsi="Palatino Linotype" w:cs="Arial"/>
          <w:b/>
          <w:bCs/>
          <w:sz w:val="24"/>
          <w:szCs w:val="24"/>
          <w:lang w:val="es-ES_tradnl" w:eastAsia="es-ES"/>
        </w:rPr>
        <w:t xml:space="preserve">06308/INFOEM/IP/RR/2019 </w:t>
      </w:r>
      <w:r w:rsidRPr="00817725">
        <w:rPr>
          <w:rFonts w:ascii="Palatino Linotype" w:eastAsiaTheme="minorEastAsia" w:hAnsi="Palatino Linotype"/>
          <w:sz w:val="24"/>
          <w:szCs w:val="24"/>
          <w:lang w:val="es-ES_tradnl" w:eastAsia="es-ES"/>
        </w:rPr>
        <w:t xml:space="preserve">promovido por </w:t>
      </w:r>
      <w:r w:rsidR="008A2C62" w:rsidRPr="008A2C62">
        <w:rPr>
          <w:rFonts w:ascii="Palatino Linotype" w:eastAsiaTheme="minorEastAsia" w:hAnsi="Palatino Linotype"/>
          <w:b/>
          <w:sz w:val="24"/>
          <w:szCs w:val="24"/>
          <w:highlight w:val="black"/>
          <w:lang w:val="es-ES_tradnl" w:eastAsia="es-ES"/>
        </w:rPr>
        <w:t>------------------------------------</w:t>
      </w:r>
      <w:r w:rsidRPr="00817725">
        <w:rPr>
          <w:rFonts w:ascii="Palatino Linotype" w:eastAsiaTheme="minorEastAsia" w:hAnsi="Palatino Linotype"/>
          <w:b/>
          <w:sz w:val="24"/>
          <w:szCs w:val="24"/>
          <w:lang w:val="es-ES_tradnl" w:eastAsia="es-ES"/>
        </w:rPr>
        <w:t xml:space="preserve">, </w:t>
      </w:r>
      <w:r w:rsidRPr="00817725">
        <w:rPr>
          <w:rFonts w:ascii="Palatino Linotype" w:eastAsiaTheme="minorEastAsia" w:hAnsi="Palatino Linotype" w:cs="Arial"/>
          <w:sz w:val="24"/>
          <w:szCs w:val="24"/>
          <w:lang w:val="es-ES_tradnl" w:eastAsia="es-ES"/>
        </w:rPr>
        <w:t xml:space="preserve">en su calidad de </w:t>
      </w:r>
      <w:r w:rsidRPr="00817725">
        <w:rPr>
          <w:rFonts w:ascii="Palatino Linotype" w:eastAsiaTheme="minorEastAsia" w:hAnsi="Palatino Linotype" w:cs="Arial"/>
          <w:b/>
          <w:sz w:val="24"/>
          <w:szCs w:val="24"/>
          <w:lang w:val="es-ES_tradnl" w:eastAsia="es-ES"/>
        </w:rPr>
        <w:t>RECURRENTE</w:t>
      </w:r>
      <w:r w:rsidRPr="00817725">
        <w:rPr>
          <w:rFonts w:ascii="Palatino Linotype" w:eastAsiaTheme="minorEastAsia" w:hAnsi="Palatino Linotype" w:cs="Arial"/>
          <w:sz w:val="24"/>
          <w:szCs w:val="24"/>
          <w:lang w:val="es-ES_tradnl" w:eastAsia="es-ES"/>
        </w:rPr>
        <w:t xml:space="preserve">, en contra de la respuesta de la </w:t>
      </w:r>
      <w:r w:rsidRPr="00817725">
        <w:rPr>
          <w:rFonts w:ascii="Palatino Linotype" w:eastAsiaTheme="minorEastAsia" w:hAnsi="Palatino Linotype" w:cs="Arial"/>
          <w:b/>
          <w:sz w:val="24"/>
          <w:szCs w:val="24"/>
          <w:lang w:val="es-ES_tradnl" w:eastAsia="es-ES"/>
        </w:rPr>
        <w:t>Secretaría de Finanzas</w:t>
      </w:r>
      <w:r w:rsidRPr="00817725">
        <w:rPr>
          <w:rFonts w:ascii="Palatino Linotype" w:eastAsiaTheme="minorEastAsia" w:hAnsi="Palatino Linotype" w:cs="Arial"/>
          <w:sz w:val="24"/>
          <w:szCs w:val="24"/>
          <w:lang w:val="es-ES_tradnl" w:eastAsia="es-ES"/>
        </w:rPr>
        <w:t xml:space="preserve">, </w:t>
      </w:r>
      <w:r w:rsidRPr="00817725">
        <w:rPr>
          <w:rFonts w:ascii="Palatino Linotype" w:eastAsiaTheme="minorEastAsia" w:hAnsi="Palatino Linotype"/>
          <w:sz w:val="24"/>
          <w:szCs w:val="24"/>
          <w:lang w:val="es-ES_tradnl" w:eastAsia="es-ES"/>
        </w:rPr>
        <w:t>en lo sucesivo el</w:t>
      </w:r>
      <w:r w:rsidRPr="00817725">
        <w:rPr>
          <w:rFonts w:ascii="Palatino Linotype" w:eastAsiaTheme="minorEastAsia" w:hAnsi="Palatino Linotype"/>
          <w:b/>
          <w:sz w:val="24"/>
          <w:szCs w:val="24"/>
          <w:lang w:val="es-ES_tradnl" w:eastAsia="es-ES"/>
        </w:rPr>
        <w:t xml:space="preserve"> SUJETO OBLIGADO, </w:t>
      </w:r>
      <w:r w:rsidRPr="00817725">
        <w:rPr>
          <w:rFonts w:ascii="Palatino Linotype" w:eastAsiaTheme="minorEastAsia" w:hAnsi="Palatino Linotype"/>
          <w:sz w:val="24"/>
          <w:szCs w:val="24"/>
          <w:lang w:val="es-ES_tradnl" w:eastAsia="es-ES"/>
        </w:rPr>
        <w:t xml:space="preserve">se procede a dictar la presente resolución, con base en los siguientes: </w:t>
      </w:r>
    </w:p>
    <w:p w:rsidR="001C5306" w:rsidRPr="00817725" w:rsidRDefault="001C5306" w:rsidP="0081772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20387824"/>
      <w:r w:rsidRPr="00817725">
        <w:rPr>
          <w:rFonts w:ascii="Palatino Linotype" w:eastAsiaTheme="majorEastAsia" w:hAnsi="Palatino Linotype" w:cstheme="majorBidi"/>
          <w:b/>
          <w:sz w:val="24"/>
          <w:szCs w:val="24"/>
        </w:rPr>
        <w:t>A N T E C E D E N T E S</w:t>
      </w:r>
      <w:bookmarkEnd w:id="1"/>
    </w:p>
    <w:p w:rsidR="001C5306" w:rsidRPr="00817725" w:rsidRDefault="001C5306" w:rsidP="00817725">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1C5306" w:rsidRPr="00817725" w:rsidRDefault="001C5306" w:rsidP="0081772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17725">
        <w:rPr>
          <w:rFonts w:ascii="Palatino Linotype" w:eastAsia="Calibri" w:hAnsi="Palatino Linotype" w:cs="Arial"/>
          <w:sz w:val="24"/>
          <w:szCs w:val="24"/>
          <w:lang w:val="es-ES" w:eastAsia="es-ES"/>
        </w:rPr>
        <w:t xml:space="preserve">El día </w:t>
      </w:r>
      <w:r w:rsidRPr="00817725">
        <w:rPr>
          <w:rFonts w:ascii="Palatino Linotype" w:eastAsia="Calibri" w:hAnsi="Palatino Linotype" w:cs="Arial"/>
          <w:b/>
          <w:sz w:val="24"/>
          <w:szCs w:val="24"/>
          <w:lang w:val="es-ES" w:eastAsia="es-ES"/>
        </w:rPr>
        <w:t xml:space="preserve">diecinueve (19) de junio </w:t>
      </w:r>
      <w:r w:rsidRPr="00817725">
        <w:rPr>
          <w:rFonts w:ascii="Palatino Linotype" w:eastAsia="Calibri" w:hAnsi="Palatino Linotype" w:cs="Arial"/>
          <w:sz w:val="24"/>
          <w:szCs w:val="24"/>
          <w:lang w:val="es-ES" w:eastAsia="es-ES"/>
        </w:rPr>
        <w:t>de dos mil diecinueve,</w:t>
      </w:r>
      <w:r w:rsidRPr="00817725">
        <w:rPr>
          <w:rFonts w:ascii="Palatino Linotype" w:eastAsia="Calibri" w:hAnsi="Palatino Linotype" w:cs="Times New Roman"/>
          <w:sz w:val="24"/>
          <w:szCs w:val="24"/>
          <w:lang w:val="es-ES" w:eastAsia="es-ES"/>
        </w:rPr>
        <w:t xml:space="preserve"> se</w:t>
      </w:r>
      <w:r w:rsidRPr="00817725">
        <w:rPr>
          <w:rFonts w:ascii="Palatino Linotype" w:eastAsiaTheme="minorEastAsia" w:hAnsi="Palatino Linotype"/>
          <w:b/>
          <w:sz w:val="24"/>
          <w:szCs w:val="24"/>
          <w:lang w:val="es-ES_tradnl" w:eastAsia="es-ES"/>
        </w:rPr>
        <w:t xml:space="preserve"> </w:t>
      </w:r>
      <w:r w:rsidRPr="00817725">
        <w:rPr>
          <w:rFonts w:ascii="Palatino Linotype" w:eastAsiaTheme="minorEastAsia" w:hAnsi="Palatino Linotype"/>
          <w:sz w:val="24"/>
          <w:szCs w:val="24"/>
          <w:lang w:val="es-ES_tradnl" w:eastAsia="es-ES"/>
        </w:rPr>
        <w:t xml:space="preserve">presentó </w:t>
      </w:r>
      <w:r w:rsidRPr="00817725">
        <w:rPr>
          <w:rFonts w:ascii="Palatino Linotype" w:eastAsia="Calibri" w:hAnsi="Palatino Linotype" w:cs="Arial"/>
          <w:sz w:val="24"/>
          <w:szCs w:val="24"/>
          <w:lang w:val="es-ES" w:eastAsia="es-ES"/>
        </w:rPr>
        <w:t xml:space="preserve">ante el </w:t>
      </w:r>
      <w:r w:rsidRPr="00817725">
        <w:rPr>
          <w:rFonts w:ascii="Palatino Linotype" w:eastAsia="Calibri" w:hAnsi="Palatino Linotype" w:cs="Arial"/>
          <w:b/>
          <w:sz w:val="24"/>
          <w:szCs w:val="24"/>
          <w:lang w:val="es-ES" w:eastAsia="es-ES"/>
        </w:rPr>
        <w:t>SUJETO OBLIGADO,</w:t>
      </w:r>
      <w:r w:rsidRPr="00817725">
        <w:rPr>
          <w:rFonts w:ascii="Palatino Linotype" w:eastAsia="Calibri" w:hAnsi="Palatino Linotype" w:cs="Arial"/>
          <w:sz w:val="24"/>
          <w:szCs w:val="24"/>
          <w:lang w:val="es-ES_tradnl" w:eastAsia="es-ES"/>
        </w:rPr>
        <w:t xml:space="preserve"> vía </w:t>
      </w:r>
      <w:r w:rsidRPr="0081772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817725">
        <w:rPr>
          <w:rFonts w:ascii="Palatino Linotype" w:eastAsia="Times New Roman" w:hAnsi="Palatino Linotype" w:cs="Arial"/>
          <w:b/>
          <w:sz w:val="24"/>
          <w:szCs w:val="24"/>
          <w:lang w:val="es-ES" w:eastAsia="es-ES"/>
        </w:rPr>
        <w:t>00484/SF/IP/2019</w:t>
      </w:r>
      <w:r w:rsidRPr="00817725">
        <w:rPr>
          <w:rFonts w:ascii="Palatino Linotype" w:eastAsia="Calibri" w:hAnsi="Palatino Linotype" w:cs="Arial"/>
          <w:sz w:val="24"/>
          <w:szCs w:val="24"/>
          <w:lang w:val="es-ES" w:eastAsia="es-ES"/>
        </w:rPr>
        <w:t>, mediante la cual se requirió:</w:t>
      </w:r>
    </w:p>
    <w:p w:rsidR="001C5306" w:rsidRPr="00817725" w:rsidRDefault="001C5306" w:rsidP="00817725">
      <w:pPr>
        <w:spacing w:before="240" w:after="240" w:line="360" w:lineRule="auto"/>
        <w:ind w:right="-142"/>
        <w:contextualSpacing/>
        <w:jc w:val="both"/>
        <w:rPr>
          <w:rFonts w:ascii="Palatino Linotype" w:eastAsia="Calibri" w:hAnsi="Palatino Linotype" w:cs="Arial"/>
          <w:sz w:val="24"/>
          <w:szCs w:val="24"/>
          <w:lang w:val="es-ES" w:eastAsia="es-ES"/>
        </w:rPr>
      </w:pPr>
    </w:p>
    <w:p w:rsidR="001C5306" w:rsidRPr="00817725" w:rsidRDefault="001C5306" w:rsidP="00817725">
      <w:pPr>
        <w:spacing w:after="0" w:line="360" w:lineRule="auto"/>
        <w:ind w:left="567" w:right="616"/>
        <w:jc w:val="both"/>
        <w:rPr>
          <w:rFonts w:ascii="Palatino Linotype" w:eastAsia="Times New Roman" w:hAnsi="Palatino Linotype" w:cs="Times New Roman"/>
          <w:i/>
          <w:sz w:val="24"/>
          <w:szCs w:val="24"/>
          <w:lang w:eastAsia="es-MX"/>
        </w:rPr>
      </w:pPr>
      <w:r w:rsidRPr="00817725">
        <w:rPr>
          <w:rFonts w:ascii="Palatino Linotype" w:eastAsia="Times New Roman" w:hAnsi="Palatino Linotype" w:cs="Times New Roman"/>
          <w:i/>
          <w:sz w:val="24"/>
          <w:szCs w:val="24"/>
          <w:lang w:eastAsia="es-MX"/>
        </w:rPr>
        <w:t xml:space="preserve">“Copia del documento donde coste la dirección de cada una de las Casas Estado de México * Copia del documento donde conste el pago de predial y agua de 2010 a 2019 de cada una de las casas * Copia del documento donde conste el presupuesto anual que ha destinado desde 2010 a 2019 a la manutención de cada </w:t>
      </w:r>
      <w:r w:rsidRPr="00817725">
        <w:rPr>
          <w:rFonts w:ascii="Palatino Linotype" w:eastAsia="Times New Roman" w:hAnsi="Palatino Linotype" w:cs="Times New Roman"/>
          <w:i/>
          <w:sz w:val="24"/>
          <w:szCs w:val="24"/>
          <w:lang w:eastAsia="es-MX"/>
        </w:rPr>
        <w:lastRenderedPageBreak/>
        <w:t>una de las Casas Estado de México y el uso que se les da * Copia del documento donde conste el personal del que se ha dispuesto en cada una de las Casas de 2010 a 2019 (número de empleados y cargo) y nómina correspondiente, detallando sueldo y cargo de cada una. * Copia del documento donde conste el número de personas que habitan cada una de las Casas Estado de México, además del mandatario estatal * Copia del documento donde conste el desglose del presupuesto asignado a Casas Estado de México de 2010 a 2019 por partida, gasto o rubro</w:t>
      </w:r>
      <w:r w:rsidRPr="00817725">
        <w:rPr>
          <w:rFonts w:ascii="Palatino Linotype" w:eastAsia="Times New Roman" w:hAnsi="Palatino Linotype" w:cs="Times New Roman"/>
          <w:b/>
          <w:i/>
          <w:sz w:val="24"/>
          <w:szCs w:val="24"/>
          <w:lang w:eastAsia="es-MX"/>
        </w:rPr>
        <w:t>.</w:t>
      </w:r>
      <w:r w:rsidRPr="00817725">
        <w:rPr>
          <w:rFonts w:ascii="Palatino Linotype" w:eastAsia="Times New Roman" w:hAnsi="Palatino Linotype" w:cs="Times New Roman"/>
          <w:i/>
          <w:sz w:val="24"/>
          <w:szCs w:val="24"/>
          <w:lang w:eastAsia="es-MX"/>
        </w:rPr>
        <w:t>”(SIC)</w:t>
      </w:r>
    </w:p>
    <w:p w:rsidR="001C5306" w:rsidRPr="00817725" w:rsidRDefault="001C5306" w:rsidP="00817725">
      <w:pPr>
        <w:spacing w:after="0" w:line="360" w:lineRule="auto"/>
        <w:ind w:right="616"/>
        <w:jc w:val="both"/>
        <w:rPr>
          <w:rFonts w:ascii="Palatino Linotype" w:eastAsia="Times New Roman" w:hAnsi="Palatino Linotype" w:cs="Times New Roman"/>
          <w:i/>
          <w:sz w:val="24"/>
          <w:szCs w:val="24"/>
          <w:lang w:eastAsia="es-MX"/>
        </w:rPr>
      </w:pPr>
    </w:p>
    <w:p w:rsidR="001C5306" w:rsidRPr="00817725" w:rsidRDefault="001C5306" w:rsidP="0081772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17725">
        <w:rPr>
          <w:rFonts w:ascii="Palatino Linotype" w:eastAsia="Times New Roman" w:hAnsi="Palatino Linotype" w:cs="Arial"/>
          <w:sz w:val="24"/>
          <w:szCs w:val="24"/>
          <w:lang w:val="es-ES" w:eastAsia="es-ES"/>
        </w:rPr>
        <w:t>Señaló como modalidad de entrega de la información</w:t>
      </w:r>
      <w:r w:rsidRPr="00817725">
        <w:rPr>
          <w:rFonts w:ascii="Palatino Linotype" w:eastAsia="Times New Roman" w:hAnsi="Palatino Linotype" w:cs="Arial"/>
          <w:b/>
          <w:sz w:val="24"/>
          <w:szCs w:val="24"/>
          <w:lang w:val="es-ES" w:eastAsia="es-ES"/>
        </w:rPr>
        <w:t>:</w:t>
      </w:r>
      <w:r w:rsidRPr="00817725">
        <w:rPr>
          <w:rFonts w:ascii="Palatino Linotype" w:eastAsia="Times New Roman" w:hAnsi="Palatino Linotype" w:cs="Arial"/>
          <w:sz w:val="24"/>
          <w:szCs w:val="24"/>
          <w:lang w:val="es-ES" w:eastAsia="es-ES"/>
        </w:rPr>
        <w:t xml:space="preserve"> a través del </w:t>
      </w:r>
      <w:r w:rsidRPr="00817725">
        <w:rPr>
          <w:rFonts w:ascii="Palatino Linotype" w:eastAsia="Times New Roman" w:hAnsi="Palatino Linotype" w:cs="Arial"/>
          <w:b/>
          <w:sz w:val="24"/>
          <w:szCs w:val="24"/>
          <w:lang w:val="es-ES" w:eastAsia="es-ES"/>
        </w:rPr>
        <w:t>SAIMEX</w:t>
      </w:r>
    </w:p>
    <w:p w:rsidR="001C5306" w:rsidRPr="00817725" w:rsidRDefault="001C5306" w:rsidP="00817725">
      <w:pPr>
        <w:spacing w:after="0" w:line="360" w:lineRule="auto"/>
        <w:contextualSpacing/>
        <w:jc w:val="both"/>
        <w:rPr>
          <w:rFonts w:ascii="Palatino Linotype" w:eastAsiaTheme="minorEastAsia" w:hAnsi="Palatino Linotype" w:cs="Arial"/>
          <w:i/>
          <w:sz w:val="24"/>
          <w:szCs w:val="24"/>
          <w:lang w:val="es-ES_tradnl" w:eastAsia="es-ES"/>
        </w:rPr>
      </w:pPr>
    </w:p>
    <w:p w:rsidR="001C5306" w:rsidRPr="00817725" w:rsidRDefault="001C5306" w:rsidP="00817725">
      <w:pPr>
        <w:numPr>
          <w:ilvl w:val="0"/>
          <w:numId w:val="2"/>
        </w:numPr>
        <w:tabs>
          <w:tab w:val="left" w:pos="0"/>
        </w:tabs>
        <w:spacing w:before="240" w:after="240" w:line="360" w:lineRule="auto"/>
        <w:ind w:left="0" w:right="49" w:firstLine="0"/>
        <w:contextualSpacing/>
        <w:jc w:val="both"/>
        <w:rPr>
          <w:rFonts w:ascii="Palatino Linotype" w:eastAsiaTheme="minorEastAsia" w:hAnsi="Palatino Linotype" w:cs="Arial"/>
          <w:i/>
          <w:sz w:val="24"/>
          <w:szCs w:val="24"/>
          <w:lang w:val="es-ES_tradnl" w:eastAsia="es-ES"/>
        </w:rPr>
      </w:pPr>
      <w:r w:rsidRPr="00817725">
        <w:rPr>
          <w:rFonts w:ascii="Palatino Linotype" w:eastAsiaTheme="minorEastAsia" w:hAnsi="Palatino Linotype" w:cs="Arial"/>
          <w:sz w:val="24"/>
          <w:szCs w:val="24"/>
          <w:lang w:val="es-ES_tradnl" w:eastAsia="es-ES"/>
        </w:rPr>
        <w:t xml:space="preserve">El día </w:t>
      </w:r>
      <w:r w:rsidRPr="00817725">
        <w:rPr>
          <w:rFonts w:ascii="Palatino Linotype" w:eastAsiaTheme="minorEastAsia" w:hAnsi="Palatino Linotype" w:cs="Arial"/>
          <w:b/>
          <w:sz w:val="24"/>
          <w:szCs w:val="24"/>
          <w:lang w:val="es-ES_tradnl" w:eastAsia="es-ES"/>
        </w:rPr>
        <w:t xml:space="preserve">cinco (05) de julio </w:t>
      </w:r>
      <w:r w:rsidRPr="00817725">
        <w:rPr>
          <w:rFonts w:ascii="Palatino Linotype" w:eastAsiaTheme="minorEastAsia" w:hAnsi="Palatino Linotype" w:cs="Arial"/>
          <w:sz w:val="24"/>
          <w:szCs w:val="24"/>
          <w:lang w:val="es-ES_tradnl" w:eastAsia="es-ES"/>
        </w:rPr>
        <w:t xml:space="preserve">de dos mil diecinueve el </w:t>
      </w:r>
      <w:r w:rsidRPr="00817725">
        <w:rPr>
          <w:rFonts w:ascii="Palatino Linotype" w:eastAsiaTheme="minorEastAsia" w:hAnsi="Palatino Linotype" w:cs="Arial"/>
          <w:b/>
          <w:sz w:val="24"/>
          <w:szCs w:val="24"/>
          <w:lang w:val="es-ES_tradnl" w:eastAsia="es-ES"/>
        </w:rPr>
        <w:t xml:space="preserve">SUJETO OBLIGADO </w:t>
      </w:r>
      <w:r w:rsidRPr="00817725">
        <w:rPr>
          <w:rFonts w:ascii="Palatino Linotype" w:eastAsiaTheme="minorEastAsia" w:hAnsi="Palatino Linotype" w:cs="Arial"/>
          <w:sz w:val="24"/>
          <w:szCs w:val="24"/>
          <w:lang w:val="es-ES_tradnl" w:eastAsia="es-ES"/>
        </w:rPr>
        <w:t>emitió su respectiva respuesta a la solicitud de información presentada por el particular</w:t>
      </w:r>
      <w:r w:rsidRPr="00817725">
        <w:rPr>
          <w:rFonts w:ascii="Palatino Linotype" w:eastAsiaTheme="minorEastAsia" w:hAnsi="Palatino Linotype" w:cs="Arial"/>
          <w:b/>
          <w:sz w:val="24"/>
          <w:szCs w:val="24"/>
          <w:lang w:val="es-ES_tradnl" w:eastAsia="es-ES"/>
        </w:rPr>
        <w:t xml:space="preserve">, </w:t>
      </w:r>
      <w:r w:rsidRPr="00817725">
        <w:rPr>
          <w:rFonts w:ascii="Palatino Linotype" w:eastAsiaTheme="minorEastAsia" w:hAnsi="Palatino Linotype" w:cs="Arial"/>
          <w:sz w:val="24"/>
          <w:szCs w:val="24"/>
          <w:lang w:val="es-ES_tradnl" w:eastAsia="es-ES"/>
        </w:rPr>
        <w:t>para lo cual</w:t>
      </w:r>
      <w:r w:rsidR="00D2149E" w:rsidRPr="00817725">
        <w:rPr>
          <w:rFonts w:ascii="Palatino Linotype" w:eastAsiaTheme="minorEastAsia" w:hAnsi="Palatino Linotype" w:cs="Arial"/>
          <w:sz w:val="24"/>
          <w:szCs w:val="24"/>
          <w:lang w:val="es-ES_tradnl" w:eastAsia="es-ES"/>
        </w:rPr>
        <w:t xml:space="preserve"> adjuntó los</w:t>
      </w:r>
      <w:r w:rsidRPr="00817725">
        <w:rPr>
          <w:rFonts w:ascii="Palatino Linotype" w:eastAsiaTheme="minorEastAsia" w:hAnsi="Palatino Linotype" w:cs="Arial"/>
          <w:sz w:val="24"/>
          <w:szCs w:val="24"/>
          <w:lang w:val="es-ES_tradnl" w:eastAsia="es-ES"/>
        </w:rPr>
        <w:t xml:space="preserve"> archivo</w:t>
      </w:r>
      <w:r w:rsidR="00D2149E" w:rsidRPr="00817725">
        <w:rPr>
          <w:rFonts w:ascii="Palatino Linotype" w:eastAsiaTheme="minorEastAsia" w:hAnsi="Palatino Linotype" w:cs="Arial"/>
          <w:sz w:val="24"/>
          <w:szCs w:val="24"/>
          <w:lang w:val="es-ES_tradnl" w:eastAsia="es-ES"/>
        </w:rPr>
        <w:t>s</w:t>
      </w:r>
      <w:r w:rsidRPr="00817725">
        <w:rPr>
          <w:rFonts w:ascii="Palatino Linotype" w:eastAsiaTheme="minorEastAsia" w:hAnsi="Palatino Linotype" w:cs="Arial"/>
          <w:sz w:val="24"/>
          <w:szCs w:val="24"/>
          <w:lang w:val="es-ES_tradnl" w:eastAsia="es-ES"/>
        </w:rPr>
        <w:t xml:space="preserve"> electrónico</w:t>
      </w:r>
      <w:r w:rsidR="00D2149E" w:rsidRPr="00817725">
        <w:rPr>
          <w:rFonts w:ascii="Palatino Linotype" w:eastAsiaTheme="minorEastAsia" w:hAnsi="Palatino Linotype" w:cs="Arial"/>
          <w:sz w:val="24"/>
          <w:szCs w:val="24"/>
          <w:lang w:val="es-ES_tradnl" w:eastAsia="es-ES"/>
        </w:rPr>
        <w:t>s</w:t>
      </w:r>
      <w:r w:rsidRPr="00817725">
        <w:rPr>
          <w:rFonts w:ascii="Palatino Linotype" w:eastAsiaTheme="minorEastAsia" w:hAnsi="Palatino Linotype" w:cs="Arial"/>
          <w:sz w:val="24"/>
          <w:szCs w:val="24"/>
          <w:lang w:val="es-ES_tradnl" w:eastAsia="es-ES"/>
        </w:rPr>
        <w:t xml:space="preserve"> identificado</w:t>
      </w:r>
      <w:r w:rsidR="00D2149E" w:rsidRPr="00817725">
        <w:rPr>
          <w:rFonts w:ascii="Palatino Linotype" w:eastAsiaTheme="minorEastAsia" w:hAnsi="Palatino Linotype" w:cs="Arial"/>
          <w:sz w:val="24"/>
          <w:szCs w:val="24"/>
          <w:lang w:val="es-ES_tradnl" w:eastAsia="es-ES"/>
        </w:rPr>
        <w:t>s</w:t>
      </w:r>
      <w:r w:rsidRPr="00817725">
        <w:rPr>
          <w:rFonts w:ascii="Palatino Linotype" w:eastAsiaTheme="minorEastAsia" w:hAnsi="Palatino Linotype" w:cs="Arial"/>
          <w:sz w:val="24"/>
          <w:szCs w:val="24"/>
          <w:lang w:val="es-ES_tradnl" w:eastAsia="es-ES"/>
        </w:rPr>
        <w:t xml:space="preserve"> como</w:t>
      </w:r>
      <w:r w:rsidR="00D2149E" w:rsidRPr="00817725">
        <w:rPr>
          <w:rFonts w:ascii="Palatino Linotype" w:eastAsiaTheme="minorEastAsia" w:hAnsi="Palatino Linotype" w:cs="Arial"/>
          <w:sz w:val="24"/>
          <w:szCs w:val="24"/>
          <w:lang w:val="es-ES_tradnl" w:eastAsia="es-ES"/>
        </w:rPr>
        <w:t xml:space="preserve"> </w:t>
      </w:r>
      <w:r w:rsidR="00AD35D4" w:rsidRPr="00817725">
        <w:rPr>
          <w:rFonts w:ascii="Palatino Linotype" w:eastAsiaTheme="minorEastAsia" w:hAnsi="Palatino Linotype" w:cs="Arial"/>
          <w:b/>
          <w:sz w:val="24"/>
          <w:szCs w:val="24"/>
          <w:lang w:val="es-ES_tradnl" w:eastAsia="es-ES"/>
        </w:rPr>
        <w:t>484 UAAG.pdf; UIPPE 484.pdf y CT-2019-0128.pdf</w:t>
      </w:r>
      <w:r w:rsidR="00182F9C" w:rsidRPr="00817725">
        <w:rPr>
          <w:rFonts w:ascii="Palatino Linotype" w:eastAsiaTheme="minorEastAsia" w:hAnsi="Palatino Linotype" w:cs="Arial"/>
          <w:b/>
          <w:sz w:val="24"/>
          <w:szCs w:val="24"/>
          <w:lang w:val="es-ES_tradnl" w:eastAsia="es-ES"/>
        </w:rPr>
        <w:t xml:space="preserve">, </w:t>
      </w:r>
      <w:r w:rsidR="00D2149E" w:rsidRPr="00817725">
        <w:rPr>
          <w:rFonts w:ascii="Palatino Linotype" w:eastAsiaTheme="minorEastAsia" w:hAnsi="Palatino Linotype" w:cs="Arial"/>
          <w:sz w:val="24"/>
          <w:szCs w:val="24"/>
          <w:lang w:val="es-ES_tradnl" w:eastAsia="es-ES"/>
        </w:rPr>
        <w:t xml:space="preserve">mismo que refieren </w:t>
      </w:r>
      <w:r w:rsidRPr="00817725">
        <w:rPr>
          <w:rFonts w:ascii="Palatino Linotype" w:eastAsiaTheme="minorEastAsia" w:hAnsi="Palatino Linotype" w:cs="Arial"/>
          <w:i/>
          <w:sz w:val="24"/>
          <w:szCs w:val="24"/>
          <w:lang w:val="es-ES_tradnl" w:eastAsia="es-ES"/>
        </w:rPr>
        <w:t>“…</w:t>
      </w:r>
      <w:r w:rsidR="00AD35D4" w:rsidRPr="00817725">
        <w:rPr>
          <w:rFonts w:ascii="Palatino Linotype" w:eastAsiaTheme="minorEastAsia" w:hAnsi="Palatino Linotype" w:cs="Arial"/>
          <w:i/>
          <w:sz w:val="24"/>
          <w:szCs w:val="24"/>
          <w:lang w:eastAsia="es-ES"/>
        </w:rPr>
        <w:t xml:space="preserve">Sobre el particular, sírvase encontrar en archivo adjunto copia del oficio de notificación </w:t>
      </w:r>
      <w:r w:rsidR="00AD35D4" w:rsidRPr="00817725">
        <w:rPr>
          <w:rFonts w:ascii="Palatino Linotype" w:eastAsiaTheme="minorEastAsia" w:hAnsi="Palatino Linotype" w:cs="Arial"/>
          <w:i/>
          <w:sz w:val="24"/>
          <w:szCs w:val="24"/>
          <w:u w:val="single"/>
          <w:lang w:eastAsia="es-ES"/>
        </w:rPr>
        <w:t>número 20700004S/UT-1589/2019 mediante el cual se detalla lo referente a su solicitud</w:t>
      </w:r>
      <w:r w:rsidR="00AD35D4" w:rsidRPr="00817725">
        <w:rPr>
          <w:rFonts w:ascii="Palatino Linotype" w:eastAsiaTheme="minorEastAsia" w:hAnsi="Palatino Linotype" w:cs="Arial"/>
          <w:i/>
          <w:sz w:val="24"/>
          <w:szCs w:val="24"/>
          <w:lang w:eastAsia="es-ES"/>
        </w:rPr>
        <w:t xml:space="preserve">. Asimismo, se hace de su conocimiento que el </w:t>
      </w:r>
      <w:r w:rsidR="00AD35D4" w:rsidRPr="00817725">
        <w:rPr>
          <w:rFonts w:ascii="Palatino Linotype" w:eastAsiaTheme="minorEastAsia" w:hAnsi="Palatino Linotype" w:cs="Arial"/>
          <w:i/>
          <w:sz w:val="24"/>
          <w:szCs w:val="24"/>
          <w:u w:val="single"/>
          <w:lang w:eastAsia="es-ES"/>
        </w:rPr>
        <w:t xml:space="preserve">Comité de Transparencia mediante Acuerdo CT-2019-0128 ha tenido a bien confirmar la clasificación como información confidencial </w:t>
      </w:r>
      <w:r w:rsidR="00AD35D4" w:rsidRPr="00817725">
        <w:rPr>
          <w:rFonts w:ascii="Palatino Linotype" w:eastAsiaTheme="minorEastAsia" w:hAnsi="Palatino Linotype" w:cs="Arial"/>
          <w:i/>
          <w:sz w:val="24"/>
          <w:szCs w:val="24"/>
          <w:lang w:eastAsia="es-ES"/>
        </w:rPr>
        <w:t xml:space="preserve">de los datos personales consistentes en: números telefónicos particulares, domicilios particulares, correos electrónicos personales, firmas, Clave Única de Registro de Población, número de Credencial para Votar, Registro Federal de Contribuyentes, números de cuentas bancarias y códigos QR (Quick Response), así como las fotografías, que obran en los documentos que integran los expedientes en los que obra la información relativa a la ubicación, el presupuesto anual asignado, su desglose por partida y rubro, pagos de predial y agua; </w:t>
      </w:r>
      <w:r w:rsidR="00AD35D4" w:rsidRPr="00817725">
        <w:rPr>
          <w:rFonts w:ascii="Palatino Linotype" w:eastAsiaTheme="minorEastAsia" w:hAnsi="Palatino Linotype" w:cs="Arial"/>
          <w:i/>
          <w:sz w:val="24"/>
          <w:szCs w:val="24"/>
          <w:u w:val="single"/>
          <w:lang w:eastAsia="es-ES"/>
        </w:rPr>
        <w:t>así como el personal adscrito a cada una de las casas Estado de México, durante el periodo del 2010 al 2019</w:t>
      </w:r>
      <w:r w:rsidR="00AD35D4" w:rsidRPr="00817725">
        <w:rPr>
          <w:rFonts w:ascii="Palatino Linotype" w:eastAsiaTheme="minorEastAsia" w:hAnsi="Palatino Linotype" w:cs="Arial"/>
          <w:i/>
          <w:sz w:val="24"/>
          <w:szCs w:val="24"/>
          <w:lang w:eastAsia="es-ES"/>
        </w:rPr>
        <w:t>.”</w:t>
      </w:r>
    </w:p>
    <w:p w:rsidR="00182F9C" w:rsidRPr="00817725" w:rsidRDefault="00182F9C" w:rsidP="00817725">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1C5306" w:rsidRPr="00817725" w:rsidRDefault="001C5306" w:rsidP="0081772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817725">
        <w:rPr>
          <w:rFonts w:ascii="Palatino Linotype" w:eastAsia="Calibri" w:hAnsi="Palatino Linotype" w:cs="Arial"/>
          <w:sz w:val="24"/>
          <w:szCs w:val="24"/>
          <w:lang w:val="es-AR" w:eastAsia="es-ES"/>
        </w:rPr>
        <w:t>El</w:t>
      </w:r>
      <w:r w:rsidRPr="00817725">
        <w:rPr>
          <w:rFonts w:ascii="Palatino Linotype" w:eastAsia="Times New Roman" w:hAnsi="Palatino Linotype" w:cs="Arial"/>
          <w:sz w:val="24"/>
          <w:szCs w:val="24"/>
          <w:lang w:val="es-ES" w:eastAsia="es-ES"/>
        </w:rPr>
        <w:t xml:space="preserve"> día </w:t>
      </w:r>
      <w:r w:rsidR="00182F9C" w:rsidRPr="00817725">
        <w:rPr>
          <w:rFonts w:ascii="Palatino Linotype" w:eastAsia="Times New Roman" w:hAnsi="Palatino Linotype" w:cs="Arial"/>
          <w:b/>
          <w:sz w:val="24"/>
          <w:szCs w:val="24"/>
          <w:lang w:val="es-ES" w:eastAsia="es-ES"/>
        </w:rPr>
        <w:t>veintinueve (29) de julio</w:t>
      </w:r>
      <w:r w:rsidRPr="00817725">
        <w:rPr>
          <w:rFonts w:ascii="Palatino Linotype" w:eastAsia="Times New Roman" w:hAnsi="Palatino Linotype" w:cs="Arial"/>
          <w:b/>
          <w:sz w:val="24"/>
          <w:szCs w:val="24"/>
          <w:lang w:val="es-ES" w:eastAsia="es-ES"/>
        </w:rPr>
        <w:t xml:space="preserve"> </w:t>
      </w:r>
      <w:r w:rsidRPr="00817725">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2" w:name="_Toc462307683"/>
      <w:bookmarkStart w:id="3" w:name="_Toc472427085"/>
      <w:bookmarkStart w:id="4" w:name="_Toc472500652"/>
    </w:p>
    <w:p w:rsidR="001C5306" w:rsidRPr="00817725" w:rsidRDefault="001C5306" w:rsidP="00817725">
      <w:pPr>
        <w:spacing w:before="240" w:after="240" w:line="360" w:lineRule="auto"/>
        <w:contextualSpacing/>
        <w:jc w:val="both"/>
        <w:rPr>
          <w:rFonts w:ascii="Palatino Linotype" w:eastAsiaTheme="minorEastAsia" w:hAnsi="Palatino Linotype" w:cs="Arial"/>
          <w:i/>
          <w:sz w:val="24"/>
          <w:szCs w:val="24"/>
          <w:lang w:val="es-ES_tradnl" w:eastAsia="es-ES"/>
        </w:rPr>
      </w:pPr>
    </w:p>
    <w:p w:rsidR="001C5306" w:rsidRPr="00817725" w:rsidRDefault="001C5306" w:rsidP="0081772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817725">
        <w:rPr>
          <w:rFonts w:ascii="Palatino Linotype" w:eastAsiaTheme="majorEastAsia" w:hAnsi="Palatino Linotype" w:cstheme="majorBidi"/>
          <w:b/>
          <w:sz w:val="24"/>
          <w:szCs w:val="24"/>
          <w:lang w:val="es-ES" w:eastAsia="es-ES"/>
        </w:rPr>
        <w:t>Acto impugnado</w:t>
      </w:r>
      <w:r w:rsidRPr="00817725">
        <w:rPr>
          <w:rFonts w:ascii="Palatino Linotype" w:eastAsiaTheme="majorEastAsia" w:hAnsi="Palatino Linotype" w:cstheme="majorBidi"/>
          <w:b/>
          <w:i/>
          <w:sz w:val="24"/>
          <w:szCs w:val="24"/>
          <w:lang w:val="es-ES" w:eastAsia="es-ES"/>
        </w:rPr>
        <w:t>:</w:t>
      </w:r>
      <w:bookmarkEnd w:id="2"/>
      <w:bookmarkEnd w:id="3"/>
      <w:bookmarkEnd w:id="4"/>
      <w:r w:rsidRPr="0081772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1C5306" w:rsidRPr="00817725" w:rsidRDefault="001C5306" w:rsidP="00817725">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1C5306" w:rsidRPr="00817725" w:rsidRDefault="001C5306" w:rsidP="0081772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817725">
        <w:rPr>
          <w:rFonts w:ascii="Palatino Linotype" w:eastAsiaTheme="majorEastAsia" w:hAnsi="Palatino Linotype" w:cstheme="majorBidi"/>
          <w:i/>
          <w:sz w:val="24"/>
          <w:szCs w:val="24"/>
          <w:lang w:val="es-ES" w:eastAsia="es-ES"/>
        </w:rPr>
        <w:t>“</w:t>
      </w:r>
      <w:r w:rsidR="00182F9C" w:rsidRPr="00817725">
        <w:rPr>
          <w:rFonts w:ascii="Palatino Linotype" w:eastAsiaTheme="majorEastAsia" w:hAnsi="Palatino Linotype" w:cstheme="majorBidi"/>
          <w:i/>
          <w:sz w:val="24"/>
          <w:szCs w:val="24"/>
          <w:lang w:eastAsia="es-ES"/>
        </w:rPr>
        <w:t>En la respuesta contenida en la petición 00484/SF/IP/2019 relativa a Copia del documento donde conste el pago de predial y agua de 2010 a 2019 de cada una de las casas * Copia del documento donde conste el presupuesto anual que ha destinado desde 2010 a 2019 a la manutención de cada una de las Casas Estado de México y el uso que se les da Copia del documento donde conste el desglose del presupuesto asignado a Casas Estado de México de 2010 a 2019 por partida, gasto o rubro</w:t>
      </w:r>
      <w:r w:rsidRPr="00817725">
        <w:rPr>
          <w:rFonts w:ascii="Palatino Linotype" w:eastAsia="Times New Roman" w:hAnsi="Palatino Linotype" w:cs="Times New Roman"/>
          <w:i/>
          <w:sz w:val="24"/>
          <w:szCs w:val="24"/>
          <w:lang w:eastAsia="es-MX"/>
        </w:rPr>
        <w:t>.</w:t>
      </w:r>
      <w:r w:rsidRPr="00817725">
        <w:rPr>
          <w:rFonts w:ascii="Palatino Linotype" w:eastAsiaTheme="majorEastAsia" w:hAnsi="Palatino Linotype" w:cstheme="majorBidi"/>
          <w:i/>
          <w:sz w:val="24"/>
          <w:szCs w:val="24"/>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17725">
        <w:rPr>
          <w:rFonts w:ascii="Palatino Linotype" w:eastAsia="Calibri" w:hAnsi="Palatino Linotype" w:cs="Arial"/>
          <w:i/>
          <w:sz w:val="24"/>
          <w:szCs w:val="24"/>
          <w:lang w:val="es-ES" w:eastAsia="es-ES"/>
        </w:rPr>
        <w:t xml:space="preserve">; </w:t>
      </w:r>
      <w:r w:rsidRPr="00817725">
        <w:rPr>
          <w:rFonts w:ascii="Palatino Linotype" w:eastAsia="Calibri" w:hAnsi="Palatino Linotype" w:cs="Arial"/>
          <w:b/>
          <w:sz w:val="24"/>
          <w:szCs w:val="24"/>
          <w:lang w:val="es-ES" w:eastAsia="es-ES"/>
        </w:rPr>
        <w:t>y como</w:t>
      </w:r>
      <w:r w:rsidRPr="00817725">
        <w:rPr>
          <w:rFonts w:ascii="Palatino Linotype" w:eastAsia="Calibri" w:hAnsi="Palatino Linotype" w:cs="Arial"/>
          <w:sz w:val="24"/>
          <w:szCs w:val="24"/>
          <w:lang w:val="es-ES" w:eastAsia="es-ES"/>
        </w:rPr>
        <w:t xml:space="preserve"> </w:t>
      </w:r>
    </w:p>
    <w:p w:rsidR="001C5306" w:rsidRPr="00817725" w:rsidRDefault="001C5306" w:rsidP="00817725">
      <w:pPr>
        <w:spacing w:after="0" w:line="360" w:lineRule="auto"/>
        <w:ind w:right="-142"/>
        <w:contextualSpacing/>
        <w:jc w:val="both"/>
        <w:rPr>
          <w:rFonts w:ascii="Palatino Linotype" w:eastAsiaTheme="minorEastAsia" w:hAnsi="Palatino Linotype" w:cs="Arial"/>
          <w:i/>
          <w:sz w:val="24"/>
          <w:szCs w:val="24"/>
          <w:lang w:val="es-ES_tradnl" w:eastAsia="es-ES"/>
        </w:rPr>
      </w:pPr>
    </w:p>
    <w:p w:rsidR="001C5306" w:rsidRPr="00817725" w:rsidRDefault="001C5306" w:rsidP="0081772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817725">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817725">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1C5306" w:rsidRPr="00817725" w:rsidRDefault="001C5306" w:rsidP="00817725">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1C5306" w:rsidRPr="00817725" w:rsidRDefault="001C5306" w:rsidP="0081772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817725">
        <w:rPr>
          <w:rFonts w:ascii="Palatino Linotype" w:eastAsiaTheme="minorEastAsia" w:hAnsi="Palatino Linotype"/>
          <w:i/>
          <w:sz w:val="24"/>
          <w:szCs w:val="24"/>
          <w:lang w:val="es-ES_tradnl" w:eastAsia="es-ES"/>
        </w:rPr>
        <w:t>“</w:t>
      </w:r>
      <w:r w:rsidR="00366F4C" w:rsidRPr="00817725">
        <w:rPr>
          <w:rFonts w:ascii="Palatino Linotype" w:eastAsiaTheme="minorEastAsia" w:hAnsi="Palatino Linotype"/>
          <w:i/>
          <w:sz w:val="24"/>
          <w:szCs w:val="24"/>
          <w:lang w:eastAsia="es-ES"/>
        </w:rPr>
        <w:t>En relación a la siguiente petición: Copia del documento donde conste el pago de predial y agua de 2010 a 2019 de cada una de las casas * Copia del documento donde conste el presupuesto anual que ha destinado desde 2010 a 2019 a la manutención de cada una de las Casas Estado de México y el uso que se les da Copia del documento donde conste el desglose del presupuesto asignado a Casas Estado de México de 2010 a 2019 por partida, gasto o rubro. Se argumenta que son datos personales y confidenciales en el caso de los recibos de pago predial y en el caso de los presupuestos se argumenta que se tienen en cajas</w:t>
      </w:r>
      <w:r w:rsidRPr="00817725">
        <w:rPr>
          <w:rFonts w:ascii="Palatino Linotype" w:eastAsiaTheme="minorEastAsia" w:hAnsi="Palatino Linotype"/>
          <w:i/>
          <w:sz w:val="24"/>
          <w:szCs w:val="24"/>
          <w:lang w:eastAsia="es-ES"/>
        </w:rPr>
        <w:t>.</w:t>
      </w:r>
      <w:r w:rsidRPr="00817725">
        <w:rPr>
          <w:rFonts w:ascii="Palatino Linotype" w:eastAsiaTheme="minorEastAsia" w:hAnsi="Palatino Linotype"/>
          <w:i/>
          <w:sz w:val="24"/>
          <w:szCs w:val="24"/>
          <w:lang w:val="es-ES_tradnl" w:eastAsia="es-ES"/>
        </w:rPr>
        <w:t xml:space="preserve">” </w:t>
      </w:r>
      <w:r w:rsidRPr="00817725">
        <w:rPr>
          <w:rFonts w:ascii="Palatino Linotype" w:eastAsiaTheme="minorEastAsia" w:hAnsi="Palatino Linotype" w:cs="Arial"/>
          <w:i/>
          <w:sz w:val="24"/>
          <w:szCs w:val="24"/>
          <w:lang w:val="es-ES_tradnl" w:eastAsia="es-ES"/>
        </w:rPr>
        <w:t>(Sic)</w:t>
      </w:r>
    </w:p>
    <w:p w:rsidR="001C5306" w:rsidRPr="00817725" w:rsidRDefault="001C5306" w:rsidP="00817725">
      <w:pPr>
        <w:spacing w:after="0" w:line="360" w:lineRule="auto"/>
        <w:ind w:right="-142"/>
        <w:contextualSpacing/>
        <w:jc w:val="both"/>
        <w:rPr>
          <w:rFonts w:ascii="Palatino Linotype" w:eastAsiaTheme="minorEastAsia" w:hAnsi="Palatino Linotype" w:cs="Arial"/>
          <w:sz w:val="24"/>
          <w:szCs w:val="24"/>
          <w:lang w:val="es-ES_tradnl" w:eastAsia="es-ES"/>
        </w:rPr>
      </w:pPr>
    </w:p>
    <w:p w:rsidR="001C5306" w:rsidRPr="00817725" w:rsidRDefault="001C5306" w:rsidP="00817725">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817725">
        <w:rPr>
          <w:rFonts w:ascii="Palatino Linotype" w:eastAsia="Times New Roman" w:hAnsi="Palatino Linotype" w:cs="Arial"/>
          <w:sz w:val="24"/>
          <w:szCs w:val="24"/>
          <w:lang w:val="es-ES" w:eastAsia="es-ES"/>
        </w:rPr>
        <w:t xml:space="preserve">Se registró el recurso de revisión bajo el número de expediente </w:t>
      </w:r>
      <w:r w:rsidRPr="00817725">
        <w:rPr>
          <w:rFonts w:ascii="Palatino Linotype" w:eastAsiaTheme="minorEastAsia" w:hAnsi="Palatino Linotype" w:cs="Arial"/>
          <w:bCs/>
          <w:sz w:val="24"/>
          <w:szCs w:val="24"/>
          <w:lang w:val="es-ES_tradnl" w:eastAsia="es-ES"/>
        </w:rPr>
        <w:t xml:space="preserve">al rubro indicado, asimismo con fundamento en lo dispuesto por el </w:t>
      </w:r>
      <w:r w:rsidRPr="00817725">
        <w:rPr>
          <w:rFonts w:ascii="Palatino Linotype" w:eastAsia="Calibri" w:hAnsi="Palatino Linotype" w:cs="Arial"/>
          <w:sz w:val="24"/>
          <w:szCs w:val="24"/>
          <w:lang w:val="es-ES" w:eastAsia="es-ES"/>
        </w:rPr>
        <w:t xml:space="preserve">artículo 185 fracción I de la </w:t>
      </w:r>
      <w:r w:rsidRPr="0081772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17725">
        <w:rPr>
          <w:rFonts w:ascii="Palatino Linotype" w:eastAsia="Times New Roman" w:hAnsi="Palatino Linotype" w:cs="Arial"/>
          <w:sz w:val="24"/>
          <w:szCs w:val="24"/>
          <w:lang w:val="es-ES" w:eastAsia="es-ES"/>
        </w:rPr>
        <w:t xml:space="preserve">se turnó al </w:t>
      </w:r>
      <w:r w:rsidRPr="00817725">
        <w:rPr>
          <w:rFonts w:ascii="Palatino Linotype" w:eastAsia="Times New Roman" w:hAnsi="Palatino Linotype" w:cs="Arial"/>
          <w:b/>
          <w:sz w:val="24"/>
          <w:szCs w:val="24"/>
          <w:lang w:val="es-ES" w:eastAsia="es-ES"/>
        </w:rPr>
        <w:t xml:space="preserve">Comisionado José Guadalupe Luna Hernández, </w:t>
      </w:r>
      <w:r w:rsidRPr="00817725">
        <w:rPr>
          <w:rFonts w:ascii="Palatino Linotype" w:eastAsia="Times New Roman" w:hAnsi="Palatino Linotype" w:cs="Arial"/>
          <w:sz w:val="24"/>
          <w:szCs w:val="24"/>
          <w:lang w:val="es-ES" w:eastAsia="es-ES"/>
        </w:rPr>
        <w:t xml:space="preserve">con el objeto de </w:t>
      </w:r>
      <w:r w:rsidRPr="00817725">
        <w:rPr>
          <w:rFonts w:ascii="Palatino Linotype" w:eastAsia="Times New Roman" w:hAnsi="Palatino Linotype" w:cs="Arial"/>
          <w:sz w:val="24"/>
          <w:szCs w:val="24"/>
          <w:lang w:eastAsia="es-ES"/>
        </w:rPr>
        <w:t>su análisis.</w:t>
      </w:r>
    </w:p>
    <w:p w:rsidR="001C5306" w:rsidRPr="00817725" w:rsidRDefault="001C5306" w:rsidP="00817725">
      <w:pPr>
        <w:spacing w:after="0" w:line="360" w:lineRule="auto"/>
        <w:ind w:right="-142"/>
        <w:contextualSpacing/>
        <w:rPr>
          <w:rFonts w:ascii="Palatino Linotype" w:eastAsiaTheme="minorEastAsia" w:hAnsi="Palatino Linotype"/>
          <w:i/>
          <w:color w:val="000000"/>
          <w:sz w:val="24"/>
          <w:szCs w:val="24"/>
          <w:lang w:val="es-ES_tradnl" w:eastAsia="es-ES"/>
        </w:rPr>
      </w:pPr>
    </w:p>
    <w:p w:rsidR="001C5306" w:rsidRPr="00817725" w:rsidRDefault="001C5306" w:rsidP="00817725">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81772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994810" w:rsidRPr="00817725">
        <w:rPr>
          <w:rFonts w:ascii="Palatino Linotype" w:eastAsia="Calibri" w:hAnsi="Palatino Linotype" w:cs="Arial"/>
          <w:b/>
          <w:sz w:val="24"/>
          <w:szCs w:val="24"/>
          <w:lang w:val="es-ES" w:eastAsia="es-ES"/>
        </w:rPr>
        <w:t>dos (02) de agosto</w:t>
      </w:r>
      <w:r w:rsidRPr="00817725">
        <w:rPr>
          <w:rFonts w:ascii="Palatino Linotype" w:eastAsia="Calibri" w:hAnsi="Palatino Linotype" w:cs="Arial"/>
          <w:sz w:val="24"/>
          <w:szCs w:val="24"/>
          <w:lang w:val="es-ES" w:eastAsia="es-ES"/>
        </w:rPr>
        <w:t xml:space="preserve"> de dos mil diecinueve, puso a disposición de las partes el expediente electrónico </w:t>
      </w:r>
      <w:r w:rsidRPr="00817725">
        <w:rPr>
          <w:rFonts w:ascii="Palatino Linotype" w:eastAsia="Calibri" w:hAnsi="Palatino Linotype" w:cs="Arial"/>
          <w:sz w:val="24"/>
          <w:szCs w:val="24"/>
          <w:lang w:val="es-ES_tradnl" w:eastAsia="es-ES"/>
        </w:rPr>
        <w:t xml:space="preserve">vía </w:t>
      </w:r>
      <w:r w:rsidRPr="00817725">
        <w:rPr>
          <w:rFonts w:ascii="Palatino Linotype" w:eastAsia="Calibri" w:hAnsi="Palatino Linotype" w:cs="Arial"/>
          <w:sz w:val="24"/>
          <w:szCs w:val="24"/>
          <w:lang w:val="es-ES" w:eastAsia="es-ES"/>
        </w:rPr>
        <w:t xml:space="preserve">Sistema de Acceso a la Información Mexiquense </w:t>
      </w:r>
      <w:r w:rsidRPr="00817725">
        <w:rPr>
          <w:rFonts w:ascii="Palatino Linotype" w:eastAsia="Calibri" w:hAnsi="Palatino Linotype" w:cs="Arial"/>
          <w:b/>
          <w:sz w:val="24"/>
          <w:szCs w:val="24"/>
          <w:lang w:val="es-ES" w:eastAsia="es-ES"/>
        </w:rPr>
        <w:t xml:space="preserve">SAIMEX </w:t>
      </w:r>
      <w:r w:rsidRPr="0081772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17725">
        <w:rPr>
          <w:rFonts w:ascii="Palatino Linotype" w:eastAsia="Calibri" w:hAnsi="Palatino Linotype" w:cs="Arial"/>
          <w:b/>
          <w:sz w:val="24"/>
          <w:szCs w:val="24"/>
          <w:lang w:val="es-ES" w:eastAsia="es-ES"/>
        </w:rPr>
        <w:t>SUJETO OBLIGADO</w:t>
      </w:r>
      <w:r w:rsidRPr="00817725">
        <w:rPr>
          <w:rFonts w:ascii="Palatino Linotype" w:eastAsia="Calibri" w:hAnsi="Palatino Linotype" w:cs="Arial"/>
          <w:sz w:val="24"/>
          <w:szCs w:val="24"/>
          <w:lang w:val="es-ES" w:eastAsia="es-ES"/>
        </w:rPr>
        <w:t xml:space="preserve"> presentará el Informe Justificado procedente.  </w:t>
      </w:r>
    </w:p>
    <w:p w:rsidR="001C5306" w:rsidRPr="00817725" w:rsidRDefault="001C5306" w:rsidP="00817725">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994810" w:rsidRPr="00817725" w:rsidRDefault="001C5306" w:rsidP="00817725">
      <w:pPr>
        <w:numPr>
          <w:ilvl w:val="0"/>
          <w:numId w:val="2"/>
        </w:numPr>
        <w:spacing w:before="240" w:after="240" w:line="360" w:lineRule="auto"/>
        <w:ind w:left="0" w:right="-142" w:firstLine="0"/>
        <w:contextualSpacing/>
        <w:jc w:val="both"/>
        <w:rPr>
          <w:rFonts w:ascii="Palatino Linotype" w:eastAsiaTheme="minorEastAsia" w:hAnsi="Palatino Linotype"/>
          <w:b/>
          <w:i/>
          <w:color w:val="000000"/>
          <w:sz w:val="24"/>
          <w:szCs w:val="24"/>
          <w:lang w:val="es-ES_tradnl" w:eastAsia="es-ES"/>
        </w:rPr>
      </w:pPr>
      <w:r w:rsidRPr="00817725">
        <w:rPr>
          <w:rFonts w:ascii="Palatino Linotype" w:eastAsiaTheme="minorEastAsia" w:hAnsi="Palatino Linotype"/>
          <w:color w:val="000000"/>
          <w:sz w:val="24"/>
          <w:szCs w:val="24"/>
          <w:lang w:val="es-ES_tradnl" w:eastAsia="es-ES"/>
        </w:rPr>
        <w:t xml:space="preserve">El día </w:t>
      </w:r>
      <w:r w:rsidR="00994810" w:rsidRPr="00817725">
        <w:rPr>
          <w:rFonts w:ascii="Palatino Linotype" w:eastAsiaTheme="minorEastAsia" w:hAnsi="Palatino Linotype"/>
          <w:b/>
          <w:color w:val="000000"/>
          <w:sz w:val="24"/>
          <w:szCs w:val="24"/>
          <w:lang w:val="es-ES_tradnl" w:eastAsia="es-ES"/>
        </w:rPr>
        <w:t>doce (12) de agosto</w:t>
      </w:r>
      <w:r w:rsidRPr="00817725">
        <w:rPr>
          <w:rFonts w:ascii="Palatino Linotype" w:eastAsiaTheme="minorEastAsia" w:hAnsi="Palatino Linotype"/>
          <w:b/>
          <w:color w:val="000000"/>
          <w:sz w:val="24"/>
          <w:szCs w:val="24"/>
          <w:lang w:val="es-ES_tradnl" w:eastAsia="es-ES"/>
        </w:rPr>
        <w:t xml:space="preserve"> </w:t>
      </w:r>
      <w:r w:rsidRPr="00817725">
        <w:rPr>
          <w:rFonts w:ascii="Palatino Linotype" w:eastAsiaTheme="minorEastAsia" w:hAnsi="Palatino Linotype"/>
          <w:color w:val="000000"/>
          <w:sz w:val="24"/>
          <w:szCs w:val="24"/>
          <w:lang w:val="es-ES_tradnl" w:eastAsia="es-ES"/>
        </w:rPr>
        <w:t xml:space="preserve">de la presente anualidad, el </w:t>
      </w:r>
      <w:r w:rsidRPr="00817725">
        <w:rPr>
          <w:rFonts w:ascii="Palatino Linotype" w:eastAsiaTheme="minorEastAsia" w:hAnsi="Palatino Linotype"/>
          <w:b/>
          <w:color w:val="000000"/>
          <w:sz w:val="24"/>
          <w:szCs w:val="24"/>
          <w:lang w:val="es-ES_tradnl" w:eastAsia="es-ES"/>
        </w:rPr>
        <w:t>SUJETO OBLIGADO</w:t>
      </w:r>
      <w:r w:rsidRPr="00817725">
        <w:rPr>
          <w:rFonts w:ascii="Palatino Linotype" w:eastAsiaTheme="minorEastAsia" w:hAnsi="Palatino Linotype"/>
          <w:color w:val="000000"/>
          <w:sz w:val="24"/>
          <w:szCs w:val="24"/>
          <w:lang w:val="es-ES_tradnl" w:eastAsia="es-ES"/>
        </w:rPr>
        <w:t xml:space="preserve"> presentó su respectivo informe justificado mismo que SI fue puesto a la vista del particular,</w:t>
      </w:r>
      <w:r w:rsidR="00994810" w:rsidRPr="00817725">
        <w:rPr>
          <w:rFonts w:ascii="Palatino Linotype" w:eastAsiaTheme="minorEastAsia" w:hAnsi="Palatino Linotype"/>
          <w:color w:val="000000"/>
          <w:sz w:val="24"/>
          <w:szCs w:val="24"/>
          <w:lang w:val="es-ES_tradnl" w:eastAsia="es-ES"/>
        </w:rPr>
        <w:t xml:space="preserve"> el cual consta de los archivos digitales </w:t>
      </w:r>
      <w:r w:rsidR="00994810" w:rsidRPr="00817725">
        <w:rPr>
          <w:rFonts w:ascii="Palatino Linotype" w:eastAsiaTheme="minorEastAsia" w:hAnsi="Palatino Linotype"/>
          <w:b/>
          <w:color w:val="000000"/>
          <w:sz w:val="24"/>
          <w:szCs w:val="24"/>
          <w:lang w:val="es-ES_tradnl" w:eastAsia="es-ES"/>
        </w:rPr>
        <w:t xml:space="preserve">INFOEM 423.pdf, UAGG 0680.pdf, Informe Justificado 6308.pdf y Ut 1587.pdf, </w:t>
      </w:r>
      <w:r w:rsidR="00C17398" w:rsidRPr="00817725">
        <w:rPr>
          <w:rFonts w:ascii="Palatino Linotype" w:eastAsiaTheme="minorEastAsia" w:hAnsi="Palatino Linotype"/>
          <w:color w:val="000000"/>
          <w:sz w:val="24"/>
          <w:szCs w:val="24"/>
          <w:lang w:val="es-ES_tradnl" w:eastAsia="es-ES"/>
        </w:rPr>
        <w:t>lo cuales refieren lo siguiente:</w:t>
      </w:r>
    </w:p>
    <w:p w:rsidR="00994810" w:rsidRPr="00817725" w:rsidRDefault="00994810" w:rsidP="00817725">
      <w:pPr>
        <w:pStyle w:val="Prrafodelista"/>
        <w:spacing w:line="360" w:lineRule="auto"/>
        <w:rPr>
          <w:rFonts w:ascii="Palatino Linotype" w:eastAsiaTheme="minorEastAsia" w:hAnsi="Palatino Linotype"/>
          <w:b/>
          <w:i/>
          <w:color w:val="000000"/>
          <w:sz w:val="24"/>
          <w:szCs w:val="24"/>
          <w:lang w:val="es-ES_tradnl" w:eastAsia="es-ES"/>
        </w:rPr>
      </w:pPr>
    </w:p>
    <w:p w:rsidR="00994810" w:rsidRPr="00817725" w:rsidRDefault="00994810" w:rsidP="00817725">
      <w:pPr>
        <w:pStyle w:val="Prrafodelista"/>
        <w:numPr>
          <w:ilvl w:val="0"/>
          <w:numId w:val="1"/>
        </w:numPr>
        <w:spacing w:before="240" w:after="240" w:line="360" w:lineRule="auto"/>
        <w:ind w:left="567" w:right="49"/>
        <w:jc w:val="both"/>
        <w:rPr>
          <w:rFonts w:ascii="Palatino Linotype" w:eastAsiaTheme="minorEastAsia" w:hAnsi="Palatino Linotype"/>
          <w:color w:val="000000"/>
          <w:sz w:val="24"/>
          <w:szCs w:val="24"/>
          <w:lang w:val="es-ES_tradnl" w:eastAsia="es-ES"/>
        </w:rPr>
      </w:pPr>
      <w:r w:rsidRPr="00817725">
        <w:rPr>
          <w:rFonts w:ascii="Palatino Linotype" w:eastAsiaTheme="minorEastAsia" w:hAnsi="Palatino Linotype"/>
          <w:color w:val="000000"/>
          <w:sz w:val="24"/>
          <w:szCs w:val="24"/>
          <w:lang w:val="es-ES_tradnl" w:eastAsia="es-ES"/>
        </w:rPr>
        <w:t>Archivo</w:t>
      </w:r>
      <w:r w:rsidRPr="00817725">
        <w:rPr>
          <w:rFonts w:ascii="Palatino Linotype" w:eastAsiaTheme="minorEastAsia" w:hAnsi="Palatino Linotype"/>
          <w:b/>
          <w:color w:val="000000"/>
          <w:sz w:val="24"/>
          <w:szCs w:val="24"/>
          <w:lang w:val="es-ES_tradnl" w:eastAsia="es-ES"/>
        </w:rPr>
        <w:t xml:space="preserve"> INFOEM 423.pdf, </w:t>
      </w:r>
      <w:r w:rsidRPr="00817725">
        <w:rPr>
          <w:rFonts w:ascii="Palatino Linotype" w:eastAsiaTheme="minorEastAsia" w:hAnsi="Palatino Linotype"/>
          <w:color w:val="000000"/>
          <w:sz w:val="24"/>
          <w:szCs w:val="24"/>
          <w:lang w:val="es-ES_tradnl" w:eastAsia="es-ES"/>
        </w:rPr>
        <w:t xml:space="preserve">que se integra de una hoja la cual corresponde al oficio número INFOEM/DI/423/2019 de fecha 29 </w:t>
      </w:r>
      <w:r w:rsidR="000323A7" w:rsidRPr="00817725">
        <w:rPr>
          <w:rFonts w:ascii="Palatino Linotype" w:eastAsiaTheme="minorEastAsia" w:hAnsi="Palatino Linotype"/>
          <w:color w:val="000000"/>
          <w:sz w:val="24"/>
          <w:szCs w:val="24"/>
          <w:lang w:val="es-ES_tradnl" w:eastAsia="es-ES"/>
        </w:rPr>
        <w:t xml:space="preserve">de julio 2019, suscrito por la Directora de Informática mediante el cual se dio contestación a una solicitud de cambio de modalidad, informando que dicha incidencia ha quedado registrada en la bitácora, </w:t>
      </w:r>
      <w:r w:rsidR="004733B4" w:rsidRPr="00817725">
        <w:rPr>
          <w:rFonts w:ascii="Palatino Linotype" w:eastAsiaTheme="minorEastAsia" w:hAnsi="Palatino Linotype"/>
          <w:color w:val="000000"/>
          <w:sz w:val="24"/>
          <w:szCs w:val="24"/>
          <w:lang w:val="es-ES_tradnl" w:eastAsia="es-ES"/>
        </w:rPr>
        <w:t>que la cantidad de información correspondiente 459,131 hojas con un peso aproximado de</w:t>
      </w:r>
      <w:r w:rsidR="00D7464B" w:rsidRPr="00817725">
        <w:rPr>
          <w:rFonts w:ascii="Palatino Linotype" w:eastAsiaTheme="minorEastAsia" w:hAnsi="Palatino Linotype"/>
          <w:color w:val="000000"/>
          <w:sz w:val="24"/>
          <w:szCs w:val="24"/>
          <w:lang w:val="es-ES_tradnl" w:eastAsia="es-ES"/>
        </w:rPr>
        <w:t xml:space="preserve"> 28.6GB de información sobrepasa las capacidades técnicas  del sistema </w:t>
      </w:r>
      <w:proofErr w:type="spellStart"/>
      <w:r w:rsidR="00D7464B" w:rsidRPr="00817725">
        <w:rPr>
          <w:rFonts w:ascii="Palatino Linotype" w:eastAsiaTheme="minorEastAsia" w:hAnsi="Palatino Linotype"/>
          <w:color w:val="000000"/>
          <w:sz w:val="24"/>
          <w:szCs w:val="24"/>
          <w:lang w:val="es-ES_tradnl" w:eastAsia="es-ES"/>
        </w:rPr>
        <w:t>Saimex</w:t>
      </w:r>
      <w:proofErr w:type="spellEnd"/>
      <w:r w:rsidR="00D7464B" w:rsidRPr="00817725">
        <w:rPr>
          <w:rFonts w:ascii="Palatino Linotype" w:eastAsiaTheme="minorEastAsia" w:hAnsi="Palatino Linotype"/>
          <w:color w:val="000000"/>
          <w:sz w:val="24"/>
          <w:szCs w:val="24"/>
          <w:lang w:val="es-ES_tradnl" w:eastAsia="es-ES"/>
        </w:rPr>
        <w:t>.</w:t>
      </w:r>
    </w:p>
    <w:p w:rsidR="00C17398" w:rsidRPr="00817725" w:rsidRDefault="00C17398" w:rsidP="00817725">
      <w:pPr>
        <w:pStyle w:val="Prrafodelista"/>
        <w:spacing w:before="240" w:after="240" w:line="360" w:lineRule="auto"/>
        <w:ind w:left="567" w:right="-142"/>
        <w:jc w:val="both"/>
        <w:rPr>
          <w:rFonts w:ascii="Palatino Linotype" w:eastAsiaTheme="minorEastAsia" w:hAnsi="Palatino Linotype"/>
          <w:color w:val="000000"/>
          <w:sz w:val="24"/>
          <w:szCs w:val="24"/>
          <w:lang w:val="es-ES_tradnl" w:eastAsia="es-ES"/>
        </w:rPr>
      </w:pPr>
    </w:p>
    <w:p w:rsidR="00D7464B" w:rsidRPr="00817725" w:rsidRDefault="00D7464B" w:rsidP="00817725">
      <w:pPr>
        <w:pStyle w:val="Prrafodelista"/>
        <w:numPr>
          <w:ilvl w:val="0"/>
          <w:numId w:val="1"/>
        </w:numPr>
        <w:spacing w:before="240" w:after="240" w:line="360" w:lineRule="auto"/>
        <w:ind w:left="567" w:right="49"/>
        <w:jc w:val="both"/>
        <w:rPr>
          <w:rFonts w:ascii="Palatino Linotype" w:eastAsiaTheme="minorEastAsia" w:hAnsi="Palatino Linotype"/>
          <w:color w:val="000000"/>
          <w:sz w:val="24"/>
          <w:szCs w:val="24"/>
          <w:lang w:val="es-ES_tradnl" w:eastAsia="es-ES"/>
        </w:rPr>
      </w:pPr>
      <w:r w:rsidRPr="00817725">
        <w:rPr>
          <w:rFonts w:ascii="Palatino Linotype" w:eastAsiaTheme="minorEastAsia" w:hAnsi="Palatino Linotype"/>
          <w:color w:val="000000"/>
          <w:sz w:val="24"/>
          <w:szCs w:val="24"/>
          <w:lang w:val="es-ES_tradnl" w:eastAsia="es-ES"/>
        </w:rPr>
        <w:t xml:space="preserve">Archivo </w:t>
      </w:r>
      <w:r w:rsidRPr="00817725">
        <w:rPr>
          <w:rFonts w:ascii="Palatino Linotype" w:eastAsiaTheme="minorEastAsia" w:hAnsi="Palatino Linotype"/>
          <w:b/>
          <w:color w:val="000000"/>
          <w:sz w:val="24"/>
          <w:szCs w:val="24"/>
          <w:lang w:val="es-ES_tradnl" w:eastAsia="es-ES"/>
        </w:rPr>
        <w:t xml:space="preserve">UAGG 0680.pdf, </w:t>
      </w:r>
      <w:r w:rsidRPr="00817725">
        <w:rPr>
          <w:rFonts w:ascii="Palatino Linotype" w:eastAsiaTheme="minorEastAsia" w:hAnsi="Palatino Linotype"/>
          <w:color w:val="000000"/>
          <w:sz w:val="24"/>
          <w:szCs w:val="24"/>
          <w:lang w:val="es-ES_tradnl" w:eastAsia="es-ES"/>
        </w:rPr>
        <w:t>mismo que se integra de dos hojas mismas que corresponden al oficio número 20701002A/0680/2019</w:t>
      </w:r>
      <w:r w:rsidR="003C0C26" w:rsidRPr="00817725">
        <w:rPr>
          <w:rFonts w:ascii="Palatino Linotype" w:eastAsiaTheme="minorEastAsia" w:hAnsi="Palatino Linotype"/>
          <w:color w:val="000000"/>
          <w:sz w:val="24"/>
          <w:szCs w:val="24"/>
          <w:lang w:val="es-ES_tradnl" w:eastAsia="es-ES"/>
        </w:rPr>
        <w:t>, suscrito por el la Coordinadora de Administración y Servidora Pública habilitada de la Unidad de Apoyo a la Administración General, mediante el cual se informa que se ratifica que la información esta resguardada en diferentes expedientes, los cuales constan aproximadamente  de 459,131 documentos, para ser entregados lo</w:t>
      </w:r>
      <w:r w:rsidR="00FB29F0" w:rsidRPr="00817725">
        <w:rPr>
          <w:rFonts w:ascii="Palatino Linotype" w:eastAsiaTheme="minorEastAsia" w:hAnsi="Palatino Linotype"/>
          <w:color w:val="000000"/>
          <w:sz w:val="24"/>
          <w:szCs w:val="24"/>
          <w:lang w:val="es-ES_tradnl" w:eastAsia="es-ES"/>
        </w:rPr>
        <w:t>s</w:t>
      </w:r>
      <w:r w:rsidR="003C0C26" w:rsidRPr="00817725">
        <w:rPr>
          <w:rFonts w:ascii="Palatino Linotype" w:eastAsiaTheme="minorEastAsia" w:hAnsi="Palatino Linotype"/>
          <w:color w:val="000000"/>
          <w:sz w:val="24"/>
          <w:szCs w:val="24"/>
          <w:lang w:val="es-ES_tradnl" w:eastAsia="es-ES"/>
        </w:rPr>
        <w:t xml:space="preserve"> mismos</w:t>
      </w:r>
      <w:r w:rsidR="00FB29F0" w:rsidRPr="00817725">
        <w:rPr>
          <w:rFonts w:ascii="Palatino Linotype" w:eastAsiaTheme="minorEastAsia" w:hAnsi="Palatino Linotype"/>
          <w:color w:val="000000"/>
          <w:sz w:val="24"/>
          <w:szCs w:val="24"/>
          <w:lang w:val="es-ES_tradnl" w:eastAsia="es-ES"/>
        </w:rPr>
        <w:t xml:space="preserve"> se deberá </w:t>
      </w:r>
      <w:r w:rsidR="00FB29F0" w:rsidRPr="00817725">
        <w:rPr>
          <w:rFonts w:ascii="Palatino Linotype" w:eastAsiaTheme="minorEastAsia" w:hAnsi="Palatino Linotype"/>
          <w:b/>
          <w:i/>
          <w:color w:val="000000"/>
          <w:sz w:val="24"/>
          <w:szCs w:val="24"/>
          <w:u w:val="single"/>
          <w:lang w:val="es-ES_tradnl" w:eastAsia="es-ES"/>
        </w:rPr>
        <w:t>fotocopiar cada uno de los documentos contenidos en los expedientes,  preparara la versi</w:t>
      </w:r>
      <w:r w:rsidR="00E30030" w:rsidRPr="00817725">
        <w:rPr>
          <w:rFonts w:ascii="Palatino Linotype" w:eastAsiaTheme="minorEastAsia" w:hAnsi="Palatino Linotype"/>
          <w:b/>
          <w:i/>
          <w:color w:val="000000"/>
          <w:sz w:val="24"/>
          <w:szCs w:val="24"/>
          <w:u w:val="single"/>
          <w:lang w:val="es-ES_tradnl" w:eastAsia="es-ES"/>
        </w:rPr>
        <w:t>ón pú</w:t>
      </w:r>
      <w:r w:rsidR="00FB29F0" w:rsidRPr="00817725">
        <w:rPr>
          <w:rFonts w:ascii="Palatino Linotype" w:eastAsiaTheme="minorEastAsia" w:hAnsi="Palatino Linotype"/>
          <w:b/>
          <w:i/>
          <w:color w:val="000000"/>
          <w:sz w:val="24"/>
          <w:szCs w:val="24"/>
          <w:u w:val="single"/>
          <w:lang w:val="es-ES_tradnl" w:eastAsia="es-ES"/>
        </w:rPr>
        <w:t>blica</w:t>
      </w:r>
      <w:r w:rsidR="00E30030" w:rsidRPr="00817725">
        <w:rPr>
          <w:rFonts w:ascii="Palatino Linotype" w:eastAsiaTheme="minorEastAsia" w:hAnsi="Palatino Linotype"/>
          <w:b/>
          <w:i/>
          <w:color w:val="000000"/>
          <w:sz w:val="24"/>
          <w:szCs w:val="24"/>
          <w:u w:val="single"/>
          <w:lang w:val="es-ES_tradnl" w:eastAsia="es-ES"/>
        </w:rPr>
        <w:t xml:space="preserve"> y digitalizarlos</w:t>
      </w:r>
      <w:r w:rsidR="00E30030" w:rsidRPr="00817725">
        <w:rPr>
          <w:rFonts w:ascii="Palatino Linotype" w:eastAsiaTheme="minorEastAsia" w:hAnsi="Palatino Linotype"/>
          <w:color w:val="000000"/>
          <w:sz w:val="24"/>
          <w:szCs w:val="24"/>
          <w:lang w:val="es-ES_tradnl" w:eastAsia="es-ES"/>
        </w:rPr>
        <w:t>, además de que</w:t>
      </w:r>
      <w:r w:rsidR="00132113" w:rsidRPr="00817725">
        <w:rPr>
          <w:rFonts w:ascii="Palatino Linotype" w:eastAsiaTheme="minorEastAsia" w:hAnsi="Palatino Linotype"/>
          <w:color w:val="000000"/>
          <w:sz w:val="24"/>
          <w:szCs w:val="24"/>
          <w:lang w:val="es-ES_tradnl" w:eastAsia="es-ES"/>
        </w:rPr>
        <w:t xml:space="preserve"> la cantidad del tamaño máximo </w:t>
      </w:r>
      <w:r w:rsidR="00E30030" w:rsidRPr="00817725">
        <w:rPr>
          <w:rFonts w:ascii="Palatino Linotype" w:eastAsiaTheme="minorEastAsia" w:hAnsi="Palatino Linotype"/>
          <w:color w:val="000000"/>
          <w:sz w:val="24"/>
          <w:szCs w:val="24"/>
          <w:lang w:val="es-ES_tradnl" w:eastAsia="es-ES"/>
        </w:rPr>
        <w:t xml:space="preserve">que la plataforma del </w:t>
      </w:r>
      <w:proofErr w:type="spellStart"/>
      <w:r w:rsidR="00E30030" w:rsidRPr="00817725">
        <w:rPr>
          <w:rFonts w:ascii="Palatino Linotype" w:eastAsiaTheme="minorEastAsia" w:hAnsi="Palatino Linotype"/>
          <w:color w:val="000000"/>
          <w:sz w:val="24"/>
          <w:szCs w:val="24"/>
          <w:lang w:val="es-ES_tradnl" w:eastAsia="es-ES"/>
        </w:rPr>
        <w:t>Siamex</w:t>
      </w:r>
      <w:proofErr w:type="spellEnd"/>
      <w:r w:rsidR="00E30030" w:rsidRPr="00817725">
        <w:rPr>
          <w:rFonts w:ascii="Palatino Linotype" w:eastAsiaTheme="minorEastAsia" w:hAnsi="Palatino Linotype"/>
          <w:color w:val="000000"/>
          <w:sz w:val="24"/>
          <w:szCs w:val="24"/>
          <w:lang w:val="es-ES_tradnl" w:eastAsia="es-ES"/>
        </w:rPr>
        <w:t xml:space="preserve">, pueden soportar para alojar documentos. Asimismo </w:t>
      </w:r>
      <w:r w:rsidR="00132113" w:rsidRPr="00817725">
        <w:rPr>
          <w:rFonts w:ascii="Palatino Linotype" w:eastAsiaTheme="minorEastAsia" w:hAnsi="Palatino Linotype"/>
          <w:color w:val="000000"/>
          <w:sz w:val="24"/>
          <w:szCs w:val="24"/>
          <w:lang w:val="es-ES_tradnl" w:eastAsia="es-ES"/>
        </w:rPr>
        <w:t>se precisa que únicamente se cue</w:t>
      </w:r>
      <w:r w:rsidR="00E30030" w:rsidRPr="00817725">
        <w:rPr>
          <w:rFonts w:ascii="Palatino Linotype" w:eastAsiaTheme="minorEastAsia" w:hAnsi="Palatino Linotype"/>
          <w:color w:val="000000"/>
          <w:sz w:val="24"/>
          <w:szCs w:val="24"/>
          <w:lang w:val="es-ES_tradnl" w:eastAsia="es-ES"/>
        </w:rPr>
        <w:t>nta con información relativa al ejercicio fiscal 2013 al 2019</w:t>
      </w:r>
      <w:r w:rsidR="007231F8" w:rsidRPr="00817725">
        <w:rPr>
          <w:rFonts w:ascii="Palatino Linotype" w:eastAsiaTheme="minorEastAsia" w:hAnsi="Palatino Linotype"/>
          <w:color w:val="000000"/>
          <w:sz w:val="24"/>
          <w:szCs w:val="24"/>
          <w:lang w:val="es-ES_tradnl" w:eastAsia="es-ES"/>
        </w:rPr>
        <w:t xml:space="preserve"> y finalmente se anexó</w:t>
      </w:r>
      <w:r w:rsidR="00E30030" w:rsidRPr="00817725">
        <w:rPr>
          <w:rFonts w:ascii="Palatino Linotype" w:eastAsiaTheme="minorEastAsia" w:hAnsi="Palatino Linotype"/>
          <w:color w:val="000000"/>
          <w:sz w:val="24"/>
          <w:szCs w:val="24"/>
          <w:lang w:val="es-ES_tradnl" w:eastAsia="es-ES"/>
        </w:rPr>
        <w:t xml:space="preserve"> un</w:t>
      </w:r>
      <w:r w:rsidR="00132113" w:rsidRPr="00817725">
        <w:rPr>
          <w:rFonts w:ascii="Palatino Linotype" w:eastAsiaTheme="minorEastAsia" w:hAnsi="Palatino Linotype"/>
          <w:color w:val="000000"/>
          <w:sz w:val="24"/>
          <w:szCs w:val="24"/>
          <w:lang w:val="es-ES_tradnl" w:eastAsia="es-ES"/>
        </w:rPr>
        <w:t>a</w:t>
      </w:r>
      <w:r w:rsidR="00E30030" w:rsidRPr="00817725">
        <w:rPr>
          <w:rFonts w:ascii="Palatino Linotype" w:eastAsiaTheme="minorEastAsia" w:hAnsi="Palatino Linotype"/>
          <w:color w:val="000000"/>
          <w:sz w:val="24"/>
          <w:szCs w:val="24"/>
          <w:lang w:val="es-ES_tradnl" w:eastAsia="es-ES"/>
        </w:rPr>
        <w:t xml:space="preserve"> tabla comparativa correspondiente</w:t>
      </w:r>
      <w:r w:rsidR="007231F8" w:rsidRPr="00817725">
        <w:rPr>
          <w:rFonts w:ascii="Palatino Linotype" w:eastAsiaTheme="minorEastAsia" w:hAnsi="Palatino Linotype"/>
          <w:color w:val="000000"/>
          <w:sz w:val="24"/>
          <w:szCs w:val="24"/>
          <w:lang w:val="es-ES_tradnl" w:eastAsia="es-ES"/>
        </w:rPr>
        <w:t xml:space="preserve"> al presupuesto asignado a cada ejercicio fiscal correspondiente al rubro de Uso y Objeto del</w:t>
      </w:r>
      <w:r w:rsidR="00132113" w:rsidRPr="00817725">
        <w:rPr>
          <w:rFonts w:ascii="Palatino Linotype" w:eastAsiaTheme="minorEastAsia" w:hAnsi="Palatino Linotype"/>
          <w:color w:val="000000"/>
          <w:sz w:val="24"/>
          <w:szCs w:val="24"/>
          <w:lang w:val="es-ES_tradnl" w:eastAsia="es-ES"/>
        </w:rPr>
        <w:t xml:space="preserve"> Gasto</w:t>
      </w:r>
      <w:r w:rsidR="007231F8" w:rsidRPr="00817725">
        <w:rPr>
          <w:rFonts w:ascii="Palatino Linotype" w:eastAsiaTheme="minorEastAsia" w:hAnsi="Palatino Linotype"/>
          <w:color w:val="000000"/>
          <w:sz w:val="24"/>
          <w:szCs w:val="24"/>
          <w:lang w:val="es-ES_tradnl" w:eastAsia="es-ES"/>
        </w:rPr>
        <w:t xml:space="preserve"> de la</w:t>
      </w:r>
      <w:r w:rsidR="00132113" w:rsidRPr="00817725">
        <w:rPr>
          <w:rFonts w:ascii="Palatino Linotype" w:eastAsiaTheme="minorEastAsia" w:hAnsi="Palatino Linotype"/>
          <w:color w:val="000000"/>
          <w:sz w:val="24"/>
          <w:szCs w:val="24"/>
          <w:lang w:val="es-ES_tradnl" w:eastAsia="es-ES"/>
        </w:rPr>
        <w:t>s</w:t>
      </w:r>
      <w:r w:rsidR="007231F8" w:rsidRPr="00817725">
        <w:rPr>
          <w:rFonts w:ascii="Palatino Linotype" w:eastAsiaTheme="minorEastAsia" w:hAnsi="Palatino Linotype"/>
          <w:color w:val="000000"/>
          <w:sz w:val="24"/>
          <w:szCs w:val="24"/>
          <w:lang w:val="es-ES_tradnl" w:eastAsia="es-ES"/>
        </w:rPr>
        <w:t xml:space="preserve"> partidas Materiales y suministros y la de Servicios Generales.</w:t>
      </w:r>
    </w:p>
    <w:p w:rsidR="00C058C5" w:rsidRPr="00817725" w:rsidRDefault="00C058C5" w:rsidP="00817725">
      <w:pPr>
        <w:pStyle w:val="Prrafodelista"/>
        <w:spacing w:line="360" w:lineRule="auto"/>
        <w:rPr>
          <w:rFonts w:ascii="Palatino Linotype" w:eastAsiaTheme="minorEastAsia" w:hAnsi="Palatino Linotype"/>
          <w:color w:val="000000"/>
          <w:sz w:val="24"/>
          <w:szCs w:val="24"/>
          <w:lang w:val="es-ES_tradnl" w:eastAsia="es-ES"/>
        </w:rPr>
      </w:pPr>
    </w:p>
    <w:p w:rsidR="00B13BBF" w:rsidRPr="00817725" w:rsidRDefault="007231F8" w:rsidP="00817725">
      <w:pPr>
        <w:pStyle w:val="Prrafodelista"/>
        <w:numPr>
          <w:ilvl w:val="0"/>
          <w:numId w:val="1"/>
        </w:numPr>
        <w:spacing w:before="240" w:after="240" w:line="360" w:lineRule="auto"/>
        <w:ind w:left="708" w:right="49" w:hanging="501"/>
        <w:jc w:val="both"/>
        <w:rPr>
          <w:rFonts w:ascii="Palatino Linotype" w:eastAsiaTheme="minorEastAsia" w:hAnsi="Palatino Linotype"/>
          <w:color w:val="000000"/>
          <w:sz w:val="24"/>
          <w:szCs w:val="24"/>
          <w:lang w:val="es-ES_tradnl" w:eastAsia="es-ES"/>
        </w:rPr>
      </w:pPr>
      <w:r w:rsidRPr="00817725">
        <w:rPr>
          <w:rFonts w:ascii="Palatino Linotype" w:eastAsiaTheme="minorEastAsia" w:hAnsi="Palatino Linotype"/>
          <w:color w:val="000000"/>
          <w:sz w:val="24"/>
          <w:szCs w:val="24"/>
          <w:lang w:val="es-ES_tradnl" w:eastAsia="es-ES"/>
        </w:rPr>
        <w:t xml:space="preserve">Archivo </w:t>
      </w:r>
      <w:r w:rsidRPr="00817725">
        <w:rPr>
          <w:rFonts w:ascii="Palatino Linotype" w:eastAsiaTheme="minorEastAsia" w:hAnsi="Palatino Linotype"/>
          <w:b/>
          <w:color w:val="000000"/>
          <w:sz w:val="24"/>
          <w:szCs w:val="24"/>
          <w:lang w:val="es-ES_tradnl" w:eastAsia="es-ES"/>
        </w:rPr>
        <w:t xml:space="preserve">Informe Justificado 6308.pdf, </w:t>
      </w:r>
      <w:r w:rsidR="00C17398" w:rsidRPr="00817725">
        <w:rPr>
          <w:rFonts w:ascii="Palatino Linotype" w:eastAsiaTheme="minorEastAsia" w:hAnsi="Palatino Linotype"/>
          <w:color w:val="000000"/>
          <w:sz w:val="24"/>
          <w:szCs w:val="24"/>
          <w:lang w:val="es-ES_tradnl" w:eastAsia="es-ES"/>
        </w:rPr>
        <w:t xml:space="preserve">documento que se integra de once hojas la cuales corresponden al Informe Justificado </w:t>
      </w:r>
      <w:r w:rsidR="0063050C" w:rsidRPr="00817725">
        <w:rPr>
          <w:rFonts w:ascii="Palatino Linotype" w:eastAsiaTheme="minorEastAsia" w:hAnsi="Palatino Linotype"/>
          <w:color w:val="000000"/>
          <w:sz w:val="24"/>
          <w:szCs w:val="24"/>
          <w:lang w:val="es-ES_tradnl" w:eastAsia="es-ES"/>
        </w:rPr>
        <w:t xml:space="preserve">del Sujeto Obligado en el que se describe </w:t>
      </w:r>
      <w:r w:rsidR="00FD45D8" w:rsidRPr="00817725">
        <w:rPr>
          <w:rFonts w:ascii="Palatino Linotype" w:eastAsiaTheme="minorEastAsia" w:hAnsi="Palatino Linotype"/>
          <w:color w:val="000000"/>
          <w:sz w:val="24"/>
          <w:szCs w:val="24"/>
          <w:lang w:val="es-ES_tradnl" w:eastAsia="es-ES"/>
        </w:rPr>
        <w:t>los antecedente</w:t>
      </w:r>
      <w:r w:rsidR="006D6CA3" w:rsidRPr="00817725">
        <w:rPr>
          <w:rFonts w:ascii="Palatino Linotype" w:eastAsiaTheme="minorEastAsia" w:hAnsi="Palatino Linotype"/>
          <w:color w:val="000000"/>
          <w:sz w:val="24"/>
          <w:szCs w:val="24"/>
          <w:lang w:val="es-ES_tradnl" w:eastAsia="es-ES"/>
        </w:rPr>
        <w:t>s</w:t>
      </w:r>
      <w:r w:rsidR="00FD45D8" w:rsidRPr="00817725">
        <w:rPr>
          <w:rFonts w:ascii="Palatino Linotype" w:eastAsiaTheme="minorEastAsia" w:hAnsi="Palatino Linotype"/>
          <w:color w:val="000000"/>
          <w:sz w:val="24"/>
          <w:szCs w:val="24"/>
          <w:lang w:val="es-ES_tradnl" w:eastAsia="es-ES"/>
        </w:rPr>
        <w:t xml:space="preserve"> de la solicitud </w:t>
      </w:r>
      <w:r w:rsidR="00C058C5" w:rsidRPr="00817725">
        <w:rPr>
          <w:rFonts w:ascii="Palatino Linotype" w:eastAsiaTheme="minorEastAsia" w:hAnsi="Palatino Linotype"/>
          <w:color w:val="000000"/>
          <w:sz w:val="24"/>
          <w:szCs w:val="24"/>
          <w:lang w:val="es-ES_tradnl" w:eastAsia="es-ES"/>
        </w:rPr>
        <w:t xml:space="preserve">ratificando su respuesta inicial, </w:t>
      </w:r>
      <w:r w:rsidR="001B5324" w:rsidRPr="00817725">
        <w:rPr>
          <w:rFonts w:ascii="Palatino Linotype" w:eastAsiaTheme="minorEastAsia" w:hAnsi="Palatino Linotype"/>
          <w:color w:val="000000"/>
          <w:sz w:val="24"/>
          <w:szCs w:val="24"/>
          <w:lang w:val="es-ES_tradnl" w:eastAsia="es-ES"/>
        </w:rPr>
        <w:t>luego entonces precisó que en ningún momento fue negada la información solicitada por el recurrente, si no que la servidora pública habilitada de la Unidad de Apoyo a la Administración General, puso a disposición del recurrente, mediante consulta directa la información que se encuentra en los archivos de la Unidad Administrativa</w:t>
      </w:r>
      <w:r w:rsidR="00BD740A" w:rsidRPr="00817725">
        <w:rPr>
          <w:rFonts w:ascii="Palatino Linotype" w:eastAsiaTheme="minorEastAsia" w:hAnsi="Palatino Linotype"/>
          <w:color w:val="000000"/>
          <w:sz w:val="24"/>
          <w:szCs w:val="24"/>
          <w:lang w:val="es-ES_tradnl" w:eastAsia="es-ES"/>
        </w:rPr>
        <w:t>.</w:t>
      </w:r>
    </w:p>
    <w:p w:rsidR="00BD740A" w:rsidRPr="00817725" w:rsidRDefault="00BD740A" w:rsidP="00817725">
      <w:pPr>
        <w:pStyle w:val="Prrafodelista"/>
        <w:spacing w:line="360" w:lineRule="auto"/>
        <w:rPr>
          <w:rFonts w:ascii="Palatino Linotype" w:eastAsiaTheme="minorEastAsia" w:hAnsi="Palatino Linotype"/>
          <w:color w:val="000000"/>
          <w:sz w:val="24"/>
          <w:szCs w:val="24"/>
          <w:lang w:val="es-ES_tradnl" w:eastAsia="es-ES"/>
        </w:rPr>
      </w:pPr>
    </w:p>
    <w:p w:rsidR="00BD740A" w:rsidRPr="00817725" w:rsidRDefault="00621C04" w:rsidP="00817725">
      <w:pPr>
        <w:pStyle w:val="Prrafodelista"/>
        <w:numPr>
          <w:ilvl w:val="0"/>
          <w:numId w:val="1"/>
        </w:numPr>
        <w:spacing w:before="240" w:after="240" w:line="360" w:lineRule="auto"/>
        <w:ind w:left="708" w:right="49" w:hanging="501"/>
        <w:jc w:val="both"/>
        <w:rPr>
          <w:rFonts w:ascii="Palatino Linotype" w:eastAsiaTheme="minorEastAsia" w:hAnsi="Palatino Linotype"/>
          <w:color w:val="000000"/>
          <w:sz w:val="24"/>
          <w:szCs w:val="24"/>
          <w:lang w:val="es-ES_tradnl" w:eastAsia="es-ES"/>
        </w:rPr>
      </w:pPr>
      <w:r w:rsidRPr="00817725">
        <w:rPr>
          <w:rFonts w:ascii="Palatino Linotype" w:eastAsiaTheme="minorEastAsia" w:hAnsi="Palatino Linotype"/>
          <w:color w:val="000000"/>
          <w:sz w:val="24"/>
          <w:szCs w:val="24"/>
          <w:lang w:val="es-ES_tradnl" w:eastAsia="es-ES"/>
        </w:rPr>
        <w:t xml:space="preserve">Archivo </w:t>
      </w:r>
      <w:r w:rsidRPr="00817725">
        <w:rPr>
          <w:rFonts w:ascii="Palatino Linotype" w:eastAsiaTheme="minorEastAsia" w:hAnsi="Palatino Linotype"/>
          <w:b/>
          <w:color w:val="000000"/>
          <w:sz w:val="24"/>
          <w:szCs w:val="24"/>
          <w:lang w:val="es-ES_tradnl" w:eastAsia="es-ES"/>
        </w:rPr>
        <w:t>UT 1587.pdf,</w:t>
      </w:r>
      <w:r w:rsidRPr="00817725">
        <w:rPr>
          <w:rFonts w:ascii="Palatino Linotype" w:eastAsiaTheme="minorEastAsia" w:hAnsi="Palatino Linotype"/>
          <w:color w:val="000000"/>
          <w:sz w:val="24"/>
          <w:szCs w:val="24"/>
          <w:lang w:val="es-ES_tradnl" w:eastAsia="es-ES"/>
        </w:rPr>
        <w:t xml:space="preserve"> documento que se integra de una hoja consistente el oficio 20700004S/UT-1587/2019, mediante el cual se reitera que la información  requerida obra en expedientes cuyo volumen asciende aproximadamente a la cantidad 459.131 hojas mismas que exceden la capacidad del tamaño máximo de la plataforma </w:t>
      </w:r>
      <w:proofErr w:type="spellStart"/>
      <w:r w:rsidRPr="00817725">
        <w:rPr>
          <w:rFonts w:ascii="Palatino Linotype" w:eastAsiaTheme="minorEastAsia" w:hAnsi="Palatino Linotype"/>
          <w:color w:val="000000"/>
          <w:sz w:val="24"/>
          <w:szCs w:val="24"/>
          <w:lang w:val="es-ES_tradnl" w:eastAsia="es-ES"/>
        </w:rPr>
        <w:t>Saimex</w:t>
      </w:r>
      <w:proofErr w:type="spellEnd"/>
      <w:r w:rsidRPr="00817725">
        <w:rPr>
          <w:rFonts w:ascii="Palatino Linotype" w:eastAsiaTheme="minorEastAsia" w:hAnsi="Palatino Linotype"/>
          <w:color w:val="000000"/>
          <w:sz w:val="24"/>
          <w:szCs w:val="24"/>
          <w:lang w:val="es-ES_tradnl" w:eastAsia="es-ES"/>
        </w:rPr>
        <w:t>.</w:t>
      </w:r>
    </w:p>
    <w:p w:rsidR="00621C04" w:rsidRPr="00817725" w:rsidRDefault="001C5306" w:rsidP="00817725">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817725">
        <w:rPr>
          <w:rFonts w:ascii="Palatino Linotype" w:eastAsiaTheme="minorEastAsia" w:hAnsi="Palatino Linotype"/>
          <w:sz w:val="24"/>
          <w:szCs w:val="24"/>
          <w:lang w:val="es-ES_tradnl" w:eastAsia="es-ES"/>
        </w:rPr>
        <w:t>El Comisionado Ponente decretó el cierre de instrucción</w:t>
      </w:r>
      <w:r w:rsidRPr="00817725">
        <w:rPr>
          <w:rFonts w:ascii="Palatino Linotype" w:eastAsiaTheme="minorEastAsia" w:hAnsi="Palatino Linotype" w:cs="Arial"/>
          <w:sz w:val="24"/>
          <w:szCs w:val="24"/>
          <w:lang w:val="es-ES_tradnl" w:eastAsia="es-ES"/>
        </w:rPr>
        <w:t xml:space="preserve"> </w:t>
      </w:r>
      <w:r w:rsidRPr="00817725">
        <w:rPr>
          <w:rFonts w:ascii="Palatino Linotype" w:eastAsiaTheme="minorEastAsia" w:hAnsi="Palatino Linotype"/>
          <w:sz w:val="24"/>
          <w:szCs w:val="24"/>
          <w:lang w:val="es-ES_tradnl" w:eastAsia="es-ES"/>
        </w:rPr>
        <w:t xml:space="preserve">mediante acuerdo de fecha </w:t>
      </w:r>
      <w:r w:rsidR="00621C04" w:rsidRPr="00817725">
        <w:rPr>
          <w:rFonts w:ascii="Palatino Linotype" w:eastAsiaTheme="minorEastAsia" w:hAnsi="Palatino Linotype"/>
          <w:b/>
          <w:sz w:val="24"/>
          <w:szCs w:val="24"/>
          <w:lang w:val="es-ES_tradnl" w:eastAsia="es-ES"/>
        </w:rPr>
        <w:t>veintiocho (28) de agosto</w:t>
      </w:r>
      <w:r w:rsidRPr="00817725">
        <w:rPr>
          <w:rFonts w:ascii="Palatino Linotype" w:eastAsiaTheme="minorEastAsia" w:hAnsi="Palatino Linotype"/>
          <w:sz w:val="24"/>
          <w:szCs w:val="24"/>
          <w:lang w:val="es-ES_tradnl" w:eastAsia="es-ES"/>
        </w:rPr>
        <w:t xml:space="preserve"> de dos mil diecinueve, </w:t>
      </w:r>
      <w:r w:rsidRPr="00817725">
        <w:rPr>
          <w:rFonts w:ascii="Palatino Linotype" w:eastAsiaTheme="minorEastAsia" w:hAnsi="Palatino Linotype" w:cs="Arial"/>
          <w:sz w:val="24"/>
          <w:szCs w:val="24"/>
          <w:lang w:val="es-ES_tradnl" w:eastAsia="es-ES"/>
        </w:rPr>
        <w:t xml:space="preserve">por lo que, ordenó turnar el expediente a resolución; sin embargo, en fecha </w:t>
      </w:r>
      <w:r w:rsidRPr="00817725">
        <w:rPr>
          <w:rFonts w:ascii="Palatino Linotype" w:eastAsiaTheme="minorEastAsia" w:hAnsi="Palatino Linotype" w:cs="Arial"/>
          <w:b/>
          <w:sz w:val="24"/>
          <w:szCs w:val="24"/>
          <w:lang w:val="es-ES_tradnl" w:eastAsia="es-ES"/>
        </w:rPr>
        <w:t xml:space="preserve"> </w:t>
      </w:r>
      <w:r w:rsidR="00621C04" w:rsidRPr="00817725">
        <w:rPr>
          <w:rFonts w:ascii="Palatino Linotype" w:eastAsiaTheme="minorEastAsia" w:hAnsi="Palatino Linotype" w:cs="Arial"/>
          <w:b/>
          <w:sz w:val="24"/>
          <w:szCs w:val="24"/>
          <w:highlight w:val="yellow"/>
          <w:lang w:val="es-ES_tradnl" w:eastAsia="es-ES"/>
        </w:rPr>
        <w:t>primero (01) de octubre</w:t>
      </w:r>
      <w:r w:rsidRPr="00817725">
        <w:rPr>
          <w:rFonts w:ascii="Palatino Linotype" w:eastAsiaTheme="minorEastAsia" w:hAnsi="Palatino Linotype" w:cs="Arial"/>
          <w:sz w:val="24"/>
          <w:szCs w:val="24"/>
          <w:lang w:val="es-ES_tradnl" w:eastAsia="es-ES"/>
        </w:rPr>
        <w:t xml:space="preserve"> de la presente anualidad se acordó la ampliación del plazo derivado del cumulo de información que se integra el informe justificado, a efecto de emitir un mejor estudio del asunto, por lo que no habiendo más que hacer constar, y - - - - - - - - - - - - - - - - - - - - - - - - - - - - - - - -</w:t>
      </w:r>
    </w:p>
    <w:p w:rsidR="00817725" w:rsidRDefault="001C5306" w:rsidP="0081772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20387825"/>
      <w:r w:rsidRPr="00817725">
        <w:rPr>
          <w:rFonts w:ascii="Palatino Linotype" w:eastAsiaTheme="majorEastAsia" w:hAnsi="Palatino Linotype" w:cstheme="majorBidi"/>
          <w:b/>
          <w:sz w:val="24"/>
          <w:szCs w:val="24"/>
        </w:rPr>
        <w:t>C O N S I D E R A N D O</w:t>
      </w:r>
      <w:bookmarkEnd w:id="56"/>
    </w:p>
    <w:p w:rsidR="00817725" w:rsidRPr="00817725" w:rsidRDefault="00817725" w:rsidP="00817725">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1C5306" w:rsidRPr="00817725" w:rsidRDefault="001C5306" w:rsidP="00817725">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20387826"/>
      <w:r w:rsidRPr="00817725">
        <w:rPr>
          <w:rFonts w:ascii="Palatino Linotype" w:eastAsiaTheme="majorEastAsia" w:hAnsi="Palatino Linotype" w:cstheme="majorBidi"/>
          <w:b/>
          <w:sz w:val="24"/>
          <w:szCs w:val="24"/>
        </w:rPr>
        <w:t>PRIMERO. De la competencia.</w:t>
      </w:r>
      <w:bookmarkEnd w:id="57"/>
    </w:p>
    <w:p w:rsidR="001C5306" w:rsidRPr="00817725" w:rsidRDefault="001C5306" w:rsidP="00817725">
      <w:pPr>
        <w:spacing w:after="0" w:line="360" w:lineRule="auto"/>
        <w:ind w:right="-142"/>
        <w:rPr>
          <w:rFonts w:ascii="Palatino Linotype" w:eastAsiaTheme="minorEastAsia" w:hAnsi="Palatino Linotype"/>
          <w:sz w:val="24"/>
          <w:szCs w:val="24"/>
        </w:rPr>
      </w:pPr>
    </w:p>
    <w:p w:rsidR="001C5306" w:rsidRPr="00817725" w:rsidRDefault="001C5306" w:rsidP="00817725">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1772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7725">
        <w:rPr>
          <w:rFonts w:ascii="Palatino Linotype" w:eastAsia="Calibri" w:hAnsi="Palatino Linotype" w:cs="Times New Roman"/>
          <w:b/>
          <w:sz w:val="24"/>
          <w:szCs w:val="24"/>
          <w:lang w:val="es-ES" w:eastAsia="es-ES"/>
        </w:rPr>
        <w:t>Constitución Política de los Estados Unidos Mexicanos</w:t>
      </w:r>
      <w:r w:rsidRPr="00817725">
        <w:rPr>
          <w:rFonts w:ascii="Palatino Linotype" w:eastAsia="Calibri" w:hAnsi="Palatino Linotype" w:cs="Times New Roman"/>
          <w:sz w:val="24"/>
          <w:szCs w:val="24"/>
          <w:lang w:val="es-ES" w:eastAsia="es-ES"/>
        </w:rPr>
        <w:t xml:space="preserve">; 5, párrafos </w:t>
      </w:r>
      <w:r w:rsidRPr="00817725">
        <w:rPr>
          <w:rFonts w:ascii="Palatino Linotype" w:eastAsiaTheme="minorEastAsia" w:hAnsi="Palatino Linotype" w:cs="Arial"/>
          <w:bCs/>
          <w:color w:val="222222"/>
          <w:sz w:val="24"/>
          <w:szCs w:val="24"/>
          <w:lang w:val="es-ES" w:eastAsia="es-ES"/>
        </w:rPr>
        <w:t>vigésimo</w:t>
      </w:r>
      <w:r w:rsidR="00B408D5" w:rsidRPr="00817725">
        <w:rPr>
          <w:rFonts w:ascii="Palatino Linotype" w:eastAsiaTheme="minorEastAsia" w:hAnsi="Palatino Linotype" w:cs="Arial"/>
          <w:bCs/>
          <w:color w:val="222222"/>
          <w:sz w:val="24"/>
          <w:szCs w:val="24"/>
          <w:lang w:val="es-ES" w:eastAsia="es-ES"/>
        </w:rPr>
        <w:t xml:space="preserve"> </w:t>
      </w:r>
      <w:r w:rsidR="00B408D5" w:rsidRPr="00817725">
        <w:rPr>
          <w:rFonts w:ascii="Palatino Linotype" w:eastAsiaTheme="minorEastAsia" w:hAnsi="Palatino Linotype" w:cs="Arial"/>
          <w:bCs/>
          <w:color w:val="222222"/>
          <w:sz w:val="24"/>
          <w:szCs w:val="24"/>
          <w:highlight w:val="yellow"/>
          <w:lang w:val="es-ES" w:eastAsia="es-ES"/>
        </w:rPr>
        <w:t>segundo</w:t>
      </w:r>
      <w:r w:rsidRPr="00817725">
        <w:rPr>
          <w:rFonts w:ascii="Palatino Linotype" w:eastAsiaTheme="minorEastAsia" w:hAnsi="Palatino Linotype" w:cs="Arial"/>
          <w:bCs/>
          <w:color w:val="222222"/>
          <w:sz w:val="24"/>
          <w:szCs w:val="24"/>
          <w:highlight w:val="yellow"/>
          <w:lang w:val="es-ES" w:eastAsia="es-ES"/>
        </w:rPr>
        <w:t xml:space="preserve">, </w:t>
      </w:r>
      <w:r w:rsidR="00B408D5" w:rsidRPr="00817725">
        <w:rPr>
          <w:rFonts w:ascii="Palatino Linotype" w:eastAsiaTheme="minorEastAsia" w:hAnsi="Palatino Linotype" w:cs="Arial"/>
          <w:bCs/>
          <w:color w:val="222222"/>
          <w:sz w:val="24"/>
          <w:szCs w:val="24"/>
          <w:highlight w:val="yellow"/>
          <w:lang w:val="es-ES" w:eastAsia="es-ES"/>
        </w:rPr>
        <w:t xml:space="preserve">vigésimo </w:t>
      </w:r>
      <w:r w:rsidRPr="00817725">
        <w:rPr>
          <w:rFonts w:ascii="Palatino Linotype" w:eastAsiaTheme="minorEastAsia" w:hAnsi="Palatino Linotype" w:cs="Arial"/>
          <w:bCs/>
          <w:color w:val="222222"/>
          <w:sz w:val="24"/>
          <w:szCs w:val="24"/>
          <w:highlight w:val="yellow"/>
          <w:lang w:val="es-ES" w:eastAsia="es-ES"/>
        </w:rPr>
        <w:t xml:space="preserve"> </w:t>
      </w:r>
      <w:r w:rsidR="00B408D5" w:rsidRPr="00817725">
        <w:rPr>
          <w:rFonts w:ascii="Palatino Linotype" w:eastAsiaTheme="minorEastAsia" w:hAnsi="Palatino Linotype" w:cs="Arial"/>
          <w:bCs/>
          <w:color w:val="222222"/>
          <w:sz w:val="24"/>
          <w:szCs w:val="24"/>
          <w:highlight w:val="yellow"/>
          <w:lang w:val="es-ES" w:eastAsia="es-ES"/>
        </w:rPr>
        <w:t xml:space="preserve">tercero </w:t>
      </w:r>
      <w:r w:rsidRPr="00817725">
        <w:rPr>
          <w:rFonts w:ascii="Palatino Linotype" w:eastAsiaTheme="minorEastAsia" w:hAnsi="Palatino Linotype" w:cs="Arial"/>
          <w:bCs/>
          <w:color w:val="222222"/>
          <w:sz w:val="24"/>
          <w:szCs w:val="24"/>
          <w:highlight w:val="yellow"/>
          <w:lang w:val="es-ES" w:eastAsia="es-ES"/>
        </w:rPr>
        <w:t xml:space="preserve">y vigésimo </w:t>
      </w:r>
      <w:r w:rsidR="00B408D5" w:rsidRPr="00817725">
        <w:rPr>
          <w:rFonts w:ascii="Palatino Linotype" w:eastAsiaTheme="minorEastAsia" w:hAnsi="Palatino Linotype" w:cs="Arial"/>
          <w:bCs/>
          <w:color w:val="222222"/>
          <w:sz w:val="24"/>
          <w:szCs w:val="24"/>
          <w:highlight w:val="yellow"/>
          <w:lang w:val="es-ES" w:eastAsia="es-ES"/>
        </w:rPr>
        <w:t xml:space="preserve">cuarto </w:t>
      </w:r>
      <w:r w:rsidRPr="00817725">
        <w:rPr>
          <w:rFonts w:ascii="Palatino Linotype" w:eastAsia="Calibri" w:hAnsi="Palatino Linotype" w:cs="Times New Roman"/>
          <w:sz w:val="24"/>
          <w:szCs w:val="24"/>
          <w:highlight w:val="yellow"/>
          <w:lang w:val="es-ES" w:eastAsia="es-ES"/>
        </w:rPr>
        <w:t>fracciones IV y V de</w:t>
      </w:r>
      <w:r w:rsidRPr="00817725">
        <w:rPr>
          <w:rFonts w:ascii="Palatino Linotype" w:eastAsia="Calibri" w:hAnsi="Palatino Linotype" w:cs="Times New Roman"/>
          <w:sz w:val="24"/>
          <w:szCs w:val="24"/>
          <w:lang w:val="es-ES" w:eastAsia="es-ES"/>
        </w:rPr>
        <w:t xml:space="preserve"> la </w:t>
      </w:r>
      <w:r w:rsidRPr="00817725">
        <w:rPr>
          <w:rFonts w:ascii="Palatino Linotype" w:eastAsia="Calibri" w:hAnsi="Palatino Linotype" w:cs="Times New Roman"/>
          <w:b/>
          <w:sz w:val="24"/>
          <w:szCs w:val="24"/>
          <w:lang w:val="es-ES" w:eastAsia="es-ES"/>
        </w:rPr>
        <w:t>Constitución Política del Estado Libre y Soberano de México</w:t>
      </w:r>
      <w:r w:rsidRPr="0081772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17725">
        <w:rPr>
          <w:rFonts w:ascii="Palatino Linotype" w:eastAsia="Calibri" w:hAnsi="Palatino Linotype" w:cs="Arial"/>
          <w:sz w:val="24"/>
          <w:szCs w:val="24"/>
          <w:lang w:val="es-ES" w:eastAsia="es-ES"/>
        </w:rPr>
        <w:t xml:space="preserve">de la </w:t>
      </w:r>
      <w:r w:rsidRPr="00817725">
        <w:rPr>
          <w:rFonts w:ascii="Palatino Linotype" w:eastAsia="Calibri" w:hAnsi="Palatino Linotype" w:cs="Arial"/>
          <w:b/>
          <w:sz w:val="24"/>
          <w:szCs w:val="24"/>
          <w:lang w:val="es-ES" w:eastAsia="es-ES"/>
        </w:rPr>
        <w:t>Ley de Transparencia y Acceso a la Información Pública del Estado de México y Municipios</w:t>
      </w:r>
      <w:r w:rsidRPr="00817725">
        <w:rPr>
          <w:rFonts w:ascii="Palatino Linotype" w:eastAsia="Calibri" w:hAnsi="Palatino Linotype" w:cs="Arial"/>
          <w:sz w:val="24"/>
          <w:szCs w:val="24"/>
          <w:lang w:val="es-ES" w:eastAsia="es-ES"/>
        </w:rPr>
        <w:t xml:space="preserve">; y 7, 9 fracciones I y XXIV, y 11 del </w:t>
      </w:r>
      <w:r w:rsidRPr="0081772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17725">
        <w:rPr>
          <w:rFonts w:ascii="Palatino Linotype" w:eastAsiaTheme="minorEastAsia" w:hAnsi="Palatino Linotype"/>
          <w:sz w:val="24"/>
          <w:szCs w:val="24"/>
          <w:lang w:val="es-ES_tradnl" w:eastAsia="es-ES"/>
        </w:rPr>
        <w:t>.</w:t>
      </w:r>
    </w:p>
    <w:p w:rsidR="00621C04" w:rsidRPr="00817725" w:rsidRDefault="00621C04" w:rsidP="00817725">
      <w:pPr>
        <w:spacing w:before="240" w:after="240" w:line="360" w:lineRule="auto"/>
        <w:ind w:right="-142"/>
        <w:contextualSpacing/>
        <w:jc w:val="both"/>
        <w:rPr>
          <w:rFonts w:ascii="Palatino Linotype" w:eastAsiaTheme="minorEastAsia" w:hAnsi="Palatino Linotype"/>
          <w:sz w:val="24"/>
          <w:szCs w:val="24"/>
          <w:lang w:val="es-ES_tradnl" w:eastAsia="es-ES"/>
        </w:rPr>
      </w:pPr>
    </w:p>
    <w:p w:rsidR="001C5306" w:rsidRPr="00817725" w:rsidRDefault="001C5306" w:rsidP="00817725">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20387827"/>
      <w:r w:rsidRPr="00817725">
        <w:rPr>
          <w:rFonts w:ascii="Palatino Linotype" w:eastAsiaTheme="majorEastAsia" w:hAnsi="Palatino Linotype" w:cstheme="majorBidi"/>
          <w:b/>
          <w:sz w:val="24"/>
          <w:szCs w:val="24"/>
        </w:rPr>
        <w:t>SEGUNDO. De la oportunidad y procedencia.</w:t>
      </w:r>
      <w:bookmarkEnd w:id="58"/>
    </w:p>
    <w:p w:rsidR="001C5306" w:rsidRPr="00817725" w:rsidRDefault="001C5306" w:rsidP="00817725">
      <w:pPr>
        <w:keepNext/>
        <w:keepLines/>
        <w:spacing w:before="40" w:after="0" w:line="360" w:lineRule="auto"/>
        <w:ind w:right="-142"/>
        <w:outlineLvl w:val="1"/>
        <w:rPr>
          <w:rFonts w:ascii="Palatino Linotype" w:eastAsiaTheme="majorEastAsia" w:hAnsi="Palatino Linotype" w:cstheme="majorBidi"/>
          <w:b/>
          <w:sz w:val="24"/>
          <w:szCs w:val="24"/>
        </w:rPr>
      </w:pPr>
    </w:p>
    <w:p w:rsidR="001C5306" w:rsidRPr="00817725" w:rsidRDefault="001C5306" w:rsidP="0081772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17725">
        <w:rPr>
          <w:rFonts w:ascii="Palatino Linotype" w:eastAsia="Calibri" w:hAnsi="Palatino Linotype" w:cs="Arial"/>
          <w:sz w:val="24"/>
          <w:szCs w:val="24"/>
        </w:rPr>
        <w:t xml:space="preserve">El medio de impugnación fue presentado a través del </w:t>
      </w:r>
      <w:r w:rsidRPr="00817725">
        <w:rPr>
          <w:rFonts w:ascii="Palatino Linotype" w:eastAsia="Calibri" w:hAnsi="Palatino Linotype" w:cs="Arial"/>
          <w:b/>
          <w:sz w:val="24"/>
          <w:szCs w:val="24"/>
        </w:rPr>
        <w:t>SAIMEX,</w:t>
      </w:r>
      <w:r w:rsidRPr="0081772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817725">
        <w:rPr>
          <w:rFonts w:ascii="Palatino Linotype" w:eastAsia="Calibri" w:hAnsi="Palatino Linotype" w:cs="Arial"/>
          <w:b/>
          <w:sz w:val="24"/>
          <w:szCs w:val="24"/>
        </w:rPr>
        <w:t>SUJETO OBLIGADO</w:t>
      </w:r>
      <w:r w:rsidRPr="00817725">
        <w:rPr>
          <w:rFonts w:ascii="Palatino Linotype" w:eastAsia="Calibri" w:hAnsi="Palatino Linotype" w:cs="Arial"/>
          <w:sz w:val="24"/>
          <w:szCs w:val="24"/>
        </w:rPr>
        <w:t xml:space="preserve"> entregó su respuesta el día </w:t>
      </w:r>
      <w:r w:rsidR="00B408D5" w:rsidRPr="00817725">
        <w:rPr>
          <w:rFonts w:ascii="Palatino Linotype" w:eastAsia="Calibri" w:hAnsi="Palatino Linotype" w:cs="Arial"/>
          <w:b/>
          <w:sz w:val="24"/>
          <w:szCs w:val="24"/>
        </w:rPr>
        <w:t>cinco (05) julio</w:t>
      </w:r>
      <w:r w:rsidRPr="00817725">
        <w:rPr>
          <w:rFonts w:ascii="Palatino Linotype" w:eastAsia="Calibri" w:hAnsi="Palatino Linotype" w:cs="Arial"/>
          <w:b/>
          <w:sz w:val="24"/>
          <w:szCs w:val="24"/>
        </w:rPr>
        <w:t xml:space="preserve"> </w:t>
      </w:r>
      <w:r w:rsidRPr="00817725">
        <w:rPr>
          <w:rFonts w:ascii="Palatino Linotype" w:eastAsia="Calibri" w:hAnsi="Palatino Linotype" w:cs="Arial"/>
          <w:sz w:val="24"/>
          <w:szCs w:val="24"/>
        </w:rPr>
        <w:t xml:space="preserve">dos mil diecinueve, </w:t>
      </w:r>
      <w:r w:rsidRPr="00817725">
        <w:rPr>
          <w:rFonts w:ascii="Palatino Linotype" w:hAnsi="Palatino Linotype" w:cs="Arial"/>
          <w:sz w:val="24"/>
          <w:szCs w:val="24"/>
        </w:rPr>
        <w:t xml:space="preserve">de tal forma que el plazo para interponer el recurso transcurrió del día </w:t>
      </w:r>
      <w:r w:rsidR="00B50FC7" w:rsidRPr="00817725">
        <w:rPr>
          <w:rFonts w:ascii="Palatino Linotype" w:hAnsi="Palatino Linotype" w:cs="Arial"/>
          <w:b/>
          <w:sz w:val="24"/>
          <w:szCs w:val="24"/>
        </w:rPr>
        <w:t>ocho</w:t>
      </w:r>
      <w:r w:rsidRPr="00817725">
        <w:rPr>
          <w:rFonts w:ascii="Palatino Linotype" w:hAnsi="Palatino Linotype" w:cs="Arial"/>
          <w:sz w:val="24"/>
          <w:szCs w:val="24"/>
        </w:rPr>
        <w:t xml:space="preserve"> </w:t>
      </w:r>
      <w:r w:rsidR="00B50FC7" w:rsidRPr="00817725">
        <w:rPr>
          <w:rFonts w:ascii="Palatino Linotype" w:hAnsi="Palatino Linotype" w:cs="Arial"/>
          <w:b/>
          <w:sz w:val="24"/>
          <w:szCs w:val="24"/>
        </w:rPr>
        <w:t>(08) de julio al nueve (09) de agosto</w:t>
      </w:r>
      <w:r w:rsidRPr="00817725">
        <w:rPr>
          <w:rFonts w:ascii="Palatino Linotype" w:hAnsi="Palatino Linotype" w:cs="Arial"/>
          <w:b/>
          <w:sz w:val="24"/>
          <w:szCs w:val="24"/>
        </w:rPr>
        <w:t xml:space="preserve"> del</w:t>
      </w:r>
      <w:r w:rsidRPr="00817725">
        <w:rPr>
          <w:rFonts w:ascii="Palatino Linotype" w:eastAsia="Calibri" w:hAnsi="Palatino Linotype" w:cs="Times New Roman"/>
          <w:b/>
          <w:sz w:val="24"/>
          <w:szCs w:val="24"/>
          <w:lang w:val="es-ES" w:eastAsia="es-ES"/>
        </w:rPr>
        <w:t xml:space="preserve"> </w:t>
      </w:r>
      <w:r w:rsidRPr="00817725">
        <w:rPr>
          <w:rFonts w:ascii="Palatino Linotype" w:eastAsia="Calibri" w:hAnsi="Palatino Linotype" w:cs="Times New Roman"/>
          <w:sz w:val="24"/>
          <w:szCs w:val="24"/>
          <w:lang w:val="es-ES" w:eastAsia="es-ES"/>
        </w:rPr>
        <w:t>dos mil diecinueve</w:t>
      </w:r>
      <w:r w:rsidRPr="00817725">
        <w:rPr>
          <w:rFonts w:ascii="Palatino Linotype" w:hAnsi="Palatino Linotype" w:cs="Arial"/>
          <w:sz w:val="24"/>
          <w:szCs w:val="24"/>
        </w:rPr>
        <w:t xml:space="preserve">; en consecuencia, presentó su la inconformidad el </w:t>
      </w:r>
      <w:r w:rsidR="00B50FC7" w:rsidRPr="00817725">
        <w:rPr>
          <w:rFonts w:ascii="Palatino Linotype" w:hAnsi="Palatino Linotype" w:cs="Arial"/>
          <w:b/>
          <w:sz w:val="24"/>
          <w:szCs w:val="24"/>
        </w:rPr>
        <w:t>día veintinueve (29</w:t>
      </w:r>
      <w:r w:rsidRPr="00817725">
        <w:rPr>
          <w:rFonts w:ascii="Palatino Linotype" w:hAnsi="Palatino Linotype" w:cs="Arial"/>
          <w:b/>
          <w:sz w:val="24"/>
          <w:szCs w:val="24"/>
        </w:rPr>
        <w:t>)</w:t>
      </w:r>
      <w:r w:rsidRPr="00817725">
        <w:rPr>
          <w:rFonts w:ascii="Palatino Linotype" w:hAnsi="Palatino Linotype" w:cs="Arial"/>
          <w:sz w:val="24"/>
          <w:szCs w:val="24"/>
        </w:rPr>
        <w:t xml:space="preserve"> </w:t>
      </w:r>
      <w:r w:rsidR="00B50FC7" w:rsidRPr="00817725">
        <w:rPr>
          <w:rFonts w:ascii="Palatino Linotype" w:hAnsi="Palatino Linotype" w:cs="Arial"/>
          <w:b/>
          <w:sz w:val="24"/>
          <w:szCs w:val="24"/>
        </w:rPr>
        <w:t>de julio</w:t>
      </w:r>
      <w:r w:rsidRPr="00817725">
        <w:rPr>
          <w:rFonts w:ascii="Palatino Linotype" w:eastAsia="Calibri" w:hAnsi="Palatino Linotype" w:cs="Times New Roman"/>
          <w:sz w:val="24"/>
          <w:szCs w:val="24"/>
          <w:lang w:val="es-ES" w:eastAsia="es-ES"/>
        </w:rPr>
        <w:t xml:space="preserve"> </w:t>
      </w:r>
      <w:r w:rsidRPr="00817725">
        <w:rPr>
          <w:rFonts w:ascii="Palatino Linotype" w:hAnsi="Palatino Linotype" w:cs="Arial"/>
          <w:sz w:val="24"/>
          <w:szCs w:val="24"/>
        </w:rPr>
        <w:t xml:space="preserve">de dos mil diecinueve, éste se encuentran dentro de los márgenes temporales previstos en el artículo 178 de la </w:t>
      </w:r>
      <w:r w:rsidRPr="00817725">
        <w:rPr>
          <w:rFonts w:ascii="Palatino Linotype" w:hAnsi="Palatino Linotype" w:cs="Arial"/>
          <w:b/>
          <w:sz w:val="24"/>
          <w:szCs w:val="24"/>
        </w:rPr>
        <w:t>Ley de Transparencia y Acceso a la Información Pública del Estado de México y Municipios</w:t>
      </w:r>
      <w:r w:rsidRPr="00817725">
        <w:rPr>
          <w:rFonts w:ascii="Palatino Linotype" w:hAnsi="Palatino Linotype" w:cs="Arial"/>
          <w:sz w:val="24"/>
          <w:szCs w:val="24"/>
        </w:rPr>
        <w:t>.</w:t>
      </w:r>
    </w:p>
    <w:p w:rsidR="00B50FC7" w:rsidRPr="00817725" w:rsidRDefault="00B50FC7" w:rsidP="00817725">
      <w:pPr>
        <w:tabs>
          <w:tab w:val="left" w:pos="0"/>
        </w:tabs>
        <w:spacing w:after="0" w:line="360" w:lineRule="auto"/>
        <w:ind w:right="49"/>
        <w:contextualSpacing/>
        <w:jc w:val="both"/>
        <w:rPr>
          <w:rFonts w:ascii="Palatino Linotype" w:hAnsi="Palatino Linotype" w:cs="Arial"/>
          <w:i/>
          <w:sz w:val="24"/>
          <w:szCs w:val="24"/>
        </w:rPr>
      </w:pPr>
    </w:p>
    <w:p w:rsidR="001C5306" w:rsidRPr="00817725" w:rsidRDefault="001C5306" w:rsidP="0081772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17725">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817725">
        <w:rPr>
          <w:rFonts w:ascii="Palatino Linotype" w:hAnsi="Palatino Linotype" w:cs="Arial"/>
          <w:b/>
          <w:sz w:val="24"/>
          <w:szCs w:val="24"/>
        </w:rPr>
        <w:t>Ley de Transparencia y Acceso a la Información Pública del Estado de México y Municipios</w:t>
      </w:r>
      <w:r w:rsidRPr="00817725">
        <w:rPr>
          <w:rFonts w:ascii="Palatino Linotype" w:hAnsi="Palatino Linotype" w:cs="Arial"/>
          <w:sz w:val="24"/>
          <w:szCs w:val="24"/>
        </w:rPr>
        <w:t xml:space="preserve">, y determinar la confirmación; revocación o modificación; </w:t>
      </w:r>
      <w:proofErr w:type="spellStart"/>
      <w:r w:rsidRPr="00817725">
        <w:rPr>
          <w:rFonts w:ascii="Palatino Linotype" w:hAnsi="Palatino Linotype" w:cs="Arial"/>
          <w:sz w:val="24"/>
          <w:szCs w:val="24"/>
        </w:rPr>
        <w:t>desechamiento</w:t>
      </w:r>
      <w:proofErr w:type="spellEnd"/>
      <w:r w:rsidRPr="00817725">
        <w:rPr>
          <w:rFonts w:ascii="Palatino Linotype" w:hAnsi="Palatino Linotype" w:cs="Arial"/>
          <w:sz w:val="24"/>
          <w:szCs w:val="24"/>
        </w:rPr>
        <w:t xml:space="preserve"> o sobreseimiento; y en su caso ordenar la entrega de la información.</w:t>
      </w:r>
    </w:p>
    <w:p w:rsidR="001C5306" w:rsidRPr="00817725" w:rsidRDefault="001C5306" w:rsidP="00817725">
      <w:pPr>
        <w:spacing w:line="360" w:lineRule="auto"/>
        <w:contextualSpacing/>
        <w:rPr>
          <w:rFonts w:ascii="Palatino Linotype" w:eastAsia="Calibri" w:hAnsi="Palatino Linotype" w:cs="Arial"/>
          <w:sz w:val="24"/>
          <w:szCs w:val="24"/>
          <w:lang w:val="es-ES_tradnl" w:eastAsia="es-ES"/>
        </w:rPr>
      </w:pPr>
    </w:p>
    <w:p w:rsidR="001C5306" w:rsidRPr="00817725" w:rsidRDefault="001C5306" w:rsidP="0081772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1772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1C5306" w:rsidRPr="00817725" w:rsidRDefault="001C5306" w:rsidP="0081772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20387828"/>
      <w:r w:rsidRPr="00817725">
        <w:rPr>
          <w:rFonts w:ascii="Palatino Linotype" w:eastAsia="MS Mincho" w:hAnsi="Palatino Linotype" w:cstheme="majorBidi"/>
          <w:b/>
          <w:sz w:val="24"/>
          <w:szCs w:val="24"/>
          <w:lang w:val="es-ES_tradnl" w:eastAsia="es-ES"/>
        </w:rPr>
        <w:t>TERCERO. Del planteamiento de la Litis.</w:t>
      </w:r>
      <w:bookmarkEnd w:id="59"/>
      <w:bookmarkEnd w:id="60"/>
    </w:p>
    <w:p w:rsidR="001C5306" w:rsidRPr="00817725" w:rsidRDefault="001C5306" w:rsidP="00817725">
      <w:pPr>
        <w:spacing w:after="0" w:line="360" w:lineRule="auto"/>
        <w:contextualSpacing/>
        <w:jc w:val="both"/>
        <w:rPr>
          <w:rFonts w:ascii="Palatino Linotype" w:eastAsia="Calibri" w:hAnsi="Palatino Linotype" w:cs="Arial"/>
          <w:b/>
          <w:sz w:val="24"/>
          <w:szCs w:val="24"/>
          <w:lang w:val="es-ES_tradnl" w:eastAsia="es-ES"/>
        </w:rPr>
      </w:pPr>
    </w:p>
    <w:p w:rsidR="001C5306" w:rsidRPr="00817725" w:rsidRDefault="001C5306" w:rsidP="0081772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817725">
        <w:rPr>
          <w:rFonts w:ascii="Palatino Linotype" w:eastAsia="MS Mincho" w:hAnsi="Palatino Linotype" w:cs="Arial"/>
          <w:sz w:val="24"/>
          <w:szCs w:val="24"/>
          <w:lang w:val="es-ES_tradnl" w:eastAsia="es-ES"/>
        </w:rPr>
        <w:t>De l</w:t>
      </w:r>
      <w:r w:rsidR="009C2BB3" w:rsidRPr="00817725">
        <w:rPr>
          <w:rFonts w:ascii="Palatino Linotype" w:eastAsia="MS Mincho" w:hAnsi="Palatino Linotype" w:cs="Arial"/>
          <w:sz w:val="24"/>
          <w:szCs w:val="24"/>
          <w:lang w:val="es-ES_tradnl" w:eastAsia="es-ES"/>
        </w:rPr>
        <w:t xml:space="preserve">o solicitado por el particular </w:t>
      </w:r>
      <w:r w:rsidRPr="00817725">
        <w:rPr>
          <w:rFonts w:ascii="Palatino Linotype" w:eastAsia="MS Mincho" w:hAnsi="Palatino Linotype" w:cs="Arial"/>
          <w:sz w:val="24"/>
          <w:szCs w:val="24"/>
          <w:lang w:val="es-ES_tradnl" w:eastAsia="es-ES"/>
        </w:rPr>
        <w:t xml:space="preserve">el </w:t>
      </w:r>
      <w:r w:rsidRPr="00817725">
        <w:rPr>
          <w:rFonts w:ascii="Palatino Linotype" w:eastAsia="MS Mincho" w:hAnsi="Palatino Linotype" w:cs="Arial"/>
          <w:b/>
          <w:sz w:val="24"/>
          <w:szCs w:val="24"/>
          <w:lang w:val="es-ES_tradnl" w:eastAsia="es-ES"/>
        </w:rPr>
        <w:t>SUJETO OBLIGADO</w:t>
      </w:r>
      <w:r w:rsidRPr="00817725">
        <w:rPr>
          <w:rFonts w:ascii="Palatino Linotype" w:eastAsia="MS Mincho" w:hAnsi="Palatino Linotype" w:cs="Arial"/>
          <w:sz w:val="24"/>
          <w:szCs w:val="24"/>
          <w:lang w:val="es-ES_tradnl" w:eastAsia="es-ES"/>
        </w:rPr>
        <w:t xml:space="preserve"> proporcionó  a su consideración su respuesta a la solicitud de información; sin embargo, el recurrente presentó el medio de impugnación argumentando que </w:t>
      </w:r>
      <w:r w:rsidR="009C2BB3" w:rsidRPr="00817725">
        <w:rPr>
          <w:rFonts w:ascii="Palatino Linotype" w:eastAsia="MS Mincho" w:hAnsi="Palatino Linotype" w:cs="Arial"/>
          <w:sz w:val="24"/>
          <w:szCs w:val="24"/>
          <w:lang w:eastAsia="es-ES"/>
        </w:rPr>
        <w:t> son datos personales y confidenciales en el caso de los recibos de pago predial y en el caso de los presupuestos se argumenta que se tienen en cajas</w:t>
      </w:r>
      <w:r w:rsidR="009C2BB3" w:rsidRPr="00817725">
        <w:rPr>
          <w:rFonts w:ascii="Palatino Linotype" w:eastAsia="MS Mincho" w:hAnsi="Palatino Linotype" w:cs="Arial"/>
          <w:sz w:val="24"/>
          <w:szCs w:val="24"/>
          <w:lang w:val="es-ES_tradnl" w:eastAsia="es-ES"/>
        </w:rPr>
        <w:t xml:space="preserve">. </w:t>
      </w:r>
    </w:p>
    <w:p w:rsidR="00817725" w:rsidRPr="00817725" w:rsidRDefault="00817725" w:rsidP="00817725">
      <w:pPr>
        <w:spacing w:after="0" w:line="360" w:lineRule="auto"/>
        <w:contextualSpacing/>
        <w:jc w:val="both"/>
        <w:rPr>
          <w:rFonts w:ascii="Palatino Linotype" w:hAnsi="Palatino Linotype" w:cs="Arial"/>
          <w:sz w:val="24"/>
          <w:szCs w:val="24"/>
          <w:lang w:val="es-ES_tradnl"/>
        </w:rPr>
      </w:pPr>
    </w:p>
    <w:p w:rsidR="001C5306" w:rsidRPr="00817725" w:rsidRDefault="001C5306" w:rsidP="0081772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17725">
        <w:rPr>
          <w:rFonts w:ascii="Palatino Linotype" w:hAnsi="Palatino Linotype" w:cs="Arial"/>
          <w:sz w:val="24"/>
          <w:szCs w:val="24"/>
          <w:lang w:val="es-ES_tradnl"/>
        </w:rPr>
        <w:t>En consecuencia, la Litis del presente asunto corresponde en verificar que la respuesta cumpla con lo establecido por el artículo 11 de la Ley en la materia, lo anterior, a efecto de verificar que se dar cumplimiento al derecho de acceso a la información o en su defecto si se vulneró, ordenar su reparación.</w:t>
      </w:r>
    </w:p>
    <w:p w:rsidR="001C5306" w:rsidRPr="00817725" w:rsidRDefault="001C5306" w:rsidP="0081772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1C5306" w:rsidRPr="00817725" w:rsidRDefault="001C5306" w:rsidP="0081772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1772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9C2BB3" w:rsidRPr="00817725">
        <w:rPr>
          <w:rFonts w:ascii="Palatino Linotype" w:eastAsia="MS Mincho" w:hAnsi="Palatino Linotype" w:cs="Times New Roman"/>
          <w:b/>
          <w:sz w:val="24"/>
          <w:szCs w:val="24"/>
          <w:lang w:val="es-ES_tradnl" w:eastAsia="es-ES"/>
        </w:rPr>
        <w:t>fracciones II,</w:t>
      </w:r>
      <w:r w:rsidRPr="00817725">
        <w:rPr>
          <w:rFonts w:ascii="Palatino Linotype" w:eastAsia="MS Mincho" w:hAnsi="Palatino Linotype" w:cs="Times New Roman"/>
          <w:b/>
          <w:sz w:val="24"/>
          <w:szCs w:val="24"/>
          <w:lang w:val="es-ES_tradnl" w:eastAsia="es-ES"/>
        </w:rPr>
        <w:t xml:space="preserve"> V </w:t>
      </w:r>
      <w:r w:rsidR="00E86065" w:rsidRPr="00817725">
        <w:rPr>
          <w:rFonts w:ascii="Palatino Linotype" w:eastAsia="MS Mincho" w:hAnsi="Palatino Linotype" w:cs="Times New Roman"/>
          <w:b/>
          <w:sz w:val="24"/>
          <w:szCs w:val="24"/>
          <w:lang w:val="es-ES_tradnl" w:eastAsia="es-ES"/>
        </w:rPr>
        <w:t xml:space="preserve">y VIII </w:t>
      </w:r>
      <w:r w:rsidRPr="00817725">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817725">
        <w:rPr>
          <w:rFonts w:ascii="Palatino Linotype" w:eastAsia="MS Mincho" w:hAnsi="Palatino Linotype" w:cs="Times New Roman"/>
          <w:sz w:val="24"/>
          <w:szCs w:val="24"/>
          <w:lang w:val="es-ES_tradnl" w:eastAsia="es-ES"/>
        </w:rPr>
        <w:t>.</w:t>
      </w:r>
    </w:p>
    <w:p w:rsidR="00817725" w:rsidRPr="00817725" w:rsidRDefault="00817725" w:rsidP="00817725">
      <w:pPr>
        <w:spacing w:before="240" w:after="240" w:line="360" w:lineRule="auto"/>
        <w:ind w:right="49"/>
        <w:contextualSpacing/>
        <w:jc w:val="both"/>
        <w:rPr>
          <w:rFonts w:ascii="Palatino Linotype" w:eastAsia="MS Mincho" w:hAnsi="Palatino Linotype" w:cs="Arial"/>
          <w:sz w:val="24"/>
          <w:szCs w:val="24"/>
          <w:lang w:val="es-ES_tradnl" w:eastAsia="es-ES"/>
        </w:rPr>
      </w:pPr>
    </w:p>
    <w:p w:rsidR="00817725" w:rsidRPr="00817725" w:rsidRDefault="001C5306" w:rsidP="00817725">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20387829"/>
      <w:r w:rsidRPr="00817725">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1C5306" w:rsidRPr="00817725" w:rsidRDefault="001C5306" w:rsidP="00817725">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20387830"/>
      <w:r w:rsidRPr="00817725">
        <w:rPr>
          <w:rFonts w:ascii="Palatino Linotype" w:eastAsia="MS Gothic" w:hAnsi="Palatino Linotype" w:cstheme="majorBidi"/>
          <w:b/>
          <w:i/>
          <w:noProof/>
          <w:sz w:val="24"/>
          <w:szCs w:val="24"/>
        </w:rPr>
        <w:t>El derecho de acceso a la información publica</w:t>
      </w:r>
      <w:bookmarkEnd w:id="71"/>
      <w:r w:rsidRPr="00817725">
        <w:rPr>
          <w:rFonts w:ascii="Palatino Linotype" w:eastAsia="MS Mincho" w:hAnsi="Palatino Linotype" w:cs="Arial"/>
          <w:b/>
          <w:i/>
          <w:sz w:val="24"/>
          <w:szCs w:val="24"/>
          <w:lang w:val="es-ES_tradnl" w:eastAsia="es-MX"/>
        </w:rPr>
        <w:t>.</w:t>
      </w:r>
      <w:bookmarkEnd w:id="72"/>
    </w:p>
    <w:p w:rsidR="001C5306" w:rsidRPr="00817725" w:rsidRDefault="001C5306" w:rsidP="00817725">
      <w:pPr>
        <w:spacing w:after="0" w:line="360" w:lineRule="auto"/>
        <w:contextualSpacing/>
        <w:rPr>
          <w:rFonts w:ascii="Palatino Linotype" w:eastAsia="MS Mincho" w:hAnsi="Palatino Linotype" w:cs="Arial"/>
          <w:sz w:val="24"/>
          <w:szCs w:val="24"/>
          <w:lang w:val="es-ES_tradnl" w:eastAsia="es-MX"/>
        </w:rPr>
      </w:pPr>
    </w:p>
    <w:p w:rsidR="001C5306" w:rsidRPr="00817725" w:rsidRDefault="001C5306" w:rsidP="0081772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1C5306" w:rsidRPr="00817725" w:rsidRDefault="001C5306" w:rsidP="00817725">
      <w:pPr>
        <w:spacing w:after="0" w:line="360" w:lineRule="auto"/>
        <w:ind w:right="49"/>
        <w:contextualSpacing/>
        <w:jc w:val="both"/>
        <w:rPr>
          <w:rFonts w:ascii="Palatino Linotype" w:eastAsia="MS Mincho" w:hAnsi="Palatino Linotype" w:cs="Times New Roman"/>
          <w:sz w:val="24"/>
          <w:szCs w:val="24"/>
          <w:lang w:val="es-ES_tradnl" w:eastAsia="es-ES"/>
        </w:rPr>
      </w:pPr>
    </w:p>
    <w:p w:rsidR="001C5306" w:rsidRPr="00817725" w:rsidRDefault="001C5306" w:rsidP="0081772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1C5306" w:rsidRPr="00817725" w:rsidRDefault="001C5306" w:rsidP="00817725">
      <w:pPr>
        <w:spacing w:after="0" w:line="360" w:lineRule="auto"/>
        <w:ind w:right="49"/>
        <w:contextualSpacing/>
        <w:jc w:val="both"/>
        <w:rPr>
          <w:rFonts w:ascii="Palatino Linotype" w:eastAsia="MS Mincho" w:hAnsi="Palatino Linotype" w:cs="Times New Roman"/>
          <w:sz w:val="24"/>
          <w:szCs w:val="24"/>
          <w:lang w:val="es-ES_tradnl" w:eastAsia="es-ES"/>
        </w:rPr>
      </w:pPr>
    </w:p>
    <w:p w:rsidR="001C5306" w:rsidRPr="00817725" w:rsidRDefault="001C5306" w:rsidP="0081772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1C5306" w:rsidRPr="00817725" w:rsidRDefault="001C5306" w:rsidP="00817725">
      <w:pPr>
        <w:spacing w:after="0" w:line="360" w:lineRule="auto"/>
        <w:contextualSpacing/>
        <w:rPr>
          <w:rFonts w:ascii="Palatino Linotype" w:eastAsia="MS Mincho" w:hAnsi="Palatino Linotype" w:cs="Times New Roman"/>
          <w:sz w:val="24"/>
          <w:szCs w:val="24"/>
          <w:lang w:val="es-ES_tradnl" w:eastAsia="es-ES"/>
        </w:rPr>
      </w:pPr>
    </w:p>
    <w:p w:rsidR="001C5306" w:rsidRPr="00817725" w:rsidRDefault="001C5306" w:rsidP="0081772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C5306" w:rsidRPr="00817725" w:rsidRDefault="001C5306" w:rsidP="0081772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17725">
        <w:rPr>
          <w:rFonts w:ascii="Palatino Linotype" w:eastAsia="MS Mincho" w:hAnsi="Palatino Linotype" w:cs="Times New Roman"/>
          <w:sz w:val="24"/>
          <w:szCs w:val="24"/>
          <w:lang w:val="es-ES_tradnl" w:eastAsia="es-ES"/>
        </w:rPr>
        <w:t>Derivado</w:t>
      </w:r>
      <w:r w:rsidRPr="0081772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1C5306" w:rsidRPr="00817725" w:rsidRDefault="001C5306" w:rsidP="00817725">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1C5306" w:rsidRPr="00817725" w:rsidRDefault="001C5306" w:rsidP="00817725">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3" w:name="_Toc20387831"/>
      <w:r w:rsidRPr="00817725">
        <w:rPr>
          <w:rFonts w:ascii="Palatino Linotype" w:eastAsia="MS Mincho" w:hAnsi="Palatino Linotype" w:cstheme="majorBidi"/>
          <w:b/>
          <w:i/>
          <w:sz w:val="24"/>
          <w:szCs w:val="24"/>
          <w:lang w:val="es-ES_tradnl" w:eastAsia="es-ES"/>
        </w:rPr>
        <w:t>II. Análisis del contenido de la repuesta</w:t>
      </w:r>
      <w:bookmarkEnd w:id="73"/>
      <w:r w:rsidRPr="00817725">
        <w:rPr>
          <w:rFonts w:ascii="Palatino Linotype" w:eastAsia="MS Mincho" w:hAnsi="Palatino Linotype" w:cstheme="majorBidi"/>
          <w:b/>
          <w:i/>
          <w:sz w:val="24"/>
          <w:szCs w:val="24"/>
          <w:lang w:val="es-ES_tradnl" w:eastAsia="es-ES"/>
        </w:rPr>
        <w:t xml:space="preserve"> </w:t>
      </w:r>
    </w:p>
    <w:p w:rsidR="001C5306" w:rsidRPr="00817725" w:rsidRDefault="001C5306" w:rsidP="00817725">
      <w:pPr>
        <w:spacing w:line="360" w:lineRule="auto"/>
        <w:rPr>
          <w:rFonts w:ascii="Palatino Linotype" w:hAnsi="Palatino Linotype"/>
          <w:sz w:val="24"/>
          <w:szCs w:val="24"/>
          <w:lang w:val="es-ES_tradnl" w:eastAsia="es-ES"/>
        </w:rPr>
      </w:pPr>
    </w:p>
    <w:p w:rsidR="00E86065" w:rsidRPr="00817725" w:rsidRDefault="001C5306" w:rsidP="0081772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 xml:space="preserve">El particular tiene el interés de acceder </w:t>
      </w:r>
      <w:r w:rsidR="004971B4" w:rsidRPr="00817725">
        <w:rPr>
          <w:rFonts w:ascii="Palatino Linotype" w:eastAsia="MS Mincho" w:hAnsi="Palatino Linotype" w:cstheme="majorBidi"/>
          <w:sz w:val="24"/>
          <w:szCs w:val="24"/>
          <w:lang w:val="es-ES_tradnl" w:eastAsia="es-ES"/>
        </w:rPr>
        <w:t>al documento(s) de</w:t>
      </w:r>
      <w:r w:rsidR="00E86065" w:rsidRPr="00817725">
        <w:rPr>
          <w:rFonts w:ascii="Palatino Linotype" w:eastAsia="MS Mincho" w:hAnsi="Palatino Linotype" w:cstheme="majorBidi"/>
          <w:sz w:val="24"/>
          <w:szCs w:val="24"/>
          <w:lang w:val="es-ES_tradnl" w:eastAsia="es-ES"/>
        </w:rPr>
        <w:t xml:space="preserve"> la información relacionada con la</w:t>
      </w:r>
      <w:r w:rsidR="004971B4" w:rsidRPr="00817725">
        <w:rPr>
          <w:rFonts w:ascii="Palatino Linotype" w:eastAsia="MS Mincho" w:hAnsi="Palatino Linotype" w:cstheme="majorBidi"/>
          <w:sz w:val="24"/>
          <w:szCs w:val="24"/>
          <w:lang w:val="es-ES_tradnl" w:eastAsia="es-ES"/>
        </w:rPr>
        <w:t>s</w:t>
      </w:r>
      <w:r w:rsidR="00E86065" w:rsidRPr="00817725">
        <w:rPr>
          <w:rFonts w:ascii="Palatino Linotype" w:eastAsia="MS Mincho" w:hAnsi="Palatino Linotype" w:cstheme="majorBidi"/>
          <w:sz w:val="24"/>
          <w:szCs w:val="24"/>
          <w:lang w:val="es-ES_tradnl" w:eastAsia="es-ES"/>
        </w:rPr>
        <w:t xml:space="preserve"> Casa</w:t>
      </w:r>
      <w:r w:rsidR="004971B4" w:rsidRPr="00817725">
        <w:rPr>
          <w:rFonts w:ascii="Palatino Linotype" w:eastAsia="MS Mincho" w:hAnsi="Palatino Linotype" w:cstheme="majorBidi"/>
          <w:sz w:val="24"/>
          <w:szCs w:val="24"/>
          <w:lang w:val="es-ES_tradnl" w:eastAsia="es-ES"/>
        </w:rPr>
        <w:t>s</w:t>
      </w:r>
      <w:r w:rsidR="00E86065" w:rsidRPr="00817725">
        <w:rPr>
          <w:rFonts w:ascii="Palatino Linotype" w:eastAsia="MS Mincho" w:hAnsi="Palatino Linotype" w:cstheme="majorBidi"/>
          <w:sz w:val="24"/>
          <w:szCs w:val="24"/>
          <w:lang w:val="es-ES_tradnl" w:eastAsia="es-ES"/>
        </w:rPr>
        <w:t xml:space="preserve"> de</w:t>
      </w:r>
      <w:r w:rsidR="00D20992" w:rsidRPr="00817725">
        <w:rPr>
          <w:rFonts w:ascii="Palatino Linotype" w:eastAsia="MS Mincho" w:hAnsi="Palatino Linotype" w:cstheme="majorBidi"/>
          <w:sz w:val="24"/>
          <w:szCs w:val="24"/>
          <w:lang w:val="es-ES_tradnl" w:eastAsia="es-ES"/>
        </w:rPr>
        <w:t xml:space="preserve"> Estado</w:t>
      </w:r>
      <w:r w:rsidR="004971B4" w:rsidRPr="00817725">
        <w:rPr>
          <w:rFonts w:ascii="Palatino Linotype" w:eastAsia="MS Mincho" w:hAnsi="Palatino Linotype" w:cstheme="majorBidi"/>
          <w:sz w:val="24"/>
          <w:szCs w:val="24"/>
          <w:lang w:val="es-ES_tradnl" w:eastAsia="es-ES"/>
        </w:rPr>
        <w:t>, del periodo comprendido del ejercicio fiscal 2010 al 2019,</w:t>
      </w:r>
      <w:r w:rsidR="00D20992" w:rsidRPr="00817725">
        <w:rPr>
          <w:rFonts w:ascii="Palatino Linotype" w:eastAsia="MS Mincho" w:hAnsi="Palatino Linotype" w:cstheme="majorBidi"/>
          <w:sz w:val="24"/>
          <w:szCs w:val="24"/>
          <w:lang w:val="es-ES_tradnl" w:eastAsia="es-ES"/>
        </w:rPr>
        <w:t xml:space="preserve"> respecto de:</w:t>
      </w:r>
    </w:p>
    <w:p w:rsidR="00D20992" w:rsidRPr="00817725" w:rsidRDefault="00D20992" w:rsidP="00817725">
      <w:pPr>
        <w:spacing w:after="120" w:line="360" w:lineRule="auto"/>
        <w:ind w:right="49"/>
        <w:contextualSpacing/>
        <w:jc w:val="both"/>
        <w:rPr>
          <w:rFonts w:ascii="Palatino Linotype" w:eastAsia="MS Mincho" w:hAnsi="Palatino Linotype" w:cstheme="majorBidi"/>
          <w:sz w:val="24"/>
          <w:szCs w:val="24"/>
          <w:lang w:val="es-ES_tradnl" w:eastAsia="es-ES"/>
        </w:rPr>
      </w:pPr>
    </w:p>
    <w:p w:rsidR="00D20992"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D</w:t>
      </w:r>
      <w:r w:rsidR="00D20992" w:rsidRPr="00817725">
        <w:rPr>
          <w:rFonts w:ascii="Palatino Linotype" w:eastAsia="MS Mincho" w:hAnsi="Palatino Linotype" w:cstheme="majorBidi"/>
          <w:sz w:val="24"/>
          <w:szCs w:val="24"/>
          <w:lang w:val="es-ES_tradnl" w:eastAsia="es-ES"/>
        </w:rPr>
        <w:t>omicilio de las Casa</w:t>
      </w:r>
      <w:r w:rsidRPr="00817725">
        <w:rPr>
          <w:rFonts w:ascii="Palatino Linotype" w:eastAsia="MS Mincho" w:hAnsi="Palatino Linotype" w:cstheme="majorBidi"/>
          <w:sz w:val="24"/>
          <w:szCs w:val="24"/>
          <w:lang w:val="es-ES_tradnl" w:eastAsia="es-ES"/>
        </w:rPr>
        <w:t>s</w:t>
      </w:r>
      <w:r w:rsidR="00D20992" w:rsidRPr="00817725">
        <w:rPr>
          <w:rFonts w:ascii="Palatino Linotype" w:eastAsia="MS Mincho" w:hAnsi="Palatino Linotype" w:cstheme="majorBidi"/>
          <w:sz w:val="24"/>
          <w:szCs w:val="24"/>
          <w:lang w:val="es-ES_tradnl" w:eastAsia="es-ES"/>
        </w:rPr>
        <w:t xml:space="preserve"> de Estado.</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Pago predial y de agua.</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Presupuesto Anual destinado para la manutención, así como el uso que se le da.</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Personal del que se dispone (número de empleados y cargo)</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Nómina del personal (sueldo y cargo)</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Número de personas que habitan en la casa.</w:t>
      </w:r>
    </w:p>
    <w:p w:rsidR="004971B4" w:rsidRPr="00817725" w:rsidRDefault="004971B4" w:rsidP="00817725">
      <w:pPr>
        <w:pStyle w:val="Prrafodelista"/>
        <w:numPr>
          <w:ilvl w:val="0"/>
          <w:numId w:val="5"/>
        </w:numPr>
        <w:spacing w:after="120" w:line="360" w:lineRule="auto"/>
        <w:ind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Desglose del presupuesto asignado por partida, gasto o rubro.</w:t>
      </w:r>
    </w:p>
    <w:p w:rsidR="00D95126" w:rsidRPr="00817725" w:rsidRDefault="00D95126" w:rsidP="0081772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 xml:space="preserve">De lo anterior estando en tiempo y forma el </w:t>
      </w:r>
      <w:r w:rsidRPr="00817725">
        <w:rPr>
          <w:rFonts w:ascii="Palatino Linotype" w:eastAsia="MS Mincho" w:hAnsi="Palatino Linotype" w:cstheme="majorBidi"/>
          <w:b/>
          <w:sz w:val="24"/>
          <w:szCs w:val="24"/>
          <w:lang w:val="es-ES_tradnl" w:eastAsia="es-ES"/>
        </w:rPr>
        <w:t>SUJETO OBLIGADO</w:t>
      </w:r>
      <w:r w:rsidRPr="00817725">
        <w:rPr>
          <w:rFonts w:ascii="Palatino Linotype" w:eastAsia="MS Mincho" w:hAnsi="Palatino Linotype" w:cstheme="majorBidi"/>
          <w:sz w:val="24"/>
          <w:szCs w:val="24"/>
          <w:lang w:val="es-ES_tradnl" w:eastAsia="es-ES"/>
        </w:rPr>
        <w:t xml:space="preserve"> entregó a su consideración su respuesta a la solicitud del particular, la cual consiste en tres archivos digitales que corresponde a:</w:t>
      </w:r>
    </w:p>
    <w:p w:rsidR="00D95126" w:rsidRPr="00817725" w:rsidRDefault="00D95126" w:rsidP="00817725">
      <w:pPr>
        <w:spacing w:after="120" w:line="360" w:lineRule="auto"/>
        <w:ind w:right="49"/>
        <w:contextualSpacing/>
        <w:jc w:val="both"/>
        <w:rPr>
          <w:rFonts w:ascii="Palatino Linotype" w:eastAsia="MS Mincho" w:hAnsi="Palatino Linotype" w:cstheme="majorBidi"/>
          <w:sz w:val="24"/>
          <w:szCs w:val="24"/>
          <w:lang w:val="es-ES_tradnl" w:eastAsia="es-ES"/>
        </w:rPr>
      </w:pPr>
    </w:p>
    <w:p w:rsidR="009C06B3" w:rsidRPr="00817725" w:rsidRDefault="00D95126" w:rsidP="00817725">
      <w:pPr>
        <w:pStyle w:val="Prrafodelista"/>
        <w:numPr>
          <w:ilvl w:val="0"/>
          <w:numId w:val="6"/>
        </w:numPr>
        <w:spacing w:after="120" w:line="360" w:lineRule="auto"/>
        <w:ind w:left="567"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b/>
          <w:sz w:val="24"/>
          <w:szCs w:val="24"/>
          <w:lang w:val="es-ES_tradnl" w:eastAsia="es-ES"/>
        </w:rPr>
        <w:t>484 UAAG.pdf</w:t>
      </w:r>
      <w:r w:rsidRPr="00817725">
        <w:rPr>
          <w:rFonts w:ascii="Palatino Linotype" w:eastAsia="MS Mincho" w:hAnsi="Palatino Linotype" w:cstheme="majorBidi"/>
          <w:sz w:val="24"/>
          <w:szCs w:val="24"/>
          <w:lang w:val="es-ES_tradnl" w:eastAsia="es-ES"/>
        </w:rPr>
        <w:t xml:space="preserve">, se integra de diez hojas que corresponde al oficio 20701002A/0580/2019 </w:t>
      </w:r>
      <w:r w:rsidR="002573C3" w:rsidRPr="00817725">
        <w:rPr>
          <w:rFonts w:ascii="Palatino Linotype" w:eastAsia="MS Mincho" w:hAnsi="Palatino Linotype" w:cstheme="majorBidi"/>
          <w:sz w:val="24"/>
          <w:szCs w:val="24"/>
          <w:lang w:val="es-ES_tradnl" w:eastAsia="es-ES"/>
        </w:rPr>
        <w:t>en el que se precisa que no cuenta con la información relativa a los años 2010 al 2012,</w:t>
      </w:r>
      <w:r w:rsidR="009C06B3" w:rsidRPr="00817725">
        <w:rPr>
          <w:rFonts w:ascii="Palatino Linotype" w:eastAsia="MS Mincho" w:hAnsi="Palatino Linotype" w:cstheme="majorBidi"/>
          <w:sz w:val="24"/>
          <w:szCs w:val="24"/>
          <w:lang w:val="es-ES_tradnl" w:eastAsia="es-ES"/>
        </w:rPr>
        <w:t xml:space="preserve"> </w:t>
      </w:r>
      <w:r w:rsidR="00287D40" w:rsidRPr="00817725">
        <w:rPr>
          <w:rFonts w:ascii="Palatino Linotype" w:eastAsia="MS Mincho" w:hAnsi="Palatino Linotype" w:cstheme="majorBidi"/>
          <w:sz w:val="24"/>
          <w:szCs w:val="24"/>
          <w:lang w:val="es-ES_tradnl" w:eastAsia="es-ES"/>
        </w:rPr>
        <w:t>se proporcionó e</w:t>
      </w:r>
      <w:r w:rsidR="009C06B3" w:rsidRPr="00817725">
        <w:rPr>
          <w:rFonts w:ascii="Palatino Linotype" w:eastAsia="MS Mincho" w:hAnsi="Palatino Linotype" w:cstheme="majorBidi"/>
          <w:sz w:val="24"/>
          <w:szCs w:val="24"/>
          <w:lang w:val="es-ES_tradnl" w:eastAsia="es-ES"/>
        </w:rPr>
        <w:t>l domicilio de la Casa</w:t>
      </w:r>
      <w:r w:rsidR="002573C3" w:rsidRPr="00817725">
        <w:rPr>
          <w:rFonts w:ascii="Palatino Linotype" w:eastAsia="MS Mincho" w:hAnsi="Palatino Linotype" w:cstheme="majorBidi"/>
          <w:sz w:val="24"/>
          <w:szCs w:val="24"/>
          <w:lang w:val="es-ES_tradnl" w:eastAsia="es-ES"/>
        </w:rPr>
        <w:t xml:space="preserve"> </w:t>
      </w:r>
      <w:r w:rsidR="00287D40" w:rsidRPr="00817725">
        <w:rPr>
          <w:rFonts w:ascii="Palatino Linotype" w:eastAsia="MS Mincho" w:hAnsi="Palatino Linotype" w:cstheme="majorBidi"/>
          <w:sz w:val="24"/>
          <w:szCs w:val="24"/>
          <w:lang w:val="es-ES_tradnl" w:eastAsia="es-ES"/>
        </w:rPr>
        <w:t>de Estado se ubica</w:t>
      </w:r>
      <w:r w:rsidR="009C06B3" w:rsidRPr="00817725">
        <w:rPr>
          <w:rFonts w:ascii="Palatino Linotype" w:eastAsia="MS Mincho" w:hAnsi="Palatino Linotype" w:cstheme="majorBidi"/>
          <w:sz w:val="24"/>
          <w:szCs w:val="24"/>
          <w:lang w:val="es-ES_tradnl" w:eastAsia="es-ES"/>
        </w:rPr>
        <w:t xml:space="preserve"> en Paseo Colon N° 305, Colonia Ciprés, C.P. 50120, Toluca, Estado de México; refiriendo que para el resto de la información esta reguardada en diferentes cajas, resultando un aproximado de 459,131 documentos, por lo que se solicitó el cambio de modalidad de entrega a vía in situ, en razón </w:t>
      </w:r>
      <w:r w:rsidR="00A669D3" w:rsidRPr="00817725">
        <w:rPr>
          <w:rFonts w:ascii="Palatino Linotype" w:eastAsia="MS Mincho" w:hAnsi="Palatino Linotype" w:cstheme="majorBidi"/>
          <w:sz w:val="24"/>
          <w:szCs w:val="24"/>
          <w:lang w:val="es-ES_tradnl" w:eastAsia="es-ES"/>
        </w:rPr>
        <w:t>de que se tiene</w:t>
      </w:r>
      <w:r w:rsidR="009C06B3" w:rsidRPr="00817725">
        <w:rPr>
          <w:rFonts w:ascii="Palatino Linotype" w:eastAsia="MS Mincho" w:hAnsi="Palatino Linotype" w:cstheme="majorBidi"/>
          <w:sz w:val="24"/>
          <w:szCs w:val="24"/>
          <w:lang w:val="es-ES_tradnl" w:eastAsia="es-ES"/>
        </w:rPr>
        <w:t xml:space="preserve"> que fotocopiar los documentos, prepara la versión pública y digitalizar la información</w:t>
      </w:r>
      <w:r w:rsidR="00A669D3" w:rsidRPr="00817725">
        <w:rPr>
          <w:rFonts w:ascii="Palatino Linotype" w:eastAsia="MS Mincho" w:hAnsi="Palatino Linotype" w:cstheme="majorBidi"/>
          <w:sz w:val="24"/>
          <w:szCs w:val="24"/>
          <w:lang w:val="es-ES_tradnl" w:eastAsia="es-ES"/>
        </w:rPr>
        <w:t xml:space="preserve">, no obstante que la información  excede la capacidad de almacenamiento que soporta el Sistema de Acceso a la Información Mexiquense (SAIMEX). Asimismo se hizo del conocimiento del particular que de solicitar copias de la información deberá de realizar el respectivo pago de derechos, como de igual forma la pretendida clasificación de información confidencial y la </w:t>
      </w:r>
      <w:r w:rsidR="007F7938" w:rsidRPr="00817725">
        <w:rPr>
          <w:rFonts w:ascii="Palatino Linotype" w:eastAsia="MS Mincho" w:hAnsi="Palatino Linotype" w:cstheme="majorBidi"/>
          <w:sz w:val="24"/>
          <w:szCs w:val="24"/>
          <w:lang w:val="es-ES_tradnl" w:eastAsia="es-ES"/>
        </w:rPr>
        <w:t xml:space="preserve">forma en que el particular podrá consultar la información, refiriendo el lugar, horario, a partir de qué fecha, la cantidad de la información </w:t>
      </w:r>
      <w:r w:rsidR="00935ABD" w:rsidRPr="00817725">
        <w:rPr>
          <w:rFonts w:ascii="Palatino Linotype" w:eastAsia="MS Mincho" w:hAnsi="Palatino Linotype" w:cstheme="majorBidi"/>
          <w:sz w:val="24"/>
          <w:szCs w:val="24"/>
          <w:lang w:val="es-ES_tradnl" w:eastAsia="es-ES"/>
        </w:rPr>
        <w:t>que podrá ser consultada por cada visita y el día de asistencia.</w:t>
      </w:r>
    </w:p>
    <w:p w:rsidR="00D95126" w:rsidRPr="00817725" w:rsidRDefault="00935ABD" w:rsidP="00817725">
      <w:pPr>
        <w:pStyle w:val="Prrafodelista"/>
        <w:spacing w:after="0" w:line="360" w:lineRule="auto"/>
        <w:ind w:left="567"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 xml:space="preserve">Asimismo se adjuntó al oficio de referencia </w:t>
      </w:r>
      <w:r w:rsidR="00D95126" w:rsidRPr="00817725">
        <w:rPr>
          <w:rFonts w:ascii="Palatino Linotype" w:eastAsia="MS Mincho" w:hAnsi="Palatino Linotype" w:cstheme="majorBidi"/>
          <w:sz w:val="24"/>
          <w:szCs w:val="24"/>
          <w:lang w:val="es-ES_tradnl" w:eastAsia="es-ES"/>
        </w:rPr>
        <w:t xml:space="preserve">el listado del personal </w:t>
      </w:r>
      <w:r w:rsidR="003F6022" w:rsidRPr="00817725">
        <w:rPr>
          <w:rFonts w:ascii="Palatino Linotype" w:eastAsia="MS Mincho" w:hAnsi="Palatino Linotype" w:cstheme="majorBidi"/>
          <w:sz w:val="24"/>
          <w:szCs w:val="24"/>
          <w:lang w:val="es-ES_tradnl" w:eastAsia="es-ES"/>
        </w:rPr>
        <w:t>en el que se precisa puesto, nivel y rango, sueldo bruto y neto, de los años 2013 al 2019</w:t>
      </w:r>
      <w:r w:rsidRPr="00817725">
        <w:rPr>
          <w:rFonts w:ascii="Palatino Linotype" w:eastAsia="MS Mincho" w:hAnsi="Palatino Linotype" w:cstheme="majorBidi"/>
          <w:sz w:val="24"/>
          <w:szCs w:val="24"/>
          <w:lang w:val="es-ES_tradnl" w:eastAsia="es-ES"/>
        </w:rPr>
        <w:t xml:space="preserve"> y precisando que la casa es habitada solamente por el mandatario estatal, su esposa e hijos.</w:t>
      </w:r>
    </w:p>
    <w:p w:rsidR="00935ABD" w:rsidRPr="00817725" w:rsidRDefault="00935ABD" w:rsidP="00817725">
      <w:pPr>
        <w:pStyle w:val="Prrafodelista"/>
        <w:spacing w:after="0" w:line="360" w:lineRule="auto"/>
        <w:ind w:right="49"/>
        <w:jc w:val="both"/>
        <w:rPr>
          <w:rFonts w:ascii="Palatino Linotype" w:eastAsia="MS Mincho" w:hAnsi="Palatino Linotype" w:cstheme="majorBidi"/>
          <w:sz w:val="24"/>
          <w:szCs w:val="24"/>
          <w:lang w:val="es-ES_tradnl" w:eastAsia="es-ES"/>
        </w:rPr>
      </w:pPr>
    </w:p>
    <w:p w:rsidR="00935ABD" w:rsidRPr="00817725" w:rsidRDefault="00935ABD" w:rsidP="00817725">
      <w:pPr>
        <w:pStyle w:val="Prrafodelista"/>
        <w:numPr>
          <w:ilvl w:val="0"/>
          <w:numId w:val="6"/>
        </w:numPr>
        <w:spacing w:after="0" w:line="360" w:lineRule="auto"/>
        <w:ind w:left="567"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b/>
          <w:sz w:val="24"/>
          <w:szCs w:val="24"/>
          <w:lang w:val="es-ES_tradnl" w:eastAsia="es-ES"/>
        </w:rPr>
        <w:t>UIPPE 484.pdf</w:t>
      </w:r>
      <w:r w:rsidRPr="00817725">
        <w:rPr>
          <w:rFonts w:ascii="Palatino Linotype" w:eastAsia="MS Mincho" w:hAnsi="Palatino Linotype" w:cstheme="majorBidi"/>
          <w:sz w:val="24"/>
          <w:szCs w:val="24"/>
          <w:lang w:val="es-ES_tradnl" w:eastAsia="es-ES"/>
        </w:rPr>
        <w:t>, oficio 20700004S/UT-1589/2019 mediante el cual se informa al solicitante la respuesta remitida por la servidora pública habilitada.</w:t>
      </w:r>
    </w:p>
    <w:p w:rsidR="00265FA0" w:rsidRPr="00817725" w:rsidRDefault="00265FA0" w:rsidP="00817725">
      <w:pPr>
        <w:pStyle w:val="Prrafodelista"/>
        <w:spacing w:after="120" w:line="360" w:lineRule="auto"/>
        <w:ind w:left="567" w:right="49"/>
        <w:jc w:val="both"/>
        <w:rPr>
          <w:rFonts w:ascii="Palatino Linotype" w:eastAsia="MS Mincho" w:hAnsi="Palatino Linotype" w:cstheme="majorBidi"/>
          <w:sz w:val="24"/>
          <w:szCs w:val="24"/>
          <w:lang w:val="es-ES_tradnl" w:eastAsia="es-ES"/>
        </w:rPr>
      </w:pPr>
    </w:p>
    <w:p w:rsidR="00D95126" w:rsidRPr="00817725" w:rsidRDefault="00265FA0" w:rsidP="00817725">
      <w:pPr>
        <w:pStyle w:val="Prrafodelista"/>
        <w:numPr>
          <w:ilvl w:val="0"/>
          <w:numId w:val="6"/>
        </w:numPr>
        <w:spacing w:after="120" w:line="360" w:lineRule="auto"/>
        <w:ind w:left="567" w:right="49"/>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b/>
          <w:sz w:val="24"/>
          <w:szCs w:val="24"/>
          <w:lang w:val="es-ES_tradnl" w:eastAsia="es-ES"/>
        </w:rPr>
        <w:t>CT-2019-0128.pdf,</w:t>
      </w:r>
      <w:r w:rsidRPr="00817725">
        <w:rPr>
          <w:rFonts w:ascii="Palatino Linotype" w:eastAsia="MS Mincho" w:hAnsi="Palatino Linotype" w:cstheme="majorBidi"/>
          <w:sz w:val="24"/>
          <w:szCs w:val="24"/>
          <w:lang w:val="es-ES_tradnl" w:eastAsia="es-ES"/>
        </w:rPr>
        <w:t xml:space="preserve"> </w:t>
      </w:r>
      <w:r w:rsidR="00E74FE9" w:rsidRPr="00817725">
        <w:rPr>
          <w:rFonts w:ascii="Palatino Linotype" w:eastAsia="MS Mincho" w:hAnsi="Palatino Linotype" w:cstheme="majorBidi"/>
          <w:sz w:val="24"/>
          <w:szCs w:val="24"/>
          <w:lang w:val="es-ES_tradnl" w:eastAsia="es-ES"/>
        </w:rPr>
        <w:t>Resolución del Comité de Transparencia del Sujeto Obligado por el cual se resuelve la clasificación de información confidencial  correspondiente a: Número telefónico particular, Domicilio particular, Correos electrónico, firma, Clave única de registro de población, Numero de Credencial para votar, Registro Federal de Contribuyentes, Números de Cuentas Bancarias, Código Bidimensionales o Código QR</w:t>
      </w:r>
      <w:r w:rsidR="00D65C68" w:rsidRPr="00817725">
        <w:rPr>
          <w:rFonts w:ascii="Palatino Linotype" w:eastAsia="MS Mincho" w:hAnsi="Palatino Linotype" w:cstheme="majorBidi"/>
          <w:sz w:val="24"/>
          <w:szCs w:val="24"/>
          <w:lang w:val="es-ES_tradnl" w:eastAsia="es-ES"/>
        </w:rPr>
        <w:t xml:space="preserve"> y fotografía, información que a su dicho obra en la documentación del periodo 2010 al 2019.</w:t>
      </w:r>
    </w:p>
    <w:p w:rsidR="00D95126" w:rsidRPr="00817725" w:rsidRDefault="00D65C68" w:rsidP="0081772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De la respuesta proporciona</w:t>
      </w:r>
      <w:r w:rsidR="001B5574" w:rsidRPr="00817725">
        <w:rPr>
          <w:rFonts w:ascii="Palatino Linotype" w:eastAsia="MS Mincho" w:hAnsi="Palatino Linotype" w:cstheme="majorBidi"/>
          <w:sz w:val="24"/>
          <w:szCs w:val="24"/>
          <w:lang w:val="es-ES_tradnl" w:eastAsia="es-ES"/>
        </w:rPr>
        <w:t>,</w:t>
      </w:r>
      <w:r w:rsidRPr="00817725">
        <w:rPr>
          <w:rFonts w:ascii="Palatino Linotype" w:eastAsia="MS Mincho" w:hAnsi="Palatino Linotype" w:cstheme="majorBidi"/>
          <w:sz w:val="24"/>
          <w:szCs w:val="24"/>
          <w:lang w:val="es-ES_tradnl" w:eastAsia="es-ES"/>
        </w:rPr>
        <w:t xml:space="preserve"> el particular se inconformó por la pretendida clasificación de información como confidencial </w:t>
      </w:r>
      <w:r w:rsidR="001B5574" w:rsidRPr="00817725">
        <w:rPr>
          <w:rFonts w:ascii="Palatino Linotype" w:eastAsia="MS Mincho" w:hAnsi="Palatino Linotype" w:cstheme="majorBidi"/>
          <w:sz w:val="24"/>
          <w:szCs w:val="24"/>
          <w:lang w:val="es-ES_tradnl" w:eastAsia="es-ES"/>
        </w:rPr>
        <w:t xml:space="preserve">en los </w:t>
      </w:r>
      <w:r w:rsidR="0046469F" w:rsidRPr="00817725">
        <w:rPr>
          <w:rFonts w:ascii="Palatino Linotype" w:eastAsia="MS Mincho" w:hAnsi="Palatino Linotype" w:cstheme="majorBidi"/>
          <w:sz w:val="24"/>
          <w:szCs w:val="24"/>
          <w:lang w:val="es-ES_tradnl" w:eastAsia="es-ES"/>
        </w:rPr>
        <w:t xml:space="preserve">recibos de pago predial y que para el caso de los presupuestos se encuentran en cajas, argumentos que resulta </w:t>
      </w:r>
      <w:r w:rsidR="00132113" w:rsidRPr="00817725">
        <w:rPr>
          <w:rFonts w:ascii="Palatino Linotype" w:eastAsia="MS Mincho" w:hAnsi="Palatino Linotype" w:cstheme="majorBidi"/>
          <w:sz w:val="24"/>
          <w:szCs w:val="24"/>
          <w:lang w:val="es-ES_tradnl" w:eastAsia="es-ES"/>
        </w:rPr>
        <w:t xml:space="preserve">parcialmente </w:t>
      </w:r>
      <w:r w:rsidR="0046469F" w:rsidRPr="00817725">
        <w:rPr>
          <w:rFonts w:ascii="Palatino Linotype" w:eastAsia="MS Mincho" w:hAnsi="Palatino Linotype" w:cstheme="majorBidi"/>
          <w:sz w:val="24"/>
          <w:szCs w:val="24"/>
          <w:lang w:val="es-ES_tradnl" w:eastAsia="es-ES"/>
        </w:rPr>
        <w:t>fundado</w:t>
      </w:r>
      <w:r w:rsidR="009041B9" w:rsidRPr="00817725">
        <w:rPr>
          <w:rFonts w:ascii="Palatino Linotype" w:eastAsia="MS Mincho" w:hAnsi="Palatino Linotype" w:cstheme="majorBidi"/>
          <w:sz w:val="24"/>
          <w:szCs w:val="24"/>
          <w:lang w:val="es-ES_tradnl" w:eastAsia="es-ES"/>
        </w:rPr>
        <w:t xml:space="preserve">s </w:t>
      </w:r>
      <w:r w:rsidR="0046469F" w:rsidRPr="00817725">
        <w:rPr>
          <w:rFonts w:ascii="Palatino Linotype" w:eastAsia="MS Mincho" w:hAnsi="Palatino Linotype" w:cstheme="majorBidi"/>
          <w:sz w:val="24"/>
          <w:szCs w:val="24"/>
          <w:lang w:val="es-ES_tradnl" w:eastAsia="es-ES"/>
        </w:rPr>
        <w:t>por la siguientes razones de hecho y derecho.</w:t>
      </w:r>
    </w:p>
    <w:p w:rsidR="00D95126" w:rsidRPr="00817725" w:rsidRDefault="00D95126" w:rsidP="00817725">
      <w:pPr>
        <w:spacing w:after="120" w:line="360" w:lineRule="auto"/>
        <w:ind w:right="49"/>
        <w:contextualSpacing/>
        <w:jc w:val="both"/>
        <w:rPr>
          <w:rFonts w:ascii="Palatino Linotype" w:eastAsia="MS Mincho" w:hAnsi="Palatino Linotype" w:cstheme="majorBidi"/>
          <w:sz w:val="24"/>
          <w:szCs w:val="24"/>
          <w:lang w:val="es-ES_tradnl" w:eastAsia="es-ES"/>
        </w:rPr>
      </w:pPr>
    </w:p>
    <w:p w:rsidR="0046469F" w:rsidRPr="00817725" w:rsidRDefault="0046469F" w:rsidP="0081772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 xml:space="preserve">Posteriormente estando en tiempo y forma el </w:t>
      </w:r>
      <w:r w:rsidRPr="00817725">
        <w:rPr>
          <w:rFonts w:ascii="Palatino Linotype" w:eastAsia="MS Mincho" w:hAnsi="Palatino Linotype" w:cstheme="majorBidi"/>
          <w:b/>
          <w:sz w:val="24"/>
          <w:szCs w:val="24"/>
          <w:lang w:val="es-ES_tradnl" w:eastAsia="es-ES"/>
        </w:rPr>
        <w:t>SUJETO OBLIGADO</w:t>
      </w:r>
      <w:r w:rsidRPr="00817725">
        <w:rPr>
          <w:rFonts w:ascii="Palatino Linotype" w:eastAsia="MS Mincho" w:hAnsi="Palatino Linotype" w:cstheme="majorBidi"/>
          <w:sz w:val="24"/>
          <w:szCs w:val="24"/>
          <w:lang w:val="es-ES_tradnl" w:eastAsia="es-ES"/>
        </w:rPr>
        <w:t xml:space="preserve"> presentó su respectivo informe justificado </w:t>
      </w:r>
      <w:r w:rsidR="00132113" w:rsidRPr="00817725">
        <w:rPr>
          <w:rFonts w:ascii="Palatino Linotype" w:eastAsia="MS Mincho" w:hAnsi="Palatino Linotype" w:cstheme="majorBidi"/>
          <w:sz w:val="24"/>
          <w:szCs w:val="24"/>
          <w:lang w:val="es-ES_tradnl" w:eastAsia="es-ES"/>
        </w:rPr>
        <w:t>mediante el cual ratifica</w:t>
      </w:r>
      <w:r w:rsidR="009E16FA" w:rsidRPr="00817725">
        <w:rPr>
          <w:rFonts w:ascii="Palatino Linotype" w:eastAsia="MS Mincho" w:hAnsi="Palatino Linotype" w:cstheme="majorBidi"/>
          <w:sz w:val="24"/>
          <w:szCs w:val="24"/>
          <w:lang w:val="es-ES_tradnl" w:eastAsia="es-ES"/>
        </w:rPr>
        <w:t xml:space="preserve"> en su totalidad su respuesta inicial tal como se describe en los anteced</w:t>
      </w:r>
      <w:r w:rsidR="00132113" w:rsidRPr="00817725">
        <w:rPr>
          <w:rFonts w:ascii="Palatino Linotype" w:eastAsia="MS Mincho" w:hAnsi="Palatino Linotype" w:cstheme="majorBidi"/>
          <w:sz w:val="24"/>
          <w:szCs w:val="24"/>
          <w:lang w:val="es-ES_tradnl" w:eastAsia="es-ES"/>
        </w:rPr>
        <w:t>entes de la presente resolución y proporciona las cantidades presupuestales asignadas durante los ejercicios fiscales 2013 al 2019 correspondiente a los rubros de Materiales y Suministros y Servicios Generales.</w:t>
      </w:r>
    </w:p>
    <w:p w:rsidR="009E16FA" w:rsidRDefault="00CC131D" w:rsidP="00817725">
      <w:pPr>
        <w:pStyle w:val="Ttulo1"/>
        <w:spacing w:line="360" w:lineRule="auto"/>
        <w:rPr>
          <w:rFonts w:ascii="Palatino Linotype" w:eastAsia="MS Mincho" w:hAnsi="Palatino Linotype"/>
          <w:b/>
          <w:i/>
          <w:color w:val="auto"/>
          <w:sz w:val="24"/>
          <w:szCs w:val="24"/>
          <w:lang w:val="es-ES_tradnl" w:eastAsia="es-ES"/>
        </w:rPr>
      </w:pPr>
      <w:bookmarkStart w:id="74" w:name="_Toc20387832"/>
      <w:r w:rsidRPr="00817725">
        <w:rPr>
          <w:rFonts w:ascii="Palatino Linotype" w:eastAsia="MS Mincho" w:hAnsi="Palatino Linotype"/>
          <w:b/>
          <w:i/>
          <w:color w:val="auto"/>
          <w:sz w:val="24"/>
          <w:szCs w:val="24"/>
          <w:lang w:val="es-ES_tradnl" w:eastAsia="es-ES"/>
        </w:rPr>
        <w:t xml:space="preserve">III. </w:t>
      </w:r>
      <w:r w:rsidR="00132113" w:rsidRPr="00817725">
        <w:rPr>
          <w:rFonts w:ascii="Palatino Linotype" w:eastAsia="MS Mincho" w:hAnsi="Palatino Linotype"/>
          <w:b/>
          <w:i/>
          <w:color w:val="auto"/>
          <w:sz w:val="24"/>
          <w:szCs w:val="24"/>
          <w:lang w:val="es-ES_tradnl" w:eastAsia="es-ES"/>
        </w:rPr>
        <w:t>De la solicitud de</w:t>
      </w:r>
      <w:r w:rsidR="00F71A9E" w:rsidRPr="00817725">
        <w:rPr>
          <w:rFonts w:ascii="Palatino Linotype" w:eastAsia="MS Mincho" w:hAnsi="Palatino Linotype"/>
          <w:b/>
          <w:i/>
          <w:color w:val="auto"/>
          <w:sz w:val="24"/>
          <w:szCs w:val="24"/>
          <w:lang w:val="es-ES_tradnl" w:eastAsia="es-ES"/>
        </w:rPr>
        <w:t xml:space="preserve"> cambio de modalidad.</w:t>
      </w:r>
      <w:bookmarkEnd w:id="74"/>
    </w:p>
    <w:p w:rsidR="00817725" w:rsidRPr="00817725" w:rsidRDefault="00817725" w:rsidP="00817725">
      <w:pPr>
        <w:rPr>
          <w:lang w:val="es-ES_tradnl" w:eastAsia="es-ES"/>
        </w:rPr>
      </w:pPr>
    </w:p>
    <w:p w:rsidR="00CC131D" w:rsidRDefault="00CC131D" w:rsidP="00817725">
      <w:pPr>
        <w:pStyle w:val="Prrafodelista"/>
        <w:numPr>
          <w:ilvl w:val="0"/>
          <w:numId w:val="2"/>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E</w:t>
      </w:r>
      <w:r w:rsidR="00132113" w:rsidRPr="00817725">
        <w:rPr>
          <w:rFonts w:ascii="Palatino Linotype" w:eastAsia="MS Mincho" w:hAnsi="Palatino Linotype" w:cstheme="majorBidi"/>
          <w:sz w:val="24"/>
          <w:szCs w:val="24"/>
          <w:lang w:val="es-ES_tradnl" w:eastAsia="es-ES"/>
        </w:rPr>
        <w:t>n el</w:t>
      </w:r>
      <w:r w:rsidRPr="00817725">
        <w:rPr>
          <w:rFonts w:ascii="Palatino Linotype" w:eastAsia="MS Mincho" w:hAnsi="Palatino Linotype" w:cstheme="majorBidi"/>
          <w:sz w:val="24"/>
          <w:szCs w:val="24"/>
          <w:lang w:val="es-ES_tradnl" w:eastAsia="es-ES"/>
        </w:rPr>
        <w:t xml:space="preserve"> cambio de modalidad de entrega de la información solicitad</w:t>
      </w:r>
      <w:r w:rsidR="00132113" w:rsidRPr="00817725">
        <w:rPr>
          <w:rFonts w:ascii="Palatino Linotype" w:eastAsia="MS Mincho" w:hAnsi="Palatino Linotype" w:cstheme="majorBidi"/>
          <w:sz w:val="24"/>
          <w:szCs w:val="24"/>
          <w:lang w:val="es-ES_tradnl" w:eastAsia="es-ES"/>
        </w:rPr>
        <w:t>a</w:t>
      </w:r>
      <w:r w:rsidRPr="00817725">
        <w:rPr>
          <w:rFonts w:ascii="Palatino Linotype" w:eastAsia="MS Mincho" w:hAnsi="Palatino Linotype" w:cstheme="majorBidi"/>
          <w:sz w:val="24"/>
          <w:szCs w:val="24"/>
          <w:lang w:val="es-ES_tradnl" w:eastAsia="es-ES"/>
        </w:rPr>
        <w:t xml:space="preserve"> por parte del </w:t>
      </w:r>
      <w:r w:rsidRPr="00817725">
        <w:rPr>
          <w:rFonts w:ascii="Palatino Linotype" w:eastAsia="MS Mincho" w:hAnsi="Palatino Linotype" w:cstheme="majorBidi"/>
          <w:b/>
          <w:sz w:val="24"/>
          <w:szCs w:val="24"/>
          <w:lang w:val="es-ES_tradnl" w:eastAsia="es-ES"/>
        </w:rPr>
        <w:t>SUJETO OBLIGADO</w:t>
      </w:r>
      <w:r w:rsidRPr="00817725">
        <w:rPr>
          <w:rFonts w:ascii="Palatino Linotype" w:eastAsia="MS Mincho" w:hAnsi="Palatino Linotype" w:cstheme="majorBidi"/>
          <w:sz w:val="24"/>
          <w:szCs w:val="24"/>
          <w:lang w:val="es-ES_tradnl" w:eastAsia="es-ES"/>
        </w:rPr>
        <w:t xml:space="preserve"> se puede observar que éste refiere </w:t>
      </w:r>
      <w:r w:rsidR="00132113" w:rsidRPr="00817725">
        <w:rPr>
          <w:rFonts w:ascii="Palatino Linotype" w:eastAsia="MS Mincho" w:hAnsi="Palatino Linotype" w:cstheme="majorBidi"/>
          <w:sz w:val="24"/>
          <w:szCs w:val="24"/>
          <w:lang w:val="es-ES_tradnl" w:eastAsia="es-ES"/>
        </w:rPr>
        <w:t xml:space="preserve">la </w:t>
      </w:r>
      <w:r w:rsidRPr="00817725">
        <w:rPr>
          <w:rFonts w:ascii="Palatino Linotype" w:eastAsia="MS Mincho" w:hAnsi="Palatino Linotype" w:cstheme="majorBidi"/>
          <w:sz w:val="24"/>
          <w:szCs w:val="24"/>
          <w:lang w:val="es-ES_tradnl" w:eastAsia="es-ES"/>
        </w:rPr>
        <w:t>cantidad de la información  que dará respuesta a la totalidad de la solicitud</w:t>
      </w:r>
      <w:r w:rsidR="00132113" w:rsidRPr="00817725">
        <w:rPr>
          <w:rFonts w:ascii="Palatino Linotype" w:eastAsia="MS Mincho" w:hAnsi="Palatino Linotype" w:cstheme="majorBidi"/>
          <w:sz w:val="24"/>
          <w:szCs w:val="24"/>
          <w:lang w:val="es-ES_tradnl" w:eastAsia="es-ES"/>
        </w:rPr>
        <w:t>,</w:t>
      </w:r>
      <w:r w:rsidRPr="00817725">
        <w:rPr>
          <w:rFonts w:ascii="Palatino Linotype" w:eastAsia="MS Mincho" w:hAnsi="Palatino Linotype" w:cstheme="majorBidi"/>
          <w:sz w:val="24"/>
          <w:szCs w:val="24"/>
          <w:lang w:val="es-ES_tradnl" w:eastAsia="es-ES"/>
        </w:rPr>
        <w:t xml:space="preserve"> misma que consiste en un aproximado de 459,131 hojas, requisito necesario e indispensable para que sea procedente dicha acción a consulta directa.</w:t>
      </w:r>
    </w:p>
    <w:p w:rsidR="00817725" w:rsidRPr="00817725" w:rsidRDefault="00817725" w:rsidP="00817725">
      <w:pPr>
        <w:pStyle w:val="Prrafodelista"/>
        <w:shd w:val="clear" w:color="auto" w:fill="FFFFFF"/>
        <w:spacing w:after="0" w:line="360" w:lineRule="auto"/>
        <w:ind w:left="0" w:right="49"/>
        <w:jc w:val="both"/>
        <w:rPr>
          <w:rFonts w:ascii="Palatino Linotype" w:eastAsia="MS Mincho" w:hAnsi="Palatino Linotype" w:cstheme="majorBidi"/>
          <w:sz w:val="24"/>
          <w:szCs w:val="24"/>
          <w:lang w:val="es-ES_tradnl" w:eastAsia="es-ES"/>
        </w:rPr>
      </w:pPr>
    </w:p>
    <w:p w:rsidR="00CC131D" w:rsidRPr="00817725" w:rsidRDefault="00CC131D" w:rsidP="00817725">
      <w:pPr>
        <w:pStyle w:val="Prrafodelista"/>
        <w:numPr>
          <w:ilvl w:val="0"/>
          <w:numId w:val="2"/>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817725">
        <w:rPr>
          <w:rFonts w:ascii="Palatino Linotype" w:eastAsia="Cambria" w:hAnsi="Palatino Linotype" w:cs="Times New Roman"/>
          <w:sz w:val="24"/>
          <w:szCs w:val="24"/>
        </w:rPr>
        <w:t xml:space="preserve">Además, es importante referir que el cambio de modalidad solicitado </w:t>
      </w:r>
      <w:r w:rsidR="00132113" w:rsidRPr="00817725">
        <w:rPr>
          <w:rFonts w:ascii="Palatino Linotype" w:eastAsia="Cambria" w:hAnsi="Palatino Linotype" w:cs="Times New Roman"/>
          <w:sz w:val="24"/>
          <w:szCs w:val="24"/>
        </w:rPr>
        <w:t xml:space="preserve">por </w:t>
      </w:r>
      <w:r w:rsidRPr="00817725">
        <w:rPr>
          <w:rFonts w:ascii="Palatino Linotype" w:eastAsia="Cambria" w:hAnsi="Palatino Linotype" w:cs="Times New Roman"/>
          <w:sz w:val="24"/>
          <w:szCs w:val="24"/>
        </w:rPr>
        <w:t xml:space="preserve">el  </w:t>
      </w:r>
      <w:r w:rsidRPr="00817725">
        <w:rPr>
          <w:rFonts w:ascii="Palatino Linotype" w:eastAsia="Cambria" w:hAnsi="Palatino Linotype" w:cs="Times New Roman"/>
          <w:b/>
          <w:sz w:val="24"/>
          <w:szCs w:val="24"/>
        </w:rPr>
        <w:t>SUJETO OBLIGADO</w:t>
      </w:r>
      <w:r w:rsidRPr="00817725">
        <w:rPr>
          <w:rFonts w:ascii="Palatino Linotype" w:eastAsia="Cambria" w:hAnsi="Palatino Linotype" w:cs="Times New Roman"/>
          <w:sz w:val="24"/>
          <w:szCs w:val="24"/>
        </w:rPr>
        <w:t xml:space="preserve"> </w:t>
      </w:r>
      <w:r w:rsidR="00132113" w:rsidRPr="00817725">
        <w:rPr>
          <w:rFonts w:ascii="Palatino Linotype" w:eastAsia="Cambria" w:hAnsi="Palatino Linotype" w:cs="Times New Roman"/>
          <w:sz w:val="24"/>
          <w:szCs w:val="24"/>
        </w:rPr>
        <w:t xml:space="preserve">quien </w:t>
      </w:r>
      <w:r w:rsidRPr="00817725">
        <w:rPr>
          <w:rFonts w:ascii="Palatino Linotype" w:eastAsia="Cambria" w:hAnsi="Palatino Linotype" w:cs="Times New Roman"/>
          <w:sz w:val="24"/>
          <w:szCs w:val="24"/>
        </w:rPr>
        <w:t>manifestó la pretensión de forma fundada y motivada</w:t>
      </w:r>
      <w:r w:rsidR="00132113" w:rsidRPr="00817725">
        <w:rPr>
          <w:rFonts w:ascii="Palatino Linotype" w:eastAsia="Cambria" w:hAnsi="Palatino Linotype" w:cs="Times New Roman"/>
          <w:sz w:val="24"/>
          <w:szCs w:val="24"/>
        </w:rPr>
        <w:t>,</w:t>
      </w:r>
      <w:r w:rsidRPr="00817725">
        <w:rPr>
          <w:rFonts w:ascii="Palatino Linotype" w:eastAsia="Cambria" w:hAnsi="Palatino Linotype" w:cs="Times New Roman"/>
          <w:sz w:val="24"/>
          <w:szCs w:val="24"/>
        </w:rPr>
        <w:t xml:space="preserve"> tal como lo establece el artículo 158 de la ley en la materia, justificar las causales que impiden la entregar de la información en modalidad elegida y derivado de ello resulta procedente cambiar la modalidad de entrega elegida por el particular y en relación a ello es pertinente señalar lo que disponen el artículo 154 de la Ley de Transparencia y Accesos a la Información Pública del Estado de México y Municipios.</w:t>
      </w:r>
    </w:p>
    <w:p w:rsidR="00CC131D" w:rsidRPr="00817725" w:rsidRDefault="00CC131D" w:rsidP="00817725">
      <w:pPr>
        <w:spacing w:after="0" w:line="360" w:lineRule="auto"/>
        <w:ind w:left="567" w:right="616"/>
        <w:contextualSpacing/>
        <w:jc w:val="both"/>
        <w:rPr>
          <w:rFonts w:ascii="Palatino Linotype" w:eastAsia="Cambria" w:hAnsi="Palatino Linotype" w:cs="Times New Roman"/>
          <w:b/>
          <w:i/>
          <w:sz w:val="24"/>
          <w:szCs w:val="24"/>
        </w:rPr>
      </w:pPr>
    </w:p>
    <w:p w:rsidR="00CC131D" w:rsidRPr="00817725" w:rsidRDefault="00CC131D" w:rsidP="00817725">
      <w:pPr>
        <w:spacing w:after="0" w:line="360" w:lineRule="auto"/>
        <w:ind w:left="567" w:right="616"/>
        <w:contextualSpacing/>
        <w:jc w:val="both"/>
        <w:rPr>
          <w:rFonts w:ascii="Palatino Linotype" w:eastAsia="Cambria" w:hAnsi="Palatino Linotype" w:cs="Times New Roman"/>
          <w:i/>
          <w:sz w:val="24"/>
          <w:szCs w:val="24"/>
        </w:rPr>
      </w:pPr>
      <w:r w:rsidRPr="00817725">
        <w:rPr>
          <w:rFonts w:ascii="Palatino Linotype" w:eastAsia="Cambria" w:hAnsi="Palatino Linotype" w:cs="Times New Roman"/>
          <w:b/>
          <w:i/>
          <w:sz w:val="24"/>
          <w:szCs w:val="24"/>
        </w:rPr>
        <w:t>Artículo 154.</w:t>
      </w:r>
      <w:r w:rsidRPr="00817725">
        <w:rPr>
          <w:rFonts w:ascii="Palatino Linotype" w:eastAsia="Cambria" w:hAnsi="Palatino Linotype" w:cs="Times New Roman"/>
          <w:i/>
          <w:sz w:val="24"/>
          <w:szCs w:val="24"/>
        </w:rPr>
        <w:t xml:space="preserve"> </w:t>
      </w:r>
      <w:r w:rsidRPr="00817725">
        <w:rPr>
          <w:rFonts w:ascii="Palatino Linotype" w:eastAsia="Cambria" w:hAnsi="Palatino Linotype" w:cs="Times New Roman"/>
          <w:b/>
          <w:i/>
          <w:sz w:val="24"/>
          <w:szCs w:val="24"/>
        </w:rPr>
        <w:t>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r w:rsidRPr="00817725">
        <w:rPr>
          <w:rFonts w:ascii="Palatino Linotype" w:eastAsia="Cambria" w:hAnsi="Palatino Linotype" w:cs="Times New Roman"/>
          <w:i/>
          <w:sz w:val="24"/>
          <w:szCs w:val="24"/>
        </w:rPr>
        <w:t xml:space="preserve">  </w:t>
      </w:r>
    </w:p>
    <w:p w:rsidR="00CC131D" w:rsidRPr="00817725" w:rsidRDefault="00CC131D" w:rsidP="00817725">
      <w:pPr>
        <w:spacing w:after="0" w:line="360" w:lineRule="auto"/>
        <w:ind w:left="567" w:right="616"/>
        <w:contextualSpacing/>
        <w:jc w:val="both"/>
        <w:rPr>
          <w:rFonts w:ascii="Palatino Linotype" w:eastAsia="Cambria" w:hAnsi="Palatino Linotype" w:cs="Times New Roman"/>
          <w:i/>
          <w:sz w:val="24"/>
          <w:szCs w:val="24"/>
        </w:rPr>
      </w:pPr>
    </w:p>
    <w:p w:rsidR="00CC131D" w:rsidRPr="00817725" w:rsidRDefault="00CC131D" w:rsidP="00817725">
      <w:pPr>
        <w:spacing w:after="0" w:line="360" w:lineRule="auto"/>
        <w:ind w:left="567" w:right="616"/>
        <w:contextualSpacing/>
        <w:jc w:val="both"/>
        <w:rPr>
          <w:rFonts w:ascii="Palatino Linotype" w:eastAsia="Cambria" w:hAnsi="Palatino Linotype" w:cs="Times New Roman"/>
          <w:i/>
          <w:sz w:val="24"/>
          <w:szCs w:val="24"/>
        </w:rPr>
      </w:pPr>
      <w:r w:rsidRPr="00817725">
        <w:rPr>
          <w:rFonts w:ascii="Palatino Linotype" w:eastAsia="Cambria" w:hAnsi="Palatino Linotype" w:cs="Times New Roman"/>
          <w:i/>
          <w:sz w:val="24"/>
          <w:szCs w:val="24"/>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817725">
        <w:rPr>
          <w:rFonts w:ascii="Palatino Linotype" w:eastAsia="Cambria" w:hAnsi="Palatino Linotype" w:cs="Times New Roman"/>
          <w:sz w:val="24"/>
          <w:szCs w:val="24"/>
        </w:rPr>
        <w:t xml:space="preserve"> </w:t>
      </w:r>
      <w:r w:rsidRPr="00817725">
        <w:rPr>
          <w:rFonts w:ascii="Palatino Linotype" w:eastAsia="Cambria" w:hAnsi="Palatino Linotype" w:cs="Times New Roman"/>
          <w:i/>
          <w:sz w:val="24"/>
          <w:szCs w:val="24"/>
        </w:rPr>
        <w:t>acceso a la información al sujeto obligado competente para atender la solicitud.</w:t>
      </w:r>
    </w:p>
    <w:p w:rsidR="00CC131D" w:rsidRPr="00817725" w:rsidRDefault="00CC131D" w:rsidP="00817725">
      <w:pPr>
        <w:spacing w:after="0" w:line="360" w:lineRule="auto"/>
        <w:ind w:left="284" w:right="616"/>
        <w:contextualSpacing/>
        <w:jc w:val="both"/>
        <w:rPr>
          <w:rFonts w:ascii="Palatino Linotype" w:eastAsia="Cambria" w:hAnsi="Palatino Linotype" w:cs="Times New Roman"/>
          <w:i/>
          <w:sz w:val="24"/>
          <w:szCs w:val="24"/>
        </w:rPr>
      </w:pPr>
    </w:p>
    <w:p w:rsidR="00CC131D" w:rsidRPr="00817725" w:rsidRDefault="00CC131D" w:rsidP="00817725">
      <w:pPr>
        <w:pStyle w:val="Prrafodelista"/>
        <w:numPr>
          <w:ilvl w:val="0"/>
          <w:numId w:val="2"/>
        </w:numPr>
        <w:spacing w:after="0" w:line="360" w:lineRule="auto"/>
        <w:ind w:left="0" w:firstLine="0"/>
        <w:jc w:val="both"/>
        <w:rPr>
          <w:rFonts w:ascii="Palatino Linotype" w:eastAsia="Cambria" w:hAnsi="Palatino Linotype" w:cs="Times New Roman"/>
          <w:sz w:val="24"/>
          <w:szCs w:val="24"/>
        </w:rPr>
      </w:pPr>
      <w:r w:rsidRPr="00817725">
        <w:rPr>
          <w:rFonts w:ascii="Palatino Linotype" w:eastAsia="Cambria" w:hAnsi="Palatino Linotype" w:cs="Times New Roman"/>
          <w:sz w:val="24"/>
          <w:szCs w:val="24"/>
        </w:rPr>
        <w:t xml:space="preserve">Ante lo señalado, el </w:t>
      </w:r>
      <w:r w:rsidRPr="00817725">
        <w:rPr>
          <w:rFonts w:ascii="Palatino Linotype" w:eastAsia="Cambria" w:hAnsi="Palatino Linotype" w:cs="Times New Roman"/>
          <w:b/>
          <w:sz w:val="24"/>
          <w:szCs w:val="24"/>
        </w:rPr>
        <w:t>SUJETO OBLIGADO</w:t>
      </w:r>
      <w:r w:rsidRPr="00817725">
        <w:rPr>
          <w:rFonts w:ascii="Palatino Linotype" w:eastAsia="Cambria" w:hAnsi="Palatino Linotype" w:cs="Times New Roman"/>
          <w:sz w:val="24"/>
          <w:szCs w:val="24"/>
        </w:rPr>
        <w:t xml:space="preserve"> desde un inicio que se percate de la imposibilidad técnica  o humana para proporcionar la información, debe notificar a este Instituto tal situación, misma que SI aconteció, toda vez que se cuenta con el registro en la </w:t>
      </w:r>
      <w:r w:rsidR="00197EE4" w:rsidRPr="00817725">
        <w:rPr>
          <w:rFonts w:ascii="Palatino Linotype" w:eastAsia="Cambria" w:hAnsi="Palatino Linotype" w:cs="Times New Roman"/>
          <w:sz w:val="24"/>
          <w:szCs w:val="24"/>
        </w:rPr>
        <w:t>“B</w:t>
      </w:r>
      <w:r w:rsidRPr="00817725">
        <w:rPr>
          <w:rFonts w:ascii="Palatino Linotype" w:eastAsia="Cambria" w:hAnsi="Palatino Linotype" w:cs="Times New Roman"/>
          <w:sz w:val="24"/>
          <w:szCs w:val="24"/>
        </w:rPr>
        <w:t xml:space="preserve">itácora de </w:t>
      </w:r>
      <w:r w:rsidR="00197EE4" w:rsidRPr="00817725">
        <w:rPr>
          <w:rFonts w:ascii="Palatino Linotype" w:eastAsia="Cambria" w:hAnsi="Palatino Linotype" w:cs="Times New Roman"/>
          <w:sz w:val="24"/>
          <w:szCs w:val="24"/>
        </w:rPr>
        <w:t>I</w:t>
      </w:r>
      <w:r w:rsidRPr="00817725">
        <w:rPr>
          <w:rFonts w:ascii="Palatino Linotype" w:eastAsia="Cambria" w:hAnsi="Palatino Linotype" w:cs="Times New Roman"/>
          <w:sz w:val="24"/>
          <w:szCs w:val="24"/>
        </w:rPr>
        <w:t>ncidencias</w:t>
      </w:r>
      <w:r w:rsidR="00197EE4" w:rsidRPr="00817725">
        <w:rPr>
          <w:rFonts w:ascii="Palatino Linotype" w:eastAsia="Cambria" w:hAnsi="Palatino Linotype" w:cs="Times New Roman"/>
          <w:sz w:val="24"/>
          <w:szCs w:val="24"/>
        </w:rPr>
        <w:t>” de la Dirección de Informática de este Instituto</w:t>
      </w:r>
      <w:r w:rsidRPr="00817725">
        <w:rPr>
          <w:rFonts w:ascii="Palatino Linotype" w:eastAsia="Cambria" w:hAnsi="Palatino Linotype" w:cs="Times New Roman"/>
          <w:b/>
          <w:sz w:val="24"/>
          <w:szCs w:val="24"/>
        </w:rPr>
        <w:t xml:space="preserve">, </w:t>
      </w:r>
      <w:r w:rsidRPr="00817725">
        <w:rPr>
          <w:rFonts w:ascii="Palatino Linotype" w:eastAsia="Cambria" w:hAnsi="Palatino Linotype" w:cs="Times New Roman"/>
          <w:sz w:val="24"/>
          <w:szCs w:val="24"/>
        </w:rPr>
        <w:t xml:space="preserve"> por lo que </w:t>
      </w:r>
      <w:r w:rsidR="00197EE4" w:rsidRPr="00817725">
        <w:rPr>
          <w:rFonts w:ascii="Palatino Linotype" w:eastAsia="Cambria" w:hAnsi="Palatino Linotype" w:cs="Times New Roman"/>
          <w:sz w:val="24"/>
          <w:szCs w:val="24"/>
        </w:rPr>
        <w:t>en este sentido al  haber</w:t>
      </w:r>
      <w:r w:rsidRPr="00817725">
        <w:rPr>
          <w:rFonts w:ascii="Palatino Linotype" w:eastAsia="Cambria" w:hAnsi="Palatino Linotype" w:cs="Times New Roman"/>
          <w:sz w:val="24"/>
          <w:szCs w:val="24"/>
        </w:rPr>
        <w:t xml:space="preserve"> hecho de conocimiento de</w:t>
      </w:r>
      <w:r w:rsidR="00197EE4" w:rsidRPr="00817725">
        <w:rPr>
          <w:rFonts w:ascii="Palatino Linotype" w:eastAsia="Cambria" w:hAnsi="Palatino Linotype" w:cs="Times New Roman"/>
          <w:sz w:val="24"/>
          <w:szCs w:val="24"/>
        </w:rPr>
        <w:t xml:space="preserve"> este Instituto efectivamente se puede</w:t>
      </w:r>
      <w:r w:rsidRPr="00817725">
        <w:rPr>
          <w:rFonts w:ascii="Palatino Linotype" w:eastAsia="Cambria" w:hAnsi="Palatino Linotype" w:cs="Times New Roman"/>
          <w:sz w:val="24"/>
          <w:szCs w:val="24"/>
        </w:rPr>
        <w:t xml:space="preserve"> justificar </w:t>
      </w:r>
      <w:r w:rsidR="00197EE4" w:rsidRPr="00817725">
        <w:rPr>
          <w:rFonts w:ascii="Palatino Linotype" w:eastAsia="Cambria" w:hAnsi="Palatino Linotype" w:cs="Times New Roman"/>
          <w:sz w:val="24"/>
          <w:szCs w:val="24"/>
        </w:rPr>
        <w:t xml:space="preserve">que existe </w:t>
      </w:r>
      <w:r w:rsidRPr="00817725">
        <w:rPr>
          <w:rFonts w:ascii="Palatino Linotype" w:eastAsia="Cambria" w:hAnsi="Palatino Linotype" w:cs="Times New Roman"/>
          <w:sz w:val="24"/>
          <w:szCs w:val="24"/>
        </w:rPr>
        <w:t>fundamento y motivación que d</w:t>
      </w:r>
      <w:r w:rsidR="00197EE4" w:rsidRPr="00817725">
        <w:rPr>
          <w:rFonts w:ascii="Palatino Linotype" w:eastAsia="Cambria" w:hAnsi="Palatino Linotype" w:cs="Times New Roman"/>
          <w:sz w:val="24"/>
          <w:szCs w:val="24"/>
        </w:rPr>
        <w:t>etermina</w:t>
      </w:r>
      <w:r w:rsidRPr="00817725">
        <w:rPr>
          <w:rFonts w:ascii="Palatino Linotype" w:eastAsia="Cambria" w:hAnsi="Palatino Linotype" w:cs="Times New Roman"/>
          <w:sz w:val="24"/>
          <w:szCs w:val="24"/>
        </w:rPr>
        <w:t xml:space="preserve"> el cambio de modalidad.</w:t>
      </w:r>
    </w:p>
    <w:p w:rsidR="00CC131D" w:rsidRPr="00817725" w:rsidRDefault="00CC131D" w:rsidP="00817725">
      <w:pPr>
        <w:spacing w:after="0" w:line="360" w:lineRule="auto"/>
        <w:contextualSpacing/>
        <w:jc w:val="both"/>
        <w:rPr>
          <w:rFonts w:ascii="Palatino Linotype" w:eastAsia="Cambria" w:hAnsi="Palatino Linotype" w:cs="Times New Roman"/>
          <w:sz w:val="24"/>
          <w:szCs w:val="24"/>
        </w:rPr>
      </w:pPr>
    </w:p>
    <w:p w:rsidR="00CC131D" w:rsidRPr="00817725" w:rsidRDefault="00197EE4" w:rsidP="00817725">
      <w:pPr>
        <w:pStyle w:val="Prrafodelista"/>
        <w:numPr>
          <w:ilvl w:val="0"/>
          <w:numId w:val="2"/>
        </w:numPr>
        <w:spacing w:after="0" w:line="360" w:lineRule="auto"/>
        <w:ind w:left="0" w:firstLine="0"/>
        <w:jc w:val="both"/>
        <w:rPr>
          <w:rFonts w:ascii="Palatino Linotype" w:eastAsia="Cambria" w:hAnsi="Palatino Linotype" w:cs="Times New Roman"/>
          <w:sz w:val="24"/>
          <w:szCs w:val="24"/>
        </w:rPr>
      </w:pPr>
      <w:r w:rsidRPr="00817725">
        <w:rPr>
          <w:rFonts w:ascii="Palatino Linotype" w:eastAsia="Cambria" w:hAnsi="Palatino Linotype" w:cs="Times New Roman"/>
          <w:sz w:val="24"/>
          <w:szCs w:val="24"/>
        </w:rPr>
        <w:t>E</w:t>
      </w:r>
      <w:r w:rsidR="00CC131D" w:rsidRPr="00817725">
        <w:rPr>
          <w:rFonts w:ascii="Palatino Linotype" w:eastAsia="Cambria" w:hAnsi="Palatino Linotype" w:cs="Times New Roman"/>
          <w:sz w:val="24"/>
          <w:szCs w:val="24"/>
        </w:rPr>
        <w:t xml:space="preserve">l responsable de la Unidad de Transparencia para entregar la información solicitada en la modalidad elegida, </w:t>
      </w:r>
      <w:r w:rsidRPr="00817725">
        <w:rPr>
          <w:rFonts w:ascii="Palatino Linotype" w:eastAsia="Cambria" w:hAnsi="Palatino Linotype" w:cs="Times New Roman"/>
          <w:sz w:val="24"/>
          <w:szCs w:val="24"/>
        </w:rPr>
        <w:t xml:space="preserve">precisó </w:t>
      </w:r>
      <w:r w:rsidR="00CC131D" w:rsidRPr="00817725">
        <w:rPr>
          <w:rFonts w:ascii="Palatino Linotype" w:eastAsia="Cambria" w:hAnsi="Palatino Linotype" w:cs="Times New Roman"/>
          <w:sz w:val="24"/>
          <w:szCs w:val="24"/>
        </w:rPr>
        <w:t xml:space="preserve">que </w:t>
      </w:r>
      <w:r w:rsidRPr="00817725">
        <w:rPr>
          <w:rFonts w:ascii="Palatino Linotype" w:eastAsia="Cambria" w:hAnsi="Palatino Linotype" w:cs="Times New Roman"/>
          <w:sz w:val="24"/>
          <w:szCs w:val="24"/>
        </w:rPr>
        <w:t xml:space="preserve">resultaba </w:t>
      </w:r>
      <w:r w:rsidR="00CC131D" w:rsidRPr="00817725">
        <w:rPr>
          <w:rFonts w:ascii="Palatino Linotype" w:eastAsia="Cambria" w:hAnsi="Palatino Linotype" w:cs="Times New Roman"/>
          <w:sz w:val="24"/>
          <w:szCs w:val="24"/>
        </w:rPr>
        <w:t xml:space="preserve">técnicamente </w:t>
      </w:r>
      <w:r w:rsidRPr="00817725">
        <w:rPr>
          <w:rFonts w:ascii="Palatino Linotype" w:eastAsia="Cambria" w:hAnsi="Palatino Linotype" w:cs="Times New Roman"/>
          <w:sz w:val="24"/>
          <w:szCs w:val="24"/>
        </w:rPr>
        <w:t>im</w:t>
      </w:r>
      <w:r w:rsidR="00CC131D" w:rsidRPr="00817725">
        <w:rPr>
          <w:rFonts w:ascii="Palatino Linotype" w:eastAsia="Cambria" w:hAnsi="Palatino Linotype" w:cs="Times New Roman"/>
          <w:sz w:val="24"/>
          <w:szCs w:val="24"/>
        </w:rPr>
        <w:t xml:space="preserve">posible hacer </w:t>
      </w:r>
      <w:r w:rsidRPr="00817725">
        <w:rPr>
          <w:rFonts w:ascii="Palatino Linotype" w:eastAsia="Cambria" w:hAnsi="Palatino Linotype" w:cs="Times New Roman"/>
          <w:sz w:val="24"/>
          <w:szCs w:val="24"/>
        </w:rPr>
        <w:t xml:space="preserve">la entrega en modalidad elegida por el particular, haciéndole saber </w:t>
      </w:r>
      <w:r w:rsidR="00CC131D" w:rsidRPr="00817725">
        <w:rPr>
          <w:rFonts w:ascii="Palatino Linotype" w:eastAsia="Cambria" w:hAnsi="Palatino Linotype" w:cs="Times New Roman"/>
          <w:sz w:val="24"/>
          <w:szCs w:val="24"/>
        </w:rPr>
        <w:t>las causas que le impiden la entrega de la inform</w:t>
      </w:r>
      <w:r w:rsidRPr="00817725">
        <w:rPr>
          <w:rFonts w:ascii="Palatino Linotype" w:eastAsia="Cambria" w:hAnsi="Palatino Linotype" w:cs="Times New Roman"/>
          <w:sz w:val="24"/>
          <w:szCs w:val="24"/>
        </w:rPr>
        <w:t xml:space="preserve">ación de forma electrónica vía </w:t>
      </w:r>
      <w:proofErr w:type="spellStart"/>
      <w:r w:rsidRPr="00817725">
        <w:rPr>
          <w:rFonts w:ascii="Palatino Linotype" w:eastAsia="Cambria" w:hAnsi="Palatino Linotype" w:cs="Times New Roman"/>
          <w:sz w:val="24"/>
          <w:szCs w:val="24"/>
        </w:rPr>
        <w:t>S</w:t>
      </w:r>
      <w:r w:rsidR="00CC131D" w:rsidRPr="00817725">
        <w:rPr>
          <w:rFonts w:ascii="Palatino Linotype" w:eastAsia="Cambria" w:hAnsi="Palatino Linotype" w:cs="Times New Roman"/>
          <w:sz w:val="24"/>
          <w:szCs w:val="24"/>
        </w:rPr>
        <w:t>aimex</w:t>
      </w:r>
      <w:proofErr w:type="spellEnd"/>
      <w:r w:rsidR="00CC131D" w:rsidRPr="00817725">
        <w:rPr>
          <w:rFonts w:ascii="Palatino Linotype" w:eastAsia="Cambria" w:hAnsi="Palatino Linotype" w:cs="Times New Roman"/>
          <w:sz w:val="24"/>
          <w:szCs w:val="24"/>
        </w:rPr>
        <w:t xml:space="preserve">, </w:t>
      </w:r>
      <w:r w:rsidRPr="00817725">
        <w:rPr>
          <w:rFonts w:ascii="Palatino Linotype" w:eastAsia="Cambria" w:hAnsi="Palatino Linotype" w:cs="Times New Roman"/>
          <w:sz w:val="24"/>
          <w:szCs w:val="24"/>
        </w:rPr>
        <w:t>y dando la opción de ser entregada vía Consulta Directa.</w:t>
      </w:r>
    </w:p>
    <w:p w:rsidR="00197EE4" w:rsidRPr="00817725" w:rsidRDefault="00197EE4" w:rsidP="00817725">
      <w:pPr>
        <w:pStyle w:val="Prrafodelista"/>
        <w:spacing w:line="360" w:lineRule="auto"/>
        <w:rPr>
          <w:rFonts w:ascii="Palatino Linotype" w:eastAsia="Cambria" w:hAnsi="Palatino Linotype" w:cs="Times New Roman"/>
          <w:sz w:val="24"/>
          <w:szCs w:val="24"/>
        </w:rPr>
      </w:pPr>
    </w:p>
    <w:p w:rsidR="00CC131D" w:rsidRPr="00817725" w:rsidRDefault="00CC131D" w:rsidP="00817725">
      <w:pPr>
        <w:pStyle w:val="Prrafodelista"/>
        <w:numPr>
          <w:ilvl w:val="0"/>
          <w:numId w:val="2"/>
        </w:numPr>
        <w:spacing w:after="0" w:line="360" w:lineRule="auto"/>
        <w:ind w:left="0" w:firstLine="0"/>
        <w:jc w:val="both"/>
        <w:rPr>
          <w:rFonts w:ascii="Palatino Linotype" w:eastAsia="Cambria" w:hAnsi="Palatino Linotype" w:cs="Times New Roman"/>
          <w:sz w:val="24"/>
          <w:szCs w:val="24"/>
        </w:rPr>
      </w:pPr>
      <w:r w:rsidRPr="00817725">
        <w:rPr>
          <w:rFonts w:ascii="Palatino Linotype" w:eastAsia="Cambria" w:hAnsi="Palatino Linotype" w:cs="Times New Roman"/>
          <w:sz w:val="24"/>
          <w:szCs w:val="24"/>
        </w:rPr>
        <w:t xml:space="preserve">Por lo anterior se concluye que con las manifestaciones esgrimidas por el </w:t>
      </w:r>
      <w:r w:rsidRPr="00817725">
        <w:rPr>
          <w:rFonts w:ascii="Palatino Linotype" w:eastAsia="Cambria" w:hAnsi="Palatino Linotype" w:cs="Times New Roman"/>
          <w:b/>
          <w:sz w:val="24"/>
          <w:szCs w:val="24"/>
        </w:rPr>
        <w:t xml:space="preserve">SUJETO OBLIGADO </w:t>
      </w:r>
      <w:r w:rsidRPr="00817725">
        <w:rPr>
          <w:rFonts w:ascii="Palatino Linotype" w:eastAsia="Cambria" w:hAnsi="Palatino Linotype" w:cs="Times New Roman"/>
          <w:sz w:val="24"/>
          <w:szCs w:val="24"/>
        </w:rPr>
        <w:t>tanto en su respuesta</w:t>
      </w:r>
      <w:r w:rsidR="00197EE4" w:rsidRPr="00817725">
        <w:rPr>
          <w:rFonts w:ascii="Palatino Linotype" w:eastAsia="Cambria" w:hAnsi="Palatino Linotype" w:cs="Times New Roman"/>
          <w:sz w:val="24"/>
          <w:szCs w:val="24"/>
        </w:rPr>
        <w:t xml:space="preserve"> como en informe justificado </w:t>
      </w:r>
      <w:r w:rsidRPr="00817725">
        <w:rPr>
          <w:rFonts w:ascii="Palatino Linotype" w:eastAsia="Cambria" w:hAnsi="Palatino Linotype" w:cs="Times New Roman"/>
          <w:sz w:val="24"/>
          <w:szCs w:val="24"/>
        </w:rPr>
        <w:t xml:space="preserve">colman el requisito legal de fundar y motivar el </w:t>
      </w:r>
      <w:r w:rsidR="00197EE4" w:rsidRPr="00817725">
        <w:rPr>
          <w:rFonts w:ascii="Palatino Linotype" w:eastAsia="Cambria" w:hAnsi="Palatino Linotype" w:cs="Times New Roman"/>
          <w:sz w:val="24"/>
          <w:szCs w:val="24"/>
        </w:rPr>
        <w:t xml:space="preserve">cambio de modalidad de entrega y </w:t>
      </w:r>
      <w:r w:rsidRPr="00817725">
        <w:rPr>
          <w:rFonts w:ascii="Palatino Linotype" w:eastAsia="Cambria" w:hAnsi="Palatino Linotype" w:cs="Times New Roman"/>
          <w:sz w:val="24"/>
          <w:szCs w:val="24"/>
        </w:rPr>
        <w:t xml:space="preserve">la imposibilidad técnica para entregar la información al particular como lo había solicitado inicialmente vía </w:t>
      </w:r>
      <w:proofErr w:type="spellStart"/>
      <w:r w:rsidRPr="00817725">
        <w:rPr>
          <w:rFonts w:ascii="Palatino Linotype" w:eastAsia="Cambria" w:hAnsi="Palatino Linotype" w:cs="Times New Roman"/>
          <w:sz w:val="24"/>
          <w:szCs w:val="24"/>
        </w:rPr>
        <w:t>saimex</w:t>
      </w:r>
      <w:proofErr w:type="spellEnd"/>
      <w:r w:rsidRPr="00817725">
        <w:rPr>
          <w:rFonts w:ascii="Palatino Linotype" w:eastAsia="Cambria" w:hAnsi="Palatino Linotype" w:cs="Times New Roman"/>
          <w:sz w:val="24"/>
          <w:szCs w:val="24"/>
        </w:rPr>
        <w:t>, tal y como se ha abordado con an</w:t>
      </w:r>
      <w:r w:rsidR="00197EE4" w:rsidRPr="00817725">
        <w:rPr>
          <w:rFonts w:ascii="Palatino Linotype" w:eastAsia="Cambria" w:hAnsi="Palatino Linotype" w:cs="Times New Roman"/>
          <w:sz w:val="24"/>
          <w:szCs w:val="24"/>
        </w:rPr>
        <w:t xml:space="preserve">terioridad y derivado de que </w:t>
      </w:r>
      <w:r w:rsidRPr="00817725">
        <w:rPr>
          <w:rFonts w:ascii="Palatino Linotype" w:eastAsia="Cambria" w:hAnsi="Palatino Linotype" w:cs="Times New Roman"/>
          <w:sz w:val="24"/>
          <w:szCs w:val="24"/>
        </w:rPr>
        <w:t xml:space="preserve">se funda y motiva el cambio de modalidad </w:t>
      </w:r>
      <w:r w:rsidRPr="00817725">
        <w:rPr>
          <w:rFonts w:ascii="Palatino Linotype" w:eastAsia="Cambria" w:hAnsi="Palatino Linotype" w:cs="Times New Roman"/>
          <w:sz w:val="24"/>
          <w:szCs w:val="24"/>
          <w:u w:val="single"/>
        </w:rPr>
        <w:t>esta debe ser</w:t>
      </w:r>
      <w:r w:rsidR="00197EE4" w:rsidRPr="00817725">
        <w:rPr>
          <w:rFonts w:ascii="Palatino Linotype" w:eastAsia="Cambria" w:hAnsi="Palatino Linotype" w:cs="Times New Roman"/>
          <w:sz w:val="24"/>
          <w:szCs w:val="24"/>
          <w:u w:val="single"/>
        </w:rPr>
        <w:t xml:space="preserve"> Consulta Directa.</w:t>
      </w:r>
    </w:p>
    <w:p w:rsidR="00CC131D" w:rsidRPr="00817725" w:rsidRDefault="00CC131D" w:rsidP="00817725">
      <w:pPr>
        <w:pStyle w:val="Prrafodelista"/>
        <w:spacing w:line="360" w:lineRule="auto"/>
        <w:rPr>
          <w:rFonts w:ascii="Palatino Linotype" w:eastAsia="MS Mincho" w:hAnsi="Palatino Linotype" w:cs="Arial"/>
          <w:sz w:val="24"/>
          <w:szCs w:val="24"/>
        </w:rPr>
      </w:pPr>
    </w:p>
    <w:p w:rsidR="007637C5" w:rsidRPr="00817725" w:rsidRDefault="00CC131D" w:rsidP="00817725">
      <w:pPr>
        <w:pStyle w:val="Prrafodelista"/>
        <w:numPr>
          <w:ilvl w:val="0"/>
          <w:numId w:val="2"/>
        </w:numPr>
        <w:spacing w:after="0" w:line="360" w:lineRule="auto"/>
        <w:ind w:left="0" w:firstLine="0"/>
        <w:jc w:val="both"/>
        <w:rPr>
          <w:rFonts w:ascii="Palatino Linotype" w:eastAsia="Cambria" w:hAnsi="Palatino Linotype" w:cs="Times New Roman"/>
          <w:sz w:val="24"/>
          <w:szCs w:val="24"/>
        </w:rPr>
      </w:pPr>
      <w:r w:rsidRPr="00817725">
        <w:rPr>
          <w:rFonts w:ascii="Palatino Linotype" w:eastAsia="MS Mincho" w:hAnsi="Palatino Linotype" w:cs="Arial"/>
          <w:sz w:val="24"/>
          <w:szCs w:val="24"/>
        </w:rPr>
        <w:t xml:space="preserve">Ahora bien, una vez aclarado lo anterior, es importante señalar que </w:t>
      </w:r>
      <w:r w:rsidRPr="00817725">
        <w:rPr>
          <w:rFonts w:ascii="Palatino Linotype" w:eastAsia="Times New Roman" w:hAnsi="Palatino Linotype" w:cs="Arial"/>
          <w:color w:val="222222"/>
          <w:sz w:val="24"/>
          <w:szCs w:val="24"/>
          <w:lang w:eastAsia="es-MX"/>
        </w:rPr>
        <w:t xml:space="preserve">el </w:t>
      </w:r>
      <w:r w:rsidRPr="00817725">
        <w:rPr>
          <w:rFonts w:ascii="Palatino Linotype" w:eastAsia="Times New Roman" w:hAnsi="Palatino Linotype" w:cs="Arial"/>
          <w:b/>
          <w:color w:val="222222"/>
          <w:sz w:val="24"/>
          <w:szCs w:val="24"/>
          <w:lang w:eastAsia="es-MX"/>
        </w:rPr>
        <w:t>SUJETO OBLIGADO</w:t>
      </w:r>
      <w:r w:rsidRPr="00817725">
        <w:rPr>
          <w:rFonts w:ascii="Palatino Linotype" w:eastAsia="Times New Roman" w:hAnsi="Palatino Linotype" w:cs="Arial"/>
          <w:color w:val="222222"/>
          <w:sz w:val="24"/>
          <w:szCs w:val="24"/>
          <w:lang w:eastAsia="es-MX"/>
        </w:rPr>
        <w:t xml:space="preserve"> </w:t>
      </w:r>
      <w:r w:rsidR="00197EE4" w:rsidRPr="00817725">
        <w:rPr>
          <w:rFonts w:ascii="Palatino Linotype" w:eastAsia="Times New Roman" w:hAnsi="Palatino Linotype" w:cs="Arial"/>
          <w:color w:val="222222"/>
          <w:sz w:val="24"/>
          <w:szCs w:val="24"/>
          <w:lang w:eastAsia="es-MX"/>
        </w:rPr>
        <w:t xml:space="preserve">tanto </w:t>
      </w:r>
      <w:r w:rsidRPr="00817725">
        <w:rPr>
          <w:rFonts w:ascii="Palatino Linotype" w:eastAsia="Times New Roman" w:hAnsi="Palatino Linotype" w:cs="Arial"/>
          <w:color w:val="222222"/>
          <w:sz w:val="24"/>
          <w:szCs w:val="24"/>
          <w:lang w:eastAsia="es-MX"/>
        </w:rPr>
        <w:t>respuesta e informe justificado éste no niega la existencia de la información,</w:t>
      </w:r>
      <w:r w:rsidR="00197EE4" w:rsidRPr="00817725">
        <w:rPr>
          <w:rFonts w:ascii="Palatino Linotype" w:eastAsia="Times New Roman" w:hAnsi="Palatino Linotype" w:cs="Arial"/>
          <w:color w:val="222222"/>
          <w:sz w:val="24"/>
          <w:szCs w:val="24"/>
          <w:lang w:eastAsia="es-MX"/>
        </w:rPr>
        <w:t xml:space="preserve"> salvo lo correspondiente a los ejercicios fiscales  2010</w:t>
      </w:r>
      <w:r w:rsidRPr="00817725">
        <w:rPr>
          <w:rFonts w:ascii="Palatino Linotype" w:eastAsia="Times New Roman" w:hAnsi="Palatino Linotype" w:cs="Arial"/>
          <w:color w:val="222222"/>
          <w:sz w:val="24"/>
          <w:szCs w:val="24"/>
          <w:lang w:eastAsia="es-MX"/>
        </w:rPr>
        <w:t xml:space="preserve"> </w:t>
      </w:r>
      <w:r w:rsidR="00197EE4" w:rsidRPr="00817725">
        <w:rPr>
          <w:rFonts w:ascii="Palatino Linotype" w:eastAsia="Times New Roman" w:hAnsi="Palatino Linotype" w:cs="Arial"/>
          <w:color w:val="222222"/>
          <w:sz w:val="24"/>
          <w:szCs w:val="24"/>
          <w:lang w:eastAsia="es-MX"/>
        </w:rPr>
        <w:t xml:space="preserve">al 2012 para lo cual éste deberá de emitir su respectivo acuerdo de inexistencia </w:t>
      </w:r>
      <w:r w:rsidR="007637C5" w:rsidRPr="00817725">
        <w:rPr>
          <w:rFonts w:ascii="Palatino Linotype" w:eastAsia="Times New Roman" w:hAnsi="Palatino Linotype" w:cs="Arial"/>
          <w:color w:val="222222"/>
          <w:sz w:val="24"/>
          <w:szCs w:val="24"/>
          <w:lang w:eastAsia="es-MX"/>
        </w:rPr>
        <w:t>para no dar certeza al particular de que efectivamente no cuenta con la in</w:t>
      </w:r>
      <w:r w:rsidR="00293C45" w:rsidRPr="00817725">
        <w:rPr>
          <w:rFonts w:ascii="Palatino Linotype" w:eastAsia="Times New Roman" w:hAnsi="Palatino Linotype" w:cs="Arial"/>
          <w:color w:val="222222"/>
          <w:sz w:val="24"/>
          <w:szCs w:val="24"/>
          <w:lang w:eastAsia="es-MX"/>
        </w:rPr>
        <w:t>formación, para lo cual se debe</w:t>
      </w:r>
      <w:r w:rsidR="007637C5" w:rsidRPr="00817725">
        <w:rPr>
          <w:rFonts w:ascii="Palatino Linotype" w:eastAsia="Times New Roman" w:hAnsi="Palatino Linotype" w:cs="Arial"/>
          <w:color w:val="222222"/>
          <w:sz w:val="24"/>
          <w:szCs w:val="24"/>
          <w:lang w:eastAsia="es-MX"/>
        </w:rPr>
        <w:t xml:space="preserve"> atender lo que se precisa en el siguiente apartado.</w:t>
      </w:r>
    </w:p>
    <w:p w:rsidR="007637C5" w:rsidRDefault="007637C5" w:rsidP="00817725">
      <w:pPr>
        <w:pStyle w:val="Ttulo1"/>
        <w:spacing w:line="360" w:lineRule="auto"/>
        <w:rPr>
          <w:rFonts w:ascii="Palatino Linotype" w:eastAsia="Cambria" w:hAnsi="Palatino Linotype"/>
          <w:b/>
          <w:color w:val="auto"/>
          <w:sz w:val="24"/>
          <w:szCs w:val="24"/>
        </w:rPr>
      </w:pPr>
      <w:bookmarkStart w:id="75" w:name="_Toc20387833"/>
      <w:r w:rsidRPr="00817725">
        <w:rPr>
          <w:rFonts w:ascii="Palatino Linotype" w:eastAsia="Cambria" w:hAnsi="Palatino Linotype"/>
          <w:b/>
          <w:color w:val="auto"/>
          <w:sz w:val="24"/>
          <w:szCs w:val="24"/>
        </w:rPr>
        <w:t>IV. Del acuerdo de inexistencia.</w:t>
      </w:r>
      <w:bookmarkEnd w:id="75"/>
    </w:p>
    <w:p w:rsidR="00817725" w:rsidRPr="00817725" w:rsidRDefault="00817725" w:rsidP="00817725"/>
    <w:p w:rsidR="007637C5" w:rsidRPr="00817725" w:rsidRDefault="007637C5" w:rsidP="00817725">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17725">
        <w:rPr>
          <w:rFonts w:ascii="Palatino Linotype" w:eastAsia="MS Mincho" w:hAnsi="Palatino Linotype" w:cstheme="majorBidi"/>
          <w:sz w:val="24"/>
          <w:szCs w:val="24"/>
          <w:lang w:val="es-ES_tradnl" w:eastAsia="es-ES"/>
        </w:rPr>
        <w:t>Ahora bien los artículo 19 y 20 de la Ley General de Transparencia comentada  y su respectivo comentario establecen lo siguiente:</w:t>
      </w:r>
    </w:p>
    <w:p w:rsidR="007637C5" w:rsidRPr="00817725" w:rsidRDefault="007637C5" w:rsidP="00817725">
      <w:pPr>
        <w:pStyle w:val="Prrafodelista"/>
        <w:spacing w:line="360" w:lineRule="auto"/>
        <w:rPr>
          <w:rFonts w:ascii="Palatino Linotype" w:eastAsia="MS Mincho" w:hAnsi="Palatino Linotype" w:cstheme="majorBidi"/>
          <w:sz w:val="24"/>
          <w:szCs w:val="24"/>
          <w:lang w:val="es-ES_tradnl" w:eastAsia="es-ES"/>
        </w:rPr>
      </w:pP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eastAsia="es-ES"/>
        </w:rPr>
      </w:pPr>
      <w:r w:rsidRPr="00817725">
        <w:rPr>
          <w:rFonts w:ascii="Palatino Linotype" w:eastAsia="MS Mincho" w:hAnsi="Palatino Linotype" w:cstheme="majorBidi"/>
          <w:b/>
          <w:i/>
          <w:sz w:val="24"/>
          <w:szCs w:val="24"/>
          <w:lang w:eastAsia="es-ES"/>
        </w:rPr>
        <w:t>Artículo 19</w:t>
      </w:r>
      <w:r w:rsidRPr="00817725">
        <w:rPr>
          <w:rFonts w:ascii="Palatino Linotype" w:eastAsia="MS Mincho" w:hAnsi="Palatino Linotype" w:cstheme="majorBidi"/>
          <w:i/>
          <w:sz w:val="24"/>
          <w:szCs w:val="24"/>
          <w:lang w:eastAsia="es-ES"/>
        </w:rPr>
        <w:t xml:space="preserve">. </w:t>
      </w:r>
      <w:r w:rsidRPr="00817725">
        <w:rPr>
          <w:rFonts w:ascii="Palatino Linotype" w:eastAsia="MS Mincho" w:hAnsi="Palatino Linotype" w:cstheme="majorBidi"/>
          <w:b/>
          <w:i/>
          <w:sz w:val="24"/>
          <w:szCs w:val="24"/>
          <w:u w:val="single"/>
          <w:lang w:eastAsia="es-ES"/>
        </w:rPr>
        <w:t>Se presume que la información debe existir si se refiere a las facultades, competencias y funciones</w:t>
      </w:r>
      <w:r w:rsidRPr="00817725">
        <w:rPr>
          <w:rFonts w:ascii="Palatino Linotype" w:eastAsia="MS Mincho" w:hAnsi="Palatino Linotype" w:cstheme="majorBidi"/>
          <w:i/>
          <w:sz w:val="24"/>
          <w:szCs w:val="24"/>
          <w:lang w:eastAsia="es-ES"/>
        </w:rPr>
        <w:t xml:space="preserve"> que los ordenamientos jurídicos aplicables otorgan a los sujetos obligados. </w:t>
      </w: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eastAsia="es-ES"/>
        </w:rPr>
      </w:pPr>
    </w:p>
    <w:p w:rsidR="007637C5" w:rsidRPr="00817725" w:rsidRDefault="007637C5" w:rsidP="00817725">
      <w:pPr>
        <w:pStyle w:val="Prrafodelista"/>
        <w:spacing w:line="360" w:lineRule="auto"/>
        <w:ind w:left="567" w:right="567"/>
        <w:jc w:val="both"/>
        <w:rPr>
          <w:rFonts w:ascii="Palatino Linotype" w:eastAsia="MS Mincho" w:hAnsi="Palatino Linotype" w:cstheme="majorBidi"/>
          <w:b/>
          <w:i/>
          <w:sz w:val="24"/>
          <w:szCs w:val="24"/>
          <w:u w:val="single"/>
          <w:lang w:eastAsia="es-ES"/>
        </w:rPr>
      </w:pPr>
      <w:r w:rsidRPr="00817725">
        <w:rPr>
          <w:rFonts w:ascii="Palatino Linotype" w:eastAsia="MS Mincho" w:hAnsi="Palatino Linotype" w:cstheme="majorBidi"/>
          <w:b/>
          <w:i/>
          <w:sz w:val="24"/>
          <w:szCs w:val="24"/>
          <w:u w:val="single"/>
          <w:lang w:eastAsia="es-ES"/>
        </w:rPr>
        <w:t xml:space="preserve">En los casos en que ciertas facultades, competencias o funciones no se hayan ejercido, se debe motivar la respuesta en función de las causas que motiven la inexistencia. </w:t>
      </w: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eastAsia="es-ES"/>
        </w:rPr>
      </w:pP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eastAsia="es-ES"/>
        </w:rPr>
      </w:pPr>
      <w:r w:rsidRPr="00817725">
        <w:rPr>
          <w:rFonts w:ascii="Palatino Linotype" w:eastAsia="MS Mincho" w:hAnsi="Palatino Linotype" w:cstheme="majorBidi"/>
          <w:b/>
          <w:i/>
          <w:sz w:val="24"/>
          <w:szCs w:val="24"/>
          <w:lang w:eastAsia="es-ES"/>
        </w:rPr>
        <w:t xml:space="preserve">Artículo 20. </w:t>
      </w:r>
      <w:r w:rsidRPr="00817725">
        <w:rPr>
          <w:rFonts w:ascii="Palatino Linotype" w:eastAsia="MS Mincho" w:hAnsi="Palatino Linotype" w:cstheme="majorBidi"/>
          <w:b/>
          <w:i/>
          <w:sz w:val="24"/>
          <w:szCs w:val="24"/>
          <w:u w:val="single"/>
          <w:lang w:eastAsia="es-ES"/>
        </w:rPr>
        <w:t>Ante la negativa del acceso</w:t>
      </w:r>
      <w:r w:rsidRPr="00817725">
        <w:rPr>
          <w:rFonts w:ascii="Palatino Linotype" w:eastAsia="MS Mincho" w:hAnsi="Palatino Linotype" w:cstheme="majorBidi"/>
          <w:i/>
          <w:sz w:val="24"/>
          <w:szCs w:val="24"/>
          <w:lang w:eastAsia="es-ES"/>
        </w:rPr>
        <w:t xml:space="preserve"> a la información </w:t>
      </w:r>
      <w:r w:rsidRPr="00817725">
        <w:rPr>
          <w:rFonts w:ascii="Palatino Linotype" w:eastAsia="MS Mincho" w:hAnsi="Palatino Linotype" w:cstheme="majorBidi"/>
          <w:b/>
          <w:i/>
          <w:sz w:val="24"/>
          <w:szCs w:val="24"/>
          <w:u w:val="single"/>
          <w:lang w:eastAsia="es-ES"/>
        </w:rPr>
        <w:t>o su inexistencia</w:t>
      </w:r>
      <w:r w:rsidRPr="00817725">
        <w:rPr>
          <w:rFonts w:ascii="Palatino Linotype" w:eastAsia="MS Mincho" w:hAnsi="Palatino Linotype" w:cstheme="majorBidi"/>
          <w:i/>
          <w:sz w:val="24"/>
          <w:szCs w:val="24"/>
          <w:lang w:eastAsia="es-ES"/>
        </w:rPr>
        <w:t xml:space="preserve">, </w:t>
      </w:r>
      <w:r w:rsidRPr="00817725">
        <w:rPr>
          <w:rFonts w:ascii="Palatino Linotype" w:eastAsia="MS Mincho" w:hAnsi="Palatino Linotype" w:cstheme="majorBidi"/>
          <w:b/>
          <w:i/>
          <w:sz w:val="24"/>
          <w:szCs w:val="24"/>
          <w:lang w:eastAsia="es-ES"/>
        </w:rPr>
        <w:t>el</w:t>
      </w:r>
      <w:r w:rsidRPr="00817725">
        <w:rPr>
          <w:rFonts w:ascii="Palatino Linotype" w:eastAsia="MS Mincho" w:hAnsi="Palatino Linotype" w:cstheme="majorBidi"/>
          <w:i/>
          <w:sz w:val="24"/>
          <w:szCs w:val="24"/>
          <w:lang w:eastAsia="es-ES"/>
        </w:rPr>
        <w:t xml:space="preserve"> </w:t>
      </w:r>
      <w:r w:rsidRPr="00817725">
        <w:rPr>
          <w:rFonts w:ascii="Palatino Linotype" w:eastAsia="MS Mincho" w:hAnsi="Palatino Linotype" w:cstheme="majorBidi"/>
          <w:b/>
          <w:i/>
          <w:sz w:val="24"/>
          <w:szCs w:val="24"/>
          <w:lang w:eastAsia="es-ES"/>
        </w:rPr>
        <w:t>sujeto obligado deberá</w:t>
      </w:r>
      <w:r w:rsidRPr="00817725">
        <w:rPr>
          <w:rFonts w:ascii="Palatino Linotype" w:eastAsia="MS Mincho" w:hAnsi="Palatino Linotype" w:cstheme="majorBidi"/>
          <w:i/>
          <w:sz w:val="24"/>
          <w:szCs w:val="24"/>
          <w:lang w:eastAsia="es-ES"/>
        </w:rPr>
        <w:t xml:space="preserve"> </w:t>
      </w:r>
      <w:r w:rsidRPr="00817725">
        <w:rPr>
          <w:rFonts w:ascii="Palatino Linotype" w:eastAsia="MS Mincho" w:hAnsi="Palatino Linotype" w:cstheme="majorBidi"/>
          <w:b/>
          <w:i/>
          <w:sz w:val="24"/>
          <w:szCs w:val="24"/>
          <w:lang w:eastAsia="es-ES"/>
        </w:rPr>
        <w:t>demostrar</w:t>
      </w:r>
      <w:r w:rsidRPr="00817725">
        <w:rPr>
          <w:rFonts w:ascii="Palatino Linotype" w:eastAsia="MS Mincho" w:hAnsi="Palatino Linotype" w:cstheme="majorBidi"/>
          <w:i/>
          <w:sz w:val="24"/>
          <w:szCs w:val="24"/>
          <w:lang w:eastAsia="es-ES"/>
        </w:rPr>
        <w:t xml:space="preserve"> </w:t>
      </w:r>
      <w:r w:rsidRPr="00817725">
        <w:rPr>
          <w:rFonts w:ascii="Palatino Linotype" w:eastAsia="MS Mincho" w:hAnsi="Palatino Linotype" w:cstheme="majorBidi"/>
          <w:b/>
          <w:i/>
          <w:sz w:val="24"/>
          <w:szCs w:val="24"/>
          <w:lang w:eastAsia="es-ES"/>
        </w:rPr>
        <w:t>que la información solicitada</w:t>
      </w:r>
      <w:r w:rsidRPr="00817725">
        <w:rPr>
          <w:rFonts w:ascii="Palatino Linotype" w:eastAsia="MS Mincho" w:hAnsi="Palatino Linotype" w:cstheme="majorBidi"/>
          <w:i/>
          <w:sz w:val="24"/>
          <w:szCs w:val="24"/>
          <w:lang w:eastAsia="es-ES"/>
        </w:rPr>
        <w:t xml:space="preserve"> e</w:t>
      </w:r>
      <w:r w:rsidRPr="00817725">
        <w:rPr>
          <w:rFonts w:ascii="Palatino Linotype" w:eastAsia="MS Mincho" w:hAnsi="Palatino Linotype" w:cstheme="majorBidi"/>
          <w:b/>
          <w:i/>
          <w:sz w:val="24"/>
          <w:szCs w:val="24"/>
          <w:lang w:eastAsia="es-ES"/>
        </w:rPr>
        <w:t>stá prevista en alguna de las excepciones contenidas en esta Ley</w:t>
      </w:r>
      <w:r w:rsidRPr="00817725">
        <w:rPr>
          <w:rFonts w:ascii="Palatino Linotype" w:eastAsia="MS Mincho" w:hAnsi="Palatino Linotype" w:cstheme="majorBidi"/>
          <w:i/>
          <w:sz w:val="24"/>
          <w:szCs w:val="24"/>
          <w:lang w:eastAsia="es-ES"/>
        </w:rPr>
        <w:t xml:space="preserve"> o, en su caso, demostrar que la información no se refiere a alguna de sus facultades, competencias o funciones.</w:t>
      </w: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val="es-ES_tradnl" w:eastAsia="es-ES"/>
        </w:rPr>
      </w:pPr>
    </w:p>
    <w:p w:rsidR="007637C5" w:rsidRPr="00817725" w:rsidRDefault="007637C5" w:rsidP="00817725">
      <w:pPr>
        <w:pStyle w:val="Prrafodelista"/>
        <w:spacing w:line="360" w:lineRule="auto"/>
        <w:ind w:left="567" w:right="567"/>
        <w:jc w:val="both"/>
        <w:rPr>
          <w:rFonts w:ascii="Palatino Linotype" w:eastAsia="MS Mincho" w:hAnsi="Palatino Linotype" w:cstheme="majorBidi"/>
          <w:i/>
          <w:sz w:val="24"/>
          <w:szCs w:val="24"/>
          <w:lang w:eastAsia="es-ES"/>
        </w:rPr>
      </w:pPr>
      <w:r w:rsidRPr="00817725">
        <w:rPr>
          <w:rFonts w:ascii="Palatino Linotype" w:eastAsia="MS Mincho" w:hAnsi="Palatino Linotype" w:cstheme="majorBidi"/>
          <w:i/>
          <w:sz w:val="24"/>
          <w:szCs w:val="24"/>
          <w:lang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817725">
        <w:rPr>
          <w:rFonts w:ascii="Palatino Linotype" w:eastAsia="MS Mincho" w:hAnsi="Palatino Linotype" w:cstheme="majorBidi"/>
          <w:b/>
          <w:i/>
          <w:sz w:val="24"/>
          <w:szCs w:val="24"/>
          <w:lang w:eastAsia="es-ES"/>
        </w:rPr>
        <w:t xml:space="preserve">dichas declaraciones deben contener: a) </w:t>
      </w:r>
      <w:r w:rsidRPr="00817725">
        <w:rPr>
          <w:rFonts w:ascii="Palatino Linotype" w:eastAsia="MS Mincho" w:hAnsi="Palatino Linotype" w:cstheme="majorBidi"/>
          <w:b/>
          <w:i/>
          <w:sz w:val="24"/>
          <w:szCs w:val="24"/>
          <w:u w:val="single"/>
          <w:lang w:eastAsia="es-ES"/>
        </w:rPr>
        <w:t>los elementos que le permitan al o a la solicitante tener la certeza de que el sujeto obligado utilizó un criterio de búsqueda exhaustivo</w:t>
      </w:r>
      <w:r w:rsidRPr="00817725">
        <w:rPr>
          <w:rFonts w:ascii="Palatino Linotype" w:eastAsia="MS Mincho" w:hAnsi="Palatino Linotype" w:cstheme="majorBidi"/>
          <w:i/>
          <w:sz w:val="24"/>
          <w:szCs w:val="24"/>
          <w:u w:val="single"/>
          <w:lang w:eastAsia="es-ES"/>
        </w:rPr>
        <w:t xml:space="preserve">; </w:t>
      </w:r>
      <w:r w:rsidRPr="00817725">
        <w:rPr>
          <w:rFonts w:ascii="Palatino Linotype" w:eastAsia="MS Mincho" w:hAnsi="Palatino Linotype" w:cstheme="majorBidi"/>
          <w:b/>
          <w:i/>
          <w:sz w:val="24"/>
          <w:szCs w:val="24"/>
          <w:lang w:eastAsia="es-ES"/>
        </w:rPr>
        <w:t xml:space="preserve">b) las </w:t>
      </w:r>
      <w:r w:rsidRPr="00817725">
        <w:rPr>
          <w:rFonts w:ascii="Palatino Linotype" w:eastAsia="MS Mincho" w:hAnsi="Palatino Linotype" w:cstheme="majorBidi"/>
          <w:b/>
          <w:i/>
          <w:sz w:val="24"/>
          <w:szCs w:val="24"/>
          <w:u w:val="single"/>
          <w:lang w:eastAsia="es-ES"/>
        </w:rPr>
        <w:t>circunstancias de tiempo, modo y lugar</w:t>
      </w:r>
      <w:r w:rsidRPr="00817725">
        <w:rPr>
          <w:rFonts w:ascii="Palatino Linotype" w:eastAsia="MS Mincho" w:hAnsi="Palatino Linotype" w:cstheme="majorBidi"/>
          <w:b/>
          <w:i/>
          <w:sz w:val="24"/>
          <w:szCs w:val="24"/>
          <w:lang w:eastAsia="es-ES"/>
        </w:rPr>
        <w:t xml:space="preserve"> que motiven </w:t>
      </w:r>
      <w:r w:rsidRPr="00817725">
        <w:rPr>
          <w:rFonts w:ascii="Palatino Linotype" w:eastAsia="MS Mincho" w:hAnsi="Palatino Linotype" w:cstheme="majorBidi"/>
          <w:b/>
          <w:i/>
          <w:sz w:val="24"/>
          <w:szCs w:val="24"/>
          <w:u w:val="single"/>
          <w:lang w:eastAsia="es-ES"/>
        </w:rPr>
        <w:t>las razones por las cuales la información es inexistente</w:t>
      </w:r>
      <w:r w:rsidRPr="00817725">
        <w:rPr>
          <w:rFonts w:ascii="Palatino Linotype" w:eastAsia="MS Mincho" w:hAnsi="Palatino Linotype" w:cstheme="majorBidi"/>
          <w:b/>
          <w:i/>
          <w:sz w:val="24"/>
          <w:szCs w:val="24"/>
          <w:lang w:eastAsia="es-ES"/>
        </w:rPr>
        <w:t>, y c) el servidor público responsable de contar con ésta.</w:t>
      </w:r>
      <w:r w:rsidRPr="00817725">
        <w:rPr>
          <w:rFonts w:ascii="Palatino Linotype" w:eastAsia="MS Mincho" w:hAnsi="Palatino Linotype" w:cstheme="majorBidi"/>
          <w:i/>
          <w:sz w:val="24"/>
          <w:szCs w:val="24"/>
          <w:lang w:eastAsia="es-ES"/>
        </w:rPr>
        <w:t xml:space="preserve"> Respecto de los </w:t>
      </w:r>
      <w:r w:rsidRPr="00817725">
        <w:rPr>
          <w:rFonts w:ascii="Palatino Linotype" w:eastAsia="MS Mincho" w:hAnsi="Palatino Linotype" w:cstheme="majorBidi"/>
          <w:b/>
          <w:i/>
          <w:sz w:val="24"/>
          <w:szCs w:val="24"/>
          <w:u w:val="single"/>
          <w:lang w:eastAsia="es-ES"/>
        </w:rPr>
        <w:t>elementos que le permitan al o a la solicitante tener la certeza de que la autoridad realizó una búsqueda exhaustiva</w:t>
      </w:r>
      <w:r w:rsidRPr="00817725">
        <w:rPr>
          <w:rFonts w:ascii="Palatino Linotype" w:eastAsia="MS Mincho" w:hAnsi="Palatino Linotype" w:cstheme="majorBidi"/>
          <w:b/>
          <w:i/>
          <w:sz w:val="24"/>
          <w:szCs w:val="24"/>
          <w:lang w:eastAsia="es-ES"/>
        </w:rPr>
        <w:t>, éstos deben ser entendidos como la descripción de ésta</w:t>
      </w:r>
      <w:r w:rsidRPr="00817725">
        <w:rPr>
          <w:rFonts w:ascii="Palatino Linotype" w:eastAsia="MS Mincho" w:hAnsi="Palatino Linotype" w:cstheme="majorBidi"/>
          <w:i/>
          <w:sz w:val="24"/>
          <w:szCs w:val="24"/>
          <w:lang w:eastAsia="es-ES"/>
        </w:rPr>
        <w:t>. Es decir, el s</w:t>
      </w:r>
      <w:r w:rsidRPr="00817725">
        <w:rPr>
          <w:rFonts w:ascii="Palatino Linotype" w:eastAsia="MS Mincho" w:hAnsi="Palatino Linotype" w:cstheme="majorBidi"/>
          <w:b/>
          <w:i/>
          <w:sz w:val="24"/>
          <w:szCs w:val="24"/>
          <w:lang w:eastAsia="es-ES"/>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817725">
        <w:rPr>
          <w:rFonts w:ascii="Palatino Linotype" w:eastAsia="MS Mincho" w:hAnsi="Palatino Linotype" w:cstheme="majorBidi"/>
          <w:i/>
          <w:sz w:val="24"/>
          <w:szCs w:val="24"/>
          <w:lang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817725">
        <w:rPr>
          <w:rFonts w:ascii="Palatino Linotype" w:eastAsia="MS Mincho" w:hAnsi="Palatino Linotype" w:cstheme="majorBidi"/>
          <w:i/>
          <w:sz w:val="24"/>
          <w:szCs w:val="24"/>
          <w:lang w:eastAsia="es-ES"/>
        </w:rPr>
        <w:t>de</w:t>
      </w:r>
      <w:proofErr w:type="gramEnd"/>
      <w:r w:rsidRPr="00817725">
        <w:rPr>
          <w:rFonts w:ascii="Palatino Linotype" w:eastAsia="MS Mincho" w:hAnsi="Palatino Linotype" w:cstheme="majorBidi"/>
          <w:i/>
          <w:sz w:val="24"/>
          <w:szCs w:val="24"/>
          <w:lang w:eastAsia="es-ES"/>
        </w:rPr>
        <w:t xml:space="preserve"> documentar los actos de los servidores públicos. </w:t>
      </w:r>
      <w:r w:rsidRPr="00817725">
        <w:rPr>
          <w:rFonts w:ascii="Palatino Linotype" w:eastAsia="MS Mincho" w:hAnsi="Palatino Linotype" w:cstheme="majorBidi"/>
          <w:b/>
          <w:i/>
          <w:sz w:val="24"/>
          <w:szCs w:val="24"/>
          <w:lang w:eastAsia="es-ES"/>
        </w:rPr>
        <w:t>No obstante, el sujeto obligado debe prever la mayor cantidad de elementos posibles que permitan evidenciar las razones por las cuales la información solicitada no existe</w:t>
      </w:r>
      <w:r w:rsidRPr="00817725">
        <w:rPr>
          <w:rFonts w:ascii="Palatino Linotype" w:eastAsia="MS Mincho" w:hAnsi="Palatino Linotype" w:cstheme="majorBidi"/>
          <w:i/>
          <w:sz w:val="24"/>
          <w:szCs w:val="24"/>
          <w:lang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7637C5" w:rsidRPr="00817725" w:rsidRDefault="007637C5" w:rsidP="00817725">
      <w:pPr>
        <w:spacing w:after="0" w:line="360" w:lineRule="auto"/>
        <w:contextualSpacing/>
        <w:jc w:val="both"/>
        <w:rPr>
          <w:rFonts w:ascii="Palatino Linotype" w:eastAsia="MS Mincho" w:hAnsi="Palatino Linotype" w:cstheme="majorBidi"/>
          <w:sz w:val="24"/>
          <w:szCs w:val="24"/>
          <w:lang w:val="es-ES_tradnl" w:eastAsia="es-ES"/>
        </w:rPr>
      </w:pPr>
    </w:p>
    <w:p w:rsidR="007637C5" w:rsidRPr="00817725" w:rsidRDefault="007637C5" w:rsidP="00817725">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17725">
        <w:rPr>
          <w:rFonts w:ascii="Palatino Linotype" w:hAnsi="Palatino Linotype"/>
          <w:sz w:val="24"/>
          <w:szCs w:val="24"/>
        </w:rPr>
        <w:t>De los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causan una afectación o restricción al derecho ejercido por los particulares.</w:t>
      </w:r>
    </w:p>
    <w:p w:rsidR="007637C5" w:rsidRPr="00817725" w:rsidRDefault="007637C5" w:rsidP="00817725">
      <w:pPr>
        <w:spacing w:after="0" w:line="360" w:lineRule="auto"/>
        <w:contextualSpacing/>
        <w:jc w:val="both"/>
        <w:rPr>
          <w:rFonts w:ascii="Palatino Linotype" w:eastAsia="MS Mincho" w:hAnsi="Palatino Linotype" w:cstheme="majorBidi"/>
          <w:sz w:val="24"/>
          <w:szCs w:val="24"/>
          <w:lang w:val="es-ES_tradnl" w:eastAsia="es-ES"/>
        </w:rPr>
      </w:pPr>
    </w:p>
    <w:p w:rsidR="007637C5" w:rsidRPr="00817725" w:rsidRDefault="007637C5" w:rsidP="00817725">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817725">
        <w:rPr>
          <w:rFonts w:ascii="Palatino Linotype" w:hAnsi="Palatino Linotype"/>
          <w:sz w:val="24"/>
          <w:szCs w:val="24"/>
        </w:rPr>
        <w:t>En tal caso, la declaratoria deberá realizarse conforme a lo dispuesto en los artículos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7637C5" w:rsidRPr="00817725" w:rsidRDefault="007637C5" w:rsidP="00817725">
      <w:pPr>
        <w:spacing w:after="0" w:line="360" w:lineRule="auto"/>
        <w:contextualSpacing/>
        <w:jc w:val="both"/>
        <w:rPr>
          <w:rFonts w:ascii="Palatino Linotype" w:hAnsi="Palatino Linotype"/>
          <w:sz w:val="24"/>
          <w:szCs w:val="24"/>
        </w:rPr>
      </w:pP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Artículo 47. El Comité de Transparencia será la autoridad máxima al interior del sujeto obligado en materia del derecho de acceso a la información.</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El Comité se reunirá en sesión ordinaria o extraordinaria las veces que estime necesario. El tipo de sesión se precisará en la convocatoria emitida.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Los integrantes del Comité de Transparencia tendrán acceso a la información para determinar su clasificación, conforme a la normatividad aplicable previamente establecida por los sujetos obligados para el resguardo o salvaguarda de la información.</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En las sesiones y trabajos del Comité, podrán participar como invitados permanentes, los representantes de las áreas que decida el Comité, y contará con derecho de voz, pero no voto.</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Los titulares de las unidades administrativas que propongan la reserva, confidencialidad o declaren la inexistencia de información, acudirán a las sesiones de dicho Comité donde se discuta la propuesta correspondiente.</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Artículo 49. Los Comités de Transparencia tendrán las siguientes atribuciones:</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XIII. Dictaminar las declaratorias de inexistencia de la información que les remitan las unidades administrativas y resolver en consecuencia;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 Analizará el caso y tomará las medidas necesarias para localizar la información;</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II. Expedirá una resolución que confirme la inexistencia del documento;</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Este plazo podrá ampliarse hasta por otros siete días hábiles, siempre que existan razones para ello, debiendo notificarse por escrito al solicitante.</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Artículo 169. Cuando la información no se encuentre en los archivos del sujeto obligado, el Comité de Transparencia: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 Analizará el caso y tomará las medidas necesarias para localizar la información;</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II. Expedirá una resolución que confirme la inexistencia del documento;</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IV. Notificará al órgano interno de control o equivalente del sujeto obligado quien, en su caso, deberá iniciar el procedimiento de responsabilidad administrativa que corresponda.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La Unidad de Transparencia deberá notificarlo al solicitante por escrito, en un plazo que no exceda de quince días hábiles contados a partir del día siguiente a la presentación de la solicitud.</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Este plazo podrá ampliarse hasta por otros siete días hábiles, siempre que existan razones para ello, debiendo notificarse por escrito al solicitante.</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7637C5" w:rsidRPr="00817725" w:rsidRDefault="007637C5" w:rsidP="00817725">
      <w:pPr>
        <w:spacing w:after="0" w:line="360" w:lineRule="auto"/>
        <w:ind w:left="567" w:right="567"/>
        <w:contextualSpacing/>
        <w:jc w:val="both"/>
        <w:rPr>
          <w:rFonts w:ascii="Palatino Linotype" w:hAnsi="Palatino Linotype"/>
          <w:i/>
          <w:sz w:val="24"/>
          <w:szCs w:val="24"/>
        </w:rPr>
      </w:pPr>
      <w:r w:rsidRPr="00817725">
        <w:rPr>
          <w:rFonts w:ascii="Palatino Linotype" w:hAnsi="Palatino Linotype"/>
          <w:i/>
          <w:sz w:val="24"/>
          <w:szCs w:val="24"/>
        </w:rPr>
        <w:t>(Énfasis añadido)</w:t>
      </w:r>
    </w:p>
    <w:p w:rsidR="007637C5" w:rsidRPr="00817725" w:rsidRDefault="007637C5" w:rsidP="00817725">
      <w:pPr>
        <w:spacing w:after="0" w:line="360" w:lineRule="auto"/>
        <w:contextualSpacing/>
        <w:jc w:val="both"/>
        <w:rPr>
          <w:rFonts w:ascii="Palatino Linotype" w:hAnsi="Palatino Linotype"/>
          <w:sz w:val="24"/>
          <w:szCs w:val="24"/>
        </w:rPr>
      </w:pPr>
    </w:p>
    <w:p w:rsidR="007637C5" w:rsidRPr="00817725" w:rsidRDefault="007637C5" w:rsidP="00817725">
      <w:pPr>
        <w:numPr>
          <w:ilvl w:val="0"/>
          <w:numId w:val="2"/>
        </w:numPr>
        <w:spacing w:after="0" w:line="360" w:lineRule="auto"/>
        <w:ind w:left="0" w:firstLine="0"/>
        <w:contextualSpacing/>
        <w:jc w:val="both"/>
        <w:rPr>
          <w:rFonts w:ascii="Palatino Linotype" w:hAnsi="Palatino Linotype"/>
          <w:b/>
          <w:i/>
          <w:sz w:val="24"/>
          <w:szCs w:val="24"/>
          <w:lang w:val="es-ES_tradnl"/>
        </w:rPr>
      </w:pPr>
      <w:r w:rsidRPr="00817725">
        <w:rPr>
          <w:rFonts w:ascii="Palatino Linotype" w:hAnsi="Palatino Linotype"/>
          <w:sz w:val="24"/>
          <w:szCs w:val="24"/>
          <w:lang w:val="es-ES_tradnl"/>
        </w:rPr>
        <w:t xml:space="preserve">De lo anterior, es de precisar en qué casos se debe de emitir una inexistencia de información, para mejor referencia se hace del conocimiento del </w:t>
      </w:r>
      <w:r w:rsidRPr="00817725">
        <w:rPr>
          <w:rFonts w:ascii="Palatino Linotype" w:hAnsi="Palatino Linotype"/>
          <w:b/>
          <w:sz w:val="24"/>
          <w:szCs w:val="24"/>
          <w:lang w:val="es-ES_tradnl"/>
        </w:rPr>
        <w:t>SUJETO OBLIGADO</w:t>
      </w:r>
      <w:r w:rsidRPr="00817725">
        <w:rPr>
          <w:rFonts w:ascii="Palatino Linotype" w:hAnsi="Palatino Linotype"/>
          <w:sz w:val="24"/>
          <w:szCs w:val="24"/>
          <w:lang w:val="es-ES_tradnl"/>
        </w:rPr>
        <w:t xml:space="preserve"> lo contenido en los criterios orientadores aprobados por el Pleno de este Órgano Garante, en la sesión ordinaria de fecha 25 de agosto del año 2011, que demuestran claramente el concepto de inexistencia.</w:t>
      </w:r>
    </w:p>
    <w:p w:rsidR="007637C5" w:rsidRPr="00817725" w:rsidRDefault="007637C5" w:rsidP="00817725">
      <w:pPr>
        <w:spacing w:after="0" w:line="360" w:lineRule="auto"/>
        <w:contextualSpacing/>
        <w:jc w:val="both"/>
        <w:rPr>
          <w:rFonts w:ascii="Palatino Linotype" w:hAnsi="Palatino Linotype"/>
          <w:b/>
          <w:i/>
          <w:sz w:val="24"/>
          <w:szCs w:val="24"/>
          <w:lang w:val="es-ES_tradnl"/>
        </w:rPr>
      </w:pPr>
    </w:p>
    <w:p w:rsidR="007637C5" w:rsidRPr="00817725" w:rsidRDefault="007637C5" w:rsidP="00817725">
      <w:pPr>
        <w:spacing w:after="0" w:line="360" w:lineRule="auto"/>
        <w:contextualSpacing/>
        <w:jc w:val="center"/>
        <w:rPr>
          <w:rFonts w:ascii="Palatino Linotype" w:hAnsi="Palatino Linotype"/>
          <w:b/>
          <w:i/>
          <w:sz w:val="24"/>
          <w:szCs w:val="24"/>
          <w:lang w:val="es-ES_tradnl"/>
        </w:rPr>
      </w:pPr>
      <w:r w:rsidRPr="00817725">
        <w:rPr>
          <w:rFonts w:ascii="Palatino Linotype" w:hAnsi="Palatino Linotype"/>
          <w:b/>
          <w:i/>
          <w:sz w:val="24"/>
          <w:szCs w:val="24"/>
          <w:lang w:val="es-ES_tradnl"/>
        </w:rPr>
        <w:t>“CRITERIO 0003-11</w:t>
      </w:r>
    </w:p>
    <w:p w:rsidR="007637C5" w:rsidRPr="00817725" w:rsidRDefault="007637C5" w:rsidP="00817725">
      <w:pPr>
        <w:spacing w:after="0" w:line="360" w:lineRule="auto"/>
        <w:contextualSpacing/>
        <w:jc w:val="both"/>
        <w:rPr>
          <w:rFonts w:ascii="Palatino Linotype" w:hAnsi="Palatino Linotype"/>
          <w:i/>
          <w:sz w:val="24"/>
          <w:szCs w:val="24"/>
          <w:lang w:val="es-ES_tradnl"/>
        </w:rPr>
      </w:pPr>
    </w:p>
    <w:p w:rsidR="007637C5" w:rsidRPr="00817725" w:rsidRDefault="007637C5" w:rsidP="00817725">
      <w:pPr>
        <w:spacing w:after="0" w:line="360" w:lineRule="auto"/>
        <w:ind w:left="567" w:right="567"/>
        <w:contextualSpacing/>
        <w:jc w:val="both"/>
        <w:rPr>
          <w:rFonts w:ascii="Palatino Linotype" w:hAnsi="Palatino Linotype"/>
          <w:i/>
          <w:sz w:val="24"/>
          <w:szCs w:val="24"/>
          <w:lang w:val="es-ES_tradnl"/>
        </w:rPr>
      </w:pPr>
      <w:r w:rsidRPr="00817725">
        <w:rPr>
          <w:rFonts w:ascii="Palatino Linotype" w:hAnsi="Palatino Linotype"/>
          <w:b/>
          <w:i/>
          <w:sz w:val="24"/>
          <w:szCs w:val="24"/>
          <w:lang w:val="es-ES_tradnl"/>
        </w:rPr>
        <w:t>INEXISTENCIA, CONCEPTO DE, EN MATERIA DE TRANSPARENCIA</w:t>
      </w:r>
      <w:r w:rsidRPr="00817725">
        <w:rPr>
          <w:rFonts w:ascii="Palatino Linotype" w:hAnsi="Palatino Linotype"/>
          <w:i/>
          <w:sz w:val="24"/>
          <w:szCs w:val="24"/>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7637C5" w:rsidRPr="00817725" w:rsidRDefault="007637C5" w:rsidP="00817725">
      <w:pPr>
        <w:spacing w:after="0" w:line="360" w:lineRule="auto"/>
        <w:ind w:left="567" w:right="567"/>
        <w:contextualSpacing/>
        <w:jc w:val="both"/>
        <w:rPr>
          <w:rFonts w:ascii="Palatino Linotype" w:hAnsi="Palatino Linotype"/>
          <w:i/>
          <w:sz w:val="24"/>
          <w:szCs w:val="24"/>
          <w:lang w:val="es-ES_tradnl"/>
        </w:rPr>
      </w:pPr>
    </w:p>
    <w:p w:rsidR="007637C5" w:rsidRPr="00817725" w:rsidRDefault="007637C5" w:rsidP="00817725">
      <w:pPr>
        <w:spacing w:after="0" w:line="360" w:lineRule="auto"/>
        <w:ind w:left="567" w:right="567"/>
        <w:contextualSpacing/>
        <w:jc w:val="both"/>
        <w:rPr>
          <w:rFonts w:ascii="Palatino Linotype" w:hAnsi="Palatino Linotype"/>
          <w:i/>
          <w:sz w:val="24"/>
          <w:szCs w:val="24"/>
          <w:lang w:val="es-ES_tradnl"/>
        </w:rPr>
      </w:pPr>
      <w:r w:rsidRPr="00817725">
        <w:rPr>
          <w:rFonts w:ascii="Palatino Linotype" w:hAnsi="Palatino Linotype"/>
          <w:i/>
          <w:sz w:val="24"/>
          <w:szCs w:val="24"/>
          <w:lang w:val="es-ES_tradnl"/>
        </w:rPr>
        <w:t xml:space="preserve">a) </w:t>
      </w:r>
      <w:r w:rsidRPr="00817725">
        <w:rPr>
          <w:rFonts w:ascii="Palatino Linotype" w:hAnsi="Palatino Linotype"/>
          <w:b/>
          <w:i/>
          <w:sz w:val="24"/>
          <w:szCs w:val="24"/>
          <w:lang w:val="es-ES_tradnl"/>
        </w:rPr>
        <w:t>La existencia previa de la documentación y la falta posterior de la misma en los archivos del Sujeto Obligado</w:t>
      </w:r>
      <w:r w:rsidRPr="00817725">
        <w:rPr>
          <w:rFonts w:ascii="Palatino Linotype" w:hAnsi="Palatino Linotype"/>
          <w:i/>
          <w:sz w:val="24"/>
          <w:szCs w:val="24"/>
          <w:lang w:val="es-ES_tradnl"/>
        </w:rPr>
        <w:t xml:space="preserve">, esto es, </w:t>
      </w:r>
      <w:r w:rsidRPr="00817725">
        <w:rPr>
          <w:rFonts w:ascii="Palatino Linotype" w:hAnsi="Palatino Linotype"/>
          <w:b/>
          <w:i/>
          <w:sz w:val="24"/>
          <w:szCs w:val="24"/>
          <w:lang w:val="es-ES_tradnl"/>
        </w:rPr>
        <w:t>la información se generó, poseyó o administró –cuestión de hecho– en el marco de las atribuciones conferidas al Sujeto Obligado, pero no la conserva por diversas razones (destrucción física, desaparición física¸ sustracción ilícita</w:t>
      </w:r>
      <w:r w:rsidRPr="00817725">
        <w:rPr>
          <w:rFonts w:ascii="Palatino Linotype" w:hAnsi="Palatino Linotype"/>
          <w:b/>
          <w:i/>
          <w:sz w:val="24"/>
          <w:szCs w:val="24"/>
          <w:u w:val="single"/>
          <w:lang w:val="es-ES_tradnl"/>
        </w:rPr>
        <w:t>, baja documental</w:t>
      </w:r>
      <w:r w:rsidRPr="00817725">
        <w:rPr>
          <w:rFonts w:ascii="Palatino Linotype" w:hAnsi="Palatino Linotype"/>
          <w:b/>
          <w:i/>
          <w:sz w:val="24"/>
          <w:szCs w:val="24"/>
          <w:lang w:val="es-ES_tradnl"/>
        </w:rPr>
        <w:t>, etcétera).</w:t>
      </w:r>
    </w:p>
    <w:p w:rsidR="007637C5" w:rsidRPr="00817725" w:rsidRDefault="007637C5" w:rsidP="00817725">
      <w:pPr>
        <w:spacing w:after="0" w:line="360" w:lineRule="auto"/>
        <w:ind w:left="567" w:right="567"/>
        <w:contextualSpacing/>
        <w:jc w:val="both"/>
        <w:rPr>
          <w:rFonts w:ascii="Palatino Linotype" w:hAnsi="Palatino Linotype"/>
          <w:b/>
          <w:i/>
          <w:sz w:val="24"/>
          <w:szCs w:val="24"/>
          <w:lang w:val="es-ES_tradnl"/>
        </w:rPr>
      </w:pPr>
      <w:r w:rsidRPr="00817725">
        <w:rPr>
          <w:rFonts w:ascii="Palatino Linotype" w:hAnsi="Palatino Linotype"/>
          <w:i/>
          <w:sz w:val="24"/>
          <w:szCs w:val="24"/>
          <w:lang w:val="es-ES_tradnl"/>
        </w:rPr>
        <w:t xml:space="preserve">b) En los casos en que por las atribuciones conferidas al Sujeto Obligado éste debió generar, administrar o poseer la información, pero en </w:t>
      </w:r>
      <w:r w:rsidRPr="00817725">
        <w:rPr>
          <w:rFonts w:ascii="Palatino Linotype" w:hAnsi="Palatino Linotype"/>
          <w:b/>
          <w:i/>
          <w:sz w:val="24"/>
          <w:szCs w:val="24"/>
          <w:lang w:val="es-ES_tradnl"/>
        </w:rPr>
        <w:t xml:space="preserve">incumplimiento a la normatividad respectiva no llevó a cabo </w:t>
      </w:r>
      <w:proofErr w:type="gramStart"/>
      <w:r w:rsidRPr="00817725">
        <w:rPr>
          <w:rFonts w:ascii="Palatino Linotype" w:hAnsi="Palatino Linotype"/>
          <w:b/>
          <w:i/>
          <w:sz w:val="24"/>
          <w:szCs w:val="24"/>
          <w:lang w:val="es-ES_tradnl"/>
        </w:rPr>
        <w:t>ninguna</w:t>
      </w:r>
      <w:proofErr w:type="gramEnd"/>
      <w:r w:rsidRPr="00817725">
        <w:rPr>
          <w:rFonts w:ascii="Palatino Linotype" w:hAnsi="Palatino Linotype"/>
          <w:b/>
          <w:i/>
          <w:sz w:val="24"/>
          <w:szCs w:val="24"/>
          <w:lang w:val="es-ES_tradnl"/>
        </w:rPr>
        <w:t xml:space="preserve"> de esas acciones.</w:t>
      </w:r>
    </w:p>
    <w:p w:rsidR="007637C5" w:rsidRPr="00817725" w:rsidRDefault="007637C5" w:rsidP="00817725">
      <w:pPr>
        <w:spacing w:after="0" w:line="360" w:lineRule="auto"/>
        <w:ind w:left="567" w:right="567"/>
        <w:contextualSpacing/>
        <w:jc w:val="both"/>
        <w:rPr>
          <w:rFonts w:ascii="Palatino Linotype" w:hAnsi="Palatino Linotype"/>
          <w:i/>
          <w:sz w:val="24"/>
          <w:szCs w:val="24"/>
          <w:lang w:val="es-ES_tradnl"/>
        </w:rPr>
      </w:pPr>
      <w:r w:rsidRPr="00817725">
        <w:rPr>
          <w:rFonts w:ascii="Palatino Linotype" w:hAnsi="Palatino Linotype"/>
          <w:b/>
          <w:i/>
          <w:sz w:val="24"/>
          <w:szCs w:val="24"/>
          <w:lang w:val="es-ES_tradnl"/>
        </w:rPr>
        <w:t xml:space="preserve">En ambos casos, el Sujeto Obligado deberá hacer del conocimiento del solicitante las </w:t>
      </w:r>
      <w:r w:rsidRPr="00817725">
        <w:rPr>
          <w:rFonts w:ascii="Palatino Linotype" w:hAnsi="Palatino Linotype"/>
          <w:b/>
          <w:i/>
          <w:sz w:val="24"/>
          <w:szCs w:val="24"/>
          <w:u w:val="single"/>
          <w:lang w:val="es-ES_tradnl"/>
        </w:rPr>
        <w:t>razones que explican la inexistencia, mediante el dictamen debidamente fundado y motivado emitido por el Comité de Información</w:t>
      </w:r>
      <w:r w:rsidRPr="00817725">
        <w:rPr>
          <w:rFonts w:ascii="Palatino Linotype" w:hAnsi="Palatino Linotype"/>
          <w:b/>
          <w:i/>
          <w:sz w:val="24"/>
          <w:szCs w:val="24"/>
          <w:lang w:val="es-ES_tradnl"/>
        </w:rPr>
        <w:t xml:space="preserve"> y con las formalidades legales exigidas por la Ley de Transparencia</w:t>
      </w:r>
      <w:r w:rsidRPr="00817725">
        <w:rPr>
          <w:rFonts w:ascii="Palatino Linotype" w:hAnsi="Palatino Linotype"/>
          <w:i/>
          <w:sz w:val="24"/>
          <w:szCs w:val="24"/>
          <w:lang w:val="es-ES_tradnl"/>
        </w:rPr>
        <w:t>.</w:t>
      </w:r>
    </w:p>
    <w:p w:rsidR="007637C5" w:rsidRPr="00817725" w:rsidRDefault="007637C5" w:rsidP="00817725">
      <w:pPr>
        <w:spacing w:after="0" w:line="360" w:lineRule="auto"/>
        <w:contextualSpacing/>
        <w:jc w:val="both"/>
        <w:rPr>
          <w:rFonts w:ascii="Palatino Linotype" w:hAnsi="Palatino Linotype"/>
          <w:i/>
          <w:sz w:val="24"/>
          <w:szCs w:val="24"/>
          <w:lang w:val="es-ES_tradnl"/>
        </w:rPr>
      </w:pPr>
    </w:p>
    <w:p w:rsidR="007637C5" w:rsidRPr="00817725" w:rsidRDefault="007637C5" w:rsidP="00817725">
      <w:pPr>
        <w:numPr>
          <w:ilvl w:val="0"/>
          <w:numId w:val="2"/>
        </w:numPr>
        <w:spacing w:after="0" w:line="360" w:lineRule="auto"/>
        <w:ind w:left="0" w:firstLine="0"/>
        <w:contextualSpacing/>
        <w:jc w:val="both"/>
        <w:rPr>
          <w:rFonts w:ascii="Palatino Linotype" w:hAnsi="Palatino Linotype"/>
          <w:i/>
          <w:sz w:val="24"/>
          <w:szCs w:val="24"/>
          <w:lang w:val="es-ES_tradnl"/>
        </w:rPr>
      </w:pPr>
      <w:r w:rsidRPr="00817725">
        <w:rPr>
          <w:rFonts w:ascii="Palatino Linotype" w:hAnsi="Palatino Linotype"/>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7637C5" w:rsidRPr="00817725" w:rsidRDefault="007637C5" w:rsidP="00817725">
      <w:pPr>
        <w:spacing w:after="0" w:line="360" w:lineRule="auto"/>
        <w:contextualSpacing/>
        <w:jc w:val="both"/>
        <w:rPr>
          <w:rFonts w:ascii="Palatino Linotype" w:hAnsi="Palatino Linotype"/>
          <w:i/>
          <w:sz w:val="24"/>
          <w:szCs w:val="24"/>
          <w:lang w:val="es-ES_tradnl"/>
        </w:rPr>
      </w:pPr>
    </w:p>
    <w:p w:rsidR="007637C5" w:rsidRPr="00817725" w:rsidRDefault="007637C5" w:rsidP="00817725">
      <w:pPr>
        <w:spacing w:after="0" w:line="360" w:lineRule="auto"/>
        <w:ind w:left="567" w:right="709"/>
        <w:contextualSpacing/>
        <w:jc w:val="both"/>
        <w:rPr>
          <w:rFonts w:ascii="Palatino Linotype" w:hAnsi="Palatino Linotype"/>
          <w:b/>
          <w:i/>
          <w:sz w:val="24"/>
          <w:szCs w:val="24"/>
          <w:lang w:val="es-ES_tradnl"/>
        </w:rPr>
      </w:pPr>
    </w:p>
    <w:p w:rsidR="007637C5" w:rsidRPr="00817725" w:rsidRDefault="007637C5" w:rsidP="00817725">
      <w:pPr>
        <w:spacing w:after="0" w:line="360" w:lineRule="auto"/>
        <w:ind w:left="567" w:right="709"/>
        <w:contextualSpacing/>
        <w:jc w:val="center"/>
        <w:rPr>
          <w:rFonts w:ascii="Palatino Linotype" w:hAnsi="Palatino Linotype"/>
          <w:b/>
          <w:i/>
          <w:sz w:val="24"/>
          <w:szCs w:val="24"/>
          <w:lang w:val="es-ES_tradnl"/>
        </w:rPr>
      </w:pPr>
      <w:r w:rsidRPr="00817725">
        <w:rPr>
          <w:rFonts w:ascii="Palatino Linotype" w:hAnsi="Palatino Linotype"/>
          <w:b/>
          <w:i/>
          <w:sz w:val="24"/>
          <w:szCs w:val="24"/>
          <w:lang w:val="es-ES_tradnl"/>
        </w:rPr>
        <w:t>CRITERIO 0004-11</w:t>
      </w:r>
    </w:p>
    <w:p w:rsidR="007637C5" w:rsidRPr="00817725" w:rsidRDefault="007637C5" w:rsidP="00817725">
      <w:pPr>
        <w:spacing w:after="0" w:line="360" w:lineRule="auto"/>
        <w:ind w:left="567" w:right="709"/>
        <w:contextualSpacing/>
        <w:jc w:val="both"/>
        <w:rPr>
          <w:rFonts w:ascii="Palatino Linotype" w:hAnsi="Palatino Linotype"/>
          <w:b/>
          <w:i/>
          <w:sz w:val="24"/>
          <w:szCs w:val="24"/>
          <w:lang w:val="es-ES_tradnl"/>
        </w:rPr>
      </w:pPr>
    </w:p>
    <w:p w:rsidR="007637C5" w:rsidRPr="00817725" w:rsidRDefault="007637C5" w:rsidP="00817725">
      <w:pPr>
        <w:spacing w:after="0" w:line="360" w:lineRule="auto"/>
        <w:ind w:left="567" w:right="709"/>
        <w:contextualSpacing/>
        <w:jc w:val="both"/>
        <w:rPr>
          <w:rFonts w:ascii="Palatino Linotype" w:hAnsi="Palatino Linotype"/>
          <w:i/>
          <w:sz w:val="24"/>
          <w:szCs w:val="24"/>
          <w:lang w:val="es-ES_tradnl"/>
        </w:rPr>
      </w:pPr>
      <w:r w:rsidRPr="00817725">
        <w:rPr>
          <w:rFonts w:ascii="Palatino Linotype" w:hAnsi="Palatino Linotype"/>
          <w:b/>
          <w:i/>
          <w:sz w:val="24"/>
          <w:szCs w:val="24"/>
          <w:lang w:val="es-ES_tradnl"/>
        </w:rPr>
        <w:t>INEXISTENCIA. DECLARATORIA DE LA. ALCANCES Y PROCEDIMIENTOS</w:t>
      </w:r>
      <w:r w:rsidRPr="00817725">
        <w:rPr>
          <w:rFonts w:ascii="Palatino Linotype" w:hAnsi="Palatino Linotype"/>
          <w:i/>
          <w:sz w:val="24"/>
          <w:szCs w:val="24"/>
          <w:lang w:val="es-ES_tradnl"/>
        </w:rPr>
        <w:t xml:space="preserve">. De la interpretación de los artículos 29 y 30, fracción VIII, de la Ley de Transparencia y Acceso a la Información Pública del Estado de México y Municipios, se concluye que cuando el Titular de la Unidad de Información </w:t>
      </w:r>
      <w:r w:rsidRPr="00817725">
        <w:rPr>
          <w:rFonts w:ascii="Palatino Linotype" w:hAnsi="Palatino Linotype"/>
          <w:b/>
          <w:i/>
          <w:sz w:val="24"/>
          <w:szCs w:val="24"/>
          <w:lang w:val="es-ES_tradnl"/>
        </w:rPr>
        <w:t>no localice la documentación solicitada, a pesar de haber sido generada, poseída o administrada por el Sujeto Obligado,</w:t>
      </w:r>
      <w:r w:rsidRPr="00817725">
        <w:rPr>
          <w:rFonts w:ascii="Palatino Linotype" w:hAnsi="Palatino Linotype"/>
          <w:i/>
          <w:sz w:val="24"/>
          <w:szCs w:val="24"/>
          <w:lang w:val="es-ES_tradnl"/>
        </w:rPr>
        <w:t xml:space="preserve"> turnará la solicitud al </w:t>
      </w:r>
      <w:r w:rsidRPr="00817725">
        <w:rPr>
          <w:rFonts w:ascii="Palatino Linotype" w:hAnsi="Palatino Linotype"/>
          <w:b/>
          <w:i/>
          <w:sz w:val="24"/>
          <w:szCs w:val="24"/>
          <w:lang w:val="es-ES_tradnl"/>
        </w:rPr>
        <w:t>Comité de Información el cual es el único competente para conocer y deliberar mediante resolución el dictamen de declaratoria de inexistencia</w:t>
      </w:r>
      <w:r w:rsidRPr="00817725">
        <w:rPr>
          <w:rFonts w:ascii="Palatino Linotype" w:hAnsi="Palatino Linotype"/>
          <w:i/>
          <w:sz w:val="24"/>
          <w:szCs w:val="24"/>
          <w:lang w:val="es-ES_tradnl"/>
        </w:rPr>
        <w:t xml:space="preserve">, la cual tiene como </w:t>
      </w:r>
      <w:r w:rsidRPr="00817725">
        <w:rPr>
          <w:rFonts w:ascii="Palatino Linotype" w:hAnsi="Palatino Linotype"/>
          <w:b/>
          <w:i/>
          <w:sz w:val="24"/>
          <w:szCs w:val="24"/>
          <w:lang w:val="es-ES_tradnl"/>
        </w:rPr>
        <w:t xml:space="preserve">propósito que el particular tenga la </w:t>
      </w:r>
      <w:r w:rsidRPr="00817725">
        <w:rPr>
          <w:rFonts w:ascii="Palatino Linotype" w:hAnsi="Palatino Linotype"/>
          <w:b/>
          <w:i/>
          <w:sz w:val="24"/>
          <w:szCs w:val="24"/>
          <w:u w:val="single"/>
          <w:lang w:val="es-ES_tradnl"/>
        </w:rPr>
        <w:t>certeza jurídica</w:t>
      </w:r>
      <w:r w:rsidRPr="00817725">
        <w:rPr>
          <w:rFonts w:ascii="Palatino Linotype" w:hAnsi="Palatino Linotype"/>
          <w:b/>
          <w:i/>
          <w:sz w:val="24"/>
          <w:szCs w:val="24"/>
          <w:lang w:val="es-ES_tradnl"/>
        </w:rPr>
        <w:t xml:space="preserve"> de que el Sujeto Obligado </w:t>
      </w:r>
      <w:r w:rsidRPr="00817725">
        <w:rPr>
          <w:rFonts w:ascii="Palatino Linotype" w:hAnsi="Palatino Linotype"/>
          <w:b/>
          <w:i/>
          <w:sz w:val="24"/>
          <w:szCs w:val="24"/>
          <w:u w:val="single"/>
          <w:lang w:val="es-ES_tradnl"/>
        </w:rPr>
        <w:t>realizó una búsqueda exhaustiva y minuciosa de la información</w:t>
      </w:r>
      <w:r w:rsidRPr="00817725">
        <w:rPr>
          <w:rFonts w:ascii="Palatino Linotype" w:hAnsi="Palatino Linotype"/>
          <w:b/>
          <w:i/>
          <w:sz w:val="24"/>
          <w:szCs w:val="24"/>
          <w:lang w:val="es-ES_tradnl"/>
        </w:rPr>
        <w:t xml:space="preserve"> en los archivos a cargo</w:t>
      </w:r>
      <w:r w:rsidRPr="00817725">
        <w:rPr>
          <w:rFonts w:ascii="Palatino Linotype" w:hAnsi="Palatino Linotype"/>
          <w:i/>
          <w:sz w:val="24"/>
          <w:szCs w:val="24"/>
          <w:lang w:val="es-ES_tradnl"/>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7637C5" w:rsidRPr="00817725" w:rsidRDefault="007637C5" w:rsidP="00817725">
      <w:pPr>
        <w:spacing w:after="0" w:line="360" w:lineRule="auto"/>
        <w:ind w:left="567" w:right="709"/>
        <w:contextualSpacing/>
        <w:jc w:val="both"/>
        <w:rPr>
          <w:rFonts w:ascii="Palatino Linotype" w:hAnsi="Palatino Linotype"/>
          <w:i/>
          <w:sz w:val="24"/>
          <w:szCs w:val="24"/>
          <w:lang w:val="es-ES_tradnl"/>
        </w:rPr>
      </w:pPr>
      <w:r w:rsidRPr="00817725">
        <w:rPr>
          <w:rFonts w:ascii="Palatino Linotype" w:hAnsi="Palatino Linotype"/>
          <w:i/>
          <w:sz w:val="24"/>
          <w:szCs w:val="24"/>
          <w:lang w:val="es-ES_tradnl"/>
        </w:rPr>
        <w:t>Bajo el entendido de que dicha búsqueda exhaustiva permitirá dos determinaciones:</w:t>
      </w:r>
    </w:p>
    <w:p w:rsidR="007637C5" w:rsidRPr="00817725" w:rsidRDefault="007637C5" w:rsidP="00817725">
      <w:pPr>
        <w:spacing w:after="0" w:line="360" w:lineRule="auto"/>
        <w:ind w:left="567" w:right="709"/>
        <w:contextualSpacing/>
        <w:jc w:val="both"/>
        <w:rPr>
          <w:rFonts w:ascii="Palatino Linotype" w:hAnsi="Palatino Linotype"/>
          <w:i/>
          <w:sz w:val="24"/>
          <w:szCs w:val="24"/>
          <w:lang w:val="es-ES_tradnl"/>
        </w:rPr>
      </w:pPr>
      <w:r w:rsidRPr="00817725">
        <w:rPr>
          <w:rFonts w:ascii="Palatino Linotype" w:hAnsi="Palatino Linotype"/>
          <w:i/>
          <w:sz w:val="24"/>
          <w:szCs w:val="24"/>
          <w:lang w:val="es-ES_tradnl"/>
        </w:rPr>
        <w:t>1ª) Que se localice la documentación que contenga la información solicitada y de ser así la información pueda entregarse al solicitante en la forma en que se encuentra disponible, o</w:t>
      </w:r>
    </w:p>
    <w:p w:rsidR="007637C5" w:rsidRPr="00817725" w:rsidRDefault="007637C5" w:rsidP="00817725">
      <w:pPr>
        <w:spacing w:after="0" w:line="360" w:lineRule="auto"/>
        <w:ind w:left="567" w:right="709"/>
        <w:contextualSpacing/>
        <w:jc w:val="both"/>
        <w:rPr>
          <w:rFonts w:ascii="Palatino Linotype" w:hAnsi="Palatino Linotype"/>
          <w:i/>
          <w:sz w:val="24"/>
          <w:szCs w:val="24"/>
          <w:lang w:val="es-ES_tradnl"/>
        </w:rPr>
      </w:pPr>
      <w:r w:rsidRPr="00817725">
        <w:rPr>
          <w:rFonts w:ascii="Palatino Linotype" w:hAnsi="Palatino Linotype"/>
          <w:i/>
          <w:sz w:val="24"/>
          <w:szCs w:val="24"/>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7637C5" w:rsidRPr="00817725" w:rsidRDefault="007637C5" w:rsidP="00817725">
      <w:pPr>
        <w:spacing w:after="0" w:line="360" w:lineRule="auto"/>
        <w:ind w:left="567" w:right="709"/>
        <w:contextualSpacing/>
        <w:jc w:val="both"/>
        <w:rPr>
          <w:rFonts w:ascii="Palatino Linotype" w:hAnsi="Palatino Linotype"/>
          <w:i/>
          <w:sz w:val="24"/>
          <w:szCs w:val="24"/>
          <w:lang w:val="es-ES_tradnl"/>
        </w:rPr>
      </w:pPr>
      <w:r w:rsidRPr="00817725">
        <w:rPr>
          <w:rFonts w:ascii="Palatino Linotype" w:hAnsi="Palatino Linotype"/>
          <w:i/>
          <w:sz w:val="24"/>
          <w:szCs w:val="24"/>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637C5" w:rsidRPr="00817725" w:rsidRDefault="007637C5" w:rsidP="00817725">
      <w:pPr>
        <w:spacing w:after="0" w:line="360" w:lineRule="auto"/>
        <w:contextualSpacing/>
        <w:jc w:val="both"/>
        <w:rPr>
          <w:rFonts w:ascii="Palatino Linotype" w:hAnsi="Palatino Linotype"/>
          <w:i/>
          <w:sz w:val="24"/>
          <w:szCs w:val="24"/>
        </w:rPr>
      </w:pPr>
    </w:p>
    <w:p w:rsidR="007637C5" w:rsidRPr="00817725" w:rsidRDefault="007637C5" w:rsidP="00817725">
      <w:pPr>
        <w:numPr>
          <w:ilvl w:val="0"/>
          <w:numId w:val="2"/>
        </w:numPr>
        <w:spacing w:after="0" w:line="360" w:lineRule="auto"/>
        <w:ind w:left="0" w:firstLine="0"/>
        <w:contextualSpacing/>
        <w:jc w:val="both"/>
        <w:rPr>
          <w:rFonts w:ascii="Palatino Linotype" w:hAnsi="Palatino Linotype"/>
          <w:sz w:val="24"/>
          <w:szCs w:val="24"/>
          <w:lang w:val="es-ES_tradnl"/>
        </w:rPr>
      </w:pPr>
      <w:r w:rsidRPr="00817725">
        <w:rPr>
          <w:rFonts w:ascii="Palatino Linotype" w:hAnsi="Palatino Linotype"/>
          <w:sz w:val="24"/>
          <w:szCs w:val="24"/>
        </w:rPr>
        <w:t xml:space="preserve">Bajo éste tenor se debe destacar que para que se declare la inexistencia de la información deberá de encuadrar en dos hipótesis, </w:t>
      </w:r>
      <w:r w:rsidRPr="00817725">
        <w:rPr>
          <w:rFonts w:ascii="Palatino Linotype" w:hAnsi="Palatino Linotype"/>
          <w:sz w:val="24"/>
          <w:szCs w:val="24"/>
          <w:u w:val="single"/>
        </w:rPr>
        <w:t>la primera de ellas corresponde a que en atribuciones, competencias o funciones del Sujeto Obligado debió de haber generado, administrado o poseído la información ordenada pero por algún motivo éste no cuenta con ella</w:t>
      </w:r>
      <w:r w:rsidRPr="00817725">
        <w:rPr>
          <w:rFonts w:ascii="Palatino Linotype" w:hAnsi="Palatino Linotype"/>
          <w:sz w:val="24"/>
          <w:szCs w:val="24"/>
        </w:rPr>
        <w:t xml:space="preserve">, el </w:t>
      </w:r>
      <w:r w:rsidRPr="00817725">
        <w:rPr>
          <w:rFonts w:ascii="Palatino Linotype" w:hAnsi="Palatino Linotype"/>
          <w:sz w:val="24"/>
          <w:szCs w:val="24"/>
          <w:u w:val="single"/>
        </w:rPr>
        <w:t>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w:t>
      </w:r>
      <w:r w:rsidRPr="00817725">
        <w:rPr>
          <w:rFonts w:ascii="Palatino Linotype" w:hAnsi="Palatino Linotype"/>
          <w:sz w:val="24"/>
          <w:szCs w:val="24"/>
        </w:rPr>
        <w:t xml:space="preserve">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rsidR="007637C5" w:rsidRPr="00817725" w:rsidRDefault="007637C5" w:rsidP="00817725">
      <w:pPr>
        <w:spacing w:after="0" w:line="360" w:lineRule="auto"/>
        <w:contextualSpacing/>
        <w:jc w:val="both"/>
        <w:rPr>
          <w:rFonts w:ascii="Palatino Linotype" w:hAnsi="Palatino Linotype"/>
          <w:sz w:val="24"/>
          <w:szCs w:val="24"/>
          <w:lang w:val="es-ES_tradnl"/>
        </w:rPr>
      </w:pPr>
    </w:p>
    <w:p w:rsidR="007637C5" w:rsidRPr="00817725" w:rsidRDefault="007637C5" w:rsidP="00817725">
      <w:pPr>
        <w:numPr>
          <w:ilvl w:val="0"/>
          <w:numId w:val="2"/>
        </w:numPr>
        <w:spacing w:after="0" w:line="360" w:lineRule="auto"/>
        <w:ind w:left="0" w:firstLine="0"/>
        <w:contextualSpacing/>
        <w:jc w:val="both"/>
        <w:rPr>
          <w:rFonts w:ascii="Palatino Linotype" w:hAnsi="Palatino Linotype"/>
          <w:sz w:val="24"/>
          <w:szCs w:val="24"/>
          <w:lang w:val="es-ES_tradnl"/>
        </w:rPr>
      </w:pPr>
      <w:r w:rsidRPr="00817725">
        <w:rPr>
          <w:rFonts w:ascii="Palatino Linotype" w:hAnsi="Palatino Linotype"/>
          <w:sz w:val="24"/>
          <w:szCs w:val="24"/>
          <w:lang w:val="es-ES_tradnl"/>
        </w:rPr>
        <w:t>Por lo anteriormente expuesto, se precisa que para el caso de no con</w:t>
      </w:r>
      <w:r w:rsidR="00B63B13" w:rsidRPr="00817725">
        <w:rPr>
          <w:rFonts w:ascii="Palatino Linotype" w:hAnsi="Palatino Linotype"/>
          <w:sz w:val="24"/>
          <w:szCs w:val="24"/>
          <w:lang w:val="es-ES_tradnl"/>
        </w:rPr>
        <w:t>tar</w:t>
      </w:r>
      <w:r w:rsidRPr="00817725">
        <w:rPr>
          <w:rFonts w:ascii="Palatino Linotype" w:hAnsi="Palatino Linotype"/>
          <w:sz w:val="24"/>
          <w:szCs w:val="24"/>
          <w:lang w:val="es-ES_tradnl"/>
        </w:rPr>
        <w:t xml:space="preserve"> con la información </w:t>
      </w:r>
      <w:r w:rsidR="00B63B13" w:rsidRPr="00817725">
        <w:rPr>
          <w:rFonts w:ascii="Palatino Linotype" w:hAnsi="Palatino Linotype"/>
          <w:sz w:val="24"/>
          <w:szCs w:val="24"/>
          <w:lang w:val="es-ES_tradnl"/>
        </w:rPr>
        <w:t xml:space="preserve">que refiere </w:t>
      </w:r>
      <w:r w:rsidRPr="00817725">
        <w:rPr>
          <w:rFonts w:ascii="Palatino Linotype" w:hAnsi="Palatino Linotype"/>
          <w:sz w:val="24"/>
          <w:szCs w:val="24"/>
          <w:lang w:val="es-ES_tradnl"/>
        </w:rPr>
        <w:t xml:space="preserve">el </w:t>
      </w:r>
      <w:r w:rsidRPr="00817725">
        <w:rPr>
          <w:rFonts w:ascii="Palatino Linotype" w:hAnsi="Palatino Linotype"/>
          <w:b/>
          <w:sz w:val="24"/>
          <w:szCs w:val="24"/>
          <w:lang w:val="es-ES_tradnl"/>
        </w:rPr>
        <w:t>SUJETO OBIGADO</w:t>
      </w:r>
      <w:r w:rsidRPr="00817725">
        <w:rPr>
          <w:rFonts w:ascii="Palatino Linotype" w:hAnsi="Palatino Linotype"/>
          <w:sz w:val="24"/>
          <w:szCs w:val="24"/>
          <w:lang w:val="es-ES_tradnl"/>
        </w:rPr>
        <w:t xml:space="preserve"> deberá de emitir su respectivo Acuerdo de Inexistencia en el que se funde y motive las razones o circunstancias por las cuales no se posee o administra la información relativa a sus facultades, competencias y atribuciones, asimismo aquella que fue generada pero por alguna circunstancia no se localice en sus archivos.</w:t>
      </w:r>
    </w:p>
    <w:p w:rsidR="007637C5" w:rsidRPr="00817725" w:rsidRDefault="00B63B13" w:rsidP="00817725">
      <w:pPr>
        <w:pStyle w:val="Ttulo1"/>
        <w:spacing w:line="360" w:lineRule="auto"/>
        <w:rPr>
          <w:rFonts w:ascii="Palatino Linotype" w:eastAsia="Cambria" w:hAnsi="Palatino Linotype" w:cs="Times New Roman"/>
          <w:b/>
          <w:i/>
          <w:color w:val="auto"/>
          <w:sz w:val="24"/>
          <w:szCs w:val="24"/>
        </w:rPr>
      </w:pPr>
      <w:bookmarkStart w:id="76" w:name="_Toc20387834"/>
      <w:r w:rsidRPr="00817725">
        <w:rPr>
          <w:rFonts w:ascii="Palatino Linotype" w:eastAsia="Cambria" w:hAnsi="Palatino Linotype" w:cs="Times New Roman"/>
          <w:b/>
          <w:i/>
          <w:color w:val="auto"/>
          <w:sz w:val="24"/>
          <w:szCs w:val="24"/>
        </w:rPr>
        <w:t>V. De la digitalización y cobro de la información</w:t>
      </w:r>
      <w:bookmarkEnd w:id="76"/>
      <w:r w:rsidRPr="00817725">
        <w:rPr>
          <w:rFonts w:ascii="Palatino Linotype" w:eastAsia="Cambria" w:hAnsi="Palatino Linotype" w:cs="Times New Roman"/>
          <w:b/>
          <w:i/>
          <w:color w:val="auto"/>
          <w:sz w:val="24"/>
          <w:szCs w:val="24"/>
        </w:rPr>
        <w:t xml:space="preserve"> </w:t>
      </w:r>
    </w:p>
    <w:p w:rsidR="007637C5" w:rsidRPr="00817725" w:rsidRDefault="007637C5" w:rsidP="00817725">
      <w:pPr>
        <w:pStyle w:val="Prrafodelista"/>
        <w:spacing w:after="0" w:line="360" w:lineRule="auto"/>
        <w:ind w:left="0"/>
        <w:jc w:val="both"/>
        <w:rPr>
          <w:rFonts w:ascii="Palatino Linotype" w:eastAsia="Cambria" w:hAnsi="Palatino Linotype" w:cs="Times New Roman"/>
          <w:sz w:val="24"/>
          <w:szCs w:val="24"/>
        </w:rPr>
      </w:pPr>
    </w:p>
    <w:p w:rsidR="00293C45" w:rsidRPr="00817725" w:rsidRDefault="00293C45" w:rsidP="00817725">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817725">
        <w:rPr>
          <w:rFonts w:ascii="Palatino Linotype" w:eastAsiaTheme="minorEastAsia" w:hAnsi="Palatino Linotype"/>
          <w:sz w:val="24"/>
          <w:szCs w:val="24"/>
          <w:lang w:eastAsia="es-ES"/>
        </w:rPr>
        <w:t>Derivado de la manifestación realizadas por el SUJETO OBLIGADO tanto en respuesta como en el informe justificado en los que refiere que la información la tiene resguardada en cajas, lo que le impide entregar la información en la vía elegida por el particular</w:t>
      </w:r>
      <w:r w:rsidR="004441F2" w:rsidRPr="00817725">
        <w:rPr>
          <w:rFonts w:ascii="Palatino Linotype" w:eastAsiaTheme="minorEastAsia" w:hAnsi="Palatino Linotype"/>
          <w:sz w:val="24"/>
          <w:szCs w:val="24"/>
          <w:lang w:eastAsia="es-ES"/>
        </w:rPr>
        <w:t>, toda vez que tiene que realizar la digitalización y el fotocopiado de la misma para hacer la entrega.</w:t>
      </w:r>
    </w:p>
    <w:p w:rsidR="004441F2" w:rsidRPr="00817725" w:rsidRDefault="004441F2" w:rsidP="00817725">
      <w:pPr>
        <w:pStyle w:val="Prrafodelista"/>
        <w:tabs>
          <w:tab w:val="left" w:pos="851"/>
        </w:tabs>
        <w:spacing w:before="240" w:after="240" w:line="360" w:lineRule="auto"/>
        <w:ind w:left="0" w:right="49"/>
        <w:jc w:val="both"/>
        <w:rPr>
          <w:rFonts w:ascii="Palatino Linotype" w:eastAsiaTheme="minorEastAsia" w:hAnsi="Palatino Linotype"/>
          <w:sz w:val="24"/>
          <w:szCs w:val="24"/>
          <w:lang w:eastAsia="es-ES"/>
        </w:rPr>
      </w:pPr>
    </w:p>
    <w:p w:rsidR="00B63B13" w:rsidRPr="00817725" w:rsidRDefault="00B63B13" w:rsidP="00817725">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817725">
        <w:rPr>
          <w:rFonts w:ascii="Palatino Linotype" w:eastAsiaTheme="minorEastAsia" w:hAnsi="Palatino Linotype"/>
          <w:sz w:val="24"/>
          <w:szCs w:val="24"/>
          <w:lang w:eastAsia="es-ES"/>
        </w:rPr>
        <w:t xml:space="preserve">Luego entonces, </w:t>
      </w:r>
      <w:r w:rsidR="004441F2" w:rsidRPr="00817725">
        <w:rPr>
          <w:rFonts w:ascii="Palatino Linotype" w:eastAsiaTheme="minorEastAsia" w:hAnsi="Palatino Linotype"/>
          <w:sz w:val="24"/>
          <w:szCs w:val="24"/>
          <w:lang w:eastAsia="es-ES"/>
        </w:rPr>
        <w:t xml:space="preserve">no pasa desapercibido para </w:t>
      </w:r>
      <w:r w:rsidRPr="00817725">
        <w:rPr>
          <w:rFonts w:ascii="Palatino Linotype" w:eastAsiaTheme="minorEastAsia" w:hAnsi="Palatino Linotype"/>
          <w:sz w:val="24"/>
          <w:szCs w:val="24"/>
          <w:lang w:eastAsia="es-ES"/>
        </w:rPr>
        <w:t xml:space="preserve">este Órgano Garante </w:t>
      </w:r>
      <w:r w:rsidR="004441F2" w:rsidRPr="00817725">
        <w:rPr>
          <w:rFonts w:ascii="Palatino Linotype" w:eastAsiaTheme="minorEastAsia" w:hAnsi="Palatino Linotype"/>
          <w:sz w:val="24"/>
          <w:szCs w:val="24"/>
          <w:lang w:eastAsia="es-ES"/>
        </w:rPr>
        <w:t>lo  referido en la res</w:t>
      </w:r>
      <w:r w:rsidRPr="00817725">
        <w:rPr>
          <w:rFonts w:ascii="Palatino Linotype" w:eastAsiaTheme="minorEastAsia" w:hAnsi="Palatino Linotype"/>
          <w:sz w:val="24"/>
          <w:szCs w:val="24"/>
          <w:lang w:eastAsia="es-ES"/>
        </w:rPr>
        <w:t xml:space="preserve">puesta, es necesario traer a colación </w:t>
      </w:r>
      <w:r w:rsidRPr="00817725">
        <w:rPr>
          <w:rFonts w:ascii="Palatino Linotype" w:eastAsiaTheme="minorEastAsia" w:hAnsi="Palatino Linotype" w:cs="Arial"/>
          <w:sz w:val="24"/>
          <w:szCs w:val="24"/>
          <w:lang w:val="es-ES_tradnl" w:eastAsia="es-ES"/>
        </w:rPr>
        <w:t>la fracción II del artículo 2 de la Ley de Transparencia y Acceso a la Información Pública del Estado de México y Municipios, establece que son objetivos de la misma, proveer lo necesario para garantizar a toda persona el derecho de acceso a la información pública, a través de procedimientos sencillos, expeditos, oportunos y gratuitos;</w:t>
      </w:r>
      <w:r w:rsidRPr="00817725">
        <w:rPr>
          <w:rFonts w:ascii="Palatino Linotype" w:eastAsiaTheme="minorEastAsia" w:hAnsi="Palatino Linotype" w:cs="Arial"/>
          <w:b/>
          <w:sz w:val="24"/>
          <w:szCs w:val="24"/>
          <w:lang w:val="es-ES_tradnl" w:eastAsia="es-ES"/>
        </w:rPr>
        <w:t xml:space="preserve"> </w:t>
      </w:r>
      <w:r w:rsidRPr="00817725">
        <w:rPr>
          <w:rFonts w:ascii="Palatino Linotype" w:eastAsiaTheme="minorEastAsia" w:hAnsi="Palatino Linotype" w:cs="Arial"/>
          <w:sz w:val="24"/>
          <w:szCs w:val="24"/>
          <w:lang w:val="es-ES_tradnl" w:eastAsia="es-ES"/>
        </w:rPr>
        <w:t>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B63B13" w:rsidRPr="00817725" w:rsidRDefault="00B63B13" w:rsidP="00817725">
      <w:pPr>
        <w:pStyle w:val="Prrafodelista"/>
        <w:tabs>
          <w:tab w:val="left" w:pos="851"/>
        </w:tabs>
        <w:spacing w:before="240" w:after="240" w:line="360" w:lineRule="auto"/>
        <w:ind w:left="0" w:right="49"/>
        <w:jc w:val="both"/>
        <w:rPr>
          <w:rFonts w:ascii="Palatino Linotype" w:eastAsiaTheme="minorEastAsia" w:hAnsi="Palatino Linotype"/>
          <w:sz w:val="24"/>
          <w:szCs w:val="24"/>
          <w:lang w:eastAsia="es-ES"/>
        </w:rPr>
      </w:pPr>
    </w:p>
    <w:p w:rsidR="00B63B13" w:rsidRPr="00817725" w:rsidRDefault="00B63B13" w:rsidP="00817725">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817725">
        <w:rPr>
          <w:rFonts w:ascii="Palatino Linotype" w:eastAsiaTheme="minorEastAsia" w:hAnsi="Palatino Linotype" w:cs="Arial"/>
          <w:sz w:val="24"/>
          <w:szCs w:val="24"/>
          <w:lang w:val="es-ES_tradnl" w:eastAsia="es-ES"/>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B63B13" w:rsidRPr="00817725" w:rsidRDefault="00B63B13" w:rsidP="00817725">
      <w:pPr>
        <w:pStyle w:val="Prrafodelista"/>
        <w:spacing w:line="360" w:lineRule="auto"/>
        <w:ind w:left="0"/>
        <w:rPr>
          <w:rFonts w:ascii="Palatino Linotype" w:eastAsiaTheme="minorEastAsia" w:hAnsi="Palatino Linotype" w:cs="Arial"/>
          <w:sz w:val="24"/>
          <w:szCs w:val="24"/>
          <w:lang w:val="es-ES_tradnl" w:eastAsia="es-ES"/>
        </w:rPr>
      </w:pPr>
    </w:p>
    <w:p w:rsidR="00B63B13" w:rsidRPr="00817725" w:rsidRDefault="00B63B13" w:rsidP="00817725">
      <w:pPr>
        <w:pStyle w:val="Prrafodelista"/>
        <w:numPr>
          <w:ilvl w:val="0"/>
          <w:numId w:val="2"/>
        </w:numPr>
        <w:tabs>
          <w:tab w:val="left" w:pos="851"/>
        </w:tabs>
        <w:spacing w:before="240" w:after="240" w:line="360" w:lineRule="auto"/>
        <w:ind w:left="0" w:right="49" w:firstLine="0"/>
        <w:jc w:val="both"/>
        <w:rPr>
          <w:rFonts w:ascii="Palatino Linotype" w:eastAsiaTheme="minorEastAsia" w:hAnsi="Palatino Linotype"/>
          <w:sz w:val="24"/>
          <w:szCs w:val="24"/>
          <w:lang w:eastAsia="es-ES"/>
        </w:rPr>
      </w:pPr>
      <w:r w:rsidRPr="00817725">
        <w:rPr>
          <w:rFonts w:ascii="Palatino Linotype" w:eastAsiaTheme="minorEastAsia" w:hAnsi="Palatino Linotype" w:cs="Arial"/>
          <w:sz w:val="24"/>
          <w:szCs w:val="24"/>
          <w:lang w:val="es-ES_tradnl" w:eastAsia="es-ES"/>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contenido, en la parte conducente a saber:</w:t>
      </w:r>
    </w:p>
    <w:p w:rsidR="00B63B13" w:rsidRPr="00817725" w:rsidRDefault="00B63B13" w:rsidP="00817725">
      <w:pPr>
        <w:pStyle w:val="Prrafodelista"/>
        <w:spacing w:line="360" w:lineRule="auto"/>
        <w:ind w:left="0"/>
        <w:rPr>
          <w:rFonts w:ascii="Palatino Linotype" w:hAnsi="Palatino Linotype" w:cs="Arial"/>
          <w:sz w:val="24"/>
          <w:szCs w:val="24"/>
        </w:rPr>
      </w:pPr>
    </w:p>
    <w:p w:rsidR="00B63B13" w:rsidRPr="00817725" w:rsidRDefault="00B63B13" w:rsidP="00817725">
      <w:pPr>
        <w:autoSpaceDE w:val="0"/>
        <w:autoSpaceDN w:val="0"/>
        <w:adjustRightInd w:val="0"/>
        <w:spacing w:after="0" w:line="360" w:lineRule="auto"/>
        <w:ind w:right="567"/>
        <w:jc w:val="both"/>
        <w:rPr>
          <w:rFonts w:ascii="Palatino Linotype" w:eastAsiaTheme="minorEastAsia" w:hAnsi="Palatino Linotype" w:cs="Arial"/>
          <w:bCs/>
          <w:i/>
          <w:sz w:val="24"/>
          <w:szCs w:val="24"/>
          <w:lang w:val="es-ES_tradnl" w:eastAsia="es-ES"/>
        </w:rPr>
      </w:pPr>
      <w:r w:rsidRPr="00817725">
        <w:rPr>
          <w:rFonts w:ascii="Palatino Linotype" w:eastAsiaTheme="minorEastAsia" w:hAnsi="Palatino Linotype" w:cs="Arial"/>
          <w:b/>
          <w:bCs/>
          <w:i/>
          <w:sz w:val="24"/>
          <w:szCs w:val="24"/>
          <w:lang w:val="es-ES_tradnl" w:eastAsia="es-ES"/>
        </w:rPr>
        <w:t>“Artículo 174. En caso de existir costos para obtener la información</w:t>
      </w:r>
      <w:r w:rsidRPr="00817725">
        <w:rPr>
          <w:rFonts w:ascii="Palatino Linotype" w:eastAsiaTheme="minorEastAsia" w:hAnsi="Palatino Linotype" w:cs="Arial"/>
          <w:bCs/>
          <w:i/>
          <w:sz w:val="24"/>
          <w:szCs w:val="24"/>
          <w:lang w:val="es-ES_tradnl" w:eastAsia="es-ES"/>
        </w:rPr>
        <w:t xml:space="preserve"> deberán cubrirse de manera previa a la entrega y </w:t>
      </w:r>
      <w:r w:rsidRPr="00817725">
        <w:rPr>
          <w:rFonts w:ascii="Palatino Linotype" w:eastAsiaTheme="minorEastAsia" w:hAnsi="Palatino Linotype" w:cs="Arial"/>
          <w:b/>
          <w:bCs/>
          <w:i/>
          <w:sz w:val="24"/>
          <w:szCs w:val="24"/>
          <w:lang w:val="es-ES_tradnl" w:eastAsia="es-ES"/>
        </w:rPr>
        <w:t>no podrán ser superiores a la suma de</w:t>
      </w:r>
      <w:r w:rsidRPr="00817725">
        <w:rPr>
          <w:rFonts w:ascii="Palatino Linotype" w:eastAsiaTheme="minorEastAsia" w:hAnsi="Palatino Linotype" w:cs="Arial"/>
          <w:bCs/>
          <w:i/>
          <w:sz w:val="24"/>
          <w:szCs w:val="24"/>
          <w:lang w:val="es-ES_tradnl" w:eastAsia="es-ES"/>
        </w:rPr>
        <w:t>:</w:t>
      </w:r>
    </w:p>
    <w:p w:rsidR="00B63B13" w:rsidRPr="00817725" w:rsidRDefault="00B63B13" w:rsidP="00817725">
      <w:pPr>
        <w:autoSpaceDE w:val="0"/>
        <w:autoSpaceDN w:val="0"/>
        <w:adjustRightInd w:val="0"/>
        <w:spacing w:after="0" w:line="360" w:lineRule="auto"/>
        <w:ind w:right="567"/>
        <w:jc w:val="both"/>
        <w:rPr>
          <w:rFonts w:ascii="Palatino Linotype" w:eastAsiaTheme="minorEastAsia" w:hAnsi="Palatino Linotype" w:cs="Arial"/>
          <w:bCs/>
          <w:i/>
          <w:sz w:val="24"/>
          <w:szCs w:val="24"/>
          <w:lang w:val="es-ES_tradnl" w:eastAsia="es-ES"/>
        </w:rPr>
      </w:pPr>
      <w:r w:rsidRPr="00817725">
        <w:rPr>
          <w:rFonts w:ascii="Palatino Linotype" w:eastAsiaTheme="minorEastAsia" w:hAnsi="Palatino Linotype" w:cs="Arial"/>
          <w:b/>
          <w:bCs/>
          <w:i/>
          <w:sz w:val="24"/>
          <w:szCs w:val="24"/>
          <w:lang w:val="es-ES_tradnl" w:eastAsia="es-ES"/>
        </w:rPr>
        <w:t>I.</w:t>
      </w:r>
      <w:r w:rsidRPr="00817725">
        <w:rPr>
          <w:rFonts w:ascii="Palatino Linotype" w:eastAsiaTheme="minorEastAsia" w:hAnsi="Palatino Linotype" w:cs="Arial"/>
          <w:bCs/>
          <w:i/>
          <w:sz w:val="24"/>
          <w:szCs w:val="24"/>
          <w:lang w:val="es-ES_tradnl" w:eastAsia="es-ES"/>
        </w:rPr>
        <w:t xml:space="preserve"> </w:t>
      </w:r>
      <w:r w:rsidRPr="00817725">
        <w:rPr>
          <w:rFonts w:ascii="Palatino Linotype" w:eastAsiaTheme="minorEastAsia" w:hAnsi="Palatino Linotype" w:cs="Arial"/>
          <w:b/>
          <w:bCs/>
          <w:i/>
          <w:sz w:val="24"/>
          <w:szCs w:val="24"/>
          <w:lang w:val="es-ES_tradnl" w:eastAsia="es-ES"/>
        </w:rPr>
        <w:t>El costo de los materiales utilizados en la reproducción</w:t>
      </w:r>
      <w:r w:rsidRPr="00817725">
        <w:rPr>
          <w:rFonts w:ascii="Palatino Linotype" w:eastAsiaTheme="minorEastAsia" w:hAnsi="Palatino Linotype" w:cs="Arial"/>
          <w:bCs/>
          <w:i/>
          <w:sz w:val="24"/>
          <w:szCs w:val="24"/>
          <w:lang w:val="es-ES_tradnl" w:eastAsia="es-ES"/>
        </w:rPr>
        <w:t xml:space="preserve"> de la información;</w:t>
      </w:r>
    </w:p>
    <w:p w:rsidR="00B63B13" w:rsidRPr="00817725" w:rsidRDefault="00B63B13" w:rsidP="00817725">
      <w:pPr>
        <w:autoSpaceDE w:val="0"/>
        <w:autoSpaceDN w:val="0"/>
        <w:adjustRightInd w:val="0"/>
        <w:spacing w:after="0" w:line="360" w:lineRule="auto"/>
        <w:ind w:right="567"/>
        <w:jc w:val="both"/>
        <w:rPr>
          <w:rFonts w:ascii="Palatino Linotype" w:eastAsiaTheme="minorEastAsia" w:hAnsi="Palatino Linotype" w:cs="Arial"/>
          <w:bCs/>
          <w:i/>
          <w:sz w:val="24"/>
          <w:szCs w:val="24"/>
          <w:lang w:val="es-ES_tradnl" w:eastAsia="es-ES"/>
        </w:rPr>
      </w:pPr>
      <w:r w:rsidRPr="00817725">
        <w:rPr>
          <w:rFonts w:ascii="Palatino Linotype" w:eastAsiaTheme="minorEastAsia" w:hAnsi="Palatino Linotype" w:cs="Arial"/>
          <w:b/>
          <w:bCs/>
          <w:i/>
          <w:sz w:val="24"/>
          <w:szCs w:val="24"/>
          <w:lang w:val="es-ES_tradnl" w:eastAsia="es-ES"/>
        </w:rPr>
        <w:t>II.</w:t>
      </w:r>
      <w:r w:rsidRPr="00817725">
        <w:rPr>
          <w:rFonts w:ascii="Palatino Linotype" w:eastAsiaTheme="minorEastAsia" w:hAnsi="Palatino Linotype" w:cs="Arial"/>
          <w:bCs/>
          <w:i/>
          <w:sz w:val="24"/>
          <w:szCs w:val="24"/>
          <w:lang w:val="es-ES_tradnl" w:eastAsia="es-ES"/>
        </w:rPr>
        <w:t xml:space="preserve"> </w:t>
      </w:r>
      <w:r w:rsidRPr="00817725">
        <w:rPr>
          <w:rFonts w:ascii="Palatino Linotype" w:eastAsiaTheme="minorEastAsia" w:hAnsi="Palatino Linotype" w:cs="Arial"/>
          <w:b/>
          <w:bCs/>
          <w:i/>
          <w:sz w:val="24"/>
          <w:szCs w:val="24"/>
          <w:lang w:val="es-ES_tradnl" w:eastAsia="es-ES"/>
        </w:rPr>
        <w:t>El costo de envío</w:t>
      </w:r>
      <w:r w:rsidRPr="00817725">
        <w:rPr>
          <w:rFonts w:ascii="Palatino Linotype" w:eastAsiaTheme="minorEastAsia" w:hAnsi="Palatino Linotype" w:cs="Arial"/>
          <w:bCs/>
          <w:i/>
          <w:sz w:val="24"/>
          <w:szCs w:val="24"/>
          <w:lang w:val="es-ES_tradnl" w:eastAsia="es-ES"/>
        </w:rPr>
        <w:t>, en su caso; y</w:t>
      </w:r>
    </w:p>
    <w:p w:rsidR="00B63B13" w:rsidRPr="00817725" w:rsidRDefault="00B63B13" w:rsidP="00817725">
      <w:pPr>
        <w:autoSpaceDE w:val="0"/>
        <w:autoSpaceDN w:val="0"/>
        <w:adjustRightInd w:val="0"/>
        <w:spacing w:after="0" w:line="360" w:lineRule="auto"/>
        <w:ind w:right="567"/>
        <w:jc w:val="both"/>
        <w:rPr>
          <w:rFonts w:ascii="Palatino Linotype" w:eastAsiaTheme="minorEastAsia" w:hAnsi="Palatino Linotype" w:cs="Arial"/>
          <w:bCs/>
          <w:i/>
          <w:sz w:val="24"/>
          <w:szCs w:val="24"/>
          <w:lang w:val="es-ES_tradnl" w:eastAsia="es-ES"/>
        </w:rPr>
      </w:pPr>
      <w:r w:rsidRPr="00817725">
        <w:rPr>
          <w:rFonts w:ascii="Palatino Linotype" w:eastAsiaTheme="minorEastAsia" w:hAnsi="Palatino Linotype" w:cs="Arial"/>
          <w:b/>
          <w:bCs/>
          <w:i/>
          <w:sz w:val="24"/>
          <w:szCs w:val="24"/>
          <w:lang w:val="es-ES_tradnl" w:eastAsia="es-ES"/>
        </w:rPr>
        <w:t>III.</w:t>
      </w:r>
      <w:r w:rsidRPr="00817725">
        <w:rPr>
          <w:rFonts w:ascii="Palatino Linotype" w:eastAsiaTheme="minorEastAsia" w:hAnsi="Palatino Linotype" w:cs="Arial"/>
          <w:bCs/>
          <w:i/>
          <w:sz w:val="24"/>
          <w:szCs w:val="24"/>
          <w:lang w:val="es-ES_tradnl" w:eastAsia="es-ES"/>
        </w:rPr>
        <w:t xml:space="preserve"> </w:t>
      </w:r>
      <w:r w:rsidRPr="00817725">
        <w:rPr>
          <w:rFonts w:ascii="Palatino Linotype" w:eastAsiaTheme="minorEastAsia" w:hAnsi="Palatino Linotype" w:cs="Arial"/>
          <w:b/>
          <w:bCs/>
          <w:i/>
          <w:sz w:val="24"/>
          <w:szCs w:val="24"/>
          <w:lang w:val="es-ES_tradnl" w:eastAsia="es-ES"/>
        </w:rPr>
        <w:t>El pago de la certificación de los documentos</w:t>
      </w:r>
      <w:r w:rsidRPr="00817725">
        <w:rPr>
          <w:rFonts w:ascii="Palatino Linotype" w:eastAsiaTheme="minorEastAsia" w:hAnsi="Palatino Linotype" w:cs="Arial"/>
          <w:bCs/>
          <w:i/>
          <w:sz w:val="24"/>
          <w:szCs w:val="24"/>
          <w:lang w:val="es-ES_tradnl" w:eastAsia="es-ES"/>
        </w:rPr>
        <w:t>, cuando proceda.</w:t>
      </w:r>
    </w:p>
    <w:p w:rsidR="00817725" w:rsidRPr="00817725" w:rsidRDefault="00B63B13" w:rsidP="00817725">
      <w:pPr>
        <w:spacing w:before="240" w:after="240" w:line="360" w:lineRule="auto"/>
        <w:ind w:right="567"/>
        <w:jc w:val="both"/>
        <w:rPr>
          <w:rFonts w:ascii="Palatino Linotype" w:eastAsiaTheme="minorEastAsia" w:hAnsi="Palatino Linotype" w:cs="Arial"/>
          <w:sz w:val="24"/>
          <w:szCs w:val="24"/>
          <w:lang w:val="es-ES_tradnl" w:eastAsia="es-ES"/>
        </w:rPr>
      </w:pPr>
      <w:r w:rsidRPr="00817725">
        <w:rPr>
          <w:rFonts w:ascii="Palatino Linotype" w:eastAsiaTheme="minorEastAsia" w:hAnsi="Palatino Linotype" w:cs="Arial"/>
          <w:bCs/>
          <w:i/>
          <w:sz w:val="24"/>
          <w:szCs w:val="24"/>
          <w:lang w:val="es-ES_tradnl" w:eastAsia="es-ES"/>
        </w:rPr>
        <w:t xml:space="preserve">Las cuotas de los derechos aplicables deberán establecerse, en su caso, en el </w:t>
      </w:r>
      <w:r w:rsidRPr="00817725">
        <w:rPr>
          <w:rFonts w:ascii="Palatino Linotype" w:eastAsiaTheme="minorEastAsia" w:hAnsi="Palatino Linotype" w:cs="Arial"/>
          <w:b/>
          <w:bCs/>
          <w:i/>
          <w:sz w:val="24"/>
          <w:szCs w:val="24"/>
          <w:lang w:val="es-ES_tradnl" w:eastAsia="es-ES"/>
        </w:rPr>
        <w:t>Código Financiero del Estado de México y Municipios</w:t>
      </w:r>
      <w:r w:rsidRPr="00817725">
        <w:rPr>
          <w:rFonts w:ascii="Palatino Linotype" w:eastAsiaTheme="minorEastAsia" w:hAnsi="Palatino Linotype" w:cs="Arial"/>
          <w:bCs/>
          <w:i/>
          <w:sz w:val="24"/>
          <w:szCs w:val="24"/>
          <w:lang w:val="es-ES_tradnl" w:eastAsia="es-ES"/>
        </w:rPr>
        <w:t xml:space="preserve"> y demás disposiciones jurídicas aplicables, las cuales se publicarán en los sitios de internet de los sujetos obligados…”</w:t>
      </w:r>
      <w:r w:rsidRPr="00817725">
        <w:rPr>
          <w:rFonts w:ascii="Palatino Linotype" w:eastAsiaTheme="minorEastAsia" w:hAnsi="Palatino Linotype" w:cs="Arial"/>
          <w:sz w:val="24"/>
          <w:szCs w:val="24"/>
          <w:lang w:val="es-ES_tradnl" w:eastAsia="es-ES"/>
        </w:rPr>
        <w:t xml:space="preserve"> </w:t>
      </w:r>
    </w:p>
    <w:p w:rsidR="00B63B13"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w:t>
      </w:r>
      <w:r w:rsidRPr="00817725">
        <w:rPr>
          <w:rFonts w:ascii="Palatino Linotype" w:eastAsiaTheme="minorEastAsia" w:hAnsi="Palatino Linotype"/>
          <w:b/>
          <w:sz w:val="24"/>
          <w:szCs w:val="24"/>
          <w:lang w:val="es-ES_tradnl" w:eastAsia="es-ES"/>
        </w:rPr>
        <w:t xml:space="preserve">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w:t>
      </w:r>
      <w:r w:rsidRPr="00817725">
        <w:rPr>
          <w:rFonts w:ascii="Palatino Linotype" w:eastAsiaTheme="minorEastAsia" w:hAnsi="Palatino Linotype"/>
          <w:sz w:val="24"/>
          <w:szCs w:val="24"/>
          <w:lang w:val="es-ES_tradnl" w:eastAsia="es-ES"/>
        </w:rPr>
        <w:t>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para el presente caso no se actualiza el cobro por certificación, ya que la parte solicitante no requirió la entrega en alguna modalidad que requiera menoscabo alguno al Sujeto Obligado.</w:t>
      </w:r>
    </w:p>
    <w:p w:rsidR="00B63B13" w:rsidRPr="00817725" w:rsidRDefault="00B63B13" w:rsidP="00817725">
      <w:pPr>
        <w:spacing w:before="240" w:after="240" w:line="360" w:lineRule="auto"/>
        <w:contextualSpacing/>
        <w:jc w:val="both"/>
        <w:rPr>
          <w:rFonts w:ascii="Palatino Linotype" w:eastAsiaTheme="minorEastAsia" w:hAnsi="Palatino Linotype"/>
          <w:sz w:val="24"/>
          <w:szCs w:val="24"/>
          <w:lang w:val="es-ES_tradnl" w:eastAsia="es-ES"/>
        </w:rPr>
      </w:pPr>
    </w:p>
    <w:p w:rsidR="00B63B13"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t xml:space="preserve">Aunado a lo anterior, </w:t>
      </w:r>
      <w:r w:rsidRPr="00817725">
        <w:rPr>
          <w:rFonts w:ascii="Palatino Linotype" w:eastAsiaTheme="minorEastAsia" w:hAnsi="Palatino Linotype" w:cs="Arial"/>
          <w:sz w:val="24"/>
          <w:szCs w:val="24"/>
          <w:lang w:val="es-ES_tradnl" w:eastAsia="es-ES"/>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el 175 prevé que la información que deban publicar los sujetos obligados en términos de la Ley o deba ser generada de manera electrónica, según lo dispongan las disposiciones legales o administrativas no podrán tener ningún costo</w:t>
      </w:r>
      <w:r w:rsidRPr="00817725">
        <w:rPr>
          <w:rFonts w:ascii="Palatino Linotype" w:eastAsiaTheme="minorEastAsia" w:hAnsi="Palatino Linotype" w:cs="Arial"/>
          <w:b/>
          <w:sz w:val="24"/>
          <w:szCs w:val="24"/>
          <w:lang w:val="es-ES_tradnl" w:eastAsia="es-ES"/>
        </w:rPr>
        <w:t xml:space="preserve">, </w:t>
      </w:r>
      <w:r w:rsidRPr="00817725">
        <w:rPr>
          <w:rFonts w:ascii="Palatino Linotype" w:eastAsiaTheme="minorEastAsia" w:hAnsi="Palatino Linotype" w:cs="Arial"/>
          <w:sz w:val="24"/>
          <w:szCs w:val="24"/>
          <w:lang w:val="es-ES_tradnl" w:eastAsia="es-ES"/>
        </w:rPr>
        <w:t>incluyendo aquella que se hubiera digitalizado previamente por cualquier motivo, y aún menos en aquellos casos en que la modalidad de entrega sea por medio de la plataforma o vía electrónica.</w:t>
      </w:r>
    </w:p>
    <w:p w:rsidR="00B63B13" w:rsidRPr="00817725" w:rsidRDefault="00B63B13" w:rsidP="00817725">
      <w:pPr>
        <w:spacing w:before="240" w:after="240" w:line="360" w:lineRule="auto"/>
        <w:contextualSpacing/>
        <w:jc w:val="both"/>
        <w:rPr>
          <w:rFonts w:ascii="Palatino Linotype" w:eastAsiaTheme="minorEastAsia" w:hAnsi="Palatino Linotype"/>
          <w:sz w:val="24"/>
          <w:szCs w:val="24"/>
          <w:lang w:val="es-ES_tradnl" w:eastAsia="es-ES"/>
        </w:rPr>
      </w:pPr>
    </w:p>
    <w:p w:rsidR="008E7FFD"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817725">
        <w:rPr>
          <w:rFonts w:ascii="Palatino Linotype" w:eastAsiaTheme="minorEastAsia" w:hAnsi="Palatino Linotype" w:cs="Arial"/>
          <w:sz w:val="24"/>
          <w:szCs w:val="24"/>
          <w:lang w:val="es-ES_tradnl" w:eastAsia="es-ES"/>
        </w:rPr>
        <w:t xml:space="preserve">Lo anterior es así, que no existe precepto jurídico que autorice al </w:t>
      </w:r>
      <w:r w:rsidR="004441F2" w:rsidRPr="00817725">
        <w:rPr>
          <w:rFonts w:ascii="Palatino Linotype" w:eastAsiaTheme="minorEastAsia" w:hAnsi="Palatino Linotype" w:cs="Arial"/>
          <w:sz w:val="24"/>
          <w:szCs w:val="24"/>
          <w:lang w:val="es-ES_tradnl" w:eastAsia="es-ES"/>
        </w:rPr>
        <w:t xml:space="preserve">SUJETO OBLIGADO </w:t>
      </w:r>
      <w:r w:rsidRPr="00817725">
        <w:rPr>
          <w:rFonts w:ascii="Palatino Linotype" w:eastAsiaTheme="minorEastAsia" w:hAnsi="Palatino Linotype" w:cs="Arial"/>
          <w:sz w:val="24"/>
          <w:szCs w:val="24"/>
          <w:lang w:val="es-ES_tradnl" w:eastAsia="es-ES"/>
        </w:rPr>
        <w:t>a requerir un pago para entregar la informació</w:t>
      </w:r>
      <w:r w:rsidR="008E7FFD" w:rsidRPr="00817725">
        <w:rPr>
          <w:rFonts w:ascii="Palatino Linotype" w:eastAsiaTheme="minorEastAsia" w:hAnsi="Palatino Linotype" w:cs="Arial"/>
          <w:sz w:val="24"/>
          <w:szCs w:val="24"/>
          <w:lang w:val="es-ES_tradnl" w:eastAsia="es-ES"/>
        </w:rPr>
        <w:t>n</w:t>
      </w:r>
      <w:r w:rsidR="004441F2" w:rsidRPr="00817725">
        <w:rPr>
          <w:rFonts w:ascii="Palatino Linotype" w:eastAsiaTheme="minorEastAsia" w:hAnsi="Palatino Linotype" w:cs="Arial"/>
          <w:sz w:val="24"/>
          <w:szCs w:val="24"/>
          <w:lang w:val="es-ES_tradnl" w:eastAsia="es-ES"/>
        </w:rPr>
        <w:t xml:space="preserve"> en </w:t>
      </w:r>
      <w:proofErr w:type="spellStart"/>
      <w:r w:rsidR="004441F2" w:rsidRPr="00817725">
        <w:rPr>
          <w:rFonts w:ascii="Palatino Linotype" w:eastAsiaTheme="minorEastAsia" w:hAnsi="Palatino Linotype" w:cs="Arial"/>
          <w:sz w:val="24"/>
          <w:szCs w:val="24"/>
          <w:lang w:val="es-ES_tradnl" w:eastAsia="es-ES"/>
        </w:rPr>
        <w:t>via</w:t>
      </w:r>
      <w:proofErr w:type="spellEnd"/>
      <w:r w:rsidR="004441F2" w:rsidRPr="00817725">
        <w:rPr>
          <w:rFonts w:ascii="Palatino Linotype" w:eastAsiaTheme="minorEastAsia" w:hAnsi="Palatino Linotype" w:cs="Arial"/>
          <w:sz w:val="24"/>
          <w:szCs w:val="24"/>
          <w:lang w:val="es-ES_tradnl" w:eastAsia="es-ES"/>
        </w:rPr>
        <w:t xml:space="preserve"> Consulta </w:t>
      </w:r>
      <w:r w:rsidR="004441F2" w:rsidRPr="00817725">
        <w:rPr>
          <w:rFonts w:ascii="Palatino Linotype" w:eastAsiaTheme="minorEastAsia" w:hAnsi="Palatino Linotype" w:cs="Arial"/>
          <w:b/>
          <w:sz w:val="24"/>
          <w:szCs w:val="24"/>
          <w:lang w:val="es-ES_tradnl" w:eastAsia="es-ES"/>
        </w:rPr>
        <w:t>Directa</w:t>
      </w:r>
      <w:r w:rsidR="008E7FFD" w:rsidRPr="00817725">
        <w:rPr>
          <w:rFonts w:ascii="Palatino Linotype" w:eastAsiaTheme="minorEastAsia" w:hAnsi="Palatino Linotype" w:cs="Arial"/>
          <w:b/>
          <w:sz w:val="24"/>
          <w:szCs w:val="24"/>
          <w:lang w:val="es-ES_tradnl" w:eastAsia="es-ES"/>
        </w:rPr>
        <w:t xml:space="preserve">, toda vez que no se debe perder de vista que la modalidad elegida por el particular fue </w:t>
      </w:r>
      <w:proofErr w:type="spellStart"/>
      <w:r w:rsidR="008E7FFD" w:rsidRPr="00817725">
        <w:rPr>
          <w:rFonts w:ascii="Palatino Linotype" w:eastAsiaTheme="minorEastAsia" w:hAnsi="Palatino Linotype" w:cs="Arial"/>
          <w:b/>
          <w:sz w:val="24"/>
          <w:szCs w:val="24"/>
          <w:lang w:val="es-ES_tradnl" w:eastAsia="es-ES"/>
        </w:rPr>
        <w:t>Saimex</w:t>
      </w:r>
      <w:proofErr w:type="spellEnd"/>
      <w:r w:rsidR="004441F2" w:rsidRPr="00817725">
        <w:rPr>
          <w:rFonts w:ascii="Palatino Linotype" w:eastAsiaTheme="minorEastAsia" w:hAnsi="Palatino Linotype" w:cs="Arial"/>
          <w:b/>
          <w:sz w:val="24"/>
          <w:szCs w:val="24"/>
          <w:lang w:val="es-ES_tradnl" w:eastAsia="es-ES"/>
        </w:rPr>
        <w:t xml:space="preserve"> en un primer momento</w:t>
      </w:r>
      <w:r w:rsidR="008E7FFD" w:rsidRPr="00817725">
        <w:rPr>
          <w:rFonts w:ascii="Palatino Linotype" w:eastAsiaTheme="minorEastAsia" w:hAnsi="Palatino Linotype" w:cs="Arial"/>
          <w:b/>
          <w:sz w:val="24"/>
          <w:szCs w:val="24"/>
          <w:lang w:val="es-ES_tradnl" w:eastAsia="es-ES"/>
        </w:rPr>
        <w:t>; sin embargo, derivado del cúmulo de información se aprobó el cambio de modalidad vía in situ, de dicha situación no significa que se tenga que cobrar la documentales que se</w:t>
      </w:r>
      <w:r w:rsidR="00261DED" w:rsidRPr="00817725">
        <w:rPr>
          <w:rFonts w:ascii="Palatino Linotype" w:eastAsiaTheme="minorEastAsia" w:hAnsi="Palatino Linotype" w:cs="Arial"/>
          <w:b/>
          <w:sz w:val="24"/>
          <w:szCs w:val="24"/>
          <w:lang w:val="es-ES_tradnl" w:eastAsia="es-ES"/>
        </w:rPr>
        <w:t xml:space="preserve">an requeridas por el particular, en razón de que el mismo desconocía la cantidad a la que asciende la información y por esa razón que eligió la de </w:t>
      </w:r>
      <w:proofErr w:type="spellStart"/>
      <w:r w:rsidR="00261DED" w:rsidRPr="00817725">
        <w:rPr>
          <w:rFonts w:ascii="Palatino Linotype" w:eastAsiaTheme="minorEastAsia" w:hAnsi="Palatino Linotype" w:cs="Arial"/>
          <w:b/>
          <w:sz w:val="24"/>
          <w:szCs w:val="24"/>
          <w:lang w:val="es-ES_tradnl" w:eastAsia="es-ES"/>
        </w:rPr>
        <w:t>saimex</w:t>
      </w:r>
      <w:proofErr w:type="spellEnd"/>
      <w:r w:rsidR="00261DED" w:rsidRPr="00817725">
        <w:rPr>
          <w:rFonts w:ascii="Palatino Linotype" w:eastAsiaTheme="minorEastAsia" w:hAnsi="Palatino Linotype" w:cs="Arial"/>
          <w:b/>
          <w:sz w:val="24"/>
          <w:szCs w:val="24"/>
          <w:lang w:val="es-ES_tradnl" w:eastAsia="es-ES"/>
        </w:rPr>
        <w:t xml:space="preserve">, la cual no resultó viable. </w:t>
      </w:r>
    </w:p>
    <w:p w:rsidR="008E7FFD" w:rsidRPr="00817725" w:rsidRDefault="008E7FFD" w:rsidP="00817725">
      <w:pPr>
        <w:spacing w:before="240" w:after="240" w:line="360" w:lineRule="auto"/>
        <w:contextualSpacing/>
        <w:jc w:val="both"/>
        <w:rPr>
          <w:rFonts w:ascii="Palatino Linotype" w:eastAsiaTheme="minorEastAsia" w:hAnsi="Palatino Linotype" w:cs="Arial"/>
          <w:sz w:val="24"/>
          <w:szCs w:val="24"/>
          <w:lang w:val="es-ES_tradnl" w:eastAsia="es-ES"/>
        </w:rPr>
      </w:pPr>
    </w:p>
    <w:p w:rsidR="00B63B13" w:rsidRPr="00817725" w:rsidRDefault="008E7FFD"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cs="Arial"/>
          <w:sz w:val="24"/>
          <w:szCs w:val="24"/>
          <w:lang w:val="es-ES_tradnl" w:eastAsia="es-ES"/>
        </w:rPr>
        <w:t xml:space="preserve">Es de precisar el sistema SAIMEX </w:t>
      </w:r>
      <w:r w:rsidR="00B63B13" w:rsidRPr="00817725">
        <w:rPr>
          <w:rFonts w:ascii="Palatino Linotype" w:eastAsiaTheme="minorEastAsia" w:hAnsi="Palatino Linotype"/>
          <w:color w:val="000000"/>
          <w:sz w:val="24"/>
          <w:szCs w:val="24"/>
          <w:lang w:val="es-ES_tradnl" w:eastAsia="es-ES"/>
        </w:rPr>
        <w:t xml:space="preserve">fue creado para facilitar el registro y atención de las solicitudes de información, y </w:t>
      </w:r>
      <w:r w:rsidR="00B63B13" w:rsidRPr="00817725">
        <w:rPr>
          <w:rFonts w:ascii="Palatino Linotype" w:eastAsiaTheme="minorEastAsia" w:hAnsi="Palatino Linotype" w:cs="Arial"/>
          <w:sz w:val="24"/>
          <w:szCs w:val="24"/>
          <w:lang w:val="es-ES_tradnl" w:eastAsia="es-ES"/>
        </w:rPr>
        <w:t xml:space="preserve">es su obligación trasladar la </w:t>
      </w:r>
      <w:r w:rsidR="00B63B13" w:rsidRPr="00817725">
        <w:rPr>
          <w:rFonts w:ascii="Palatino Linotype" w:eastAsiaTheme="minorEastAsia" w:hAnsi="Palatino Linotype"/>
          <w:color w:val="000000"/>
          <w:sz w:val="24"/>
          <w:szCs w:val="24"/>
          <w:lang w:val="es-ES_tradnl" w:eastAsia="es-ES"/>
        </w:rPr>
        <w:t>información de un soporte físico a uno electrónico y cuidar que los medios electrónicos o impresos en los que conste tanto información pública, como confidencial y reservada se entreguen en versión pública en los casos que eso resulte necesario</w:t>
      </w:r>
      <w:r w:rsidR="00B63B13" w:rsidRPr="00817725">
        <w:rPr>
          <w:rFonts w:ascii="Palatino Linotype" w:eastAsiaTheme="minorEastAsia" w:hAnsi="Palatino Linotype"/>
          <w:b/>
          <w:color w:val="000000"/>
          <w:sz w:val="24"/>
          <w:szCs w:val="24"/>
          <w:lang w:val="es-ES_tradnl" w:eastAsia="es-ES"/>
        </w:rPr>
        <w:t>.</w:t>
      </w:r>
    </w:p>
    <w:p w:rsidR="00261DED" w:rsidRPr="00817725" w:rsidRDefault="00261DED" w:rsidP="00817725">
      <w:pPr>
        <w:spacing w:before="240" w:after="240" w:line="360" w:lineRule="auto"/>
        <w:contextualSpacing/>
        <w:jc w:val="both"/>
        <w:rPr>
          <w:rFonts w:ascii="Palatino Linotype" w:eastAsiaTheme="minorEastAsia" w:hAnsi="Palatino Linotype"/>
          <w:sz w:val="24"/>
          <w:szCs w:val="24"/>
          <w:lang w:val="es-ES_tradnl" w:eastAsia="es-ES"/>
        </w:rPr>
      </w:pPr>
    </w:p>
    <w:p w:rsidR="008E7FFD"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MS Mincho" w:hAnsi="Palatino Linotype" w:cs="Times New Roman"/>
          <w:sz w:val="24"/>
          <w:szCs w:val="24"/>
          <w:lang w:val="es-ES_tradnl" w:eastAsia="es-ES"/>
        </w:rPr>
        <w:t xml:space="preserve">El derecho en cuestión, en todo momento debe apegarse </w:t>
      </w:r>
      <w:r w:rsidRPr="00817725">
        <w:rPr>
          <w:rFonts w:ascii="Palatino Linotype" w:eastAsiaTheme="minorEastAsia" w:hAnsi="Palatino Linotype" w:cs="Arial"/>
          <w:sz w:val="24"/>
          <w:szCs w:val="24"/>
          <w:lang w:val="es-ES_tradnl" w:eastAsia="es-ES"/>
        </w:rPr>
        <w:t>al principio de máxima publicidad consagrado en la Constitución Política de los Estados Unidos Mexicanos, en la Constitución Política del Estado Libre y Soberano de México y demás relativos y aplicables en la Materia</w:t>
      </w:r>
      <w:r w:rsidRPr="00817725">
        <w:rPr>
          <w:rFonts w:ascii="Palatino Linotype" w:eastAsiaTheme="minorEastAsia" w:hAnsi="Palatino Linotype"/>
          <w:sz w:val="24"/>
          <w:szCs w:val="24"/>
          <w:lang w:val="es-ES_tradnl" w:eastAsia="es-ES"/>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8E7FFD" w:rsidRPr="00817725" w:rsidRDefault="008E7FFD" w:rsidP="00817725">
      <w:pPr>
        <w:spacing w:before="240" w:after="240" w:line="360" w:lineRule="auto"/>
        <w:contextualSpacing/>
        <w:jc w:val="both"/>
        <w:rPr>
          <w:rFonts w:ascii="Palatino Linotype" w:eastAsiaTheme="minorEastAsia" w:hAnsi="Palatino Linotype"/>
          <w:sz w:val="24"/>
          <w:szCs w:val="24"/>
          <w:lang w:val="es-ES_tradnl" w:eastAsia="es-ES"/>
        </w:rPr>
      </w:pPr>
    </w:p>
    <w:p w:rsidR="003C1E26"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t>P</w:t>
      </w:r>
      <w:r w:rsidRPr="00817725">
        <w:rPr>
          <w:rFonts w:ascii="Palatino Linotype" w:eastAsiaTheme="minorEastAsia" w:hAnsi="Palatino Linotype"/>
          <w:b/>
          <w:sz w:val="24"/>
          <w:szCs w:val="24"/>
          <w:lang w:val="es-ES_tradnl" w:eastAsia="es-ES"/>
        </w:rPr>
        <w:t>or lo anteriormente expuesto, este Órgano Garante determina que la entrega de la información en la vía Consulta Directa (in situ) no generará costo alguno en razón de que la parte recurrente eligió como modalidad de entreg</w:t>
      </w:r>
      <w:r w:rsidR="008E7FFD" w:rsidRPr="00817725">
        <w:rPr>
          <w:rFonts w:ascii="Palatino Linotype" w:eastAsiaTheme="minorEastAsia" w:hAnsi="Palatino Linotype"/>
          <w:b/>
          <w:sz w:val="24"/>
          <w:szCs w:val="24"/>
          <w:lang w:val="es-ES_tradnl" w:eastAsia="es-ES"/>
        </w:rPr>
        <w:t xml:space="preserve">a de la información vía SAIMEX y que </w:t>
      </w:r>
      <w:r w:rsidR="003C1E26" w:rsidRPr="00817725">
        <w:rPr>
          <w:rFonts w:ascii="Palatino Linotype" w:eastAsiaTheme="minorEastAsia" w:hAnsi="Palatino Linotype"/>
          <w:b/>
          <w:sz w:val="24"/>
          <w:szCs w:val="24"/>
          <w:lang w:val="es-ES_tradnl" w:eastAsia="es-ES"/>
        </w:rPr>
        <w:t>la modalidad fue cambiada</w:t>
      </w:r>
      <w:r w:rsidR="008E7FFD" w:rsidRPr="00817725">
        <w:rPr>
          <w:rFonts w:ascii="Palatino Linotype" w:eastAsiaTheme="minorEastAsia" w:hAnsi="Palatino Linotype"/>
          <w:b/>
          <w:sz w:val="24"/>
          <w:szCs w:val="24"/>
          <w:lang w:val="es-ES_tradnl" w:eastAsia="es-ES"/>
        </w:rPr>
        <w:t xml:space="preserve"> derivado al cúmulo de la información  </w:t>
      </w:r>
      <w:r w:rsidR="003C1E26" w:rsidRPr="00817725">
        <w:rPr>
          <w:rFonts w:ascii="Palatino Linotype" w:eastAsiaTheme="minorEastAsia" w:hAnsi="Palatino Linotype"/>
          <w:b/>
          <w:sz w:val="24"/>
          <w:szCs w:val="24"/>
          <w:lang w:val="es-ES_tradnl" w:eastAsia="es-ES"/>
        </w:rPr>
        <w:t xml:space="preserve">que no puede ser entregada en la modalidad elegida, </w:t>
      </w:r>
      <w:r w:rsidRPr="00817725">
        <w:rPr>
          <w:rFonts w:ascii="Palatino Linotype" w:eastAsiaTheme="minorEastAsia" w:hAnsi="Palatino Linotype"/>
          <w:b/>
          <w:sz w:val="24"/>
          <w:szCs w:val="24"/>
          <w:lang w:val="es-ES_tradnl" w:eastAsia="es-ES"/>
        </w:rPr>
        <w:t>por lo que debe prevalecer el principio de gratuidad.</w:t>
      </w:r>
      <w:r w:rsidRPr="00817725">
        <w:rPr>
          <w:rFonts w:ascii="Palatino Linotype" w:eastAsiaTheme="minorEastAsia" w:hAnsi="Palatino Linotype"/>
          <w:sz w:val="24"/>
          <w:szCs w:val="24"/>
          <w:lang w:val="es-ES_tradnl" w:eastAsia="es-ES"/>
        </w:rPr>
        <w:t xml:space="preserve"> </w:t>
      </w:r>
    </w:p>
    <w:p w:rsidR="003C1E26" w:rsidRPr="00817725" w:rsidRDefault="003C1E26" w:rsidP="00817725">
      <w:pPr>
        <w:spacing w:before="240" w:after="240" w:line="360" w:lineRule="auto"/>
        <w:contextualSpacing/>
        <w:jc w:val="both"/>
        <w:rPr>
          <w:rFonts w:ascii="Palatino Linotype" w:eastAsiaTheme="minorEastAsia" w:hAnsi="Palatino Linotype"/>
          <w:sz w:val="24"/>
          <w:szCs w:val="24"/>
          <w:lang w:val="es-ES_tradnl" w:eastAsia="es-ES"/>
        </w:rPr>
      </w:pPr>
    </w:p>
    <w:p w:rsidR="00FB38E0" w:rsidRPr="00817725" w:rsidRDefault="00FB38E0" w:rsidP="00817725">
      <w:pPr>
        <w:numPr>
          <w:ilvl w:val="0"/>
          <w:numId w:val="2"/>
        </w:numPr>
        <w:spacing w:before="240" w:after="240" w:line="360" w:lineRule="auto"/>
        <w:ind w:left="0" w:firstLine="0"/>
        <w:contextualSpacing/>
        <w:jc w:val="both"/>
        <w:rPr>
          <w:rFonts w:ascii="Palatino Linotype" w:eastAsia="MS Mincho" w:hAnsi="Palatino Linotype" w:cstheme="majorBidi"/>
          <w:sz w:val="24"/>
          <w:szCs w:val="24"/>
          <w:lang w:val="es-ES_tradnl" w:eastAsia="es-ES"/>
        </w:rPr>
      </w:pPr>
      <w:r w:rsidRPr="00817725">
        <w:rPr>
          <w:rFonts w:ascii="Palatino Linotype" w:eastAsiaTheme="minorEastAsia" w:hAnsi="Palatino Linotype"/>
          <w:sz w:val="24"/>
          <w:szCs w:val="24"/>
          <w:lang w:val="es-ES_tradnl" w:eastAsia="es-ES"/>
        </w:rPr>
        <w:t xml:space="preserve">Ahora bien, es de precisa que para el caso de que el particular requiera la información en la vía elegida SAIMEX, se dejan a salvo su derechos para el mismo la solicite nuevamente pero de manera fraccionada es decir por ejercicio fiscal. </w:t>
      </w:r>
    </w:p>
    <w:p w:rsidR="00FB38E0" w:rsidRPr="00817725" w:rsidRDefault="00FB38E0" w:rsidP="00817725">
      <w:pPr>
        <w:spacing w:before="240" w:after="240" w:line="360" w:lineRule="auto"/>
        <w:contextualSpacing/>
        <w:jc w:val="both"/>
        <w:rPr>
          <w:rFonts w:ascii="Palatino Linotype" w:eastAsia="MS Mincho" w:hAnsi="Palatino Linotype" w:cstheme="majorBidi"/>
          <w:sz w:val="24"/>
          <w:szCs w:val="24"/>
          <w:lang w:val="es-ES_tradnl" w:eastAsia="es-ES"/>
        </w:rPr>
      </w:pPr>
    </w:p>
    <w:p w:rsidR="00B63B13" w:rsidRPr="00817725" w:rsidRDefault="00B63B13"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MS Mincho" w:hAnsi="Palatino Linotype" w:cstheme="majorBidi"/>
          <w:sz w:val="24"/>
          <w:szCs w:val="24"/>
          <w:lang w:val="es-ES_tradnl" w:eastAsia="es-ES"/>
        </w:rPr>
        <w:t>Luego entonces resulta viable ordenar la entrega de la información solicitada  en versión pública</w:t>
      </w:r>
      <w:r w:rsidR="003C1E26" w:rsidRPr="00817725">
        <w:rPr>
          <w:rFonts w:ascii="Palatino Linotype" w:eastAsia="MS Mincho" w:hAnsi="Palatino Linotype" w:cstheme="majorBidi"/>
          <w:sz w:val="24"/>
          <w:szCs w:val="24"/>
          <w:lang w:val="es-ES_tradnl" w:eastAsia="es-ES"/>
        </w:rPr>
        <w:t>, vía consulta directa. No obstante</w:t>
      </w:r>
      <w:r w:rsidR="00261DED" w:rsidRPr="00817725">
        <w:rPr>
          <w:rFonts w:ascii="Palatino Linotype" w:eastAsia="MS Mincho" w:hAnsi="Palatino Linotype" w:cstheme="majorBidi"/>
          <w:sz w:val="24"/>
          <w:szCs w:val="24"/>
          <w:lang w:val="es-ES_tradnl" w:eastAsia="es-ES"/>
        </w:rPr>
        <w:t xml:space="preserve"> lo anterior</w:t>
      </w:r>
      <w:r w:rsidR="003C1E26" w:rsidRPr="00817725">
        <w:rPr>
          <w:rFonts w:ascii="Palatino Linotype" w:eastAsia="MS Mincho" w:hAnsi="Palatino Linotype" w:cstheme="majorBidi"/>
          <w:sz w:val="24"/>
          <w:szCs w:val="24"/>
          <w:lang w:val="es-ES_tradnl" w:eastAsia="es-ES"/>
        </w:rPr>
        <w:t xml:space="preserve">, es de precisar que el </w:t>
      </w:r>
      <w:r w:rsidR="003C1E26" w:rsidRPr="00817725">
        <w:rPr>
          <w:rFonts w:ascii="Palatino Linotype" w:eastAsia="MS Mincho" w:hAnsi="Palatino Linotype" w:cstheme="majorBidi"/>
          <w:b/>
          <w:sz w:val="24"/>
          <w:szCs w:val="24"/>
          <w:lang w:val="es-ES_tradnl" w:eastAsia="es-ES"/>
        </w:rPr>
        <w:t>SUJETO OBLIGADO</w:t>
      </w:r>
      <w:r w:rsidR="003C1E26" w:rsidRPr="00817725">
        <w:rPr>
          <w:rFonts w:ascii="Palatino Linotype" w:eastAsia="MS Mincho" w:hAnsi="Palatino Linotype" w:cstheme="majorBidi"/>
          <w:sz w:val="24"/>
          <w:szCs w:val="24"/>
          <w:lang w:val="es-ES_tradnl" w:eastAsia="es-ES"/>
        </w:rPr>
        <w:t xml:space="preserve"> mediante resolución de su Comité </w:t>
      </w:r>
      <w:r w:rsidR="00261DED" w:rsidRPr="00817725">
        <w:rPr>
          <w:rFonts w:ascii="Palatino Linotype" w:eastAsia="MS Mincho" w:hAnsi="Palatino Linotype" w:cstheme="majorBidi"/>
          <w:sz w:val="24"/>
          <w:szCs w:val="24"/>
          <w:lang w:val="es-ES_tradnl" w:eastAsia="es-ES"/>
        </w:rPr>
        <w:t>de Transferencia se aprobó la c</w:t>
      </w:r>
      <w:r w:rsidR="003C1E26" w:rsidRPr="00817725">
        <w:rPr>
          <w:rFonts w:ascii="Palatino Linotype" w:eastAsia="MS Mincho" w:hAnsi="Palatino Linotype" w:cstheme="majorBidi"/>
          <w:sz w:val="24"/>
          <w:szCs w:val="24"/>
          <w:lang w:val="es-ES_tradnl" w:eastAsia="es-ES"/>
        </w:rPr>
        <w:t>l</w:t>
      </w:r>
      <w:r w:rsidR="00261DED" w:rsidRPr="00817725">
        <w:rPr>
          <w:rFonts w:ascii="Palatino Linotype" w:eastAsia="MS Mincho" w:hAnsi="Palatino Linotype" w:cstheme="majorBidi"/>
          <w:sz w:val="24"/>
          <w:szCs w:val="24"/>
          <w:lang w:val="es-ES_tradnl" w:eastAsia="es-ES"/>
        </w:rPr>
        <w:t>as</w:t>
      </w:r>
      <w:r w:rsidR="003C1E26" w:rsidRPr="00817725">
        <w:rPr>
          <w:rFonts w:ascii="Palatino Linotype" w:eastAsia="MS Mincho" w:hAnsi="Palatino Linotype" w:cstheme="majorBidi"/>
          <w:sz w:val="24"/>
          <w:szCs w:val="24"/>
          <w:lang w:val="es-ES_tradnl" w:eastAsia="es-ES"/>
        </w:rPr>
        <w:t xml:space="preserve">ificación de Información confidencial; sin embargo, se hace del conocimiento del mismo que no se discute el hecho de que se proteja la información relativa a datos personales, tales como número telefónicos, domicilios particulares, Clave Única de Registro de Población (CURP), todos los datos contenidos en su totalidad de la Credenciales para Votar. </w:t>
      </w:r>
    </w:p>
    <w:p w:rsidR="00B57039" w:rsidRPr="00817725" w:rsidRDefault="00B57039" w:rsidP="00817725">
      <w:pPr>
        <w:spacing w:before="240" w:after="240" w:line="360" w:lineRule="auto"/>
        <w:contextualSpacing/>
        <w:jc w:val="both"/>
        <w:rPr>
          <w:rFonts w:ascii="Palatino Linotype" w:eastAsiaTheme="minorEastAsia" w:hAnsi="Palatino Linotype"/>
          <w:sz w:val="24"/>
          <w:szCs w:val="24"/>
          <w:lang w:val="es-ES_tradnl" w:eastAsia="es-ES"/>
        </w:rPr>
      </w:pPr>
    </w:p>
    <w:p w:rsidR="00BB6D77" w:rsidRDefault="003C1E26"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t xml:space="preserve">Para el caso de la información </w:t>
      </w:r>
      <w:r w:rsidR="00261DED" w:rsidRPr="00817725">
        <w:rPr>
          <w:rFonts w:ascii="Palatino Linotype" w:eastAsiaTheme="minorEastAsia" w:hAnsi="Palatino Linotype"/>
          <w:sz w:val="24"/>
          <w:szCs w:val="24"/>
          <w:lang w:val="es-ES_tradnl" w:eastAsia="es-ES"/>
        </w:rPr>
        <w:t>correspondiente</w:t>
      </w:r>
      <w:r w:rsidRPr="00817725">
        <w:rPr>
          <w:rFonts w:ascii="Palatino Linotype" w:eastAsiaTheme="minorEastAsia" w:hAnsi="Palatino Linotype"/>
          <w:sz w:val="24"/>
          <w:szCs w:val="24"/>
          <w:lang w:val="es-ES_tradnl" w:eastAsia="es-ES"/>
        </w:rPr>
        <w:t xml:space="preserve"> a firmas, </w:t>
      </w:r>
      <w:r w:rsidR="00B57039" w:rsidRPr="00817725">
        <w:rPr>
          <w:rFonts w:ascii="Palatino Linotype" w:eastAsiaTheme="minorEastAsia" w:hAnsi="Palatino Linotype"/>
          <w:sz w:val="24"/>
          <w:szCs w:val="24"/>
          <w:lang w:val="es-ES_tradnl" w:eastAsia="es-ES"/>
        </w:rPr>
        <w:t xml:space="preserve">domicilio fiscal, </w:t>
      </w:r>
      <w:r w:rsidRPr="00817725">
        <w:rPr>
          <w:rFonts w:ascii="Palatino Linotype" w:eastAsiaTheme="minorEastAsia" w:hAnsi="Palatino Linotype"/>
          <w:sz w:val="24"/>
          <w:szCs w:val="24"/>
          <w:lang w:val="es-ES_tradnl" w:eastAsia="es-ES"/>
        </w:rPr>
        <w:t xml:space="preserve">correos institucionales, </w:t>
      </w:r>
      <w:r w:rsidR="00B57039" w:rsidRPr="00817725">
        <w:rPr>
          <w:rFonts w:ascii="Palatino Linotype" w:eastAsiaTheme="minorEastAsia" w:hAnsi="Palatino Linotype"/>
          <w:sz w:val="24"/>
          <w:szCs w:val="24"/>
          <w:lang w:val="es-ES_tradnl" w:eastAsia="es-ES"/>
        </w:rPr>
        <w:t>Registro Federal de Contribuyentes (RFC), números de cuentas bancarias, cadenas originales de sellos digitales, folio fiscal, códigos bidimensionales QR y fotografías, si bien es cierto que dicha información es confidencial, también lo es que es tiene el carácter de pública cuando alguna persona física o moral, reciba por cualquier motivo recursos públicos, por lo tanto la clasificación es excepcional, es decir dependie</w:t>
      </w:r>
      <w:r w:rsidR="00261DED" w:rsidRPr="00817725">
        <w:rPr>
          <w:rFonts w:ascii="Palatino Linotype" w:eastAsiaTheme="minorEastAsia" w:hAnsi="Palatino Linotype"/>
          <w:sz w:val="24"/>
          <w:szCs w:val="24"/>
          <w:lang w:val="es-ES_tradnl" w:eastAsia="es-ES"/>
        </w:rPr>
        <w:t xml:space="preserve">ndo de cada circunstancia y si se </w:t>
      </w:r>
      <w:r w:rsidR="00B57039" w:rsidRPr="00817725">
        <w:rPr>
          <w:rFonts w:ascii="Palatino Linotype" w:eastAsiaTheme="minorEastAsia" w:hAnsi="Palatino Linotype"/>
          <w:sz w:val="24"/>
          <w:szCs w:val="24"/>
          <w:lang w:val="es-ES_tradnl" w:eastAsia="es-ES"/>
        </w:rPr>
        <w:t>ejercen recurso</w:t>
      </w:r>
      <w:r w:rsidR="00261DED" w:rsidRPr="00817725">
        <w:rPr>
          <w:rFonts w:ascii="Palatino Linotype" w:eastAsiaTheme="minorEastAsia" w:hAnsi="Palatino Linotype"/>
          <w:sz w:val="24"/>
          <w:szCs w:val="24"/>
          <w:lang w:val="es-ES_tradnl" w:eastAsia="es-ES"/>
        </w:rPr>
        <w:t>s</w:t>
      </w:r>
      <w:r w:rsidR="00B57039" w:rsidRPr="00817725">
        <w:rPr>
          <w:rFonts w:ascii="Palatino Linotype" w:eastAsiaTheme="minorEastAsia" w:hAnsi="Palatino Linotype"/>
          <w:sz w:val="24"/>
          <w:szCs w:val="24"/>
          <w:lang w:val="es-ES_tradnl" w:eastAsia="es-ES"/>
        </w:rPr>
        <w:t xml:space="preserve"> públicos pierde el carácter de confidencial. </w:t>
      </w:r>
    </w:p>
    <w:p w:rsidR="00817725" w:rsidRPr="00817725" w:rsidRDefault="00817725" w:rsidP="00817725">
      <w:pPr>
        <w:spacing w:before="240" w:after="240" w:line="360" w:lineRule="auto"/>
        <w:contextualSpacing/>
        <w:jc w:val="both"/>
        <w:rPr>
          <w:rFonts w:ascii="Palatino Linotype" w:eastAsiaTheme="minorEastAsia" w:hAnsi="Palatino Linotype"/>
          <w:sz w:val="24"/>
          <w:szCs w:val="24"/>
          <w:lang w:val="es-ES_tradnl" w:eastAsia="es-ES"/>
        </w:rPr>
      </w:pPr>
    </w:p>
    <w:p w:rsidR="00F71A9E" w:rsidRDefault="00BB6D77" w:rsidP="00817725">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725">
        <w:rPr>
          <w:rFonts w:ascii="Palatino Linotype" w:eastAsiaTheme="minorEastAsia" w:hAnsi="Palatino Linotype"/>
          <w:sz w:val="24"/>
          <w:szCs w:val="24"/>
          <w:lang w:val="es-ES_tradnl" w:eastAsia="es-ES"/>
        </w:rPr>
        <w:t xml:space="preserve">Por último, no obstante que la información se deberá de poner a disposición del particular para su consulta, es necesario señalar que en caso de que el solicitante requiera la información en otra modalidad, deberá entonces informar esta situación al sujeto obligado y pagar los costos correspondientes sobre la reproducción de las mismas. </w:t>
      </w:r>
    </w:p>
    <w:p w:rsidR="00817725" w:rsidRPr="00817725" w:rsidRDefault="00817725" w:rsidP="00817725">
      <w:pPr>
        <w:spacing w:before="240" w:after="240" w:line="360" w:lineRule="auto"/>
        <w:contextualSpacing/>
        <w:jc w:val="both"/>
        <w:rPr>
          <w:rFonts w:ascii="Palatino Linotype" w:eastAsiaTheme="minorEastAsia" w:hAnsi="Palatino Linotype"/>
          <w:sz w:val="24"/>
          <w:szCs w:val="24"/>
          <w:lang w:val="es-ES_tradnl" w:eastAsia="es-ES"/>
        </w:rPr>
      </w:pPr>
    </w:p>
    <w:p w:rsidR="00B57039" w:rsidRPr="00817725" w:rsidRDefault="00B57039" w:rsidP="00817725">
      <w:pPr>
        <w:keepNext/>
        <w:keepLines/>
        <w:spacing w:before="240" w:after="0" w:line="360" w:lineRule="auto"/>
        <w:outlineLvl w:val="0"/>
        <w:rPr>
          <w:rFonts w:ascii="Palatino Linotype" w:eastAsia="MS Gothic" w:hAnsi="Palatino Linotype" w:cstheme="majorBidi"/>
          <w:b/>
          <w:sz w:val="24"/>
          <w:szCs w:val="24"/>
          <w:lang w:val="es-ES_tradnl"/>
        </w:rPr>
      </w:pPr>
      <w:bookmarkStart w:id="77" w:name="_Toc536726465"/>
      <w:bookmarkStart w:id="78" w:name="_Toc10031843"/>
      <w:bookmarkStart w:id="79" w:name="_Toc20387835"/>
      <w:bookmarkStart w:id="80" w:name="_Toc454968928"/>
      <w:bookmarkStart w:id="81" w:name="_Toc455743517"/>
      <w:bookmarkStart w:id="82" w:name="_Toc458016386"/>
      <w:bookmarkStart w:id="83" w:name="_Toc461555893"/>
      <w:bookmarkStart w:id="84" w:name="_Toc462307690"/>
      <w:bookmarkStart w:id="85" w:name="_Toc475005143"/>
      <w:bookmarkStart w:id="86" w:name="_Toc499659080"/>
      <w:bookmarkEnd w:id="61"/>
      <w:bookmarkEnd w:id="62"/>
      <w:bookmarkEnd w:id="63"/>
      <w:bookmarkEnd w:id="64"/>
      <w:bookmarkEnd w:id="65"/>
      <w:bookmarkEnd w:id="66"/>
      <w:bookmarkEnd w:id="67"/>
      <w:bookmarkEnd w:id="68"/>
      <w:r w:rsidRPr="00817725">
        <w:rPr>
          <w:rFonts w:ascii="Palatino Linotype" w:eastAsia="MS Gothic" w:hAnsi="Palatino Linotype" w:cstheme="majorBidi"/>
          <w:b/>
          <w:sz w:val="24"/>
          <w:szCs w:val="24"/>
          <w:lang w:val="es-ES_tradnl"/>
        </w:rPr>
        <w:t>QUINTO. De la Versión Pública</w:t>
      </w:r>
      <w:bookmarkEnd w:id="77"/>
      <w:bookmarkEnd w:id="78"/>
      <w:bookmarkEnd w:id="79"/>
      <w:r w:rsidRPr="00817725">
        <w:rPr>
          <w:rFonts w:ascii="Palatino Linotype" w:eastAsia="MS Gothic" w:hAnsi="Palatino Linotype" w:cstheme="majorBidi"/>
          <w:b/>
          <w:sz w:val="24"/>
          <w:szCs w:val="24"/>
          <w:lang w:val="es-ES_tradnl"/>
        </w:rPr>
        <w:t xml:space="preserve"> </w:t>
      </w:r>
    </w:p>
    <w:p w:rsidR="00B57039" w:rsidRPr="00817725" w:rsidRDefault="00B57039" w:rsidP="00817725">
      <w:pPr>
        <w:spacing w:after="120" w:line="360" w:lineRule="auto"/>
        <w:ind w:right="49"/>
        <w:contextualSpacing/>
        <w:jc w:val="both"/>
        <w:rPr>
          <w:rFonts w:ascii="Palatino Linotype" w:eastAsia="MS Mincho" w:hAnsi="Palatino Linotype" w:cstheme="majorBidi"/>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Calibri" w:hAnsi="Palatino Linotype" w:cs="Arial"/>
          <w:sz w:val="24"/>
          <w:szCs w:val="24"/>
          <w:lang w:val="es-ES_tradnl" w:eastAsia="es-MX"/>
        </w:rPr>
        <w:t xml:space="preserve">Como ya se ha señalado en el considerando anterior, </w:t>
      </w:r>
      <w:r w:rsidRPr="00817725">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17725">
        <w:rPr>
          <w:rFonts w:ascii="Palatino Linotype" w:eastAsia="MS Mincho" w:hAnsi="Palatino Linotype" w:cs="Arial"/>
          <w:b/>
          <w:sz w:val="24"/>
          <w:szCs w:val="24"/>
          <w:u w:val="single"/>
          <w:lang w:val="es-ES_tradnl" w:eastAsia="es-ES"/>
        </w:rPr>
        <w:t>versión pública</w:t>
      </w:r>
      <w:r w:rsidRPr="00817725">
        <w:rPr>
          <w:rFonts w:ascii="Palatino Linotype" w:eastAsia="MS Mincho" w:hAnsi="Palatino Linotype" w:cs="Arial"/>
          <w:sz w:val="24"/>
          <w:szCs w:val="24"/>
          <w:lang w:val="es-ES_tradnl" w:eastAsia="es-ES"/>
        </w:rPr>
        <w:t xml:space="preserve"> del documento por las consideraciones que se estimen pertinentes.</w:t>
      </w:r>
    </w:p>
    <w:p w:rsidR="00B57039" w:rsidRPr="00817725" w:rsidRDefault="00B57039" w:rsidP="00817725">
      <w:pPr>
        <w:spacing w:after="0" w:line="360" w:lineRule="auto"/>
        <w:contextualSpacing/>
        <w:jc w:val="both"/>
        <w:rPr>
          <w:rFonts w:ascii="Palatino Linotype" w:eastAsia="MS Mincho" w:hAnsi="Palatino Linotype" w:cs="Times New Roman"/>
          <w:sz w:val="24"/>
          <w:szCs w:val="24"/>
          <w:lang w:val="es-ES_tradnl" w:eastAsia="es-ES"/>
        </w:rPr>
      </w:pPr>
    </w:p>
    <w:p w:rsidR="00B57039" w:rsidRPr="00817725" w:rsidRDefault="00B57039" w:rsidP="00817725">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87" w:name="_Toc487025371"/>
      <w:bookmarkStart w:id="88" w:name="_Toc493790439"/>
      <w:bookmarkStart w:id="89" w:name="_Toc495606559"/>
      <w:bookmarkStart w:id="90" w:name="_Toc517362231"/>
      <w:bookmarkStart w:id="91" w:name="_Toc523159043"/>
      <w:bookmarkStart w:id="92" w:name="_Toc536726466"/>
      <w:r w:rsidRPr="00817725">
        <w:rPr>
          <w:rFonts w:ascii="Palatino Linotype" w:eastAsia="MS Gothic" w:hAnsi="Palatino Linotype" w:cs="Times New Roman"/>
          <w:b/>
          <w:sz w:val="24"/>
          <w:szCs w:val="24"/>
          <w:lang w:val="es-ES_tradnl"/>
        </w:rPr>
        <w:t>Requisitos previos.</w:t>
      </w:r>
      <w:bookmarkEnd w:id="87"/>
      <w:bookmarkEnd w:id="88"/>
      <w:bookmarkEnd w:id="89"/>
      <w:bookmarkEnd w:id="90"/>
      <w:bookmarkEnd w:id="91"/>
      <w:bookmarkEnd w:id="92"/>
    </w:p>
    <w:p w:rsidR="00B57039" w:rsidRPr="00817725" w:rsidRDefault="00B57039" w:rsidP="00817725">
      <w:pPr>
        <w:spacing w:after="0" w:line="360" w:lineRule="auto"/>
        <w:rPr>
          <w:rFonts w:ascii="Palatino Linotype" w:eastAsia="MS Mincho" w:hAnsi="Palatino Linotype" w:cs="Times New Roman"/>
          <w:noProof/>
          <w:sz w:val="24"/>
          <w:szCs w:val="24"/>
          <w:lang w:val="es-ES_tradnl"/>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57039" w:rsidRPr="00817725" w:rsidRDefault="00B57039" w:rsidP="0081772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93" w:name="_Toc487025372"/>
      <w:bookmarkStart w:id="94" w:name="_Toc493790440"/>
      <w:bookmarkStart w:id="95" w:name="_Toc495606560"/>
      <w:bookmarkStart w:id="96" w:name="_Toc517362232"/>
      <w:bookmarkStart w:id="97" w:name="_Toc523159044"/>
      <w:bookmarkStart w:id="98" w:name="_Toc536726467"/>
      <w:r w:rsidRPr="00817725">
        <w:rPr>
          <w:rFonts w:ascii="Palatino Linotype" w:eastAsia="MS Gothic" w:hAnsi="Palatino Linotype" w:cs="Times New Roman"/>
          <w:b/>
          <w:sz w:val="24"/>
          <w:szCs w:val="24"/>
          <w:lang w:val="es-ES_tradnl"/>
        </w:rPr>
        <w:t>Supuesto de clasificación.</w:t>
      </w:r>
      <w:bookmarkEnd w:id="93"/>
      <w:bookmarkEnd w:id="94"/>
      <w:bookmarkEnd w:id="95"/>
      <w:bookmarkEnd w:id="96"/>
      <w:bookmarkEnd w:id="97"/>
      <w:bookmarkEnd w:id="98"/>
    </w:p>
    <w:p w:rsidR="00B57039" w:rsidRPr="00817725" w:rsidRDefault="00B57039" w:rsidP="00817725">
      <w:pPr>
        <w:spacing w:after="0" w:line="360" w:lineRule="auto"/>
        <w:rPr>
          <w:rFonts w:ascii="Palatino Linotype" w:eastAsia="MS Mincho" w:hAnsi="Palatino Linotype" w:cs="Times New Roman"/>
          <w:noProof/>
          <w:sz w:val="24"/>
          <w:szCs w:val="24"/>
          <w:lang w:val="es-ES_tradnl"/>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17725">
        <w:rPr>
          <w:rFonts w:ascii="Palatino Linotype" w:eastAsia="MS Mincho" w:hAnsi="Palatino Linotype" w:cs="Arial"/>
          <w:sz w:val="24"/>
          <w:szCs w:val="24"/>
          <w:lang w:val="es-ES_tradnl" w:eastAsia="es-ES"/>
        </w:rPr>
        <w:t>Acceso</w:t>
      </w:r>
      <w:r w:rsidRPr="00817725">
        <w:rPr>
          <w:rFonts w:ascii="Palatino Linotype" w:eastAsia="Calibri" w:hAnsi="Palatino Linotype" w:cs="Arial"/>
          <w:sz w:val="24"/>
          <w:szCs w:val="24"/>
          <w:lang w:val="es-ES_tradnl" w:eastAsia="es-MX"/>
        </w:rPr>
        <w:t xml:space="preserve"> a la Información Pública del Estado de México y Municipios.</w:t>
      </w:r>
    </w:p>
    <w:p w:rsidR="00B57039" w:rsidRPr="00817725" w:rsidRDefault="00B57039" w:rsidP="00817725">
      <w:pPr>
        <w:spacing w:after="0" w:line="360" w:lineRule="auto"/>
        <w:ind w:right="616"/>
        <w:contextualSpacing/>
        <w:jc w:val="both"/>
        <w:rPr>
          <w:rFonts w:ascii="Palatino Linotype" w:eastAsia="Calibri" w:hAnsi="Palatino Linotype" w:cs="Arial"/>
          <w:sz w:val="24"/>
          <w:szCs w:val="24"/>
          <w:lang w:val="es-ES_tradnl" w:eastAsia="es-MX"/>
        </w:rPr>
      </w:pPr>
    </w:p>
    <w:p w:rsidR="00B57039" w:rsidRPr="00817725" w:rsidRDefault="00B57039" w:rsidP="00817725">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b/>
          <w:bCs/>
          <w:i/>
          <w:sz w:val="24"/>
          <w:szCs w:val="24"/>
          <w:lang w:val="es-ES_tradnl" w:eastAsia="es-ES"/>
        </w:rPr>
        <w:t xml:space="preserve">Artículo 3. </w:t>
      </w:r>
      <w:r w:rsidRPr="00817725">
        <w:rPr>
          <w:rFonts w:ascii="Palatino Linotype" w:eastAsia="MS Mincho" w:hAnsi="Palatino Linotype" w:cs="Arial"/>
          <w:i/>
          <w:sz w:val="24"/>
          <w:szCs w:val="24"/>
          <w:lang w:val="es-ES_tradnl" w:eastAsia="es-ES"/>
        </w:rPr>
        <w:t>Para los efectos de la presente Ley se entenderá por:</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 xml:space="preserve"> (…)</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XX. Información clasificada: Aquella considerada por la presente Ley como reservada o confidencial;</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817725">
        <w:rPr>
          <w:rFonts w:ascii="Palatino Linotype" w:eastAsia="Calibri" w:hAnsi="Palatino Linotype" w:cs="Arial"/>
          <w:i/>
          <w:sz w:val="24"/>
          <w:szCs w:val="24"/>
          <w:lang w:val="es-ES_tradnl" w:eastAsia="es-MX"/>
        </w:rPr>
        <w:t>jurídico</w:t>
      </w:r>
      <w:proofErr w:type="gramEnd"/>
      <w:r w:rsidRPr="00817725">
        <w:rPr>
          <w:rFonts w:ascii="Palatino Linotype" w:eastAsia="Calibri" w:hAnsi="Palatino Linotype" w:cs="Arial"/>
          <w:i/>
          <w:sz w:val="24"/>
          <w:szCs w:val="24"/>
          <w:lang w:val="es-ES_tradnl" w:eastAsia="es-MX"/>
        </w:rPr>
        <w:t xml:space="preserve"> colectiva identificada o identificable;</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B57039" w:rsidRPr="00817725" w:rsidRDefault="00B57039" w:rsidP="00817725">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57039" w:rsidRPr="00817725" w:rsidRDefault="00B57039" w:rsidP="0081772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17725">
        <w:rPr>
          <w:rFonts w:ascii="Palatino Linotype" w:eastAsia="MS Mincho" w:hAnsi="Palatino Linotype" w:cs="Arial"/>
          <w:sz w:val="24"/>
          <w:szCs w:val="24"/>
          <w:vertAlign w:val="superscript"/>
          <w:lang w:val="es-ES_tradnl" w:eastAsia="es-ES"/>
        </w:rPr>
        <w:footnoteReference w:id="1"/>
      </w:r>
      <w:r w:rsidRPr="0081772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 xml:space="preserve">Una vez hecho lo </w:t>
      </w:r>
      <w:r w:rsidRPr="00817725">
        <w:rPr>
          <w:rFonts w:ascii="Palatino Linotype" w:eastAsia="MS Mincho" w:hAnsi="Palatino Linotype" w:cs="Times New Roman"/>
          <w:sz w:val="24"/>
          <w:szCs w:val="24"/>
          <w:lang w:val="es-ES_tradnl" w:eastAsia="es-ES"/>
        </w:rPr>
        <w:t>anterior</w:t>
      </w:r>
      <w:r w:rsidRPr="0081772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99" w:name="_Toc486509923"/>
      <w:bookmarkStart w:id="100" w:name="_Toc487025373"/>
      <w:bookmarkStart w:id="101" w:name="_Toc493790441"/>
      <w:bookmarkStart w:id="102" w:name="_Toc495606561"/>
      <w:bookmarkStart w:id="103" w:name="_Toc517362233"/>
      <w:bookmarkStart w:id="104" w:name="_Toc523159045"/>
      <w:bookmarkStart w:id="105" w:name="_Toc536726468"/>
      <w:r w:rsidRPr="00817725">
        <w:rPr>
          <w:rFonts w:ascii="Palatino Linotype" w:eastAsia="MS Gothic" w:hAnsi="Palatino Linotype" w:cs="Times New Roman"/>
          <w:b/>
          <w:sz w:val="24"/>
          <w:szCs w:val="24"/>
          <w:lang w:val="es-ES_tradnl"/>
        </w:rPr>
        <w:t>La intervención del Comité de Transparencia.</w:t>
      </w:r>
      <w:bookmarkEnd w:id="99"/>
      <w:bookmarkEnd w:id="100"/>
      <w:bookmarkEnd w:id="101"/>
      <w:bookmarkEnd w:id="102"/>
      <w:bookmarkEnd w:id="103"/>
      <w:bookmarkEnd w:id="104"/>
      <w:bookmarkEnd w:id="105"/>
    </w:p>
    <w:p w:rsidR="00B57039" w:rsidRPr="00817725" w:rsidRDefault="00B57039" w:rsidP="00817725">
      <w:pPr>
        <w:spacing w:after="0" w:line="360" w:lineRule="auto"/>
        <w:rPr>
          <w:rFonts w:ascii="Palatino Linotype" w:eastAsia="MS Mincho" w:hAnsi="Palatino Linotype" w:cs="Times New Roman"/>
          <w:noProof/>
          <w:sz w:val="24"/>
          <w:szCs w:val="24"/>
          <w:lang w:val="es-ES_tradnl"/>
        </w:rPr>
      </w:pPr>
    </w:p>
    <w:p w:rsidR="00B57039" w:rsidRPr="00817725" w:rsidRDefault="00B57039" w:rsidP="00817725">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106" w:name="_Toc487025374"/>
      <w:bookmarkStart w:id="107" w:name="_Toc493790442"/>
      <w:bookmarkStart w:id="108" w:name="_Toc495606562"/>
      <w:bookmarkStart w:id="109" w:name="_Toc517362234"/>
      <w:bookmarkStart w:id="110" w:name="_Toc523159046"/>
      <w:bookmarkStart w:id="111" w:name="_Toc536726469"/>
      <w:r w:rsidRPr="00817725">
        <w:rPr>
          <w:rFonts w:ascii="Palatino Linotype" w:eastAsia="MS Gothic" w:hAnsi="Palatino Linotype" w:cs="Times New Roman"/>
          <w:b/>
          <w:sz w:val="24"/>
          <w:szCs w:val="24"/>
          <w:lang w:val="es-ES_tradnl" w:eastAsia="es-ES"/>
        </w:rPr>
        <w:t>Formalidades para emitir el acuerdo de clasificación.</w:t>
      </w:r>
      <w:bookmarkEnd w:id="106"/>
      <w:bookmarkEnd w:id="107"/>
      <w:bookmarkEnd w:id="108"/>
      <w:bookmarkEnd w:id="109"/>
      <w:bookmarkEnd w:id="110"/>
      <w:bookmarkEnd w:id="111"/>
    </w:p>
    <w:p w:rsidR="00B57039" w:rsidRPr="00817725" w:rsidRDefault="00B57039" w:rsidP="00817725">
      <w:pPr>
        <w:spacing w:after="0" w:line="360" w:lineRule="auto"/>
        <w:rPr>
          <w:rFonts w:ascii="Palatino Linotype" w:eastAsia="MS Mincho" w:hAnsi="Palatino Linotype" w:cs="Times New Roman"/>
          <w:noProof/>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1772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17725">
        <w:rPr>
          <w:rFonts w:ascii="Palatino Linotype" w:eastAsia="MS Mincho" w:hAnsi="Palatino Linotype" w:cs="Times New Roman"/>
          <w:sz w:val="24"/>
          <w:szCs w:val="24"/>
          <w:lang w:val="es-ES_tradnl" w:eastAsia="es-ES"/>
        </w:rPr>
        <w:t>Desclasificación</w:t>
      </w:r>
      <w:r w:rsidRPr="0081772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B57039" w:rsidRPr="00817725" w:rsidRDefault="00B57039" w:rsidP="00817725">
      <w:pPr>
        <w:spacing w:after="0" w:line="360" w:lineRule="auto"/>
        <w:ind w:right="616"/>
        <w:contextualSpacing/>
        <w:jc w:val="both"/>
        <w:rPr>
          <w:rFonts w:ascii="Palatino Linotype" w:eastAsia="Calibri" w:hAnsi="Palatino Linotype" w:cs="Arial"/>
          <w:sz w:val="24"/>
          <w:szCs w:val="24"/>
          <w:lang w:val="es-ES_tradnl" w:eastAsia="es-MX"/>
        </w:rPr>
      </w:pPr>
    </w:p>
    <w:p w:rsidR="00B57039" w:rsidRPr="00817725" w:rsidRDefault="00B57039" w:rsidP="00817725">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817725">
        <w:rPr>
          <w:rFonts w:ascii="Palatino Linotype" w:eastAsia="MS Mincho" w:hAnsi="Palatino Linotype" w:cs="Bookman Old Style,Bold"/>
          <w:b/>
          <w:bCs/>
          <w:i/>
          <w:sz w:val="24"/>
          <w:szCs w:val="24"/>
          <w:lang w:val="es-ES_tradnl" w:eastAsia="es-ES"/>
        </w:rPr>
        <w:t xml:space="preserve">Artículo 128. </w:t>
      </w:r>
      <w:r w:rsidRPr="0081772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817725">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Arial"/>
          <w:b/>
          <w:i/>
          <w:sz w:val="24"/>
          <w:szCs w:val="24"/>
          <w:lang w:val="es-ES_tradnl"/>
        </w:rPr>
        <w:t>Artículo 149</w:t>
      </w:r>
      <w:r w:rsidRPr="0081772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B57039" w:rsidRPr="00817725" w:rsidRDefault="00B57039" w:rsidP="00817725">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817725">
        <w:rPr>
          <w:rFonts w:ascii="Palatino Linotype" w:eastAsia="MS Mincho" w:hAnsi="Palatino Linotype" w:cs="Times New Roman"/>
          <w:b/>
          <w:i/>
          <w:sz w:val="24"/>
          <w:szCs w:val="24"/>
          <w:lang w:val="es-ES_tradnl" w:eastAsia="es-ES"/>
        </w:rPr>
        <w:t>Segundo</w:t>
      </w:r>
      <w:r w:rsidRPr="00817725">
        <w:rPr>
          <w:rFonts w:ascii="Palatino Linotype" w:eastAsia="MS Mincho" w:hAnsi="Palatino Linotype" w:cs="Times New Roman"/>
          <w:i/>
          <w:sz w:val="24"/>
          <w:szCs w:val="24"/>
          <w:lang w:val="es-ES_tradnl" w:eastAsia="es-ES"/>
        </w:rPr>
        <w:t>. Para efectos de los presentes Lineamientos Generales, se entenderá por:</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Times New Roman"/>
          <w:b/>
          <w:i/>
          <w:sz w:val="24"/>
          <w:szCs w:val="24"/>
          <w:lang w:val="es-ES_tradnl" w:eastAsia="es-ES"/>
        </w:rPr>
        <w:t>IV. Comité de Transparencia</w:t>
      </w:r>
      <w:r w:rsidRPr="0081772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1772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81772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Arial"/>
          <w:b/>
          <w:i/>
          <w:sz w:val="24"/>
          <w:szCs w:val="24"/>
          <w:lang w:val="es-ES_tradnl"/>
        </w:rPr>
        <w:t>Quincuagésimo sexto</w:t>
      </w:r>
      <w:r w:rsidRPr="00817725">
        <w:rPr>
          <w:rFonts w:ascii="Palatino Linotype" w:eastAsia="MS Mincho" w:hAnsi="Palatino Linotype" w:cs="Arial"/>
          <w:i/>
          <w:sz w:val="24"/>
          <w:szCs w:val="24"/>
          <w:lang w:val="es-ES_tradnl"/>
        </w:rPr>
        <w:t xml:space="preserve">. La versión pública del documento o expediente que contenga partes o secciones reservadas o </w:t>
      </w:r>
      <w:r w:rsidRPr="00817725">
        <w:rPr>
          <w:rFonts w:ascii="Palatino Linotype" w:eastAsia="MS Mincho" w:hAnsi="Palatino Linotype" w:cs="Arial"/>
          <w:b/>
          <w:i/>
          <w:sz w:val="24"/>
          <w:szCs w:val="24"/>
          <w:lang w:val="es-ES_tradnl"/>
        </w:rPr>
        <w:t>confidenciales</w:t>
      </w:r>
      <w:r w:rsidRPr="0081772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Arial"/>
          <w:b/>
          <w:i/>
          <w:sz w:val="24"/>
          <w:szCs w:val="24"/>
          <w:lang w:val="es-ES_tradnl"/>
        </w:rPr>
        <w:t>Quincuagésimo séptimo</w:t>
      </w:r>
      <w:r w:rsidRPr="00817725">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rPr>
      </w:pPr>
      <w:r w:rsidRPr="0081772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b/>
          <w:i/>
          <w:sz w:val="24"/>
          <w:szCs w:val="24"/>
          <w:lang w:val="es-ES_tradnl" w:eastAsia="es-ES"/>
        </w:rPr>
        <w:t>Quincuagésimo octavo.</w:t>
      </w:r>
      <w:r w:rsidRPr="0081772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B57039" w:rsidRPr="00817725" w:rsidRDefault="00B57039" w:rsidP="00817725">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817725">
        <w:rPr>
          <w:rFonts w:ascii="Palatino Linotype" w:eastAsia="MS Mincho" w:hAnsi="Palatino Linotype" w:cs="Times New Roman"/>
          <w:sz w:val="24"/>
          <w:szCs w:val="24"/>
          <w:lang w:val="es-ES_tradnl" w:eastAsia="es-ES"/>
        </w:rPr>
        <w:t>integrantes</w:t>
      </w:r>
      <w:r w:rsidRPr="0081772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B57039" w:rsidRPr="00817725" w:rsidRDefault="00B57039" w:rsidP="0081772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spacing w:line="360" w:lineRule="auto"/>
        <w:rPr>
          <w:rFonts w:ascii="Palatino Linotype" w:eastAsia="MS Gothic" w:hAnsi="Palatino Linotype" w:cs="Times New Roman"/>
          <w:b/>
          <w:sz w:val="24"/>
          <w:szCs w:val="24"/>
          <w:lang w:val="es-ES_tradnl" w:eastAsia="es-ES"/>
        </w:rPr>
      </w:pPr>
      <w:bookmarkStart w:id="112" w:name="_Toc486509925"/>
      <w:bookmarkStart w:id="113" w:name="_Toc487025375"/>
      <w:bookmarkStart w:id="114" w:name="_Toc493790443"/>
      <w:bookmarkStart w:id="115" w:name="_Toc495606563"/>
      <w:bookmarkStart w:id="116" w:name="_Toc517362235"/>
      <w:bookmarkStart w:id="117" w:name="_Toc523159047"/>
      <w:bookmarkStart w:id="118" w:name="_Toc536726470"/>
      <w:r w:rsidRPr="00817725">
        <w:rPr>
          <w:rFonts w:ascii="Palatino Linotype" w:eastAsia="MS Gothic" w:hAnsi="Palatino Linotype" w:cs="Times New Roman"/>
          <w:b/>
          <w:sz w:val="24"/>
          <w:szCs w:val="24"/>
          <w:lang w:val="es-ES_tradnl" w:eastAsia="es-ES"/>
        </w:rPr>
        <w:t>II. Requisitos de fondo del acuerdo de clasificación</w:t>
      </w:r>
      <w:bookmarkEnd w:id="112"/>
      <w:bookmarkEnd w:id="113"/>
      <w:bookmarkEnd w:id="114"/>
      <w:bookmarkEnd w:id="115"/>
      <w:bookmarkEnd w:id="116"/>
      <w:bookmarkEnd w:id="117"/>
      <w:bookmarkEnd w:id="118"/>
    </w:p>
    <w:p w:rsidR="00B57039" w:rsidRPr="00817725" w:rsidRDefault="00B57039" w:rsidP="00817725">
      <w:pPr>
        <w:spacing w:after="0" w:line="360" w:lineRule="auto"/>
        <w:contextualSpacing/>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Arial"/>
          <w:sz w:val="24"/>
          <w:szCs w:val="24"/>
          <w:lang w:val="es-ES_tradnl" w:eastAsia="es-ES"/>
        </w:rPr>
        <w:t xml:space="preserve">Como se ha señalado antes, al hacer el juicio de subsunción o encaje entre el </w:t>
      </w:r>
      <w:r w:rsidRPr="00817725">
        <w:rPr>
          <w:rFonts w:ascii="Palatino Linotype" w:eastAsia="Times New Roman" w:hAnsi="Palatino Linotype" w:cs="Arial"/>
          <w:sz w:val="24"/>
          <w:szCs w:val="24"/>
          <w:lang w:val="es-ES_tradnl" w:eastAsia="es-MX"/>
        </w:rPr>
        <w:t>supuesto</w:t>
      </w:r>
      <w:r w:rsidRPr="0081772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B57039" w:rsidRPr="00817725" w:rsidRDefault="00B57039" w:rsidP="00817725">
      <w:pPr>
        <w:spacing w:after="0" w:line="360" w:lineRule="auto"/>
        <w:contextualSpacing/>
        <w:jc w:val="both"/>
        <w:rPr>
          <w:rFonts w:ascii="Palatino Linotype" w:eastAsia="Calibri" w:hAnsi="Palatino Linotype" w:cs="Arial"/>
          <w:sz w:val="24"/>
          <w:szCs w:val="24"/>
          <w:lang w:val="es-ES_tradnl" w:eastAsia="es-MX"/>
        </w:rPr>
      </w:pPr>
    </w:p>
    <w:p w:rsidR="00B57039" w:rsidRPr="00817725" w:rsidRDefault="00B57039" w:rsidP="00817725">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817725">
        <w:rPr>
          <w:rFonts w:ascii="Palatino Linotype" w:eastAsia="MS Mincho" w:hAnsi="Palatino Linotype" w:cs="Bookman Old Style,Bold"/>
          <w:b/>
          <w:bCs/>
          <w:i/>
          <w:sz w:val="24"/>
          <w:szCs w:val="24"/>
          <w:lang w:val="es-ES_tradnl" w:eastAsia="es-ES"/>
        </w:rPr>
        <w:t xml:space="preserve">Artículo 131. </w:t>
      </w:r>
      <w:r w:rsidRPr="0081772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81772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817725">
        <w:rPr>
          <w:rFonts w:ascii="Palatino Linotype" w:eastAsia="MS Mincho" w:hAnsi="Palatino Linotype" w:cs="Bookman Old Style"/>
          <w:i/>
          <w:sz w:val="24"/>
          <w:szCs w:val="24"/>
          <w:lang w:val="es-ES_tradnl" w:eastAsia="es-ES"/>
        </w:rPr>
        <w:t xml:space="preserve"> de conformidad con lo previsto en la presente Ley.</w:t>
      </w:r>
    </w:p>
    <w:p w:rsidR="00B57039" w:rsidRPr="00817725" w:rsidRDefault="00B57039" w:rsidP="00817725">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817725">
        <w:rPr>
          <w:rFonts w:ascii="Palatino Linotype" w:eastAsia="Times New Roman" w:hAnsi="Palatino Linotype" w:cs="Arial"/>
          <w:sz w:val="24"/>
          <w:szCs w:val="24"/>
          <w:lang w:val="es-ES_tradnl" w:eastAsia="es-MX"/>
        </w:rPr>
        <w:t>la</w:t>
      </w:r>
      <w:r w:rsidRPr="0081772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B57039" w:rsidRPr="00817725" w:rsidRDefault="00B57039" w:rsidP="0081772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1772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B57039" w:rsidRPr="00817725" w:rsidRDefault="00B57039" w:rsidP="00817725">
      <w:pPr>
        <w:spacing w:after="0" w:line="360" w:lineRule="auto"/>
        <w:ind w:right="616"/>
        <w:contextualSpacing/>
        <w:jc w:val="both"/>
        <w:rPr>
          <w:rFonts w:ascii="Palatino Linotype" w:eastAsia="Calibri" w:hAnsi="Palatino Linotype" w:cs="Arial"/>
          <w:sz w:val="24"/>
          <w:szCs w:val="24"/>
          <w:lang w:val="es-ES_tradnl" w:eastAsia="es-MX"/>
        </w:rPr>
      </w:pP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b/>
          <w:i/>
          <w:sz w:val="24"/>
          <w:szCs w:val="24"/>
          <w:lang w:val="es-ES_tradnl" w:eastAsia="es-ES"/>
        </w:rPr>
        <w:t>FUNDAMENTACIÓN Y MOTIVACIÓN.</w:t>
      </w:r>
      <w:r w:rsidRPr="00817725">
        <w:rPr>
          <w:rFonts w:ascii="Palatino Linotype" w:eastAsia="MS Mincho" w:hAnsi="Palatino Linotype" w:cs="Arial"/>
          <w:i/>
          <w:sz w:val="24"/>
          <w:szCs w:val="24"/>
          <w:lang w:val="es-ES_tradnl" w:eastAsia="es-ES"/>
        </w:rPr>
        <w:t xml:space="preserve"> La </w:t>
      </w:r>
      <w:r w:rsidRPr="0081772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17725">
        <w:rPr>
          <w:rFonts w:ascii="Palatino Linotype" w:eastAsia="MS Mincho" w:hAnsi="Palatino Linotype" w:cs="Arial"/>
          <w:i/>
          <w:sz w:val="24"/>
          <w:szCs w:val="24"/>
          <w:lang w:val="es-ES_tradnl" w:eastAsia="es-ES"/>
        </w:rPr>
        <w:t>.</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SEGUNDO TRIBUNAL COLEGIADO DEL SEXTO CIRCUITO.</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17725">
        <w:rPr>
          <w:rFonts w:ascii="Palatino Linotype" w:eastAsia="MS Mincho" w:hAnsi="Palatino Linotype" w:cs="Arial"/>
          <w:i/>
          <w:sz w:val="24"/>
          <w:szCs w:val="24"/>
          <w:lang w:val="es-ES_tradnl" w:eastAsia="es-ES"/>
        </w:rPr>
        <w:t>Esponda</w:t>
      </w:r>
      <w:proofErr w:type="spellEnd"/>
      <w:r w:rsidRPr="00817725">
        <w:rPr>
          <w:rFonts w:ascii="Palatino Linotype" w:eastAsia="MS Mincho" w:hAnsi="Palatino Linotype" w:cs="Arial"/>
          <w:i/>
          <w:sz w:val="24"/>
          <w:szCs w:val="24"/>
          <w:lang w:val="es-ES_tradnl" w:eastAsia="es-ES"/>
        </w:rPr>
        <w:t xml:space="preserve"> Rincón.</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 xml:space="preserve">Amparo en revisión 333/88. </w:t>
      </w:r>
      <w:proofErr w:type="spellStart"/>
      <w:r w:rsidRPr="00817725">
        <w:rPr>
          <w:rFonts w:ascii="Palatino Linotype" w:eastAsia="MS Mincho" w:hAnsi="Palatino Linotype" w:cs="Arial"/>
          <w:i/>
          <w:sz w:val="24"/>
          <w:szCs w:val="24"/>
          <w:lang w:val="es-ES_tradnl" w:eastAsia="es-ES"/>
        </w:rPr>
        <w:t>Adilia</w:t>
      </w:r>
      <w:proofErr w:type="spellEnd"/>
      <w:r w:rsidRPr="0081772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817725">
        <w:rPr>
          <w:rFonts w:ascii="Palatino Linotype" w:eastAsia="MS Mincho" w:hAnsi="Palatino Linotype" w:cs="Arial"/>
          <w:i/>
          <w:sz w:val="24"/>
          <w:szCs w:val="24"/>
          <w:lang w:val="es-ES_tradnl" w:eastAsia="es-ES"/>
        </w:rPr>
        <w:t>Goyzueta</w:t>
      </w:r>
      <w:proofErr w:type="spellEnd"/>
      <w:r w:rsidRPr="00817725">
        <w:rPr>
          <w:rFonts w:ascii="Palatino Linotype" w:eastAsia="MS Mincho" w:hAnsi="Palatino Linotype" w:cs="Arial"/>
          <w:i/>
          <w:sz w:val="24"/>
          <w:szCs w:val="24"/>
          <w:lang w:val="es-ES_tradnl" w:eastAsia="es-ES"/>
        </w:rPr>
        <w:t>. Secretario: Gonzalo Carrera Molina.</w:t>
      </w:r>
    </w:p>
    <w:p w:rsidR="00B57039" w:rsidRPr="00817725" w:rsidRDefault="00B57039" w:rsidP="00817725">
      <w:pPr>
        <w:spacing w:after="0" w:line="360" w:lineRule="auto"/>
        <w:ind w:right="616"/>
        <w:contextualSpacing/>
        <w:jc w:val="both"/>
        <w:rPr>
          <w:rFonts w:ascii="Palatino Linotype" w:eastAsia="MS Mincho" w:hAnsi="Palatino Linotype" w:cs="Arial"/>
          <w:i/>
          <w:sz w:val="24"/>
          <w:szCs w:val="24"/>
          <w:lang w:val="es-ES_tradnl" w:eastAsia="es-ES"/>
        </w:rPr>
      </w:pPr>
      <w:r w:rsidRPr="00817725">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817725">
        <w:rPr>
          <w:rFonts w:ascii="Palatino Linotype" w:eastAsia="MS Mincho" w:hAnsi="Palatino Linotype" w:cs="Arial"/>
          <w:i/>
          <w:sz w:val="24"/>
          <w:szCs w:val="24"/>
          <w:lang w:val="es-ES_tradnl" w:eastAsia="es-ES"/>
        </w:rPr>
        <w:t>Baigts</w:t>
      </w:r>
      <w:proofErr w:type="spellEnd"/>
      <w:r w:rsidRPr="00817725">
        <w:rPr>
          <w:rFonts w:ascii="Palatino Linotype" w:eastAsia="MS Mincho" w:hAnsi="Palatino Linotype" w:cs="Arial"/>
          <w:i/>
          <w:sz w:val="24"/>
          <w:szCs w:val="24"/>
          <w:lang w:val="es-ES_tradnl" w:eastAsia="es-ES"/>
        </w:rPr>
        <w:t xml:space="preserve"> Muñoz.</w:t>
      </w:r>
    </w:p>
    <w:p w:rsidR="00B57039" w:rsidRPr="00817725" w:rsidRDefault="00B57039" w:rsidP="00817725">
      <w:pPr>
        <w:spacing w:after="0" w:line="360" w:lineRule="auto"/>
        <w:ind w:right="618"/>
        <w:contextualSpacing/>
        <w:jc w:val="both"/>
        <w:rPr>
          <w:rFonts w:ascii="Palatino Linotype" w:eastAsia="MS Mincho" w:hAnsi="Palatino Linotype" w:cs="Arial"/>
          <w:i/>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81772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57039" w:rsidRPr="00817725" w:rsidRDefault="00B57039" w:rsidP="0081772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72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817725">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817725">
        <w:rPr>
          <w:rFonts w:ascii="Palatino Linotype" w:eastAsia="MS Mincho" w:hAnsi="Palatino Linotype" w:cs="Times New Roman"/>
          <w:sz w:val="24"/>
          <w:szCs w:val="24"/>
          <w:lang w:val="es-ES_tradnl" w:eastAsia="es-ES"/>
        </w:rPr>
        <w:footnoteReference w:id="2"/>
      </w:r>
      <w:r w:rsidRPr="00817725">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817725">
        <w:rPr>
          <w:rFonts w:ascii="Palatino Linotype" w:eastAsia="Calibri" w:hAnsi="Palatino Linotype" w:cs="Arial"/>
          <w:bCs/>
          <w:sz w:val="24"/>
          <w:szCs w:val="24"/>
          <w:lang w:val="es-ES_tradnl" w:eastAsia="es-ES"/>
        </w:rPr>
        <w:t xml:space="preserve">ofrezcan la información requerida. </w:t>
      </w:r>
    </w:p>
    <w:p w:rsidR="00B57039" w:rsidRPr="00817725" w:rsidRDefault="00B57039" w:rsidP="00817725">
      <w:pPr>
        <w:spacing w:after="0" w:line="360" w:lineRule="auto"/>
        <w:contextualSpacing/>
        <w:rPr>
          <w:rFonts w:ascii="Palatino Linotype" w:eastAsia="Calibri" w:hAnsi="Palatino Linotype" w:cs="Arial"/>
          <w:bCs/>
          <w:sz w:val="24"/>
          <w:szCs w:val="24"/>
          <w:lang w:val="es-ES_tradnl" w:eastAsia="es-ES"/>
        </w:rPr>
      </w:pPr>
    </w:p>
    <w:p w:rsidR="00B57039" w:rsidRPr="00817725" w:rsidRDefault="00B57039" w:rsidP="0081772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B57039" w:rsidRPr="00817725" w:rsidRDefault="00B57039" w:rsidP="00817725">
      <w:pPr>
        <w:spacing w:after="0" w:line="360" w:lineRule="auto"/>
        <w:contextualSpacing/>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Arial"/>
          <w:sz w:val="24"/>
          <w:szCs w:val="24"/>
          <w:lang w:val="es-ES_tradnl" w:eastAsia="es-MX"/>
        </w:rPr>
        <w:t xml:space="preserve">Por cuanto hace al </w:t>
      </w:r>
      <w:r w:rsidRPr="00817725">
        <w:rPr>
          <w:rFonts w:ascii="Palatino Linotype" w:eastAsia="MS Mincho" w:hAnsi="Palatino Linotype" w:cs="Arial"/>
          <w:b/>
          <w:sz w:val="24"/>
          <w:szCs w:val="24"/>
          <w:lang w:val="es-ES_tradnl" w:eastAsia="es-MX"/>
        </w:rPr>
        <w:t>Registro Federal de Contribuyentes</w:t>
      </w:r>
      <w:r w:rsidRPr="00817725">
        <w:rPr>
          <w:rFonts w:ascii="Palatino Linotype" w:eastAsia="MS Mincho" w:hAnsi="Palatino Linotype" w:cs="Arial"/>
          <w:sz w:val="24"/>
          <w:szCs w:val="24"/>
          <w:lang w:val="es-ES_tradnl" w:eastAsia="es-MX"/>
        </w:rPr>
        <w:t xml:space="preserve"> </w:t>
      </w:r>
      <w:r w:rsidRPr="00817725">
        <w:rPr>
          <w:rFonts w:ascii="Palatino Linotype" w:eastAsia="MS Mincho" w:hAnsi="Palatino Linotype" w:cs="Arial"/>
          <w:b/>
          <w:sz w:val="24"/>
          <w:szCs w:val="24"/>
          <w:lang w:val="es-ES_tradnl" w:eastAsia="es-MX"/>
        </w:rPr>
        <w:t>de las personas físicas</w:t>
      </w:r>
      <w:r w:rsidRPr="0081772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725">
        <w:rPr>
          <w:rFonts w:ascii="Palatino Linotype" w:eastAsia="MS Mincho" w:hAnsi="Palatino Linotype" w:cs="Times New Roman"/>
          <w:sz w:val="24"/>
          <w:szCs w:val="24"/>
          <w:lang w:val="es-ES_tradnl" w:eastAsia="es-ES"/>
        </w:rPr>
        <w:t xml:space="preserve"> y finalmente la </w:t>
      </w:r>
      <w:proofErr w:type="spellStart"/>
      <w:r w:rsidRPr="00817725">
        <w:rPr>
          <w:rFonts w:ascii="Palatino Linotype" w:eastAsia="MS Mincho" w:hAnsi="Palatino Linotype" w:cs="Times New Roman"/>
          <w:sz w:val="24"/>
          <w:szCs w:val="24"/>
          <w:lang w:val="es-ES_tradnl" w:eastAsia="es-ES"/>
        </w:rPr>
        <w:t>homoclave</w:t>
      </w:r>
      <w:proofErr w:type="spellEnd"/>
      <w:r w:rsidRPr="0081772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B57039" w:rsidRPr="00817725" w:rsidRDefault="00B57039" w:rsidP="00817725">
      <w:pPr>
        <w:spacing w:after="0" w:line="360" w:lineRule="auto"/>
        <w:contextualSpacing/>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B57039" w:rsidRPr="00817725" w:rsidRDefault="00B57039" w:rsidP="00817725">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B57039" w:rsidRPr="00817725" w:rsidRDefault="00B57039" w:rsidP="00817725">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i/>
          <w:sz w:val="24"/>
          <w:szCs w:val="24"/>
          <w:lang w:val="es-ES_tradnl" w:eastAsia="es-ES"/>
        </w:rPr>
        <w:t>“</w:t>
      </w:r>
      <w:r w:rsidRPr="00817725">
        <w:rPr>
          <w:rFonts w:ascii="Palatino Linotype" w:eastAsia="MS Mincho" w:hAnsi="Palatino Linotype" w:cs="Arial"/>
          <w:b/>
          <w:bCs/>
          <w:i/>
          <w:sz w:val="24"/>
          <w:szCs w:val="24"/>
          <w:lang w:val="es-ES_tradnl" w:eastAsia="es-ES"/>
        </w:rPr>
        <w:t>Registro Federal de Contribuyentes (RFC) de personas físicas</w:t>
      </w:r>
      <w:r w:rsidRPr="00817725">
        <w:rPr>
          <w:rFonts w:ascii="Palatino Linotype" w:eastAsia="MS Mincho" w:hAnsi="Palatino Linotype" w:cs="Arial"/>
          <w:bCs/>
          <w:i/>
          <w:sz w:val="24"/>
          <w:szCs w:val="24"/>
          <w:lang w:val="es-ES_tradnl" w:eastAsia="es-ES"/>
        </w:rPr>
        <w:t xml:space="preserve">. El RFC es una clave de carácter fiscal, </w:t>
      </w:r>
      <w:proofErr w:type="gramStart"/>
      <w:r w:rsidRPr="00817725">
        <w:rPr>
          <w:rFonts w:ascii="Palatino Linotype" w:eastAsia="MS Mincho" w:hAnsi="Palatino Linotype" w:cs="Arial"/>
          <w:bCs/>
          <w:i/>
          <w:sz w:val="24"/>
          <w:szCs w:val="24"/>
          <w:lang w:val="es-ES_tradnl" w:eastAsia="es-ES"/>
        </w:rPr>
        <w:t>única</w:t>
      </w:r>
      <w:proofErr w:type="gramEnd"/>
      <w:r w:rsidRPr="0081772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i/>
          <w:sz w:val="24"/>
          <w:szCs w:val="24"/>
          <w:lang w:val="es-ES_tradnl" w:eastAsia="es-ES"/>
        </w:rPr>
        <w:t>Resoluciones:</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i/>
          <w:sz w:val="24"/>
          <w:szCs w:val="24"/>
          <w:lang w:val="es-ES_tradnl" w:eastAsia="es-ES"/>
        </w:rPr>
        <w:t>•</w:t>
      </w:r>
      <w:r w:rsidRPr="00817725">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i/>
          <w:sz w:val="24"/>
          <w:szCs w:val="24"/>
          <w:lang w:val="es-ES_tradnl" w:eastAsia="es-ES"/>
        </w:rPr>
        <w:t>•</w:t>
      </w:r>
      <w:r w:rsidRPr="0081772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817725">
        <w:rPr>
          <w:rFonts w:ascii="Palatino Linotype" w:eastAsia="MS Mincho" w:hAnsi="Palatino Linotype" w:cs="Arial"/>
          <w:bCs/>
          <w:i/>
          <w:sz w:val="24"/>
          <w:szCs w:val="24"/>
          <w:lang w:val="es-ES_tradnl" w:eastAsia="es-ES"/>
        </w:rPr>
        <w:t>Rosendoevgueni</w:t>
      </w:r>
      <w:proofErr w:type="spellEnd"/>
      <w:r w:rsidRPr="00817725">
        <w:rPr>
          <w:rFonts w:ascii="Palatino Linotype" w:eastAsia="MS Mincho" w:hAnsi="Palatino Linotype" w:cs="Arial"/>
          <w:bCs/>
          <w:i/>
          <w:sz w:val="24"/>
          <w:szCs w:val="24"/>
          <w:lang w:val="es-ES_tradnl" w:eastAsia="es-ES"/>
        </w:rPr>
        <w:t xml:space="preserve"> Monterrey </w:t>
      </w:r>
      <w:proofErr w:type="spellStart"/>
      <w:r w:rsidRPr="00817725">
        <w:rPr>
          <w:rFonts w:ascii="Palatino Linotype" w:eastAsia="MS Mincho" w:hAnsi="Palatino Linotype" w:cs="Arial"/>
          <w:bCs/>
          <w:i/>
          <w:sz w:val="24"/>
          <w:szCs w:val="24"/>
          <w:lang w:val="es-ES_tradnl" w:eastAsia="es-ES"/>
        </w:rPr>
        <w:t>Chepov</w:t>
      </w:r>
      <w:proofErr w:type="spellEnd"/>
      <w:r w:rsidRPr="00817725">
        <w:rPr>
          <w:rFonts w:ascii="Palatino Linotype" w:eastAsia="MS Mincho" w:hAnsi="Palatino Linotype" w:cs="Arial"/>
          <w:bCs/>
          <w:i/>
          <w:sz w:val="24"/>
          <w:szCs w:val="24"/>
          <w:lang w:val="es-ES_tradnl" w:eastAsia="es-ES"/>
        </w:rPr>
        <w:t xml:space="preserve">. </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i/>
          <w:sz w:val="24"/>
          <w:szCs w:val="24"/>
          <w:lang w:val="es-ES_tradnl" w:eastAsia="es-ES"/>
        </w:rPr>
        <w:t>•</w:t>
      </w:r>
      <w:r w:rsidRPr="0081772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ES"/>
        </w:rPr>
      </w:pPr>
      <w:r w:rsidRPr="00817725">
        <w:rPr>
          <w:rFonts w:ascii="Palatino Linotype" w:eastAsia="MS Mincho" w:hAnsi="Palatino Linotype" w:cs="Arial"/>
          <w:bCs/>
          <w:sz w:val="24"/>
          <w:szCs w:val="24"/>
          <w:lang w:val="es-ES_tradnl" w:eastAsia="es-ES"/>
        </w:rPr>
        <w:t>(Énfasis añadido)</w:t>
      </w:r>
    </w:p>
    <w:p w:rsidR="00B57039" w:rsidRPr="00817725" w:rsidRDefault="00B57039" w:rsidP="00817725">
      <w:pPr>
        <w:spacing w:after="0" w:line="360" w:lineRule="auto"/>
        <w:jc w:val="both"/>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17725">
        <w:rPr>
          <w:rFonts w:ascii="Palatino Linotype" w:eastAsia="MS Mincho" w:hAnsi="Palatino Linotype" w:cs="Arial"/>
          <w:sz w:val="24"/>
          <w:szCs w:val="24"/>
          <w:lang w:val="es-ES_tradnl" w:eastAsia="es-MX"/>
        </w:rPr>
        <w:t>homoclave</w:t>
      </w:r>
      <w:proofErr w:type="spellEnd"/>
      <w:r w:rsidRPr="0081772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1772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17725">
        <w:rPr>
          <w:rFonts w:ascii="Palatino Linotype" w:eastAsia="MS Mincho" w:hAnsi="Palatino Linotype" w:cs="Arial"/>
          <w:sz w:val="24"/>
          <w:szCs w:val="24"/>
          <w:lang w:val="es-ES_tradnl" w:eastAsia="es-MX"/>
        </w:rPr>
        <w:t>.</w:t>
      </w:r>
    </w:p>
    <w:p w:rsidR="00B57039" w:rsidRPr="00817725" w:rsidRDefault="00B57039" w:rsidP="00817725">
      <w:pPr>
        <w:spacing w:after="0" w:line="360" w:lineRule="auto"/>
        <w:contextualSpacing/>
        <w:jc w:val="both"/>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MS Mincho" w:hAnsi="Palatino Linotype" w:cs="Arial"/>
          <w:sz w:val="24"/>
          <w:szCs w:val="24"/>
          <w:lang w:val="es-ES_tradnl" w:eastAsia="es-MX"/>
        </w:rPr>
        <w:t xml:space="preserve">Por cuanto hace a la </w:t>
      </w:r>
      <w:r w:rsidRPr="00817725">
        <w:rPr>
          <w:rFonts w:ascii="Palatino Linotype" w:eastAsia="MS Mincho" w:hAnsi="Palatino Linotype" w:cs="Arial"/>
          <w:b/>
          <w:sz w:val="24"/>
          <w:szCs w:val="24"/>
          <w:lang w:val="es-ES_tradnl" w:eastAsia="es-ES"/>
        </w:rPr>
        <w:t xml:space="preserve">Clave Única de Registro de Población, </w:t>
      </w:r>
      <w:r w:rsidRPr="0081772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57039" w:rsidRPr="00817725" w:rsidRDefault="00B57039" w:rsidP="00817725">
      <w:pPr>
        <w:spacing w:after="0" w:line="360" w:lineRule="auto"/>
        <w:jc w:val="both"/>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B57039" w:rsidRPr="00817725" w:rsidRDefault="00B57039" w:rsidP="00817725">
      <w:pPr>
        <w:spacing w:after="0" w:line="360" w:lineRule="auto"/>
        <w:ind w:right="616"/>
        <w:rPr>
          <w:rFonts w:ascii="Palatino Linotype" w:eastAsia="MS Mincho" w:hAnsi="Palatino Linotype" w:cs="Arial"/>
          <w:sz w:val="24"/>
          <w:szCs w:val="24"/>
          <w:lang w:val="es-ES_tradnl" w:eastAsia="es-MX"/>
        </w:rPr>
      </w:pPr>
    </w:p>
    <w:p w:rsidR="00B57039" w:rsidRPr="00817725" w:rsidRDefault="00B57039" w:rsidP="00817725">
      <w:pPr>
        <w:spacing w:after="0" w:line="360" w:lineRule="auto"/>
        <w:ind w:right="616"/>
        <w:jc w:val="both"/>
        <w:rPr>
          <w:rFonts w:ascii="Palatino Linotype" w:eastAsia="MS Mincho" w:hAnsi="Palatino Linotype" w:cs="Arial"/>
          <w:i/>
          <w:sz w:val="24"/>
          <w:szCs w:val="24"/>
          <w:lang w:val="es-ES_tradnl" w:eastAsia="es-MX"/>
        </w:rPr>
      </w:pPr>
      <w:r w:rsidRPr="00817725">
        <w:rPr>
          <w:rFonts w:ascii="Palatino Linotype" w:eastAsia="MS Mincho" w:hAnsi="Palatino Linotype" w:cs="Arial,Bold"/>
          <w:b/>
          <w:bCs/>
          <w:i/>
          <w:sz w:val="24"/>
          <w:szCs w:val="24"/>
          <w:lang w:val="es-ES_tradnl" w:eastAsia="es-MX"/>
        </w:rPr>
        <w:t xml:space="preserve">“Artículo 86. </w:t>
      </w:r>
      <w:r w:rsidRPr="0081772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B57039" w:rsidRPr="00817725" w:rsidRDefault="00B57039" w:rsidP="00817725">
      <w:pPr>
        <w:spacing w:after="0" w:line="360" w:lineRule="auto"/>
        <w:ind w:right="616"/>
        <w:jc w:val="both"/>
        <w:rPr>
          <w:rFonts w:ascii="Palatino Linotype" w:eastAsia="MS Mincho" w:hAnsi="Palatino Linotype" w:cs="Arial"/>
          <w:i/>
          <w:sz w:val="24"/>
          <w:szCs w:val="24"/>
          <w:lang w:val="es-ES_tradnl" w:eastAsia="es-MX"/>
        </w:rPr>
      </w:pPr>
    </w:p>
    <w:p w:rsidR="00B57039" w:rsidRPr="00817725" w:rsidRDefault="00B57039" w:rsidP="00817725">
      <w:pPr>
        <w:spacing w:after="0" w:line="360" w:lineRule="auto"/>
        <w:ind w:right="616"/>
        <w:jc w:val="both"/>
        <w:rPr>
          <w:rFonts w:ascii="Palatino Linotype" w:eastAsia="MS Mincho" w:hAnsi="Palatino Linotype" w:cs="Arial"/>
          <w:i/>
          <w:sz w:val="24"/>
          <w:szCs w:val="24"/>
          <w:lang w:val="es-ES_tradnl" w:eastAsia="es-MX"/>
        </w:rPr>
      </w:pPr>
      <w:r w:rsidRPr="00817725">
        <w:rPr>
          <w:rFonts w:ascii="Palatino Linotype" w:eastAsia="MS Mincho" w:hAnsi="Palatino Linotype" w:cs="Arial,Bold"/>
          <w:b/>
          <w:bCs/>
          <w:i/>
          <w:sz w:val="24"/>
          <w:szCs w:val="24"/>
          <w:lang w:val="es-ES_tradnl" w:eastAsia="es-MX"/>
        </w:rPr>
        <w:t xml:space="preserve">Artículo 91. </w:t>
      </w:r>
      <w:r w:rsidRPr="0081772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B57039" w:rsidRPr="00817725" w:rsidRDefault="00B57039" w:rsidP="00817725">
      <w:pPr>
        <w:spacing w:after="0" w:line="360" w:lineRule="auto"/>
        <w:ind w:right="616"/>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1772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1772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81772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57039" w:rsidRPr="00817725" w:rsidRDefault="00B57039" w:rsidP="00817725">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B57039" w:rsidRPr="00817725" w:rsidRDefault="00B57039" w:rsidP="00817725">
      <w:pPr>
        <w:spacing w:after="0" w:line="360" w:lineRule="auto"/>
        <w:ind w:right="616"/>
        <w:jc w:val="both"/>
        <w:rPr>
          <w:rFonts w:ascii="Palatino Linotype" w:eastAsia="MS Mincho" w:hAnsi="Palatino Linotype" w:cs="Arial"/>
          <w:sz w:val="24"/>
          <w:szCs w:val="24"/>
          <w:lang w:val="es-ES_tradnl" w:eastAsia="es-MX"/>
        </w:rPr>
      </w:pP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MX"/>
        </w:rPr>
      </w:pPr>
      <w:r w:rsidRPr="00817725">
        <w:rPr>
          <w:rFonts w:ascii="Palatino Linotype" w:eastAsia="MS Mincho" w:hAnsi="Palatino Linotype" w:cs="Arial"/>
          <w:b/>
          <w:bCs/>
          <w:i/>
          <w:sz w:val="24"/>
          <w:szCs w:val="24"/>
          <w:lang w:val="es-ES_tradnl" w:eastAsia="es-MX"/>
        </w:rPr>
        <w:t xml:space="preserve"> </w:t>
      </w:r>
      <w:r w:rsidRPr="00817725">
        <w:rPr>
          <w:rFonts w:ascii="Palatino Linotype" w:eastAsia="MS Mincho" w:hAnsi="Palatino Linotype" w:cs="Arial"/>
          <w:bCs/>
          <w:i/>
          <w:sz w:val="24"/>
          <w:szCs w:val="24"/>
          <w:lang w:val="es-ES_tradnl" w:eastAsia="es-MX"/>
        </w:rPr>
        <w:t>“</w:t>
      </w:r>
      <w:r w:rsidRPr="00817725">
        <w:rPr>
          <w:rFonts w:ascii="Palatino Linotype" w:eastAsia="MS Mincho" w:hAnsi="Palatino Linotype" w:cs="Arial"/>
          <w:b/>
          <w:bCs/>
          <w:i/>
          <w:sz w:val="24"/>
          <w:szCs w:val="24"/>
          <w:lang w:val="es-ES_tradnl" w:eastAsia="es-MX"/>
        </w:rPr>
        <w:t>Clave Única de Registro de Población (CURP)</w:t>
      </w:r>
      <w:r w:rsidRPr="00817725">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MX"/>
        </w:rPr>
      </w:pP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MX"/>
        </w:rPr>
      </w:pPr>
      <w:r w:rsidRPr="00817725">
        <w:rPr>
          <w:rFonts w:ascii="Palatino Linotype" w:eastAsia="MS Mincho" w:hAnsi="Palatino Linotype" w:cs="Arial"/>
          <w:bCs/>
          <w:i/>
          <w:sz w:val="24"/>
          <w:szCs w:val="24"/>
          <w:lang w:val="es-ES_tradnl" w:eastAsia="es-MX"/>
        </w:rPr>
        <w:t>Resoluciones:</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MX"/>
        </w:rPr>
      </w:pPr>
      <w:r w:rsidRPr="00817725">
        <w:rPr>
          <w:rFonts w:ascii="Palatino Linotype" w:eastAsia="MS Mincho" w:hAnsi="Palatino Linotype" w:cs="Arial"/>
          <w:bCs/>
          <w:i/>
          <w:sz w:val="24"/>
          <w:szCs w:val="24"/>
          <w:lang w:val="es-ES_tradnl" w:eastAsia="es-MX"/>
        </w:rPr>
        <w:t>•</w:t>
      </w:r>
      <w:r w:rsidRPr="0081772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817725">
        <w:rPr>
          <w:rFonts w:ascii="Palatino Linotype" w:eastAsia="MS Mincho" w:hAnsi="Palatino Linotype" w:cs="Arial"/>
          <w:bCs/>
          <w:i/>
          <w:sz w:val="24"/>
          <w:szCs w:val="24"/>
          <w:lang w:val="es-ES_tradnl" w:eastAsia="es-MX"/>
        </w:rPr>
        <w:t>Rosendoevgueni</w:t>
      </w:r>
      <w:proofErr w:type="spellEnd"/>
      <w:r w:rsidRPr="00817725">
        <w:rPr>
          <w:rFonts w:ascii="Palatino Linotype" w:eastAsia="MS Mincho" w:hAnsi="Palatino Linotype" w:cs="Arial"/>
          <w:bCs/>
          <w:i/>
          <w:sz w:val="24"/>
          <w:szCs w:val="24"/>
          <w:lang w:val="es-ES_tradnl" w:eastAsia="es-MX"/>
        </w:rPr>
        <w:t xml:space="preserve"> Monterrey </w:t>
      </w:r>
      <w:proofErr w:type="spellStart"/>
      <w:r w:rsidRPr="00817725">
        <w:rPr>
          <w:rFonts w:ascii="Palatino Linotype" w:eastAsia="MS Mincho" w:hAnsi="Palatino Linotype" w:cs="Arial"/>
          <w:bCs/>
          <w:i/>
          <w:sz w:val="24"/>
          <w:szCs w:val="24"/>
          <w:lang w:val="es-ES_tradnl" w:eastAsia="es-MX"/>
        </w:rPr>
        <w:t>Chepov</w:t>
      </w:r>
      <w:proofErr w:type="spellEnd"/>
      <w:r w:rsidRPr="00817725">
        <w:rPr>
          <w:rFonts w:ascii="Palatino Linotype" w:eastAsia="MS Mincho" w:hAnsi="Palatino Linotype" w:cs="Arial"/>
          <w:bCs/>
          <w:i/>
          <w:sz w:val="24"/>
          <w:szCs w:val="24"/>
          <w:lang w:val="es-ES_tradnl" w:eastAsia="es-MX"/>
        </w:rPr>
        <w:t>.</w:t>
      </w:r>
    </w:p>
    <w:p w:rsidR="00B57039" w:rsidRPr="00817725" w:rsidRDefault="00B57039" w:rsidP="00817725">
      <w:pPr>
        <w:spacing w:after="0" w:line="360" w:lineRule="auto"/>
        <w:ind w:right="616"/>
        <w:jc w:val="both"/>
        <w:rPr>
          <w:rFonts w:ascii="Palatino Linotype" w:eastAsia="MS Mincho" w:hAnsi="Palatino Linotype" w:cs="Arial"/>
          <w:bCs/>
          <w:i/>
          <w:sz w:val="24"/>
          <w:szCs w:val="24"/>
          <w:lang w:val="es-ES_tradnl" w:eastAsia="es-MX"/>
        </w:rPr>
      </w:pPr>
      <w:r w:rsidRPr="00817725">
        <w:rPr>
          <w:rFonts w:ascii="Palatino Linotype" w:eastAsia="MS Mincho" w:hAnsi="Palatino Linotype" w:cs="Arial"/>
          <w:bCs/>
          <w:i/>
          <w:sz w:val="24"/>
          <w:szCs w:val="24"/>
          <w:lang w:val="es-ES_tradnl" w:eastAsia="es-MX"/>
        </w:rPr>
        <w:t>•</w:t>
      </w:r>
      <w:r w:rsidRPr="0081772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B57039" w:rsidRPr="00817725" w:rsidRDefault="00B57039" w:rsidP="00817725">
      <w:pPr>
        <w:spacing w:after="0" w:line="360" w:lineRule="auto"/>
        <w:ind w:right="616"/>
        <w:jc w:val="both"/>
        <w:rPr>
          <w:rFonts w:ascii="Palatino Linotype" w:eastAsia="MS Mincho" w:hAnsi="Palatino Linotype" w:cs="Arial"/>
          <w:i/>
          <w:sz w:val="24"/>
          <w:szCs w:val="24"/>
          <w:lang w:val="es-ES_tradnl" w:eastAsia="es-MX"/>
        </w:rPr>
      </w:pPr>
      <w:r w:rsidRPr="00817725">
        <w:rPr>
          <w:rFonts w:ascii="Palatino Linotype" w:eastAsia="MS Mincho" w:hAnsi="Palatino Linotype" w:cs="Arial"/>
          <w:bCs/>
          <w:i/>
          <w:sz w:val="24"/>
          <w:szCs w:val="24"/>
          <w:lang w:val="es-ES_tradnl" w:eastAsia="es-MX"/>
        </w:rPr>
        <w:t>•</w:t>
      </w:r>
      <w:r w:rsidRPr="0081772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817725">
        <w:rPr>
          <w:rFonts w:ascii="Palatino Linotype" w:eastAsia="MS Mincho" w:hAnsi="Palatino Linotype" w:cs="Arial"/>
          <w:i/>
          <w:sz w:val="24"/>
          <w:szCs w:val="24"/>
          <w:lang w:val="es-ES_tradnl" w:eastAsia="es-MX"/>
        </w:rPr>
        <w:t>” (SIC)</w:t>
      </w:r>
    </w:p>
    <w:p w:rsidR="00B57039" w:rsidRPr="00817725" w:rsidRDefault="00B57039" w:rsidP="00817725">
      <w:pPr>
        <w:spacing w:after="0" w:line="360" w:lineRule="auto"/>
        <w:ind w:right="757"/>
        <w:jc w:val="both"/>
        <w:rPr>
          <w:rFonts w:ascii="Palatino Linotype" w:eastAsia="MS Mincho" w:hAnsi="Palatino Linotype" w:cs="Arial"/>
          <w:i/>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MS Mincho" w:hAnsi="Palatino Linotype" w:cs="Arial"/>
          <w:sz w:val="24"/>
          <w:szCs w:val="24"/>
          <w:lang w:val="es-ES_tradnl" w:eastAsia="es-MX"/>
        </w:rPr>
        <w:t xml:space="preserve">De lo anterior, se desprende que la </w:t>
      </w:r>
      <w:r w:rsidRPr="00817725">
        <w:rPr>
          <w:rFonts w:ascii="Palatino Linotype" w:eastAsia="MS Mincho" w:hAnsi="Palatino Linotype" w:cs="Times New Roman"/>
          <w:sz w:val="24"/>
          <w:szCs w:val="24"/>
          <w:lang w:val="es-ES_tradnl" w:eastAsia="es-MX"/>
        </w:rPr>
        <w:t xml:space="preserve">Clave Única de Registro de Población, </w:t>
      </w:r>
      <w:r w:rsidRPr="0081772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57039" w:rsidRPr="00817725" w:rsidRDefault="00B57039" w:rsidP="00817725">
      <w:pPr>
        <w:spacing w:after="0" w:line="360" w:lineRule="auto"/>
        <w:contextualSpacing/>
        <w:jc w:val="both"/>
        <w:rPr>
          <w:rFonts w:ascii="Palatino Linotype" w:eastAsia="MS Mincho" w:hAnsi="Palatino Linotype" w:cs="Arial"/>
          <w:sz w:val="24"/>
          <w:szCs w:val="24"/>
          <w:lang w:val="es-ES_tradnl" w:eastAsia="es-MX"/>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817725">
        <w:rPr>
          <w:rFonts w:ascii="Palatino Linotype" w:eastAsia="MS Mincho" w:hAnsi="Palatino Linotype" w:cs="Arial"/>
          <w:sz w:val="24"/>
          <w:szCs w:val="24"/>
          <w:lang w:val="es-ES_tradnl" w:eastAsia="es-ES"/>
        </w:rPr>
        <w:t xml:space="preserve">Por ende, en el presente caso, </w:t>
      </w:r>
      <w:r w:rsidRPr="00817725">
        <w:rPr>
          <w:rFonts w:ascii="Palatino Linotype" w:eastAsia="MS Mincho" w:hAnsi="Palatino Linotype" w:cs="Arial"/>
          <w:b/>
          <w:sz w:val="24"/>
          <w:szCs w:val="24"/>
          <w:lang w:val="es-ES_tradnl" w:eastAsia="es-ES"/>
        </w:rPr>
        <w:t>EL SUJETO OBLIGADO</w:t>
      </w:r>
      <w:r w:rsidRPr="00817725">
        <w:rPr>
          <w:rFonts w:ascii="Palatino Linotype" w:eastAsia="MS Mincho" w:hAnsi="Palatino Linotype" w:cs="Arial"/>
          <w:sz w:val="24"/>
          <w:szCs w:val="24"/>
          <w:lang w:val="es-ES_tradnl" w:eastAsia="es-ES"/>
        </w:rPr>
        <w:t xml:space="preserve"> debe </w:t>
      </w:r>
      <w:r w:rsidRPr="0081772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17725">
        <w:rPr>
          <w:rFonts w:ascii="Palatino Linotype" w:eastAsia="MS Mincho" w:hAnsi="Palatino Linotype" w:cs="Arial"/>
          <w:b/>
          <w:sz w:val="24"/>
          <w:szCs w:val="24"/>
          <w:lang w:val="es-ES_tradnl" w:eastAsia="es-MX"/>
        </w:rPr>
        <w:t>EL SUJETO OBLIGADO</w:t>
      </w:r>
      <w:r w:rsidRPr="0081772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17725">
        <w:rPr>
          <w:rFonts w:ascii="Palatino Linotype" w:eastAsia="MS Mincho" w:hAnsi="Palatino Linotype" w:cs="Arial"/>
          <w:b/>
          <w:sz w:val="24"/>
          <w:szCs w:val="24"/>
          <w:lang w:val="es-ES_tradnl" w:eastAsia="es-MX"/>
        </w:rPr>
        <w:t>SUJETO OBLIGADO</w:t>
      </w:r>
      <w:r w:rsidRPr="0081772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57039" w:rsidRPr="00817725" w:rsidRDefault="00B57039" w:rsidP="00817725">
      <w:pPr>
        <w:spacing w:after="0" w:line="360" w:lineRule="auto"/>
        <w:jc w:val="both"/>
        <w:rPr>
          <w:rFonts w:ascii="Palatino Linotype" w:eastAsia="Calibri" w:hAnsi="Palatino Linotype" w:cs="Arial"/>
          <w:bCs/>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72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57039" w:rsidRPr="00817725" w:rsidRDefault="00B57039" w:rsidP="00817725">
      <w:pPr>
        <w:spacing w:after="0" w:line="360" w:lineRule="auto"/>
        <w:contextualSpacing/>
        <w:jc w:val="both"/>
        <w:rPr>
          <w:rFonts w:ascii="Palatino Linotype" w:eastAsia="Calibri" w:hAnsi="Palatino Linotype" w:cs="Arial"/>
          <w:bCs/>
          <w:sz w:val="24"/>
          <w:szCs w:val="24"/>
          <w:lang w:val="es-ES_tradnl" w:eastAsia="es-ES"/>
        </w:rPr>
      </w:pPr>
    </w:p>
    <w:p w:rsidR="00B57039" w:rsidRDefault="00B57039" w:rsidP="0081772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72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17725" w:rsidRPr="00817725" w:rsidRDefault="00817725" w:rsidP="00817725">
      <w:pPr>
        <w:spacing w:after="0" w:line="360" w:lineRule="auto"/>
        <w:contextualSpacing/>
        <w:jc w:val="both"/>
        <w:rPr>
          <w:rFonts w:ascii="Palatino Linotype" w:eastAsia="Calibri" w:hAnsi="Palatino Linotype" w:cs="Arial"/>
          <w:bCs/>
          <w:sz w:val="24"/>
          <w:szCs w:val="24"/>
          <w:lang w:val="es-ES_tradnl" w:eastAsia="es-ES"/>
        </w:rPr>
      </w:pPr>
    </w:p>
    <w:p w:rsidR="00B57039" w:rsidRPr="00817725" w:rsidRDefault="00B57039" w:rsidP="0081772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1772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57039" w:rsidRPr="00817725" w:rsidRDefault="00B57039" w:rsidP="00817725">
      <w:pPr>
        <w:spacing w:line="360" w:lineRule="auto"/>
        <w:contextualSpacing/>
        <w:rPr>
          <w:rFonts w:ascii="Palatino Linotype" w:eastAsia="MS Mincho" w:hAnsi="Palatino Linotype" w:cs="Arial"/>
          <w:sz w:val="24"/>
          <w:szCs w:val="24"/>
          <w:lang w:val="es-ES_tradnl" w:eastAsia="es-MX"/>
        </w:rPr>
      </w:pPr>
    </w:p>
    <w:p w:rsidR="001C5306" w:rsidRPr="00817725" w:rsidRDefault="001C5306" w:rsidP="00817725">
      <w:pPr>
        <w:numPr>
          <w:ilvl w:val="0"/>
          <w:numId w:val="2"/>
        </w:numPr>
        <w:spacing w:before="240" w:after="360" w:line="360" w:lineRule="auto"/>
        <w:ind w:left="0" w:firstLine="0"/>
        <w:contextualSpacing/>
        <w:jc w:val="both"/>
        <w:rPr>
          <w:rFonts w:ascii="Palatino Linotype" w:eastAsia="Times New Roman" w:hAnsi="Palatino Linotype" w:cs="Arial"/>
          <w:color w:val="000000"/>
          <w:sz w:val="24"/>
          <w:szCs w:val="24"/>
          <w:lang w:val="es-ES"/>
        </w:rPr>
      </w:pPr>
      <w:r w:rsidRPr="00817725">
        <w:rPr>
          <w:rFonts w:ascii="Palatino Linotype" w:eastAsia="Times New Roman" w:hAnsi="Palatino Linotype" w:cs="Arial"/>
          <w:sz w:val="24"/>
          <w:szCs w:val="24"/>
          <w:lang w:val="es-ES"/>
        </w:rPr>
        <w:t xml:space="preserve">De lo anterior, resultan fundadas las razones o motivos de </w:t>
      </w:r>
      <w:r w:rsidRPr="00817725">
        <w:rPr>
          <w:rFonts w:ascii="Palatino Linotype" w:hAnsi="Palatino Linotype" w:cs="Arial"/>
          <w:sz w:val="24"/>
          <w:szCs w:val="24"/>
        </w:rPr>
        <w:t>inconformidad hechos valer por el</w:t>
      </w:r>
      <w:r w:rsidRPr="00817725">
        <w:rPr>
          <w:rFonts w:ascii="Palatino Linotype" w:hAnsi="Palatino Linotype"/>
          <w:sz w:val="24"/>
          <w:szCs w:val="24"/>
        </w:rPr>
        <w:t xml:space="preserve"> </w:t>
      </w:r>
      <w:r w:rsidRPr="00817725">
        <w:rPr>
          <w:rFonts w:ascii="Palatino Linotype" w:hAnsi="Palatino Linotype"/>
          <w:b/>
          <w:sz w:val="24"/>
          <w:szCs w:val="24"/>
        </w:rPr>
        <w:t>RECURRENTE</w:t>
      </w:r>
      <w:r w:rsidRPr="00817725">
        <w:rPr>
          <w:rFonts w:ascii="Palatino Linotype" w:hAnsi="Palatino Linotype" w:cs="Arial"/>
          <w:sz w:val="24"/>
          <w:szCs w:val="24"/>
        </w:rPr>
        <w:t>, toda vez que</w:t>
      </w:r>
      <w:r w:rsidRPr="00817725">
        <w:rPr>
          <w:rFonts w:ascii="Palatino Linotype" w:eastAsia="Times New Roman" w:hAnsi="Palatino Linotype" w:cs="Times New Roman"/>
          <w:sz w:val="24"/>
          <w:szCs w:val="24"/>
        </w:rPr>
        <w:t xml:space="preserve"> si se actualiza la hipótesis de procedencia</w:t>
      </w:r>
      <w:r w:rsidRPr="00817725">
        <w:rPr>
          <w:rFonts w:ascii="Palatino Linotype" w:eastAsia="Times New Roman" w:hAnsi="Palatino Linotype" w:cs="Times New Roman"/>
          <w:b/>
          <w:sz w:val="24"/>
          <w:szCs w:val="24"/>
        </w:rPr>
        <w:t xml:space="preserve"> </w:t>
      </w:r>
      <w:r w:rsidRPr="00817725">
        <w:rPr>
          <w:rFonts w:ascii="Palatino Linotype" w:eastAsia="Times New Roman" w:hAnsi="Palatino Linotype" w:cs="Arial"/>
          <w:color w:val="222222"/>
          <w:sz w:val="24"/>
          <w:szCs w:val="24"/>
          <w:lang w:eastAsia="es-MX"/>
        </w:rPr>
        <w:t xml:space="preserve">contenida en </w:t>
      </w:r>
      <w:r w:rsidRPr="00817725">
        <w:rPr>
          <w:rFonts w:ascii="Palatino Linotype" w:eastAsia="Times New Roman" w:hAnsi="Palatino Linotype" w:cs="Arial"/>
          <w:color w:val="222222"/>
          <w:sz w:val="24"/>
          <w:szCs w:val="24"/>
          <w:lang w:val="es-ES" w:eastAsia="es-MX"/>
        </w:rPr>
        <w:t xml:space="preserve">el artículo 179 fracción II y V de la </w:t>
      </w:r>
      <w:r w:rsidRPr="00817725">
        <w:rPr>
          <w:rFonts w:ascii="Palatino Linotype" w:eastAsia="Calibri" w:hAnsi="Palatino Linotype" w:cs="Arial"/>
          <w:b/>
          <w:sz w:val="24"/>
          <w:szCs w:val="24"/>
          <w:lang w:val="es-ES"/>
        </w:rPr>
        <w:t>Ley de Transparencia y Acceso a la Información Pública del Estado de México y Municipios</w:t>
      </w:r>
      <w:r w:rsidRPr="00817725">
        <w:rPr>
          <w:rFonts w:ascii="Palatino Linotype" w:eastAsia="Times New Roman" w:hAnsi="Palatino Linotype" w:cs="Arial"/>
          <w:color w:val="222222"/>
          <w:sz w:val="24"/>
          <w:szCs w:val="24"/>
          <w:lang w:val="es-ES" w:eastAsia="es-MX"/>
        </w:rPr>
        <w:t>, por lo que este Órgano Garante emite los siguientes:</w:t>
      </w:r>
    </w:p>
    <w:p w:rsidR="001C5306" w:rsidRPr="00817725" w:rsidRDefault="001C5306" w:rsidP="00817725">
      <w:pPr>
        <w:spacing w:after="0" w:line="360" w:lineRule="auto"/>
        <w:contextualSpacing/>
        <w:jc w:val="both"/>
        <w:rPr>
          <w:rFonts w:ascii="Palatino Linotype" w:eastAsia="MS Mincho" w:hAnsi="Palatino Linotype" w:cs="Times New Roman"/>
          <w:sz w:val="24"/>
          <w:szCs w:val="24"/>
          <w:lang w:val="es-ES_tradnl" w:eastAsia="es-ES"/>
        </w:rPr>
      </w:pPr>
    </w:p>
    <w:p w:rsidR="001C5306" w:rsidRPr="00817725" w:rsidRDefault="001C5306" w:rsidP="0081772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725">
        <w:rPr>
          <w:rFonts w:ascii="Palatino Linotype" w:eastAsia="Times New Roman" w:hAnsi="Palatino Linotype"/>
          <w:sz w:val="24"/>
          <w:szCs w:val="24"/>
          <w:lang w:val="es-ES_tradnl" w:eastAsia="es-ES"/>
        </w:rPr>
        <w:t xml:space="preserve">Consecuentemente, en términos del artículo </w:t>
      </w:r>
      <w:r w:rsidRPr="00817725">
        <w:rPr>
          <w:rFonts w:ascii="Palatino Linotype" w:eastAsia="Times New Roman" w:hAnsi="Palatino Linotype"/>
          <w:b/>
          <w:sz w:val="24"/>
          <w:szCs w:val="24"/>
          <w:lang w:val="es-ES_tradnl" w:eastAsia="es-ES"/>
        </w:rPr>
        <w:t>186 fracción III</w:t>
      </w:r>
      <w:r w:rsidRPr="00817725">
        <w:rPr>
          <w:rFonts w:ascii="Palatino Linotype" w:eastAsia="Times New Roman" w:hAnsi="Palatino Linotype"/>
          <w:sz w:val="24"/>
          <w:szCs w:val="24"/>
          <w:lang w:val="es-ES_tradnl" w:eastAsia="es-ES"/>
        </w:rPr>
        <w:t xml:space="preserve"> este Pleno determina </w:t>
      </w:r>
      <w:r w:rsidRPr="00817725">
        <w:rPr>
          <w:rFonts w:ascii="Palatino Linotype" w:eastAsia="Times New Roman" w:hAnsi="Palatino Linotype"/>
          <w:b/>
          <w:sz w:val="24"/>
          <w:szCs w:val="24"/>
          <w:lang w:val="es-ES_tradnl" w:eastAsia="es-ES"/>
        </w:rPr>
        <w:t>MODIFICAR</w:t>
      </w:r>
      <w:r w:rsidRPr="00817725">
        <w:rPr>
          <w:rFonts w:ascii="Palatino Linotype" w:eastAsia="Times New Roman" w:hAnsi="Palatino Linotype"/>
          <w:sz w:val="24"/>
          <w:szCs w:val="24"/>
          <w:lang w:val="es-ES_tradnl" w:eastAsia="es-ES"/>
        </w:rPr>
        <w:t xml:space="preserve"> la respuesta del presente recurso de revisión, </w:t>
      </w:r>
      <w:r w:rsidRPr="00817725">
        <w:rPr>
          <w:rFonts w:ascii="Palatino Linotype" w:eastAsia="MS Mincho" w:hAnsi="Palatino Linotype" w:cs="Times New Roman"/>
          <w:sz w:val="24"/>
          <w:szCs w:val="24"/>
          <w:lang w:val="es-ES_tradnl" w:eastAsia="es-ES"/>
        </w:rPr>
        <w:t xml:space="preserve">toda vez </w:t>
      </w:r>
      <w:r w:rsidRPr="00817725">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1C5306" w:rsidRPr="00817725" w:rsidRDefault="001C5306" w:rsidP="00817725">
      <w:pPr>
        <w:spacing w:after="0" w:line="360" w:lineRule="auto"/>
        <w:ind w:right="49"/>
        <w:contextualSpacing/>
        <w:jc w:val="both"/>
        <w:rPr>
          <w:rFonts w:ascii="Palatino Linotype" w:eastAsia="Times New Roman" w:hAnsi="Palatino Linotype"/>
          <w:sz w:val="24"/>
          <w:szCs w:val="24"/>
          <w:lang w:val="es-ES_tradnl" w:eastAsia="es-ES"/>
        </w:rPr>
      </w:pPr>
    </w:p>
    <w:p w:rsidR="001C5306" w:rsidRPr="00817725" w:rsidRDefault="001C5306" w:rsidP="00817725">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817725">
        <w:rPr>
          <w:rFonts w:ascii="Palatino Linotype" w:eastAsia="Times New Roman" w:hAnsi="Palatino Linotype"/>
          <w:sz w:val="24"/>
          <w:szCs w:val="24"/>
          <w:lang w:val="es-ES_tradnl" w:eastAsia="es-ES"/>
        </w:rPr>
        <w:t xml:space="preserve">Por lo anteriormente expuesto y fundado este </w:t>
      </w:r>
      <w:r w:rsidRPr="00817725">
        <w:rPr>
          <w:rFonts w:ascii="Palatino Linotype" w:eastAsia="Times New Roman" w:hAnsi="Palatino Linotype"/>
          <w:b/>
          <w:sz w:val="24"/>
          <w:szCs w:val="24"/>
          <w:lang w:val="es-ES_tradnl" w:eastAsia="es-ES"/>
        </w:rPr>
        <w:t>ÓRGANO GARANTE</w:t>
      </w:r>
      <w:r w:rsidRPr="00817725">
        <w:rPr>
          <w:rFonts w:ascii="Palatino Linotype" w:eastAsia="Times New Roman" w:hAnsi="Palatino Linotype"/>
          <w:sz w:val="24"/>
          <w:szCs w:val="24"/>
          <w:lang w:val="es-ES_tradnl" w:eastAsia="es-ES"/>
        </w:rPr>
        <w:t xml:space="preserve"> emite los siguientes.</w:t>
      </w:r>
    </w:p>
    <w:p w:rsidR="00D1752C" w:rsidRPr="00817725" w:rsidRDefault="00D1752C" w:rsidP="00817725">
      <w:pPr>
        <w:spacing w:after="0" w:line="360" w:lineRule="auto"/>
        <w:ind w:right="49"/>
        <w:contextualSpacing/>
        <w:jc w:val="both"/>
        <w:rPr>
          <w:rFonts w:ascii="Palatino Linotype" w:eastAsia="Times New Roman" w:hAnsi="Palatino Linotype"/>
          <w:sz w:val="24"/>
          <w:szCs w:val="24"/>
          <w:lang w:val="es-ES_tradnl" w:eastAsia="es-ES"/>
        </w:rPr>
      </w:pPr>
    </w:p>
    <w:p w:rsidR="001C5306" w:rsidRPr="00817725" w:rsidRDefault="001C5306" w:rsidP="00817725">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9" w:name="_Toc447183492"/>
      <w:bookmarkStart w:id="120" w:name="_Toc450120667"/>
      <w:bookmarkStart w:id="121" w:name="_Toc461555895"/>
      <w:bookmarkEnd w:id="80"/>
      <w:bookmarkEnd w:id="81"/>
      <w:bookmarkEnd w:id="82"/>
      <w:bookmarkEnd w:id="83"/>
      <w:bookmarkEnd w:id="84"/>
      <w:bookmarkEnd w:id="85"/>
      <w:bookmarkEnd w:id="86"/>
      <w:r w:rsidRPr="00817725">
        <w:rPr>
          <w:rFonts w:ascii="Palatino Linotype" w:eastAsia="Calibri" w:hAnsi="Palatino Linotype" w:cstheme="majorBidi"/>
          <w:b/>
          <w:sz w:val="24"/>
          <w:szCs w:val="24"/>
          <w:lang w:val="es-ES" w:eastAsia="es-ES"/>
        </w:rPr>
        <w:tab/>
      </w:r>
      <w:bookmarkStart w:id="122" w:name="_Toc20387836"/>
      <w:r w:rsidRPr="00817725">
        <w:rPr>
          <w:rFonts w:ascii="Palatino Linotype" w:eastAsia="Calibri" w:hAnsi="Palatino Linotype" w:cstheme="majorBidi"/>
          <w:b/>
          <w:sz w:val="24"/>
          <w:szCs w:val="24"/>
          <w:lang w:val="es-ES" w:eastAsia="es-ES"/>
        </w:rPr>
        <w:t>R E S O L U T I V O S</w:t>
      </w:r>
      <w:bookmarkEnd w:id="119"/>
      <w:bookmarkEnd w:id="120"/>
      <w:bookmarkEnd w:id="121"/>
      <w:bookmarkEnd w:id="122"/>
      <w:r w:rsidRPr="00817725">
        <w:rPr>
          <w:rFonts w:ascii="Palatino Linotype" w:eastAsia="Calibri" w:hAnsi="Palatino Linotype" w:cstheme="majorBidi"/>
          <w:b/>
          <w:sz w:val="24"/>
          <w:szCs w:val="24"/>
          <w:lang w:val="es-ES" w:eastAsia="es-ES"/>
        </w:rPr>
        <w:t xml:space="preserve"> </w:t>
      </w:r>
    </w:p>
    <w:p w:rsidR="001C5306" w:rsidRPr="00817725" w:rsidRDefault="001C5306" w:rsidP="00817725">
      <w:pPr>
        <w:spacing w:before="240" w:after="360" w:line="360" w:lineRule="auto"/>
        <w:ind w:right="-142"/>
        <w:jc w:val="both"/>
        <w:rPr>
          <w:rFonts w:ascii="Palatino Linotype" w:eastAsia="Times New Roman" w:hAnsi="Palatino Linotype" w:cs="Arial"/>
          <w:sz w:val="24"/>
          <w:szCs w:val="24"/>
          <w:lang w:val="es-ES" w:eastAsia="es-ES"/>
        </w:rPr>
      </w:pPr>
      <w:r w:rsidRPr="00817725">
        <w:rPr>
          <w:rFonts w:ascii="Palatino Linotype" w:eastAsia="Times New Roman" w:hAnsi="Palatino Linotype" w:cs="Arial"/>
          <w:b/>
          <w:sz w:val="24"/>
          <w:szCs w:val="24"/>
          <w:lang w:val="es-ES_tradnl" w:eastAsia="es-ES"/>
        </w:rPr>
        <w:t>PRIMERO</w:t>
      </w:r>
      <w:r w:rsidRPr="00817725">
        <w:rPr>
          <w:rFonts w:ascii="Palatino Linotype" w:eastAsia="Times New Roman" w:hAnsi="Palatino Linotype" w:cs="Arial"/>
          <w:sz w:val="24"/>
          <w:szCs w:val="24"/>
          <w:lang w:val="es-ES" w:eastAsia="es-ES"/>
        </w:rPr>
        <w:t xml:space="preserve">. </w:t>
      </w:r>
      <w:r w:rsidRPr="00817725">
        <w:rPr>
          <w:rFonts w:ascii="Palatino Linotype" w:eastAsia="Times New Roman" w:hAnsi="Palatino Linotype" w:cs="Arial"/>
          <w:sz w:val="24"/>
          <w:szCs w:val="24"/>
        </w:rPr>
        <w:t>Resultan fundadas las</w:t>
      </w:r>
      <w:r w:rsidRPr="00817725">
        <w:rPr>
          <w:rFonts w:ascii="Palatino Linotype" w:eastAsia="Times New Roman" w:hAnsi="Palatino Linotype" w:cs="Arial"/>
          <w:b/>
          <w:sz w:val="24"/>
          <w:szCs w:val="24"/>
        </w:rPr>
        <w:t xml:space="preserve"> </w:t>
      </w:r>
      <w:r w:rsidRPr="00817725">
        <w:rPr>
          <w:rFonts w:ascii="Palatino Linotype" w:eastAsia="Times New Roman" w:hAnsi="Palatino Linotype" w:cs="Arial"/>
          <w:sz w:val="24"/>
          <w:szCs w:val="24"/>
          <w:lang w:val="es-ES"/>
        </w:rPr>
        <w:t xml:space="preserve">razones o motivos de inconformidad hechos valer </w:t>
      </w:r>
      <w:r w:rsidRPr="00817725">
        <w:rPr>
          <w:rFonts w:ascii="Palatino Linotype" w:eastAsia="Calibri" w:hAnsi="Palatino Linotype" w:cs="Arial"/>
          <w:sz w:val="24"/>
          <w:szCs w:val="24"/>
          <w:lang w:val="es-ES"/>
        </w:rPr>
        <w:t xml:space="preserve">en el recurso de revisión </w:t>
      </w:r>
      <w:r w:rsidR="00B1691A" w:rsidRPr="00817725">
        <w:rPr>
          <w:rFonts w:ascii="Palatino Linotype" w:eastAsia="Calibri" w:hAnsi="Palatino Linotype" w:cs="Arial"/>
          <w:b/>
          <w:sz w:val="24"/>
          <w:szCs w:val="24"/>
          <w:lang w:val="es-ES"/>
        </w:rPr>
        <w:t>06308</w:t>
      </w:r>
      <w:r w:rsidRPr="00817725">
        <w:rPr>
          <w:rFonts w:ascii="Palatino Linotype" w:eastAsia="Calibri" w:hAnsi="Palatino Linotype" w:cs="Arial"/>
          <w:b/>
          <w:sz w:val="24"/>
          <w:szCs w:val="24"/>
          <w:lang w:val="es-ES"/>
        </w:rPr>
        <w:t xml:space="preserve">/INFOEM/IP/RR/2019 </w:t>
      </w:r>
      <w:r w:rsidRPr="00817725">
        <w:rPr>
          <w:rFonts w:ascii="Palatino Linotype" w:hAnsi="Palatino Linotype" w:cs="Arial"/>
          <w:bCs/>
          <w:sz w:val="24"/>
          <w:szCs w:val="24"/>
          <w:lang w:eastAsia="es-MX"/>
        </w:rPr>
        <w:t xml:space="preserve">en términos de los </w:t>
      </w:r>
      <w:r w:rsidRPr="00817725">
        <w:rPr>
          <w:rFonts w:ascii="Palatino Linotype" w:hAnsi="Palatino Linotype" w:cs="Arial"/>
          <w:b/>
          <w:bCs/>
          <w:sz w:val="24"/>
          <w:szCs w:val="24"/>
          <w:lang w:eastAsia="es-MX"/>
        </w:rPr>
        <w:t>Considerandos CUARTO</w:t>
      </w:r>
      <w:r w:rsidR="00261DED" w:rsidRPr="00817725">
        <w:rPr>
          <w:rFonts w:ascii="Palatino Linotype" w:hAnsi="Palatino Linotype" w:cs="Arial"/>
          <w:b/>
          <w:bCs/>
          <w:sz w:val="24"/>
          <w:szCs w:val="24"/>
          <w:lang w:eastAsia="es-MX"/>
        </w:rPr>
        <w:t xml:space="preserve"> y QUINTO</w:t>
      </w:r>
      <w:r w:rsidRPr="00817725">
        <w:rPr>
          <w:rFonts w:ascii="Palatino Linotype" w:hAnsi="Palatino Linotype" w:cs="Arial"/>
          <w:b/>
          <w:bCs/>
          <w:sz w:val="24"/>
          <w:szCs w:val="24"/>
          <w:lang w:eastAsia="es-MX"/>
        </w:rPr>
        <w:t xml:space="preserve"> </w:t>
      </w:r>
      <w:r w:rsidRPr="00817725">
        <w:rPr>
          <w:rFonts w:ascii="Palatino Linotype" w:hAnsi="Palatino Linotype" w:cs="Arial"/>
          <w:bCs/>
          <w:sz w:val="24"/>
          <w:szCs w:val="24"/>
          <w:lang w:eastAsia="es-MX"/>
        </w:rPr>
        <w:t>de la presente resolución.</w:t>
      </w:r>
    </w:p>
    <w:p w:rsidR="001C5306" w:rsidRPr="00817725" w:rsidRDefault="001C5306" w:rsidP="00817725">
      <w:pPr>
        <w:spacing w:before="240" w:after="360" w:line="360" w:lineRule="auto"/>
        <w:ind w:right="-142"/>
        <w:jc w:val="both"/>
        <w:rPr>
          <w:rFonts w:ascii="Palatino Linotype" w:eastAsia="Calibri" w:hAnsi="Palatino Linotype" w:cs="Arial"/>
          <w:sz w:val="24"/>
          <w:szCs w:val="24"/>
          <w:lang w:val="es-ES" w:eastAsia="es-ES"/>
        </w:rPr>
      </w:pPr>
      <w:r w:rsidRPr="00817725">
        <w:rPr>
          <w:rFonts w:ascii="Palatino Linotype" w:eastAsiaTheme="minorEastAsia" w:hAnsi="Palatino Linotype"/>
          <w:b/>
          <w:sz w:val="24"/>
          <w:szCs w:val="24"/>
          <w:lang w:val="es-ES_tradnl" w:eastAsia="es-ES"/>
        </w:rPr>
        <w:t>SEGUNDO.</w:t>
      </w:r>
      <w:r w:rsidRPr="00817725">
        <w:rPr>
          <w:rFonts w:ascii="Palatino Linotype" w:eastAsiaTheme="majorEastAsia" w:hAnsi="Palatino Linotype" w:cstheme="majorBidi"/>
          <w:b/>
          <w:color w:val="2E74B5" w:themeColor="accent1" w:themeShade="BF"/>
          <w:sz w:val="24"/>
          <w:szCs w:val="24"/>
          <w:lang w:val="es-ES_tradnl" w:eastAsia="es-ES"/>
        </w:rPr>
        <w:t xml:space="preserve"> </w:t>
      </w:r>
      <w:r w:rsidRPr="00817725">
        <w:rPr>
          <w:rFonts w:ascii="Palatino Linotype" w:eastAsia="Calibri" w:hAnsi="Palatino Linotype" w:cs="Arial"/>
          <w:sz w:val="24"/>
          <w:szCs w:val="24"/>
          <w:lang w:val="es-ES" w:eastAsia="es-ES"/>
        </w:rPr>
        <w:t>Se</w:t>
      </w:r>
      <w:r w:rsidRPr="00817725">
        <w:rPr>
          <w:rFonts w:ascii="Palatino Linotype" w:eastAsia="Calibri" w:hAnsi="Palatino Linotype" w:cs="Arial"/>
          <w:b/>
          <w:sz w:val="24"/>
          <w:szCs w:val="24"/>
          <w:lang w:val="es-ES" w:eastAsia="es-ES"/>
        </w:rPr>
        <w:t xml:space="preserve"> MODIFICA </w:t>
      </w:r>
      <w:r w:rsidRPr="00817725">
        <w:rPr>
          <w:rFonts w:ascii="Palatino Linotype" w:eastAsia="Calibri" w:hAnsi="Palatino Linotype" w:cs="Arial"/>
          <w:sz w:val="24"/>
          <w:szCs w:val="24"/>
          <w:lang w:val="es-ES" w:eastAsia="es-ES"/>
        </w:rPr>
        <w:t>la respuesta y se</w:t>
      </w:r>
      <w:r w:rsidR="00B1691A" w:rsidRPr="00817725">
        <w:rPr>
          <w:rFonts w:ascii="Palatino Linotype" w:eastAsia="Calibri" w:hAnsi="Palatino Linotype" w:cs="Arial"/>
          <w:b/>
          <w:sz w:val="24"/>
          <w:szCs w:val="24"/>
          <w:lang w:val="es-ES" w:eastAsia="es-ES"/>
        </w:rPr>
        <w:t xml:space="preserve"> ORDENA a la Secretaría de Finanzas</w:t>
      </w:r>
      <w:r w:rsidRPr="00817725">
        <w:rPr>
          <w:rFonts w:ascii="Palatino Linotype" w:hAnsi="Palatino Linotype"/>
          <w:b/>
          <w:sz w:val="24"/>
          <w:szCs w:val="24"/>
        </w:rPr>
        <w:t xml:space="preserve"> </w:t>
      </w:r>
      <w:r w:rsidR="006539E1" w:rsidRPr="00817725">
        <w:rPr>
          <w:rFonts w:ascii="Palatino Linotype" w:eastAsia="Calibri" w:hAnsi="Palatino Linotype" w:cs="Arial"/>
          <w:sz w:val="24"/>
          <w:szCs w:val="24"/>
          <w:lang w:val="es-ES" w:eastAsia="es-ES"/>
        </w:rPr>
        <w:t xml:space="preserve">permita la </w:t>
      </w:r>
      <w:r w:rsidR="00B1691A" w:rsidRPr="00817725">
        <w:rPr>
          <w:rFonts w:ascii="Palatino Linotype" w:eastAsia="Calibri" w:hAnsi="Palatino Linotype" w:cs="Arial"/>
          <w:sz w:val="24"/>
          <w:szCs w:val="24"/>
          <w:lang w:val="es-ES" w:eastAsia="es-ES"/>
        </w:rPr>
        <w:t>Consulta Directa</w:t>
      </w:r>
      <w:r w:rsidRPr="00817725">
        <w:rPr>
          <w:rFonts w:ascii="Palatino Linotype" w:eastAsia="Calibri" w:hAnsi="Palatino Linotype" w:cs="Arial"/>
          <w:sz w:val="24"/>
          <w:szCs w:val="24"/>
          <w:lang w:val="es-ES" w:eastAsia="es-ES"/>
        </w:rPr>
        <w:t xml:space="preserve">, </w:t>
      </w:r>
      <w:r w:rsidR="00AE5BFE" w:rsidRPr="00817725">
        <w:rPr>
          <w:rFonts w:ascii="Palatino Linotype" w:eastAsia="Calibri" w:hAnsi="Palatino Linotype" w:cs="Arial"/>
          <w:bCs/>
          <w:sz w:val="24"/>
          <w:szCs w:val="24"/>
          <w:lang w:eastAsia="es-ES"/>
        </w:rPr>
        <w:t>previa búsqueda exhaustiva y razonable, en versión pública, del p</w:t>
      </w:r>
      <w:r w:rsidR="00BC6869" w:rsidRPr="00817725">
        <w:rPr>
          <w:rFonts w:ascii="Palatino Linotype" w:eastAsia="Calibri" w:hAnsi="Palatino Linotype" w:cs="Arial"/>
          <w:bCs/>
          <w:sz w:val="24"/>
          <w:szCs w:val="24"/>
          <w:lang w:eastAsia="es-ES"/>
        </w:rPr>
        <w:t>eriodo comprendido del uno (01)</w:t>
      </w:r>
      <w:r w:rsidR="00AE5BFE" w:rsidRPr="00817725">
        <w:rPr>
          <w:rFonts w:ascii="Palatino Linotype" w:eastAsia="Calibri" w:hAnsi="Palatino Linotype" w:cs="Arial"/>
          <w:bCs/>
          <w:sz w:val="24"/>
          <w:szCs w:val="24"/>
          <w:lang w:eastAsia="es-ES"/>
        </w:rPr>
        <w:t xml:space="preserve"> de enero de 2013 al diecinueve</w:t>
      </w:r>
      <w:r w:rsidR="00BC6869" w:rsidRPr="00817725">
        <w:rPr>
          <w:rFonts w:ascii="Palatino Linotype" w:eastAsia="Calibri" w:hAnsi="Palatino Linotype" w:cs="Arial"/>
          <w:bCs/>
          <w:sz w:val="24"/>
          <w:szCs w:val="24"/>
          <w:lang w:eastAsia="es-ES"/>
        </w:rPr>
        <w:t xml:space="preserve"> (19)</w:t>
      </w:r>
      <w:r w:rsidR="00AE5BFE" w:rsidRPr="00817725">
        <w:rPr>
          <w:rFonts w:ascii="Palatino Linotype" w:eastAsia="Calibri" w:hAnsi="Palatino Linotype" w:cs="Arial"/>
          <w:bCs/>
          <w:sz w:val="24"/>
          <w:szCs w:val="24"/>
          <w:lang w:eastAsia="es-ES"/>
        </w:rPr>
        <w:t xml:space="preserve"> de junio de 2019, </w:t>
      </w:r>
      <w:r w:rsidR="00BC6869" w:rsidRPr="00817725">
        <w:rPr>
          <w:rFonts w:ascii="Palatino Linotype" w:eastAsia="Calibri" w:hAnsi="Palatino Linotype" w:cs="Arial"/>
          <w:bCs/>
          <w:sz w:val="24"/>
          <w:szCs w:val="24"/>
          <w:lang w:eastAsia="es-ES"/>
        </w:rPr>
        <w:t>lo siguiente</w:t>
      </w:r>
      <w:r w:rsidR="00AE5BFE" w:rsidRPr="00817725">
        <w:rPr>
          <w:rFonts w:ascii="Palatino Linotype" w:eastAsia="Calibri" w:hAnsi="Palatino Linotype" w:cs="Arial"/>
          <w:bCs/>
          <w:sz w:val="24"/>
          <w:szCs w:val="24"/>
          <w:lang w:eastAsia="es-ES"/>
        </w:rPr>
        <w:t>:</w:t>
      </w:r>
    </w:p>
    <w:p w:rsidR="00AE5BFE" w:rsidRPr="00817725" w:rsidRDefault="00440D9A" w:rsidP="00817725">
      <w:pPr>
        <w:numPr>
          <w:ilvl w:val="0"/>
          <w:numId w:val="4"/>
        </w:numPr>
        <w:spacing w:before="240" w:after="360" w:line="360" w:lineRule="auto"/>
        <w:ind w:left="0" w:right="616" w:firstLine="0"/>
        <w:contextualSpacing/>
        <w:jc w:val="both"/>
        <w:rPr>
          <w:rFonts w:ascii="Palatino Linotype" w:eastAsia="Calibri" w:hAnsi="Palatino Linotype" w:cs="Arial"/>
          <w:b/>
          <w:sz w:val="24"/>
          <w:szCs w:val="24"/>
          <w:lang w:val="es-ES" w:eastAsia="es-ES"/>
        </w:rPr>
      </w:pPr>
      <w:r w:rsidRPr="00817725">
        <w:rPr>
          <w:rFonts w:ascii="Palatino Linotype" w:eastAsia="Calibri" w:hAnsi="Palatino Linotype" w:cs="Arial"/>
          <w:b/>
          <w:sz w:val="24"/>
          <w:szCs w:val="24"/>
          <w:lang w:val="es-ES" w:eastAsia="es-ES"/>
        </w:rPr>
        <w:t>Los documentos donde conste los</w:t>
      </w:r>
      <w:r w:rsidR="00AE5BFE" w:rsidRPr="00817725">
        <w:rPr>
          <w:rFonts w:ascii="Palatino Linotype" w:eastAsia="Calibri" w:hAnsi="Palatino Linotype" w:cs="Arial"/>
          <w:b/>
          <w:sz w:val="24"/>
          <w:szCs w:val="24"/>
          <w:lang w:val="es-ES" w:eastAsia="es-ES"/>
        </w:rPr>
        <w:t xml:space="preserve"> pagos por concepto de predial y agua</w:t>
      </w:r>
      <w:r w:rsidR="00BA506C" w:rsidRPr="00817725">
        <w:rPr>
          <w:rFonts w:ascii="Palatino Linotype" w:eastAsia="Calibri" w:hAnsi="Palatino Linotype" w:cs="Arial"/>
          <w:b/>
          <w:sz w:val="24"/>
          <w:szCs w:val="24"/>
          <w:lang w:val="es-ES" w:eastAsia="es-ES"/>
        </w:rPr>
        <w:t>;</w:t>
      </w:r>
    </w:p>
    <w:p w:rsidR="00AE5BFE" w:rsidRPr="00817725" w:rsidRDefault="00440D9A" w:rsidP="00817725">
      <w:pPr>
        <w:numPr>
          <w:ilvl w:val="0"/>
          <w:numId w:val="4"/>
        </w:numPr>
        <w:spacing w:before="240" w:after="360" w:line="360" w:lineRule="auto"/>
        <w:ind w:left="0" w:right="616" w:firstLine="0"/>
        <w:contextualSpacing/>
        <w:jc w:val="both"/>
        <w:rPr>
          <w:rFonts w:ascii="Palatino Linotype" w:eastAsia="Calibri" w:hAnsi="Palatino Linotype" w:cs="Arial"/>
          <w:b/>
          <w:sz w:val="24"/>
          <w:szCs w:val="24"/>
          <w:lang w:val="es-ES" w:eastAsia="es-ES"/>
        </w:rPr>
      </w:pPr>
      <w:r w:rsidRPr="00817725">
        <w:rPr>
          <w:rFonts w:ascii="Palatino Linotype" w:eastAsia="Calibri" w:hAnsi="Palatino Linotype" w:cs="Arial"/>
          <w:b/>
          <w:sz w:val="24"/>
          <w:szCs w:val="24"/>
          <w:lang w:val="es-ES" w:eastAsia="es-ES"/>
        </w:rPr>
        <w:t xml:space="preserve">El soporte documental donde conste el gasto realizado por la </w:t>
      </w:r>
      <w:r w:rsidR="00AE5BFE" w:rsidRPr="00817725">
        <w:rPr>
          <w:rFonts w:ascii="Palatino Linotype" w:eastAsia="Calibri" w:hAnsi="Palatino Linotype" w:cs="Arial"/>
          <w:b/>
          <w:sz w:val="24"/>
          <w:szCs w:val="24"/>
          <w:lang w:val="es-ES" w:eastAsia="es-ES"/>
        </w:rPr>
        <w:t xml:space="preserve">manutención de la Casa </w:t>
      </w:r>
      <w:r w:rsidR="00BA506C" w:rsidRPr="00817725">
        <w:rPr>
          <w:rFonts w:ascii="Palatino Linotype" w:eastAsia="Calibri" w:hAnsi="Palatino Linotype" w:cs="Arial"/>
          <w:b/>
          <w:sz w:val="24"/>
          <w:szCs w:val="24"/>
          <w:lang w:val="es-ES" w:eastAsia="es-ES"/>
        </w:rPr>
        <w:t>de Estado y el uso que se le da;</w:t>
      </w:r>
    </w:p>
    <w:p w:rsidR="00AE5BFE" w:rsidRPr="00817725" w:rsidRDefault="00FB38E0" w:rsidP="00817725">
      <w:pPr>
        <w:numPr>
          <w:ilvl w:val="0"/>
          <w:numId w:val="4"/>
        </w:numPr>
        <w:spacing w:before="240" w:after="360" w:line="360" w:lineRule="auto"/>
        <w:ind w:left="0" w:right="616" w:firstLine="0"/>
        <w:contextualSpacing/>
        <w:jc w:val="both"/>
        <w:rPr>
          <w:rFonts w:ascii="Palatino Linotype" w:eastAsia="Calibri" w:hAnsi="Palatino Linotype" w:cs="Arial"/>
          <w:b/>
          <w:sz w:val="24"/>
          <w:szCs w:val="24"/>
          <w:lang w:val="es-ES" w:eastAsia="es-ES"/>
        </w:rPr>
      </w:pPr>
      <w:r w:rsidRPr="00817725">
        <w:rPr>
          <w:rFonts w:ascii="Palatino Linotype" w:eastAsia="Calibri" w:hAnsi="Palatino Linotype" w:cs="Arial"/>
          <w:b/>
          <w:sz w:val="24"/>
          <w:szCs w:val="24"/>
          <w:lang w:val="es-ES" w:eastAsia="es-ES"/>
        </w:rPr>
        <w:t xml:space="preserve">Documento donde conste el total de </w:t>
      </w:r>
      <w:r w:rsidR="00BC6869" w:rsidRPr="00817725">
        <w:rPr>
          <w:rFonts w:ascii="Palatino Linotype" w:eastAsia="Calibri" w:hAnsi="Palatino Linotype" w:cs="Arial"/>
          <w:b/>
          <w:sz w:val="24"/>
          <w:szCs w:val="24"/>
          <w:lang w:val="es-ES" w:eastAsia="es-ES"/>
        </w:rPr>
        <w:t>p</w:t>
      </w:r>
      <w:r w:rsidR="00440D9A" w:rsidRPr="00817725">
        <w:rPr>
          <w:rFonts w:ascii="Palatino Linotype" w:eastAsia="Calibri" w:hAnsi="Palatino Linotype" w:cs="Arial"/>
          <w:b/>
          <w:sz w:val="24"/>
          <w:szCs w:val="24"/>
          <w:lang w:val="es-ES" w:eastAsia="es-ES"/>
        </w:rPr>
        <w:t>ersonas que habitan</w:t>
      </w:r>
      <w:r w:rsidRPr="00817725">
        <w:rPr>
          <w:rFonts w:ascii="Palatino Linotype" w:eastAsia="Calibri" w:hAnsi="Palatino Linotype" w:cs="Arial"/>
          <w:b/>
          <w:sz w:val="24"/>
          <w:szCs w:val="24"/>
          <w:lang w:val="es-ES" w:eastAsia="es-ES"/>
        </w:rPr>
        <w:t xml:space="preserve"> y habitaron</w:t>
      </w:r>
      <w:r w:rsidR="00440D9A" w:rsidRPr="00817725">
        <w:rPr>
          <w:rFonts w:ascii="Palatino Linotype" w:eastAsia="Calibri" w:hAnsi="Palatino Linotype" w:cs="Arial"/>
          <w:b/>
          <w:sz w:val="24"/>
          <w:szCs w:val="24"/>
          <w:lang w:val="es-ES" w:eastAsia="es-ES"/>
        </w:rPr>
        <w:t xml:space="preserve"> en la Casa de Estado</w:t>
      </w:r>
      <w:r w:rsidR="00BA506C" w:rsidRPr="00817725">
        <w:rPr>
          <w:rFonts w:ascii="Palatino Linotype" w:eastAsia="Calibri" w:hAnsi="Palatino Linotype" w:cs="Arial"/>
          <w:b/>
          <w:sz w:val="24"/>
          <w:szCs w:val="24"/>
          <w:lang w:val="es-ES" w:eastAsia="es-ES"/>
        </w:rPr>
        <w:t>; y</w:t>
      </w:r>
    </w:p>
    <w:p w:rsidR="00FB38E0" w:rsidRPr="00817725" w:rsidRDefault="00B1691A" w:rsidP="00817725">
      <w:pPr>
        <w:numPr>
          <w:ilvl w:val="0"/>
          <w:numId w:val="4"/>
        </w:numPr>
        <w:spacing w:before="240" w:after="360" w:line="360" w:lineRule="auto"/>
        <w:ind w:left="0" w:right="616" w:firstLine="0"/>
        <w:contextualSpacing/>
        <w:jc w:val="both"/>
        <w:rPr>
          <w:rFonts w:ascii="Palatino Linotype" w:eastAsia="Calibri" w:hAnsi="Palatino Linotype" w:cs="Arial"/>
          <w:b/>
          <w:sz w:val="24"/>
          <w:szCs w:val="24"/>
          <w:lang w:eastAsia="es-ES"/>
        </w:rPr>
      </w:pPr>
      <w:r w:rsidRPr="00817725">
        <w:rPr>
          <w:rFonts w:ascii="Palatino Linotype" w:eastAsia="Calibri" w:hAnsi="Palatino Linotype" w:cs="Arial"/>
          <w:b/>
          <w:sz w:val="24"/>
          <w:szCs w:val="24"/>
          <w:lang w:val="es-ES" w:eastAsia="es-ES"/>
        </w:rPr>
        <w:t xml:space="preserve">Acuerdo de inexistencia </w:t>
      </w:r>
      <w:r w:rsidR="00FB38E0" w:rsidRPr="00817725">
        <w:rPr>
          <w:rFonts w:ascii="Palatino Linotype" w:eastAsia="Calibri" w:hAnsi="Palatino Linotype" w:cs="Arial"/>
          <w:b/>
          <w:sz w:val="24"/>
          <w:szCs w:val="24"/>
          <w:lang w:val="es-ES" w:eastAsia="es-ES"/>
        </w:rPr>
        <w:t xml:space="preserve">correspondiente a la </w:t>
      </w:r>
      <w:r w:rsidR="00BC6869" w:rsidRPr="00817725">
        <w:rPr>
          <w:rFonts w:ascii="Palatino Linotype" w:eastAsia="Calibri" w:hAnsi="Palatino Linotype" w:cs="Arial"/>
          <w:b/>
          <w:sz w:val="24"/>
          <w:szCs w:val="24"/>
          <w:lang w:val="es-ES" w:eastAsia="es-ES"/>
        </w:rPr>
        <w:t xml:space="preserve">información de los años 2010, 2011 y </w:t>
      </w:r>
      <w:r w:rsidR="00FB38E0" w:rsidRPr="00817725">
        <w:rPr>
          <w:rFonts w:ascii="Palatino Linotype" w:eastAsia="Calibri" w:hAnsi="Palatino Linotype" w:cs="Arial"/>
          <w:b/>
          <w:sz w:val="24"/>
          <w:szCs w:val="24"/>
          <w:lang w:val="es-ES" w:eastAsia="es-ES"/>
        </w:rPr>
        <w:t>2012,</w:t>
      </w:r>
      <w:r w:rsidR="00FB38E0" w:rsidRPr="00817725">
        <w:rPr>
          <w:rFonts w:ascii="Palatino Linotype" w:eastAsia="Times New Roman" w:hAnsi="Palatino Linotype" w:cs="Times New Roman"/>
          <w:sz w:val="24"/>
          <w:szCs w:val="24"/>
          <w:lang w:eastAsia="es-ES"/>
        </w:rPr>
        <w:t xml:space="preserve"> </w:t>
      </w:r>
      <w:r w:rsidR="00FB38E0" w:rsidRPr="00817725">
        <w:rPr>
          <w:rFonts w:ascii="Palatino Linotype" w:eastAsia="Calibri" w:hAnsi="Palatino Linotype" w:cs="Arial"/>
          <w:b/>
          <w:sz w:val="24"/>
          <w:szCs w:val="24"/>
          <w:lang w:eastAsia="es-ES"/>
        </w:rPr>
        <w:t>en términos de los artículos 49, fracciones II y XIII, 169 y 170 de la Ley de Transparencia y Acceso a la Información Pública del Estado de México y Municipios que al respecto emita su Comité de Transparencia.</w:t>
      </w:r>
    </w:p>
    <w:p w:rsidR="001C5306" w:rsidRPr="00817725" w:rsidRDefault="001C5306" w:rsidP="00817725">
      <w:pPr>
        <w:spacing w:before="240" w:after="360" w:line="360" w:lineRule="auto"/>
        <w:ind w:right="-142"/>
        <w:contextualSpacing/>
        <w:jc w:val="both"/>
        <w:rPr>
          <w:rFonts w:ascii="Palatino Linotype" w:eastAsia="Calibri" w:hAnsi="Palatino Linotype" w:cs="Arial"/>
          <w:b/>
          <w:sz w:val="24"/>
          <w:szCs w:val="24"/>
          <w:lang w:val="es-ES" w:eastAsia="es-ES"/>
        </w:rPr>
      </w:pPr>
    </w:p>
    <w:p w:rsidR="00AE5BFE" w:rsidRDefault="00AE5BFE" w:rsidP="00817725">
      <w:pPr>
        <w:pStyle w:val="Prrafodelista"/>
        <w:tabs>
          <w:tab w:val="left" w:pos="7938"/>
        </w:tabs>
        <w:spacing w:before="240" w:after="240" w:line="360" w:lineRule="auto"/>
        <w:ind w:left="0"/>
        <w:jc w:val="both"/>
        <w:rPr>
          <w:rFonts w:ascii="Palatino Linotype" w:hAnsi="Palatino Linotype"/>
          <w:color w:val="222222"/>
          <w:sz w:val="24"/>
          <w:szCs w:val="24"/>
          <w:shd w:val="clear" w:color="auto" w:fill="FFFFFF"/>
        </w:rPr>
      </w:pPr>
      <w:bookmarkStart w:id="123" w:name="_Toc503891610"/>
      <w:bookmarkStart w:id="124" w:name="_Toc453696503"/>
      <w:bookmarkStart w:id="125" w:name="_Toc454301156"/>
      <w:bookmarkStart w:id="126" w:name="_Toc462653938"/>
      <w:bookmarkStart w:id="127" w:name="_Toc477891769"/>
      <w:bookmarkStart w:id="128" w:name="_Toc477891859"/>
      <w:bookmarkStart w:id="129" w:name="_Toc481576260"/>
      <w:bookmarkStart w:id="130" w:name="_Toc492590392"/>
      <w:r w:rsidRPr="00817725">
        <w:rPr>
          <w:rFonts w:ascii="Palatino Linotype" w:hAnsi="Palatino Linotype"/>
          <w:color w:val="222222"/>
          <w:sz w:val="24"/>
          <w:szCs w:val="24"/>
          <w:shd w:val="clear" w:color="auto" w:fill="FFFFFF"/>
        </w:rPr>
        <w:t>Asimismo se ordena al Sujeto Obligado en términos del Considerando</w:t>
      </w:r>
      <w:r w:rsidRPr="00817725">
        <w:rPr>
          <w:rFonts w:ascii="Palatino Linotype" w:hAnsi="Palatino Linotype"/>
          <w:b/>
          <w:color w:val="222222"/>
          <w:sz w:val="24"/>
          <w:szCs w:val="24"/>
          <w:shd w:val="clear" w:color="auto" w:fill="FFFFFF"/>
        </w:rPr>
        <w:t xml:space="preserve"> CUARTO </w:t>
      </w:r>
      <w:r w:rsidRPr="00817725">
        <w:rPr>
          <w:rFonts w:ascii="Palatino Linotype" w:hAnsi="Palatino Linotype"/>
          <w:color w:val="222222"/>
          <w:sz w:val="24"/>
          <w:szCs w:val="24"/>
          <w:shd w:val="clear" w:color="auto" w:fill="FFFFFF"/>
        </w:rPr>
        <w:t>de la presente resolución que previo a la entrega de la información, haga del conocimiento al Recurrente,</w:t>
      </w:r>
      <w:r w:rsidR="00FB38E0" w:rsidRPr="00817725">
        <w:rPr>
          <w:rFonts w:ascii="Palatino Linotype" w:hAnsi="Palatino Linotype"/>
          <w:color w:val="222222"/>
          <w:sz w:val="24"/>
          <w:szCs w:val="24"/>
          <w:shd w:val="clear" w:color="auto" w:fill="FFFFFF"/>
        </w:rPr>
        <w:t xml:space="preserve"> nuevamente</w:t>
      </w:r>
      <w:r w:rsidRPr="00817725">
        <w:rPr>
          <w:rFonts w:ascii="Palatino Linotype" w:hAnsi="Palatino Linotype"/>
          <w:color w:val="222222"/>
          <w:sz w:val="24"/>
          <w:szCs w:val="24"/>
          <w:shd w:val="clear" w:color="auto" w:fill="FFFFFF"/>
        </w:rPr>
        <w:t xml:space="preserv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rsidR="00817725" w:rsidRPr="00817725" w:rsidRDefault="00817725" w:rsidP="00817725">
      <w:pPr>
        <w:pStyle w:val="Prrafodelista"/>
        <w:tabs>
          <w:tab w:val="left" w:pos="7938"/>
        </w:tabs>
        <w:spacing w:before="240" w:after="240" w:line="360" w:lineRule="auto"/>
        <w:ind w:left="0"/>
        <w:jc w:val="both"/>
        <w:rPr>
          <w:rFonts w:ascii="Palatino Linotype" w:hAnsi="Palatino Linotype"/>
          <w:color w:val="222222"/>
          <w:sz w:val="24"/>
          <w:szCs w:val="24"/>
          <w:shd w:val="clear" w:color="auto" w:fill="FFFFFF"/>
        </w:rPr>
      </w:pPr>
    </w:p>
    <w:p w:rsidR="00AE5BFE" w:rsidRPr="00817725" w:rsidRDefault="00AE5BFE" w:rsidP="00817725">
      <w:pPr>
        <w:pStyle w:val="Prrafodelista"/>
        <w:tabs>
          <w:tab w:val="left" w:pos="7938"/>
        </w:tabs>
        <w:spacing w:before="240" w:after="240" w:line="360" w:lineRule="auto"/>
        <w:ind w:left="0"/>
        <w:jc w:val="both"/>
        <w:rPr>
          <w:rFonts w:ascii="Palatino Linotype" w:eastAsia="Calibri" w:hAnsi="Palatino Linotype" w:cs="Arial"/>
          <w:b/>
          <w:sz w:val="24"/>
          <w:szCs w:val="24"/>
          <w:lang w:val="es-ES_tradnl" w:eastAsia="es-ES"/>
        </w:rPr>
      </w:pPr>
      <w:r w:rsidRPr="00817725">
        <w:rPr>
          <w:rFonts w:ascii="Palatino Linotype" w:eastAsia="Calibri" w:hAnsi="Palatino Linotype" w:cs="Arial"/>
          <w:sz w:val="24"/>
          <w:szCs w:val="24"/>
          <w:lang w:val="es-ES_tradnl" w:eastAsia="es-ES"/>
        </w:rPr>
        <w:t>Para efectos de la elaboración de la versión pública y el acuerdo del Comité de Transparencia deberá realizarse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BA506C" w:rsidRPr="00817725">
        <w:rPr>
          <w:rFonts w:ascii="Palatino Linotype" w:eastAsia="Calibri" w:hAnsi="Palatino Linotype" w:cs="Arial"/>
          <w:sz w:val="24"/>
          <w:szCs w:val="24"/>
          <w:lang w:val="es-ES_tradnl" w:eastAsia="es-ES"/>
        </w:rPr>
        <w:t xml:space="preserve">siones públicas que se formulen  y se pongan a disposición del </w:t>
      </w:r>
      <w:r w:rsidR="00BA506C" w:rsidRPr="00817725">
        <w:rPr>
          <w:rFonts w:ascii="Palatino Linotype" w:eastAsia="Calibri" w:hAnsi="Palatino Linotype" w:cs="Arial"/>
          <w:b/>
          <w:sz w:val="24"/>
          <w:szCs w:val="24"/>
          <w:lang w:val="es-ES_tradnl" w:eastAsia="es-ES"/>
        </w:rPr>
        <w:t>RECURRENTE.</w:t>
      </w:r>
    </w:p>
    <w:p w:rsidR="001C5306" w:rsidRPr="00817725" w:rsidRDefault="001C5306" w:rsidP="0081772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17725">
        <w:rPr>
          <w:rFonts w:ascii="Palatino Linotype" w:eastAsia="Palatino Linotype" w:hAnsi="Palatino Linotype" w:cs="Palatino Linotype"/>
          <w:b/>
          <w:sz w:val="24"/>
          <w:szCs w:val="24"/>
          <w:lang w:val="es-ES_tradnl" w:eastAsia="es-ES"/>
        </w:rPr>
        <w:t xml:space="preserve">TERCERO. Notifíquese </w:t>
      </w:r>
      <w:r w:rsidRPr="00817725">
        <w:rPr>
          <w:rFonts w:ascii="Palatino Linotype" w:eastAsia="Palatino Linotype" w:hAnsi="Palatino Linotype" w:cs="Palatino Linotype"/>
          <w:sz w:val="24"/>
          <w:szCs w:val="24"/>
          <w:lang w:val="es-ES_tradnl" w:eastAsia="es-ES"/>
        </w:rPr>
        <w:t xml:space="preserve">al Titular de la Unidad de Transparencia del </w:t>
      </w:r>
      <w:r w:rsidRPr="00817725">
        <w:rPr>
          <w:rFonts w:ascii="Palatino Linotype" w:eastAsia="Palatino Linotype" w:hAnsi="Palatino Linotype" w:cs="Palatino Linotype"/>
          <w:b/>
          <w:sz w:val="24"/>
          <w:szCs w:val="24"/>
          <w:lang w:val="es-ES_tradnl" w:eastAsia="es-ES"/>
        </w:rPr>
        <w:t>SUJETO OBLIGADO</w:t>
      </w:r>
      <w:r w:rsidRPr="0081772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1772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C5306" w:rsidRPr="00817725" w:rsidRDefault="001C5306" w:rsidP="0081772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817725" w:rsidRDefault="001C5306" w:rsidP="00817725">
      <w:pPr>
        <w:shd w:val="clear" w:color="auto" w:fill="FFFFFF"/>
        <w:spacing w:after="0" w:line="360" w:lineRule="auto"/>
        <w:jc w:val="both"/>
        <w:rPr>
          <w:rFonts w:ascii="Palatino Linotype" w:eastAsiaTheme="minorEastAsia" w:hAnsi="Palatino Linotype"/>
          <w:sz w:val="24"/>
          <w:szCs w:val="24"/>
          <w:lang w:val="es-ES_tradnl" w:eastAsia="es-ES"/>
        </w:rPr>
      </w:pPr>
      <w:r w:rsidRPr="00817725">
        <w:rPr>
          <w:rFonts w:ascii="Palatino Linotype" w:eastAsia="Times New Roman" w:hAnsi="Palatino Linotype" w:cs="Arial"/>
          <w:b/>
          <w:sz w:val="24"/>
          <w:szCs w:val="24"/>
          <w:lang w:val="es-ES_tradnl" w:eastAsia="es-ES"/>
        </w:rPr>
        <w:t xml:space="preserve">CUARTO. </w:t>
      </w:r>
      <w:r w:rsidRPr="00817725">
        <w:rPr>
          <w:rFonts w:ascii="Palatino Linotype" w:eastAsia="Times New Roman" w:hAnsi="Palatino Linotype" w:cs="Times New Roman"/>
          <w:b/>
          <w:bCs/>
          <w:color w:val="222222"/>
          <w:sz w:val="24"/>
          <w:szCs w:val="24"/>
          <w:lang w:val="es-ES" w:eastAsia="es-ES"/>
        </w:rPr>
        <w:t>Notifíquese a</w:t>
      </w:r>
      <w:r w:rsidRPr="00817725">
        <w:rPr>
          <w:rFonts w:ascii="Palatino Linotype" w:eastAsiaTheme="minorEastAsia" w:hAnsi="Palatino Linotype"/>
          <w:b/>
          <w:sz w:val="24"/>
          <w:szCs w:val="24"/>
          <w:lang w:val="es-ES_tradnl" w:eastAsia="es-ES"/>
        </w:rPr>
        <w:t xml:space="preserve"> </w:t>
      </w:r>
      <w:r w:rsidR="008A2C62" w:rsidRPr="008A2C62">
        <w:rPr>
          <w:rFonts w:ascii="Palatino Linotype" w:eastAsiaTheme="minorEastAsia" w:hAnsi="Palatino Linotype"/>
          <w:b/>
          <w:sz w:val="24"/>
          <w:szCs w:val="24"/>
          <w:highlight w:val="black"/>
          <w:lang w:val="es-ES_tradnl" w:eastAsia="es-ES"/>
        </w:rPr>
        <w:t>------------------------------</w:t>
      </w:r>
      <w:r w:rsidR="008A2C62">
        <w:rPr>
          <w:rFonts w:ascii="Palatino Linotype" w:eastAsiaTheme="minorEastAsia" w:hAnsi="Palatino Linotype"/>
          <w:b/>
          <w:sz w:val="24"/>
          <w:szCs w:val="24"/>
          <w:highlight w:val="black"/>
          <w:lang w:val="es-ES_tradnl" w:eastAsia="es-ES"/>
        </w:rPr>
        <w:t>---</w:t>
      </w:r>
      <w:r w:rsidR="008A2C62" w:rsidRPr="008A2C62">
        <w:rPr>
          <w:rFonts w:ascii="Palatino Linotype" w:eastAsiaTheme="minorEastAsia" w:hAnsi="Palatino Linotype"/>
          <w:b/>
          <w:sz w:val="24"/>
          <w:szCs w:val="24"/>
          <w:highlight w:val="black"/>
          <w:lang w:val="es-ES_tradnl" w:eastAsia="es-ES"/>
        </w:rPr>
        <w:t>-------</w:t>
      </w:r>
      <w:r w:rsidR="00FB38E0" w:rsidRPr="00817725">
        <w:rPr>
          <w:rFonts w:ascii="Palatino Linotype" w:eastAsiaTheme="minorEastAsia" w:hAnsi="Palatino Linotype"/>
          <w:b/>
          <w:sz w:val="24"/>
          <w:szCs w:val="24"/>
          <w:lang w:val="es-ES_tradnl" w:eastAsia="es-ES"/>
        </w:rPr>
        <w:t xml:space="preserve"> </w:t>
      </w:r>
      <w:r w:rsidRPr="00817725">
        <w:rPr>
          <w:rFonts w:ascii="Palatino Linotype" w:eastAsiaTheme="minorEastAsia" w:hAnsi="Palatino Linotype"/>
          <w:sz w:val="24"/>
          <w:szCs w:val="24"/>
          <w:lang w:val="es-ES_tradnl" w:eastAsia="es-ES"/>
        </w:rPr>
        <w:t xml:space="preserve">la presente resolución. </w:t>
      </w:r>
    </w:p>
    <w:p w:rsidR="00817725" w:rsidRPr="00817725" w:rsidRDefault="00817725" w:rsidP="00817725">
      <w:pPr>
        <w:shd w:val="clear" w:color="auto" w:fill="FFFFFF"/>
        <w:spacing w:after="0" w:line="360" w:lineRule="auto"/>
        <w:jc w:val="both"/>
        <w:rPr>
          <w:rFonts w:ascii="Palatino Linotype" w:eastAsiaTheme="minorEastAsia" w:hAnsi="Palatino Linotype"/>
          <w:sz w:val="24"/>
          <w:szCs w:val="24"/>
          <w:lang w:val="es-ES_tradnl" w:eastAsia="es-ES"/>
        </w:rPr>
      </w:pPr>
    </w:p>
    <w:p w:rsidR="001C5306" w:rsidRPr="00817725" w:rsidRDefault="001C5306" w:rsidP="00817725">
      <w:pPr>
        <w:shd w:val="clear" w:color="auto" w:fill="FFFFFF"/>
        <w:spacing w:after="0" w:line="360" w:lineRule="auto"/>
        <w:jc w:val="both"/>
        <w:rPr>
          <w:rFonts w:ascii="Palatino Linotype" w:eastAsia="MS Mincho" w:hAnsi="Palatino Linotype" w:cs="Times New Roman"/>
          <w:sz w:val="24"/>
          <w:szCs w:val="24"/>
          <w:lang w:val="es-ES" w:eastAsia="es-ES"/>
        </w:rPr>
      </w:pPr>
      <w:r w:rsidRPr="00817725">
        <w:rPr>
          <w:rFonts w:ascii="Palatino Linotype" w:eastAsia="MS Mincho" w:hAnsi="Palatino Linotype" w:cs="Times New Roman"/>
          <w:b/>
          <w:sz w:val="24"/>
          <w:szCs w:val="24"/>
          <w:lang w:eastAsia="es-ES"/>
        </w:rPr>
        <w:t>QUINTO.</w:t>
      </w:r>
      <w:r w:rsidRPr="00817725">
        <w:rPr>
          <w:rFonts w:ascii="Palatino Linotype" w:eastAsia="MS Mincho" w:hAnsi="Palatino Linotype" w:cs="Times New Roman"/>
          <w:sz w:val="24"/>
          <w:szCs w:val="24"/>
          <w:lang w:eastAsia="es-ES"/>
        </w:rPr>
        <w:t xml:space="preserve"> </w:t>
      </w:r>
      <w:r w:rsidRPr="00817725">
        <w:rPr>
          <w:rFonts w:ascii="Palatino Linotype" w:eastAsia="MS Mincho" w:hAnsi="Palatino Linotype" w:cs="Times New Roman"/>
          <w:sz w:val="24"/>
          <w:szCs w:val="24"/>
          <w:lang w:val="es-ES" w:eastAsia="es-ES"/>
        </w:rPr>
        <w:t xml:space="preserve">Se hace del conocimiento de </w:t>
      </w:r>
      <w:r w:rsidR="008A2C62" w:rsidRPr="008A2C62">
        <w:rPr>
          <w:rFonts w:ascii="Palatino Linotype" w:eastAsia="MS Mincho" w:hAnsi="Palatino Linotype" w:cs="Times New Roman"/>
          <w:b/>
          <w:sz w:val="24"/>
          <w:szCs w:val="24"/>
          <w:highlight w:val="black"/>
          <w:lang w:val="es-ES_tradnl" w:eastAsia="es-ES"/>
        </w:rPr>
        <w:t>------------------------------------------</w:t>
      </w:r>
      <w:r w:rsidR="00FB38E0" w:rsidRPr="00817725">
        <w:rPr>
          <w:rFonts w:ascii="Palatino Linotype" w:eastAsia="MS Mincho" w:hAnsi="Palatino Linotype" w:cs="Times New Roman"/>
          <w:sz w:val="24"/>
          <w:szCs w:val="24"/>
          <w:lang w:val="es-ES" w:eastAsia="es-ES"/>
        </w:rPr>
        <w:t xml:space="preserve"> </w:t>
      </w:r>
      <w:r w:rsidRPr="0081772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17725">
        <w:rPr>
          <w:rFonts w:ascii="Palatino Linotype" w:eastAsia="MS Mincho" w:hAnsi="Palatino Linotype" w:cs="Times New Roman"/>
          <w:bCs/>
          <w:sz w:val="24"/>
          <w:szCs w:val="24"/>
          <w:lang w:val="es-ES" w:eastAsia="es-ES"/>
        </w:rPr>
        <w:t>vía juicio de amparo</w:t>
      </w:r>
      <w:r w:rsidRPr="00817725">
        <w:rPr>
          <w:rFonts w:ascii="Palatino Linotype" w:eastAsia="MS Mincho" w:hAnsi="Palatino Linotype" w:cs="Times New Roman"/>
          <w:sz w:val="24"/>
          <w:szCs w:val="24"/>
          <w:lang w:val="es-ES" w:eastAsia="es-ES"/>
        </w:rPr>
        <w:t> en los términos de las leyes aplicables.</w:t>
      </w:r>
    </w:p>
    <w:bookmarkEnd w:id="123"/>
    <w:bookmarkEnd w:id="124"/>
    <w:bookmarkEnd w:id="125"/>
    <w:bookmarkEnd w:id="126"/>
    <w:bookmarkEnd w:id="127"/>
    <w:bookmarkEnd w:id="128"/>
    <w:bookmarkEnd w:id="129"/>
    <w:bookmarkEnd w:id="130"/>
    <w:p w:rsidR="001C5306" w:rsidRDefault="001C5306" w:rsidP="00817725">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81772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AE679C" w:rsidRPr="00817725">
        <w:rPr>
          <w:rFonts w:ascii="Palatino Linotype" w:eastAsiaTheme="minorEastAsia" w:hAnsi="Palatino Linotype"/>
          <w:sz w:val="24"/>
          <w:szCs w:val="24"/>
          <w:lang w:val="es-ES_tradnl" w:eastAsia="es-ES"/>
        </w:rPr>
        <w:t>MARTÍNEZ</w:t>
      </w:r>
      <w:r w:rsidRPr="00817725">
        <w:rPr>
          <w:rFonts w:ascii="Palatino Linotype" w:eastAsiaTheme="minorEastAsia" w:hAnsi="Palatino Linotype"/>
          <w:sz w:val="24"/>
          <w:szCs w:val="24"/>
          <w:lang w:val="es-ES_tradnl" w:eastAsia="es-ES"/>
        </w:rPr>
        <w:t xml:space="preserve"> </w:t>
      </w:r>
      <w:r w:rsidR="00AE679C" w:rsidRPr="00817725">
        <w:rPr>
          <w:rFonts w:ascii="Palatino Linotype" w:eastAsiaTheme="minorEastAsia" w:hAnsi="Palatino Linotype"/>
          <w:sz w:val="24"/>
          <w:szCs w:val="24"/>
          <w:lang w:val="es-ES_tradnl" w:eastAsia="es-ES"/>
        </w:rPr>
        <w:t>SÁNCHEZ</w:t>
      </w:r>
      <w:r w:rsidRPr="00817725">
        <w:rPr>
          <w:rFonts w:ascii="Palatino Linotype" w:eastAsiaTheme="minorEastAsia" w:hAnsi="Palatino Linotype"/>
          <w:sz w:val="24"/>
          <w:szCs w:val="24"/>
          <w:lang w:val="es-ES_tradnl" w:eastAsia="es-ES"/>
        </w:rPr>
        <w:t>; EVA ABAID YAPUR; JOSÉ GUADALUPE LUNA HERNÁNDEZ; JAVIER MARTÍNEZ CRUZ Y LUIS GUSTAVO PARRA NORIEGA; EN LA</w:t>
      </w:r>
      <w:r w:rsidR="00817725">
        <w:rPr>
          <w:rFonts w:ascii="Palatino Linotype" w:eastAsiaTheme="minorEastAsia" w:hAnsi="Palatino Linotype"/>
          <w:sz w:val="24"/>
          <w:szCs w:val="24"/>
          <w:lang w:val="es-ES_tradnl" w:eastAsia="es-ES"/>
        </w:rPr>
        <w:t xml:space="preserve"> TRIGÉSIMA SEXTA </w:t>
      </w:r>
      <w:r w:rsidRPr="00817725">
        <w:rPr>
          <w:rFonts w:ascii="Palatino Linotype" w:eastAsiaTheme="minorEastAsia" w:hAnsi="Palatino Linotype"/>
          <w:sz w:val="24"/>
          <w:szCs w:val="24"/>
          <w:lang w:val="es-ES_tradnl" w:eastAsia="es-ES"/>
        </w:rPr>
        <w:t>SESIÓ</w:t>
      </w:r>
      <w:r w:rsidR="00817725">
        <w:rPr>
          <w:rFonts w:ascii="Palatino Linotype" w:eastAsiaTheme="minorEastAsia" w:hAnsi="Palatino Linotype"/>
          <w:sz w:val="24"/>
          <w:szCs w:val="24"/>
          <w:lang w:val="es-ES_tradnl" w:eastAsia="es-ES"/>
        </w:rPr>
        <w:t>N ORDINARIA CELEBRADA EL DOS (02) DE OCTUBRE</w:t>
      </w:r>
      <w:r w:rsidRPr="00817725">
        <w:rPr>
          <w:rFonts w:ascii="Palatino Linotype" w:eastAsiaTheme="minorEastAsia" w:hAnsi="Palatino Linotype"/>
          <w:sz w:val="24"/>
          <w:szCs w:val="24"/>
          <w:lang w:val="es-ES_tradnl" w:eastAsia="es-ES"/>
        </w:rPr>
        <w:t xml:space="preserve"> DE DOS MIL DIECINUEVE, ANTE EL SECRETARIO TÉCNICO DEL PLENO</w:t>
      </w:r>
      <w:r w:rsidR="00817725">
        <w:rPr>
          <w:rFonts w:ascii="Palatino Linotype" w:eastAsiaTheme="minorEastAsia" w:hAnsi="Palatino Linotype"/>
          <w:sz w:val="24"/>
          <w:szCs w:val="24"/>
          <w:lang w:val="es-ES_tradnl" w:eastAsia="es-ES"/>
        </w:rPr>
        <w:t>,</w:t>
      </w:r>
      <w:r w:rsidRPr="00817725">
        <w:rPr>
          <w:rFonts w:ascii="Palatino Linotype" w:eastAsiaTheme="minorEastAsia" w:hAnsi="Palatino Linotype"/>
          <w:sz w:val="24"/>
          <w:szCs w:val="24"/>
          <w:lang w:val="es-ES_tradnl" w:eastAsia="es-ES"/>
        </w:rPr>
        <w:t xml:space="preserve"> ALEXIS TAPIA RAMÍREZ.</w:t>
      </w:r>
      <w:r w:rsidRPr="00817725">
        <w:rPr>
          <w:rFonts w:ascii="Palatino Linotype" w:eastAsiaTheme="minorEastAsia" w:hAnsi="Palatino Linotype" w:cs="Arial"/>
          <w:sz w:val="24"/>
          <w:szCs w:val="24"/>
          <w:lang w:val="es-ES_tradnl" w:eastAsia="es-ES"/>
        </w:rPr>
        <w:t xml:space="preserve">  </w:t>
      </w:r>
    </w:p>
    <w:p w:rsidR="00817725" w:rsidRPr="00817725" w:rsidRDefault="00817725" w:rsidP="00817725">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1C5306" w:rsidRPr="00817725" w:rsidTr="007231F8">
        <w:trPr>
          <w:trHeight w:val="1168"/>
        </w:trPr>
        <w:tc>
          <w:tcPr>
            <w:tcW w:w="8697" w:type="dxa"/>
            <w:gridSpan w:val="2"/>
            <w:vAlign w:val="center"/>
          </w:tcPr>
          <w:p w:rsidR="00817725" w:rsidRDefault="00817725" w:rsidP="00817725">
            <w:pPr>
              <w:spacing w:line="360" w:lineRule="auto"/>
              <w:ind w:right="-142"/>
              <w:jc w:val="center"/>
              <w:rPr>
                <w:rFonts w:ascii="Palatino Linotype" w:eastAsiaTheme="minorEastAsia" w:hAnsi="Palatino Linotype" w:cs="Times New Roman"/>
                <w:b/>
              </w:rPr>
            </w:pPr>
          </w:p>
          <w:p w:rsidR="00817725" w:rsidRDefault="00817725" w:rsidP="00817725">
            <w:pPr>
              <w:spacing w:line="360" w:lineRule="auto"/>
              <w:ind w:right="-142"/>
              <w:jc w:val="center"/>
              <w:rPr>
                <w:rFonts w:ascii="Palatino Linotype" w:eastAsiaTheme="minorEastAsia" w:hAnsi="Palatino Linotype" w:cs="Times New Roman"/>
                <w:b/>
              </w:rPr>
            </w:pPr>
          </w:p>
          <w:p w:rsidR="00817725" w:rsidRDefault="00817725"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Zulema Martínez Sánchez</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Comisionada Presidenta</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r>
      <w:tr w:rsidR="001C5306" w:rsidRPr="00817725" w:rsidTr="007231F8">
        <w:trPr>
          <w:trHeight w:val="1395"/>
        </w:trPr>
        <w:tc>
          <w:tcPr>
            <w:tcW w:w="4348" w:type="dxa"/>
            <w:vAlign w:val="center"/>
          </w:tcPr>
          <w:p w:rsidR="001C5306" w:rsidRPr="00817725" w:rsidRDefault="001C5306"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 xml:space="preserve">Eva </w:t>
            </w:r>
            <w:proofErr w:type="spellStart"/>
            <w:r w:rsidRPr="00817725">
              <w:rPr>
                <w:rFonts w:ascii="Palatino Linotype" w:eastAsiaTheme="minorEastAsia" w:hAnsi="Palatino Linotype" w:cs="Times New Roman"/>
                <w:b/>
              </w:rPr>
              <w:t>Abaid</w:t>
            </w:r>
            <w:proofErr w:type="spellEnd"/>
            <w:r w:rsidRPr="00817725">
              <w:rPr>
                <w:rFonts w:ascii="Palatino Linotype" w:eastAsiaTheme="minorEastAsia" w:hAnsi="Palatino Linotype" w:cs="Times New Roman"/>
                <w:b/>
              </w:rPr>
              <w:t xml:space="preserve"> </w:t>
            </w:r>
            <w:proofErr w:type="spellStart"/>
            <w:r w:rsidRPr="00817725">
              <w:rPr>
                <w:rFonts w:ascii="Palatino Linotype" w:eastAsiaTheme="minorEastAsia" w:hAnsi="Palatino Linotype" w:cs="Times New Roman"/>
                <w:b/>
              </w:rPr>
              <w:t>Yapur</w:t>
            </w:r>
            <w:proofErr w:type="spellEnd"/>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Comisionada</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c>
          <w:tcPr>
            <w:tcW w:w="4349" w:type="dxa"/>
            <w:vAlign w:val="center"/>
          </w:tcPr>
          <w:p w:rsidR="001C5306" w:rsidRPr="00817725" w:rsidRDefault="001C5306"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José Guadalupe Luna Hernández</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Comisionado</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r>
      <w:tr w:rsidR="001C5306" w:rsidRPr="00817725" w:rsidTr="007231F8">
        <w:trPr>
          <w:trHeight w:val="1451"/>
        </w:trPr>
        <w:tc>
          <w:tcPr>
            <w:tcW w:w="4348" w:type="dxa"/>
            <w:vAlign w:val="center"/>
          </w:tcPr>
          <w:p w:rsidR="001C5306" w:rsidRPr="00817725" w:rsidRDefault="001C5306"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Javier Martínez Cruz</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Comisionado</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c>
          <w:tcPr>
            <w:tcW w:w="4349" w:type="dxa"/>
            <w:vAlign w:val="center"/>
          </w:tcPr>
          <w:p w:rsidR="001C5306" w:rsidRPr="00817725" w:rsidRDefault="001C5306"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Luis Gustavo Parra Noriega</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Comisionado</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r>
      <w:tr w:rsidR="001C5306" w:rsidRPr="00817725" w:rsidTr="007231F8">
        <w:trPr>
          <w:trHeight w:val="1263"/>
        </w:trPr>
        <w:tc>
          <w:tcPr>
            <w:tcW w:w="8697" w:type="dxa"/>
            <w:gridSpan w:val="2"/>
            <w:vAlign w:val="center"/>
          </w:tcPr>
          <w:p w:rsidR="001C5306" w:rsidRPr="00817725" w:rsidRDefault="001C5306" w:rsidP="00817725">
            <w:pPr>
              <w:spacing w:line="360" w:lineRule="auto"/>
              <w:ind w:right="-142"/>
              <w:jc w:val="center"/>
              <w:rPr>
                <w:rFonts w:ascii="Palatino Linotype" w:eastAsiaTheme="minorEastAsia" w:hAnsi="Palatino Linotype" w:cs="Times New Roman"/>
                <w:b/>
              </w:rPr>
            </w:pPr>
          </w:p>
          <w:p w:rsidR="001C5306" w:rsidRPr="00817725" w:rsidRDefault="001C5306" w:rsidP="00817725">
            <w:pPr>
              <w:spacing w:line="360" w:lineRule="auto"/>
              <w:ind w:right="-142"/>
              <w:jc w:val="center"/>
              <w:rPr>
                <w:rFonts w:ascii="Palatino Linotype" w:eastAsiaTheme="minorEastAsia" w:hAnsi="Palatino Linotype" w:cs="Times New Roman"/>
                <w:b/>
              </w:rPr>
            </w:pPr>
            <w:r w:rsidRPr="00817725">
              <w:rPr>
                <w:rFonts w:ascii="Palatino Linotype" w:eastAsiaTheme="minorEastAsia" w:hAnsi="Palatino Linotype" w:cs="Times New Roman"/>
                <w:b/>
              </w:rPr>
              <w:t>Alexis Tapia Ramírez</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Secretario Técnico del Pleno</w:t>
            </w:r>
          </w:p>
          <w:p w:rsidR="001C5306" w:rsidRPr="00817725" w:rsidRDefault="001C5306" w:rsidP="00817725">
            <w:pPr>
              <w:spacing w:line="360" w:lineRule="auto"/>
              <w:ind w:right="-142"/>
              <w:jc w:val="center"/>
              <w:rPr>
                <w:rFonts w:ascii="Palatino Linotype" w:eastAsiaTheme="minorEastAsia" w:hAnsi="Palatino Linotype" w:cs="Times New Roman"/>
              </w:rPr>
            </w:pPr>
            <w:r w:rsidRPr="00817725">
              <w:rPr>
                <w:rFonts w:ascii="Palatino Linotype" w:eastAsiaTheme="minorEastAsia" w:hAnsi="Palatino Linotype" w:cs="Times New Roman"/>
              </w:rPr>
              <w:t>(Rúbrica)</w:t>
            </w:r>
          </w:p>
        </w:tc>
      </w:tr>
    </w:tbl>
    <w:p w:rsidR="001C5306" w:rsidRPr="00817725" w:rsidRDefault="001C5306" w:rsidP="00817725">
      <w:pPr>
        <w:spacing w:before="240" w:after="240" w:line="360" w:lineRule="auto"/>
        <w:ind w:right="-142"/>
        <w:jc w:val="both"/>
        <w:rPr>
          <w:rFonts w:ascii="Palatino Linotype" w:hAnsi="Palatino Linotype"/>
          <w:sz w:val="24"/>
          <w:szCs w:val="24"/>
        </w:rPr>
      </w:pPr>
      <w:r w:rsidRPr="00817725">
        <w:rPr>
          <w:rFonts w:ascii="Palatino Linotype" w:eastAsia="Times New Roman" w:hAnsi="Palatino Linotype" w:cs="Arial"/>
          <w:sz w:val="24"/>
          <w:szCs w:val="24"/>
          <w:lang w:val="es-ES_tradnl" w:eastAsia="es-ES"/>
        </w:rPr>
        <w:t>Esta hoja corresponde</w:t>
      </w:r>
      <w:r w:rsidR="00817725">
        <w:rPr>
          <w:rFonts w:ascii="Palatino Linotype" w:eastAsia="Times New Roman" w:hAnsi="Palatino Linotype" w:cs="Arial"/>
          <w:sz w:val="24"/>
          <w:szCs w:val="24"/>
          <w:lang w:val="es-ES_tradnl" w:eastAsia="es-ES"/>
        </w:rPr>
        <w:t xml:space="preserve"> a la resolución de fecha dos (02) de octubre </w:t>
      </w:r>
      <w:r w:rsidRPr="00817725">
        <w:rPr>
          <w:rFonts w:ascii="Palatino Linotype" w:eastAsia="Times New Roman" w:hAnsi="Palatino Linotype" w:cs="Arial"/>
          <w:sz w:val="24"/>
          <w:szCs w:val="24"/>
          <w:lang w:val="es-ES_tradnl" w:eastAsia="es-ES"/>
        </w:rPr>
        <w:t xml:space="preserve">de dos mil diecinueve, emitida en el recurso de revisión </w:t>
      </w:r>
      <w:r w:rsidR="00817725">
        <w:rPr>
          <w:rFonts w:ascii="Palatino Linotype" w:eastAsia="Times New Roman" w:hAnsi="Palatino Linotype" w:cs="Arial"/>
          <w:b/>
          <w:sz w:val="24"/>
          <w:szCs w:val="24"/>
          <w:lang w:val="es-ES_tradnl" w:eastAsia="es-ES"/>
        </w:rPr>
        <w:t>06308</w:t>
      </w:r>
      <w:r w:rsidRPr="00817725">
        <w:rPr>
          <w:rFonts w:ascii="Palatino Linotype" w:eastAsia="Times New Roman" w:hAnsi="Palatino Linotype" w:cs="Arial"/>
          <w:b/>
          <w:sz w:val="24"/>
          <w:szCs w:val="24"/>
          <w:lang w:val="es-ES_tradnl" w:eastAsia="es-ES"/>
        </w:rPr>
        <w:t>/INFOEM/IP/RR/2019</w:t>
      </w:r>
      <w:r w:rsidRPr="00817725">
        <w:rPr>
          <w:rFonts w:ascii="Palatino Linotype" w:eastAsia="Times New Roman" w:hAnsi="Palatino Linotype" w:cs="Arial"/>
          <w:sz w:val="24"/>
          <w:szCs w:val="24"/>
          <w:lang w:val="es-ES_tradnl" w:eastAsia="es-ES"/>
        </w:rPr>
        <w:t xml:space="preserve">. </w:t>
      </w:r>
    </w:p>
    <w:p w:rsidR="001C5306" w:rsidRPr="00817725" w:rsidRDefault="001C5306" w:rsidP="00817725">
      <w:pPr>
        <w:spacing w:line="360" w:lineRule="auto"/>
        <w:rPr>
          <w:rFonts w:ascii="Palatino Linotype" w:hAnsi="Palatino Linotype"/>
          <w:sz w:val="24"/>
          <w:szCs w:val="24"/>
        </w:rPr>
      </w:pPr>
    </w:p>
    <w:sectPr w:rsidR="001C5306" w:rsidRPr="00817725" w:rsidSect="00817725">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087" w:rsidRDefault="00940087" w:rsidP="001C5306">
      <w:pPr>
        <w:spacing w:after="0" w:line="240" w:lineRule="auto"/>
      </w:pPr>
      <w:r>
        <w:separator/>
      </w:r>
    </w:p>
  </w:endnote>
  <w:endnote w:type="continuationSeparator" w:id="0">
    <w:p w:rsidR="00940087" w:rsidRDefault="00940087" w:rsidP="001C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287D40" w:rsidRPr="00883450" w:rsidRDefault="00287D4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83458">
              <w:rPr>
                <w:rFonts w:ascii="Palatino Linotype" w:hAnsi="Palatino Linotype"/>
                <w:b/>
                <w:bCs/>
                <w:noProof/>
                <w:szCs w:val="20"/>
              </w:rPr>
              <w:t>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83458">
              <w:rPr>
                <w:rFonts w:ascii="Palatino Linotype" w:hAnsi="Palatino Linotype"/>
                <w:b/>
                <w:bCs/>
                <w:noProof/>
                <w:szCs w:val="20"/>
              </w:rPr>
              <w:t>59</w:t>
            </w:r>
            <w:r w:rsidRPr="00883450">
              <w:rPr>
                <w:rFonts w:ascii="Palatino Linotype" w:hAnsi="Palatino Linotype"/>
                <w:b/>
                <w:bCs/>
                <w:szCs w:val="20"/>
              </w:rPr>
              <w:fldChar w:fldCharType="end"/>
            </w:r>
          </w:p>
        </w:sdtContent>
      </w:sdt>
    </w:sdtContent>
  </w:sdt>
  <w:p w:rsidR="00287D40" w:rsidRDefault="00287D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40" w:rsidRPr="00883450" w:rsidRDefault="00287D40" w:rsidP="007231F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22032" w:rsidRPr="0082203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22032" w:rsidRPr="00822032">
      <w:rPr>
        <w:rFonts w:ascii="Palatino Linotype" w:hAnsi="Palatino Linotype"/>
        <w:noProof/>
        <w:lang w:val="es-ES"/>
      </w:rPr>
      <w:t>59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087" w:rsidRDefault="00940087" w:rsidP="001C5306">
      <w:pPr>
        <w:spacing w:after="0" w:line="240" w:lineRule="auto"/>
      </w:pPr>
      <w:r>
        <w:separator/>
      </w:r>
    </w:p>
  </w:footnote>
  <w:footnote w:type="continuationSeparator" w:id="0">
    <w:p w:rsidR="00940087" w:rsidRDefault="00940087" w:rsidP="001C5306">
      <w:pPr>
        <w:spacing w:after="0" w:line="240" w:lineRule="auto"/>
      </w:pPr>
      <w:r>
        <w:continuationSeparator/>
      </w:r>
    </w:p>
  </w:footnote>
  <w:footnote w:id="1">
    <w:p w:rsidR="00287D40" w:rsidRDefault="00287D40" w:rsidP="00B57039">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87D40" w:rsidRDefault="00287D40" w:rsidP="00B57039">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87D40" w:rsidRPr="001E1F95" w:rsidRDefault="00287D40" w:rsidP="00B57039">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287D40" w:rsidRPr="00034B44" w:rsidRDefault="00287D40" w:rsidP="00B57039">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87D40" w:rsidRPr="00034B44" w:rsidRDefault="00287D40" w:rsidP="00B57039">
      <w:pPr>
        <w:pStyle w:val="ADB1"/>
        <w:jc w:val="both"/>
        <w:rPr>
          <w:rFonts w:ascii="Palatino Linotype" w:hAnsi="Palatino Linotype"/>
          <w:sz w:val="18"/>
        </w:rPr>
      </w:pPr>
      <w:r w:rsidRPr="00034B44">
        <w:rPr>
          <w:rFonts w:ascii="Palatino Linotype" w:hAnsi="Palatino Linotype"/>
          <w:sz w:val="18"/>
        </w:rPr>
        <w:t xml:space="preserve"> (…)</w:t>
      </w:r>
    </w:p>
    <w:p w:rsidR="00287D40" w:rsidRPr="00034B44" w:rsidRDefault="00287D40" w:rsidP="00B57039">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40" w:rsidRDefault="00287D40">
    <w:pPr>
      <w:pStyle w:val="Encabezado"/>
    </w:pPr>
  </w:p>
  <w:p w:rsidR="00287D40" w:rsidRDefault="00287D40">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287D40" w:rsidRPr="00EF13C1" w:rsidTr="007231F8">
      <w:trPr>
        <w:trHeight w:val="138"/>
      </w:trPr>
      <w:tc>
        <w:tcPr>
          <w:tcW w:w="2977" w:type="dxa"/>
          <w:vAlign w:val="center"/>
        </w:tcPr>
        <w:p w:rsidR="00287D40" w:rsidRPr="00EF13C1" w:rsidRDefault="00287D40" w:rsidP="007231F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287D40" w:rsidRPr="00EF13C1" w:rsidRDefault="00287D40" w:rsidP="007231F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06308/INFOEM/IP/RR/2019  </w:t>
          </w:r>
        </w:p>
      </w:tc>
    </w:tr>
    <w:tr w:rsidR="00287D40" w:rsidRPr="00EF13C1" w:rsidTr="007231F8">
      <w:trPr>
        <w:gridAfter w:val="1"/>
        <w:wAfter w:w="142" w:type="dxa"/>
        <w:trHeight w:val="321"/>
      </w:trPr>
      <w:tc>
        <w:tcPr>
          <w:tcW w:w="2977" w:type="dxa"/>
          <w:vAlign w:val="center"/>
        </w:tcPr>
        <w:p w:rsidR="00287D40" w:rsidRPr="00EF13C1" w:rsidRDefault="00287D40" w:rsidP="007231F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287D40" w:rsidRPr="00EF13C1" w:rsidRDefault="00287D40" w:rsidP="007231F8">
          <w:pPr>
            <w:pStyle w:val="Encabezado"/>
            <w:ind w:right="-108"/>
            <w:rPr>
              <w:rFonts w:ascii="Palatino Linotype" w:hAnsi="Palatino Linotype"/>
              <w:b/>
              <w:sz w:val="22"/>
              <w:szCs w:val="22"/>
            </w:rPr>
          </w:pPr>
          <w:r>
            <w:rPr>
              <w:rFonts w:ascii="Palatino Linotype" w:hAnsi="Palatino Linotype"/>
              <w:b/>
              <w:sz w:val="22"/>
              <w:szCs w:val="22"/>
            </w:rPr>
            <w:t xml:space="preserve">                             Secretaría de Finanzas</w:t>
          </w:r>
        </w:p>
      </w:tc>
    </w:tr>
    <w:tr w:rsidR="00287D40" w:rsidRPr="00EF13C1" w:rsidTr="007231F8">
      <w:trPr>
        <w:trHeight w:val="321"/>
      </w:trPr>
      <w:tc>
        <w:tcPr>
          <w:tcW w:w="2977" w:type="dxa"/>
          <w:vAlign w:val="center"/>
        </w:tcPr>
        <w:p w:rsidR="00287D40" w:rsidRPr="00EF13C1" w:rsidRDefault="00287D40" w:rsidP="007231F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287D40" w:rsidRPr="00EF13C1" w:rsidRDefault="00287D40" w:rsidP="007231F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87D40" w:rsidRDefault="00287D40" w:rsidP="00723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40" w:rsidRDefault="00287D40" w:rsidP="007231F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287D40" w:rsidRPr="00182113" w:rsidTr="007231F8">
      <w:trPr>
        <w:trHeight w:val="138"/>
      </w:trPr>
      <w:tc>
        <w:tcPr>
          <w:tcW w:w="2532" w:type="dxa"/>
          <w:vAlign w:val="center"/>
        </w:tcPr>
        <w:p w:rsidR="00287D40" w:rsidRPr="00182113" w:rsidRDefault="00287D40" w:rsidP="007231F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287D40" w:rsidRPr="00182113" w:rsidRDefault="00287D40" w:rsidP="007231F8">
          <w:pPr>
            <w:pStyle w:val="Encabezado"/>
            <w:jc w:val="center"/>
            <w:rPr>
              <w:rFonts w:ascii="Palatino Linotype" w:hAnsi="Palatino Linotype"/>
              <w:b/>
              <w:sz w:val="22"/>
              <w:szCs w:val="22"/>
            </w:rPr>
          </w:pPr>
        </w:p>
      </w:tc>
      <w:tc>
        <w:tcPr>
          <w:tcW w:w="4536" w:type="dxa"/>
          <w:vAlign w:val="center"/>
        </w:tcPr>
        <w:p w:rsidR="00287D40" w:rsidRPr="005143E6" w:rsidRDefault="00287D40" w:rsidP="007231F8">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06308/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87D40" w:rsidRPr="00182113" w:rsidTr="007231F8">
      <w:trPr>
        <w:trHeight w:val="227"/>
      </w:trPr>
      <w:tc>
        <w:tcPr>
          <w:tcW w:w="2532" w:type="dxa"/>
          <w:vAlign w:val="center"/>
        </w:tcPr>
        <w:p w:rsidR="00287D40" w:rsidRPr="00182113" w:rsidRDefault="00287D40" w:rsidP="007231F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287D40" w:rsidRPr="00182113" w:rsidRDefault="00287D40" w:rsidP="007231F8">
          <w:pPr>
            <w:pStyle w:val="Encabezado"/>
            <w:jc w:val="center"/>
            <w:rPr>
              <w:rFonts w:ascii="Palatino Linotype" w:hAnsi="Palatino Linotype"/>
              <w:b/>
              <w:sz w:val="22"/>
              <w:szCs w:val="22"/>
            </w:rPr>
          </w:pPr>
        </w:p>
      </w:tc>
      <w:tc>
        <w:tcPr>
          <w:tcW w:w="4536" w:type="dxa"/>
          <w:vAlign w:val="center"/>
        </w:tcPr>
        <w:p w:rsidR="00287D40" w:rsidRPr="00846952" w:rsidRDefault="00287D40" w:rsidP="008A2C62">
          <w:pPr>
            <w:pStyle w:val="Encabezado"/>
            <w:ind w:right="34"/>
            <w:rPr>
              <w:rFonts w:ascii="Palatino Linotype" w:hAnsi="Palatino Linotype"/>
              <w:b/>
            </w:rPr>
          </w:pPr>
          <w:r>
            <w:rPr>
              <w:rFonts w:ascii="Palatino Linotype" w:hAnsi="Palatino Linotype"/>
              <w:b/>
              <w:sz w:val="22"/>
              <w:szCs w:val="22"/>
            </w:rPr>
            <w:t xml:space="preserve">                     </w:t>
          </w:r>
          <w:r w:rsidR="008A2C62" w:rsidRPr="008A2C62">
            <w:rPr>
              <w:rFonts w:ascii="Palatino Linotype" w:hAnsi="Palatino Linotype"/>
              <w:b/>
              <w:sz w:val="22"/>
              <w:szCs w:val="22"/>
              <w:highlight w:val="black"/>
            </w:rPr>
            <w:t>------------------------------------------</w:t>
          </w:r>
        </w:p>
      </w:tc>
    </w:tr>
    <w:tr w:rsidR="00287D40" w:rsidRPr="00182113" w:rsidTr="007231F8">
      <w:trPr>
        <w:trHeight w:val="232"/>
      </w:trPr>
      <w:tc>
        <w:tcPr>
          <w:tcW w:w="2532" w:type="dxa"/>
          <w:vAlign w:val="center"/>
        </w:tcPr>
        <w:p w:rsidR="00287D40" w:rsidRPr="00182113" w:rsidRDefault="00287D40" w:rsidP="007231F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287D40" w:rsidRPr="00182113" w:rsidRDefault="00287D40" w:rsidP="007231F8">
          <w:pPr>
            <w:pStyle w:val="Encabezado"/>
            <w:jc w:val="center"/>
            <w:rPr>
              <w:rFonts w:ascii="Palatino Linotype" w:hAnsi="Palatino Linotype"/>
              <w:b/>
              <w:sz w:val="22"/>
              <w:szCs w:val="22"/>
            </w:rPr>
          </w:pPr>
        </w:p>
      </w:tc>
      <w:tc>
        <w:tcPr>
          <w:tcW w:w="4536" w:type="dxa"/>
          <w:vAlign w:val="center"/>
        </w:tcPr>
        <w:p w:rsidR="00287D40" w:rsidRPr="00182113" w:rsidRDefault="00287D40" w:rsidP="007231F8">
          <w:pPr>
            <w:pStyle w:val="Encabezado"/>
            <w:ind w:right="34"/>
            <w:jc w:val="right"/>
            <w:rPr>
              <w:rFonts w:ascii="Palatino Linotype" w:hAnsi="Palatino Linotype"/>
              <w:b/>
              <w:sz w:val="22"/>
              <w:szCs w:val="22"/>
            </w:rPr>
          </w:pPr>
          <w:r>
            <w:rPr>
              <w:rFonts w:ascii="Palatino Linotype" w:hAnsi="Palatino Linotype"/>
              <w:b/>
              <w:sz w:val="22"/>
              <w:szCs w:val="22"/>
            </w:rPr>
            <w:t>Secretaría de Finanzas</w:t>
          </w:r>
        </w:p>
      </w:tc>
    </w:tr>
    <w:tr w:rsidR="00287D40" w:rsidRPr="00182113" w:rsidTr="007231F8">
      <w:trPr>
        <w:trHeight w:val="320"/>
      </w:trPr>
      <w:tc>
        <w:tcPr>
          <w:tcW w:w="2532" w:type="dxa"/>
          <w:vAlign w:val="center"/>
        </w:tcPr>
        <w:p w:rsidR="00287D40" w:rsidRPr="00182113" w:rsidRDefault="00287D40" w:rsidP="007231F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287D40" w:rsidRPr="00182113" w:rsidRDefault="00287D40" w:rsidP="007231F8">
          <w:pPr>
            <w:pStyle w:val="Encabezado"/>
            <w:jc w:val="center"/>
            <w:rPr>
              <w:rFonts w:ascii="Palatino Linotype" w:hAnsi="Palatino Linotype"/>
              <w:b/>
              <w:sz w:val="22"/>
              <w:szCs w:val="22"/>
            </w:rPr>
          </w:pPr>
        </w:p>
      </w:tc>
      <w:tc>
        <w:tcPr>
          <w:tcW w:w="4536" w:type="dxa"/>
          <w:vAlign w:val="center"/>
        </w:tcPr>
        <w:p w:rsidR="00287D40" w:rsidRPr="00182113" w:rsidRDefault="00287D40" w:rsidP="007231F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287D40" w:rsidRDefault="00287D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516B9"/>
    <w:multiLevelType w:val="hybridMultilevel"/>
    <w:tmpl w:val="3CE81D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239E19F6"/>
    <w:multiLevelType w:val="hybridMultilevel"/>
    <w:tmpl w:val="B9DE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AA32CFE6"/>
    <w:lvl w:ilvl="0" w:tplc="21AAC458">
      <w:start w:val="1"/>
      <w:numFmt w:val="decimal"/>
      <w:lvlText w:val="%1."/>
      <w:lvlJc w:val="left"/>
      <w:pPr>
        <w:ind w:left="433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6C38EE"/>
    <w:multiLevelType w:val="hybridMultilevel"/>
    <w:tmpl w:val="9F1C9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46D5A7C"/>
    <w:multiLevelType w:val="hybridMultilevel"/>
    <w:tmpl w:val="A9DCFF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06"/>
    <w:rsid w:val="000323A7"/>
    <w:rsid w:val="00075426"/>
    <w:rsid w:val="00132113"/>
    <w:rsid w:val="00160895"/>
    <w:rsid w:val="00164854"/>
    <w:rsid w:val="00182F9C"/>
    <w:rsid w:val="00197EE4"/>
    <w:rsid w:val="001B4E4A"/>
    <w:rsid w:val="001B5324"/>
    <w:rsid w:val="001B5574"/>
    <w:rsid w:val="001C5306"/>
    <w:rsid w:val="002573C3"/>
    <w:rsid w:val="00261DED"/>
    <w:rsid w:val="00265FA0"/>
    <w:rsid w:val="00287D40"/>
    <w:rsid w:val="00293C45"/>
    <w:rsid w:val="00366F4C"/>
    <w:rsid w:val="003C0C26"/>
    <w:rsid w:val="003C1E26"/>
    <w:rsid w:val="003D055F"/>
    <w:rsid w:val="003F6022"/>
    <w:rsid w:val="00440D9A"/>
    <w:rsid w:val="004441F2"/>
    <w:rsid w:val="0046469F"/>
    <w:rsid w:val="004733B4"/>
    <w:rsid w:val="004971B4"/>
    <w:rsid w:val="00516A24"/>
    <w:rsid w:val="0055628B"/>
    <w:rsid w:val="00621C04"/>
    <w:rsid w:val="006242FE"/>
    <w:rsid w:val="0063050C"/>
    <w:rsid w:val="006539E1"/>
    <w:rsid w:val="006D6CA3"/>
    <w:rsid w:val="006D7FC8"/>
    <w:rsid w:val="00722857"/>
    <w:rsid w:val="007231F8"/>
    <w:rsid w:val="007637C5"/>
    <w:rsid w:val="007F7938"/>
    <w:rsid w:val="00817725"/>
    <w:rsid w:val="00822032"/>
    <w:rsid w:val="00875C6E"/>
    <w:rsid w:val="00883458"/>
    <w:rsid w:val="008A2C62"/>
    <w:rsid w:val="008E7FFD"/>
    <w:rsid w:val="009041B9"/>
    <w:rsid w:val="00935ABD"/>
    <w:rsid w:val="00940087"/>
    <w:rsid w:val="00994810"/>
    <w:rsid w:val="009C06B3"/>
    <w:rsid w:val="009C2BB3"/>
    <w:rsid w:val="009E16FA"/>
    <w:rsid w:val="00A6617A"/>
    <w:rsid w:val="00A669D3"/>
    <w:rsid w:val="00AA2BC8"/>
    <w:rsid w:val="00AD35D4"/>
    <w:rsid w:val="00AD6BC2"/>
    <w:rsid w:val="00AE5BFE"/>
    <w:rsid w:val="00AE679C"/>
    <w:rsid w:val="00B13BBF"/>
    <w:rsid w:val="00B1691A"/>
    <w:rsid w:val="00B408D5"/>
    <w:rsid w:val="00B50FC7"/>
    <w:rsid w:val="00B57039"/>
    <w:rsid w:val="00B63B13"/>
    <w:rsid w:val="00BA506C"/>
    <w:rsid w:val="00BB6D77"/>
    <w:rsid w:val="00BC6869"/>
    <w:rsid w:val="00BD740A"/>
    <w:rsid w:val="00BF7743"/>
    <w:rsid w:val="00C058C5"/>
    <w:rsid w:val="00C17398"/>
    <w:rsid w:val="00CA13BC"/>
    <w:rsid w:val="00CC131D"/>
    <w:rsid w:val="00CE0DD9"/>
    <w:rsid w:val="00D1752C"/>
    <w:rsid w:val="00D20992"/>
    <w:rsid w:val="00D2149E"/>
    <w:rsid w:val="00D65C68"/>
    <w:rsid w:val="00D7464B"/>
    <w:rsid w:val="00D95126"/>
    <w:rsid w:val="00E30030"/>
    <w:rsid w:val="00E74FE9"/>
    <w:rsid w:val="00E86065"/>
    <w:rsid w:val="00F278E1"/>
    <w:rsid w:val="00F71A9E"/>
    <w:rsid w:val="00FB29F0"/>
    <w:rsid w:val="00FB38E0"/>
    <w:rsid w:val="00FC6065"/>
    <w:rsid w:val="00FD4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19B9B-EA53-4773-AF40-E5C7AA0D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13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306"/>
  </w:style>
  <w:style w:type="paragraph" w:styleId="Piedepgina">
    <w:name w:val="footer"/>
    <w:basedOn w:val="Normal"/>
    <w:link w:val="PiedepginaCar"/>
    <w:uiPriority w:val="99"/>
    <w:unhideWhenUsed/>
    <w:rsid w:val="001C5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306"/>
  </w:style>
  <w:style w:type="table" w:styleId="Tablaconcuadrcula">
    <w:name w:val="Table Grid"/>
    <w:basedOn w:val="Tablanormal"/>
    <w:uiPriority w:val="39"/>
    <w:rsid w:val="001C530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C530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4810"/>
    <w:pPr>
      <w:ind w:left="720"/>
      <w:contextualSpacing/>
    </w:pPr>
  </w:style>
  <w:style w:type="character" w:styleId="Hipervnculo">
    <w:name w:val="Hyperlink"/>
    <w:basedOn w:val="Fuentedeprrafopredeter"/>
    <w:uiPriority w:val="99"/>
    <w:unhideWhenUsed/>
    <w:rsid w:val="006D6CA3"/>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131D"/>
  </w:style>
  <w:style w:type="character" w:customStyle="1" w:styleId="Ttulo1Car">
    <w:name w:val="Título 1 Car"/>
    <w:basedOn w:val="Fuentedeprrafopredeter"/>
    <w:link w:val="Ttulo1"/>
    <w:uiPriority w:val="9"/>
    <w:rsid w:val="00CC131D"/>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63B1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63B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63B13"/>
    <w:rPr>
      <w:sz w:val="20"/>
      <w:szCs w:val="20"/>
    </w:rPr>
  </w:style>
  <w:style w:type="paragraph" w:customStyle="1" w:styleId="ADB1">
    <w:name w:val="ADB1"/>
    <w:basedOn w:val="Normal"/>
    <w:next w:val="Textonotapie"/>
    <w:uiPriority w:val="99"/>
    <w:unhideWhenUsed/>
    <w:qFormat/>
    <w:rsid w:val="00B57039"/>
    <w:pPr>
      <w:spacing w:after="0" w:line="240" w:lineRule="auto"/>
    </w:pPr>
    <w:rPr>
      <w:rFonts w:eastAsia="Cambria"/>
      <w:sz w:val="20"/>
      <w:szCs w:val="20"/>
    </w:rPr>
  </w:style>
  <w:style w:type="paragraph" w:styleId="TDC1">
    <w:name w:val="toc 1"/>
    <w:basedOn w:val="Normal"/>
    <w:next w:val="Normal"/>
    <w:autoRedefine/>
    <w:uiPriority w:val="39"/>
    <w:unhideWhenUsed/>
    <w:rsid w:val="00287D40"/>
    <w:pPr>
      <w:spacing w:after="100"/>
    </w:pPr>
  </w:style>
  <w:style w:type="paragraph" w:styleId="TDC2">
    <w:name w:val="toc 2"/>
    <w:basedOn w:val="Normal"/>
    <w:next w:val="Normal"/>
    <w:autoRedefine/>
    <w:uiPriority w:val="39"/>
    <w:unhideWhenUsed/>
    <w:rsid w:val="00287D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59</Pages>
  <Words>11813</Words>
  <Characters>64976</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2019-10-03T23:55:00Z</dcterms:created>
  <dcterms:modified xsi:type="dcterms:W3CDTF">2019-12-13T18:46:00Z</dcterms:modified>
</cp:coreProperties>
</file>