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1B2" w:rsidRPr="00F2277E" w:rsidRDefault="008E71B2" w:rsidP="008E71B2">
      <w:pPr>
        <w:spacing w:after="240" w:line="360" w:lineRule="auto"/>
        <w:jc w:val="both"/>
        <w:rPr>
          <w:rFonts w:ascii="Palatino Linotype" w:hAnsi="Palatino Linotype"/>
        </w:rPr>
      </w:pPr>
      <w:r w:rsidRPr="00F2277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F58B5">
        <w:rPr>
          <w:rFonts w:ascii="Palatino Linotype" w:hAnsi="Palatino Linotype"/>
        </w:rPr>
        <w:t>veinticuatro</w:t>
      </w:r>
      <w:r w:rsidRPr="00F2277E">
        <w:rPr>
          <w:rFonts w:ascii="Palatino Linotype" w:hAnsi="Palatino Linotype"/>
        </w:rPr>
        <w:t xml:space="preserve"> de octubre de dos mil diecinueve.</w:t>
      </w:r>
    </w:p>
    <w:p w:rsidR="008E71B2" w:rsidRPr="00F2277E" w:rsidRDefault="008E71B2" w:rsidP="008E71B2">
      <w:pPr>
        <w:spacing w:line="360" w:lineRule="auto"/>
        <w:jc w:val="both"/>
        <w:rPr>
          <w:rFonts w:ascii="Palatino Linotype" w:hAnsi="Palatino Linotype" w:cs="Arial"/>
          <w:lang w:val="es-ES"/>
        </w:rPr>
      </w:pPr>
      <w:r w:rsidRPr="00F2277E">
        <w:rPr>
          <w:rFonts w:ascii="Palatino Linotype" w:hAnsi="Palatino Linotype"/>
          <w:lang w:val="es-ES"/>
        </w:rPr>
        <w:t xml:space="preserve">VISTO el expediente formado con motivo del recurso de revisión </w:t>
      </w:r>
      <w:r w:rsidRPr="00F2277E">
        <w:rPr>
          <w:rFonts w:ascii="Palatino Linotype" w:hAnsi="Palatino Linotype"/>
          <w:b/>
          <w:lang w:val="es-ES"/>
        </w:rPr>
        <w:t>06627/INFOEM/IP/RR/2019</w:t>
      </w:r>
      <w:r w:rsidRPr="00F2277E">
        <w:rPr>
          <w:rFonts w:ascii="Palatino Linotype" w:hAnsi="Palatino Linotype"/>
          <w:lang w:val="es-ES"/>
        </w:rPr>
        <w:t xml:space="preserve"> interpuesto por un particular de manera anónima quien en lo sucesivo será </w:t>
      </w:r>
      <w:r w:rsidRPr="00F2277E">
        <w:rPr>
          <w:rFonts w:ascii="Palatino Linotype" w:hAnsi="Palatino Linotype"/>
          <w:b/>
          <w:lang w:val="es-ES"/>
        </w:rPr>
        <w:t>EL RECURRENTE,</w:t>
      </w:r>
      <w:r w:rsidRPr="00F2277E">
        <w:rPr>
          <w:rFonts w:ascii="Palatino Linotype" w:hAnsi="Palatino Linotype"/>
          <w:lang w:val="es-ES"/>
        </w:rPr>
        <w:t xml:space="preserve"> </w:t>
      </w:r>
      <w:r w:rsidRPr="00F2277E">
        <w:rPr>
          <w:rFonts w:ascii="Palatino Linotype" w:hAnsi="Palatino Linotype" w:cs="Arial"/>
          <w:lang w:val="es-ES"/>
        </w:rPr>
        <w:t xml:space="preserve">en contra de la respuesta de la </w:t>
      </w:r>
      <w:r w:rsidRPr="00F2277E">
        <w:rPr>
          <w:rFonts w:ascii="Palatino Linotype" w:hAnsi="Palatino Linotype"/>
          <w:b/>
          <w:lang w:val="es-ES_tradnl"/>
        </w:rPr>
        <w:t>Secretaría de Finanzas,</w:t>
      </w:r>
      <w:r w:rsidRPr="00F2277E">
        <w:rPr>
          <w:rFonts w:ascii="Palatino Linotype" w:hAnsi="Palatino Linotype" w:cs="Arial"/>
          <w:lang w:val="es-ES"/>
        </w:rPr>
        <w:t xml:space="preserve"> en lo sucesivo </w:t>
      </w:r>
      <w:r w:rsidRPr="00F2277E">
        <w:rPr>
          <w:rFonts w:ascii="Palatino Linotype" w:hAnsi="Palatino Linotype" w:cs="Arial"/>
          <w:b/>
          <w:lang w:val="es-ES"/>
        </w:rPr>
        <w:t xml:space="preserve">EL SUJETO OBLIGADO, </w:t>
      </w:r>
      <w:r w:rsidRPr="00F2277E">
        <w:rPr>
          <w:rFonts w:ascii="Palatino Linotype" w:hAnsi="Palatino Linotype" w:cs="Arial"/>
          <w:lang w:val="es-ES"/>
        </w:rPr>
        <w:t>se procede a dictar la presente resolución con base en lo siguiente:</w:t>
      </w:r>
    </w:p>
    <w:p w:rsidR="008E71B2" w:rsidRPr="00F2277E" w:rsidRDefault="008E71B2" w:rsidP="008E71B2">
      <w:pPr>
        <w:spacing w:before="240" w:after="120" w:line="360" w:lineRule="auto"/>
        <w:jc w:val="center"/>
        <w:rPr>
          <w:rFonts w:ascii="Palatino Linotype" w:hAnsi="Palatino Linotype"/>
          <w:b/>
          <w:bCs/>
          <w:spacing w:val="60"/>
          <w:sz w:val="28"/>
        </w:rPr>
      </w:pPr>
      <w:r w:rsidRPr="00F2277E">
        <w:rPr>
          <w:rFonts w:ascii="Palatino Linotype" w:hAnsi="Palatino Linotype"/>
          <w:b/>
          <w:bCs/>
          <w:spacing w:val="60"/>
          <w:sz w:val="28"/>
        </w:rPr>
        <w:t>RESULTANDO</w:t>
      </w:r>
    </w:p>
    <w:p w:rsidR="008E71B2" w:rsidRPr="00F2277E" w:rsidRDefault="008E71B2" w:rsidP="008E71B2">
      <w:pPr>
        <w:spacing w:before="100" w:beforeAutospacing="1" w:after="100" w:afterAutospacing="1" w:line="360" w:lineRule="auto"/>
        <w:jc w:val="both"/>
        <w:rPr>
          <w:rFonts w:ascii="Palatino Linotype" w:hAnsi="Palatino Linotype" w:cs="Arial"/>
          <w:lang w:val="es-ES"/>
        </w:rPr>
      </w:pPr>
      <w:r w:rsidRPr="00F2277E">
        <w:rPr>
          <w:rFonts w:ascii="Palatino Linotype" w:hAnsi="Palatino Linotype" w:cs="Arial"/>
          <w:b/>
          <w:sz w:val="28"/>
          <w:szCs w:val="28"/>
          <w:lang w:val="es-ES"/>
        </w:rPr>
        <w:t>I.</w:t>
      </w:r>
      <w:r w:rsidRPr="00F2277E">
        <w:rPr>
          <w:rFonts w:ascii="Palatino Linotype" w:hAnsi="Palatino Linotype" w:cs="Arial"/>
          <w:b/>
          <w:lang w:val="es-ES"/>
        </w:rPr>
        <w:t xml:space="preserve"> </w:t>
      </w:r>
      <w:r w:rsidRPr="00F2277E">
        <w:rPr>
          <w:rFonts w:ascii="Palatino Linotype" w:hAnsi="Palatino Linotype" w:cs="Arial"/>
          <w:lang w:val="es-ES"/>
        </w:rPr>
        <w:t xml:space="preserve">En fecha veintinueve de julio de dos mil diecinueve, </w:t>
      </w:r>
      <w:r w:rsidRPr="00F2277E">
        <w:rPr>
          <w:rFonts w:ascii="Palatino Linotype" w:hAnsi="Palatino Linotype" w:cs="Arial"/>
          <w:b/>
          <w:lang w:val="es-ES"/>
        </w:rPr>
        <w:t>EL RECURRENTE</w:t>
      </w:r>
      <w:r w:rsidRPr="00F2277E">
        <w:rPr>
          <w:rFonts w:ascii="Palatino Linotype" w:hAnsi="Palatino Linotype" w:cs="Arial"/>
          <w:lang w:val="es-ES"/>
        </w:rPr>
        <w:t xml:space="preserve"> presentó a través del Sistema de Acceso a la Información Mexiquense, en lo subsecuente </w:t>
      </w:r>
      <w:r w:rsidRPr="00F2277E">
        <w:rPr>
          <w:rFonts w:ascii="Palatino Linotype" w:hAnsi="Palatino Linotype" w:cs="Arial"/>
          <w:b/>
          <w:lang w:val="es-ES"/>
        </w:rPr>
        <w:t>EL SAIMEX</w:t>
      </w:r>
      <w:r w:rsidRPr="00F2277E">
        <w:rPr>
          <w:rFonts w:ascii="Palatino Linotype" w:hAnsi="Palatino Linotype" w:cs="Arial"/>
          <w:lang w:val="es-ES"/>
        </w:rPr>
        <w:t xml:space="preserve"> ante </w:t>
      </w:r>
      <w:r w:rsidRPr="00F2277E">
        <w:rPr>
          <w:rFonts w:ascii="Palatino Linotype" w:hAnsi="Palatino Linotype" w:cs="Arial"/>
          <w:b/>
          <w:lang w:val="es-ES"/>
        </w:rPr>
        <w:t>EL SUJETO OBLIGADO</w:t>
      </w:r>
      <w:r w:rsidRPr="00F2277E">
        <w:rPr>
          <w:rFonts w:ascii="Palatino Linotype" w:hAnsi="Palatino Linotype" w:cs="Arial"/>
          <w:lang w:val="es-ES"/>
        </w:rPr>
        <w:t xml:space="preserve">, </w:t>
      </w:r>
      <w:r w:rsidRPr="00F2277E">
        <w:rPr>
          <w:rFonts w:ascii="Palatino Linotype" w:hAnsi="Palatino Linotype"/>
          <w:lang w:val="es-ES"/>
        </w:rPr>
        <w:t xml:space="preserve">la solicitud de acceso a información pública, a la que se le asignó el número </w:t>
      </w:r>
      <w:r w:rsidRPr="00F2277E">
        <w:rPr>
          <w:rFonts w:ascii="Palatino Linotype" w:hAnsi="Palatino Linotype" w:cs="Arial"/>
          <w:b/>
          <w:lang w:val="es-ES"/>
        </w:rPr>
        <w:t xml:space="preserve">00637/SF/IP/2019, </w:t>
      </w:r>
      <w:r w:rsidRPr="00F2277E">
        <w:rPr>
          <w:rFonts w:ascii="Palatino Linotype" w:hAnsi="Palatino Linotype" w:cs="Arial"/>
          <w:lang w:val="es-ES"/>
        </w:rPr>
        <w:t>mediante la cual requirió:</w:t>
      </w:r>
    </w:p>
    <w:p w:rsidR="008E71B2" w:rsidRPr="00F2277E" w:rsidRDefault="008E71B2" w:rsidP="008E71B2">
      <w:pPr>
        <w:ind w:left="1134" w:right="902"/>
        <w:jc w:val="both"/>
        <w:rPr>
          <w:rFonts w:ascii="Palatino Linotype" w:hAnsi="Palatino Linotype" w:cs="Arial"/>
          <w:i/>
          <w:sz w:val="22"/>
          <w:szCs w:val="22"/>
          <w:lang w:val="es-ES"/>
        </w:rPr>
      </w:pPr>
      <w:r w:rsidRPr="00F2277E">
        <w:rPr>
          <w:rFonts w:ascii="Palatino Linotype" w:hAnsi="Palatino Linotype" w:cs="Arial"/>
          <w:i/>
          <w:sz w:val="22"/>
          <w:szCs w:val="22"/>
          <w:lang w:val="es-ES"/>
        </w:rPr>
        <w:t>“Solicito saber si existió una licitación pública para la creación, el mantenimiento, monitoreo y atención de la página oficial para el cambio obligatorio de placas en el Estado de México 2019. Y de ser así, solicito se me facilite el vínculo del contrato escaneado.” (Sic)</w:t>
      </w:r>
    </w:p>
    <w:p w:rsidR="008E71B2" w:rsidRPr="00F2277E" w:rsidRDefault="008E71B2" w:rsidP="008E71B2">
      <w:pPr>
        <w:spacing w:before="160" w:after="160"/>
        <w:ind w:right="709"/>
        <w:jc w:val="both"/>
        <w:rPr>
          <w:rFonts w:ascii="Palatino Linotype" w:hAnsi="Palatino Linotype"/>
          <w:sz w:val="22"/>
          <w:szCs w:val="22"/>
        </w:rPr>
      </w:pPr>
      <w:r w:rsidRPr="00F2277E">
        <w:rPr>
          <w:rFonts w:ascii="Palatino Linotype" w:hAnsi="Palatino Linotype"/>
          <w:b/>
        </w:rPr>
        <w:t>Modalidad de entrega:</w:t>
      </w:r>
      <w:r w:rsidRPr="00F2277E">
        <w:rPr>
          <w:rFonts w:ascii="Palatino Linotype" w:hAnsi="Palatino Linotype"/>
          <w:sz w:val="22"/>
          <w:szCs w:val="22"/>
        </w:rPr>
        <w:t xml:space="preserve"> </w:t>
      </w:r>
      <w:r w:rsidRPr="00F2277E">
        <w:rPr>
          <w:rFonts w:ascii="Palatino Linotype" w:hAnsi="Palatino Linotype"/>
        </w:rPr>
        <w:t xml:space="preserve">Vía </w:t>
      </w:r>
      <w:r w:rsidRPr="00F2277E">
        <w:rPr>
          <w:rFonts w:ascii="Palatino Linotype" w:hAnsi="Palatino Linotype"/>
          <w:b/>
        </w:rPr>
        <w:t>SAIMEX</w:t>
      </w:r>
    </w:p>
    <w:p w:rsidR="00C52253" w:rsidRPr="00F2277E" w:rsidRDefault="008E71B2" w:rsidP="00C52253">
      <w:pPr>
        <w:spacing w:before="100" w:beforeAutospacing="1" w:after="100" w:afterAutospacing="1" w:line="360" w:lineRule="auto"/>
        <w:jc w:val="both"/>
        <w:rPr>
          <w:rFonts w:ascii="Palatino Linotype" w:hAnsi="Palatino Linotype" w:cs="Arial"/>
        </w:rPr>
      </w:pPr>
      <w:bookmarkStart w:id="0" w:name="_Ref516764469"/>
      <w:r w:rsidRPr="00F2277E">
        <w:rPr>
          <w:rFonts w:ascii="Palatino Linotype" w:hAnsi="Palatino Linotype"/>
          <w:b/>
          <w:sz w:val="28"/>
          <w:szCs w:val="28"/>
        </w:rPr>
        <w:t>II.</w:t>
      </w:r>
      <w:r w:rsidRPr="00F2277E">
        <w:rPr>
          <w:rFonts w:ascii="Palatino Linotype" w:hAnsi="Palatino Linotype"/>
          <w:sz w:val="28"/>
          <w:szCs w:val="28"/>
        </w:rPr>
        <w:t xml:space="preserve"> </w:t>
      </w:r>
      <w:r w:rsidRPr="00F2277E">
        <w:rPr>
          <w:rFonts w:ascii="Palatino Linotype" w:hAnsi="Palatino Linotype"/>
        </w:rPr>
        <w:t xml:space="preserve">De las constancias que obran en </w:t>
      </w:r>
      <w:r w:rsidRPr="00F2277E">
        <w:rPr>
          <w:rFonts w:ascii="Palatino Linotype" w:hAnsi="Palatino Linotype"/>
          <w:b/>
        </w:rPr>
        <w:t>EL SAIMEX,</w:t>
      </w:r>
      <w:r w:rsidRPr="00F2277E">
        <w:rPr>
          <w:rFonts w:ascii="Palatino Linotype" w:hAnsi="Palatino Linotype"/>
        </w:rPr>
        <w:t xml:space="preserve"> se advierte que,</w:t>
      </w:r>
      <w:r w:rsidRPr="00F2277E">
        <w:rPr>
          <w:rFonts w:ascii="Palatino Linotype" w:hAnsi="Palatino Linotype"/>
          <w:b/>
        </w:rPr>
        <w:t xml:space="preserve"> EL </w:t>
      </w:r>
      <w:r w:rsidRPr="00F2277E">
        <w:rPr>
          <w:rFonts w:ascii="Palatino Linotype" w:hAnsi="Palatino Linotype" w:cs="Arial"/>
          <w:b/>
          <w:lang w:val="es-ES_tradnl"/>
        </w:rPr>
        <w:t xml:space="preserve">SUJETO OBLIGADO </w:t>
      </w:r>
      <w:r w:rsidRPr="00F2277E">
        <w:rPr>
          <w:rFonts w:ascii="Palatino Linotype" w:hAnsi="Palatino Linotype" w:cs="Arial"/>
        </w:rPr>
        <w:t xml:space="preserve">en fecha </w:t>
      </w:r>
      <w:r w:rsidR="00C52253" w:rsidRPr="00F2277E">
        <w:rPr>
          <w:rFonts w:ascii="Palatino Linotype" w:hAnsi="Palatino Linotype" w:cs="Arial"/>
        </w:rPr>
        <w:t xml:space="preserve">nueve de agosto de dos mil diecinueve, el Titular de la Unidad de Transparencia del </w:t>
      </w:r>
      <w:r w:rsidR="00C52253" w:rsidRPr="00F2277E">
        <w:rPr>
          <w:rFonts w:ascii="Palatino Linotype" w:hAnsi="Palatino Linotype" w:cs="Arial"/>
          <w:b/>
        </w:rPr>
        <w:t>SUJETO OBLIGADO,</w:t>
      </w:r>
      <w:r w:rsidR="00C52253" w:rsidRPr="00F2277E">
        <w:rPr>
          <w:rFonts w:ascii="Palatino Linotype" w:hAnsi="Palatino Linotype" w:cs="Arial"/>
        </w:rPr>
        <w:t xml:space="preserve"> turnó la solicitud de información al </w:t>
      </w:r>
      <w:r w:rsidR="00C52253" w:rsidRPr="00F2277E">
        <w:rPr>
          <w:rFonts w:ascii="Palatino Linotype" w:hAnsi="Palatino Linotype" w:cs="Arial"/>
        </w:rPr>
        <w:lastRenderedPageBreak/>
        <w:t>Servidor Público Habilitado que estimó competente, a fin de colmar el derecho de acceso a la información del particular; tal y como, se aprecia en la imagen siguiente:</w:t>
      </w:r>
    </w:p>
    <w:p w:rsidR="008E71B2" w:rsidRPr="00F2277E" w:rsidRDefault="00C52253" w:rsidP="00C52253">
      <w:pPr>
        <w:spacing w:before="100" w:beforeAutospacing="1" w:after="100" w:afterAutospacing="1" w:line="360" w:lineRule="auto"/>
        <w:jc w:val="center"/>
        <w:rPr>
          <w:rFonts w:ascii="Palatino Linotype" w:hAnsi="Palatino Linotype" w:cs="Arial"/>
        </w:rPr>
      </w:pPr>
      <w:r w:rsidRPr="00F2277E">
        <w:rPr>
          <w:noProof/>
          <w:lang w:val="es-ES"/>
        </w:rPr>
        <w:drawing>
          <wp:inline distT="0" distB="0" distL="0" distR="0" wp14:anchorId="54646054" wp14:editId="20C92148">
            <wp:extent cx="5368290" cy="781016"/>
            <wp:effectExtent l="0" t="0" r="381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20" t="38410" r="6054" b="48959"/>
                    <a:stretch/>
                  </pic:blipFill>
                  <pic:spPr bwMode="auto">
                    <a:xfrm>
                      <a:off x="0" y="0"/>
                      <a:ext cx="5506443" cy="801115"/>
                    </a:xfrm>
                    <a:prstGeom prst="rect">
                      <a:avLst/>
                    </a:prstGeom>
                    <a:ln>
                      <a:noFill/>
                    </a:ln>
                    <a:extLst>
                      <a:ext uri="{53640926-AAD7-44D8-BBD7-CCE9431645EC}">
                        <a14:shadowObscured xmlns:a14="http://schemas.microsoft.com/office/drawing/2010/main"/>
                      </a:ext>
                    </a:extLst>
                  </pic:spPr>
                </pic:pic>
              </a:graphicData>
            </a:graphic>
          </wp:inline>
        </w:drawing>
      </w:r>
    </w:p>
    <w:p w:rsidR="00C52253" w:rsidRPr="00F2277E" w:rsidRDefault="00C52253" w:rsidP="00C52253">
      <w:pPr>
        <w:spacing w:before="100" w:beforeAutospacing="1" w:after="100" w:afterAutospacing="1" w:line="360" w:lineRule="auto"/>
        <w:jc w:val="both"/>
        <w:rPr>
          <w:rFonts w:ascii="Palatino Linotype" w:hAnsi="Palatino Linotype" w:cs="Arial"/>
          <w:lang w:val="es-ES_tradnl"/>
        </w:rPr>
      </w:pPr>
      <w:r w:rsidRPr="00F2277E">
        <w:rPr>
          <w:b/>
          <w:noProof/>
          <w:sz w:val="28"/>
          <w:szCs w:val="28"/>
          <w:lang w:eastAsia="es-MX"/>
        </w:rPr>
        <w:t xml:space="preserve">III. </w:t>
      </w:r>
      <w:r w:rsidRPr="00F2277E">
        <w:rPr>
          <w:rFonts w:ascii="Palatino Linotype" w:hAnsi="Palatino Linotype"/>
          <w:lang w:val="es-ES"/>
        </w:rPr>
        <w:t xml:space="preserve">En fecha nueve de agosto de dos mil diecinueve, </w:t>
      </w:r>
      <w:r w:rsidRPr="00F2277E">
        <w:rPr>
          <w:rFonts w:ascii="Palatino Linotype" w:hAnsi="Palatino Linotype" w:cs="Arial"/>
          <w:b/>
          <w:lang w:val="es-ES_tradnl"/>
        </w:rPr>
        <w:t>EL</w:t>
      </w:r>
      <w:r w:rsidRPr="00F2277E">
        <w:rPr>
          <w:rFonts w:ascii="Palatino Linotype" w:hAnsi="Palatino Linotype" w:cs="Arial"/>
          <w:lang w:val="es-ES_tradnl"/>
        </w:rPr>
        <w:t xml:space="preserve"> </w:t>
      </w:r>
      <w:r w:rsidRPr="00F2277E">
        <w:rPr>
          <w:rFonts w:ascii="Palatino Linotype" w:hAnsi="Palatino Linotype" w:cs="Arial"/>
          <w:b/>
          <w:lang w:val="es-ES_tradnl"/>
        </w:rPr>
        <w:t>SUJETO OBLIGADO</w:t>
      </w:r>
      <w:r w:rsidRPr="00F2277E">
        <w:rPr>
          <w:rFonts w:ascii="Palatino Linotype" w:hAnsi="Palatino Linotype" w:cs="Arial"/>
          <w:lang w:val="es-ES_tradnl"/>
        </w:rPr>
        <w:t xml:space="preserve"> dio respuesta a la solicitud de información, en los siguientes términos:</w:t>
      </w:r>
    </w:p>
    <w:p w:rsidR="008E71B2" w:rsidRPr="00F2277E" w:rsidRDefault="00C52253" w:rsidP="00C52253">
      <w:pPr>
        <w:spacing w:before="100" w:beforeAutospacing="1" w:after="100" w:afterAutospacing="1" w:line="360" w:lineRule="auto"/>
        <w:jc w:val="center"/>
        <w:rPr>
          <w:rFonts w:ascii="Palatino Linotype" w:hAnsi="Palatino Linotype" w:cs="Arial"/>
          <w:b/>
          <w:sz w:val="28"/>
          <w:szCs w:val="28"/>
        </w:rPr>
      </w:pPr>
      <w:r w:rsidRPr="00F2277E">
        <w:rPr>
          <w:noProof/>
          <w:lang w:val="es-ES"/>
        </w:rPr>
        <w:drawing>
          <wp:inline distT="0" distB="0" distL="0" distR="0" wp14:anchorId="2A96D807" wp14:editId="2CCE7E77">
            <wp:extent cx="5286375" cy="4924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75" t="7557" r="28001" b="4241"/>
                    <a:stretch/>
                  </pic:blipFill>
                  <pic:spPr bwMode="auto">
                    <a:xfrm>
                      <a:off x="0" y="0"/>
                      <a:ext cx="5310105" cy="4946530"/>
                    </a:xfrm>
                    <a:prstGeom prst="rect">
                      <a:avLst/>
                    </a:prstGeom>
                    <a:ln>
                      <a:noFill/>
                    </a:ln>
                    <a:extLst>
                      <a:ext uri="{53640926-AAD7-44D8-BBD7-CCE9431645EC}">
                        <a14:shadowObscured xmlns:a14="http://schemas.microsoft.com/office/drawing/2010/main"/>
                      </a:ext>
                    </a:extLst>
                  </pic:spPr>
                </pic:pic>
              </a:graphicData>
            </a:graphic>
          </wp:inline>
        </w:drawing>
      </w:r>
    </w:p>
    <w:p w:rsidR="00C52253" w:rsidRPr="00F2277E" w:rsidRDefault="00C52253" w:rsidP="00C52253">
      <w:pPr>
        <w:spacing w:before="100" w:beforeAutospacing="1" w:after="100" w:afterAutospacing="1" w:line="360" w:lineRule="auto"/>
        <w:jc w:val="center"/>
        <w:rPr>
          <w:rFonts w:ascii="Palatino Linotype" w:hAnsi="Palatino Linotype" w:cs="Arial"/>
          <w:b/>
          <w:sz w:val="28"/>
          <w:szCs w:val="28"/>
        </w:rPr>
      </w:pPr>
      <w:r w:rsidRPr="00F2277E">
        <w:rPr>
          <w:noProof/>
          <w:lang w:val="es-ES"/>
        </w:rPr>
        <w:lastRenderedPageBreak/>
        <w:drawing>
          <wp:inline distT="0" distB="0" distL="0" distR="0" wp14:anchorId="248AA1DB" wp14:editId="49CFF03B">
            <wp:extent cx="4762935" cy="57376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85" t="16810" r="32685" b="9330"/>
                    <a:stretch/>
                  </pic:blipFill>
                  <pic:spPr bwMode="auto">
                    <a:xfrm>
                      <a:off x="0" y="0"/>
                      <a:ext cx="4795478" cy="5776811"/>
                    </a:xfrm>
                    <a:prstGeom prst="rect">
                      <a:avLst/>
                    </a:prstGeom>
                    <a:ln>
                      <a:noFill/>
                    </a:ln>
                    <a:extLst>
                      <a:ext uri="{53640926-AAD7-44D8-BBD7-CCE9431645EC}">
                        <a14:shadowObscured xmlns:a14="http://schemas.microsoft.com/office/drawing/2010/main"/>
                      </a:ext>
                    </a:extLst>
                  </pic:spPr>
                </pic:pic>
              </a:graphicData>
            </a:graphic>
          </wp:inline>
        </w:drawing>
      </w:r>
    </w:p>
    <w:p w:rsidR="008E71B2" w:rsidRPr="00F2277E" w:rsidRDefault="008E71B2" w:rsidP="008E71B2">
      <w:pPr>
        <w:spacing w:before="100" w:beforeAutospacing="1" w:after="100" w:afterAutospacing="1" w:line="360" w:lineRule="auto"/>
        <w:jc w:val="both"/>
        <w:rPr>
          <w:rFonts w:ascii="Palatino Linotype" w:hAnsi="Palatino Linotype" w:cs="Arial"/>
        </w:rPr>
      </w:pPr>
      <w:r w:rsidRPr="00F2277E">
        <w:rPr>
          <w:rFonts w:ascii="Palatino Linotype" w:hAnsi="Palatino Linotype"/>
          <w:b/>
          <w:sz w:val="28"/>
          <w:szCs w:val="28"/>
        </w:rPr>
        <w:t>I</w:t>
      </w:r>
      <w:r w:rsidR="00C52253" w:rsidRPr="00F2277E">
        <w:rPr>
          <w:rFonts w:ascii="Palatino Linotype" w:hAnsi="Palatino Linotype"/>
          <w:b/>
          <w:sz w:val="28"/>
          <w:szCs w:val="28"/>
        </w:rPr>
        <w:t>V</w:t>
      </w:r>
      <w:r w:rsidRPr="00F2277E">
        <w:rPr>
          <w:rFonts w:ascii="Palatino Linotype" w:hAnsi="Palatino Linotype"/>
          <w:b/>
          <w:sz w:val="28"/>
          <w:szCs w:val="28"/>
        </w:rPr>
        <w:t xml:space="preserve">. </w:t>
      </w:r>
      <w:r w:rsidRPr="00F2277E">
        <w:rPr>
          <w:rFonts w:ascii="Palatino Linotype" w:hAnsi="Palatino Linotype"/>
        </w:rPr>
        <w:t xml:space="preserve">Inconforme con la </w:t>
      </w:r>
      <w:r w:rsidRPr="00F2277E">
        <w:rPr>
          <w:rFonts w:ascii="Palatino Linotype" w:hAnsi="Palatino Linotype" w:cs="Arial"/>
        </w:rPr>
        <w:t xml:space="preserve">respuesta en fecha </w:t>
      </w:r>
      <w:r w:rsidR="00C52253" w:rsidRPr="00F2277E">
        <w:rPr>
          <w:rFonts w:ascii="Palatino Linotype" w:hAnsi="Palatino Linotype" w:cs="Arial"/>
        </w:rPr>
        <w:t>catorce d</w:t>
      </w:r>
      <w:r w:rsidRPr="00F2277E">
        <w:rPr>
          <w:rFonts w:ascii="Palatino Linotype" w:hAnsi="Palatino Linotype" w:cs="Arial"/>
        </w:rPr>
        <w:t xml:space="preserve">e agosto de dos mil diecinueve, </w:t>
      </w:r>
      <w:r w:rsidRPr="00F2277E">
        <w:rPr>
          <w:rFonts w:ascii="Palatino Linotype" w:hAnsi="Palatino Linotype"/>
          <w:b/>
        </w:rPr>
        <w:t>EL RECURRENTE</w:t>
      </w:r>
      <w:r w:rsidRPr="00F2277E">
        <w:rPr>
          <w:rFonts w:ascii="Palatino Linotype" w:hAnsi="Palatino Linotype"/>
        </w:rPr>
        <w:t xml:space="preserve"> interpuso el recurso de revisión objeto del presente estudio, el cual fue registrado en </w:t>
      </w:r>
      <w:r w:rsidRPr="00F2277E">
        <w:rPr>
          <w:rFonts w:ascii="Palatino Linotype" w:hAnsi="Palatino Linotype"/>
          <w:b/>
        </w:rPr>
        <w:t>EL SAIMEX</w:t>
      </w:r>
      <w:r w:rsidRPr="00F2277E">
        <w:rPr>
          <w:rFonts w:ascii="Palatino Linotype" w:hAnsi="Palatino Linotype"/>
        </w:rPr>
        <w:t xml:space="preserve"> y se le asignó el número de expediente </w:t>
      </w:r>
      <w:r w:rsidR="00C52253" w:rsidRPr="00F2277E">
        <w:rPr>
          <w:rFonts w:ascii="Palatino Linotype" w:hAnsi="Palatino Linotype"/>
          <w:b/>
        </w:rPr>
        <w:t>06627</w:t>
      </w:r>
      <w:r w:rsidRPr="00F2277E">
        <w:rPr>
          <w:rFonts w:ascii="Palatino Linotype" w:hAnsi="Palatino Linotype"/>
          <w:b/>
        </w:rPr>
        <w:t xml:space="preserve">/INFOEM/IP/RR/2019, </w:t>
      </w:r>
      <w:r w:rsidRPr="00F2277E">
        <w:rPr>
          <w:rFonts w:ascii="Palatino Linotype" w:hAnsi="Palatino Linotype" w:cs="Arial"/>
        </w:rPr>
        <w:t>en el que señaló como acto impugnado:</w:t>
      </w:r>
    </w:p>
    <w:p w:rsidR="008E71B2" w:rsidRPr="00F2277E" w:rsidRDefault="008E71B2" w:rsidP="00C52253">
      <w:pPr>
        <w:ind w:left="851" w:right="902"/>
        <w:jc w:val="both"/>
        <w:rPr>
          <w:rFonts w:ascii="Palatino Linotype" w:hAnsi="Palatino Linotype"/>
          <w:i/>
          <w:color w:val="000000"/>
          <w:sz w:val="22"/>
          <w:szCs w:val="22"/>
        </w:rPr>
      </w:pPr>
      <w:r w:rsidRPr="00F2277E">
        <w:rPr>
          <w:rFonts w:ascii="Palatino Linotype" w:hAnsi="Palatino Linotype"/>
          <w:i/>
          <w:color w:val="000000"/>
          <w:sz w:val="22"/>
          <w:szCs w:val="22"/>
        </w:rPr>
        <w:lastRenderedPageBreak/>
        <w:t>“</w:t>
      </w:r>
      <w:r w:rsidR="00C52253" w:rsidRPr="00F2277E">
        <w:rPr>
          <w:rFonts w:ascii="Palatino Linotype" w:hAnsi="Palatino Linotype"/>
          <w:i/>
          <w:color w:val="000000"/>
          <w:sz w:val="22"/>
          <w:szCs w:val="22"/>
        </w:rPr>
        <w:t xml:space="preserve">Solicité se me informara sobre la aclaración, existencia y procedimiento de la licitación pública para la creación, implementación, administración y mantenimiento de la página en </w:t>
      </w:r>
      <w:proofErr w:type="spellStart"/>
      <w:r w:rsidR="00C52253" w:rsidRPr="00F2277E">
        <w:rPr>
          <w:rFonts w:ascii="Palatino Linotype" w:hAnsi="Palatino Linotype"/>
          <w:i/>
          <w:color w:val="000000"/>
          <w:sz w:val="22"/>
          <w:szCs w:val="22"/>
        </w:rPr>
        <w:t>linea</w:t>
      </w:r>
      <w:proofErr w:type="spellEnd"/>
      <w:r w:rsidR="00C52253" w:rsidRPr="00F2277E">
        <w:rPr>
          <w:rFonts w:ascii="Palatino Linotype" w:hAnsi="Palatino Linotype"/>
          <w:i/>
          <w:color w:val="000000"/>
          <w:sz w:val="22"/>
          <w:szCs w:val="22"/>
        </w:rPr>
        <w:t xml:space="preserve"> del programa de </w:t>
      </w:r>
      <w:proofErr w:type="spellStart"/>
      <w:r w:rsidR="00C52253" w:rsidRPr="00F2277E">
        <w:rPr>
          <w:rFonts w:ascii="Palatino Linotype" w:hAnsi="Palatino Linotype"/>
          <w:i/>
          <w:color w:val="000000"/>
          <w:sz w:val="22"/>
          <w:szCs w:val="22"/>
        </w:rPr>
        <w:t>reemplacamiento</w:t>
      </w:r>
      <w:proofErr w:type="spellEnd"/>
      <w:r w:rsidR="00C52253" w:rsidRPr="00F2277E">
        <w:rPr>
          <w:rFonts w:ascii="Palatino Linotype" w:hAnsi="Palatino Linotype"/>
          <w:i/>
          <w:color w:val="000000"/>
          <w:sz w:val="22"/>
          <w:szCs w:val="22"/>
        </w:rPr>
        <w:t xml:space="preserve"> obligatorio 2019. Así como el </w:t>
      </w:r>
      <w:proofErr w:type="spellStart"/>
      <w:r w:rsidR="00C52253" w:rsidRPr="00F2277E">
        <w:rPr>
          <w:rFonts w:ascii="Palatino Linotype" w:hAnsi="Palatino Linotype"/>
          <w:i/>
          <w:color w:val="000000"/>
          <w:sz w:val="22"/>
          <w:szCs w:val="22"/>
        </w:rPr>
        <w:t>vinculo</w:t>
      </w:r>
      <w:proofErr w:type="spellEnd"/>
      <w:r w:rsidR="00C52253" w:rsidRPr="00F2277E">
        <w:rPr>
          <w:rFonts w:ascii="Palatino Linotype" w:hAnsi="Palatino Linotype"/>
          <w:i/>
          <w:color w:val="000000"/>
          <w:sz w:val="22"/>
          <w:szCs w:val="22"/>
        </w:rPr>
        <w:t xml:space="preserve"> digital que digiera al contrato escaneado de la misma licitación</w:t>
      </w:r>
      <w:r w:rsidRPr="00F2277E">
        <w:rPr>
          <w:rFonts w:ascii="Palatino Linotype" w:hAnsi="Palatino Linotype"/>
          <w:i/>
          <w:color w:val="000000"/>
          <w:sz w:val="22"/>
          <w:szCs w:val="22"/>
        </w:rPr>
        <w:t>.” (Sic)</w:t>
      </w:r>
    </w:p>
    <w:p w:rsidR="008E71B2" w:rsidRPr="00F2277E" w:rsidRDefault="008E71B2" w:rsidP="008E71B2">
      <w:pPr>
        <w:spacing w:before="100" w:beforeAutospacing="1" w:after="100" w:afterAutospacing="1" w:line="360" w:lineRule="auto"/>
        <w:jc w:val="both"/>
        <w:rPr>
          <w:rFonts w:ascii="Palatino Linotype" w:hAnsi="Palatino Linotype" w:cs="Arial"/>
        </w:rPr>
      </w:pPr>
      <w:r w:rsidRPr="00F2277E">
        <w:rPr>
          <w:rFonts w:ascii="Palatino Linotype" w:hAnsi="Palatino Linotype" w:cs="Arial"/>
        </w:rPr>
        <w:t>Asimismo, como razones o motivos de inconformidad lo siguiente:</w:t>
      </w:r>
    </w:p>
    <w:p w:rsidR="008E71B2" w:rsidRPr="00F2277E" w:rsidRDefault="008E71B2" w:rsidP="00C52253">
      <w:pPr>
        <w:ind w:left="851" w:right="902"/>
        <w:jc w:val="both"/>
        <w:rPr>
          <w:rFonts w:ascii="Palatino Linotype" w:hAnsi="Palatino Linotype"/>
          <w:i/>
          <w:color w:val="000000"/>
          <w:sz w:val="22"/>
          <w:szCs w:val="22"/>
        </w:rPr>
      </w:pPr>
      <w:r w:rsidRPr="00F2277E">
        <w:rPr>
          <w:rFonts w:ascii="Palatino Linotype" w:hAnsi="Palatino Linotype"/>
          <w:i/>
          <w:color w:val="000000"/>
          <w:sz w:val="22"/>
          <w:szCs w:val="22"/>
        </w:rPr>
        <w:t>“</w:t>
      </w:r>
      <w:r w:rsidR="00C52253" w:rsidRPr="00F2277E">
        <w:rPr>
          <w:rFonts w:ascii="Palatino Linotype" w:hAnsi="Palatino Linotype"/>
          <w:i/>
          <w:color w:val="000000"/>
          <w:sz w:val="22"/>
          <w:szCs w:val="22"/>
        </w:rPr>
        <w:t xml:space="preserve">La respuesta que se proporcionó fue incompleta y vaga, aludiendo, de manera incompetente y hasta omisa, que la información solicitada no se encontraba en poder de la dependencia sin explicación o justificación alguna, pese a que en la solicitud de manera explícita se solicitaba la aclaración sobre si existía una licitación pública que haya sido creada para el propósito del mantenimiento de la página en </w:t>
      </w:r>
      <w:proofErr w:type="spellStart"/>
      <w:r w:rsidR="00C52253" w:rsidRPr="00F2277E">
        <w:rPr>
          <w:rFonts w:ascii="Palatino Linotype" w:hAnsi="Palatino Linotype"/>
          <w:i/>
          <w:color w:val="000000"/>
          <w:sz w:val="22"/>
          <w:szCs w:val="22"/>
        </w:rPr>
        <w:t>linea</w:t>
      </w:r>
      <w:proofErr w:type="spellEnd"/>
      <w:r w:rsidR="00C52253" w:rsidRPr="00F2277E">
        <w:rPr>
          <w:rFonts w:ascii="Palatino Linotype" w:hAnsi="Palatino Linotype"/>
          <w:i/>
          <w:color w:val="000000"/>
          <w:sz w:val="22"/>
          <w:szCs w:val="22"/>
        </w:rPr>
        <w:t xml:space="preserve"> de un trámite adjudicado por la dependencia a la que se le solicitó la información</w:t>
      </w:r>
      <w:r w:rsidRPr="00F2277E">
        <w:rPr>
          <w:rFonts w:ascii="Palatino Linotype" w:hAnsi="Palatino Linotype"/>
          <w:i/>
          <w:color w:val="000000"/>
          <w:sz w:val="22"/>
          <w:szCs w:val="22"/>
        </w:rPr>
        <w:t>.” (Sic)</w:t>
      </w:r>
    </w:p>
    <w:p w:rsidR="008E71B2" w:rsidRPr="00F2277E" w:rsidRDefault="008E71B2" w:rsidP="008E71B2">
      <w:pPr>
        <w:spacing w:before="100" w:beforeAutospacing="1" w:after="100" w:afterAutospacing="1" w:line="360" w:lineRule="auto"/>
        <w:ind w:right="-91"/>
        <w:jc w:val="both"/>
        <w:rPr>
          <w:rFonts w:ascii="Palatino Linotype" w:hAnsi="Palatino Linotype" w:cs="Arial"/>
          <w:lang w:val="es-ES_tradnl"/>
        </w:rPr>
      </w:pPr>
      <w:r w:rsidRPr="00F2277E">
        <w:rPr>
          <w:rFonts w:ascii="Palatino Linotype" w:hAnsi="Palatino Linotype"/>
          <w:b/>
          <w:sz w:val="28"/>
          <w:szCs w:val="28"/>
        </w:rPr>
        <w:t xml:space="preserve">V. </w:t>
      </w:r>
      <w:bookmarkEnd w:id="0"/>
      <w:r w:rsidRPr="00F2277E">
        <w:rPr>
          <w:rFonts w:ascii="Palatino Linotype" w:hAnsi="Palatino Linotype" w:cs="Arial"/>
          <w:lang w:val="es-ES"/>
        </w:rPr>
        <w:t xml:space="preserve">El </w:t>
      </w:r>
      <w:r w:rsidR="00C52253" w:rsidRPr="00F2277E">
        <w:rPr>
          <w:rFonts w:ascii="Palatino Linotype" w:hAnsi="Palatino Linotype" w:cs="Arial"/>
          <w:lang w:val="es-ES"/>
        </w:rPr>
        <w:t xml:space="preserve">catorce </w:t>
      </w:r>
      <w:r w:rsidRPr="00F2277E">
        <w:rPr>
          <w:rFonts w:ascii="Palatino Linotype" w:hAnsi="Palatino Linotype" w:cs="Arial"/>
          <w:lang w:val="es-ES"/>
        </w:rPr>
        <w:t>de agosto de dos mil diecinueve</w:t>
      </w:r>
      <w:r w:rsidRPr="00F2277E">
        <w:rPr>
          <w:rFonts w:ascii="Palatino Linotype" w:hAnsi="Palatino Linotype"/>
          <w:lang w:val="es-ES"/>
        </w:rPr>
        <w:t>, el recurso de revisión</w:t>
      </w:r>
      <w:r w:rsidRPr="00F2277E">
        <w:rPr>
          <w:rFonts w:ascii="Palatino Linotype" w:hAnsi="Palatino Linotype" w:cs="Arial"/>
          <w:lang w:val="es-ES_tradnl"/>
        </w:rPr>
        <w:t xml:space="preserve"> de que</w:t>
      </w:r>
      <w:r w:rsidRPr="00F2277E">
        <w:rPr>
          <w:rFonts w:ascii="Palatino Linotype" w:hAnsi="Palatino Linotype" w:cs="Arial"/>
          <w:lang w:val="es-ES"/>
        </w:rPr>
        <w:t xml:space="preserve"> se trata</w:t>
      </w:r>
      <w:r w:rsidRPr="00F2277E">
        <w:rPr>
          <w:rFonts w:ascii="Palatino Linotype" w:hAnsi="Palatino Linotype" w:cs="Arial"/>
          <w:lang w:val="es-ES_tradnl"/>
        </w:rPr>
        <w:t xml:space="preserve"> se envió electrónicamente al Instituto de </w:t>
      </w:r>
      <w:r w:rsidRPr="00F2277E">
        <w:rPr>
          <w:rFonts w:ascii="Palatino Linotype" w:eastAsia="Arial Unicode MS" w:hAnsi="Palatino Linotype" w:cs="Arial"/>
          <w:lang w:val="es-ES"/>
        </w:rPr>
        <w:t>Transparencia</w:t>
      </w:r>
      <w:r w:rsidRPr="00F2277E">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F2277E">
        <w:rPr>
          <w:rFonts w:ascii="Palatino Linotype" w:hAnsi="Palatino Linotype"/>
          <w:lang w:val="es-ES"/>
        </w:rPr>
        <w:t>Ley de Transparencia y Acceso a la Información Pública del Estado de México y Municipios</w:t>
      </w:r>
      <w:r w:rsidRPr="00F2277E">
        <w:rPr>
          <w:rFonts w:ascii="Palatino Linotype" w:hAnsi="Palatino Linotype" w:cs="Arial"/>
          <w:lang w:val="es-ES_tradnl"/>
        </w:rPr>
        <w:t>, se turnó, a través del</w:t>
      </w:r>
      <w:r w:rsidRPr="00F2277E">
        <w:rPr>
          <w:rFonts w:ascii="Palatino Linotype" w:eastAsia="Arial Unicode MS" w:hAnsi="Palatino Linotype" w:cs="Arial"/>
          <w:lang w:val="es-ES_tradnl"/>
        </w:rPr>
        <w:t xml:space="preserve"> </w:t>
      </w:r>
      <w:r w:rsidRPr="00F2277E">
        <w:rPr>
          <w:rFonts w:ascii="Palatino Linotype" w:eastAsia="Arial Unicode MS" w:hAnsi="Palatino Linotype" w:cs="Arial"/>
          <w:b/>
          <w:lang w:val="es-ES_tradnl"/>
        </w:rPr>
        <w:t>SAIMEX</w:t>
      </w:r>
      <w:r w:rsidRPr="00F2277E">
        <w:rPr>
          <w:rFonts w:ascii="Palatino Linotype" w:hAnsi="Palatino Linotype"/>
          <w:lang w:val="es-ES"/>
        </w:rPr>
        <w:t xml:space="preserve">, el recurso de revisión a la </w:t>
      </w:r>
      <w:r w:rsidRPr="00F2277E">
        <w:rPr>
          <w:rFonts w:ascii="Palatino Linotype" w:hAnsi="Palatino Linotype" w:cs="Arial"/>
          <w:lang w:val="es-ES_tradnl"/>
        </w:rPr>
        <w:t xml:space="preserve">Comisionada </w:t>
      </w:r>
      <w:r w:rsidRPr="00F2277E">
        <w:rPr>
          <w:rFonts w:ascii="Palatino Linotype" w:hAnsi="Palatino Linotype" w:cs="Arial"/>
          <w:b/>
          <w:lang w:val="es-ES_tradnl"/>
        </w:rPr>
        <w:t xml:space="preserve">Eva </w:t>
      </w:r>
      <w:proofErr w:type="spellStart"/>
      <w:r w:rsidRPr="00F2277E">
        <w:rPr>
          <w:rFonts w:ascii="Palatino Linotype" w:hAnsi="Palatino Linotype" w:cs="Arial"/>
          <w:b/>
          <w:lang w:val="es-ES_tradnl"/>
        </w:rPr>
        <w:t>Abaid</w:t>
      </w:r>
      <w:proofErr w:type="spellEnd"/>
      <w:r w:rsidRPr="00F2277E">
        <w:rPr>
          <w:rFonts w:ascii="Palatino Linotype" w:hAnsi="Palatino Linotype" w:cs="Arial"/>
          <w:b/>
          <w:lang w:val="es-ES_tradnl"/>
        </w:rPr>
        <w:t xml:space="preserve"> </w:t>
      </w:r>
      <w:proofErr w:type="spellStart"/>
      <w:r w:rsidRPr="00F2277E">
        <w:rPr>
          <w:rFonts w:ascii="Palatino Linotype" w:hAnsi="Palatino Linotype" w:cs="Arial"/>
          <w:b/>
          <w:lang w:val="es-ES_tradnl"/>
        </w:rPr>
        <w:t>Yapur</w:t>
      </w:r>
      <w:proofErr w:type="spellEnd"/>
      <w:r w:rsidRPr="00F2277E">
        <w:rPr>
          <w:rFonts w:ascii="Palatino Linotype" w:hAnsi="Palatino Linotype" w:cs="Arial"/>
          <w:b/>
          <w:lang w:val="es-ES_tradnl"/>
        </w:rPr>
        <w:t xml:space="preserve">, </w:t>
      </w:r>
      <w:r w:rsidRPr="00F2277E">
        <w:rPr>
          <w:rFonts w:ascii="Palatino Linotype" w:hAnsi="Palatino Linotype" w:cs="Arial"/>
          <w:lang w:val="es-ES_tradnl"/>
        </w:rPr>
        <w:t xml:space="preserve">a efecto de que se decretará su admisión o </w:t>
      </w:r>
      <w:proofErr w:type="spellStart"/>
      <w:r w:rsidRPr="00F2277E">
        <w:rPr>
          <w:rFonts w:ascii="Palatino Linotype" w:hAnsi="Palatino Linotype" w:cs="Arial"/>
          <w:lang w:val="es-ES_tradnl"/>
        </w:rPr>
        <w:t>desechamiento</w:t>
      </w:r>
      <w:proofErr w:type="spellEnd"/>
      <w:r w:rsidRPr="00F2277E">
        <w:rPr>
          <w:rFonts w:ascii="Palatino Linotype" w:hAnsi="Palatino Linotype" w:cs="Arial"/>
          <w:lang w:val="es-ES_tradnl"/>
        </w:rPr>
        <w:t>.</w:t>
      </w:r>
    </w:p>
    <w:p w:rsidR="008E71B2" w:rsidRPr="00F2277E" w:rsidRDefault="008E71B2" w:rsidP="008E71B2">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bookmarkStart w:id="1" w:name="_Ref507070922"/>
      <w:r w:rsidRPr="00F2277E">
        <w:rPr>
          <w:rFonts w:ascii="Palatino Linotype" w:hAnsi="Palatino Linotype"/>
          <w:b/>
          <w:sz w:val="28"/>
          <w:szCs w:val="28"/>
        </w:rPr>
        <w:t>V</w:t>
      </w:r>
      <w:r w:rsidR="00C52253" w:rsidRPr="00F2277E">
        <w:rPr>
          <w:rFonts w:ascii="Palatino Linotype" w:hAnsi="Palatino Linotype"/>
          <w:b/>
          <w:sz w:val="28"/>
          <w:szCs w:val="28"/>
        </w:rPr>
        <w:t>I</w:t>
      </w:r>
      <w:r w:rsidRPr="00F2277E">
        <w:rPr>
          <w:rFonts w:ascii="Palatino Linotype" w:hAnsi="Palatino Linotype"/>
          <w:b/>
          <w:sz w:val="28"/>
          <w:szCs w:val="28"/>
        </w:rPr>
        <w:t>.</w:t>
      </w:r>
      <w:r w:rsidRPr="00F2277E">
        <w:rPr>
          <w:rFonts w:ascii="Palatino Linotype" w:hAnsi="Palatino Linotype"/>
        </w:rPr>
        <w:t xml:space="preserve"> </w:t>
      </w:r>
      <w:bookmarkEnd w:id="1"/>
      <w:r w:rsidRPr="00F2277E">
        <w:rPr>
          <w:rFonts w:ascii="Palatino Linotype" w:eastAsia="MS Mincho" w:hAnsi="Palatino Linotype" w:cs="Arial"/>
          <w:lang w:val="es-ES_tradnl"/>
        </w:rPr>
        <w:t>De las constancias de los expedientes electrónicos del</w:t>
      </w:r>
      <w:r w:rsidRPr="00F2277E">
        <w:rPr>
          <w:rFonts w:ascii="Palatino Linotype" w:eastAsia="MS Mincho" w:hAnsi="Palatino Linotype" w:cs="Arial"/>
          <w:b/>
          <w:lang w:val="es-ES_tradnl"/>
        </w:rPr>
        <w:t xml:space="preserve"> SAIMEX</w:t>
      </w:r>
      <w:r w:rsidRPr="00F2277E">
        <w:rPr>
          <w:rFonts w:ascii="Palatino Linotype" w:eastAsia="MS Mincho" w:hAnsi="Palatino Linotype" w:cs="Arial"/>
          <w:lang w:val="es-ES_tradnl"/>
        </w:rPr>
        <w:t xml:space="preserve">, se desprende que el </w:t>
      </w:r>
      <w:r w:rsidR="00C52253" w:rsidRPr="00F2277E">
        <w:rPr>
          <w:rFonts w:ascii="Palatino Linotype" w:eastAsia="MS Mincho" w:hAnsi="Palatino Linotype" w:cs="Arial"/>
          <w:lang w:val="es-ES_tradnl"/>
        </w:rPr>
        <w:t xml:space="preserve">veinte de </w:t>
      </w:r>
      <w:r w:rsidRPr="00F2277E">
        <w:rPr>
          <w:rFonts w:ascii="Palatino Linotype" w:eastAsia="MS Mincho" w:hAnsi="Palatino Linotype" w:cs="Arial"/>
          <w:lang w:val="es-ES_tradnl"/>
        </w:rPr>
        <w:t xml:space="preserve">agosto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2277E">
        <w:rPr>
          <w:rFonts w:ascii="Palatino Linotype" w:eastAsia="MS Mincho" w:hAnsi="Palatino Linotype" w:cs="Arial"/>
          <w:b/>
          <w:lang w:val="es-ES_tradnl"/>
        </w:rPr>
        <w:t xml:space="preserve">EL SUJETO OBLIGADO </w:t>
      </w:r>
      <w:r w:rsidRPr="00F2277E">
        <w:rPr>
          <w:rFonts w:ascii="Palatino Linotype" w:eastAsia="MS Mincho" w:hAnsi="Palatino Linotype" w:cs="Arial"/>
          <w:lang w:val="es-ES_tradnl"/>
        </w:rPr>
        <w:t>rindiera su Informe Justificado respectivamente.</w:t>
      </w:r>
    </w:p>
    <w:p w:rsidR="008E71B2" w:rsidRPr="00F2277E" w:rsidRDefault="008E71B2" w:rsidP="008E71B2">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F2277E">
        <w:rPr>
          <w:rFonts w:ascii="Palatino Linotype" w:hAnsi="Palatino Linotype" w:cs="Arial"/>
          <w:b/>
          <w:sz w:val="28"/>
          <w:szCs w:val="28"/>
        </w:rPr>
        <w:lastRenderedPageBreak/>
        <w:t>V</w:t>
      </w:r>
      <w:r w:rsidR="00C52253" w:rsidRPr="00F2277E">
        <w:rPr>
          <w:rFonts w:ascii="Palatino Linotype" w:hAnsi="Palatino Linotype" w:cs="Arial"/>
          <w:b/>
          <w:sz w:val="28"/>
          <w:szCs w:val="28"/>
        </w:rPr>
        <w:t>I</w:t>
      </w:r>
      <w:r w:rsidRPr="00F2277E">
        <w:rPr>
          <w:rFonts w:ascii="Palatino Linotype" w:hAnsi="Palatino Linotype" w:cs="Arial"/>
          <w:b/>
          <w:sz w:val="28"/>
          <w:szCs w:val="28"/>
        </w:rPr>
        <w:t>I.</w:t>
      </w:r>
      <w:r w:rsidRPr="00F2277E">
        <w:rPr>
          <w:rFonts w:ascii="Palatino Linotype" w:hAnsi="Palatino Linotype" w:cs="Arial"/>
        </w:rPr>
        <w:t xml:space="preserve"> De</w:t>
      </w:r>
      <w:r w:rsidRPr="00F2277E">
        <w:rPr>
          <w:rFonts w:ascii="Palatino Linotype" w:hAnsi="Palatino Linotype" w:cs="Arial"/>
          <w:lang w:val="es-ES_tradnl"/>
        </w:rPr>
        <w:t xml:space="preserve"> las </w:t>
      </w:r>
      <w:r w:rsidRPr="00F2277E">
        <w:rPr>
          <w:rFonts w:ascii="Palatino Linotype" w:hAnsi="Palatino Linotype"/>
        </w:rPr>
        <w:t>constancias</w:t>
      </w:r>
      <w:r w:rsidRPr="00F2277E">
        <w:rPr>
          <w:rFonts w:ascii="Palatino Linotype" w:hAnsi="Palatino Linotype" w:cs="Arial"/>
          <w:lang w:val="es-ES_tradnl"/>
        </w:rPr>
        <w:t xml:space="preserve"> que obran en el </w:t>
      </w:r>
      <w:r w:rsidRPr="00F2277E">
        <w:rPr>
          <w:rFonts w:ascii="Palatino Linotype" w:hAnsi="Palatino Linotype" w:cs="Arial"/>
          <w:b/>
          <w:lang w:val="es-ES_tradnl"/>
        </w:rPr>
        <w:t>SAIMEX</w:t>
      </w:r>
      <w:r w:rsidRPr="00F2277E">
        <w:rPr>
          <w:rFonts w:ascii="Palatino Linotype" w:hAnsi="Palatino Linotype" w:cs="Arial"/>
          <w:lang w:val="es-ES_tradnl"/>
        </w:rPr>
        <w:t xml:space="preserve">, se advierte que, </w:t>
      </w:r>
      <w:r w:rsidRPr="00F2277E">
        <w:rPr>
          <w:rFonts w:ascii="Palatino Linotype" w:hAnsi="Palatino Linotype" w:cs="Arial"/>
          <w:b/>
        </w:rPr>
        <w:t xml:space="preserve">EL RECURRENTE </w:t>
      </w:r>
      <w:r w:rsidRPr="00F2277E">
        <w:rPr>
          <w:rFonts w:ascii="Palatino Linotype" w:hAnsi="Palatino Linotype" w:cs="Arial"/>
        </w:rPr>
        <w:t xml:space="preserve">fue omiso en realizar manifestaciones, alegatos y ofrecer las pruebas que a su derecho </w:t>
      </w:r>
      <w:r w:rsidRPr="00F2277E">
        <w:rPr>
          <w:rFonts w:ascii="Palatino Linotype" w:hAnsi="Palatino Linotype" w:cs="Arial"/>
          <w:lang w:val="es-ES_tradnl"/>
        </w:rPr>
        <w:t xml:space="preserve">conviniera. Por otra parte, </w:t>
      </w:r>
      <w:r w:rsidRPr="00F2277E">
        <w:rPr>
          <w:rFonts w:ascii="Palatino Linotype" w:hAnsi="Palatino Linotype" w:cs="Arial"/>
          <w:b/>
          <w:lang w:val="es-ES_tradnl"/>
        </w:rPr>
        <w:t xml:space="preserve">EL SUJETO OBLIGADO </w:t>
      </w:r>
      <w:r w:rsidRPr="00F2277E">
        <w:rPr>
          <w:rFonts w:ascii="Palatino Linotype" w:hAnsi="Palatino Linotype" w:cs="Arial"/>
          <w:lang w:val="es-ES_tradnl"/>
        </w:rPr>
        <w:t>en fecha veintis</w:t>
      </w:r>
      <w:r w:rsidR="00C52253" w:rsidRPr="00F2277E">
        <w:rPr>
          <w:rFonts w:ascii="Palatino Linotype" w:hAnsi="Palatino Linotype" w:cs="Arial"/>
          <w:lang w:val="es-ES_tradnl"/>
        </w:rPr>
        <w:t xml:space="preserve">iete </w:t>
      </w:r>
      <w:r w:rsidRPr="00F2277E">
        <w:rPr>
          <w:rFonts w:ascii="Palatino Linotype" w:hAnsi="Palatino Linotype" w:cs="Arial"/>
          <w:lang w:val="es-ES_tradnl"/>
        </w:rPr>
        <w:t>de agosto de dos mil diecinueve, rindió el Informe Justificado correspondiente; tal y como se aprecia enseguida:</w:t>
      </w:r>
    </w:p>
    <w:p w:rsidR="008E71B2" w:rsidRPr="00F2277E" w:rsidRDefault="00C52253" w:rsidP="008E71B2">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F2277E">
        <w:rPr>
          <w:noProof/>
          <w:lang w:val="es-ES"/>
        </w:rPr>
        <w:drawing>
          <wp:inline distT="0" distB="0" distL="0" distR="0" wp14:anchorId="070ACB85" wp14:editId="597FA8E1">
            <wp:extent cx="5392715" cy="15122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495" t="29511" r="12994" b="31380"/>
                    <a:stretch/>
                  </pic:blipFill>
                  <pic:spPr bwMode="auto">
                    <a:xfrm>
                      <a:off x="0" y="0"/>
                      <a:ext cx="5610198" cy="1573266"/>
                    </a:xfrm>
                    <a:prstGeom prst="rect">
                      <a:avLst/>
                    </a:prstGeom>
                    <a:ln>
                      <a:noFill/>
                    </a:ln>
                    <a:extLst>
                      <a:ext uri="{53640926-AAD7-44D8-BBD7-CCE9431645EC}">
                        <a14:shadowObscured xmlns:a14="http://schemas.microsoft.com/office/drawing/2010/main"/>
                      </a:ext>
                    </a:extLst>
                  </pic:spPr>
                </pic:pic>
              </a:graphicData>
            </a:graphic>
          </wp:inline>
        </w:drawing>
      </w:r>
    </w:p>
    <w:p w:rsidR="008E71B2" w:rsidRPr="00F2277E" w:rsidRDefault="009F438A" w:rsidP="008E71B2">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F2277E">
        <w:rPr>
          <w:rFonts w:ascii="Palatino Linotype" w:eastAsia="MS Mincho" w:hAnsi="Palatino Linotype" w:cs="Arial"/>
          <w:noProof/>
          <w:lang w:val="es-ES"/>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1125220</wp:posOffset>
                </wp:positionV>
                <wp:extent cx="5622053" cy="3165230"/>
                <wp:effectExtent l="0" t="0" r="36195" b="35560"/>
                <wp:wrapNone/>
                <wp:docPr id="43" name="Conector recto 43"/>
                <wp:cNvGraphicFramePr/>
                <a:graphic xmlns:a="http://schemas.openxmlformats.org/drawingml/2006/main">
                  <a:graphicData uri="http://schemas.microsoft.com/office/word/2010/wordprocessingShape">
                    <wps:wsp>
                      <wps:cNvCnPr/>
                      <wps:spPr>
                        <a:xfrm>
                          <a:off x="0" y="0"/>
                          <a:ext cx="5622053" cy="31652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0E65E" id="Conector recto 43"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6pt" to="442.7pt,3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LDxAEAANgDAAAOAAAAZHJzL2Uyb0RvYy54bWysU9uO0zAQfUfiHyy/01xKK4ia7kNX8IKg&#10;4vIBXmfcWPJNY9O0f8/Y6WZXgIRAvDi2Z86Zc8aT3d3FGnYGjNq7njermjNw0g/anXr+7eu7V284&#10;i0m4QRjvoOdXiPxu//LFbgodtH70ZgBkROJiN4WejymFrqqiHMGKuPIBHAWVRysSHfFUDSgmYrem&#10;aut6W00eh4BeQox0ez8H+b7wKwUyfVIqQmKm56QtlRXL+pDXar8T3QlFGLW8yRD/oMIK7ajoQnUv&#10;kmDfUf9CZbVEH71KK+lt5ZXSEooHctPUP7n5MooAxQs1J4alTfH/0cqP5yMyPfT89ZozJyy90YFe&#10;SiaPDPOHUYC6NIXYUfLBHfF2iuGI2fJFoc1fMsMupbPXpbNwSUzS5WbbtvWGKkiKrZvtpl2X3ldP&#10;8IAxvQdvWd703GiXrYtOnD/ERCUp9TElXxvHJhq4t/VmJsr6ZkVll64G5rTPoMgfaWgKXZksOBhk&#10;Z0EzIaQEl5rskAoYR9kZprQxC7D+M/CWn6FQpu5vwAuiVPYuLWCrncffVU+XR8lqzif5z3zn7YMf&#10;ruWtSoDGpzi8jXqez+fnAn/6Ifc/AAAA//8DAFBLAwQUAAYACAAAACEAf++oUNwAAAAIAQAADwAA&#10;AGRycy9kb3ducmV2LnhtbEyPwU7DMBBE70j8g7VI3KhDRZsoxKkgCHFBQqSIsxsvcYS9G8VuGv4e&#10;c6LH2VnNvKl2i3dixikMTApuVxkIpI7NQL2Cj/3zTQEiRE1GOyZU8IMBdvXlRaVLwyd6x7mNvUgh&#10;FEqtwMY4llKGzqLXYcUjUvK+ePI6Jjn10kz6lMK9k+ss20qvB0oNVo/YWOy+26NXIF/l4wu/Of5s&#10;Busd79tZPzVKXV8tD/cgIi7x/xn+8BM61InpwEcyQTgFaUhM1zxfg0h2UWzuQBwUbPNNDrKu5PmA&#10;+hcAAP//AwBQSwECLQAUAAYACAAAACEAtoM4kv4AAADhAQAAEwAAAAAAAAAAAAAAAAAAAAAAW0Nv&#10;bnRlbnRfVHlwZXNdLnhtbFBLAQItABQABgAIAAAAIQA4/SH/1gAAAJQBAAALAAAAAAAAAAAAAAAA&#10;AC8BAABfcmVscy8ucmVsc1BLAQItABQABgAIAAAAIQCRhhLDxAEAANgDAAAOAAAAAAAAAAAAAAAA&#10;AC4CAABkcnMvZTJvRG9jLnhtbFBLAQItABQABgAIAAAAIQB/76hQ3AAAAAgBAAAPAAAAAAAAAAAA&#10;AAAAAB4EAABkcnMvZG93bnJldi54bWxQSwUGAAAAAAQABADzAAAAJwUAAAAA&#10;" strokecolor="#5b9bd5 [3204]" strokeweight="1.5pt">
                <v:stroke joinstyle="miter"/>
                <w10:wrap anchorx="margin"/>
              </v:line>
            </w:pict>
          </mc:Fallback>
        </mc:AlternateContent>
      </w:r>
      <w:r w:rsidR="008E71B2" w:rsidRPr="00F2277E">
        <w:rPr>
          <w:rFonts w:ascii="Palatino Linotype" w:eastAsia="MS Mincho" w:hAnsi="Palatino Linotype" w:cs="Arial"/>
          <w:lang w:val="es-ES_tradnl"/>
        </w:rPr>
        <w:t>Mismo que al no actualizar el supuesto previsto en la fracción III del artículo 185 de la Ley de la materia no fue puesto a disposición del solicitante; motivo por el cual, para que sea de su conocimiento el total de las actuaciones que obran en el expediente electrónico, se inserta a continuación:</w:t>
      </w:r>
    </w:p>
    <w:p w:rsidR="008E71B2" w:rsidRPr="00F2277E" w:rsidRDefault="005A7C60" w:rsidP="008E71B2">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F2277E">
        <w:rPr>
          <w:noProof/>
          <w:lang w:val="es-ES"/>
        </w:rPr>
        <w:lastRenderedPageBreak/>
        <w:drawing>
          <wp:inline distT="0" distB="0" distL="0" distR="0" wp14:anchorId="6E40EDB6" wp14:editId="1200DDC9">
            <wp:extent cx="5207635" cy="7267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841" t="9871" r="32859" b="14727"/>
                    <a:stretch/>
                  </pic:blipFill>
                  <pic:spPr bwMode="auto">
                    <a:xfrm>
                      <a:off x="0" y="0"/>
                      <a:ext cx="5403951" cy="7541546"/>
                    </a:xfrm>
                    <a:prstGeom prst="rect">
                      <a:avLst/>
                    </a:prstGeom>
                    <a:ln>
                      <a:noFill/>
                    </a:ln>
                    <a:extLst>
                      <a:ext uri="{53640926-AAD7-44D8-BBD7-CCE9431645EC}">
                        <a14:shadowObscured xmlns:a14="http://schemas.microsoft.com/office/drawing/2010/main"/>
                      </a:ext>
                    </a:extLst>
                  </pic:spPr>
                </pic:pic>
              </a:graphicData>
            </a:graphic>
          </wp:inline>
        </w:drawing>
      </w:r>
    </w:p>
    <w:p w:rsidR="005A7C60" w:rsidRPr="00F2277E" w:rsidRDefault="005A7C60" w:rsidP="008E71B2">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F2277E">
        <w:rPr>
          <w:noProof/>
          <w:lang w:val="es-ES"/>
        </w:rPr>
        <w:lastRenderedPageBreak/>
        <w:drawing>
          <wp:inline distT="0" distB="0" distL="0" distR="0" wp14:anchorId="01B58D58" wp14:editId="7D280DDD">
            <wp:extent cx="5349240" cy="771525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101" t="8020" r="32772" b="15189"/>
                    <a:stretch/>
                  </pic:blipFill>
                  <pic:spPr bwMode="auto">
                    <a:xfrm>
                      <a:off x="0" y="0"/>
                      <a:ext cx="5482808" cy="7907896"/>
                    </a:xfrm>
                    <a:prstGeom prst="rect">
                      <a:avLst/>
                    </a:prstGeom>
                    <a:ln>
                      <a:noFill/>
                    </a:ln>
                    <a:extLst>
                      <a:ext uri="{53640926-AAD7-44D8-BBD7-CCE9431645EC}">
                        <a14:shadowObscured xmlns:a14="http://schemas.microsoft.com/office/drawing/2010/main"/>
                      </a:ext>
                    </a:extLst>
                  </pic:spPr>
                </pic:pic>
              </a:graphicData>
            </a:graphic>
          </wp:inline>
        </w:drawing>
      </w:r>
    </w:p>
    <w:p w:rsidR="005A7C60" w:rsidRPr="00F2277E" w:rsidRDefault="005A7C60" w:rsidP="008E71B2">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F2277E">
        <w:rPr>
          <w:noProof/>
          <w:lang w:val="es-ES"/>
        </w:rPr>
        <w:lastRenderedPageBreak/>
        <w:drawing>
          <wp:inline distT="0" distB="0" distL="0" distR="0" wp14:anchorId="3C1C1836" wp14:editId="779C56A1">
            <wp:extent cx="5181600" cy="7562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94" t="8327" r="33206" b="15190"/>
                    <a:stretch/>
                  </pic:blipFill>
                  <pic:spPr bwMode="auto">
                    <a:xfrm>
                      <a:off x="0" y="0"/>
                      <a:ext cx="5291155" cy="7722752"/>
                    </a:xfrm>
                    <a:prstGeom prst="rect">
                      <a:avLst/>
                    </a:prstGeom>
                    <a:ln>
                      <a:noFill/>
                    </a:ln>
                    <a:extLst>
                      <a:ext uri="{53640926-AAD7-44D8-BBD7-CCE9431645EC}">
                        <a14:shadowObscured xmlns:a14="http://schemas.microsoft.com/office/drawing/2010/main"/>
                      </a:ext>
                    </a:extLst>
                  </pic:spPr>
                </pic:pic>
              </a:graphicData>
            </a:graphic>
          </wp:inline>
        </w:drawing>
      </w:r>
    </w:p>
    <w:p w:rsidR="005A7C60" w:rsidRPr="00F2277E" w:rsidRDefault="005A7C60" w:rsidP="008E71B2">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F2277E">
        <w:rPr>
          <w:noProof/>
          <w:lang w:val="es-ES"/>
        </w:rPr>
        <w:lastRenderedPageBreak/>
        <w:drawing>
          <wp:inline distT="0" distB="0" distL="0" distR="0" wp14:anchorId="1047E27D" wp14:editId="47F2D70A">
            <wp:extent cx="5219700" cy="7599968"/>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840" t="8019" r="32685" b="16577"/>
                    <a:stretch/>
                  </pic:blipFill>
                  <pic:spPr bwMode="auto">
                    <a:xfrm>
                      <a:off x="0" y="0"/>
                      <a:ext cx="5320085" cy="7746130"/>
                    </a:xfrm>
                    <a:prstGeom prst="rect">
                      <a:avLst/>
                    </a:prstGeom>
                    <a:ln>
                      <a:noFill/>
                    </a:ln>
                    <a:extLst>
                      <a:ext uri="{53640926-AAD7-44D8-BBD7-CCE9431645EC}">
                        <a14:shadowObscured xmlns:a14="http://schemas.microsoft.com/office/drawing/2010/main"/>
                      </a:ext>
                    </a:extLst>
                  </pic:spPr>
                </pic:pic>
              </a:graphicData>
            </a:graphic>
          </wp:inline>
        </w:drawing>
      </w:r>
    </w:p>
    <w:p w:rsidR="005A7C60" w:rsidRPr="00F2277E" w:rsidRDefault="005A7C60" w:rsidP="008E71B2">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F2277E">
        <w:rPr>
          <w:noProof/>
          <w:lang w:val="es-ES"/>
        </w:rPr>
        <w:lastRenderedPageBreak/>
        <w:drawing>
          <wp:inline distT="0" distB="0" distL="0" distR="0" wp14:anchorId="5D0A4AC6" wp14:editId="2460B8D5">
            <wp:extent cx="5267325" cy="75342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50" t="16810" r="28088" b="9946"/>
                    <a:stretch/>
                  </pic:blipFill>
                  <pic:spPr bwMode="auto">
                    <a:xfrm>
                      <a:off x="0" y="0"/>
                      <a:ext cx="5371239" cy="7682911"/>
                    </a:xfrm>
                    <a:prstGeom prst="rect">
                      <a:avLst/>
                    </a:prstGeom>
                    <a:ln>
                      <a:noFill/>
                    </a:ln>
                    <a:extLst>
                      <a:ext uri="{53640926-AAD7-44D8-BBD7-CCE9431645EC}">
                        <a14:shadowObscured xmlns:a14="http://schemas.microsoft.com/office/drawing/2010/main"/>
                      </a:ext>
                    </a:extLst>
                  </pic:spPr>
                </pic:pic>
              </a:graphicData>
            </a:graphic>
          </wp:inline>
        </w:drawing>
      </w:r>
    </w:p>
    <w:p w:rsidR="005A7C60" w:rsidRPr="00F2277E" w:rsidRDefault="005A7C60" w:rsidP="008E71B2">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F2277E">
        <w:rPr>
          <w:noProof/>
          <w:lang w:val="es-ES"/>
        </w:rPr>
        <w:lastRenderedPageBreak/>
        <w:drawing>
          <wp:inline distT="0" distB="0" distL="0" distR="0" wp14:anchorId="19F8FE3B" wp14:editId="21DFF25F">
            <wp:extent cx="5343525" cy="74676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194" t="13730" r="32773" b="15806"/>
                    <a:stretch/>
                  </pic:blipFill>
                  <pic:spPr bwMode="auto">
                    <a:xfrm>
                      <a:off x="0" y="0"/>
                      <a:ext cx="5409889" cy="7560344"/>
                    </a:xfrm>
                    <a:prstGeom prst="rect">
                      <a:avLst/>
                    </a:prstGeom>
                    <a:ln>
                      <a:noFill/>
                    </a:ln>
                    <a:extLst>
                      <a:ext uri="{53640926-AAD7-44D8-BBD7-CCE9431645EC}">
                        <a14:shadowObscured xmlns:a14="http://schemas.microsoft.com/office/drawing/2010/main"/>
                      </a:ext>
                    </a:extLst>
                  </pic:spPr>
                </pic:pic>
              </a:graphicData>
            </a:graphic>
          </wp:inline>
        </w:drawing>
      </w:r>
    </w:p>
    <w:p w:rsidR="008E71B2" w:rsidRPr="00F2277E" w:rsidRDefault="008E71B2" w:rsidP="008E71B2">
      <w:pPr>
        <w:pStyle w:val="Prrafodelista"/>
        <w:tabs>
          <w:tab w:val="left" w:pos="709"/>
        </w:tabs>
        <w:spacing w:before="200" w:after="200" w:line="360" w:lineRule="auto"/>
        <w:ind w:left="0"/>
        <w:jc w:val="both"/>
        <w:rPr>
          <w:rFonts w:ascii="Palatino Linotype" w:hAnsi="Palatino Linotype" w:cs="Arial"/>
        </w:rPr>
      </w:pPr>
      <w:r w:rsidRPr="00F2277E">
        <w:rPr>
          <w:rFonts w:ascii="Palatino Linotype" w:hAnsi="Palatino Linotype" w:cs="Arial"/>
          <w:b/>
          <w:sz w:val="28"/>
          <w:szCs w:val="28"/>
        </w:rPr>
        <w:lastRenderedPageBreak/>
        <w:t>V</w:t>
      </w:r>
      <w:r w:rsidR="005A7C60" w:rsidRPr="00F2277E">
        <w:rPr>
          <w:rFonts w:ascii="Palatino Linotype" w:hAnsi="Palatino Linotype" w:cs="Arial"/>
          <w:b/>
          <w:sz w:val="28"/>
          <w:szCs w:val="28"/>
        </w:rPr>
        <w:t>I</w:t>
      </w:r>
      <w:r w:rsidRPr="00F2277E">
        <w:rPr>
          <w:rFonts w:ascii="Palatino Linotype" w:hAnsi="Palatino Linotype" w:cs="Arial"/>
          <w:b/>
          <w:sz w:val="28"/>
          <w:szCs w:val="28"/>
        </w:rPr>
        <w:t>II.</w:t>
      </w:r>
      <w:r w:rsidRPr="00F2277E">
        <w:rPr>
          <w:rFonts w:ascii="Palatino Linotype" w:hAnsi="Palatino Linotype" w:cs="Arial"/>
        </w:rPr>
        <w:t xml:space="preserve"> </w:t>
      </w:r>
      <w:bookmarkStart w:id="2" w:name="_Ref529870989"/>
      <w:r w:rsidRPr="00F2277E">
        <w:rPr>
          <w:rFonts w:ascii="Palatino Linotype" w:hAnsi="Palatino Linotype" w:cs="Arial"/>
        </w:rPr>
        <w:t xml:space="preserve">Una vez analizado el estado procesal que guarda el expediente, en fecha </w:t>
      </w:r>
      <w:r w:rsidR="00724EDD" w:rsidRPr="00F2277E">
        <w:rPr>
          <w:rFonts w:ascii="Palatino Linotype" w:hAnsi="Palatino Linotype" w:cs="Arial"/>
        </w:rPr>
        <w:t xml:space="preserve">treinta </w:t>
      </w:r>
      <w:r w:rsidRPr="00F2277E">
        <w:rPr>
          <w:rFonts w:ascii="Palatino Linotype" w:hAnsi="Palatino Linotype" w:cs="Arial"/>
        </w:rPr>
        <w:t xml:space="preserve">de agosto de dos mil diecinueve, la Comisionada Ponente acordó el cierre de instrucción, así </w:t>
      </w:r>
      <w:r w:rsidRPr="00F2277E">
        <w:rPr>
          <w:rFonts w:ascii="Palatino Linotype" w:hAnsi="Palatino Linotype" w:cs="Arial"/>
          <w:lang w:val="es-ES_tradnl"/>
        </w:rPr>
        <w:t>como</w:t>
      </w:r>
      <w:r w:rsidRPr="00F2277E">
        <w:rPr>
          <w:rFonts w:ascii="Palatino Linotype" w:hAnsi="Palatino Linotype" w:cs="Arial"/>
        </w:rPr>
        <w:t xml:space="preserve"> la remisión del mismo a efecto </w:t>
      </w:r>
      <w:r w:rsidRPr="00F2277E">
        <w:rPr>
          <w:rFonts w:ascii="Palatino Linotype" w:hAnsi="Palatino Linotype" w:cs="Arial"/>
          <w:lang w:val="es-ES_tradnl"/>
        </w:rPr>
        <w:t>de</w:t>
      </w:r>
      <w:r w:rsidRPr="00F2277E">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8E71B2" w:rsidRPr="00F2277E" w:rsidRDefault="008E71B2" w:rsidP="008E71B2">
      <w:pPr>
        <w:pStyle w:val="Prrafodelista"/>
        <w:tabs>
          <w:tab w:val="left" w:pos="709"/>
        </w:tabs>
        <w:spacing w:before="200" w:after="200" w:line="360" w:lineRule="auto"/>
        <w:ind w:left="0"/>
        <w:jc w:val="both"/>
        <w:rPr>
          <w:rFonts w:ascii="Palatino Linotype" w:hAnsi="Palatino Linotype" w:cs="Arial"/>
        </w:rPr>
      </w:pPr>
      <w:r w:rsidRPr="00F2277E">
        <w:rPr>
          <w:rFonts w:ascii="Palatino Linotype" w:hAnsi="Palatino Linotype" w:cs="Arial"/>
          <w:b/>
          <w:sz w:val="28"/>
          <w:szCs w:val="28"/>
        </w:rPr>
        <w:t>I</w:t>
      </w:r>
      <w:r w:rsidR="00724EDD" w:rsidRPr="00F2277E">
        <w:rPr>
          <w:rFonts w:ascii="Palatino Linotype" w:hAnsi="Palatino Linotype" w:cs="Arial"/>
          <w:b/>
          <w:sz w:val="28"/>
          <w:szCs w:val="28"/>
        </w:rPr>
        <w:t>X</w:t>
      </w:r>
      <w:r w:rsidRPr="00F2277E">
        <w:rPr>
          <w:rFonts w:ascii="Palatino Linotype" w:hAnsi="Palatino Linotype" w:cs="Arial"/>
          <w:b/>
          <w:sz w:val="28"/>
          <w:szCs w:val="28"/>
        </w:rPr>
        <w:t>.</w:t>
      </w:r>
      <w:r w:rsidRPr="00F2277E">
        <w:rPr>
          <w:rFonts w:ascii="Palatino Linotype" w:hAnsi="Palatino Linotype" w:cs="Arial"/>
        </w:rPr>
        <w:t xml:space="preserve"> </w:t>
      </w:r>
      <w:r w:rsidRPr="00F2277E">
        <w:rPr>
          <w:rFonts w:ascii="Palatino Linotype" w:hAnsi="Palatino Linotype"/>
        </w:rPr>
        <w:t xml:space="preserve">En fecha </w:t>
      </w:r>
      <w:r w:rsidR="00724EDD" w:rsidRPr="00F2277E">
        <w:rPr>
          <w:rFonts w:ascii="Palatino Linotype" w:hAnsi="Palatino Linotype"/>
        </w:rPr>
        <w:t xml:space="preserve">dos de octubre </w:t>
      </w:r>
      <w:r w:rsidRPr="00F2277E">
        <w:rPr>
          <w:rFonts w:ascii="Palatino Linotype" w:hAnsi="Palatino Linotype"/>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bookmarkEnd w:id="2"/>
    <w:p w:rsidR="002F58B5" w:rsidRPr="002F58B5" w:rsidRDefault="002F58B5" w:rsidP="002F58B5">
      <w:pPr>
        <w:spacing w:line="360" w:lineRule="auto"/>
        <w:jc w:val="center"/>
        <w:rPr>
          <w:rFonts w:ascii="Palatino Linotype" w:hAnsi="Palatino Linotype"/>
          <w:b/>
          <w:bCs/>
          <w:spacing w:val="60"/>
          <w:sz w:val="22"/>
          <w:szCs w:val="22"/>
        </w:rPr>
      </w:pPr>
    </w:p>
    <w:p w:rsidR="008E71B2" w:rsidRDefault="008E71B2" w:rsidP="002F58B5">
      <w:pPr>
        <w:spacing w:line="360" w:lineRule="auto"/>
        <w:jc w:val="center"/>
        <w:rPr>
          <w:rFonts w:ascii="Palatino Linotype" w:hAnsi="Palatino Linotype"/>
          <w:b/>
          <w:bCs/>
          <w:spacing w:val="60"/>
          <w:sz w:val="28"/>
        </w:rPr>
      </w:pPr>
      <w:r w:rsidRPr="00F2277E">
        <w:rPr>
          <w:rFonts w:ascii="Palatino Linotype" w:hAnsi="Palatino Linotype"/>
          <w:b/>
          <w:bCs/>
          <w:spacing w:val="60"/>
          <w:sz w:val="28"/>
        </w:rPr>
        <w:t>CONSIDERANDO</w:t>
      </w:r>
    </w:p>
    <w:p w:rsidR="002F58B5" w:rsidRPr="002F58B5" w:rsidRDefault="002F58B5" w:rsidP="002F58B5">
      <w:pPr>
        <w:spacing w:line="360" w:lineRule="auto"/>
        <w:jc w:val="center"/>
        <w:rPr>
          <w:rFonts w:ascii="Palatino Linotype" w:hAnsi="Palatino Linotype"/>
          <w:b/>
          <w:bCs/>
          <w:spacing w:val="60"/>
          <w:sz w:val="22"/>
          <w:szCs w:val="22"/>
        </w:rPr>
      </w:pPr>
    </w:p>
    <w:p w:rsidR="008E71B2" w:rsidRPr="00F2277E" w:rsidRDefault="008E71B2" w:rsidP="002F58B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F2277E">
        <w:rPr>
          <w:rFonts w:ascii="Palatino Linotype" w:hAnsi="Palatino Linotype"/>
          <w:b/>
          <w:sz w:val="28"/>
          <w:szCs w:val="28"/>
        </w:rPr>
        <w:t>PRIMERO.</w:t>
      </w:r>
      <w:r w:rsidRPr="00F2277E">
        <w:rPr>
          <w:rFonts w:ascii="Palatino Linotype" w:hAnsi="Palatino Linotype"/>
          <w:b/>
        </w:rPr>
        <w:t xml:space="preserve"> Competencia</w:t>
      </w:r>
      <w:r w:rsidRPr="00F2277E">
        <w:rPr>
          <w:rFonts w:ascii="Palatino Linotype" w:hAnsi="Palatino Linotype"/>
        </w:rPr>
        <w:t>.</w:t>
      </w:r>
      <w:r w:rsidRPr="00F2277E">
        <w:rPr>
          <w:rFonts w:ascii="Palatino Linotype" w:hAnsi="Palatino Linotype"/>
          <w:b/>
        </w:rPr>
        <w:t xml:space="preserve"> </w:t>
      </w:r>
      <w:r w:rsidRPr="00F2277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w:t>
      </w:r>
      <w:bookmarkStart w:id="3" w:name="_GoBack"/>
      <w:r w:rsidRPr="00F2277E">
        <w:rPr>
          <w:rFonts w:ascii="Palatino Linotype" w:hAnsi="Palatino Linotype"/>
        </w:rPr>
        <w:t>vigé</w:t>
      </w:r>
      <w:bookmarkEnd w:id="3"/>
      <w:r w:rsidRPr="00F2277E">
        <w:rPr>
          <w:rFonts w:ascii="Palatino Linotype" w:hAnsi="Palatino Linotype"/>
        </w:rPr>
        <w:t>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F2277E">
        <w:rPr>
          <w:rFonts w:ascii="Palatino Linotype" w:hAnsi="Palatino Linotype" w:cs="Arial"/>
        </w:rPr>
        <w:t>.</w:t>
      </w:r>
    </w:p>
    <w:p w:rsidR="008E71B2" w:rsidRPr="00F2277E" w:rsidRDefault="008E71B2" w:rsidP="008E71B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F2277E">
        <w:rPr>
          <w:rFonts w:ascii="Palatino Linotype" w:hAnsi="Palatino Linotype" w:cs="Arial"/>
          <w:b/>
          <w:sz w:val="28"/>
          <w:szCs w:val="28"/>
        </w:rPr>
        <w:lastRenderedPageBreak/>
        <w:t>SEGUNDO.</w:t>
      </w:r>
      <w:r w:rsidRPr="00F2277E">
        <w:rPr>
          <w:rFonts w:ascii="Palatino Linotype" w:hAnsi="Palatino Linotype" w:cs="Arial"/>
          <w:b/>
        </w:rPr>
        <w:t xml:space="preserve"> Interés.</w:t>
      </w:r>
      <w:r w:rsidRPr="00F2277E">
        <w:rPr>
          <w:rFonts w:ascii="Palatino Linotype" w:hAnsi="Palatino Linotype" w:cs="Arial"/>
        </w:rPr>
        <w:t xml:space="preserve"> El </w:t>
      </w:r>
      <w:r w:rsidRPr="00F2277E">
        <w:rPr>
          <w:rFonts w:ascii="Palatino Linotype" w:hAnsi="Palatino Linotype"/>
        </w:rPr>
        <w:t>recurso</w:t>
      </w:r>
      <w:r w:rsidRPr="00F2277E">
        <w:rPr>
          <w:rFonts w:ascii="Palatino Linotype" w:hAnsi="Palatino Linotype" w:cs="Arial"/>
        </w:rPr>
        <w:t xml:space="preserve"> de revisión fue </w:t>
      </w:r>
      <w:r w:rsidRPr="00F2277E">
        <w:rPr>
          <w:rFonts w:ascii="Palatino Linotype" w:hAnsi="Palatino Linotype"/>
        </w:rPr>
        <w:t>interpuesto</w:t>
      </w:r>
      <w:r w:rsidRPr="00F2277E">
        <w:rPr>
          <w:rFonts w:ascii="Palatino Linotype" w:hAnsi="Palatino Linotype" w:cs="Arial"/>
        </w:rPr>
        <w:t xml:space="preserve"> por parte legítima en atención a que fue </w:t>
      </w:r>
      <w:r w:rsidRPr="00F2277E">
        <w:rPr>
          <w:rFonts w:ascii="Palatino Linotype" w:hAnsi="Palatino Linotype"/>
        </w:rPr>
        <w:t>presentado</w:t>
      </w:r>
      <w:r w:rsidRPr="00F2277E">
        <w:rPr>
          <w:rFonts w:ascii="Palatino Linotype" w:hAnsi="Palatino Linotype" w:cs="Arial"/>
        </w:rPr>
        <w:t xml:space="preserve"> por </w:t>
      </w:r>
      <w:r w:rsidRPr="00F2277E">
        <w:rPr>
          <w:rFonts w:ascii="Palatino Linotype" w:hAnsi="Palatino Linotype" w:cs="Arial"/>
          <w:b/>
        </w:rPr>
        <w:t>EL RECURRENTE</w:t>
      </w:r>
      <w:r w:rsidRPr="00F2277E">
        <w:rPr>
          <w:rFonts w:ascii="Palatino Linotype" w:hAnsi="Palatino Linotype" w:cs="Arial"/>
          <w:snapToGrid w:val="0"/>
        </w:rPr>
        <w:t xml:space="preserve">, </w:t>
      </w:r>
      <w:r w:rsidRPr="00F2277E">
        <w:rPr>
          <w:rFonts w:ascii="Palatino Linotype" w:hAnsi="Palatino Linotype" w:cs="Arial"/>
        </w:rPr>
        <w:t>quien</w:t>
      </w:r>
      <w:r w:rsidRPr="00F2277E">
        <w:rPr>
          <w:rFonts w:ascii="Palatino Linotype" w:hAnsi="Palatino Linotype" w:cs="Arial"/>
          <w:snapToGrid w:val="0"/>
        </w:rPr>
        <w:t xml:space="preserve"> </w:t>
      </w:r>
      <w:r w:rsidRPr="00F2277E">
        <w:rPr>
          <w:rFonts w:ascii="Palatino Linotype" w:hAnsi="Palatino Linotype"/>
        </w:rPr>
        <w:t>formuló</w:t>
      </w:r>
      <w:r w:rsidRPr="00F2277E">
        <w:rPr>
          <w:rFonts w:ascii="Palatino Linotype" w:hAnsi="Palatino Linotype" w:cs="Arial"/>
          <w:snapToGrid w:val="0"/>
        </w:rPr>
        <w:t xml:space="preserve"> la </w:t>
      </w:r>
      <w:r w:rsidRPr="00F2277E">
        <w:rPr>
          <w:rFonts w:ascii="Palatino Linotype" w:hAnsi="Palatino Linotype" w:cs="Arial"/>
        </w:rPr>
        <w:t>solicitud</w:t>
      </w:r>
      <w:r w:rsidRPr="00F2277E">
        <w:rPr>
          <w:rFonts w:ascii="Palatino Linotype" w:hAnsi="Palatino Linotype" w:cs="Arial"/>
          <w:snapToGrid w:val="0"/>
        </w:rPr>
        <w:t xml:space="preserve"> de información pública al </w:t>
      </w:r>
      <w:r w:rsidRPr="00F2277E">
        <w:rPr>
          <w:rFonts w:ascii="Palatino Linotype" w:hAnsi="Palatino Linotype" w:cs="Arial"/>
          <w:b/>
          <w:snapToGrid w:val="0"/>
        </w:rPr>
        <w:t>SUJETO OBLIGADO.</w:t>
      </w:r>
      <w:r w:rsidRPr="00F2277E">
        <w:rPr>
          <w:rFonts w:ascii="Palatino Linotype" w:hAnsi="Palatino Linotype" w:cs="Arial"/>
          <w:snapToGrid w:val="0"/>
        </w:rPr>
        <w:t xml:space="preserve"> </w:t>
      </w:r>
    </w:p>
    <w:p w:rsidR="008E71B2" w:rsidRPr="00F2277E" w:rsidRDefault="008E71B2" w:rsidP="008E71B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F2277E">
        <w:rPr>
          <w:rFonts w:ascii="Palatino Linotype" w:hAnsi="Palatino Linotype" w:cs="Arial"/>
          <w:b/>
          <w:sz w:val="28"/>
          <w:szCs w:val="28"/>
        </w:rPr>
        <w:t>TERCERO.</w:t>
      </w:r>
      <w:r w:rsidRPr="00F2277E">
        <w:rPr>
          <w:rFonts w:ascii="Palatino Linotype" w:hAnsi="Palatino Linotype" w:cs="Arial"/>
          <w:b/>
        </w:rPr>
        <w:t xml:space="preserve"> Oportunidad. </w:t>
      </w:r>
      <w:r w:rsidRPr="00F2277E">
        <w:rPr>
          <w:rFonts w:ascii="Palatino Linotype" w:hAnsi="Palatino Linotype" w:cs="Arial"/>
        </w:rPr>
        <w:t xml:space="preserve">El </w:t>
      </w:r>
      <w:r w:rsidRPr="00F2277E">
        <w:rPr>
          <w:rFonts w:ascii="Palatino Linotype" w:hAnsi="Palatino Linotype"/>
        </w:rPr>
        <w:t>recurso</w:t>
      </w:r>
      <w:r w:rsidRPr="00F2277E">
        <w:rPr>
          <w:rFonts w:ascii="Palatino Linotype" w:hAnsi="Palatino Linotype" w:cs="Arial"/>
        </w:rPr>
        <w:t xml:space="preserve"> de revisión fue interpuesto dentro del plazo de quince días hábiles </w:t>
      </w:r>
      <w:r w:rsidRPr="00F2277E">
        <w:rPr>
          <w:rFonts w:ascii="Palatino Linotype" w:hAnsi="Palatino Linotype"/>
        </w:rPr>
        <w:t>contados</w:t>
      </w:r>
      <w:r w:rsidRPr="00F2277E">
        <w:rPr>
          <w:rFonts w:ascii="Palatino Linotype" w:hAnsi="Palatino Linotype" w:cs="Arial"/>
        </w:rPr>
        <w:t xml:space="preserve"> a </w:t>
      </w:r>
      <w:r w:rsidRPr="00F2277E">
        <w:rPr>
          <w:rFonts w:ascii="Palatino Linotype" w:hAnsi="Palatino Linotype"/>
        </w:rPr>
        <w:t>partir</w:t>
      </w:r>
      <w:r w:rsidRPr="00F2277E">
        <w:rPr>
          <w:rFonts w:ascii="Palatino Linotype" w:hAnsi="Palatino Linotype" w:cs="Arial"/>
        </w:rPr>
        <w:t xml:space="preserve"> del día siguiente al que </w:t>
      </w:r>
      <w:r w:rsidRPr="00F2277E">
        <w:rPr>
          <w:rFonts w:ascii="Palatino Linotype" w:hAnsi="Palatino Linotype" w:cs="Arial"/>
          <w:b/>
        </w:rPr>
        <w:t>EL RECURRENTE</w:t>
      </w:r>
      <w:r w:rsidRPr="00F2277E">
        <w:rPr>
          <w:rFonts w:ascii="Palatino Linotype" w:hAnsi="Palatino Linotype" w:cs="Arial"/>
          <w:b/>
          <w:bCs/>
        </w:rPr>
        <w:t xml:space="preserve"> </w:t>
      </w:r>
      <w:r w:rsidRPr="00F2277E">
        <w:rPr>
          <w:rFonts w:ascii="Palatino Linotype" w:hAnsi="Palatino Linotype" w:cs="Arial"/>
        </w:rPr>
        <w:t xml:space="preserve">tuvo conocimiento de la respuesta </w:t>
      </w:r>
      <w:r w:rsidRPr="00F2277E">
        <w:rPr>
          <w:rFonts w:ascii="Palatino Linotype" w:hAnsi="Palatino Linotype"/>
        </w:rPr>
        <w:t>impugnada</w:t>
      </w:r>
      <w:r w:rsidRPr="00F2277E">
        <w:rPr>
          <w:rFonts w:ascii="Palatino Linotype" w:hAnsi="Palatino Linotype" w:cs="Arial"/>
        </w:rPr>
        <w:t>, tal y como lo prevé el artículo 178 de la Ley de Transparencia y Acceso a la Información Pública del Estado de México y Municipios, que establece:</w:t>
      </w:r>
    </w:p>
    <w:p w:rsidR="008E71B2" w:rsidRPr="00F2277E" w:rsidRDefault="008E71B2" w:rsidP="008E71B2">
      <w:pPr>
        <w:ind w:left="851" w:right="902"/>
        <w:jc w:val="both"/>
        <w:rPr>
          <w:rFonts w:ascii="Palatino Linotype" w:hAnsi="Palatino Linotype" w:cs="Arial"/>
          <w:i/>
          <w:sz w:val="22"/>
          <w:szCs w:val="22"/>
        </w:rPr>
      </w:pPr>
      <w:r w:rsidRPr="00F2277E">
        <w:rPr>
          <w:rFonts w:ascii="Palatino Linotype" w:hAnsi="Palatino Linotype" w:cs="Arial"/>
          <w:i/>
          <w:sz w:val="22"/>
          <w:szCs w:val="22"/>
        </w:rPr>
        <w:t>“</w:t>
      </w:r>
      <w:r w:rsidRPr="00F2277E">
        <w:rPr>
          <w:rFonts w:ascii="Palatino Linotype" w:hAnsi="Palatino Linotype" w:cs="Arial"/>
          <w:b/>
          <w:i/>
          <w:sz w:val="22"/>
          <w:szCs w:val="22"/>
        </w:rPr>
        <w:t>Artículo 178.</w:t>
      </w:r>
      <w:r w:rsidRPr="00F2277E">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E71B2" w:rsidRPr="00F2277E" w:rsidRDefault="008E71B2" w:rsidP="008E71B2">
      <w:pPr>
        <w:ind w:left="851" w:right="902"/>
        <w:jc w:val="both"/>
        <w:rPr>
          <w:rFonts w:ascii="Palatino Linotype" w:hAnsi="Palatino Linotype" w:cs="Arial"/>
          <w:i/>
          <w:sz w:val="22"/>
          <w:szCs w:val="22"/>
        </w:rPr>
      </w:pPr>
      <w:r w:rsidRPr="00F2277E">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E71B2" w:rsidRPr="00F2277E" w:rsidRDefault="008E71B2" w:rsidP="008E71B2">
      <w:pPr>
        <w:ind w:left="851" w:right="902"/>
        <w:jc w:val="both"/>
        <w:rPr>
          <w:rFonts w:ascii="Palatino Linotype" w:hAnsi="Palatino Linotype" w:cs="Arial"/>
          <w:i/>
          <w:sz w:val="22"/>
          <w:szCs w:val="22"/>
        </w:rPr>
      </w:pPr>
      <w:r w:rsidRPr="00F2277E">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F2277E">
        <w:rPr>
          <w:rFonts w:ascii="Palatino Linotype" w:hAnsi="Palatino Linotype" w:cs="Arial"/>
          <w:i/>
          <w:sz w:val="22"/>
          <w:szCs w:val="22"/>
          <w:lang w:eastAsia="es-MX"/>
        </w:rPr>
        <w:t>siguiente</w:t>
      </w:r>
      <w:r w:rsidRPr="00F2277E">
        <w:rPr>
          <w:rFonts w:ascii="Palatino Linotype" w:hAnsi="Palatino Linotype" w:cs="Arial"/>
          <w:i/>
          <w:sz w:val="22"/>
          <w:szCs w:val="22"/>
        </w:rPr>
        <w:t xml:space="preserve"> de haberlo recibido.”</w:t>
      </w:r>
    </w:p>
    <w:p w:rsidR="008E71B2" w:rsidRPr="00F2277E" w:rsidRDefault="008E71B2" w:rsidP="008E71B2">
      <w:pPr>
        <w:spacing w:before="100" w:beforeAutospacing="1" w:after="100" w:afterAutospacing="1" w:line="360" w:lineRule="auto"/>
        <w:jc w:val="both"/>
        <w:rPr>
          <w:rFonts w:ascii="Palatino Linotype" w:hAnsi="Palatino Linotype" w:cs="Arial"/>
        </w:rPr>
      </w:pPr>
      <w:r w:rsidRPr="00F2277E">
        <w:rPr>
          <w:rFonts w:ascii="Palatino Linotype" w:hAnsi="Palatino Linotype" w:cs="Arial"/>
        </w:rPr>
        <w:t xml:space="preserve">En esa tesitura, atendiendo a que </w:t>
      </w:r>
      <w:r w:rsidRPr="00F2277E">
        <w:rPr>
          <w:rFonts w:ascii="Palatino Linotype" w:hAnsi="Palatino Linotype" w:cs="Arial"/>
          <w:b/>
        </w:rPr>
        <w:t>EL SUJETO OBLIGADO</w:t>
      </w:r>
      <w:r w:rsidRPr="00F2277E">
        <w:rPr>
          <w:rFonts w:ascii="Palatino Linotype" w:hAnsi="Palatino Linotype" w:cs="Arial"/>
        </w:rPr>
        <w:t xml:space="preserve"> notificó la respuesta a la solicitud de información pública el día </w:t>
      </w:r>
      <w:r w:rsidR="00724EDD" w:rsidRPr="00F2277E">
        <w:rPr>
          <w:rFonts w:ascii="Palatino Linotype" w:hAnsi="Palatino Linotype" w:cs="Arial"/>
          <w:b/>
        </w:rPr>
        <w:t xml:space="preserve">nueve </w:t>
      </w:r>
      <w:r w:rsidRPr="00F2277E">
        <w:rPr>
          <w:rFonts w:ascii="Palatino Linotype" w:hAnsi="Palatino Linotype" w:cs="Arial"/>
          <w:b/>
        </w:rPr>
        <w:t>de agosto de dos mil diecinueve</w:t>
      </w:r>
      <w:r w:rsidRPr="00F2277E">
        <w:rPr>
          <w:rFonts w:ascii="Palatino Linotype" w:hAnsi="Palatino Linotype" w:cs="Arial"/>
        </w:rPr>
        <w:t>; así, el plazo de quince días hábiles que el artículo 178 de la Ley de la materia otorga al hoy</w:t>
      </w:r>
      <w:r w:rsidRPr="00F2277E">
        <w:rPr>
          <w:rFonts w:ascii="Palatino Linotype" w:hAnsi="Palatino Linotype" w:cs="Arial"/>
          <w:b/>
        </w:rPr>
        <w:t xml:space="preserve"> RECURRENTE </w:t>
      </w:r>
      <w:r w:rsidRPr="00F2277E">
        <w:rPr>
          <w:rFonts w:ascii="Palatino Linotype" w:hAnsi="Palatino Linotype" w:cs="Arial"/>
        </w:rPr>
        <w:t>para presentar el recurso de revisión, transcurrió del</w:t>
      </w:r>
      <w:r w:rsidR="00724EDD" w:rsidRPr="00F2277E">
        <w:rPr>
          <w:rFonts w:ascii="Palatino Linotype" w:hAnsi="Palatino Linotype" w:cs="Arial"/>
          <w:b/>
        </w:rPr>
        <w:t xml:space="preserve"> doce</w:t>
      </w:r>
      <w:r w:rsidRPr="00F2277E">
        <w:rPr>
          <w:rFonts w:ascii="Palatino Linotype" w:hAnsi="Palatino Linotype" w:cs="Arial"/>
          <w:b/>
        </w:rPr>
        <w:t xml:space="preserve"> al </w:t>
      </w:r>
      <w:r w:rsidR="00724EDD" w:rsidRPr="00F2277E">
        <w:rPr>
          <w:rFonts w:ascii="Palatino Linotype" w:hAnsi="Palatino Linotype" w:cs="Arial"/>
          <w:b/>
        </w:rPr>
        <w:t xml:space="preserve">treinta </w:t>
      </w:r>
      <w:r w:rsidRPr="00F2277E">
        <w:rPr>
          <w:rFonts w:ascii="Palatino Linotype" w:hAnsi="Palatino Linotype" w:cs="Arial"/>
          <w:b/>
        </w:rPr>
        <w:t>de agosto de dos mil diecinueve</w:t>
      </w:r>
      <w:r w:rsidRPr="00F2277E">
        <w:rPr>
          <w:rFonts w:ascii="Palatino Linotype" w:hAnsi="Palatino Linotype" w:cs="Arial"/>
        </w:rPr>
        <w:t>, sin contemplar en el cómputo los días diez, once, diecisiete, dieciocho</w:t>
      </w:r>
      <w:r w:rsidR="00724EDD" w:rsidRPr="00F2277E">
        <w:rPr>
          <w:rFonts w:ascii="Palatino Linotype" w:hAnsi="Palatino Linotype" w:cs="Arial"/>
        </w:rPr>
        <w:t>,</w:t>
      </w:r>
      <w:r w:rsidRPr="00F2277E">
        <w:rPr>
          <w:rFonts w:ascii="Palatino Linotype" w:hAnsi="Palatino Linotype" w:cs="Arial"/>
        </w:rPr>
        <w:t xml:space="preserve"> veinticuatro y veinticinco de agosto de dos mil diecinueve, por corresponder a sábados y domingos, en términos del artículo 3, fracción X, de la </w:t>
      </w:r>
      <w:r w:rsidRPr="00F2277E">
        <w:rPr>
          <w:rFonts w:ascii="Palatino Linotype" w:hAnsi="Palatino Linotype"/>
        </w:rPr>
        <w:t xml:space="preserve">Ley de Transparencia y Acceso a la Información Pública del Estado de México y </w:t>
      </w:r>
      <w:r w:rsidRPr="00F2277E">
        <w:rPr>
          <w:rFonts w:ascii="Palatino Linotype" w:hAnsi="Palatino Linotype"/>
        </w:rPr>
        <w:lastRenderedPageBreak/>
        <w:t>Municipios</w:t>
      </w:r>
      <w:r w:rsidRPr="00F2277E">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F2277E">
        <w:rPr>
          <w:rFonts w:ascii="Palatino Linotype" w:hAnsi="Palatino Linotype"/>
        </w:rPr>
        <w:t>.</w:t>
      </w:r>
    </w:p>
    <w:p w:rsidR="008E71B2" w:rsidRPr="00F2277E" w:rsidRDefault="008E71B2" w:rsidP="008E71B2">
      <w:pPr>
        <w:spacing w:before="100" w:beforeAutospacing="1" w:after="100" w:afterAutospacing="1" w:line="360" w:lineRule="auto"/>
        <w:jc w:val="both"/>
        <w:rPr>
          <w:rFonts w:ascii="Palatino Linotype" w:hAnsi="Palatino Linotype" w:cs="Arial"/>
        </w:rPr>
      </w:pPr>
      <w:r w:rsidRPr="00F2277E">
        <w:rPr>
          <w:rFonts w:ascii="Palatino Linotype" w:hAnsi="Palatino Linotype" w:cs="Arial"/>
        </w:rPr>
        <w:t>En ese tenor, si el recurso de revisión que nos ocupa, se interpuso el día</w:t>
      </w:r>
      <w:r w:rsidR="00724EDD" w:rsidRPr="00F2277E">
        <w:rPr>
          <w:rFonts w:ascii="Palatino Linotype" w:hAnsi="Palatino Linotype" w:cs="Arial"/>
          <w:b/>
        </w:rPr>
        <w:t xml:space="preserve"> catorce</w:t>
      </w:r>
      <w:r w:rsidRPr="00F2277E">
        <w:rPr>
          <w:rFonts w:ascii="Palatino Linotype" w:hAnsi="Palatino Linotype" w:cs="Arial"/>
          <w:b/>
        </w:rPr>
        <w:t xml:space="preserve"> de agosto de dos mil diecinueve, </w:t>
      </w:r>
      <w:r w:rsidRPr="00F2277E">
        <w:rPr>
          <w:rFonts w:ascii="Palatino Linotype" w:hAnsi="Palatino Linotype" w:cs="Arial"/>
        </w:rPr>
        <w:t>éste se encuentra dentro de los márgenes temporales previstos en el precepto legal señalado en el párrafo anterior y, por tanto, su interposición se considera oportuna.</w:t>
      </w:r>
    </w:p>
    <w:p w:rsidR="008E71B2" w:rsidRPr="00F2277E" w:rsidRDefault="008E71B2" w:rsidP="008E71B2">
      <w:pPr>
        <w:autoSpaceDE w:val="0"/>
        <w:autoSpaceDN w:val="0"/>
        <w:adjustRightInd w:val="0"/>
        <w:spacing w:line="360" w:lineRule="auto"/>
        <w:ind w:right="49"/>
        <w:jc w:val="both"/>
        <w:rPr>
          <w:rFonts w:ascii="Palatino Linotype" w:hAnsi="Palatino Linotype"/>
          <w:b/>
        </w:rPr>
      </w:pPr>
      <w:r w:rsidRPr="00F2277E">
        <w:rPr>
          <w:rFonts w:ascii="Palatino Linotype" w:hAnsi="Palatino Linotype" w:cs="Arial"/>
          <w:b/>
          <w:sz w:val="28"/>
          <w:szCs w:val="28"/>
        </w:rPr>
        <w:t>CUARTO.</w:t>
      </w:r>
      <w:r w:rsidRPr="00F2277E">
        <w:rPr>
          <w:rFonts w:ascii="Palatino Linotype" w:hAnsi="Palatino Linotype" w:cs="Arial"/>
          <w:b/>
          <w:szCs w:val="28"/>
        </w:rPr>
        <w:t xml:space="preserve"> Procedibilidad. </w:t>
      </w:r>
      <w:r w:rsidRPr="00F2277E">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F2277E">
        <w:rPr>
          <w:rFonts w:ascii="Palatino Linotype" w:hAnsi="Palatino Linotype" w:cs="Arial"/>
          <w:lang w:val="es-ES_tradnl"/>
        </w:rPr>
        <w:t xml:space="preserve">de la </w:t>
      </w:r>
      <w:r w:rsidRPr="00F2277E">
        <w:rPr>
          <w:rFonts w:ascii="Palatino Linotype" w:hAnsi="Palatino Linotype"/>
        </w:rPr>
        <w:t xml:space="preserve">Ley de Transparencia y Acceso a la Información Pública del Estado de México y Municipios, en atención a que fue presentado mediante el formato visible en </w:t>
      </w:r>
      <w:r w:rsidRPr="00F2277E">
        <w:rPr>
          <w:rFonts w:ascii="Palatino Linotype" w:hAnsi="Palatino Linotype"/>
          <w:b/>
        </w:rPr>
        <w:t xml:space="preserve">EL SAIMEX. </w:t>
      </w:r>
    </w:p>
    <w:p w:rsidR="00724EDD" w:rsidRDefault="002F58B5" w:rsidP="008E71B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Pr>
          <w:rFonts w:ascii="Palatino Linotype" w:hAnsi="Palatino Linotype" w:cs="Arial"/>
          <w:b/>
          <w:noProof/>
          <w:sz w:val="28"/>
          <w:szCs w:val="28"/>
          <w:lang w:val="es-ES"/>
        </w:rPr>
        <mc:AlternateContent>
          <mc:Choice Requires="wps">
            <w:drawing>
              <wp:anchor distT="0" distB="0" distL="114300" distR="114300" simplePos="0" relativeHeight="251672576" behindDoc="0" locked="0" layoutInCell="1" allowOverlap="1">
                <wp:simplePos x="0" y="0"/>
                <wp:positionH relativeFrom="column">
                  <wp:posOffset>34289</wp:posOffset>
                </wp:positionH>
                <wp:positionV relativeFrom="paragraph">
                  <wp:posOffset>2521585</wp:posOffset>
                </wp:positionV>
                <wp:extent cx="5705475" cy="6191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705475"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58E703" id="Conector recto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198.55pt" to="451.9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NWuAEAAMQDAAAOAAAAZHJzL2Uyb0RvYy54bWysU9uO0zAQfUfiHyy/01xEdyFqug9dwQuC&#10;CpYP8DrjxpJvGps2/XvGbppFgIRY7Ysd2+fMzDkz2dxN1rAjYNTe9bxZ1ZyBk37Q7tDz7w8f3rzj&#10;LCbhBmG8g56fIfK77etXm1PooPWjNwMgoyAudqfQ8zGl0FVVlCNYEVc+gKNH5dGKREc8VAOKE0W3&#10;pmrr+qY6eRwCegkx0u395ZFvS3ylQKYvSkVIzPScaktlxbI+5rXabkR3QBFGLecyxDOqsEI7SrqE&#10;uhdJsB+o/whltUQfvUor6W3lldISigZS09S/qfk2igBFC5kTw2JTfLmw8vNxj0wPPW85c8JSi3bU&#10;KJk8Mswba7NHpxA7gu7cHudTDHvMgieFNu8khU3F1/PiK0yJSbpc39brt7drziS93TTvm3adg1ZP&#10;7IAxfQRvWf7oudEu6xadOH6K6QK9QoiXq7nkL1/pbCCDjfsKirRQxqawyxTBziA7Cuq/kBJcaubU&#10;BZ1pShuzEOt/E2d8pkKZsP8hL4yS2bu0kK12Hv+WPU3XktUFf3Xgojtb8OiHc+lMsYZGpZg7j3We&#10;xV/Phf70821/AgAA//8DAFBLAwQUAAYACAAAACEA0ndxN+IAAAAJAQAADwAAAGRycy9kb3ducmV2&#10;LnhtbEyPQUvDQBSE74L/YXmCN7tpG1sT81JKQawFKa1CPW6zzySafRuy2yb9964nPQ4zzHyTLQbT&#10;iDN1rraMMB5FIIgLq2suEd7fnu4eQDivWKvGMiFcyMEiv77KVKptzzs6730pQgm7VCFU3replK6o&#10;yCg3si1x8D5tZ5QPsiul7lQfyk0jJ1E0k0bVHBYq1dKqouJ7fzIIr916vVpuLl+8/TD9YbI5bF+G&#10;Z8Tbm2H5CMLT4P/C8Isf0CEPTEd7Yu1Eg3AfhyDCNJmPQQQ/iaYJiCNCnMQzkHkm/z/IfwAAAP//&#10;AwBQSwECLQAUAAYACAAAACEAtoM4kv4AAADhAQAAEwAAAAAAAAAAAAAAAAAAAAAAW0NvbnRlbnRf&#10;VHlwZXNdLnhtbFBLAQItABQABgAIAAAAIQA4/SH/1gAAAJQBAAALAAAAAAAAAAAAAAAAAC8BAABf&#10;cmVscy8ucmVsc1BLAQItABQABgAIAAAAIQDrV0NWuAEAAMQDAAAOAAAAAAAAAAAAAAAAAC4CAABk&#10;cnMvZTJvRG9jLnhtbFBLAQItABQABgAIAAAAIQDSd3E34gAAAAkBAAAPAAAAAAAAAAAAAAAAABIE&#10;AABkcnMvZG93bnJldi54bWxQSwUGAAAAAAQABADzAAAAIQUAAAAA&#10;" strokecolor="#5b9bd5 [3204]" strokeweight=".5pt">
                <v:stroke joinstyle="miter"/>
              </v:line>
            </w:pict>
          </mc:Fallback>
        </mc:AlternateContent>
      </w:r>
      <w:r w:rsidR="008E71B2" w:rsidRPr="00F2277E">
        <w:rPr>
          <w:rFonts w:ascii="Palatino Linotype" w:hAnsi="Palatino Linotype" w:cs="Arial"/>
          <w:b/>
          <w:sz w:val="28"/>
          <w:szCs w:val="28"/>
        </w:rPr>
        <w:t>QUINTO.</w:t>
      </w:r>
      <w:r w:rsidR="008E71B2" w:rsidRPr="00F2277E">
        <w:rPr>
          <w:rFonts w:ascii="Palatino Linotype" w:hAnsi="Palatino Linotype" w:cs="Arial"/>
          <w:b/>
          <w:color w:val="000000" w:themeColor="text1"/>
        </w:rPr>
        <w:t xml:space="preserve"> </w:t>
      </w:r>
      <w:r w:rsidR="008E71B2" w:rsidRPr="00F2277E">
        <w:rPr>
          <w:rFonts w:ascii="Palatino Linotype" w:hAnsi="Palatino Linotype" w:cs="Arial"/>
          <w:b/>
          <w:color w:val="000000"/>
        </w:rPr>
        <w:t>Estudio y resolución del asunto.</w:t>
      </w:r>
      <w:r w:rsidR="008E71B2" w:rsidRPr="00F2277E">
        <w:rPr>
          <w:rFonts w:ascii="Palatino Linotype" w:hAnsi="Palatino Linotype" w:cs="Arial"/>
        </w:rPr>
        <w:t xml:space="preserve"> </w:t>
      </w:r>
      <w:r w:rsidR="008E71B2" w:rsidRPr="00F2277E">
        <w:rPr>
          <w:rFonts w:ascii="Palatino Linotype" w:hAnsi="Palatino Linotype"/>
        </w:rPr>
        <w:t xml:space="preserve">Una vez determinada la vía sobre la que versará el presente recurso y previa revisión del expediente electrónico formado en </w:t>
      </w:r>
      <w:r w:rsidR="008E71B2" w:rsidRPr="00F2277E">
        <w:rPr>
          <w:rFonts w:ascii="Palatino Linotype" w:hAnsi="Palatino Linotype"/>
          <w:b/>
        </w:rPr>
        <w:t>EL SAIMEX</w:t>
      </w:r>
      <w:r w:rsidR="008E71B2" w:rsidRPr="00F2277E">
        <w:rPr>
          <w:rFonts w:ascii="Palatino Linotype" w:hAnsi="Palatino Linotype"/>
        </w:rPr>
        <w:t xml:space="preserve"> motivo de la solicitud de información, se precisa que </w:t>
      </w:r>
      <w:r w:rsidR="008E71B2" w:rsidRPr="00F2277E">
        <w:rPr>
          <w:rFonts w:ascii="Palatino Linotype" w:hAnsi="Palatino Linotype"/>
          <w:b/>
          <w:color w:val="000000"/>
        </w:rPr>
        <w:t>EL RECURRENTE</w:t>
      </w:r>
      <w:r w:rsidR="008E71B2" w:rsidRPr="00F2277E">
        <w:rPr>
          <w:rFonts w:ascii="Palatino Linotype" w:hAnsi="Palatino Linotype"/>
          <w:color w:val="000000"/>
        </w:rPr>
        <w:t xml:space="preserve"> solicitó que vía </w:t>
      </w:r>
      <w:r w:rsidR="008E71B2" w:rsidRPr="00F2277E">
        <w:rPr>
          <w:rFonts w:ascii="Palatino Linotype" w:hAnsi="Palatino Linotype"/>
          <w:b/>
          <w:color w:val="000000"/>
        </w:rPr>
        <w:t>SAIMEX</w:t>
      </w:r>
      <w:r w:rsidR="008E71B2" w:rsidRPr="00F2277E">
        <w:rPr>
          <w:rFonts w:ascii="Palatino Linotype" w:hAnsi="Palatino Linotype"/>
          <w:color w:val="000000"/>
        </w:rPr>
        <w:t xml:space="preserve"> </w:t>
      </w:r>
      <w:r w:rsidR="008E71B2" w:rsidRPr="00F2277E">
        <w:rPr>
          <w:rFonts w:ascii="Palatino Linotype" w:hAnsi="Palatino Linotype" w:cs="Arial"/>
          <w:b/>
          <w:color w:val="000000"/>
        </w:rPr>
        <w:t>EL SUJETO OBLIGADO</w:t>
      </w:r>
      <w:r w:rsidR="008E71B2" w:rsidRPr="00F2277E">
        <w:rPr>
          <w:rFonts w:ascii="Palatino Linotype" w:hAnsi="Palatino Linotype"/>
          <w:color w:val="000000"/>
        </w:rPr>
        <w:t xml:space="preserve"> le informa</w:t>
      </w:r>
      <w:r w:rsidR="00724EDD" w:rsidRPr="00F2277E">
        <w:rPr>
          <w:rFonts w:ascii="Palatino Linotype" w:hAnsi="Palatino Linotype"/>
          <w:color w:val="000000"/>
        </w:rPr>
        <w:t xml:space="preserve">ra si existió una licitación pública para el mantenimiento, monitoreo y atención de la </w:t>
      </w:r>
      <w:r w:rsidR="00136C4B" w:rsidRPr="00F2277E">
        <w:rPr>
          <w:rFonts w:ascii="Palatino Linotype" w:hAnsi="Palatino Linotype"/>
          <w:color w:val="000000"/>
        </w:rPr>
        <w:t>página</w:t>
      </w:r>
      <w:r w:rsidR="00724EDD" w:rsidRPr="00F2277E">
        <w:rPr>
          <w:rFonts w:ascii="Palatino Linotype" w:hAnsi="Palatino Linotype"/>
          <w:color w:val="000000"/>
        </w:rPr>
        <w:t xml:space="preserve"> oficial para el cambio obligatorio de placas en el Estado para el año 2019; y que en caso de ser afirmativa la respuesta, le entregara el contrato escaneado o bien le refiriera </w:t>
      </w:r>
      <w:r w:rsidR="00136C4B" w:rsidRPr="00F2277E">
        <w:rPr>
          <w:rFonts w:ascii="Palatino Linotype" w:hAnsi="Palatino Linotype"/>
          <w:color w:val="000000"/>
        </w:rPr>
        <w:t>la liga electrónica en la que se encontrara.</w:t>
      </w:r>
    </w:p>
    <w:p w:rsidR="002F58B5" w:rsidRPr="00F2277E" w:rsidRDefault="002F58B5" w:rsidP="008E71B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p>
    <w:p w:rsidR="00136C4B" w:rsidRPr="00F2277E" w:rsidRDefault="008E71B2" w:rsidP="008E71B2">
      <w:pPr>
        <w:spacing w:before="100" w:beforeAutospacing="1" w:after="100" w:afterAutospacing="1" w:line="360" w:lineRule="auto"/>
        <w:jc w:val="both"/>
        <w:rPr>
          <w:rFonts w:ascii="Palatino Linotype" w:hAnsi="Palatino Linotype" w:cs="Arial"/>
        </w:rPr>
      </w:pPr>
      <w:r w:rsidRPr="00F2277E">
        <w:rPr>
          <w:rFonts w:ascii="Palatino Linotype" w:hAnsi="Palatino Linotype" w:cs="Arial"/>
        </w:rPr>
        <w:lastRenderedPageBreak/>
        <w:t xml:space="preserve">Bajo ese tenor, el Titular de la Unidad de Transparencia del </w:t>
      </w:r>
      <w:r w:rsidRPr="00F2277E">
        <w:rPr>
          <w:rFonts w:ascii="Palatino Linotype" w:hAnsi="Palatino Linotype" w:cs="Arial"/>
          <w:b/>
        </w:rPr>
        <w:t>SUJETO OBLIGADO</w:t>
      </w:r>
      <w:r w:rsidRPr="00F2277E">
        <w:rPr>
          <w:rFonts w:ascii="Palatino Linotype" w:hAnsi="Palatino Linotype" w:cs="Arial"/>
        </w:rPr>
        <w:t xml:space="preserve"> mediante su respuesta señaló que el Servidor Público Habilitado de la </w:t>
      </w:r>
      <w:r w:rsidR="00136C4B" w:rsidRPr="00F2277E">
        <w:rPr>
          <w:rFonts w:ascii="Palatino Linotype" w:hAnsi="Palatino Linotype" w:cs="Arial"/>
        </w:rPr>
        <w:t>Dirección General de Recursos Materiales, había informado que tras haber realizado una búsqueda exhaustiva y razonable de la información era necesario referir que la Coordinación de Procedimientos Adquisitivos de dicha Dirección no contaba con la información requerida.</w:t>
      </w:r>
    </w:p>
    <w:p w:rsidR="00954976" w:rsidRPr="00F2277E" w:rsidRDefault="00954976" w:rsidP="008E71B2">
      <w:pPr>
        <w:spacing w:before="100" w:beforeAutospacing="1" w:after="100" w:afterAutospacing="1" w:line="360" w:lineRule="auto"/>
        <w:jc w:val="both"/>
        <w:rPr>
          <w:rFonts w:ascii="Palatino Linotype" w:eastAsia="Calibri" w:hAnsi="Palatino Linotype" w:cs="Bookman Old Style,Bold"/>
          <w:bCs/>
          <w:lang w:eastAsia="en-US"/>
        </w:rPr>
      </w:pPr>
      <w:r w:rsidRPr="00F2277E">
        <w:rPr>
          <w:rFonts w:ascii="Palatino Linotype" w:eastAsia="Calibri" w:hAnsi="Palatino Linotype" w:cs="Bookman Old Style,Bold"/>
          <w:bCs/>
          <w:lang w:eastAsia="en-US"/>
        </w:rPr>
        <w:t xml:space="preserve">Inconforme con la respuesta otorgada por </w:t>
      </w:r>
      <w:r w:rsidRPr="00F2277E">
        <w:rPr>
          <w:rFonts w:ascii="Palatino Linotype" w:eastAsia="Calibri" w:hAnsi="Palatino Linotype" w:cs="Bookman Old Style,Bold"/>
          <w:b/>
          <w:bCs/>
          <w:lang w:eastAsia="en-US"/>
        </w:rPr>
        <w:t xml:space="preserve">EL SUJETO OBIGADO, </w:t>
      </w:r>
      <w:r w:rsidR="008E71B2" w:rsidRPr="00F2277E">
        <w:rPr>
          <w:rFonts w:ascii="Palatino Linotype" w:eastAsia="Calibri" w:hAnsi="Palatino Linotype" w:cs="Bookman Old Style,Bold"/>
          <w:bCs/>
          <w:lang w:eastAsia="en-US"/>
        </w:rPr>
        <w:t>el particular interpuso el recurso de revisión materia de estudio, señalando como razones o motivos de inconformidad</w:t>
      </w:r>
      <w:r w:rsidRPr="00F2277E">
        <w:rPr>
          <w:rFonts w:ascii="Palatino Linotype" w:eastAsia="Calibri" w:hAnsi="Palatino Linotype" w:cs="Bookman Old Style,Bold"/>
          <w:bCs/>
          <w:lang w:eastAsia="en-US"/>
        </w:rPr>
        <w:t xml:space="preserve"> </w:t>
      </w:r>
      <w:r w:rsidR="0035320B" w:rsidRPr="00F2277E">
        <w:rPr>
          <w:rFonts w:ascii="Palatino Linotype" w:eastAsia="Calibri" w:hAnsi="Palatino Linotype" w:cs="Bookman Old Style,Bold"/>
          <w:bCs/>
          <w:lang w:eastAsia="en-US"/>
        </w:rPr>
        <w:t>lo establecido en el Resultando IV de la presente resolución.</w:t>
      </w:r>
    </w:p>
    <w:p w:rsidR="008E71B2" w:rsidRPr="00F2277E" w:rsidRDefault="0035320B" w:rsidP="008E71B2">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F2277E">
        <w:rPr>
          <w:rFonts w:ascii="Palatino Linotype" w:hAnsi="Palatino Linotype" w:cs="Arial"/>
        </w:rPr>
        <w:t xml:space="preserve">Así, </w:t>
      </w:r>
      <w:r w:rsidR="00F52722" w:rsidRPr="00F2277E">
        <w:rPr>
          <w:rFonts w:ascii="Palatino Linotype" w:hAnsi="Palatino Linotype" w:cs="Arial"/>
        </w:rPr>
        <w:t xml:space="preserve">mediante Informe Justificado </w:t>
      </w:r>
      <w:r w:rsidR="00F52722" w:rsidRPr="00F2277E">
        <w:rPr>
          <w:rFonts w:ascii="Palatino Linotype" w:hAnsi="Palatino Linotype" w:cs="Arial"/>
          <w:b/>
        </w:rPr>
        <w:t xml:space="preserve">EL SUJETO OBLIGADO </w:t>
      </w:r>
      <w:r w:rsidR="00F52722" w:rsidRPr="00F2277E">
        <w:rPr>
          <w:rFonts w:ascii="Palatino Linotype" w:hAnsi="Palatino Linotype" w:cs="Arial"/>
        </w:rPr>
        <w:t xml:space="preserve">ratificó su respuesta; mientras que por su parte </w:t>
      </w:r>
      <w:r w:rsidR="00F52722" w:rsidRPr="00F2277E">
        <w:rPr>
          <w:rFonts w:ascii="Palatino Linotype" w:hAnsi="Palatino Linotype" w:cs="Arial"/>
          <w:b/>
        </w:rPr>
        <w:t xml:space="preserve">EL RECURRENTE </w:t>
      </w:r>
      <w:r w:rsidR="00BB363C" w:rsidRPr="00F2277E">
        <w:rPr>
          <w:rFonts w:ascii="Palatino Linotype" w:hAnsi="Palatino Linotype" w:cs="Arial"/>
        </w:rPr>
        <w:t xml:space="preserve">fue omiso en </w:t>
      </w:r>
      <w:r w:rsidR="008E71B2" w:rsidRPr="00F2277E">
        <w:rPr>
          <w:rFonts w:ascii="Palatino Linotype" w:hAnsi="Palatino Linotype" w:cs="Arial"/>
        </w:rPr>
        <w:t>realizar las manifestaciones que conforme a derecho le corresponden.</w:t>
      </w:r>
    </w:p>
    <w:p w:rsidR="00CB1B4C" w:rsidRPr="00F2277E" w:rsidRDefault="008E71B2" w:rsidP="002077B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2277E">
        <w:rPr>
          <w:rFonts w:ascii="Palatino Linotype" w:eastAsia="Calibri" w:hAnsi="Palatino Linotype" w:cs="Arial"/>
        </w:rPr>
        <w:t xml:space="preserve">En ese contexto, </w:t>
      </w:r>
      <w:r w:rsidR="00CB1B4C" w:rsidRPr="00F2277E">
        <w:rPr>
          <w:rFonts w:ascii="Palatino Linotype" w:eastAsia="Calibri" w:hAnsi="Palatino Linotype" w:cs="Arial"/>
        </w:rPr>
        <w:t xml:space="preserve">y antes de entrar al análisis del asunto es preciso que este Órgano Garante supla la deficiencia presentada en la solicitud de información a fin de estar en posibilidades de garantizar plenamente el derecho de acceso a la información pública del </w:t>
      </w:r>
      <w:r w:rsidR="00CB1B4C" w:rsidRPr="00F2277E">
        <w:rPr>
          <w:rFonts w:ascii="Palatino Linotype" w:eastAsia="Calibri" w:hAnsi="Palatino Linotype" w:cs="Arial"/>
          <w:b/>
        </w:rPr>
        <w:t xml:space="preserve">RECURRENTE; </w:t>
      </w:r>
      <w:r w:rsidR="00CB1B4C" w:rsidRPr="00F2277E">
        <w:rPr>
          <w:rFonts w:ascii="Palatino Linotype" w:eastAsia="Calibri" w:hAnsi="Palatino Linotype" w:cs="Arial"/>
        </w:rPr>
        <w:t xml:space="preserve">por ello, de conformidad con los artículos 13 y 181, párrafo cuarto de la Ley de la materia; se determina que lo solicitado por el particular consistió en el contrato que hubiera celebrado </w:t>
      </w:r>
      <w:r w:rsidR="00CB1B4C" w:rsidRPr="00F2277E">
        <w:rPr>
          <w:rFonts w:ascii="Palatino Linotype" w:eastAsia="Calibri" w:hAnsi="Palatino Linotype" w:cs="Arial"/>
          <w:b/>
        </w:rPr>
        <w:t xml:space="preserve">EL SUJETO OBLIGADO </w:t>
      </w:r>
      <w:r w:rsidR="00CB1B4C" w:rsidRPr="00F2277E">
        <w:rPr>
          <w:rFonts w:ascii="Palatino Linotype" w:eastAsia="Calibri" w:hAnsi="Palatino Linotype" w:cs="Arial"/>
        </w:rPr>
        <w:t xml:space="preserve">para habilitar la página electrónica </w:t>
      </w:r>
      <w:r w:rsidR="006844C2" w:rsidRPr="00F2277E">
        <w:rPr>
          <w:rFonts w:ascii="Palatino Linotype" w:eastAsia="Calibri" w:hAnsi="Palatino Linotype" w:cs="Arial"/>
        </w:rPr>
        <w:t>mediante la cual se está realizando el cambio de placas en el Estado para el año 2019.</w:t>
      </w:r>
    </w:p>
    <w:p w:rsidR="002077BE" w:rsidRPr="00F2277E" w:rsidRDefault="006844C2" w:rsidP="002077B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F2277E">
        <w:rPr>
          <w:rFonts w:ascii="Palatino Linotype" w:eastAsia="Calibri" w:hAnsi="Palatino Linotype" w:cs="Arial"/>
        </w:rPr>
        <w:t xml:space="preserve">Así, </w:t>
      </w:r>
      <w:r w:rsidR="008E71B2" w:rsidRPr="00F2277E">
        <w:rPr>
          <w:rFonts w:ascii="Palatino Linotype" w:eastAsia="Calibri" w:hAnsi="Palatino Linotype" w:cs="Arial"/>
        </w:rPr>
        <w:t xml:space="preserve">del análisis a las constancias que integran el expediente electrónico del </w:t>
      </w:r>
      <w:r w:rsidR="008E71B2" w:rsidRPr="00F2277E">
        <w:rPr>
          <w:rFonts w:ascii="Palatino Linotype" w:eastAsia="Calibri" w:hAnsi="Palatino Linotype" w:cs="Arial"/>
          <w:b/>
        </w:rPr>
        <w:t xml:space="preserve">SAIMEX </w:t>
      </w:r>
      <w:r w:rsidR="0047454E" w:rsidRPr="00F2277E">
        <w:rPr>
          <w:rFonts w:ascii="Palatino Linotype" w:eastAsia="Calibri" w:hAnsi="Palatino Linotype" w:cs="Arial"/>
        </w:rPr>
        <w:t xml:space="preserve">esta Ponencia Resolutora considera que no se tiene por colmado el derecho de acceso a la información </w:t>
      </w:r>
      <w:r w:rsidR="002077BE" w:rsidRPr="00F2277E">
        <w:rPr>
          <w:rFonts w:ascii="Palatino Linotype" w:eastAsia="Calibri" w:hAnsi="Palatino Linotype" w:cs="Arial"/>
        </w:rPr>
        <w:t xml:space="preserve">ejercido por </w:t>
      </w:r>
      <w:r w:rsidR="002077BE" w:rsidRPr="00F2277E">
        <w:rPr>
          <w:rFonts w:ascii="Palatino Linotype" w:eastAsia="Calibri" w:hAnsi="Palatino Linotype" w:cs="Arial"/>
          <w:b/>
        </w:rPr>
        <w:t xml:space="preserve">EL RECURRENTE; </w:t>
      </w:r>
      <w:r w:rsidR="002077BE" w:rsidRPr="00F2277E">
        <w:rPr>
          <w:rFonts w:ascii="Palatino Linotype" w:eastAsia="Calibri" w:hAnsi="Palatino Linotype" w:cs="Arial"/>
        </w:rPr>
        <w:t xml:space="preserve">toda vez que el </w:t>
      </w:r>
      <w:r w:rsidR="002077BE" w:rsidRPr="00F2277E">
        <w:rPr>
          <w:rFonts w:ascii="Palatino Linotype" w:hAnsi="Palatino Linotype" w:cs="Arial"/>
        </w:rPr>
        <w:t xml:space="preserve">Titular de la Unidad de </w:t>
      </w:r>
      <w:r w:rsidR="002077BE" w:rsidRPr="00F2277E">
        <w:rPr>
          <w:rFonts w:ascii="Palatino Linotype" w:hAnsi="Palatino Linotype" w:cs="Arial"/>
        </w:rPr>
        <w:lastRenderedPageBreak/>
        <w:t>Transparencia del</w:t>
      </w:r>
      <w:r w:rsidR="002077BE" w:rsidRPr="00F2277E">
        <w:rPr>
          <w:rFonts w:ascii="Palatino Linotype" w:hAnsi="Palatino Linotype"/>
          <w:w w:val="110"/>
        </w:rPr>
        <w:t xml:space="preserve"> </w:t>
      </w:r>
      <w:r w:rsidR="002077BE" w:rsidRPr="00F2277E">
        <w:rPr>
          <w:rFonts w:ascii="Palatino Linotype" w:hAnsi="Palatino Linotype"/>
          <w:b/>
          <w:w w:val="110"/>
        </w:rPr>
        <w:t xml:space="preserve">SUJETO OBLIGADO </w:t>
      </w:r>
      <w:r w:rsidR="002077BE" w:rsidRPr="00F2277E">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002077BE" w:rsidRPr="00F2277E">
        <w:rPr>
          <w:rFonts w:ascii="Palatino Linotype" w:hAnsi="Palatino Linotype" w:cs="Arial"/>
          <w:b/>
        </w:rPr>
        <w:t xml:space="preserve">con el objeto de que realicen una búsqueda exhaustiva y razonable de la información solicitada, </w:t>
      </w:r>
      <w:r w:rsidR="002077BE" w:rsidRPr="00F2277E">
        <w:rPr>
          <w:rFonts w:ascii="Palatino Linotype" w:hAnsi="Palatino Linotype" w:cs="Arial"/>
        </w:rPr>
        <w:t xml:space="preserve">ello en atención a que del apartado de requerimientos del </w:t>
      </w:r>
      <w:r w:rsidR="002077BE" w:rsidRPr="00F2277E">
        <w:rPr>
          <w:rFonts w:ascii="Palatino Linotype" w:hAnsi="Palatino Linotype" w:cs="Arial"/>
          <w:b/>
        </w:rPr>
        <w:t xml:space="preserve">SAIMEX, </w:t>
      </w:r>
      <w:r w:rsidR="002077BE" w:rsidRPr="00F2277E">
        <w:rPr>
          <w:rFonts w:ascii="Palatino Linotype" w:hAnsi="Palatino Linotype" w:cs="Arial"/>
        </w:rPr>
        <w:t>se observa que únicamente requirió al Servidor Público Habilitado de la Dirección General de Recursos Materiales, tal como se advierte de la imagen siguiente:</w:t>
      </w:r>
    </w:p>
    <w:p w:rsidR="002077BE" w:rsidRPr="00F2277E" w:rsidRDefault="00757D87" w:rsidP="00757D87">
      <w:pPr>
        <w:spacing w:before="100" w:beforeAutospacing="1" w:after="100" w:afterAutospacing="1" w:line="360" w:lineRule="auto"/>
        <w:jc w:val="center"/>
        <w:rPr>
          <w:rFonts w:ascii="Palatino Linotype" w:hAnsi="Palatino Linotype" w:cs="Arial"/>
        </w:rPr>
      </w:pPr>
      <w:r w:rsidRPr="00F2277E">
        <w:rPr>
          <w:noProof/>
          <w:lang w:val="es-ES"/>
        </w:rPr>
        <w:drawing>
          <wp:inline distT="0" distB="0" distL="0" distR="0" wp14:anchorId="7A5C90D5" wp14:editId="59D881D6">
            <wp:extent cx="5668645" cy="138110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08" t="37790" r="4840" b="48651"/>
                    <a:stretch/>
                  </pic:blipFill>
                  <pic:spPr bwMode="auto">
                    <a:xfrm>
                      <a:off x="0" y="0"/>
                      <a:ext cx="5747263" cy="1400259"/>
                    </a:xfrm>
                    <a:prstGeom prst="rect">
                      <a:avLst/>
                    </a:prstGeom>
                    <a:ln>
                      <a:noFill/>
                    </a:ln>
                    <a:extLst>
                      <a:ext uri="{53640926-AAD7-44D8-BBD7-CCE9431645EC}">
                        <a14:shadowObscured xmlns:a14="http://schemas.microsoft.com/office/drawing/2010/main"/>
                      </a:ext>
                    </a:extLst>
                  </pic:spPr>
                </pic:pic>
              </a:graphicData>
            </a:graphic>
          </wp:inline>
        </w:drawing>
      </w:r>
    </w:p>
    <w:p w:rsidR="00757D87" w:rsidRPr="00F2277E" w:rsidRDefault="00757D87" w:rsidP="00757D87">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2277E">
        <w:rPr>
          <w:rFonts w:ascii="Palatino Linotype" w:hAnsi="Palatino Linotype" w:cs="Bookman Old Style,Bold"/>
          <w:bCs/>
        </w:rPr>
        <w:t xml:space="preserve">Al respecto, es </w:t>
      </w:r>
      <w:r w:rsidRPr="00F2277E">
        <w:rPr>
          <w:rFonts w:ascii="Palatino Linotype" w:hAnsi="Palatino Linotype" w:cs="Arial"/>
        </w:rPr>
        <w:t xml:space="preserve">importante determinar en quién recae la figura de los Servidores </w:t>
      </w:r>
      <w:r w:rsidR="00893C27" w:rsidRPr="00F2277E">
        <w:rPr>
          <w:rFonts w:ascii="Palatino Linotype" w:hAnsi="Palatino Linotype" w:cs="Arial"/>
        </w:rPr>
        <w:t xml:space="preserve">Públicos Habilitados, </w:t>
      </w:r>
      <w:r w:rsidRPr="00F2277E">
        <w:rPr>
          <w:rFonts w:ascii="Palatino Linotype" w:hAnsi="Palatino Linotype" w:cs="Arial"/>
        </w:rPr>
        <w:t xml:space="preserve">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F2277E">
        <w:rPr>
          <w:rFonts w:ascii="Palatino Linotype" w:hAnsi="Palatino Linotype" w:cs="Arial"/>
          <w:lang w:val="es-ES_tradnl"/>
        </w:rPr>
        <w:t>3 fracción XXXIX, 50, 51, 53 y 59 fracciones I, II y III, de la Ley de la materia, mismos que se transcriben a continuación:</w:t>
      </w:r>
    </w:p>
    <w:p w:rsidR="00757D87" w:rsidRPr="00F2277E" w:rsidRDefault="00757D87" w:rsidP="00893C27">
      <w:pPr>
        <w:ind w:left="851" w:right="899"/>
        <w:jc w:val="both"/>
        <w:rPr>
          <w:rFonts w:ascii="Palatino Linotype" w:hAnsi="Palatino Linotype" w:cs="Arial"/>
          <w:i/>
          <w:sz w:val="22"/>
          <w:szCs w:val="22"/>
        </w:rPr>
      </w:pPr>
      <w:r w:rsidRPr="00F2277E">
        <w:rPr>
          <w:rFonts w:ascii="Palatino Linotype" w:hAnsi="Palatino Linotype" w:cs="Arial"/>
          <w:i/>
          <w:sz w:val="22"/>
          <w:szCs w:val="22"/>
        </w:rPr>
        <w:t>“</w:t>
      </w:r>
      <w:r w:rsidRPr="00F2277E">
        <w:rPr>
          <w:rFonts w:ascii="Palatino Linotype" w:hAnsi="Palatino Linotype" w:cs="Arial"/>
          <w:b/>
          <w:i/>
          <w:sz w:val="22"/>
          <w:szCs w:val="22"/>
        </w:rPr>
        <w:t>Artículo 3</w:t>
      </w:r>
      <w:r w:rsidRPr="00F2277E">
        <w:rPr>
          <w:rFonts w:ascii="Palatino Linotype" w:hAnsi="Palatino Linotype" w:cs="Arial"/>
          <w:i/>
          <w:sz w:val="22"/>
          <w:szCs w:val="22"/>
        </w:rPr>
        <w:t xml:space="preserve">. </w:t>
      </w:r>
      <w:r w:rsidRPr="00F2277E">
        <w:rPr>
          <w:rFonts w:ascii="Palatino Linotype" w:hAnsi="Palatino Linotype" w:cs="Arial"/>
          <w:b/>
          <w:i/>
          <w:sz w:val="22"/>
          <w:szCs w:val="22"/>
        </w:rPr>
        <w:t>Para los efectos de la presente Ley se entenderá por</w:t>
      </w:r>
      <w:r w:rsidRPr="00F2277E">
        <w:rPr>
          <w:rFonts w:ascii="Palatino Linotype" w:hAnsi="Palatino Linotype" w:cs="Arial"/>
          <w:i/>
          <w:sz w:val="22"/>
          <w:szCs w:val="22"/>
        </w:rPr>
        <w:t xml:space="preserve">: </w:t>
      </w:r>
    </w:p>
    <w:p w:rsidR="00757D87" w:rsidRPr="00F2277E" w:rsidRDefault="00757D87" w:rsidP="00893C27">
      <w:pPr>
        <w:ind w:left="851" w:right="899"/>
        <w:jc w:val="both"/>
        <w:rPr>
          <w:rFonts w:ascii="Palatino Linotype" w:hAnsi="Palatino Linotype" w:cs="Arial"/>
          <w:i/>
          <w:sz w:val="22"/>
          <w:szCs w:val="22"/>
        </w:rPr>
      </w:pPr>
      <w:r w:rsidRPr="00F2277E">
        <w:rPr>
          <w:rFonts w:ascii="Palatino Linotype" w:hAnsi="Palatino Linotype" w:cs="Arial"/>
          <w:b/>
          <w:i/>
          <w:sz w:val="22"/>
          <w:szCs w:val="22"/>
        </w:rPr>
        <w:t>XXXIX</w:t>
      </w:r>
      <w:r w:rsidRPr="00F2277E">
        <w:rPr>
          <w:rFonts w:ascii="Palatino Linotype" w:hAnsi="Palatino Linotype" w:cs="Arial"/>
          <w:i/>
          <w:sz w:val="22"/>
          <w:szCs w:val="22"/>
        </w:rPr>
        <w:t xml:space="preserve">. </w:t>
      </w:r>
      <w:r w:rsidRPr="00F2277E">
        <w:rPr>
          <w:rFonts w:ascii="Palatino Linotype" w:hAnsi="Palatino Linotype" w:cs="Arial"/>
          <w:b/>
          <w:i/>
          <w:sz w:val="22"/>
          <w:szCs w:val="22"/>
        </w:rPr>
        <w:t>Servidor público habilitado</w:t>
      </w:r>
      <w:r w:rsidRPr="00F2277E">
        <w:rPr>
          <w:rFonts w:ascii="Palatino Linotype" w:hAnsi="Palatino Linotype" w:cs="Arial"/>
          <w:i/>
          <w:sz w:val="22"/>
          <w:szCs w:val="22"/>
        </w:rPr>
        <w:t xml:space="preserve">: Persona encargada dentro de las diversas unidades administrativas o áreas del sujeto obligado, de apoyar, gestionar y entregar </w:t>
      </w:r>
      <w:r w:rsidRPr="00F2277E">
        <w:rPr>
          <w:rFonts w:ascii="Palatino Linotype" w:hAnsi="Palatino Linotype" w:cs="Arial"/>
          <w:i/>
          <w:sz w:val="22"/>
          <w:szCs w:val="22"/>
        </w:rPr>
        <w:lastRenderedPageBreak/>
        <w:t>la información o datos personales que se ubiquen en la misma, a sus respectivas unidades de transparencia; respecto de las solicitudes presentadas y aportar en primera instancia el fundamento y motivación de la clasificación de la información;</w:t>
      </w:r>
    </w:p>
    <w:p w:rsidR="00757D87" w:rsidRPr="00F2277E" w:rsidRDefault="00757D87" w:rsidP="00893C27">
      <w:pPr>
        <w:ind w:left="851" w:right="899"/>
        <w:jc w:val="both"/>
        <w:rPr>
          <w:rFonts w:ascii="Palatino Linotype" w:hAnsi="Palatino Linotype" w:cs="Arial"/>
          <w:i/>
          <w:sz w:val="22"/>
          <w:szCs w:val="22"/>
        </w:rPr>
      </w:pPr>
      <w:r w:rsidRPr="00F2277E">
        <w:rPr>
          <w:rFonts w:ascii="Palatino Linotype" w:hAnsi="Palatino Linotype" w:cs="Arial"/>
          <w:i/>
          <w:sz w:val="22"/>
          <w:szCs w:val="22"/>
        </w:rPr>
        <w:t>…</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b/>
          <w:i/>
          <w:sz w:val="22"/>
          <w:szCs w:val="22"/>
        </w:rPr>
        <w:t>Artículo 50.</w:t>
      </w:r>
      <w:r w:rsidRPr="00F2277E">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b/>
          <w:i/>
          <w:sz w:val="22"/>
          <w:szCs w:val="22"/>
        </w:rPr>
        <w:t>Artículo 51</w:t>
      </w:r>
      <w:r w:rsidRPr="00F2277E">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b/>
          <w:i/>
          <w:sz w:val="22"/>
          <w:szCs w:val="22"/>
        </w:rPr>
        <w:t>Artículo 53</w:t>
      </w:r>
      <w:r w:rsidRPr="00F2277E">
        <w:rPr>
          <w:rFonts w:ascii="Palatino Linotype" w:hAnsi="Palatino Linotype"/>
          <w:i/>
          <w:sz w:val="22"/>
          <w:szCs w:val="22"/>
        </w:rPr>
        <w:t>. Las Unidades de Transparencia tendrán las siguientes funciones:</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757D87" w:rsidRPr="00F2277E" w:rsidRDefault="00757D87" w:rsidP="00893C27">
      <w:pPr>
        <w:ind w:left="851" w:right="899"/>
        <w:jc w:val="both"/>
        <w:rPr>
          <w:rFonts w:ascii="Palatino Linotype" w:hAnsi="Palatino Linotype"/>
          <w:b/>
          <w:i/>
          <w:sz w:val="22"/>
          <w:szCs w:val="22"/>
        </w:rPr>
      </w:pPr>
      <w:r w:rsidRPr="00F2277E">
        <w:rPr>
          <w:rFonts w:ascii="Palatino Linotype" w:hAnsi="Palatino Linotype"/>
          <w:b/>
          <w:i/>
          <w:sz w:val="22"/>
          <w:szCs w:val="22"/>
        </w:rPr>
        <w:t>II. Recibir, tramitar y dar respuesta a las solicitudes de acceso a la información;</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IV. Realizar, con efectividad, los trámites internos necesarios para la atención de las solicitudes de acceso a la información;</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V. Entregar, en su caso, a los particulares la información solicitada;</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VI. Efectuar las notificaciones a los solicitantes;</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X. Presentar ante el Comité, el proyecto de clasificación de información;</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XI. Promover e implementar políticas de transparencia proactiva procurando su accesibilidad;</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XII. Fomentar la transparencia y accesibilidad al interior del sujeto obligado;</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XIII. Hacer del conocimiento de la instancia competente la probable responsabilidad por el incumplimiento de las obligaciones previstas en la presente Ley; y</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lastRenderedPageBreak/>
        <w:t>XIV. Las demás que resulten necesarias para facilitar el acceso a la información y aquellas que se desprenden de la presente Ley y demás disposiciones jurídicas aplicables.</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757D87" w:rsidRPr="00F2277E" w:rsidRDefault="00757D87" w:rsidP="00893C27">
      <w:pPr>
        <w:ind w:left="851" w:right="899"/>
        <w:jc w:val="both"/>
        <w:rPr>
          <w:rFonts w:ascii="Palatino Linotype" w:hAnsi="Palatino Linotype"/>
          <w:i/>
          <w:sz w:val="22"/>
          <w:szCs w:val="22"/>
        </w:rPr>
      </w:pPr>
      <w:r w:rsidRPr="00F2277E">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757D87" w:rsidRPr="00F2277E" w:rsidRDefault="00757D87" w:rsidP="00893C27">
      <w:pPr>
        <w:ind w:left="851" w:right="899"/>
        <w:jc w:val="both"/>
        <w:rPr>
          <w:rFonts w:ascii="Palatino Linotype" w:hAnsi="Palatino Linotype" w:cs="Arial"/>
          <w:i/>
          <w:sz w:val="22"/>
          <w:szCs w:val="22"/>
        </w:rPr>
      </w:pPr>
      <w:r w:rsidRPr="00F2277E">
        <w:rPr>
          <w:rFonts w:ascii="Palatino Linotype" w:hAnsi="Palatino Linotype" w:cs="Arial"/>
          <w:b/>
          <w:i/>
          <w:sz w:val="22"/>
          <w:szCs w:val="22"/>
        </w:rPr>
        <w:t>Artículo 59</w:t>
      </w:r>
      <w:r w:rsidRPr="00F2277E">
        <w:rPr>
          <w:rFonts w:ascii="Palatino Linotype" w:hAnsi="Palatino Linotype" w:cs="Arial"/>
          <w:i/>
          <w:sz w:val="22"/>
          <w:szCs w:val="22"/>
        </w:rPr>
        <w:t xml:space="preserve">. </w:t>
      </w:r>
      <w:r w:rsidRPr="00F2277E">
        <w:rPr>
          <w:rFonts w:ascii="Palatino Linotype" w:hAnsi="Palatino Linotype" w:cs="Arial"/>
          <w:b/>
          <w:i/>
          <w:sz w:val="22"/>
          <w:szCs w:val="22"/>
        </w:rPr>
        <w:t>Los servidores públicos habilitados tendrán las funciones siguientes</w:t>
      </w:r>
      <w:r w:rsidRPr="00F2277E">
        <w:rPr>
          <w:rFonts w:ascii="Palatino Linotype" w:hAnsi="Palatino Linotype" w:cs="Arial"/>
          <w:i/>
          <w:sz w:val="22"/>
          <w:szCs w:val="22"/>
        </w:rPr>
        <w:t xml:space="preserve">: </w:t>
      </w:r>
    </w:p>
    <w:p w:rsidR="00757D87" w:rsidRPr="00F2277E" w:rsidRDefault="00757D87" w:rsidP="00893C27">
      <w:pPr>
        <w:ind w:left="851" w:right="899"/>
        <w:jc w:val="both"/>
        <w:rPr>
          <w:rFonts w:ascii="Palatino Linotype" w:hAnsi="Palatino Linotype" w:cs="Arial"/>
          <w:i/>
          <w:sz w:val="22"/>
          <w:szCs w:val="22"/>
        </w:rPr>
      </w:pPr>
      <w:r w:rsidRPr="00F2277E">
        <w:rPr>
          <w:rFonts w:ascii="Palatino Linotype" w:hAnsi="Palatino Linotype" w:cs="Arial"/>
          <w:b/>
          <w:i/>
          <w:sz w:val="22"/>
          <w:szCs w:val="22"/>
        </w:rPr>
        <w:t>I. Localizar la información que le solicite la Unidad de Transparencia</w:t>
      </w:r>
      <w:r w:rsidRPr="00F2277E">
        <w:rPr>
          <w:rFonts w:ascii="Palatino Linotype" w:hAnsi="Palatino Linotype" w:cs="Arial"/>
          <w:i/>
          <w:sz w:val="22"/>
          <w:szCs w:val="22"/>
        </w:rPr>
        <w:t xml:space="preserve">; </w:t>
      </w:r>
    </w:p>
    <w:p w:rsidR="00757D87" w:rsidRPr="00F2277E" w:rsidRDefault="00757D87" w:rsidP="00893C27">
      <w:pPr>
        <w:ind w:left="851" w:right="899"/>
        <w:jc w:val="both"/>
        <w:rPr>
          <w:rFonts w:ascii="Palatino Linotype" w:hAnsi="Palatino Linotype" w:cs="Arial"/>
          <w:b/>
          <w:i/>
          <w:sz w:val="22"/>
          <w:szCs w:val="22"/>
        </w:rPr>
      </w:pPr>
      <w:r w:rsidRPr="00F2277E">
        <w:rPr>
          <w:rFonts w:ascii="Palatino Linotype" w:hAnsi="Palatino Linotype" w:cs="Arial"/>
          <w:b/>
          <w:i/>
          <w:sz w:val="22"/>
          <w:szCs w:val="22"/>
        </w:rPr>
        <w:t xml:space="preserve">II. Proporcionar la información que obre en los archivos y que le sea solicitada por la Unidad de Transparencia; </w:t>
      </w:r>
    </w:p>
    <w:p w:rsidR="00757D87" w:rsidRPr="00F2277E" w:rsidRDefault="00757D87" w:rsidP="00893C27">
      <w:pPr>
        <w:ind w:left="851" w:right="899"/>
        <w:jc w:val="both"/>
        <w:rPr>
          <w:rFonts w:ascii="Palatino Linotype" w:hAnsi="Palatino Linotype" w:cs="Arial"/>
          <w:b/>
          <w:i/>
          <w:sz w:val="22"/>
          <w:szCs w:val="22"/>
        </w:rPr>
      </w:pPr>
      <w:r w:rsidRPr="00F2277E">
        <w:rPr>
          <w:rFonts w:ascii="Palatino Linotype" w:hAnsi="Palatino Linotype" w:cs="Arial"/>
          <w:b/>
          <w:i/>
          <w:sz w:val="22"/>
          <w:szCs w:val="22"/>
        </w:rPr>
        <w:t xml:space="preserve">III. Apoyar a la Unidad de Transparencia en lo que esta le solicite para el cumplimiento de sus funciones; </w:t>
      </w:r>
    </w:p>
    <w:p w:rsidR="00757D87" w:rsidRPr="00F2277E" w:rsidRDefault="00757D87" w:rsidP="00893C27">
      <w:pPr>
        <w:ind w:left="851" w:right="899"/>
        <w:jc w:val="both"/>
        <w:rPr>
          <w:rFonts w:ascii="Palatino Linotype" w:hAnsi="Palatino Linotype" w:cs="Arial"/>
          <w:b/>
          <w:i/>
          <w:sz w:val="22"/>
          <w:szCs w:val="22"/>
        </w:rPr>
      </w:pPr>
      <w:r w:rsidRPr="00F2277E">
        <w:rPr>
          <w:rFonts w:ascii="Palatino Linotype" w:hAnsi="Palatino Linotype" w:cs="Arial"/>
          <w:b/>
          <w:i/>
          <w:sz w:val="22"/>
          <w:szCs w:val="22"/>
        </w:rPr>
        <w:t>…</w:t>
      </w:r>
      <w:r w:rsidRPr="00F2277E">
        <w:rPr>
          <w:rFonts w:ascii="Palatino Linotype" w:hAnsi="Palatino Linotype" w:cs="Arial"/>
          <w:i/>
          <w:sz w:val="22"/>
          <w:szCs w:val="22"/>
        </w:rPr>
        <w:t>”</w:t>
      </w:r>
    </w:p>
    <w:p w:rsidR="00757D87" w:rsidRPr="00F2277E" w:rsidRDefault="00757D87" w:rsidP="00893C27">
      <w:pPr>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(Énfasis añadido)</w:t>
      </w:r>
    </w:p>
    <w:p w:rsidR="00757D87" w:rsidRPr="00F2277E" w:rsidRDefault="00757D87" w:rsidP="00757D87">
      <w:pPr>
        <w:spacing w:before="240" w:after="240" w:line="360" w:lineRule="auto"/>
        <w:jc w:val="both"/>
        <w:rPr>
          <w:rFonts w:ascii="Palatino Linotype" w:eastAsia="Calibri" w:hAnsi="Palatino Linotype"/>
        </w:rPr>
      </w:pPr>
      <w:r w:rsidRPr="00F2277E">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893C27" w:rsidRPr="00F2277E" w:rsidRDefault="00893C27" w:rsidP="00893C27">
      <w:pPr>
        <w:spacing w:before="240" w:after="240" w:line="360" w:lineRule="auto"/>
        <w:jc w:val="both"/>
        <w:rPr>
          <w:rFonts w:ascii="Palatino Linotype" w:eastAsia="Calibri" w:hAnsi="Palatino Linotype"/>
        </w:rPr>
      </w:pPr>
      <w:r w:rsidRPr="00F2277E">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F2277E">
        <w:rPr>
          <w:rFonts w:ascii="Palatino Linotype" w:eastAsia="Calibri" w:hAnsi="Palatino Linotype"/>
          <w:b/>
        </w:rPr>
        <w:t>SUJETO OBLIGADO</w:t>
      </w:r>
      <w:r w:rsidRPr="00F2277E">
        <w:rPr>
          <w:rFonts w:ascii="Palatino Linotype" w:eastAsia="Calibri" w:hAnsi="Palatino Linotype"/>
        </w:rPr>
        <w:t xml:space="preserve">, es por ello que, debe turnar la solicitud al servidor público habilitado que tiene bajo su </w:t>
      </w:r>
      <w:r w:rsidRPr="00F2277E">
        <w:rPr>
          <w:rFonts w:ascii="Palatino Linotype" w:eastAsia="Calibri" w:hAnsi="Palatino Linotype"/>
        </w:rPr>
        <w:lastRenderedPageBreak/>
        <w:t>resguardo la misma. Los servidores públicos habilitados tienen como función, buscar, localizar y en su caso entregar la información solicitada.</w:t>
      </w:r>
    </w:p>
    <w:p w:rsidR="00893C27" w:rsidRPr="00F2277E" w:rsidRDefault="00893C27" w:rsidP="00893C27">
      <w:pPr>
        <w:spacing w:before="240" w:after="240" w:line="360" w:lineRule="auto"/>
        <w:jc w:val="both"/>
        <w:rPr>
          <w:rFonts w:ascii="Palatino Linotype" w:eastAsia="Calibri" w:hAnsi="Palatino Linotype"/>
        </w:rPr>
      </w:pPr>
      <w:r w:rsidRPr="00F2277E">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F2277E">
        <w:rPr>
          <w:rFonts w:ascii="Palatino Linotype" w:eastAsia="Calibri" w:hAnsi="Palatino Linotype"/>
          <w:b/>
        </w:rPr>
        <w:t>con el objeto de que se realice una búsqueda exhaustiva y razonable de la información solicitada</w:t>
      </w:r>
      <w:r w:rsidRPr="00F2277E">
        <w:rPr>
          <w:rFonts w:ascii="Palatino Linotype" w:eastAsia="Calibri" w:hAnsi="Palatino Linotype"/>
        </w:rPr>
        <w:t>.</w:t>
      </w:r>
    </w:p>
    <w:p w:rsidR="00893C27" w:rsidRPr="00F2277E" w:rsidRDefault="00893C27" w:rsidP="00893C27">
      <w:pPr>
        <w:spacing w:line="360" w:lineRule="auto"/>
        <w:jc w:val="both"/>
        <w:rPr>
          <w:rFonts w:ascii="Palatino Linotype" w:hAnsi="Palatino Linotype" w:cs="Arial"/>
        </w:rPr>
      </w:pPr>
      <w:r w:rsidRPr="00F2277E">
        <w:rPr>
          <w:rFonts w:ascii="Palatino Linotype" w:hAnsi="Palatino Linotype" w:cs="Arial"/>
        </w:rPr>
        <w:t xml:space="preserve">Así, respecto de la información solicitada, se advierte que el Titular de la Unidad de Transparencia del </w:t>
      </w:r>
      <w:r w:rsidRPr="00F2277E">
        <w:rPr>
          <w:rFonts w:ascii="Palatino Linotype" w:hAnsi="Palatino Linotype" w:cs="Arial"/>
          <w:b/>
        </w:rPr>
        <w:t>SUJETO OBLIGADO</w:t>
      </w:r>
      <w:r w:rsidRPr="00F2277E">
        <w:rPr>
          <w:rFonts w:ascii="Palatino Linotype" w:hAnsi="Palatino Linotype" w:cs="Arial"/>
        </w:rPr>
        <w:t xml:space="preserve">, en términos del artículo </w:t>
      </w:r>
      <w:r w:rsidRPr="00F2277E">
        <w:rPr>
          <w:rFonts w:ascii="Palatino Linotype" w:hAnsi="Palatino Linotype" w:cs="Arial"/>
          <w:lang w:val="es-ES_tradnl"/>
        </w:rPr>
        <w:t>162 de la Ley de Transparencia y Acceso a la Información Pública del Estado de México y Municipios</w:t>
      </w:r>
      <w:r w:rsidRPr="00F2277E">
        <w:rPr>
          <w:rFonts w:ascii="Palatino Linotype" w:hAnsi="Palatino Linotype" w:cs="Arial"/>
        </w:rPr>
        <w:t xml:space="preserve">, debió solicitar la información requerida, de manera adicional a las áreas administrativas de </w:t>
      </w:r>
      <w:r w:rsidR="00BB01F4" w:rsidRPr="00F2277E">
        <w:rPr>
          <w:rFonts w:ascii="Palatino Linotype" w:hAnsi="Palatino Linotype" w:cs="Arial"/>
        </w:rPr>
        <w:t xml:space="preserve">Dirección </w:t>
      </w:r>
      <w:r w:rsidRPr="00F2277E">
        <w:rPr>
          <w:rFonts w:ascii="Palatino Linotype" w:hAnsi="Palatino Linotype" w:cs="Arial"/>
        </w:rPr>
        <w:t xml:space="preserve">General de Tesorería, </w:t>
      </w:r>
      <w:r w:rsidR="00BB01F4" w:rsidRPr="00F2277E">
        <w:rPr>
          <w:rFonts w:ascii="Palatino Linotype" w:hAnsi="Palatino Linotype" w:cs="Arial"/>
        </w:rPr>
        <w:t>Dirección General de Innovaci</w:t>
      </w:r>
      <w:r w:rsidR="00C053F2" w:rsidRPr="00F2277E">
        <w:rPr>
          <w:rFonts w:ascii="Palatino Linotype" w:hAnsi="Palatino Linotype" w:cs="Arial"/>
        </w:rPr>
        <w:t xml:space="preserve">ón y a la </w:t>
      </w:r>
      <w:r w:rsidR="00BB01F4" w:rsidRPr="00F2277E">
        <w:rPr>
          <w:rFonts w:ascii="Palatino Linotype" w:hAnsi="Palatino Linotype" w:cs="Arial"/>
        </w:rPr>
        <w:t>Dirección General del Sistema Estatal de Informática</w:t>
      </w:r>
      <w:r w:rsidR="00C053F2" w:rsidRPr="00F2277E">
        <w:rPr>
          <w:rFonts w:ascii="Palatino Linotype" w:hAnsi="Palatino Linotype" w:cs="Arial"/>
        </w:rPr>
        <w:t>.</w:t>
      </w:r>
    </w:p>
    <w:p w:rsidR="00C053F2" w:rsidRPr="00F2277E" w:rsidRDefault="00C053F2" w:rsidP="00893C27">
      <w:pPr>
        <w:pStyle w:val="Prrafodelista"/>
        <w:widowControl w:val="0"/>
        <w:autoSpaceDE w:val="0"/>
        <w:autoSpaceDN w:val="0"/>
        <w:adjustRightInd w:val="0"/>
        <w:spacing w:before="120" w:after="120" w:line="360" w:lineRule="auto"/>
        <w:ind w:left="0"/>
        <w:jc w:val="both"/>
        <w:rPr>
          <w:rFonts w:ascii="Palatino Linotype" w:hAnsi="Palatino Linotype" w:cs="Arial"/>
          <w:color w:val="000000"/>
        </w:rPr>
      </w:pPr>
      <w:r w:rsidRPr="00F2277E">
        <w:rPr>
          <w:rFonts w:ascii="Palatino Linotype" w:hAnsi="Palatino Linotype" w:cs="Arial"/>
        </w:rPr>
        <w:t>E</w:t>
      </w:r>
      <w:r w:rsidR="00893C27" w:rsidRPr="00F2277E">
        <w:rPr>
          <w:rFonts w:ascii="Palatino Linotype" w:hAnsi="Palatino Linotype"/>
        </w:rPr>
        <w:t>n ese sentido, r</w:t>
      </w:r>
      <w:r w:rsidR="00893C27" w:rsidRPr="00F2277E">
        <w:rPr>
          <w:rFonts w:ascii="Palatino Linotype" w:hAnsi="Palatino Linotype" w:cs="Arial"/>
          <w:color w:val="000000"/>
        </w:rPr>
        <w:t xml:space="preserve">esulta importante traer a contexto </w:t>
      </w:r>
      <w:r w:rsidR="00B82468" w:rsidRPr="00F2277E">
        <w:rPr>
          <w:rFonts w:ascii="Palatino Linotype" w:hAnsi="Palatino Linotype" w:cs="Arial"/>
          <w:color w:val="000000"/>
        </w:rPr>
        <w:t xml:space="preserve">lo establecido en </w:t>
      </w:r>
      <w:r w:rsidR="00893C27" w:rsidRPr="00F2277E">
        <w:rPr>
          <w:rFonts w:ascii="Palatino Linotype" w:hAnsi="Palatino Linotype" w:cs="Arial"/>
          <w:color w:val="000000"/>
        </w:rPr>
        <w:t xml:space="preserve">el </w:t>
      </w:r>
      <w:r w:rsidRPr="00F2277E">
        <w:rPr>
          <w:rFonts w:ascii="Palatino Linotype" w:hAnsi="Palatino Linotype" w:cs="Arial"/>
          <w:color w:val="000000"/>
        </w:rPr>
        <w:t xml:space="preserve">Reglamento Interior de la Secretaría de </w:t>
      </w:r>
      <w:r w:rsidR="00B82468" w:rsidRPr="00F2277E">
        <w:rPr>
          <w:rFonts w:ascii="Palatino Linotype" w:hAnsi="Palatino Linotype" w:cs="Arial"/>
          <w:color w:val="000000"/>
        </w:rPr>
        <w:t xml:space="preserve">Finanzas; así como, en el Manual General de Organización de la Secretaría en comento, </w:t>
      </w:r>
      <w:r w:rsidRPr="00F2277E">
        <w:rPr>
          <w:rFonts w:ascii="Palatino Linotype" w:hAnsi="Palatino Linotype" w:cs="Arial"/>
          <w:color w:val="000000"/>
        </w:rPr>
        <w:t xml:space="preserve">que en su parte medular </w:t>
      </w:r>
      <w:r w:rsidR="00B82468" w:rsidRPr="00F2277E">
        <w:rPr>
          <w:rFonts w:ascii="Palatino Linotype" w:hAnsi="Palatino Linotype" w:cs="Arial"/>
          <w:color w:val="000000"/>
        </w:rPr>
        <w:t>establecen:</w:t>
      </w:r>
    </w:p>
    <w:p w:rsidR="00C053F2"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b/>
          <w:i/>
          <w:sz w:val="22"/>
          <w:szCs w:val="22"/>
        </w:rPr>
        <w:t>“</w:t>
      </w:r>
      <w:r w:rsidR="00C053F2" w:rsidRPr="00F2277E">
        <w:rPr>
          <w:rFonts w:ascii="Palatino Linotype" w:hAnsi="Palatino Linotype"/>
          <w:b/>
          <w:i/>
          <w:sz w:val="22"/>
          <w:szCs w:val="22"/>
        </w:rPr>
        <w:t>Artículo 24.-</w:t>
      </w:r>
      <w:r w:rsidR="00C053F2" w:rsidRPr="00F2277E">
        <w:rPr>
          <w:rFonts w:ascii="Palatino Linotype" w:hAnsi="Palatino Linotype"/>
          <w:i/>
          <w:sz w:val="22"/>
          <w:szCs w:val="22"/>
        </w:rPr>
        <w:t xml:space="preserve"> Quedan adscritas a la Subsecretaría de Tesorería: </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I. Dirección General de Tesorería.</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b/>
          <w:i/>
          <w:sz w:val="22"/>
          <w:szCs w:val="22"/>
        </w:rPr>
        <w:t>Artículo 25.-</w:t>
      </w:r>
      <w:r w:rsidRPr="00F2277E">
        <w:rPr>
          <w:rFonts w:ascii="Palatino Linotype" w:hAnsi="Palatino Linotype"/>
          <w:i/>
          <w:sz w:val="22"/>
          <w:szCs w:val="22"/>
        </w:rPr>
        <w:t xml:space="preserve"> Corresponde a la Dirección General de Tesorería:</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i/>
          <w:sz w:val="22"/>
          <w:szCs w:val="22"/>
        </w:rPr>
        <w:t xml:space="preserve">II. </w:t>
      </w:r>
      <w:r w:rsidRPr="00F2277E">
        <w:rPr>
          <w:rFonts w:ascii="Palatino Linotype" w:hAnsi="Palatino Linotype"/>
          <w:b/>
          <w:i/>
          <w:sz w:val="22"/>
          <w:szCs w:val="22"/>
        </w:rPr>
        <w:t>Determinar el flujo de efectivo para el pago del gasto público, de acuerdo con la disponibilidad de recursos existentes.</w:t>
      </w: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IV. Programar los pagos autorizados por las dependencias, entidades públicas y unidades ejecutoras del gasto, con cargo al presupuesto de egresos y de acuerdo a la disponibilidad financiera, que conforme a la ley y demás disposiciones aplicables, deba efectuar el Ejecutivo del Estado.</w:t>
      </w: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b/>
          <w:i/>
          <w:sz w:val="22"/>
          <w:szCs w:val="22"/>
        </w:rPr>
        <w:lastRenderedPageBreak/>
        <w:t>VII. Revisar los reportes diarios de entradas y salidas de fondos así como la documentación comprobatoria respectiva,</w:t>
      </w:r>
      <w:r w:rsidRPr="00F2277E">
        <w:rPr>
          <w:rFonts w:ascii="Palatino Linotype" w:hAnsi="Palatino Linotype"/>
          <w:i/>
          <w:sz w:val="22"/>
          <w:szCs w:val="22"/>
        </w:rPr>
        <w:t xml:space="preserve"> elaborados por la Caja General de Gobierno y que sean remitidos para su registro contable y presupuestal a la Contaduría General Gubernamental.</w:t>
      </w: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 xml:space="preserve">XIV. Participar con voz y voto en: </w:t>
      </w: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 xml:space="preserve">a) El Comité de Adquisiciones y Servicios. </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b) El Comité de Arrendamientos, Adquisiciones de Inmuebles y Enajenaciones.</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b/>
          <w:i/>
          <w:sz w:val="22"/>
          <w:szCs w:val="22"/>
        </w:rPr>
        <w:t>Artículo 30.-</w:t>
      </w:r>
      <w:r w:rsidRPr="00F2277E">
        <w:rPr>
          <w:rFonts w:ascii="Palatino Linotype" w:hAnsi="Palatino Linotype"/>
          <w:i/>
          <w:sz w:val="22"/>
          <w:szCs w:val="22"/>
        </w:rPr>
        <w:t xml:space="preserve"> Quedan adscritas a la Subsecretaría de Administración:</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III. Dirección General de Innovación.</w:t>
      </w: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IV. Dirección General del Sistema Estatal de Informática.</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p>
    <w:p w:rsidR="00C053F2" w:rsidRPr="00F2277E" w:rsidRDefault="00C053F2"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b/>
          <w:i/>
          <w:sz w:val="22"/>
          <w:szCs w:val="22"/>
        </w:rPr>
        <w:t>Artículo 33.-</w:t>
      </w:r>
      <w:r w:rsidRPr="00F2277E">
        <w:rPr>
          <w:rFonts w:ascii="Palatino Linotype" w:hAnsi="Palatino Linotype"/>
          <w:i/>
          <w:sz w:val="22"/>
          <w:szCs w:val="22"/>
        </w:rPr>
        <w:t xml:space="preserve"> Corresponde a la </w:t>
      </w:r>
      <w:r w:rsidRPr="00F2277E">
        <w:rPr>
          <w:rFonts w:ascii="Palatino Linotype" w:hAnsi="Palatino Linotype"/>
          <w:b/>
          <w:i/>
          <w:sz w:val="22"/>
          <w:szCs w:val="22"/>
        </w:rPr>
        <w:t>Dirección General de Innovación</w:t>
      </w:r>
      <w:r w:rsidRPr="00F2277E">
        <w:rPr>
          <w:rFonts w:ascii="Palatino Linotype" w:hAnsi="Palatino Linotype"/>
          <w:i/>
          <w:sz w:val="22"/>
          <w:szCs w:val="22"/>
        </w:rPr>
        <w:t>:</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8B4E08" w:rsidRPr="00F2277E" w:rsidRDefault="008B4E08"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II. Desarrollar y, en su caso, operar herramientas y sistemas de gestión de calidad que coadyuven a la modernización de la función pública.</w:t>
      </w:r>
    </w:p>
    <w:p w:rsidR="008B4E08" w:rsidRPr="00F2277E" w:rsidRDefault="008B4E08"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8B4E08" w:rsidRPr="00F2277E" w:rsidRDefault="008B4E08"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III. Proponer acciones de modernización, simplificación y calidad en trámites y servicios estratégicos del Gobierno del Estado, así como en procesos de soporte.</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i/>
          <w:sz w:val="22"/>
          <w:szCs w:val="22"/>
        </w:rPr>
        <w:t xml:space="preserve">Artículo 34.- Corresponde a la </w:t>
      </w:r>
      <w:r w:rsidRPr="00F2277E">
        <w:rPr>
          <w:rFonts w:ascii="Palatino Linotype" w:hAnsi="Palatino Linotype"/>
          <w:b/>
          <w:i/>
          <w:sz w:val="22"/>
          <w:szCs w:val="22"/>
        </w:rPr>
        <w:t xml:space="preserve">Dirección General del Sistema Estatal de Informática: </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p>
    <w:p w:rsidR="008B4E08" w:rsidRPr="00F2277E" w:rsidRDefault="002032B9"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I. Elaborar y proponer al Subsecretario de Administración las políticas en materia de tecnologías de la información y comunicación que rijan su uso y aprovechamiento en la administración pública estatal.</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w:t>
      </w:r>
    </w:p>
    <w:p w:rsidR="00B82468" w:rsidRPr="00F2277E" w:rsidRDefault="002032B9"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VI. Impulsar y realizar, en su caso, la automatización de los procesos de trabajo de la administración pública estatal, mediante la aplicación adecuada y estandarizada de las tecnologías de la información y comunicación.</w:t>
      </w: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b/>
          <w:i/>
          <w:sz w:val="22"/>
          <w:szCs w:val="22"/>
        </w:rPr>
      </w:pPr>
    </w:p>
    <w:p w:rsidR="00B82468" w:rsidRPr="00F2277E" w:rsidRDefault="00B82468" w:rsidP="009F438A">
      <w:pPr>
        <w:pStyle w:val="Prrafodelista"/>
        <w:widowControl w:val="0"/>
        <w:autoSpaceDE w:val="0"/>
        <w:autoSpaceDN w:val="0"/>
        <w:adjustRightInd w:val="0"/>
        <w:ind w:left="851" w:right="899"/>
        <w:jc w:val="center"/>
        <w:rPr>
          <w:rFonts w:ascii="Palatino Linotype" w:hAnsi="Palatino Linotype"/>
          <w:b/>
          <w:i/>
          <w:sz w:val="22"/>
          <w:szCs w:val="22"/>
        </w:rPr>
      </w:pPr>
      <w:r w:rsidRPr="00F2277E">
        <w:rPr>
          <w:rFonts w:ascii="Palatino Linotype" w:hAnsi="Palatino Linotype"/>
          <w:b/>
          <w:i/>
          <w:sz w:val="22"/>
          <w:szCs w:val="22"/>
        </w:rPr>
        <w:t>Manual General de Organización de la Secretaría de Finanzas</w:t>
      </w:r>
    </w:p>
    <w:p w:rsidR="00B82468" w:rsidRPr="00F2277E" w:rsidRDefault="00B82468" w:rsidP="009F438A">
      <w:pPr>
        <w:pStyle w:val="Prrafodelista"/>
        <w:widowControl w:val="0"/>
        <w:autoSpaceDE w:val="0"/>
        <w:autoSpaceDN w:val="0"/>
        <w:adjustRightInd w:val="0"/>
        <w:ind w:left="851" w:right="899"/>
        <w:jc w:val="center"/>
        <w:rPr>
          <w:rFonts w:ascii="Palatino Linotype" w:hAnsi="Palatino Linotype"/>
          <w:b/>
          <w:i/>
          <w:sz w:val="22"/>
          <w:szCs w:val="22"/>
        </w:rPr>
      </w:pP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 xml:space="preserve">203310000 DIRECCIÓN GENERAL DE TESORERÍA </w:t>
      </w: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b/>
          <w:i/>
          <w:sz w:val="22"/>
          <w:szCs w:val="22"/>
        </w:rPr>
      </w:pP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b/>
          <w:i/>
          <w:sz w:val="22"/>
          <w:szCs w:val="22"/>
        </w:rPr>
        <w:t>OBJETIVO:</w:t>
      </w:r>
      <w:r w:rsidRPr="00F2277E">
        <w:rPr>
          <w:rFonts w:ascii="Palatino Linotype" w:hAnsi="Palatino Linotype"/>
          <w:i/>
          <w:sz w:val="22"/>
          <w:szCs w:val="22"/>
        </w:rPr>
        <w:t xml:space="preserve"> Programar, organizar y determinar los flujos de efectivo para el pago del gasto público, conocer las disponibilidades financieras de las dependencias y </w:t>
      </w:r>
      <w:r w:rsidRPr="00F2277E">
        <w:rPr>
          <w:rFonts w:ascii="Palatino Linotype" w:hAnsi="Palatino Linotype"/>
          <w:i/>
          <w:sz w:val="22"/>
          <w:szCs w:val="22"/>
        </w:rPr>
        <w:lastRenderedPageBreak/>
        <w:t>organismos auxiliares de la entidad, así como verificar la administración de los fondos y valores propiedad o al cuidado del Gobierno del Estado de México, que se efectúen a través de la Caja General de Gobierno, de conformidad con las disposiciones normativas aplicables en la materia.</w:t>
      </w: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i/>
          <w:sz w:val="22"/>
          <w:szCs w:val="22"/>
        </w:rPr>
      </w:pP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b/>
          <w:i/>
          <w:sz w:val="22"/>
          <w:szCs w:val="22"/>
        </w:rPr>
        <w:t>FUNCIONES</w:t>
      </w:r>
      <w:r w:rsidRPr="00F2277E">
        <w:rPr>
          <w:rFonts w:ascii="Palatino Linotype" w:hAnsi="Palatino Linotype"/>
          <w:i/>
          <w:sz w:val="22"/>
          <w:szCs w:val="22"/>
        </w:rPr>
        <w:t>:</w:t>
      </w: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Supervisar la administración que efectúe la Caja General de Gobierno, de los fondos y valores propiedad o al cuidado del Gobierno del Estado de México.</w:t>
      </w: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Verificar que los pagos que se realicen con base en la disponibilidad de recursos cumplan con lo establecido en el Código Financiero del Estado de México y Municipios.</w:t>
      </w: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i/>
          <w:sz w:val="22"/>
          <w:szCs w:val="22"/>
        </w:rPr>
      </w:pP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 xml:space="preserve">203312000 DIRECCIÓN DE EGRESOS Y PROGRAMACIÓN </w:t>
      </w: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b/>
          <w:i/>
          <w:sz w:val="22"/>
          <w:szCs w:val="22"/>
        </w:rPr>
      </w:pP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b/>
          <w:i/>
          <w:sz w:val="22"/>
          <w:szCs w:val="22"/>
        </w:rPr>
        <w:t>OBJETIVO:</w:t>
      </w:r>
      <w:r w:rsidRPr="00F2277E">
        <w:t xml:space="preserve"> </w:t>
      </w:r>
      <w:r w:rsidRPr="00F2277E">
        <w:rPr>
          <w:rFonts w:ascii="Palatino Linotype" w:hAnsi="Palatino Linotype"/>
          <w:i/>
          <w:sz w:val="22"/>
          <w:szCs w:val="22"/>
        </w:rPr>
        <w:t>Dirigir y controlar la proyección anual y mensual de los ingresos y egresos del Gobierno del Estado de México, y supervisar la programación de los documentos para pago que son ingresados y registrados en la Dirección General de Tesorería, de conformidad con el concepto de gasto, origen y la disponibilidad de recursos.</w:t>
      </w: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i/>
          <w:sz w:val="22"/>
          <w:szCs w:val="22"/>
        </w:rPr>
      </w:pPr>
    </w:p>
    <w:p w:rsidR="00B82468" w:rsidRPr="00F2277E" w:rsidRDefault="00B82468"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FUNCIONES:</w:t>
      </w:r>
    </w:p>
    <w:p w:rsidR="00B82468"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Supervisar y autorizar la programación de pagos del Gobierno del Estado de México, considerando la disponibilidad de recursos y los requerimientos efectuados por las Unidades Ejecutoras del Gasto, para el cumplimiento de las obligaciones contraídas.</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Supervisar la no liberación de recursos a favor de personas físicas o jurídico colectivas que, en su carácter de contratistas o proveedoras de bienes o servicios, presenten adeudos pendientes de solventar, así como de servidoras públicas y servidores públicos que tengan obligaciones pendientes de solventar con el Gobierno del Estado.</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 xml:space="preserve">203313001 DEPARTAMENTO DE EVALUACIÓN Y SEGUIMIENTO DE LAS ADQUISICIONES </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b/>
          <w:i/>
          <w:sz w:val="22"/>
          <w:szCs w:val="22"/>
        </w:rPr>
      </w:pP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b/>
          <w:i/>
          <w:sz w:val="22"/>
          <w:szCs w:val="22"/>
        </w:rPr>
        <w:t>OBJETIVO:</w:t>
      </w:r>
      <w:r w:rsidRPr="00F2277E">
        <w:t xml:space="preserve"> </w:t>
      </w:r>
      <w:r w:rsidRPr="00F2277E">
        <w:rPr>
          <w:rFonts w:ascii="Palatino Linotype" w:hAnsi="Palatino Linotype"/>
          <w:i/>
          <w:sz w:val="22"/>
          <w:szCs w:val="22"/>
        </w:rPr>
        <w:t xml:space="preserve">Representar a la Secretaría de Finanzas, en su carácter de área financiera, ante el Comité de Adquisiciones y Servicios y el Comité de Arrendamientos, Adquisiciones de Inmuebles y Enajenaciones, brindando el apoyo en el análisis y la preparación de los procedimientos y, en su caso, verificar la </w:t>
      </w:r>
      <w:r w:rsidRPr="00F2277E">
        <w:rPr>
          <w:rFonts w:ascii="Palatino Linotype" w:hAnsi="Palatino Linotype"/>
          <w:i/>
          <w:sz w:val="22"/>
          <w:szCs w:val="22"/>
        </w:rPr>
        <w:lastRenderedPageBreak/>
        <w:t>suficiencia presupuestal respectiva, dentro del marco de actuación de los Comités establecidos.</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b/>
          <w:i/>
          <w:sz w:val="22"/>
          <w:szCs w:val="22"/>
        </w:rPr>
      </w:pPr>
      <w:r w:rsidRPr="00F2277E">
        <w:rPr>
          <w:rFonts w:ascii="Palatino Linotype" w:hAnsi="Palatino Linotype"/>
          <w:b/>
          <w:i/>
          <w:sz w:val="22"/>
          <w:szCs w:val="22"/>
        </w:rPr>
        <w:t>FUNCIONES:</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Verificar que las adquisiciones que realiza el Gobierno del Estado de México se efectúen con base en las políticas establecidas y, en su caso, proponer alternativas para conciliar las necesidades de adquisición con la capacidad económica para solventar los gastos.</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Analizar las propuestas que presenten las y los oferentes ante los respectivos Comités, para obtener un óptimo esquema de pago, que cumpla con los supuestos normativos aplicables en la materia, cuando la contratación del bien o servicio requiera de un tratamiento especial y que mejor convenga al Gobierno Estatal.</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w:t>
      </w:r>
    </w:p>
    <w:p w:rsidR="00FA274F" w:rsidRPr="00F2277E" w:rsidRDefault="00FA274F"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Asesorar a las y los integrantes del Comité Central de Adquisiciones y Servicios y del Comité de Arrendamientos, Adquisiciones de Inmuebles y Enajenaciones de la Secretaría, sobre las operaciones financieras que se efectúen.</w:t>
      </w:r>
      <w:r w:rsidR="00AC6579" w:rsidRPr="00F2277E">
        <w:rPr>
          <w:rFonts w:ascii="Palatino Linotype" w:hAnsi="Palatino Linotype"/>
          <w:i/>
          <w:sz w:val="22"/>
          <w:szCs w:val="22"/>
        </w:rPr>
        <w:t>”</w:t>
      </w: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p>
    <w:p w:rsidR="002032B9" w:rsidRPr="00F2277E" w:rsidRDefault="002032B9" w:rsidP="009F438A">
      <w:pPr>
        <w:pStyle w:val="Prrafodelista"/>
        <w:widowControl w:val="0"/>
        <w:autoSpaceDE w:val="0"/>
        <w:autoSpaceDN w:val="0"/>
        <w:adjustRightInd w:val="0"/>
        <w:ind w:left="851" w:right="899"/>
        <w:jc w:val="both"/>
        <w:rPr>
          <w:rFonts w:ascii="Palatino Linotype" w:hAnsi="Palatino Linotype"/>
          <w:i/>
          <w:sz w:val="22"/>
          <w:szCs w:val="22"/>
        </w:rPr>
      </w:pPr>
      <w:r w:rsidRPr="00F2277E">
        <w:rPr>
          <w:rFonts w:ascii="Palatino Linotype" w:hAnsi="Palatino Linotype"/>
          <w:i/>
          <w:sz w:val="22"/>
          <w:szCs w:val="22"/>
        </w:rPr>
        <w:t>(Énfasis añadido)</w:t>
      </w:r>
    </w:p>
    <w:p w:rsidR="00DD04A3" w:rsidRPr="00F2277E" w:rsidRDefault="00AC6579" w:rsidP="00DD04A3">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2277E">
        <w:rPr>
          <w:rFonts w:ascii="Palatino Linotype" w:hAnsi="Palatino Linotype" w:cs="Arial"/>
        </w:rPr>
        <w:t xml:space="preserve">De la interpretación armónica y sistemática a los preceptos legales que anteceden, se advierte que diversas áreas administrativas diferentes a la Dirección General de Recursos Materiales, son también competentes para concomer acerca de las páginas oficiales que el Ejecutivo del Estado tiene a su disposición; por lo que, al haber requerido el contrato de la licitación para la creación, mantenimiento, monitoreo y atención de la página electrónica oficial </w:t>
      </w:r>
      <w:r w:rsidR="00DD04A3" w:rsidRPr="00F2277E">
        <w:rPr>
          <w:rFonts w:ascii="Palatino Linotype" w:hAnsi="Palatino Linotype" w:cs="Arial"/>
        </w:rPr>
        <w:t xml:space="preserve">para el cambio de placan en el Estado, es por ello que </w:t>
      </w:r>
      <w:r w:rsidR="00DD04A3" w:rsidRPr="00F2277E">
        <w:rPr>
          <w:rFonts w:ascii="Palatino Linotype" w:hAnsi="Palatino Linotype"/>
        </w:rPr>
        <w:t xml:space="preserve">de manera enunciativa más no limitativa serían los Servidores Públicos Habilitados competentes, que pudieran tener la información requerida por </w:t>
      </w:r>
      <w:r w:rsidR="00DD04A3" w:rsidRPr="00F2277E">
        <w:rPr>
          <w:rFonts w:ascii="Palatino Linotype" w:hAnsi="Palatino Linotype"/>
          <w:b/>
        </w:rPr>
        <w:t>EL RECURRENTE</w:t>
      </w:r>
      <w:r w:rsidR="00DD04A3" w:rsidRPr="00F2277E">
        <w:rPr>
          <w:rFonts w:ascii="Palatino Linotype" w:hAnsi="Palatino Linotype"/>
        </w:rPr>
        <w:t xml:space="preserve"> razón por la cual, deberán realizar una búsqueda exhaustiva y razonable de la información.</w:t>
      </w:r>
    </w:p>
    <w:p w:rsidR="00DD04A3" w:rsidRPr="00F2277E" w:rsidRDefault="00DD04A3" w:rsidP="00DD04A3">
      <w:pPr>
        <w:spacing w:line="360" w:lineRule="auto"/>
        <w:jc w:val="both"/>
        <w:rPr>
          <w:rFonts w:ascii="Palatino Linotype" w:hAnsi="Palatino Linotype" w:cs="Arial"/>
        </w:rPr>
      </w:pPr>
      <w:r w:rsidRPr="00F2277E">
        <w:rPr>
          <w:rFonts w:ascii="Palatino Linotype" w:hAnsi="Palatino Linotype" w:cs="Arial"/>
        </w:rPr>
        <w:t xml:space="preserve">Atento a lo anterior, este Órgano Garante considera que no se tiene por colmado el requerimiento del particular; en razón de que, de las documentales que obran en el expediente electrónico del </w:t>
      </w:r>
      <w:r w:rsidRPr="00F2277E">
        <w:rPr>
          <w:rFonts w:ascii="Palatino Linotype" w:hAnsi="Palatino Linotype" w:cs="Arial"/>
          <w:b/>
        </w:rPr>
        <w:t>SAIMEX</w:t>
      </w:r>
      <w:r w:rsidRPr="00F2277E">
        <w:rPr>
          <w:rFonts w:ascii="Palatino Linotype" w:hAnsi="Palatino Linotype" w:cs="Arial"/>
        </w:rPr>
        <w:t xml:space="preserve">, se desprende que </w:t>
      </w:r>
      <w:r w:rsidRPr="00F2277E">
        <w:rPr>
          <w:rFonts w:ascii="Palatino Linotype" w:hAnsi="Palatino Linotype" w:cs="Arial"/>
          <w:b/>
        </w:rPr>
        <w:t xml:space="preserve">no hubo pronunciamiento de </w:t>
      </w:r>
      <w:r w:rsidRPr="00F2277E">
        <w:rPr>
          <w:rFonts w:ascii="Palatino Linotype" w:hAnsi="Palatino Linotype" w:cs="Arial"/>
          <w:b/>
        </w:rPr>
        <w:lastRenderedPageBreak/>
        <w:t>todas las áreas que pudieran generar, poseer, administrar la información solicitada, conforme a sus atribuciones</w:t>
      </w:r>
      <w:r w:rsidRPr="00F2277E">
        <w:rPr>
          <w:rFonts w:ascii="Palatino Linotype" w:hAnsi="Palatino Linotype" w:cs="Arial"/>
        </w:rPr>
        <w:t xml:space="preserve"> establecidas anteriormente por lo que, con fundamento en el artículo 9 fracción I de la Ley de la materia que dispone:</w:t>
      </w:r>
    </w:p>
    <w:p w:rsidR="00DD04A3" w:rsidRPr="00F2277E" w:rsidRDefault="00DD04A3" w:rsidP="00DD04A3">
      <w:pPr>
        <w:ind w:left="709" w:right="1038"/>
        <w:jc w:val="both"/>
        <w:rPr>
          <w:rFonts w:ascii="Palatino Linotype" w:hAnsi="Palatino Linotype" w:cs="Arial"/>
          <w:bCs/>
          <w:i/>
          <w:sz w:val="22"/>
        </w:rPr>
      </w:pPr>
      <w:r w:rsidRPr="00F2277E">
        <w:rPr>
          <w:rFonts w:ascii="Palatino Linotype" w:hAnsi="Palatino Linotype" w:cs="Arial"/>
          <w:b/>
          <w:bCs/>
          <w:i/>
          <w:sz w:val="22"/>
        </w:rPr>
        <w:t xml:space="preserve">“Artículo 9. </w:t>
      </w:r>
      <w:r w:rsidRPr="00F2277E">
        <w:rPr>
          <w:rFonts w:ascii="Palatino Linotype" w:hAnsi="Palatino Linotype" w:cs="Arial"/>
          <w:bCs/>
          <w:i/>
          <w:sz w:val="22"/>
        </w:rPr>
        <w:t>El Instituto deberá regir su funcionamiento de acuerdo a los siguientes principios:</w:t>
      </w:r>
    </w:p>
    <w:p w:rsidR="00DD04A3" w:rsidRPr="00F2277E" w:rsidRDefault="00DD04A3" w:rsidP="00DD04A3">
      <w:pPr>
        <w:ind w:left="709" w:right="1038"/>
        <w:jc w:val="both"/>
        <w:rPr>
          <w:rFonts w:ascii="Palatino Linotype" w:hAnsi="Palatino Linotype" w:cs="Arial"/>
          <w:b/>
          <w:bCs/>
          <w:i/>
          <w:sz w:val="22"/>
          <w:u w:val="single"/>
        </w:rPr>
      </w:pPr>
    </w:p>
    <w:p w:rsidR="00DD04A3" w:rsidRPr="00F2277E" w:rsidRDefault="00DD04A3" w:rsidP="00DD04A3">
      <w:pPr>
        <w:ind w:left="709" w:right="1038"/>
        <w:jc w:val="both"/>
        <w:rPr>
          <w:rFonts w:ascii="Palatino Linotype" w:hAnsi="Palatino Linotype" w:cs="Arial"/>
          <w:b/>
          <w:bCs/>
          <w:i/>
          <w:sz w:val="22"/>
        </w:rPr>
      </w:pPr>
      <w:r w:rsidRPr="00F2277E">
        <w:rPr>
          <w:rFonts w:ascii="Palatino Linotype" w:hAnsi="Palatino Linotype" w:cs="Arial"/>
          <w:b/>
          <w:bCs/>
          <w:i/>
          <w:sz w:val="22"/>
        </w:rPr>
        <w:t>I. Certeza:</w:t>
      </w:r>
      <w:r w:rsidRPr="00F2277E">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F2277E">
        <w:rPr>
          <w:rFonts w:ascii="Palatino Linotype" w:hAnsi="Palatino Linotype" w:cs="Arial"/>
          <w:b/>
          <w:bCs/>
          <w:i/>
          <w:sz w:val="22"/>
        </w:rPr>
        <w:t>”</w:t>
      </w:r>
    </w:p>
    <w:p w:rsidR="00DD04A3" w:rsidRPr="00F2277E" w:rsidRDefault="00DD04A3" w:rsidP="00DD04A3">
      <w:pPr>
        <w:spacing w:before="240" w:after="240" w:line="360" w:lineRule="auto"/>
        <w:jc w:val="both"/>
        <w:rPr>
          <w:rFonts w:ascii="Palatino Linotype" w:hAnsi="Palatino Linotype" w:cs="Arial"/>
        </w:rPr>
      </w:pPr>
      <w:r w:rsidRPr="00F2277E">
        <w:rPr>
          <w:rFonts w:ascii="Palatino Linotype" w:hAnsi="Palatino Linotype"/>
        </w:rPr>
        <w:t xml:space="preserve">En tal sentido y a fin de salvaguardar el derecho de acceso a la información del </w:t>
      </w:r>
      <w:r w:rsidRPr="00F2277E">
        <w:rPr>
          <w:rFonts w:ascii="Palatino Linotype" w:hAnsi="Palatino Linotype" w:cs="Arial"/>
          <w:b/>
        </w:rPr>
        <w:t>RECURRENTE</w:t>
      </w:r>
      <w:r w:rsidRPr="00F2277E">
        <w:rPr>
          <w:rFonts w:ascii="Palatino Linotype" w:hAnsi="Palatino Linotype" w:cs="Arial"/>
        </w:rPr>
        <w:t xml:space="preserve"> esta Ponencia Resolutora, determina </w:t>
      </w:r>
      <w:r w:rsidR="006844C2" w:rsidRPr="00F2277E">
        <w:rPr>
          <w:rFonts w:ascii="Palatino Linotype" w:hAnsi="Palatino Linotype" w:cs="Arial"/>
          <w:b/>
        </w:rPr>
        <w:t>MODIFI</w:t>
      </w:r>
      <w:r w:rsidRPr="00F2277E">
        <w:rPr>
          <w:rFonts w:ascii="Palatino Linotype" w:hAnsi="Palatino Linotype" w:cs="Arial"/>
          <w:b/>
        </w:rPr>
        <w:t xml:space="preserve">CAR </w:t>
      </w:r>
      <w:r w:rsidRPr="00F2277E">
        <w:rPr>
          <w:rFonts w:ascii="Palatino Linotype" w:hAnsi="Palatino Linotype" w:cs="Arial"/>
        </w:rPr>
        <w:t xml:space="preserve">la respuesta del </w:t>
      </w:r>
      <w:r w:rsidRPr="00F2277E">
        <w:rPr>
          <w:rFonts w:ascii="Palatino Linotype" w:hAnsi="Palatino Linotype" w:cs="Arial"/>
          <w:b/>
        </w:rPr>
        <w:t>SUJETO OBLIGADO</w:t>
      </w:r>
      <w:r w:rsidRPr="00F2277E">
        <w:rPr>
          <w:rFonts w:ascii="Palatino Linotype" w:hAnsi="Palatino Linotype" w:cs="Arial"/>
        </w:rPr>
        <w:t xml:space="preserve"> y </w:t>
      </w:r>
      <w:r w:rsidRPr="00F2277E">
        <w:rPr>
          <w:rFonts w:ascii="Palatino Linotype" w:hAnsi="Palatino Linotype" w:cs="Arial"/>
          <w:b/>
        </w:rPr>
        <w:t>ordenarle</w:t>
      </w:r>
      <w:r w:rsidRPr="00F2277E">
        <w:rPr>
          <w:rFonts w:ascii="Palatino Linotype" w:hAnsi="Palatino Linotype" w:cs="Arial"/>
        </w:rPr>
        <w:t xml:space="preserve"> realizar una </w:t>
      </w:r>
      <w:r w:rsidRPr="00F2277E">
        <w:rPr>
          <w:rFonts w:ascii="Palatino Linotype" w:hAnsi="Palatino Linotype" w:cs="Arial"/>
          <w:b/>
        </w:rPr>
        <w:t>búsqueda exhaustiva</w:t>
      </w:r>
      <w:r w:rsidRPr="00F2277E">
        <w:rPr>
          <w:rFonts w:ascii="Palatino Linotype" w:hAnsi="Palatino Linotype" w:cs="Arial"/>
        </w:rPr>
        <w:t xml:space="preserve"> </w:t>
      </w:r>
      <w:r w:rsidRPr="00F2277E">
        <w:rPr>
          <w:rFonts w:ascii="Palatino Linotype" w:hAnsi="Palatino Linotype" w:cs="Arial"/>
          <w:b/>
        </w:rPr>
        <w:t>y razonable</w:t>
      </w:r>
      <w:r w:rsidRPr="00F2277E">
        <w:rPr>
          <w:rFonts w:ascii="Palatino Linotype" w:hAnsi="Palatino Linotype" w:cs="Arial"/>
        </w:rPr>
        <w:t xml:space="preserve"> de la información solicitada de conformidad con el artículo </w:t>
      </w:r>
      <w:r w:rsidRPr="00F2277E">
        <w:rPr>
          <w:rFonts w:ascii="Palatino Linotype" w:hAnsi="Palatino Linotype" w:cs="Arial"/>
          <w:lang w:val="es-ES_tradnl"/>
        </w:rPr>
        <w:t>162 de la Ley de Transparencia y Acceso a la Información Pública del Estado de México y Municipios</w:t>
      </w:r>
      <w:r w:rsidRPr="00F2277E">
        <w:rPr>
          <w:rFonts w:ascii="Palatino Linotype" w:hAnsi="Palatino Linotype" w:cs="Arial"/>
        </w:rPr>
        <w:t xml:space="preserve">, a través de los </w:t>
      </w:r>
      <w:r w:rsidRPr="00F2277E">
        <w:rPr>
          <w:rFonts w:ascii="Palatino Linotype" w:hAnsi="Palatino Linotype" w:cs="Arial"/>
          <w:b/>
        </w:rPr>
        <w:t xml:space="preserve">Servidores Públicos Habilitados Competentes </w:t>
      </w:r>
      <w:r w:rsidRPr="00F2277E">
        <w:rPr>
          <w:rFonts w:ascii="Palatino Linotype" w:hAnsi="Palatino Linotype" w:cs="Arial"/>
        </w:rPr>
        <w:t xml:space="preserve">por el periodo comprendido del </w:t>
      </w:r>
      <w:r w:rsidR="00B93CFE" w:rsidRPr="00F2277E">
        <w:rPr>
          <w:rFonts w:ascii="Palatino Linotype" w:hAnsi="Palatino Linotype" w:cs="Arial"/>
        </w:rPr>
        <w:t>uno de enero al veintinueve de julio de dos mil diecinueve</w:t>
      </w:r>
      <w:r w:rsidRPr="00F2277E">
        <w:rPr>
          <w:rFonts w:ascii="Palatino Linotype" w:hAnsi="Palatino Linotype" w:cs="Arial"/>
        </w:rPr>
        <w:t>,</w:t>
      </w:r>
      <w:r w:rsidRPr="00F2277E">
        <w:rPr>
          <w:rFonts w:ascii="Palatino Linotype" w:hAnsi="Palatino Linotype" w:cs="Arial"/>
          <w:b/>
        </w:rPr>
        <w:t xml:space="preserve"> </w:t>
      </w:r>
      <w:r w:rsidRPr="00F2277E">
        <w:rPr>
          <w:rFonts w:ascii="Palatino Linotype" w:hAnsi="Palatino Linotype" w:cs="Arial"/>
        </w:rPr>
        <w:t xml:space="preserve">y, haga entrega de la misma al </w:t>
      </w:r>
      <w:r w:rsidRPr="00F2277E">
        <w:rPr>
          <w:rFonts w:ascii="Palatino Linotype" w:hAnsi="Palatino Linotype" w:cs="Arial"/>
          <w:b/>
        </w:rPr>
        <w:t>RECURRRENTE</w:t>
      </w:r>
      <w:r w:rsidRPr="00F2277E">
        <w:rPr>
          <w:rFonts w:ascii="Palatino Linotype" w:hAnsi="Palatino Linotype" w:cs="Arial"/>
        </w:rPr>
        <w:t xml:space="preserve"> </w:t>
      </w:r>
      <w:r w:rsidRPr="00F2277E">
        <w:rPr>
          <w:rFonts w:ascii="Palatino Linotype" w:hAnsi="Palatino Linotype" w:cs="Arial"/>
          <w:b/>
        </w:rPr>
        <w:t>en versión pública</w:t>
      </w:r>
      <w:r w:rsidRPr="00F2277E">
        <w:rPr>
          <w:rFonts w:ascii="Palatino Linotype" w:hAnsi="Palatino Linotype" w:cs="Arial"/>
        </w:rPr>
        <w:t xml:space="preserve"> de ser procedente.</w:t>
      </w:r>
    </w:p>
    <w:p w:rsidR="00B93CFE" w:rsidRPr="00F2277E" w:rsidRDefault="00B93CFE" w:rsidP="00B93CFE">
      <w:pPr>
        <w:spacing w:before="240" w:after="240" w:line="360" w:lineRule="auto"/>
        <w:jc w:val="both"/>
        <w:rPr>
          <w:rFonts w:ascii="Palatino Linotype" w:hAnsi="Palatino Linotype" w:cs="Arial"/>
        </w:rPr>
      </w:pPr>
      <w:r w:rsidRPr="00F2277E">
        <w:rPr>
          <w:rFonts w:ascii="Palatino Linotype" w:hAnsi="Palatino Linotype" w:cs="Arial"/>
        </w:rPr>
        <w:t xml:space="preserve">No se omite señalar que, para el caso de que </w:t>
      </w:r>
      <w:r w:rsidRPr="00F2277E">
        <w:rPr>
          <w:rFonts w:ascii="Palatino Linotype" w:hAnsi="Palatino Linotype" w:cs="Arial"/>
          <w:b/>
        </w:rPr>
        <w:t>EL</w:t>
      </w:r>
      <w:r w:rsidRPr="00F2277E">
        <w:rPr>
          <w:rFonts w:ascii="Palatino Linotype" w:hAnsi="Palatino Linotype" w:cs="Arial"/>
        </w:rPr>
        <w:t xml:space="preserve"> </w:t>
      </w:r>
      <w:r w:rsidRPr="00F2277E">
        <w:rPr>
          <w:rFonts w:ascii="Palatino Linotype" w:hAnsi="Palatino Linotype" w:cs="Arial"/>
          <w:b/>
        </w:rPr>
        <w:t>SUJETO OBLIGADO</w:t>
      </w:r>
      <w:r w:rsidRPr="00F2277E">
        <w:rPr>
          <w:rFonts w:ascii="Palatino Linotype" w:hAnsi="Palatino Linotype" w:cs="Arial"/>
        </w:rPr>
        <w:t xml:space="preserve"> no cuente con la información requerida, bastara con que</w:t>
      </w:r>
      <w:r w:rsidR="006844C2" w:rsidRPr="00F2277E">
        <w:rPr>
          <w:rFonts w:ascii="Palatino Linotype" w:hAnsi="Palatino Linotype" w:cs="Arial"/>
        </w:rPr>
        <w:t>,</w:t>
      </w:r>
      <w:r w:rsidRPr="00F2277E">
        <w:rPr>
          <w:rFonts w:ascii="Palatino Linotype" w:hAnsi="Palatino Linotype" w:cs="Arial"/>
        </w:rPr>
        <w:t xml:space="preserve"> haga del conocimiento </w:t>
      </w:r>
      <w:proofErr w:type="gramStart"/>
      <w:r w:rsidRPr="00F2277E">
        <w:rPr>
          <w:rFonts w:ascii="Palatino Linotype" w:hAnsi="Palatino Linotype" w:cs="Arial"/>
        </w:rPr>
        <w:t>del</w:t>
      </w:r>
      <w:proofErr w:type="gramEnd"/>
      <w:r w:rsidRPr="00F2277E">
        <w:rPr>
          <w:rFonts w:ascii="Palatino Linotype" w:hAnsi="Palatino Linotype" w:cs="Arial"/>
        </w:rPr>
        <w:t xml:space="preserve"> </w:t>
      </w:r>
      <w:r w:rsidRPr="00F2277E">
        <w:rPr>
          <w:rFonts w:ascii="Palatino Linotype" w:hAnsi="Palatino Linotype" w:cs="Arial"/>
          <w:b/>
        </w:rPr>
        <w:t xml:space="preserve">RECURRENTE </w:t>
      </w:r>
      <w:r w:rsidRPr="00F2277E">
        <w:rPr>
          <w:rFonts w:ascii="Palatino Linotype" w:hAnsi="Palatino Linotype" w:cs="Arial"/>
        </w:rPr>
        <w:t>dicha situación al momento de dar cumplimiento a la presente resolución.</w:t>
      </w:r>
    </w:p>
    <w:p w:rsidR="00B93CFE" w:rsidRPr="00F2277E" w:rsidRDefault="00B93CFE" w:rsidP="00B93CFE">
      <w:pPr>
        <w:spacing w:before="240" w:after="240" w:line="360" w:lineRule="auto"/>
        <w:jc w:val="both"/>
        <w:rPr>
          <w:rFonts w:ascii="Palatino Linotype" w:hAnsi="Palatino Linotype" w:cs="Arial"/>
          <w:lang w:val="es-ES_tradnl"/>
        </w:rPr>
      </w:pPr>
      <w:r w:rsidRPr="00F2277E">
        <w:rPr>
          <w:rFonts w:ascii="Palatino Linotype" w:hAnsi="Palatino Linotype" w:cs="Arial"/>
          <w:lang w:val="es-ES_tradnl"/>
        </w:rPr>
        <w:t xml:space="preserve">Por lo que, no pasa desapercibido para este Instituto que de los documentos de los cuales se ordena su entrega, sí </w:t>
      </w:r>
      <w:r w:rsidRPr="00F2277E">
        <w:rPr>
          <w:rFonts w:ascii="Palatino Linotype" w:hAnsi="Palatino Linotype" w:cs="Arial"/>
          <w:b/>
          <w:lang w:val="es-ES_tradnl"/>
        </w:rPr>
        <w:t>EL SUJETO OBLIGADO</w:t>
      </w:r>
      <w:r w:rsidRPr="00F2277E">
        <w:rPr>
          <w:rFonts w:ascii="Palatino Linotype" w:hAnsi="Palatino Linotype" w:cs="Arial"/>
          <w:lang w:val="es-ES_tradnl"/>
        </w:rPr>
        <w:t xml:space="preserve"> advierte información susceptible de clasificarse procederá su entrega en </w:t>
      </w:r>
      <w:r w:rsidRPr="00F2277E">
        <w:rPr>
          <w:rFonts w:ascii="Palatino Linotype" w:hAnsi="Palatino Linotype" w:cs="Arial"/>
          <w:b/>
          <w:lang w:val="es-ES_tradnl"/>
        </w:rPr>
        <w:t>versión pública</w:t>
      </w:r>
      <w:r w:rsidRPr="00F2277E">
        <w:rPr>
          <w:rFonts w:ascii="Palatino Linotype" w:hAnsi="Palatino Linotype" w:cs="Arial"/>
          <w:lang w:val="es-ES_tradnl"/>
        </w:rPr>
        <w:t xml:space="preserve">, cumpliendo con las formalidades que la Ley impone, </w:t>
      </w:r>
      <w:r w:rsidRPr="00F2277E">
        <w:rPr>
          <w:rFonts w:ascii="Palatino Linotype" w:hAnsi="Palatino Linotype" w:cs="Arial"/>
        </w:rPr>
        <w:t>es</w:t>
      </w:r>
      <w:r w:rsidRPr="00F2277E">
        <w:rPr>
          <w:rFonts w:ascii="Palatino Linotype" w:hAnsi="Palatino Linotype" w:cs="Arial"/>
          <w:lang w:val="es-ES_tradnl"/>
        </w:rPr>
        <w:t xml:space="preserve"> decir, mediante un Acuerdo debidamente fundado y motivado, en términos de los numerales 49 fracción VIII y 132 fracciones II </w:t>
      </w:r>
      <w:r w:rsidRPr="00F2277E">
        <w:rPr>
          <w:rFonts w:ascii="Palatino Linotype" w:hAnsi="Palatino Linotype" w:cs="Arial"/>
          <w:lang w:val="es-ES_tradnl"/>
        </w:rPr>
        <w:lastRenderedPageBreak/>
        <w:t>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w:t>
      </w:r>
      <w:r w:rsidRPr="00F2277E">
        <w:rPr>
          <w:rFonts w:ascii="Palatino Linotype" w:hAnsi="Palatino Linotype" w:cs="Arial"/>
          <w:b/>
          <w:i/>
          <w:sz w:val="22"/>
          <w:szCs w:val="22"/>
          <w:lang w:eastAsia="es-MX"/>
        </w:rPr>
        <w:t xml:space="preserve">Artículo 49. </w:t>
      </w:r>
      <w:r w:rsidRPr="00F2277E">
        <w:rPr>
          <w:rFonts w:ascii="Palatino Linotype" w:hAnsi="Palatino Linotype" w:cs="Arial"/>
          <w:i/>
          <w:sz w:val="22"/>
          <w:szCs w:val="22"/>
          <w:lang w:eastAsia="es-MX"/>
        </w:rPr>
        <w:t>Los Comités de Transparencia tendrán las siguientes atribuciones:</w:t>
      </w:r>
    </w:p>
    <w:p w:rsidR="00411E52" w:rsidRPr="00F2277E" w:rsidRDefault="00411E52" w:rsidP="00411E52">
      <w:pPr>
        <w:ind w:left="851" w:right="899"/>
        <w:jc w:val="both"/>
        <w:rPr>
          <w:rFonts w:ascii="Palatino Linotype" w:hAnsi="Palatino Linotype" w:cs="Arial"/>
          <w:b/>
          <w:i/>
          <w:sz w:val="22"/>
          <w:szCs w:val="22"/>
          <w:lang w:eastAsia="es-MX"/>
        </w:rPr>
      </w:pPr>
      <w:r w:rsidRPr="00F2277E">
        <w:rPr>
          <w:rFonts w:ascii="Palatino Linotype" w:hAnsi="Palatino Linotype" w:cs="Arial"/>
          <w:b/>
          <w:i/>
          <w:sz w:val="22"/>
          <w:szCs w:val="22"/>
          <w:lang w:eastAsia="es-MX"/>
        </w:rPr>
        <w:t>…</w:t>
      </w: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VIII.</w:t>
      </w:r>
      <w:r w:rsidRPr="00F2277E">
        <w:rPr>
          <w:rFonts w:ascii="Palatino Linotype" w:hAnsi="Palatino Linotype" w:cs="Arial"/>
          <w:i/>
          <w:sz w:val="22"/>
          <w:szCs w:val="22"/>
          <w:lang w:eastAsia="es-MX"/>
        </w:rPr>
        <w:t xml:space="preserve"> Aprobar, modificar o revocar la clasificación de la información;</w:t>
      </w:r>
    </w:p>
    <w:p w:rsidR="00411E52" w:rsidRPr="00F2277E" w:rsidRDefault="00411E52" w:rsidP="00411E52">
      <w:pPr>
        <w:ind w:left="851" w:right="899"/>
        <w:jc w:val="both"/>
        <w:rPr>
          <w:rFonts w:ascii="Palatino Linotype" w:hAnsi="Palatino Linotype" w:cs="Arial"/>
          <w:b/>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Artículo 132.</w:t>
      </w:r>
      <w:r w:rsidRPr="00F2277E">
        <w:rPr>
          <w:rFonts w:ascii="Palatino Linotype" w:hAnsi="Palatino Linotype" w:cs="Arial"/>
          <w:i/>
          <w:sz w:val="22"/>
          <w:szCs w:val="22"/>
          <w:lang w:eastAsia="es-MX"/>
        </w:rPr>
        <w:t xml:space="preserve"> La clasificación de la información se llevará a cabo en el momento en que:</w:t>
      </w: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I.</w:t>
      </w:r>
      <w:r w:rsidRPr="00F2277E">
        <w:rPr>
          <w:rFonts w:ascii="Palatino Linotype" w:hAnsi="Palatino Linotype" w:cs="Arial"/>
          <w:i/>
          <w:sz w:val="22"/>
          <w:szCs w:val="22"/>
          <w:lang w:eastAsia="es-MX"/>
        </w:rPr>
        <w:t xml:space="preserve"> Se reciba una solicitud de acceso a la información;</w:t>
      </w: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II.</w:t>
      </w:r>
      <w:r w:rsidRPr="00F2277E">
        <w:rPr>
          <w:rFonts w:ascii="Palatino Linotype" w:hAnsi="Palatino Linotype" w:cs="Arial"/>
          <w:i/>
          <w:sz w:val="22"/>
          <w:szCs w:val="22"/>
          <w:lang w:eastAsia="es-MX"/>
        </w:rPr>
        <w:t xml:space="preserve"> Se determine mediante resolución de autoridad competente; o</w:t>
      </w:r>
    </w:p>
    <w:p w:rsidR="00B93CFE" w:rsidRPr="00F2277E" w:rsidRDefault="00B93CFE" w:rsidP="00411E52">
      <w:pPr>
        <w:ind w:left="851" w:right="899"/>
        <w:jc w:val="both"/>
        <w:rPr>
          <w:rFonts w:ascii="Palatino Linotype" w:hAnsi="Palatino Linotype" w:cs="Arial"/>
          <w:b/>
          <w:i/>
          <w:sz w:val="22"/>
          <w:szCs w:val="22"/>
          <w:lang w:eastAsia="es-MX"/>
        </w:rPr>
      </w:pPr>
      <w:r w:rsidRPr="00F2277E">
        <w:rPr>
          <w:rFonts w:ascii="Palatino Linotype" w:hAnsi="Palatino Linotype" w:cs="Arial"/>
          <w:i/>
          <w:sz w:val="22"/>
          <w:szCs w:val="22"/>
          <w:lang w:eastAsia="es-MX"/>
        </w:rPr>
        <w:t>III. Se generen versiones públicas para dar cumplimiento a las obligaciones de transparencia previstas en esta Ley.</w:t>
      </w:r>
      <w:r w:rsidRPr="00F2277E">
        <w:rPr>
          <w:rFonts w:ascii="Palatino Linotype" w:hAnsi="Palatino Linotype" w:cs="Arial"/>
          <w:b/>
          <w:i/>
          <w:sz w:val="22"/>
          <w:szCs w:val="22"/>
          <w:lang w:eastAsia="es-MX"/>
        </w:rPr>
        <w:t>”</w:t>
      </w:r>
    </w:p>
    <w:p w:rsidR="00411E52" w:rsidRPr="00F2277E" w:rsidRDefault="00411E52" w:rsidP="00411E52">
      <w:pPr>
        <w:ind w:left="851" w:right="899"/>
        <w:jc w:val="both"/>
        <w:rPr>
          <w:rFonts w:ascii="Palatino Linotype" w:hAnsi="Palatino Linotype" w:cs="Arial"/>
          <w:b/>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“Segundo.-</w:t>
      </w:r>
      <w:r w:rsidRPr="00F2277E">
        <w:rPr>
          <w:rFonts w:ascii="Palatino Linotype" w:hAnsi="Palatino Linotype" w:cs="Arial"/>
          <w:i/>
          <w:sz w:val="22"/>
          <w:szCs w:val="22"/>
          <w:lang w:eastAsia="es-MX"/>
        </w:rPr>
        <w:t xml:space="preserve"> Para efectos de los presentes Lineamientos Generales, se entenderá por:</w:t>
      </w: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XVIII.</w:t>
      </w:r>
      <w:r w:rsidRPr="00F2277E">
        <w:rPr>
          <w:rFonts w:ascii="Palatino Linotype" w:hAnsi="Palatino Linotype" w:cs="Arial"/>
          <w:i/>
          <w:sz w:val="22"/>
          <w:szCs w:val="22"/>
          <w:lang w:eastAsia="es-MX"/>
        </w:rPr>
        <w:t xml:space="preserve"> </w:t>
      </w:r>
      <w:r w:rsidRPr="00F2277E">
        <w:rPr>
          <w:rFonts w:ascii="Palatino Linotype" w:hAnsi="Palatino Linotype" w:cs="Arial"/>
          <w:b/>
          <w:i/>
          <w:sz w:val="22"/>
          <w:szCs w:val="22"/>
          <w:lang w:eastAsia="es-MX"/>
        </w:rPr>
        <w:t>Versión pública:</w:t>
      </w:r>
      <w:r w:rsidRPr="00F2277E">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11E52" w:rsidRPr="00F2277E" w:rsidRDefault="00411E52" w:rsidP="00411E52">
      <w:pPr>
        <w:ind w:left="851" w:right="899"/>
        <w:jc w:val="both"/>
        <w:rPr>
          <w:rFonts w:ascii="Palatino Linotype" w:hAnsi="Palatino Linotype" w:cs="Arial"/>
          <w:b/>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Cuarto.</w:t>
      </w:r>
      <w:r w:rsidRPr="00F2277E">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11E52" w:rsidRPr="00F2277E" w:rsidRDefault="00411E52" w:rsidP="00411E52">
      <w:pPr>
        <w:ind w:left="851" w:right="899"/>
        <w:jc w:val="both"/>
        <w:rPr>
          <w:rFonts w:ascii="Palatino Linotype" w:hAnsi="Palatino Linotype" w:cs="Arial"/>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411E52" w:rsidRPr="00F2277E" w:rsidRDefault="00411E52" w:rsidP="00411E52">
      <w:pPr>
        <w:ind w:left="851" w:right="899"/>
        <w:jc w:val="both"/>
        <w:rPr>
          <w:rFonts w:ascii="Palatino Linotype" w:hAnsi="Palatino Linotype" w:cs="Arial"/>
          <w:b/>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Quinto.</w:t>
      </w:r>
      <w:r w:rsidRPr="00F2277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F2277E">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411E52" w:rsidRPr="00F2277E" w:rsidRDefault="00411E52" w:rsidP="00411E52">
      <w:pPr>
        <w:ind w:left="851" w:right="899"/>
        <w:jc w:val="both"/>
        <w:rPr>
          <w:rFonts w:ascii="Palatino Linotype" w:hAnsi="Palatino Linotype" w:cs="Arial"/>
          <w:b/>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Sexto.</w:t>
      </w:r>
      <w:r w:rsidRPr="00F2277E">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411E52" w:rsidRPr="00F2277E" w:rsidRDefault="00411E52" w:rsidP="00411E52">
      <w:pPr>
        <w:ind w:left="851" w:right="899"/>
        <w:jc w:val="both"/>
        <w:rPr>
          <w:rFonts w:ascii="Palatino Linotype" w:hAnsi="Palatino Linotype" w:cs="Arial"/>
          <w:b/>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Séptimo.</w:t>
      </w:r>
      <w:r w:rsidRPr="00F2277E">
        <w:rPr>
          <w:rFonts w:ascii="Palatino Linotype" w:hAnsi="Palatino Linotype" w:cs="Arial"/>
          <w:i/>
          <w:sz w:val="22"/>
          <w:szCs w:val="22"/>
          <w:lang w:eastAsia="es-MX"/>
        </w:rPr>
        <w:t xml:space="preserve"> La clasificación de la información se llevará a cabo en el momento en que:</w:t>
      </w: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I.</w:t>
      </w:r>
      <w:r w:rsidRPr="00F2277E">
        <w:rPr>
          <w:rFonts w:ascii="Palatino Linotype" w:hAnsi="Palatino Linotype" w:cs="Arial"/>
          <w:i/>
          <w:sz w:val="22"/>
          <w:szCs w:val="22"/>
          <w:lang w:eastAsia="es-MX"/>
        </w:rPr>
        <w:t xml:space="preserve"> Se reciba una solicitud de acceso a la información;</w:t>
      </w: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II.</w:t>
      </w:r>
      <w:r w:rsidRPr="00F2277E">
        <w:rPr>
          <w:rFonts w:ascii="Palatino Linotype" w:hAnsi="Palatino Linotype" w:cs="Arial"/>
          <w:i/>
          <w:sz w:val="22"/>
          <w:szCs w:val="22"/>
          <w:lang w:eastAsia="es-MX"/>
        </w:rPr>
        <w:t xml:space="preserve"> Se determine mediante resolución de autoridad competente, o</w:t>
      </w: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III.</w:t>
      </w:r>
      <w:r w:rsidRPr="00F2277E">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411E52" w:rsidRPr="00F2277E" w:rsidRDefault="00411E52" w:rsidP="00411E52">
      <w:pPr>
        <w:ind w:left="851" w:right="899"/>
        <w:jc w:val="both"/>
        <w:rPr>
          <w:rFonts w:ascii="Palatino Linotype" w:hAnsi="Palatino Linotype" w:cs="Arial"/>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411E52" w:rsidRPr="00F2277E" w:rsidRDefault="00411E52" w:rsidP="00411E52">
      <w:pPr>
        <w:ind w:left="851" w:right="899"/>
        <w:jc w:val="both"/>
        <w:rPr>
          <w:rFonts w:ascii="Palatino Linotype" w:hAnsi="Palatino Linotype" w:cs="Arial"/>
          <w:b/>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Octavo.</w:t>
      </w:r>
      <w:r w:rsidRPr="00F2277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411E52" w:rsidRPr="00F2277E" w:rsidRDefault="00411E52" w:rsidP="00411E52">
      <w:pPr>
        <w:ind w:left="851" w:right="899"/>
        <w:jc w:val="both"/>
        <w:rPr>
          <w:rFonts w:ascii="Palatino Linotype" w:hAnsi="Palatino Linotype" w:cs="Arial"/>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411E52" w:rsidRPr="00F2277E" w:rsidRDefault="00411E52" w:rsidP="00411E52">
      <w:pPr>
        <w:ind w:left="851" w:right="899"/>
        <w:jc w:val="both"/>
        <w:rPr>
          <w:rFonts w:ascii="Palatino Linotype" w:hAnsi="Palatino Linotype" w:cs="Arial"/>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411E52" w:rsidRPr="00F2277E" w:rsidRDefault="00411E52" w:rsidP="00411E52">
      <w:pPr>
        <w:ind w:left="851" w:right="899"/>
        <w:jc w:val="both"/>
        <w:rPr>
          <w:rFonts w:ascii="Palatino Linotype" w:hAnsi="Palatino Linotype" w:cs="Arial"/>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411E52" w:rsidRPr="00F2277E" w:rsidRDefault="00411E52" w:rsidP="00411E52">
      <w:pPr>
        <w:ind w:left="851" w:right="899"/>
        <w:jc w:val="both"/>
        <w:rPr>
          <w:rFonts w:ascii="Palatino Linotype" w:hAnsi="Palatino Linotype" w:cs="Arial"/>
          <w:b/>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Noveno.</w:t>
      </w:r>
      <w:r w:rsidRPr="00F2277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w:t>
      </w:r>
      <w:r w:rsidRPr="00F2277E">
        <w:rPr>
          <w:rFonts w:ascii="Palatino Linotype" w:hAnsi="Palatino Linotype" w:cs="Arial"/>
          <w:i/>
          <w:sz w:val="22"/>
          <w:szCs w:val="22"/>
          <w:lang w:eastAsia="es-MX"/>
        </w:rPr>
        <w:lastRenderedPageBreak/>
        <w:t>pública fundando y motivando la clasificación de las partes o secciones que se testen, siguiendo los procedimientos establecidos en el Capítulo IX de los presentes lineamientos.</w:t>
      </w:r>
    </w:p>
    <w:p w:rsidR="00411E52" w:rsidRPr="00F2277E" w:rsidRDefault="00411E52" w:rsidP="00411E52">
      <w:pPr>
        <w:ind w:left="851" w:right="899"/>
        <w:jc w:val="both"/>
        <w:rPr>
          <w:rFonts w:ascii="Palatino Linotype" w:hAnsi="Palatino Linotype" w:cs="Arial"/>
          <w:b/>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Décimo.</w:t>
      </w:r>
      <w:r w:rsidRPr="00F2277E">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11E52" w:rsidRPr="00F2277E" w:rsidRDefault="00411E52" w:rsidP="00411E52">
      <w:pPr>
        <w:ind w:left="851" w:right="899"/>
        <w:jc w:val="both"/>
        <w:rPr>
          <w:rFonts w:ascii="Palatino Linotype" w:hAnsi="Palatino Linotype" w:cs="Arial"/>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411E52" w:rsidRPr="00F2277E" w:rsidRDefault="00411E52" w:rsidP="00411E52">
      <w:pPr>
        <w:ind w:left="851" w:right="899"/>
        <w:jc w:val="both"/>
        <w:rPr>
          <w:rFonts w:ascii="Palatino Linotype" w:hAnsi="Palatino Linotype" w:cs="Arial"/>
          <w:b/>
          <w:i/>
          <w:sz w:val="22"/>
          <w:szCs w:val="22"/>
          <w:lang w:eastAsia="es-MX"/>
        </w:rPr>
      </w:pPr>
    </w:p>
    <w:p w:rsidR="00B93CFE" w:rsidRPr="00F2277E" w:rsidRDefault="00B93CFE" w:rsidP="00411E52">
      <w:pPr>
        <w:ind w:left="851" w:right="899"/>
        <w:jc w:val="both"/>
        <w:rPr>
          <w:rFonts w:ascii="Palatino Linotype" w:hAnsi="Palatino Linotype" w:cs="Arial"/>
          <w:i/>
          <w:sz w:val="22"/>
          <w:szCs w:val="22"/>
          <w:lang w:eastAsia="es-MX"/>
        </w:rPr>
      </w:pPr>
      <w:r w:rsidRPr="00F2277E">
        <w:rPr>
          <w:rFonts w:ascii="Palatino Linotype" w:hAnsi="Palatino Linotype" w:cs="Arial"/>
          <w:b/>
          <w:i/>
          <w:sz w:val="22"/>
          <w:szCs w:val="22"/>
          <w:lang w:eastAsia="es-MX"/>
        </w:rPr>
        <w:t>Décimo primero.</w:t>
      </w:r>
      <w:r w:rsidRPr="00F2277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2277E">
        <w:rPr>
          <w:rFonts w:ascii="Palatino Linotype" w:hAnsi="Palatino Linotype" w:cs="Arial"/>
          <w:b/>
          <w:i/>
          <w:sz w:val="22"/>
          <w:szCs w:val="22"/>
          <w:lang w:eastAsia="es-MX"/>
        </w:rPr>
        <w:t xml:space="preserve"> </w:t>
      </w:r>
      <w:r w:rsidRPr="00F2277E">
        <w:rPr>
          <w:rFonts w:ascii="Palatino Linotype" w:hAnsi="Palatino Linotype" w:cs="Arial"/>
          <w:i/>
          <w:sz w:val="22"/>
          <w:szCs w:val="22"/>
          <w:lang w:eastAsia="es-MX"/>
        </w:rPr>
        <w:t>(</w:t>
      </w:r>
      <w:r w:rsidR="009F438A" w:rsidRPr="00F2277E">
        <w:rPr>
          <w:rFonts w:ascii="Palatino Linotype" w:hAnsi="Palatino Linotype" w:cs="Arial"/>
          <w:i/>
          <w:sz w:val="22"/>
          <w:szCs w:val="22"/>
          <w:lang w:eastAsia="es-MX"/>
        </w:rPr>
        <w:t>Sic</w:t>
      </w:r>
      <w:r w:rsidRPr="00F2277E">
        <w:rPr>
          <w:rFonts w:ascii="Palatino Linotype" w:hAnsi="Palatino Linotype" w:cs="Arial"/>
          <w:i/>
          <w:sz w:val="22"/>
          <w:szCs w:val="22"/>
          <w:lang w:eastAsia="es-MX"/>
        </w:rPr>
        <w:t>)</w:t>
      </w:r>
    </w:p>
    <w:p w:rsidR="00B93CFE" w:rsidRPr="00F2277E" w:rsidRDefault="00B93CFE" w:rsidP="00B93CF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2277E">
        <w:rPr>
          <w:rFonts w:ascii="Palatino Linotype" w:hAnsi="Palatino Linotype" w:cs="Arial"/>
        </w:rPr>
        <w:t xml:space="preserve">En este contexto, el hecho de que la información pública solicitada contenga datos personales susceptibles de ser protegidos mediante su </w:t>
      </w:r>
      <w:r w:rsidRPr="00F2277E">
        <w:rPr>
          <w:rFonts w:ascii="Palatino Linotype" w:hAnsi="Palatino Linotype" w:cs="Arial"/>
          <w:b/>
        </w:rPr>
        <w:t>versión pública</w:t>
      </w:r>
      <w:r w:rsidRPr="00F2277E">
        <w:rPr>
          <w:rFonts w:ascii="Palatino Linotype" w:hAnsi="Palatino Linotype" w:cs="Arial"/>
        </w:rPr>
        <w:t xml:space="preserve">, ello no implica que esta </w:t>
      </w:r>
      <w:r w:rsidRPr="00F2277E">
        <w:rPr>
          <w:rFonts w:ascii="Palatino Linotype" w:hAnsi="Palatino Linotype"/>
        </w:rPr>
        <w:t>circunstancia</w:t>
      </w:r>
      <w:r w:rsidRPr="00F2277E">
        <w:rPr>
          <w:rFonts w:ascii="Palatino Linotype" w:hAnsi="Palatino Linotype" w:cs="Arial"/>
        </w:rPr>
        <w:t xml:space="preserve"> opere en </w:t>
      </w:r>
      <w:r w:rsidRPr="00F2277E">
        <w:rPr>
          <w:rFonts w:ascii="Palatino Linotype" w:hAnsi="Palatino Linotype"/>
        </w:rPr>
        <w:t>automático</w:t>
      </w:r>
      <w:r w:rsidRPr="00F2277E">
        <w:rPr>
          <w:rFonts w:ascii="Palatino Linotype" w:hAnsi="Palatino Linotype" w:cs="Arial"/>
        </w:rPr>
        <w:t>, sino que es necesario que el Comité de Transparencia del</w:t>
      </w:r>
      <w:r w:rsidRPr="00F2277E">
        <w:rPr>
          <w:rFonts w:ascii="Palatino Linotype" w:hAnsi="Palatino Linotype" w:cs="Arial"/>
          <w:b/>
          <w:color w:val="000000"/>
        </w:rPr>
        <w:t xml:space="preserve"> SUJETO OBLIGADO</w:t>
      </w:r>
      <w:r w:rsidRPr="00F2277E">
        <w:rPr>
          <w:rFonts w:ascii="Palatino Linotype" w:hAnsi="Palatino Linotype" w:cs="Arial"/>
          <w:b/>
        </w:rPr>
        <w:t xml:space="preserve"> </w:t>
      </w:r>
      <w:r w:rsidRPr="00F2277E">
        <w:rPr>
          <w:rFonts w:ascii="Palatino Linotype" w:hAnsi="Palatino Linotype" w:cs="Arial"/>
        </w:rPr>
        <w:t>emita el Acuerdo de Clasificación correspondiente.</w:t>
      </w:r>
    </w:p>
    <w:p w:rsidR="00B93CFE" w:rsidRPr="00F2277E" w:rsidRDefault="00B93CFE" w:rsidP="00B93CF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2277E">
        <w:rPr>
          <w:rFonts w:ascii="Palatino Linotype" w:hAnsi="Palatino Linotype" w:cs="Arial"/>
        </w:rPr>
        <w:t xml:space="preserve">En el caso específico, la </w:t>
      </w:r>
      <w:r w:rsidRPr="00F2277E">
        <w:rPr>
          <w:rFonts w:ascii="Palatino Linotype" w:hAnsi="Palatino Linotype"/>
        </w:rPr>
        <w:t>información</w:t>
      </w:r>
      <w:r w:rsidRPr="00F2277E">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F2277E">
        <w:rPr>
          <w:rFonts w:ascii="Palatino Linotype" w:eastAsia="Arial Unicode MS" w:hAnsi="Palatino Linotype" w:cs="Arial"/>
        </w:rPr>
        <w:t>cualquier otro dato que ponga en riesgo la vida, seguridad y salud de cualquier persona</w:t>
      </w:r>
      <w:r w:rsidRPr="00F2277E">
        <w:rPr>
          <w:rFonts w:ascii="Palatino Linotype" w:hAnsi="Palatino Linotype" w:cs="Arial"/>
        </w:rPr>
        <w:t>.</w:t>
      </w:r>
    </w:p>
    <w:p w:rsidR="00B93CFE" w:rsidRPr="00F2277E" w:rsidRDefault="00B93CFE" w:rsidP="00B93CFE">
      <w:pPr>
        <w:spacing w:before="240" w:after="240" w:line="360" w:lineRule="auto"/>
        <w:ind w:right="49"/>
        <w:jc w:val="both"/>
        <w:rPr>
          <w:rFonts w:ascii="Palatino Linotype" w:hAnsi="Palatino Linotype" w:cs="Arial"/>
          <w:lang w:val="es-ES_tradnl"/>
        </w:rPr>
      </w:pPr>
      <w:r w:rsidRPr="00F2277E">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w:t>
      </w:r>
      <w:r w:rsidRPr="00F2277E">
        <w:rPr>
          <w:rFonts w:ascii="Palatino Linotype" w:hAnsi="Palatino Linotype" w:cs="Arial"/>
          <w:lang w:val="es-ES_tradnl"/>
        </w:rPr>
        <w:lastRenderedPageBreak/>
        <w:t xml:space="preserve">expongan los fundamentos y razonamientos que llevaron al </w:t>
      </w:r>
      <w:r w:rsidRPr="00F2277E">
        <w:rPr>
          <w:rFonts w:ascii="Palatino Linotype" w:hAnsi="Palatino Linotype" w:cs="Arial"/>
          <w:b/>
          <w:lang w:val="es-ES_tradnl"/>
        </w:rPr>
        <w:t>SUJETO OBLIGADO</w:t>
      </w:r>
      <w:r w:rsidRPr="00F2277E">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E71B2" w:rsidRPr="00F2277E" w:rsidRDefault="008E71B2" w:rsidP="008E71B2">
      <w:pPr>
        <w:spacing w:before="240" w:after="240" w:line="360" w:lineRule="auto"/>
        <w:jc w:val="both"/>
        <w:rPr>
          <w:rFonts w:ascii="Palatino Linotype" w:hAnsi="Palatino Linotype"/>
        </w:rPr>
      </w:pPr>
      <w:r w:rsidRPr="00F2277E">
        <w:rPr>
          <w:rFonts w:ascii="Palatino Linotype" w:hAnsi="Palatino Linotype"/>
        </w:rPr>
        <w:t xml:space="preserve">En tal sentido y a fin de salvaguardar el derecho de acceso a la información pública del </w:t>
      </w:r>
      <w:r w:rsidRPr="00F2277E">
        <w:rPr>
          <w:rFonts w:ascii="Palatino Linotype" w:hAnsi="Palatino Linotype"/>
          <w:b/>
        </w:rPr>
        <w:t xml:space="preserve">RECURRENTE </w:t>
      </w:r>
      <w:r w:rsidRPr="00F2277E">
        <w:rPr>
          <w:rFonts w:ascii="Palatino Linotype" w:hAnsi="Palatino Linotype" w:cs="Arial"/>
        </w:rPr>
        <w:t>esta Po</w:t>
      </w:r>
      <w:r w:rsidR="006D5CDF" w:rsidRPr="00F2277E">
        <w:rPr>
          <w:rFonts w:ascii="Palatino Linotype" w:hAnsi="Palatino Linotype" w:cs="Arial"/>
        </w:rPr>
        <w:t xml:space="preserve">nencia Resolutora, </w:t>
      </w:r>
      <w:r w:rsidR="006D5CDF" w:rsidRPr="00F2277E">
        <w:rPr>
          <w:rFonts w:ascii="Palatino Linotype" w:eastAsia="Calibri" w:hAnsi="Palatino Linotype" w:cs="Arial"/>
        </w:rPr>
        <w:t xml:space="preserve">califica de </w:t>
      </w:r>
      <w:r w:rsidR="006D5CDF" w:rsidRPr="00F2277E">
        <w:rPr>
          <w:rFonts w:ascii="Palatino Linotype" w:eastAsia="Calibri" w:hAnsi="Palatino Linotype" w:cs="Arial"/>
          <w:b/>
        </w:rPr>
        <w:t xml:space="preserve">parcialmente fundadas </w:t>
      </w:r>
      <w:r w:rsidR="006D5CDF" w:rsidRPr="00F2277E">
        <w:rPr>
          <w:rFonts w:ascii="Palatino Linotype" w:eastAsia="Calibri" w:hAnsi="Palatino Linotype" w:cs="Arial"/>
        </w:rPr>
        <w:t xml:space="preserve">las razones o motivos de inconformidad expuestas por el hoy </w:t>
      </w:r>
      <w:r w:rsidR="006D5CDF" w:rsidRPr="00F2277E">
        <w:rPr>
          <w:rFonts w:ascii="Palatino Linotype" w:eastAsia="Calibri" w:hAnsi="Palatino Linotype" w:cs="Arial"/>
          <w:b/>
        </w:rPr>
        <w:t>RECURRENTE</w:t>
      </w:r>
      <w:r w:rsidR="006D5CDF" w:rsidRPr="00F2277E">
        <w:rPr>
          <w:rFonts w:ascii="Palatino Linotype" w:hAnsi="Palatino Linotype" w:cs="Arial"/>
        </w:rPr>
        <w:t xml:space="preserve"> y se </w:t>
      </w:r>
      <w:r w:rsidRPr="00F2277E">
        <w:rPr>
          <w:rFonts w:ascii="Palatino Linotype" w:hAnsi="Palatino Linotype" w:cs="Arial"/>
        </w:rPr>
        <w:t xml:space="preserve">determina </w:t>
      </w:r>
      <w:r w:rsidRPr="00F2277E">
        <w:rPr>
          <w:rFonts w:ascii="Palatino Linotype" w:hAnsi="Palatino Linotype" w:cs="Arial"/>
          <w:b/>
        </w:rPr>
        <w:t xml:space="preserve">MODIFICAR </w:t>
      </w:r>
      <w:r w:rsidRPr="00F2277E">
        <w:rPr>
          <w:rFonts w:ascii="Palatino Linotype" w:hAnsi="Palatino Linotype" w:cs="Arial"/>
        </w:rPr>
        <w:t xml:space="preserve">la respuesta del </w:t>
      </w:r>
      <w:r w:rsidRPr="00F2277E">
        <w:rPr>
          <w:rFonts w:ascii="Palatino Linotype" w:hAnsi="Palatino Linotype" w:cs="Arial"/>
          <w:b/>
        </w:rPr>
        <w:t>SUJETO OBLIGADO</w:t>
      </w:r>
      <w:r w:rsidRPr="00F2277E">
        <w:rPr>
          <w:rFonts w:ascii="Palatino Linotype" w:hAnsi="Palatino Linotype" w:cs="Arial"/>
        </w:rPr>
        <w:t xml:space="preserve"> y </w:t>
      </w:r>
      <w:r w:rsidRPr="00F2277E">
        <w:rPr>
          <w:rFonts w:ascii="Palatino Linotype" w:hAnsi="Palatino Linotype" w:cs="Arial"/>
          <w:b/>
        </w:rPr>
        <w:t>ordenarle</w:t>
      </w:r>
      <w:r w:rsidRPr="00F2277E">
        <w:rPr>
          <w:rFonts w:ascii="Palatino Linotype" w:hAnsi="Palatino Linotype" w:cs="Arial"/>
        </w:rPr>
        <w:t xml:space="preserve"> realizar una </w:t>
      </w:r>
      <w:r w:rsidRPr="00F2277E">
        <w:rPr>
          <w:rFonts w:ascii="Palatino Linotype" w:hAnsi="Palatino Linotype" w:cs="Arial"/>
          <w:b/>
        </w:rPr>
        <w:t>búsqueda exhaustiva</w:t>
      </w:r>
      <w:r w:rsidRPr="00F2277E">
        <w:rPr>
          <w:rFonts w:ascii="Palatino Linotype" w:hAnsi="Palatino Linotype" w:cs="Arial"/>
        </w:rPr>
        <w:t xml:space="preserve"> </w:t>
      </w:r>
      <w:r w:rsidRPr="00F2277E">
        <w:rPr>
          <w:rFonts w:ascii="Palatino Linotype" w:hAnsi="Palatino Linotype" w:cs="Arial"/>
          <w:b/>
        </w:rPr>
        <w:t>y razonable</w:t>
      </w:r>
      <w:r w:rsidRPr="00F2277E">
        <w:rPr>
          <w:rFonts w:ascii="Palatino Linotype" w:hAnsi="Palatino Linotype" w:cs="Arial"/>
        </w:rPr>
        <w:t xml:space="preserve"> de la información solicitada de conformidad con el artículo </w:t>
      </w:r>
      <w:r w:rsidRPr="00F2277E">
        <w:rPr>
          <w:rFonts w:ascii="Palatino Linotype" w:hAnsi="Palatino Linotype" w:cs="Arial"/>
          <w:lang w:val="es-ES_tradnl"/>
        </w:rPr>
        <w:t>162 de la Ley de Transparencia y Acceso a la Información Pública del Estado de México y Municipios</w:t>
      </w:r>
      <w:r w:rsidRPr="00F2277E">
        <w:rPr>
          <w:rFonts w:ascii="Palatino Linotype" w:hAnsi="Palatino Linotype" w:cs="Arial"/>
        </w:rPr>
        <w:t xml:space="preserve">, a través de los </w:t>
      </w:r>
      <w:r w:rsidRPr="00F2277E">
        <w:rPr>
          <w:rFonts w:ascii="Palatino Linotype" w:hAnsi="Palatino Linotype" w:cs="Arial"/>
          <w:b/>
        </w:rPr>
        <w:t xml:space="preserve">Servidores Públicos Habilitados Competentes </w:t>
      </w:r>
      <w:r w:rsidRPr="00F2277E">
        <w:rPr>
          <w:rFonts w:ascii="Palatino Linotype" w:hAnsi="Palatino Linotype" w:cs="Arial"/>
        </w:rPr>
        <w:t>por el periodo comprendido del 1</w:t>
      </w:r>
      <w:r w:rsidR="006D5CDF" w:rsidRPr="00F2277E">
        <w:rPr>
          <w:rFonts w:ascii="Palatino Linotype" w:hAnsi="Palatino Linotype" w:cs="Arial"/>
        </w:rPr>
        <w:t xml:space="preserve"> de enero al 29 de julio </w:t>
      </w:r>
      <w:r w:rsidRPr="00F2277E">
        <w:rPr>
          <w:rFonts w:ascii="Palatino Linotype" w:hAnsi="Palatino Linotype" w:cs="Arial"/>
        </w:rPr>
        <w:t xml:space="preserve">de 2019 y haga entrega de la misma al </w:t>
      </w:r>
      <w:r w:rsidRPr="00F2277E">
        <w:rPr>
          <w:rFonts w:ascii="Palatino Linotype" w:hAnsi="Palatino Linotype" w:cs="Arial"/>
          <w:b/>
        </w:rPr>
        <w:t>RECURRRENTE</w:t>
      </w:r>
      <w:r w:rsidRPr="00F2277E">
        <w:rPr>
          <w:rFonts w:ascii="Palatino Linotype" w:hAnsi="Palatino Linotype" w:cs="Arial"/>
        </w:rPr>
        <w:t xml:space="preserve"> </w:t>
      </w:r>
      <w:r w:rsidRPr="00F2277E">
        <w:rPr>
          <w:rFonts w:ascii="Palatino Linotype" w:hAnsi="Palatino Linotype" w:cs="Arial"/>
          <w:b/>
        </w:rPr>
        <w:t>en versión pública</w:t>
      </w:r>
      <w:r w:rsidRPr="00F2277E">
        <w:rPr>
          <w:rFonts w:ascii="Palatino Linotype" w:hAnsi="Palatino Linotype" w:cs="Arial"/>
        </w:rPr>
        <w:t xml:space="preserve"> de ser procedente.</w:t>
      </w:r>
    </w:p>
    <w:p w:rsidR="008E71B2" w:rsidRPr="00F2277E" w:rsidRDefault="008E71B2" w:rsidP="008E71B2">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F2277E">
        <w:rPr>
          <w:rFonts w:ascii="Palatino Linotype" w:eastAsia="Calibri" w:hAnsi="Palatino Linotype" w:cs="Arial"/>
        </w:rPr>
        <w:t xml:space="preserve">Así, con </w:t>
      </w:r>
      <w:r w:rsidRPr="00F2277E">
        <w:rPr>
          <w:rFonts w:ascii="Palatino Linotype" w:hAnsi="Palatino Linotype" w:cs="Arial"/>
        </w:rPr>
        <w:t>fundamento</w:t>
      </w:r>
      <w:r w:rsidRPr="00F2277E">
        <w:rPr>
          <w:rFonts w:ascii="Palatino Linotype" w:eastAsia="Calibri" w:hAnsi="Palatino Linotype" w:cs="Arial"/>
        </w:rPr>
        <w:t xml:space="preserve"> en lo prescrito en los artículos 5, </w:t>
      </w:r>
      <w:r w:rsidRPr="00F2277E">
        <w:rPr>
          <w:rFonts w:ascii="Palatino Linotype" w:hAnsi="Palatino Linotype"/>
        </w:rPr>
        <w:t>párrafos vigésimo segundo, vigésimo tercero y vigésimo cuarto</w:t>
      </w:r>
      <w:r w:rsidRPr="00F2277E">
        <w:rPr>
          <w:rFonts w:ascii="Palatino Linotype" w:hAnsi="Palatino Linotype" w:cs="Arial"/>
        </w:rPr>
        <w:t>,</w:t>
      </w:r>
      <w:r w:rsidRPr="00F2277E">
        <w:rPr>
          <w:rFonts w:ascii="Palatino Linotype" w:hAnsi="Palatino Linotype"/>
        </w:rPr>
        <w:t xml:space="preserve"> </w:t>
      </w:r>
      <w:r w:rsidRPr="00F2277E">
        <w:rPr>
          <w:rFonts w:ascii="Palatino Linotype" w:hAnsi="Palatino Linotype" w:cs="Arial"/>
        </w:rPr>
        <w:t>fracciones</w:t>
      </w:r>
      <w:r w:rsidRPr="00F2277E">
        <w:rPr>
          <w:rFonts w:ascii="Palatino Linotype" w:hAnsi="Palatino Linotype"/>
        </w:rPr>
        <w:t xml:space="preserve"> IV y V,</w:t>
      </w:r>
      <w:r w:rsidRPr="00F2277E">
        <w:rPr>
          <w:rFonts w:ascii="Palatino Linotype" w:eastAsia="Calibri" w:hAnsi="Palatino Linotype" w:cs="Arial"/>
        </w:rPr>
        <w:t xml:space="preserve"> de la Constitución Política del Estado Libre y Soberano de México y los artículos </w:t>
      </w:r>
      <w:r w:rsidRPr="00F2277E">
        <w:rPr>
          <w:rFonts w:ascii="Palatino Linotype" w:hAnsi="Palatino Linotype"/>
        </w:rPr>
        <w:t xml:space="preserve">2, </w:t>
      </w:r>
      <w:r w:rsidRPr="00F2277E">
        <w:rPr>
          <w:rFonts w:ascii="Palatino Linotype" w:hAnsi="Palatino Linotype" w:cs="Arial"/>
        </w:rPr>
        <w:t>fracción</w:t>
      </w:r>
      <w:r w:rsidRPr="00F2277E">
        <w:rPr>
          <w:rFonts w:ascii="Palatino Linotype" w:hAnsi="Palatino Linotype"/>
        </w:rPr>
        <w:t xml:space="preserve"> II, 9, </w:t>
      </w:r>
      <w:r w:rsidRPr="00F2277E">
        <w:rPr>
          <w:rFonts w:ascii="Palatino Linotype" w:hAnsi="Palatino Linotype" w:cs="Arial"/>
          <w:lang w:val="es-ES_tradnl"/>
        </w:rPr>
        <w:t>29</w:t>
      </w:r>
      <w:r w:rsidRPr="00F2277E">
        <w:rPr>
          <w:rFonts w:ascii="Palatino Linotype" w:hAnsi="Palatino Linotype"/>
        </w:rPr>
        <w:t xml:space="preserve">, 36, fracciones I y II, 176, 178, 179, 181, 185, fracción I, 186 y 188 </w:t>
      </w:r>
      <w:r w:rsidRPr="00F2277E">
        <w:rPr>
          <w:rFonts w:ascii="Palatino Linotype" w:eastAsia="Calibri" w:hAnsi="Palatino Linotype" w:cs="Arial"/>
        </w:rPr>
        <w:t xml:space="preserve">de la Ley de Transparencia y Acceso a la Información Pública del Estado de México y </w:t>
      </w:r>
      <w:r w:rsidRPr="00F2277E">
        <w:rPr>
          <w:rFonts w:ascii="Palatino Linotype" w:hAnsi="Palatino Linotype" w:cs="Arial"/>
        </w:rPr>
        <w:t>Municipios</w:t>
      </w:r>
      <w:r w:rsidRPr="00F2277E">
        <w:rPr>
          <w:rFonts w:ascii="Palatino Linotype" w:eastAsia="Calibri" w:hAnsi="Palatino Linotype" w:cs="Arial"/>
        </w:rPr>
        <w:t xml:space="preserve">, </w:t>
      </w:r>
      <w:r w:rsidRPr="00F2277E">
        <w:rPr>
          <w:rFonts w:ascii="Palatino Linotype" w:hAnsi="Palatino Linotype"/>
        </w:rPr>
        <w:t>este</w:t>
      </w:r>
      <w:r w:rsidRPr="00F2277E">
        <w:rPr>
          <w:rFonts w:ascii="Palatino Linotype" w:eastAsia="Calibri" w:hAnsi="Palatino Linotype" w:cs="Arial"/>
        </w:rPr>
        <w:t xml:space="preserve"> Pleno:</w:t>
      </w:r>
    </w:p>
    <w:p w:rsidR="008E71B2" w:rsidRPr="00F2277E" w:rsidRDefault="008E71B2" w:rsidP="002F58B5">
      <w:pPr>
        <w:spacing w:line="360" w:lineRule="auto"/>
        <w:jc w:val="center"/>
        <w:rPr>
          <w:rFonts w:ascii="Palatino Linotype" w:hAnsi="Palatino Linotype"/>
          <w:b/>
          <w:bCs/>
          <w:spacing w:val="60"/>
          <w:sz w:val="28"/>
        </w:rPr>
      </w:pPr>
      <w:r w:rsidRPr="00F2277E">
        <w:rPr>
          <w:rFonts w:ascii="Palatino Linotype" w:hAnsi="Palatino Linotype"/>
          <w:b/>
          <w:bCs/>
          <w:spacing w:val="60"/>
          <w:sz w:val="28"/>
        </w:rPr>
        <w:lastRenderedPageBreak/>
        <w:t>RESUELVE</w:t>
      </w:r>
    </w:p>
    <w:p w:rsidR="008E71B2" w:rsidRPr="00F2277E" w:rsidRDefault="008E71B2" w:rsidP="008E71B2">
      <w:pPr>
        <w:spacing w:before="240" w:after="240" w:line="360" w:lineRule="auto"/>
        <w:jc w:val="both"/>
        <w:rPr>
          <w:rFonts w:ascii="Palatino Linotype" w:hAnsi="Palatino Linotype" w:cs="Arial"/>
        </w:rPr>
      </w:pPr>
      <w:r w:rsidRPr="00F2277E">
        <w:rPr>
          <w:rFonts w:ascii="Palatino Linotype" w:hAnsi="Palatino Linotype" w:cs="Arial"/>
          <w:b/>
          <w:sz w:val="28"/>
          <w:szCs w:val="28"/>
        </w:rPr>
        <w:t>PRIMERO</w:t>
      </w:r>
      <w:r w:rsidRPr="00F2277E">
        <w:rPr>
          <w:rFonts w:ascii="Palatino Linotype" w:hAnsi="Palatino Linotype" w:cs="Arial"/>
          <w:sz w:val="28"/>
          <w:szCs w:val="28"/>
        </w:rPr>
        <w:t>.</w:t>
      </w:r>
      <w:r w:rsidRPr="00F2277E">
        <w:rPr>
          <w:rFonts w:ascii="Palatino Linotype" w:hAnsi="Palatino Linotype" w:cs="Arial"/>
        </w:rPr>
        <w:t xml:space="preserve"> Resultan </w:t>
      </w:r>
      <w:r w:rsidRPr="00F2277E">
        <w:rPr>
          <w:rFonts w:ascii="Palatino Linotype" w:hAnsi="Palatino Linotype" w:cs="Arial"/>
          <w:b/>
        </w:rPr>
        <w:t>parcialmente fundadas</w:t>
      </w:r>
      <w:r w:rsidRPr="00F2277E">
        <w:rPr>
          <w:rFonts w:ascii="Palatino Linotype" w:hAnsi="Palatino Linotype" w:cs="Arial"/>
        </w:rPr>
        <w:t xml:space="preserve"> las razones o motivos de inconformidad planteadas por </w:t>
      </w:r>
      <w:r w:rsidRPr="00F2277E">
        <w:rPr>
          <w:rFonts w:ascii="Palatino Linotype" w:hAnsi="Palatino Linotype" w:cs="Arial"/>
          <w:b/>
        </w:rPr>
        <w:t>EL RECURRENTE</w:t>
      </w:r>
      <w:r w:rsidRPr="00F2277E">
        <w:rPr>
          <w:rFonts w:ascii="Palatino Linotype" w:hAnsi="Palatino Linotype" w:cs="Arial"/>
        </w:rPr>
        <w:t xml:space="preserve">, en términos del Considerando </w:t>
      </w:r>
      <w:r w:rsidRPr="00F2277E">
        <w:rPr>
          <w:rFonts w:ascii="Palatino Linotype" w:hAnsi="Palatino Linotype" w:cs="Arial"/>
          <w:b/>
        </w:rPr>
        <w:t>QUINTO</w:t>
      </w:r>
      <w:r w:rsidRPr="00F2277E">
        <w:rPr>
          <w:rFonts w:ascii="Palatino Linotype" w:hAnsi="Palatino Linotype" w:cs="Arial"/>
        </w:rPr>
        <w:t xml:space="preserve"> de la presente resolución.</w:t>
      </w:r>
    </w:p>
    <w:p w:rsidR="008E71B2" w:rsidRPr="00F2277E" w:rsidRDefault="008E71B2" w:rsidP="002F58B5">
      <w:pPr>
        <w:spacing w:line="360" w:lineRule="auto"/>
        <w:jc w:val="both"/>
        <w:rPr>
          <w:rFonts w:ascii="Palatino Linotype" w:eastAsia="Calibri" w:hAnsi="Palatino Linotype" w:cs="Arial"/>
        </w:rPr>
      </w:pPr>
      <w:r w:rsidRPr="00F2277E">
        <w:rPr>
          <w:rFonts w:ascii="Palatino Linotype" w:eastAsia="Calibri" w:hAnsi="Palatino Linotype" w:cs="Arial"/>
          <w:b/>
          <w:sz w:val="28"/>
        </w:rPr>
        <w:t>SEGUNDO</w:t>
      </w:r>
      <w:r w:rsidRPr="00F2277E">
        <w:rPr>
          <w:rFonts w:ascii="Palatino Linotype" w:eastAsia="Calibri" w:hAnsi="Palatino Linotype" w:cs="Arial"/>
        </w:rPr>
        <w:t xml:space="preserve">. Se </w:t>
      </w:r>
      <w:r w:rsidRPr="00F2277E">
        <w:rPr>
          <w:rFonts w:ascii="Palatino Linotype" w:eastAsia="Calibri" w:hAnsi="Palatino Linotype" w:cs="Arial"/>
          <w:b/>
        </w:rPr>
        <w:t>MODIFICA</w:t>
      </w:r>
      <w:r w:rsidRPr="00F2277E">
        <w:rPr>
          <w:rFonts w:ascii="Palatino Linotype" w:eastAsia="Calibri" w:hAnsi="Palatino Linotype" w:cs="Arial"/>
        </w:rPr>
        <w:t xml:space="preserve"> la respuesta otorgada por </w:t>
      </w:r>
      <w:r w:rsidRPr="00F2277E">
        <w:rPr>
          <w:rFonts w:ascii="Palatino Linotype" w:eastAsia="Calibri" w:hAnsi="Palatino Linotype" w:cs="Arial"/>
          <w:b/>
        </w:rPr>
        <w:t>EL SUJETO OBLIGADO</w:t>
      </w:r>
      <w:r w:rsidRPr="00F2277E">
        <w:rPr>
          <w:rFonts w:ascii="Palatino Linotype" w:eastAsia="Calibri" w:hAnsi="Palatino Linotype" w:cs="Arial"/>
        </w:rPr>
        <w:t xml:space="preserve"> a la solicitud de información </w:t>
      </w:r>
      <w:r w:rsidR="006D5CDF" w:rsidRPr="00F2277E">
        <w:rPr>
          <w:rFonts w:ascii="Palatino Linotype" w:eastAsia="Calibri" w:hAnsi="Palatino Linotype" w:cs="Arial"/>
          <w:b/>
        </w:rPr>
        <w:t>00637</w:t>
      </w:r>
      <w:r w:rsidRPr="00F2277E">
        <w:rPr>
          <w:rFonts w:ascii="Palatino Linotype" w:eastAsia="Calibri" w:hAnsi="Palatino Linotype" w:cs="Arial"/>
          <w:b/>
        </w:rPr>
        <w:t>/S</w:t>
      </w:r>
      <w:r w:rsidR="006D5CDF" w:rsidRPr="00F2277E">
        <w:rPr>
          <w:rFonts w:ascii="Palatino Linotype" w:eastAsia="Calibri" w:hAnsi="Palatino Linotype" w:cs="Arial"/>
          <w:b/>
        </w:rPr>
        <w:t>F</w:t>
      </w:r>
      <w:r w:rsidRPr="00F2277E">
        <w:rPr>
          <w:rFonts w:ascii="Palatino Linotype" w:eastAsia="Calibri" w:hAnsi="Palatino Linotype" w:cs="Arial"/>
          <w:b/>
        </w:rPr>
        <w:t xml:space="preserve">/IP/2019 </w:t>
      </w:r>
      <w:r w:rsidRPr="00F2277E">
        <w:rPr>
          <w:rFonts w:ascii="Palatino Linotype" w:eastAsia="Calibri" w:hAnsi="Palatino Linotype" w:cs="Arial"/>
        </w:rPr>
        <w:t xml:space="preserve">y se le ordena en términos del Considerando </w:t>
      </w:r>
      <w:r w:rsidRPr="00F2277E">
        <w:rPr>
          <w:rFonts w:ascii="Palatino Linotype" w:eastAsia="Calibri" w:hAnsi="Palatino Linotype" w:cs="Arial"/>
          <w:b/>
        </w:rPr>
        <w:t>QUINTO</w:t>
      </w:r>
      <w:r w:rsidRPr="00F2277E">
        <w:rPr>
          <w:rFonts w:ascii="Palatino Linotype" w:eastAsia="Calibri" w:hAnsi="Palatino Linotype" w:cs="Arial"/>
        </w:rPr>
        <w:t xml:space="preserve"> de la presente resolución, entregue al </w:t>
      </w:r>
      <w:r w:rsidRPr="00F2277E">
        <w:rPr>
          <w:rFonts w:ascii="Palatino Linotype" w:eastAsia="Calibri" w:hAnsi="Palatino Linotype" w:cs="Arial"/>
          <w:b/>
        </w:rPr>
        <w:t>RECURRENTE</w:t>
      </w:r>
      <w:r w:rsidR="00F2277E" w:rsidRPr="00F2277E">
        <w:rPr>
          <w:rFonts w:ascii="Palatino Linotype" w:eastAsia="Calibri" w:hAnsi="Palatino Linotype" w:cs="Arial"/>
          <w:b/>
        </w:rPr>
        <w:t>,</w:t>
      </w:r>
      <w:r w:rsidRPr="00F2277E">
        <w:rPr>
          <w:rFonts w:ascii="Palatino Linotype" w:eastAsia="Calibri" w:hAnsi="Palatino Linotype" w:cs="Arial"/>
        </w:rPr>
        <w:t xml:space="preserve"> previa </w:t>
      </w:r>
      <w:r w:rsidRPr="00F2277E">
        <w:rPr>
          <w:rFonts w:ascii="Palatino Linotype" w:eastAsia="Calibri" w:hAnsi="Palatino Linotype" w:cs="Arial"/>
          <w:b/>
        </w:rPr>
        <w:t xml:space="preserve">búsqueda exhaustiva y razonable, </w:t>
      </w:r>
      <w:r w:rsidRPr="00F2277E">
        <w:rPr>
          <w:rFonts w:ascii="Palatino Linotype" w:eastAsia="Calibri" w:hAnsi="Palatino Linotype" w:cs="Arial"/>
        </w:rPr>
        <w:t xml:space="preserve">de ser procedente en </w:t>
      </w:r>
      <w:r w:rsidRPr="00F2277E">
        <w:rPr>
          <w:rFonts w:ascii="Palatino Linotype" w:eastAsia="Calibri" w:hAnsi="Palatino Linotype" w:cs="Arial"/>
          <w:b/>
        </w:rPr>
        <w:t xml:space="preserve">versión pública, </w:t>
      </w:r>
      <w:r w:rsidRPr="00F2277E">
        <w:rPr>
          <w:rFonts w:ascii="Palatino Linotype" w:eastAsia="Calibri" w:hAnsi="Palatino Linotype" w:cs="Arial"/>
        </w:rPr>
        <w:t xml:space="preserve">vía </w:t>
      </w:r>
      <w:r w:rsidRPr="00F2277E">
        <w:rPr>
          <w:rFonts w:ascii="Palatino Linotype" w:eastAsia="Calibri" w:hAnsi="Palatino Linotype" w:cs="Arial"/>
          <w:b/>
        </w:rPr>
        <w:t>SAIMEX</w:t>
      </w:r>
      <w:r w:rsidRPr="00F2277E">
        <w:rPr>
          <w:rFonts w:ascii="Palatino Linotype" w:eastAsia="Calibri" w:hAnsi="Palatino Linotype" w:cs="Arial"/>
        </w:rPr>
        <w:t>, lo siguiente:</w:t>
      </w:r>
    </w:p>
    <w:p w:rsidR="006844C2" w:rsidRPr="00F2277E" w:rsidRDefault="008E71B2" w:rsidP="002F58B5">
      <w:pPr>
        <w:tabs>
          <w:tab w:val="left" w:pos="8222"/>
        </w:tabs>
        <w:ind w:left="851" w:right="899"/>
        <w:jc w:val="both"/>
        <w:rPr>
          <w:rFonts w:ascii="Palatino Linotype" w:eastAsia="Calibri" w:hAnsi="Palatino Linotype" w:cs="Arial"/>
          <w:i/>
          <w:sz w:val="22"/>
          <w:szCs w:val="22"/>
        </w:rPr>
      </w:pPr>
      <w:r w:rsidRPr="00F2277E">
        <w:rPr>
          <w:rFonts w:ascii="Palatino Linotype" w:eastAsia="Calibri" w:hAnsi="Palatino Linotype" w:cs="Arial"/>
          <w:i/>
          <w:sz w:val="22"/>
          <w:szCs w:val="22"/>
        </w:rPr>
        <w:t>“</w:t>
      </w:r>
      <w:r w:rsidR="006844C2" w:rsidRPr="00F2277E">
        <w:rPr>
          <w:rFonts w:ascii="Palatino Linotype" w:eastAsia="Calibri" w:hAnsi="Palatino Linotype" w:cs="Arial"/>
          <w:i/>
          <w:sz w:val="22"/>
          <w:szCs w:val="22"/>
        </w:rPr>
        <w:t xml:space="preserve">El contrato </w:t>
      </w:r>
      <w:r w:rsidR="00F2277E" w:rsidRPr="00F2277E">
        <w:rPr>
          <w:rFonts w:ascii="Palatino Linotype" w:eastAsia="Calibri" w:hAnsi="Palatino Linotype" w:cs="Arial"/>
          <w:i/>
          <w:sz w:val="22"/>
          <w:szCs w:val="22"/>
        </w:rPr>
        <w:t xml:space="preserve">derivado de la creación y/o mantenimiento de la </w:t>
      </w:r>
      <w:r w:rsidR="006844C2" w:rsidRPr="00F2277E">
        <w:rPr>
          <w:rFonts w:ascii="Palatino Linotype" w:eastAsia="Calibri" w:hAnsi="Palatino Linotype" w:cs="Arial"/>
          <w:i/>
          <w:sz w:val="22"/>
          <w:szCs w:val="22"/>
        </w:rPr>
        <w:t>página electrónica</w:t>
      </w:r>
      <w:r w:rsidR="00F2277E" w:rsidRPr="00F2277E">
        <w:rPr>
          <w:rFonts w:ascii="Palatino Linotype" w:eastAsia="Calibri" w:hAnsi="Palatino Linotype" w:cs="Arial"/>
          <w:i/>
          <w:sz w:val="22"/>
          <w:szCs w:val="22"/>
        </w:rPr>
        <w:t xml:space="preserve"> oficial que se habilitó para el programa de </w:t>
      </w:r>
      <w:proofErr w:type="spellStart"/>
      <w:r w:rsidR="00F2277E" w:rsidRPr="00F2277E">
        <w:rPr>
          <w:rFonts w:ascii="Palatino Linotype" w:eastAsia="Calibri" w:hAnsi="Palatino Linotype" w:cs="Arial"/>
          <w:i/>
          <w:sz w:val="22"/>
          <w:szCs w:val="22"/>
        </w:rPr>
        <w:t>reemplacamiento</w:t>
      </w:r>
      <w:proofErr w:type="spellEnd"/>
      <w:r w:rsidR="00F2277E" w:rsidRPr="00F2277E">
        <w:rPr>
          <w:rFonts w:ascii="Palatino Linotype" w:eastAsia="Calibri" w:hAnsi="Palatino Linotype" w:cs="Arial"/>
          <w:i/>
          <w:sz w:val="22"/>
          <w:szCs w:val="22"/>
        </w:rPr>
        <w:t xml:space="preserve"> en el Estado de México </w:t>
      </w:r>
      <w:r w:rsidR="006844C2" w:rsidRPr="00F2277E">
        <w:rPr>
          <w:rFonts w:ascii="Palatino Linotype" w:eastAsia="Calibri" w:hAnsi="Palatino Linotype" w:cs="Arial"/>
          <w:i/>
          <w:sz w:val="22"/>
          <w:szCs w:val="22"/>
        </w:rPr>
        <w:t>2019.</w:t>
      </w:r>
    </w:p>
    <w:p w:rsidR="006844C2" w:rsidRPr="00F2277E" w:rsidRDefault="006844C2" w:rsidP="008E71B2">
      <w:pPr>
        <w:tabs>
          <w:tab w:val="left" w:pos="8222"/>
        </w:tabs>
        <w:ind w:left="851" w:right="899"/>
        <w:jc w:val="both"/>
        <w:rPr>
          <w:rFonts w:ascii="Palatino Linotype" w:eastAsia="Calibri" w:hAnsi="Palatino Linotype" w:cs="Arial"/>
          <w:i/>
          <w:sz w:val="22"/>
          <w:szCs w:val="22"/>
        </w:rPr>
      </w:pPr>
    </w:p>
    <w:p w:rsidR="006D5CDF" w:rsidRPr="00F2277E" w:rsidRDefault="008E71B2" w:rsidP="008E71B2">
      <w:pPr>
        <w:tabs>
          <w:tab w:val="left" w:pos="8222"/>
        </w:tabs>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 xml:space="preserve">Debiendo notificar al </w:t>
      </w:r>
      <w:r w:rsidRPr="00F2277E">
        <w:rPr>
          <w:rFonts w:ascii="Palatino Linotype" w:hAnsi="Palatino Linotype" w:cs="Arial"/>
          <w:b/>
          <w:i/>
          <w:sz w:val="22"/>
          <w:szCs w:val="22"/>
          <w:lang w:eastAsia="es-MX"/>
        </w:rPr>
        <w:t>RECURRENTE</w:t>
      </w:r>
      <w:r w:rsidRPr="00F2277E">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6D5CDF" w:rsidRPr="00F2277E" w:rsidRDefault="006D5CDF" w:rsidP="008E71B2">
      <w:pPr>
        <w:tabs>
          <w:tab w:val="left" w:pos="8222"/>
        </w:tabs>
        <w:ind w:left="851" w:right="899"/>
        <w:jc w:val="both"/>
        <w:rPr>
          <w:rFonts w:ascii="Palatino Linotype" w:hAnsi="Palatino Linotype" w:cs="Arial"/>
          <w:i/>
          <w:sz w:val="22"/>
          <w:szCs w:val="22"/>
          <w:lang w:eastAsia="es-MX"/>
        </w:rPr>
      </w:pPr>
    </w:p>
    <w:p w:rsidR="008E71B2" w:rsidRPr="00F2277E" w:rsidRDefault="006D5CDF" w:rsidP="008E71B2">
      <w:pPr>
        <w:tabs>
          <w:tab w:val="left" w:pos="8222"/>
        </w:tabs>
        <w:ind w:left="851" w:right="899"/>
        <w:jc w:val="both"/>
        <w:rPr>
          <w:rFonts w:ascii="Palatino Linotype" w:hAnsi="Palatino Linotype" w:cs="Arial"/>
          <w:i/>
          <w:sz w:val="22"/>
          <w:szCs w:val="22"/>
          <w:lang w:eastAsia="es-MX"/>
        </w:rPr>
      </w:pPr>
      <w:r w:rsidRPr="00F2277E">
        <w:rPr>
          <w:rFonts w:ascii="Palatino Linotype" w:hAnsi="Palatino Linotype" w:cs="Arial"/>
          <w:i/>
          <w:sz w:val="22"/>
          <w:szCs w:val="22"/>
          <w:lang w:eastAsia="es-MX"/>
        </w:rPr>
        <w:t>Para el caso de que</w:t>
      </w:r>
      <w:r w:rsidR="006844C2" w:rsidRPr="00F2277E">
        <w:rPr>
          <w:rFonts w:ascii="Palatino Linotype" w:hAnsi="Palatino Linotype" w:cs="Arial"/>
          <w:i/>
          <w:sz w:val="22"/>
          <w:szCs w:val="22"/>
          <w:lang w:eastAsia="es-MX"/>
        </w:rPr>
        <w:t xml:space="preserve"> una vez acreditada la búsqueda exhaustiva y razonable</w:t>
      </w:r>
      <w:r w:rsidRPr="00F2277E">
        <w:rPr>
          <w:rFonts w:ascii="Palatino Linotype" w:hAnsi="Palatino Linotype" w:cs="Arial"/>
          <w:i/>
          <w:sz w:val="22"/>
          <w:szCs w:val="22"/>
          <w:lang w:eastAsia="es-MX"/>
        </w:rPr>
        <w:t xml:space="preserve"> </w:t>
      </w:r>
      <w:r w:rsidR="009F438A" w:rsidRPr="00F2277E">
        <w:rPr>
          <w:rFonts w:ascii="Palatino Linotype" w:hAnsi="Palatino Linotype" w:cs="Arial"/>
          <w:b/>
          <w:i/>
          <w:sz w:val="22"/>
          <w:szCs w:val="22"/>
          <w:lang w:eastAsia="es-MX"/>
        </w:rPr>
        <w:t>EL</w:t>
      </w:r>
      <w:r w:rsidR="009F438A" w:rsidRPr="00F2277E">
        <w:rPr>
          <w:rFonts w:ascii="Palatino Linotype" w:hAnsi="Palatino Linotype" w:cs="Arial"/>
          <w:i/>
          <w:sz w:val="22"/>
          <w:szCs w:val="22"/>
          <w:lang w:eastAsia="es-MX"/>
        </w:rPr>
        <w:t xml:space="preserve"> </w:t>
      </w:r>
      <w:r w:rsidR="009F438A" w:rsidRPr="00F2277E">
        <w:rPr>
          <w:rFonts w:ascii="Palatino Linotype" w:hAnsi="Palatino Linotype" w:cs="Arial"/>
          <w:b/>
          <w:i/>
          <w:sz w:val="22"/>
          <w:szCs w:val="22"/>
          <w:lang w:eastAsia="es-MX"/>
        </w:rPr>
        <w:t>SUJETO</w:t>
      </w:r>
      <w:r w:rsidR="009F438A" w:rsidRPr="00F2277E">
        <w:rPr>
          <w:rFonts w:ascii="Palatino Linotype" w:hAnsi="Palatino Linotype" w:cs="Arial"/>
          <w:i/>
          <w:sz w:val="22"/>
          <w:szCs w:val="22"/>
          <w:lang w:eastAsia="es-MX"/>
        </w:rPr>
        <w:t xml:space="preserve"> </w:t>
      </w:r>
      <w:r w:rsidR="009F438A" w:rsidRPr="00F2277E">
        <w:rPr>
          <w:rFonts w:ascii="Palatino Linotype" w:hAnsi="Palatino Linotype" w:cs="Arial"/>
          <w:b/>
          <w:i/>
          <w:sz w:val="22"/>
          <w:szCs w:val="22"/>
          <w:lang w:eastAsia="es-MX"/>
        </w:rPr>
        <w:t>OBLIGADO</w:t>
      </w:r>
      <w:r w:rsidR="009F438A" w:rsidRPr="00F2277E">
        <w:rPr>
          <w:rFonts w:ascii="Palatino Linotype" w:hAnsi="Palatino Linotype" w:cs="Arial"/>
          <w:i/>
          <w:sz w:val="22"/>
          <w:szCs w:val="22"/>
          <w:lang w:eastAsia="es-MX"/>
        </w:rPr>
        <w:t xml:space="preserve"> no cuente con la i</w:t>
      </w:r>
      <w:r w:rsidR="00F2277E" w:rsidRPr="00F2277E">
        <w:rPr>
          <w:rFonts w:ascii="Palatino Linotype" w:hAnsi="Palatino Linotype" w:cs="Arial"/>
          <w:i/>
          <w:sz w:val="22"/>
          <w:szCs w:val="22"/>
          <w:lang w:eastAsia="es-MX"/>
        </w:rPr>
        <w:t>nformación</w:t>
      </w:r>
      <w:r w:rsidR="009F438A" w:rsidRPr="00F2277E">
        <w:rPr>
          <w:rFonts w:ascii="Palatino Linotype" w:hAnsi="Palatino Linotype" w:cs="Arial"/>
          <w:i/>
          <w:sz w:val="22"/>
          <w:szCs w:val="22"/>
          <w:lang w:eastAsia="es-MX"/>
        </w:rPr>
        <w:t xml:space="preserve"> referida</w:t>
      </w:r>
      <w:r w:rsidR="00F2277E" w:rsidRPr="00F2277E">
        <w:rPr>
          <w:rFonts w:ascii="Palatino Linotype" w:hAnsi="Palatino Linotype" w:cs="Arial"/>
          <w:i/>
          <w:sz w:val="22"/>
          <w:szCs w:val="22"/>
          <w:lang w:eastAsia="es-MX"/>
        </w:rPr>
        <w:t xml:space="preserve"> al no conllevar erogación de recurso público, deberá hacerlo </w:t>
      </w:r>
      <w:r w:rsidR="009F438A" w:rsidRPr="00F2277E">
        <w:rPr>
          <w:rFonts w:ascii="Palatino Linotype" w:hAnsi="Palatino Linotype" w:cs="Arial"/>
          <w:i/>
          <w:sz w:val="22"/>
          <w:szCs w:val="22"/>
          <w:lang w:eastAsia="es-MX"/>
        </w:rPr>
        <w:t xml:space="preserve">de conocimiento del </w:t>
      </w:r>
      <w:r w:rsidR="009F438A" w:rsidRPr="00F2277E">
        <w:rPr>
          <w:rFonts w:ascii="Palatino Linotype" w:hAnsi="Palatino Linotype" w:cs="Arial"/>
          <w:b/>
          <w:i/>
          <w:sz w:val="22"/>
          <w:szCs w:val="22"/>
          <w:lang w:eastAsia="es-MX"/>
        </w:rPr>
        <w:t>RECURRENTE</w:t>
      </w:r>
      <w:r w:rsidR="009F438A" w:rsidRPr="00F2277E">
        <w:rPr>
          <w:rFonts w:ascii="Palatino Linotype" w:hAnsi="Palatino Linotype" w:cs="Arial"/>
          <w:i/>
          <w:sz w:val="22"/>
          <w:szCs w:val="22"/>
          <w:lang w:eastAsia="es-MX"/>
        </w:rPr>
        <w:t>.”</w:t>
      </w:r>
    </w:p>
    <w:p w:rsidR="008E71B2" w:rsidRPr="00F2277E" w:rsidRDefault="008E71B2" w:rsidP="008E71B2">
      <w:pPr>
        <w:spacing w:before="100" w:beforeAutospacing="1" w:after="100" w:afterAutospacing="1" w:line="360" w:lineRule="auto"/>
        <w:jc w:val="both"/>
        <w:rPr>
          <w:rFonts w:ascii="Palatino Linotype" w:eastAsia="Calibri" w:hAnsi="Palatino Linotype" w:cs="Arial"/>
        </w:rPr>
      </w:pPr>
      <w:r w:rsidRPr="00F2277E">
        <w:rPr>
          <w:rFonts w:ascii="Palatino Linotype" w:eastAsia="Calibri" w:hAnsi="Palatino Linotype" w:cs="Arial"/>
          <w:b/>
          <w:sz w:val="28"/>
        </w:rPr>
        <w:t>TERCERO</w:t>
      </w:r>
      <w:r w:rsidRPr="00F2277E">
        <w:rPr>
          <w:rFonts w:ascii="Palatino Linotype" w:eastAsia="Calibri" w:hAnsi="Palatino Linotype" w:cs="Arial"/>
        </w:rPr>
        <w:t xml:space="preserve">. Notifíquese al Titular de la Unidad de Transparencia del </w:t>
      </w:r>
      <w:r w:rsidRPr="00F2277E">
        <w:rPr>
          <w:rFonts w:ascii="Palatino Linotype" w:eastAsia="Calibri" w:hAnsi="Palatino Linotype" w:cs="Arial"/>
          <w:b/>
        </w:rPr>
        <w:t>SUJETO OBLIGADO</w:t>
      </w:r>
      <w:r w:rsidRPr="00F2277E">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E71B2" w:rsidRPr="00F2277E" w:rsidRDefault="008E71B2" w:rsidP="008E71B2">
      <w:pPr>
        <w:spacing w:before="100" w:beforeAutospacing="1" w:after="100" w:afterAutospacing="1" w:line="360" w:lineRule="auto"/>
        <w:jc w:val="both"/>
        <w:rPr>
          <w:rFonts w:ascii="Palatino Linotype" w:eastAsia="Calibri" w:hAnsi="Palatino Linotype" w:cs="Arial"/>
        </w:rPr>
      </w:pPr>
      <w:r w:rsidRPr="00F2277E">
        <w:rPr>
          <w:rFonts w:ascii="Palatino Linotype" w:eastAsia="Calibri" w:hAnsi="Palatino Linotype" w:cs="Arial"/>
          <w:b/>
          <w:sz w:val="28"/>
        </w:rPr>
        <w:t>CUARTO</w:t>
      </w:r>
      <w:r w:rsidRPr="00F2277E">
        <w:rPr>
          <w:rFonts w:ascii="Palatino Linotype" w:eastAsia="Calibri" w:hAnsi="Palatino Linotype" w:cs="Arial"/>
        </w:rPr>
        <w:t xml:space="preserve">. Notifíquese al </w:t>
      </w:r>
      <w:r w:rsidRPr="00F2277E">
        <w:rPr>
          <w:rFonts w:ascii="Palatino Linotype" w:eastAsia="Calibri" w:hAnsi="Palatino Linotype" w:cs="Arial"/>
          <w:b/>
        </w:rPr>
        <w:t>RECURRENTE</w:t>
      </w:r>
      <w:r w:rsidRPr="00F2277E">
        <w:rPr>
          <w:rFonts w:ascii="Palatino Linotype" w:eastAsia="Calibri" w:hAnsi="Palatino Linotype" w:cs="Arial"/>
        </w:rPr>
        <w:t xml:space="preserve"> la presente resolución.</w:t>
      </w:r>
    </w:p>
    <w:p w:rsidR="008E71B2" w:rsidRDefault="008E71B2" w:rsidP="008E71B2">
      <w:pPr>
        <w:spacing w:before="100" w:beforeAutospacing="1" w:after="100" w:afterAutospacing="1" w:line="360" w:lineRule="auto"/>
        <w:jc w:val="both"/>
        <w:rPr>
          <w:rFonts w:ascii="Palatino Linotype" w:eastAsia="Calibri" w:hAnsi="Palatino Linotype" w:cs="Arial"/>
        </w:rPr>
      </w:pPr>
      <w:r w:rsidRPr="00F2277E">
        <w:rPr>
          <w:rFonts w:ascii="Palatino Linotype" w:eastAsia="Calibri" w:hAnsi="Palatino Linotype" w:cs="Arial"/>
          <w:b/>
          <w:sz w:val="28"/>
        </w:rPr>
        <w:lastRenderedPageBreak/>
        <w:t>QUINTO</w:t>
      </w:r>
      <w:r w:rsidRPr="00F2277E">
        <w:rPr>
          <w:rFonts w:ascii="Palatino Linotype" w:eastAsia="Calibri" w:hAnsi="Palatino Linotype" w:cs="Arial"/>
        </w:rPr>
        <w:t xml:space="preserve">. Hágase del conocimiento del </w:t>
      </w:r>
      <w:r w:rsidRPr="00F2277E">
        <w:rPr>
          <w:rFonts w:ascii="Palatino Linotype" w:eastAsia="Calibri" w:hAnsi="Palatino Linotype" w:cs="Arial"/>
          <w:b/>
        </w:rPr>
        <w:t>RECURRENTE</w:t>
      </w:r>
      <w:r w:rsidRPr="00F2277E">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8E71B2" w:rsidRPr="002F58B5" w:rsidRDefault="002F58B5" w:rsidP="002F58B5">
      <w:pPr>
        <w:spacing w:before="240" w:after="240" w:line="360" w:lineRule="auto"/>
        <w:ind w:right="49"/>
        <w:jc w:val="both"/>
        <w:rPr>
          <w:rFonts w:ascii="Palatino Linotype" w:eastAsiaTheme="minorHAnsi" w:hAnsi="Palatino Linotype" w:cs="Arial"/>
          <w:color w:val="000000" w:themeColor="text1"/>
          <w:lang w:eastAsia="en-US"/>
        </w:rPr>
      </w:pPr>
      <w:r w:rsidRPr="002F58B5">
        <w:rPr>
          <w:rFonts w:ascii="Palatino Linotype" w:eastAsiaTheme="minorHAnsi" w:hAnsi="Palatino Linotype" w:cs="Arial"/>
          <w:color w:val="000000" w:themeColor="text1"/>
          <w:lang w:eastAsia="en-U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eastAsiaTheme="minorHAnsi" w:hAnsi="Palatino Linotype" w:cs="Arial"/>
          <w:color w:val="000000" w:themeColor="text1"/>
          <w:lang w:eastAsia="en-US"/>
        </w:rPr>
        <w:t xml:space="preserve"> EMITIENDO VOTO PARTICULAR</w:t>
      </w:r>
      <w:r w:rsidRPr="002F58B5">
        <w:rPr>
          <w:rFonts w:ascii="Palatino Linotype" w:eastAsiaTheme="minorHAnsi" w:hAnsi="Palatino Linotype" w:cs="Arial"/>
          <w:color w:val="000000" w:themeColor="text1"/>
          <w:lang w:eastAsia="en-US"/>
        </w:rPr>
        <w:t xml:space="preserve">; </w:t>
      </w:r>
      <w:r w:rsidRPr="002F58B5">
        <w:rPr>
          <w:rFonts w:ascii="Palatino Linotype" w:eastAsiaTheme="minorHAnsi" w:hAnsi="Palatino Linotype" w:cs="Arial"/>
          <w:color w:val="000000" w:themeColor="text1"/>
          <w:lang w:eastAsia="en-US"/>
        </w:rPr>
        <w:t>JAVIER MARTÍNEZ CRUZ (CON AUSENCIA JUSTIFICADA) Y LUIS GUSTAVO PARRA NORIEGA (CON AUSENCIA JUSTIFICADA); EN LA TRIGÉSIMA NOVENA SESIÓN ORDINARIA CELEBRADA EL DÍA VEINTICUATRO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E71B2" w:rsidRPr="005E7982" w:rsidTr="00B93CFE">
        <w:trPr>
          <w:jc w:val="center"/>
        </w:trPr>
        <w:tc>
          <w:tcPr>
            <w:tcW w:w="10365" w:type="dxa"/>
            <w:gridSpan w:val="2"/>
          </w:tcPr>
          <w:p w:rsidR="008E71B2" w:rsidRDefault="008E71B2" w:rsidP="00B93CFE">
            <w:pPr>
              <w:jc w:val="center"/>
              <w:rPr>
                <w:rFonts w:ascii="Palatino Linotype" w:hAnsi="Palatino Linotype" w:cs="Arial"/>
                <w:b/>
              </w:rPr>
            </w:pPr>
          </w:p>
          <w:p w:rsidR="002F58B5" w:rsidRDefault="002F58B5" w:rsidP="00B93CFE">
            <w:pPr>
              <w:jc w:val="center"/>
              <w:rPr>
                <w:rFonts w:ascii="Palatino Linotype" w:hAnsi="Palatino Linotype" w:cs="Arial"/>
                <w:b/>
              </w:rPr>
            </w:pPr>
          </w:p>
          <w:p w:rsidR="008E71B2" w:rsidRDefault="008E71B2" w:rsidP="002F58B5">
            <w:pPr>
              <w:rPr>
                <w:rFonts w:ascii="Palatino Linotype" w:hAnsi="Palatino Linotype" w:cs="Arial"/>
                <w:b/>
              </w:rPr>
            </w:pPr>
          </w:p>
          <w:p w:rsidR="002F58B5" w:rsidRPr="005E7982" w:rsidRDefault="002F58B5" w:rsidP="002F58B5">
            <w:pPr>
              <w:rPr>
                <w:rFonts w:ascii="Palatino Linotype" w:hAnsi="Palatino Linotype" w:cs="Arial"/>
                <w:b/>
              </w:rPr>
            </w:pPr>
          </w:p>
          <w:p w:rsidR="008E71B2" w:rsidRPr="005E7982" w:rsidRDefault="008E71B2" w:rsidP="00B93CFE">
            <w:pPr>
              <w:jc w:val="center"/>
              <w:rPr>
                <w:rFonts w:ascii="Palatino Linotype" w:hAnsi="Palatino Linotype" w:cs="Arial"/>
                <w:b/>
              </w:rPr>
            </w:pPr>
            <w:r w:rsidRPr="005E7982">
              <w:rPr>
                <w:rFonts w:ascii="Palatino Linotype" w:hAnsi="Palatino Linotype" w:cs="Arial"/>
                <w:b/>
              </w:rPr>
              <w:t>Zulema Martínez Sánchez</w:t>
            </w:r>
          </w:p>
          <w:p w:rsidR="008E71B2" w:rsidRPr="005E7982" w:rsidRDefault="008E71B2" w:rsidP="00B93CFE">
            <w:pPr>
              <w:jc w:val="center"/>
              <w:rPr>
                <w:rFonts w:ascii="Palatino Linotype" w:hAnsi="Palatino Linotype" w:cs="Arial"/>
                <w:b/>
              </w:rPr>
            </w:pPr>
            <w:r w:rsidRPr="005E7982">
              <w:rPr>
                <w:rFonts w:ascii="Palatino Linotype" w:hAnsi="Palatino Linotype" w:cs="Arial"/>
              </w:rPr>
              <w:t>Comisionada Presidenta</w:t>
            </w:r>
          </w:p>
          <w:p w:rsidR="008E71B2" w:rsidRPr="005E7982" w:rsidRDefault="008E71B2" w:rsidP="00B93CFE">
            <w:pPr>
              <w:jc w:val="center"/>
              <w:rPr>
                <w:rFonts w:ascii="Palatino Linotype" w:hAnsi="Palatino Linotype" w:cs="Arial"/>
                <w:b/>
              </w:rPr>
            </w:pPr>
            <w:r w:rsidRPr="005E7982">
              <w:rPr>
                <w:rFonts w:ascii="Palatino Linotype" w:hAnsi="Palatino Linotype" w:cs="Arial"/>
                <w:b/>
              </w:rPr>
              <w:t xml:space="preserve">(RÚBRICA) </w:t>
            </w:r>
          </w:p>
        </w:tc>
      </w:tr>
      <w:tr w:rsidR="008E71B2" w:rsidRPr="005E7982" w:rsidTr="00B93CFE">
        <w:trPr>
          <w:jc w:val="center"/>
        </w:trPr>
        <w:tc>
          <w:tcPr>
            <w:tcW w:w="5182" w:type="dxa"/>
          </w:tcPr>
          <w:p w:rsidR="008E71B2" w:rsidRDefault="008E71B2" w:rsidP="00B93CFE">
            <w:pPr>
              <w:jc w:val="center"/>
              <w:rPr>
                <w:rFonts w:ascii="Palatino Linotype" w:hAnsi="Palatino Linotype" w:cs="Arial"/>
                <w:b/>
              </w:rPr>
            </w:pPr>
          </w:p>
          <w:p w:rsidR="008E71B2" w:rsidRDefault="008E71B2" w:rsidP="00B93CFE">
            <w:pPr>
              <w:jc w:val="center"/>
              <w:rPr>
                <w:rFonts w:ascii="Palatino Linotype" w:hAnsi="Palatino Linotype" w:cs="Arial"/>
                <w:b/>
              </w:rPr>
            </w:pPr>
          </w:p>
          <w:p w:rsidR="008E71B2" w:rsidRDefault="008E71B2" w:rsidP="002F58B5">
            <w:pPr>
              <w:rPr>
                <w:rFonts w:ascii="Palatino Linotype" w:hAnsi="Palatino Linotype" w:cs="Arial"/>
                <w:b/>
              </w:rPr>
            </w:pPr>
          </w:p>
          <w:p w:rsidR="002F58B5" w:rsidRPr="005E7982" w:rsidRDefault="002F58B5" w:rsidP="002F58B5">
            <w:pPr>
              <w:rPr>
                <w:rFonts w:ascii="Palatino Linotype" w:hAnsi="Palatino Linotype" w:cs="Arial"/>
                <w:b/>
              </w:rPr>
            </w:pPr>
          </w:p>
          <w:p w:rsidR="008E71B2" w:rsidRPr="005E7982" w:rsidRDefault="008E71B2" w:rsidP="00B93CFE">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8E71B2" w:rsidRPr="005E7982" w:rsidRDefault="008E71B2" w:rsidP="00B93CFE">
            <w:pPr>
              <w:jc w:val="center"/>
              <w:rPr>
                <w:rFonts w:ascii="Palatino Linotype" w:hAnsi="Palatino Linotype" w:cs="Arial"/>
              </w:rPr>
            </w:pPr>
            <w:r w:rsidRPr="005E7982">
              <w:rPr>
                <w:rFonts w:ascii="Palatino Linotype" w:hAnsi="Palatino Linotype" w:cs="Arial"/>
              </w:rPr>
              <w:t>Comisionada</w:t>
            </w:r>
          </w:p>
          <w:p w:rsidR="008E71B2" w:rsidRPr="005E7982" w:rsidRDefault="008E71B2" w:rsidP="00B93CFE">
            <w:pPr>
              <w:jc w:val="center"/>
              <w:rPr>
                <w:rFonts w:ascii="Palatino Linotype" w:hAnsi="Palatino Linotype" w:cs="Arial"/>
                <w:b/>
              </w:rPr>
            </w:pPr>
            <w:r w:rsidRPr="005E7982">
              <w:rPr>
                <w:rFonts w:ascii="Palatino Linotype" w:hAnsi="Palatino Linotype" w:cs="Arial"/>
                <w:b/>
              </w:rPr>
              <w:t>(RÚBRICA)</w:t>
            </w:r>
          </w:p>
        </w:tc>
        <w:tc>
          <w:tcPr>
            <w:tcW w:w="5183" w:type="dxa"/>
          </w:tcPr>
          <w:p w:rsidR="008E71B2" w:rsidRDefault="008E71B2" w:rsidP="00B93CFE">
            <w:pPr>
              <w:jc w:val="center"/>
              <w:rPr>
                <w:rFonts w:ascii="Palatino Linotype" w:hAnsi="Palatino Linotype" w:cs="Arial"/>
                <w:b/>
              </w:rPr>
            </w:pPr>
          </w:p>
          <w:p w:rsidR="008E71B2" w:rsidRDefault="008E71B2" w:rsidP="00B93CFE">
            <w:pPr>
              <w:jc w:val="center"/>
              <w:rPr>
                <w:rFonts w:ascii="Palatino Linotype" w:hAnsi="Palatino Linotype" w:cs="Arial"/>
                <w:b/>
              </w:rPr>
            </w:pPr>
          </w:p>
          <w:p w:rsidR="008E71B2" w:rsidRDefault="008E71B2" w:rsidP="002F58B5">
            <w:pPr>
              <w:rPr>
                <w:rFonts w:ascii="Palatino Linotype" w:hAnsi="Palatino Linotype" w:cs="Arial"/>
                <w:b/>
              </w:rPr>
            </w:pPr>
          </w:p>
          <w:p w:rsidR="002F58B5" w:rsidRPr="005E7982" w:rsidRDefault="002F58B5" w:rsidP="002F58B5">
            <w:pPr>
              <w:rPr>
                <w:rFonts w:ascii="Palatino Linotype" w:hAnsi="Palatino Linotype" w:cs="Arial"/>
                <w:b/>
              </w:rPr>
            </w:pPr>
          </w:p>
          <w:p w:rsidR="008E71B2" w:rsidRPr="005E7982" w:rsidRDefault="008E71B2" w:rsidP="00B93CFE">
            <w:pPr>
              <w:jc w:val="center"/>
              <w:rPr>
                <w:rFonts w:ascii="Palatino Linotype" w:hAnsi="Palatino Linotype" w:cs="Arial"/>
                <w:b/>
              </w:rPr>
            </w:pPr>
            <w:r w:rsidRPr="005E7982">
              <w:rPr>
                <w:rFonts w:ascii="Palatino Linotype" w:hAnsi="Palatino Linotype" w:cs="Arial"/>
                <w:b/>
              </w:rPr>
              <w:t>José Guadalupe Luna Hernández</w:t>
            </w:r>
          </w:p>
          <w:p w:rsidR="008E71B2" w:rsidRPr="005E7982" w:rsidRDefault="008E71B2" w:rsidP="00B93CFE">
            <w:pPr>
              <w:jc w:val="center"/>
              <w:rPr>
                <w:rFonts w:ascii="Palatino Linotype" w:hAnsi="Palatino Linotype" w:cs="Arial"/>
              </w:rPr>
            </w:pPr>
            <w:r w:rsidRPr="005E7982">
              <w:rPr>
                <w:rFonts w:ascii="Palatino Linotype" w:hAnsi="Palatino Linotype" w:cs="Arial"/>
              </w:rPr>
              <w:t>Comisionado</w:t>
            </w:r>
          </w:p>
          <w:p w:rsidR="008E71B2" w:rsidRPr="005E7982" w:rsidRDefault="008E71B2" w:rsidP="00B93CFE">
            <w:pPr>
              <w:jc w:val="center"/>
              <w:rPr>
                <w:rFonts w:ascii="Palatino Linotype" w:hAnsi="Palatino Linotype" w:cs="Arial"/>
                <w:b/>
              </w:rPr>
            </w:pPr>
            <w:r w:rsidRPr="005E7982">
              <w:rPr>
                <w:rFonts w:ascii="Palatino Linotype" w:hAnsi="Palatino Linotype" w:cs="Arial"/>
                <w:b/>
              </w:rPr>
              <w:t>(RÚBRICA)</w:t>
            </w:r>
          </w:p>
        </w:tc>
      </w:tr>
      <w:tr w:rsidR="008E71B2" w:rsidRPr="005E7982" w:rsidTr="00B93CFE">
        <w:trPr>
          <w:jc w:val="center"/>
        </w:trPr>
        <w:tc>
          <w:tcPr>
            <w:tcW w:w="5182" w:type="dxa"/>
          </w:tcPr>
          <w:p w:rsidR="008E71B2" w:rsidRDefault="008E71B2" w:rsidP="00B93CFE">
            <w:pPr>
              <w:jc w:val="center"/>
              <w:rPr>
                <w:rFonts w:ascii="Palatino Linotype" w:hAnsi="Palatino Linotype" w:cs="Arial"/>
                <w:b/>
              </w:rPr>
            </w:pPr>
          </w:p>
          <w:p w:rsidR="008E71B2" w:rsidRDefault="008E71B2" w:rsidP="00B93CFE">
            <w:pPr>
              <w:jc w:val="center"/>
              <w:rPr>
                <w:rFonts w:ascii="Palatino Linotype" w:hAnsi="Palatino Linotype" w:cs="Arial"/>
                <w:b/>
              </w:rPr>
            </w:pPr>
          </w:p>
          <w:p w:rsidR="008E71B2" w:rsidRDefault="008E71B2" w:rsidP="00B93CFE">
            <w:pPr>
              <w:jc w:val="center"/>
              <w:rPr>
                <w:rFonts w:ascii="Palatino Linotype" w:hAnsi="Palatino Linotype" w:cs="Arial"/>
                <w:b/>
              </w:rPr>
            </w:pPr>
          </w:p>
          <w:p w:rsidR="008E71B2" w:rsidRDefault="008E71B2" w:rsidP="002F58B5">
            <w:pPr>
              <w:rPr>
                <w:rFonts w:ascii="Palatino Linotype" w:hAnsi="Palatino Linotype" w:cs="Arial"/>
                <w:b/>
              </w:rPr>
            </w:pPr>
          </w:p>
          <w:p w:rsidR="002F58B5" w:rsidRPr="005E7982" w:rsidRDefault="002F58B5" w:rsidP="002F58B5">
            <w:pPr>
              <w:rPr>
                <w:rFonts w:ascii="Palatino Linotype" w:hAnsi="Palatino Linotype" w:cs="Arial"/>
                <w:b/>
              </w:rPr>
            </w:pPr>
          </w:p>
          <w:p w:rsidR="008E71B2" w:rsidRPr="005E7982" w:rsidRDefault="008E71B2" w:rsidP="00B93CFE">
            <w:pPr>
              <w:jc w:val="center"/>
              <w:rPr>
                <w:rFonts w:ascii="Palatino Linotype" w:hAnsi="Palatino Linotype" w:cs="Arial"/>
                <w:b/>
              </w:rPr>
            </w:pPr>
            <w:r w:rsidRPr="005E7982">
              <w:rPr>
                <w:rFonts w:ascii="Palatino Linotype" w:hAnsi="Palatino Linotype" w:cs="Arial"/>
                <w:b/>
              </w:rPr>
              <w:t>Javier Martínez Cruz</w:t>
            </w:r>
          </w:p>
          <w:p w:rsidR="008E71B2" w:rsidRPr="005E7982" w:rsidRDefault="008E71B2" w:rsidP="00B93CFE">
            <w:pPr>
              <w:jc w:val="center"/>
              <w:rPr>
                <w:rFonts w:ascii="Palatino Linotype" w:hAnsi="Palatino Linotype" w:cs="Arial"/>
              </w:rPr>
            </w:pPr>
            <w:r w:rsidRPr="005E7982">
              <w:rPr>
                <w:rFonts w:ascii="Palatino Linotype" w:hAnsi="Palatino Linotype" w:cs="Arial"/>
              </w:rPr>
              <w:t>Comisionado</w:t>
            </w:r>
          </w:p>
          <w:p w:rsidR="008E71B2" w:rsidRPr="005E7982" w:rsidRDefault="002F58B5" w:rsidP="00B93CFE">
            <w:pPr>
              <w:jc w:val="center"/>
              <w:rPr>
                <w:rFonts w:ascii="Palatino Linotype" w:hAnsi="Palatino Linotype" w:cs="Aria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c>
          <w:tcPr>
            <w:tcW w:w="5183" w:type="dxa"/>
          </w:tcPr>
          <w:p w:rsidR="008E71B2" w:rsidRDefault="008E71B2" w:rsidP="00B93CFE">
            <w:pPr>
              <w:jc w:val="center"/>
              <w:rPr>
                <w:rFonts w:ascii="Palatino Linotype" w:hAnsi="Palatino Linotype" w:cs="Arial"/>
                <w:b/>
              </w:rPr>
            </w:pPr>
          </w:p>
          <w:p w:rsidR="008E71B2" w:rsidRDefault="008E71B2" w:rsidP="00B93CFE">
            <w:pPr>
              <w:jc w:val="center"/>
              <w:rPr>
                <w:rFonts w:ascii="Palatino Linotype" w:hAnsi="Palatino Linotype" w:cs="Arial"/>
                <w:b/>
              </w:rPr>
            </w:pPr>
          </w:p>
          <w:p w:rsidR="008E71B2" w:rsidRDefault="008E71B2" w:rsidP="00B93CFE">
            <w:pPr>
              <w:jc w:val="center"/>
              <w:rPr>
                <w:rFonts w:ascii="Palatino Linotype" w:hAnsi="Palatino Linotype" w:cs="Arial"/>
                <w:b/>
              </w:rPr>
            </w:pPr>
          </w:p>
          <w:p w:rsidR="008E71B2" w:rsidRDefault="008E71B2" w:rsidP="002F58B5">
            <w:pPr>
              <w:rPr>
                <w:rFonts w:ascii="Palatino Linotype" w:hAnsi="Palatino Linotype" w:cs="Arial"/>
                <w:b/>
              </w:rPr>
            </w:pPr>
          </w:p>
          <w:p w:rsidR="002F58B5" w:rsidRPr="005E7982" w:rsidRDefault="002F58B5" w:rsidP="002F58B5">
            <w:pPr>
              <w:rPr>
                <w:rFonts w:ascii="Palatino Linotype" w:hAnsi="Palatino Linotype" w:cs="Arial"/>
                <w:b/>
              </w:rPr>
            </w:pPr>
          </w:p>
          <w:p w:rsidR="008E71B2" w:rsidRPr="005E7982" w:rsidRDefault="008E71B2" w:rsidP="00B93CFE">
            <w:pPr>
              <w:jc w:val="center"/>
              <w:rPr>
                <w:rFonts w:ascii="Palatino Linotype" w:hAnsi="Palatino Linotype" w:cs="Arial"/>
                <w:b/>
              </w:rPr>
            </w:pPr>
            <w:r w:rsidRPr="005E7982">
              <w:rPr>
                <w:rFonts w:ascii="Palatino Linotype" w:hAnsi="Palatino Linotype" w:cs="Arial"/>
                <w:b/>
              </w:rPr>
              <w:t>Luis Gustavo Parra Noriega</w:t>
            </w:r>
          </w:p>
          <w:p w:rsidR="008E71B2" w:rsidRPr="005E7982" w:rsidRDefault="008E71B2" w:rsidP="00B93CFE">
            <w:pPr>
              <w:jc w:val="center"/>
              <w:rPr>
                <w:rFonts w:ascii="Palatino Linotype" w:hAnsi="Palatino Linotype" w:cs="Arial"/>
              </w:rPr>
            </w:pPr>
            <w:r w:rsidRPr="005E7982">
              <w:rPr>
                <w:rFonts w:ascii="Palatino Linotype" w:hAnsi="Palatino Linotype" w:cs="Arial"/>
              </w:rPr>
              <w:t>Comisionado</w:t>
            </w:r>
          </w:p>
          <w:p w:rsidR="008E71B2" w:rsidRPr="005E7982" w:rsidRDefault="002F58B5" w:rsidP="00B93CFE">
            <w:pPr>
              <w:jc w:val="center"/>
              <w:rPr>
                <w:rFonts w:ascii="Palatino Linotype" w:hAnsi="Palatino Linotype" w:cs="Arial"/>
                <w:b/>
              </w:rPr>
            </w:pPr>
            <w:r>
              <w:rPr>
                <w:rFonts w:ascii="Palatino Linotype" w:hAnsi="Palatino Linotype" w:cs="Arial"/>
                <w:b/>
                <w:lang w:val="es-ES_tradnl"/>
              </w:rPr>
              <w:t>(Ausencia Justificada</w:t>
            </w:r>
            <w:r w:rsidRPr="00842015">
              <w:rPr>
                <w:rFonts w:ascii="Palatino Linotype" w:hAnsi="Palatino Linotype" w:cs="Arial"/>
                <w:b/>
                <w:lang w:val="es-ES_tradnl"/>
              </w:rPr>
              <w:t>)</w:t>
            </w:r>
          </w:p>
        </w:tc>
      </w:tr>
      <w:tr w:rsidR="008E71B2" w:rsidRPr="005E7982" w:rsidTr="00B93CFE">
        <w:trPr>
          <w:jc w:val="center"/>
        </w:trPr>
        <w:tc>
          <w:tcPr>
            <w:tcW w:w="10365" w:type="dxa"/>
            <w:gridSpan w:val="2"/>
          </w:tcPr>
          <w:p w:rsidR="008E71B2" w:rsidRDefault="008E71B2" w:rsidP="00B93CFE">
            <w:pPr>
              <w:jc w:val="center"/>
              <w:rPr>
                <w:rFonts w:ascii="Palatino Linotype" w:hAnsi="Palatino Linotype" w:cs="Arial"/>
                <w:b/>
              </w:rPr>
            </w:pPr>
          </w:p>
          <w:p w:rsidR="008E71B2" w:rsidRDefault="008E71B2" w:rsidP="00B93CFE">
            <w:pPr>
              <w:jc w:val="center"/>
              <w:rPr>
                <w:rFonts w:ascii="Palatino Linotype" w:hAnsi="Palatino Linotype" w:cs="Arial"/>
                <w:b/>
              </w:rPr>
            </w:pPr>
          </w:p>
          <w:p w:rsidR="008E71B2" w:rsidRDefault="008E71B2" w:rsidP="002F58B5">
            <w:pPr>
              <w:rPr>
                <w:rFonts w:ascii="Palatino Linotype" w:hAnsi="Palatino Linotype" w:cs="Arial"/>
                <w:b/>
              </w:rPr>
            </w:pPr>
          </w:p>
          <w:p w:rsidR="002F58B5" w:rsidRPr="005E7982" w:rsidRDefault="002F58B5" w:rsidP="002F58B5">
            <w:pPr>
              <w:rPr>
                <w:rFonts w:ascii="Palatino Linotype" w:hAnsi="Palatino Linotype" w:cs="Arial"/>
                <w:b/>
              </w:rPr>
            </w:pPr>
          </w:p>
          <w:p w:rsidR="008E71B2" w:rsidRPr="005E7982" w:rsidRDefault="008E71B2" w:rsidP="00B93CFE">
            <w:pPr>
              <w:jc w:val="center"/>
              <w:rPr>
                <w:rFonts w:ascii="Palatino Linotype" w:hAnsi="Palatino Linotype" w:cs="Arial"/>
                <w:b/>
              </w:rPr>
            </w:pPr>
            <w:r w:rsidRPr="005E7982">
              <w:rPr>
                <w:rFonts w:ascii="Palatino Linotype" w:hAnsi="Palatino Linotype" w:cs="Arial"/>
                <w:b/>
              </w:rPr>
              <w:t>Alexis Tapia Ramírez</w:t>
            </w:r>
          </w:p>
          <w:p w:rsidR="008E71B2" w:rsidRPr="005E7982" w:rsidRDefault="008E71B2" w:rsidP="00B93CFE">
            <w:pPr>
              <w:jc w:val="center"/>
              <w:rPr>
                <w:rFonts w:ascii="Palatino Linotype" w:hAnsi="Palatino Linotype" w:cs="Arial"/>
              </w:rPr>
            </w:pPr>
            <w:r w:rsidRPr="005E7982">
              <w:rPr>
                <w:rFonts w:ascii="Palatino Linotype" w:hAnsi="Palatino Linotype" w:cs="Arial"/>
              </w:rPr>
              <w:t>Secretario Técnico del Pleno</w:t>
            </w:r>
          </w:p>
          <w:p w:rsidR="008E71B2" w:rsidRPr="005E7982" w:rsidRDefault="008E71B2" w:rsidP="00B93CFE">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8E71B2" w:rsidRDefault="008E71B2" w:rsidP="008E71B2">
      <w:pPr>
        <w:jc w:val="both"/>
        <w:rPr>
          <w:rFonts w:ascii="Palatino Linotype" w:hAnsi="Palatino Linotype" w:cs="Arial"/>
          <w:sz w:val="20"/>
        </w:rPr>
      </w:pPr>
    </w:p>
    <w:p w:rsidR="008E71B2" w:rsidRPr="005E7982" w:rsidRDefault="008E71B2"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2F58B5" w:rsidRDefault="002F58B5" w:rsidP="008E71B2">
      <w:pPr>
        <w:jc w:val="both"/>
        <w:rPr>
          <w:rFonts w:ascii="Palatino Linotype" w:hAnsi="Palatino Linotype" w:cs="Arial"/>
          <w:sz w:val="20"/>
        </w:rPr>
      </w:pPr>
    </w:p>
    <w:p w:rsidR="008E71B2" w:rsidRPr="002F58B5" w:rsidRDefault="008E71B2" w:rsidP="008E71B2">
      <w:pPr>
        <w:jc w:val="both"/>
        <w:rPr>
          <w:rFonts w:ascii="Palatino Linotype" w:hAnsi="Palatino Linotype" w:cs="Arial"/>
          <w:sz w:val="22"/>
          <w:szCs w:val="22"/>
          <w:lang w:val="es-ES_tradnl"/>
        </w:rPr>
      </w:pPr>
      <w:r w:rsidRPr="002F58B5">
        <w:rPr>
          <w:rFonts w:ascii="Palatino Linotype" w:hAnsi="Palatino Linotype" w:cs="Arial"/>
          <w:sz w:val="22"/>
          <w:szCs w:val="22"/>
        </w:rPr>
        <w:t xml:space="preserve">Esta hoja corresponde a la resolución de fecha </w:t>
      </w:r>
      <w:r w:rsidR="002F58B5">
        <w:rPr>
          <w:rFonts w:ascii="Palatino Linotype" w:hAnsi="Palatino Linotype" w:cs="Arial"/>
          <w:sz w:val="22"/>
          <w:szCs w:val="22"/>
        </w:rPr>
        <w:t xml:space="preserve">veinticuatro </w:t>
      </w:r>
      <w:r w:rsidRPr="002F58B5">
        <w:rPr>
          <w:rFonts w:ascii="Palatino Linotype" w:hAnsi="Palatino Linotype" w:cs="Arial"/>
          <w:sz w:val="22"/>
          <w:szCs w:val="22"/>
        </w:rPr>
        <w:t xml:space="preserve">de octubre de dos mil diecinueve, emitida en el recurso de revisión </w:t>
      </w:r>
      <w:r w:rsidR="000B6D30" w:rsidRPr="002F58B5">
        <w:rPr>
          <w:rFonts w:ascii="Palatino Linotype" w:hAnsi="Palatino Linotype" w:cs="Arial"/>
          <w:sz w:val="22"/>
          <w:szCs w:val="22"/>
        </w:rPr>
        <w:t>066</w:t>
      </w:r>
      <w:r w:rsidRPr="002F58B5">
        <w:rPr>
          <w:rFonts w:ascii="Palatino Linotype" w:hAnsi="Palatino Linotype" w:cs="Arial"/>
          <w:sz w:val="22"/>
          <w:szCs w:val="22"/>
        </w:rPr>
        <w:t>2</w:t>
      </w:r>
      <w:r w:rsidR="000B6D30" w:rsidRPr="002F58B5">
        <w:rPr>
          <w:rFonts w:ascii="Palatino Linotype" w:hAnsi="Palatino Linotype" w:cs="Arial"/>
          <w:sz w:val="22"/>
          <w:szCs w:val="22"/>
        </w:rPr>
        <w:t>7</w:t>
      </w:r>
      <w:r w:rsidRPr="002F58B5">
        <w:rPr>
          <w:rFonts w:ascii="Palatino Linotype" w:hAnsi="Palatino Linotype" w:cs="Arial"/>
          <w:sz w:val="22"/>
          <w:szCs w:val="22"/>
        </w:rPr>
        <w:t>/INFOEM/IP/RR/2019.</w:t>
      </w:r>
    </w:p>
    <w:p w:rsidR="00C23B43" w:rsidRPr="002F58B5" w:rsidRDefault="008E71B2" w:rsidP="00411E52">
      <w:pPr>
        <w:pStyle w:val="Piedepgina"/>
        <w:rPr>
          <w:sz w:val="22"/>
          <w:szCs w:val="22"/>
        </w:rPr>
      </w:pPr>
      <w:r w:rsidRPr="002F58B5">
        <w:rPr>
          <w:rFonts w:ascii="Palatino Linotype" w:hAnsi="Palatino Linotype" w:cs="Arial"/>
          <w:sz w:val="22"/>
          <w:szCs w:val="22"/>
        </w:rPr>
        <w:t>YSM/AMV</w:t>
      </w:r>
    </w:p>
    <w:sectPr w:rsidR="00C23B43" w:rsidRPr="002F58B5" w:rsidSect="00B93CFE">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3B8" w:rsidRDefault="00FF63B8" w:rsidP="008E71B2">
      <w:r>
        <w:separator/>
      </w:r>
    </w:p>
  </w:endnote>
  <w:endnote w:type="continuationSeparator" w:id="0">
    <w:p w:rsidR="00FF63B8" w:rsidRDefault="00FF63B8" w:rsidP="008E7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CFE" w:rsidRPr="00A2780F" w:rsidRDefault="00B93CFE" w:rsidP="00B93CFE">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F58B5">
      <w:rPr>
        <w:rFonts w:ascii="Arial" w:hAnsi="Arial" w:cs="Arial"/>
        <w:b/>
        <w:bCs/>
        <w:noProof/>
        <w:sz w:val="20"/>
        <w:szCs w:val="20"/>
      </w:rPr>
      <w:t>13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F58B5">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CFE" w:rsidRDefault="00B93CFE" w:rsidP="00B93CFE">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F58B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F58B5">
      <w:rPr>
        <w:rFonts w:ascii="Arial" w:hAnsi="Arial" w:cs="Arial"/>
        <w:b/>
        <w:bCs/>
        <w:noProof/>
        <w:sz w:val="20"/>
        <w:szCs w:val="20"/>
      </w:rPr>
      <w:t>30</w:t>
    </w:r>
    <w:r w:rsidRPr="00986599">
      <w:rPr>
        <w:rFonts w:ascii="Arial" w:hAnsi="Arial" w:cs="Arial"/>
        <w:b/>
        <w:bCs/>
        <w:sz w:val="20"/>
        <w:szCs w:val="20"/>
      </w:rPr>
      <w:fldChar w:fldCharType="end"/>
    </w:r>
  </w:p>
  <w:p w:rsidR="00B93CFE" w:rsidRPr="00070856" w:rsidRDefault="00B93CFE" w:rsidP="00B93CFE">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3B8" w:rsidRDefault="00FF63B8" w:rsidP="008E71B2">
      <w:r>
        <w:separator/>
      </w:r>
    </w:p>
  </w:footnote>
  <w:footnote w:type="continuationSeparator" w:id="0">
    <w:p w:rsidR="00FF63B8" w:rsidRDefault="00FF63B8" w:rsidP="008E7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CFE" w:rsidRPr="00BD798B" w:rsidRDefault="00B93CFE" w:rsidP="00B93CFE">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B93CFE" w:rsidRPr="007769F3" w:rsidTr="00B93CFE">
      <w:tc>
        <w:tcPr>
          <w:tcW w:w="3686" w:type="dxa"/>
        </w:tcPr>
        <w:p w:rsidR="00B93CFE" w:rsidRPr="007769F3" w:rsidRDefault="00B93CFE" w:rsidP="00B93CFE">
          <w:pPr>
            <w:rPr>
              <w:rFonts w:ascii="Palatino Linotype" w:hAnsi="Palatino Linotype"/>
              <w:b/>
              <w:sz w:val="22"/>
              <w:szCs w:val="22"/>
              <w:lang w:val="es-ES_tradnl"/>
            </w:rPr>
          </w:pPr>
        </w:p>
      </w:tc>
      <w:tc>
        <w:tcPr>
          <w:tcW w:w="2693" w:type="dxa"/>
          <w:shd w:val="clear" w:color="auto" w:fill="auto"/>
        </w:tcPr>
        <w:p w:rsidR="00B93CFE" w:rsidRPr="007769F3" w:rsidRDefault="00B93CFE" w:rsidP="00B93CFE">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B93CFE" w:rsidRPr="007769F3" w:rsidRDefault="00B93CFE" w:rsidP="00B93CFE">
          <w:pPr>
            <w:jc w:val="both"/>
            <w:rPr>
              <w:rFonts w:ascii="Palatino Linotype" w:hAnsi="Palatino Linotype"/>
              <w:b/>
              <w:sz w:val="22"/>
              <w:szCs w:val="22"/>
              <w:lang w:val="es-ES_tradnl"/>
            </w:rPr>
          </w:pPr>
          <w:r>
            <w:rPr>
              <w:rFonts w:ascii="Palatino Linotype" w:hAnsi="Palatino Linotype"/>
              <w:b/>
              <w:sz w:val="22"/>
              <w:szCs w:val="22"/>
              <w:lang w:val="es-ES_tradnl"/>
            </w:rPr>
            <w:t>06627/INFOEM/IP/RR/2019</w:t>
          </w:r>
        </w:p>
      </w:tc>
    </w:tr>
    <w:tr w:rsidR="00B93CFE" w:rsidRPr="007769F3" w:rsidTr="00B93CFE">
      <w:tc>
        <w:tcPr>
          <w:tcW w:w="3686" w:type="dxa"/>
        </w:tcPr>
        <w:p w:rsidR="00B93CFE" w:rsidRPr="007769F3" w:rsidRDefault="00B93CFE" w:rsidP="00B93CFE">
          <w:pPr>
            <w:rPr>
              <w:rFonts w:ascii="Palatino Linotype" w:hAnsi="Palatino Linotype"/>
              <w:b/>
              <w:sz w:val="22"/>
              <w:szCs w:val="22"/>
              <w:lang w:val="es-ES_tradnl"/>
            </w:rPr>
          </w:pPr>
        </w:p>
      </w:tc>
      <w:tc>
        <w:tcPr>
          <w:tcW w:w="2693" w:type="dxa"/>
          <w:shd w:val="clear" w:color="auto" w:fill="auto"/>
        </w:tcPr>
        <w:p w:rsidR="00B93CFE" w:rsidRPr="007769F3" w:rsidRDefault="00B93CFE" w:rsidP="00B93CF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B93CFE" w:rsidRPr="007769F3" w:rsidRDefault="00B93CFE" w:rsidP="008E71B2">
          <w:pPr>
            <w:ind w:right="34"/>
            <w:jc w:val="both"/>
            <w:rPr>
              <w:rFonts w:ascii="Palatino Linotype" w:hAnsi="Palatino Linotype"/>
              <w:b/>
              <w:sz w:val="22"/>
              <w:szCs w:val="22"/>
            </w:rPr>
          </w:pPr>
          <w:r>
            <w:rPr>
              <w:rFonts w:ascii="Palatino Linotype" w:hAnsi="Palatino Linotype"/>
              <w:b/>
              <w:sz w:val="22"/>
              <w:szCs w:val="22"/>
            </w:rPr>
            <w:t>Secretaría de Finanzas</w:t>
          </w:r>
        </w:p>
      </w:tc>
    </w:tr>
    <w:tr w:rsidR="00B93CFE" w:rsidRPr="007769F3" w:rsidTr="00B93CFE">
      <w:trPr>
        <w:trHeight w:val="228"/>
      </w:trPr>
      <w:tc>
        <w:tcPr>
          <w:tcW w:w="3686" w:type="dxa"/>
        </w:tcPr>
        <w:p w:rsidR="00B93CFE" w:rsidRPr="007769F3" w:rsidRDefault="00B93CFE" w:rsidP="00B93CFE">
          <w:pPr>
            <w:rPr>
              <w:rFonts w:ascii="Palatino Linotype" w:hAnsi="Palatino Linotype"/>
              <w:b/>
              <w:sz w:val="22"/>
              <w:szCs w:val="22"/>
              <w:lang w:val="es-ES_tradnl"/>
            </w:rPr>
          </w:pPr>
        </w:p>
      </w:tc>
      <w:tc>
        <w:tcPr>
          <w:tcW w:w="2693" w:type="dxa"/>
          <w:shd w:val="clear" w:color="auto" w:fill="auto"/>
        </w:tcPr>
        <w:p w:rsidR="00B93CFE" w:rsidRPr="007769F3" w:rsidRDefault="00B93CFE" w:rsidP="00B93CF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B93CFE" w:rsidRPr="007769F3" w:rsidRDefault="00B93CFE" w:rsidP="00B93CFE">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B93CFE" w:rsidRPr="002F58B5" w:rsidRDefault="00B93CFE" w:rsidP="00B93CFE">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CFE" w:rsidRPr="00463339" w:rsidRDefault="00B93CFE" w:rsidP="00B93CFE">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B93CFE" w:rsidRPr="008F2CCC" w:rsidTr="00CB1B4C">
      <w:tc>
        <w:tcPr>
          <w:tcW w:w="3970" w:type="dxa"/>
          <w:vMerge w:val="restart"/>
        </w:tcPr>
        <w:p w:rsidR="00B93CFE" w:rsidRPr="008F2CCC" w:rsidRDefault="00B93CFE" w:rsidP="00B93CFE">
          <w:pPr>
            <w:ind w:right="34"/>
            <w:rPr>
              <w:rFonts w:ascii="Palatino Linotype" w:hAnsi="Palatino Linotype"/>
              <w:b/>
              <w:sz w:val="22"/>
              <w:szCs w:val="22"/>
              <w:lang w:val="es-ES_tradnl"/>
            </w:rPr>
          </w:pPr>
        </w:p>
      </w:tc>
      <w:tc>
        <w:tcPr>
          <w:tcW w:w="2551" w:type="dxa"/>
          <w:shd w:val="clear" w:color="auto" w:fill="auto"/>
        </w:tcPr>
        <w:p w:rsidR="00B93CFE" w:rsidRPr="008F2CCC" w:rsidRDefault="00B93CFE" w:rsidP="00B93CF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B93CFE" w:rsidRPr="008F2CCC" w:rsidRDefault="00B93CFE" w:rsidP="00B93CFE">
          <w:pPr>
            <w:jc w:val="both"/>
            <w:rPr>
              <w:rFonts w:ascii="Palatino Linotype" w:hAnsi="Palatino Linotype"/>
              <w:b/>
              <w:sz w:val="22"/>
              <w:szCs w:val="22"/>
              <w:lang w:val="es-ES_tradnl"/>
            </w:rPr>
          </w:pPr>
          <w:r>
            <w:rPr>
              <w:rFonts w:ascii="Palatino Linotype" w:hAnsi="Palatino Linotype"/>
              <w:b/>
              <w:sz w:val="22"/>
              <w:szCs w:val="22"/>
              <w:lang w:val="es-ES_tradnl"/>
            </w:rPr>
            <w:t>06627/INFOEM/IP/RR/2019</w:t>
          </w:r>
        </w:p>
      </w:tc>
    </w:tr>
    <w:tr w:rsidR="00B93CFE" w:rsidRPr="008F2CCC" w:rsidTr="00CB1B4C">
      <w:tc>
        <w:tcPr>
          <w:tcW w:w="3970" w:type="dxa"/>
          <w:vMerge/>
        </w:tcPr>
        <w:p w:rsidR="00B93CFE" w:rsidRPr="008F2CCC" w:rsidRDefault="00B93CFE" w:rsidP="00B93CFE">
          <w:pPr>
            <w:rPr>
              <w:rFonts w:ascii="Palatino Linotype" w:hAnsi="Palatino Linotype"/>
              <w:b/>
              <w:sz w:val="22"/>
              <w:szCs w:val="22"/>
              <w:lang w:val="es-ES_tradnl"/>
            </w:rPr>
          </w:pPr>
        </w:p>
      </w:tc>
      <w:tc>
        <w:tcPr>
          <w:tcW w:w="2551" w:type="dxa"/>
          <w:shd w:val="clear" w:color="auto" w:fill="auto"/>
        </w:tcPr>
        <w:p w:rsidR="00B93CFE" w:rsidRPr="008F2CCC" w:rsidRDefault="00B93CFE" w:rsidP="00B93CF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B93CFE" w:rsidRPr="008F2CCC" w:rsidRDefault="00B93CFE" w:rsidP="008E71B2">
          <w:pPr>
            <w:ind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 </w:t>
          </w:r>
        </w:p>
      </w:tc>
    </w:tr>
    <w:tr w:rsidR="00B93CFE" w:rsidRPr="008F2CCC" w:rsidTr="00CB1B4C">
      <w:trPr>
        <w:trHeight w:val="228"/>
      </w:trPr>
      <w:tc>
        <w:tcPr>
          <w:tcW w:w="3970" w:type="dxa"/>
          <w:vMerge/>
        </w:tcPr>
        <w:p w:rsidR="00B93CFE" w:rsidRPr="008F2CCC" w:rsidRDefault="00B93CFE" w:rsidP="00B93CFE">
          <w:pPr>
            <w:rPr>
              <w:rFonts w:ascii="Palatino Linotype" w:hAnsi="Palatino Linotype"/>
              <w:b/>
              <w:sz w:val="22"/>
              <w:szCs w:val="22"/>
              <w:lang w:val="es-ES_tradnl"/>
            </w:rPr>
          </w:pPr>
        </w:p>
      </w:tc>
      <w:tc>
        <w:tcPr>
          <w:tcW w:w="2551" w:type="dxa"/>
          <w:shd w:val="clear" w:color="auto" w:fill="auto"/>
        </w:tcPr>
        <w:p w:rsidR="00B93CFE" w:rsidRPr="008F2CCC" w:rsidRDefault="00B93CFE" w:rsidP="00B93CF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B93CFE" w:rsidRPr="004C1DCD" w:rsidRDefault="00B93CFE" w:rsidP="00B93CFE">
          <w:pPr>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B93CFE" w:rsidRPr="008F2CCC" w:rsidTr="00CB1B4C">
      <w:tc>
        <w:tcPr>
          <w:tcW w:w="3970" w:type="dxa"/>
          <w:vMerge/>
        </w:tcPr>
        <w:p w:rsidR="00B93CFE" w:rsidRPr="008F2CCC" w:rsidRDefault="00B93CFE" w:rsidP="00B93CFE">
          <w:pPr>
            <w:rPr>
              <w:rFonts w:ascii="Palatino Linotype" w:hAnsi="Palatino Linotype"/>
              <w:b/>
              <w:sz w:val="22"/>
              <w:szCs w:val="22"/>
              <w:lang w:val="es-ES_tradnl"/>
            </w:rPr>
          </w:pPr>
        </w:p>
      </w:tc>
      <w:tc>
        <w:tcPr>
          <w:tcW w:w="2551" w:type="dxa"/>
          <w:shd w:val="clear" w:color="auto" w:fill="auto"/>
        </w:tcPr>
        <w:p w:rsidR="00B93CFE" w:rsidRPr="008F2CCC" w:rsidRDefault="00B93CFE" w:rsidP="00B93CF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B93CFE" w:rsidRPr="008F2CCC" w:rsidRDefault="00B93CFE" w:rsidP="00B93CF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B93CFE" w:rsidRPr="002F58B5" w:rsidRDefault="00B93CFE" w:rsidP="00B93CFE">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EF4054"/>
    <w:multiLevelType w:val="hybridMultilevel"/>
    <w:tmpl w:val="7BE0A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1B2"/>
    <w:rsid w:val="000B6D30"/>
    <w:rsid w:val="00136C4B"/>
    <w:rsid w:val="002032B9"/>
    <w:rsid w:val="002077BE"/>
    <w:rsid w:val="002F58B5"/>
    <w:rsid w:val="0035320B"/>
    <w:rsid w:val="00411E52"/>
    <w:rsid w:val="0047454E"/>
    <w:rsid w:val="005A7C60"/>
    <w:rsid w:val="00601BF3"/>
    <w:rsid w:val="006844C2"/>
    <w:rsid w:val="006D5CDF"/>
    <w:rsid w:val="00724EDD"/>
    <w:rsid w:val="00757D87"/>
    <w:rsid w:val="00772987"/>
    <w:rsid w:val="00893C27"/>
    <w:rsid w:val="008B4E08"/>
    <w:rsid w:val="008E33BD"/>
    <w:rsid w:val="008E71B2"/>
    <w:rsid w:val="00954976"/>
    <w:rsid w:val="009F438A"/>
    <w:rsid w:val="00A763FE"/>
    <w:rsid w:val="00AC6579"/>
    <w:rsid w:val="00B82468"/>
    <w:rsid w:val="00B93CFE"/>
    <w:rsid w:val="00BB01F4"/>
    <w:rsid w:val="00BB363C"/>
    <w:rsid w:val="00C053F2"/>
    <w:rsid w:val="00C23B43"/>
    <w:rsid w:val="00C52253"/>
    <w:rsid w:val="00C9714C"/>
    <w:rsid w:val="00CB1B4C"/>
    <w:rsid w:val="00DD04A3"/>
    <w:rsid w:val="00F2277E"/>
    <w:rsid w:val="00F47B28"/>
    <w:rsid w:val="00F52722"/>
    <w:rsid w:val="00FA274F"/>
    <w:rsid w:val="00FF63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42C517-D88C-4163-B3CC-D3FBFCB4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1B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71B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E71B2"/>
    <w:rPr>
      <w:rFonts w:eastAsiaTheme="minorEastAsia"/>
      <w:sz w:val="24"/>
      <w:szCs w:val="24"/>
      <w:lang w:val="es-ES_tradnl" w:eastAsia="es-ES"/>
    </w:rPr>
  </w:style>
  <w:style w:type="paragraph" w:styleId="Piedepgina">
    <w:name w:val="footer"/>
    <w:basedOn w:val="Normal"/>
    <w:link w:val="PiedepginaCar"/>
    <w:uiPriority w:val="99"/>
    <w:unhideWhenUsed/>
    <w:rsid w:val="008E71B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E71B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71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71B2"/>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8E71B2"/>
    <w:rPr>
      <w:vertAlign w:val="superscript"/>
    </w:rPr>
  </w:style>
  <w:style w:type="paragraph" w:styleId="Textodeglobo">
    <w:name w:val="Balloon Text"/>
    <w:basedOn w:val="Normal"/>
    <w:link w:val="TextodegloboCar"/>
    <w:uiPriority w:val="99"/>
    <w:semiHidden/>
    <w:unhideWhenUsed/>
    <w:rsid w:val="00411E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1E52"/>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6028</Words>
  <Characters>33154</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3</cp:revision>
  <cp:lastPrinted>2019-10-10T23:41:00Z</cp:lastPrinted>
  <dcterms:created xsi:type="dcterms:W3CDTF">2019-10-17T20:29:00Z</dcterms:created>
  <dcterms:modified xsi:type="dcterms:W3CDTF">2019-10-25T15:32:00Z</dcterms:modified>
</cp:coreProperties>
</file>