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B5" w:rsidRDefault="00BF155C"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ab/>
      </w: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912D3E">
        <w:rPr>
          <w:rFonts w:ascii="Palatino Linotype" w:eastAsia="Times New Roman" w:hAnsi="Palatino Linotype" w:cs="Arial"/>
          <w:color w:val="000000"/>
          <w:sz w:val="24"/>
          <w:szCs w:val="24"/>
          <w:lang w:eastAsia="es-MX"/>
        </w:rPr>
        <w:t>cinco de junio</w:t>
      </w:r>
      <w:r w:rsidR="00F44F06">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B41F58">
        <w:rPr>
          <w:rFonts w:ascii="Palatino Linotype" w:hAnsi="Palatino Linotype" w:cs="Arial"/>
          <w:b/>
          <w:bCs/>
          <w:sz w:val="24"/>
          <w:lang w:eastAsia="es-MX"/>
        </w:rPr>
        <w:t>01890</w:t>
      </w:r>
      <w:r w:rsidR="007E2959" w:rsidRPr="007E2959">
        <w:rPr>
          <w:rFonts w:ascii="Palatino Linotype" w:hAnsi="Palatino Linotype" w:cs="Arial"/>
          <w:b/>
          <w:bCs/>
          <w:sz w:val="24"/>
          <w:lang w:eastAsia="es-MX"/>
        </w:rPr>
        <w:t>/INFOEM/IP/RR/201</w:t>
      </w:r>
      <w:r w:rsidR="008156F6">
        <w:rPr>
          <w:rFonts w:ascii="Palatino Linotype" w:hAnsi="Palatino Linotype" w:cs="Arial"/>
          <w:b/>
          <w:bCs/>
          <w:sz w:val="24"/>
          <w:lang w:eastAsia="es-MX"/>
        </w:rPr>
        <w:t>9</w:t>
      </w:r>
      <w:r>
        <w:rPr>
          <w:rFonts w:ascii="Palatino Linotype" w:hAnsi="Palatino Linotype" w:cs="Arial"/>
          <w:sz w:val="24"/>
        </w:rPr>
        <w:t xml:space="preserve">, </w:t>
      </w:r>
      <w:r w:rsidR="00CD629C">
        <w:rPr>
          <w:rFonts w:ascii="Palatino Linotype" w:hAnsi="Palatino Linotype" w:cs="Arial"/>
          <w:sz w:val="24"/>
        </w:rPr>
        <w:t>interpuesto por 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847B1D">
        <w:rPr>
          <w:rFonts w:ascii="Palatino Linotype" w:hAnsi="Palatino Linotype" w:cs="Arial"/>
          <w:b/>
          <w:szCs w:val="20"/>
        </w:rPr>
        <w:t>xxxxxxx xxxxxx xxxxx</w:t>
      </w:r>
      <w:r w:rsidR="00B41F58" w:rsidRPr="00B41F58">
        <w:rPr>
          <w:rFonts w:ascii="Palatino Linotype" w:hAnsi="Palatino Linotype" w:cs="Arial"/>
          <w:szCs w:val="20"/>
        </w:rPr>
        <w:t xml:space="preserve"> </w:t>
      </w:r>
      <w:r w:rsidRPr="00224181">
        <w:rPr>
          <w:rFonts w:ascii="Palatino Linotype" w:hAnsi="Palatino Linotype" w:cs="Arial"/>
          <w:sz w:val="24"/>
        </w:rPr>
        <w:t xml:space="preserve">en lo sucesivo </w:t>
      </w:r>
      <w:r w:rsidR="009F7948">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B41F58" w:rsidRPr="00B41F58">
        <w:rPr>
          <w:rFonts w:ascii="Palatino Linotype" w:hAnsi="Palatino Linotype" w:cs="Arial"/>
          <w:b/>
          <w:sz w:val="24"/>
          <w:szCs w:val="24"/>
        </w:rPr>
        <w:t>Ayuntamiento de Texcoco</w:t>
      </w:r>
      <w:r w:rsidR="008125ED">
        <w:rPr>
          <w:rFonts w:ascii="Palatino Linotype" w:hAnsi="Palatino Linotype" w:cs="Arial"/>
          <w:b/>
          <w:sz w:val="24"/>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B41F58">
        <w:rPr>
          <w:rFonts w:ascii="Palatino Linotype" w:hAnsi="Palatino Linotype" w:cs="Arial"/>
          <w:sz w:val="24"/>
        </w:rPr>
        <w:t>doce de febrero</w:t>
      </w:r>
      <w:r w:rsidR="00A82CB6">
        <w:rPr>
          <w:rFonts w:ascii="Palatino Linotype" w:hAnsi="Palatino Linotype" w:cs="Arial"/>
          <w:sz w:val="24"/>
        </w:rPr>
        <w:t xml:space="preserve"> de dos mil diecinueve</w:t>
      </w:r>
      <w:r>
        <w:rPr>
          <w:rFonts w:ascii="Palatino Linotype" w:hAnsi="Palatino Linotype" w:cs="Arial"/>
          <w:sz w:val="24"/>
        </w:rPr>
        <w:t xml:space="preserve">, </w:t>
      </w:r>
      <w:r w:rsidR="002606F0">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B41F58" w:rsidRPr="00B41F58">
        <w:rPr>
          <w:rFonts w:ascii="Palatino Linotype" w:hAnsi="Palatino Linotype" w:cs="Arial"/>
          <w:b/>
          <w:sz w:val="24"/>
        </w:rPr>
        <w:t>00018/TEXCOCO/IP/2019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B41F58" w:rsidRPr="00B41F58">
        <w:rPr>
          <w:rFonts w:ascii="Palatino Linotype" w:hAnsi="Palatino Linotype"/>
          <w:i/>
          <w:color w:val="000000"/>
        </w:rPr>
        <w:t xml:space="preserve">A partir del año 2015 hasta la fecha en que se dé respuesta a la presente solicitud de información; solicito los procesos completos y todas las constancias que los integren: De licitación, adjudicación restringida, adjudicación directa, de compra, de adquisición, arrendamiento y comodato respecto de los vehículos al servicio y a nombre del Municipio y Ayuntamiento, debiendo acompañar las facturas que las </w:t>
      </w:r>
      <w:r w:rsidR="00B41F58" w:rsidRPr="00B41F58">
        <w:rPr>
          <w:rFonts w:ascii="Palatino Linotype" w:hAnsi="Palatino Linotype"/>
          <w:i/>
          <w:color w:val="000000"/>
        </w:rPr>
        <w:lastRenderedPageBreak/>
        <w:t>amparen, recibos de pago, reporte de transferencias bancarias, nombre del proveedor, costo total de cada vehículo y su equipamiento; así como las características generales y específicas de cada vehículo: agencia de compra, lote de compra, proveedor, empresa, persona física que las haya vendido, arrendado o prestado al Municipio y Ayuntamiento: señalando de forma enunciativa, pero no limitativa: la marca, modelo, costo factura, impuesto y derechos que se paguen, kilometraje, fotografías de evidencia; especificando a qué unidad administrativa están resguardadas.</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14FDD" w:rsidRDefault="00E15E85" w:rsidP="005658E6">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365366">
        <w:rPr>
          <w:rFonts w:ascii="Palatino Linotype" w:hAnsi="Palatino Linotype" w:cs="Arial"/>
          <w:sz w:val="24"/>
        </w:rPr>
        <w:t xml:space="preserve">dio respuesta a la solicitud de información en fecha </w:t>
      </w:r>
      <w:r w:rsidR="001A7933">
        <w:rPr>
          <w:rFonts w:ascii="Palatino Linotype" w:hAnsi="Palatino Linotype" w:cs="Arial"/>
          <w:sz w:val="24"/>
        </w:rPr>
        <w:t xml:space="preserve">seis </w:t>
      </w:r>
      <w:r w:rsidR="008125ED">
        <w:rPr>
          <w:rFonts w:ascii="Palatino Linotype" w:hAnsi="Palatino Linotype" w:cs="Arial"/>
          <w:sz w:val="24"/>
        </w:rPr>
        <w:t>de marzo</w:t>
      </w:r>
      <w:r w:rsidR="00A82CB6">
        <w:rPr>
          <w:rFonts w:ascii="Palatino Linotype" w:hAnsi="Palatino Linotype" w:cs="Arial"/>
          <w:sz w:val="24"/>
        </w:rPr>
        <w:t xml:space="preserve"> de la presente anualidad, </w:t>
      </w:r>
      <w:r w:rsidR="001A7933">
        <w:rPr>
          <w:rFonts w:ascii="Palatino Linotype" w:hAnsi="Palatino Linotype" w:cs="Arial"/>
          <w:sz w:val="24"/>
        </w:rPr>
        <w:t xml:space="preserve">adjuntando el documento denominado </w:t>
      </w:r>
      <w:r w:rsidR="001A7933" w:rsidRPr="001A7933">
        <w:rPr>
          <w:rFonts w:ascii="Palatino Linotype" w:hAnsi="Palatino Linotype" w:cs="Arial"/>
          <w:sz w:val="24"/>
        </w:rPr>
        <w:t>00018 admo0001.pdf</w:t>
      </w:r>
      <w:r w:rsidR="001A7933">
        <w:rPr>
          <w:rFonts w:ascii="Palatino Linotype" w:hAnsi="Palatino Linotype" w:cs="Arial"/>
          <w:sz w:val="24"/>
        </w:rPr>
        <w:t>, el cual se tiene por reproducido al ser del conocimiento de las partes y en obvio de reproducciones ociosas.</w:t>
      </w:r>
    </w:p>
    <w:p w:rsidR="001A7933" w:rsidRDefault="001A7933" w:rsidP="005658E6">
      <w:pPr>
        <w:spacing w:before="240" w:line="360" w:lineRule="auto"/>
        <w:jc w:val="both"/>
        <w:rPr>
          <w:rFonts w:ascii="Palatino Linotype" w:hAnsi="Palatino Linotype" w:cs="Arial"/>
          <w:sz w:val="24"/>
        </w:rPr>
      </w:pPr>
    </w:p>
    <w:p w:rsidR="001A7933" w:rsidRPr="001A7933" w:rsidRDefault="001A7933" w:rsidP="001A7933">
      <w:pPr>
        <w:spacing w:before="240" w:line="360" w:lineRule="auto"/>
        <w:ind w:left="708"/>
        <w:jc w:val="both"/>
        <w:rPr>
          <w:rFonts w:ascii="Palatino Linotype" w:hAnsi="Palatino Linotype" w:cs="Arial"/>
          <w:sz w:val="24"/>
        </w:rPr>
      </w:pPr>
      <w:r w:rsidRPr="001A7933">
        <w:rPr>
          <w:rFonts w:ascii="Palatino Linotype" w:hAnsi="Palatino Linotype" w:cs="Arial"/>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A7933" w:rsidRPr="001A7933" w:rsidRDefault="001A7933" w:rsidP="001A7933">
      <w:pPr>
        <w:spacing w:before="240" w:line="360" w:lineRule="auto"/>
        <w:ind w:left="708"/>
        <w:jc w:val="both"/>
        <w:rPr>
          <w:rFonts w:ascii="Palatino Linotype" w:hAnsi="Palatino Linotype" w:cs="Arial"/>
          <w:sz w:val="24"/>
        </w:rPr>
      </w:pPr>
      <w:r w:rsidRPr="001A7933">
        <w:rPr>
          <w:rFonts w:ascii="Palatino Linotype" w:hAnsi="Palatino Linotype" w:cs="Arial"/>
          <w:sz w:val="24"/>
        </w:rPr>
        <w:t>POR MEDIO DE LA PRESENTE Y EN RELACIÓN A SU SOLICITUD DE INFORMACIÓN UNA VEZ TURNADA AL ÁREA CORRESPONDIENTE NOS REMITEN LA SIGUIENTE RESPUESTA QUE SE ANEXA A LA PRESENTE EN ARCHIVO PDF</w:t>
      </w:r>
    </w:p>
    <w:p w:rsidR="001A7933" w:rsidRPr="001A7933" w:rsidRDefault="001A7933" w:rsidP="001A7933">
      <w:pPr>
        <w:spacing w:before="240" w:line="360" w:lineRule="auto"/>
        <w:ind w:left="708"/>
        <w:jc w:val="both"/>
        <w:rPr>
          <w:rFonts w:ascii="Palatino Linotype" w:hAnsi="Palatino Linotype" w:cs="Arial"/>
          <w:sz w:val="24"/>
        </w:rPr>
      </w:pPr>
      <w:r w:rsidRPr="001A7933">
        <w:rPr>
          <w:rFonts w:ascii="Palatino Linotype" w:hAnsi="Palatino Linotype" w:cs="Arial"/>
          <w:sz w:val="24"/>
        </w:rPr>
        <w:lastRenderedPageBreak/>
        <w:t>ATENTAMENTE</w:t>
      </w:r>
    </w:p>
    <w:p w:rsidR="001A7933" w:rsidRDefault="001A7933" w:rsidP="001A7933">
      <w:pPr>
        <w:spacing w:before="240" w:line="360" w:lineRule="auto"/>
        <w:ind w:left="708"/>
        <w:jc w:val="both"/>
        <w:rPr>
          <w:rFonts w:ascii="Palatino Linotype" w:hAnsi="Palatino Linotype" w:cs="Arial"/>
          <w:b/>
          <w:sz w:val="24"/>
        </w:rPr>
      </w:pPr>
      <w:r w:rsidRPr="001A7933">
        <w:rPr>
          <w:rFonts w:ascii="Palatino Linotype" w:hAnsi="Palatino Linotype" w:cs="Arial"/>
          <w:sz w:val="24"/>
        </w:rPr>
        <w:t>LISSETH ELENA CEDEÑO PÉREZ</w:t>
      </w:r>
      <w:r w:rsidRPr="001A7933">
        <w:rPr>
          <w:rFonts w:ascii="Palatino Linotype" w:hAnsi="Palatino Linotype" w:cs="Arial"/>
          <w:b/>
          <w:sz w:val="24"/>
        </w:rPr>
        <w:t xml:space="preserve"> </w:t>
      </w:r>
    </w:p>
    <w:p w:rsidR="00E15E85" w:rsidRPr="00441A94" w:rsidRDefault="00E15E85" w:rsidP="001A7933">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8125ED">
        <w:rPr>
          <w:rFonts w:ascii="Palatino Linotype" w:hAnsi="Palatino Linotype" w:cs="Arial"/>
          <w:sz w:val="24"/>
          <w:szCs w:val="24"/>
        </w:rPr>
        <w:t xml:space="preserve">ocho de marzo </w:t>
      </w:r>
      <w:r w:rsidR="00A82CB6">
        <w:rPr>
          <w:rFonts w:ascii="Palatino Linotype" w:hAnsi="Palatino Linotype" w:cs="Arial"/>
          <w:sz w:val="24"/>
          <w:szCs w:val="24"/>
        </w:rPr>
        <w:t>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865846">
        <w:rPr>
          <w:rFonts w:ascii="Palatino Linotype" w:hAnsi="Palatino Linotype" w:cs="Arial"/>
          <w:b/>
          <w:bCs/>
          <w:sz w:val="24"/>
          <w:szCs w:val="24"/>
          <w:lang w:eastAsia="es-MX"/>
        </w:rPr>
        <w:t>0</w:t>
      </w:r>
      <w:r w:rsidR="001A7933">
        <w:rPr>
          <w:rFonts w:ascii="Palatino Linotype" w:hAnsi="Palatino Linotype" w:cs="Arial"/>
          <w:b/>
          <w:bCs/>
          <w:sz w:val="24"/>
          <w:szCs w:val="24"/>
          <w:lang w:eastAsia="es-MX"/>
        </w:rPr>
        <w:t>1890</w:t>
      </w:r>
      <w:r w:rsidR="00A82CB6">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1A7933" w:rsidP="00E15E85">
      <w:pPr>
        <w:ind w:left="851" w:right="850"/>
        <w:jc w:val="both"/>
        <w:rPr>
          <w:rFonts w:ascii="Palatino Linotype" w:hAnsi="Palatino Linotype"/>
          <w:i/>
          <w:color w:val="000000"/>
        </w:rPr>
      </w:pPr>
      <w:r w:rsidRPr="001A7933">
        <w:rPr>
          <w:rFonts w:ascii="Palatino Linotype" w:hAnsi="Palatino Linotype"/>
          <w:i/>
          <w:color w:val="000000"/>
        </w:rPr>
        <w:t>RESPUESTA DEL SUJETO OBLIGADO</w:t>
      </w:r>
      <w:r w:rsidR="00614FDD" w:rsidRPr="00614FD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00E15E85" w:rsidRPr="00A435E2">
        <w:rPr>
          <w:rFonts w:ascii="Palatino Linotype" w:hAnsi="Palatino Linotype"/>
          <w:i/>
          <w:color w:val="000000"/>
        </w:rPr>
        <w:t>ic]</w:t>
      </w:r>
    </w:p>
    <w:p w:rsidR="00074A99" w:rsidRDefault="00074A99"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1A7933" w:rsidP="00E15E85">
      <w:pPr>
        <w:ind w:left="851" w:right="850"/>
        <w:jc w:val="both"/>
        <w:rPr>
          <w:rFonts w:ascii="Palatino Linotype" w:hAnsi="Palatino Linotype" w:cs="Arial"/>
          <w:i/>
        </w:rPr>
      </w:pPr>
      <w:r>
        <w:rPr>
          <w:rFonts w:ascii="Palatino Linotype" w:hAnsi="Palatino Linotype" w:cs="Arial"/>
          <w:i/>
        </w:rPr>
        <w:t>“</w:t>
      </w:r>
      <w:r w:rsidRPr="001A7933">
        <w:rPr>
          <w:rFonts w:ascii="Palatino Linotype" w:hAnsi="Palatino Linotype" w:cs="Arial"/>
          <w:i/>
        </w:rPr>
        <w:t xml:space="preserve">EL SUJETO OBLIGADO SE NIEGA A PROPORCIONAR LA INFORMACIÓN PÚBLICA SOLICITADA, SIN EL MÍNIMO ANÁLISIS JURÍDICO, LO ANTERIOR DEBIDO A LO SIGUIENTE: EN PRIMER LUGAR, LA SOLICITUD DE INFORMACIÓN ES MERAMENTE DOCUMENTAL, EN NINGUN MOMENTO SE REFIERE DE FORMA EXCLUSIVA A LOS VEHÍCULOS DE SEGURIDAD PÚBLICA, EN CASO DE TRATARSE DE ESTOS, EL PROCESO DE SU ADQUISICIÓN ASÍ COMO LA FACTURA QUE AMPARE SU COMPRA Y LOS CONTRATOS QUE SE CELEBRARON PARA SU ADQUISICIÓN DE NINGUNA FORMA PONE EN PELIGRO LA SEGURIDAD PÚBICA DE NADIE, PUES NO SE PIDIÓ EL HORARIO DE LABORES, RUTAS DE LOS OFICIALES COMISIONADOS. SIMPLEMENTE LO REFERENTE A LA ADQUISICIÓN, PRECIO, RESGUARDO, COMPRAVENTA, ARRENDAMIENTO O CUALQUIER OTRA MODALIDAD QUE SE HAYA UTILIZADO, LO QUE DE NINGUNA MANERA PONE EN RIESGO A NADIE, EL SUJETO OBLIGADO, A SABIENDAS DE ELLO PRETENDE EVITAR SU OBLIGACIÓN </w:t>
      </w:r>
      <w:r w:rsidRPr="001A7933">
        <w:rPr>
          <w:rFonts w:ascii="Palatino Linotype" w:hAnsi="Palatino Linotype" w:cs="Arial"/>
          <w:i/>
        </w:rPr>
        <w:lastRenderedPageBreak/>
        <w:t>ADUCIENDO CUESTIONES COMPLETAMENTE INDEBIDAS Y JURÍDICAMENTE INSOSTENIBLES.</w:t>
      </w:r>
      <w:r w:rsidR="00E15E85"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00E15E85" w:rsidRPr="004469D5">
        <w:rPr>
          <w:rFonts w:ascii="Palatino Linotype" w:hAnsi="Palatino Linotype" w:cs="Arial"/>
          <w:i/>
        </w:rPr>
        <w:t>ic]</w:t>
      </w:r>
    </w:p>
    <w:p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1A7933">
        <w:rPr>
          <w:rFonts w:ascii="Palatino Linotype" w:hAnsi="Palatino Linotype" w:cs="Arial"/>
          <w:sz w:val="24"/>
          <w:szCs w:val="24"/>
        </w:rPr>
        <w:t>veintisiete</w:t>
      </w:r>
      <w:r w:rsidR="006D7A99">
        <w:rPr>
          <w:rFonts w:ascii="Palatino Linotype" w:hAnsi="Palatino Linotype" w:cs="Arial"/>
          <w:sz w:val="24"/>
          <w:szCs w:val="24"/>
        </w:rPr>
        <w:t xml:space="preserve"> de </w:t>
      </w:r>
      <w:r w:rsidR="008125ED">
        <w:rPr>
          <w:rFonts w:ascii="Palatino Linotype" w:hAnsi="Palatino Linotype" w:cs="Arial"/>
          <w:sz w:val="24"/>
          <w:szCs w:val="24"/>
        </w:rPr>
        <w:t xml:space="preserve">marzo </w:t>
      </w:r>
      <w:r w:rsidR="00630E9E">
        <w:rPr>
          <w:rFonts w:ascii="Palatino Linotype" w:hAnsi="Palatino Linotype" w:cs="Arial"/>
          <w:sz w:val="24"/>
          <w:szCs w:val="24"/>
        </w:rPr>
        <w:t>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074A99" w:rsidRDefault="00074A99" w:rsidP="00E15E85">
      <w:pPr>
        <w:spacing w:before="240" w:line="360" w:lineRule="auto"/>
        <w:jc w:val="both"/>
        <w:rPr>
          <w:rFonts w:ascii="Palatino Linotype" w:hAnsi="Palatino Linotype" w:cs="Arial"/>
          <w:b/>
          <w:sz w:val="28"/>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630E9E" w:rsidRDefault="00E15E85" w:rsidP="001A7933">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8125ED">
        <w:rPr>
          <w:rFonts w:ascii="Palatino Linotype" w:hAnsi="Palatino Linotype" w:cs="Arial"/>
          <w:sz w:val="24"/>
          <w:szCs w:val="24"/>
        </w:rPr>
        <w:t>fue omiso en presentar su informe justificado;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1A7933">
        <w:rPr>
          <w:rFonts w:ascii="Palatino Linotype" w:hAnsi="Palatino Linotype" w:cs="Arial"/>
          <w:sz w:val="24"/>
          <w:szCs w:val="24"/>
        </w:rPr>
        <w:t xml:space="preserve">diez de abril </w:t>
      </w:r>
      <w:r w:rsidR="001C7069">
        <w:rPr>
          <w:rFonts w:ascii="Palatino Linotype" w:hAnsi="Palatino Linotype" w:cs="Arial"/>
          <w:sz w:val="24"/>
          <w:szCs w:val="24"/>
        </w:rPr>
        <w:t>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F64A11" w:rsidRDefault="00F64A11" w:rsidP="00F64A11">
      <w:pPr>
        <w:spacing w:before="240" w:after="240" w:line="360" w:lineRule="auto"/>
        <w:jc w:val="both"/>
        <w:rPr>
          <w:rFonts w:ascii="Palatino Linotype" w:hAnsi="Palatino Linotype" w:cs="Arial"/>
          <w:sz w:val="24"/>
          <w:szCs w:val="24"/>
        </w:rPr>
      </w:pPr>
    </w:p>
    <w:p w:rsidR="00F64A11" w:rsidRDefault="00F64A11" w:rsidP="00F64A11">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lastRenderedPageBreak/>
        <w:t xml:space="preserve">Así también, en fecha </w:t>
      </w:r>
      <w:r>
        <w:rPr>
          <w:rFonts w:ascii="Palatino Linotype" w:hAnsi="Palatino Linotype" w:cs="Arial"/>
          <w:sz w:val="24"/>
          <w:szCs w:val="24"/>
        </w:rPr>
        <w:t>veinte de mayo</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F64A11" w:rsidRDefault="00F64A11" w:rsidP="00F64A11">
      <w:pPr>
        <w:spacing w:before="240" w:after="240" w:line="360" w:lineRule="auto"/>
        <w:jc w:val="both"/>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F64A11" w:rsidRDefault="00F64A11" w:rsidP="00E15E85">
      <w:pPr>
        <w:spacing w:before="240" w:line="360" w:lineRule="auto"/>
        <w:jc w:val="center"/>
        <w:rPr>
          <w:rFonts w:ascii="Palatino Linotype" w:hAnsi="Palatino Linotype" w:cs="Arial"/>
          <w:b/>
          <w:sz w:val="24"/>
        </w:rPr>
      </w:pP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006356">
        <w:rPr>
          <w:rFonts w:ascii="Palatino Linotype" w:hAnsi="Palatino Linotype" w:cs="Arial"/>
          <w:sz w:val="24"/>
          <w:szCs w:val="24"/>
        </w:rPr>
        <w:t xml:space="preserve">179 fracción </w:t>
      </w:r>
      <w:r w:rsidR="00630E9E">
        <w:rPr>
          <w:rFonts w:ascii="Palatino Linotype" w:hAnsi="Palatino Linotype" w:cs="Arial"/>
          <w:sz w:val="24"/>
          <w:szCs w:val="24"/>
        </w:rPr>
        <w:t>VIII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w:t>
      </w:r>
      <w:r>
        <w:rPr>
          <w:rFonts w:ascii="Palatino Linotype" w:hAnsi="Palatino Linotype" w:cs="Arial"/>
        </w:rPr>
        <w:lastRenderedPageBreak/>
        <w:t>alguna causal que impida el estudio y resolución, cuando una vez admitido el recurso de revisión se advierta una causa de improcedencia que permita sobreseerlo, sin estudiar el fondo del asunto.</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sz w:val="28"/>
        </w:rPr>
      </w:pPr>
    </w:p>
    <w:p w:rsidR="00FB5FA3"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0C3DB6" w:rsidRDefault="002902D7" w:rsidP="005329E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en primer término es menester señalar que </w:t>
      </w:r>
      <w:r w:rsidR="000C3DB6">
        <w:rPr>
          <w:rFonts w:ascii="Palatino Linotype" w:hAnsi="Palatino Linotype"/>
          <w:sz w:val="24"/>
          <w:szCs w:val="24"/>
        </w:rPr>
        <w:t xml:space="preserve">de los requerimientos vertidos por el hoy recurrente, tuvo a bien solicitar lo </w:t>
      </w:r>
      <w:bookmarkStart w:id="0" w:name="_GoBack"/>
      <w:bookmarkEnd w:id="0"/>
      <w:r w:rsidR="000C3DB6">
        <w:rPr>
          <w:rFonts w:ascii="Palatino Linotype" w:hAnsi="Palatino Linotype"/>
          <w:sz w:val="24"/>
          <w:szCs w:val="24"/>
        </w:rPr>
        <w:t>siguiente:</w:t>
      </w:r>
    </w:p>
    <w:p w:rsidR="002879C2" w:rsidRPr="002879C2" w:rsidRDefault="001A7933" w:rsidP="001A7933">
      <w:pPr>
        <w:pStyle w:val="Prrafodelista"/>
        <w:numPr>
          <w:ilvl w:val="0"/>
          <w:numId w:val="23"/>
        </w:numPr>
        <w:spacing w:before="240" w:after="240" w:line="360" w:lineRule="auto"/>
        <w:jc w:val="both"/>
        <w:rPr>
          <w:rFonts w:ascii="Palatino Linotype" w:hAnsi="Palatino Linotype"/>
        </w:rPr>
      </w:pPr>
      <w:r w:rsidRPr="001A7933">
        <w:rPr>
          <w:rFonts w:ascii="Palatino Linotype" w:hAnsi="Palatino Linotype"/>
        </w:rPr>
        <w:t>A partir del año 2015 hasta la fecha en que se dé respuesta a la presente solicitud de información; solicito los procesos completos y todas las constancias que los integren: De licitación, adjudicación restringida, adjudicación directa, de compra, de adquisición, arrendamiento y comodato respecto de los vehículos al servicio y a nombre del Municipio y Ayuntamiento, debiendo acompañar las facturas que las amparen, recibos de pago, reporte de transferencias bancarias, nombre del proveedor, costo total de cada vehículo y su equipamiento; así como las características generales y específicas de cada vehículo: agencia de compra, lote de compra, proveedor, empresa, persona física que las haya vendido, arrendado o prestado al Municipio y Ayuntamiento: señalando de forma enunciativa, pero no limitativa: la marca, modelo, costo factura, impuesto y derechos que se paguen, kilometraje, fotografías de evidencia; especificando a qué unidad administrativa están resguardadas.</w:t>
      </w:r>
    </w:p>
    <w:p w:rsidR="00E8295D" w:rsidRDefault="00DD2F8B" w:rsidP="008C43EB">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 xml:space="preserve">Por su parte, el sujeto obligado </w:t>
      </w:r>
      <w:r w:rsidR="00E8295D">
        <w:rPr>
          <w:rFonts w:ascii="Palatino Linotype" w:hAnsi="Palatino Linotype"/>
          <w:sz w:val="24"/>
          <w:szCs w:val="24"/>
        </w:rPr>
        <w:t>dio respuesta a lo solicitado aludiendo que</w:t>
      </w:r>
      <w:r w:rsidR="001A7933">
        <w:rPr>
          <w:rFonts w:ascii="Palatino Linotype" w:hAnsi="Palatino Linotype"/>
          <w:sz w:val="24"/>
          <w:szCs w:val="24"/>
        </w:rPr>
        <w:t xml:space="preserve"> la </w:t>
      </w:r>
      <w:r w:rsidR="00A05DE6">
        <w:rPr>
          <w:rFonts w:ascii="Palatino Linotype" w:hAnsi="Palatino Linotype"/>
          <w:sz w:val="24"/>
          <w:szCs w:val="24"/>
        </w:rPr>
        <w:t>información</w:t>
      </w:r>
      <w:r w:rsidR="001A7933">
        <w:rPr>
          <w:rFonts w:ascii="Palatino Linotype" w:hAnsi="Palatino Linotype"/>
          <w:sz w:val="24"/>
          <w:szCs w:val="24"/>
        </w:rPr>
        <w:t xml:space="preserve"> que solicita el recurrente no puede ser entregada, ello en virtud de que puede generar una afectación en materia de seguridad </w:t>
      </w:r>
      <w:r w:rsidR="00A05DE6">
        <w:rPr>
          <w:rFonts w:ascii="Palatino Linotype" w:hAnsi="Palatino Linotype"/>
          <w:sz w:val="24"/>
          <w:szCs w:val="24"/>
        </w:rPr>
        <w:t>pública</w:t>
      </w:r>
      <w:r w:rsidR="001A7933">
        <w:rPr>
          <w:rFonts w:ascii="Palatino Linotype" w:hAnsi="Palatino Linotype"/>
          <w:sz w:val="24"/>
          <w:szCs w:val="24"/>
        </w:rPr>
        <w:t xml:space="preserve">, dado que los </w:t>
      </w:r>
      <w:r w:rsidR="00A05DE6">
        <w:rPr>
          <w:rFonts w:ascii="Palatino Linotype" w:hAnsi="Palatino Linotype"/>
          <w:sz w:val="24"/>
          <w:szCs w:val="24"/>
        </w:rPr>
        <w:t>datos pueden ser utilizados en perjuicio de las políticas y estrategias que desempeña la actual administración, solicitando así al Comité de Transparencia clasificar como reservada la información solicitada.</w:t>
      </w:r>
    </w:p>
    <w:p w:rsidR="00090E2C" w:rsidRDefault="00090E2C" w:rsidP="008C43EB">
      <w:pPr>
        <w:spacing w:before="240" w:after="240" w:line="360" w:lineRule="auto"/>
        <w:jc w:val="both"/>
        <w:rPr>
          <w:rFonts w:ascii="Palatino Linotype" w:hAnsi="Palatino Linotype"/>
          <w:sz w:val="24"/>
          <w:szCs w:val="24"/>
        </w:rPr>
      </w:pPr>
      <w:r>
        <w:rPr>
          <w:rFonts w:ascii="Palatino Linotype" w:hAnsi="Palatino Linotype"/>
          <w:sz w:val="24"/>
          <w:szCs w:val="24"/>
        </w:rPr>
        <w:t xml:space="preserve">Derivado de la respuesta otorgada, el impetrante de derechos se adoleció por la </w:t>
      </w:r>
      <w:r w:rsidR="00E8295D">
        <w:rPr>
          <w:rFonts w:ascii="Palatino Linotype" w:hAnsi="Palatino Linotype"/>
          <w:sz w:val="24"/>
          <w:szCs w:val="24"/>
        </w:rPr>
        <w:t>respuesta del s</w:t>
      </w:r>
      <w:r w:rsidR="00AD5DE2">
        <w:rPr>
          <w:rFonts w:ascii="Palatino Linotype" w:hAnsi="Palatino Linotype"/>
          <w:sz w:val="24"/>
          <w:szCs w:val="24"/>
        </w:rPr>
        <w:t>ujeto obligado, aludiendo que se le está negando copia de la integración del comité de obras públicas.</w:t>
      </w:r>
    </w:p>
    <w:p w:rsidR="0062365C" w:rsidRDefault="0062365C" w:rsidP="0062365C">
      <w:pPr>
        <w:spacing w:before="240" w:after="240" w:line="360" w:lineRule="auto"/>
        <w:jc w:val="both"/>
        <w:rPr>
          <w:rFonts w:ascii="Palatino Linotype" w:hAnsi="Palatino Linotype"/>
          <w:sz w:val="24"/>
          <w:szCs w:val="24"/>
        </w:rPr>
      </w:pPr>
      <w:r>
        <w:rPr>
          <w:rFonts w:ascii="Palatino Linotype" w:hAnsi="Palatino Linotype"/>
          <w:sz w:val="24"/>
          <w:szCs w:val="24"/>
        </w:rPr>
        <w:t>Ahora bien, derivado de que el sujeto obligado ya acepto tácitamente que cuenta con la información, no es necesario entrar al estudio de su fuente obligacional, ya que a nada práctico nos llevaría hacerlo, sin embargo es menester tomar en cuenta las siguientes consideraciones.</w:t>
      </w:r>
    </w:p>
    <w:p w:rsidR="0062365C" w:rsidRDefault="0062365C" w:rsidP="0062365C">
      <w:pPr>
        <w:spacing w:before="240" w:after="240" w:line="360" w:lineRule="auto"/>
        <w:jc w:val="both"/>
        <w:rPr>
          <w:rFonts w:ascii="Palatino Linotype" w:hAnsi="Palatino Linotype"/>
          <w:sz w:val="24"/>
          <w:szCs w:val="24"/>
        </w:rPr>
      </w:pPr>
      <w:r>
        <w:rPr>
          <w:rFonts w:ascii="Palatino Linotype" w:hAnsi="Palatino Linotype"/>
          <w:sz w:val="24"/>
          <w:szCs w:val="24"/>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Pr>
          <w:rStyle w:val="Refdenotaalpie"/>
          <w:rFonts w:ascii="Palatino Linotype" w:hAnsi="Palatino Linotype"/>
          <w:sz w:val="24"/>
          <w:szCs w:val="24"/>
        </w:rPr>
        <w:footnoteReference w:id="2"/>
      </w:r>
      <w:r>
        <w:rPr>
          <w:rFonts w:ascii="Palatino Linotype" w:hAnsi="Palatino Linotype"/>
          <w:sz w:val="24"/>
          <w:szCs w:val="24"/>
        </w:rPr>
        <w:t xml:space="preserve">, que toda la información generada, obtenida, adquirida, </w:t>
      </w:r>
      <w:r>
        <w:rPr>
          <w:rFonts w:ascii="Palatino Linotype" w:hAnsi="Palatino Linotype"/>
          <w:sz w:val="24"/>
          <w:szCs w:val="24"/>
        </w:rPr>
        <w:lastRenderedPageBreak/>
        <w:t xml:space="preserve">transformada, administrada o en posesión </w:t>
      </w:r>
      <w:r w:rsidR="00A05DE6">
        <w:rPr>
          <w:rFonts w:ascii="Palatino Linotype" w:hAnsi="Palatino Linotype"/>
          <w:sz w:val="24"/>
          <w:szCs w:val="24"/>
        </w:rPr>
        <w:t>de los sujetos obligados será pú</w:t>
      </w:r>
      <w:r>
        <w:rPr>
          <w:rFonts w:ascii="Palatino Linotype" w:hAnsi="Palatino Linotype"/>
          <w:sz w:val="24"/>
          <w:szCs w:val="24"/>
        </w:rPr>
        <w:t>blica y accesible de manera permanente a todo el público, privilegiando en todo momento el principio de máxima publicidad que consagra nuestra carta magna.</w:t>
      </w:r>
    </w:p>
    <w:p w:rsidR="0062365C" w:rsidRDefault="0062365C" w:rsidP="0062365C">
      <w:pPr>
        <w:spacing w:before="240" w:after="240" w:line="360" w:lineRule="auto"/>
        <w:jc w:val="both"/>
        <w:rPr>
          <w:rFonts w:ascii="Palatino Linotype" w:hAnsi="Palatino Linotype"/>
          <w:sz w:val="24"/>
          <w:szCs w:val="24"/>
        </w:rPr>
      </w:pPr>
      <w:r>
        <w:rPr>
          <w:rFonts w:ascii="Palatino Linotype" w:hAnsi="Palatino Linotype"/>
          <w:sz w:val="24"/>
          <w:szCs w:val="24"/>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rsidR="0062365C" w:rsidRPr="00357A8F" w:rsidRDefault="0062365C" w:rsidP="0062365C">
      <w:pPr>
        <w:spacing w:before="240" w:after="240" w:line="360" w:lineRule="auto"/>
        <w:ind w:left="708"/>
        <w:jc w:val="both"/>
        <w:rPr>
          <w:rFonts w:ascii="Palatino Linotype" w:hAnsi="Palatino Linotype"/>
          <w:i/>
        </w:rPr>
      </w:pPr>
      <w:r w:rsidRPr="00357A8F">
        <w:rPr>
          <w:rFonts w:ascii="Palatino Linotype" w:hAnsi="Palatino Linotype"/>
          <w:i/>
          <w:sz w:val="24"/>
          <w:szCs w:val="24"/>
        </w:rPr>
        <w:t xml:space="preserve"> </w:t>
      </w:r>
      <w:r w:rsidRPr="00357A8F">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rsidR="0062365C" w:rsidRPr="00357A8F" w:rsidRDefault="0062365C" w:rsidP="0062365C">
      <w:pPr>
        <w:spacing w:before="240" w:after="240" w:line="360" w:lineRule="auto"/>
        <w:ind w:left="708"/>
        <w:jc w:val="both"/>
        <w:rPr>
          <w:rFonts w:ascii="Palatino Linotype" w:hAnsi="Palatino Linotype"/>
          <w:i/>
          <w:sz w:val="24"/>
          <w:szCs w:val="24"/>
        </w:rPr>
      </w:pPr>
      <w:r w:rsidRPr="00357A8F">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970B2" w:rsidRPr="004970B2" w:rsidRDefault="004970B2" w:rsidP="004970B2">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Así pues, todo acto que conlleve la transgresión de un derecho por parte de la autoridad competente debe contener una debida</w:t>
      </w:r>
      <w:r w:rsidRPr="004970B2">
        <w:rPr>
          <w:rFonts w:ascii="Palatino Linotype" w:hAnsi="Palatino Linotype"/>
          <w:sz w:val="24"/>
          <w:szCs w:val="24"/>
        </w:rPr>
        <w:t xml:space="preserve"> fundamentación y motivación de los actos de autoridad, con la finalidad de evitar decisiones arbitrarias; debiendo </w:t>
      </w:r>
      <w:r w:rsidRPr="004970B2">
        <w:rPr>
          <w:rFonts w:ascii="Palatino Linotype" w:hAnsi="Palatino Linotype"/>
          <w:sz w:val="24"/>
          <w:szCs w:val="24"/>
        </w:rPr>
        <w:lastRenderedPageBreak/>
        <w:t xml:space="preserve">establecer el fundamento jurídico en que se basa sus determinaciones y la exposición razonada que justifique clasificación de información. </w:t>
      </w:r>
    </w:p>
    <w:p w:rsidR="004970B2" w:rsidRPr="004970B2" w:rsidRDefault="004970B2" w:rsidP="004970B2">
      <w:pPr>
        <w:spacing w:before="240" w:after="260" w:line="360" w:lineRule="auto"/>
        <w:ind w:right="-232"/>
        <w:jc w:val="both"/>
        <w:rPr>
          <w:rFonts w:ascii="Palatino Linotype" w:eastAsia="Times New Roman" w:hAnsi="Palatino Linotype" w:cs="Times New Roman"/>
          <w:color w:val="000000"/>
          <w:sz w:val="24"/>
          <w:szCs w:val="24"/>
          <w:lang w:eastAsia="es-MX"/>
        </w:rPr>
      </w:pPr>
      <w:r w:rsidRPr="004970B2">
        <w:rPr>
          <w:rFonts w:ascii="Palatino Linotype" w:eastAsia="Times New Roman" w:hAnsi="Palatino Linotype" w:cs="Times New Roman"/>
          <w:color w:val="000000"/>
          <w:sz w:val="24"/>
          <w:szCs w:val="24"/>
          <w:lang w:eastAsia="es-MX"/>
        </w:rPr>
        <w:t>Cobra aplicación la jurisprudencia de la novena época visible en el Semanario Judicial de la Federación y su Gaceta. Instancia: Tribunales Colegiados de Circuito. Tesis I.4o.A.J/43 (9a.) bajo el número de registro 175082 cuyo rubro y texto esgrime:</w:t>
      </w:r>
    </w:p>
    <w:p w:rsidR="004970B2" w:rsidRPr="004970B2" w:rsidRDefault="004970B2" w:rsidP="004970B2">
      <w:pPr>
        <w:spacing w:before="240" w:after="0" w:line="360" w:lineRule="auto"/>
        <w:ind w:left="567" w:right="567"/>
        <w:jc w:val="both"/>
        <w:rPr>
          <w:rFonts w:ascii="Palatino Linotype" w:eastAsia="Times New Roman" w:hAnsi="Palatino Linotype" w:cs="Times New Roman"/>
          <w:b/>
          <w:bCs/>
          <w:i/>
          <w:color w:val="000000"/>
          <w:szCs w:val="24"/>
          <w:lang w:eastAsia="es-MX"/>
        </w:rPr>
      </w:pPr>
      <w:r w:rsidRPr="004970B2">
        <w:rPr>
          <w:rFonts w:ascii="Palatino Linotype" w:eastAsia="Times New Roman" w:hAnsi="Palatino Linotype" w:cs="Times New Roman"/>
          <w:b/>
          <w:bCs/>
          <w:i/>
          <w:color w:val="000000"/>
          <w:szCs w:val="24"/>
          <w:lang w:eastAsia="es-MX"/>
        </w:rPr>
        <w:t>FUNDAMENTACIÓN Y MOTIVACIÓN. EL ASPECTO FORMAL DE LA GARANTÍA Y SU FINALIDAD SE TRADUCEN EN EXPLICAR, JUSTIFICAR, POSIBILITAR LA DEFENSA Y COMUNICAR LA DECISIÓN.</w:t>
      </w:r>
    </w:p>
    <w:p w:rsidR="004970B2" w:rsidRPr="004970B2" w:rsidRDefault="004970B2" w:rsidP="004970B2">
      <w:pPr>
        <w:spacing w:before="240" w:after="0" w:line="360" w:lineRule="auto"/>
        <w:ind w:left="567" w:right="567"/>
        <w:jc w:val="both"/>
        <w:rPr>
          <w:rFonts w:ascii="Palatino Linotype" w:eastAsia="Times New Roman" w:hAnsi="Palatino Linotype" w:cs="Times New Roman"/>
          <w:i/>
          <w:color w:val="000000"/>
          <w:szCs w:val="24"/>
          <w:lang w:eastAsia="es-MX"/>
        </w:rPr>
      </w:pPr>
      <w:r w:rsidRPr="004970B2">
        <w:rPr>
          <w:rFonts w:ascii="Palatino Linotype" w:eastAsia="Times New Roman" w:hAnsi="Palatino Linotype" w:cs="Times New Roman"/>
          <w:i/>
          <w:color w:val="000000"/>
          <w:szCs w:val="24"/>
          <w:lang w:eastAsia="es-MX"/>
        </w:rPr>
        <w:t>El contenido formal de la garantía de legalidad prevista en el artículo </w:t>
      </w:r>
      <w:hyperlink r:id="rId8" w:history="1">
        <w:r w:rsidRPr="004970B2">
          <w:rPr>
            <w:rFonts w:ascii="Palatino Linotype" w:eastAsia="Times New Roman" w:hAnsi="Palatino Linotype" w:cs="Times New Roman"/>
            <w:i/>
            <w:szCs w:val="24"/>
            <w:lang w:eastAsia="es-MX"/>
          </w:rPr>
          <w:t>16 constitucional</w:t>
        </w:r>
      </w:hyperlink>
      <w:r w:rsidRPr="004970B2">
        <w:rPr>
          <w:rFonts w:ascii="Palatino Linotype" w:eastAsia="Times New Roman" w:hAnsi="Palatino Linotype" w:cs="Times New Roman"/>
          <w:i/>
          <w:color w:val="000000"/>
          <w:szCs w:val="24"/>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4970B2" w:rsidRPr="004970B2" w:rsidRDefault="004970B2" w:rsidP="004970B2">
      <w:pPr>
        <w:tabs>
          <w:tab w:val="left" w:pos="709"/>
        </w:tabs>
        <w:spacing w:before="240" w:line="360" w:lineRule="auto"/>
        <w:jc w:val="both"/>
        <w:rPr>
          <w:rFonts w:ascii="Palatino Linotype" w:hAnsi="Palatino Linotype"/>
          <w:sz w:val="24"/>
          <w:szCs w:val="24"/>
        </w:rPr>
      </w:pPr>
      <w:r w:rsidRPr="004970B2">
        <w:rPr>
          <w:rFonts w:ascii="Palatino Linotype" w:hAnsi="Palatino Linotype"/>
          <w:sz w:val="24"/>
          <w:szCs w:val="24"/>
        </w:rPr>
        <w:lastRenderedPageBreak/>
        <w:t xml:space="preserve">Derecho Humano inmerso en el artículo 8.1 de la Convención Americana de Derechos humanos e interpretado por la Corte Interamericana de Derechos Humanos, en diversos instrumentos como en el </w:t>
      </w:r>
      <w:r w:rsidRPr="004970B2">
        <w:rPr>
          <w:rFonts w:ascii="Palatino Linotype" w:hAnsi="Palatino Linotype"/>
          <w:i/>
          <w:sz w:val="24"/>
          <w:szCs w:val="24"/>
        </w:rPr>
        <w:t>Caso Claude Reyes y otros vs. Chile.</w:t>
      </w:r>
      <w:r w:rsidRPr="004970B2">
        <w:rPr>
          <w:rFonts w:ascii="Palatino Linotype" w:hAnsi="Palatino Linotype"/>
          <w:sz w:val="24"/>
          <w:szCs w:val="24"/>
        </w:rPr>
        <w:t xml:space="preserve"> Fondo, reparaciones y costas, Sentencia de 19 de septiembre de 2006. Serie C, num., 151 párrafo 120.</w:t>
      </w:r>
    </w:p>
    <w:p w:rsidR="004970B2" w:rsidRPr="004970B2" w:rsidRDefault="004970B2" w:rsidP="004970B2">
      <w:pPr>
        <w:tabs>
          <w:tab w:val="left" w:pos="709"/>
        </w:tabs>
        <w:spacing w:before="240" w:line="360" w:lineRule="auto"/>
        <w:ind w:left="567" w:right="567"/>
        <w:jc w:val="both"/>
        <w:rPr>
          <w:rFonts w:ascii="Palatino Linotype" w:hAnsi="Palatino Linotype"/>
          <w:i/>
          <w:szCs w:val="24"/>
        </w:rPr>
      </w:pPr>
      <w:r w:rsidRPr="004970B2">
        <w:rPr>
          <w:rFonts w:ascii="Palatino Linotype" w:hAnsi="Palatino Linotype"/>
          <w:i/>
          <w:szCs w:val="24"/>
        </w:rPr>
        <w:t>120. La Corte ha establecido que las decisiones que adopten los órganos internos que puedan afectar derechos humanos deben estar debidamente fundamentadas, pues de lo contrario serían decisiones arbitrarias.</w:t>
      </w:r>
    </w:p>
    <w:p w:rsidR="004970B2" w:rsidRPr="004970B2" w:rsidRDefault="004970B2" w:rsidP="004970B2">
      <w:pPr>
        <w:tabs>
          <w:tab w:val="left" w:pos="709"/>
        </w:tabs>
        <w:spacing w:before="240" w:line="360" w:lineRule="auto"/>
        <w:jc w:val="both"/>
        <w:rPr>
          <w:rFonts w:ascii="Palatino Linotype" w:hAnsi="Palatino Linotype"/>
          <w:sz w:val="24"/>
          <w:szCs w:val="24"/>
        </w:rPr>
      </w:pPr>
      <w:r w:rsidRPr="004970B2">
        <w:rPr>
          <w:rFonts w:ascii="Palatino Linotype" w:hAnsi="Palatino Linotype"/>
          <w:sz w:val="24"/>
          <w:szCs w:val="24"/>
        </w:rPr>
        <w:t xml:space="preserve">Así como en su diverso Caso </w:t>
      </w:r>
      <w:r w:rsidRPr="004970B2">
        <w:rPr>
          <w:rFonts w:ascii="Palatino Linotype" w:hAnsi="Palatino Linotype"/>
          <w:i/>
          <w:sz w:val="24"/>
          <w:szCs w:val="24"/>
        </w:rPr>
        <w:t>Apitz Barbea y otros (Corte Primera de lo Contencioso Administrativo”) vs. Venezuela.</w:t>
      </w:r>
      <w:r w:rsidRPr="004970B2">
        <w:rPr>
          <w:rFonts w:ascii="Palatino Linotype" w:hAnsi="Palatino Linotype"/>
          <w:sz w:val="24"/>
          <w:szCs w:val="24"/>
        </w:rPr>
        <w:t xml:space="preserve"> Excepción preliminar, fondo, reparaciones y costas. Sentencia de 5 de agosto de 2008. Serie C, núm., párrafos 77 y 78.</w:t>
      </w:r>
    </w:p>
    <w:p w:rsidR="004970B2" w:rsidRPr="004970B2" w:rsidRDefault="004970B2" w:rsidP="004970B2">
      <w:pPr>
        <w:tabs>
          <w:tab w:val="left" w:pos="709"/>
        </w:tabs>
        <w:spacing w:before="240" w:line="360" w:lineRule="auto"/>
        <w:ind w:left="567" w:right="567"/>
        <w:jc w:val="both"/>
        <w:rPr>
          <w:rFonts w:ascii="Palatino Linotype" w:hAnsi="Palatino Linotype"/>
          <w:i/>
          <w:szCs w:val="24"/>
        </w:rPr>
      </w:pPr>
      <w:r w:rsidRPr="004970B2">
        <w:rPr>
          <w:rFonts w:ascii="Palatino Linotype" w:hAnsi="Palatino Linotype"/>
          <w:i/>
          <w:szCs w:val="24"/>
        </w:rPr>
        <w:t>77. La Corte ha señalado que la motivación “es la exteriorización de la justificación razonada que permite llegar a una conclusión”. El deber de motivar las resoluciones es una garantía vinculada con la correcta administración de justicia, que protege el derecho de los ciudadanos a ser juzgados por las razones que el Derecho suministra, y otorga credibilidad de las decisiones jurídicas en el marco de una sociedad democrática.</w:t>
      </w:r>
    </w:p>
    <w:p w:rsidR="00ED18B6" w:rsidRDefault="004970B2" w:rsidP="004970B2">
      <w:pPr>
        <w:tabs>
          <w:tab w:val="left" w:pos="709"/>
        </w:tabs>
        <w:spacing w:before="240" w:line="360" w:lineRule="auto"/>
        <w:ind w:left="567" w:right="567"/>
        <w:jc w:val="both"/>
        <w:rPr>
          <w:rFonts w:ascii="Palatino Linotype" w:hAnsi="Palatino Linotype"/>
          <w:i/>
          <w:szCs w:val="24"/>
        </w:rPr>
      </w:pPr>
      <w:r w:rsidRPr="004970B2">
        <w:rPr>
          <w:rFonts w:ascii="Palatino Linotype" w:hAnsi="Palatino Linotype"/>
          <w:i/>
          <w:szCs w:val="24"/>
        </w:rPr>
        <w:t xml:space="preserve">78. El Tribunal ha resaltado que las decisiones que adopten los órganos internos que puedan afectar derechos humanos deben estar debidamente fundamentadas, pues de lo contrario serían decisiones arbitrarias. En este sentido, la argumentación de un fallo debe mostrar que han sido debidamente tomados en cuenta los alegatos de las partes y que el conjunto de pruebas ha sido analizado. Asimismo, la motivación demuestra a las partes que éstas han sido oídas y, en aquellos casos en que las decisiones son recurribles, les proporciona la posibilidad de criticar la resolución y lograr un nuevo examen de la cuestión ante las </w:t>
      </w:r>
      <w:r w:rsidRPr="004970B2">
        <w:rPr>
          <w:rFonts w:ascii="Palatino Linotype" w:hAnsi="Palatino Linotype"/>
          <w:i/>
          <w:szCs w:val="24"/>
        </w:rPr>
        <w:lastRenderedPageBreak/>
        <w:t>instancias superiores. Por todo ello, el deber de motivación es una de las “debidas garantías” incluidas en el artículo 8.1 para salvaguardar el derecho a un debido proceso.</w:t>
      </w:r>
    </w:p>
    <w:p w:rsidR="0078631B" w:rsidRDefault="0078631B" w:rsidP="00FE21DC">
      <w:pPr>
        <w:spacing w:before="240" w:line="360" w:lineRule="auto"/>
        <w:jc w:val="both"/>
        <w:rPr>
          <w:rFonts w:ascii="Palatino Linotype" w:hAnsi="Palatino Linotype"/>
          <w:sz w:val="24"/>
          <w:szCs w:val="24"/>
        </w:rPr>
      </w:pPr>
      <w:r>
        <w:rPr>
          <w:rFonts w:ascii="Palatino Linotype" w:hAnsi="Palatino Linotype"/>
          <w:sz w:val="24"/>
          <w:szCs w:val="24"/>
        </w:rPr>
        <w:t>Así pues, como se desprende de lo anterior</w:t>
      </w:r>
      <w:r w:rsidR="001A63EA">
        <w:rPr>
          <w:rFonts w:ascii="Palatino Linotype" w:hAnsi="Palatino Linotype"/>
          <w:sz w:val="24"/>
          <w:szCs w:val="24"/>
        </w:rPr>
        <w:t>,</w:t>
      </w:r>
      <w:r>
        <w:rPr>
          <w:rFonts w:ascii="Palatino Linotype" w:hAnsi="Palatino Linotype"/>
          <w:sz w:val="24"/>
          <w:szCs w:val="24"/>
        </w:rPr>
        <w:t xml:space="preserve"> ante la negativa del sujeto obligado de no entregar la </w:t>
      </w:r>
      <w:r w:rsidR="00A05DE6">
        <w:rPr>
          <w:rFonts w:ascii="Palatino Linotype" w:hAnsi="Palatino Linotype"/>
          <w:sz w:val="24"/>
          <w:szCs w:val="24"/>
        </w:rPr>
        <w:t>información solicitada por el recurrente</w:t>
      </w:r>
      <w:r>
        <w:rPr>
          <w:rFonts w:ascii="Palatino Linotype" w:hAnsi="Palatino Linotype"/>
          <w:sz w:val="24"/>
          <w:szCs w:val="24"/>
        </w:rPr>
        <w:t xml:space="preserve">, </w:t>
      </w:r>
      <w:r w:rsidR="001A63EA">
        <w:rPr>
          <w:rFonts w:ascii="Palatino Linotype" w:hAnsi="Palatino Linotype"/>
          <w:sz w:val="24"/>
          <w:szCs w:val="24"/>
        </w:rPr>
        <w:t>debió fundamentar y motivar el porqué de su negativa para poder entregar el docume</w:t>
      </w:r>
      <w:r w:rsidR="00A05DE6">
        <w:rPr>
          <w:rFonts w:ascii="Palatino Linotype" w:hAnsi="Palatino Linotype"/>
          <w:sz w:val="24"/>
          <w:szCs w:val="24"/>
        </w:rPr>
        <w:t>nto solicitado por el particular</w:t>
      </w:r>
      <w:r w:rsidR="001A63EA">
        <w:rPr>
          <w:rFonts w:ascii="Palatino Linotype" w:hAnsi="Palatino Linotype"/>
          <w:sz w:val="24"/>
          <w:szCs w:val="24"/>
        </w:rPr>
        <w:t xml:space="preserve">, </w:t>
      </w:r>
      <w:r w:rsidR="00A05DE6">
        <w:rPr>
          <w:rFonts w:ascii="Palatino Linotype" w:hAnsi="Palatino Linotype"/>
          <w:sz w:val="24"/>
          <w:szCs w:val="24"/>
        </w:rPr>
        <w:t>asimismo no es óbice mencionar que de la información solicitada no pone en riesgo la seguridad pública,</w:t>
      </w:r>
      <w:r w:rsidR="001A63EA">
        <w:rPr>
          <w:rFonts w:ascii="Palatino Linotype" w:hAnsi="Palatino Linotype"/>
          <w:sz w:val="24"/>
          <w:szCs w:val="24"/>
        </w:rPr>
        <w:t xml:space="preserve"> por lo cual no procedería su clasificación y en el caso de que contenga datos que sean susceptibles de clasificarse, podrá entregarse en versión pública, tomando en cuenta las siguientes consideraciones.</w:t>
      </w:r>
    </w:p>
    <w:p w:rsidR="00A05DE6" w:rsidRDefault="00A05DE6" w:rsidP="0078631B">
      <w:pPr>
        <w:tabs>
          <w:tab w:val="left" w:pos="709"/>
        </w:tabs>
        <w:spacing w:before="240" w:line="360" w:lineRule="auto"/>
        <w:ind w:right="567"/>
        <w:jc w:val="both"/>
        <w:rPr>
          <w:rFonts w:ascii="Palatino Linotype" w:hAnsi="Palatino Linotype"/>
          <w:sz w:val="24"/>
          <w:szCs w:val="24"/>
        </w:rPr>
      </w:pPr>
      <w:r>
        <w:rPr>
          <w:rFonts w:ascii="Palatino Linotype" w:hAnsi="Palatino Linotype"/>
          <w:sz w:val="24"/>
          <w:szCs w:val="24"/>
        </w:rPr>
        <w:t>Luego entonces, es menester establecer que la información a la cual pretende acceder el solicitante es pública y de interés social, sin embargo no pasa desapercibido, que los sujetos obligados no pueden entregar la información al grado de detalle que lo soliciten los particulares y no se encuentran o</w:t>
      </w:r>
      <w:r w:rsidR="003D70C8">
        <w:rPr>
          <w:rFonts w:ascii="Palatino Linotype" w:hAnsi="Palatino Linotype"/>
          <w:sz w:val="24"/>
          <w:szCs w:val="24"/>
        </w:rPr>
        <w:t>bligados a procesarla, asimismo la Ley establece que únicamente se entregara la información que genere, posea o administre y obre en sus archivos y en el estado en que se encuentre de conformidad con el numeral 12 de la Ley de la materia.</w:t>
      </w:r>
    </w:p>
    <w:p w:rsidR="003D70C8" w:rsidRDefault="00AA3C6C" w:rsidP="0078631B">
      <w:pPr>
        <w:tabs>
          <w:tab w:val="left" w:pos="709"/>
        </w:tabs>
        <w:spacing w:before="240" w:line="360" w:lineRule="auto"/>
        <w:ind w:right="567"/>
        <w:jc w:val="both"/>
        <w:rPr>
          <w:rFonts w:ascii="Palatino Linotype" w:hAnsi="Palatino Linotype"/>
          <w:sz w:val="24"/>
          <w:szCs w:val="24"/>
        </w:rPr>
      </w:pPr>
      <w:r>
        <w:rPr>
          <w:rFonts w:ascii="Palatino Linotype" w:hAnsi="Palatino Linotype"/>
          <w:sz w:val="24"/>
          <w:szCs w:val="24"/>
        </w:rPr>
        <w:t xml:space="preserve">Bajo </w:t>
      </w:r>
      <w:r w:rsidR="00F93B2C">
        <w:rPr>
          <w:rFonts w:ascii="Palatino Linotype" w:hAnsi="Palatino Linotype"/>
          <w:sz w:val="24"/>
          <w:szCs w:val="24"/>
        </w:rPr>
        <w:t>esos argumentos y para mayor entendimiento de lo que solicita el recurrente es necesario partir de lo siguiente.</w:t>
      </w:r>
    </w:p>
    <w:p w:rsidR="00F93B2C" w:rsidRDefault="00F93B2C" w:rsidP="00F93B2C">
      <w:pPr>
        <w:pStyle w:val="Prrafodelista"/>
        <w:numPr>
          <w:ilvl w:val="0"/>
          <w:numId w:val="28"/>
        </w:numPr>
        <w:tabs>
          <w:tab w:val="left" w:pos="709"/>
        </w:tabs>
        <w:spacing w:before="240" w:line="360" w:lineRule="auto"/>
        <w:ind w:right="567"/>
        <w:jc w:val="both"/>
        <w:rPr>
          <w:rFonts w:ascii="Palatino Linotype" w:hAnsi="Palatino Linotype"/>
        </w:rPr>
      </w:pPr>
      <w:r>
        <w:rPr>
          <w:rFonts w:ascii="Palatino Linotype" w:hAnsi="Palatino Linotype"/>
        </w:rPr>
        <w:t>Procesos de Licitación, Adjudicación Directa, Adjudicación Restringida, de Compra, Adquisición, Arrendamiento y Comodato de todos los vehículos a nombre del Municipio y Ayuntamiento.</w:t>
      </w:r>
    </w:p>
    <w:p w:rsidR="004414F7" w:rsidRPr="000F1B9B" w:rsidRDefault="004414F7" w:rsidP="007026F3">
      <w:pPr>
        <w:pStyle w:val="Prrafodelista"/>
        <w:numPr>
          <w:ilvl w:val="0"/>
          <w:numId w:val="28"/>
        </w:numPr>
        <w:tabs>
          <w:tab w:val="left" w:pos="709"/>
        </w:tabs>
        <w:spacing w:before="240" w:line="360" w:lineRule="auto"/>
        <w:ind w:right="567"/>
        <w:jc w:val="both"/>
        <w:rPr>
          <w:rFonts w:ascii="Palatino Linotype" w:hAnsi="Palatino Linotype"/>
        </w:rPr>
      </w:pPr>
      <w:r w:rsidRPr="000F1B9B">
        <w:rPr>
          <w:rFonts w:ascii="Palatino Linotype" w:hAnsi="Palatino Linotype"/>
        </w:rPr>
        <w:lastRenderedPageBreak/>
        <w:t>Facturas, recibos de pago, reporte de transferencias bancarias, nombre del proveedor, costo total de cada vehículo y su equipamiento</w:t>
      </w:r>
      <w:r w:rsidR="000F1B9B">
        <w:rPr>
          <w:rFonts w:ascii="Palatino Linotype" w:hAnsi="Palatino Linotype"/>
        </w:rPr>
        <w:t>,</w:t>
      </w:r>
      <w:r w:rsidRPr="000F1B9B">
        <w:rPr>
          <w:rFonts w:ascii="Palatino Linotype" w:hAnsi="Palatino Linotype"/>
        </w:rPr>
        <w:t xml:space="preserve"> </w:t>
      </w:r>
      <w:r w:rsidR="000F1B9B">
        <w:rPr>
          <w:rFonts w:ascii="Palatino Linotype" w:hAnsi="Palatino Linotype"/>
        </w:rPr>
        <w:t>a</w:t>
      </w:r>
      <w:r w:rsidRPr="000F1B9B">
        <w:rPr>
          <w:rFonts w:ascii="Palatino Linotype" w:hAnsi="Palatino Linotype"/>
        </w:rPr>
        <w:t>gencia de compra, lote de compra, proveedor, empresa, persona física que las haya vendido, arrendado o prestado, marca, modelo, costo factura, impuesto y derechos que se paguen, kilometraje, fotografías de evidencia, especificando a que unidad administrativa están resguardadas.</w:t>
      </w:r>
    </w:p>
    <w:p w:rsidR="004414F7" w:rsidRDefault="004414F7" w:rsidP="004414F7">
      <w:pPr>
        <w:tabs>
          <w:tab w:val="left" w:pos="709"/>
        </w:tabs>
        <w:spacing w:before="240" w:line="360" w:lineRule="auto"/>
        <w:ind w:right="567"/>
        <w:jc w:val="both"/>
        <w:rPr>
          <w:rFonts w:ascii="Palatino Linotype" w:hAnsi="Palatino Linotype"/>
          <w:sz w:val="24"/>
        </w:rPr>
      </w:pPr>
      <w:r w:rsidRPr="004414F7">
        <w:rPr>
          <w:rFonts w:ascii="Palatino Linotype" w:hAnsi="Palatino Linotype"/>
          <w:sz w:val="24"/>
        </w:rPr>
        <w:t xml:space="preserve">En ese tenor, respecto del primer punto, es de señalar que </w:t>
      </w:r>
      <w:r w:rsidR="00CA602E">
        <w:rPr>
          <w:rFonts w:ascii="Palatino Linotype" w:hAnsi="Palatino Linotype"/>
          <w:sz w:val="24"/>
        </w:rPr>
        <w:t>la Ley de Contratación</w:t>
      </w:r>
      <w:r w:rsidR="002075BB">
        <w:rPr>
          <w:rFonts w:ascii="Palatino Linotype" w:hAnsi="Palatino Linotype"/>
          <w:sz w:val="24"/>
        </w:rPr>
        <w:t xml:space="preserve"> Pú</w:t>
      </w:r>
      <w:r w:rsidR="00CA602E">
        <w:rPr>
          <w:rFonts w:ascii="Palatino Linotype" w:hAnsi="Palatino Linotype"/>
          <w:sz w:val="24"/>
        </w:rPr>
        <w:t xml:space="preserve">blica del Estado de México y Municipios </w:t>
      </w:r>
      <w:r w:rsidR="002075BB">
        <w:rPr>
          <w:rFonts w:ascii="Palatino Linotype" w:hAnsi="Palatino Linotype"/>
          <w:sz w:val="24"/>
        </w:rPr>
        <w:t>y su Reglamento establecen lo siguiente:</w:t>
      </w:r>
    </w:p>
    <w:p w:rsidR="00CA602E" w:rsidRPr="00CA602E" w:rsidRDefault="00CA602E" w:rsidP="00CA602E">
      <w:pPr>
        <w:tabs>
          <w:tab w:val="left" w:pos="709"/>
        </w:tabs>
        <w:spacing w:before="240" w:line="360" w:lineRule="auto"/>
        <w:ind w:left="708" w:right="567"/>
        <w:jc w:val="both"/>
        <w:rPr>
          <w:rFonts w:ascii="Palatino Linotype" w:hAnsi="Palatino Linotype"/>
          <w:i/>
        </w:rPr>
      </w:pPr>
      <w:r w:rsidRPr="00CA602E">
        <w:rPr>
          <w:rFonts w:ascii="Palatino Linotype" w:hAnsi="Palatino Linotype"/>
          <w:i/>
        </w:rPr>
        <w:t xml:space="preserve">Artículo 26.- Las adquisiciones, arrendamientos y servicios se adjudicarán a través de licitaciones públicas, mediante convocatoria pública. </w:t>
      </w:r>
    </w:p>
    <w:p w:rsidR="00CA602E" w:rsidRPr="00CA602E" w:rsidRDefault="00CA602E" w:rsidP="00CA602E">
      <w:pPr>
        <w:tabs>
          <w:tab w:val="left" w:pos="709"/>
        </w:tabs>
        <w:spacing w:before="240" w:line="360" w:lineRule="auto"/>
        <w:ind w:left="708" w:right="567"/>
        <w:jc w:val="both"/>
        <w:rPr>
          <w:rFonts w:ascii="Palatino Linotype" w:hAnsi="Palatino Linotype"/>
          <w:i/>
        </w:rPr>
      </w:pPr>
      <w:r w:rsidRPr="00CA602E">
        <w:rPr>
          <w:rFonts w:ascii="Palatino Linotype" w:hAnsi="Palatino Linotype"/>
          <w:i/>
        </w:rPr>
        <w:t xml:space="preserve">Artículo 27.- La Secretaría, las entidades, los tribunales administrativos y los ayuntamientos podrán adjudicar adquisiciones, arrendamientos y servicios, mediante las excepciones al procedimiento de licitación que a continuación se señalan: </w:t>
      </w:r>
    </w:p>
    <w:p w:rsidR="00CA602E" w:rsidRPr="00CA602E" w:rsidRDefault="00CA602E" w:rsidP="00CA602E">
      <w:pPr>
        <w:pStyle w:val="Prrafodelista"/>
        <w:numPr>
          <w:ilvl w:val="0"/>
          <w:numId w:val="29"/>
        </w:numPr>
        <w:tabs>
          <w:tab w:val="left" w:pos="709"/>
        </w:tabs>
        <w:spacing w:before="240" w:line="360" w:lineRule="auto"/>
        <w:ind w:left="1788" w:right="567"/>
        <w:jc w:val="both"/>
        <w:rPr>
          <w:rFonts w:ascii="Palatino Linotype" w:hAnsi="Palatino Linotype"/>
          <w:i/>
          <w:sz w:val="22"/>
          <w:szCs w:val="22"/>
        </w:rPr>
      </w:pPr>
      <w:r w:rsidRPr="00CA602E">
        <w:rPr>
          <w:rFonts w:ascii="Palatino Linotype" w:hAnsi="Palatino Linotype"/>
          <w:i/>
          <w:sz w:val="22"/>
          <w:szCs w:val="22"/>
        </w:rPr>
        <w:t xml:space="preserve">Invitación restringida. </w:t>
      </w:r>
    </w:p>
    <w:p w:rsidR="00CA602E" w:rsidRPr="00CA602E" w:rsidRDefault="00CA602E" w:rsidP="00CA602E">
      <w:pPr>
        <w:pStyle w:val="Prrafodelista"/>
        <w:numPr>
          <w:ilvl w:val="0"/>
          <w:numId w:val="29"/>
        </w:numPr>
        <w:tabs>
          <w:tab w:val="left" w:pos="709"/>
        </w:tabs>
        <w:spacing w:before="240" w:line="360" w:lineRule="auto"/>
        <w:ind w:left="1788" w:right="567"/>
        <w:jc w:val="both"/>
        <w:rPr>
          <w:rFonts w:ascii="Palatino Linotype" w:hAnsi="Palatino Linotype"/>
          <w:i/>
          <w:sz w:val="22"/>
          <w:szCs w:val="22"/>
        </w:rPr>
      </w:pPr>
      <w:r w:rsidRPr="00CA602E">
        <w:rPr>
          <w:rFonts w:ascii="Palatino Linotype" w:hAnsi="Palatino Linotype"/>
          <w:i/>
          <w:sz w:val="22"/>
          <w:szCs w:val="22"/>
        </w:rPr>
        <w:t xml:space="preserve">Adjudicación directa. </w:t>
      </w:r>
    </w:p>
    <w:p w:rsidR="00CA602E" w:rsidRPr="00CA602E" w:rsidRDefault="00CA602E" w:rsidP="00CA602E">
      <w:pPr>
        <w:tabs>
          <w:tab w:val="left" w:pos="709"/>
        </w:tabs>
        <w:spacing w:before="240" w:line="360" w:lineRule="auto"/>
        <w:ind w:left="708" w:right="567"/>
        <w:jc w:val="both"/>
        <w:rPr>
          <w:rFonts w:ascii="Palatino Linotype" w:hAnsi="Palatino Linotype"/>
          <w:i/>
        </w:rPr>
      </w:pPr>
      <w:r w:rsidRPr="00CA602E">
        <w:rPr>
          <w:rFonts w:ascii="Palatino Linotype" w:hAnsi="Palatino Linotype"/>
          <w:i/>
        </w:rPr>
        <w:t xml:space="preserve">Artículo 28.- La licitación pública, conforme a los medios que se utilicen, podrá ser: </w:t>
      </w:r>
    </w:p>
    <w:p w:rsidR="00CA602E" w:rsidRPr="00CA602E" w:rsidRDefault="00CA602E" w:rsidP="00CA602E">
      <w:pPr>
        <w:pStyle w:val="Prrafodelista"/>
        <w:numPr>
          <w:ilvl w:val="0"/>
          <w:numId w:val="30"/>
        </w:numPr>
        <w:tabs>
          <w:tab w:val="left" w:pos="709"/>
        </w:tabs>
        <w:spacing w:before="240" w:line="360" w:lineRule="auto"/>
        <w:ind w:left="1788" w:right="567"/>
        <w:jc w:val="both"/>
        <w:rPr>
          <w:rFonts w:ascii="Palatino Linotype" w:hAnsi="Palatino Linotype"/>
          <w:i/>
          <w:sz w:val="22"/>
          <w:szCs w:val="22"/>
        </w:rPr>
      </w:pPr>
      <w:r w:rsidRPr="00CA602E">
        <w:rPr>
          <w:rFonts w:ascii="Palatino Linotype" w:hAnsi="Palatino Linotype"/>
          <w:i/>
          <w:sz w:val="22"/>
          <w:szCs w:val="22"/>
        </w:rPr>
        <w:t xml:space="preserve">Presencial, en la cual los licitantes exclusivamente podrán presentar sus propuestas en forma documental y por escrito, en sobre cerrado, durante el acto de presentación y apertura de propuestas, o bien, si así se prevé en la convocatoria a la licitación, mediante el uso del servicio postal. </w:t>
      </w:r>
    </w:p>
    <w:p w:rsidR="00CA602E" w:rsidRPr="00CA602E" w:rsidRDefault="00CA602E" w:rsidP="00CA602E">
      <w:pPr>
        <w:pStyle w:val="Prrafodelista"/>
        <w:tabs>
          <w:tab w:val="left" w:pos="709"/>
        </w:tabs>
        <w:spacing w:before="240" w:line="360" w:lineRule="auto"/>
        <w:ind w:left="1788" w:right="567"/>
        <w:jc w:val="both"/>
        <w:rPr>
          <w:rFonts w:ascii="Palatino Linotype" w:hAnsi="Palatino Linotype"/>
          <w:i/>
          <w:sz w:val="22"/>
          <w:szCs w:val="22"/>
        </w:rPr>
      </w:pPr>
      <w:r w:rsidRPr="00CA602E">
        <w:rPr>
          <w:rFonts w:ascii="Palatino Linotype" w:hAnsi="Palatino Linotype"/>
          <w:i/>
          <w:sz w:val="22"/>
          <w:szCs w:val="22"/>
        </w:rPr>
        <w:lastRenderedPageBreak/>
        <w:t xml:space="preserve">Bajo esta modalidad, la o las juntas de aclaraciones, el acto de presentación y la apertura de propuestas se realizarán de manera presencial, a los cuales podrán asistir los licitantes. </w:t>
      </w:r>
    </w:p>
    <w:p w:rsidR="00CA602E" w:rsidRPr="00CA602E" w:rsidRDefault="00CA602E" w:rsidP="00CA602E">
      <w:pPr>
        <w:pStyle w:val="Prrafodelista"/>
        <w:numPr>
          <w:ilvl w:val="0"/>
          <w:numId w:val="30"/>
        </w:numPr>
        <w:tabs>
          <w:tab w:val="left" w:pos="709"/>
        </w:tabs>
        <w:spacing w:before="240" w:line="360" w:lineRule="auto"/>
        <w:ind w:left="1788" w:right="567"/>
        <w:jc w:val="both"/>
        <w:rPr>
          <w:rFonts w:ascii="Palatino Linotype" w:hAnsi="Palatino Linotype"/>
          <w:i/>
          <w:sz w:val="22"/>
          <w:szCs w:val="22"/>
        </w:rPr>
      </w:pPr>
      <w:r w:rsidRPr="00CA602E">
        <w:rPr>
          <w:rFonts w:ascii="Palatino Linotype" w:hAnsi="Palatino Linotype"/>
          <w:i/>
          <w:sz w:val="22"/>
          <w:szCs w:val="22"/>
        </w:rPr>
        <w:t xml:space="preserve">Electrónica, en la cual exclusivamente se permitirá la participación de los licitantes a través de COMPRAMEX, se utilizarán medios de identificación electrónica, las comunicaciones producirán los efectos que señala la Ley para el Uso de Medios Electrónicos del Estado de México. </w:t>
      </w:r>
    </w:p>
    <w:p w:rsidR="00CA602E" w:rsidRPr="00CA602E" w:rsidRDefault="00CA602E" w:rsidP="00CA602E">
      <w:pPr>
        <w:pStyle w:val="Prrafodelista"/>
        <w:tabs>
          <w:tab w:val="left" w:pos="709"/>
        </w:tabs>
        <w:spacing w:before="240" w:line="360" w:lineRule="auto"/>
        <w:ind w:left="1788" w:right="567"/>
        <w:jc w:val="both"/>
        <w:rPr>
          <w:rFonts w:ascii="Palatino Linotype" w:hAnsi="Palatino Linotype"/>
          <w:i/>
          <w:sz w:val="22"/>
          <w:szCs w:val="22"/>
        </w:rPr>
      </w:pPr>
      <w:r w:rsidRPr="00CA602E">
        <w:rPr>
          <w:rFonts w:ascii="Palatino Linotype" w:hAnsi="Palatino Linotype"/>
          <w:i/>
          <w:sz w:val="22"/>
          <w:szCs w:val="22"/>
        </w:rPr>
        <w:t xml:space="preserve">Bajo esta modalidad, la o las juntas de aclaraciones, el acto de presentación, la apertura de propuestas y el acto de fallo sólo se realizarán a través de COMPRAMEX y sin la presencia de los licitantes en dichos actos, y </w:t>
      </w:r>
    </w:p>
    <w:p w:rsidR="00CA602E" w:rsidRPr="00CA602E" w:rsidRDefault="00CA602E" w:rsidP="00CA602E">
      <w:pPr>
        <w:pStyle w:val="Prrafodelista"/>
        <w:numPr>
          <w:ilvl w:val="0"/>
          <w:numId w:val="30"/>
        </w:numPr>
        <w:tabs>
          <w:tab w:val="left" w:pos="709"/>
        </w:tabs>
        <w:spacing w:before="240" w:line="360" w:lineRule="auto"/>
        <w:ind w:left="1788" w:right="567"/>
        <w:jc w:val="both"/>
        <w:rPr>
          <w:rFonts w:ascii="Palatino Linotype" w:hAnsi="Palatino Linotype"/>
          <w:i/>
          <w:sz w:val="22"/>
          <w:szCs w:val="22"/>
        </w:rPr>
      </w:pPr>
      <w:r w:rsidRPr="00CA602E">
        <w:rPr>
          <w:rFonts w:ascii="Palatino Linotype" w:hAnsi="Palatino Linotype"/>
          <w:i/>
          <w:sz w:val="22"/>
          <w:szCs w:val="22"/>
        </w:rPr>
        <w:t>Mixta, en la cual los licitantes, a su elección, podrán participar en forma presencial o electrónica en la o las juntas de aclaraciones, en el acto de presentación y en la apertura de propuestas, y el acto de fallo.</w:t>
      </w:r>
    </w:p>
    <w:p w:rsidR="008058A5" w:rsidRPr="008058A5" w:rsidRDefault="002075BB" w:rsidP="008058A5">
      <w:pPr>
        <w:tabs>
          <w:tab w:val="left" w:pos="709"/>
        </w:tabs>
        <w:spacing w:before="240" w:line="360" w:lineRule="auto"/>
        <w:ind w:left="709" w:right="567"/>
        <w:jc w:val="both"/>
        <w:rPr>
          <w:rFonts w:ascii="Palatino Linotype" w:hAnsi="Palatino Linotype"/>
          <w:i/>
        </w:rPr>
      </w:pPr>
      <w:r w:rsidRPr="002075BB">
        <w:rPr>
          <w:rFonts w:ascii="Palatino Linotype" w:hAnsi="Palatino Linotype"/>
          <w:b/>
          <w:i/>
          <w:sz w:val="24"/>
        </w:rPr>
        <w:t>Reglamento de la Ley de Contratación Pública del Estado de México y Municipios</w:t>
      </w:r>
      <w:r w:rsidRPr="002075BB">
        <w:rPr>
          <w:rFonts w:ascii="Palatino Linotype" w:hAnsi="Palatino Linotype"/>
          <w:b/>
          <w:i/>
          <w:sz w:val="24"/>
        </w:rPr>
        <w:cr/>
      </w:r>
      <w:r w:rsidR="008058A5" w:rsidRPr="008058A5">
        <w:rPr>
          <w:rFonts w:ascii="Palatino Linotype" w:hAnsi="Palatino Linotype"/>
          <w:i/>
        </w:rPr>
        <w:t xml:space="preserve">Artículo 90.- En el procedimiento de invitación restringida se deberá observar lo siguiente: </w:t>
      </w:r>
    </w:p>
    <w:p w:rsidR="008058A5" w:rsidRPr="008058A5" w:rsidRDefault="008058A5" w:rsidP="008058A5">
      <w:pPr>
        <w:pStyle w:val="Prrafodelista"/>
        <w:numPr>
          <w:ilvl w:val="0"/>
          <w:numId w:val="31"/>
        </w:numPr>
        <w:tabs>
          <w:tab w:val="left" w:pos="709"/>
        </w:tabs>
        <w:spacing w:before="240" w:line="360" w:lineRule="auto"/>
        <w:ind w:left="1429" w:right="567"/>
        <w:jc w:val="both"/>
        <w:rPr>
          <w:rFonts w:ascii="Palatino Linotype" w:hAnsi="Palatino Linotype"/>
          <w:i/>
          <w:sz w:val="22"/>
          <w:szCs w:val="22"/>
        </w:rPr>
      </w:pPr>
      <w:r w:rsidRPr="008058A5">
        <w:rPr>
          <w:rFonts w:ascii="Palatino Linotype" w:hAnsi="Palatino Linotype"/>
          <w:i/>
          <w:sz w:val="22"/>
          <w:szCs w:val="22"/>
        </w:rPr>
        <w:t xml:space="preserve">Se invitará a un mínimo de tres personas seleccionadas de entre las que se encuentren inscritas e n el catálogo de proveedores y de prestadores de servicios. Se podrá invitar a personas que no se encuentren inscritas, cuando en el giro correspondiente del catálogo de proveedores y prestadores de servicios no exista el registro mínimo de personas requeridas para tal modalidad; </w:t>
      </w:r>
    </w:p>
    <w:p w:rsidR="008058A5" w:rsidRPr="008058A5" w:rsidRDefault="008058A5" w:rsidP="008058A5">
      <w:pPr>
        <w:pStyle w:val="Prrafodelista"/>
        <w:numPr>
          <w:ilvl w:val="0"/>
          <w:numId w:val="31"/>
        </w:numPr>
        <w:tabs>
          <w:tab w:val="left" w:pos="709"/>
        </w:tabs>
        <w:spacing w:before="240" w:line="360" w:lineRule="auto"/>
        <w:ind w:left="1429" w:right="567"/>
        <w:jc w:val="both"/>
        <w:rPr>
          <w:rFonts w:ascii="Palatino Linotype" w:hAnsi="Palatino Linotype"/>
          <w:b/>
          <w:i/>
          <w:sz w:val="22"/>
          <w:szCs w:val="22"/>
        </w:rPr>
      </w:pPr>
      <w:r w:rsidRPr="008058A5">
        <w:rPr>
          <w:rFonts w:ascii="Palatino Linotype" w:hAnsi="Palatino Linotype"/>
          <w:i/>
          <w:sz w:val="22"/>
          <w:szCs w:val="22"/>
        </w:rPr>
        <w:lastRenderedPageBreak/>
        <w:t xml:space="preserve">Las bases de la invitación restringida indicarán los aspectos de la adquisición o contratación; y </w:t>
      </w:r>
    </w:p>
    <w:p w:rsidR="008058A5" w:rsidRPr="008058A5" w:rsidRDefault="008058A5" w:rsidP="008058A5">
      <w:pPr>
        <w:pStyle w:val="Prrafodelista"/>
        <w:numPr>
          <w:ilvl w:val="0"/>
          <w:numId w:val="31"/>
        </w:numPr>
        <w:tabs>
          <w:tab w:val="left" w:pos="709"/>
        </w:tabs>
        <w:spacing w:before="240" w:line="360" w:lineRule="auto"/>
        <w:ind w:left="1429" w:right="567"/>
        <w:jc w:val="both"/>
        <w:rPr>
          <w:rFonts w:ascii="Palatino Linotype" w:hAnsi="Palatino Linotype"/>
          <w:b/>
          <w:i/>
          <w:sz w:val="22"/>
          <w:szCs w:val="22"/>
        </w:rPr>
      </w:pPr>
      <w:r w:rsidRPr="008058A5">
        <w:rPr>
          <w:rFonts w:ascii="Palatino Linotype" w:hAnsi="Palatino Linotype"/>
          <w:i/>
          <w:sz w:val="22"/>
          <w:szCs w:val="22"/>
        </w:rPr>
        <w:t>Serán aplicables, en lo conducente, las disposiciones de la licitación pública.</w:t>
      </w:r>
    </w:p>
    <w:p w:rsidR="002075BB" w:rsidRPr="002075BB" w:rsidRDefault="002075BB" w:rsidP="002075BB">
      <w:pPr>
        <w:tabs>
          <w:tab w:val="left" w:pos="709"/>
        </w:tabs>
        <w:spacing w:before="240" w:line="360" w:lineRule="auto"/>
        <w:ind w:left="708" w:right="567"/>
        <w:jc w:val="both"/>
        <w:rPr>
          <w:rFonts w:ascii="Palatino Linotype" w:hAnsi="Palatino Linotype"/>
          <w:i/>
        </w:rPr>
      </w:pPr>
      <w:r w:rsidRPr="002075BB">
        <w:rPr>
          <w:rFonts w:ascii="Palatino Linotype" w:hAnsi="Palatino Linotype"/>
          <w:i/>
        </w:rPr>
        <w:t xml:space="preserve">Artículo 91.- La Secretaría, organismos auxiliares, tribunales administrativos y municipios podrán adquirir, arrendar o enajenar bienes, y contratar servicios, mediante el procedimiento de adjudicación directa en los términos establecidos por la Ley. </w:t>
      </w:r>
    </w:p>
    <w:p w:rsidR="002075BB" w:rsidRPr="002075BB" w:rsidRDefault="002075BB" w:rsidP="002075BB">
      <w:pPr>
        <w:tabs>
          <w:tab w:val="left" w:pos="709"/>
        </w:tabs>
        <w:spacing w:before="240" w:line="360" w:lineRule="auto"/>
        <w:ind w:left="708" w:right="567"/>
        <w:jc w:val="both"/>
        <w:rPr>
          <w:rFonts w:ascii="Palatino Linotype" w:hAnsi="Palatino Linotype"/>
          <w:i/>
        </w:rPr>
      </w:pPr>
      <w:r w:rsidRPr="002075BB">
        <w:rPr>
          <w:rFonts w:ascii="Palatino Linotype" w:hAnsi="Palatino Linotype"/>
          <w:i/>
        </w:rPr>
        <w:t xml:space="preserve">Artículo 92.- Para los procedimientos de adjudicación directa cuyo importe de la operación no rebase los montos establecidos en el Presupuesto de Egresos del Gobierno del Estado en el ejercicio correspondiente y, cuyo importe sea superior al monto determinado para el fondo fijo de caja; se deberá celebrar contrato pedido, sin que sea necesario observar las disposiciones de los demás artículos de esta Sección. </w:t>
      </w:r>
    </w:p>
    <w:p w:rsidR="002075BB" w:rsidRPr="002075BB" w:rsidRDefault="002075BB" w:rsidP="002075BB">
      <w:pPr>
        <w:tabs>
          <w:tab w:val="left" w:pos="709"/>
        </w:tabs>
        <w:spacing w:before="240" w:line="360" w:lineRule="auto"/>
        <w:ind w:left="708" w:right="567"/>
        <w:jc w:val="both"/>
        <w:rPr>
          <w:rFonts w:ascii="Palatino Linotype" w:hAnsi="Palatino Linotype"/>
          <w:i/>
        </w:rPr>
      </w:pPr>
      <w:r w:rsidRPr="002075BB">
        <w:rPr>
          <w:rFonts w:ascii="Palatino Linotype" w:hAnsi="Palatino Linotype"/>
          <w:i/>
        </w:rPr>
        <w:t xml:space="preserve">En este supuesto, las dependencias, organismos auxiliares y tribunales administrativos deberán obtener preferentemente a través de la Secretaría dentro de los treinta días naturales anteriores a la fecha de la contratación, al menos dos cotizaciones, que deberán sujetarse al precio máximo derivado del estudio de mercado, al que deberán adjudicarse los bienes y servicios; analizando previamente su contenido técnico y económico para seleccionar la que presente las mejores condiciones para el Estado. </w:t>
      </w:r>
    </w:p>
    <w:p w:rsidR="00AA3C6C" w:rsidRPr="002075BB" w:rsidRDefault="002075BB" w:rsidP="002075BB">
      <w:pPr>
        <w:tabs>
          <w:tab w:val="left" w:pos="709"/>
        </w:tabs>
        <w:spacing w:before="240" w:line="360" w:lineRule="auto"/>
        <w:ind w:left="708" w:right="567"/>
        <w:jc w:val="both"/>
        <w:rPr>
          <w:rFonts w:ascii="Palatino Linotype" w:hAnsi="Palatino Linotype"/>
          <w:i/>
          <w:sz w:val="24"/>
          <w:szCs w:val="24"/>
        </w:rPr>
      </w:pPr>
      <w:r w:rsidRPr="002075BB">
        <w:rPr>
          <w:rFonts w:ascii="Palatino Linotype" w:hAnsi="Palatino Linotype"/>
          <w:i/>
        </w:rPr>
        <w:t>En el caso de los municipios, las cotizaciones deberán obtenerse a través de sus áreas de administración.</w:t>
      </w:r>
    </w:p>
    <w:p w:rsidR="00E406E8" w:rsidRDefault="00E406E8" w:rsidP="0078631B">
      <w:pPr>
        <w:tabs>
          <w:tab w:val="left" w:pos="709"/>
        </w:tabs>
        <w:spacing w:before="240" w:line="360" w:lineRule="auto"/>
        <w:ind w:right="567"/>
        <w:jc w:val="both"/>
        <w:rPr>
          <w:rFonts w:ascii="Palatino Linotype" w:hAnsi="Palatino Linotype"/>
          <w:sz w:val="24"/>
          <w:szCs w:val="24"/>
        </w:rPr>
      </w:pPr>
      <w:r>
        <w:rPr>
          <w:rFonts w:ascii="Palatino Linotype" w:hAnsi="Palatino Linotype"/>
          <w:sz w:val="24"/>
          <w:szCs w:val="24"/>
        </w:rPr>
        <w:t xml:space="preserve">Bajo tal premisa, los ayuntamientos podrán realizar adquisiciones, arrendamientos y contratación de servicios mediante licitaciones públicas, así también, podrán adjudicar mediante invitación restringida y adjudicación directa; las primeras podrán ser: presenciales, en las cuales los licitantes </w:t>
      </w:r>
      <w:r>
        <w:rPr>
          <w:rFonts w:ascii="Palatino Linotype" w:hAnsi="Palatino Linotype"/>
          <w:sz w:val="24"/>
          <w:szCs w:val="24"/>
        </w:rPr>
        <w:lastRenderedPageBreak/>
        <w:t>presentaran sus propuestas en forma documental y por escrito; electrónicas, donde se participara a través de CO</w:t>
      </w:r>
      <w:r w:rsidR="001C106E">
        <w:rPr>
          <w:rFonts w:ascii="Palatino Linotype" w:hAnsi="Palatino Linotype"/>
          <w:sz w:val="24"/>
          <w:szCs w:val="24"/>
        </w:rPr>
        <w:t>M</w:t>
      </w:r>
      <w:r>
        <w:rPr>
          <w:rFonts w:ascii="Palatino Linotype" w:hAnsi="Palatino Linotype"/>
          <w:sz w:val="24"/>
          <w:szCs w:val="24"/>
        </w:rPr>
        <w:t>PRAMEX; mixta, los licitantes podrán participar en cual quiera de las dos formas anteriores.</w:t>
      </w:r>
    </w:p>
    <w:p w:rsidR="00A05DE6" w:rsidRDefault="00E406E8" w:rsidP="0078631B">
      <w:pPr>
        <w:tabs>
          <w:tab w:val="left" w:pos="709"/>
        </w:tabs>
        <w:spacing w:before="240" w:line="360" w:lineRule="auto"/>
        <w:ind w:right="567"/>
        <w:jc w:val="both"/>
        <w:rPr>
          <w:rFonts w:ascii="Palatino Linotype" w:hAnsi="Palatino Linotype"/>
          <w:sz w:val="24"/>
          <w:szCs w:val="24"/>
        </w:rPr>
      </w:pPr>
      <w:r>
        <w:rPr>
          <w:rFonts w:ascii="Palatino Linotype" w:hAnsi="Palatino Linotype"/>
          <w:sz w:val="24"/>
          <w:szCs w:val="24"/>
        </w:rPr>
        <w:t xml:space="preserve"> Por cuerda separada, los ayuntamientos podrán adquirir, arrendar o enajenar bienes, </w:t>
      </w:r>
      <w:r w:rsidR="008058A5">
        <w:rPr>
          <w:rFonts w:ascii="Palatino Linotype" w:hAnsi="Palatino Linotype"/>
          <w:sz w:val="24"/>
          <w:szCs w:val="24"/>
        </w:rPr>
        <w:t xml:space="preserve">con excepción a la licitación pública mediante los procedimientos de invitación restringida y adjudicación directa, el primero se invitara a un mínimo de tres personas que se encuentren en el catálogo de proveedores y prestadores de servicios, por su parte el segundo </w:t>
      </w:r>
      <w:r w:rsidR="00F86908">
        <w:rPr>
          <w:rFonts w:ascii="Palatino Linotype" w:hAnsi="Palatino Linotype"/>
          <w:sz w:val="24"/>
          <w:szCs w:val="24"/>
        </w:rPr>
        <w:t>se deberá de celebrar contrato pedido el cual no será necesario observar las disposiciones en los demás artículos de esta Sección.</w:t>
      </w:r>
    </w:p>
    <w:p w:rsidR="000F1B9B" w:rsidRDefault="00AA5F3C" w:rsidP="0078631B">
      <w:pPr>
        <w:tabs>
          <w:tab w:val="left" w:pos="709"/>
        </w:tabs>
        <w:spacing w:before="240" w:line="360" w:lineRule="auto"/>
        <w:ind w:right="567"/>
        <w:jc w:val="both"/>
        <w:rPr>
          <w:rFonts w:ascii="Palatino Linotype" w:hAnsi="Palatino Linotype"/>
          <w:sz w:val="24"/>
          <w:szCs w:val="24"/>
        </w:rPr>
      </w:pPr>
      <w:r>
        <w:rPr>
          <w:rFonts w:ascii="Palatino Linotype" w:hAnsi="Palatino Linotype"/>
          <w:sz w:val="24"/>
          <w:szCs w:val="24"/>
        </w:rPr>
        <w:t>Por lo que corresponde al punto 2</w:t>
      </w:r>
      <w:r w:rsidR="000F1B9B">
        <w:rPr>
          <w:rFonts w:ascii="Palatino Linotype" w:hAnsi="Palatino Linotype"/>
          <w:sz w:val="24"/>
          <w:szCs w:val="24"/>
        </w:rPr>
        <w:t>, la Ley Orgánica Municipal del Estado de México señala:</w:t>
      </w:r>
    </w:p>
    <w:p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Artículo 53.- Los síndicos tendrán las siguientes atribuciones:</w:t>
      </w:r>
    </w:p>
    <w:p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p>
    <w:p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 xml:space="preserve">XI. Elaborar con la intervención del síndico el inventario general de los bienes muebles e inmuebles municipales, así como la integración del sistema de información inmobiliaria, que </w:t>
      </w:r>
      <w:r w:rsidRPr="00FC7B3A">
        <w:rPr>
          <w:rFonts w:ascii="Palatino Linotype" w:hAnsi="Palatino Linotype"/>
          <w:i/>
        </w:rPr>
        <w:lastRenderedPageBreak/>
        <w:t>contemple los bienes del dominio público y privado, en un término que no exceda de un año contado a partir de la instalación del ayuntamiento y presentarlo al cabildo para su conocimiento y opinión.</w:t>
      </w:r>
    </w:p>
    <w:p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w:t>
      </w:r>
    </w:p>
    <w:p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Artículo 112. El órgano interno de control municipal, tendrá a su cargo las funciones siguientes:</w:t>
      </w:r>
    </w:p>
    <w:p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w:t>
      </w:r>
    </w:p>
    <w:p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XV. Participar en la elaboración y actualización del inventario general de los bienes muebles e inmuebles propiedad del municipio, que expresará las características de identificación y destino de los mismos;</w:t>
      </w:r>
    </w:p>
    <w:p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w:t>
      </w:r>
    </w:p>
    <w:p w:rsidR="000F1B9B" w:rsidRDefault="000F1B9B" w:rsidP="0078631B">
      <w:pPr>
        <w:tabs>
          <w:tab w:val="left" w:pos="709"/>
        </w:tabs>
        <w:spacing w:before="240" w:line="360" w:lineRule="auto"/>
        <w:ind w:right="567"/>
        <w:jc w:val="both"/>
        <w:rPr>
          <w:rFonts w:ascii="Palatino Linotype" w:hAnsi="Palatino Linotype"/>
          <w:sz w:val="24"/>
          <w:szCs w:val="24"/>
        </w:rPr>
      </w:pPr>
      <w:r>
        <w:rPr>
          <w:rFonts w:ascii="Palatino Linotype" w:hAnsi="Palatino Linotype"/>
          <w:sz w:val="24"/>
          <w:szCs w:val="24"/>
        </w:rPr>
        <w:t>Así también, la Ley de Bienes del Estado de México y sus Municipios reza:</w:t>
      </w:r>
    </w:p>
    <w:p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 xml:space="preserve">Artículo 5.- Corresponde al Ejecutivo del Estado por conducto de la Secretaría de Finanzas y a los ayuntamientos: </w:t>
      </w:r>
    </w:p>
    <w:p w:rsidR="000F1B9B" w:rsidRPr="00FC7B3A" w:rsidRDefault="000F1B9B" w:rsidP="000F1B9B">
      <w:pPr>
        <w:pStyle w:val="Prrafodelista"/>
        <w:numPr>
          <w:ilvl w:val="0"/>
          <w:numId w:val="32"/>
        </w:numPr>
        <w:spacing w:before="240" w:after="160" w:line="360" w:lineRule="auto"/>
        <w:ind w:left="1788"/>
        <w:contextualSpacing/>
        <w:jc w:val="both"/>
        <w:rPr>
          <w:rFonts w:ascii="Palatino Linotype" w:hAnsi="Palatino Linotype"/>
          <w:b/>
          <w:i/>
          <w:sz w:val="22"/>
          <w:szCs w:val="22"/>
        </w:rPr>
      </w:pPr>
      <w:r w:rsidRPr="00FC7B3A">
        <w:rPr>
          <w:rFonts w:ascii="Palatino Linotype" w:hAnsi="Palatino Linotype"/>
          <w:b/>
          <w:i/>
          <w:sz w:val="22"/>
          <w:szCs w:val="22"/>
        </w:rPr>
        <w:t xml:space="preserve">La elaboración del padrón de bienes del dominio público y privado del Estado y de los ayuntamientos; </w:t>
      </w:r>
    </w:p>
    <w:p w:rsidR="000F1B9B" w:rsidRPr="00FC7B3A" w:rsidRDefault="000F1B9B" w:rsidP="000F1B9B">
      <w:pPr>
        <w:pStyle w:val="Prrafodelista"/>
        <w:numPr>
          <w:ilvl w:val="0"/>
          <w:numId w:val="32"/>
        </w:numPr>
        <w:spacing w:before="240" w:after="160" w:line="360" w:lineRule="auto"/>
        <w:ind w:left="1788"/>
        <w:contextualSpacing/>
        <w:jc w:val="both"/>
        <w:rPr>
          <w:rFonts w:ascii="Palatino Linotype" w:hAnsi="Palatino Linotype"/>
          <w:i/>
          <w:sz w:val="22"/>
          <w:szCs w:val="22"/>
        </w:rPr>
      </w:pPr>
      <w:r w:rsidRPr="00FC7B3A">
        <w:rPr>
          <w:rFonts w:ascii="Palatino Linotype" w:hAnsi="Palatino Linotype"/>
          <w:i/>
          <w:sz w:val="22"/>
          <w:szCs w:val="22"/>
        </w:rPr>
        <w:t xml:space="preserve">Declarar cuando un bien determinado forma parte del dominio público; </w:t>
      </w:r>
    </w:p>
    <w:p w:rsidR="000F1B9B" w:rsidRPr="00FC7B3A" w:rsidRDefault="000F1B9B" w:rsidP="000F1B9B">
      <w:pPr>
        <w:pStyle w:val="Prrafodelista"/>
        <w:numPr>
          <w:ilvl w:val="0"/>
          <w:numId w:val="32"/>
        </w:numPr>
        <w:spacing w:before="240" w:after="160" w:line="360" w:lineRule="auto"/>
        <w:ind w:left="1788"/>
        <w:contextualSpacing/>
        <w:jc w:val="both"/>
        <w:rPr>
          <w:rFonts w:ascii="Palatino Linotype" w:hAnsi="Palatino Linotype"/>
          <w:i/>
          <w:sz w:val="22"/>
          <w:szCs w:val="22"/>
        </w:rPr>
      </w:pPr>
      <w:r w:rsidRPr="00FC7B3A">
        <w:rPr>
          <w:rFonts w:ascii="Palatino Linotype" w:hAnsi="Palatino Linotype"/>
          <w:i/>
          <w:sz w:val="22"/>
          <w:szCs w:val="22"/>
        </w:rPr>
        <w:lastRenderedPageBreak/>
        <w:t xml:space="preserve"> Determinar cuándo un bien del domino privado se incorpora al dominio público;</w:t>
      </w:r>
    </w:p>
    <w:p w:rsidR="000F1B9B" w:rsidRPr="00FC7B3A" w:rsidRDefault="000F1B9B" w:rsidP="000F1B9B">
      <w:pPr>
        <w:pStyle w:val="Prrafodelista"/>
        <w:numPr>
          <w:ilvl w:val="0"/>
          <w:numId w:val="32"/>
        </w:numPr>
        <w:spacing w:before="240" w:after="160" w:line="360" w:lineRule="auto"/>
        <w:ind w:left="1788"/>
        <w:contextualSpacing/>
        <w:jc w:val="both"/>
        <w:rPr>
          <w:rFonts w:ascii="Palatino Linotype" w:hAnsi="Palatino Linotype"/>
          <w:i/>
          <w:sz w:val="22"/>
          <w:szCs w:val="22"/>
        </w:rPr>
      </w:pPr>
      <w:r w:rsidRPr="00FC7B3A">
        <w:rPr>
          <w:rFonts w:ascii="Palatino Linotype" w:hAnsi="Palatino Linotype"/>
          <w:i/>
          <w:sz w:val="22"/>
          <w:szCs w:val="22"/>
        </w:rPr>
        <w:t>…..</w:t>
      </w:r>
    </w:p>
    <w:p w:rsidR="000F1B9B" w:rsidRPr="00FC7B3A" w:rsidRDefault="000F1B9B" w:rsidP="000F1B9B">
      <w:pPr>
        <w:spacing w:before="240" w:line="360" w:lineRule="auto"/>
        <w:ind w:left="708"/>
        <w:jc w:val="both"/>
        <w:rPr>
          <w:rFonts w:ascii="Palatino Linotype" w:hAnsi="Palatino Linotype"/>
          <w:i/>
        </w:rPr>
      </w:pPr>
      <w:r w:rsidRPr="00FC7B3A">
        <w:rPr>
          <w:rFonts w:ascii="Palatino Linotype" w:hAnsi="Palatino Linotype"/>
          <w:i/>
        </w:rPr>
        <w:t xml:space="preserve">Artículo 11.- Corresponde a cada una de las dependencias, organismos auxiliares y entidades de la administración pública estatal y municipal: </w:t>
      </w:r>
    </w:p>
    <w:p w:rsidR="000F1B9B" w:rsidRPr="00FC7B3A" w:rsidRDefault="000F1B9B" w:rsidP="000F1B9B">
      <w:pPr>
        <w:pStyle w:val="Prrafodelista"/>
        <w:numPr>
          <w:ilvl w:val="0"/>
          <w:numId w:val="33"/>
        </w:numPr>
        <w:spacing w:before="240" w:after="160" w:line="360" w:lineRule="auto"/>
        <w:ind w:left="1788"/>
        <w:contextualSpacing/>
        <w:jc w:val="both"/>
        <w:rPr>
          <w:rFonts w:ascii="Palatino Linotype" w:hAnsi="Palatino Linotype"/>
          <w:i/>
          <w:sz w:val="22"/>
          <w:szCs w:val="22"/>
        </w:rPr>
      </w:pPr>
      <w:r w:rsidRPr="00FC7B3A">
        <w:rPr>
          <w:rFonts w:ascii="Palatino Linotype" w:hAnsi="Palatino Linotype"/>
          <w:i/>
          <w:sz w:val="22"/>
          <w:szCs w:val="22"/>
        </w:rPr>
        <w:t>Administrar, controlar y utilizar adecuadamente los bienes muebles e inmuebles que detenten o tengan asignados;</w:t>
      </w:r>
    </w:p>
    <w:p w:rsidR="000F1B9B" w:rsidRPr="00FC7B3A" w:rsidRDefault="000F1B9B" w:rsidP="000F1B9B">
      <w:pPr>
        <w:pStyle w:val="Prrafodelista"/>
        <w:numPr>
          <w:ilvl w:val="0"/>
          <w:numId w:val="33"/>
        </w:numPr>
        <w:spacing w:before="240" w:after="160" w:line="360" w:lineRule="auto"/>
        <w:ind w:left="1788"/>
        <w:contextualSpacing/>
        <w:jc w:val="both"/>
        <w:rPr>
          <w:rFonts w:ascii="Palatino Linotype" w:hAnsi="Palatino Linotype"/>
          <w:i/>
          <w:sz w:val="22"/>
          <w:szCs w:val="22"/>
        </w:rPr>
      </w:pPr>
      <w:r w:rsidRPr="00FC7B3A">
        <w:rPr>
          <w:rFonts w:ascii="Palatino Linotype" w:hAnsi="Palatino Linotype"/>
          <w:i/>
          <w:sz w:val="22"/>
          <w:szCs w:val="22"/>
        </w:rPr>
        <w:t>….</w:t>
      </w:r>
    </w:p>
    <w:p w:rsidR="000F1B9B" w:rsidRDefault="002C65E4" w:rsidP="0078631B">
      <w:pPr>
        <w:tabs>
          <w:tab w:val="left" w:pos="709"/>
        </w:tabs>
        <w:spacing w:before="240" w:line="360" w:lineRule="auto"/>
        <w:ind w:right="567"/>
        <w:jc w:val="both"/>
        <w:rPr>
          <w:rFonts w:ascii="Palatino Linotype" w:hAnsi="Palatino Linotype"/>
          <w:sz w:val="24"/>
          <w:szCs w:val="24"/>
        </w:rPr>
      </w:pPr>
      <w:r>
        <w:rPr>
          <w:rFonts w:ascii="Palatino Linotype" w:hAnsi="Palatino Linotype"/>
          <w:sz w:val="24"/>
          <w:szCs w:val="24"/>
        </w:rPr>
        <w:t>En el mismo sentido el Bando de Gobierno del Municipio de Texcoco se establece:</w:t>
      </w:r>
    </w:p>
    <w:p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Artículo 54.- La Contraloría Interna Municipal por su propia función y naturaleza, tiene relación con el actuar de las distintas Autoridades Auxiliares, Consejos de Participación Ciudadana, Comités Vecinales y Consejos Ciudadanos de Control y Vigilancia, por lo que tendrá además las siguientes facultades:</w:t>
      </w:r>
    </w:p>
    <w:p w:rsidR="002C65E4" w:rsidRPr="00FC7B3A" w:rsidRDefault="002C65E4" w:rsidP="002C65E4">
      <w:pPr>
        <w:pStyle w:val="Prrafodelista"/>
        <w:numPr>
          <w:ilvl w:val="0"/>
          <w:numId w:val="34"/>
        </w:numPr>
        <w:spacing w:before="240" w:after="160" w:line="360" w:lineRule="auto"/>
        <w:contextualSpacing/>
        <w:jc w:val="both"/>
        <w:rPr>
          <w:rFonts w:ascii="Palatino Linotype" w:hAnsi="Palatino Linotype"/>
          <w:i/>
        </w:rPr>
      </w:pPr>
      <w:r w:rsidRPr="00FC7B3A">
        <w:rPr>
          <w:rFonts w:ascii="Palatino Linotype" w:hAnsi="Palatino Linotype"/>
          <w:i/>
        </w:rPr>
        <w:t xml:space="preserve">Vigilar que estos organismos se conduzcan bajo la jurisdicción correspondiente; </w:t>
      </w:r>
    </w:p>
    <w:p w:rsidR="002C65E4" w:rsidRPr="00FC7B3A" w:rsidRDefault="002C65E4" w:rsidP="002C65E4">
      <w:pPr>
        <w:pStyle w:val="Prrafodelista"/>
        <w:numPr>
          <w:ilvl w:val="0"/>
          <w:numId w:val="34"/>
        </w:numPr>
        <w:spacing w:before="240" w:after="160" w:line="360" w:lineRule="auto"/>
        <w:contextualSpacing/>
        <w:jc w:val="both"/>
        <w:rPr>
          <w:rFonts w:ascii="Palatino Linotype" w:hAnsi="Palatino Linotype"/>
          <w:i/>
        </w:rPr>
      </w:pPr>
      <w:r w:rsidRPr="00FC7B3A">
        <w:rPr>
          <w:rFonts w:ascii="Palatino Linotype" w:hAnsi="Palatino Linotype"/>
          <w:i/>
        </w:rPr>
        <w:t xml:space="preserve">Supervisar que su actuación sea realizada conforme a lo establecido en la Ley Orgánica, así como de las funciones dispuestas en el presente Bando, el Reglamento de Autoridades Auxiliares vigente en el Municipio y demás disposiciones jurídicas aplicables, y </w:t>
      </w:r>
    </w:p>
    <w:p w:rsidR="002C65E4" w:rsidRPr="00FC7B3A" w:rsidRDefault="002C65E4" w:rsidP="002C65E4">
      <w:pPr>
        <w:pStyle w:val="Prrafodelista"/>
        <w:numPr>
          <w:ilvl w:val="0"/>
          <w:numId w:val="34"/>
        </w:numPr>
        <w:spacing w:before="240" w:after="160" w:line="360" w:lineRule="auto"/>
        <w:contextualSpacing/>
        <w:jc w:val="both"/>
        <w:rPr>
          <w:rFonts w:ascii="Palatino Linotype" w:hAnsi="Palatino Linotype"/>
          <w:i/>
        </w:rPr>
      </w:pPr>
      <w:r w:rsidRPr="00FC7B3A">
        <w:rPr>
          <w:rFonts w:ascii="Palatino Linotype" w:hAnsi="Palatino Linotype"/>
          <w:i/>
        </w:rPr>
        <w:t>Revisar los informes financieros presentados por estos organismos y de ser necesario emitir las observaciones y actuaciones pertinentes.</w:t>
      </w:r>
    </w:p>
    <w:p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Artículo 56.- Participar en la elaboración y actualización del inventario general de los bienes muebles e inmuebles propiedad del Municipio.</w:t>
      </w:r>
    </w:p>
    <w:p w:rsidR="002C65E4" w:rsidRDefault="002C65E4" w:rsidP="0078631B">
      <w:pPr>
        <w:tabs>
          <w:tab w:val="left" w:pos="709"/>
        </w:tabs>
        <w:spacing w:before="240" w:line="360" w:lineRule="auto"/>
        <w:ind w:right="567"/>
        <w:jc w:val="both"/>
        <w:rPr>
          <w:rFonts w:ascii="Palatino Linotype" w:hAnsi="Palatino Linotype"/>
          <w:sz w:val="24"/>
          <w:szCs w:val="24"/>
        </w:rPr>
      </w:pPr>
      <w:r>
        <w:rPr>
          <w:rFonts w:ascii="Palatino Linotype" w:hAnsi="Palatino Linotype"/>
          <w:sz w:val="24"/>
          <w:szCs w:val="24"/>
        </w:rPr>
        <w:lastRenderedPageBreak/>
        <w:t>Por último, el Manual para la Planeación, Programación y Presupuesto de Egresos Municipal para el Ejercicio Fiscal 2019 establece:</w:t>
      </w:r>
    </w:p>
    <w:p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5000 BIENES MUEBLES, INMUEBLES E INTANGIBLES.</w:t>
      </w:r>
    </w:p>
    <w:p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5400 VEHÍCULOS Y EQUIPO DE TRANSPORTE. Asignaciones destinadas a la adquisición de toda clase de equipo de transporte terrestre, ferroviario, aéreo, aeroespacial, marítimo, lacustre, fluvial y auxiliar de transporte. Incluye refacciones y accesorios mayores correspondientes a este concepto. </w:t>
      </w:r>
    </w:p>
    <w:p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5410 Vehículos y equipo terrestre. Asignaciones destinadas a la adquisición de automóviles, camionetas de carga ligera, furgonetas, minivans, autobuses y microbuses de pasajeros, camiones de carga, de volteo, revolvedores y tracto camiones, entre otros (Excluye: autos de carrera). </w:t>
      </w:r>
    </w:p>
    <w:p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5411 Vehículos y equipo de transporte terrestre. Asignaciones destinadas a la adquisición de vehículos y equipo terrestre, para el transporte de personas y carga, tales como: automóviles, patrullas, ambulancias, autobuses, camiones, camionetas, carros de bomberos, entre otros. </w:t>
      </w:r>
    </w:p>
    <w:p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5412 Vehículos y equipo auxiliar de transporte. Asignaciones para adquirir vehículos y equipo auxiliar de transporte necesarios para maniobrar en almacenes, patios de recepción, y despacho. </w:t>
      </w:r>
    </w:p>
    <w:p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5420 Carrocerías y remolques. Asignaciones destinadas a la adquisición de carrocerías ensambladas sobre chasises producidos en otro establecimiento, remolques y semirremolques para usos diversos, campers, casetas y toldos para camionetas, carros dormitorios, remolques para automóviles y camionetas; adaptación de vehículos para usos especiales, mecanismos de levantamiento de camiones de volteo, compuertas de camiones de carga y la quinta rueda. </w:t>
      </w:r>
    </w:p>
    <w:p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lastRenderedPageBreak/>
        <w:t xml:space="preserve">5421 Carrocerías y remolques. Asignaciones destinadas a la adquisición de carrocerías ensambladas sobre chasises producidos en otro establecimiento, remolques y semirremolques para usos diversos, campers, casetas y toldos para camionetas, carros dormitorios, remolques para automóviles y camionetas; adaptación de vehículos para usos especiales, mecanismos de levantamiento de camiones de volteo, compuertas de camiones de carga y la quinta rueda. </w:t>
      </w:r>
    </w:p>
    <w:p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5430 Equipo aeroespacial. Asignaciones destinadas a la adquisición de aviones y demás objetos que vuelan, incluso motores, excluye navegación y medición. </w:t>
      </w:r>
    </w:p>
    <w:p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5431 Equipo de transportación aérea. Asignaciones destinadas a la adquisición de equipo de transporte aéreo, incluye motores para este tipo de equipos. </w:t>
      </w:r>
    </w:p>
    <w:p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5440 Equipo ferroviario. Asignaciones destinadas a la adquisición de equipo para el transporte ferroviario, como locomotoras, vagones de pasajeros y de carga, transporte urbano en vías (metro y tren ligero), vehículos ferroviarios para mantenimiento, excluye equipo de señalización férreo. </w:t>
      </w:r>
    </w:p>
    <w:p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5441 Equipo ferroviario. Asignaciones destinadas a la adquisición de equipo para el transporte urbano en vías (metro y tren ligero). </w:t>
      </w:r>
    </w:p>
    <w:p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 xml:space="preserve">5450 Embarcaciones. Asignaciones destinadas a la adquisición de buques, yates, submarinos, embarcaciones de recreo y deportes, canoas y en general, embarcaciones, con o sin motor, diseñadas para la navegación marítima, costera, fluvial y lacustre, plataformas no diseñadas para la navegación pero que son de uso de marítimo, como dragas, buques faro, plataformas flotantes para la perforación de pozos petroleros, incluye material para construcción de embarcaciones y excluye motores fuera de borda, de sistema eléctrico y electrónicos, de balsas de hule, de plástico no rígido. </w:t>
      </w:r>
    </w:p>
    <w:p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t>5451 Equipo acuático y lacustre. Asignaciones destinadas a la adquisición de equipo acuático y lacustre, para el transporte de personas y carga.</w:t>
      </w:r>
    </w:p>
    <w:p w:rsidR="002C65E4" w:rsidRPr="00FC7B3A" w:rsidRDefault="002C65E4" w:rsidP="002C65E4">
      <w:pPr>
        <w:spacing w:before="240" w:line="360" w:lineRule="auto"/>
        <w:ind w:left="708"/>
        <w:jc w:val="both"/>
        <w:rPr>
          <w:rFonts w:ascii="Palatino Linotype" w:hAnsi="Palatino Linotype"/>
          <w:i/>
        </w:rPr>
      </w:pPr>
      <w:r w:rsidRPr="00FC7B3A">
        <w:rPr>
          <w:rFonts w:ascii="Palatino Linotype" w:hAnsi="Palatino Linotype"/>
          <w:i/>
        </w:rPr>
        <w:lastRenderedPageBreak/>
        <w:t xml:space="preserve">5490 Otros equipos de transporte. Asignaciones destinadas a la adquisición de otros equipos de transporte no clasificados en las partidas anteriores, tales como: bicicletas, motocicletas, entre otros. </w:t>
      </w:r>
    </w:p>
    <w:p w:rsidR="002C65E4" w:rsidRDefault="002C65E4" w:rsidP="002C65E4">
      <w:pPr>
        <w:spacing w:before="240" w:line="360" w:lineRule="auto"/>
        <w:ind w:left="708"/>
        <w:jc w:val="both"/>
        <w:rPr>
          <w:rFonts w:ascii="Palatino Linotype" w:hAnsi="Palatino Linotype"/>
          <w:i/>
        </w:rPr>
      </w:pPr>
      <w:r w:rsidRPr="00FC7B3A">
        <w:rPr>
          <w:rFonts w:ascii="Palatino Linotype" w:hAnsi="Palatino Linotype"/>
          <w:i/>
        </w:rPr>
        <w:t>5491 Otros equipos de transporte. Asignaciones destinadas a la adquisición de otros equipos de transporte no clasificados en las partidas anteriores, tales como: bicicletas, motocicletas, entre otros.</w:t>
      </w:r>
    </w:p>
    <w:p w:rsidR="002C65E4" w:rsidRDefault="002C65E4" w:rsidP="002C65E4">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Bajo tales consideraciones, se arriba a la conclusión de que corresponde al sujeto obligado elaborar un inventario general de los bienes muebles que sean propiedad del municipio, los cuales se inscribirán en el libro especial con expresión de sus valores y todas las características de identificación, así como el uso y destino de los mismos, para la elaboración intervendrán el síndico, secretario y el órgano interno de control municipal.</w:t>
      </w:r>
    </w:p>
    <w:p w:rsidR="0013022C" w:rsidRDefault="0037266F" w:rsidP="006B5DBD">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A su vez, las dependencias de la administración municipal deberán de administrar, controlar y utilizar adecuadamente los bienes muebles que detenten o tengan asignados, los cuales para el caso que nos ocupa son los contemplados en el capítulo 5000 del Manual para la Planeación, Programación y Presupuesto de Egresos Municipal para el Ejercicio Fiscal 2019.</w:t>
      </w:r>
    </w:p>
    <w:p w:rsidR="0037266F" w:rsidRDefault="0037266F" w:rsidP="0037266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último, el sujeto obligado esta constreñido a presentar al Órgano Superior de Fiscalización del Estado de México, el informe mensual, el cual se enc</w:t>
      </w:r>
      <w:r w:rsidR="00EE4618">
        <w:rPr>
          <w:rFonts w:ascii="Palatino Linotype" w:hAnsi="Palatino Linotype"/>
          <w:sz w:val="24"/>
          <w:szCs w:val="24"/>
        </w:rPr>
        <w:t>uentra contemplado en el Disco 1</w:t>
      </w:r>
      <w:r>
        <w:rPr>
          <w:rFonts w:ascii="Palatino Linotype" w:hAnsi="Palatino Linotype"/>
          <w:sz w:val="24"/>
          <w:szCs w:val="24"/>
        </w:rPr>
        <w:t xml:space="preserve">, de conformidad con los Lineamientos para la Elaboración y Presentación del Informe Mensual Municipal y consta de formatos que constituyen un soporte documental que de manera enunciativa mas no limitativa pudiera contener </w:t>
      </w:r>
      <w:r>
        <w:rPr>
          <w:rFonts w:ascii="Palatino Linotype" w:hAnsi="Palatino Linotype"/>
          <w:sz w:val="24"/>
          <w:szCs w:val="24"/>
        </w:rPr>
        <w:lastRenderedPageBreak/>
        <w:t>la información solicitada por el hoy recurrente y que obran en los archivos del sujeto obligado como a continuación se muestra:</w:t>
      </w:r>
    </w:p>
    <w:p w:rsidR="00EE4618" w:rsidRDefault="00EE4618" w:rsidP="0037266F">
      <w:pPr>
        <w:tabs>
          <w:tab w:val="left" w:pos="709"/>
        </w:tabs>
        <w:spacing w:before="240" w:line="360" w:lineRule="auto"/>
        <w:ind w:right="51"/>
        <w:jc w:val="both"/>
        <w:rPr>
          <w:rFonts w:ascii="Palatino Linotype" w:hAnsi="Palatino Linotype"/>
          <w:sz w:val="24"/>
          <w:szCs w:val="24"/>
        </w:rPr>
      </w:pPr>
      <w:r>
        <w:rPr>
          <w:noProof/>
          <w:lang w:eastAsia="es-MX"/>
        </w:rPr>
        <w:drawing>
          <wp:inline distT="0" distB="0" distL="0" distR="0" wp14:anchorId="25345F5B" wp14:editId="783F7887">
            <wp:extent cx="5610225" cy="658390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092" t="12639" r="29894" b="3880"/>
                    <a:stretch/>
                  </pic:blipFill>
                  <pic:spPr bwMode="auto">
                    <a:xfrm>
                      <a:off x="0" y="0"/>
                      <a:ext cx="5614866" cy="6589346"/>
                    </a:xfrm>
                    <a:prstGeom prst="rect">
                      <a:avLst/>
                    </a:prstGeom>
                    <a:ln>
                      <a:noFill/>
                    </a:ln>
                    <a:extLst>
                      <a:ext uri="{53640926-AAD7-44D8-BBD7-CCE9431645EC}">
                        <a14:shadowObscured xmlns:a14="http://schemas.microsoft.com/office/drawing/2010/main"/>
                      </a:ext>
                    </a:extLst>
                  </pic:spPr>
                </pic:pic>
              </a:graphicData>
            </a:graphic>
          </wp:inline>
        </w:drawing>
      </w:r>
    </w:p>
    <w:p w:rsidR="0037266F" w:rsidRDefault="00857A5A" w:rsidP="0037266F">
      <w:pPr>
        <w:tabs>
          <w:tab w:val="left" w:pos="709"/>
        </w:tabs>
        <w:spacing w:before="240" w:line="360" w:lineRule="auto"/>
        <w:ind w:right="51"/>
        <w:jc w:val="both"/>
        <w:rPr>
          <w:rFonts w:ascii="Palatino Linotype" w:hAnsi="Palatino Linotype"/>
          <w:sz w:val="24"/>
          <w:szCs w:val="24"/>
        </w:rPr>
      </w:pPr>
      <w:r>
        <w:rPr>
          <w:noProof/>
          <w:lang w:eastAsia="es-MX"/>
        </w:rPr>
        <w:lastRenderedPageBreak/>
        <w:drawing>
          <wp:inline distT="0" distB="0" distL="0" distR="0" wp14:anchorId="12730A35" wp14:editId="764D0FAD">
            <wp:extent cx="5638800" cy="2493188"/>
            <wp:effectExtent l="0" t="0" r="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762" t="39389" r="30225" b="29159"/>
                    <a:stretch/>
                  </pic:blipFill>
                  <pic:spPr bwMode="auto">
                    <a:xfrm>
                      <a:off x="0" y="0"/>
                      <a:ext cx="5658718" cy="2501995"/>
                    </a:xfrm>
                    <a:prstGeom prst="rect">
                      <a:avLst/>
                    </a:prstGeom>
                    <a:ln>
                      <a:noFill/>
                    </a:ln>
                    <a:extLst>
                      <a:ext uri="{53640926-AAD7-44D8-BBD7-CCE9431645EC}">
                        <a14:shadowObscured xmlns:a14="http://schemas.microsoft.com/office/drawing/2010/main"/>
                      </a:ext>
                    </a:extLst>
                  </pic:spPr>
                </pic:pic>
              </a:graphicData>
            </a:graphic>
          </wp:inline>
        </w:drawing>
      </w:r>
    </w:p>
    <w:p w:rsidR="00857A5A" w:rsidRDefault="00857A5A" w:rsidP="00857A5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Atento a lo anterior, el sujeto obligado en virtud de colmar con lo solicitado por el peticionario podrá remitir al momento de dar cumplimiento a la presente resolución, los informes semestrales de bienes muebles que son enviados al Órgano Superior de Fiscalización del Estado de México y colmar con lo solicitado.</w:t>
      </w:r>
    </w:p>
    <w:p w:rsidR="00857A5A" w:rsidRDefault="00857A5A" w:rsidP="00857A5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No siendo óbice señalar que lo relacionado al inventario de bienes muebles en posesión y propiedad, se encuentra consagrado en la Ley de Transparencia y Acceso a la Información Pública del Estado de México y Municipios en su fracción XXXVIII del numeral 92 y que es una obligación de transparencia común, por lo que reviste el carácter de información pública y debería de estar publicada en el portal de Información de Oficio del sujeto obligado.</w:t>
      </w:r>
    </w:p>
    <w:p w:rsidR="00857A5A" w:rsidRDefault="00857A5A" w:rsidP="00857A5A">
      <w:pPr>
        <w:tabs>
          <w:tab w:val="left" w:pos="709"/>
        </w:tabs>
        <w:spacing w:before="240" w:line="360" w:lineRule="auto"/>
        <w:ind w:left="708" w:right="51"/>
        <w:jc w:val="both"/>
        <w:rPr>
          <w:rFonts w:ascii="Palatino Linotype" w:hAnsi="Palatino Linotype"/>
          <w:i/>
        </w:rPr>
      </w:pPr>
      <w:r w:rsidRPr="00BB560E">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57A5A" w:rsidRPr="00BB560E" w:rsidRDefault="00857A5A" w:rsidP="00857A5A">
      <w:pPr>
        <w:tabs>
          <w:tab w:val="left" w:pos="709"/>
        </w:tabs>
        <w:spacing w:before="240" w:line="360" w:lineRule="auto"/>
        <w:ind w:left="708" w:right="51"/>
        <w:jc w:val="both"/>
        <w:rPr>
          <w:rFonts w:ascii="Palatino Linotype" w:hAnsi="Palatino Linotype"/>
          <w:i/>
        </w:rPr>
      </w:pPr>
      <w:r w:rsidRPr="00BB560E">
        <w:rPr>
          <w:rFonts w:ascii="Palatino Linotype" w:hAnsi="Palatino Linotype"/>
          <w:i/>
        </w:rPr>
        <w:lastRenderedPageBreak/>
        <w:t>…..</w:t>
      </w:r>
    </w:p>
    <w:p w:rsidR="00857A5A" w:rsidRPr="00BB560E" w:rsidRDefault="00857A5A" w:rsidP="00857A5A">
      <w:pPr>
        <w:tabs>
          <w:tab w:val="left" w:pos="709"/>
        </w:tabs>
        <w:spacing w:before="240" w:line="360" w:lineRule="auto"/>
        <w:ind w:left="708" w:right="51"/>
        <w:jc w:val="both"/>
        <w:rPr>
          <w:rFonts w:ascii="Palatino Linotype" w:hAnsi="Palatino Linotype"/>
          <w:i/>
        </w:rPr>
      </w:pPr>
      <w:r w:rsidRPr="00BB560E">
        <w:rPr>
          <w:rFonts w:ascii="Palatino Linotype" w:hAnsi="Palatino Linotype"/>
          <w:i/>
        </w:rPr>
        <w:t>XXXVIII. El inventario de bienes muebles e inmuebles en posesión y propiedad;</w:t>
      </w:r>
    </w:p>
    <w:p w:rsidR="00857A5A" w:rsidRDefault="00857A5A" w:rsidP="00857A5A">
      <w:pPr>
        <w:tabs>
          <w:tab w:val="left" w:pos="709"/>
        </w:tabs>
        <w:spacing w:before="240" w:line="360" w:lineRule="auto"/>
        <w:ind w:left="708" w:right="51"/>
        <w:jc w:val="both"/>
        <w:rPr>
          <w:rFonts w:ascii="Palatino Linotype" w:hAnsi="Palatino Linotype"/>
          <w:i/>
        </w:rPr>
      </w:pPr>
      <w:r w:rsidRPr="00BB560E">
        <w:rPr>
          <w:rFonts w:ascii="Palatino Linotype" w:hAnsi="Palatino Linotype"/>
          <w:i/>
        </w:rPr>
        <w:t>……</w:t>
      </w:r>
    </w:p>
    <w:p w:rsidR="00EE4618" w:rsidRPr="0078631B" w:rsidRDefault="00AA5F3C" w:rsidP="006B5DBD">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Por último, es de gran importancia señalar que de la información que deberá de ser remitida hay datos que son susceptibles de ser clasificados como confidenciales, para lo cual el sujeto obligado deberá de remitir su acuerdo de clasificación elaborado por el Comité de Transparencia debidamente fundado y motivado en términos de la Ley de materia.</w:t>
      </w:r>
    </w:p>
    <w:p w:rsidR="00CA2EAB" w:rsidRPr="004970B2" w:rsidRDefault="00CA2EAB" w:rsidP="009D1CEC">
      <w:pPr>
        <w:pStyle w:val="Prrafodelista"/>
        <w:numPr>
          <w:ilvl w:val="0"/>
          <w:numId w:val="22"/>
        </w:numPr>
        <w:tabs>
          <w:tab w:val="left" w:pos="709"/>
        </w:tabs>
        <w:spacing w:before="240" w:line="360" w:lineRule="auto"/>
        <w:ind w:right="51"/>
        <w:jc w:val="both"/>
        <w:rPr>
          <w:rFonts w:ascii="Palatino Linotype" w:hAnsi="Palatino Linotype" w:cs="Arial"/>
          <w:b/>
          <w:sz w:val="28"/>
        </w:rPr>
      </w:pPr>
      <w:r w:rsidRPr="004970B2">
        <w:rPr>
          <w:rFonts w:ascii="Palatino Linotype" w:hAnsi="Palatino Linotype" w:cs="Arial"/>
          <w:b/>
          <w:sz w:val="28"/>
        </w:rPr>
        <w:t xml:space="preserve">De la Versión Pública </w:t>
      </w:r>
    </w:p>
    <w:p w:rsidR="00CA2EAB" w:rsidRPr="00CA2EAB" w:rsidRDefault="00CA2EAB" w:rsidP="00CA2EAB">
      <w:pPr>
        <w:tabs>
          <w:tab w:val="left" w:pos="709"/>
        </w:tabs>
        <w:spacing w:before="240" w:line="360" w:lineRule="auto"/>
        <w:ind w:right="51"/>
        <w:jc w:val="both"/>
        <w:rPr>
          <w:rFonts w:ascii="Palatino Linotype" w:hAnsi="Palatino Linotype"/>
          <w:sz w:val="24"/>
        </w:rPr>
      </w:pPr>
      <w:r w:rsidRPr="00CA2EAB">
        <w:rPr>
          <w:rFonts w:ascii="Palatino Linotype" w:hAnsi="Palatino Linotype"/>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rsidR="00CA2EAB" w:rsidRPr="00CA2EAB" w:rsidRDefault="00CA2EAB" w:rsidP="00CA2EAB">
      <w:pPr>
        <w:tabs>
          <w:tab w:val="left" w:pos="709"/>
        </w:tabs>
        <w:spacing w:before="240" w:line="360" w:lineRule="auto"/>
        <w:ind w:right="51"/>
        <w:jc w:val="both"/>
        <w:rPr>
          <w:rFonts w:ascii="Palatino Linotype" w:hAnsi="Palatino Linotype"/>
          <w:sz w:val="24"/>
        </w:rPr>
      </w:pPr>
      <w:r w:rsidRPr="00CA2EAB">
        <w:rPr>
          <w:rFonts w:ascii="Palatino Linotype" w:hAnsi="Palatino Linotype"/>
          <w:sz w:val="24"/>
        </w:rPr>
        <w:t xml:space="preserve">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w:t>
      </w:r>
      <w:r w:rsidRPr="00CA2EAB">
        <w:rPr>
          <w:rFonts w:ascii="Palatino Linotype" w:hAnsi="Palatino Linotype"/>
          <w:sz w:val="24"/>
        </w:rPr>
        <w:lastRenderedPageBreak/>
        <w:t>Obligados sean protegidos y únicamente se den a conocer aquéllos que abonen a la rendición de cuentas y a la transparencia en el ejercicio de las atribuciones que tienen conferidas.</w:t>
      </w:r>
    </w:p>
    <w:p w:rsidR="00CA2EAB" w:rsidRDefault="00CA2EAB" w:rsidP="00CA2EAB">
      <w:pPr>
        <w:tabs>
          <w:tab w:val="left" w:pos="709"/>
        </w:tabs>
        <w:spacing w:before="240" w:line="360" w:lineRule="auto"/>
        <w:ind w:right="51"/>
        <w:jc w:val="both"/>
        <w:rPr>
          <w:rFonts w:ascii="Palatino Linotype" w:hAnsi="Palatino Linotype"/>
          <w:sz w:val="24"/>
        </w:rPr>
      </w:pPr>
      <w:r w:rsidRPr="00CA2EAB">
        <w:rPr>
          <w:rFonts w:ascii="Palatino Linotype" w:hAnsi="Palatino Linotype"/>
          <w:sz w:val="24"/>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rsidR="00773E58" w:rsidRDefault="00773E58" w:rsidP="00773E58">
      <w:pPr>
        <w:spacing w:after="0" w:line="360" w:lineRule="auto"/>
        <w:ind w:right="51"/>
        <w:jc w:val="both"/>
        <w:rPr>
          <w:rFonts w:ascii="Palatino Linotype" w:hAnsi="Palatino Linotype"/>
          <w:sz w:val="24"/>
        </w:rPr>
      </w:pPr>
      <w:r>
        <w:rPr>
          <w:rFonts w:ascii="Palatino Linotype" w:hAnsi="Palatino Linotype" w:cs="Arial"/>
          <w:sz w:val="24"/>
          <w:szCs w:val="24"/>
        </w:rPr>
        <w:t>Así también, lo relativo</w:t>
      </w:r>
      <w:r w:rsidRPr="004F252F">
        <w:rPr>
          <w:rFonts w:ascii="Palatino Linotype" w:hAnsi="Palatino Linotype" w:cs="Arial"/>
          <w:sz w:val="24"/>
          <w:szCs w:val="24"/>
        </w:rPr>
        <w:t xml:space="preserve"> a las placas de los vehículos de asignación directa y los destinados a la seguridad pública, </w:t>
      </w:r>
      <w:r>
        <w:rPr>
          <w:rFonts w:ascii="Palatino Linotype" w:hAnsi="Palatino Linotype" w:cs="Arial"/>
          <w:sz w:val="24"/>
          <w:szCs w:val="24"/>
        </w:rPr>
        <w:t>respecto al número de placas de las unidades destinadas a la seguridad pública y vial, equipamiento, así como al número de serie se considera información que por su naturaleza puede ser objeto de mal uso, como clonación que definitivamente impacta en la seguridad del municipio y de sus habitantes, por ende el documento donde conste la información de referencia deberá ser protegida.</w:t>
      </w:r>
    </w:p>
    <w:p w:rsidR="00CA2EAB" w:rsidRDefault="00CA2EAB" w:rsidP="00CA2EAB">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Por lo tanto, en el supuesto de que en la </w:t>
      </w:r>
      <w:r w:rsidR="00E64812">
        <w:rPr>
          <w:rFonts w:ascii="Palatino Linotype" w:hAnsi="Palatino Linotype"/>
          <w:sz w:val="24"/>
        </w:rPr>
        <w:t>información</w:t>
      </w:r>
      <w:r>
        <w:rPr>
          <w:rFonts w:ascii="Palatino Linotype" w:hAnsi="Palatino Linotype"/>
          <w:sz w:val="24"/>
        </w:rPr>
        <w:t xml:space="preserve"> que le sea remitida al recurrente </w:t>
      </w:r>
      <w:r w:rsidR="00E64812">
        <w:rPr>
          <w:rFonts w:ascii="Palatino Linotype" w:hAnsi="Palatino Linotype"/>
          <w:sz w:val="24"/>
        </w:rPr>
        <w:t>contenga datos que puedan ser susceptibles de clasificarse, el sujeto obligado deberá de remitir su acuerdo de clasificación debidamente fundado y motivado, emitido por el comité de transparencia, en términos del marco normativo aplicable.</w:t>
      </w:r>
    </w:p>
    <w:p w:rsidR="00912D3E" w:rsidRPr="00874DBF" w:rsidRDefault="00912D3E" w:rsidP="00CA2EAB">
      <w:pPr>
        <w:tabs>
          <w:tab w:val="left" w:pos="709"/>
        </w:tabs>
        <w:spacing w:before="240" w:line="360" w:lineRule="auto"/>
        <w:ind w:right="51"/>
        <w:jc w:val="both"/>
        <w:rPr>
          <w:rFonts w:ascii="Palatino Linotype" w:hAnsi="Palatino Linotype"/>
          <w:sz w:val="24"/>
        </w:rPr>
      </w:pPr>
    </w:p>
    <w:p w:rsidR="00A14C6B" w:rsidRDefault="00A14C6B" w:rsidP="00A14C6B">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sidR="004F6D37">
        <w:rPr>
          <w:rFonts w:ascii="Palatino Linotype" w:hAnsi="Palatino Linotype"/>
          <w:sz w:val="24"/>
          <w:szCs w:val="24"/>
        </w:rPr>
        <w:t xml:space="preserve">parcialmente </w:t>
      </w:r>
      <w:r>
        <w:rPr>
          <w:rFonts w:ascii="Palatino Linotype" w:hAnsi="Palatino Linotype"/>
          <w:sz w:val="24"/>
          <w:szCs w:val="24"/>
        </w:rPr>
        <w:t xml:space="preserve">fundados </w:t>
      </w:r>
      <w:r w:rsidRPr="00410726">
        <w:rPr>
          <w:rFonts w:ascii="Palatino Linotype" w:hAnsi="Palatino Linotype"/>
          <w:sz w:val="24"/>
          <w:szCs w:val="24"/>
        </w:rPr>
        <w:t xml:space="preserve">los 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w:t>
      </w:r>
      <w:r w:rsidRPr="00410726">
        <w:rPr>
          <w:rFonts w:ascii="Palatino Linotype" w:hAnsi="Palatino Linotype"/>
          <w:sz w:val="24"/>
          <w:szCs w:val="24"/>
        </w:rPr>
        <w:lastRenderedPageBreak/>
        <w:t xml:space="preserve">impugnación que fue materia de estudio, por ello </w:t>
      </w:r>
      <w:r>
        <w:rPr>
          <w:rFonts w:ascii="Palatino Linotype" w:hAnsi="Palatino Linotype" w:cs="Arial"/>
          <w:b/>
          <w:sz w:val="24"/>
        </w:rPr>
        <w:t xml:space="preserve">con fundamento en la </w:t>
      </w:r>
      <w:r w:rsidR="00E64812">
        <w:rPr>
          <w:rFonts w:ascii="Palatino Linotype" w:hAnsi="Palatino Linotype" w:cs="Arial"/>
          <w:b/>
          <w:sz w:val="24"/>
        </w:rPr>
        <w:t xml:space="preserve">primera </w:t>
      </w:r>
      <w:r>
        <w:rPr>
          <w:rFonts w:ascii="Palatino Linotype" w:hAnsi="Palatino Linotype" w:cs="Arial"/>
          <w:b/>
          <w:sz w:val="24"/>
        </w:rPr>
        <w:t>hipótesis de la fracción III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00CA2EAB">
        <w:rPr>
          <w:rFonts w:ascii="Palatino Linotype" w:hAnsi="Palatino Linotype" w:cs="Arial"/>
          <w:b/>
          <w:sz w:val="24"/>
        </w:rPr>
        <w:t>REVOCA</w:t>
      </w:r>
      <w:r>
        <w:rPr>
          <w:rFonts w:ascii="Palatino Linotype" w:hAnsi="Palatino Linotype" w:cs="Arial"/>
          <w:b/>
          <w:sz w:val="24"/>
        </w:rPr>
        <w:t xml:space="preserve"> </w:t>
      </w:r>
      <w:r>
        <w:rPr>
          <w:rFonts w:ascii="Palatino Linotype" w:hAnsi="Palatino Linotype" w:cs="Arial"/>
          <w:sz w:val="24"/>
        </w:rPr>
        <w:t xml:space="preserve">la respuesta otorgada a la solicitud de información con número de folio </w:t>
      </w:r>
      <w:r w:rsidR="00AA5F3C" w:rsidRPr="00B41F58">
        <w:rPr>
          <w:rFonts w:ascii="Palatino Linotype" w:hAnsi="Palatino Linotype" w:cs="Arial"/>
          <w:b/>
          <w:sz w:val="24"/>
        </w:rPr>
        <w:t>00018/TEXCOCO/IP/2019</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A14C6B" w:rsidRDefault="00A14C6B" w:rsidP="00A14C6B">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1A63EA" w:rsidRDefault="001A63EA" w:rsidP="00A14C6B">
      <w:pPr>
        <w:spacing w:before="240" w:line="360" w:lineRule="auto"/>
        <w:jc w:val="center"/>
        <w:rPr>
          <w:rFonts w:ascii="Palatino Linotype" w:eastAsia="Times New Roman" w:hAnsi="Palatino Linotype"/>
          <w:b/>
          <w:bCs/>
          <w:spacing w:val="60"/>
          <w:sz w:val="28"/>
          <w:lang w:val="es-ES_tradnl"/>
        </w:rPr>
      </w:pPr>
    </w:p>
    <w:p w:rsidR="00A14C6B" w:rsidRDefault="00A14C6B" w:rsidP="00A14C6B">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912D3E" w:rsidRDefault="00912D3E" w:rsidP="00A14C6B">
      <w:pPr>
        <w:spacing w:before="240" w:line="360" w:lineRule="auto"/>
        <w:jc w:val="center"/>
        <w:rPr>
          <w:rFonts w:ascii="Palatino Linotype" w:eastAsia="Times New Roman" w:hAnsi="Palatino Linotype"/>
          <w:b/>
          <w:bCs/>
          <w:spacing w:val="60"/>
          <w:sz w:val="28"/>
          <w:lang w:val="es-ES_tradnl"/>
        </w:rPr>
      </w:pPr>
    </w:p>
    <w:p w:rsidR="00E64812" w:rsidRDefault="00A14C6B" w:rsidP="00A14C6B">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sidR="00E64812">
        <w:rPr>
          <w:rFonts w:ascii="Palatino Linotype" w:hAnsi="Palatino Linotype" w:cs="Arial"/>
          <w:b/>
          <w:sz w:val="24"/>
          <w:szCs w:val="24"/>
          <w:lang w:val="es-ES_tradnl"/>
        </w:rPr>
        <w:t>REVOCA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AA5F3C" w:rsidRPr="00B41F58">
        <w:rPr>
          <w:rFonts w:ascii="Palatino Linotype" w:hAnsi="Palatino Linotype" w:cs="Arial"/>
          <w:b/>
          <w:sz w:val="24"/>
        </w:rPr>
        <w:t>00018/TEXCOCO/IP/2019</w:t>
      </w:r>
      <w:r w:rsidRPr="00921CA9">
        <w:rPr>
          <w:rFonts w:ascii="Palatino Linotype" w:eastAsia="Arial Unicode MS" w:hAnsi="Palatino Linotype" w:cs="Arial"/>
          <w:sz w:val="24"/>
          <w:szCs w:val="24"/>
        </w:rPr>
        <w:t>, por resultar</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rsidR="00912D3E" w:rsidRPr="00921CA9" w:rsidRDefault="00912D3E" w:rsidP="00A14C6B">
      <w:pPr>
        <w:spacing w:before="240" w:line="360" w:lineRule="auto"/>
        <w:jc w:val="both"/>
        <w:rPr>
          <w:rFonts w:ascii="Palatino Linotype" w:hAnsi="Palatino Linotype" w:cs="Arial"/>
          <w:sz w:val="24"/>
          <w:szCs w:val="24"/>
        </w:rPr>
      </w:pPr>
    </w:p>
    <w:p w:rsidR="00A14C6B" w:rsidRDefault="00A14C6B" w:rsidP="00A14C6B">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Recurrente</w:t>
      </w:r>
      <w:r w:rsidR="007A28AC">
        <w:rPr>
          <w:rFonts w:ascii="Palatino Linotype" w:hAnsi="Palatino Linotype" w:cs="Arial"/>
          <w:sz w:val="24"/>
          <w:szCs w:val="24"/>
        </w:rPr>
        <w:t xml:space="preserve"> a través del SAIMEX </w:t>
      </w:r>
      <w:r>
        <w:rPr>
          <w:rFonts w:ascii="Palatino Linotype" w:hAnsi="Palatino Linotype" w:cs="Arial"/>
          <w:sz w:val="24"/>
          <w:szCs w:val="24"/>
        </w:rPr>
        <w:t xml:space="preserve">en términos del </w:t>
      </w:r>
      <w:r>
        <w:rPr>
          <w:rFonts w:ascii="Palatino Linotype" w:hAnsi="Palatino Linotype" w:cs="Arial"/>
          <w:b/>
          <w:sz w:val="24"/>
          <w:szCs w:val="24"/>
        </w:rPr>
        <w:t>Considerando Cuarto</w:t>
      </w:r>
      <w:r w:rsidR="007A28AC" w:rsidRPr="007A28AC">
        <w:rPr>
          <w:rFonts w:ascii="Palatino Linotype" w:hAnsi="Palatino Linotype" w:cs="Arial"/>
          <w:sz w:val="24"/>
          <w:szCs w:val="24"/>
        </w:rPr>
        <w:t xml:space="preserve"> </w:t>
      </w:r>
      <w:r w:rsidR="007A28AC">
        <w:rPr>
          <w:rFonts w:ascii="Palatino Linotype" w:hAnsi="Palatino Linotype" w:cs="Arial"/>
          <w:sz w:val="24"/>
          <w:szCs w:val="24"/>
        </w:rPr>
        <w:t xml:space="preserve">y en versión </w:t>
      </w:r>
      <w:r w:rsidR="004970B2">
        <w:rPr>
          <w:rFonts w:ascii="Palatino Linotype" w:hAnsi="Palatino Linotype" w:cs="Arial"/>
          <w:sz w:val="24"/>
          <w:szCs w:val="24"/>
        </w:rPr>
        <w:t>pública</w:t>
      </w:r>
      <w:r w:rsidR="007A28AC">
        <w:rPr>
          <w:rFonts w:ascii="Palatino Linotype" w:hAnsi="Palatino Linotype" w:cs="Arial"/>
          <w:sz w:val="24"/>
          <w:szCs w:val="24"/>
        </w:rPr>
        <w:t xml:space="preserve"> </w:t>
      </w:r>
      <w:r w:rsidR="005F544D">
        <w:rPr>
          <w:rFonts w:ascii="Palatino Linotype" w:hAnsi="Palatino Linotype" w:cs="Arial"/>
          <w:sz w:val="24"/>
          <w:szCs w:val="24"/>
        </w:rPr>
        <w:t xml:space="preserve">del año 2015 al 12 de febrero de 2019 </w:t>
      </w:r>
      <w:r w:rsidR="00F47886">
        <w:rPr>
          <w:rFonts w:ascii="Palatino Linotype" w:hAnsi="Palatino Linotype" w:cs="Arial"/>
          <w:sz w:val="24"/>
          <w:szCs w:val="24"/>
        </w:rPr>
        <w:t xml:space="preserve">del documento o documentos en donde conste </w:t>
      </w:r>
      <w:r w:rsidR="005F544D">
        <w:rPr>
          <w:rFonts w:ascii="Palatino Linotype" w:hAnsi="Palatino Linotype" w:cs="Arial"/>
          <w:sz w:val="24"/>
          <w:szCs w:val="24"/>
        </w:rPr>
        <w:t>de lo siguiente</w:t>
      </w:r>
      <w:r>
        <w:rPr>
          <w:rFonts w:ascii="Palatino Linotype" w:hAnsi="Palatino Linotype" w:cs="Arial"/>
          <w:sz w:val="24"/>
          <w:szCs w:val="24"/>
        </w:rPr>
        <w:t>:</w:t>
      </w:r>
    </w:p>
    <w:p w:rsidR="00AA5F3C" w:rsidRDefault="000C0827" w:rsidP="00912D3E">
      <w:pPr>
        <w:pStyle w:val="Prrafodelista"/>
        <w:numPr>
          <w:ilvl w:val="0"/>
          <w:numId w:val="24"/>
        </w:numPr>
        <w:autoSpaceDE w:val="0"/>
        <w:autoSpaceDN w:val="0"/>
        <w:adjustRightInd w:val="0"/>
        <w:spacing w:before="240" w:line="360" w:lineRule="auto"/>
        <w:ind w:left="1428" w:right="49"/>
        <w:jc w:val="both"/>
        <w:rPr>
          <w:rFonts w:ascii="Palatino Linotype" w:hAnsi="Palatino Linotype" w:cs="Arial"/>
          <w:i/>
        </w:rPr>
      </w:pPr>
      <w:r>
        <w:rPr>
          <w:rFonts w:ascii="Palatino Linotype" w:hAnsi="Palatino Linotype" w:cs="Arial"/>
          <w:i/>
        </w:rPr>
        <w:t>Procesos de L</w:t>
      </w:r>
      <w:r w:rsidR="0078570B">
        <w:rPr>
          <w:rFonts w:ascii="Palatino Linotype" w:hAnsi="Palatino Linotype" w:cs="Arial"/>
          <w:i/>
        </w:rPr>
        <w:t>icitación pública, adjudicación</w:t>
      </w:r>
      <w:r>
        <w:rPr>
          <w:rFonts w:ascii="Palatino Linotype" w:hAnsi="Palatino Linotype" w:cs="Arial"/>
          <w:i/>
        </w:rPr>
        <w:t xml:space="preserve"> directa o invitación restringida para la adquisición de vehículos.</w:t>
      </w:r>
    </w:p>
    <w:p w:rsidR="004970B2" w:rsidRDefault="00F47886" w:rsidP="00912D3E">
      <w:pPr>
        <w:pStyle w:val="Prrafodelista"/>
        <w:numPr>
          <w:ilvl w:val="0"/>
          <w:numId w:val="24"/>
        </w:numPr>
        <w:autoSpaceDE w:val="0"/>
        <w:autoSpaceDN w:val="0"/>
        <w:adjustRightInd w:val="0"/>
        <w:spacing w:before="240" w:line="360" w:lineRule="auto"/>
        <w:ind w:left="1428" w:right="49"/>
        <w:jc w:val="both"/>
        <w:rPr>
          <w:rFonts w:ascii="Palatino Linotype" w:hAnsi="Palatino Linotype" w:cs="Arial"/>
          <w:i/>
        </w:rPr>
      </w:pPr>
      <w:r>
        <w:rPr>
          <w:rFonts w:ascii="Palatino Linotype" w:hAnsi="Palatino Linotype" w:cs="Arial"/>
          <w:i/>
        </w:rPr>
        <w:lastRenderedPageBreak/>
        <w:t>P</w:t>
      </w:r>
      <w:r w:rsidR="005F544D">
        <w:rPr>
          <w:rFonts w:ascii="Palatino Linotype" w:hAnsi="Palatino Linotype" w:cs="Arial"/>
          <w:i/>
        </w:rPr>
        <w:t>arque vehicular al mayor grado de desagregación posible, así como las facturas que amparen la adquisición de los mismos.</w:t>
      </w:r>
    </w:p>
    <w:p w:rsidR="00F47886" w:rsidRDefault="00F47886" w:rsidP="00912D3E">
      <w:pPr>
        <w:pStyle w:val="Prrafodelista"/>
        <w:numPr>
          <w:ilvl w:val="0"/>
          <w:numId w:val="24"/>
        </w:numPr>
        <w:autoSpaceDE w:val="0"/>
        <w:autoSpaceDN w:val="0"/>
        <w:adjustRightInd w:val="0"/>
        <w:spacing w:before="240" w:line="360" w:lineRule="auto"/>
        <w:ind w:left="1428" w:right="49"/>
        <w:jc w:val="both"/>
        <w:rPr>
          <w:rFonts w:ascii="Palatino Linotype" w:hAnsi="Palatino Linotype" w:cs="Arial"/>
          <w:i/>
        </w:rPr>
      </w:pPr>
      <w:r>
        <w:rPr>
          <w:rFonts w:ascii="Palatino Linotype" w:hAnsi="Palatino Linotype" w:cs="Arial"/>
          <w:i/>
        </w:rPr>
        <w:t>Kilometraje y fotografías de todo el parque vehicular.</w:t>
      </w:r>
    </w:p>
    <w:p w:rsidR="00F47886" w:rsidRDefault="00F47886" w:rsidP="00912D3E">
      <w:pPr>
        <w:autoSpaceDE w:val="0"/>
        <w:autoSpaceDN w:val="0"/>
        <w:adjustRightInd w:val="0"/>
        <w:spacing w:before="240" w:line="360" w:lineRule="auto"/>
        <w:ind w:left="360" w:right="49"/>
        <w:jc w:val="both"/>
        <w:rPr>
          <w:rFonts w:ascii="Palatino Linotype" w:hAnsi="Palatino Linotype" w:cs="Arial"/>
          <w:i/>
        </w:rPr>
      </w:pPr>
      <w:r>
        <w:rPr>
          <w:rFonts w:ascii="Palatino Linotype" w:hAnsi="Palatino Linotype" w:cs="Arial"/>
          <w:i/>
        </w:rPr>
        <w:t>Para el caso de no contar con la información señalada en el inciso c) bastara con que así lo manifieste al recurrente al momento de dar cumplimiento a la presente resolución.</w:t>
      </w:r>
    </w:p>
    <w:p w:rsidR="00E64812" w:rsidRDefault="00E64812" w:rsidP="00912D3E">
      <w:pPr>
        <w:autoSpaceDE w:val="0"/>
        <w:autoSpaceDN w:val="0"/>
        <w:adjustRightInd w:val="0"/>
        <w:spacing w:before="240" w:line="360" w:lineRule="auto"/>
        <w:ind w:left="360"/>
        <w:jc w:val="both"/>
        <w:rPr>
          <w:rFonts w:ascii="Palatino Linotype" w:eastAsia="Times New Roman" w:hAnsi="Palatino Linotype" w:cs="Arial"/>
          <w:i/>
          <w:sz w:val="24"/>
          <w:szCs w:val="24"/>
          <w:lang w:val="es-ES" w:eastAsia="es-ES"/>
        </w:rPr>
      </w:pPr>
      <w:r w:rsidRPr="00E64812">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912D3E" w:rsidRDefault="00912D3E" w:rsidP="00A14C6B">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p>
    <w:p w:rsidR="00E64812" w:rsidRDefault="00A14C6B" w:rsidP="00A14C6B">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912D3E" w:rsidRDefault="00912D3E" w:rsidP="00A14C6B">
      <w:pPr>
        <w:autoSpaceDE w:val="0"/>
        <w:autoSpaceDN w:val="0"/>
        <w:adjustRightInd w:val="0"/>
        <w:spacing w:before="240" w:line="360" w:lineRule="auto"/>
        <w:jc w:val="both"/>
        <w:rPr>
          <w:rFonts w:ascii="Palatino Linotype" w:hAnsi="Palatino Linotype" w:cs="Arial"/>
          <w:sz w:val="24"/>
          <w:szCs w:val="24"/>
        </w:rPr>
      </w:pPr>
    </w:p>
    <w:p w:rsidR="00E64812" w:rsidRDefault="00E64812" w:rsidP="00E64812">
      <w:pPr>
        <w:autoSpaceDE w:val="0"/>
        <w:autoSpaceDN w:val="0"/>
        <w:adjustRightInd w:val="0"/>
        <w:spacing w:before="240" w:line="360" w:lineRule="auto"/>
        <w:jc w:val="both"/>
        <w:rPr>
          <w:rFonts w:ascii="Palatino Linotype" w:hAnsi="Palatino Linotype"/>
          <w:color w:val="222222"/>
          <w:sz w:val="24"/>
          <w:szCs w:val="24"/>
          <w:shd w:val="clear" w:color="auto" w:fill="FFFFFF"/>
          <w:lang w:val="es-ES"/>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 </w:t>
      </w:r>
      <w:r>
        <w:rPr>
          <w:rFonts w:ascii="Palatino Linotype" w:hAnsi="Palatino Linotype" w:cs="Arial"/>
          <w:b/>
          <w:sz w:val="24"/>
        </w:rPr>
        <w:t>El Recurrente</w:t>
      </w:r>
      <w:r>
        <w:rPr>
          <w:rFonts w:ascii="Palatino Linotype" w:hAnsi="Palatino Linotype" w:cs="Arial"/>
          <w:sz w:val="24"/>
        </w:rPr>
        <w:t xml:space="preserve">; así mismo, </w:t>
      </w:r>
      <w:r w:rsidRPr="00141309">
        <w:rPr>
          <w:rFonts w:ascii="Palatino Linotype" w:hAnsi="Palatino Linotype"/>
          <w:color w:val="222222"/>
          <w:sz w:val="24"/>
          <w:szCs w:val="24"/>
          <w:shd w:val="clear" w:color="auto" w:fill="FFFFFF"/>
          <w:lang w:val="es-ES"/>
        </w:rPr>
        <w:t xml:space="preserve">de conformidad con lo establecido en el artículo 196 de la Ley de Transparencia y Acceso </w:t>
      </w:r>
      <w:r w:rsidRPr="00141309">
        <w:rPr>
          <w:rFonts w:ascii="Palatino Linotype" w:hAnsi="Palatino Linotype"/>
          <w:color w:val="222222"/>
          <w:sz w:val="24"/>
          <w:szCs w:val="24"/>
          <w:shd w:val="clear" w:color="auto" w:fill="FFFFFF"/>
          <w:lang w:val="es-ES"/>
        </w:rPr>
        <w:lastRenderedPageBreak/>
        <w:t>a la Información Pública del Estado de México y Municipios,</w:t>
      </w:r>
      <w:r>
        <w:rPr>
          <w:rStyle w:val="apple-converted-space"/>
          <w:rFonts w:ascii="Palatino Linotype" w:hAnsi="Palatino Linotype"/>
          <w:color w:val="222222"/>
          <w:sz w:val="24"/>
          <w:szCs w:val="24"/>
          <w:shd w:val="clear" w:color="auto" w:fill="FFFFFF"/>
          <w:lang w:val="es-ES"/>
        </w:rPr>
        <w:t xml:space="preserve"> </w:t>
      </w:r>
      <w:r w:rsidRPr="00141309">
        <w:rPr>
          <w:rFonts w:ascii="Palatino Linotype" w:hAnsi="Palatino Linotype"/>
          <w:color w:val="222222"/>
          <w:sz w:val="24"/>
          <w:szCs w:val="24"/>
          <w:shd w:val="clear" w:color="auto" w:fill="FFFFFF"/>
          <w:lang w:val="es-ES"/>
        </w:rPr>
        <w:t xml:space="preserve">podrá </w:t>
      </w:r>
      <w:r>
        <w:rPr>
          <w:rFonts w:ascii="Palatino Linotype" w:hAnsi="Palatino Linotype"/>
          <w:color w:val="222222"/>
          <w:sz w:val="24"/>
          <w:szCs w:val="24"/>
          <w:shd w:val="clear" w:color="auto" w:fill="FFFFFF"/>
          <w:lang w:val="es-ES"/>
        </w:rPr>
        <w:t>promover el</w:t>
      </w:r>
      <w:r w:rsidRPr="00141309">
        <w:rPr>
          <w:rFonts w:ascii="Palatino Linotype" w:hAnsi="Palatino Linotype"/>
          <w:color w:val="222222"/>
          <w:sz w:val="24"/>
          <w:szCs w:val="24"/>
          <w:shd w:val="clear" w:color="auto" w:fill="FFFFFF"/>
          <w:lang w:val="es-ES"/>
        </w:rPr>
        <w:t xml:space="preserve"> Juicio </w:t>
      </w:r>
      <w:r>
        <w:rPr>
          <w:rFonts w:ascii="Palatino Linotype" w:hAnsi="Palatino Linotype"/>
          <w:color w:val="222222"/>
          <w:sz w:val="24"/>
          <w:szCs w:val="24"/>
          <w:shd w:val="clear" w:color="auto" w:fill="FFFFFF"/>
          <w:lang w:val="es-ES"/>
        </w:rPr>
        <w:t>de Amparo en los términos de las</w:t>
      </w:r>
      <w:r w:rsidRPr="00141309">
        <w:rPr>
          <w:rFonts w:ascii="Palatino Linotype" w:hAnsi="Palatino Linotype"/>
          <w:color w:val="222222"/>
          <w:sz w:val="24"/>
          <w:szCs w:val="24"/>
          <w:shd w:val="clear" w:color="auto" w:fill="FFFFFF"/>
          <w:lang w:val="es-ES"/>
        </w:rPr>
        <w:t xml:space="preserve"> leyes aplicables</w:t>
      </w:r>
      <w:r>
        <w:rPr>
          <w:rFonts w:ascii="Palatino Linotype" w:hAnsi="Palatino Linotype"/>
          <w:color w:val="222222"/>
          <w:sz w:val="24"/>
          <w:szCs w:val="24"/>
          <w:shd w:val="clear" w:color="auto" w:fill="FFFFFF"/>
          <w:lang w:val="es-ES"/>
        </w:rPr>
        <w:t>.</w:t>
      </w:r>
    </w:p>
    <w:p w:rsidR="00912D3E" w:rsidRDefault="00912D3E" w:rsidP="00912D3E">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EMITIENDO VOTO PARTICULAR, JOSÉ GUADALUPE LUNA HERNÁNDEZ</w:t>
      </w:r>
      <w:r w:rsidRPr="00912D3E">
        <w:rPr>
          <w:rFonts w:ascii="Palatino Linotype" w:hAnsi="Palatino Linotype" w:cs="Arial"/>
          <w:sz w:val="24"/>
          <w:szCs w:val="24"/>
        </w:rPr>
        <w:t xml:space="preserve"> </w:t>
      </w:r>
      <w:r>
        <w:rPr>
          <w:rFonts w:ascii="Palatino Linotype" w:hAnsi="Palatino Linotype" w:cs="Arial"/>
          <w:sz w:val="24"/>
          <w:szCs w:val="24"/>
        </w:rPr>
        <w:t xml:space="preserve">EMITIENDO VOTO PARTICULAR, JAVIER MARTÍNEZ CRUZ Y LUIS GUSTAVO PARRA NORIEGA, EN LA VIGÉSIMO PRIMERA SESIÓN ORDINARIA CELEBRADA EL CINCO DE JUNIO DE DOS MIL DIECINUEVE, ANTE EL SECRETARIO TÉCNICO DEL PLENO, ALEXIS TAPIA RAMÍREZ.-------------------------------------------------------------------------------------------------------------------------------------------------------------------------------------------------------------------------------------------------------------------------------------------------------------------------------------------------------------------------------------------------------------------------------------------------------------------------------------------------------------------------------------------------------------------------------------------------------------------------------------------------------------------------------------------------------------------------------------------------------------------------------------------------------------------------------------------------------------------------------------------------------------------------------------------------------------------------------------------------------------------------------------------------------------------------------------------------------------------------------------------------------------------------------------------------------------------------------------------------------------------------------------------------------------------------------------------------------------------------------------------------------------------------------- </w:t>
      </w:r>
    </w:p>
    <w:p w:rsidR="00912D3E" w:rsidRDefault="00912D3E" w:rsidP="00912D3E">
      <w:pPr>
        <w:spacing w:after="0" w:line="360" w:lineRule="auto"/>
        <w:jc w:val="both"/>
        <w:rPr>
          <w:rFonts w:ascii="Palatino Linotype" w:hAnsi="Palatino Linotype"/>
        </w:rPr>
      </w:pPr>
    </w:p>
    <w:p w:rsidR="00912D3E" w:rsidRDefault="00912D3E" w:rsidP="00912D3E">
      <w:pPr>
        <w:spacing w:after="0" w:line="360" w:lineRule="auto"/>
        <w:jc w:val="both"/>
        <w:rPr>
          <w:rFonts w:ascii="Palatino Linotype" w:hAnsi="Palatino Linotype"/>
        </w:rPr>
      </w:pPr>
    </w:p>
    <w:p w:rsidR="00912D3E" w:rsidRDefault="00912D3E" w:rsidP="00912D3E">
      <w:pPr>
        <w:spacing w:before="240"/>
        <w:jc w:val="both"/>
        <w:rPr>
          <w:rFonts w:ascii="Palatino Linotype" w:hAnsi="Palatino Linotype"/>
        </w:rPr>
      </w:pPr>
      <w:r>
        <w:rPr>
          <w:noProof/>
          <w:lang w:eastAsia="es-MX"/>
        </w:rPr>
        <mc:AlternateContent>
          <mc:Choice Requires="wps">
            <w:drawing>
              <wp:anchor distT="45720" distB="45720" distL="114300" distR="114300" simplePos="0" relativeHeight="251659264" behindDoc="0" locked="0" layoutInCell="1" allowOverlap="1">
                <wp:simplePos x="0" y="0"/>
                <wp:positionH relativeFrom="page">
                  <wp:align>center</wp:align>
                </wp:positionH>
                <wp:positionV relativeFrom="paragraph">
                  <wp:posOffset>67310</wp:posOffset>
                </wp:positionV>
                <wp:extent cx="2924810" cy="914400"/>
                <wp:effectExtent l="0" t="0" r="635" b="0"/>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725" cy="914400"/>
                        </a:xfrm>
                        <a:prstGeom prst="rect">
                          <a:avLst/>
                        </a:prstGeom>
                        <a:solidFill>
                          <a:srgbClr val="FFFFFF"/>
                        </a:solidFill>
                        <a:ln w="9525">
                          <a:noFill/>
                          <a:miter lim="800000"/>
                          <a:headEnd/>
                          <a:tailEnd/>
                        </a:ln>
                      </wps:spPr>
                      <wps:txbx>
                        <w:txbxContent>
                          <w:p w:rsidR="00912D3E" w:rsidRDefault="00912D3E" w:rsidP="00912D3E">
                            <w:pPr>
                              <w:spacing w:line="240" w:lineRule="auto"/>
                              <w:jc w:val="center"/>
                              <w:rPr>
                                <w:rFonts w:ascii="Palatino Linotype" w:hAnsi="Palatino Linotype"/>
                                <w:sz w:val="24"/>
                                <w:szCs w:val="24"/>
                              </w:rPr>
                            </w:pPr>
                            <w:r>
                              <w:rPr>
                                <w:rFonts w:ascii="Palatino Linotype" w:hAnsi="Palatino Linotype"/>
                                <w:b/>
                                <w:sz w:val="24"/>
                                <w:szCs w:val="24"/>
                              </w:rPr>
                              <w:t>Zulema Martínez Sánchez</w:t>
                            </w:r>
                          </w:p>
                          <w:p w:rsidR="00912D3E" w:rsidRDefault="00912D3E" w:rsidP="00912D3E">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rsidR="00912D3E" w:rsidRDefault="00912D3E" w:rsidP="00912D3E">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left:0;text-align:left;margin-left:0;margin-top:5.3pt;width:230.3pt;height:1in;z-index:251659264;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" stroked="f">
                <v:textbox>
                  <w:txbxContent>
                    <w:p w:rsidR="00912D3E" w:rsidRDefault="00912D3E" w:rsidP="00912D3E">
                      <w:pPr>
                        <w:spacing w:line="240" w:lineRule="auto"/>
                        <w:jc w:val="center"/>
                        <w:rPr>
                          <w:rFonts w:ascii="Palatino Linotype" w:hAnsi="Palatino Linotype"/>
                          <w:sz w:val="24"/>
                          <w:szCs w:val="24"/>
                        </w:rPr>
                      </w:pPr>
                      <w:r>
                        <w:rPr>
                          <w:rFonts w:ascii="Palatino Linotype" w:hAnsi="Palatino Linotype"/>
                          <w:b/>
                          <w:sz w:val="24"/>
                          <w:szCs w:val="24"/>
                        </w:rPr>
                        <w:t>Zulema Martínez Sánchez</w:t>
                      </w:r>
                    </w:p>
                    <w:p w:rsidR="00912D3E" w:rsidRDefault="00912D3E" w:rsidP="00912D3E">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rsidR="00912D3E" w:rsidRDefault="00912D3E" w:rsidP="00912D3E">
                      <w:pPr>
                        <w:spacing w:line="240" w:lineRule="auto"/>
                        <w:jc w:val="center"/>
                        <w:rPr>
                          <w:rFonts w:ascii="Palatino Linotype" w:hAnsi="Palatino Linotype"/>
                          <w:sz w:val="24"/>
                          <w:szCs w:val="24"/>
                        </w:rPr>
                      </w:pPr>
                    </w:p>
                  </w:txbxContent>
                </v:textbox>
                <w10:wrap type="square" anchorx="page"/>
              </v:shape>
            </w:pict>
          </mc:Fallback>
        </mc:AlternateContent>
      </w:r>
    </w:p>
    <w:p w:rsidR="00912D3E" w:rsidRDefault="00912D3E" w:rsidP="00912D3E">
      <w:pPr>
        <w:spacing w:before="240"/>
        <w:jc w:val="both"/>
        <w:rPr>
          <w:rFonts w:ascii="Palatino Linotype" w:hAnsi="Palatino Linotype"/>
        </w:rPr>
      </w:pPr>
    </w:p>
    <w:p w:rsidR="00912D3E" w:rsidRDefault="00912D3E" w:rsidP="00912D3E">
      <w:pPr>
        <w:spacing w:before="240"/>
        <w:jc w:val="center"/>
        <w:rPr>
          <w:rFonts w:ascii="Palatino Linotype" w:hAnsi="Palatino Linotype"/>
        </w:rPr>
      </w:pPr>
    </w:p>
    <w:p w:rsidR="00912D3E" w:rsidRDefault="00912D3E" w:rsidP="00912D3E">
      <w:pPr>
        <w:spacing w:before="240"/>
        <w:rPr>
          <w:rFonts w:ascii="Palatino Linotype" w:hAnsi="Palatino Linotype"/>
          <w:b/>
        </w:rPr>
      </w:pPr>
    </w:p>
    <w:p w:rsidR="00912D3E" w:rsidRDefault="00912D3E" w:rsidP="00912D3E">
      <w:pPr>
        <w:spacing w:before="240"/>
        <w:rPr>
          <w:rFonts w:ascii="Palatino Linotype" w:hAnsi="Palatino Linotype"/>
          <w:b/>
        </w:rPr>
      </w:pPr>
    </w:p>
    <w:p w:rsidR="00912D3E" w:rsidRDefault="00912D3E" w:rsidP="00912D3E">
      <w:pPr>
        <w:spacing w:before="240"/>
        <w:rPr>
          <w:rFonts w:ascii="Palatino Linotype" w:hAnsi="Palatino Linotype"/>
          <w:b/>
        </w:rPr>
      </w:pPr>
      <w:r>
        <w:rPr>
          <w:noProof/>
          <w:lang w:eastAsia="es-MX"/>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20955</wp:posOffset>
                </wp:positionV>
                <wp:extent cx="1943100" cy="995045"/>
                <wp:effectExtent l="0" t="0" r="19050" b="14605"/>
                <wp:wrapNone/>
                <wp:docPr id="8" name="Cuadro de texto 8"/>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2D3E" w:rsidRDefault="00912D3E" w:rsidP="00912D3E">
                            <w:pPr>
                              <w:jc w:val="center"/>
                              <w:rPr>
                                <w:rFonts w:ascii="Palatino Linotype" w:hAnsi="Palatino Linotype"/>
                                <w:b/>
                                <w:sz w:val="24"/>
                                <w:szCs w:val="24"/>
                              </w:rPr>
                            </w:pPr>
                            <w:r>
                              <w:rPr>
                                <w:rFonts w:ascii="Palatino Linotype" w:hAnsi="Palatino Linotype"/>
                                <w:b/>
                                <w:sz w:val="24"/>
                                <w:szCs w:val="24"/>
                              </w:rPr>
                              <w:t>Eva Abaid Yapur</w:t>
                            </w:r>
                          </w:p>
                          <w:p w:rsidR="00912D3E" w:rsidRDefault="00912D3E" w:rsidP="00912D3E">
                            <w:pPr>
                              <w:jc w:val="center"/>
                              <w:rPr>
                                <w:rFonts w:ascii="Palatino Linotype" w:hAnsi="Palatino Linotype"/>
                                <w:sz w:val="24"/>
                                <w:szCs w:val="24"/>
                              </w:rPr>
                            </w:pPr>
                            <w:r>
                              <w:rPr>
                                <w:rFonts w:ascii="Palatino Linotype" w:hAnsi="Palatino Linotype"/>
                                <w:sz w:val="24"/>
                                <w:szCs w:val="24"/>
                              </w:rPr>
                              <w:t>Comisionada</w:t>
                            </w:r>
                          </w:p>
                          <w:p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rsidR="00912D3E" w:rsidRDefault="00912D3E" w:rsidP="00912D3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27"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" fillcolor="white [3201]" strokecolor="white [3212]" strokeweight=".5pt">
                <v:textbox>
                  <w:txbxContent>
                    <w:p w:rsidR="00912D3E" w:rsidRDefault="00912D3E" w:rsidP="00912D3E">
                      <w:pPr>
                        <w:jc w:val="center"/>
                        <w:rPr>
                          <w:rFonts w:ascii="Palatino Linotype" w:hAnsi="Palatino Linotype"/>
                          <w:b/>
                          <w:sz w:val="24"/>
                          <w:szCs w:val="24"/>
                        </w:rPr>
                      </w:pPr>
                      <w:r>
                        <w:rPr>
                          <w:rFonts w:ascii="Palatino Linotype" w:hAnsi="Palatino Linotype"/>
                          <w:b/>
                          <w:sz w:val="24"/>
                          <w:szCs w:val="24"/>
                        </w:rPr>
                        <w:t>Eva Abaid Yapur</w:t>
                      </w:r>
                    </w:p>
                    <w:p w:rsidR="00912D3E" w:rsidRDefault="00912D3E" w:rsidP="00912D3E">
                      <w:pPr>
                        <w:jc w:val="center"/>
                        <w:rPr>
                          <w:rFonts w:ascii="Palatino Linotype" w:hAnsi="Palatino Linotype"/>
                          <w:sz w:val="24"/>
                          <w:szCs w:val="24"/>
                        </w:rPr>
                      </w:pPr>
                      <w:r>
                        <w:rPr>
                          <w:rFonts w:ascii="Palatino Linotype" w:hAnsi="Palatino Linotype"/>
                          <w:sz w:val="24"/>
                          <w:szCs w:val="24"/>
                        </w:rPr>
                        <w:t>Comisionada</w:t>
                      </w:r>
                    </w:p>
                    <w:p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rsidR="00912D3E" w:rsidRDefault="00912D3E" w:rsidP="00912D3E">
                      <w:pPr>
                        <w:jc w:val="center"/>
                      </w:pPr>
                    </w:p>
                  </w:txbxContent>
                </v:textbox>
                <w10:wrap anchorx="margin"/>
              </v:shape>
            </w:pict>
          </mc:Fallback>
        </mc:AlternateContent>
      </w:r>
      <w:r>
        <w:rPr>
          <w:noProof/>
          <w:lang w:eastAsia="es-MX"/>
        </w:rPr>
        <mc:AlternateContent>
          <mc:Choice Requires="wps">
            <w:drawing>
              <wp:anchor distT="0" distB="0" distL="114300" distR="114300" simplePos="0" relativeHeight="251663360" behindDoc="0" locked="0" layoutInCell="1" allowOverlap="1">
                <wp:simplePos x="0" y="0"/>
                <wp:positionH relativeFrom="page">
                  <wp:posOffset>-3105150</wp:posOffset>
                </wp:positionH>
                <wp:positionV relativeFrom="paragraph">
                  <wp:posOffset>2041525</wp:posOffset>
                </wp:positionV>
                <wp:extent cx="2133600" cy="943610"/>
                <wp:effectExtent l="0" t="0" r="19050" b="27940"/>
                <wp:wrapNone/>
                <wp:docPr id="5" name="Cuadro de texto 5"/>
                <wp:cNvGraphicFramePr/>
                <a:graphic xmlns:a="http://schemas.openxmlformats.org/drawingml/2006/main">
                  <a:graphicData uri="http://schemas.microsoft.com/office/word/2010/wordprocessingShape">
                    <wps:wsp>
                      <wps:cNvSpPr txBox="1"/>
                      <wps:spPr>
                        <a:xfrm>
                          <a:off x="0" y="0"/>
                          <a:ext cx="2133600" cy="9436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2D3E" w:rsidRDefault="00912D3E" w:rsidP="00912D3E">
                            <w:pPr>
                              <w:spacing w:line="240" w:lineRule="auto"/>
                              <w:jc w:val="center"/>
                              <w:rPr>
                                <w:rFonts w:ascii="Palatino Linotype" w:hAnsi="Palatino Linotype"/>
                                <w:sz w:val="24"/>
                                <w:szCs w:val="24"/>
                              </w:rPr>
                            </w:pPr>
                            <w:r>
                              <w:rPr>
                                <w:rFonts w:ascii="Palatino Linotype" w:hAnsi="Palatino Linotype"/>
                                <w:b/>
                                <w:sz w:val="24"/>
                                <w:szCs w:val="24"/>
                              </w:rPr>
                              <w:t>Javier Martínez Cruz</w:t>
                            </w:r>
                          </w:p>
                          <w:p w:rsidR="00912D3E" w:rsidRDefault="00912D3E" w:rsidP="00912D3E">
                            <w:pPr>
                              <w:spacing w:line="240" w:lineRule="auto"/>
                              <w:jc w:val="center"/>
                              <w:rPr>
                                <w:rFonts w:ascii="Palatino Linotype" w:hAnsi="Palatino Linotype"/>
                                <w:sz w:val="24"/>
                                <w:szCs w:val="24"/>
                              </w:rPr>
                            </w:pPr>
                            <w:r>
                              <w:rPr>
                                <w:rFonts w:ascii="Palatino Linotype" w:hAnsi="Palatino Linotype"/>
                                <w:sz w:val="24"/>
                                <w:szCs w:val="24"/>
                              </w:rPr>
                              <w:t>Comisionado</w:t>
                            </w:r>
                          </w:p>
                          <w:p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rsidR="00912D3E" w:rsidRDefault="00912D3E" w:rsidP="00912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5" o:spid="_x0000_s1028" type="#_x0000_t202" style="position:absolute;margin-left:-244.5pt;margin-top:160.75pt;width:168pt;height:74.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" fillcolor="white [3201]" strokecolor="white [3212]" strokeweight=".5pt">
                <v:textbox>
                  <w:txbxContent>
                    <w:p w:rsidR="00912D3E" w:rsidRDefault="00912D3E" w:rsidP="00912D3E">
                      <w:pPr>
                        <w:spacing w:line="240" w:lineRule="auto"/>
                        <w:jc w:val="center"/>
                        <w:rPr>
                          <w:rFonts w:ascii="Palatino Linotype" w:hAnsi="Palatino Linotype"/>
                          <w:sz w:val="24"/>
                          <w:szCs w:val="24"/>
                        </w:rPr>
                      </w:pPr>
                      <w:r>
                        <w:rPr>
                          <w:rFonts w:ascii="Palatino Linotype" w:hAnsi="Palatino Linotype"/>
                          <w:b/>
                          <w:sz w:val="24"/>
                          <w:szCs w:val="24"/>
                        </w:rPr>
                        <w:t>Javier Martínez Cruz</w:t>
                      </w:r>
                    </w:p>
                    <w:p w:rsidR="00912D3E" w:rsidRDefault="00912D3E" w:rsidP="00912D3E">
                      <w:pPr>
                        <w:spacing w:line="240" w:lineRule="auto"/>
                        <w:jc w:val="center"/>
                        <w:rPr>
                          <w:rFonts w:ascii="Palatino Linotype" w:hAnsi="Palatino Linotype"/>
                          <w:sz w:val="24"/>
                          <w:szCs w:val="24"/>
                        </w:rPr>
                      </w:pPr>
                      <w:r>
                        <w:rPr>
                          <w:rFonts w:ascii="Palatino Linotype" w:hAnsi="Palatino Linotype"/>
                          <w:sz w:val="24"/>
                          <w:szCs w:val="24"/>
                        </w:rPr>
                        <w:t>Comisionado</w:t>
                      </w:r>
                    </w:p>
                    <w:p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rsidR="00912D3E" w:rsidRDefault="00912D3E" w:rsidP="00912D3E"/>
                  </w:txbxContent>
                </v:textbox>
                <w10:wrap anchorx="page"/>
              </v:shape>
            </w:pict>
          </mc:Fallback>
        </mc:AlternateContent>
      </w:r>
      <w:r>
        <w:rPr>
          <w:noProof/>
          <w:lang w:eastAsia="es-MX"/>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11430</wp:posOffset>
                </wp:positionV>
                <wp:extent cx="2543175" cy="936625"/>
                <wp:effectExtent l="0" t="0" r="28575" b="15875"/>
                <wp:wrapNone/>
                <wp:docPr id="3" name="Cuadro de texto 3"/>
                <wp:cNvGraphicFramePr/>
                <a:graphic xmlns:a="http://schemas.openxmlformats.org/drawingml/2006/main">
                  <a:graphicData uri="http://schemas.microsoft.com/office/word/2010/wordprocessingShape">
                    <wps:wsp>
                      <wps:cNvSpPr txBox="1"/>
                      <wps:spPr>
                        <a:xfrm>
                          <a:off x="0" y="0"/>
                          <a:ext cx="2543175" cy="9359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2D3E" w:rsidRDefault="00912D3E" w:rsidP="00912D3E">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912D3E" w:rsidRDefault="00912D3E" w:rsidP="00912D3E">
                            <w:pPr>
                              <w:spacing w:line="240" w:lineRule="auto"/>
                              <w:jc w:val="center"/>
                              <w:rPr>
                                <w:rFonts w:ascii="Palatino Linotype" w:hAnsi="Palatino Linotype"/>
                                <w:sz w:val="24"/>
                                <w:szCs w:val="24"/>
                              </w:rPr>
                            </w:pPr>
                            <w:r>
                              <w:rPr>
                                <w:rFonts w:ascii="Palatino Linotype" w:hAnsi="Palatino Linotype"/>
                                <w:sz w:val="24"/>
                                <w:szCs w:val="24"/>
                              </w:rPr>
                              <w:t>Comisionado</w:t>
                            </w:r>
                          </w:p>
                          <w:p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rsidR="00912D3E" w:rsidRDefault="00912D3E" w:rsidP="00912D3E">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29" type="#_x0000_t202" style="position:absolute;margin-left:149.05pt;margin-top:.9pt;width:200.25pt;height:73.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" fillcolor="white [3201]" strokecolor="white [3212]" strokeweight=".5pt">
                <v:textbox>
                  <w:txbxContent>
                    <w:p w:rsidR="00912D3E" w:rsidRDefault="00912D3E" w:rsidP="00912D3E">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912D3E" w:rsidRDefault="00912D3E" w:rsidP="00912D3E">
                      <w:pPr>
                        <w:spacing w:line="240" w:lineRule="auto"/>
                        <w:jc w:val="center"/>
                        <w:rPr>
                          <w:rFonts w:ascii="Palatino Linotype" w:hAnsi="Palatino Linotype"/>
                          <w:sz w:val="24"/>
                          <w:szCs w:val="24"/>
                        </w:rPr>
                      </w:pPr>
                      <w:r>
                        <w:rPr>
                          <w:rFonts w:ascii="Palatino Linotype" w:hAnsi="Palatino Linotype"/>
                          <w:sz w:val="24"/>
                          <w:szCs w:val="24"/>
                        </w:rPr>
                        <w:t>Comisionado</w:t>
                      </w:r>
                    </w:p>
                    <w:p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rsidR="00912D3E" w:rsidRDefault="00912D3E" w:rsidP="00912D3E">
                      <w:pPr>
                        <w:spacing w:line="240" w:lineRule="auto"/>
                        <w:jc w:val="center"/>
                        <w:rPr>
                          <w:rFonts w:ascii="Palatino Linotype" w:hAnsi="Palatino Linotype"/>
                          <w:sz w:val="24"/>
                          <w:szCs w:val="24"/>
                        </w:rPr>
                      </w:pPr>
                    </w:p>
                  </w:txbxContent>
                </v:textbox>
                <w10:wrap anchorx="margin"/>
              </v:shape>
            </w:pict>
          </mc:Fallback>
        </mc:AlternateContent>
      </w:r>
    </w:p>
    <w:p w:rsidR="00912D3E" w:rsidRDefault="00912D3E" w:rsidP="00912D3E">
      <w:pPr>
        <w:spacing w:before="240"/>
        <w:rPr>
          <w:rFonts w:ascii="Palatino Linotype" w:hAnsi="Palatino Linotype"/>
          <w:b/>
        </w:rPr>
      </w:pPr>
    </w:p>
    <w:p w:rsidR="00912D3E" w:rsidRDefault="00912D3E" w:rsidP="00912D3E">
      <w:pPr>
        <w:spacing w:before="240"/>
        <w:rPr>
          <w:rFonts w:ascii="Palatino Linotype" w:hAnsi="Palatino Linotype"/>
          <w:b/>
        </w:rPr>
      </w:pPr>
    </w:p>
    <w:p w:rsidR="00912D3E" w:rsidRDefault="00912D3E" w:rsidP="00912D3E">
      <w:pPr>
        <w:spacing w:before="240"/>
        <w:rPr>
          <w:rFonts w:ascii="Palatino Linotype" w:hAnsi="Palatino Linotype"/>
          <w:b/>
        </w:rPr>
      </w:pPr>
    </w:p>
    <w:p w:rsidR="00912D3E" w:rsidRPr="00B93570" w:rsidRDefault="00912D3E" w:rsidP="00912D3E">
      <w:pPr>
        <w:spacing w:before="240"/>
        <w:rPr>
          <w:rFonts w:ascii="Palatino Linotype" w:hAnsi="Palatino Linotype"/>
          <w:b/>
          <w:sz w:val="18"/>
          <w:szCs w:val="18"/>
        </w:rPr>
      </w:pPr>
    </w:p>
    <w:p w:rsidR="00912D3E" w:rsidRPr="00B93570" w:rsidRDefault="00912D3E" w:rsidP="00912D3E">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7D7A6A54" wp14:editId="5C4E03BD">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2D3E" w:rsidRPr="00EF2FC0" w:rsidRDefault="00912D3E" w:rsidP="00912D3E">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912D3E" w:rsidRPr="00EF2FC0" w:rsidRDefault="00912D3E" w:rsidP="00912D3E">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rsidR="00912D3E" w:rsidRDefault="00912D3E" w:rsidP="00912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A6A54" id="Cuadro de texto 4" o:spid="_x0000_s1030" type="#_x0000_t202" style="position:absolute;margin-left:358.05pt;margin-top:19.05pt;width:168pt;height:74.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Y3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puusroFWUO2xfzy0Yxgc&#10;v1FY5FsW4j3zOHfYF7hL4h1+pAYsEnQSJRvwv1+7T3gcB9RSUuMclzT82jIvKNFfLQ7KxXAySYOf&#10;D5PzjyM8+FPN6lRjt2YJ2DlD3FqOZzHho+5F6cE84cpZpFdRxSzHt0sae3EZ2+2CK4uLxSKDcNQd&#10;i7f2wfHkOrGcWvixeWLedX2eZu0b9BPPZi/avcUmSwuLbQSp8iwknltWO/5xTeQR6VZa2kOn54w6&#10;Lt75HwA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K8FpjeXAgAAwAUAAA4AAAAAAAAAAAAAAAAALgIAAGRycy9lMm9E&#10;b2MueG1sUEsBAi0AFAAGAAgAAAAhAJ+tRp7gAAAACwEAAA8AAAAAAAAAAAAAAAAA8QQAAGRycy9k&#10;b3ducmV2LnhtbFBLBQYAAAAABAAEAPMAAAD+BQAAAAA=&#10;" fillcolor="white [3201]" strokecolor="white [3212]" strokeweight=".5pt">
                <v:textbox>
                  <w:txbxContent>
                    <w:p w:rsidR="00912D3E" w:rsidRPr="00EF2FC0" w:rsidRDefault="00912D3E" w:rsidP="00912D3E">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912D3E" w:rsidRPr="00EF2FC0" w:rsidRDefault="00912D3E" w:rsidP="00912D3E">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rsidR="00912D3E" w:rsidRDefault="00912D3E" w:rsidP="00912D3E"/>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37F240CD" wp14:editId="63ACDBD3">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2D3E" w:rsidRPr="00EF2FC0" w:rsidRDefault="00912D3E" w:rsidP="00912D3E">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912D3E" w:rsidRPr="00EF2FC0" w:rsidRDefault="00912D3E" w:rsidP="00912D3E">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rsidR="00912D3E" w:rsidRDefault="00912D3E" w:rsidP="00912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240CD" id="Cuadro de texto 2" o:spid="_x0000_s1031" type="#_x0000_t202" style="position:absolute;margin-left:85.5pt;margin-top:18.25pt;width:168pt;height:74.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oTmA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ed8oK6j22D8e2jEM&#10;jt8oLPItC/GeeZw77AvcJfEOP1IDFgk6iZIN+N+v3Sc8jgNqKalxjksafm2ZF5TorxYH5WI4maTB&#10;z4fJ+ccRHvypZnWqsVuzBOycIW4tx7OY8FH3ovRgnnDlLNKrqGKW49sljb24jO12wZXFxWKRQTjq&#10;jsVb++B4cp1YTi382Dwx77o+T7P2DfqJZ7MX7d5ik6WFxTaCVHkWEs8tqx3/uCbyiHQrLe2h03NG&#10;HRfv/A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GSbKhOYAgAAwAUAAA4AAAAAAAAAAAAAAAAALgIAAGRycy9lMm9E&#10;b2MueG1sUEsBAi0AFAAGAAgAAAAhAJF8G3nfAAAACgEAAA8AAAAAAAAAAAAAAAAA8gQAAGRycy9k&#10;b3ducmV2LnhtbFBLBQYAAAAABAAEAPMAAAD+BQAAAAA=&#10;" fillcolor="white [3201]" strokecolor="white [3212]" strokeweight=".5pt">
                <v:textbox>
                  <w:txbxContent>
                    <w:p w:rsidR="00912D3E" w:rsidRPr="00EF2FC0" w:rsidRDefault="00912D3E" w:rsidP="00912D3E">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912D3E" w:rsidRPr="00EF2FC0" w:rsidRDefault="00912D3E" w:rsidP="00912D3E">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(Rúbrica).</w:t>
                      </w:r>
                    </w:p>
                    <w:p w:rsidR="00912D3E" w:rsidRDefault="00912D3E" w:rsidP="00912D3E"/>
                  </w:txbxContent>
                </v:textbox>
                <w10:wrap anchorx="page"/>
              </v:shape>
            </w:pict>
          </mc:Fallback>
        </mc:AlternateContent>
      </w:r>
    </w:p>
    <w:p w:rsidR="00912D3E" w:rsidRDefault="00912D3E" w:rsidP="00912D3E">
      <w:pPr>
        <w:spacing w:before="240"/>
        <w:rPr>
          <w:rFonts w:ascii="Palatino Linotype" w:hAnsi="Palatino Linotype"/>
          <w:b/>
        </w:rPr>
      </w:pPr>
    </w:p>
    <w:p w:rsidR="00912D3E" w:rsidRDefault="00912D3E" w:rsidP="00912D3E">
      <w:pPr>
        <w:spacing w:before="240"/>
        <w:rPr>
          <w:rFonts w:ascii="Palatino Linotype" w:hAnsi="Palatino Linotype"/>
          <w:b/>
        </w:rPr>
      </w:pPr>
    </w:p>
    <w:p w:rsidR="00912D3E" w:rsidRDefault="00912D3E" w:rsidP="00912D3E">
      <w:pPr>
        <w:spacing w:before="240"/>
        <w:rPr>
          <w:rFonts w:ascii="Palatino Linotype" w:hAnsi="Palatino Linotype" w:cs="Arial"/>
          <w:szCs w:val="20"/>
        </w:rPr>
      </w:pPr>
    </w:p>
    <w:p w:rsidR="00912D3E" w:rsidRDefault="00912D3E" w:rsidP="00912D3E">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6432" behindDoc="0" locked="0" layoutInCell="1" allowOverlap="1" wp14:anchorId="797A284F" wp14:editId="5E6945CD">
                <wp:simplePos x="0" y="0"/>
                <wp:positionH relativeFrom="page">
                  <wp:posOffset>2416175</wp:posOffset>
                </wp:positionH>
                <wp:positionV relativeFrom="paragraph">
                  <wp:posOffset>247207</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12D3E" w:rsidRPr="007F6133" w:rsidRDefault="00912D3E" w:rsidP="00912D3E">
                            <w:pPr>
                              <w:jc w:val="center"/>
                              <w:rPr>
                                <w:rFonts w:ascii="Palatino Linotype" w:hAnsi="Palatino Linotype"/>
                                <w:b/>
                                <w:sz w:val="24"/>
                                <w:szCs w:val="24"/>
                              </w:rPr>
                            </w:pPr>
                            <w:r w:rsidRPr="00B86F1F">
                              <w:rPr>
                                <w:rFonts w:ascii="Palatino Linotype" w:hAnsi="Palatino Linotype"/>
                                <w:b/>
                                <w:sz w:val="24"/>
                                <w:szCs w:val="24"/>
                              </w:rPr>
                              <w:t>Alexis Tapia Ramírez</w:t>
                            </w:r>
                          </w:p>
                          <w:p w:rsidR="00912D3E" w:rsidRDefault="00912D3E" w:rsidP="00912D3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912D3E" w:rsidRDefault="00912D3E" w:rsidP="00912D3E">
                            <w:pPr>
                              <w:jc w:val="center"/>
                              <w:rPr>
                                <w:rFonts w:ascii="Palatino Linotype" w:hAnsi="Palatino Linotype"/>
                                <w:sz w:val="24"/>
                                <w:szCs w:val="24"/>
                              </w:rPr>
                            </w:pPr>
                          </w:p>
                          <w:p w:rsidR="00912D3E" w:rsidRPr="00EF2FC0" w:rsidRDefault="00912D3E" w:rsidP="00912D3E">
                            <w:pPr>
                              <w:jc w:val="center"/>
                              <w:rPr>
                                <w:rFonts w:ascii="Palatino Linotype" w:hAnsi="Palatino Linotype"/>
                                <w:sz w:val="24"/>
                                <w:szCs w:val="24"/>
                              </w:rPr>
                            </w:pPr>
                          </w:p>
                          <w:p w:rsidR="00912D3E" w:rsidRDefault="00912D3E" w:rsidP="00912D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A284F" id="Cuadro de texto 24" o:spid="_x0000_s1032" type="#_x0000_t202" style="position:absolute;margin-left:190.25pt;margin-top:19.45pt;width:248.25pt;height:74.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j+mQIAAMI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" fillcolor="white [3201]" strokecolor="white [3212]" strokeweight=".5pt">
                <v:textbox>
                  <w:txbxContent>
                    <w:p w:rsidR="00912D3E" w:rsidRPr="007F6133" w:rsidRDefault="00912D3E" w:rsidP="00912D3E">
                      <w:pPr>
                        <w:jc w:val="center"/>
                        <w:rPr>
                          <w:rFonts w:ascii="Palatino Linotype" w:hAnsi="Palatino Linotype"/>
                          <w:b/>
                          <w:sz w:val="24"/>
                          <w:szCs w:val="24"/>
                        </w:rPr>
                      </w:pPr>
                      <w:r w:rsidRPr="00B86F1F">
                        <w:rPr>
                          <w:rFonts w:ascii="Palatino Linotype" w:hAnsi="Palatino Linotype"/>
                          <w:b/>
                          <w:sz w:val="24"/>
                          <w:szCs w:val="24"/>
                        </w:rPr>
                        <w:t>Alexis Tapia Ramírez</w:t>
                      </w:r>
                    </w:p>
                    <w:p w:rsidR="00912D3E" w:rsidRDefault="00912D3E" w:rsidP="00912D3E">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912D3E" w:rsidRDefault="00912D3E" w:rsidP="00912D3E">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912D3E" w:rsidRDefault="00912D3E" w:rsidP="00912D3E">
                      <w:pPr>
                        <w:jc w:val="center"/>
                        <w:rPr>
                          <w:rFonts w:ascii="Palatino Linotype" w:hAnsi="Palatino Linotype"/>
                          <w:sz w:val="24"/>
                          <w:szCs w:val="24"/>
                        </w:rPr>
                      </w:pPr>
                    </w:p>
                    <w:p w:rsidR="00912D3E" w:rsidRPr="00EF2FC0" w:rsidRDefault="00912D3E" w:rsidP="00912D3E">
                      <w:pPr>
                        <w:jc w:val="center"/>
                        <w:rPr>
                          <w:rFonts w:ascii="Palatino Linotype" w:hAnsi="Palatino Linotype"/>
                          <w:sz w:val="24"/>
                          <w:szCs w:val="24"/>
                        </w:rPr>
                      </w:pPr>
                    </w:p>
                    <w:p w:rsidR="00912D3E" w:rsidRDefault="00912D3E" w:rsidP="00912D3E"/>
                  </w:txbxContent>
                </v:textbox>
                <w10:wrap anchorx="page"/>
              </v:shape>
            </w:pict>
          </mc:Fallback>
        </mc:AlternateContent>
      </w:r>
    </w:p>
    <w:p w:rsidR="00912D3E" w:rsidRDefault="00912D3E" w:rsidP="00912D3E">
      <w:pPr>
        <w:spacing w:before="240"/>
        <w:rPr>
          <w:rFonts w:ascii="Palatino Linotype" w:hAnsi="Palatino Linotype" w:cs="Arial"/>
          <w:sz w:val="18"/>
          <w:szCs w:val="18"/>
        </w:rPr>
      </w:pPr>
    </w:p>
    <w:p w:rsidR="00912D3E" w:rsidRDefault="00912D3E" w:rsidP="00912D3E">
      <w:pPr>
        <w:spacing w:before="240"/>
        <w:jc w:val="both"/>
        <w:rPr>
          <w:rFonts w:ascii="Palatino Linotype" w:hAnsi="Palatino Linotype" w:cs="Arial"/>
          <w:sz w:val="18"/>
          <w:szCs w:val="18"/>
        </w:rPr>
      </w:pPr>
    </w:p>
    <w:p w:rsidR="00912D3E" w:rsidRDefault="00912D3E" w:rsidP="00912D3E">
      <w:pPr>
        <w:spacing w:before="240" w:line="240" w:lineRule="auto"/>
        <w:jc w:val="both"/>
        <w:rPr>
          <w:rFonts w:ascii="Palatino Linotype" w:hAnsi="Palatino Linotype" w:cs="Arial"/>
          <w:sz w:val="14"/>
          <w:szCs w:val="14"/>
        </w:rPr>
      </w:pPr>
    </w:p>
    <w:p w:rsidR="00912D3E" w:rsidRPr="002052F6" w:rsidRDefault="00912D3E" w:rsidP="00912D3E">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cinco de junio</w:t>
      </w:r>
      <w:r w:rsidRPr="00F33B3C">
        <w:rPr>
          <w:rFonts w:ascii="Palatino Linotype" w:hAnsi="Palatino Linotype" w:cs="Arial"/>
          <w:sz w:val="16"/>
          <w:szCs w:val="16"/>
        </w:rPr>
        <w:t xml:space="preserve"> </w:t>
      </w:r>
      <w:r>
        <w:rPr>
          <w:rFonts w:ascii="Palatino Linotype" w:hAnsi="Palatino Linotype" w:cs="Arial"/>
          <w:sz w:val="16"/>
          <w:szCs w:val="16"/>
        </w:rPr>
        <w:t>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01890/INFOEM/IP/RR/2019</w:t>
      </w:r>
      <w:r w:rsidRPr="002052F6">
        <w:rPr>
          <w:rFonts w:ascii="Palatino Linotype" w:hAnsi="Palatino Linotype" w:cs="Arial"/>
          <w:sz w:val="16"/>
          <w:szCs w:val="16"/>
        </w:rPr>
        <w:t>.</w:t>
      </w:r>
    </w:p>
    <w:p w:rsidR="00912D3E" w:rsidRPr="00F33B3C" w:rsidRDefault="00912D3E" w:rsidP="00912D3E">
      <w:pPr>
        <w:spacing w:after="0"/>
        <w:rPr>
          <w:sz w:val="16"/>
        </w:rPr>
      </w:pPr>
      <w:r w:rsidRPr="00F33B3C">
        <w:rPr>
          <w:sz w:val="16"/>
        </w:rPr>
        <w:t>ZMS/OSAM/MAEM</w:t>
      </w:r>
    </w:p>
    <w:p w:rsidR="00DD13E2" w:rsidRPr="0052045B" w:rsidRDefault="00DD13E2" w:rsidP="00912D3E">
      <w:pPr>
        <w:spacing w:after="0" w:line="360" w:lineRule="auto"/>
        <w:jc w:val="both"/>
        <w:rPr>
          <w:sz w:val="18"/>
        </w:rPr>
      </w:pPr>
    </w:p>
    <w:sectPr w:rsidR="00DD13E2" w:rsidRPr="0052045B" w:rsidSect="00E15E85">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86C" w:rsidRDefault="003C686C" w:rsidP="00E15E85">
      <w:pPr>
        <w:spacing w:after="0" w:line="240" w:lineRule="auto"/>
      </w:pPr>
      <w:r>
        <w:separator/>
      </w:r>
    </w:p>
  </w:endnote>
  <w:endnote w:type="continuationSeparator" w:id="0">
    <w:p w:rsidR="003C686C" w:rsidRDefault="003C686C"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7B1D">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47B1D">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7B1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47B1D">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86C" w:rsidRDefault="003C686C" w:rsidP="00E15E85">
      <w:pPr>
        <w:spacing w:after="0" w:line="240" w:lineRule="auto"/>
      </w:pPr>
      <w:r>
        <w:separator/>
      </w:r>
    </w:p>
  </w:footnote>
  <w:footnote w:type="continuationSeparator" w:id="0">
    <w:p w:rsidR="003C686C" w:rsidRDefault="003C686C"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2365C" w:rsidRPr="00F36995" w:rsidRDefault="0062365C" w:rsidP="0062365C">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rsidR="0062365C" w:rsidRPr="00F36995" w:rsidRDefault="0062365C" w:rsidP="0062365C">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B41F58" w:rsidP="00D56BC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01890</w:t>
          </w:r>
          <w:r w:rsidR="008156F6">
            <w:rPr>
              <w:rFonts w:ascii="Palatino Linotype" w:hAnsi="Palatino Linotype" w:cs="Arial"/>
              <w:bCs/>
              <w:sz w:val="24"/>
              <w:lang w:eastAsia="es-MX"/>
            </w:rPr>
            <w:t>/INFOEM/IP/RR/2019</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B41F58" w:rsidP="00E15E85">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Texcoco</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B41F58" w:rsidP="00B41F5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01890</w:t>
          </w:r>
          <w:r w:rsidR="007E2959" w:rsidRPr="007E2959">
            <w:rPr>
              <w:rFonts w:ascii="Palatino Linotype" w:hAnsi="Palatino Linotype" w:cs="Arial"/>
              <w:bCs/>
              <w:sz w:val="24"/>
              <w:lang w:eastAsia="es-MX"/>
            </w:rPr>
            <w:t>/INFOEM/IP/RR/201</w:t>
          </w:r>
          <w:r w:rsidR="008156F6">
            <w:rPr>
              <w:rFonts w:ascii="Palatino Linotype" w:hAnsi="Palatino Linotype" w:cs="Arial"/>
              <w:bCs/>
              <w:sz w:val="24"/>
              <w:lang w:eastAsia="es-MX"/>
            </w:rPr>
            <w:t>9</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847B1D"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 xxxxxx 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B41F58" w:rsidP="0015550A">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Ayuntamiento de Texcoco</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33E85"/>
    <w:multiLevelType w:val="hybridMultilevel"/>
    <w:tmpl w:val="D57A4022"/>
    <w:lvl w:ilvl="0" w:tplc="B960271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054276A"/>
    <w:multiLevelType w:val="hybridMultilevel"/>
    <w:tmpl w:val="1D44367E"/>
    <w:lvl w:ilvl="0" w:tplc="BBDC932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5A04EDE"/>
    <w:multiLevelType w:val="hybridMultilevel"/>
    <w:tmpl w:val="A79221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C43E66"/>
    <w:multiLevelType w:val="hybridMultilevel"/>
    <w:tmpl w:val="D4788A42"/>
    <w:lvl w:ilvl="0" w:tplc="C42EA88C">
      <w:start w:val="1"/>
      <w:numFmt w:val="upperRoman"/>
      <w:lvlText w:val="%1."/>
      <w:lvlJc w:val="left"/>
      <w:pPr>
        <w:ind w:left="1080" w:hanging="720"/>
      </w:pPr>
      <w:rPr>
        <w:rFonts w:asciiTheme="minorHAnsi" w:hAnsiTheme="minorHAns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28419F"/>
    <w:multiLevelType w:val="hybridMultilevel"/>
    <w:tmpl w:val="0240B170"/>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5"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966B7B"/>
    <w:multiLevelType w:val="hybridMultilevel"/>
    <w:tmpl w:val="4AE8F832"/>
    <w:lvl w:ilvl="0" w:tplc="03180A0E">
      <w:start w:val="1"/>
      <w:numFmt w:val="upperRoman"/>
      <w:lvlText w:val="%1."/>
      <w:lvlJc w:val="left"/>
      <w:pPr>
        <w:ind w:left="1428" w:hanging="720"/>
      </w:pPr>
      <w:rPr>
        <w:rFonts w:hint="default"/>
      </w:rPr>
    </w:lvl>
    <w:lvl w:ilvl="1" w:tplc="553C4D8A">
      <w:start w:val="1"/>
      <w:numFmt w:val="decimal"/>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3A05C94"/>
    <w:multiLevelType w:val="hybridMultilevel"/>
    <w:tmpl w:val="7EB68B0C"/>
    <w:lvl w:ilvl="0" w:tplc="4E2441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E255D3"/>
    <w:multiLevelType w:val="hybridMultilevel"/>
    <w:tmpl w:val="B492C81C"/>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9E1655"/>
    <w:multiLevelType w:val="hybridMultilevel"/>
    <w:tmpl w:val="FF8669C0"/>
    <w:lvl w:ilvl="0" w:tplc="3550B27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7573231"/>
    <w:multiLevelType w:val="hybridMultilevel"/>
    <w:tmpl w:val="3C944266"/>
    <w:lvl w:ilvl="0" w:tplc="5FC0A60A">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A1F69E5"/>
    <w:multiLevelType w:val="hybridMultilevel"/>
    <w:tmpl w:val="36363444"/>
    <w:lvl w:ilvl="0" w:tplc="644E6F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21D0FD7"/>
    <w:multiLevelType w:val="hybridMultilevel"/>
    <w:tmpl w:val="86A28C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4B032A"/>
    <w:multiLevelType w:val="hybridMultilevel"/>
    <w:tmpl w:val="86A28C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684EB7"/>
    <w:multiLevelType w:val="hybridMultilevel"/>
    <w:tmpl w:val="8E1C33DC"/>
    <w:lvl w:ilvl="0" w:tplc="464E97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2D3D56"/>
    <w:multiLevelType w:val="hybridMultilevel"/>
    <w:tmpl w:val="4926C9A6"/>
    <w:lvl w:ilvl="0" w:tplc="644E6F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FA7659"/>
    <w:multiLevelType w:val="hybridMultilevel"/>
    <w:tmpl w:val="4AE8F832"/>
    <w:lvl w:ilvl="0" w:tplc="03180A0E">
      <w:start w:val="1"/>
      <w:numFmt w:val="upperRoman"/>
      <w:lvlText w:val="%1."/>
      <w:lvlJc w:val="left"/>
      <w:pPr>
        <w:ind w:left="1428" w:hanging="720"/>
      </w:pPr>
      <w:rPr>
        <w:rFonts w:hint="default"/>
      </w:rPr>
    </w:lvl>
    <w:lvl w:ilvl="1" w:tplc="553C4D8A">
      <w:start w:val="1"/>
      <w:numFmt w:val="decimal"/>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54603994"/>
    <w:multiLevelType w:val="hybridMultilevel"/>
    <w:tmpl w:val="62502EBC"/>
    <w:lvl w:ilvl="0" w:tplc="3550B27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B157DB9"/>
    <w:multiLevelType w:val="hybridMultilevel"/>
    <w:tmpl w:val="18640776"/>
    <w:numStyleLink w:val="Estiloimportado2"/>
  </w:abstractNum>
  <w:abstractNum w:abstractNumId="25" w15:restartNumberingAfterBreak="0">
    <w:nsid w:val="5B1C0153"/>
    <w:multiLevelType w:val="hybridMultilevel"/>
    <w:tmpl w:val="E0E4331E"/>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0F722A"/>
    <w:multiLevelType w:val="hybridMultilevel"/>
    <w:tmpl w:val="F5E29BBE"/>
    <w:lvl w:ilvl="0" w:tplc="3550B27A">
      <w:start w:val="1"/>
      <w:numFmt w:val="upperRoman"/>
      <w:lvlText w:val="%1."/>
      <w:lvlJc w:val="left"/>
      <w:pPr>
        <w:ind w:left="2136"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15:restartNumberingAfterBreak="0">
    <w:nsid w:val="6A714ABB"/>
    <w:multiLevelType w:val="hybridMultilevel"/>
    <w:tmpl w:val="5A90CF06"/>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6D506F0A"/>
    <w:multiLevelType w:val="hybridMultilevel"/>
    <w:tmpl w:val="A7E69C30"/>
    <w:lvl w:ilvl="0" w:tplc="3AE6D7C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0" w15:restartNumberingAfterBreak="0">
    <w:nsid w:val="6FE57ACE"/>
    <w:multiLevelType w:val="hybridMultilevel"/>
    <w:tmpl w:val="2CE833F0"/>
    <w:lvl w:ilvl="0" w:tplc="F7AC0F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2"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1"/>
  </w:num>
  <w:num w:numId="2">
    <w:abstractNumId w:val="5"/>
  </w:num>
  <w:num w:numId="3">
    <w:abstractNumId w:val="23"/>
  </w:num>
  <w:num w:numId="4">
    <w:abstractNumId w:val="12"/>
  </w:num>
  <w:num w:numId="5">
    <w:abstractNumId w:val="24"/>
  </w:num>
  <w:num w:numId="6">
    <w:abstractNumId w:val="6"/>
  </w:num>
  <w:num w:numId="7">
    <w:abstractNumId w:val="33"/>
  </w:num>
  <w:num w:numId="8">
    <w:abstractNumId w:val="16"/>
  </w:num>
  <w:num w:numId="9">
    <w:abstractNumId w:val="11"/>
  </w:num>
  <w:num w:numId="10">
    <w:abstractNumId w:val="32"/>
  </w:num>
  <w:num w:numId="11">
    <w:abstractNumId w:val="4"/>
  </w:num>
  <w:num w:numId="12">
    <w:abstractNumId w:val="22"/>
  </w:num>
  <w:num w:numId="13">
    <w:abstractNumId w:val="0"/>
  </w:num>
  <w:num w:numId="14">
    <w:abstractNumId w:val="10"/>
  </w:num>
  <w:num w:numId="15">
    <w:abstractNumId w:val="14"/>
  </w:num>
  <w:num w:numId="16">
    <w:abstractNumId w:val="21"/>
  </w:num>
  <w:num w:numId="17">
    <w:abstractNumId w:val="8"/>
  </w:num>
  <w:num w:numId="18">
    <w:abstractNumId w:val="27"/>
  </w:num>
  <w:num w:numId="19">
    <w:abstractNumId w:val="13"/>
  </w:num>
  <w:num w:numId="20">
    <w:abstractNumId w:val="7"/>
  </w:num>
  <w:num w:numId="21">
    <w:abstractNumId w:val="2"/>
  </w:num>
  <w:num w:numId="22">
    <w:abstractNumId w:val="26"/>
  </w:num>
  <w:num w:numId="23">
    <w:abstractNumId w:val="17"/>
  </w:num>
  <w:num w:numId="24">
    <w:abstractNumId w:val="25"/>
  </w:num>
  <w:num w:numId="25">
    <w:abstractNumId w:val="3"/>
  </w:num>
  <w:num w:numId="26">
    <w:abstractNumId w:val="19"/>
  </w:num>
  <w:num w:numId="27">
    <w:abstractNumId w:val="28"/>
  </w:num>
  <w:num w:numId="28">
    <w:abstractNumId w:val="18"/>
  </w:num>
  <w:num w:numId="29">
    <w:abstractNumId w:val="9"/>
  </w:num>
  <w:num w:numId="30">
    <w:abstractNumId w:val="30"/>
  </w:num>
  <w:num w:numId="31">
    <w:abstractNumId w:val="29"/>
  </w:num>
  <w:num w:numId="32">
    <w:abstractNumId w:val="15"/>
  </w:num>
  <w:num w:numId="33">
    <w:abstractNumId w:val="20"/>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EA6"/>
    <w:rsid w:val="00005309"/>
    <w:rsid w:val="00006356"/>
    <w:rsid w:val="0003050E"/>
    <w:rsid w:val="00035F8F"/>
    <w:rsid w:val="00041425"/>
    <w:rsid w:val="000425E1"/>
    <w:rsid w:val="0004795A"/>
    <w:rsid w:val="000527A4"/>
    <w:rsid w:val="00053942"/>
    <w:rsid w:val="00053ED1"/>
    <w:rsid w:val="00054163"/>
    <w:rsid w:val="000577D4"/>
    <w:rsid w:val="00062CBD"/>
    <w:rsid w:val="00073973"/>
    <w:rsid w:val="00074A99"/>
    <w:rsid w:val="00074FEF"/>
    <w:rsid w:val="00076643"/>
    <w:rsid w:val="00082DF3"/>
    <w:rsid w:val="00090E2C"/>
    <w:rsid w:val="000916B7"/>
    <w:rsid w:val="000A7B8B"/>
    <w:rsid w:val="000B4502"/>
    <w:rsid w:val="000B49A3"/>
    <w:rsid w:val="000C0827"/>
    <w:rsid w:val="000C22EC"/>
    <w:rsid w:val="000C3DB6"/>
    <w:rsid w:val="000C5278"/>
    <w:rsid w:val="000C59EE"/>
    <w:rsid w:val="000D33D5"/>
    <w:rsid w:val="000D3601"/>
    <w:rsid w:val="000F019E"/>
    <w:rsid w:val="000F1B9B"/>
    <w:rsid w:val="000F2613"/>
    <w:rsid w:val="001054CF"/>
    <w:rsid w:val="0011750A"/>
    <w:rsid w:val="0012266D"/>
    <w:rsid w:val="0013022C"/>
    <w:rsid w:val="00130D58"/>
    <w:rsid w:val="00154EE3"/>
    <w:rsid w:val="0015550A"/>
    <w:rsid w:val="00171BD5"/>
    <w:rsid w:val="00182B27"/>
    <w:rsid w:val="00183623"/>
    <w:rsid w:val="001A4AA3"/>
    <w:rsid w:val="001A63EA"/>
    <w:rsid w:val="001A7933"/>
    <w:rsid w:val="001B066D"/>
    <w:rsid w:val="001B3E5E"/>
    <w:rsid w:val="001C106E"/>
    <w:rsid w:val="001C28D0"/>
    <w:rsid w:val="001C3E01"/>
    <w:rsid w:val="001C3F41"/>
    <w:rsid w:val="001C7069"/>
    <w:rsid w:val="001D56AF"/>
    <w:rsid w:val="001E5C2A"/>
    <w:rsid w:val="002052F6"/>
    <w:rsid w:val="002075BB"/>
    <w:rsid w:val="00217E99"/>
    <w:rsid w:val="00223C2F"/>
    <w:rsid w:val="00224181"/>
    <w:rsid w:val="00233D51"/>
    <w:rsid w:val="002360A5"/>
    <w:rsid w:val="00240133"/>
    <w:rsid w:val="002606F0"/>
    <w:rsid w:val="0026534C"/>
    <w:rsid w:val="002677ED"/>
    <w:rsid w:val="00287512"/>
    <w:rsid w:val="002879C2"/>
    <w:rsid w:val="002902D7"/>
    <w:rsid w:val="00294D05"/>
    <w:rsid w:val="00294D34"/>
    <w:rsid w:val="002A1820"/>
    <w:rsid w:val="002A30B2"/>
    <w:rsid w:val="002A6F17"/>
    <w:rsid w:val="002B067A"/>
    <w:rsid w:val="002B144D"/>
    <w:rsid w:val="002B1C71"/>
    <w:rsid w:val="002B5F43"/>
    <w:rsid w:val="002C4900"/>
    <w:rsid w:val="002C55C0"/>
    <w:rsid w:val="002C65E4"/>
    <w:rsid w:val="002D0C5B"/>
    <w:rsid w:val="002D1F34"/>
    <w:rsid w:val="002D6A81"/>
    <w:rsid w:val="002E5C2F"/>
    <w:rsid w:val="002E755A"/>
    <w:rsid w:val="002E7A29"/>
    <w:rsid w:val="002F6A1F"/>
    <w:rsid w:val="003011A8"/>
    <w:rsid w:val="003034F4"/>
    <w:rsid w:val="00304FD7"/>
    <w:rsid w:val="00314F25"/>
    <w:rsid w:val="00317B8A"/>
    <w:rsid w:val="0032062F"/>
    <w:rsid w:val="00330A95"/>
    <w:rsid w:val="00331D0E"/>
    <w:rsid w:val="00332179"/>
    <w:rsid w:val="003341B0"/>
    <w:rsid w:val="00334E11"/>
    <w:rsid w:val="00342A59"/>
    <w:rsid w:val="0034696E"/>
    <w:rsid w:val="003470B1"/>
    <w:rsid w:val="003474F2"/>
    <w:rsid w:val="00357A8F"/>
    <w:rsid w:val="00357BFC"/>
    <w:rsid w:val="00365366"/>
    <w:rsid w:val="0036563B"/>
    <w:rsid w:val="0037266F"/>
    <w:rsid w:val="00385299"/>
    <w:rsid w:val="0039084D"/>
    <w:rsid w:val="003A2B24"/>
    <w:rsid w:val="003A67BC"/>
    <w:rsid w:val="003B465B"/>
    <w:rsid w:val="003B7CB7"/>
    <w:rsid w:val="003C4690"/>
    <w:rsid w:val="003C5897"/>
    <w:rsid w:val="003C686C"/>
    <w:rsid w:val="003D70C8"/>
    <w:rsid w:val="003E4FE1"/>
    <w:rsid w:val="003F2660"/>
    <w:rsid w:val="00422158"/>
    <w:rsid w:val="004254FE"/>
    <w:rsid w:val="00427311"/>
    <w:rsid w:val="004347E3"/>
    <w:rsid w:val="00437C82"/>
    <w:rsid w:val="004414F7"/>
    <w:rsid w:val="00461E45"/>
    <w:rsid w:val="00473606"/>
    <w:rsid w:val="00482CAD"/>
    <w:rsid w:val="0048336F"/>
    <w:rsid w:val="00492244"/>
    <w:rsid w:val="00492925"/>
    <w:rsid w:val="004970B2"/>
    <w:rsid w:val="004A2BFB"/>
    <w:rsid w:val="004C0C5D"/>
    <w:rsid w:val="004C3693"/>
    <w:rsid w:val="004E6DB3"/>
    <w:rsid w:val="004F05B2"/>
    <w:rsid w:val="004F6D37"/>
    <w:rsid w:val="0052045B"/>
    <w:rsid w:val="00527221"/>
    <w:rsid w:val="00527856"/>
    <w:rsid w:val="00527A48"/>
    <w:rsid w:val="00527C6A"/>
    <w:rsid w:val="005329E8"/>
    <w:rsid w:val="00534B57"/>
    <w:rsid w:val="00550BC8"/>
    <w:rsid w:val="00562B80"/>
    <w:rsid w:val="005658E6"/>
    <w:rsid w:val="0057139C"/>
    <w:rsid w:val="005733EB"/>
    <w:rsid w:val="005748D8"/>
    <w:rsid w:val="0057576D"/>
    <w:rsid w:val="005A519D"/>
    <w:rsid w:val="005B0B2F"/>
    <w:rsid w:val="005C0E2F"/>
    <w:rsid w:val="005C208A"/>
    <w:rsid w:val="005D257F"/>
    <w:rsid w:val="005F544D"/>
    <w:rsid w:val="005F7F26"/>
    <w:rsid w:val="00600F68"/>
    <w:rsid w:val="00611799"/>
    <w:rsid w:val="0061417E"/>
    <w:rsid w:val="00614FDD"/>
    <w:rsid w:val="006163E3"/>
    <w:rsid w:val="00616784"/>
    <w:rsid w:val="0062365C"/>
    <w:rsid w:val="00630E9E"/>
    <w:rsid w:val="00631B59"/>
    <w:rsid w:val="00653A0F"/>
    <w:rsid w:val="00653B08"/>
    <w:rsid w:val="00654B56"/>
    <w:rsid w:val="0066014D"/>
    <w:rsid w:val="00673CFD"/>
    <w:rsid w:val="00674C9F"/>
    <w:rsid w:val="00676040"/>
    <w:rsid w:val="00682982"/>
    <w:rsid w:val="00684028"/>
    <w:rsid w:val="006914BF"/>
    <w:rsid w:val="006A053F"/>
    <w:rsid w:val="006B2E10"/>
    <w:rsid w:val="006B5DBD"/>
    <w:rsid w:val="006B7CD1"/>
    <w:rsid w:val="006C1A4F"/>
    <w:rsid w:val="006D7A99"/>
    <w:rsid w:val="006F1F9A"/>
    <w:rsid w:val="006F2EA8"/>
    <w:rsid w:val="00707CD8"/>
    <w:rsid w:val="00711895"/>
    <w:rsid w:val="0071620F"/>
    <w:rsid w:val="00754225"/>
    <w:rsid w:val="00755099"/>
    <w:rsid w:val="00757871"/>
    <w:rsid w:val="00773B52"/>
    <w:rsid w:val="00773E58"/>
    <w:rsid w:val="00783AD0"/>
    <w:rsid w:val="0078570B"/>
    <w:rsid w:val="0078631B"/>
    <w:rsid w:val="0079194D"/>
    <w:rsid w:val="007A0267"/>
    <w:rsid w:val="007A28AC"/>
    <w:rsid w:val="007C1445"/>
    <w:rsid w:val="007C4927"/>
    <w:rsid w:val="007C7726"/>
    <w:rsid w:val="007D276C"/>
    <w:rsid w:val="007D48FA"/>
    <w:rsid w:val="007D49BF"/>
    <w:rsid w:val="007E2959"/>
    <w:rsid w:val="007F2C38"/>
    <w:rsid w:val="007F5F77"/>
    <w:rsid w:val="008043BF"/>
    <w:rsid w:val="008058A5"/>
    <w:rsid w:val="008125ED"/>
    <w:rsid w:val="008156F6"/>
    <w:rsid w:val="00840E04"/>
    <w:rsid w:val="00845C1C"/>
    <w:rsid w:val="00847B1D"/>
    <w:rsid w:val="00857A5A"/>
    <w:rsid w:val="00865846"/>
    <w:rsid w:val="00872278"/>
    <w:rsid w:val="00874DBF"/>
    <w:rsid w:val="00875499"/>
    <w:rsid w:val="00876EA4"/>
    <w:rsid w:val="00881D0D"/>
    <w:rsid w:val="00882E49"/>
    <w:rsid w:val="00884B80"/>
    <w:rsid w:val="00886038"/>
    <w:rsid w:val="008A0536"/>
    <w:rsid w:val="008A12F6"/>
    <w:rsid w:val="008B34EC"/>
    <w:rsid w:val="008C43EB"/>
    <w:rsid w:val="008C6FFC"/>
    <w:rsid w:val="008D08D2"/>
    <w:rsid w:val="008E0E21"/>
    <w:rsid w:val="008E5141"/>
    <w:rsid w:val="008F5D12"/>
    <w:rsid w:val="008F7A52"/>
    <w:rsid w:val="00910B05"/>
    <w:rsid w:val="00912D3E"/>
    <w:rsid w:val="00943223"/>
    <w:rsid w:val="0094613F"/>
    <w:rsid w:val="00953B04"/>
    <w:rsid w:val="00956FE2"/>
    <w:rsid w:val="00971785"/>
    <w:rsid w:val="009721A3"/>
    <w:rsid w:val="00980401"/>
    <w:rsid w:val="009838CD"/>
    <w:rsid w:val="009841C4"/>
    <w:rsid w:val="00991CC2"/>
    <w:rsid w:val="00994336"/>
    <w:rsid w:val="00997030"/>
    <w:rsid w:val="009B5BC0"/>
    <w:rsid w:val="009B76BF"/>
    <w:rsid w:val="009C75A5"/>
    <w:rsid w:val="009D1CEC"/>
    <w:rsid w:val="009D2140"/>
    <w:rsid w:val="009D3BAE"/>
    <w:rsid w:val="009E042B"/>
    <w:rsid w:val="009E3B36"/>
    <w:rsid w:val="009F2BFA"/>
    <w:rsid w:val="009F7948"/>
    <w:rsid w:val="00A05DE6"/>
    <w:rsid w:val="00A14C6B"/>
    <w:rsid w:val="00A27B2A"/>
    <w:rsid w:val="00A459D0"/>
    <w:rsid w:val="00A57556"/>
    <w:rsid w:val="00A66AA6"/>
    <w:rsid w:val="00A70873"/>
    <w:rsid w:val="00A76CF0"/>
    <w:rsid w:val="00A82CB6"/>
    <w:rsid w:val="00A92C85"/>
    <w:rsid w:val="00A94811"/>
    <w:rsid w:val="00A948EF"/>
    <w:rsid w:val="00A969D3"/>
    <w:rsid w:val="00AA2CB1"/>
    <w:rsid w:val="00AA3C6C"/>
    <w:rsid w:val="00AA5127"/>
    <w:rsid w:val="00AA5F3C"/>
    <w:rsid w:val="00AB356B"/>
    <w:rsid w:val="00AB7C40"/>
    <w:rsid w:val="00AC1D50"/>
    <w:rsid w:val="00AD3A99"/>
    <w:rsid w:val="00AD5DE2"/>
    <w:rsid w:val="00AE4EA7"/>
    <w:rsid w:val="00AF001B"/>
    <w:rsid w:val="00B0151F"/>
    <w:rsid w:val="00B052B4"/>
    <w:rsid w:val="00B10B28"/>
    <w:rsid w:val="00B11308"/>
    <w:rsid w:val="00B15069"/>
    <w:rsid w:val="00B15743"/>
    <w:rsid w:val="00B179E3"/>
    <w:rsid w:val="00B17A1D"/>
    <w:rsid w:val="00B258A2"/>
    <w:rsid w:val="00B34A6D"/>
    <w:rsid w:val="00B355AB"/>
    <w:rsid w:val="00B41ECE"/>
    <w:rsid w:val="00B41F56"/>
    <w:rsid w:val="00B41F58"/>
    <w:rsid w:val="00B446C1"/>
    <w:rsid w:val="00B44BB1"/>
    <w:rsid w:val="00B50BD7"/>
    <w:rsid w:val="00B51395"/>
    <w:rsid w:val="00B54578"/>
    <w:rsid w:val="00B664DC"/>
    <w:rsid w:val="00B67466"/>
    <w:rsid w:val="00B74369"/>
    <w:rsid w:val="00B87EAC"/>
    <w:rsid w:val="00BA2458"/>
    <w:rsid w:val="00BA2ACF"/>
    <w:rsid w:val="00BA571F"/>
    <w:rsid w:val="00BA61A9"/>
    <w:rsid w:val="00BA68FA"/>
    <w:rsid w:val="00BA7EA5"/>
    <w:rsid w:val="00BC1280"/>
    <w:rsid w:val="00BC1C0A"/>
    <w:rsid w:val="00BC4EF7"/>
    <w:rsid w:val="00BD682E"/>
    <w:rsid w:val="00BF155C"/>
    <w:rsid w:val="00C012DD"/>
    <w:rsid w:val="00C16071"/>
    <w:rsid w:val="00C203E8"/>
    <w:rsid w:val="00C25BA8"/>
    <w:rsid w:val="00C31978"/>
    <w:rsid w:val="00C56C4E"/>
    <w:rsid w:val="00C6478B"/>
    <w:rsid w:val="00C64C22"/>
    <w:rsid w:val="00C6694A"/>
    <w:rsid w:val="00C66E70"/>
    <w:rsid w:val="00C673A7"/>
    <w:rsid w:val="00C80AEF"/>
    <w:rsid w:val="00C902E2"/>
    <w:rsid w:val="00C91397"/>
    <w:rsid w:val="00C95A75"/>
    <w:rsid w:val="00CA2EAB"/>
    <w:rsid w:val="00CA4A73"/>
    <w:rsid w:val="00CA602E"/>
    <w:rsid w:val="00CD629C"/>
    <w:rsid w:val="00CE052D"/>
    <w:rsid w:val="00CE6990"/>
    <w:rsid w:val="00D120B9"/>
    <w:rsid w:val="00D27869"/>
    <w:rsid w:val="00D36336"/>
    <w:rsid w:val="00D44FCF"/>
    <w:rsid w:val="00D52890"/>
    <w:rsid w:val="00D56BC3"/>
    <w:rsid w:val="00D61DA4"/>
    <w:rsid w:val="00D67629"/>
    <w:rsid w:val="00D70FE3"/>
    <w:rsid w:val="00D8485C"/>
    <w:rsid w:val="00D87567"/>
    <w:rsid w:val="00D8778D"/>
    <w:rsid w:val="00D9010D"/>
    <w:rsid w:val="00D95936"/>
    <w:rsid w:val="00DA235F"/>
    <w:rsid w:val="00DA4284"/>
    <w:rsid w:val="00DB584E"/>
    <w:rsid w:val="00DC3B85"/>
    <w:rsid w:val="00DD13E2"/>
    <w:rsid w:val="00DD2F8B"/>
    <w:rsid w:val="00DF4EB2"/>
    <w:rsid w:val="00E027BB"/>
    <w:rsid w:val="00E10DEE"/>
    <w:rsid w:val="00E158AD"/>
    <w:rsid w:val="00E15E85"/>
    <w:rsid w:val="00E16AC8"/>
    <w:rsid w:val="00E221C1"/>
    <w:rsid w:val="00E30AF5"/>
    <w:rsid w:val="00E3294D"/>
    <w:rsid w:val="00E34874"/>
    <w:rsid w:val="00E36C9A"/>
    <w:rsid w:val="00E372DA"/>
    <w:rsid w:val="00E406E8"/>
    <w:rsid w:val="00E44464"/>
    <w:rsid w:val="00E542F1"/>
    <w:rsid w:val="00E64812"/>
    <w:rsid w:val="00E8295D"/>
    <w:rsid w:val="00E85DB7"/>
    <w:rsid w:val="00E8656F"/>
    <w:rsid w:val="00E87E34"/>
    <w:rsid w:val="00E92E34"/>
    <w:rsid w:val="00EA0D06"/>
    <w:rsid w:val="00EA4B96"/>
    <w:rsid w:val="00EB2403"/>
    <w:rsid w:val="00EC18E8"/>
    <w:rsid w:val="00EC601F"/>
    <w:rsid w:val="00ED18B6"/>
    <w:rsid w:val="00ED3DC4"/>
    <w:rsid w:val="00ED466F"/>
    <w:rsid w:val="00EE2217"/>
    <w:rsid w:val="00EE4618"/>
    <w:rsid w:val="00EE5CB5"/>
    <w:rsid w:val="00EF2AE9"/>
    <w:rsid w:val="00EF467A"/>
    <w:rsid w:val="00F02E93"/>
    <w:rsid w:val="00F07E6A"/>
    <w:rsid w:val="00F100D8"/>
    <w:rsid w:val="00F36995"/>
    <w:rsid w:val="00F433DC"/>
    <w:rsid w:val="00F44F06"/>
    <w:rsid w:val="00F47886"/>
    <w:rsid w:val="00F52CF7"/>
    <w:rsid w:val="00F64A11"/>
    <w:rsid w:val="00F812A0"/>
    <w:rsid w:val="00F86908"/>
    <w:rsid w:val="00F93B2C"/>
    <w:rsid w:val="00F9756D"/>
    <w:rsid w:val="00FA36A0"/>
    <w:rsid w:val="00FB5FA3"/>
    <w:rsid w:val="00FB77BB"/>
    <w:rsid w:val="00FC64E6"/>
    <w:rsid w:val="00FD2984"/>
    <w:rsid w:val="00FE0916"/>
    <w:rsid w:val="00FE21DC"/>
    <w:rsid w:val="00FE2CEA"/>
    <w:rsid w:val="00FF7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basedOn w:val="Normal"/>
    <w:link w:val="TextonotapieCar"/>
    <w:uiPriority w:val="99"/>
    <w:semiHidden/>
    <w:unhideWhenUsed/>
    <w:rsid w:val="00AA51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5127"/>
    <w:rPr>
      <w:sz w:val="20"/>
      <w:szCs w:val="20"/>
    </w:rPr>
  </w:style>
  <w:style w:type="character" w:customStyle="1" w:styleId="nacep">
    <w:name w:val="n_acep"/>
    <w:basedOn w:val="Fuentedeprrafopredeter"/>
    <w:rsid w:val="00B87EAC"/>
  </w:style>
  <w:style w:type="paragraph" w:customStyle="1" w:styleId="j">
    <w:name w:val="j"/>
    <w:basedOn w:val="Normal"/>
    <w:rsid w:val="00B87EA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E4FE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4FE1"/>
    <w:rPr>
      <w:rFonts w:ascii="Segoe UI" w:hAnsi="Segoe UI" w:cs="Segoe UI"/>
      <w:sz w:val="18"/>
      <w:szCs w:val="18"/>
    </w:rPr>
  </w:style>
  <w:style w:type="paragraph" w:customStyle="1" w:styleId="Default">
    <w:name w:val="Default"/>
    <w:rsid w:val="00C95A75"/>
    <w:pPr>
      <w:autoSpaceDE w:val="0"/>
      <w:autoSpaceDN w:val="0"/>
      <w:adjustRightInd w:val="0"/>
      <w:spacing w:after="0" w:line="240" w:lineRule="auto"/>
    </w:pPr>
    <w:rPr>
      <w:rFonts w:ascii="Bookman Old Style" w:hAnsi="Bookman Old Style" w:cs="Bookman Old Style"/>
      <w:color w:val="000000"/>
      <w:sz w:val="24"/>
      <w:szCs w:val="24"/>
    </w:rPr>
  </w:style>
  <w:style w:type="character" w:styleId="nfasissutil">
    <w:name w:val="Subtle Emphasis"/>
    <w:basedOn w:val="Fuentedeprrafopredeter"/>
    <w:uiPriority w:val="19"/>
    <w:qFormat/>
    <w:rsid w:val="00653A0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1643">
      <w:bodyDiv w:val="1"/>
      <w:marLeft w:val="0"/>
      <w:marRight w:val="0"/>
      <w:marTop w:val="0"/>
      <w:marBottom w:val="0"/>
      <w:divBdr>
        <w:top w:val="none" w:sz="0" w:space="0" w:color="auto"/>
        <w:left w:val="none" w:sz="0" w:space="0" w:color="auto"/>
        <w:bottom w:val="none" w:sz="0" w:space="0" w:color="auto"/>
        <w:right w:val="none" w:sz="0" w:space="0" w:color="auto"/>
      </w:divBdr>
    </w:div>
    <w:div w:id="189998681">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3028159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30106823">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4218883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25868174">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849829788">
      <w:bodyDiv w:val="1"/>
      <w:marLeft w:val="0"/>
      <w:marRight w:val="0"/>
      <w:marTop w:val="0"/>
      <w:marBottom w:val="0"/>
      <w:divBdr>
        <w:top w:val="none" w:sz="0" w:space="0" w:color="auto"/>
        <w:left w:val="none" w:sz="0" w:space="0" w:color="auto"/>
        <w:bottom w:val="none" w:sz="0" w:space="0" w:color="auto"/>
        <w:right w:val="none" w:sz="0" w:space="0" w:color="auto"/>
      </w:divBdr>
    </w:div>
    <w:div w:id="187053177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06A2F-2D88-4177-BA95-609AADC1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6444</Words>
  <Characters>35443</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2019-06-10T15:21:00Z</cp:lastPrinted>
  <dcterms:created xsi:type="dcterms:W3CDTF">2019-07-31T00:50:00Z</dcterms:created>
  <dcterms:modified xsi:type="dcterms:W3CDTF">2019-07-31T00:50:00Z</dcterms:modified>
</cp:coreProperties>
</file>