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E2" w:rsidRDefault="00F67CE2" w:rsidP="00F67CE2">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C12A4D">
        <w:rPr>
          <w:rFonts w:ascii="Palatino Linotype" w:eastAsia="Times New Roman" w:hAnsi="Palatino Linotype" w:cs="Arial"/>
          <w:color w:val="000000"/>
          <w:sz w:val="24"/>
          <w:szCs w:val="24"/>
          <w:lang w:eastAsia="es-MX"/>
        </w:rPr>
        <w:t>dos de octubre</w:t>
      </w:r>
      <w:r>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334B2">
        <w:rPr>
          <w:rFonts w:ascii="Palatino Linotype" w:hAnsi="Palatino Linotype" w:cs="Arial"/>
          <w:b/>
          <w:bCs/>
          <w:sz w:val="24"/>
          <w:lang w:eastAsia="es-MX"/>
        </w:rPr>
        <w:t>0</w:t>
      </w:r>
      <w:r w:rsidR="00E52E57">
        <w:rPr>
          <w:rFonts w:ascii="Palatino Linotype" w:hAnsi="Palatino Linotype" w:cs="Arial"/>
          <w:b/>
          <w:bCs/>
          <w:sz w:val="24"/>
          <w:lang w:eastAsia="es-MX"/>
        </w:rPr>
        <w:t>6270</w:t>
      </w:r>
      <w:r w:rsidR="007506D4">
        <w:rPr>
          <w:rFonts w:ascii="Palatino Linotype" w:hAnsi="Palatino Linotype" w:cs="Arial"/>
          <w:b/>
          <w:bCs/>
          <w:sz w:val="24"/>
          <w:lang w:eastAsia="es-MX"/>
        </w:rPr>
        <w:t>/INFOEM/IP/RR/2019</w:t>
      </w:r>
      <w:r>
        <w:rPr>
          <w:rFonts w:ascii="Palatino Linotype" w:hAnsi="Palatino Linotype" w:cs="Arial"/>
          <w:sz w:val="24"/>
        </w:rPr>
        <w:t xml:space="preserve">, </w:t>
      </w:r>
      <w:r w:rsidR="005731B2">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DF7B94">
        <w:rPr>
          <w:rFonts w:ascii="Palatino Linotype" w:hAnsi="Palatino Linotype" w:cs="Arial"/>
          <w:b/>
          <w:sz w:val="24"/>
          <w:szCs w:val="24"/>
        </w:rPr>
        <w:t>XXXXXXXXXXXXXXXXXXXX</w:t>
      </w:r>
      <w:r w:rsidR="00E52E57" w:rsidRPr="00E52E57">
        <w:rPr>
          <w:rFonts w:ascii="Palatino Linotype" w:hAnsi="Palatino Linotype" w:cs="Arial"/>
          <w:b/>
          <w:sz w:val="24"/>
          <w:szCs w:val="24"/>
        </w:rPr>
        <w:t xml:space="preserve"> ROBLEDO</w:t>
      </w:r>
      <w:r w:rsidR="00E52E57">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5731B2">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1A6D6B" w:rsidRPr="00224181">
        <w:rPr>
          <w:rFonts w:ascii="Palatino Linotype" w:hAnsi="Palatino Linotype" w:cs="Arial"/>
          <w:sz w:val="24"/>
        </w:rPr>
        <w:t>respuesta</w:t>
      </w:r>
      <w:r w:rsidRPr="00224181">
        <w:rPr>
          <w:rFonts w:ascii="Palatino Linotype" w:hAnsi="Palatino Linotype" w:cs="Arial"/>
          <w:sz w:val="24"/>
        </w:rPr>
        <w:t xml:space="preserve">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E52E57" w:rsidRPr="00E52E57">
        <w:rPr>
          <w:rFonts w:ascii="Palatino Linotype" w:hAnsi="Palatino Linotype" w:cs="Arial"/>
          <w:b/>
          <w:sz w:val="24"/>
          <w:szCs w:val="24"/>
        </w:rPr>
        <w:t>Ayuntamiento de Nezahualcóyotl</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r w:rsidR="00E52E57">
        <w:rPr>
          <w:rFonts w:ascii="Palatino Linotype" w:hAnsi="Palatino Linotype"/>
          <w:b/>
          <w:sz w:val="28"/>
          <w:szCs w:val="28"/>
        </w:rPr>
        <w:t xml:space="preserve"> </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E52E57">
        <w:rPr>
          <w:rFonts w:ascii="Palatino Linotype" w:hAnsi="Palatino Linotype" w:cs="Arial"/>
          <w:sz w:val="24"/>
        </w:rPr>
        <w:t xml:space="preserve">seis de junio </w:t>
      </w:r>
      <w:r w:rsidR="00A334B2">
        <w:rPr>
          <w:rFonts w:ascii="Palatino Linotype" w:hAnsi="Palatino Linotype" w:cs="Arial"/>
          <w:sz w:val="24"/>
        </w:rPr>
        <w:t>o de dos mil diecinueve</w:t>
      </w:r>
      <w:r>
        <w:rPr>
          <w:rFonts w:ascii="Palatino Linotype" w:hAnsi="Palatino Linotype" w:cs="Arial"/>
          <w:sz w:val="24"/>
        </w:rPr>
        <w:t xml:space="preserve">, </w:t>
      </w:r>
      <w:r w:rsidR="00E52E57">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E52E57" w:rsidRPr="00E52E57">
        <w:rPr>
          <w:rFonts w:ascii="Palatino Linotype" w:hAnsi="Palatino Linotype" w:cs="Arial"/>
          <w:b/>
          <w:sz w:val="24"/>
        </w:rPr>
        <w:t>00465/NEZA/IP/2019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E52E57" w:rsidRPr="00E52E57">
        <w:rPr>
          <w:rFonts w:ascii="Palatino Linotype" w:hAnsi="Palatino Linotype"/>
          <w:i/>
          <w:color w:val="000000"/>
        </w:rPr>
        <w:t xml:space="preserve">Hago referencia a la Licencia de Construcción, autorizada por la Dirección de Obras Públicas y Desarrollo Urbano No. C/REG/234/V/11, con folio No. 1998, expedida para CAMBIO DE RÉGIMEN para el domicilio ubicado en la Calle de </w:t>
      </w:r>
      <w:r w:rsidR="007175F6">
        <w:rPr>
          <w:rFonts w:ascii="Palatino Linotype" w:hAnsi="Palatino Linotype"/>
          <w:i/>
          <w:color w:val="000000"/>
        </w:rPr>
        <w:t xml:space="preserve">xxxxxxxxxx xxxxxxxxx </w:t>
      </w:r>
      <w:r w:rsidR="00E52E57" w:rsidRPr="00E52E57">
        <w:rPr>
          <w:rFonts w:ascii="Palatino Linotype" w:hAnsi="Palatino Linotype"/>
          <w:i/>
          <w:color w:val="000000"/>
        </w:rPr>
        <w:t xml:space="preserve">Manzana </w:t>
      </w:r>
      <w:r w:rsidR="007175F6">
        <w:rPr>
          <w:rFonts w:ascii="Palatino Linotype" w:hAnsi="Palatino Linotype"/>
          <w:i/>
          <w:color w:val="000000"/>
        </w:rPr>
        <w:t>xx, Lote xx, marcado con el Número xx</w:t>
      </w:r>
      <w:r w:rsidR="00E52E57" w:rsidRPr="00E52E57">
        <w:rPr>
          <w:rFonts w:ascii="Palatino Linotype" w:hAnsi="Palatino Linotype"/>
          <w:i/>
          <w:color w:val="000000"/>
        </w:rPr>
        <w:t xml:space="preserve">, de la Colonia </w:t>
      </w:r>
      <w:r w:rsidR="007175F6">
        <w:rPr>
          <w:rFonts w:ascii="Palatino Linotype" w:hAnsi="Palatino Linotype"/>
          <w:i/>
          <w:color w:val="000000"/>
        </w:rPr>
        <w:t>xxxxxxx</w:t>
      </w:r>
      <w:r w:rsidR="00E52E57" w:rsidRPr="00E52E57">
        <w:rPr>
          <w:rFonts w:ascii="Palatino Linotype" w:hAnsi="Palatino Linotype"/>
          <w:i/>
          <w:color w:val="000000"/>
        </w:rPr>
        <w:t xml:space="preserve"> </w:t>
      </w:r>
      <w:r w:rsidR="007175F6">
        <w:rPr>
          <w:rFonts w:ascii="Palatino Linotype" w:hAnsi="Palatino Linotype"/>
          <w:i/>
          <w:color w:val="000000"/>
        </w:rPr>
        <w:t>xxxxxxxxx</w:t>
      </w:r>
      <w:r w:rsidR="00E52E57" w:rsidRPr="00E52E57">
        <w:rPr>
          <w:rFonts w:ascii="Palatino Linotype" w:hAnsi="Palatino Linotype"/>
          <w:i/>
          <w:color w:val="000000"/>
        </w:rPr>
        <w:t xml:space="preserve">, Municipio de Nezahualcóyotl, Estado de México, para solicitar a usted </w:t>
      </w:r>
      <w:r w:rsidR="00E52E57" w:rsidRPr="00E52E57">
        <w:rPr>
          <w:rFonts w:ascii="Palatino Linotype" w:hAnsi="Palatino Linotype"/>
          <w:i/>
          <w:color w:val="000000"/>
        </w:rPr>
        <w:lastRenderedPageBreak/>
        <w:t>se nos proporcione la siguiente información, que obra en expedientes: • Nombre de la persona moral a quien se le expidió la mencionada Licencia. • Domicilio del predio para el cual se expidió el documento. • Motivo por el cual se expidió este documento (Licencia de construcción obra nueva o de Cambio de Régimen). • Destino de la obra. • Superficie por construir en M2. • Copia de la Licencia de Construcción. • Copia fiel del original de la Licencia en comento, llevada a Versión Pública. (se solicita copia fiel del original y no copia de la copia) • Copia en versión pública del plano arquitectónico donde aparecen las fachadas y los cortes arquitectónicos. • En los planos Arquitectónicos correspondientes a los cortes y fachadas, se nos indique las alturas autorizadas en los mismos.</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E52E57">
        <w:rPr>
          <w:rFonts w:ascii="Palatino Linotype" w:eastAsia="Times New Roman" w:hAnsi="Palatino Linotype" w:cs="Times New Roman"/>
          <w:sz w:val="24"/>
          <w:szCs w:val="24"/>
          <w:lang w:val="es-ES_tradnl" w:eastAsia="es-ES"/>
        </w:rPr>
        <w:t>Copias Certificadas con costo.</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E52E57" w:rsidRPr="00E52E57" w:rsidRDefault="00E15E85" w:rsidP="00E52E5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E52E57">
        <w:rPr>
          <w:rFonts w:ascii="Palatino Linotype" w:hAnsi="Palatino Linotype" w:cs="Arial"/>
          <w:sz w:val="24"/>
        </w:rPr>
        <w:t xml:space="preserve">en fecha veinticuatro de junio de dos mil diecinueve, dio respuesta a la solcitud de información remitiendo para tal efecto los archivos electrónicos </w:t>
      </w:r>
      <w:r w:rsidR="00E52E57" w:rsidRPr="00E52E57">
        <w:rPr>
          <w:rFonts w:ascii="Palatino Linotype" w:hAnsi="Palatino Linotype" w:cs="Arial"/>
          <w:sz w:val="24"/>
        </w:rPr>
        <w:t>465_2019_06_24_16_49_32_315.pdf</w:t>
      </w:r>
      <w:r w:rsidR="00E52E57">
        <w:rPr>
          <w:rFonts w:ascii="Palatino Linotype" w:hAnsi="Palatino Linotype" w:cs="Arial"/>
          <w:sz w:val="24"/>
        </w:rPr>
        <w:t xml:space="preserve"> y </w:t>
      </w:r>
      <w:r w:rsidR="00E52E57" w:rsidRPr="00E52E57">
        <w:rPr>
          <w:rFonts w:ascii="Palatino Linotype" w:hAnsi="Palatino Linotype" w:cs="Arial"/>
          <w:sz w:val="24"/>
        </w:rPr>
        <w:t>ACT-CT-NEZA-EXT-XI-2019.pdf</w:t>
      </w:r>
      <w:r w:rsidR="00E52E57">
        <w:rPr>
          <w:rFonts w:ascii="Palatino Linotype" w:hAnsi="Palatino Linotype" w:cs="Arial"/>
          <w:sz w:val="24"/>
        </w:rPr>
        <w:t>, los cuales se tienen por reproducidos al ser del conocimiento de las partes y en obvio de reproducciones ociosas.</w:t>
      </w:r>
    </w:p>
    <w:p w:rsidR="00E52E57" w:rsidRPr="00E52E57" w:rsidRDefault="00E52E57" w:rsidP="00E52E57">
      <w:pPr>
        <w:spacing w:before="240" w:line="360" w:lineRule="auto"/>
        <w:ind w:left="708"/>
        <w:jc w:val="both"/>
        <w:rPr>
          <w:rFonts w:ascii="Palatino Linotype" w:hAnsi="Palatino Linotype" w:cs="Arial"/>
          <w:i/>
          <w:sz w:val="24"/>
        </w:rPr>
      </w:pPr>
      <w:r w:rsidRPr="00E52E57">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52E57" w:rsidRPr="00E52E57" w:rsidRDefault="00E52E57" w:rsidP="00E52E57">
      <w:pPr>
        <w:spacing w:before="240" w:line="360" w:lineRule="auto"/>
        <w:ind w:left="708"/>
        <w:jc w:val="both"/>
        <w:rPr>
          <w:rFonts w:ascii="Palatino Linotype" w:hAnsi="Palatino Linotype" w:cs="Arial"/>
          <w:i/>
          <w:sz w:val="24"/>
        </w:rPr>
      </w:pPr>
      <w:r w:rsidRPr="00E52E57">
        <w:rPr>
          <w:rFonts w:ascii="Palatino Linotype" w:hAnsi="Palatino Linotype" w:cs="Arial"/>
          <w:i/>
          <w:sz w:val="24"/>
        </w:rPr>
        <w:t>En atención a la solicitud de información identificada con el folio 00465/NEZA/IP/2019, me permito remitir a usted la respuesta generada bajo su más estricta responsabilidad.</w:t>
      </w:r>
    </w:p>
    <w:p w:rsidR="00E52E57" w:rsidRPr="00E52E57" w:rsidRDefault="00E52E57" w:rsidP="00E52E57">
      <w:pPr>
        <w:spacing w:before="240" w:line="360" w:lineRule="auto"/>
        <w:ind w:left="708"/>
        <w:jc w:val="both"/>
        <w:rPr>
          <w:rFonts w:ascii="Palatino Linotype" w:hAnsi="Palatino Linotype" w:cs="Arial"/>
          <w:i/>
          <w:sz w:val="24"/>
        </w:rPr>
      </w:pPr>
      <w:r w:rsidRPr="00E52E57">
        <w:rPr>
          <w:rFonts w:ascii="Palatino Linotype" w:hAnsi="Palatino Linotype" w:cs="Arial"/>
          <w:i/>
          <w:sz w:val="24"/>
        </w:rPr>
        <w:t>ATENTAMENTE</w:t>
      </w:r>
    </w:p>
    <w:p w:rsidR="00091D98" w:rsidRDefault="00E52E57" w:rsidP="00E52E57">
      <w:pPr>
        <w:spacing w:before="240" w:line="360" w:lineRule="auto"/>
        <w:ind w:left="708"/>
        <w:jc w:val="both"/>
        <w:rPr>
          <w:rFonts w:ascii="Palatino Linotype" w:hAnsi="Palatino Linotype" w:cs="Arial"/>
          <w:i/>
          <w:sz w:val="24"/>
        </w:rPr>
      </w:pPr>
      <w:r w:rsidRPr="00E52E57">
        <w:rPr>
          <w:rFonts w:ascii="Palatino Linotype" w:hAnsi="Palatino Linotype" w:cs="Arial"/>
          <w:i/>
          <w:sz w:val="24"/>
        </w:rPr>
        <w:lastRenderedPageBreak/>
        <w:t>LIC. JUANA NELLELY FLORES RAMIREZ</w:t>
      </w: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w:t>
      </w:r>
      <w:r w:rsidR="005664F0">
        <w:rPr>
          <w:rFonts w:ascii="Palatino Linotype" w:hAnsi="Palatino Linotype" w:cs="Arial"/>
          <w:sz w:val="24"/>
          <w:szCs w:val="24"/>
        </w:rPr>
        <w:t xml:space="preserv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E52E57">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interpuso el recurso de revisión, en fecha</w:t>
      </w:r>
      <w:r w:rsidR="005664F0">
        <w:rPr>
          <w:rFonts w:ascii="Palatino Linotype" w:hAnsi="Palatino Linotype" w:cs="Arial"/>
          <w:sz w:val="24"/>
          <w:szCs w:val="24"/>
        </w:rPr>
        <w:t xml:space="preserve"> </w:t>
      </w:r>
      <w:r w:rsidR="00E52E57">
        <w:rPr>
          <w:rFonts w:ascii="Palatino Linotype" w:hAnsi="Palatino Linotype" w:cs="Arial"/>
          <w:sz w:val="24"/>
          <w:szCs w:val="24"/>
        </w:rPr>
        <w:t>veintinueve de julio</w:t>
      </w:r>
      <w:r w:rsidR="007506D4">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7506D4" w:rsidRPr="007506D4">
        <w:rPr>
          <w:rFonts w:ascii="Palatino Linotype" w:hAnsi="Palatino Linotype" w:cs="Arial"/>
          <w:b/>
          <w:bCs/>
          <w:sz w:val="24"/>
          <w:szCs w:val="24"/>
          <w:lang w:eastAsia="es-MX"/>
        </w:rPr>
        <w:t>0</w:t>
      </w:r>
      <w:r w:rsidR="00E52E57">
        <w:rPr>
          <w:rFonts w:ascii="Palatino Linotype" w:hAnsi="Palatino Linotype" w:cs="Arial"/>
          <w:b/>
          <w:bCs/>
          <w:sz w:val="24"/>
          <w:szCs w:val="24"/>
          <w:lang w:eastAsia="es-MX"/>
        </w:rPr>
        <w:t>6270</w:t>
      </w:r>
      <w:r w:rsidR="007506D4" w:rsidRPr="007506D4">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7506D4">
      <w:pPr>
        <w:spacing w:before="240"/>
        <w:ind w:left="708"/>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7506D4">
      <w:pPr>
        <w:ind w:left="1559" w:right="850"/>
        <w:jc w:val="both"/>
        <w:rPr>
          <w:rFonts w:ascii="Palatino Linotype" w:hAnsi="Palatino Linotype"/>
          <w:i/>
          <w:color w:val="000000"/>
        </w:rPr>
      </w:pPr>
      <w:r w:rsidRPr="00A435E2">
        <w:rPr>
          <w:rFonts w:ascii="Palatino Linotype" w:hAnsi="Palatino Linotype"/>
          <w:i/>
          <w:color w:val="000000"/>
        </w:rPr>
        <w:t>“</w:t>
      </w:r>
      <w:r w:rsidR="00E52E57" w:rsidRPr="00E52E57">
        <w:rPr>
          <w:rFonts w:ascii="Palatino Linotype" w:hAnsi="Palatino Linotype"/>
          <w:i/>
          <w:color w:val="000000"/>
        </w:rPr>
        <w:t xml:space="preserve">RECURSO DE REVISIÓN: a la resolución presentada por la Arq. Karen Hernández Rosas, Directora de Desarrollo Urbano, en su oficio No. DDU/790/2019 de fecha 07 de junio de 2019, dirigido a la Lic. Juana Nellely Flores Ramírez, Titular de la Unidad de Transparencia y Acceso a la Información Pública Municipal, así como a la Resolución dictaminada en la Sesión Ordinaria del Comité de Transparencia del H Ayuntamiento de Nezahualcóyotl 2019, Acta No. ACT/CT/NEZA/EXT/XI/2019, de conformidad al artículo 142, 176, 177, 178 y 179 en su Fracción I, II, III, VI, y 222, en su Fracción II, III, VIII, XII, XIII, XVI, XVII y XXI, de la Ley de Transparencia y Acceso a la Información Pública del Estado de México y Municipios, toda vez que a pesar de que el pleno APROBÓ por unanimidad de votos la generación de la Versión Pública, la Licencia de Construcción, remitido por la Dirección de Desarrollo Urbano dejando a la vista todo aquello que su carácter sea público, el cual no deberá suprimirse. (Anexo copia del acuerdo SEXTO Y SÉPTIMO de la Décima Primera Sesión Extraordinaria del Comité de Transparencia de H Ayuntamiento de Nezahualcóyotl 2019, se violentó la Ley al no haber entregado la VERSIÓN PÚBLICA de la licencia de construcción obra nueva número C/REG/234/v/11 con folio 1998 expedida para CAMBIO DE RÉGIMEN, y autorizada en la Sesión Ordinaria del Comité de Transparencia del H Ayuntamiento de Nezahualcóyotl 2019, Acta No. ACT/CT/NEZA/EXT/XI/2019, siendo por tal motivo, que se solicita al Órgano Colegiado del Comité de Transparencia del H Ayuntamiento de </w:t>
      </w:r>
      <w:r w:rsidR="00E52E57" w:rsidRPr="00E52E57">
        <w:rPr>
          <w:rFonts w:ascii="Palatino Linotype" w:hAnsi="Palatino Linotype"/>
          <w:i/>
          <w:color w:val="000000"/>
        </w:rPr>
        <w:lastRenderedPageBreak/>
        <w:t>Nezahualcóyotl 2019, su muy valiosa intervención para que derivado de no haber entrego la información solicitada y autorizada por el comité</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7506D4">
      <w:pPr>
        <w:spacing w:before="240"/>
        <w:ind w:left="708"/>
        <w:jc w:val="both"/>
        <w:rPr>
          <w:rFonts w:ascii="Palatino Linotype" w:hAnsi="Palatino Linotype" w:cs="Arial"/>
          <w:b/>
          <w:sz w:val="24"/>
        </w:rPr>
      </w:pPr>
    </w:p>
    <w:p w:rsidR="00E15E85" w:rsidRDefault="00E15E85" w:rsidP="007506D4">
      <w:pPr>
        <w:spacing w:before="240"/>
        <w:ind w:left="708"/>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7506D4">
      <w:pPr>
        <w:ind w:left="1559" w:right="850"/>
        <w:jc w:val="both"/>
        <w:rPr>
          <w:rFonts w:ascii="Palatino Linotype" w:hAnsi="Palatino Linotype" w:cs="Arial"/>
          <w:i/>
        </w:rPr>
      </w:pPr>
      <w:r w:rsidRPr="004469D5">
        <w:rPr>
          <w:rFonts w:ascii="Palatino Linotype" w:hAnsi="Palatino Linotype" w:cs="Arial"/>
          <w:i/>
        </w:rPr>
        <w:t>“</w:t>
      </w:r>
      <w:r w:rsidR="00E52E57" w:rsidRPr="00E52E57">
        <w:rPr>
          <w:rFonts w:ascii="Palatino Linotype" w:hAnsi="Palatino Linotype" w:cs="Arial"/>
          <w:i/>
        </w:rPr>
        <w:t xml:space="preserve">RECURSO DE REVISIÓN: a la resolución presentada por la Arq. Karen Hernández Rosas, Directora de Desarrollo Urbano, en su oficio No. DDU/790/2019 de fecha 07 de junio de 2019, dirigido a la Lic. Juana Nellely Flores Ramírez, Titular de la Unidad de Transparencia y Acceso a la Información Pública Municipal, así como a la Resolución dictaminada en la Sesión Ordinaria del Comité de Transparencia del H Ayuntamiento de Nezahualcóyotl 2019, Acta No. ACT/CT/NEZA/EXT/XI/2019, de conformidad al artículo 142, 176, 177, 178 y 179 en su Fracción I, II, III, VI, y 222, en su Fracción II, III, VIII, XII, XIII, XVI, XVII y XXI, de la Ley de Transparencia y Acceso a la Información Pública del Estado de México y Municipios, toda vez que a pesar de que el pleno APROBO por unanimidad de votos la generación de la Versión Pública, la Licencia de Construcción, remitido por la Dirección de Desarrollo Urbano dejando a la vista todo aquello que su carácter sea público, el cual no deberá suprimirse. (Anexo copia del acuerdo SEXTO Y SÉPTIMO de la Décima Primera Sesión Extraordinaria del Comité de Transparencia de H Ayuntamiento de Nezahualcóyotl 2019, se violentó la Ley al no haber entregado la VERSIÓN PÚBLICA de la licencia de construcción obra nueva número C/REG/234/v/11 con folio 1998 expedida para CAMBIO DE RÉGIMEN, y autorizada en la Sesión Ordinaria del Comité de Transparencia del H Ayuntamiento de Nezahualcóyotl 2019, Acta No. ACT/CT/NEZA/EXT/XI/2019, siendo por tal motivo, que se solicita al Órgano Colegiado del Comité de Transparencia del H Ayuntamiento de Nezahualcóyotl 2019, su muy valiosa intervención para que derivado de no haber entrego la información solicitada y autorizada por el comité SE CONSIDERE: ? Que de conformidad al último escrito presentado por la ARQ. KAREN HERNÁNDEZ ROSAS, DIRECTORA DE DESARROLLO URBANO, ha violentado los preceptos legales asentado en los artículos 169, 176, 177, 178 Y 179 EN SU FRACCIÓN I, II, III, y V, DE LA LEY DE TRANSPARENCIA Y ACCESO A LA INFORMACIÓN </w:t>
      </w:r>
      <w:r w:rsidR="00E52E57" w:rsidRPr="00E52E57">
        <w:rPr>
          <w:rFonts w:ascii="Palatino Linotype" w:hAnsi="Palatino Linotype" w:cs="Arial"/>
          <w:i/>
        </w:rPr>
        <w:lastRenderedPageBreak/>
        <w:t>PÚBLICA DEL ESTADO DE MÉXICO Y MUNICIPIOS, para lo cual solicitamos que sean llevadas a cabo los apercibimientos de Ley y se apliquen LAS MEDIDAS CAUTELARES conforme lo preceptuado en los artículos 169, 179 en sus Fracciones I, II, III, V, VI y XIII, y Artículo 190, de la LEY DE TRANSPARENCIA Y ACCESO A LA INFORMACIÓN PÚBLICA DEL ESTADO DE MÉXICO Y MUNICIPIOS, y se lleve a cabo LA NOTIFICACIÓN A LOS ÓRGANOS FISCALIZADORES CORRESPONDIENTES, toda vez que no se entregó la información requerida, en cambio sí entrego documentación que NO CORRESPONDE A LO SOLICITADO, y que con anterioridad había sido llevada a la RESERVA Y/O CONFIDENCIALIDAD, siendo esto UN HECHO CONSUMADO LA VIOLACIÓN A LOS PRECEPTOS ESTABLECIDOS en la LEY DE TRANSPARENCIA Y ACCESO A LA INFORMACIÓN PÚBLICA DEL ESTADO DE MÉXICO Y MUNICIPIOS, Y Leyes aplicables en la materia, que al no proporcionar la información solicitada entrego otra documentación, esto con el único afán de llevar a cabo otro de sus acostumbrados simulacros de entrega de información, así como la falta de interés para concluir con este problema y continuar creando un embrollo documental.</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E52E57">
        <w:rPr>
          <w:rFonts w:ascii="Palatino Linotype" w:hAnsi="Palatino Linotype" w:cs="Arial"/>
          <w:sz w:val="24"/>
          <w:szCs w:val="24"/>
        </w:rPr>
        <w:t>dos de agosto</w:t>
      </w:r>
      <w:r w:rsidR="007506D4">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091D98" w:rsidRPr="00091D98" w:rsidRDefault="00091D98"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52E57"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E52E57">
        <w:rPr>
          <w:rFonts w:ascii="Palatino Linotype" w:hAnsi="Palatino Linotype" w:cs="Arial"/>
          <w:sz w:val="24"/>
          <w:szCs w:val="24"/>
        </w:rPr>
        <w:t>en fecha siete de agosto de los corrientes presentó su informe justificado</w:t>
      </w:r>
      <w:r w:rsidR="007506D4">
        <w:rPr>
          <w:rFonts w:ascii="Palatino Linotype" w:hAnsi="Palatino Linotype" w:cs="Arial"/>
          <w:sz w:val="24"/>
          <w:szCs w:val="24"/>
        </w:rPr>
        <w:t>; asimismo,</w:t>
      </w:r>
      <w:r w:rsidR="00755099">
        <w:rPr>
          <w:rFonts w:ascii="Palatino Linotype" w:hAnsi="Palatino Linotype" w:cs="Arial"/>
          <w:sz w:val="24"/>
          <w:szCs w:val="24"/>
        </w:rPr>
        <w:t xml:space="preserve"> </w:t>
      </w:r>
      <w:r w:rsidR="00E52E57">
        <w:rPr>
          <w:rFonts w:ascii="Palatino Linotype" w:hAnsi="Palatino Linotype" w:cs="Arial"/>
          <w:sz w:val="24"/>
          <w:szCs w:val="24"/>
        </w:rPr>
        <w:t>el recurrente en fecha trece de agosto de la presente anualidad realizo manifestación de sus alegatos.</w:t>
      </w:r>
    </w:p>
    <w:p w:rsidR="00E15E85" w:rsidRDefault="00713C1A"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Por lo tanto</w:t>
      </w:r>
      <w:r w:rsidR="00E52E57">
        <w:rPr>
          <w:rFonts w:ascii="Palatino Linotype" w:hAnsi="Palatino Linotype" w:cs="Arial"/>
          <w:sz w:val="24"/>
          <w:szCs w:val="24"/>
        </w:rPr>
        <w:t xml:space="preserve">, </w:t>
      </w:r>
      <w:r w:rsidR="00755099">
        <w:rPr>
          <w:rFonts w:ascii="Palatino Linotype" w:hAnsi="Palatino Linotype" w:cs="Arial"/>
          <w:sz w:val="24"/>
          <w:szCs w:val="24"/>
        </w:rPr>
        <w:t xml:space="preserve">en fecha </w:t>
      </w:r>
      <w:r w:rsidR="00E52E57">
        <w:rPr>
          <w:rFonts w:ascii="Palatino Linotype" w:hAnsi="Palatino Linotype" w:cs="Arial"/>
          <w:sz w:val="24"/>
          <w:szCs w:val="24"/>
        </w:rPr>
        <w:t>diecinueve de agosto de dos mil diecinueve</w:t>
      </w:r>
      <w:r w:rsidR="00755099">
        <w:rPr>
          <w:rFonts w:ascii="Palatino Linotype" w:hAnsi="Palatino Linotype" w:cs="Arial"/>
          <w:sz w:val="24"/>
          <w:szCs w:val="24"/>
        </w:rPr>
        <w:t xml:space="preserve"> 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713C1A" w:rsidRDefault="00713C1A" w:rsidP="00713C1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también, en fecha trece de septiembre de dos mil diecinueve este órgano garante con fundamento en el artículo 181 párrafo tercero de la Ley de Transparencia de la entidad, declaro la ampliación de término para resolver el recurso de revisión por un plazo de quince días hábiles.</w:t>
      </w:r>
    </w:p>
    <w:p w:rsidR="002606F0" w:rsidRDefault="002606F0"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w:t>
      </w:r>
      <w:r w:rsidRPr="00025A37">
        <w:rPr>
          <w:rFonts w:ascii="Palatino Linotype" w:hAnsi="Palatino Linotype" w:cs="Arial"/>
          <w:sz w:val="24"/>
        </w:rPr>
        <w:lastRenderedPageBreak/>
        <w:t>Constitución Política de los Estados Unidos Mexicanos, 5, párrafo</w:t>
      </w:r>
      <w:r w:rsidR="00A0104B">
        <w:rPr>
          <w:rFonts w:ascii="Palatino Linotype" w:hAnsi="Palatino Linotype" w:cs="Arial"/>
          <w:sz w:val="24"/>
        </w:rPr>
        <w:t xml:space="preserve"> vigésimo </w:t>
      </w:r>
      <w:r w:rsidR="004C3693">
        <w:rPr>
          <w:rFonts w:ascii="Palatino Linotype" w:hAnsi="Palatino Linotype" w:cs="Arial"/>
          <w:sz w:val="24"/>
        </w:rPr>
        <w:t>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6435D1">
        <w:rPr>
          <w:rFonts w:ascii="Palatino Linotype" w:hAnsi="Palatino Linotype" w:cs="Arial"/>
          <w:sz w:val="24"/>
          <w:szCs w:val="24"/>
        </w:rPr>
        <w:t xml:space="preserve">179 fracción </w:t>
      </w:r>
      <w:r w:rsidR="009B76BF" w:rsidRPr="006435D1">
        <w:rPr>
          <w:rFonts w:ascii="Palatino Linotype" w:hAnsi="Palatino Linotype" w:cs="Arial"/>
          <w:sz w:val="24"/>
          <w:szCs w:val="24"/>
        </w:rPr>
        <w:t>VI</w:t>
      </w:r>
      <w:r w:rsidRPr="006435D1">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B941D4">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A24DE0" w:rsidRDefault="00A24DE0"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el Ayuntamiento de </w:t>
      </w:r>
      <w:r w:rsidR="00B941D4">
        <w:rPr>
          <w:rFonts w:ascii="Palatino Linotype" w:hAnsi="Palatino Linotype"/>
          <w:sz w:val="24"/>
          <w:szCs w:val="24"/>
        </w:rPr>
        <w:t>Nezahualcóyotl,</w:t>
      </w:r>
      <w:r>
        <w:rPr>
          <w:rFonts w:ascii="Palatino Linotype" w:hAnsi="Palatino Linotype"/>
          <w:sz w:val="24"/>
          <w:szCs w:val="24"/>
        </w:rPr>
        <w:t xml:space="preserve"> en calidad de sujeto obligado de la Ley de la materia, se encuentra constreñido a respetar y cumplir el derecho humano de acceso a la información </w:t>
      </w:r>
      <w:r w:rsidR="005205B0">
        <w:rPr>
          <w:rFonts w:ascii="Palatino Linotype" w:hAnsi="Palatino Linotype"/>
          <w:sz w:val="24"/>
          <w:szCs w:val="24"/>
        </w:rPr>
        <w:t>pública</w:t>
      </w:r>
      <w:r>
        <w:rPr>
          <w:rFonts w:ascii="Palatino Linotype" w:hAnsi="Palatino Linotype"/>
          <w:sz w:val="24"/>
          <w:szCs w:val="24"/>
        </w:rPr>
        <w:t>, consagrado en nuestra Carta Magna en su numeral 6 y la Constitución Política Estatal en su arábigo 5 que disponen lo siguiente:</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6o.</w:t>
      </w:r>
      <w:r w:rsidRPr="001F47B8">
        <w:rPr>
          <w:rFonts w:ascii="Palatino Linotype" w:hAnsi="Palatino Linotype" w:cs="Arial"/>
          <w:bCs/>
          <w:i/>
        </w:rPr>
        <w:t xml:space="preserve"> …</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lastRenderedPageBreak/>
        <w:t>Para efectos de lo dispuesto en el presente artículo se observará lo siguiente:</w:t>
      </w:r>
    </w:p>
    <w:p w:rsidR="00A24DE0" w:rsidRPr="001F47B8" w:rsidRDefault="00A24DE0" w:rsidP="00A24DE0">
      <w:pPr>
        <w:spacing w:after="0" w:line="360" w:lineRule="auto"/>
        <w:ind w:left="709" w:right="709"/>
        <w:jc w:val="both"/>
        <w:rPr>
          <w:rFonts w:ascii="Palatino Linotype" w:hAnsi="Palatino Linotype" w:cs="Arial"/>
          <w:b/>
          <w:bCs/>
          <w:i/>
        </w:rPr>
      </w:pPr>
      <w:r w:rsidRPr="001F47B8">
        <w:rPr>
          <w:rFonts w:ascii="Palatino Linotype" w:hAnsi="Palatino Linotype" w:cs="Arial"/>
          <w:b/>
          <w:bCs/>
          <w:i/>
        </w:rPr>
        <w:t>A</w:t>
      </w:r>
      <w:r w:rsidRPr="001F47B8">
        <w:rPr>
          <w:rFonts w:ascii="Palatino Linotype" w:hAnsi="Palatino Linotype" w:cs="Arial"/>
          <w:bCs/>
          <w:i/>
        </w:rPr>
        <w:t xml:space="preserve">. </w:t>
      </w:r>
      <w:r w:rsidRPr="001F47B8">
        <w:rPr>
          <w:rFonts w:ascii="Palatino Linotype" w:hAnsi="Palatino Linotype" w:cs="Arial"/>
          <w:b/>
          <w:bCs/>
          <w:i/>
        </w:rPr>
        <w:t>Para el ejercicio del derecho de acceso a la información</w:t>
      </w:r>
      <w:r w:rsidRPr="001F47B8">
        <w:rPr>
          <w:rFonts w:ascii="Palatino Linotype" w:hAnsi="Palatino Linotype" w:cs="Arial"/>
          <w:bCs/>
          <w:i/>
        </w:rPr>
        <w:t xml:space="preserve">, la Federación y </w:t>
      </w:r>
      <w:r w:rsidRPr="001F47B8">
        <w:rPr>
          <w:rFonts w:ascii="Palatino Linotype" w:hAnsi="Palatino Linotype" w:cs="Arial"/>
          <w:b/>
          <w:bCs/>
          <w:i/>
        </w:rPr>
        <w:t>las entidades federativas, en el ámbito de sus respectivas competencias, se regirán por los siguientes principios y bases:</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rPr>
        <w:tab/>
        <w:t>Toda la información en posesión de cualquier</w:t>
      </w:r>
      <w:r w:rsidRPr="001F47B8">
        <w:rPr>
          <w:rFonts w:ascii="Palatino Linotype" w:hAnsi="Palatino Linotype" w:cs="Arial"/>
          <w:bCs/>
          <w:i/>
        </w:rPr>
        <w:t xml:space="preserve"> </w:t>
      </w:r>
      <w:r w:rsidRPr="001F47B8">
        <w:rPr>
          <w:rFonts w:ascii="Palatino Linotype" w:hAnsi="Palatino Linotype" w:cs="Arial"/>
          <w:b/>
          <w:bCs/>
          <w:i/>
        </w:rPr>
        <w:t>autoridad</w:t>
      </w:r>
      <w:r w:rsidRPr="001F47B8">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7B8">
        <w:rPr>
          <w:rFonts w:ascii="Palatino Linotype" w:hAnsi="Palatino Linotype" w:cs="Arial"/>
          <w:b/>
          <w:bCs/>
          <w:i/>
          <w:u w:val="single"/>
        </w:rPr>
        <w:t>municipal</w:t>
      </w:r>
      <w:r w:rsidRPr="001F47B8">
        <w:rPr>
          <w:rFonts w:ascii="Palatino Linotype" w:hAnsi="Palatino Linotype" w:cs="Arial"/>
          <w:bCs/>
          <w:i/>
        </w:rPr>
        <w:t xml:space="preserve">, </w:t>
      </w:r>
      <w:r w:rsidRPr="001F47B8">
        <w:rPr>
          <w:rFonts w:ascii="Palatino Linotype" w:hAnsi="Palatino Linotype" w:cs="Arial"/>
          <w:b/>
          <w:bCs/>
          <w:i/>
        </w:rPr>
        <w:t>es pública</w:t>
      </w:r>
      <w:r w:rsidRPr="001F47B8">
        <w:rPr>
          <w:rFonts w:ascii="Palatino Linotype" w:hAnsi="Palatino Linotype" w:cs="Arial"/>
          <w:bCs/>
          <w:i/>
        </w:rPr>
        <w:t xml:space="preserve"> y sólo podrá ser reservada temporalmente por razones de interés público y seguridad nacional, en los términos que fijen las leyes. </w:t>
      </w:r>
      <w:r w:rsidRPr="001F47B8">
        <w:rPr>
          <w:rFonts w:ascii="Palatino Linotype" w:hAnsi="Palatino Linotype" w:cs="Arial"/>
          <w:b/>
          <w:bCs/>
          <w:i/>
        </w:rPr>
        <w:t xml:space="preserve">En la interpretación de este derecho deberá prevalecer el principio de máxima publicidad.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A24DE0" w:rsidRPr="001F47B8" w:rsidRDefault="00A24DE0" w:rsidP="00A24DE0">
      <w:pPr>
        <w:spacing w:after="0" w:line="360" w:lineRule="auto"/>
        <w:ind w:left="709" w:right="709"/>
        <w:jc w:val="both"/>
        <w:rPr>
          <w:rFonts w:ascii="Palatino Linotype" w:hAnsi="Palatino Linotype" w:cs="Arial"/>
          <w:b/>
          <w:bCs/>
          <w:i/>
        </w:rPr>
      </w:pPr>
    </w:p>
    <w:p w:rsidR="00A24DE0" w:rsidRPr="001F47B8" w:rsidRDefault="00A24DE0" w:rsidP="00A24DE0">
      <w:pPr>
        <w:spacing w:after="0" w:line="360" w:lineRule="auto"/>
        <w:ind w:left="709" w:right="709"/>
        <w:jc w:val="center"/>
        <w:rPr>
          <w:rFonts w:ascii="Palatino Linotype" w:hAnsi="Palatino Linotype" w:cs="Arial"/>
          <w:b/>
          <w:bCs/>
          <w:i/>
        </w:rPr>
      </w:pPr>
      <w:r w:rsidRPr="001F47B8">
        <w:rPr>
          <w:rFonts w:ascii="Palatino Linotype" w:hAnsi="Palatino Linotype" w:cs="Arial"/>
          <w:b/>
          <w:bCs/>
          <w:i/>
        </w:rPr>
        <w:t>Constitución Política del Estado Libre y Soberano de México</w:t>
      </w:r>
    </w:p>
    <w:p w:rsidR="00A24DE0" w:rsidRPr="001F47B8" w:rsidRDefault="00A24DE0" w:rsidP="00A24DE0">
      <w:pPr>
        <w:spacing w:after="0" w:line="360" w:lineRule="auto"/>
        <w:ind w:left="709" w:right="709"/>
        <w:jc w:val="both"/>
        <w:rPr>
          <w:rFonts w:ascii="Palatino Linotype" w:hAnsi="Palatino Linotype" w:cs="Arial"/>
          <w:b/>
          <w:bCs/>
          <w:i/>
        </w:rPr>
      </w:pP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5</w:t>
      </w:r>
      <w:r w:rsidRPr="001F47B8">
        <w:rPr>
          <w:rFonts w:ascii="Palatino Linotype" w:hAnsi="Palatino Linotype" w:cs="Arial"/>
          <w:bCs/>
          <w:i/>
        </w:rPr>
        <w:t>.- …</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El derecho a la información será garantizado por el Estado</w:t>
      </w:r>
      <w:r w:rsidRPr="001F47B8">
        <w:rPr>
          <w:rFonts w:ascii="Palatino Linotype" w:hAnsi="Palatino Linotype" w:cs="Arial"/>
          <w:b/>
          <w:bCs/>
          <w:i/>
        </w:rPr>
        <w:t>. La ley establecerá las previsiones que permitan asegurar la protección, el respeto y la difusión de este derecho</w:t>
      </w: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 xml:space="preserve">Para garantizar el ejercicio del derecho de transparencia, acceso a la información pública y protección de datos personales, los poderes públicos y los organismos autónomos, </w:t>
      </w:r>
      <w:r w:rsidRPr="001F47B8">
        <w:rPr>
          <w:rFonts w:ascii="Palatino Linotype" w:hAnsi="Palatino Linotype" w:cs="Arial"/>
          <w:bCs/>
          <w:i/>
        </w:rPr>
        <w:lastRenderedPageBreak/>
        <w:t>transparentarán sus acciones, en términos de las disposiciones aplicables, la información será oportuna, clara, veraz y de fácil acceso.</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Este derecho se regirá por los principios y bases siguientes</w:t>
      </w: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u w:val="single"/>
        </w:rPr>
        <w:t>Toda la información en posesión de cualquier autoridad, entidad, órgano y organismos de los</w:t>
      </w:r>
      <w:r w:rsidRPr="001F47B8">
        <w:rPr>
          <w:rFonts w:ascii="Palatino Linotype" w:hAnsi="Palatino Linotype" w:cs="Arial"/>
          <w:bCs/>
          <w:i/>
        </w:rPr>
        <w:t xml:space="preserve"> Poderes Ejecutivo, Legislativo y Judicial, órganos autónomos, partidos políticos, fideicomisos y fondos públicos estatales y </w:t>
      </w:r>
      <w:r w:rsidRPr="001F47B8">
        <w:rPr>
          <w:rFonts w:ascii="Palatino Linotype" w:hAnsi="Palatino Linotype" w:cs="Arial"/>
          <w:b/>
          <w:bCs/>
          <w:i/>
        </w:rPr>
        <w:t>municipales</w:t>
      </w:r>
      <w:r w:rsidRPr="001F47B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7B8">
        <w:rPr>
          <w:rFonts w:ascii="Palatino Linotype" w:hAnsi="Palatino Linotype" w:cs="Arial"/>
          <w:b/>
          <w:bCs/>
          <w:i/>
          <w:u w:val="single"/>
        </w:rPr>
        <w:t>es pública</w:t>
      </w:r>
      <w:r w:rsidRPr="001F47B8">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F47B8">
        <w:rPr>
          <w:rFonts w:ascii="Palatino Linotype" w:hAnsi="Palatino Linotype" w:cs="Arial"/>
          <w:b/>
          <w:bCs/>
          <w:i/>
          <w:u w:val="single"/>
        </w:rPr>
        <w:t>En la interpretación de este derecho deberá prevalecer el principio de máxima publicidad</w:t>
      </w:r>
      <w:r w:rsidRPr="001F47B8">
        <w:rPr>
          <w:rFonts w:ascii="Palatino Linotype" w:hAnsi="Palatino Linotype" w:cs="Arial"/>
          <w:bCs/>
          <w:i/>
        </w:rPr>
        <w:t xml:space="preserve">.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A24DE0" w:rsidRDefault="00A24DE0"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esa premisa, en cuanto al derecho de acceso a la información pública, toda información en posesión de las autoridades municipales es pública; aunado a ello los Ayuntamientos s</w:t>
      </w:r>
      <w:r w:rsidR="00F67006">
        <w:rPr>
          <w:rFonts w:ascii="Palatino Linotype" w:hAnsi="Palatino Linotype"/>
          <w:sz w:val="24"/>
          <w:szCs w:val="24"/>
        </w:rPr>
        <w:t xml:space="preserve">on considerados sujetos obligados para efectos de transparentar y permitir el acceso a la información pública que posean, generen y administren y están obligados a documentar todo acto que derive del ejercicio de sus facultades, </w:t>
      </w:r>
      <w:r w:rsidR="00F67006">
        <w:rPr>
          <w:rFonts w:ascii="Palatino Linotype" w:hAnsi="Palatino Linotype"/>
          <w:sz w:val="24"/>
          <w:szCs w:val="24"/>
        </w:rPr>
        <w:lastRenderedPageBreak/>
        <w:t>competencias o funciones de conformidad con el numeral 18</w:t>
      </w:r>
      <w:r w:rsidR="00F67006">
        <w:rPr>
          <w:rStyle w:val="Refdenotaalpie"/>
          <w:rFonts w:ascii="Palatino Linotype" w:hAnsi="Palatino Linotype"/>
          <w:sz w:val="24"/>
          <w:szCs w:val="24"/>
        </w:rPr>
        <w:footnoteReference w:id="2"/>
      </w:r>
      <w:r w:rsidR="00F67006">
        <w:rPr>
          <w:rFonts w:ascii="Palatino Linotype" w:hAnsi="Palatino Linotype"/>
          <w:sz w:val="24"/>
          <w:szCs w:val="24"/>
        </w:rPr>
        <w:t xml:space="preserve"> de la Ley de Transparencia Local.</w:t>
      </w:r>
    </w:p>
    <w:p w:rsidR="00294223" w:rsidRDefault="003402E5" w:rsidP="005205B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cumplimiento de las obligaciones que </w:t>
      </w:r>
      <w:r w:rsidR="00294223">
        <w:rPr>
          <w:rFonts w:ascii="Palatino Linotype" w:hAnsi="Palatino Linotype"/>
          <w:sz w:val="24"/>
          <w:szCs w:val="24"/>
        </w:rPr>
        <w:t>establecen</w:t>
      </w:r>
      <w:r>
        <w:rPr>
          <w:rFonts w:ascii="Palatino Linotype" w:hAnsi="Palatino Linotype"/>
          <w:sz w:val="24"/>
          <w:szCs w:val="24"/>
        </w:rPr>
        <w:t xml:space="preserve"> la Carta Magna, la </w:t>
      </w:r>
      <w:r w:rsidR="00294223">
        <w:rPr>
          <w:rFonts w:ascii="Palatino Linotype" w:hAnsi="Palatino Linotype"/>
          <w:sz w:val="24"/>
          <w:szCs w:val="24"/>
        </w:rPr>
        <w:t>Constitución</w:t>
      </w:r>
      <w:r>
        <w:rPr>
          <w:rFonts w:ascii="Palatino Linotype" w:hAnsi="Palatino Linotype"/>
          <w:sz w:val="24"/>
          <w:szCs w:val="24"/>
        </w:rPr>
        <w:t xml:space="preserve"> Local y la Ley de Transparencia Local imponen, el sujeto obligado se encuentra constreñido </w:t>
      </w:r>
      <w:r w:rsidR="00294223">
        <w:rPr>
          <w:rFonts w:ascii="Palatino Linotype" w:hAnsi="Palatino Linotype"/>
          <w:sz w:val="24"/>
          <w:szCs w:val="24"/>
        </w:rPr>
        <w:t>a dar atención a las solicitudes de información que a t</w:t>
      </w:r>
      <w:r w:rsidR="005205B0">
        <w:rPr>
          <w:rFonts w:ascii="Palatino Linotype" w:hAnsi="Palatino Linotype"/>
          <w:sz w:val="24"/>
          <w:szCs w:val="24"/>
        </w:rPr>
        <w:t>ra</w:t>
      </w:r>
      <w:r w:rsidR="00294223">
        <w:rPr>
          <w:rFonts w:ascii="Palatino Linotype" w:hAnsi="Palatino Linotype"/>
          <w:sz w:val="24"/>
          <w:szCs w:val="24"/>
        </w:rPr>
        <w:t xml:space="preserve">vés del sistema electrónico saimex o vía directa le sean presentadas en ejercicio del derecho humano de acceso a la información </w:t>
      </w:r>
      <w:r w:rsidR="005205B0">
        <w:rPr>
          <w:rFonts w:ascii="Palatino Linotype" w:hAnsi="Palatino Linotype"/>
          <w:sz w:val="24"/>
          <w:szCs w:val="24"/>
        </w:rPr>
        <w:t>pública</w:t>
      </w:r>
      <w:r w:rsidR="00B941D4">
        <w:rPr>
          <w:rFonts w:ascii="Palatino Linotype" w:hAnsi="Palatino Linotype"/>
          <w:sz w:val="24"/>
          <w:szCs w:val="24"/>
        </w:rPr>
        <w:t>.</w:t>
      </w:r>
    </w:p>
    <w:p w:rsidR="00B941D4" w:rsidRDefault="005205B0"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Ahora bien, respecto de l</w:t>
      </w:r>
      <w:r w:rsidR="00B941D4">
        <w:rPr>
          <w:rFonts w:ascii="Palatino Linotype" w:hAnsi="Palatino Linotype" w:cs="Arial"/>
          <w:sz w:val="24"/>
          <w:szCs w:val="24"/>
        </w:rPr>
        <w:t>os requerimientos vertidos por el hoy recurrente tenemos que tuvo a bien solicitar respecto una Licencia de Construcción a</w:t>
      </w:r>
      <w:r w:rsidR="00B941D4" w:rsidRPr="00B941D4">
        <w:rPr>
          <w:rFonts w:ascii="Palatino Linotype" w:hAnsi="Palatino Linotype" w:cs="Arial"/>
          <w:sz w:val="24"/>
          <w:szCs w:val="24"/>
        </w:rPr>
        <w:t xml:space="preserve">utorizada por la Dirección de Obras Públicas y Desarrollo Urbano No. C/REG/234/V/11, con folio No. 1998, expedida para CAMBIO DE RÉGIMEN para el domicilio ubicado en la </w:t>
      </w:r>
      <w:r w:rsidR="00DD0124">
        <w:rPr>
          <w:rFonts w:ascii="Palatino Linotype" w:hAnsi="Palatino Linotype" w:cs="Arial"/>
          <w:sz w:val="24"/>
          <w:szCs w:val="24"/>
        </w:rPr>
        <w:t>xxxxxxxx</w:t>
      </w:r>
      <w:r w:rsidR="00B941D4" w:rsidRPr="00B941D4">
        <w:rPr>
          <w:rFonts w:ascii="Palatino Linotype" w:hAnsi="Palatino Linotype" w:cs="Arial"/>
          <w:sz w:val="24"/>
          <w:szCs w:val="24"/>
        </w:rPr>
        <w:t xml:space="preserve"> </w:t>
      </w:r>
      <w:r w:rsidR="00DD0124">
        <w:rPr>
          <w:rFonts w:ascii="Palatino Linotype" w:hAnsi="Palatino Linotype" w:cs="Arial"/>
          <w:sz w:val="24"/>
          <w:szCs w:val="24"/>
        </w:rPr>
        <w:t>xxxxxxxxxxxxxxx, Manzana xx, Lote xx, marcado con el Número xx</w:t>
      </w:r>
      <w:r w:rsidR="00B941D4" w:rsidRPr="00B941D4">
        <w:rPr>
          <w:rFonts w:ascii="Palatino Linotype" w:hAnsi="Palatino Linotype" w:cs="Arial"/>
          <w:sz w:val="24"/>
          <w:szCs w:val="24"/>
        </w:rPr>
        <w:t xml:space="preserve">, de la Colonia </w:t>
      </w:r>
      <w:r w:rsidR="00DD0124">
        <w:rPr>
          <w:rFonts w:ascii="Palatino Linotype" w:hAnsi="Palatino Linotype" w:cs="Arial"/>
          <w:sz w:val="24"/>
          <w:szCs w:val="24"/>
        </w:rPr>
        <w:t>xxxxxxxxxxxxxxxxxx</w:t>
      </w:r>
      <w:r w:rsidR="00B941D4" w:rsidRPr="00B941D4">
        <w:rPr>
          <w:rFonts w:ascii="Palatino Linotype" w:hAnsi="Palatino Linotype" w:cs="Arial"/>
          <w:sz w:val="24"/>
          <w:szCs w:val="24"/>
        </w:rPr>
        <w:t xml:space="preserve">, Municipio de </w:t>
      </w:r>
      <w:r w:rsidR="00894448">
        <w:rPr>
          <w:rFonts w:ascii="Palatino Linotype" w:hAnsi="Palatino Linotype" w:cs="Arial"/>
          <w:sz w:val="24"/>
          <w:szCs w:val="24"/>
        </w:rPr>
        <w:t>xxxxxxxxxxxxxxx</w:t>
      </w:r>
      <w:r w:rsidR="00B941D4" w:rsidRPr="00B941D4">
        <w:rPr>
          <w:rFonts w:ascii="Palatino Linotype" w:hAnsi="Palatino Linotype" w:cs="Arial"/>
          <w:sz w:val="24"/>
          <w:szCs w:val="24"/>
        </w:rPr>
        <w:t>, Estado de México</w:t>
      </w:r>
      <w:r w:rsidR="00B941D4">
        <w:rPr>
          <w:rFonts w:ascii="Palatino Linotype" w:hAnsi="Palatino Linotype" w:cs="Arial"/>
          <w:sz w:val="24"/>
          <w:szCs w:val="24"/>
        </w:rPr>
        <w:t>.</w:t>
      </w:r>
    </w:p>
    <w:p w:rsidR="00B941D4" w:rsidRPr="00B941D4" w:rsidRDefault="00B941D4" w:rsidP="00B941D4">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941D4">
        <w:rPr>
          <w:rFonts w:ascii="Palatino Linotype" w:hAnsi="Palatino Linotype" w:cs="Arial"/>
        </w:rPr>
        <w:t xml:space="preserve">Nombre de la persona moral a quien se le expidió la mencionada Licencia. </w:t>
      </w:r>
    </w:p>
    <w:p w:rsidR="00B941D4" w:rsidRPr="00B941D4" w:rsidRDefault="00B941D4" w:rsidP="00B941D4">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941D4">
        <w:rPr>
          <w:rFonts w:ascii="Palatino Linotype" w:hAnsi="Palatino Linotype" w:cs="Arial"/>
        </w:rPr>
        <w:t xml:space="preserve">Domicilio del predio para el cual se expidió el documento. </w:t>
      </w:r>
    </w:p>
    <w:p w:rsidR="00B941D4" w:rsidRPr="00B941D4" w:rsidRDefault="00B941D4" w:rsidP="00B941D4">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941D4">
        <w:rPr>
          <w:rFonts w:ascii="Palatino Linotype" w:hAnsi="Palatino Linotype" w:cs="Arial"/>
        </w:rPr>
        <w:t xml:space="preserve">Motivo por el cual se expidió este documento (Licencia de construcción obra nueva o de Cambio de Régimen). </w:t>
      </w:r>
    </w:p>
    <w:p w:rsidR="00B941D4" w:rsidRPr="00B941D4" w:rsidRDefault="00B941D4" w:rsidP="00B941D4">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941D4">
        <w:rPr>
          <w:rFonts w:ascii="Palatino Linotype" w:hAnsi="Palatino Linotype" w:cs="Arial"/>
        </w:rPr>
        <w:t xml:space="preserve">Destino de la obra. </w:t>
      </w:r>
    </w:p>
    <w:p w:rsidR="00B941D4" w:rsidRPr="00B941D4" w:rsidRDefault="00B941D4" w:rsidP="00B941D4">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941D4">
        <w:rPr>
          <w:rFonts w:ascii="Palatino Linotype" w:hAnsi="Palatino Linotype" w:cs="Arial"/>
        </w:rPr>
        <w:lastRenderedPageBreak/>
        <w:t xml:space="preserve">Superficie por construir en M2. </w:t>
      </w:r>
    </w:p>
    <w:p w:rsidR="00B941D4" w:rsidRPr="00B941D4" w:rsidRDefault="00B941D4" w:rsidP="00B941D4">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941D4">
        <w:rPr>
          <w:rFonts w:ascii="Palatino Linotype" w:hAnsi="Palatino Linotype" w:cs="Arial"/>
        </w:rPr>
        <w:t xml:space="preserve">Copia de la Licencia de Construcción. </w:t>
      </w:r>
    </w:p>
    <w:p w:rsidR="00B941D4" w:rsidRPr="00B941D4" w:rsidRDefault="00B941D4" w:rsidP="00B941D4">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941D4">
        <w:rPr>
          <w:rFonts w:ascii="Palatino Linotype" w:hAnsi="Palatino Linotype" w:cs="Arial"/>
        </w:rPr>
        <w:t>Copia fiel del original de la Licencia en comento, llevada a Versión Pública. (se solicita copia fiel del original y no copia de la copia).</w:t>
      </w:r>
    </w:p>
    <w:p w:rsidR="00B941D4" w:rsidRPr="00B941D4" w:rsidRDefault="00B941D4" w:rsidP="00B941D4">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941D4">
        <w:rPr>
          <w:rFonts w:ascii="Palatino Linotype" w:hAnsi="Palatino Linotype" w:cs="Arial"/>
        </w:rPr>
        <w:t xml:space="preserve">Copia en versión pública del plano arquitectónico donde aparecen las fachadas y los cortes arquitectónicos. </w:t>
      </w:r>
    </w:p>
    <w:p w:rsidR="00B941D4" w:rsidRPr="00B941D4" w:rsidRDefault="00B941D4" w:rsidP="00B941D4">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941D4">
        <w:rPr>
          <w:rFonts w:ascii="Palatino Linotype" w:hAnsi="Palatino Linotype" w:cs="Arial"/>
        </w:rPr>
        <w:t xml:space="preserve">En los planos Arquitectónicos correspondientes a los cortes y fachadas, se nos indique las alturas autorizadas en los mismos. </w:t>
      </w:r>
    </w:p>
    <w:p w:rsidR="00B941D4" w:rsidRDefault="00B941D4"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Luego </w:t>
      </w:r>
      <w:r w:rsidR="008F42AE">
        <w:rPr>
          <w:rFonts w:ascii="Palatino Linotype" w:hAnsi="Palatino Linotype" w:cs="Arial"/>
          <w:sz w:val="24"/>
          <w:szCs w:val="24"/>
        </w:rPr>
        <w:t>entonces,</w:t>
      </w:r>
      <w:r w:rsidR="00502B15">
        <w:rPr>
          <w:rFonts w:ascii="Palatino Linotype" w:hAnsi="Palatino Linotype" w:cs="Arial"/>
          <w:sz w:val="24"/>
          <w:szCs w:val="24"/>
        </w:rPr>
        <w:t xml:space="preserve"> es de recordar que el sujeto obligado remitió dos archivos electrónicos, los cuales medularmente son un acta de la Decimo Primera </w:t>
      </w:r>
      <w:r w:rsidR="00181DB7">
        <w:rPr>
          <w:rFonts w:ascii="Palatino Linotype" w:hAnsi="Palatino Linotype" w:cs="Arial"/>
          <w:sz w:val="24"/>
          <w:szCs w:val="24"/>
        </w:rPr>
        <w:t>Sesión</w:t>
      </w:r>
      <w:r w:rsidR="00502B15">
        <w:rPr>
          <w:rFonts w:ascii="Palatino Linotype" w:hAnsi="Palatino Linotype" w:cs="Arial"/>
          <w:sz w:val="24"/>
          <w:szCs w:val="24"/>
        </w:rPr>
        <w:t xml:space="preserve"> Extraordinaria del Comité de Transparencia</w:t>
      </w:r>
      <w:r w:rsidR="00181DB7">
        <w:rPr>
          <w:rFonts w:ascii="Palatino Linotype" w:hAnsi="Palatino Linotype" w:cs="Arial"/>
          <w:sz w:val="24"/>
          <w:szCs w:val="24"/>
        </w:rPr>
        <w:t xml:space="preserve">, la cual se presenta en su punto V, la aprobación, modificación o revocación de la propuesta de clasificación parcial de la información como confidencial, para la emisión de versión pública, aprobando </w:t>
      </w:r>
      <w:r w:rsidR="00467084">
        <w:rPr>
          <w:rFonts w:ascii="Palatino Linotype" w:hAnsi="Palatino Linotype" w:cs="Arial"/>
          <w:sz w:val="24"/>
          <w:szCs w:val="24"/>
        </w:rPr>
        <w:t>así</w:t>
      </w:r>
      <w:r w:rsidR="00181DB7">
        <w:rPr>
          <w:rFonts w:ascii="Palatino Linotype" w:hAnsi="Palatino Linotype" w:cs="Arial"/>
          <w:sz w:val="24"/>
          <w:szCs w:val="24"/>
        </w:rPr>
        <w:t xml:space="preserve"> </w:t>
      </w:r>
      <w:r w:rsidR="00467084">
        <w:rPr>
          <w:rFonts w:ascii="Palatino Linotype" w:hAnsi="Palatino Linotype" w:cs="Arial"/>
          <w:sz w:val="24"/>
          <w:szCs w:val="24"/>
        </w:rPr>
        <w:t>la versión publica de las licencias de construcción y la clasificación total de la información respecto de los planos arquitectónicos</w:t>
      </w:r>
      <w:r w:rsidR="00AC7375">
        <w:rPr>
          <w:rFonts w:ascii="Palatino Linotype" w:hAnsi="Palatino Linotype" w:cs="Arial"/>
          <w:sz w:val="24"/>
          <w:szCs w:val="24"/>
        </w:rPr>
        <w:t>, así también, un oficio mediante el cual se da respuesta y se remiten las Licencias solicitadas en manera íntegra y en versión publica, motivo por el cual se dará vista al órgano interno de control para que en uso de sus atribuciones determine lo conducente.</w:t>
      </w:r>
    </w:p>
    <w:p w:rsidR="00B941D4" w:rsidRDefault="00467084" w:rsidP="005205B0">
      <w:pPr>
        <w:autoSpaceDE w:val="0"/>
        <w:autoSpaceDN w:val="0"/>
        <w:adjustRightInd w:val="0"/>
        <w:spacing w:before="240" w:after="0" w:line="360" w:lineRule="auto"/>
        <w:jc w:val="both"/>
        <w:rPr>
          <w:rFonts w:ascii="Palatino Linotype" w:hAnsi="Palatino Linotype" w:cs="Arial"/>
          <w:i/>
          <w:iCs/>
          <w:sz w:val="24"/>
          <w:szCs w:val="24"/>
        </w:rPr>
      </w:pPr>
      <w:r>
        <w:rPr>
          <w:rFonts w:ascii="Palatino Linotype" w:hAnsi="Palatino Linotype" w:cs="Arial"/>
          <w:sz w:val="24"/>
          <w:szCs w:val="24"/>
        </w:rPr>
        <w:t xml:space="preserve">Ahora bien, el ahora recurrente se inconformo con dicha respuesta, aludiendo </w:t>
      </w:r>
      <w:r w:rsidRPr="00467084">
        <w:rPr>
          <w:rFonts w:ascii="Palatino Linotype" w:hAnsi="Palatino Linotype" w:cs="Arial"/>
          <w:i/>
          <w:iCs/>
          <w:sz w:val="24"/>
          <w:szCs w:val="24"/>
        </w:rPr>
        <w:t xml:space="preserve">“RECURSO DE REVISIÓN: a la resolución presentada por la Arq. Karen Hernández Rosas, Directora de Desarrollo Urbano, en su oficio No. DDU/790/2019 de fecha 07 de junio de 2019, </w:t>
      </w:r>
      <w:r w:rsidRPr="00467084">
        <w:rPr>
          <w:rFonts w:ascii="Palatino Linotype" w:hAnsi="Palatino Linotype" w:cs="Arial"/>
          <w:i/>
          <w:iCs/>
          <w:sz w:val="24"/>
          <w:szCs w:val="24"/>
        </w:rPr>
        <w:lastRenderedPageBreak/>
        <w:t xml:space="preserve">dirigido a la Lic. Juana Nellely Flores Ramírez, Titular de la Unidad de Transparencia y Acceso a la Información Pública Municipal, así como a la Resolución dictaminada en la Sesión Ordinaria del Comité de Transparencia del H Ayuntamiento de Nezahualcóyotl 2019, Acta No. ACT/CT/NEZA/EXT/XI/2019, de conformidad al artículo 142, 176, 177, 178 y 179 en su Fracción I, II, III, VI, y 222, en su Fracción II, III, VIII, XII, XIII, XVI, XVII y XXI, de la Ley de Transparencia y Acceso a la Información Pública del Estado de México y Municipios, toda vez que a pesar de que el pleno APROBO por unanimidad de votos la generación de la Versión Pública, la Licencia de Construcción, remitido por la Dirección de Desarrollo Urbano dejando a la vista todo aquello que su carácter sea público, el cual no deberá suprimirse. (Anexo copia del acuerdo SEXTO Y SÉPTIMO de la Décima Primera Sesión Extraordinaria del Comité de Transparencia de H Ayuntamiento de Nezahualcóyotl 2019, se violentó la Ley al no haber entregado la VERSIÓN PÚBLICA de la licencia de construcción obra nueva número C/REG/234/v/11 con folio 1998 expedida para CAMBIO DE RÉGIMEN, y autorizada en la Sesión Ordinaria del Comité de Transparencia del H Ayuntamiento de Nezahualcóyotl 2019, Acta No. ACT/CT/NEZA/EXT/XI/2019, siendo por tal motivo, que se solicita al Órgano Colegiado del Comité de Transparencia del H Ayuntamiento de Nezahualcóyotl 2019, su muy valiosa intervención para que derivado de no haber entrego la información solicitada y autorizada por el comité SE CONSIDERE: ? Que de conformidad al último escrito presentado por la ARQ. KAREN HERNÁNDEZ ROSAS, DIRECTORA DE DESARROLLO URBANO, ha violentado los preceptos legales asentado en los artículos 169, 176, 177, 178 Y 179 EN SU FRACCIÓN I, II, III, y V, DE LA LEY DE TRANSPARENCIA Y ACCESO A LA INFORMACIÓN PÚBLICA DEL ESTADO DE MÉXICO Y MUNICIPIOS, para lo cual solicitamos que sean llevadas a cabo los apercibimientos de Ley y se apliquen LAS MEDIDAS CAUTELARES conforme lo preceptuado en los artículos 169, 179 en sus Fracciones I, II, III, </w:t>
      </w:r>
      <w:r w:rsidRPr="00467084">
        <w:rPr>
          <w:rFonts w:ascii="Palatino Linotype" w:hAnsi="Palatino Linotype" w:cs="Arial"/>
          <w:i/>
          <w:iCs/>
          <w:sz w:val="24"/>
          <w:szCs w:val="24"/>
        </w:rPr>
        <w:lastRenderedPageBreak/>
        <w:t>V, VI y XIII, y Artículo 190, de la LEY DE TRANSPARENCIA Y ACCESO A LA INFORMACIÓN PÚBLICA DEL ESTADO DE MÉXICO Y MUNICIPIOS, y se lleve a cabo LA NOTIFICACIÓN A LOS ÓRGANOS FISCALIZADORES CORRESPONDIENTES, toda vez que no se entregó la información requerida, en cambio sí entrego documentación que NO CORRESPONDE A LO SOLICITADO, y que con anterioridad había sido llevada a la RESERVA Y/O CONFIDENCIALIDAD, siendo esto UN HECHO CONSUMADO LA VIOLACIÓN A LOS PRECEPTOS ESTABLECIDOS en la LEY DE TRANSPARENCIA Y ACCESO A LA INFORMACIÓN PÚBLICA DEL ESTADO DE MÉXICO Y MUNICIPIOS, Y Leyes aplicables en la materia, que al no proporcionar la información solicitada entrego otra documentación, esto con el único afán de llevar a cabo otro de sus acostumbrados simulacros de entrega de información, así como la falta de interés para concluir con este problema y continuar creando un embrollo documental.</w:t>
      </w:r>
      <w:r>
        <w:rPr>
          <w:rFonts w:ascii="Palatino Linotype" w:hAnsi="Palatino Linotype" w:cs="Arial"/>
          <w:i/>
          <w:iCs/>
          <w:sz w:val="24"/>
          <w:szCs w:val="24"/>
        </w:rPr>
        <w:t>”[Sic]</w:t>
      </w:r>
    </w:p>
    <w:p w:rsidR="00467084" w:rsidRDefault="00467084"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Bajo tal guisa, el impetrante de derechos se adolece medularmente de que la información remitida no corresponde con lo solicitado, por lo tanto, lo procedente es analizar la información remitida por el sujeto obligado a fin de verificar si colma con las pretensiones del particular.</w:t>
      </w:r>
    </w:p>
    <w:p w:rsidR="00980E01" w:rsidRDefault="00980E01" w:rsidP="00980E01">
      <w:pPr>
        <w:spacing w:before="240" w:after="240" w:line="360" w:lineRule="auto"/>
        <w:jc w:val="both"/>
        <w:rPr>
          <w:rFonts w:ascii="Palatino Linotype" w:hAnsi="Palatino Linotype"/>
          <w:sz w:val="24"/>
          <w:szCs w:val="24"/>
        </w:rPr>
      </w:pPr>
      <w:r>
        <w:rPr>
          <w:rFonts w:ascii="Palatino Linotype" w:hAnsi="Palatino Linotype"/>
          <w:sz w:val="24"/>
          <w:szCs w:val="24"/>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rsidR="00980E01" w:rsidRDefault="00980E01" w:rsidP="00980E01">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Es de recordar que el derecho de acceso a la información pública, es una prerrogativa que consiste en dar a conocer toda aquella información pública que sea generada, adquirida, transformada, administrada o en posesión de los sujetos obligados, tal y </w:t>
      </w:r>
      <w:r>
        <w:rPr>
          <w:rFonts w:ascii="Palatino Linotype" w:hAnsi="Palatino Linotype"/>
          <w:sz w:val="24"/>
          <w:szCs w:val="24"/>
        </w:rPr>
        <w:lastRenderedPageBreak/>
        <w:t>como lo señala la Ley de Transparencia y Acceso a la Información Pública del Estado de México en su diverso 4</w:t>
      </w:r>
      <w:r>
        <w:rPr>
          <w:rStyle w:val="Refdenotaalpie"/>
          <w:rFonts w:ascii="Palatino Linotype" w:hAnsi="Palatino Linotype"/>
          <w:sz w:val="24"/>
          <w:szCs w:val="24"/>
        </w:rPr>
        <w:footnoteReference w:id="3"/>
      </w:r>
      <w:r>
        <w:rPr>
          <w:rFonts w:ascii="Palatino Linotype" w:hAnsi="Palatino Linotype"/>
          <w:sz w:val="24"/>
          <w:szCs w:val="24"/>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rsidR="00980E01" w:rsidRDefault="00980E01" w:rsidP="00980E01">
      <w:pPr>
        <w:spacing w:before="240" w:after="240" w:line="360" w:lineRule="auto"/>
        <w:jc w:val="both"/>
        <w:rPr>
          <w:rFonts w:ascii="Palatino Linotype" w:hAnsi="Palatino Linotype"/>
          <w:sz w:val="24"/>
          <w:szCs w:val="24"/>
        </w:rPr>
      </w:pPr>
      <w:r>
        <w:rPr>
          <w:rFonts w:ascii="Palatino Linotype" w:hAnsi="Palatino Linotype"/>
          <w:sz w:val="24"/>
          <w:szCs w:val="24"/>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rsidR="00980E01" w:rsidRPr="00357A8F" w:rsidRDefault="00980E01" w:rsidP="00980E01">
      <w:pPr>
        <w:spacing w:before="240" w:after="240" w:line="360" w:lineRule="auto"/>
        <w:ind w:left="708"/>
        <w:jc w:val="both"/>
        <w:rPr>
          <w:rFonts w:ascii="Palatino Linotype" w:hAnsi="Palatino Linotype"/>
          <w:i/>
        </w:rPr>
      </w:pPr>
      <w:r w:rsidRPr="00357A8F">
        <w:rPr>
          <w:rFonts w:ascii="Palatino Linotype" w:hAnsi="Palatino Linotype"/>
          <w:i/>
          <w:sz w:val="24"/>
          <w:szCs w:val="24"/>
        </w:rPr>
        <w:t xml:space="preserve"> </w:t>
      </w:r>
      <w:r w:rsidRPr="00357A8F">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980E01" w:rsidRPr="00357A8F" w:rsidRDefault="00980E01" w:rsidP="00980E01">
      <w:pPr>
        <w:spacing w:before="240" w:after="240" w:line="360" w:lineRule="auto"/>
        <w:ind w:left="708"/>
        <w:jc w:val="both"/>
        <w:rPr>
          <w:rFonts w:ascii="Palatino Linotype" w:hAnsi="Palatino Linotype"/>
          <w:i/>
          <w:sz w:val="24"/>
          <w:szCs w:val="24"/>
        </w:rPr>
      </w:pPr>
      <w:r w:rsidRPr="00357A8F">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w:t>
      </w:r>
      <w:r w:rsidRPr="00357A8F">
        <w:rPr>
          <w:rFonts w:ascii="Palatino Linotype" w:hAnsi="Palatino Linotype"/>
          <w:i/>
        </w:rPr>
        <w:lastRenderedPageBreak/>
        <w:t>del solicitante; no estarán obligados a generarla, resumirla, efectuar cálculos o practicar investigaciones.</w:t>
      </w:r>
    </w:p>
    <w:p w:rsidR="00467084" w:rsidRDefault="00AC7375"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Luego entonces, es de recordar que de los archivos electrónicos remitidos por el sujeto obligado se puede denotar que cumplen con lo solicitado por el recurrente, en razón de las siguientes consideraciones.</w:t>
      </w:r>
    </w:p>
    <w:p w:rsidR="00C13555" w:rsidRPr="00467084" w:rsidRDefault="00AC7375"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Si bien, la Licencia de </w:t>
      </w:r>
      <w:r w:rsidR="00D53A20">
        <w:rPr>
          <w:rFonts w:ascii="Palatino Linotype" w:hAnsi="Palatino Linotype" w:cs="Arial"/>
          <w:sz w:val="24"/>
          <w:szCs w:val="24"/>
        </w:rPr>
        <w:t>Construcción</w:t>
      </w:r>
      <w:r>
        <w:rPr>
          <w:rFonts w:ascii="Palatino Linotype" w:hAnsi="Palatino Linotype" w:cs="Arial"/>
          <w:sz w:val="24"/>
          <w:szCs w:val="24"/>
        </w:rPr>
        <w:t xml:space="preserve"> a la que hace referencia el particular en su solicitud de </w:t>
      </w:r>
      <w:r w:rsidR="00D53A20">
        <w:rPr>
          <w:rFonts w:ascii="Palatino Linotype" w:hAnsi="Palatino Linotype" w:cs="Arial"/>
          <w:sz w:val="24"/>
          <w:szCs w:val="24"/>
        </w:rPr>
        <w:t>información</w:t>
      </w:r>
      <w:r>
        <w:rPr>
          <w:rFonts w:ascii="Palatino Linotype" w:hAnsi="Palatino Linotype" w:cs="Arial"/>
          <w:sz w:val="24"/>
          <w:szCs w:val="24"/>
        </w:rPr>
        <w:t xml:space="preserve"> es la </w:t>
      </w:r>
      <w:r w:rsidR="00D53A20" w:rsidRPr="00D53A20">
        <w:rPr>
          <w:rFonts w:ascii="Palatino Linotype" w:hAnsi="Palatino Linotype" w:cs="Arial"/>
          <w:sz w:val="24"/>
          <w:szCs w:val="24"/>
        </w:rPr>
        <w:t>No. C/REG/234/V/11</w:t>
      </w:r>
      <w:r w:rsidR="00D53A20">
        <w:rPr>
          <w:rFonts w:ascii="Palatino Linotype" w:hAnsi="Palatino Linotype" w:cs="Arial"/>
          <w:sz w:val="24"/>
          <w:szCs w:val="24"/>
        </w:rPr>
        <w:t xml:space="preserve">, expedida para cambio de régimen, también, la Licencia remitida por el sujeto obligado en su </w:t>
      </w:r>
      <w:r w:rsidR="00C13555">
        <w:rPr>
          <w:rFonts w:ascii="Palatino Linotype" w:hAnsi="Palatino Linotype" w:cs="Arial"/>
          <w:sz w:val="24"/>
          <w:szCs w:val="24"/>
        </w:rPr>
        <w:t>respuesta coincide con lo peticionado por el particular</w:t>
      </w:r>
      <w:r w:rsidR="00424593">
        <w:rPr>
          <w:rFonts w:ascii="Palatino Linotype" w:hAnsi="Palatino Linotype" w:cs="Arial"/>
          <w:sz w:val="24"/>
          <w:szCs w:val="24"/>
        </w:rPr>
        <w:t>, por lo que se entiende que se le está entregando lo solicitado.</w:t>
      </w:r>
    </w:p>
    <w:p w:rsidR="00AC7375" w:rsidRDefault="00C13555" w:rsidP="00C1355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entonces, el sujeto obligado remitió la información solicitada por el particular, por lo que se puede entender que ya satisfizo el derecho accionado, empero, es de gran importancia señalar que dicha información la solicito en copias certificadas, razón por la cual, lo procedente será ordenar el procedimiento para realizar el pago correspondiente por la expedición de copias certificadas con costo, tal y como lo solicito el particular en su solicitud.</w:t>
      </w:r>
    </w:p>
    <w:p w:rsidR="00893740" w:rsidRDefault="00893740" w:rsidP="00C1355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Ahora bien</w:t>
      </w:r>
      <w:r w:rsidR="003278DE">
        <w:rPr>
          <w:rFonts w:ascii="Palatino Linotype" w:hAnsi="Palatino Linotype"/>
          <w:sz w:val="24"/>
          <w:szCs w:val="24"/>
        </w:rPr>
        <w:t xml:space="preserve">, </w:t>
      </w:r>
      <w:r w:rsidR="0001078E">
        <w:rPr>
          <w:rFonts w:ascii="Palatino Linotype" w:hAnsi="Palatino Linotype"/>
          <w:sz w:val="24"/>
          <w:szCs w:val="24"/>
        </w:rPr>
        <w:t>respecto a los planos</w:t>
      </w:r>
      <w:r w:rsidR="002B2EF6">
        <w:rPr>
          <w:rFonts w:ascii="Palatino Linotype" w:hAnsi="Palatino Linotype"/>
          <w:sz w:val="24"/>
          <w:szCs w:val="24"/>
        </w:rPr>
        <w:t xml:space="preserve"> arquitectónicos es de gran importancia señalar que dicha información tiene el carácter de confidencial derivado de su naturaleza, ya que, como bien lo menciono el sujeto obligado la licencia a la que hace referencia el recurrente fue utilizada para la realización de casa habitación plurifamiliar, motivo por el cual no es procedente su entrega, ya que vulneraria el bien real de la</w:t>
      </w:r>
      <w:r w:rsidR="00CD443D">
        <w:rPr>
          <w:rFonts w:ascii="Palatino Linotype" w:hAnsi="Palatino Linotype"/>
          <w:sz w:val="24"/>
          <w:szCs w:val="24"/>
        </w:rPr>
        <w:t>s</w:t>
      </w:r>
      <w:r w:rsidR="002B2EF6">
        <w:rPr>
          <w:rFonts w:ascii="Palatino Linotype" w:hAnsi="Palatino Linotype"/>
          <w:sz w:val="24"/>
          <w:szCs w:val="24"/>
        </w:rPr>
        <w:t xml:space="preserve"> persona</w:t>
      </w:r>
      <w:r w:rsidR="00CD443D">
        <w:rPr>
          <w:rFonts w:ascii="Palatino Linotype" w:hAnsi="Palatino Linotype"/>
          <w:sz w:val="24"/>
          <w:szCs w:val="24"/>
        </w:rPr>
        <w:t>s</w:t>
      </w:r>
      <w:r w:rsidR="002B2EF6">
        <w:rPr>
          <w:rFonts w:ascii="Palatino Linotype" w:hAnsi="Palatino Linotype"/>
          <w:sz w:val="24"/>
          <w:szCs w:val="24"/>
        </w:rPr>
        <w:t xml:space="preserve"> que pretenda</w:t>
      </w:r>
      <w:r w:rsidR="00CD443D">
        <w:rPr>
          <w:rFonts w:ascii="Palatino Linotype" w:hAnsi="Palatino Linotype"/>
          <w:sz w:val="24"/>
          <w:szCs w:val="24"/>
        </w:rPr>
        <w:t>n</w:t>
      </w:r>
      <w:r w:rsidR="002B2EF6">
        <w:rPr>
          <w:rFonts w:ascii="Palatino Linotype" w:hAnsi="Palatino Linotype"/>
          <w:sz w:val="24"/>
          <w:szCs w:val="24"/>
        </w:rPr>
        <w:t xml:space="preserve"> ocupar dicha propiedad,</w:t>
      </w:r>
      <w:r w:rsidR="00CD443D">
        <w:rPr>
          <w:rFonts w:ascii="Palatino Linotype" w:hAnsi="Palatino Linotype"/>
          <w:sz w:val="24"/>
          <w:szCs w:val="24"/>
        </w:rPr>
        <w:t xml:space="preserve"> ya que dentro de ellos se encuentran datos tales como: entradas, salidas, servicios, etc., lo cual, cualquier persona que pudiera </w:t>
      </w:r>
      <w:r w:rsidR="00CD443D">
        <w:rPr>
          <w:rFonts w:ascii="Palatino Linotype" w:hAnsi="Palatino Linotype"/>
          <w:sz w:val="24"/>
          <w:szCs w:val="24"/>
        </w:rPr>
        <w:lastRenderedPageBreak/>
        <w:t>acceder a dicha información podría hacer mal uso de la misma, en contra de los ocupantes de dicha vivienda.</w:t>
      </w:r>
    </w:p>
    <w:p w:rsidR="00CD443D" w:rsidRDefault="00CD443D" w:rsidP="00C1355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cuerda separada, es de gran importancia mencionar que los planos arquitectónicos son elaborados por un profesional en ejercicio de su intelecto, </w:t>
      </w:r>
      <w:r w:rsidR="00544713">
        <w:rPr>
          <w:rFonts w:ascii="Palatino Linotype" w:hAnsi="Palatino Linotype"/>
          <w:sz w:val="24"/>
          <w:szCs w:val="24"/>
        </w:rPr>
        <w:t>ya sea que lo haga de manera aficionada o profesional, y el</w:t>
      </w:r>
      <w:r>
        <w:rPr>
          <w:rFonts w:ascii="Palatino Linotype" w:hAnsi="Palatino Linotype"/>
          <w:sz w:val="24"/>
          <w:szCs w:val="24"/>
        </w:rPr>
        <w:t xml:space="preserve"> cual se encuentra protegido bajo el régimen de derechos de autor, </w:t>
      </w:r>
      <w:r w:rsidR="00544713">
        <w:rPr>
          <w:rFonts w:ascii="Palatino Linotype" w:hAnsi="Palatino Linotype"/>
          <w:sz w:val="24"/>
          <w:szCs w:val="24"/>
        </w:rPr>
        <w:t>que es de recordar la Declaración Universal de los Derechos Humanos lo consagra como un derecho humano fundamental.</w:t>
      </w:r>
    </w:p>
    <w:p w:rsidR="00544713" w:rsidRDefault="00544713" w:rsidP="00C1355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de tales consideraciones, se considera oportuno señalar que el supuesto de clasificación como confidencial se actualiza y por tal motivo no es posible realizar su entrega.</w:t>
      </w:r>
    </w:p>
    <w:p w:rsidR="00544713" w:rsidRDefault="00544713" w:rsidP="00544713">
      <w:pPr>
        <w:tabs>
          <w:tab w:val="left" w:pos="709"/>
        </w:tabs>
        <w:spacing w:before="240" w:line="360" w:lineRule="auto"/>
        <w:jc w:val="both"/>
        <w:rPr>
          <w:rFonts w:ascii="Palatino Linotype" w:hAnsi="Palatino Linotype" w:cs="Arial"/>
          <w:sz w:val="24"/>
          <w:szCs w:val="24"/>
        </w:rPr>
      </w:pPr>
      <w:r>
        <w:rPr>
          <w:rFonts w:ascii="Palatino Linotype" w:hAnsi="Palatino Linotype"/>
          <w:sz w:val="24"/>
          <w:szCs w:val="24"/>
        </w:rPr>
        <w:t>Por último</w:t>
      </w:r>
      <w:r>
        <w:rPr>
          <w:rFonts w:ascii="Palatino Linotype" w:hAnsi="Palatino Linotype" w:cs="Arial"/>
          <w:sz w:val="24"/>
          <w:szCs w:val="24"/>
        </w:rPr>
        <w:t>, en el asunto que nos ocupa, el recurrente eligió como modalidad de entrega, copias certificadas con costo, por lo que bajo la tesitura legal de referencia, se deberá respetar de ésta manera, aunado a que en el presente asunto no se hizo valer alguna imposibilidad de entregarlo por tal vía, siendo procedente que se requiera previamente el cobro y el pago correspondiente por el recurrente, para estar en aptitud de certificar dicho documento y en su momento entregarlo al particular, para así satisfacer la solicitud de información.</w:t>
      </w:r>
    </w:p>
    <w:p w:rsidR="00544713" w:rsidRDefault="00544713" w:rsidP="00544713">
      <w:pPr>
        <w:tabs>
          <w:tab w:val="left" w:pos="709"/>
        </w:tabs>
        <w:spacing w:before="240" w:line="360" w:lineRule="auto"/>
        <w:jc w:val="both"/>
        <w:rPr>
          <w:rFonts w:ascii="Palatino Linotype" w:hAnsi="Palatino Linotype" w:cs="Arial"/>
          <w:sz w:val="24"/>
          <w:szCs w:val="24"/>
        </w:rPr>
      </w:pPr>
      <w:r>
        <w:rPr>
          <w:rFonts w:ascii="Palatino Linotype" w:hAnsi="Palatino Linotype" w:cs="Arial"/>
          <w:sz w:val="24"/>
          <w:szCs w:val="24"/>
        </w:rPr>
        <w:t>Para efectos de lo anterior, los artículos 174 y 175 de la Ley de Transparencia y Acceso a la Información Pública del Estado de México y Municipios, en lo que nos interesa señalan:</w:t>
      </w:r>
    </w:p>
    <w:p w:rsidR="00544713" w:rsidRPr="00D6715F" w:rsidRDefault="00544713" w:rsidP="00544713">
      <w:pPr>
        <w:tabs>
          <w:tab w:val="left" w:pos="709"/>
        </w:tabs>
        <w:spacing w:line="360" w:lineRule="auto"/>
        <w:ind w:left="851" w:right="567"/>
        <w:jc w:val="both"/>
        <w:rPr>
          <w:rFonts w:ascii="Palatino Linotype" w:hAnsi="Palatino Linotype" w:cs="Arial"/>
          <w:b/>
          <w:i/>
        </w:rPr>
      </w:pPr>
      <w:r w:rsidRPr="00B60D7C">
        <w:rPr>
          <w:rFonts w:ascii="Palatino Linotype" w:hAnsi="Palatino Linotype"/>
          <w:i/>
        </w:rPr>
        <w:t xml:space="preserve">Artículo 174. </w:t>
      </w:r>
      <w:r w:rsidRPr="00D6715F">
        <w:rPr>
          <w:rFonts w:ascii="Palatino Linotype" w:hAnsi="Palatino Linotype"/>
          <w:b/>
          <w:i/>
        </w:rPr>
        <w:t>En caso de existir costos para obtener la información deberán cubrirse de manera previa a la entrega y no podrán ser superiores a la suma de:</w:t>
      </w:r>
    </w:p>
    <w:p w:rsidR="00544713" w:rsidRPr="00B60D7C" w:rsidRDefault="00544713" w:rsidP="00544713">
      <w:pPr>
        <w:tabs>
          <w:tab w:val="left" w:pos="709"/>
        </w:tabs>
        <w:spacing w:line="360" w:lineRule="auto"/>
        <w:ind w:left="851" w:right="567"/>
        <w:jc w:val="both"/>
        <w:rPr>
          <w:rFonts w:ascii="Palatino Linotype" w:hAnsi="Palatino Linotype"/>
          <w:i/>
        </w:rPr>
      </w:pPr>
      <w:r w:rsidRPr="00B60D7C">
        <w:rPr>
          <w:rFonts w:ascii="Palatino Linotype" w:hAnsi="Palatino Linotype"/>
          <w:i/>
        </w:rPr>
        <w:lastRenderedPageBreak/>
        <w:t>[…]</w:t>
      </w:r>
    </w:p>
    <w:p w:rsidR="00544713" w:rsidRPr="00B60D7C" w:rsidRDefault="00544713" w:rsidP="00544713">
      <w:pPr>
        <w:tabs>
          <w:tab w:val="left" w:pos="709"/>
        </w:tabs>
        <w:spacing w:line="360" w:lineRule="auto"/>
        <w:ind w:left="851" w:right="567"/>
        <w:jc w:val="both"/>
        <w:rPr>
          <w:rFonts w:ascii="Palatino Linotype" w:hAnsi="Palatino Linotype" w:cs="Arial"/>
          <w:i/>
        </w:rPr>
      </w:pPr>
      <w:r w:rsidRPr="00B60D7C">
        <w:rPr>
          <w:rFonts w:ascii="Palatino Linotype" w:hAnsi="Palatino Linotype"/>
          <w:i/>
        </w:rPr>
        <w:t>III. El pago de la certificación de los documentos, cuando proceda.</w:t>
      </w:r>
    </w:p>
    <w:p w:rsidR="00544713" w:rsidRPr="00B60D7C" w:rsidRDefault="00544713" w:rsidP="00544713">
      <w:pPr>
        <w:tabs>
          <w:tab w:val="left" w:pos="709"/>
        </w:tabs>
        <w:spacing w:line="360" w:lineRule="auto"/>
        <w:ind w:left="851" w:right="567"/>
        <w:jc w:val="both"/>
        <w:rPr>
          <w:rFonts w:ascii="Palatino Linotype" w:hAnsi="Palatino Linotype" w:cs="Arial"/>
          <w:i/>
        </w:rPr>
      </w:pPr>
      <w:r w:rsidRPr="00D6715F">
        <w:rPr>
          <w:rFonts w:ascii="Palatino Linotype" w:hAnsi="Palatino Linotype"/>
          <w:b/>
          <w:i/>
        </w:rPr>
        <w:t>Las cuotas de los derechos aplicables deberán establecerse, en su caso, en el Código Financiero del Estado de México y Municipios</w:t>
      </w:r>
      <w:r w:rsidRPr="00B60D7C">
        <w:rPr>
          <w:rFonts w:ascii="Palatino Linotype" w:hAnsi="Palatino Linotype"/>
          <w:i/>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r>
        <w:rPr>
          <w:rFonts w:ascii="Palatino Linotype" w:hAnsi="Palatino Linotype"/>
          <w:i/>
        </w:rPr>
        <w:t>.</w:t>
      </w:r>
    </w:p>
    <w:p w:rsidR="00544713" w:rsidRPr="00B60D7C" w:rsidRDefault="00544713" w:rsidP="00544713">
      <w:pPr>
        <w:tabs>
          <w:tab w:val="left" w:pos="709"/>
        </w:tabs>
        <w:spacing w:line="360" w:lineRule="auto"/>
        <w:ind w:left="851" w:right="567"/>
        <w:jc w:val="both"/>
        <w:rPr>
          <w:rFonts w:ascii="Palatino Linotype" w:hAnsi="Palatino Linotype" w:cs="Arial"/>
          <w:i/>
        </w:rPr>
      </w:pPr>
      <w:r w:rsidRPr="00B60D7C">
        <w:rPr>
          <w:rFonts w:ascii="Palatino Linotype" w:hAnsi="Palatino Linotype"/>
          <w:i/>
        </w:rPr>
        <w:t>Los sujetos obligados a los que no les sea aplicable el Código Financiero del Estado de México y Municipios deberán establecer cuotas que no sean mayores a las dispuestas en dicho ordenamiento.</w:t>
      </w:r>
    </w:p>
    <w:p w:rsidR="00544713" w:rsidRPr="00B60D7C" w:rsidRDefault="00544713" w:rsidP="00544713">
      <w:pPr>
        <w:tabs>
          <w:tab w:val="left" w:pos="709"/>
        </w:tabs>
        <w:spacing w:line="360" w:lineRule="auto"/>
        <w:ind w:left="851" w:right="567"/>
        <w:jc w:val="both"/>
        <w:rPr>
          <w:rFonts w:ascii="Palatino Linotype" w:hAnsi="Palatino Linotype" w:cs="Arial"/>
          <w:i/>
        </w:rPr>
      </w:pPr>
      <w:r w:rsidRPr="00B60D7C">
        <w:rPr>
          <w:rFonts w:ascii="Palatino Linotype" w:hAnsi="Palatino Linotype"/>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544713" w:rsidRPr="00B60D7C" w:rsidRDefault="00544713" w:rsidP="00544713">
      <w:pPr>
        <w:tabs>
          <w:tab w:val="left" w:pos="709"/>
        </w:tabs>
        <w:spacing w:line="360" w:lineRule="auto"/>
        <w:ind w:left="851" w:right="567"/>
        <w:jc w:val="both"/>
        <w:rPr>
          <w:rFonts w:ascii="Palatino Linotype" w:hAnsi="Palatino Linotype"/>
          <w:i/>
        </w:rPr>
      </w:pPr>
      <w:r w:rsidRPr="00B60D7C">
        <w:rPr>
          <w:rFonts w:ascii="Palatino Linotype" w:hAnsi="Palatino Linotype"/>
          <w:i/>
        </w:rPr>
        <w:t>Artículo 175. […]</w:t>
      </w:r>
    </w:p>
    <w:p w:rsidR="00544713" w:rsidRPr="00062EB2" w:rsidRDefault="00544713" w:rsidP="00544713">
      <w:pPr>
        <w:tabs>
          <w:tab w:val="left" w:pos="709"/>
        </w:tabs>
        <w:spacing w:line="360" w:lineRule="auto"/>
        <w:ind w:left="851" w:right="567"/>
        <w:jc w:val="both"/>
        <w:rPr>
          <w:rFonts w:ascii="Palatino Linotype" w:hAnsi="Palatino Linotype" w:cs="Arial"/>
          <w:i/>
        </w:rPr>
      </w:pPr>
      <w:r w:rsidRPr="00D6715F">
        <w:rPr>
          <w:rFonts w:ascii="Palatino Linotype" w:hAnsi="Palatino Linotype"/>
          <w:b/>
          <w:i/>
        </w:rPr>
        <w:t>En ningún caso, el pago de derechos deberá exceder el costo de reproducción de la información en el material solicitado.</w:t>
      </w:r>
      <w:r w:rsidRPr="00B60D7C">
        <w:rPr>
          <w:rFonts w:ascii="Palatino Linotype" w:hAnsi="Palatino Linotype"/>
          <w:i/>
        </w:rPr>
        <w:t xml:space="preserve"> Los ajustes razonables que se realicen para el acceso de la información de solicitantes con discapacidad serán sin costo para los mismos</w:t>
      </w:r>
    </w:p>
    <w:p w:rsidR="00544713" w:rsidRDefault="00544713" w:rsidP="00544713">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Asimismo, resulta aplicable al presente asunto, el criterio de interpretación identificado por el número 96/17, de la Segunda Época, emitido por el Instituto Nacional de Transparencia, Acceso a la Información y Protección de Datos Personales, cuyo rubro y texto esgrime:</w:t>
      </w:r>
    </w:p>
    <w:p w:rsidR="00544713" w:rsidRPr="00544713" w:rsidRDefault="00544713" w:rsidP="00544713">
      <w:pPr>
        <w:spacing w:before="240" w:line="360" w:lineRule="auto"/>
        <w:ind w:left="851"/>
        <w:jc w:val="both"/>
        <w:rPr>
          <w:rFonts w:ascii="Palatino Linotype" w:eastAsia="Arial Unicode MS" w:hAnsi="Palatino Linotype" w:cs="Arial"/>
          <w:i/>
          <w:iCs/>
          <w:sz w:val="24"/>
          <w:szCs w:val="24"/>
        </w:rPr>
      </w:pPr>
      <w:r w:rsidRPr="00544713">
        <w:rPr>
          <w:rFonts w:ascii="Palatino Linotype" w:eastAsia="Arial Unicode MS" w:hAnsi="Palatino Linotype" w:cs="Arial"/>
          <w:b/>
          <w:bCs/>
          <w:i/>
          <w:iCs/>
          <w:sz w:val="24"/>
          <w:szCs w:val="24"/>
        </w:rPr>
        <w:lastRenderedPageBreak/>
        <w:t xml:space="preserve">Copias certificadas, como modalidad de entrega en la Ley Federal de Transparencia y Acceso a la Información Pública corrobora que el documento es una copia fiel del que obra en los archivos del sujeto obligado. </w:t>
      </w:r>
      <w:r w:rsidRPr="00544713">
        <w:rPr>
          <w:rFonts w:ascii="Palatino Linotype" w:eastAsia="Arial Unicode MS" w:hAnsi="Palatino Linotype" w:cs="Arial"/>
          <w:bCs/>
          <w:i/>
          <w:iCs/>
          <w:sz w:val="24"/>
          <w:szCs w:val="24"/>
        </w:rPr>
        <w:t>Los artículos 125, fracción V y 136 de la Ley Federal de Transparencia y Acceso a la Información Pública, prevén que el acceso a la información se dará en la modalidad de entrega elegida por los solicitantes, como lo es, en copia certificada</w:t>
      </w:r>
      <w:r w:rsidRPr="00544713">
        <w:rPr>
          <w:rFonts w:ascii="Palatino Linotype" w:eastAsia="Arial Unicode MS" w:hAnsi="Palatino Linotype" w:cs="Arial"/>
          <w:i/>
          <w:iCs/>
          <w:sz w:val="24"/>
          <w:szCs w:val="24"/>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C13555" w:rsidRPr="0091725C" w:rsidRDefault="00544713" w:rsidP="0091725C">
      <w:pPr>
        <w:spacing w:before="240" w:line="360" w:lineRule="auto"/>
        <w:ind w:right="51"/>
        <w:jc w:val="both"/>
        <w:rPr>
          <w:rFonts w:ascii="Palatino Linotype" w:hAnsi="Palatino Linotype" w:cs="Arial"/>
          <w:sz w:val="24"/>
          <w:szCs w:val="24"/>
        </w:rPr>
      </w:pPr>
      <w:r>
        <w:rPr>
          <w:rFonts w:ascii="Palatino Linotype" w:hAnsi="Palatino Linotype" w:cs="Arial"/>
          <w:sz w:val="24"/>
          <w:szCs w:val="24"/>
        </w:rPr>
        <w:t>Por todo lo anterior, el sujeto obligado deberá indicar al particular el procedimiento a seguir para realizar el pago correspondiente por la</w:t>
      </w:r>
      <w:r w:rsidR="0091725C">
        <w:rPr>
          <w:rFonts w:ascii="Palatino Linotype" w:hAnsi="Palatino Linotype" w:cs="Arial"/>
          <w:sz w:val="24"/>
          <w:szCs w:val="24"/>
        </w:rPr>
        <w:t>s</w:t>
      </w:r>
      <w:r>
        <w:rPr>
          <w:rFonts w:ascii="Palatino Linotype" w:hAnsi="Palatino Linotype" w:cs="Arial"/>
          <w:sz w:val="24"/>
          <w:szCs w:val="24"/>
        </w:rPr>
        <w:t xml:space="preserve"> copia</w:t>
      </w:r>
      <w:r w:rsidR="0091725C">
        <w:rPr>
          <w:rFonts w:ascii="Palatino Linotype" w:hAnsi="Palatino Linotype" w:cs="Arial"/>
          <w:sz w:val="24"/>
          <w:szCs w:val="24"/>
        </w:rPr>
        <w:t>s</w:t>
      </w:r>
      <w:r>
        <w:rPr>
          <w:rFonts w:ascii="Palatino Linotype" w:hAnsi="Palatino Linotype" w:cs="Arial"/>
          <w:sz w:val="24"/>
          <w:szCs w:val="24"/>
        </w:rPr>
        <w:t xml:space="preserve"> certificada</w:t>
      </w:r>
      <w:r w:rsidR="0091725C">
        <w:rPr>
          <w:rFonts w:ascii="Palatino Linotype" w:hAnsi="Palatino Linotype" w:cs="Arial"/>
          <w:sz w:val="24"/>
          <w:szCs w:val="24"/>
        </w:rPr>
        <w:t>s</w:t>
      </w:r>
      <w:r>
        <w:rPr>
          <w:rFonts w:ascii="Palatino Linotype" w:hAnsi="Palatino Linotype" w:cs="Arial"/>
          <w:sz w:val="24"/>
          <w:szCs w:val="24"/>
        </w:rPr>
        <w:t xml:space="preserve"> del documento solicitado.</w:t>
      </w:r>
    </w:p>
    <w:p w:rsidR="005872D8" w:rsidRPr="005872D8" w:rsidRDefault="005872D8" w:rsidP="007E7911">
      <w:pPr>
        <w:pStyle w:val="Prrafodelista"/>
        <w:numPr>
          <w:ilvl w:val="0"/>
          <w:numId w:val="3"/>
        </w:numPr>
        <w:autoSpaceDE w:val="0"/>
        <w:autoSpaceDN w:val="0"/>
        <w:adjustRightInd w:val="0"/>
        <w:spacing w:before="240" w:after="240" w:line="360" w:lineRule="auto"/>
        <w:jc w:val="both"/>
        <w:rPr>
          <w:rFonts w:ascii="Palatino Linotype" w:hAnsi="Palatino Linotype"/>
          <w:b/>
          <w:i/>
        </w:rPr>
      </w:pPr>
      <w:r w:rsidRPr="005872D8">
        <w:rPr>
          <w:rFonts w:ascii="Palatino Linotype" w:hAnsi="Palatino Linotype"/>
          <w:b/>
          <w:i/>
        </w:rPr>
        <w:t xml:space="preserve">Vista a los Órganos de Control Interno </w:t>
      </w:r>
    </w:p>
    <w:p w:rsidR="005872D8" w:rsidRPr="00881696" w:rsidRDefault="005872D8" w:rsidP="00881696">
      <w:pPr>
        <w:spacing w:before="240" w:line="360" w:lineRule="auto"/>
        <w:jc w:val="both"/>
        <w:rPr>
          <w:rFonts w:ascii="Palatino Linotype" w:hAnsi="Palatino Linotype"/>
          <w:sz w:val="24"/>
          <w:szCs w:val="24"/>
        </w:rPr>
      </w:pPr>
      <w:r w:rsidRPr="00881696">
        <w:rPr>
          <w:rFonts w:ascii="Palatino Linotype" w:hAnsi="Palatino Linotype"/>
          <w:sz w:val="24"/>
          <w:szCs w:val="24"/>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w:t>
      </w:r>
      <w:r w:rsidRPr="00881696">
        <w:rPr>
          <w:rFonts w:ascii="Palatino Linotype" w:hAnsi="Palatino Linotype"/>
          <w:sz w:val="24"/>
          <w:szCs w:val="24"/>
        </w:rPr>
        <w:lastRenderedPageBreak/>
        <w:t>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5872D8" w:rsidRPr="00881696" w:rsidRDefault="005872D8" w:rsidP="00881696">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5872D8" w:rsidRPr="006010FE" w:rsidRDefault="005872D8" w:rsidP="00881696">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5872D8" w:rsidRPr="006010FE" w:rsidRDefault="005872D8" w:rsidP="00881696">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5872D8" w:rsidRPr="006010FE" w:rsidRDefault="005872D8" w:rsidP="00881696">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5872D8" w:rsidRPr="006010FE" w:rsidRDefault="005872D8" w:rsidP="00881696">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5872D8" w:rsidRPr="006010FE" w:rsidRDefault="005872D8" w:rsidP="005872D8">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5872D8" w:rsidRPr="006010FE" w:rsidRDefault="005872D8" w:rsidP="005872D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6010FE">
        <w:rPr>
          <w:rFonts w:ascii="Palatino Linotype" w:eastAsia="MS Mincho" w:hAnsi="Palatino Linotype" w:cs="Times New Roman"/>
          <w:i/>
        </w:rPr>
        <w:lastRenderedPageBreak/>
        <w:t>competente para que éste inicie, en su caso, el procedimiento de responsabilidad respectivo, cuyo resultado deberá de ser informado al Instituto</w:t>
      </w:r>
    </w:p>
    <w:p w:rsidR="005872D8" w:rsidRPr="006010FE" w:rsidRDefault="005872D8" w:rsidP="005872D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5872D8" w:rsidRPr="006010FE" w:rsidRDefault="005872D8" w:rsidP="005872D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5872D8" w:rsidRDefault="005872D8" w:rsidP="005872D8">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080399" w:rsidRPr="006010FE" w:rsidRDefault="00080399" w:rsidP="00080399">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080399" w:rsidRDefault="00080399" w:rsidP="00C77DFD">
      <w:pPr>
        <w:spacing w:before="240" w:line="360" w:lineRule="auto"/>
        <w:ind w:left="567"/>
        <w:jc w:val="both"/>
        <w:rPr>
          <w:rFonts w:ascii="Palatino Linotype" w:eastAsia="MS Mincho" w:hAnsi="Palatino Linotype" w:cs="Times New Roman"/>
          <w:b/>
          <w:i/>
          <w:u w:val="single"/>
        </w:rPr>
      </w:pPr>
      <w:r w:rsidRPr="00080399">
        <w:rPr>
          <w:rFonts w:ascii="Palatino Linotype" w:eastAsia="MS Mincho" w:hAnsi="Palatino Linotype" w:cs="Times New Roman"/>
          <w:b/>
          <w:i/>
          <w:u w:val="single"/>
        </w:rPr>
        <w:t xml:space="preserve">V. Entregar información clasificada como confidencial fuera de los casos previstos por esta Ley; </w:t>
      </w:r>
    </w:p>
    <w:p w:rsidR="005872D8" w:rsidRPr="00C77DFD" w:rsidRDefault="005872D8" w:rsidP="00C77DFD">
      <w:pPr>
        <w:spacing w:before="240" w:line="360" w:lineRule="auto"/>
        <w:ind w:left="567"/>
        <w:jc w:val="both"/>
        <w:rPr>
          <w:rFonts w:ascii="Palatino Linotype" w:hAnsi="Palatino Linotype"/>
          <w:i/>
        </w:rPr>
      </w:pPr>
      <w:r w:rsidRPr="00C77DFD">
        <w:rPr>
          <w:rFonts w:ascii="Palatino Linotype" w:hAnsi="Palatino Linotype"/>
          <w:i/>
        </w:rPr>
        <w:t>(…)</w:t>
      </w:r>
    </w:p>
    <w:p w:rsidR="005872D8" w:rsidRPr="00C77DFD" w:rsidRDefault="005872D8" w:rsidP="00C77DFD">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5872D8" w:rsidRPr="00C77DFD" w:rsidRDefault="005872D8" w:rsidP="00C77DFD">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C77DFD">
        <w:rPr>
          <w:rFonts w:ascii="Palatino Linotype" w:hAnsi="Palatino Linotype"/>
          <w:sz w:val="24"/>
        </w:rPr>
        <w:lastRenderedPageBreak/>
        <w:t>procedimiento de responsabilidad respectivo, cuyo resultado deberá de ser informado al Instituto.</w:t>
      </w:r>
    </w:p>
    <w:p w:rsidR="00080399" w:rsidRDefault="00080399" w:rsidP="0008039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parcialmente 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Modifica </w:t>
      </w:r>
      <w:r>
        <w:rPr>
          <w:rFonts w:ascii="Palatino Linotype" w:hAnsi="Palatino Linotype" w:cs="Arial"/>
          <w:sz w:val="24"/>
        </w:rPr>
        <w:t xml:space="preserve">la respuesta del sujeto obligado a la solicitud de información con número de folio </w:t>
      </w:r>
      <w:r w:rsidRPr="00E52E57">
        <w:rPr>
          <w:rFonts w:ascii="Palatino Linotype" w:hAnsi="Palatino Linotype" w:cs="Arial"/>
          <w:b/>
          <w:sz w:val="24"/>
        </w:rPr>
        <w:t>00465/NEZA/IP/2019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C77DFD" w:rsidRDefault="005872D8" w:rsidP="005872D8">
      <w:pPr>
        <w:spacing w:before="240" w:line="360" w:lineRule="auto"/>
        <w:jc w:val="both"/>
        <w:rPr>
          <w:rFonts w:ascii="Palatino Linotype" w:hAnsi="Palatino Linotype" w:cs="Arial"/>
          <w:sz w:val="24"/>
        </w:rPr>
      </w:pPr>
      <w:r w:rsidRPr="00C77DFD">
        <w:rPr>
          <w:rFonts w:ascii="Palatino Linotype" w:hAnsi="Palatino Linotype"/>
          <w:sz w:val="24"/>
        </w:rPr>
        <w:t>Por lo antes expuesto y fundado es de resolverse y;</w:t>
      </w:r>
    </w:p>
    <w:p w:rsidR="005872D8" w:rsidRDefault="005872D8" w:rsidP="005872D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080399" w:rsidRDefault="00080399" w:rsidP="00080399">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Modifica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Pr="00E52E57">
        <w:rPr>
          <w:rFonts w:ascii="Palatino Linotype" w:hAnsi="Palatino Linotype" w:cs="Arial"/>
          <w:b/>
          <w:sz w:val="24"/>
        </w:rPr>
        <w:t>00465/NEZA/IP/2019</w:t>
      </w:r>
      <w:r>
        <w:rPr>
          <w:rFonts w:ascii="Palatino Linotype" w:hAnsi="Palatino Linotype"/>
          <w:i/>
          <w:lang w:val="es-ES_tradnl"/>
        </w:rPr>
        <w:t xml:space="preserve">, </w:t>
      </w:r>
      <w:r>
        <w:rPr>
          <w:rFonts w:ascii="Palatino Linotype" w:hAnsi="Palatino Linotype" w:cs="Arial"/>
          <w:sz w:val="24"/>
          <w:lang w:val="es-ES_tradnl"/>
        </w:rPr>
        <w:t>por resultar parcialmente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8055D5" w:rsidRDefault="00080399" w:rsidP="00080399">
      <w:pPr>
        <w:autoSpaceDE w:val="0"/>
        <w:autoSpaceDN w:val="0"/>
        <w:adjustRightInd w:val="0"/>
        <w:spacing w:before="240" w:line="360" w:lineRule="auto"/>
        <w:ind w:right="49"/>
        <w:jc w:val="both"/>
        <w:rPr>
          <w:rFonts w:ascii="Palatino Linotype" w:hAnsi="Palatino Linotype" w:cs="Arial"/>
          <w:iCs/>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 a través del SAIMEX, en términos del </w:t>
      </w:r>
      <w:r>
        <w:rPr>
          <w:rFonts w:ascii="Palatino Linotype" w:hAnsi="Palatino Linotype" w:cs="Arial"/>
          <w:b/>
          <w:sz w:val="24"/>
          <w:szCs w:val="24"/>
        </w:rPr>
        <w:t xml:space="preserve">Considerando Cuarto </w:t>
      </w:r>
      <w:r w:rsidRPr="00080399">
        <w:rPr>
          <w:rFonts w:ascii="Palatino Linotype" w:hAnsi="Palatino Linotype" w:cs="Arial"/>
          <w:bCs/>
          <w:sz w:val="24"/>
          <w:szCs w:val="24"/>
        </w:rPr>
        <w:t>el procedimiento</w:t>
      </w:r>
      <w:r>
        <w:rPr>
          <w:rFonts w:ascii="Palatino Linotype" w:hAnsi="Palatino Linotype" w:cs="Arial"/>
          <w:i/>
        </w:rPr>
        <w:t xml:space="preserve"> </w:t>
      </w:r>
      <w:r w:rsidR="008055D5" w:rsidRPr="00080399">
        <w:rPr>
          <w:rFonts w:ascii="Palatino Linotype" w:hAnsi="Palatino Linotype" w:cs="Arial"/>
          <w:iCs/>
          <w:sz w:val="24"/>
          <w:szCs w:val="24"/>
        </w:rPr>
        <w:t xml:space="preserve">que deberá de seguir para la entrega de la </w:t>
      </w:r>
      <w:r w:rsidR="00424593">
        <w:rPr>
          <w:rFonts w:ascii="Palatino Linotype" w:hAnsi="Palatino Linotype" w:cs="Arial"/>
          <w:iCs/>
          <w:sz w:val="24"/>
          <w:szCs w:val="24"/>
        </w:rPr>
        <w:t xml:space="preserve">Licencia remitida en respuesta en versión pública, </w:t>
      </w:r>
      <w:r w:rsidR="008055D5" w:rsidRPr="00080399">
        <w:rPr>
          <w:rFonts w:ascii="Palatino Linotype" w:hAnsi="Palatino Linotype" w:cs="Arial"/>
          <w:iCs/>
          <w:sz w:val="24"/>
          <w:szCs w:val="24"/>
        </w:rPr>
        <w:t xml:space="preserve">en donde se le señale el costo, lugar, fecha y hora para poder obtener el documento en la modalidad de copia certificada. </w:t>
      </w:r>
    </w:p>
    <w:p w:rsidR="00745D33" w:rsidRDefault="00745D33" w:rsidP="00745D33">
      <w:pPr>
        <w:autoSpaceDE w:val="0"/>
        <w:autoSpaceDN w:val="0"/>
        <w:adjustRightInd w:val="0"/>
        <w:spacing w:before="240" w:line="276" w:lineRule="auto"/>
        <w:ind w:left="284" w:right="425"/>
        <w:jc w:val="both"/>
        <w:rPr>
          <w:rFonts w:ascii="Palatino Linotype" w:hAnsi="Palatino Linotype" w:cs="Arial"/>
          <w:i/>
          <w:sz w:val="24"/>
          <w:szCs w:val="24"/>
        </w:rPr>
      </w:pPr>
      <w:r>
        <w:rPr>
          <w:rFonts w:ascii="Palatino Linotype" w:hAnsi="Palatino Linotype" w:cs="Arial"/>
          <w:i/>
          <w:sz w:val="24"/>
          <w:szCs w:val="24"/>
        </w:rPr>
        <w:lastRenderedPageBreak/>
        <w:t>Para la entrega en versión pública deberá emitir el Acuerdo del Comité de Transparencias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745D33" w:rsidRPr="00745D33" w:rsidRDefault="00745D33" w:rsidP="00745D33">
      <w:pPr>
        <w:autoSpaceDE w:val="0"/>
        <w:autoSpaceDN w:val="0"/>
        <w:adjustRightInd w:val="0"/>
        <w:spacing w:before="240" w:line="276" w:lineRule="auto"/>
        <w:ind w:left="284" w:right="425"/>
        <w:jc w:val="both"/>
        <w:rPr>
          <w:rFonts w:ascii="Palatino Linotype" w:hAnsi="Palatino Linotype" w:cs="Arial"/>
          <w:i/>
          <w:sz w:val="28"/>
          <w:szCs w:val="28"/>
          <w:lang w:eastAsia="es-ES"/>
        </w:rPr>
      </w:pPr>
      <w:r>
        <w:rPr>
          <w:rFonts w:ascii="Palatino Linotype" w:hAnsi="Palatino Linotype" w:cs="Arial"/>
          <w:i/>
          <w:sz w:val="24"/>
          <w:szCs w:val="24"/>
        </w:rPr>
        <w:t>Acuerdo mediante el cual se clasifica en su totalidad como confidencial los planos arquitectónicos referidos en la solicitud de información.</w:t>
      </w:r>
    </w:p>
    <w:p w:rsidR="00745D33" w:rsidRDefault="00745D33" w:rsidP="005872D8">
      <w:pPr>
        <w:tabs>
          <w:tab w:val="left" w:pos="8647"/>
        </w:tabs>
        <w:spacing w:after="0" w:line="360" w:lineRule="auto"/>
        <w:ind w:right="51"/>
        <w:jc w:val="both"/>
        <w:rPr>
          <w:rFonts w:ascii="Palatino Linotype" w:hAnsi="Palatino Linotype" w:cs="Arial"/>
          <w:b/>
          <w:sz w:val="28"/>
          <w:szCs w:val="24"/>
        </w:rPr>
      </w:pPr>
    </w:p>
    <w:p w:rsidR="00881696" w:rsidRDefault="005872D8" w:rsidP="005872D8">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45D33" w:rsidRDefault="00745D33" w:rsidP="005872D8">
      <w:pPr>
        <w:autoSpaceDE w:val="0"/>
        <w:autoSpaceDN w:val="0"/>
        <w:adjustRightInd w:val="0"/>
        <w:spacing w:before="240" w:line="360" w:lineRule="auto"/>
        <w:jc w:val="both"/>
        <w:rPr>
          <w:rFonts w:ascii="Palatino Linotype" w:hAnsi="Palatino Linotype" w:cs="Arial"/>
          <w:b/>
          <w:sz w:val="28"/>
          <w:szCs w:val="24"/>
        </w:rPr>
      </w:pPr>
    </w:p>
    <w:p w:rsidR="005872D8" w:rsidRDefault="005872D8" w:rsidP="005872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316568">
        <w:rPr>
          <w:rFonts w:ascii="Palatino Linotype" w:hAnsi="Palatino Linotype" w:cs="Arial"/>
          <w:b/>
          <w:sz w:val="24"/>
          <w:szCs w:val="24"/>
        </w:rPr>
        <w:t xml:space="preserve">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00316568" w:rsidRPr="00316568">
        <w:rPr>
          <w:rFonts w:ascii="Palatino Linotype" w:hAnsi="Palatino Linotype" w:cs="Arial"/>
          <w:sz w:val="24"/>
          <w:szCs w:val="24"/>
        </w:rPr>
        <w:t>la presente resolución</w:t>
      </w:r>
      <w:r w:rsidR="00316568">
        <w:rPr>
          <w:rFonts w:ascii="Palatino Linotype" w:hAnsi="Palatino Linotype" w:cs="Arial"/>
          <w:sz w:val="24"/>
          <w:szCs w:val="24"/>
        </w:rPr>
        <w:t xml:space="preserve"> y hágase de su conocimiento que </w:t>
      </w:r>
      <w:r>
        <w:rPr>
          <w:rFonts w:ascii="Palatino Linotype" w:hAnsi="Palatino Linotype" w:cs="Arial"/>
          <w:sz w:val="24"/>
          <w:szCs w:val="24"/>
        </w:rPr>
        <w:t xml:space="preserve">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881696" w:rsidRDefault="00881696" w:rsidP="005872D8">
      <w:pPr>
        <w:autoSpaceDE w:val="0"/>
        <w:autoSpaceDN w:val="0"/>
        <w:adjustRightInd w:val="0"/>
        <w:spacing w:before="240" w:line="360" w:lineRule="auto"/>
        <w:jc w:val="both"/>
        <w:rPr>
          <w:rFonts w:ascii="Palatino Linotype" w:hAnsi="Palatino Linotype" w:cs="Arial"/>
          <w:sz w:val="24"/>
          <w:szCs w:val="24"/>
        </w:rPr>
      </w:pPr>
    </w:p>
    <w:p w:rsidR="005872D8" w:rsidRDefault="005872D8" w:rsidP="005872D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A2443A" w:rsidRDefault="0035772D" w:rsidP="0035772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UNANIMIDAD DE VOTOS </w:t>
      </w:r>
      <w:r w:rsidR="00A0104B">
        <w:rPr>
          <w:rFonts w:ascii="Palatino Linotype" w:hAnsi="Palatino Linotype" w:cs="Arial"/>
          <w:sz w:val="24"/>
          <w:szCs w:val="24"/>
        </w:rPr>
        <w:t xml:space="preserve">DE LOS PRESENTES EN </w:t>
      </w:r>
      <w:r>
        <w:rPr>
          <w:rFonts w:ascii="Palatino Linotype" w:hAnsi="Palatino Linotype" w:cs="Arial"/>
          <w:sz w:val="24"/>
          <w:szCs w:val="24"/>
        </w:rPr>
        <w:t>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w:t>
      </w:r>
      <w:r w:rsidR="0055269E">
        <w:rPr>
          <w:rFonts w:ascii="Palatino Linotype" w:hAnsi="Palatino Linotype" w:cs="Arial"/>
          <w:sz w:val="24"/>
          <w:szCs w:val="24"/>
        </w:rPr>
        <w:t>R</w:t>
      </w:r>
      <w:r>
        <w:rPr>
          <w:rFonts w:ascii="Palatino Linotype" w:hAnsi="Palatino Linotype" w:cs="Arial"/>
          <w:sz w:val="24"/>
          <w:szCs w:val="24"/>
        </w:rPr>
        <w:t>, JOSÉ GUADALUPE LUNA HERNÁNDEZ</w:t>
      </w:r>
      <w:r w:rsidR="00A0104B">
        <w:rPr>
          <w:rFonts w:ascii="Palatino Linotype" w:hAnsi="Palatino Linotype" w:cs="Arial"/>
          <w:sz w:val="24"/>
          <w:szCs w:val="24"/>
        </w:rPr>
        <w:t xml:space="preserve"> (AUSENTE EN LA VOTACIÓN)</w:t>
      </w:r>
      <w:r w:rsidR="005731B2">
        <w:rPr>
          <w:rFonts w:ascii="Palatino Linotype" w:hAnsi="Palatino Linotype" w:cs="Arial"/>
          <w:sz w:val="24"/>
          <w:szCs w:val="24"/>
        </w:rPr>
        <w:t xml:space="preserve">, </w:t>
      </w:r>
      <w:r>
        <w:rPr>
          <w:rFonts w:ascii="Palatino Linotype" w:hAnsi="Palatino Linotype" w:cs="Arial"/>
          <w:sz w:val="24"/>
          <w:szCs w:val="24"/>
        </w:rPr>
        <w:t>JAVIER MARTÍNEZ CRUZ</w:t>
      </w:r>
      <w:r w:rsidR="0055269E">
        <w:rPr>
          <w:rFonts w:ascii="Palatino Linotype" w:hAnsi="Palatino Linotype" w:cs="Arial"/>
          <w:sz w:val="24"/>
          <w:szCs w:val="24"/>
        </w:rPr>
        <w:t xml:space="preserve"> EMITIENDO VOTO PARTICULAR</w:t>
      </w:r>
      <w:r>
        <w:rPr>
          <w:rFonts w:ascii="Palatino Linotype" w:hAnsi="Palatino Linotype" w:cs="Arial"/>
          <w:sz w:val="24"/>
          <w:szCs w:val="24"/>
        </w:rPr>
        <w:t xml:space="preserve"> Y LUIS GUSTAVO PARRA NORIEGA, </w:t>
      </w:r>
      <w:r w:rsidR="00A2443A">
        <w:rPr>
          <w:rFonts w:ascii="Palatino Linotype" w:hAnsi="Palatino Linotype" w:cs="Arial"/>
          <w:sz w:val="24"/>
          <w:szCs w:val="24"/>
        </w:rPr>
        <w:t xml:space="preserve">EN LA </w:t>
      </w:r>
      <w:r w:rsidR="00C12A4D">
        <w:rPr>
          <w:rFonts w:ascii="Palatino Linotype" w:hAnsi="Palatino Linotype" w:cs="Arial"/>
          <w:sz w:val="24"/>
          <w:szCs w:val="24"/>
        </w:rPr>
        <w:t>TRIGÉSIM</w:t>
      </w:r>
      <w:r w:rsidR="0055269E">
        <w:rPr>
          <w:rFonts w:ascii="Palatino Linotype" w:hAnsi="Palatino Linotype" w:cs="Arial"/>
          <w:sz w:val="24"/>
          <w:szCs w:val="24"/>
        </w:rPr>
        <w:t>A</w:t>
      </w:r>
      <w:r w:rsidR="00C12A4D">
        <w:rPr>
          <w:rFonts w:ascii="Palatino Linotype" w:hAnsi="Palatino Linotype" w:cs="Arial"/>
          <w:sz w:val="24"/>
          <w:szCs w:val="24"/>
        </w:rPr>
        <w:t xml:space="preserve"> SEXTA</w:t>
      </w:r>
      <w:r w:rsidR="00A2443A">
        <w:rPr>
          <w:rFonts w:ascii="Palatino Linotype" w:hAnsi="Palatino Linotype" w:cs="Arial"/>
          <w:sz w:val="24"/>
          <w:szCs w:val="24"/>
        </w:rPr>
        <w:t xml:space="preserve"> </w:t>
      </w:r>
      <w:r w:rsidR="00634EE7">
        <w:rPr>
          <w:rFonts w:ascii="Palatino Linotype" w:hAnsi="Palatino Linotype" w:cs="Arial"/>
          <w:sz w:val="24"/>
          <w:szCs w:val="24"/>
        </w:rPr>
        <w:t xml:space="preserve">SESIÓN ORDINARIA CELEBRADA EL </w:t>
      </w:r>
      <w:r w:rsidR="00C12A4D">
        <w:rPr>
          <w:rFonts w:ascii="Palatino Linotype" w:hAnsi="Palatino Linotype" w:cs="Arial"/>
          <w:sz w:val="24"/>
          <w:szCs w:val="24"/>
        </w:rPr>
        <w:t>DOS DE OCTUBRE</w:t>
      </w:r>
      <w:r w:rsidR="00634EE7">
        <w:rPr>
          <w:rFonts w:ascii="Palatino Linotype" w:hAnsi="Palatino Linotype" w:cs="Arial"/>
          <w:sz w:val="24"/>
          <w:szCs w:val="24"/>
        </w:rPr>
        <w:t xml:space="preserve"> DE DOS MIL DIECINUEVE, ANTE EL SECRETARIO TÉCNICO DEL PLENO, ALEXIS TAPIA RAMÍREZ.------------------------</w:t>
      </w:r>
      <w:r>
        <w:rPr>
          <w:rFonts w:ascii="Palatino Linotype" w:hAnsi="Palatino Linotype" w:cs="Arial"/>
          <w:sz w:val="24"/>
          <w:szCs w:val="24"/>
        </w:rPr>
        <w:t>---------------------------------------------------------------------------------------------------------------------------------------------------------------------------------------------------------------------------------------------------------------------------------------------------------------------------------------------------------------------------------------------------------------------------------------------------------------------------------------------------------------------------------------------------------------------------------------------------------------------------------------------------------------------------------------------------------------------------------------------------------------------------------------------------------------------------------------------------</w:t>
      </w:r>
      <w:r w:rsidR="00A0104B">
        <w:rPr>
          <w:rFonts w:ascii="Palatino Linotype" w:hAnsi="Palatino Linotype" w:cs="Arial"/>
          <w:sz w:val="24"/>
          <w:szCs w:val="24"/>
        </w:rPr>
        <w:t>---------------------------------</w:t>
      </w:r>
      <w:r>
        <w:rPr>
          <w:rFonts w:ascii="Palatino Linotype" w:hAnsi="Palatino Linotype" w:cs="Arial"/>
          <w:sz w:val="24"/>
          <w:szCs w:val="24"/>
        </w:rPr>
        <w:t>-------------</w:t>
      </w:r>
    </w:p>
    <w:p w:rsidR="00A459D0" w:rsidRDefault="00A459D0" w:rsidP="00A459D0">
      <w:pPr>
        <w:spacing w:before="240"/>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Pr="00F71A5D" w:rsidRDefault="00A0104B" w:rsidP="00A459D0">
                            <w:pPr>
                              <w:spacing w:line="240" w:lineRule="auto"/>
                              <w:jc w:val="center"/>
                              <w:rPr>
                                <w:rFonts w:ascii="Palatino Linotype" w:hAnsi="Palatino Linotype"/>
                                <w:b/>
                                <w:bCs/>
                                <w:sz w:val="24"/>
                                <w:szCs w:val="24"/>
                              </w:rPr>
                            </w:pPr>
                            <w:r w:rsidRPr="00F71A5D">
                              <w:rPr>
                                <w:rFonts w:ascii="Palatino Linotype" w:hAnsi="Palatino Linotype"/>
                                <w:b/>
                                <w:bCs/>
                                <w:sz w:val="24"/>
                                <w:szCs w:val="24"/>
                              </w:rPr>
                              <w:t>(R</w:t>
                            </w:r>
                            <w:r w:rsidR="00F71A5D" w:rsidRPr="00F71A5D">
                              <w:rPr>
                                <w:rFonts w:ascii="Palatino Linotype" w:hAnsi="Palatino Linotype"/>
                                <w:b/>
                                <w:bCs/>
                                <w:sz w:val="24"/>
                                <w:szCs w:val="24"/>
                              </w:rPr>
                              <w:t>ú</w:t>
                            </w:r>
                            <w:r w:rsidRPr="00F71A5D">
                              <w:rPr>
                                <w:rFonts w:ascii="Palatino Linotype" w:hAnsi="Palatino Linotype"/>
                                <w:b/>
                                <w:bCs/>
                                <w:sz w:val="24"/>
                                <w:szCs w:val="24"/>
                              </w:rPr>
                              <w:t>brica</w:t>
                            </w:r>
                            <w:r w:rsidR="00F71A5D" w:rsidRPr="00F71A5D">
                              <w:rPr>
                                <w:rFonts w:ascii="Palatino Linotype" w:hAnsi="Palatino Linotype"/>
                                <w:b/>
                                <w:bCs/>
                                <w:sz w:val="24"/>
                                <w:szCs w:val="24"/>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rsidR="00A459D0" w:rsidRPr="00F71A5D" w:rsidRDefault="00A0104B" w:rsidP="00A459D0">
                      <w:pPr>
                        <w:spacing w:line="240" w:lineRule="auto"/>
                        <w:jc w:val="center"/>
                        <w:rPr>
                          <w:rFonts w:ascii="Palatino Linotype" w:hAnsi="Palatino Linotype"/>
                          <w:b/>
                          <w:bCs/>
                          <w:sz w:val="24"/>
                          <w:szCs w:val="24"/>
                        </w:rPr>
                      </w:pPr>
                      <w:r w:rsidRPr="00F71A5D">
                        <w:rPr>
                          <w:rFonts w:ascii="Palatino Linotype" w:hAnsi="Palatino Linotype"/>
                          <w:b/>
                          <w:bCs/>
                          <w:sz w:val="24"/>
                          <w:szCs w:val="24"/>
                        </w:rPr>
                        <w:t>(R</w:t>
                      </w:r>
                      <w:r w:rsidR="00F71A5D" w:rsidRPr="00F71A5D">
                        <w:rPr>
                          <w:rFonts w:ascii="Palatino Linotype" w:hAnsi="Palatino Linotype"/>
                          <w:b/>
                          <w:bCs/>
                          <w:sz w:val="24"/>
                          <w:szCs w:val="24"/>
                        </w:rPr>
                        <w:t>ú</w:t>
                      </w:r>
                      <w:r w:rsidRPr="00F71A5D">
                        <w:rPr>
                          <w:rFonts w:ascii="Palatino Linotype" w:hAnsi="Palatino Linotype"/>
                          <w:b/>
                          <w:bCs/>
                          <w:sz w:val="24"/>
                          <w:szCs w:val="24"/>
                        </w:rPr>
                        <w:t>brica</w:t>
                      </w:r>
                      <w:r w:rsidR="00F71A5D" w:rsidRPr="00F71A5D">
                        <w:rPr>
                          <w:rFonts w:ascii="Palatino Linotype" w:hAnsi="Palatino Linotype"/>
                          <w:b/>
                          <w:bCs/>
                          <w:sz w:val="24"/>
                          <w:szCs w:val="24"/>
                        </w:rPr>
                        <w:t xml:space="preserve">) </w:t>
                      </w: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Pr="00A2443A" w:rsidRDefault="00A459D0" w:rsidP="00A459D0">
      <w:pPr>
        <w:spacing w:before="240"/>
        <w:rPr>
          <w:rFonts w:ascii="Palatino Linotype" w:hAnsi="Palatino Linotype"/>
          <w:b/>
          <w:sz w:val="18"/>
          <w:szCs w:val="18"/>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F71A5D">
                              <w:rPr>
                                <w:rFonts w:ascii="Palatino Linotype" w:hAnsi="Palatino Linotype"/>
                                <w:b/>
                                <w:sz w:val="24"/>
                                <w:szCs w:val="24"/>
                              </w:rPr>
                              <w:t>Ausente en la votación</w:t>
                            </w:r>
                            <w:r>
                              <w:rPr>
                                <w:rFonts w:ascii="Palatino Linotype" w:hAnsi="Palatino Linotype"/>
                                <w:b/>
                                <w:sz w:val="24"/>
                                <w:szCs w:val="24"/>
                              </w:rPr>
                              <w:t>).</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w:t>
                      </w:r>
                      <w:r w:rsidR="00F71A5D">
                        <w:rPr>
                          <w:rFonts w:ascii="Palatino Linotype" w:hAnsi="Palatino Linotype"/>
                          <w:b/>
                          <w:sz w:val="24"/>
                          <w:szCs w:val="24"/>
                        </w:rPr>
                        <w:t>Ausente en la votación</w:t>
                      </w:r>
                      <w:r>
                        <w:rPr>
                          <w:rFonts w:ascii="Palatino Linotype" w:hAnsi="Palatino Linotype"/>
                          <w:b/>
                          <w:sz w:val="24"/>
                          <w:szCs w:val="24"/>
                        </w:rPr>
                        <w:t>).</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F71A5D" w:rsidRPr="00F71A5D" w:rsidRDefault="00F71A5D" w:rsidP="00F71A5D">
                            <w:pPr>
                              <w:spacing w:line="240" w:lineRule="auto"/>
                              <w:jc w:val="center"/>
                              <w:rPr>
                                <w:rFonts w:ascii="Palatino Linotype" w:hAnsi="Palatino Linotype"/>
                                <w:b/>
                                <w:bCs/>
                                <w:sz w:val="24"/>
                                <w:szCs w:val="24"/>
                              </w:rPr>
                            </w:pPr>
                            <w:r w:rsidRPr="00F71A5D">
                              <w:rPr>
                                <w:rFonts w:ascii="Palatino Linotype" w:hAnsi="Palatino Linotype"/>
                                <w:b/>
                                <w:bCs/>
                                <w:sz w:val="24"/>
                                <w:szCs w:val="24"/>
                              </w:rPr>
                              <w:t xml:space="preserve">(Rúbrica) </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F71A5D" w:rsidRPr="00F71A5D" w:rsidRDefault="00F71A5D" w:rsidP="00F71A5D">
                      <w:pPr>
                        <w:spacing w:line="240" w:lineRule="auto"/>
                        <w:jc w:val="center"/>
                        <w:rPr>
                          <w:rFonts w:ascii="Palatino Linotype" w:hAnsi="Palatino Linotype"/>
                          <w:b/>
                          <w:bCs/>
                          <w:sz w:val="24"/>
                          <w:szCs w:val="24"/>
                        </w:rPr>
                      </w:pPr>
                      <w:r w:rsidRPr="00F71A5D">
                        <w:rPr>
                          <w:rFonts w:ascii="Palatino Linotype" w:hAnsi="Palatino Linotype"/>
                          <w:b/>
                          <w:bCs/>
                          <w:sz w:val="24"/>
                          <w:szCs w:val="24"/>
                        </w:rPr>
                        <w:t xml:space="preserve">(Rúbrica) </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71A5D" w:rsidRPr="00F71A5D" w:rsidRDefault="00F71A5D" w:rsidP="00F71A5D">
                            <w:pPr>
                              <w:spacing w:line="240" w:lineRule="auto"/>
                              <w:jc w:val="center"/>
                              <w:rPr>
                                <w:rFonts w:ascii="Palatino Linotype" w:hAnsi="Palatino Linotype"/>
                                <w:b/>
                                <w:bCs/>
                                <w:sz w:val="24"/>
                                <w:szCs w:val="24"/>
                              </w:rPr>
                            </w:pPr>
                            <w:r w:rsidRPr="00F71A5D">
                              <w:rPr>
                                <w:rFonts w:ascii="Palatino Linotype" w:hAnsi="Palatino Linotype"/>
                                <w:b/>
                                <w:bCs/>
                                <w:sz w:val="24"/>
                                <w:szCs w:val="24"/>
                              </w:rPr>
                              <w:t xml:space="preserve">(Rúbrica) </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71A5D" w:rsidRPr="00F71A5D" w:rsidRDefault="00F71A5D" w:rsidP="00F71A5D">
                      <w:pPr>
                        <w:spacing w:line="240" w:lineRule="auto"/>
                        <w:jc w:val="center"/>
                        <w:rPr>
                          <w:rFonts w:ascii="Palatino Linotype" w:hAnsi="Palatino Linotype"/>
                          <w:b/>
                          <w:bCs/>
                          <w:sz w:val="24"/>
                          <w:szCs w:val="24"/>
                        </w:rPr>
                      </w:pPr>
                      <w:r w:rsidRPr="00F71A5D">
                        <w:rPr>
                          <w:rFonts w:ascii="Palatino Linotype" w:hAnsi="Palatino Linotype"/>
                          <w:b/>
                          <w:bCs/>
                          <w:sz w:val="24"/>
                          <w:szCs w:val="24"/>
                        </w:rPr>
                        <w:t xml:space="preserve">(Rúbrica) </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71A5D" w:rsidRPr="00F71A5D" w:rsidRDefault="00F71A5D" w:rsidP="00F71A5D">
                            <w:pPr>
                              <w:spacing w:line="240" w:lineRule="auto"/>
                              <w:jc w:val="center"/>
                              <w:rPr>
                                <w:rFonts w:ascii="Palatino Linotype" w:hAnsi="Palatino Linotype"/>
                                <w:b/>
                                <w:bCs/>
                                <w:sz w:val="24"/>
                                <w:szCs w:val="24"/>
                              </w:rPr>
                            </w:pPr>
                            <w:r w:rsidRPr="00F71A5D">
                              <w:rPr>
                                <w:rFonts w:ascii="Palatino Linotype" w:hAnsi="Palatino Linotype"/>
                                <w:b/>
                                <w:bCs/>
                                <w:sz w:val="24"/>
                                <w:szCs w:val="24"/>
                              </w:rPr>
                              <w:t xml:space="preserve">(Rúbrica) </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71A5D" w:rsidRPr="00F71A5D" w:rsidRDefault="00F71A5D" w:rsidP="00F71A5D">
                      <w:pPr>
                        <w:spacing w:line="240" w:lineRule="auto"/>
                        <w:jc w:val="center"/>
                        <w:rPr>
                          <w:rFonts w:ascii="Palatino Linotype" w:hAnsi="Palatino Linotype"/>
                          <w:b/>
                          <w:bCs/>
                          <w:sz w:val="24"/>
                          <w:szCs w:val="24"/>
                        </w:rPr>
                      </w:pPr>
                      <w:r w:rsidRPr="00F71A5D">
                        <w:rPr>
                          <w:rFonts w:ascii="Palatino Linotype" w:hAnsi="Palatino Linotype"/>
                          <w:b/>
                          <w:bCs/>
                          <w:sz w:val="24"/>
                          <w:szCs w:val="24"/>
                        </w:rPr>
                        <w:t xml:space="preserve">(Rúbrica) </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71A5D" w:rsidRPr="00F71A5D" w:rsidRDefault="00F71A5D" w:rsidP="00F71A5D">
                            <w:pPr>
                              <w:spacing w:line="240" w:lineRule="auto"/>
                              <w:jc w:val="center"/>
                              <w:rPr>
                                <w:rFonts w:ascii="Palatino Linotype" w:hAnsi="Palatino Linotype"/>
                                <w:b/>
                                <w:bCs/>
                                <w:sz w:val="24"/>
                                <w:szCs w:val="24"/>
                              </w:rPr>
                            </w:pPr>
                            <w:r w:rsidRPr="00F71A5D">
                              <w:rPr>
                                <w:rFonts w:ascii="Palatino Linotype" w:hAnsi="Palatino Linotype"/>
                                <w:b/>
                                <w:bCs/>
                                <w:sz w:val="24"/>
                                <w:szCs w:val="24"/>
                              </w:rPr>
                              <w:t xml:space="preserve">(Rúbrica) </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C8DC4"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71A5D" w:rsidRPr="00F71A5D" w:rsidRDefault="00F71A5D" w:rsidP="00F71A5D">
                      <w:pPr>
                        <w:spacing w:line="240" w:lineRule="auto"/>
                        <w:jc w:val="center"/>
                        <w:rPr>
                          <w:rFonts w:ascii="Palatino Linotype" w:hAnsi="Palatino Linotype"/>
                          <w:b/>
                          <w:bCs/>
                          <w:sz w:val="24"/>
                          <w:szCs w:val="24"/>
                        </w:rPr>
                      </w:pPr>
                      <w:r w:rsidRPr="00F71A5D">
                        <w:rPr>
                          <w:rFonts w:ascii="Palatino Linotype" w:hAnsi="Palatino Linotype"/>
                          <w:b/>
                          <w:bCs/>
                          <w:sz w:val="24"/>
                          <w:szCs w:val="24"/>
                        </w:rPr>
                        <w:t xml:space="preserve">(Rúbrica) </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A2443A" w:rsidRDefault="00A459D0" w:rsidP="00634EE7">
      <w:pPr>
        <w:spacing w:after="0" w:line="240" w:lineRule="auto"/>
        <w:jc w:val="both"/>
        <w:rPr>
          <w:rFonts w:ascii="Palatino Linotype" w:hAnsi="Palatino Linotype" w:cs="Arial"/>
        </w:rPr>
      </w:pPr>
      <w:r w:rsidRPr="00A2443A">
        <w:rPr>
          <w:rFonts w:ascii="Palatino Linotype" w:hAnsi="Palatino Linotype" w:cs="Arial"/>
        </w:rPr>
        <w:t xml:space="preserve">Esta hoja corresponde a la resolución de fecha </w:t>
      </w:r>
      <w:r w:rsidR="0055269E">
        <w:rPr>
          <w:rFonts w:ascii="Palatino Linotype" w:hAnsi="Palatino Linotype" w:cs="Arial"/>
        </w:rPr>
        <w:t>dos de octubre</w:t>
      </w:r>
      <w:r w:rsidR="0035772D" w:rsidRPr="00A2443A">
        <w:rPr>
          <w:rFonts w:ascii="Palatino Linotype" w:hAnsi="Palatino Linotype" w:cs="Arial"/>
        </w:rPr>
        <w:t xml:space="preserve"> de dos mil diecinueve</w:t>
      </w:r>
      <w:r w:rsidRPr="00A2443A">
        <w:rPr>
          <w:rFonts w:ascii="Palatino Linotype" w:hAnsi="Palatino Linotype" w:cs="Arial"/>
        </w:rPr>
        <w:t xml:space="preserve">, emitida en el recurso de revisión </w:t>
      </w:r>
      <w:r w:rsidR="00A2443A">
        <w:rPr>
          <w:rFonts w:ascii="Palatino Linotype" w:hAnsi="Palatino Linotype" w:cs="Arial"/>
          <w:bCs/>
          <w:lang w:eastAsia="es-MX"/>
        </w:rPr>
        <w:t>0</w:t>
      </w:r>
      <w:r w:rsidR="0055269E">
        <w:rPr>
          <w:rFonts w:ascii="Palatino Linotype" w:hAnsi="Palatino Linotype" w:cs="Arial"/>
          <w:bCs/>
          <w:lang w:eastAsia="es-MX"/>
        </w:rPr>
        <w:t>6270</w:t>
      </w:r>
      <w:r w:rsidR="00A2443A">
        <w:rPr>
          <w:rFonts w:ascii="Palatino Linotype" w:hAnsi="Palatino Linotype" w:cs="Arial"/>
          <w:bCs/>
          <w:lang w:eastAsia="es-MX"/>
        </w:rPr>
        <w:t>/INFOEM/IP/RR/2019</w:t>
      </w:r>
      <w:r w:rsidRPr="00A2443A">
        <w:rPr>
          <w:rFonts w:ascii="Palatino Linotype" w:hAnsi="Palatino Linotype" w:cs="Arial"/>
        </w:rPr>
        <w:t>.</w:t>
      </w:r>
    </w:p>
    <w:p w:rsidR="00A459D0" w:rsidRPr="00A2443A" w:rsidRDefault="008113C9" w:rsidP="00634EE7">
      <w:pPr>
        <w:spacing w:after="0"/>
        <w:rPr>
          <w:rFonts w:ascii="Palatino Linotype" w:hAnsi="Palatino Linotype"/>
        </w:rPr>
      </w:pPr>
      <w:r w:rsidRPr="00A2443A">
        <w:rPr>
          <w:rFonts w:ascii="Palatino Linotype" w:hAnsi="Palatino Linotype"/>
        </w:rPr>
        <w:t>ZMS/OSAM/MAEM</w:t>
      </w:r>
    </w:p>
    <w:sectPr w:rsidR="00A459D0" w:rsidRPr="00A2443A" w:rsidSect="00E15E85">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CA9" w:rsidRDefault="00EB4CA9" w:rsidP="00E15E85">
      <w:pPr>
        <w:spacing w:after="0" w:line="240" w:lineRule="auto"/>
      </w:pPr>
      <w:r>
        <w:separator/>
      </w:r>
    </w:p>
  </w:endnote>
  <w:endnote w:type="continuationSeparator" w:id="0">
    <w:p w:rsidR="00EB4CA9" w:rsidRDefault="00EB4CA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1CD" w:rsidRDefault="009C21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21C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21CD">
      <w:rPr>
        <w:rFonts w:ascii="Palatino Linotype" w:hAnsi="Palatino Linotype"/>
        <w:bCs/>
        <w:noProof/>
        <w:sz w:val="20"/>
      </w:rPr>
      <w:t>26</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75F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75F6">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CA9" w:rsidRDefault="00EB4CA9" w:rsidP="00E15E85">
      <w:pPr>
        <w:spacing w:after="0" w:line="240" w:lineRule="auto"/>
      </w:pPr>
      <w:r>
        <w:separator/>
      </w:r>
    </w:p>
  </w:footnote>
  <w:footnote w:type="continuationSeparator" w:id="0">
    <w:p w:rsidR="00EB4CA9" w:rsidRDefault="00EB4CA9"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67006" w:rsidRPr="00F67006" w:rsidRDefault="00F67006" w:rsidP="00221675">
      <w:pPr>
        <w:pStyle w:val="Textonotapie"/>
        <w:spacing w:before="240" w:line="276" w:lineRule="auto"/>
        <w:jc w:val="both"/>
        <w:rPr>
          <w:rFonts w:ascii="Arial" w:hAnsi="Arial" w:cs="Arial"/>
        </w:rPr>
      </w:pPr>
      <w:r w:rsidRPr="00F67006">
        <w:rPr>
          <w:rStyle w:val="Refdenotaalpie"/>
          <w:rFonts w:ascii="Arial" w:hAnsi="Arial" w:cs="Arial"/>
          <w:sz w:val="18"/>
        </w:rPr>
        <w:footnoteRef/>
      </w:r>
      <w:r w:rsidRPr="00F67006">
        <w:rPr>
          <w:rFonts w:ascii="Arial" w:hAnsi="Arial" w:cs="Arial"/>
          <w:sz w:val="18"/>
        </w:rPr>
        <w:t xml:space="preserve"> Artículo 18. Los sujetos obligados deberán documentar todo acto que derive del ejercicio de sus facultades, competencias o funciones, considerando desde su origen la eventual publicidad y reutilización de la información que generen.</w:t>
      </w:r>
    </w:p>
  </w:footnote>
  <w:footnote w:id="3">
    <w:p w:rsidR="00980E01" w:rsidRPr="00F36995" w:rsidRDefault="00980E01" w:rsidP="00980E01">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rsidR="00980E01" w:rsidRPr="00F36995" w:rsidRDefault="00980E01" w:rsidP="00980E01">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1CD" w:rsidRDefault="009C21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A334B2" w:rsidP="00F65A7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E52E57">
            <w:rPr>
              <w:rFonts w:ascii="Palatino Linotype" w:hAnsi="Palatino Linotype" w:cs="Arial"/>
              <w:bCs/>
              <w:sz w:val="24"/>
              <w:lang w:eastAsia="es-MX"/>
            </w:rPr>
            <w:t>6270</w:t>
          </w:r>
          <w:r w:rsidR="007506D4">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E52E57" w:rsidP="00E15E85">
          <w:pPr>
            <w:spacing w:after="120" w:line="256" w:lineRule="auto"/>
            <w:ind w:left="-486" w:right="214" w:firstLine="284"/>
            <w:jc w:val="right"/>
            <w:rPr>
              <w:rFonts w:ascii="Palatino Linotype" w:hAnsi="Palatino Linotype" w:cs="Arial"/>
              <w:szCs w:val="20"/>
            </w:rPr>
          </w:pPr>
          <w:r w:rsidRPr="00E52E57">
            <w:rPr>
              <w:rFonts w:ascii="Palatino Linotype" w:hAnsi="Palatino Linotype" w:cs="Arial"/>
              <w:szCs w:val="20"/>
            </w:rPr>
            <w:t xml:space="preserve">Ayuntamiento </w:t>
          </w:r>
          <w:bookmarkStart w:id="0" w:name="_GoBack"/>
          <w:r w:rsidRPr="00E52E57">
            <w:rPr>
              <w:rFonts w:ascii="Palatino Linotype" w:hAnsi="Palatino Linotype" w:cs="Arial"/>
              <w:szCs w:val="20"/>
            </w:rPr>
            <w:t xml:space="preserve">de </w:t>
          </w:r>
          <w:bookmarkEnd w:id="0"/>
          <w:r w:rsidRPr="00E52E57">
            <w:rPr>
              <w:rFonts w:ascii="Palatino Linotype" w:hAnsi="Palatino Linotype" w:cs="Arial"/>
              <w:szCs w:val="20"/>
            </w:rPr>
            <w:t>Nezahualcóyotl</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A334B2"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E52E57">
            <w:rPr>
              <w:rFonts w:ascii="Palatino Linotype" w:hAnsi="Palatino Linotype" w:cs="Arial"/>
              <w:bCs/>
              <w:sz w:val="24"/>
              <w:lang w:eastAsia="es-MX"/>
            </w:rPr>
            <w:t>6270</w:t>
          </w:r>
          <w:r w:rsidR="007506D4">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DF7B94"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E52E57" w:rsidP="0015550A">
          <w:pPr>
            <w:spacing w:after="120" w:line="256" w:lineRule="auto"/>
            <w:ind w:left="-495" w:right="214" w:firstLine="567"/>
            <w:jc w:val="right"/>
            <w:rPr>
              <w:rFonts w:ascii="Palatino Linotype" w:hAnsi="Palatino Linotype" w:cs="Arial"/>
              <w:szCs w:val="20"/>
            </w:rPr>
          </w:pPr>
          <w:r w:rsidRPr="00E52E57">
            <w:rPr>
              <w:rFonts w:ascii="Palatino Linotype" w:hAnsi="Palatino Linotype" w:cs="Arial"/>
              <w:szCs w:val="20"/>
            </w:rPr>
            <w:t>Ayuntamiento de Nezahualcóyotl</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776DE"/>
    <w:multiLevelType w:val="hybridMultilevel"/>
    <w:tmpl w:val="3E36F1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EC0428"/>
    <w:multiLevelType w:val="hybridMultilevel"/>
    <w:tmpl w:val="1EC4A93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66E53512"/>
    <w:multiLevelType w:val="hybridMultilevel"/>
    <w:tmpl w:val="8168FEB2"/>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ACF2AAD"/>
    <w:multiLevelType w:val="hybridMultilevel"/>
    <w:tmpl w:val="AF34CD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8"/>
  </w:num>
  <w:num w:numId="5">
    <w:abstractNumId w:val="7"/>
  </w:num>
  <w:num w:numId="6">
    <w:abstractNumId w:val="0"/>
  </w:num>
  <w:num w:numId="7">
    <w:abstractNumId w:val="5"/>
  </w:num>
  <w:num w:numId="8">
    <w:abstractNumId w:val="3"/>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1A9"/>
    <w:rsid w:val="0001078E"/>
    <w:rsid w:val="0003050E"/>
    <w:rsid w:val="00035F8F"/>
    <w:rsid w:val="00040448"/>
    <w:rsid w:val="00041425"/>
    <w:rsid w:val="00041AE5"/>
    <w:rsid w:val="0004795A"/>
    <w:rsid w:val="00053ED1"/>
    <w:rsid w:val="00062CBD"/>
    <w:rsid w:val="00073973"/>
    <w:rsid w:val="00074A99"/>
    <w:rsid w:val="00076643"/>
    <w:rsid w:val="00080399"/>
    <w:rsid w:val="00082DF3"/>
    <w:rsid w:val="00091D98"/>
    <w:rsid w:val="000A0409"/>
    <w:rsid w:val="000C22EC"/>
    <w:rsid w:val="000C59EE"/>
    <w:rsid w:val="000F019E"/>
    <w:rsid w:val="001140CF"/>
    <w:rsid w:val="0011750A"/>
    <w:rsid w:val="0012266D"/>
    <w:rsid w:val="00130D58"/>
    <w:rsid w:val="00131400"/>
    <w:rsid w:val="0015550A"/>
    <w:rsid w:val="00171BD5"/>
    <w:rsid w:val="00181DB7"/>
    <w:rsid w:val="00183623"/>
    <w:rsid w:val="001A6D6B"/>
    <w:rsid w:val="001A7DEB"/>
    <w:rsid w:val="001B066D"/>
    <w:rsid w:val="001B3E5E"/>
    <w:rsid w:val="001B4D8F"/>
    <w:rsid w:val="001C28D0"/>
    <w:rsid w:val="001C3E01"/>
    <w:rsid w:val="001C3F41"/>
    <w:rsid w:val="001C7069"/>
    <w:rsid w:val="0020079C"/>
    <w:rsid w:val="002052F6"/>
    <w:rsid w:val="00217E99"/>
    <w:rsid w:val="00221675"/>
    <w:rsid w:val="00223C2F"/>
    <w:rsid w:val="00224181"/>
    <w:rsid w:val="00233D51"/>
    <w:rsid w:val="00240133"/>
    <w:rsid w:val="002606F0"/>
    <w:rsid w:val="0026534C"/>
    <w:rsid w:val="0026693B"/>
    <w:rsid w:val="002677ED"/>
    <w:rsid w:val="00283814"/>
    <w:rsid w:val="00287512"/>
    <w:rsid w:val="002902D7"/>
    <w:rsid w:val="00294223"/>
    <w:rsid w:val="00294D34"/>
    <w:rsid w:val="002971B0"/>
    <w:rsid w:val="002A1820"/>
    <w:rsid w:val="002A30B2"/>
    <w:rsid w:val="002A4969"/>
    <w:rsid w:val="002A6F17"/>
    <w:rsid w:val="002A7D0D"/>
    <w:rsid w:val="002B067A"/>
    <w:rsid w:val="002B144D"/>
    <w:rsid w:val="002B2EF6"/>
    <w:rsid w:val="003011A8"/>
    <w:rsid w:val="003034F4"/>
    <w:rsid w:val="00316568"/>
    <w:rsid w:val="00317B8A"/>
    <w:rsid w:val="003278DE"/>
    <w:rsid w:val="003301AD"/>
    <w:rsid w:val="00330A95"/>
    <w:rsid w:val="00333F5E"/>
    <w:rsid w:val="003341B0"/>
    <w:rsid w:val="00334E11"/>
    <w:rsid w:val="003402E5"/>
    <w:rsid w:val="00342A59"/>
    <w:rsid w:val="00343DCB"/>
    <w:rsid w:val="0034696E"/>
    <w:rsid w:val="003470B1"/>
    <w:rsid w:val="003474F2"/>
    <w:rsid w:val="0035772D"/>
    <w:rsid w:val="00357BFC"/>
    <w:rsid w:val="00385299"/>
    <w:rsid w:val="0039084D"/>
    <w:rsid w:val="003B465B"/>
    <w:rsid w:val="003C5897"/>
    <w:rsid w:val="0040091A"/>
    <w:rsid w:val="004153D1"/>
    <w:rsid w:val="00424593"/>
    <w:rsid w:val="004254FE"/>
    <w:rsid w:val="00437C82"/>
    <w:rsid w:val="00463442"/>
    <w:rsid w:val="00467084"/>
    <w:rsid w:val="00492244"/>
    <w:rsid w:val="004A2BFB"/>
    <w:rsid w:val="004C2643"/>
    <w:rsid w:val="004C3693"/>
    <w:rsid w:val="004C4A2F"/>
    <w:rsid w:val="004E6DB3"/>
    <w:rsid w:val="004F05B2"/>
    <w:rsid w:val="00502B15"/>
    <w:rsid w:val="00505DE1"/>
    <w:rsid w:val="00511C94"/>
    <w:rsid w:val="005205B0"/>
    <w:rsid w:val="00523067"/>
    <w:rsid w:val="00527856"/>
    <w:rsid w:val="00527C6A"/>
    <w:rsid w:val="005329E8"/>
    <w:rsid w:val="00544713"/>
    <w:rsid w:val="0054482E"/>
    <w:rsid w:val="0055269E"/>
    <w:rsid w:val="005664F0"/>
    <w:rsid w:val="005731B2"/>
    <w:rsid w:val="005733EB"/>
    <w:rsid w:val="0057576D"/>
    <w:rsid w:val="005872D8"/>
    <w:rsid w:val="005D436D"/>
    <w:rsid w:val="00611799"/>
    <w:rsid w:val="00614FDD"/>
    <w:rsid w:val="00616784"/>
    <w:rsid w:val="00631B59"/>
    <w:rsid w:val="00634EE7"/>
    <w:rsid w:val="006435D1"/>
    <w:rsid w:val="00644741"/>
    <w:rsid w:val="00653B08"/>
    <w:rsid w:val="00654B56"/>
    <w:rsid w:val="00666702"/>
    <w:rsid w:val="00671352"/>
    <w:rsid w:val="00673CFD"/>
    <w:rsid w:val="006B0BCB"/>
    <w:rsid w:val="006B2E10"/>
    <w:rsid w:val="006C1A4F"/>
    <w:rsid w:val="006F2EA8"/>
    <w:rsid w:val="00707CD8"/>
    <w:rsid w:val="00713C1A"/>
    <w:rsid w:val="0071620F"/>
    <w:rsid w:val="007175F6"/>
    <w:rsid w:val="00725936"/>
    <w:rsid w:val="00745D33"/>
    <w:rsid w:val="007506D4"/>
    <w:rsid w:val="00755099"/>
    <w:rsid w:val="0079194D"/>
    <w:rsid w:val="007A0267"/>
    <w:rsid w:val="007A23DB"/>
    <w:rsid w:val="007C1445"/>
    <w:rsid w:val="007D276C"/>
    <w:rsid w:val="007D48FA"/>
    <w:rsid w:val="007D62B3"/>
    <w:rsid w:val="007E2959"/>
    <w:rsid w:val="007E7911"/>
    <w:rsid w:val="008055D5"/>
    <w:rsid w:val="008113C9"/>
    <w:rsid w:val="00845C1C"/>
    <w:rsid w:val="00857A08"/>
    <w:rsid w:val="00872278"/>
    <w:rsid w:val="00875499"/>
    <w:rsid w:val="00881696"/>
    <w:rsid w:val="00881D0D"/>
    <w:rsid w:val="00893740"/>
    <w:rsid w:val="0089377B"/>
    <w:rsid w:val="00894448"/>
    <w:rsid w:val="008A12F6"/>
    <w:rsid w:val="008B34EC"/>
    <w:rsid w:val="008E0E21"/>
    <w:rsid w:val="008E5141"/>
    <w:rsid w:val="008F42AE"/>
    <w:rsid w:val="008F7A52"/>
    <w:rsid w:val="0091725C"/>
    <w:rsid w:val="009278F2"/>
    <w:rsid w:val="00943223"/>
    <w:rsid w:val="0094613F"/>
    <w:rsid w:val="00976A65"/>
    <w:rsid w:val="00980401"/>
    <w:rsid w:val="00980E01"/>
    <w:rsid w:val="009838CD"/>
    <w:rsid w:val="00991CC2"/>
    <w:rsid w:val="00994336"/>
    <w:rsid w:val="00997030"/>
    <w:rsid w:val="009B76BF"/>
    <w:rsid w:val="009C21CD"/>
    <w:rsid w:val="009C75A5"/>
    <w:rsid w:val="009E3B36"/>
    <w:rsid w:val="009F7948"/>
    <w:rsid w:val="00A0104B"/>
    <w:rsid w:val="00A2443A"/>
    <w:rsid w:val="00A24DE0"/>
    <w:rsid w:val="00A334B2"/>
    <w:rsid w:val="00A459D0"/>
    <w:rsid w:val="00A70873"/>
    <w:rsid w:val="00A92C85"/>
    <w:rsid w:val="00A948EF"/>
    <w:rsid w:val="00A97BA2"/>
    <w:rsid w:val="00AA2CB1"/>
    <w:rsid w:val="00AC1D50"/>
    <w:rsid w:val="00AC7375"/>
    <w:rsid w:val="00B05080"/>
    <w:rsid w:val="00B052B4"/>
    <w:rsid w:val="00B10B28"/>
    <w:rsid w:val="00B131CC"/>
    <w:rsid w:val="00B17A1D"/>
    <w:rsid w:val="00B258A2"/>
    <w:rsid w:val="00B34A6D"/>
    <w:rsid w:val="00B355AB"/>
    <w:rsid w:val="00B42B5D"/>
    <w:rsid w:val="00B44BB1"/>
    <w:rsid w:val="00B50BD7"/>
    <w:rsid w:val="00B51395"/>
    <w:rsid w:val="00B54578"/>
    <w:rsid w:val="00B67466"/>
    <w:rsid w:val="00B74369"/>
    <w:rsid w:val="00B867D8"/>
    <w:rsid w:val="00B941D4"/>
    <w:rsid w:val="00BA2458"/>
    <w:rsid w:val="00BA68FA"/>
    <w:rsid w:val="00BC1280"/>
    <w:rsid w:val="00BC1C0A"/>
    <w:rsid w:val="00BC4EF7"/>
    <w:rsid w:val="00BD12C0"/>
    <w:rsid w:val="00BE7547"/>
    <w:rsid w:val="00C12A4D"/>
    <w:rsid w:val="00C13555"/>
    <w:rsid w:val="00C16071"/>
    <w:rsid w:val="00C203E8"/>
    <w:rsid w:val="00C25BA8"/>
    <w:rsid w:val="00C56C4E"/>
    <w:rsid w:val="00C6478B"/>
    <w:rsid w:val="00C64C22"/>
    <w:rsid w:val="00C66E70"/>
    <w:rsid w:val="00C77DFD"/>
    <w:rsid w:val="00C80AEF"/>
    <w:rsid w:val="00CD443D"/>
    <w:rsid w:val="00CE10AB"/>
    <w:rsid w:val="00D01D6A"/>
    <w:rsid w:val="00D120B9"/>
    <w:rsid w:val="00D35E6F"/>
    <w:rsid w:val="00D43FD0"/>
    <w:rsid w:val="00D528A6"/>
    <w:rsid w:val="00D53A20"/>
    <w:rsid w:val="00D56BC3"/>
    <w:rsid w:val="00D63D7A"/>
    <w:rsid w:val="00D67629"/>
    <w:rsid w:val="00D70FE3"/>
    <w:rsid w:val="00D8485C"/>
    <w:rsid w:val="00D85062"/>
    <w:rsid w:val="00D9010D"/>
    <w:rsid w:val="00D95936"/>
    <w:rsid w:val="00DB584E"/>
    <w:rsid w:val="00DC3B85"/>
    <w:rsid w:val="00DD0124"/>
    <w:rsid w:val="00DD13E2"/>
    <w:rsid w:val="00DF7B94"/>
    <w:rsid w:val="00E10DEE"/>
    <w:rsid w:val="00E158AD"/>
    <w:rsid w:val="00E1599C"/>
    <w:rsid w:val="00E15E85"/>
    <w:rsid w:val="00E16AC8"/>
    <w:rsid w:val="00E16E87"/>
    <w:rsid w:val="00E221C1"/>
    <w:rsid w:val="00E30AF5"/>
    <w:rsid w:val="00E34874"/>
    <w:rsid w:val="00E372DA"/>
    <w:rsid w:val="00E44464"/>
    <w:rsid w:val="00E52E57"/>
    <w:rsid w:val="00E74078"/>
    <w:rsid w:val="00E85DB7"/>
    <w:rsid w:val="00E87E34"/>
    <w:rsid w:val="00E92E34"/>
    <w:rsid w:val="00EA0D06"/>
    <w:rsid w:val="00EA4B96"/>
    <w:rsid w:val="00EB4CA9"/>
    <w:rsid w:val="00EC601F"/>
    <w:rsid w:val="00ED3DC4"/>
    <w:rsid w:val="00ED466F"/>
    <w:rsid w:val="00EE5CB5"/>
    <w:rsid w:val="00EE7BCC"/>
    <w:rsid w:val="00EF2AE9"/>
    <w:rsid w:val="00F433DC"/>
    <w:rsid w:val="00F65A70"/>
    <w:rsid w:val="00F67006"/>
    <w:rsid w:val="00F67CE2"/>
    <w:rsid w:val="00F71A5D"/>
    <w:rsid w:val="00F812A0"/>
    <w:rsid w:val="00F93B4C"/>
    <w:rsid w:val="00F9756D"/>
    <w:rsid w:val="00FA1D2B"/>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A0F45F-A31A-4BAD-A4DC-8AE3D5BE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5872D8"/>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5872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5872D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435D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435D1"/>
    <w:rPr>
      <w:sz w:val="20"/>
      <w:szCs w:val="20"/>
    </w:rPr>
  </w:style>
  <w:style w:type="character" w:customStyle="1" w:styleId="Ttulo1Car">
    <w:name w:val="Título 1 Car"/>
    <w:basedOn w:val="Fuentedeprrafopredeter"/>
    <w:link w:val="Ttulo1"/>
    <w:uiPriority w:val="9"/>
    <w:rsid w:val="005872D8"/>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5872D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5872D8"/>
    <w:rPr>
      <w:rFonts w:ascii="Times New Roman" w:eastAsia="Times New Roman" w:hAnsi="Times New Roman" w:cs="Times New Roman"/>
      <w:b/>
      <w:bCs/>
      <w:sz w:val="24"/>
      <w:szCs w:val="24"/>
      <w:lang w:eastAsia="es-MX"/>
    </w:rPr>
  </w:style>
  <w:style w:type="paragraph" w:customStyle="1" w:styleId="Default">
    <w:name w:val="Default"/>
    <w:rsid w:val="005872D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872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2D8"/>
    <w:rPr>
      <w:rFonts w:ascii="Segoe UI" w:hAnsi="Segoe UI" w:cs="Segoe UI"/>
      <w:sz w:val="18"/>
      <w:szCs w:val="18"/>
    </w:rPr>
  </w:style>
  <w:style w:type="character" w:styleId="Refdecomentario">
    <w:name w:val="annotation reference"/>
    <w:basedOn w:val="Fuentedeprrafopredeter"/>
    <w:uiPriority w:val="99"/>
    <w:semiHidden/>
    <w:unhideWhenUsed/>
    <w:rsid w:val="005872D8"/>
    <w:rPr>
      <w:sz w:val="16"/>
      <w:szCs w:val="16"/>
    </w:rPr>
  </w:style>
  <w:style w:type="paragraph" w:styleId="Textocomentario">
    <w:name w:val="annotation text"/>
    <w:basedOn w:val="Normal"/>
    <w:link w:val="TextocomentarioCar"/>
    <w:uiPriority w:val="99"/>
    <w:semiHidden/>
    <w:unhideWhenUsed/>
    <w:rsid w:val="005872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72D8"/>
    <w:rPr>
      <w:sz w:val="20"/>
      <w:szCs w:val="20"/>
    </w:rPr>
  </w:style>
  <w:style w:type="paragraph" w:styleId="Asuntodelcomentario">
    <w:name w:val="annotation subject"/>
    <w:basedOn w:val="Textocomentario"/>
    <w:next w:val="Textocomentario"/>
    <w:link w:val="AsuntodelcomentarioCar"/>
    <w:uiPriority w:val="99"/>
    <w:semiHidden/>
    <w:unhideWhenUsed/>
    <w:rsid w:val="005872D8"/>
    <w:rPr>
      <w:b/>
      <w:bCs/>
    </w:rPr>
  </w:style>
  <w:style w:type="character" w:customStyle="1" w:styleId="AsuntodelcomentarioCar">
    <w:name w:val="Asunto del comentario Car"/>
    <w:basedOn w:val="TextocomentarioCar"/>
    <w:link w:val="Asuntodelcomentario"/>
    <w:uiPriority w:val="99"/>
    <w:semiHidden/>
    <w:rsid w:val="005872D8"/>
    <w:rPr>
      <w:b/>
      <w:bCs/>
      <w:sz w:val="20"/>
      <w:szCs w:val="20"/>
    </w:rPr>
  </w:style>
  <w:style w:type="paragraph" w:styleId="Revisin">
    <w:name w:val="Revision"/>
    <w:hidden/>
    <w:uiPriority w:val="99"/>
    <w:semiHidden/>
    <w:rsid w:val="005872D8"/>
    <w:pPr>
      <w:spacing w:after="0" w:line="240" w:lineRule="auto"/>
    </w:pPr>
  </w:style>
  <w:style w:type="table" w:styleId="Tablaconcuadrcula">
    <w:name w:val="Table Grid"/>
    <w:basedOn w:val="Tablanormal"/>
    <w:uiPriority w:val="39"/>
    <w:rsid w:val="00587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72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5872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872D8"/>
    <w:rPr>
      <w:i/>
      <w:iCs/>
    </w:rPr>
  </w:style>
  <w:style w:type="paragraph" w:customStyle="1" w:styleId="j">
    <w:name w:val="j"/>
    <w:basedOn w:val="Normal"/>
    <w:rsid w:val="005872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872D8"/>
  </w:style>
  <w:style w:type="character" w:customStyle="1" w:styleId="notranslate">
    <w:name w:val="notranslate"/>
    <w:basedOn w:val="Fuentedeprrafopredeter"/>
    <w:rsid w:val="005872D8"/>
  </w:style>
  <w:style w:type="character" w:styleId="Hipervnculovisitado">
    <w:name w:val="FollowedHyperlink"/>
    <w:basedOn w:val="Fuentedeprrafopredeter"/>
    <w:uiPriority w:val="99"/>
    <w:semiHidden/>
    <w:unhideWhenUsed/>
    <w:rsid w:val="00587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80422413">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35329912">
      <w:bodyDiv w:val="1"/>
      <w:marLeft w:val="0"/>
      <w:marRight w:val="0"/>
      <w:marTop w:val="0"/>
      <w:marBottom w:val="0"/>
      <w:divBdr>
        <w:top w:val="none" w:sz="0" w:space="0" w:color="auto"/>
        <w:left w:val="none" w:sz="0" w:space="0" w:color="auto"/>
        <w:bottom w:val="none" w:sz="0" w:space="0" w:color="auto"/>
        <w:right w:val="none" w:sz="0" w:space="0" w:color="auto"/>
      </w:divBdr>
    </w:div>
    <w:div w:id="1038117038">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73778244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10B3F-1991-400E-A4EF-26331C39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6092</Words>
  <Characters>33507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2019-10-04T19:32:00Z</cp:lastPrinted>
  <dcterms:created xsi:type="dcterms:W3CDTF">2019-10-23T18:33:00Z</dcterms:created>
  <dcterms:modified xsi:type="dcterms:W3CDTF">2019-10-23T18:33:00Z</dcterms:modified>
</cp:coreProperties>
</file>