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F67CE2" w:rsidRDefault="00F67CE2" w:rsidP="00F67CE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A2443A">
        <w:rPr>
          <w:rFonts w:ascii="Palatino Linotype" w:eastAsia="Times New Roman" w:hAnsi="Palatino Linotype" w:cs="Arial"/>
          <w:color w:val="000000"/>
          <w:sz w:val="24"/>
          <w:szCs w:val="24"/>
          <w:lang w:eastAsia="es-MX"/>
        </w:rPr>
        <w:t>diez de abril</w:t>
      </w:r>
      <w:r>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334B2">
        <w:rPr>
          <w:rFonts w:ascii="Palatino Linotype" w:hAnsi="Palatino Linotype" w:cs="Arial"/>
          <w:b/>
          <w:bCs/>
          <w:sz w:val="24"/>
          <w:lang w:eastAsia="es-MX"/>
        </w:rPr>
        <w:t>004</w:t>
      </w:r>
      <w:r w:rsidR="007506D4">
        <w:rPr>
          <w:rFonts w:ascii="Palatino Linotype" w:hAnsi="Palatino Linotype" w:cs="Arial"/>
          <w:b/>
          <w:bCs/>
          <w:sz w:val="24"/>
          <w:lang w:eastAsia="es-MX"/>
        </w:rPr>
        <w:t>20/INFOEM/IP/RR/2019</w:t>
      </w:r>
      <w:r>
        <w:rPr>
          <w:rFonts w:ascii="Palatino Linotype" w:hAnsi="Palatino Linotype" w:cs="Arial"/>
          <w:sz w:val="24"/>
        </w:rPr>
        <w:t xml:space="preserve">, </w:t>
      </w:r>
      <w:r w:rsidR="005731B2">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381054">
        <w:rPr>
          <w:rFonts w:ascii="Palatino Linotype" w:hAnsi="Palatino Linotype" w:cs="Arial"/>
          <w:b/>
          <w:sz w:val="24"/>
          <w:szCs w:val="24"/>
        </w:rPr>
        <w:t>XXXX XXXX XXXX</w:t>
      </w:r>
      <w:bookmarkStart w:id="0" w:name="_GoBack"/>
      <w:bookmarkEnd w:id="0"/>
      <w:r w:rsidR="007506D4">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731B2">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1A6D6B">
        <w:rPr>
          <w:rFonts w:ascii="Palatino Linotype" w:hAnsi="Palatino Linotype" w:cs="Arial"/>
          <w:sz w:val="24"/>
        </w:rPr>
        <w:t xml:space="preserve">omisión de la </w:t>
      </w:r>
      <w:r w:rsidR="001A6D6B" w:rsidRPr="00224181">
        <w:rPr>
          <w:rFonts w:ascii="Palatino Linotype" w:hAnsi="Palatino Linotype" w:cs="Arial"/>
          <w:sz w:val="24"/>
        </w:rPr>
        <w:t>respuesta</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A334B2" w:rsidRPr="00A334B2">
        <w:rPr>
          <w:rFonts w:ascii="Palatino Linotype" w:hAnsi="Palatino Linotype" w:cs="Arial"/>
          <w:b/>
          <w:sz w:val="24"/>
          <w:szCs w:val="24"/>
        </w:rPr>
        <w:t>Ayuntamiento de Valle de Bravo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334B2">
        <w:rPr>
          <w:rFonts w:ascii="Palatino Linotype" w:hAnsi="Palatino Linotype" w:cs="Arial"/>
          <w:sz w:val="24"/>
        </w:rPr>
        <w:t>catorce de enero de dos mil diecinueve</w:t>
      </w:r>
      <w:r>
        <w:rPr>
          <w:rFonts w:ascii="Palatino Linotype" w:hAnsi="Palatino Linotype" w:cs="Arial"/>
          <w:sz w:val="24"/>
        </w:rPr>
        <w:t xml:space="preserve">, </w:t>
      </w:r>
      <w:r w:rsidR="00091D98">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334B2" w:rsidRPr="00A334B2">
        <w:rPr>
          <w:rFonts w:ascii="Palatino Linotype" w:hAnsi="Palatino Linotype" w:cs="Arial"/>
          <w:b/>
          <w:sz w:val="24"/>
        </w:rPr>
        <w:t>00005/VABRAVO/IP/2019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334B2" w:rsidRPr="00A334B2">
        <w:rPr>
          <w:rFonts w:ascii="Palatino Linotype" w:hAnsi="Palatino Linotype"/>
          <w:i/>
          <w:color w:val="000000"/>
        </w:rPr>
        <w:t xml:space="preserve">POR MEDIO DEL PRESENTE SOLICITO SE ME INFORME DE LA SOLICITUD O TRAMITE DE LICENCIA DE CONSTRUCCIÓN EN LOS AÑOS 2017, 2018 Y 2019 POR PARTE DEL ARQUITECTO PEDRO OLVERA </w:t>
      </w:r>
      <w:r w:rsidR="00A334B2" w:rsidRPr="00A334B2">
        <w:rPr>
          <w:rFonts w:ascii="Palatino Linotype" w:hAnsi="Palatino Linotype"/>
          <w:i/>
          <w:color w:val="000000"/>
        </w:rPr>
        <w:lastRenderedPageBreak/>
        <w:t>HERNANDEZ COMO ARQUITECTO TITULAR, GESTOR ENCARGADO DE OBRA PROPIETARIO DE CONSTRUCTORA SOCIO DE CONSTRUCTORA O COMO ENCARGADO DE OBRA EN TRAMITE O EN PROCESO DE CONSTRUCCIÓN EN LOS AÑOS 2017, 2018 Y 2019 ESTA INFORMACIÓN REQUIERO SE MEA PROPORCIONADA POR EL CONTADOR MAURICIO OSORIO PRESIDENTE MUNICIPAL DE VALLE DE BRAVO YA QUE EL SUBDIRECTOR MENDIENTA SANCHEZ OCULTA TODA LA INFORMACION REFERENTE AL ARQUITECTO PEDRO OLVERA YA QUE FUE COLABORAR EN LA ADMINISTRACIONDE GABRUIEL OLVERA Y TIENE INTERES PERSONALES Y EXISTE CONFLICTO DE INTERESES SI ES QUE ME CONTESTA EL SUBDIRECTOR MEDIENTE SANCHEZ Y QUE ESTO SE ME CONTESTA BAJO PROTESTA DE DECIR VERDAD YA QUE SI SE ME FALSEA INFORMACION REQUIRIRE A LA CONTRALORÍA INTERNA DE LA LIGISLATURA AL OSFEN ASI COMO A MESA DE RESPONSABILIDADES DE LOS SERVIDORES PÚBLICOS DE LA FISCALIA GENERAL ESTO EN CASO DE FALSEAR INFORMACIÓN</w:t>
      </w:r>
      <w:r w:rsidR="00523067" w:rsidRPr="00523067">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FDD" w:rsidRDefault="00E15E85" w:rsidP="002606F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664F0">
        <w:rPr>
          <w:rFonts w:ascii="Palatino Linotype" w:hAnsi="Palatino Linotype" w:cs="Arial"/>
          <w:sz w:val="24"/>
        </w:rPr>
        <w:t>fue omiso en dar respuesta a la solicitud de información del recurrente.</w:t>
      </w:r>
    </w:p>
    <w:p w:rsidR="00091D98" w:rsidRDefault="00091D98" w:rsidP="002606F0">
      <w:pPr>
        <w:spacing w:before="240" w:line="360" w:lineRule="auto"/>
        <w:jc w:val="both"/>
        <w:rPr>
          <w:rFonts w:ascii="Palatino Linotype" w:hAnsi="Palatino Linotype" w:cs="Arial"/>
          <w:i/>
          <w:sz w:val="24"/>
        </w:rPr>
      </w:pP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5664F0">
        <w:rPr>
          <w:rFonts w:ascii="Palatino Linotype" w:hAnsi="Palatino Linotype" w:cs="Arial"/>
          <w:sz w:val="24"/>
          <w:szCs w:val="24"/>
        </w:rPr>
        <w:t xml:space="preserve"> omisión de</w:t>
      </w:r>
      <w:r w:rsidRPr="00441A94">
        <w:rPr>
          <w:rFonts w:ascii="Palatino Linotype" w:hAnsi="Palatino Linotype" w:cs="Arial"/>
          <w:sz w:val="24"/>
          <w:szCs w:val="24"/>
        </w:rPr>
        <w:t xml:space="preserve">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091D98">
        <w:rPr>
          <w:rFonts w:ascii="Palatino Linotype" w:hAnsi="Palatino Linotype" w:cs="Arial"/>
          <w:sz w:val="24"/>
          <w:szCs w:val="24"/>
        </w:rPr>
        <w:t>l</w:t>
      </w:r>
      <w:r w:rsidR="00091D98">
        <w:rPr>
          <w:rFonts w:ascii="Palatino Linotype" w:hAnsi="Palatino Linotype" w:cs="Arial"/>
          <w:b/>
          <w:sz w:val="24"/>
          <w:szCs w:val="24"/>
        </w:rPr>
        <w:t>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el recurso de revisión, en fecha</w:t>
      </w:r>
      <w:r w:rsidR="005664F0">
        <w:rPr>
          <w:rFonts w:ascii="Palatino Linotype" w:hAnsi="Palatino Linotype" w:cs="Arial"/>
          <w:sz w:val="24"/>
          <w:szCs w:val="24"/>
        </w:rPr>
        <w:t xml:space="preserve"> </w:t>
      </w:r>
      <w:r w:rsidR="00EE7BCC">
        <w:rPr>
          <w:rFonts w:ascii="Palatino Linotype" w:hAnsi="Palatino Linotype" w:cs="Arial"/>
          <w:sz w:val="24"/>
          <w:szCs w:val="24"/>
        </w:rPr>
        <w:t>seis de febrero</w:t>
      </w:r>
      <w:r w:rsidR="007506D4">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w:t>
      </w:r>
      <w:r w:rsidRPr="0096643B">
        <w:rPr>
          <w:rFonts w:ascii="Palatino Linotype" w:hAnsi="Palatino Linotype" w:cs="Arial"/>
          <w:sz w:val="24"/>
          <w:szCs w:val="24"/>
        </w:rPr>
        <w:lastRenderedPageBreak/>
        <w:t>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506D4" w:rsidRPr="007506D4">
        <w:rPr>
          <w:rFonts w:ascii="Palatino Linotype" w:hAnsi="Palatino Linotype" w:cs="Arial"/>
          <w:b/>
          <w:bCs/>
          <w:sz w:val="24"/>
          <w:szCs w:val="24"/>
          <w:lang w:eastAsia="es-MX"/>
        </w:rPr>
        <w:t>00</w:t>
      </w:r>
      <w:r w:rsidR="00EE7BCC">
        <w:rPr>
          <w:rFonts w:ascii="Palatino Linotype" w:hAnsi="Palatino Linotype" w:cs="Arial"/>
          <w:b/>
          <w:bCs/>
          <w:sz w:val="24"/>
          <w:szCs w:val="24"/>
          <w:lang w:eastAsia="es-MX"/>
        </w:rPr>
        <w:t>4</w:t>
      </w:r>
      <w:r w:rsidR="007506D4" w:rsidRPr="007506D4">
        <w:rPr>
          <w:rFonts w:ascii="Palatino Linotype" w:hAnsi="Palatino Linotype" w:cs="Arial"/>
          <w:b/>
          <w:bCs/>
          <w:sz w:val="24"/>
          <w:szCs w:val="24"/>
          <w:lang w:eastAsia="es-MX"/>
        </w:rPr>
        <w:t>20/INFOEM/IP/RR/2019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7506D4">
      <w:pPr>
        <w:spacing w:before="240"/>
        <w:ind w:left="708"/>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7506D4">
      <w:pPr>
        <w:ind w:left="1559" w:right="850"/>
        <w:jc w:val="both"/>
        <w:rPr>
          <w:rFonts w:ascii="Palatino Linotype" w:hAnsi="Palatino Linotype"/>
          <w:i/>
          <w:color w:val="000000"/>
        </w:rPr>
      </w:pPr>
      <w:r w:rsidRPr="00A435E2">
        <w:rPr>
          <w:rFonts w:ascii="Palatino Linotype" w:hAnsi="Palatino Linotype"/>
          <w:i/>
          <w:color w:val="000000"/>
        </w:rPr>
        <w:t>“</w:t>
      </w:r>
      <w:r w:rsidR="00EE7BCC" w:rsidRPr="00EE7BCC">
        <w:rPr>
          <w:rFonts w:ascii="Palatino Linotype" w:hAnsi="Palatino Linotype"/>
          <w:i/>
          <w:color w:val="000000"/>
        </w:rPr>
        <w:t>00005/VABRAVO/IP/2019</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7506D4">
      <w:pPr>
        <w:spacing w:before="240"/>
        <w:ind w:left="708"/>
        <w:jc w:val="both"/>
        <w:rPr>
          <w:rFonts w:ascii="Palatino Linotype" w:hAnsi="Palatino Linotype" w:cs="Arial"/>
          <w:b/>
          <w:sz w:val="24"/>
        </w:rPr>
      </w:pPr>
    </w:p>
    <w:p w:rsidR="00E15E85" w:rsidRDefault="00E15E85" w:rsidP="007506D4">
      <w:pPr>
        <w:spacing w:before="240"/>
        <w:ind w:left="708"/>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7506D4">
      <w:pPr>
        <w:ind w:left="1559" w:right="850"/>
        <w:jc w:val="both"/>
        <w:rPr>
          <w:rFonts w:ascii="Palatino Linotype" w:hAnsi="Palatino Linotype" w:cs="Arial"/>
          <w:i/>
        </w:rPr>
      </w:pPr>
      <w:r w:rsidRPr="004469D5">
        <w:rPr>
          <w:rFonts w:ascii="Palatino Linotype" w:hAnsi="Palatino Linotype" w:cs="Arial"/>
          <w:i/>
        </w:rPr>
        <w:t>“</w:t>
      </w:r>
      <w:r w:rsidR="00EE7BCC" w:rsidRPr="00EE7BCC">
        <w:rPr>
          <w:rFonts w:ascii="Palatino Linotype" w:hAnsi="Palatino Linotype" w:cs="Arial"/>
          <w:i/>
        </w:rPr>
        <w:t>SE ME NEGÓ LA INFORMACIÓN SOLICITADA Y EN NINGÚN MOMENTO SE ME NOTIFICO LA AMPLIACIÓN DEL TERMINO Y SOLICITO SE DE VISTA AL ÓRGANO INTERNO DE CONTROL POR EL INCUMPLIMIENTO</w:t>
      </w:r>
      <w:r w:rsidR="00614FDD" w:rsidRPr="00614FDD">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EE7BCC">
        <w:rPr>
          <w:rFonts w:ascii="Palatino Linotype" w:hAnsi="Palatino Linotype" w:cs="Arial"/>
          <w:sz w:val="24"/>
          <w:szCs w:val="24"/>
        </w:rPr>
        <w:t>doce de febrero</w:t>
      </w:r>
      <w:r w:rsidR="007506D4">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091D98" w:rsidRPr="00091D98" w:rsidRDefault="00091D98"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7506D4">
        <w:rPr>
          <w:rFonts w:ascii="Palatino Linotype" w:hAnsi="Palatino Linotype" w:cs="Arial"/>
          <w:sz w:val="24"/>
          <w:szCs w:val="24"/>
        </w:rPr>
        <w:t>fue omiso en presentar su informe justificado; asimismo,</w:t>
      </w:r>
      <w:r w:rsidR="00755099">
        <w:rPr>
          <w:rFonts w:ascii="Palatino Linotype" w:hAnsi="Palatino Linotype" w:cs="Arial"/>
          <w:sz w:val="24"/>
          <w:szCs w:val="24"/>
        </w:rPr>
        <w:t xml:space="preserve"> no se presentó </w:t>
      </w:r>
      <w:r w:rsidR="00755099">
        <w:rPr>
          <w:rFonts w:ascii="Palatino Linotype" w:hAnsi="Palatino Linotype" w:cs="Arial"/>
          <w:sz w:val="24"/>
          <w:szCs w:val="24"/>
        </w:rPr>
        <w:lastRenderedPageBreak/>
        <w:t xml:space="preserve">manifestación alguna por parte del recurrente por lo cual en fecha </w:t>
      </w:r>
      <w:r w:rsidR="00EE7BCC">
        <w:rPr>
          <w:rFonts w:ascii="Palatino Linotype" w:hAnsi="Palatino Linotype" w:cs="Arial"/>
          <w:sz w:val="24"/>
          <w:szCs w:val="24"/>
        </w:rPr>
        <w:t>veintidós</w:t>
      </w:r>
      <w:r w:rsidR="007506D4">
        <w:rPr>
          <w:rFonts w:ascii="Palatino Linotype" w:hAnsi="Palatino Linotype" w:cs="Arial"/>
          <w:sz w:val="24"/>
          <w:szCs w:val="24"/>
        </w:rPr>
        <w:t xml:space="preserve"> de febrero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606F0" w:rsidRDefault="002606F0"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6435D1">
        <w:rPr>
          <w:rFonts w:ascii="Palatino Linotype" w:hAnsi="Palatino Linotype" w:cs="Arial"/>
          <w:sz w:val="24"/>
          <w:szCs w:val="24"/>
        </w:rPr>
        <w:t xml:space="preserve">179 fracción </w:t>
      </w:r>
      <w:r w:rsidR="009B76BF" w:rsidRPr="006435D1">
        <w:rPr>
          <w:rFonts w:ascii="Palatino Linotype" w:hAnsi="Palatino Linotype" w:cs="Arial"/>
          <w:sz w:val="24"/>
          <w:szCs w:val="24"/>
        </w:rPr>
        <w:t>VI</w:t>
      </w:r>
      <w:r w:rsidRPr="006435D1">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435D1" w:rsidRDefault="006435D1" w:rsidP="00E15E85">
      <w:pPr>
        <w:spacing w:before="240" w:line="360" w:lineRule="auto"/>
        <w:jc w:val="both"/>
        <w:rPr>
          <w:rFonts w:ascii="Palatino Linotype" w:hAnsi="Palatino Linotype" w:cs="Arial"/>
          <w:sz w:val="24"/>
        </w:rPr>
      </w:pPr>
    </w:p>
    <w:p w:rsidR="00E74078" w:rsidRDefault="00E74078"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435D1" w:rsidRDefault="006435D1" w:rsidP="006435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6435D1" w:rsidRDefault="006435D1" w:rsidP="006435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w:t>
      </w:r>
      <w:r>
        <w:rPr>
          <w:rFonts w:ascii="Palatino Linotype" w:hAnsi="Palatino Linotype"/>
          <w:sz w:val="24"/>
          <w:szCs w:val="24"/>
        </w:rPr>
        <w:lastRenderedPageBreak/>
        <w:t>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6435D1" w:rsidRPr="00505FED" w:rsidRDefault="006435D1" w:rsidP="006435D1">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6435D1" w:rsidRDefault="006435D1" w:rsidP="006435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6435D1" w:rsidRPr="00A147CA" w:rsidRDefault="006435D1" w:rsidP="006435D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435D1" w:rsidRPr="00A147CA" w:rsidRDefault="006435D1" w:rsidP="006435D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6435D1" w:rsidRPr="00B92BC3" w:rsidRDefault="006435D1" w:rsidP="006435D1">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6435D1" w:rsidRDefault="006435D1" w:rsidP="006435D1">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6435D1" w:rsidRDefault="006435D1" w:rsidP="006435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Pr>
          <w:rFonts w:ascii="Palatino Linotype" w:hAnsi="Palatino Linotype"/>
          <w:sz w:val="24"/>
          <w:szCs w:val="24"/>
        </w:rPr>
        <w:lastRenderedPageBreak/>
        <w:t>este órgano garante proceda al análisis y estudio del fondo del asunto, en aras de garantizar el derecho accionado por el particular.</w:t>
      </w:r>
    </w:p>
    <w:p w:rsidR="006435D1" w:rsidRDefault="006435D1" w:rsidP="006435D1">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6435D1" w:rsidRPr="009D787B" w:rsidRDefault="006435D1" w:rsidP="006435D1">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653B08" w:rsidRDefault="006435D1" w:rsidP="006435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6435D1"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es de recordar que de los requerimientos vertidos por la hoy recurrente en su solicitud de información, </w:t>
      </w:r>
      <w:r w:rsidR="000061A9">
        <w:rPr>
          <w:rFonts w:ascii="Palatino Linotype" w:hAnsi="Palatino Linotype"/>
          <w:sz w:val="24"/>
          <w:szCs w:val="24"/>
        </w:rPr>
        <w:t xml:space="preserve">solicita </w:t>
      </w:r>
      <w:r w:rsidR="00EE7BCC">
        <w:rPr>
          <w:rFonts w:ascii="Palatino Linotype" w:hAnsi="Palatino Linotype"/>
          <w:sz w:val="24"/>
          <w:szCs w:val="24"/>
        </w:rPr>
        <w:t xml:space="preserve">medularmente, solicitud o tramite de licencia de construcción en los años 2017, 2018 y 2019, por parte del arquitecto Pedro Olvera Hernández como </w:t>
      </w:r>
      <w:r w:rsidR="00EE7BCC" w:rsidRPr="00EE7BCC">
        <w:rPr>
          <w:rFonts w:ascii="Palatino Linotype" w:hAnsi="Palatino Linotype"/>
          <w:sz w:val="24"/>
          <w:szCs w:val="24"/>
        </w:rPr>
        <w:t>arquitecto titular, gestor encargado de obra propietario de constructora socio de constructora o como encargado de obra en trámite o en proceso de construcción</w:t>
      </w:r>
      <w:r w:rsidR="00EE7BCC">
        <w:rPr>
          <w:rFonts w:ascii="Palatino Linotype" w:hAnsi="Palatino Linotype"/>
          <w:sz w:val="24"/>
          <w:szCs w:val="24"/>
        </w:rPr>
        <w:t>.</w:t>
      </w:r>
    </w:p>
    <w:p w:rsidR="00E74078" w:rsidRDefault="00E7407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Ahora bien, en el expediente electrónico saimex se aprecia el carteo que realizo la Titular de la Unidad de Transparencia a fin de solicitar la información requerida por el particular, turnando así la solicitud a las áreas que pudieran contar con dicha información; apreciándose que por parte del servidor público habilitado el Arq. Alejandro Mendieta Caballero, si existió respuesta al requerimiento de información, sin embargo no hubo respuesta al recurrente por parte de la Unidad de Transparencia, tal y como se aprecia de la siguiente captura.</w:t>
      </w:r>
    </w:p>
    <w:p w:rsidR="00BD12C0" w:rsidRDefault="00E74078" w:rsidP="00E15E85">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56DC9492" wp14:editId="458AAC84">
            <wp:extent cx="5668010" cy="12763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13" t="34097" r="11045" b="45620"/>
                    <a:stretch/>
                  </pic:blipFill>
                  <pic:spPr bwMode="auto">
                    <a:xfrm>
                      <a:off x="0" y="0"/>
                      <a:ext cx="5685913" cy="1280381"/>
                    </a:xfrm>
                    <a:prstGeom prst="rect">
                      <a:avLst/>
                    </a:prstGeom>
                    <a:ln>
                      <a:noFill/>
                    </a:ln>
                    <a:extLst>
                      <a:ext uri="{53640926-AAD7-44D8-BBD7-CCE9431645EC}">
                        <a14:shadowObscured xmlns:a14="http://schemas.microsoft.com/office/drawing/2010/main"/>
                      </a:ext>
                    </a:extLst>
                  </pic:spPr>
                </pic:pic>
              </a:graphicData>
            </a:graphic>
          </wp:inline>
        </w:drawing>
      </w:r>
    </w:p>
    <w:p w:rsidR="00EE7BCC"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las cosas, se aprecia que el sujeto obligado, fue omiso en dar respuesta a la solicitud de información del hoy recurrente, lo que se traduce en la omisión de cumplir las obligaciones de transparencia que establece la Ley de Transparencia y Acceso a la Información Pública del Estado de México y Municipios, tal y como lo señala el diverso 23 fracción IV de la multicitada ley y que a la letra señala:</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23</w:t>
      </w:r>
      <w:r w:rsidRPr="001F47B8">
        <w:rPr>
          <w:rFonts w:ascii="Palatino Linotype" w:hAnsi="Palatino Linotype" w:cs="Arial"/>
          <w:bCs/>
          <w:i/>
        </w:rPr>
        <w:t xml:space="preserve">. </w:t>
      </w:r>
      <w:r w:rsidRPr="001F47B8">
        <w:rPr>
          <w:rFonts w:ascii="Palatino Linotype" w:hAnsi="Palatino Linotype" w:cs="Arial"/>
          <w:b/>
          <w:bCs/>
          <w:i/>
          <w:u w:val="single"/>
        </w:rPr>
        <w:t>Son sujetos obligados a transparentar y permitir el acceso a su información y proteger los datos personales que obren en su poder</w:t>
      </w:r>
      <w:r w:rsidRPr="001F47B8">
        <w:rPr>
          <w:rFonts w:ascii="Palatino Linotype" w:hAnsi="Palatino Linotype" w:cs="Arial"/>
          <w:bCs/>
          <w:i/>
        </w:rPr>
        <w:t xml:space="preserve">: </w:t>
      </w:r>
    </w:p>
    <w:p w:rsidR="00A24DE0" w:rsidRPr="001F47B8" w:rsidRDefault="00A24DE0" w:rsidP="00A24DE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I. …</w:t>
      </w:r>
    </w:p>
    <w:p w:rsidR="00A24DE0" w:rsidRPr="001F47B8" w:rsidRDefault="00A24DE0" w:rsidP="00A24DE0">
      <w:pPr>
        <w:spacing w:after="0" w:line="360" w:lineRule="auto"/>
        <w:ind w:left="709" w:right="709"/>
        <w:jc w:val="both"/>
        <w:rPr>
          <w:rFonts w:ascii="Palatino Linotype" w:hAnsi="Palatino Linotype" w:cs="Arial"/>
          <w:b/>
          <w:bCs/>
          <w:i/>
          <w:u w:val="single"/>
        </w:rPr>
      </w:pPr>
      <w:r w:rsidRPr="001F47B8">
        <w:rPr>
          <w:rFonts w:ascii="Palatino Linotype" w:hAnsi="Palatino Linotype" w:cs="Arial"/>
          <w:b/>
          <w:bCs/>
          <w:i/>
          <w:u w:val="single"/>
        </w:rPr>
        <w:t>IV. Los ayuntamientos y las dependencias, organismos, órganos y entidades de la administración municipal;</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De tal manera que el Ayuntamiento de Valle de Bravo, en calidad de sujeto obligado de la Ley de la materia, se encuentra constreñido a respetar y cumplir el derecho humano de acceso a la información </w:t>
      </w:r>
      <w:r w:rsidR="005205B0">
        <w:rPr>
          <w:rFonts w:ascii="Palatino Linotype" w:hAnsi="Palatino Linotype"/>
          <w:sz w:val="24"/>
          <w:szCs w:val="24"/>
        </w:rPr>
        <w:t>pública</w:t>
      </w:r>
      <w:r>
        <w:rPr>
          <w:rFonts w:ascii="Palatino Linotype" w:hAnsi="Palatino Linotype"/>
          <w:sz w:val="24"/>
          <w:szCs w:val="24"/>
        </w:rPr>
        <w:t>, consagrado en nuestra Carta Magna en su numeral 6 y la Constitución Política Estatal en su arábigo 5 que disponen lo siguiente:</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6o.</w:t>
      </w:r>
      <w:r w:rsidRPr="001F47B8">
        <w:rPr>
          <w:rFonts w:ascii="Palatino Linotype" w:hAnsi="Palatino Linotype" w:cs="Arial"/>
          <w:bCs/>
          <w:i/>
        </w:rPr>
        <w:t xml:space="preserve">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efectos de lo dispuesto en el presente artículo se observará lo siguiente:</w:t>
      </w:r>
    </w:p>
    <w:p w:rsidR="00A24DE0" w:rsidRPr="001F47B8" w:rsidRDefault="00A24DE0" w:rsidP="00A24DE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esa premisa, en cuanto al derecho de acceso a la información pública, toda información en posesión de las autoridades municipales es pública; aunado a ello los Ayuntamientos s</w:t>
      </w:r>
      <w:r w:rsidR="00F67006">
        <w:rPr>
          <w:rFonts w:ascii="Palatino Linotype" w:hAnsi="Palatino Linotype"/>
          <w:sz w:val="24"/>
          <w:szCs w:val="24"/>
        </w:rPr>
        <w:t xml:space="preserve">on considerados sujetos obligados para efectos de transparentar y permitir el acceso a la información pública que posean, generen y administren y están </w:t>
      </w:r>
      <w:r w:rsidR="00F67006">
        <w:rPr>
          <w:rFonts w:ascii="Palatino Linotype" w:hAnsi="Palatino Linotype"/>
          <w:sz w:val="24"/>
          <w:szCs w:val="24"/>
        </w:rPr>
        <w:lastRenderedPageBreak/>
        <w:t>obligados a documentar todo acto que derive del ejercicio de sus facultades, competencias o funciones de conformidad con el numeral 18</w:t>
      </w:r>
      <w:r w:rsidR="00F67006">
        <w:rPr>
          <w:rStyle w:val="Refdenotaalpie"/>
          <w:rFonts w:ascii="Palatino Linotype" w:hAnsi="Palatino Linotype"/>
          <w:sz w:val="24"/>
          <w:szCs w:val="24"/>
        </w:rPr>
        <w:footnoteReference w:id="3"/>
      </w:r>
      <w:r w:rsidR="00F67006">
        <w:rPr>
          <w:rFonts w:ascii="Palatino Linotype" w:hAnsi="Palatino Linotype"/>
          <w:sz w:val="24"/>
          <w:szCs w:val="24"/>
        </w:rPr>
        <w:t xml:space="preserve"> de la Ley de Transparencia Local.</w:t>
      </w:r>
    </w:p>
    <w:p w:rsidR="00294223" w:rsidRDefault="003402E5" w:rsidP="005205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cumplimiento de las obligaciones que </w:t>
      </w:r>
      <w:r w:rsidR="00294223">
        <w:rPr>
          <w:rFonts w:ascii="Palatino Linotype" w:hAnsi="Palatino Linotype"/>
          <w:sz w:val="24"/>
          <w:szCs w:val="24"/>
        </w:rPr>
        <w:t>establecen</w:t>
      </w:r>
      <w:r>
        <w:rPr>
          <w:rFonts w:ascii="Palatino Linotype" w:hAnsi="Palatino Linotype"/>
          <w:sz w:val="24"/>
          <w:szCs w:val="24"/>
        </w:rPr>
        <w:t xml:space="preserve"> la Carta Magna, la </w:t>
      </w:r>
      <w:r w:rsidR="00294223">
        <w:rPr>
          <w:rFonts w:ascii="Palatino Linotype" w:hAnsi="Palatino Linotype"/>
          <w:sz w:val="24"/>
          <w:szCs w:val="24"/>
        </w:rPr>
        <w:t>Constitución</w:t>
      </w:r>
      <w:r>
        <w:rPr>
          <w:rFonts w:ascii="Palatino Linotype" w:hAnsi="Palatino Linotype"/>
          <w:sz w:val="24"/>
          <w:szCs w:val="24"/>
        </w:rPr>
        <w:t xml:space="preserve"> Local y la Ley de Transparencia Local imponen, el sujeto obligado se encuentra constreñido </w:t>
      </w:r>
      <w:r w:rsidR="00294223">
        <w:rPr>
          <w:rFonts w:ascii="Palatino Linotype" w:hAnsi="Palatino Linotype"/>
          <w:sz w:val="24"/>
          <w:szCs w:val="24"/>
        </w:rPr>
        <w:t>a dar atención a las solicitudes de información que a t</w:t>
      </w:r>
      <w:r w:rsidR="005205B0">
        <w:rPr>
          <w:rFonts w:ascii="Palatino Linotype" w:hAnsi="Palatino Linotype"/>
          <w:sz w:val="24"/>
          <w:szCs w:val="24"/>
        </w:rPr>
        <w:t>ra</w:t>
      </w:r>
      <w:r w:rsidR="00294223">
        <w:rPr>
          <w:rFonts w:ascii="Palatino Linotype" w:hAnsi="Palatino Linotype"/>
          <w:sz w:val="24"/>
          <w:szCs w:val="24"/>
        </w:rPr>
        <w:t xml:space="preserve">vés del sistema electrónico saimex o vía directa le sean presentadas en ejercicio del derecho humano de acceso a la información </w:t>
      </w:r>
      <w:r w:rsidR="005205B0">
        <w:rPr>
          <w:rFonts w:ascii="Palatino Linotype" w:hAnsi="Palatino Linotype"/>
          <w:sz w:val="24"/>
          <w:szCs w:val="24"/>
        </w:rPr>
        <w:t>pública</w:t>
      </w:r>
      <w:r w:rsidR="00294223">
        <w:rPr>
          <w:rFonts w:ascii="Palatino Linotype" w:hAnsi="Palatino Linotype"/>
          <w:sz w:val="24"/>
          <w:szCs w:val="24"/>
        </w:rPr>
        <w:t>, lo cual en el caso no aconteció, pues como ya quedo constancia en el expediente electrónico que obra en el saimex, fue omiso en dar respuesta a la solicitud.</w:t>
      </w:r>
    </w:p>
    <w:p w:rsidR="005205B0" w:rsidRPr="005205B0" w:rsidRDefault="005205B0" w:rsidP="005205B0">
      <w:pPr>
        <w:spacing w:before="240" w:line="360" w:lineRule="auto"/>
        <w:jc w:val="both"/>
        <w:rPr>
          <w:rFonts w:ascii="Palatino Linotype" w:hAnsi="Palatino Linotype"/>
          <w:sz w:val="24"/>
          <w:szCs w:val="24"/>
        </w:rPr>
      </w:pPr>
      <w:r w:rsidRPr="005205B0">
        <w:rPr>
          <w:rFonts w:ascii="Palatino Linotype" w:hAnsi="Palatino Linotype"/>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5205B0" w:rsidRDefault="005205B0" w:rsidP="005205B0">
      <w:pPr>
        <w:autoSpaceDE w:val="0"/>
        <w:autoSpaceDN w:val="0"/>
        <w:adjustRightInd w:val="0"/>
        <w:spacing w:before="240" w:after="0" w:line="360" w:lineRule="auto"/>
        <w:jc w:val="both"/>
        <w:rPr>
          <w:rFonts w:ascii="Palatino Linotype" w:hAnsi="Palatino Linotype"/>
          <w:sz w:val="24"/>
          <w:szCs w:val="24"/>
        </w:rPr>
      </w:pPr>
      <w:r>
        <w:rPr>
          <w:rFonts w:ascii="Palatino Linotype" w:hAnsi="Palatino Linotype" w:cs="Arial"/>
          <w:sz w:val="24"/>
          <w:szCs w:val="24"/>
        </w:rPr>
        <w:t>Ahora bien, respecto de la “</w:t>
      </w:r>
      <w:r w:rsidRPr="00A334B2">
        <w:rPr>
          <w:rFonts w:ascii="Palatino Linotype" w:hAnsi="Palatino Linotype"/>
          <w:i/>
          <w:color w:val="000000"/>
        </w:rPr>
        <w:t>SOLICITUD O TRAMITE DE LICENCIA DE CONSTRUCCIÓN EN LOS AÑOS 2017, 2018 Y 2019</w:t>
      </w:r>
      <w:r>
        <w:rPr>
          <w:rFonts w:ascii="Palatino Linotype" w:hAnsi="Palatino Linotype"/>
          <w:i/>
          <w:color w:val="000000"/>
        </w:rPr>
        <w:t xml:space="preserve">…”, </w:t>
      </w:r>
      <w:r>
        <w:rPr>
          <w:rFonts w:ascii="Palatino Linotype" w:hAnsi="Palatino Linotype"/>
          <w:sz w:val="24"/>
          <w:szCs w:val="24"/>
        </w:rPr>
        <w:t>consiste en una Licencia de Construcción, documentación que la Ley de la Materia, establece como una obligación de transparencia común, de conformidad con lo señalado en la fracción XXXII del numeral 92 de la Ley de Transparencia y Acceso a la Información Pública del Estado de México y Municipios que a la letra reza:</w:t>
      </w:r>
    </w:p>
    <w:p w:rsidR="005205B0" w:rsidRPr="00DF04F3" w:rsidRDefault="005205B0" w:rsidP="005205B0">
      <w:pPr>
        <w:autoSpaceDE w:val="0"/>
        <w:autoSpaceDN w:val="0"/>
        <w:adjustRightInd w:val="0"/>
        <w:spacing w:before="240" w:line="360" w:lineRule="auto"/>
        <w:ind w:left="708"/>
        <w:jc w:val="both"/>
        <w:rPr>
          <w:rFonts w:ascii="Palatino Linotype" w:hAnsi="Palatino Linotype"/>
          <w:i/>
        </w:rPr>
      </w:pPr>
      <w:r w:rsidRPr="00DF04F3">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205B0" w:rsidRPr="00DF04F3" w:rsidRDefault="005205B0" w:rsidP="005205B0">
      <w:pPr>
        <w:autoSpaceDE w:val="0"/>
        <w:autoSpaceDN w:val="0"/>
        <w:adjustRightInd w:val="0"/>
        <w:spacing w:before="240" w:line="360" w:lineRule="auto"/>
        <w:ind w:left="708"/>
        <w:jc w:val="both"/>
        <w:rPr>
          <w:rFonts w:ascii="Palatino Linotype" w:hAnsi="Palatino Linotype"/>
          <w:i/>
        </w:rPr>
      </w:pPr>
      <w:r w:rsidRPr="00DF04F3">
        <w:rPr>
          <w:rFonts w:ascii="Palatino Linotype" w:hAnsi="Palatino Linotype"/>
          <w:i/>
        </w:rPr>
        <w:t>……</w:t>
      </w:r>
    </w:p>
    <w:p w:rsidR="005205B0" w:rsidRPr="00DF04F3" w:rsidRDefault="005205B0" w:rsidP="005205B0">
      <w:pPr>
        <w:autoSpaceDE w:val="0"/>
        <w:autoSpaceDN w:val="0"/>
        <w:adjustRightInd w:val="0"/>
        <w:spacing w:before="240" w:line="360" w:lineRule="auto"/>
        <w:ind w:left="708"/>
        <w:jc w:val="both"/>
        <w:rPr>
          <w:rFonts w:ascii="Palatino Linotype" w:hAnsi="Palatino Linotype"/>
          <w:i/>
        </w:rPr>
      </w:pPr>
      <w:r w:rsidRPr="00DF04F3">
        <w:rPr>
          <w:rFonts w:ascii="Palatino Linotype" w:hAnsi="Palatino Linotype"/>
          <w:b/>
          <w:i/>
          <w:u w:val="single"/>
        </w:rPr>
        <w:t>XXXII. Las</w:t>
      </w:r>
      <w:r w:rsidRPr="00DF04F3">
        <w:rPr>
          <w:rFonts w:ascii="Palatino Linotype" w:hAnsi="Palatino Linotype"/>
          <w:i/>
        </w:rPr>
        <w:t xml:space="preserve"> concesiones, contratos, convenios, permisos</w:t>
      </w:r>
      <w:r w:rsidRPr="00DF04F3">
        <w:rPr>
          <w:rFonts w:ascii="Palatino Linotype" w:hAnsi="Palatino Linotype"/>
          <w:b/>
          <w:i/>
          <w:u w:val="single"/>
        </w:rPr>
        <w:t>, licencias</w:t>
      </w:r>
      <w:r w:rsidRPr="00DF04F3">
        <w:rPr>
          <w:rFonts w:ascii="Palatino Linotype" w:hAnsi="Palatino Linotype"/>
          <w:i/>
        </w:rPr>
        <w:t xml:space="preserve"> o autorizaciones </w:t>
      </w:r>
      <w:r w:rsidRPr="00DF04F3">
        <w:rPr>
          <w:rFonts w:ascii="Palatino Linotype" w:hAnsi="Palatino Linotype"/>
          <w:b/>
          <w:i/>
          <w:u w:val="single"/>
        </w:rPr>
        <w:t>otorgados, especificando los titulares de aquéllos, debiendo publicarse su objeto, nombre o razón social del titular, vigencia, tipo, términos, condiciones, monto y modificaciones</w:t>
      </w:r>
      <w:r w:rsidRPr="00DF04F3">
        <w:rPr>
          <w:rFonts w:ascii="Palatino Linotype" w:hAnsi="Palatino Linotype"/>
          <w:i/>
        </w:rPr>
        <w:t>, así como si el procedimiento involucra el aprovechamiento de bienes, servicios y/o recursos públicos;</w:t>
      </w:r>
    </w:p>
    <w:p w:rsidR="005205B0" w:rsidRDefault="005205B0" w:rsidP="005205B0">
      <w:pPr>
        <w:autoSpaceDE w:val="0"/>
        <w:autoSpaceDN w:val="0"/>
        <w:adjustRightInd w:val="0"/>
        <w:spacing w:before="240" w:line="360" w:lineRule="auto"/>
        <w:ind w:left="708"/>
        <w:jc w:val="both"/>
        <w:rPr>
          <w:rFonts w:ascii="Palatino Linotype" w:hAnsi="Palatino Linotype"/>
          <w:i/>
        </w:rPr>
      </w:pPr>
      <w:r w:rsidRPr="00DF04F3">
        <w:rPr>
          <w:rFonts w:ascii="Palatino Linotype" w:hAnsi="Palatino Linotype"/>
          <w:i/>
        </w:rPr>
        <w:t>……</w:t>
      </w:r>
    </w:p>
    <w:p w:rsidR="005205B0" w:rsidRDefault="005205B0" w:rsidP="005205B0">
      <w:pPr>
        <w:pStyle w:val="Sinespaciado"/>
        <w:spacing w:before="240" w:after="240" w:line="360" w:lineRule="auto"/>
        <w:jc w:val="both"/>
        <w:rPr>
          <w:rFonts w:ascii="Palatino Linotype" w:hAnsi="Palatino Linotype"/>
        </w:rPr>
      </w:pPr>
      <w:r w:rsidRPr="00823454">
        <w:rPr>
          <w:rFonts w:ascii="Palatino Linotype" w:hAnsi="Palatino Linotype"/>
        </w:rPr>
        <w:t>De igual forma, se deben tomar en cuenta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y Anexos</w:t>
      </w:r>
      <w:r>
        <w:rPr>
          <w:rFonts w:ascii="Palatino Linotype" w:hAnsi="Palatino Linotype"/>
        </w:rPr>
        <w:t xml:space="preserve"> (en lo sucesivo, Lineamientos Técnicos Generales)</w:t>
      </w:r>
      <w:r w:rsidRPr="00823454">
        <w:rPr>
          <w:rFonts w:ascii="Palatino Linotype" w:hAnsi="Palatino Linotype"/>
        </w:rPr>
        <w:t>. Siendo que en el correspondiente a la fracción XXVII del artículo 70 de la Ley General en la Materia, se establece que entre las Licencias a las que hace referencia dicha fracción se encuentran las de uso de suelo y de construcción, y que los criterios sustantivos de contenido que deben considerarse son los siguientes:</w:t>
      </w:r>
    </w:p>
    <w:p w:rsidR="005205B0" w:rsidRPr="00180F6B" w:rsidRDefault="005205B0" w:rsidP="005205B0">
      <w:pPr>
        <w:pStyle w:val="Sinespaciado"/>
        <w:spacing w:before="240" w:after="240"/>
        <w:ind w:left="567" w:right="567"/>
        <w:jc w:val="both"/>
        <w:rPr>
          <w:rFonts w:ascii="Palatino Linotype" w:hAnsi="Palatino Linotype"/>
          <w:i/>
        </w:rPr>
      </w:pPr>
      <w:r w:rsidRPr="00180F6B">
        <w:rPr>
          <w:rFonts w:ascii="Palatino Linotype" w:hAnsi="Palatino Linotype"/>
          <w:b/>
          <w:i/>
        </w:rPr>
        <w:t>Criterio 1.</w:t>
      </w:r>
      <w:r w:rsidRPr="00180F6B">
        <w:rPr>
          <w:rFonts w:ascii="Palatino Linotype" w:hAnsi="Palatino Linotype"/>
          <w:i/>
        </w:rPr>
        <w:tab/>
        <w:t>Ejercicio</w:t>
      </w:r>
    </w:p>
    <w:p w:rsidR="005205B0" w:rsidRPr="00180F6B" w:rsidRDefault="005205B0" w:rsidP="005205B0">
      <w:pPr>
        <w:pStyle w:val="Sinespaciado"/>
        <w:spacing w:before="240" w:after="240"/>
        <w:ind w:left="567" w:right="567"/>
        <w:jc w:val="both"/>
        <w:rPr>
          <w:rFonts w:ascii="Palatino Linotype" w:hAnsi="Palatino Linotype"/>
          <w:i/>
        </w:rPr>
      </w:pPr>
      <w:r w:rsidRPr="00180F6B">
        <w:rPr>
          <w:rFonts w:ascii="Palatino Linotype" w:hAnsi="Palatino Linotype"/>
          <w:b/>
          <w:i/>
        </w:rPr>
        <w:lastRenderedPageBreak/>
        <w:t>Criterio 2.</w:t>
      </w:r>
      <w:r w:rsidRPr="00180F6B">
        <w:rPr>
          <w:rFonts w:ascii="Palatino Linotype" w:hAnsi="Palatino Linotype"/>
          <w:i/>
        </w:rPr>
        <w:tab/>
        <w:t>Periodo que se informa</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 3.</w:t>
      </w:r>
      <w:r w:rsidRPr="00180F6B">
        <w:rPr>
          <w:rFonts w:ascii="Palatino Linotype" w:hAnsi="Palatino Linotype"/>
          <w:i/>
        </w:rPr>
        <w:tab/>
        <w:t>Tipo de acto jurídico: Concesión / Contrato / Convenio / Permiso / Licencia / Autorización</w:t>
      </w:r>
    </w:p>
    <w:p w:rsidR="005205B0" w:rsidRPr="00180F6B" w:rsidRDefault="005205B0" w:rsidP="005205B0">
      <w:pPr>
        <w:pStyle w:val="Sinespaciado"/>
        <w:spacing w:before="240" w:after="240"/>
        <w:ind w:left="567" w:right="567"/>
        <w:jc w:val="both"/>
        <w:rPr>
          <w:rFonts w:ascii="Palatino Linotype" w:hAnsi="Palatino Linotype"/>
          <w:i/>
        </w:rPr>
      </w:pPr>
      <w:r w:rsidRPr="00180F6B">
        <w:rPr>
          <w:rFonts w:ascii="Palatino Linotype" w:hAnsi="Palatino Linotype"/>
          <w:b/>
          <w:i/>
        </w:rPr>
        <w:t>Criterio 4.</w:t>
      </w:r>
      <w:r w:rsidRPr="00180F6B">
        <w:rPr>
          <w:rFonts w:ascii="Palatino Linotype" w:hAnsi="Palatino Linotype"/>
          <w:i/>
        </w:rPr>
        <w:tab/>
        <w:t>Objeto (la finalidad con la que se realizó el acto jurídico)</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 5.</w:t>
      </w:r>
      <w:r w:rsidRPr="00180F6B">
        <w:rPr>
          <w:rFonts w:ascii="Palatino Linotype" w:hAnsi="Palatino Linotype"/>
          <w:i/>
        </w:rPr>
        <w:tab/>
        <w:t>Fundamento jurídico por el cual se llevó a cabo el acto jurídico</w:t>
      </w:r>
    </w:p>
    <w:p w:rsidR="005205B0" w:rsidRPr="00180F6B" w:rsidRDefault="005205B0" w:rsidP="005205B0">
      <w:pPr>
        <w:pStyle w:val="Sinespaciado"/>
        <w:spacing w:before="240" w:after="240"/>
        <w:ind w:left="567" w:right="567"/>
        <w:jc w:val="both"/>
        <w:rPr>
          <w:rFonts w:ascii="Palatino Linotype" w:hAnsi="Palatino Linotype"/>
          <w:i/>
        </w:rPr>
      </w:pPr>
      <w:r w:rsidRPr="00180F6B">
        <w:rPr>
          <w:rFonts w:ascii="Palatino Linotype" w:hAnsi="Palatino Linotype"/>
          <w:b/>
          <w:i/>
        </w:rPr>
        <w:t>Criterio 6.</w:t>
      </w:r>
      <w:r w:rsidRPr="00180F6B">
        <w:rPr>
          <w:rFonts w:ascii="Palatino Linotype" w:hAnsi="Palatino Linotype"/>
          <w:i/>
        </w:rPr>
        <w:t xml:space="preserve"> </w:t>
      </w:r>
      <w:r w:rsidRPr="00180F6B">
        <w:rPr>
          <w:rFonts w:ascii="Palatino Linotype" w:hAnsi="Palatino Linotype"/>
          <w:i/>
        </w:rPr>
        <w:tab/>
        <w:t>Unidad(es) responsable(s) de instrumentación</w:t>
      </w:r>
    </w:p>
    <w:p w:rsidR="005205B0" w:rsidRPr="00180F6B" w:rsidRDefault="005205B0" w:rsidP="005205B0">
      <w:pPr>
        <w:pStyle w:val="Sinespaciado"/>
        <w:spacing w:before="240" w:after="240"/>
        <w:ind w:left="567" w:right="567"/>
        <w:jc w:val="both"/>
        <w:rPr>
          <w:rFonts w:ascii="Palatino Linotype" w:hAnsi="Palatino Linotype"/>
          <w:i/>
        </w:rPr>
      </w:pPr>
      <w:r w:rsidRPr="00180F6B">
        <w:rPr>
          <w:rFonts w:ascii="Palatino Linotype" w:hAnsi="Palatino Linotype"/>
          <w:i/>
        </w:rPr>
        <w:t>Criterio 7.</w:t>
      </w:r>
      <w:r w:rsidRPr="00180F6B">
        <w:rPr>
          <w:rFonts w:ascii="Palatino Linotype" w:hAnsi="Palatino Linotype"/>
          <w:i/>
        </w:rPr>
        <w:tab/>
        <w:t>Sector al cual otorgó el acto jurídico: Publico / Privado</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u w:val="single"/>
        </w:rPr>
        <w:t>Criterio 8.</w:t>
      </w:r>
      <w:r w:rsidRPr="00180F6B">
        <w:rPr>
          <w:rFonts w:ascii="Palatino Linotype" w:hAnsi="Palatino Linotype"/>
          <w:i/>
        </w:rPr>
        <w:tab/>
      </w:r>
      <w:r w:rsidRPr="00180F6B">
        <w:rPr>
          <w:rFonts w:ascii="Palatino Linotype" w:hAnsi="Palatino Linotype"/>
          <w:b/>
          <w:i/>
          <w:u w:val="single"/>
        </w:rPr>
        <w:t>Nombre completo (nombre(s), primer apellido y segundo apellido)</w:t>
      </w:r>
      <w:r w:rsidRPr="00180F6B">
        <w:rPr>
          <w:rFonts w:ascii="Palatino Linotype" w:hAnsi="Palatino Linotype"/>
          <w:i/>
        </w:rPr>
        <w:t xml:space="preserve"> o razón social </w:t>
      </w:r>
      <w:r w:rsidRPr="00180F6B">
        <w:rPr>
          <w:rFonts w:ascii="Palatino Linotype" w:hAnsi="Palatino Linotype"/>
          <w:b/>
          <w:i/>
          <w:u w:val="single"/>
        </w:rPr>
        <w:t>del titular al cual se otorgó el acto jurídico</w:t>
      </w:r>
      <w:r w:rsidRPr="00180F6B">
        <w:rPr>
          <w:rFonts w:ascii="Palatino Linotype" w:hAnsi="Palatino Linotype"/>
          <w:i/>
        </w:rPr>
        <w:t>.</w:t>
      </w:r>
    </w:p>
    <w:p w:rsidR="005205B0" w:rsidRPr="00045920" w:rsidRDefault="005205B0" w:rsidP="005205B0">
      <w:pPr>
        <w:pStyle w:val="Sinespaciado"/>
        <w:spacing w:before="240" w:after="240"/>
        <w:ind w:left="2127" w:right="567" w:hanging="1560"/>
        <w:jc w:val="both"/>
        <w:rPr>
          <w:rFonts w:ascii="Palatino Linotype" w:hAnsi="Palatino Linotype"/>
          <w:b/>
          <w:i/>
        </w:rPr>
      </w:pPr>
      <w:r w:rsidRPr="00045920">
        <w:rPr>
          <w:rFonts w:ascii="Palatino Linotype" w:hAnsi="Palatino Linotype"/>
          <w:b/>
          <w:i/>
        </w:rPr>
        <w:t>Criterio 9.</w:t>
      </w:r>
      <w:r w:rsidRPr="00045920">
        <w:rPr>
          <w:rFonts w:ascii="Palatino Linotype" w:hAnsi="Palatino Linotype"/>
          <w:b/>
          <w:i/>
        </w:rPr>
        <w:tab/>
        <w:t>Fecha de inicio de vigencia del acto jurídico expresado en el formato día/mes/año (por ej. 31/marzo/2016)</w:t>
      </w:r>
    </w:p>
    <w:p w:rsidR="005205B0" w:rsidRPr="00045920" w:rsidRDefault="005205B0" w:rsidP="005205B0">
      <w:pPr>
        <w:pStyle w:val="Sinespaciado"/>
        <w:spacing w:before="240" w:after="240"/>
        <w:ind w:left="2127" w:right="567" w:hanging="1560"/>
        <w:jc w:val="both"/>
        <w:rPr>
          <w:rFonts w:ascii="Palatino Linotype" w:hAnsi="Palatino Linotype"/>
          <w:b/>
          <w:i/>
        </w:rPr>
      </w:pPr>
      <w:r w:rsidRPr="00045920">
        <w:rPr>
          <w:rFonts w:ascii="Palatino Linotype" w:hAnsi="Palatino Linotype"/>
          <w:b/>
          <w:i/>
        </w:rPr>
        <w:t>Criterio 10.</w:t>
      </w:r>
      <w:r w:rsidRPr="00045920">
        <w:rPr>
          <w:rFonts w:ascii="Palatino Linotype" w:hAnsi="Palatino Linotype"/>
          <w:b/>
          <w:i/>
        </w:rPr>
        <w:tab/>
        <w:t>Fecha de término de vigencia del acto jurídico expresado en el formato día/mes/año (por ej. 31/marzo/2016)</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Criterio11.</w:t>
      </w:r>
      <w:r w:rsidRPr="00180F6B">
        <w:rPr>
          <w:rFonts w:ascii="Palatino Linotype" w:hAnsi="Palatino Linotype"/>
          <w:i/>
        </w:rPr>
        <w:tab/>
        <w:t>Cláusula, punto, artículo o fracción en el que se especifican los términos y condiciones del acto jurídico</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 12.</w:t>
      </w:r>
      <w:r w:rsidRPr="00180F6B">
        <w:rPr>
          <w:rFonts w:ascii="Palatino Linotype" w:hAnsi="Palatino Linotype"/>
          <w:i/>
        </w:rPr>
        <w:tab/>
        <w:t>Hipervínculo al contrato, convenio, permiso, licencia o concesión, donde se especifiquen los términos y condiciones, incluidos los anexos, en versión pública cuando así corresponda</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 13</w:t>
      </w:r>
      <w:r w:rsidRPr="00180F6B">
        <w:rPr>
          <w:rFonts w:ascii="Palatino Linotype" w:hAnsi="Palatino Linotype"/>
          <w:i/>
        </w:rPr>
        <w:t>.</w:t>
      </w:r>
      <w:r w:rsidRPr="00180F6B">
        <w:rPr>
          <w:rFonts w:ascii="Palatino Linotype" w:hAnsi="Palatino Linotype"/>
          <w:i/>
        </w:rPr>
        <w:tab/>
        <w:t>Monto total o beneficio, servicio y/o recurso público aprovechado</w:t>
      </w:r>
    </w:p>
    <w:p w:rsidR="005205B0" w:rsidRPr="00180F6B" w:rsidRDefault="005205B0" w:rsidP="005205B0">
      <w:pPr>
        <w:pStyle w:val="Sinespaciado"/>
        <w:spacing w:before="240" w:after="240"/>
        <w:ind w:left="2127" w:right="567" w:hanging="1560"/>
        <w:jc w:val="both"/>
        <w:rPr>
          <w:rFonts w:ascii="Palatino Linotype" w:hAnsi="Palatino Linotype"/>
          <w:i/>
        </w:rPr>
      </w:pPr>
      <w:r w:rsidRPr="00180F6B">
        <w:rPr>
          <w:rFonts w:ascii="Palatino Linotype" w:hAnsi="Palatino Linotype"/>
          <w:b/>
          <w:i/>
        </w:rPr>
        <w:t>Criterio 14.</w:t>
      </w:r>
      <w:r w:rsidRPr="00180F6B">
        <w:rPr>
          <w:rFonts w:ascii="Palatino Linotype" w:hAnsi="Palatino Linotype"/>
          <w:i/>
        </w:rPr>
        <w:tab/>
        <w:t>Monto entregado, bien, servicio y/o recurso público aprovechado al periodo que se informa.</w:t>
      </w:r>
    </w:p>
    <w:p w:rsidR="005205B0" w:rsidRPr="00823454" w:rsidRDefault="005205B0" w:rsidP="005205B0">
      <w:pPr>
        <w:pStyle w:val="Sinespaciado"/>
        <w:spacing w:before="240" w:after="240" w:line="360" w:lineRule="auto"/>
        <w:jc w:val="both"/>
        <w:rPr>
          <w:rFonts w:ascii="Palatino Linotype" w:hAnsi="Palatino Linotype"/>
        </w:rPr>
      </w:pPr>
      <w:r w:rsidRPr="00823454">
        <w:rPr>
          <w:rFonts w:ascii="Palatino Linotype" w:hAnsi="Palatino Linotype"/>
        </w:rPr>
        <w:t xml:space="preserve">Si bien los criterios anteriores se refieren a lo que los Sujetos Obligados deben publicar en los portales de internet y en la Plataforma Nacional de Transparencia y anexos, sirven para reforzar los establecido por la Ley General y la Ley Local en la Materia, </w:t>
      </w:r>
      <w:r w:rsidRPr="00823454">
        <w:rPr>
          <w:rFonts w:ascii="Palatino Linotype" w:hAnsi="Palatino Linotype"/>
        </w:rPr>
        <w:lastRenderedPageBreak/>
        <w:t xml:space="preserve">pues </w:t>
      </w:r>
      <w:r>
        <w:rPr>
          <w:rFonts w:ascii="Palatino Linotype" w:hAnsi="Palatino Linotype"/>
        </w:rPr>
        <w:t xml:space="preserve">el criterio 8 </w:t>
      </w:r>
      <w:r w:rsidRPr="00823454">
        <w:rPr>
          <w:rFonts w:ascii="Palatino Linotype" w:hAnsi="Palatino Linotype"/>
        </w:rPr>
        <w:t>ordena que tratándose de Licencias, se debe publicar el nombre completo o razón social del titular al cual se le otorgó el acto jurídico</w:t>
      </w:r>
      <w:r>
        <w:rPr>
          <w:rFonts w:ascii="Palatino Linotype" w:hAnsi="Palatino Linotype"/>
        </w:rPr>
        <w:t xml:space="preserve">. </w:t>
      </w:r>
    </w:p>
    <w:p w:rsidR="005205B0" w:rsidRDefault="005205B0" w:rsidP="005205B0">
      <w:pPr>
        <w:autoSpaceDE w:val="0"/>
        <w:autoSpaceDN w:val="0"/>
        <w:adjustRightInd w:val="0"/>
        <w:spacing w:before="240" w:after="240" w:line="360" w:lineRule="auto"/>
        <w:jc w:val="both"/>
        <w:rPr>
          <w:rFonts w:ascii="Palatino Linotype" w:hAnsi="Palatino Linotype"/>
          <w:sz w:val="24"/>
          <w:szCs w:val="24"/>
        </w:rPr>
      </w:pPr>
      <w:r w:rsidRPr="00823454">
        <w:rPr>
          <w:rFonts w:ascii="Palatino Linotype" w:hAnsi="Palatino Linotype"/>
          <w:sz w:val="24"/>
          <w:szCs w:val="24"/>
        </w:rPr>
        <w:t xml:space="preserve">En ese orden de ideas, el Sujeto Obligado debe apegarse a lo dispuesto por los ordenamientos señalados anteriormente al momento de </w:t>
      </w:r>
      <w:r>
        <w:rPr>
          <w:rFonts w:ascii="Palatino Linotype" w:hAnsi="Palatino Linotype"/>
          <w:sz w:val="24"/>
          <w:szCs w:val="24"/>
        </w:rPr>
        <w:t>dar cumplimiento a la presente resolución.</w:t>
      </w:r>
    </w:p>
    <w:p w:rsidR="00221675" w:rsidRDefault="0026693B" w:rsidP="005205B0">
      <w:pPr>
        <w:spacing w:before="240" w:after="240" w:line="360" w:lineRule="auto"/>
        <w:jc w:val="both"/>
        <w:rPr>
          <w:rFonts w:ascii="Palatino Linotype" w:hAnsi="Palatino Linotype"/>
          <w:sz w:val="24"/>
        </w:rPr>
      </w:pPr>
      <w:r w:rsidRPr="0026693B">
        <w:rPr>
          <w:rFonts w:ascii="Palatino Linotype" w:hAnsi="Palatino Linotype"/>
          <w:sz w:val="24"/>
        </w:rPr>
        <w:t>No obstante, el Pleno de este Instituto estima que existen circunstancias en el caso en concreto que deben ponderarse con el propósito de no vulnerar el derecho a la protección de datos personales del titular de las licencias ya referidas</w:t>
      </w:r>
      <w:r>
        <w:rPr>
          <w:rFonts w:ascii="Palatino Linotype" w:hAnsi="Palatino Linotype"/>
          <w:sz w:val="24"/>
        </w:rPr>
        <w:t>, toda vez que no se tiene certeza de si el titular es un particular, que puede ser un tercero ajeno a la relación entre el recurrente y el sujeto obligado.</w:t>
      </w:r>
    </w:p>
    <w:p w:rsidR="0026693B" w:rsidRPr="00C43915" w:rsidRDefault="0026693B" w:rsidP="0026693B">
      <w:pPr>
        <w:pStyle w:val="Sinespaciado"/>
        <w:spacing w:before="240" w:after="240" w:line="360" w:lineRule="auto"/>
        <w:jc w:val="both"/>
        <w:rPr>
          <w:rFonts w:ascii="Palatino Linotype" w:hAnsi="Palatino Linotype"/>
        </w:rPr>
      </w:pPr>
      <w:r>
        <w:rPr>
          <w:rFonts w:ascii="Palatino Linotype" w:hAnsi="Palatino Linotype"/>
        </w:rPr>
        <w:t>En esos términos</w:t>
      </w:r>
      <w:r w:rsidRPr="00C43915">
        <w:rPr>
          <w:rFonts w:ascii="Palatino Linotype" w:hAnsi="Palatino Linotype"/>
        </w:rPr>
        <w:t>, es necesario establecer que este Instituto de Transparencia, Acceso a la Información Pública y Protección de Datos Personales del Estado de México y Municipio</w:t>
      </w:r>
      <w:r>
        <w:rPr>
          <w:rFonts w:ascii="Palatino Linotype" w:hAnsi="Palatino Linotype"/>
        </w:rPr>
        <w:t>s</w:t>
      </w:r>
      <w:r w:rsidRPr="00C43915">
        <w:rPr>
          <w:rFonts w:ascii="Palatino Linotype" w:hAnsi="Palatino Linotype"/>
        </w:rPr>
        <w:t xml:space="preserve">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Artículo 5.</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 xml:space="preserve">VIII. </w:t>
      </w:r>
      <w:r w:rsidRPr="00C43915">
        <w:rPr>
          <w:rFonts w:ascii="Palatino Linotype" w:hAnsi="Palatino Linotype"/>
          <w:b/>
          <w:i/>
        </w:rPr>
        <w:t>El Estado contará con un organismo autónomo</w:t>
      </w:r>
      <w:r w:rsidRPr="00C43915">
        <w:rPr>
          <w:rFonts w:ascii="Palatino Linotype" w:hAnsi="Palatino Linotype"/>
          <w:i/>
        </w:rPr>
        <w:t xml:space="preserve">, especializado, imparcial, colegiado, con personalidad jurídica y patrimonio propio, con plena autonomía técnica y de gestión, con capacidad para decidir sobre el ejercicio de su presupuesto </w:t>
      </w:r>
      <w:r w:rsidRPr="00C43915">
        <w:rPr>
          <w:rFonts w:ascii="Palatino Linotype" w:hAnsi="Palatino Linotype"/>
          <w:i/>
        </w:rPr>
        <w:lastRenderedPageBreak/>
        <w:t>y determinar su organización interna</w:t>
      </w:r>
      <w:r w:rsidRPr="00C43915">
        <w:rPr>
          <w:rFonts w:ascii="Palatino Linotype" w:hAnsi="Palatino Linotype"/>
          <w:b/>
          <w:i/>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rPr>
        <w:t>.</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b/>
          <w:i/>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rPr>
        <w:t>.</w:t>
      </w:r>
    </w:p>
    <w:p w:rsidR="0026693B" w:rsidRPr="00C43915" w:rsidRDefault="0026693B" w:rsidP="0026693B">
      <w:pPr>
        <w:pStyle w:val="Sinespaciado"/>
        <w:spacing w:before="240" w:after="240" w:line="360" w:lineRule="auto"/>
        <w:ind w:right="49"/>
        <w:jc w:val="both"/>
        <w:rPr>
          <w:rFonts w:ascii="Palatino Linotype" w:hAnsi="Palatino Linotype"/>
        </w:rPr>
      </w:pPr>
      <w:r w:rsidRPr="00C43915">
        <w:rPr>
          <w:rFonts w:ascii="Palatino Linotype" w:hAnsi="Palatino Linotype"/>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26693B" w:rsidRPr="00C43915" w:rsidRDefault="0026693B" w:rsidP="0026693B">
      <w:pPr>
        <w:pStyle w:val="Sinespaciado"/>
        <w:spacing w:before="240" w:after="240" w:line="360" w:lineRule="auto"/>
        <w:ind w:right="49"/>
        <w:jc w:val="both"/>
        <w:rPr>
          <w:rFonts w:ascii="Palatino Linotype" w:hAnsi="Palatino Linotype"/>
        </w:rPr>
      </w:pPr>
      <w:r w:rsidRPr="00C43915">
        <w:rPr>
          <w:rFonts w:ascii="Palatino Linotype" w:hAnsi="Palatino Linotype"/>
        </w:rPr>
        <w:t>En ese tenor, debe tenerse en cuenta que el artículo sexto de nuestra Carta Magna estipula lo siguiente:</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b/>
          <w:bCs/>
          <w:i/>
        </w:rPr>
        <w:t xml:space="preserve">Artículo 6o. </w:t>
      </w:r>
      <w:r w:rsidRPr="00C43915">
        <w:rPr>
          <w:rFonts w:ascii="Palatino Linotype" w:hAnsi="Palatino Linotype"/>
          <w:i/>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rPr>
        <w:t>El derecho a la información será garantizado por el Estado</w:t>
      </w:r>
      <w:r w:rsidRPr="00C43915">
        <w:rPr>
          <w:rFonts w:ascii="Palatino Linotype" w:hAnsi="Palatino Linotype"/>
          <w:i/>
        </w:rPr>
        <w:t xml:space="preserve">. </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 xml:space="preserve">Toda persona tiene derecho al libre acceso a información plural y oportuna, así como a buscar, recibir y difundir información e ideas de toda índole por cualquier medio de expresión. </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 xml:space="preserve">El Estado garantizará el derecho de acceso a las tecnologías de la información y comunicación, así como a los servicios de radiodifusión y telecomunicaciones, </w:t>
      </w:r>
      <w:r w:rsidRPr="00C43915">
        <w:rPr>
          <w:rFonts w:ascii="Palatino Linotype" w:hAnsi="Palatino Linotype"/>
          <w:i/>
        </w:rPr>
        <w:lastRenderedPageBreak/>
        <w:t xml:space="preserve">incluido el de banda ancha e internet. Para tales efectos, el Estado establecerá condiciones de competencia efectiva en la prestación de dichos servicios. </w:t>
      </w:r>
    </w:p>
    <w:p w:rsidR="0026693B" w:rsidRPr="00C43915" w:rsidRDefault="0026693B" w:rsidP="0026693B">
      <w:pPr>
        <w:pStyle w:val="Sinespaciado"/>
        <w:spacing w:before="240" w:after="240"/>
        <w:ind w:left="567" w:right="616"/>
        <w:jc w:val="both"/>
        <w:rPr>
          <w:rFonts w:ascii="Palatino Linotype" w:hAnsi="Palatino Linotype"/>
          <w:b/>
          <w:i/>
          <w:u w:val="single"/>
        </w:rPr>
      </w:pPr>
      <w:r w:rsidRPr="00C43915">
        <w:rPr>
          <w:rFonts w:ascii="Palatino Linotype" w:hAnsi="Palatino Linotype"/>
          <w:b/>
          <w:i/>
          <w:u w:val="single"/>
        </w:rPr>
        <w:t xml:space="preserve">Para efectos de lo dispuesto en el presente artículo se observará lo siguiente: </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b/>
          <w:bCs/>
          <w:i/>
          <w:u w:val="single"/>
        </w:rPr>
        <w:t xml:space="preserve">A. </w:t>
      </w:r>
      <w:r w:rsidRPr="00C43915">
        <w:rPr>
          <w:rFonts w:ascii="Palatino Linotype" w:hAnsi="Palatino Linotype"/>
          <w:b/>
          <w:i/>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rPr>
        <w:t xml:space="preserve"> </w:t>
      </w:r>
    </w:p>
    <w:p w:rsidR="0026693B" w:rsidRPr="00C43915" w:rsidRDefault="0026693B" w:rsidP="0026693B">
      <w:pPr>
        <w:pStyle w:val="Sinespaciado"/>
        <w:numPr>
          <w:ilvl w:val="0"/>
          <w:numId w:val="7"/>
        </w:numPr>
        <w:spacing w:before="240" w:after="240"/>
        <w:ind w:right="616"/>
        <w:jc w:val="both"/>
        <w:rPr>
          <w:rFonts w:ascii="Palatino Linotype" w:hAnsi="Palatino Linotype"/>
          <w:i/>
        </w:rPr>
      </w:pPr>
      <w:r w:rsidRPr="00C43915">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u w:val="single"/>
        </w:rPr>
        <w:t>, moral</w:t>
      </w:r>
      <w:r w:rsidRPr="00C43915">
        <w:rPr>
          <w:rFonts w:ascii="Palatino Linotype" w:hAnsi="Palatino Linotype"/>
          <w:i/>
        </w:rPr>
        <w:t xml:space="preserve"> o sindicato </w:t>
      </w:r>
      <w:r w:rsidRPr="00C43915">
        <w:rPr>
          <w:rFonts w:ascii="Palatino Linotype" w:hAnsi="Palatino Linotype"/>
          <w:b/>
          <w:i/>
          <w:u w:val="single"/>
        </w:rPr>
        <w:t>que reciba y ejerza recursos públicos o realice actos de autoridad en el ámbito</w:t>
      </w:r>
      <w:r w:rsidRPr="00C43915">
        <w:rPr>
          <w:rFonts w:ascii="Palatino Linotype" w:hAnsi="Palatino Linotype"/>
          <w:i/>
        </w:rPr>
        <w:t xml:space="preserve"> federal, estatal y </w:t>
      </w:r>
      <w:r w:rsidRPr="00C43915">
        <w:rPr>
          <w:rFonts w:ascii="Palatino Linotype" w:hAnsi="Palatino Linotype"/>
          <w:b/>
          <w:i/>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rPr>
        <w:t>En la interpretación de este derecho deberá prevalecer el principio de máxima publicidad</w:t>
      </w:r>
      <w:r w:rsidRPr="00C43915">
        <w:rPr>
          <w:rFonts w:ascii="Palatino Linotype" w:hAnsi="Palatino Linotype"/>
          <w:b/>
          <w:i/>
          <w:u w:val="single"/>
        </w:rPr>
        <w:t>.</w:t>
      </w:r>
      <w:r w:rsidRPr="00C43915">
        <w:rPr>
          <w:rFonts w:ascii="Palatino Linotype" w:hAnsi="Palatino Linotype"/>
          <w:i/>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26693B" w:rsidRPr="00C43915" w:rsidRDefault="0026693B" w:rsidP="0026693B">
      <w:pPr>
        <w:pStyle w:val="Sinespaciado"/>
        <w:numPr>
          <w:ilvl w:val="0"/>
          <w:numId w:val="7"/>
        </w:numPr>
        <w:spacing w:before="240" w:after="240"/>
        <w:ind w:right="616"/>
        <w:jc w:val="both"/>
        <w:rPr>
          <w:rFonts w:ascii="Palatino Linotype" w:hAnsi="Palatino Linotype"/>
          <w:i/>
        </w:rPr>
      </w:pPr>
      <w:r w:rsidRPr="00C43915">
        <w:rPr>
          <w:rFonts w:ascii="Palatino Linotype" w:hAnsi="Palatino Linotype"/>
          <w:b/>
          <w:i/>
          <w:u w:val="single"/>
        </w:rPr>
        <w:t>La información que se refiere a la vida privada y los datos personales será protegida en los términos y con las excepciones que fijen las leyes.</w:t>
      </w:r>
      <w:r w:rsidRPr="00C43915">
        <w:rPr>
          <w:rFonts w:ascii="Palatino Linotype" w:hAnsi="Palatino Linotype"/>
          <w:i/>
        </w:rPr>
        <w:t xml:space="preserve"> </w:t>
      </w:r>
    </w:p>
    <w:p w:rsidR="0026693B" w:rsidRPr="00C43915" w:rsidRDefault="0026693B" w:rsidP="0026693B">
      <w:pPr>
        <w:pStyle w:val="Sinespaciado"/>
        <w:numPr>
          <w:ilvl w:val="0"/>
          <w:numId w:val="7"/>
        </w:numPr>
        <w:spacing w:before="240" w:after="240"/>
        <w:ind w:right="616"/>
        <w:jc w:val="both"/>
        <w:rPr>
          <w:rFonts w:ascii="Palatino Linotype" w:hAnsi="Palatino Linotype"/>
          <w:i/>
        </w:rPr>
      </w:pPr>
      <w:r w:rsidRPr="00C43915">
        <w:rPr>
          <w:rFonts w:ascii="Palatino Linotype" w:hAnsi="Palatino Linotype"/>
          <w:i/>
        </w:rPr>
        <w:t>…</w:t>
      </w:r>
    </w:p>
    <w:p w:rsidR="0026693B" w:rsidRPr="00C43915" w:rsidRDefault="0026693B" w:rsidP="0026693B">
      <w:pPr>
        <w:pStyle w:val="Sinespaciado"/>
        <w:spacing w:before="240" w:after="240" w:line="360" w:lineRule="auto"/>
        <w:jc w:val="both"/>
        <w:rPr>
          <w:rFonts w:ascii="Palatino Linotype" w:hAnsi="Palatino Linotype"/>
        </w:rPr>
      </w:pPr>
      <w:r w:rsidRPr="00C43915">
        <w:rPr>
          <w:rFonts w:ascii="Palatino Linotype" w:hAnsi="Palatino Linotype"/>
        </w:rPr>
        <w:t>Asimismo, es necesario dejar establecido que el segundo párrafo del artículo 16 de la Constitución Política de los Estados Unidos Mexicanos, a la letra dice:</w:t>
      </w:r>
    </w:p>
    <w:p w:rsidR="0026693B" w:rsidRPr="00C43915" w:rsidRDefault="0026693B" w:rsidP="0026693B">
      <w:pPr>
        <w:pStyle w:val="Sinespaciado"/>
        <w:spacing w:before="240" w:after="240"/>
        <w:ind w:left="567" w:right="616"/>
        <w:jc w:val="both"/>
        <w:rPr>
          <w:rFonts w:ascii="Palatino Linotype" w:hAnsi="Palatino Linotype"/>
          <w:i/>
        </w:rPr>
      </w:pPr>
      <w:r w:rsidRPr="00C43915">
        <w:rPr>
          <w:rFonts w:ascii="Palatino Linotype" w:hAnsi="Palatino Linotype"/>
          <w:i/>
        </w:rPr>
        <w:t>“</w:t>
      </w:r>
      <w:r w:rsidRPr="00C43915">
        <w:rPr>
          <w:rFonts w:ascii="Palatino Linotype" w:hAnsi="Palatino Linotype"/>
          <w:b/>
          <w:i/>
          <w:u w:val="single"/>
        </w:rPr>
        <w:t>Toda persona tiene derecho a la protección de sus datos personales</w:t>
      </w:r>
      <w:r w:rsidRPr="00C43915">
        <w:rPr>
          <w:rFonts w:ascii="Palatino Linotype" w:hAnsi="Palatino Linotype"/>
          <w:i/>
        </w:rPr>
        <w:t xml:space="preserve">, al acceso, rectificación y cancelación de los mismos, así como a manifestar su oposición, </w:t>
      </w:r>
      <w:r w:rsidRPr="00C43915">
        <w:rPr>
          <w:rFonts w:ascii="Palatino Linotype" w:hAnsi="Palatino Linotype"/>
          <w:b/>
          <w:i/>
          <w:u w:val="single"/>
        </w:rPr>
        <w:t xml:space="preserve">en los términos que fije la ley, la cual establecerá los supuestos de excepción a los principios que rijan el tratamiento de datos, por razones </w:t>
      </w:r>
      <w:r w:rsidRPr="00C43915">
        <w:rPr>
          <w:rFonts w:ascii="Palatino Linotype" w:hAnsi="Palatino Linotype"/>
          <w:b/>
          <w:i/>
          <w:u w:val="single"/>
        </w:rPr>
        <w:lastRenderedPageBreak/>
        <w:t>de seguridad nacional, disposiciones de orden público, seguridad y salud públicas o para proteger los derechos de terceros.</w:t>
      </w:r>
      <w:r w:rsidRPr="00C43915">
        <w:rPr>
          <w:rFonts w:ascii="Palatino Linotype" w:hAnsi="Palatino Linotype"/>
          <w:i/>
        </w:rPr>
        <w:t>”</w:t>
      </w:r>
    </w:p>
    <w:p w:rsidR="0026693B" w:rsidRPr="00C43915" w:rsidRDefault="0026693B" w:rsidP="0026693B">
      <w:pPr>
        <w:pStyle w:val="Sinespaciado"/>
        <w:spacing w:before="240" w:after="240" w:line="360" w:lineRule="auto"/>
        <w:ind w:right="49"/>
        <w:jc w:val="both"/>
        <w:rPr>
          <w:rFonts w:ascii="Palatino Linotype" w:hAnsi="Palatino Linotype"/>
        </w:rPr>
      </w:pPr>
      <w:r w:rsidRPr="00C43915">
        <w:rPr>
          <w:rFonts w:ascii="Palatino Linotype" w:hAnsi="Palatino Linotype"/>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 a las licencias de construcción otorgadas para la </w:t>
      </w:r>
      <w:r>
        <w:rPr>
          <w:rFonts w:ascii="Palatino Linotype" w:hAnsi="Palatino Linotype"/>
        </w:rPr>
        <w:t>construcción del Fraccionamiento</w:t>
      </w:r>
      <w:r w:rsidRPr="00C43915">
        <w:rPr>
          <w:rFonts w:ascii="Palatino Linotype" w:hAnsi="Palatino Linotype"/>
        </w:rPr>
        <w:t xml:space="preserve"> es pública, por lo que es dable que se lleve a cabo su entrega al Recurrente. Sin embargo, en el caso en concreto se debe atender que di</w:t>
      </w:r>
      <w:r>
        <w:rPr>
          <w:rFonts w:ascii="Palatino Linotype" w:hAnsi="Palatino Linotype"/>
        </w:rPr>
        <w:t>c</w:t>
      </w:r>
      <w:r w:rsidRPr="00C43915">
        <w:rPr>
          <w:rFonts w:ascii="Palatino Linotype" w:hAnsi="Palatino Linotype"/>
        </w:rPr>
        <w:t>ho</w:t>
      </w:r>
      <w:r>
        <w:rPr>
          <w:rFonts w:ascii="Palatino Linotype" w:hAnsi="Palatino Linotype"/>
        </w:rPr>
        <w:t xml:space="preserve"> Fraccionamiento</w:t>
      </w:r>
      <w:r w:rsidRPr="00C43915">
        <w:rPr>
          <w:rFonts w:ascii="Palatino Linotype" w:hAnsi="Palatino Linotype"/>
        </w:rPr>
        <w:t xml:space="preserve"> es de naturaleza privada, y que, si bien su exhibición es posible en apego a lo señalado por las Leyes en la Materia, también es procedente que en los documentos en donde conste dicha información se teste el nombre del titular, pues éste se considera un </w:t>
      </w:r>
      <w:r w:rsidRPr="00C43915">
        <w:rPr>
          <w:rFonts w:ascii="Palatino Linotype" w:hAnsi="Palatino Linotype"/>
          <w:b/>
        </w:rPr>
        <w:t>dato personal</w:t>
      </w:r>
      <w:r w:rsidRPr="00C43915">
        <w:rPr>
          <w:rFonts w:ascii="Palatino Linotype" w:hAnsi="Palatino Linotype"/>
        </w:rPr>
        <w:t xml:space="preserve">, que está protegido por una de las dos leyes que rige al Instituto, además de que no se actualiza la hipótesis establecida en el mismo artículo 6 constitucional, apartado A, inciso I, respecto a que se trate de una persona física </w:t>
      </w:r>
      <w:r>
        <w:rPr>
          <w:rFonts w:ascii="Palatino Linotype" w:hAnsi="Palatino Linotype"/>
        </w:rPr>
        <w:t xml:space="preserve">o moral </w:t>
      </w:r>
      <w:r w:rsidRPr="00C43915">
        <w:rPr>
          <w:rFonts w:ascii="Palatino Linotype" w:hAnsi="Palatino Linotype"/>
        </w:rPr>
        <w:t xml:space="preserve">que reciba y ejerza recursos públicos o </w:t>
      </w:r>
      <w:r>
        <w:rPr>
          <w:rFonts w:ascii="Palatino Linotype" w:hAnsi="Palatino Linotype"/>
        </w:rPr>
        <w:t>realice actos de autoridad en</w:t>
      </w:r>
      <w:r w:rsidRPr="00C43915">
        <w:rPr>
          <w:rFonts w:ascii="Palatino Linotype" w:hAnsi="Palatino Linotype"/>
        </w:rPr>
        <w:t xml:space="preserve"> cualquier ámbito.</w:t>
      </w:r>
    </w:p>
    <w:p w:rsidR="00C77DFD" w:rsidRDefault="00C77DFD" w:rsidP="00C77DFD">
      <w:pPr>
        <w:autoSpaceDE w:val="0"/>
        <w:autoSpaceDN w:val="0"/>
        <w:adjustRightInd w:val="0"/>
        <w:spacing w:before="240" w:line="360" w:lineRule="auto"/>
        <w:jc w:val="both"/>
        <w:rPr>
          <w:rFonts w:ascii="Palatino Linotype" w:hAnsi="Palatino Linotype"/>
          <w:sz w:val="24"/>
          <w:szCs w:val="24"/>
        </w:rPr>
      </w:pPr>
      <w:r w:rsidRPr="00C77DFD">
        <w:rPr>
          <w:rFonts w:ascii="Palatino Linotype" w:hAnsi="Palatino Linotype"/>
          <w:sz w:val="24"/>
          <w:szCs w:val="24"/>
        </w:rPr>
        <w:t xml:space="preserve">Ahora, si bien es cierto, la información solicitada corresponde a la </w:t>
      </w:r>
      <w:r w:rsidRPr="00C77DFD">
        <w:rPr>
          <w:rFonts w:ascii="Palatino Linotype" w:hAnsi="Palatino Linotype"/>
          <w:i/>
          <w:sz w:val="24"/>
          <w:szCs w:val="24"/>
        </w:rPr>
        <w:t xml:space="preserve">solicitud </w:t>
      </w:r>
      <w:r w:rsidRPr="00C77DFD">
        <w:rPr>
          <w:rFonts w:ascii="Palatino Linotype" w:hAnsi="Palatino Linotype"/>
          <w:i/>
          <w:color w:val="000000"/>
          <w:sz w:val="24"/>
          <w:szCs w:val="24"/>
        </w:rPr>
        <w:t xml:space="preserve">o tramite de licencia de construcción en los años 2017, 2018 y 2019 por parte de la persona referida en la solicitud de información, </w:t>
      </w:r>
      <w:r>
        <w:rPr>
          <w:rFonts w:ascii="Palatino Linotype" w:hAnsi="Palatino Linotype"/>
          <w:sz w:val="24"/>
          <w:szCs w:val="24"/>
        </w:rPr>
        <w:t xml:space="preserve">es necesario que el sujeto obligado al momento de dar cumplimiento deberá de advertir si dicha licencia fue otorgada </w:t>
      </w:r>
      <w:r w:rsidRPr="007D3640">
        <w:rPr>
          <w:rFonts w:ascii="Palatino Linotype" w:hAnsi="Palatino Linotype"/>
          <w:b/>
          <w:sz w:val="24"/>
          <w:szCs w:val="24"/>
        </w:rPr>
        <w:t xml:space="preserve">a una empresa o un </w:t>
      </w:r>
      <w:r w:rsidRPr="007D3640">
        <w:rPr>
          <w:rFonts w:ascii="Palatino Linotype" w:hAnsi="Palatino Linotype"/>
          <w:b/>
          <w:sz w:val="24"/>
          <w:szCs w:val="24"/>
        </w:rPr>
        <w:lastRenderedPageBreak/>
        <w:t>particular</w:t>
      </w:r>
      <w:r>
        <w:rPr>
          <w:rFonts w:ascii="Palatino Linotype" w:hAnsi="Palatino Linotype"/>
          <w:sz w:val="24"/>
          <w:szCs w:val="24"/>
        </w:rPr>
        <w:t>, toda vez que si se trata de una persona física, se deberán de proteger los datos personales que señale la multicitada licencia.</w:t>
      </w:r>
    </w:p>
    <w:p w:rsidR="00C77DFD" w:rsidRPr="00C43915" w:rsidRDefault="00C77DFD" w:rsidP="00C77DFD">
      <w:pPr>
        <w:pStyle w:val="Sinespaciado"/>
        <w:spacing w:before="240" w:after="240" w:line="360" w:lineRule="auto"/>
        <w:ind w:right="49"/>
        <w:jc w:val="both"/>
        <w:rPr>
          <w:rFonts w:ascii="Palatino Linotype" w:hAnsi="Palatino Linotype"/>
        </w:rPr>
      </w:pPr>
      <w:r w:rsidRPr="00C43915">
        <w:rPr>
          <w:rFonts w:ascii="Palatino Linotype" w:hAnsi="Palatino Linotype"/>
        </w:rPr>
        <w:t xml:space="preserve">Conviene también establecer que la Ley de Protección de Datos local, en su artículo 4 fracción XI, define </w:t>
      </w:r>
      <w:r w:rsidRPr="00C43915">
        <w:rPr>
          <w:rFonts w:ascii="Palatino Linotype" w:hAnsi="Palatino Linotype"/>
          <w:b/>
        </w:rPr>
        <w:t>datos personales</w:t>
      </w:r>
      <w:r w:rsidRPr="00C43915">
        <w:rPr>
          <w:rFonts w:ascii="Palatino Linotype" w:hAnsi="Palatino Linotype"/>
        </w:rPr>
        <w:t xml:space="preserve"> como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electrónica. </w:t>
      </w:r>
    </w:p>
    <w:p w:rsidR="00C77DFD" w:rsidRPr="00C43915" w:rsidRDefault="00C77DFD" w:rsidP="00C77DFD">
      <w:pPr>
        <w:pStyle w:val="Sinespaciado"/>
        <w:spacing w:before="240" w:after="240" w:line="360" w:lineRule="auto"/>
        <w:ind w:right="49"/>
        <w:jc w:val="both"/>
        <w:rPr>
          <w:rFonts w:ascii="Palatino Linotype" w:hAnsi="Palatino Linotype"/>
        </w:rPr>
      </w:pPr>
      <w:r w:rsidRPr="00C43915">
        <w:rPr>
          <w:rFonts w:ascii="Palatino Linotype" w:hAnsi="Palatino Linotype"/>
        </w:rPr>
        <w:t>De igual forma, el artículo 6 de la Ley referida anteriormente, establece lo siguiente:</w:t>
      </w:r>
    </w:p>
    <w:p w:rsidR="00C77DFD" w:rsidRPr="00C43915" w:rsidRDefault="00C77DFD" w:rsidP="00C77DFD">
      <w:pPr>
        <w:pStyle w:val="Sinespaciado"/>
        <w:spacing w:before="240" w:after="240" w:line="360" w:lineRule="auto"/>
        <w:ind w:left="567" w:right="616"/>
        <w:jc w:val="both"/>
        <w:rPr>
          <w:rFonts w:ascii="Palatino Linotype" w:hAnsi="Palatino Linotype"/>
          <w:i/>
        </w:rPr>
      </w:pPr>
      <w:r w:rsidRPr="00C43915">
        <w:rPr>
          <w:rFonts w:ascii="Palatino Linotype" w:hAnsi="Palatino Linotype"/>
          <w:b/>
          <w:i/>
        </w:rPr>
        <w:t>Artículo 6.</w:t>
      </w:r>
      <w:r w:rsidRPr="00C43915">
        <w:rPr>
          <w:rFonts w:ascii="Palatino Linotype" w:hAnsi="Palatino Linotype"/>
          <w:i/>
        </w:rPr>
        <w:t xml:space="preserve"> </w:t>
      </w:r>
      <w:r w:rsidRPr="00C43915">
        <w:rPr>
          <w:rFonts w:ascii="Palatino Linotype" w:hAnsi="Palatino Linotype"/>
          <w:b/>
          <w:i/>
          <w:u w:val="single"/>
        </w:rPr>
        <w:t>El Estado garantizará la privacidad de los individuos y velará porque no se incurra en conductas que puedan afectarla arbitrariamente</w:t>
      </w:r>
      <w:r w:rsidRPr="00C43915">
        <w:rPr>
          <w:rFonts w:ascii="Palatino Linotype" w:hAnsi="Palatino Linotype"/>
          <w:i/>
        </w:rPr>
        <w:t>.</w:t>
      </w:r>
    </w:p>
    <w:p w:rsidR="00C77DFD" w:rsidRPr="00C43915" w:rsidRDefault="00C77DFD" w:rsidP="00C77DFD">
      <w:pPr>
        <w:pStyle w:val="Sinespaciado"/>
        <w:spacing w:before="240" w:after="240" w:line="360" w:lineRule="auto"/>
        <w:ind w:left="567" w:right="616"/>
        <w:jc w:val="both"/>
        <w:rPr>
          <w:rFonts w:ascii="Palatino Linotype" w:hAnsi="Palatino Linotype"/>
          <w:i/>
        </w:rPr>
      </w:pPr>
      <w:r w:rsidRPr="00C43915">
        <w:rPr>
          <w:rFonts w:ascii="Palatino Linotype" w:hAnsi="Palatino Linotype"/>
          <w:i/>
        </w:rPr>
        <w:t>Los responsables aplicarán las medidas establecidas en esta Ley para la protección de las personas y su dignidad, respecto al tratamiento de sus datos personales.</w:t>
      </w:r>
    </w:p>
    <w:p w:rsidR="00C77DFD" w:rsidRPr="00C43915" w:rsidRDefault="00C77DFD" w:rsidP="00C77DFD">
      <w:pPr>
        <w:pStyle w:val="Sinespaciado"/>
        <w:spacing w:before="240" w:after="240" w:line="360" w:lineRule="auto"/>
        <w:ind w:left="567" w:right="616"/>
        <w:jc w:val="both"/>
        <w:rPr>
          <w:rFonts w:ascii="Palatino Linotype" w:hAnsi="Palatino Linotype"/>
          <w:i/>
        </w:rPr>
      </w:pPr>
      <w:r w:rsidRPr="00C43915">
        <w:rPr>
          <w:rFonts w:ascii="Palatino Linotype" w:hAnsi="Palatino Linotype"/>
          <w:b/>
          <w:i/>
          <w:u w:val="single"/>
        </w:rPr>
        <w:t>El derecho a la protección de los datos personales solamente se limitará por razones de seguridad pública en términos de la Ley en la materia, disposiciones de orden público, salud pública o proteger los derechos de terceros</w:t>
      </w:r>
      <w:r w:rsidRPr="00C43915">
        <w:rPr>
          <w:rFonts w:ascii="Palatino Linotype" w:hAnsi="Palatino Linotype"/>
          <w:i/>
        </w:rPr>
        <w:t>.</w:t>
      </w:r>
    </w:p>
    <w:p w:rsidR="00C77DFD" w:rsidRPr="00C43915" w:rsidRDefault="00C77DFD" w:rsidP="00C77DFD">
      <w:pPr>
        <w:pStyle w:val="Sinespaciado"/>
        <w:spacing w:before="240" w:after="240" w:line="360" w:lineRule="auto"/>
        <w:ind w:right="49"/>
        <w:jc w:val="both"/>
        <w:rPr>
          <w:rFonts w:ascii="Palatino Linotype" w:hAnsi="Palatino Linotype"/>
        </w:rPr>
      </w:pPr>
      <w:r w:rsidRPr="00C43915">
        <w:rPr>
          <w:rFonts w:ascii="Palatino Linotype" w:hAnsi="Palatino Linotype"/>
        </w:rPr>
        <w:t>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w:t>
      </w:r>
    </w:p>
    <w:p w:rsidR="00C77DFD" w:rsidRPr="00C43915" w:rsidRDefault="00C77DFD" w:rsidP="00C77DFD">
      <w:pPr>
        <w:pStyle w:val="Sinespaciado"/>
        <w:spacing w:before="240" w:after="240" w:line="360" w:lineRule="auto"/>
        <w:ind w:left="567" w:right="616"/>
        <w:jc w:val="both"/>
        <w:rPr>
          <w:rFonts w:ascii="Palatino Linotype" w:hAnsi="Palatino Linotype"/>
          <w:i/>
        </w:rPr>
      </w:pPr>
      <w:r w:rsidRPr="00C43915">
        <w:rPr>
          <w:rFonts w:ascii="Palatino Linotype" w:hAnsi="Palatino Linotype"/>
          <w:b/>
          <w:i/>
        </w:rPr>
        <w:lastRenderedPageBreak/>
        <w:t>Artículo 143</w:t>
      </w:r>
      <w:r w:rsidRPr="00C43915">
        <w:rPr>
          <w:rFonts w:ascii="Palatino Linotype" w:hAnsi="Palatino Linotype"/>
          <w:i/>
        </w:rPr>
        <w:t>. Para los efectos de esta Ley se considera información confidencial, la clasificada como tal, de manera permanente, por su naturaleza, cuando:</w:t>
      </w:r>
    </w:p>
    <w:p w:rsidR="00C77DFD" w:rsidRPr="00C43915" w:rsidRDefault="00C77DFD" w:rsidP="00C77DFD">
      <w:pPr>
        <w:pStyle w:val="Sinespaciado"/>
        <w:spacing w:before="240" w:after="240" w:line="360" w:lineRule="auto"/>
        <w:ind w:left="567" w:right="616"/>
        <w:jc w:val="both"/>
        <w:rPr>
          <w:rFonts w:ascii="Palatino Linotype" w:hAnsi="Palatino Linotype"/>
          <w:i/>
        </w:rPr>
      </w:pPr>
      <w:r w:rsidRPr="00C43915">
        <w:rPr>
          <w:rFonts w:ascii="Palatino Linotype" w:hAnsi="Palatino Linotype"/>
          <w:i/>
        </w:rPr>
        <w:t>I. Se refiera a la información privada y los datos personales concernientes a una persona física o jurídico colectiva identificada o identificable;</w:t>
      </w:r>
    </w:p>
    <w:p w:rsidR="00C77DFD" w:rsidRPr="00C43915" w:rsidRDefault="00C77DFD" w:rsidP="00C77DFD">
      <w:pPr>
        <w:pStyle w:val="Sinespaciado"/>
        <w:spacing w:before="240" w:after="240" w:line="360" w:lineRule="auto"/>
        <w:ind w:right="49"/>
        <w:jc w:val="both"/>
        <w:rPr>
          <w:rFonts w:ascii="Palatino Linotype" w:hAnsi="Palatino Linotype"/>
        </w:rPr>
      </w:pPr>
      <w:r w:rsidRPr="00C43915">
        <w:rPr>
          <w:rFonts w:ascii="Palatino Linotype" w:hAnsi="Palatino Linotype"/>
        </w:rPr>
        <w:t xml:space="preserve">Es así que se está ante una colisión entre derechos: por una parte está la obligación de dejar a la vista el nombre del titular de las licencias solicitadas, en términos del artículo 70 fracción XXVII de la Ley General de Transparencia; los Lineamientos Técnicos Generales ya referidos; y por el artículo 92 fracción XXXII de la Ley en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rsidR="00C77DFD" w:rsidRDefault="00C77DFD" w:rsidP="00C77DFD">
      <w:pPr>
        <w:autoSpaceDE w:val="0"/>
        <w:autoSpaceDN w:val="0"/>
        <w:adjustRightInd w:val="0"/>
        <w:spacing w:before="240" w:line="360" w:lineRule="auto"/>
        <w:jc w:val="both"/>
        <w:rPr>
          <w:rFonts w:ascii="Palatino Linotype" w:hAnsi="Palatino Linotype"/>
          <w:sz w:val="24"/>
          <w:szCs w:val="24"/>
        </w:rPr>
      </w:pPr>
      <w:r w:rsidRPr="007F192B">
        <w:rPr>
          <w:rFonts w:ascii="Palatino Linotype" w:hAnsi="Palatino Linotype"/>
          <w:sz w:val="24"/>
          <w:szCs w:val="24"/>
        </w:rPr>
        <w:t>Por todo lo anterior, y dado que se está ante documentos públicos (la licencia de construcción) que contiene en una sección datos confidenciales, se estima que es procedente su exhibición en versión pública, en la que se proteja la información personal del titular de la licencia únicamente referente al nombre del mismo, el cual se reitera que es un particular tercero ajeno al presente procedimiento con lo que se colma la pretensión del Recurrente</w:t>
      </w:r>
    </w:p>
    <w:p w:rsidR="00C77DFD" w:rsidRDefault="00C77DFD" w:rsidP="00C77DF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De coadyuvancia con lo anterior cobra aplicación el Criterio Relevante 01/18 de la Segunda Época que a la letra reza:</w:t>
      </w:r>
    </w:p>
    <w:p w:rsidR="00C77DFD" w:rsidRPr="007F192B" w:rsidRDefault="00C77DFD" w:rsidP="00C77DFD">
      <w:pPr>
        <w:autoSpaceDE w:val="0"/>
        <w:autoSpaceDN w:val="0"/>
        <w:adjustRightInd w:val="0"/>
        <w:spacing w:before="240" w:line="360" w:lineRule="auto"/>
        <w:jc w:val="both"/>
        <w:rPr>
          <w:rFonts w:ascii="Palatino Linotype" w:hAnsi="Palatino Linotype"/>
          <w:sz w:val="24"/>
          <w:szCs w:val="24"/>
        </w:rPr>
      </w:pPr>
      <w:r>
        <w:rPr>
          <w:noProof/>
          <w:lang w:eastAsia="es-MX"/>
        </w:rPr>
        <w:lastRenderedPageBreak/>
        <w:drawing>
          <wp:inline distT="0" distB="0" distL="0" distR="0" wp14:anchorId="2A97231E" wp14:editId="032B1117">
            <wp:extent cx="5772150" cy="24072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53" t="44386" r="57176" b="28277"/>
                    <a:stretch/>
                  </pic:blipFill>
                  <pic:spPr bwMode="auto">
                    <a:xfrm>
                      <a:off x="0" y="0"/>
                      <a:ext cx="5782159" cy="2411394"/>
                    </a:xfrm>
                    <a:prstGeom prst="rect">
                      <a:avLst/>
                    </a:prstGeom>
                    <a:ln>
                      <a:noFill/>
                    </a:ln>
                    <a:extLst>
                      <a:ext uri="{53640926-AAD7-44D8-BBD7-CCE9431645EC}">
                        <a14:shadowObscured xmlns:a14="http://schemas.microsoft.com/office/drawing/2010/main"/>
                      </a:ext>
                    </a:extLst>
                  </pic:spPr>
                </pic:pic>
              </a:graphicData>
            </a:graphic>
          </wp:inline>
        </w:drawing>
      </w:r>
    </w:p>
    <w:p w:rsidR="00C77DFD" w:rsidRDefault="00C77DFD" w:rsidP="00C77DFD">
      <w:pPr>
        <w:autoSpaceDE w:val="0"/>
        <w:autoSpaceDN w:val="0"/>
        <w:adjustRightInd w:val="0"/>
        <w:spacing w:before="240" w:line="360" w:lineRule="auto"/>
        <w:jc w:val="both"/>
        <w:rPr>
          <w:rFonts w:ascii="Palatino Linotype" w:hAnsi="Palatino Linotype"/>
          <w:sz w:val="24"/>
          <w:szCs w:val="24"/>
        </w:rPr>
      </w:pPr>
      <w:r w:rsidRPr="007F192B">
        <w:rPr>
          <w:rFonts w:ascii="Palatino Linotype" w:hAnsi="Palatino Linotype"/>
          <w:sz w:val="24"/>
          <w:szCs w:val="24"/>
        </w:rPr>
        <w:t>A dicha entrega, se deberá anexar el Acuerdo de Clasificación emitido por el Comité de Transparencia del Sujeto Obligado, el cual deberá estar fundado y motivado de acuerdo a lo establecido por la normatividad vigente y aplicable.</w:t>
      </w:r>
    </w:p>
    <w:p w:rsidR="00C77DFD" w:rsidRPr="007D7AE6" w:rsidRDefault="00C77DFD" w:rsidP="00C77DFD">
      <w:pPr>
        <w:tabs>
          <w:tab w:val="left" w:pos="709"/>
        </w:tabs>
        <w:spacing w:line="360" w:lineRule="auto"/>
        <w:ind w:right="51"/>
        <w:jc w:val="both"/>
        <w:rPr>
          <w:rFonts w:ascii="Palatino Linotype" w:eastAsia="Times New Roman" w:hAnsi="Palatino Linotype" w:cs="Times New Roman"/>
          <w:color w:val="000000"/>
          <w:sz w:val="24"/>
          <w:szCs w:val="24"/>
          <w:lang w:eastAsia="es-MX"/>
        </w:rPr>
      </w:pPr>
      <w:r w:rsidRPr="000C093F">
        <w:rPr>
          <w:rFonts w:ascii="Palatino Linotype" w:hAnsi="Palatino Linotype" w:cs="Arial"/>
          <w:sz w:val="24"/>
        </w:rPr>
        <w:t>Requisitos que deben estar acompañados de la debida fundamentación y motivación, c</w:t>
      </w:r>
      <w:r w:rsidRPr="000C093F">
        <w:rPr>
          <w:rFonts w:ascii="Palatino Linotype" w:eastAsia="Times New Roman" w:hAnsi="Palatino Linotype" w:cs="Times New Roman"/>
          <w:color w:val="000000"/>
          <w:sz w:val="24"/>
          <w:szCs w:val="24"/>
          <w:lang w:eastAsia="es-MX"/>
        </w:rPr>
        <w:t>obra</w:t>
      </w:r>
      <w:r>
        <w:rPr>
          <w:rFonts w:ascii="Palatino Linotype" w:eastAsia="Times New Roman" w:hAnsi="Palatino Linotype" w:cs="Times New Roman"/>
          <w:color w:val="000000"/>
          <w:sz w:val="24"/>
          <w:szCs w:val="24"/>
          <w:lang w:eastAsia="es-MX"/>
        </w:rPr>
        <w:t>n</w:t>
      </w:r>
      <w:r w:rsidRPr="000C093F">
        <w:rPr>
          <w:rFonts w:ascii="Palatino Linotype" w:eastAsia="Times New Roman" w:hAnsi="Palatino Linotype" w:cs="Times New Roman"/>
          <w:color w:val="000000"/>
          <w:sz w:val="24"/>
          <w:szCs w:val="24"/>
          <w:lang w:eastAsia="es-MX"/>
        </w:rPr>
        <w:t>do aplicación lo que señala la jurisprudencia de la novena época visible en el Semanario Judicial de la Federación y su Gaceta. Instancia: Tribunales Colegiados de Circuito. Tesis I.4o.A.J/43 (9a.) bajo el número de registro 175082 cuyo rubro y texto esgrime;</w:t>
      </w:r>
    </w:p>
    <w:p w:rsidR="00C77DFD" w:rsidRPr="00066B3A" w:rsidRDefault="00C77DFD" w:rsidP="00C77DFD">
      <w:pPr>
        <w:spacing w:after="0" w:line="240" w:lineRule="auto"/>
        <w:ind w:left="851" w:right="850"/>
        <w:jc w:val="both"/>
        <w:rPr>
          <w:rFonts w:ascii="Palatino Linotype" w:eastAsia="Times New Roman" w:hAnsi="Palatino Linotype" w:cs="Times New Roman"/>
          <w:b/>
          <w:bCs/>
          <w:i/>
          <w:color w:val="000000"/>
          <w:sz w:val="24"/>
          <w:szCs w:val="24"/>
          <w:lang w:eastAsia="es-MX"/>
        </w:rPr>
      </w:pPr>
      <w:r w:rsidRPr="00066B3A">
        <w:rPr>
          <w:rFonts w:ascii="Palatino Linotype" w:eastAsia="Times New Roman" w:hAnsi="Palatino Linotype" w:cs="Times New Roman"/>
          <w:b/>
          <w:bCs/>
          <w:i/>
          <w:color w:val="000000"/>
          <w:sz w:val="24"/>
          <w:szCs w:val="24"/>
          <w:lang w:eastAsia="es-MX"/>
        </w:rPr>
        <w:t>FUNDAMENTACIÓN Y MOTIVACIÓN. EL ASPECTO FORMAL DE LA GARANTÍA Y SU FINALIDAD SE TRADUCEN EN EXPLICAR, JUSTIFICAR, POSIBILITAR LA DEFENSA Y COMUNICAR LA DECISIÓN.</w:t>
      </w:r>
    </w:p>
    <w:p w:rsidR="00C77DFD" w:rsidRDefault="00C77DFD" w:rsidP="00C77DFD">
      <w:pPr>
        <w:spacing w:after="0" w:line="240" w:lineRule="auto"/>
        <w:ind w:left="851" w:right="850"/>
        <w:jc w:val="both"/>
        <w:rPr>
          <w:rFonts w:ascii="Palatino Linotype" w:eastAsia="Times New Roman" w:hAnsi="Palatino Linotype" w:cs="Times New Roman"/>
          <w:i/>
          <w:color w:val="000000"/>
          <w:sz w:val="24"/>
          <w:szCs w:val="24"/>
          <w:lang w:eastAsia="es-MX"/>
        </w:rPr>
      </w:pPr>
      <w:r w:rsidRPr="00066B3A">
        <w:rPr>
          <w:rFonts w:ascii="Palatino Linotype" w:eastAsia="Times New Roman" w:hAnsi="Palatino Linotype" w:cs="Times New Roman"/>
          <w:i/>
          <w:color w:val="000000"/>
          <w:sz w:val="24"/>
          <w:szCs w:val="24"/>
          <w:lang w:eastAsia="es-MX"/>
        </w:rPr>
        <w:br/>
        <w:t>El contenido formal de la garantía de legalidad prevista en el artículo </w:t>
      </w:r>
      <w:hyperlink r:id="rId10" w:history="1">
        <w:r w:rsidRPr="00066B3A">
          <w:rPr>
            <w:rFonts w:ascii="Palatino Linotype" w:eastAsia="Times New Roman" w:hAnsi="Palatino Linotype" w:cs="Times New Roman"/>
            <w:i/>
            <w:sz w:val="24"/>
            <w:szCs w:val="24"/>
            <w:lang w:eastAsia="es-MX"/>
          </w:rPr>
          <w:t>16 constitucional</w:t>
        </w:r>
      </w:hyperlink>
      <w:r w:rsidRPr="00066B3A">
        <w:rPr>
          <w:rFonts w:ascii="Palatino Linotype" w:eastAsia="Times New Roman" w:hAnsi="Palatino Linotype" w:cs="Times New Roman"/>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066B3A">
        <w:rPr>
          <w:rFonts w:ascii="Palatino Linotype" w:eastAsia="Times New Roman" w:hAnsi="Palatino Linotype" w:cs="Times New Roman"/>
          <w:i/>
          <w:color w:val="000000"/>
          <w:sz w:val="24"/>
          <w:szCs w:val="24"/>
          <w:lang w:eastAsia="es-MX"/>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Times New Roman" w:hAnsi="Palatino Linotype" w:cs="Times New Roman"/>
          <w:i/>
          <w:color w:val="000000"/>
          <w:sz w:val="24"/>
          <w:szCs w:val="24"/>
          <w:lang w:eastAsia="es-MX"/>
        </w:rPr>
        <w:t>.</w:t>
      </w:r>
    </w:p>
    <w:p w:rsidR="00A24DE0" w:rsidRDefault="00A24DE0" w:rsidP="00C77DFD">
      <w:pPr>
        <w:tabs>
          <w:tab w:val="left" w:pos="709"/>
        </w:tabs>
        <w:spacing w:before="240" w:line="360" w:lineRule="auto"/>
        <w:ind w:right="51"/>
        <w:jc w:val="both"/>
        <w:rPr>
          <w:rFonts w:ascii="Palatino Linotype" w:hAnsi="Palatino Linotype"/>
          <w:sz w:val="24"/>
          <w:szCs w:val="24"/>
        </w:rPr>
      </w:pPr>
    </w:p>
    <w:p w:rsidR="005872D8" w:rsidRPr="005872D8" w:rsidRDefault="005872D8" w:rsidP="007E7911">
      <w:pPr>
        <w:pStyle w:val="Prrafodelista"/>
        <w:numPr>
          <w:ilvl w:val="0"/>
          <w:numId w:val="3"/>
        </w:numPr>
        <w:autoSpaceDE w:val="0"/>
        <w:autoSpaceDN w:val="0"/>
        <w:adjustRightInd w:val="0"/>
        <w:spacing w:before="240" w:after="240" w:line="360" w:lineRule="auto"/>
        <w:jc w:val="both"/>
        <w:rPr>
          <w:rFonts w:ascii="Palatino Linotype" w:hAnsi="Palatino Linotype"/>
          <w:b/>
          <w:i/>
        </w:rPr>
      </w:pPr>
      <w:r w:rsidRPr="005872D8">
        <w:rPr>
          <w:rFonts w:ascii="Palatino Linotype" w:hAnsi="Palatino Linotype"/>
          <w:b/>
          <w:i/>
        </w:rPr>
        <w:t xml:space="preserve">Vista a los Órganos de Control Interno </w:t>
      </w:r>
    </w:p>
    <w:p w:rsidR="005872D8" w:rsidRPr="00881696" w:rsidRDefault="005872D8" w:rsidP="00881696">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5872D8" w:rsidRPr="00881696" w:rsidRDefault="005872D8" w:rsidP="00881696">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36.</w:t>
      </w:r>
      <w:r w:rsidRPr="006010FE">
        <w:rPr>
          <w:rFonts w:ascii="Palatino Linotype" w:eastAsia="MS Mincho" w:hAnsi="Palatino Linotype" w:cs="Times New Roman"/>
          <w:i/>
        </w:rPr>
        <w:t xml:space="preserve"> El Instituto tendrá, en el ámbito de su competencia, las siguientes atribuciones:</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Pr="006010FE" w:rsidRDefault="005872D8" w:rsidP="005872D8">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5872D8" w:rsidRPr="00C77DFD" w:rsidRDefault="005872D8" w:rsidP="00C77DFD">
      <w:pPr>
        <w:spacing w:before="240" w:line="360" w:lineRule="auto"/>
        <w:ind w:left="567"/>
        <w:jc w:val="both"/>
        <w:rPr>
          <w:rFonts w:ascii="Palatino Linotype" w:hAnsi="Palatino Linotype"/>
          <w:i/>
        </w:rPr>
      </w:pPr>
      <w:r w:rsidRPr="00C77DFD">
        <w:rPr>
          <w:rFonts w:ascii="Palatino Linotype" w:hAnsi="Palatino Linotype"/>
          <w:i/>
        </w:rPr>
        <w:lastRenderedPageBreak/>
        <w:t>(…)</w:t>
      </w:r>
    </w:p>
    <w:p w:rsidR="005872D8" w:rsidRPr="00C77DFD" w:rsidRDefault="005872D8" w:rsidP="00C77DFD">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872D8" w:rsidRPr="00C77DFD" w:rsidRDefault="005872D8" w:rsidP="00C77DFD">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872D8" w:rsidRPr="00C77DFD" w:rsidRDefault="005872D8" w:rsidP="00C77DFD">
      <w:pPr>
        <w:spacing w:before="240" w:line="360" w:lineRule="auto"/>
        <w:jc w:val="both"/>
        <w:rPr>
          <w:rFonts w:ascii="Palatino Linotype" w:hAnsi="Palatino Linotype"/>
          <w:sz w:val="24"/>
        </w:rPr>
      </w:pPr>
      <w:r w:rsidRPr="00C77DFD">
        <w:rPr>
          <w:rFonts w:ascii="Palatino Linotype" w:hAnsi="Palatino Linotype"/>
          <w:sz w:val="24"/>
        </w:rPr>
        <w:t xml:space="preserve">Por lo tanto, en mérito de lo expuesto en líneas anteriores, con fundamento en la fracción IV, del artículo 186, de la Ley de Transparencia y Acceso a la Información Pública del Estado de México y Municipios, se ORDENA al Sujeto Obligado, atienda la solicitud de información </w:t>
      </w:r>
      <w:r w:rsidR="00C77DFD" w:rsidRPr="00C77DFD">
        <w:rPr>
          <w:rFonts w:ascii="Palatino Linotype" w:hAnsi="Palatino Linotype"/>
          <w:b/>
          <w:sz w:val="24"/>
        </w:rPr>
        <w:t>00005/VABRAVO/IP/2019</w:t>
      </w:r>
      <w:r w:rsidRPr="00C77DFD">
        <w:rPr>
          <w:rFonts w:ascii="Palatino Linotype" w:hAnsi="Palatino Linotype"/>
          <w:sz w:val="24"/>
        </w:rPr>
        <w:t>, que ha sido materia del presente fallo.</w:t>
      </w:r>
    </w:p>
    <w:p w:rsidR="005872D8" w:rsidRPr="00C77DFD" w:rsidRDefault="005872D8" w:rsidP="00C77DFD">
      <w:pPr>
        <w:spacing w:before="240" w:line="360" w:lineRule="auto"/>
        <w:jc w:val="both"/>
        <w:rPr>
          <w:rFonts w:ascii="Palatino Linotype" w:hAnsi="Palatino Linotype"/>
          <w:sz w:val="24"/>
        </w:rPr>
      </w:pPr>
      <w:r w:rsidRPr="00C77DFD">
        <w:rPr>
          <w:rFonts w:ascii="Palatino Linotype" w:hAnsi="Palatino Linotype"/>
          <w:sz w:val="24"/>
        </w:rPr>
        <w:t>Por lo antes expuesto y fundado es de resolverse y;</w:t>
      </w:r>
    </w:p>
    <w:p w:rsidR="00C77DFD" w:rsidRDefault="00C77DFD" w:rsidP="005872D8">
      <w:pPr>
        <w:spacing w:before="240" w:line="360" w:lineRule="auto"/>
        <w:jc w:val="both"/>
        <w:rPr>
          <w:rFonts w:ascii="Palatino Linotype" w:hAnsi="Palatino Linotype" w:cs="Arial"/>
          <w:sz w:val="24"/>
        </w:rPr>
      </w:pPr>
    </w:p>
    <w:p w:rsidR="00C77DFD" w:rsidRDefault="00C77DFD" w:rsidP="005872D8">
      <w:pPr>
        <w:spacing w:before="240" w:line="360" w:lineRule="auto"/>
        <w:jc w:val="both"/>
        <w:rPr>
          <w:rFonts w:ascii="Palatino Linotype" w:hAnsi="Palatino Linotype" w:cs="Arial"/>
          <w:sz w:val="24"/>
        </w:rPr>
      </w:pPr>
    </w:p>
    <w:p w:rsidR="005872D8" w:rsidRDefault="005872D8" w:rsidP="005872D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5872D8" w:rsidRDefault="005872D8" w:rsidP="005872D8">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881696" w:rsidRPr="00B867D8" w:rsidRDefault="005872D8" w:rsidP="001B4D8F">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C77DFD" w:rsidRPr="00C77DFD">
        <w:rPr>
          <w:rFonts w:ascii="Palatino Linotype" w:hAnsi="Palatino Linotype" w:cs="Arial"/>
          <w:b/>
          <w:bCs/>
          <w:sz w:val="24"/>
        </w:rPr>
        <w:t>00005/VABRAVO/IP/2019</w:t>
      </w:r>
      <w:r w:rsidR="00B05080">
        <w:rPr>
          <w:rFonts w:ascii="Palatino Linotype" w:hAnsi="Palatino Linotype" w:cs="Arial"/>
          <w:b/>
          <w:bCs/>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sidR="00041AE5">
        <w:rPr>
          <w:rFonts w:ascii="Palatino Linotype" w:hAnsi="Palatino Linotype" w:cs="Arial"/>
          <w:sz w:val="24"/>
          <w:lang w:eastAsia="es-MX"/>
        </w:rPr>
        <w:t>.</w:t>
      </w:r>
    </w:p>
    <w:p w:rsidR="00881696" w:rsidRDefault="005872D8" w:rsidP="005872D8">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872D8" w:rsidRDefault="005872D8" w:rsidP="005872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316568">
        <w:rPr>
          <w:rFonts w:ascii="Palatino Linotype" w:hAnsi="Palatino Linotype" w:cs="Arial"/>
          <w:b/>
          <w:sz w:val="24"/>
          <w:szCs w:val="24"/>
        </w:rPr>
        <w:t xml:space="preserve">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00316568" w:rsidRPr="00316568">
        <w:rPr>
          <w:rFonts w:ascii="Palatino Linotype" w:hAnsi="Palatino Linotype" w:cs="Arial"/>
          <w:sz w:val="24"/>
          <w:szCs w:val="24"/>
        </w:rPr>
        <w:t>la presente resolución</w:t>
      </w:r>
      <w:r w:rsidR="00316568">
        <w:rPr>
          <w:rFonts w:ascii="Palatino Linotype" w:hAnsi="Palatino Linotype" w:cs="Arial"/>
          <w:sz w:val="24"/>
          <w:szCs w:val="24"/>
        </w:rPr>
        <w:t xml:space="preserve"> y hágase de su conocimiento que </w:t>
      </w:r>
      <w:r>
        <w:rPr>
          <w:rFonts w:ascii="Palatino Linotype" w:hAnsi="Palatino Linotype" w:cs="Arial"/>
          <w:sz w:val="24"/>
          <w:szCs w:val="24"/>
        </w:rPr>
        <w:t xml:space="preserve">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881696" w:rsidRDefault="00881696" w:rsidP="005872D8">
      <w:pPr>
        <w:autoSpaceDE w:val="0"/>
        <w:autoSpaceDN w:val="0"/>
        <w:adjustRightInd w:val="0"/>
        <w:spacing w:before="240" w:line="360" w:lineRule="auto"/>
        <w:jc w:val="both"/>
        <w:rPr>
          <w:rFonts w:ascii="Palatino Linotype" w:hAnsi="Palatino Linotype" w:cs="Arial"/>
          <w:sz w:val="24"/>
          <w:szCs w:val="24"/>
        </w:rPr>
      </w:pPr>
    </w:p>
    <w:p w:rsidR="005872D8" w:rsidRDefault="005872D8" w:rsidP="005872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2443A" w:rsidRDefault="0035772D" w:rsidP="0035772D">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A2443A">
        <w:rPr>
          <w:rFonts w:ascii="Palatino Linotype" w:hAnsi="Palatino Linotype" w:cs="Arial"/>
          <w:sz w:val="24"/>
          <w:szCs w:val="24"/>
        </w:rPr>
        <w:t xml:space="preserve"> EMITIENDO VOTO PARTICULAR</w:t>
      </w:r>
      <w:r>
        <w:rPr>
          <w:rFonts w:ascii="Palatino Linotype" w:hAnsi="Palatino Linotype" w:cs="Arial"/>
          <w:sz w:val="24"/>
          <w:szCs w:val="24"/>
        </w:rPr>
        <w:t>, JOSÉ GUADALUPE LUNA HERNÁNDEZ</w:t>
      </w:r>
      <w:r w:rsidR="005731B2">
        <w:rPr>
          <w:rFonts w:ascii="Palatino Linotype" w:hAnsi="Palatino Linotype" w:cs="Arial"/>
          <w:sz w:val="24"/>
          <w:szCs w:val="24"/>
        </w:rPr>
        <w:t xml:space="preserve"> </w:t>
      </w:r>
      <w:r w:rsidR="005731B2" w:rsidRPr="005731B2">
        <w:rPr>
          <w:rFonts w:ascii="Palatino Linotype" w:hAnsi="Palatino Linotype" w:cs="Arial"/>
          <w:sz w:val="24"/>
          <w:szCs w:val="24"/>
        </w:rPr>
        <w:t>AUSENCIA JUSTIFICADA</w:t>
      </w:r>
      <w:r w:rsidR="005731B2">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A2443A">
        <w:rPr>
          <w:rFonts w:ascii="Palatino Linotype" w:hAnsi="Palatino Linotype" w:cs="Arial"/>
          <w:sz w:val="24"/>
          <w:szCs w:val="24"/>
        </w:rPr>
        <w:t xml:space="preserve">EN LA DÉCIMO CUARTA </w:t>
      </w:r>
      <w:r w:rsidR="00634EE7">
        <w:rPr>
          <w:rFonts w:ascii="Palatino Linotype" w:hAnsi="Palatino Linotype" w:cs="Arial"/>
          <w:sz w:val="24"/>
          <w:szCs w:val="24"/>
        </w:rPr>
        <w:t xml:space="preserve">SESIÓN ORDINARIA CELEBRADA EL </w:t>
      </w:r>
      <w:r w:rsidR="00A2443A">
        <w:rPr>
          <w:rFonts w:ascii="Palatino Linotype" w:hAnsi="Palatino Linotype" w:cs="Arial"/>
          <w:sz w:val="24"/>
          <w:szCs w:val="24"/>
        </w:rPr>
        <w:t>DIEZ DE ABRIL</w:t>
      </w:r>
      <w:r w:rsidR="00634EE7">
        <w:rPr>
          <w:rFonts w:ascii="Palatino Linotype" w:hAnsi="Palatino Linotype" w:cs="Arial"/>
          <w:sz w:val="24"/>
          <w:szCs w:val="24"/>
        </w:rPr>
        <w:t xml:space="preserve"> DE DOS MIL DIECINUEVE, ANTE EL SECRETARIO TÉCNICO DEL PLENO, ALEXIS TAPIA RAMÍREZ.------------------------</w:t>
      </w:r>
      <w:r>
        <w:rPr>
          <w:rFonts w:ascii="Palatino Linotype" w:hAnsi="Palatino Linotype" w:cs="Arial"/>
          <w:sz w:val="24"/>
          <w:szCs w:val="24"/>
        </w:rPr>
        <w:t>----------------------------------------------------------------------------------------------------------------------------------------------------------------------------------------------------------------------------------------------------------------------------------------------------------------------------------------------------------------------------------------------------------------------------------------------------------------------------------------------------------------------------------------------------------------------------------------------------------------------------------------------------------------------------------------------------------------------------------------------------------------------------------------------------------------------------------------------------------------------------</w:t>
      </w:r>
      <w:r w:rsidR="005731B2">
        <w:rPr>
          <w:rFonts w:ascii="Palatino Linotype" w:hAnsi="Palatino Linotype" w:cs="Arial"/>
          <w:sz w:val="24"/>
          <w:szCs w:val="24"/>
        </w:rPr>
        <w:t>------------------------------------------------------------</w:t>
      </w:r>
    </w:p>
    <w:p w:rsidR="00A459D0" w:rsidRDefault="00A459D0"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Pr="00A2443A" w:rsidRDefault="00A459D0" w:rsidP="00A459D0">
      <w:pPr>
        <w:spacing w:before="240"/>
        <w:rPr>
          <w:rFonts w:ascii="Palatino Linotype" w:hAnsi="Palatino Linotype"/>
          <w:b/>
          <w:sz w:val="18"/>
          <w:szCs w:val="18"/>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5731B2">
                              <w:rPr>
                                <w:rFonts w:ascii="Palatino Linotype" w:hAnsi="Palatino Linotype"/>
                                <w:b/>
                                <w:sz w:val="24"/>
                                <w:szCs w:val="24"/>
                              </w:rPr>
                              <w:t>Ausencia Justificada</w:t>
                            </w:r>
                            <w:r>
                              <w:rPr>
                                <w:rFonts w:ascii="Palatino Linotype" w:hAnsi="Palatino Linotype"/>
                                <w:b/>
                                <w:sz w:val="24"/>
                                <w:szCs w:val="24"/>
                              </w:rPr>
                              <w:t>).</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5731B2">
                        <w:rPr>
                          <w:rFonts w:ascii="Palatino Linotype" w:hAnsi="Palatino Linotype"/>
                          <w:b/>
                          <w:sz w:val="24"/>
                          <w:szCs w:val="24"/>
                        </w:rPr>
                        <w:t>Ausencia Justificada</w:t>
                      </w:r>
                      <w:r>
                        <w:rPr>
                          <w:rFonts w:ascii="Palatino Linotype" w:hAnsi="Palatino Linotype"/>
                          <w:b/>
                          <w:sz w:val="24"/>
                          <w:szCs w:val="24"/>
                        </w:rPr>
                        <w:t>).</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A2443A" w:rsidRDefault="00A459D0" w:rsidP="00634EE7">
      <w:pPr>
        <w:spacing w:after="0" w:line="240" w:lineRule="auto"/>
        <w:jc w:val="both"/>
        <w:rPr>
          <w:rFonts w:ascii="Palatino Linotype" w:hAnsi="Palatino Linotype" w:cs="Arial"/>
        </w:rPr>
      </w:pPr>
      <w:r w:rsidRPr="00A2443A">
        <w:rPr>
          <w:rFonts w:ascii="Palatino Linotype" w:hAnsi="Palatino Linotype" w:cs="Arial"/>
        </w:rPr>
        <w:t xml:space="preserve">Esta hoja corresponde a la resolución de fecha </w:t>
      </w:r>
      <w:r w:rsidR="00A2443A">
        <w:rPr>
          <w:rFonts w:ascii="Palatino Linotype" w:hAnsi="Palatino Linotype" w:cs="Arial"/>
        </w:rPr>
        <w:t>diez de abril</w:t>
      </w:r>
      <w:r w:rsidR="0035772D" w:rsidRPr="00A2443A">
        <w:rPr>
          <w:rFonts w:ascii="Palatino Linotype" w:hAnsi="Palatino Linotype" w:cs="Arial"/>
        </w:rPr>
        <w:t xml:space="preserve"> de dos mil diecinueve</w:t>
      </w:r>
      <w:r w:rsidRPr="00A2443A">
        <w:rPr>
          <w:rFonts w:ascii="Palatino Linotype" w:hAnsi="Palatino Linotype" w:cs="Arial"/>
        </w:rPr>
        <w:t xml:space="preserve">, emitida en el recurso de revisión </w:t>
      </w:r>
      <w:r w:rsidR="00A2443A">
        <w:rPr>
          <w:rFonts w:ascii="Palatino Linotype" w:hAnsi="Palatino Linotype" w:cs="Arial"/>
          <w:bCs/>
          <w:lang w:eastAsia="es-MX"/>
        </w:rPr>
        <w:t>00420/INFOEM/IP/RR/2019</w:t>
      </w:r>
      <w:r w:rsidRPr="00A2443A">
        <w:rPr>
          <w:rFonts w:ascii="Palatino Linotype" w:hAnsi="Palatino Linotype" w:cs="Arial"/>
        </w:rPr>
        <w:t>.</w:t>
      </w:r>
    </w:p>
    <w:p w:rsidR="00A459D0" w:rsidRPr="00A2443A" w:rsidRDefault="008113C9" w:rsidP="00634EE7">
      <w:pPr>
        <w:spacing w:after="0"/>
        <w:rPr>
          <w:rFonts w:ascii="Palatino Linotype" w:hAnsi="Palatino Linotype"/>
        </w:rPr>
      </w:pPr>
      <w:r w:rsidRPr="00A2443A">
        <w:rPr>
          <w:rFonts w:ascii="Palatino Linotype" w:hAnsi="Palatino Linotype"/>
        </w:rPr>
        <w:t>ZMS/OSAM/MAEM</w:t>
      </w:r>
    </w:p>
    <w:sectPr w:rsidR="00A459D0" w:rsidRPr="00A2443A"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7B" w:rsidRDefault="0089377B" w:rsidP="00E15E85">
      <w:pPr>
        <w:spacing w:after="0" w:line="240" w:lineRule="auto"/>
      </w:pPr>
      <w:r>
        <w:separator/>
      </w:r>
    </w:p>
  </w:endnote>
  <w:endnote w:type="continuationSeparator" w:id="0">
    <w:p w:rsidR="0089377B" w:rsidRDefault="0089377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B17">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5B1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10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105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7B" w:rsidRDefault="0089377B" w:rsidP="00E15E85">
      <w:pPr>
        <w:spacing w:after="0" w:line="240" w:lineRule="auto"/>
      </w:pPr>
      <w:r>
        <w:separator/>
      </w:r>
    </w:p>
  </w:footnote>
  <w:footnote w:type="continuationSeparator" w:id="0">
    <w:p w:rsidR="0089377B" w:rsidRDefault="0089377B"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435D1" w:rsidRPr="00B92BC3" w:rsidRDefault="006435D1" w:rsidP="006435D1">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6435D1" w:rsidRDefault="006435D1" w:rsidP="007E7911">
      <w:pPr>
        <w:pStyle w:val="Textonotapie"/>
        <w:numPr>
          <w:ilvl w:val="0"/>
          <w:numId w:val="2"/>
        </w:numPr>
        <w:spacing w:line="276" w:lineRule="auto"/>
        <w:jc w:val="both"/>
      </w:pPr>
      <w:r w:rsidRPr="00B92BC3">
        <w:rPr>
          <w:rFonts w:ascii="Arial" w:hAnsi="Arial" w:cs="Arial"/>
          <w:sz w:val="18"/>
        </w:rPr>
        <w:t>La falta de respuesta a una solicitud de acceso a la información;</w:t>
      </w:r>
    </w:p>
  </w:footnote>
  <w:footnote w:id="3">
    <w:p w:rsidR="00F67006" w:rsidRPr="00F67006" w:rsidRDefault="00F67006" w:rsidP="00221675">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A334B2" w:rsidP="00F65A7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004</w:t>
          </w:r>
          <w:r w:rsidR="007506D4">
            <w:rPr>
              <w:rFonts w:ascii="Palatino Linotype" w:hAnsi="Palatino Linotype" w:cs="Arial"/>
              <w:bCs/>
              <w:sz w:val="24"/>
              <w:lang w:eastAsia="es-MX"/>
            </w:rPr>
            <w:t>20/INFOEM/IP/RR/2019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A334B2" w:rsidP="00E15E85">
          <w:pPr>
            <w:spacing w:after="120" w:line="256" w:lineRule="auto"/>
            <w:ind w:left="-486" w:right="214" w:firstLine="284"/>
            <w:jc w:val="right"/>
            <w:rPr>
              <w:rFonts w:ascii="Palatino Linotype" w:hAnsi="Palatino Linotype" w:cs="Arial"/>
              <w:szCs w:val="20"/>
            </w:rPr>
          </w:pPr>
          <w:r w:rsidRPr="00A334B2">
            <w:rPr>
              <w:rFonts w:ascii="Palatino Linotype" w:hAnsi="Palatino Linotype" w:cs="Arial"/>
              <w:szCs w:val="20"/>
            </w:rPr>
            <w:t>Ayuntamiento de Valle de Bravo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A334B2"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004</w:t>
          </w:r>
          <w:r w:rsidR="007506D4">
            <w:rPr>
              <w:rFonts w:ascii="Palatino Linotype" w:hAnsi="Palatino Linotype" w:cs="Arial"/>
              <w:bCs/>
              <w:sz w:val="24"/>
              <w:lang w:eastAsia="es-MX"/>
            </w:rPr>
            <w:t>20/INFOEM/IP/RR/2019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38105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 XXXX 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A334B2" w:rsidP="0015550A">
          <w:pPr>
            <w:spacing w:after="120" w:line="256" w:lineRule="auto"/>
            <w:ind w:left="-495" w:right="214" w:firstLine="567"/>
            <w:jc w:val="right"/>
            <w:rPr>
              <w:rFonts w:ascii="Palatino Linotype" w:hAnsi="Palatino Linotype" w:cs="Arial"/>
              <w:szCs w:val="20"/>
            </w:rPr>
          </w:pPr>
          <w:r w:rsidRPr="00A334B2">
            <w:rPr>
              <w:rFonts w:ascii="Palatino Linotype" w:hAnsi="Palatino Linotype" w:cs="Arial"/>
              <w:szCs w:val="20"/>
            </w:rPr>
            <w:t>Ayuntamiento de Valle de Bravo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76DE"/>
    <w:multiLevelType w:val="hybridMultilevel"/>
    <w:tmpl w:val="3E36F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EC0428"/>
    <w:multiLevelType w:val="hybridMultilevel"/>
    <w:tmpl w:val="1EC4A93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7ACF2AAD"/>
    <w:multiLevelType w:val="hybridMultilevel"/>
    <w:tmpl w:val="AF34C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6"/>
  </w:num>
  <w:num w:numId="6">
    <w:abstractNumId w:val="0"/>
  </w:num>
  <w:num w:numId="7">
    <w:abstractNumId w:val="5"/>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1A9"/>
    <w:rsid w:val="0003050E"/>
    <w:rsid w:val="00035F8F"/>
    <w:rsid w:val="00040448"/>
    <w:rsid w:val="00041425"/>
    <w:rsid w:val="00041AE5"/>
    <w:rsid w:val="0004795A"/>
    <w:rsid w:val="00053ED1"/>
    <w:rsid w:val="00062CBD"/>
    <w:rsid w:val="00073973"/>
    <w:rsid w:val="00074A99"/>
    <w:rsid w:val="00076643"/>
    <w:rsid w:val="00082DF3"/>
    <w:rsid w:val="00091D98"/>
    <w:rsid w:val="000C22EC"/>
    <w:rsid w:val="000C59EE"/>
    <w:rsid w:val="000F019E"/>
    <w:rsid w:val="001140CF"/>
    <w:rsid w:val="0011750A"/>
    <w:rsid w:val="0012266D"/>
    <w:rsid w:val="00130D58"/>
    <w:rsid w:val="00131400"/>
    <w:rsid w:val="0015550A"/>
    <w:rsid w:val="00171BD5"/>
    <w:rsid w:val="00183623"/>
    <w:rsid w:val="001A6D6B"/>
    <w:rsid w:val="001B066D"/>
    <w:rsid w:val="001B3E5E"/>
    <w:rsid w:val="001B4D8F"/>
    <w:rsid w:val="001C28D0"/>
    <w:rsid w:val="001C3E01"/>
    <w:rsid w:val="001C3F41"/>
    <w:rsid w:val="001C7069"/>
    <w:rsid w:val="0020079C"/>
    <w:rsid w:val="002052F6"/>
    <w:rsid w:val="00217E99"/>
    <w:rsid w:val="00221675"/>
    <w:rsid w:val="00223C2F"/>
    <w:rsid w:val="00224181"/>
    <w:rsid w:val="00233D51"/>
    <w:rsid w:val="00240133"/>
    <w:rsid w:val="002606F0"/>
    <w:rsid w:val="0026534C"/>
    <w:rsid w:val="0026693B"/>
    <w:rsid w:val="002677ED"/>
    <w:rsid w:val="00283814"/>
    <w:rsid w:val="00287512"/>
    <w:rsid w:val="002902D7"/>
    <w:rsid w:val="00294223"/>
    <w:rsid w:val="00294D34"/>
    <w:rsid w:val="002971B0"/>
    <w:rsid w:val="002A1820"/>
    <w:rsid w:val="002A30B2"/>
    <w:rsid w:val="002A6F17"/>
    <w:rsid w:val="002B067A"/>
    <w:rsid w:val="002B144D"/>
    <w:rsid w:val="003011A8"/>
    <w:rsid w:val="003034F4"/>
    <w:rsid w:val="00316568"/>
    <w:rsid w:val="00317B8A"/>
    <w:rsid w:val="003301AD"/>
    <w:rsid w:val="00330A95"/>
    <w:rsid w:val="00333F5E"/>
    <w:rsid w:val="003341B0"/>
    <w:rsid w:val="00334E11"/>
    <w:rsid w:val="003402E5"/>
    <w:rsid w:val="00342A59"/>
    <w:rsid w:val="0034696E"/>
    <w:rsid w:val="003470B1"/>
    <w:rsid w:val="003474F2"/>
    <w:rsid w:val="0035772D"/>
    <w:rsid w:val="00357BFC"/>
    <w:rsid w:val="00381054"/>
    <w:rsid w:val="00385299"/>
    <w:rsid w:val="0039084D"/>
    <w:rsid w:val="003B465B"/>
    <w:rsid w:val="003C5897"/>
    <w:rsid w:val="003E5B17"/>
    <w:rsid w:val="0040091A"/>
    <w:rsid w:val="004153D1"/>
    <w:rsid w:val="004254FE"/>
    <w:rsid w:val="00437C82"/>
    <w:rsid w:val="00463442"/>
    <w:rsid w:val="00492244"/>
    <w:rsid w:val="004A2BFB"/>
    <w:rsid w:val="004C3693"/>
    <w:rsid w:val="004C4A2F"/>
    <w:rsid w:val="004E6DB3"/>
    <w:rsid w:val="004F05B2"/>
    <w:rsid w:val="00505DE1"/>
    <w:rsid w:val="00511C94"/>
    <w:rsid w:val="005205B0"/>
    <w:rsid w:val="00523067"/>
    <w:rsid w:val="00527856"/>
    <w:rsid w:val="00527C6A"/>
    <w:rsid w:val="005329E8"/>
    <w:rsid w:val="0054482E"/>
    <w:rsid w:val="005664F0"/>
    <w:rsid w:val="005731B2"/>
    <w:rsid w:val="005733EB"/>
    <w:rsid w:val="0057576D"/>
    <w:rsid w:val="005872D8"/>
    <w:rsid w:val="00611799"/>
    <w:rsid w:val="00614FDD"/>
    <w:rsid w:val="00616784"/>
    <w:rsid w:val="00631B59"/>
    <w:rsid w:val="00634EE7"/>
    <w:rsid w:val="006435D1"/>
    <w:rsid w:val="00644741"/>
    <w:rsid w:val="00653B08"/>
    <w:rsid w:val="00654B56"/>
    <w:rsid w:val="00666702"/>
    <w:rsid w:val="00671352"/>
    <w:rsid w:val="00673CFD"/>
    <w:rsid w:val="006B0BCB"/>
    <w:rsid w:val="006B2E10"/>
    <w:rsid w:val="006C1A4F"/>
    <w:rsid w:val="006F2EA8"/>
    <w:rsid w:val="00707CD8"/>
    <w:rsid w:val="0071620F"/>
    <w:rsid w:val="00725936"/>
    <w:rsid w:val="007506D4"/>
    <w:rsid w:val="00755099"/>
    <w:rsid w:val="0079194D"/>
    <w:rsid w:val="007A0267"/>
    <w:rsid w:val="007A23DB"/>
    <w:rsid w:val="007C1445"/>
    <w:rsid w:val="007D276C"/>
    <w:rsid w:val="007D48FA"/>
    <w:rsid w:val="007D62B3"/>
    <w:rsid w:val="007E2959"/>
    <w:rsid w:val="007E7911"/>
    <w:rsid w:val="008113C9"/>
    <w:rsid w:val="00845C1C"/>
    <w:rsid w:val="00872278"/>
    <w:rsid w:val="00875499"/>
    <w:rsid w:val="00881696"/>
    <w:rsid w:val="00881D0D"/>
    <w:rsid w:val="0089377B"/>
    <w:rsid w:val="008A12F6"/>
    <w:rsid w:val="008B34EC"/>
    <w:rsid w:val="008E0E21"/>
    <w:rsid w:val="008E5141"/>
    <w:rsid w:val="008F7A52"/>
    <w:rsid w:val="009278F2"/>
    <w:rsid w:val="00943223"/>
    <w:rsid w:val="0094613F"/>
    <w:rsid w:val="00976A65"/>
    <w:rsid w:val="00980401"/>
    <w:rsid w:val="009838CD"/>
    <w:rsid w:val="00991CC2"/>
    <w:rsid w:val="00994336"/>
    <w:rsid w:val="00997030"/>
    <w:rsid w:val="009B76BF"/>
    <w:rsid w:val="009C75A5"/>
    <w:rsid w:val="009E3B36"/>
    <w:rsid w:val="009F7948"/>
    <w:rsid w:val="00A2443A"/>
    <w:rsid w:val="00A24DE0"/>
    <w:rsid w:val="00A334B2"/>
    <w:rsid w:val="00A459D0"/>
    <w:rsid w:val="00A70873"/>
    <w:rsid w:val="00A92C85"/>
    <w:rsid w:val="00A948EF"/>
    <w:rsid w:val="00A97BA2"/>
    <w:rsid w:val="00AA2CB1"/>
    <w:rsid w:val="00AC1D50"/>
    <w:rsid w:val="00B05080"/>
    <w:rsid w:val="00B052B4"/>
    <w:rsid w:val="00B10B28"/>
    <w:rsid w:val="00B131CC"/>
    <w:rsid w:val="00B17A1D"/>
    <w:rsid w:val="00B258A2"/>
    <w:rsid w:val="00B34A6D"/>
    <w:rsid w:val="00B355AB"/>
    <w:rsid w:val="00B42B5D"/>
    <w:rsid w:val="00B44BB1"/>
    <w:rsid w:val="00B50BD7"/>
    <w:rsid w:val="00B51395"/>
    <w:rsid w:val="00B54578"/>
    <w:rsid w:val="00B67466"/>
    <w:rsid w:val="00B74369"/>
    <w:rsid w:val="00B867D8"/>
    <w:rsid w:val="00BA2458"/>
    <w:rsid w:val="00BA68FA"/>
    <w:rsid w:val="00BC1280"/>
    <w:rsid w:val="00BC1C0A"/>
    <w:rsid w:val="00BC4EF7"/>
    <w:rsid w:val="00BD12C0"/>
    <w:rsid w:val="00BE7547"/>
    <w:rsid w:val="00C16071"/>
    <w:rsid w:val="00C203E8"/>
    <w:rsid w:val="00C25BA8"/>
    <w:rsid w:val="00C56C4E"/>
    <w:rsid w:val="00C6478B"/>
    <w:rsid w:val="00C64C22"/>
    <w:rsid w:val="00C66E70"/>
    <w:rsid w:val="00C77DFD"/>
    <w:rsid w:val="00C80AEF"/>
    <w:rsid w:val="00CE10AB"/>
    <w:rsid w:val="00D01D6A"/>
    <w:rsid w:val="00D120B9"/>
    <w:rsid w:val="00D35E6F"/>
    <w:rsid w:val="00D43FD0"/>
    <w:rsid w:val="00D528A6"/>
    <w:rsid w:val="00D56BC3"/>
    <w:rsid w:val="00D63D7A"/>
    <w:rsid w:val="00D67629"/>
    <w:rsid w:val="00D70FE3"/>
    <w:rsid w:val="00D8485C"/>
    <w:rsid w:val="00D85062"/>
    <w:rsid w:val="00D9010D"/>
    <w:rsid w:val="00D95936"/>
    <w:rsid w:val="00DB584E"/>
    <w:rsid w:val="00DC3B85"/>
    <w:rsid w:val="00DD13E2"/>
    <w:rsid w:val="00E10DEE"/>
    <w:rsid w:val="00E158AD"/>
    <w:rsid w:val="00E1599C"/>
    <w:rsid w:val="00E15E85"/>
    <w:rsid w:val="00E16AC8"/>
    <w:rsid w:val="00E16E87"/>
    <w:rsid w:val="00E221C1"/>
    <w:rsid w:val="00E30AF5"/>
    <w:rsid w:val="00E34874"/>
    <w:rsid w:val="00E372DA"/>
    <w:rsid w:val="00E44464"/>
    <w:rsid w:val="00E74078"/>
    <w:rsid w:val="00E85DB7"/>
    <w:rsid w:val="00E87E34"/>
    <w:rsid w:val="00E92E34"/>
    <w:rsid w:val="00EA0D06"/>
    <w:rsid w:val="00EA4B96"/>
    <w:rsid w:val="00EC601F"/>
    <w:rsid w:val="00ED3DC4"/>
    <w:rsid w:val="00ED466F"/>
    <w:rsid w:val="00EE5CB5"/>
    <w:rsid w:val="00EE7BCC"/>
    <w:rsid w:val="00EF2AE9"/>
    <w:rsid w:val="00F433DC"/>
    <w:rsid w:val="00F65A70"/>
    <w:rsid w:val="00F67006"/>
    <w:rsid w:val="00F67CE2"/>
    <w:rsid w:val="00F812A0"/>
    <w:rsid w:val="00F93B4C"/>
    <w:rsid w:val="00F9756D"/>
    <w:rsid w:val="00FA1D2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A0F45F-A31A-4BAD-A4DC-8AE3D5B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5872D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87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872D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435D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435D1"/>
    <w:rPr>
      <w:sz w:val="20"/>
      <w:szCs w:val="20"/>
    </w:rPr>
  </w:style>
  <w:style w:type="character" w:customStyle="1" w:styleId="Ttulo1Car">
    <w:name w:val="Título 1 Car"/>
    <w:basedOn w:val="Fuentedeprrafopredeter"/>
    <w:link w:val="Ttulo1"/>
    <w:uiPriority w:val="9"/>
    <w:rsid w:val="005872D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872D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872D8"/>
    <w:rPr>
      <w:rFonts w:ascii="Times New Roman" w:eastAsia="Times New Roman" w:hAnsi="Times New Roman" w:cs="Times New Roman"/>
      <w:b/>
      <w:bCs/>
      <w:sz w:val="24"/>
      <w:szCs w:val="24"/>
      <w:lang w:eastAsia="es-MX"/>
    </w:rPr>
  </w:style>
  <w:style w:type="paragraph" w:customStyle="1" w:styleId="Default">
    <w:name w:val="Default"/>
    <w:rsid w:val="005872D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872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2D8"/>
    <w:rPr>
      <w:rFonts w:ascii="Segoe UI" w:hAnsi="Segoe UI" w:cs="Segoe UI"/>
      <w:sz w:val="18"/>
      <w:szCs w:val="18"/>
    </w:rPr>
  </w:style>
  <w:style w:type="character" w:styleId="Refdecomentario">
    <w:name w:val="annotation reference"/>
    <w:basedOn w:val="Fuentedeprrafopredeter"/>
    <w:uiPriority w:val="99"/>
    <w:semiHidden/>
    <w:unhideWhenUsed/>
    <w:rsid w:val="005872D8"/>
    <w:rPr>
      <w:sz w:val="16"/>
      <w:szCs w:val="16"/>
    </w:rPr>
  </w:style>
  <w:style w:type="paragraph" w:styleId="Textocomentario">
    <w:name w:val="annotation text"/>
    <w:basedOn w:val="Normal"/>
    <w:link w:val="TextocomentarioCar"/>
    <w:uiPriority w:val="99"/>
    <w:semiHidden/>
    <w:unhideWhenUsed/>
    <w:rsid w:val="00587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2D8"/>
    <w:rPr>
      <w:sz w:val="20"/>
      <w:szCs w:val="20"/>
    </w:rPr>
  </w:style>
  <w:style w:type="paragraph" w:styleId="Asuntodelcomentario">
    <w:name w:val="annotation subject"/>
    <w:basedOn w:val="Textocomentario"/>
    <w:next w:val="Textocomentario"/>
    <w:link w:val="AsuntodelcomentarioCar"/>
    <w:uiPriority w:val="99"/>
    <w:semiHidden/>
    <w:unhideWhenUsed/>
    <w:rsid w:val="005872D8"/>
    <w:rPr>
      <w:b/>
      <w:bCs/>
    </w:rPr>
  </w:style>
  <w:style w:type="character" w:customStyle="1" w:styleId="AsuntodelcomentarioCar">
    <w:name w:val="Asunto del comentario Car"/>
    <w:basedOn w:val="TextocomentarioCar"/>
    <w:link w:val="Asuntodelcomentario"/>
    <w:uiPriority w:val="99"/>
    <w:semiHidden/>
    <w:rsid w:val="005872D8"/>
    <w:rPr>
      <w:b/>
      <w:bCs/>
      <w:sz w:val="20"/>
      <w:szCs w:val="20"/>
    </w:rPr>
  </w:style>
  <w:style w:type="paragraph" w:styleId="Revisin">
    <w:name w:val="Revision"/>
    <w:hidden/>
    <w:uiPriority w:val="99"/>
    <w:semiHidden/>
    <w:rsid w:val="005872D8"/>
    <w:pPr>
      <w:spacing w:after="0" w:line="240" w:lineRule="auto"/>
    </w:pPr>
  </w:style>
  <w:style w:type="table" w:styleId="Tablaconcuadrcula">
    <w:name w:val="Table Grid"/>
    <w:basedOn w:val="Tablanormal"/>
    <w:uiPriority w:val="39"/>
    <w:rsid w:val="00587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872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872D8"/>
    <w:rPr>
      <w:i/>
      <w:iCs/>
    </w:rPr>
  </w:style>
  <w:style w:type="paragraph" w:customStyle="1" w:styleId="j">
    <w:name w:val="j"/>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872D8"/>
  </w:style>
  <w:style w:type="character" w:customStyle="1" w:styleId="notranslate">
    <w:name w:val="notranslate"/>
    <w:basedOn w:val="Fuentedeprrafopredeter"/>
    <w:rsid w:val="005872D8"/>
  </w:style>
  <w:style w:type="character" w:styleId="Hipervnculovisitado">
    <w:name w:val="FollowedHyperlink"/>
    <w:basedOn w:val="Fuentedeprrafopredeter"/>
    <w:uiPriority w:val="99"/>
    <w:semiHidden/>
    <w:unhideWhenUsed/>
    <w:rsid w:val="00587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9A1D-6FB2-4472-AAA2-EF783476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6599</Words>
  <Characters>36296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2019-04-12T19:37:00Z</cp:lastPrinted>
  <dcterms:created xsi:type="dcterms:W3CDTF">2019-05-09T01:39:00Z</dcterms:created>
  <dcterms:modified xsi:type="dcterms:W3CDTF">2019-05-09T01:39:00Z</dcterms:modified>
</cp:coreProperties>
</file>