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983FBC" w:rsidRDefault="00554DF4" w:rsidP="00983FBC">
      <w:pPr>
        <w:spacing w:line="360" w:lineRule="auto"/>
        <w:jc w:val="center"/>
        <w:rPr>
          <w:rFonts w:ascii="Palatino Linotype" w:eastAsia="Times New Roman" w:hAnsi="Palatino Linotype" w:cs="Times New Roman"/>
          <w:b/>
        </w:rPr>
      </w:pPr>
      <w:bookmarkStart w:id="0" w:name="_GoBack"/>
      <w:bookmarkEnd w:id="0"/>
      <w:r w:rsidRPr="00983FBC">
        <w:rPr>
          <w:rFonts w:ascii="Palatino Linotype" w:eastAsia="Times New Roman" w:hAnsi="Palatino Linotype" w:cs="Times New Roman"/>
          <w:b/>
        </w:rPr>
        <w:t>LÍNEAS ARGUMENTATIVAS</w:t>
      </w:r>
    </w:p>
    <w:p w:rsidR="001A4BC9" w:rsidRPr="00983FBC" w:rsidRDefault="001A4BC9" w:rsidP="00983FBC">
      <w:pPr>
        <w:spacing w:line="360" w:lineRule="auto"/>
        <w:rPr>
          <w:rFonts w:ascii="Palatino Linotype" w:eastAsia="Times New Roman" w:hAnsi="Palatino Linotype" w:cs="Times New Roman"/>
          <w:b/>
        </w:rPr>
      </w:pPr>
    </w:p>
    <w:p w:rsidR="001A4BC9" w:rsidRDefault="001A4BC9" w:rsidP="00983FBC">
      <w:pPr>
        <w:spacing w:line="360" w:lineRule="auto"/>
        <w:jc w:val="both"/>
        <w:rPr>
          <w:rFonts w:ascii="Palatino Linotype" w:eastAsia="MS Mincho" w:hAnsi="Palatino Linotype" w:cs="Times New Roman"/>
        </w:rPr>
      </w:pPr>
      <w:r w:rsidRPr="00983FBC">
        <w:rPr>
          <w:rFonts w:ascii="Palatino Linotype" w:hAnsi="Palatino Linotype"/>
          <w:b/>
        </w:rPr>
        <w:t xml:space="preserve">INFORME JUSTIFICADO, FALTA DE. </w:t>
      </w:r>
      <w:r w:rsidRPr="00983FB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C35183" w:rsidRPr="00983FBC">
        <w:rPr>
          <w:rFonts w:ascii="Palatino Linotype" w:eastAsia="MS Mincho" w:hAnsi="Palatino Linotype" w:cs="Times New Roman"/>
        </w:rPr>
        <w:t xml:space="preserve"> </w:t>
      </w:r>
    </w:p>
    <w:p w:rsidR="00983FBC" w:rsidRPr="00983FBC" w:rsidRDefault="00983FBC" w:rsidP="00983FBC">
      <w:pPr>
        <w:spacing w:line="360" w:lineRule="auto"/>
        <w:jc w:val="both"/>
        <w:rPr>
          <w:rFonts w:ascii="Palatino Linotype" w:eastAsia="MS Mincho" w:hAnsi="Palatino Linotype" w:cs="Times New Roman"/>
        </w:rPr>
      </w:pPr>
    </w:p>
    <w:p w:rsidR="00554DF4" w:rsidRDefault="00554DF4" w:rsidP="00983FBC">
      <w:pPr>
        <w:spacing w:line="360" w:lineRule="auto"/>
        <w:rPr>
          <w:rFonts w:ascii="Palatino Linotype" w:eastAsia="MS Mincho" w:hAnsi="Palatino Linotype" w:cs="Times New Roman"/>
        </w:rPr>
      </w:pPr>
      <w:r w:rsidRPr="00983FBC">
        <w:rPr>
          <w:rFonts w:ascii="Palatino Linotype" w:eastAsia="MS Mincho" w:hAnsi="Palatino Linotype" w:cs="Times New Roman"/>
          <w:b/>
        </w:rPr>
        <w:t xml:space="preserve">DERECHO DE ACCESO A LA INFORMACIÓN PÚBLICA. </w:t>
      </w:r>
      <w:r w:rsidRPr="00983FB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983FBC">
        <w:rPr>
          <w:rFonts w:ascii="Palatino Linotype" w:eastAsia="MS Mincho" w:hAnsi="Palatino Linotype" w:cs="Times New Roman"/>
        </w:rPr>
        <w:t>.</w:t>
      </w:r>
    </w:p>
    <w:p w:rsidR="00983FBC" w:rsidRPr="00983FBC" w:rsidRDefault="00983FBC" w:rsidP="00983FBC">
      <w:pPr>
        <w:spacing w:line="360" w:lineRule="auto"/>
        <w:rPr>
          <w:rFonts w:ascii="Palatino Linotype" w:eastAsia="MS Mincho" w:hAnsi="Palatino Linotype" w:cs="Times New Roman"/>
        </w:rPr>
      </w:pPr>
    </w:p>
    <w:p w:rsidR="00B57C10" w:rsidRPr="00983FBC" w:rsidRDefault="00B57C10" w:rsidP="00983FBC">
      <w:pPr>
        <w:spacing w:line="360" w:lineRule="auto"/>
        <w:jc w:val="both"/>
        <w:rPr>
          <w:rFonts w:ascii="Palatino Linotype" w:hAnsi="Palatino Linotype" w:cs="Arial"/>
        </w:rPr>
      </w:pPr>
      <w:r w:rsidRPr="00983FBC">
        <w:rPr>
          <w:rFonts w:ascii="Palatino Linotype" w:eastAsia="Calibri" w:hAnsi="Palatino Linotype" w:cs="Arial"/>
          <w:b/>
          <w:szCs w:val="22"/>
          <w:lang w:val="es-ES" w:eastAsia="es-MX"/>
        </w:rPr>
        <w:t>DE LAS FORMALIDADES LEGALES DE LA CLASIFICACIÓN DE LA INFORMACIÓN.</w:t>
      </w:r>
      <w:r w:rsidRPr="00983FB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83FBC">
        <w:rPr>
          <w:rFonts w:ascii="Palatino Linotype" w:eastAsia="Calibri" w:hAnsi="Palatino Linotype" w:cs="Arial"/>
          <w:bCs/>
          <w:lang w:val="es-MX" w:eastAsia="en-US"/>
        </w:rPr>
        <w:t xml:space="preserve"> VIII,</w:t>
      </w:r>
      <w:r w:rsidRPr="00983FBC">
        <w:rPr>
          <w:rFonts w:ascii="Palatino Linotype" w:eastAsia="Calibri" w:hAnsi="Palatino Linotype" w:cs="Arial"/>
          <w:szCs w:val="22"/>
          <w:lang w:val="es-ES" w:eastAsia="es-MX"/>
        </w:rPr>
        <w:t xml:space="preserve"> 122, 135 </w:t>
      </w:r>
      <w:r w:rsidRPr="00983FBC">
        <w:rPr>
          <w:rFonts w:ascii="Palatino Linotype" w:hAnsi="Palatino Linotype" w:cs="Arial"/>
        </w:rPr>
        <w:t>143 y 149, así como los establecido en los Lineamientos Generales en Materia de Clasificación</w:t>
      </w:r>
      <w:r w:rsidRPr="00983FBC">
        <w:rPr>
          <w:rFonts w:ascii="Palatino Linotype" w:hAnsi="Palatino Linotype"/>
        </w:rPr>
        <w:t xml:space="preserve"> </w:t>
      </w:r>
      <w:r w:rsidRPr="00983FBC">
        <w:rPr>
          <w:rFonts w:ascii="Palatino Linotype" w:hAnsi="Palatino Linotype" w:cs="Arial"/>
        </w:rPr>
        <w:t>y Desclasificación de la Información.</w:t>
      </w:r>
    </w:p>
    <w:p w:rsidR="00980652" w:rsidRPr="00983FBC" w:rsidRDefault="00980652" w:rsidP="00983FBC">
      <w:pPr>
        <w:spacing w:line="360" w:lineRule="auto"/>
        <w:jc w:val="both"/>
        <w:rPr>
          <w:rFonts w:ascii="Palatino Linotype" w:hAnsi="Palatino Linotype" w:cs="Arial"/>
        </w:rPr>
      </w:pPr>
    </w:p>
    <w:p w:rsidR="00980652" w:rsidRDefault="00980652" w:rsidP="00983FBC">
      <w:pPr>
        <w:spacing w:line="360" w:lineRule="auto"/>
        <w:jc w:val="both"/>
        <w:rPr>
          <w:rFonts w:ascii="Palatino Linotype" w:hAnsi="Palatino Linotype" w:cs="Arial"/>
        </w:rPr>
      </w:pPr>
    </w:p>
    <w:p w:rsidR="00983FBC" w:rsidRPr="00983FBC" w:rsidRDefault="00983FBC" w:rsidP="00983FBC">
      <w:pPr>
        <w:spacing w:line="360" w:lineRule="auto"/>
        <w:jc w:val="both"/>
        <w:rPr>
          <w:rFonts w:ascii="Palatino Linotype" w:hAnsi="Palatino Linotype" w:cs="Arial"/>
        </w:rPr>
      </w:pPr>
    </w:p>
    <w:p w:rsidR="00373F0F" w:rsidRPr="00983FBC" w:rsidRDefault="00373F0F" w:rsidP="00983FBC">
      <w:pPr>
        <w:spacing w:line="360" w:lineRule="auto"/>
        <w:jc w:val="both"/>
        <w:rPr>
          <w:rFonts w:ascii="Palatino Linotype" w:hAnsi="Palatino Linotype" w:cs="Arial"/>
        </w:rPr>
      </w:pPr>
    </w:p>
    <w:p w:rsidR="00554DF4" w:rsidRPr="00983FBC" w:rsidRDefault="00983FBC" w:rsidP="00983FBC">
      <w:pPr>
        <w:spacing w:line="360" w:lineRule="auto"/>
        <w:jc w:val="center"/>
        <w:rPr>
          <w:rFonts w:ascii="Palatino Linotype" w:hAnsi="Palatino Linotype"/>
        </w:rPr>
      </w:pPr>
      <w:r w:rsidRPr="00983FBC">
        <w:rPr>
          <w:rFonts w:ascii="Palatino Linotype" w:hAnsi="Palatino Linotype"/>
          <w:b/>
        </w:rPr>
        <w:lastRenderedPageBreak/>
        <w:t>ÍNDICE</w:t>
      </w:r>
      <w:r w:rsidRPr="00983FB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983FBC" w:rsidRDefault="00554DF4" w:rsidP="00983FBC">
          <w:pPr>
            <w:pStyle w:val="TtulodeTDC"/>
            <w:spacing w:before="0" w:line="360" w:lineRule="auto"/>
          </w:pPr>
        </w:p>
        <w:p w:rsidR="00983FBC" w:rsidRPr="0000470D" w:rsidRDefault="00554DF4">
          <w:pPr>
            <w:pStyle w:val="TDC1"/>
            <w:tabs>
              <w:tab w:val="right" w:leader="dot" w:pos="8779"/>
            </w:tabs>
            <w:rPr>
              <w:rFonts w:ascii="Palatino Linotype" w:hAnsi="Palatino Linotype"/>
              <w:b/>
              <w:noProof/>
              <w:sz w:val="22"/>
              <w:szCs w:val="22"/>
              <w:lang w:val="es-MX" w:eastAsia="es-MX"/>
            </w:rPr>
          </w:pPr>
          <w:r w:rsidRPr="00983FBC">
            <w:rPr>
              <w:rFonts w:ascii="Palatino Linotype" w:hAnsi="Palatino Linotype"/>
              <w:b/>
            </w:rPr>
            <w:fldChar w:fldCharType="begin"/>
          </w:r>
          <w:r w:rsidRPr="00983FBC">
            <w:rPr>
              <w:rFonts w:ascii="Palatino Linotype" w:hAnsi="Palatino Linotype"/>
              <w:b/>
            </w:rPr>
            <w:instrText xml:space="preserve"> TOC \o "1-3" \h \z \u </w:instrText>
          </w:r>
          <w:r w:rsidRPr="00983FBC">
            <w:rPr>
              <w:rFonts w:ascii="Palatino Linotype" w:hAnsi="Palatino Linotype"/>
              <w:b/>
            </w:rPr>
            <w:fldChar w:fldCharType="separate"/>
          </w:r>
          <w:hyperlink w:anchor="_Toc32221274" w:history="1">
            <w:r w:rsidR="00983FBC" w:rsidRPr="0000470D">
              <w:rPr>
                <w:rStyle w:val="Hipervnculo"/>
                <w:rFonts w:ascii="Palatino Linotype" w:hAnsi="Palatino Linotype"/>
                <w:b/>
                <w:noProof/>
              </w:rPr>
              <w:t>ANTECEDENTES</w:t>
            </w:r>
            <w:r w:rsidR="00983FBC" w:rsidRPr="0000470D">
              <w:rPr>
                <w:rFonts w:ascii="Palatino Linotype" w:hAnsi="Palatino Linotype"/>
                <w:b/>
                <w:noProof/>
                <w:webHidden/>
              </w:rPr>
              <w:tab/>
            </w:r>
            <w:r w:rsidR="00983FBC" w:rsidRPr="0000470D">
              <w:rPr>
                <w:rFonts w:ascii="Palatino Linotype" w:hAnsi="Palatino Linotype"/>
                <w:b/>
                <w:noProof/>
                <w:webHidden/>
              </w:rPr>
              <w:fldChar w:fldCharType="begin"/>
            </w:r>
            <w:r w:rsidR="00983FBC" w:rsidRPr="0000470D">
              <w:rPr>
                <w:rFonts w:ascii="Palatino Linotype" w:hAnsi="Palatino Linotype"/>
                <w:b/>
                <w:noProof/>
                <w:webHidden/>
              </w:rPr>
              <w:instrText xml:space="preserve"> PAGEREF _Toc32221274 \h </w:instrText>
            </w:r>
            <w:r w:rsidR="00983FBC" w:rsidRPr="0000470D">
              <w:rPr>
                <w:rFonts w:ascii="Palatino Linotype" w:hAnsi="Palatino Linotype"/>
                <w:b/>
                <w:noProof/>
                <w:webHidden/>
              </w:rPr>
            </w:r>
            <w:r w:rsidR="00983FBC" w:rsidRPr="0000470D">
              <w:rPr>
                <w:rFonts w:ascii="Palatino Linotype" w:hAnsi="Palatino Linotype"/>
                <w:b/>
                <w:noProof/>
                <w:webHidden/>
              </w:rPr>
              <w:fldChar w:fldCharType="separate"/>
            </w:r>
            <w:r w:rsidR="00E62999">
              <w:rPr>
                <w:rFonts w:ascii="Palatino Linotype" w:hAnsi="Palatino Linotype"/>
                <w:b/>
                <w:noProof/>
                <w:webHidden/>
              </w:rPr>
              <w:t>3</w:t>
            </w:r>
            <w:r w:rsidR="00983FBC" w:rsidRPr="0000470D">
              <w:rPr>
                <w:rFonts w:ascii="Palatino Linotype" w:hAnsi="Palatino Linotype"/>
                <w:b/>
                <w:noProof/>
                <w:webHidden/>
              </w:rPr>
              <w:fldChar w:fldCharType="end"/>
            </w:r>
          </w:hyperlink>
        </w:p>
        <w:p w:rsidR="00983FBC" w:rsidRPr="0000470D" w:rsidRDefault="00E6007F">
          <w:pPr>
            <w:pStyle w:val="TDC1"/>
            <w:tabs>
              <w:tab w:val="right" w:leader="dot" w:pos="8779"/>
            </w:tabs>
            <w:rPr>
              <w:rFonts w:ascii="Palatino Linotype" w:hAnsi="Palatino Linotype"/>
              <w:b/>
              <w:noProof/>
              <w:sz w:val="22"/>
              <w:szCs w:val="22"/>
              <w:lang w:val="es-MX" w:eastAsia="es-MX"/>
            </w:rPr>
          </w:pPr>
          <w:hyperlink w:anchor="_Toc32221275" w:history="1">
            <w:r w:rsidR="00983FBC" w:rsidRPr="0000470D">
              <w:rPr>
                <w:rStyle w:val="Hipervnculo"/>
                <w:rFonts w:ascii="Palatino Linotype" w:hAnsi="Palatino Linotype"/>
                <w:b/>
                <w:noProof/>
              </w:rPr>
              <w:t>CONSIDERANDO</w:t>
            </w:r>
            <w:r w:rsidR="00983FBC" w:rsidRPr="0000470D">
              <w:rPr>
                <w:rFonts w:ascii="Palatino Linotype" w:hAnsi="Palatino Linotype"/>
                <w:b/>
                <w:noProof/>
                <w:webHidden/>
              </w:rPr>
              <w:tab/>
            </w:r>
            <w:r w:rsidR="00983FBC" w:rsidRPr="0000470D">
              <w:rPr>
                <w:rFonts w:ascii="Palatino Linotype" w:hAnsi="Palatino Linotype"/>
                <w:b/>
                <w:noProof/>
                <w:webHidden/>
              </w:rPr>
              <w:fldChar w:fldCharType="begin"/>
            </w:r>
            <w:r w:rsidR="00983FBC" w:rsidRPr="0000470D">
              <w:rPr>
                <w:rFonts w:ascii="Palatino Linotype" w:hAnsi="Palatino Linotype"/>
                <w:b/>
                <w:noProof/>
                <w:webHidden/>
              </w:rPr>
              <w:instrText xml:space="preserve"> PAGEREF _Toc32221275 \h </w:instrText>
            </w:r>
            <w:r w:rsidR="00983FBC" w:rsidRPr="0000470D">
              <w:rPr>
                <w:rFonts w:ascii="Palatino Linotype" w:hAnsi="Palatino Linotype"/>
                <w:b/>
                <w:noProof/>
                <w:webHidden/>
              </w:rPr>
            </w:r>
            <w:r w:rsidR="00983FBC" w:rsidRPr="0000470D">
              <w:rPr>
                <w:rFonts w:ascii="Palatino Linotype" w:hAnsi="Palatino Linotype"/>
                <w:b/>
                <w:noProof/>
                <w:webHidden/>
              </w:rPr>
              <w:fldChar w:fldCharType="separate"/>
            </w:r>
            <w:r w:rsidR="00E62999">
              <w:rPr>
                <w:rFonts w:ascii="Palatino Linotype" w:hAnsi="Palatino Linotype"/>
                <w:b/>
                <w:noProof/>
                <w:webHidden/>
              </w:rPr>
              <w:t>6</w:t>
            </w:r>
            <w:r w:rsidR="00983FBC" w:rsidRPr="0000470D">
              <w:rPr>
                <w:rFonts w:ascii="Palatino Linotype" w:hAnsi="Palatino Linotype"/>
                <w:b/>
                <w:noProof/>
                <w:webHidden/>
              </w:rPr>
              <w:fldChar w:fldCharType="end"/>
            </w:r>
          </w:hyperlink>
        </w:p>
        <w:p w:rsidR="00983FBC" w:rsidRPr="0000470D" w:rsidRDefault="00E6007F" w:rsidP="00983FBC">
          <w:pPr>
            <w:pStyle w:val="TDC2"/>
            <w:rPr>
              <w:b/>
              <w:noProof/>
              <w:sz w:val="22"/>
              <w:szCs w:val="22"/>
              <w:lang w:val="es-MX" w:eastAsia="es-MX"/>
            </w:rPr>
          </w:pPr>
          <w:hyperlink w:anchor="_Toc32221276" w:history="1">
            <w:r w:rsidR="00983FBC" w:rsidRPr="0000470D">
              <w:rPr>
                <w:rStyle w:val="Hipervnculo"/>
                <w:rFonts w:ascii="Palatino Linotype" w:hAnsi="Palatino Linotype"/>
                <w:b/>
                <w:noProof/>
              </w:rPr>
              <w:t>PRIMERO. De la competencia</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_Toc32221276 \h </w:instrText>
            </w:r>
            <w:r w:rsidR="00983FBC" w:rsidRPr="0000470D">
              <w:rPr>
                <w:b/>
                <w:noProof/>
                <w:webHidden/>
              </w:rPr>
            </w:r>
            <w:r w:rsidR="00983FBC" w:rsidRPr="0000470D">
              <w:rPr>
                <w:b/>
                <w:noProof/>
                <w:webHidden/>
              </w:rPr>
              <w:fldChar w:fldCharType="separate"/>
            </w:r>
            <w:r w:rsidR="00E62999">
              <w:rPr>
                <w:b/>
                <w:noProof/>
                <w:webHidden/>
              </w:rPr>
              <w:t>6</w:t>
            </w:r>
            <w:r w:rsidR="00983FBC" w:rsidRPr="0000470D">
              <w:rPr>
                <w:b/>
                <w:noProof/>
                <w:webHidden/>
              </w:rPr>
              <w:fldChar w:fldCharType="end"/>
            </w:r>
          </w:hyperlink>
        </w:p>
        <w:p w:rsidR="00983FBC" w:rsidRPr="0000470D" w:rsidRDefault="00E6007F" w:rsidP="00983FBC">
          <w:pPr>
            <w:pStyle w:val="TDC2"/>
            <w:rPr>
              <w:b/>
              <w:noProof/>
              <w:sz w:val="22"/>
              <w:szCs w:val="22"/>
              <w:lang w:val="es-MX" w:eastAsia="es-MX"/>
            </w:rPr>
          </w:pPr>
          <w:hyperlink w:anchor="_Toc32221277" w:history="1">
            <w:r w:rsidR="00983FBC" w:rsidRPr="0000470D">
              <w:rPr>
                <w:rStyle w:val="Hipervnculo"/>
                <w:rFonts w:ascii="Palatino Linotype" w:hAnsi="Palatino Linotype"/>
                <w:b/>
                <w:noProof/>
              </w:rPr>
              <w:t>SEGUNDO. De la oportunidad y procedencia.</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_Toc32221277 \h </w:instrText>
            </w:r>
            <w:r w:rsidR="00983FBC" w:rsidRPr="0000470D">
              <w:rPr>
                <w:b/>
                <w:noProof/>
                <w:webHidden/>
              </w:rPr>
            </w:r>
            <w:r w:rsidR="00983FBC" w:rsidRPr="0000470D">
              <w:rPr>
                <w:b/>
                <w:noProof/>
                <w:webHidden/>
              </w:rPr>
              <w:fldChar w:fldCharType="separate"/>
            </w:r>
            <w:r w:rsidR="00E62999">
              <w:rPr>
                <w:b/>
                <w:noProof/>
                <w:webHidden/>
              </w:rPr>
              <w:t>6</w:t>
            </w:r>
            <w:r w:rsidR="00983FBC" w:rsidRPr="0000470D">
              <w:rPr>
                <w:b/>
                <w:noProof/>
                <w:webHidden/>
              </w:rPr>
              <w:fldChar w:fldCharType="end"/>
            </w:r>
          </w:hyperlink>
        </w:p>
        <w:p w:rsidR="00983FBC" w:rsidRPr="0000470D" w:rsidRDefault="00E6007F" w:rsidP="00983FBC">
          <w:pPr>
            <w:pStyle w:val="TDC2"/>
            <w:rPr>
              <w:b/>
              <w:noProof/>
              <w:sz w:val="22"/>
              <w:szCs w:val="22"/>
              <w:lang w:val="es-MX" w:eastAsia="es-MX"/>
            </w:rPr>
          </w:pPr>
          <w:hyperlink w:anchor="_Toc32221278" w:history="1">
            <w:r w:rsidR="00983FBC" w:rsidRPr="0000470D">
              <w:rPr>
                <w:rStyle w:val="Hipervnculo"/>
                <w:rFonts w:ascii="Palatino Linotype" w:hAnsi="Palatino Linotype"/>
                <w:b/>
                <w:noProof/>
              </w:rPr>
              <w:t>TERCERO. Planteamiento de la Litis.</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_Toc32221278 \h </w:instrText>
            </w:r>
            <w:r w:rsidR="00983FBC" w:rsidRPr="0000470D">
              <w:rPr>
                <w:b/>
                <w:noProof/>
                <w:webHidden/>
              </w:rPr>
            </w:r>
            <w:r w:rsidR="00983FBC" w:rsidRPr="0000470D">
              <w:rPr>
                <w:b/>
                <w:noProof/>
                <w:webHidden/>
              </w:rPr>
              <w:fldChar w:fldCharType="separate"/>
            </w:r>
            <w:r w:rsidR="00E62999">
              <w:rPr>
                <w:b/>
                <w:noProof/>
                <w:webHidden/>
              </w:rPr>
              <w:t>9</w:t>
            </w:r>
            <w:r w:rsidR="00983FBC" w:rsidRPr="0000470D">
              <w:rPr>
                <w:b/>
                <w:noProof/>
                <w:webHidden/>
              </w:rPr>
              <w:fldChar w:fldCharType="end"/>
            </w:r>
          </w:hyperlink>
        </w:p>
        <w:p w:rsidR="00983FBC" w:rsidRPr="0000470D" w:rsidRDefault="00E6007F" w:rsidP="00983FBC">
          <w:pPr>
            <w:pStyle w:val="TDC2"/>
            <w:rPr>
              <w:b/>
              <w:noProof/>
              <w:sz w:val="22"/>
              <w:szCs w:val="22"/>
              <w:lang w:val="es-MX" w:eastAsia="es-MX"/>
            </w:rPr>
          </w:pPr>
          <w:hyperlink w:anchor="_Toc32221279" w:history="1">
            <w:r w:rsidR="00983FBC" w:rsidRPr="0000470D">
              <w:rPr>
                <w:rStyle w:val="Hipervnculo"/>
                <w:rFonts w:ascii="Palatino Linotype" w:hAnsi="Palatino Linotype"/>
                <w:b/>
                <w:noProof/>
              </w:rPr>
              <w:t>CUARTO. Análisis y resolución del asunto.</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_Toc32221279 \h </w:instrText>
            </w:r>
            <w:r w:rsidR="00983FBC" w:rsidRPr="0000470D">
              <w:rPr>
                <w:b/>
                <w:noProof/>
                <w:webHidden/>
              </w:rPr>
            </w:r>
            <w:r w:rsidR="00983FBC" w:rsidRPr="0000470D">
              <w:rPr>
                <w:b/>
                <w:noProof/>
                <w:webHidden/>
              </w:rPr>
              <w:fldChar w:fldCharType="separate"/>
            </w:r>
            <w:r w:rsidR="00E62999">
              <w:rPr>
                <w:b/>
                <w:noProof/>
                <w:webHidden/>
              </w:rPr>
              <w:t>9</w:t>
            </w:r>
            <w:r w:rsidR="00983FBC" w:rsidRPr="0000470D">
              <w:rPr>
                <w:b/>
                <w:noProof/>
                <w:webHidden/>
              </w:rPr>
              <w:fldChar w:fldCharType="end"/>
            </w:r>
          </w:hyperlink>
        </w:p>
        <w:p w:rsidR="00983FBC" w:rsidRPr="0000470D" w:rsidRDefault="00E6007F" w:rsidP="00983FBC">
          <w:pPr>
            <w:pStyle w:val="TDC2"/>
            <w:rPr>
              <w:b/>
              <w:noProof/>
              <w:sz w:val="22"/>
              <w:szCs w:val="22"/>
              <w:lang w:val="es-MX" w:eastAsia="es-MX"/>
            </w:rPr>
          </w:pPr>
          <w:hyperlink w:anchor="_Toc32221280" w:history="1">
            <w:r w:rsidR="00983FBC" w:rsidRPr="0000470D">
              <w:rPr>
                <w:rStyle w:val="Hipervnculo"/>
                <w:rFonts w:ascii="Palatino Linotype" w:hAnsi="Palatino Linotype"/>
                <w:b/>
                <w:noProof/>
              </w:rPr>
              <w:t>A.</w:t>
            </w:r>
            <w:r w:rsidR="00983FBC" w:rsidRPr="0000470D">
              <w:rPr>
                <w:b/>
                <w:noProof/>
                <w:sz w:val="22"/>
                <w:szCs w:val="22"/>
                <w:lang w:val="es-MX" w:eastAsia="es-MX"/>
              </w:rPr>
              <w:t xml:space="preserve"> </w:t>
            </w:r>
            <w:r w:rsidR="00983FBC" w:rsidRPr="0000470D">
              <w:rPr>
                <w:rStyle w:val="Hipervnculo"/>
                <w:rFonts w:ascii="Palatino Linotype" w:hAnsi="Palatino Linotype"/>
                <w:b/>
                <w:noProof/>
              </w:rPr>
              <w:t>El derecho de acceso a la información.</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_Toc32221280 \h </w:instrText>
            </w:r>
            <w:r w:rsidR="00983FBC" w:rsidRPr="0000470D">
              <w:rPr>
                <w:b/>
                <w:noProof/>
                <w:webHidden/>
              </w:rPr>
            </w:r>
            <w:r w:rsidR="00983FBC" w:rsidRPr="0000470D">
              <w:rPr>
                <w:b/>
                <w:noProof/>
                <w:webHidden/>
              </w:rPr>
              <w:fldChar w:fldCharType="separate"/>
            </w:r>
            <w:r w:rsidR="00E62999">
              <w:rPr>
                <w:b/>
                <w:noProof/>
                <w:webHidden/>
              </w:rPr>
              <w:t>9</w:t>
            </w:r>
            <w:r w:rsidR="00983FBC" w:rsidRPr="0000470D">
              <w:rPr>
                <w:b/>
                <w:noProof/>
                <w:webHidden/>
              </w:rPr>
              <w:fldChar w:fldCharType="end"/>
            </w:r>
          </w:hyperlink>
        </w:p>
        <w:p w:rsidR="00983FBC" w:rsidRPr="0000470D" w:rsidRDefault="00E6007F" w:rsidP="00983FBC">
          <w:pPr>
            <w:pStyle w:val="TDC2"/>
            <w:rPr>
              <w:b/>
              <w:noProof/>
              <w:sz w:val="22"/>
              <w:szCs w:val="22"/>
              <w:lang w:val="es-MX" w:eastAsia="es-MX"/>
            </w:rPr>
          </w:pPr>
          <w:hyperlink w:anchor="_Toc32221281" w:history="1">
            <w:r w:rsidR="00983FBC" w:rsidRPr="0000470D">
              <w:rPr>
                <w:rStyle w:val="Hipervnculo"/>
                <w:rFonts w:ascii="Palatino Linotype" w:hAnsi="Palatino Linotype"/>
                <w:b/>
                <w:noProof/>
              </w:rPr>
              <w:t>B.</w:t>
            </w:r>
            <w:r w:rsidR="00983FBC" w:rsidRPr="0000470D">
              <w:rPr>
                <w:b/>
                <w:noProof/>
                <w:sz w:val="22"/>
                <w:szCs w:val="22"/>
                <w:lang w:val="es-MX" w:eastAsia="es-MX"/>
              </w:rPr>
              <w:t xml:space="preserve"> </w:t>
            </w:r>
            <w:r w:rsidR="00983FBC" w:rsidRPr="0000470D">
              <w:rPr>
                <w:rStyle w:val="Hipervnculo"/>
                <w:rFonts w:ascii="Palatino Linotype" w:hAnsi="Palatino Linotype"/>
                <w:b/>
                <w:noProof/>
              </w:rPr>
              <w:t>Fuente Obligacional.</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_Toc32221281 \h </w:instrText>
            </w:r>
            <w:r w:rsidR="00983FBC" w:rsidRPr="0000470D">
              <w:rPr>
                <w:b/>
                <w:noProof/>
                <w:webHidden/>
              </w:rPr>
            </w:r>
            <w:r w:rsidR="00983FBC" w:rsidRPr="0000470D">
              <w:rPr>
                <w:b/>
                <w:noProof/>
                <w:webHidden/>
              </w:rPr>
              <w:fldChar w:fldCharType="separate"/>
            </w:r>
            <w:r w:rsidR="00E62999">
              <w:rPr>
                <w:b/>
                <w:noProof/>
                <w:webHidden/>
              </w:rPr>
              <w:t>16</w:t>
            </w:r>
            <w:r w:rsidR="00983FBC" w:rsidRPr="0000470D">
              <w:rPr>
                <w:b/>
                <w:noProof/>
                <w:webHidden/>
              </w:rPr>
              <w:fldChar w:fldCharType="end"/>
            </w:r>
          </w:hyperlink>
        </w:p>
        <w:p w:rsidR="00983FBC" w:rsidRPr="0000470D" w:rsidRDefault="00E6007F" w:rsidP="00983FBC">
          <w:pPr>
            <w:pStyle w:val="TDC3"/>
            <w:rPr>
              <w:b/>
              <w:noProof/>
              <w:sz w:val="22"/>
              <w:szCs w:val="22"/>
              <w:lang w:val="es-MX" w:eastAsia="es-MX"/>
            </w:rPr>
          </w:pPr>
          <w:hyperlink w:anchor="_Toc32221282" w:history="1">
            <w:r w:rsidR="00983FBC" w:rsidRPr="0000470D">
              <w:rPr>
                <w:rStyle w:val="Hipervnculo"/>
                <w:rFonts w:ascii="Palatino Linotype" w:hAnsi="Palatino Linotype"/>
                <w:b/>
                <w:noProof/>
              </w:rPr>
              <w:t>I.</w:t>
            </w:r>
            <w:r w:rsidR="00983FBC" w:rsidRPr="0000470D">
              <w:rPr>
                <w:b/>
                <w:noProof/>
                <w:sz w:val="22"/>
                <w:szCs w:val="22"/>
                <w:lang w:val="es-MX" w:eastAsia="es-MX"/>
              </w:rPr>
              <w:t xml:space="preserve"> </w:t>
            </w:r>
            <w:r w:rsidR="00983FBC" w:rsidRPr="0000470D">
              <w:rPr>
                <w:rStyle w:val="Hipervnculo"/>
                <w:rFonts w:ascii="Palatino Linotype" w:hAnsi="Palatino Linotype"/>
                <w:b/>
                <w:noProof/>
              </w:rPr>
              <w:t>De la obligación de transparencia.</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_Toc32221282 \h </w:instrText>
            </w:r>
            <w:r w:rsidR="00983FBC" w:rsidRPr="0000470D">
              <w:rPr>
                <w:b/>
                <w:noProof/>
                <w:webHidden/>
              </w:rPr>
            </w:r>
            <w:r w:rsidR="00983FBC" w:rsidRPr="0000470D">
              <w:rPr>
                <w:b/>
                <w:noProof/>
                <w:webHidden/>
              </w:rPr>
              <w:fldChar w:fldCharType="separate"/>
            </w:r>
            <w:r w:rsidR="00E62999">
              <w:rPr>
                <w:b/>
                <w:noProof/>
                <w:webHidden/>
              </w:rPr>
              <w:t>16</w:t>
            </w:r>
            <w:r w:rsidR="00983FBC" w:rsidRPr="0000470D">
              <w:rPr>
                <w:b/>
                <w:noProof/>
                <w:webHidden/>
              </w:rPr>
              <w:fldChar w:fldCharType="end"/>
            </w:r>
          </w:hyperlink>
        </w:p>
        <w:p w:rsidR="00983FBC" w:rsidRPr="0000470D" w:rsidRDefault="00E6007F" w:rsidP="00983FBC">
          <w:pPr>
            <w:pStyle w:val="TDC3"/>
            <w:rPr>
              <w:b/>
              <w:noProof/>
              <w:sz w:val="22"/>
              <w:szCs w:val="22"/>
              <w:lang w:val="es-MX" w:eastAsia="es-MX"/>
            </w:rPr>
          </w:pPr>
          <w:hyperlink w:anchor="_Toc32221283" w:history="1">
            <w:r w:rsidR="00983FBC" w:rsidRPr="0000470D">
              <w:rPr>
                <w:rStyle w:val="Hipervnculo"/>
                <w:rFonts w:ascii="Palatino Linotype" w:hAnsi="Palatino Linotype"/>
                <w:b/>
                <w:noProof/>
              </w:rPr>
              <w:t>II. De las facturas.</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_Toc32221283 \h </w:instrText>
            </w:r>
            <w:r w:rsidR="00983FBC" w:rsidRPr="0000470D">
              <w:rPr>
                <w:b/>
                <w:noProof/>
                <w:webHidden/>
              </w:rPr>
            </w:r>
            <w:r w:rsidR="00983FBC" w:rsidRPr="0000470D">
              <w:rPr>
                <w:b/>
                <w:noProof/>
                <w:webHidden/>
              </w:rPr>
              <w:fldChar w:fldCharType="separate"/>
            </w:r>
            <w:r w:rsidR="00E62999">
              <w:rPr>
                <w:b/>
                <w:noProof/>
                <w:webHidden/>
              </w:rPr>
              <w:t>22</w:t>
            </w:r>
            <w:r w:rsidR="00983FBC" w:rsidRPr="0000470D">
              <w:rPr>
                <w:b/>
                <w:noProof/>
                <w:webHidden/>
              </w:rPr>
              <w:fldChar w:fldCharType="end"/>
            </w:r>
          </w:hyperlink>
        </w:p>
        <w:p w:rsidR="00983FBC" w:rsidRPr="0000470D" w:rsidRDefault="00E6007F" w:rsidP="00983FBC">
          <w:pPr>
            <w:pStyle w:val="TDC3"/>
            <w:rPr>
              <w:b/>
              <w:noProof/>
              <w:sz w:val="22"/>
              <w:szCs w:val="22"/>
              <w:lang w:val="es-MX" w:eastAsia="es-MX"/>
            </w:rPr>
          </w:pPr>
          <w:hyperlink w:anchor="_Toc32221284" w:history="1">
            <w:r w:rsidR="00983FBC" w:rsidRPr="0000470D">
              <w:rPr>
                <w:rStyle w:val="Hipervnculo"/>
                <w:rFonts w:ascii="Palatino Linotype" w:hAnsi="Palatino Linotype"/>
                <w:b/>
                <w:noProof/>
                <w:lang w:val="es-MX" w:eastAsia="en-US"/>
              </w:rPr>
              <w:t>III. Contratos.</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_Toc32221284 \h </w:instrText>
            </w:r>
            <w:r w:rsidR="00983FBC" w:rsidRPr="0000470D">
              <w:rPr>
                <w:b/>
                <w:noProof/>
                <w:webHidden/>
              </w:rPr>
            </w:r>
            <w:r w:rsidR="00983FBC" w:rsidRPr="0000470D">
              <w:rPr>
                <w:b/>
                <w:noProof/>
                <w:webHidden/>
              </w:rPr>
              <w:fldChar w:fldCharType="separate"/>
            </w:r>
            <w:r w:rsidR="00E62999">
              <w:rPr>
                <w:b/>
                <w:noProof/>
                <w:webHidden/>
              </w:rPr>
              <w:t>31</w:t>
            </w:r>
            <w:r w:rsidR="00983FBC" w:rsidRPr="0000470D">
              <w:rPr>
                <w:b/>
                <w:noProof/>
                <w:webHidden/>
              </w:rPr>
              <w:fldChar w:fldCharType="end"/>
            </w:r>
          </w:hyperlink>
        </w:p>
        <w:p w:rsidR="00983FBC" w:rsidRPr="0000470D" w:rsidRDefault="00E6007F">
          <w:pPr>
            <w:pStyle w:val="TDC1"/>
            <w:tabs>
              <w:tab w:val="right" w:leader="dot" w:pos="8779"/>
            </w:tabs>
            <w:rPr>
              <w:rFonts w:ascii="Palatino Linotype" w:hAnsi="Palatino Linotype"/>
              <w:b/>
              <w:noProof/>
              <w:sz w:val="22"/>
              <w:szCs w:val="22"/>
              <w:lang w:val="es-MX" w:eastAsia="es-MX"/>
            </w:rPr>
          </w:pPr>
          <w:hyperlink w:anchor="_Toc32221285" w:history="1">
            <w:r w:rsidR="00983FBC" w:rsidRPr="0000470D">
              <w:rPr>
                <w:rStyle w:val="Hipervnculo"/>
                <w:rFonts w:ascii="Palatino Linotype" w:eastAsia="MS Gothic" w:hAnsi="Palatino Linotype"/>
                <w:b/>
                <w:noProof/>
              </w:rPr>
              <w:t>QUINTO. De la Versión Pública</w:t>
            </w:r>
            <w:r w:rsidR="00983FBC" w:rsidRPr="0000470D">
              <w:rPr>
                <w:rFonts w:ascii="Palatino Linotype" w:hAnsi="Palatino Linotype"/>
                <w:b/>
                <w:noProof/>
                <w:webHidden/>
              </w:rPr>
              <w:tab/>
            </w:r>
            <w:r w:rsidR="00983FBC" w:rsidRPr="0000470D">
              <w:rPr>
                <w:rFonts w:ascii="Palatino Linotype" w:hAnsi="Palatino Linotype"/>
                <w:b/>
                <w:noProof/>
                <w:webHidden/>
              </w:rPr>
              <w:fldChar w:fldCharType="begin"/>
            </w:r>
            <w:r w:rsidR="00983FBC" w:rsidRPr="0000470D">
              <w:rPr>
                <w:rFonts w:ascii="Palatino Linotype" w:hAnsi="Palatino Linotype"/>
                <w:b/>
                <w:noProof/>
                <w:webHidden/>
              </w:rPr>
              <w:instrText xml:space="preserve"> PAGEREF _Toc32221285 \h </w:instrText>
            </w:r>
            <w:r w:rsidR="00983FBC" w:rsidRPr="0000470D">
              <w:rPr>
                <w:rFonts w:ascii="Palatino Linotype" w:hAnsi="Palatino Linotype"/>
                <w:b/>
                <w:noProof/>
                <w:webHidden/>
              </w:rPr>
            </w:r>
            <w:r w:rsidR="00983FBC" w:rsidRPr="0000470D">
              <w:rPr>
                <w:rFonts w:ascii="Palatino Linotype" w:hAnsi="Palatino Linotype"/>
                <w:b/>
                <w:noProof/>
                <w:webHidden/>
              </w:rPr>
              <w:fldChar w:fldCharType="separate"/>
            </w:r>
            <w:r w:rsidR="00E62999">
              <w:rPr>
                <w:rFonts w:ascii="Palatino Linotype" w:hAnsi="Palatino Linotype"/>
                <w:b/>
                <w:noProof/>
                <w:webHidden/>
              </w:rPr>
              <w:t>50</w:t>
            </w:r>
            <w:r w:rsidR="00983FBC" w:rsidRPr="0000470D">
              <w:rPr>
                <w:rFonts w:ascii="Palatino Linotype" w:hAnsi="Palatino Linotype"/>
                <w:b/>
                <w:noProof/>
                <w:webHidden/>
              </w:rPr>
              <w:fldChar w:fldCharType="end"/>
            </w:r>
          </w:hyperlink>
        </w:p>
        <w:p w:rsidR="00983FBC" w:rsidRPr="0000470D" w:rsidRDefault="00E6007F" w:rsidP="00983FBC">
          <w:pPr>
            <w:pStyle w:val="TDC2"/>
            <w:rPr>
              <w:b/>
              <w:noProof/>
              <w:sz w:val="22"/>
              <w:szCs w:val="22"/>
              <w:lang w:val="es-MX" w:eastAsia="es-MX"/>
            </w:rPr>
          </w:pPr>
          <w:hyperlink w:anchor="_Toc32221286" w:history="1">
            <w:r w:rsidR="00983FBC" w:rsidRPr="0000470D">
              <w:rPr>
                <w:rStyle w:val="Hipervnculo"/>
                <w:rFonts w:ascii="Palatino Linotype" w:eastAsiaTheme="majorEastAsia" w:hAnsi="Palatino Linotype" w:cstheme="majorBidi"/>
                <w:b/>
                <w:noProof/>
              </w:rPr>
              <w:t>I. De la clasificación de la información.</w:t>
            </w:r>
            <w:r w:rsidR="00983FBC" w:rsidRPr="0000470D">
              <w:rPr>
                <w:b/>
                <w:noProof/>
                <w:webHidden/>
              </w:rPr>
              <w:tab/>
            </w:r>
            <w:r w:rsidR="00983FBC" w:rsidRPr="0000470D">
              <w:rPr>
                <w:b/>
                <w:noProof/>
                <w:webHidden/>
              </w:rPr>
              <w:fldChar w:fldCharType="begin"/>
            </w:r>
            <w:r w:rsidR="00983FBC" w:rsidRPr="0000470D">
              <w:rPr>
                <w:b/>
                <w:noProof/>
                <w:webHidden/>
              </w:rPr>
              <w:instrText xml:space="preserve"> PAGEREF _Toc32221286 \h </w:instrText>
            </w:r>
            <w:r w:rsidR="00983FBC" w:rsidRPr="0000470D">
              <w:rPr>
                <w:b/>
                <w:noProof/>
                <w:webHidden/>
              </w:rPr>
            </w:r>
            <w:r w:rsidR="00983FBC" w:rsidRPr="0000470D">
              <w:rPr>
                <w:b/>
                <w:noProof/>
                <w:webHidden/>
              </w:rPr>
              <w:fldChar w:fldCharType="separate"/>
            </w:r>
            <w:r w:rsidR="00E62999">
              <w:rPr>
                <w:b/>
                <w:noProof/>
                <w:webHidden/>
              </w:rPr>
              <w:t>76</w:t>
            </w:r>
            <w:r w:rsidR="00983FBC" w:rsidRPr="0000470D">
              <w:rPr>
                <w:b/>
                <w:noProof/>
                <w:webHidden/>
              </w:rPr>
              <w:fldChar w:fldCharType="end"/>
            </w:r>
          </w:hyperlink>
        </w:p>
        <w:p w:rsidR="00983FBC" w:rsidRPr="0000470D" w:rsidRDefault="00E6007F">
          <w:pPr>
            <w:pStyle w:val="TDC1"/>
            <w:tabs>
              <w:tab w:val="right" w:leader="dot" w:pos="8779"/>
            </w:tabs>
            <w:rPr>
              <w:rFonts w:ascii="Palatino Linotype" w:hAnsi="Palatino Linotype"/>
              <w:b/>
              <w:noProof/>
              <w:sz w:val="22"/>
              <w:szCs w:val="22"/>
              <w:lang w:val="es-MX" w:eastAsia="es-MX"/>
            </w:rPr>
          </w:pPr>
          <w:hyperlink w:anchor="_Toc32221287" w:history="1">
            <w:r w:rsidR="00983FBC" w:rsidRPr="0000470D">
              <w:rPr>
                <w:rStyle w:val="Hipervnculo"/>
                <w:rFonts w:ascii="Palatino Linotype" w:eastAsia="Times New Roman" w:hAnsi="Palatino Linotype" w:cstheme="majorBidi"/>
                <w:b/>
                <w:bCs/>
                <w:noProof/>
              </w:rPr>
              <w:t>R E S O L U T I V O S</w:t>
            </w:r>
            <w:r w:rsidR="00983FBC" w:rsidRPr="0000470D">
              <w:rPr>
                <w:rFonts w:ascii="Palatino Linotype" w:hAnsi="Palatino Linotype"/>
                <w:b/>
                <w:noProof/>
                <w:webHidden/>
              </w:rPr>
              <w:tab/>
            </w:r>
            <w:r w:rsidR="00983FBC" w:rsidRPr="0000470D">
              <w:rPr>
                <w:rFonts w:ascii="Palatino Linotype" w:hAnsi="Palatino Linotype"/>
                <w:b/>
                <w:noProof/>
                <w:webHidden/>
              </w:rPr>
              <w:fldChar w:fldCharType="begin"/>
            </w:r>
            <w:r w:rsidR="00983FBC" w:rsidRPr="0000470D">
              <w:rPr>
                <w:rFonts w:ascii="Palatino Linotype" w:hAnsi="Palatino Linotype"/>
                <w:b/>
                <w:noProof/>
                <w:webHidden/>
              </w:rPr>
              <w:instrText xml:space="preserve"> PAGEREF _Toc32221287 \h </w:instrText>
            </w:r>
            <w:r w:rsidR="00983FBC" w:rsidRPr="0000470D">
              <w:rPr>
                <w:rFonts w:ascii="Palatino Linotype" w:hAnsi="Palatino Linotype"/>
                <w:b/>
                <w:noProof/>
                <w:webHidden/>
              </w:rPr>
            </w:r>
            <w:r w:rsidR="00983FBC" w:rsidRPr="0000470D">
              <w:rPr>
                <w:rFonts w:ascii="Palatino Linotype" w:hAnsi="Palatino Linotype"/>
                <w:b/>
                <w:noProof/>
                <w:webHidden/>
              </w:rPr>
              <w:fldChar w:fldCharType="separate"/>
            </w:r>
            <w:r w:rsidR="00E62999">
              <w:rPr>
                <w:rFonts w:ascii="Palatino Linotype" w:hAnsi="Palatino Linotype"/>
                <w:b/>
                <w:noProof/>
                <w:webHidden/>
              </w:rPr>
              <w:t>100</w:t>
            </w:r>
            <w:r w:rsidR="00983FBC" w:rsidRPr="0000470D">
              <w:rPr>
                <w:rFonts w:ascii="Palatino Linotype" w:hAnsi="Palatino Linotype"/>
                <w:b/>
                <w:noProof/>
                <w:webHidden/>
              </w:rPr>
              <w:fldChar w:fldCharType="end"/>
            </w:r>
          </w:hyperlink>
        </w:p>
        <w:p w:rsidR="00554DF4" w:rsidRPr="00983FBC" w:rsidRDefault="00983FBC" w:rsidP="00983FBC">
          <w:pPr>
            <w:spacing w:line="360" w:lineRule="auto"/>
            <w:rPr>
              <w:rFonts w:ascii="Palatino Linotype" w:hAnsi="Palatino Linotype"/>
            </w:rPr>
          </w:pPr>
          <w:r w:rsidRPr="0000470D">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72390</wp:posOffset>
                    </wp:positionV>
                    <wp:extent cx="5553075" cy="3238500"/>
                    <wp:effectExtent l="19050" t="19050" r="28575" b="19050"/>
                    <wp:wrapNone/>
                    <wp:docPr id="1" name="Conector recto 1"/>
                    <wp:cNvGraphicFramePr/>
                    <a:graphic xmlns:a="http://schemas.openxmlformats.org/drawingml/2006/main">
                      <a:graphicData uri="http://schemas.microsoft.com/office/word/2010/wordprocessingShape">
                        <wps:wsp>
                          <wps:cNvCnPr/>
                          <wps:spPr>
                            <a:xfrm flipH="1" flipV="1">
                              <a:off x="0" y="0"/>
                              <a:ext cx="5553075" cy="3238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9F41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pt,5.7pt" to="438.45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" strokecolor="#5b9bd5 [3204]" strokeweight="3pt">
                    <v:stroke joinstyle="miter"/>
                  </v:line>
                </w:pict>
              </mc:Fallback>
            </mc:AlternateContent>
          </w:r>
          <w:r w:rsidR="00554DF4" w:rsidRPr="00983FBC">
            <w:rPr>
              <w:rFonts w:ascii="Palatino Linotype" w:hAnsi="Palatino Linotype"/>
              <w:b/>
              <w:bCs/>
              <w:lang w:val="es-ES"/>
            </w:rPr>
            <w:fldChar w:fldCharType="end"/>
          </w:r>
        </w:p>
      </w:sdtContent>
    </w:sdt>
    <w:p w:rsidR="00554DF4" w:rsidRPr="00983FBC" w:rsidRDefault="00554DF4" w:rsidP="00983FBC">
      <w:pPr>
        <w:spacing w:line="360" w:lineRule="auto"/>
        <w:jc w:val="both"/>
        <w:rPr>
          <w:rFonts w:ascii="Palatino Linotype" w:hAnsi="Palatino Linotype"/>
        </w:rPr>
      </w:pPr>
    </w:p>
    <w:p w:rsidR="00554DF4" w:rsidRPr="00983FBC" w:rsidRDefault="00554DF4" w:rsidP="00983FBC">
      <w:pPr>
        <w:spacing w:line="360" w:lineRule="auto"/>
        <w:jc w:val="both"/>
        <w:rPr>
          <w:rFonts w:ascii="Palatino Linotype" w:hAnsi="Palatino Linotype"/>
        </w:rPr>
      </w:pPr>
    </w:p>
    <w:p w:rsidR="009D4B58" w:rsidRPr="00983FBC" w:rsidRDefault="009D4B58" w:rsidP="00983FBC">
      <w:pPr>
        <w:spacing w:line="360" w:lineRule="auto"/>
        <w:jc w:val="both"/>
        <w:rPr>
          <w:rFonts w:ascii="Palatino Linotype" w:hAnsi="Palatino Linotype"/>
        </w:rPr>
      </w:pPr>
    </w:p>
    <w:p w:rsidR="009D4B58" w:rsidRDefault="009D4B58" w:rsidP="00983FBC">
      <w:pPr>
        <w:spacing w:line="360" w:lineRule="auto"/>
        <w:jc w:val="both"/>
        <w:rPr>
          <w:rFonts w:ascii="Palatino Linotype" w:hAnsi="Palatino Linotype"/>
        </w:rPr>
      </w:pPr>
    </w:p>
    <w:p w:rsidR="00983FBC" w:rsidRDefault="00983FBC" w:rsidP="00983FBC">
      <w:pPr>
        <w:spacing w:line="360" w:lineRule="auto"/>
        <w:jc w:val="both"/>
        <w:rPr>
          <w:rFonts w:ascii="Palatino Linotype" w:hAnsi="Palatino Linotype"/>
        </w:rPr>
      </w:pPr>
    </w:p>
    <w:p w:rsidR="00983FBC" w:rsidRDefault="00983FBC" w:rsidP="00983FBC">
      <w:pPr>
        <w:spacing w:line="360" w:lineRule="auto"/>
        <w:jc w:val="both"/>
        <w:rPr>
          <w:rFonts w:ascii="Palatino Linotype" w:hAnsi="Palatino Linotype"/>
        </w:rPr>
      </w:pPr>
    </w:p>
    <w:p w:rsidR="00983FBC" w:rsidRPr="00983FBC" w:rsidRDefault="00983FBC" w:rsidP="00983FBC">
      <w:pPr>
        <w:spacing w:line="360" w:lineRule="auto"/>
        <w:jc w:val="both"/>
        <w:rPr>
          <w:rFonts w:ascii="Palatino Linotype" w:hAnsi="Palatino Linotype"/>
        </w:rPr>
      </w:pPr>
    </w:p>
    <w:p w:rsidR="009D4B58" w:rsidRPr="00983FBC" w:rsidRDefault="009D4B58" w:rsidP="00983FBC">
      <w:pPr>
        <w:spacing w:line="360" w:lineRule="auto"/>
        <w:jc w:val="both"/>
        <w:rPr>
          <w:rFonts w:ascii="Palatino Linotype" w:hAnsi="Palatino Linotype"/>
        </w:rPr>
      </w:pPr>
    </w:p>
    <w:p w:rsidR="00EB1ACA" w:rsidRPr="00983FBC" w:rsidRDefault="00EB1ACA" w:rsidP="00983FBC">
      <w:pPr>
        <w:spacing w:line="360" w:lineRule="auto"/>
        <w:jc w:val="both"/>
        <w:rPr>
          <w:rFonts w:ascii="Palatino Linotype" w:hAnsi="Palatino Linotype"/>
        </w:rPr>
      </w:pPr>
    </w:p>
    <w:p w:rsidR="00554DF4" w:rsidRDefault="00554DF4" w:rsidP="00983FBC">
      <w:pPr>
        <w:spacing w:line="360" w:lineRule="auto"/>
        <w:jc w:val="both"/>
        <w:rPr>
          <w:rFonts w:ascii="Palatino Linotype" w:hAnsi="Palatino Linotype"/>
        </w:rPr>
      </w:pPr>
      <w:r w:rsidRPr="00983FB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93E01" w:rsidRPr="00983FBC">
        <w:rPr>
          <w:rFonts w:ascii="Palatino Linotype" w:hAnsi="Palatino Linotype"/>
        </w:rPr>
        <w:t xml:space="preserve">seis (6) de febrero </w:t>
      </w:r>
      <w:r w:rsidRPr="00983FBC">
        <w:rPr>
          <w:rFonts w:ascii="Palatino Linotype" w:hAnsi="Palatino Linotype"/>
        </w:rPr>
        <w:t xml:space="preserve">de dos mil </w:t>
      </w:r>
      <w:r w:rsidR="00F76C2F" w:rsidRPr="00983FBC">
        <w:rPr>
          <w:rFonts w:ascii="Palatino Linotype" w:hAnsi="Palatino Linotype"/>
        </w:rPr>
        <w:t>veinte</w:t>
      </w:r>
      <w:r w:rsidRPr="00983FBC">
        <w:rPr>
          <w:rFonts w:ascii="Palatino Linotype" w:hAnsi="Palatino Linotype"/>
        </w:rPr>
        <w:t>.</w:t>
      </w:r>
    </w:p>
    <w:p w:rsidR="00983FBC" w:rsidRPr="00983FBC" w:rsidRDefault="00983FBC" w:rsidP="00983FBC">
      <w:pPr>
        <w:spacing w:line="360" w:lineRule="auto"/>
        <w:jc w:val="both"/>
        <w:rPr>
          <w:rFonts w:ascii="Palatino Linotype" w:hAnsi="Palatino Linotype"/>
        </w:rPr>
      </w:pPr>
    </w:p>
    <w:p w:rsidR="00554DF4" w:rsidRDefault="00554DF4" w:rsidP="00983FBC">
      <w:pPr>
        <w:spacing w:line="360" w:lineRule="auto"/>
        <w:jc w:val="both"/>
        <w:rPr>
          <w:rFonts w:ascii="Palatino Linotype" w:hAnsi="Palatino Linotype"/>
        </w:rPr>
      </w:pPr>
      <w:r w:rsidRPr="00983FBC">
        <w:rPr>
          <w:rFonts w:ascii="Palatino Linotype" w:hAnsi="Palatino Linotype"/>
          <w:b/>
        </w:rPr>
        <w:t>VISTO el</w:t>
      </w:r>
      <w:r w:rsidRPr="00983FBC">
        <w:rPr>
          <w:rFonts w:ascii="Palatino Linotype" w:hAnsi="Palatino Linotype"/>
        </w:rPr>
        <w:t xml:space="preserve"> expediente electrónico formado con motivo del recurso de revisión </w:t>
      </w:r>
      <w:r w:rsidR="006D6CCC" w:rsidRPr="00983FBC">
        <w:rPr>
          <w:rFonts w:ascii="Palatino Linotype" w:hAnsi="Palatino Linotype" w:cs="Arial"/>
          <w:b/>
          <w:bCs/>
          <w:szCs w:val="22"/>
          <w:lang w:eastAsia="es-MX"/>
        </w:rPr>
        <w:t>0</w:t>
      </w:r>
      <w:r w:rsidR="00EB1ACA" w:rsidRPr="00983FBC">
        <w:rPr>
          <w:rFonts w:ascii="Palatino Linotype" w:hAnsi="Palatino Linotype" w:cs="Arial"/>
          <w:b/>
          <w:bCs/>
          <w:szCs w:val="22"/>
          <w:lang w:eastAsia="es-MX"/>
        </w:rPr>
        <w:t>8623</w:t>
      </w:r>
      <w:r w:rsidRPr="00983FBC">
        <w:rPr>
          <w:rFonts w:ascii="Palatino Linotype" w:hAnsi="Palatino Linotype" w:cs="Arial"/>
          <w:b/>
          <w:bCs/>
        </w:rPr>
        <w:t xml:space="preserve">/INFOEM/IP/RR/2019, </w:t>
      </w:r>
      <w:r w:rsidRPr="00983FBC">
        <w:rPr>
          <w:rFonts w:ascii="Palatino Linotype" w:hAnsi="Palatino Linotype"/>
        </w:rPr>
        <w:t xml:space="preserve">promovido por </w:t>
      </w:r>
      <w:r w:rsidR="00756F13" w:rsidRPr="00756F13">
        <w:rPr>
          <w:rFonts w:ascii="Palatino Linotype" w:hAnsi="Palatino Linotype"/>
          <w:b/>
          <w:sz w:val="22"/>
          <w:szCs w:val="22"/>
          <w:highlight w:val="black"/>
        </w:rPr>
        <w:t>-----------------------</w:t>
      </w:r>
      <w:r w:rsidR="006D6CCC" w:rsidRPr="00983FBC">
        <w:rPr>
          <w:rFonts w:ascii="Palatino Linotype" w:hAnsi="Palatino Linotype"/>
        </w:rPr>
        <w:t xml:space="preserve"> </w:t>
      </w:r>
      <w:r w:rsidRPr="00983FBC">
        <w:rPr>
          <w:rFonts w:ascii="Palatino Linotype" w:hAnsi="Palatino Linotype"/>
        </w:rPr>
        <w:t xml:space="preserve">en su calidad de </w:t>
      </w:r>
      <w:r w:rsidRPr="00983FBC">
        <w:rPr>
          <w:rFonts w:ascii="Palatino Linotype" w:hAnsi="Palatino Linotype"/>
          <w:b/>
        </w:rPr>
        <w:t>RECURRENTE</w:t>
      </w:r>
      <w:r w:rsidRPr="00983FBC">
        <w:rPr>
          <w:rFonts w:ascii="Palatino Linotype" w:hAnsi="Palatino Linotype" w:cs="Arial"/>
        </w:rPr>
        <w:t xml:space="preserve">, en contra de la respuesta del </w:t>
      </w:r>
      <w:r w:rsidRPr="00983FBC">
        <w:rPr>
          <w:rFonts w:ascii="Palatino Linotype" w:hAnsi="Palatino Linotype"/>
          <w:b/>
          <w:bCs/>
          <w:szCs w:val="22"/>
        </w:rPr>
        <w:t xml:space="preserve">Ayuntamiento de </w:t>
      </w:r>
      <w:r w:rsidR="00012ABB" w:rsidRPr="00983FBC">
        <w:rPr>
          <w:rFonts w:ascii="Palatino Linotype" w:hAnsi="Palatino Linotype"/>
          <w:b/>
          <w:bCs/>
          <w:szCs w:val="22"/>
        </w:rPr>
        <w:t>Tejupilco</w:t>
      </w:r>
      <w:r w:rsidRPr="00983FBC">
        <w:rPr>
          <w:rFonts w:ascii="Palatino Linotype" w:hAnsi="Palatino Linotype" w:cs="Arial"/>
        </w:rPr>
        <w:t>,</w:t>
      </w:r>
      <w:r w:rsidRPr="00983FBC">
        <w:rPr>
          <w:rFonts w:ascii="Palatino Linotype" w:hAnsi="Palatino Linotype"/>
          <w:b/>
        </w:rPr>
        <w:t xml:space="preserve"> </w:t>
      </w:r>
      <w:r w:rsidRPr="00983FBC">
        <w:rPr>
          <w:rFonts w:ascii="Palatino Linotype" w:hAnsi="Palatino Linotype"/>
        </w:rPr>
        <w:t>en lo sucesivo el</w:t>
      </w:r>
      <w:r w:rsidRPr="00983FBC">
        <w:rPr>
          <w:rFonts w:ascii="Palatino Linotype" w:hAnsi="Palatino Linotype"/>
          <w:b/>
        </w:rPr>
        <w:t xml:space="preserve"> SUJETO OBLIGADO, </w:t>
      </w:r>
      <w:r w:rsidRPr="00983FBC">
        <w:rPr>
          <w:rFonts w:ascii="Palatino Linotype" w:hAnsi="Palatino Linotype"/>
        </w:rPr>
        <w:t xml:space="preserve">se procede a dictar la presente resolución, con base en los siguientes: </w:t>
      </w:r>
    </w:p>
    <w:p w:rsidR="00983FBC" w:rsidRPr="00983FBC" w:rsidRDefault="00983FBC" w:rsidP="00983FBC">
      <w:pPr>
        <w:spacing w:line="360" w:lineRule="auto"/>
        <w:jc w:val="both"/>
        <w:rPr>
          <w:rFonts w:ascii="Palatino Linotype" w:hAnsi="Palatino Linotype"/>
        </w:rPr>
      </w:pPr>
    </w:p>
    <w:p w:rsidR="00554DF4" w:rsidRPr="00983FBC" w:rsidRDefault="00554DF4" w:rsidP="00983FBC">
      <w:pPr>
        <w:pStyle w:val="Ttulo1"/>
        <w:spacing w:before="0" w:line="360" w:lineRule="auto"/>
        <w:jc w:val="center"/>
      </w:pPr>
      <w:bookmarkStart w:id="1" w:name="_Toc32221274"/>
      <w:r w:rsidRPr="00983FBC">
        <w:t>ANTECEDENTES</w:t>
      </w:r>
      <w:bookmarkEnd w:id="1"/>
    </w:p>
    <w:p w:rsidR="00554DF4" w:rsidRPr="00983FBC" w:rsidRDefault="00554DF4" w:rsidP="00983FBC">
      <w:pPr>
        <w:spacing w:line="360" w:lineRule="auto"/>
        <w:rPr>
          <w:rFonts w:ascii="Palatino Linotype" w:hAnsi="Palatino Linotype"/>
          <w:lang w:val="es-MX" w:eastAsia="en-US"/>
        </w:rPr>
      </w:pPr>
    </w:p>
    <w:p w:rsidR="00554DF4" w:rsidRPr="00983FBC" w:rsidRDefault="00554DF4" w:rsidP="00983FBC">
      <w:pPr>
        <w:pStyle w:val="Prrafodelista"/>
        <w:numPr>
          <w:ilvl w:val="0"/>
          <w:numId w:val="1"/>
        </w:numPr>
        <w:spacing w:line="360" w:lineRule="auto"/>
        <w:ind w:left="0" w:firstLine="0"/>
        <w:jc w:val="both"/>
        <w:rPr>
          <w:rFonts w:ascii="Palatino Linotype" w:eastAsia="Times New Roman" w:hAnsi="Palatino Linotype" w:cs="Arial"/>
          <w:lang w:val="es-ES"/>
        </w:rPr>
      </w:pPr>
      <w:r w:rsidRPr="00983FBC">
        <w:rPr>
          <w:rFonts w:ascii="Palatino Linotype" w:eastAsia="Calibri" w:hAnsi="Palatino Linotype" w:cs="Arial"/>
          <w:lang w:val="es-ES"/>
        </w:rPr>
        <w:t xml:space="preserve">El día </w:t>
      </w:r>
      <w:r w:rsidR="00C11A40" w:rsidRPr="00983FBC">
        <w:rPr>
          <w:rFonts w:ascii="Palatino Linotype" w:eastAsia="Calibri" w:hAnsi="Palatino Linotype" w:cs="Arial"/>
          <w:lang w:val="es-ES"/>
        </w:rPr>
        <w:t>veintiuno</w:t>
      </w:r>
      <w:r w:rsidRPr="00983FBC">
        <w:rPr>
          <w:rFonts w:ascii="Palatino Linotype" w:eastAsia="Calibri" w:hAnsi="Palatino Linotype" w:cs="Arial"/>
          <w:lang w:val="es-ES"/>
        </w:rPr>
        <w:t xml:space="preserve"> (</w:t>
      </w:r>
      <w:r w:rsidR="00C11A40" w:rsidRPr="00983FBC">
        <w:rPr>
          <w:rFonts w:ascii="Palatino Linotype" w:eastAsia="Calibri" w:hAnsi="Palatino Linotype" w:cs="Arial"/>
          <w:lang w:val="es-ES"/>
        </w:rPr>
        <w:t>21</w:t>
      </w:r>
      <w:r w:rsidRPr="00983FBC">
        <w:rPr>
          <w:rFonts w:ascii="Palatino Linotype" w:eastAsia="Calibri" w:hAnsi="Palatino Linotype" w:cs="Arial"/>
          <w:lang w:val="es-ES"/>
        </w:rPr>
        <w:t xml:space="preserve">) </w:t>
      </w:r>
      <w:r w:rsidRPr="00983FBC">
        <w:rPr>
          <w:rFonts w:ascii="Palatino Linotype" w:eastAsia="Calibri" w:hAnsi="Palatino Linotype" w:cs="Times New Roman"/>
          <w:lang w:val="es-ES"/>
        </w:rPr>
        <w:t xml:space="preserve">de </w:t>
      </w:r>
      <w:r w:rsidR="00C11A40" w:rsidRPr="00983FBC">
        <w:rPr>
          <w:rFonts w:ascii="Palatino Linotype" w:eastAsia="Calibri" w:hAnsi="Palatino Linotype" w:cs="Times New Roman"/>
          <w:lang w:val="es-ES"/>
        </w:rPr>
        <w:t>octubre</w:t>
      </w:r>
      <w:r w:rsidRPr="00983FBC">
        <w:rPr>
          <w:rFonts w:ascii="Palatino Linotype" w:eastAsia="Calibri" w:hAnsi="Palatino Linotype" w:cs="Times New Roman"/>
          <w:lang w:val="es-ES"/>
        </w:rPr>
        <w:t xml:space="preserve"> de dos mil diecinueve</w:t>
      </w:r>
      <w:r w:rsidRPr="00983FBC">
        <w:rPr>
          <w:rFonts w:ascii="Palatino Linotype" w:eastAsia="Calibri" w:hAnsi="Palatino Linotype" w:cs="Arial"/>
          <w:lang w:val="es-ES"/>
        </w:rPr>
        <w:t>,</w:t>
      </w:r>
      <w:r w:rsidRPr="00983FBC">
        <w:rPr>
          <w:rFonts w:ascii="Palatino Linotype" w:eastAsia="Calibri" w:hAnsi="Palatino Linotype" w:cs="Times New Roman"/>
          <w:lang w:val="es-ES"/>
        </w:rPr>
        <w:t xml:space="preserve"> </w:t>
      </w:r>
      <w:r w:rsidRPr="00983FBC">
        <w:rPr>
          <w:rFonts w:ascii="Palatino Linotype" w:eastAsia="Calibri" w:hAnsi="Palatino Linotype" w:cs="Times New Roman"/>
          <w:b/>
          <w:lang w:val="es-ES"/>
        </w:rPr>
        <w:t>EL RECURRENTE</w:t>
      </w:r>
      <w:r w:rsidRPr="00983FBC">
        <w:rPr>
          <w:rFonts w:ascii="Palatino Linotype" w:hAnsi="Palatino Linotype"/>
          <w:b/>
        </w:rPr>
        <w:t>,</w:t>
      </w:r>
      <w:r w:rsidRPr="00983FBC">
        <w:rPr>
          <w:rFonts w:ascii="Palatino Linotype" w:eastAsia="Calibri" w:hAnsi="Palatino Linotype" w:cs="Arial"/>
          <w:lang w:val="es-ES"/>
        </w:rPr>
        <w:t xml:space="preserve"> ante el </w:t>
      </w:r>
      <w:r w:rsidRPr="00983FBC">
        <w:rPr>
          <w:rFonts w:ascii="Palatino Linotype" w:eastAsia="Calibri" w:hAnsi="Palatino Linotype" w:cs="Arial"/>
          <w:b/>
          <w:lang w:val="es-ES"/>
        </w:rPr>
        <w:t>SUJETO OBLIGADO</w:t>
      </w:r>
      <w:r w:rsidRPr="00983FBC">
        <w:rPr>
          <w:rFonts w:ascii="Palatino Linotype" w:eastAsia="Calibri" w:hAnsi="Palatino Linotype" w:cs="Arial"/>
        </w:rPr>
        <w:t xml:space="preserve"> vía </w:t>
      </w:r>
      <w:r w:rsidRPr="00983FBC">
        <w:rPr>
          <w:rFonts w:ascii="Palatino Linotype" w:eastAsia="Calibri" w:hAnsi="Palatino Linotype" w:cs="Arial"/>
          <w:lang w:val="es-ES"/>
        </w:rPr>
        <w:t>Sistema de Acceso a la Información Mexiquense (</w:t>
      </w:r>
      <w:r w:rsidRPr="00983FBC">
        <w:rPr>
          <w:rFonts w:ascii="Palatino Linotype" w:eastAsia="Calibri" w:hAnsi="Palatino Linotype" w:cs="Arial"/>
          <w:b/>
          <w:lang w:val="es-ES"/>
        </w:rPr>
        <w:t>SAIMEX)</w:t>
      </w:r>
      <w:r w:rsidRPr="00983FBC">
        <w:rPr>
          <w:rFonts w:ascii="Palatino Linotype" w:eastAsia="Calibri" w:hAnsi="Palatino Linotype" w:cs="Arial"/>
          <w:lang w:val="es-ES"/>
        </w:rPr>
        <w:t xml:space="preserve">, presentó la solicitud de información pública registrada con el número </w:t>
      </w:r>
      <w:r w:rsidR="00373F0F" w:rsidRPr="00983FBC">
        <w:rPr>
          <w:rFonts w:ascii="Palatino Linotype" w:eastAsia="Calibri" w:hAnsi="Palatino Linotype" w:cs="Arial"/>
          <w:b/>
          <w:lang w:val="es-ES"/>
        </w:rPr>
        <w:t>00</w:t>
      </w:r>
      <w:r w:rsidR="00012ABB" w:rsidRPr="00983FBC">
        <w:rPr>
          <w:rFonts w:ascii="Palatino Linotype" w:eastAsia="Calibri" w:hAnsi="Palatino Linotype" w:cs="Arial"/>
          <w:b/>
          <w:lang w:val="es-ES"/>
        </w:rPr>
        <w:t>0</w:t>
      </w:r>
      <w:r w:rsidR="00E62999">
        <w:rPr>
          <w:rFonts w:ascii="Palatino Linotype" w:eastAsia="Calibri" w:hAnsi="Palatino Linotype" w:cs="Arial"/>
          <w:b/>
          <w:lang w:val="es-ES"/>
        </w:rPr>
        <w:t>8</w:t>
      </w:r>
      <w:r w:rsidR="00012ABB" w:rsidRPr="00983FBC">
        <w:rPr>
          <w:rFonts w:ascii="Palatino Linotype" w:eastAsia="Calibri" w:hAnsi="Palatino Linotype" w:cs="Arial"/>
          <w:b/>
          <w:lang w:val="es-ES"/>
        </w:rPr>
        <w:t>6</w:t>
      </w:r>
      <w:r w:rsidRPr="00983FBC">
        <w:rPr>
          <w:rFonts w:ascii="Palatino Linotype" w:eastAsia="Calibri" w:hAnsi="Palatino Linotype" w:cs="Arial"/>
          <w:b/>
          <w:lang w:val="es-ES"/>
        </w:rPr>
        <w:t>/</w:t>
      </w:r>
      <w:r w:rsidR="00012ABB" w:rsidRPr="00983FBC">
        <w:rPr>
          <w:rFonts w:ascii="Palatino Linotype" w:eastAsia="Calibri" w:hAnsi="Palatino Linotype" w:cs="Arial"/>
          <w:b/>
          <w:lang w:val="es-ES"/>
        </w:rPr>
        <w:t>TEJUPIL</w:t>
      </w:r>
      <w:r w:rsidRPr="00983FBC">
        <w:rPr>
          <w:rFonts w:ascii="Palatino Linotype" w:eastAsia="Calibri" w:hAnsi="Palatino Linotype" w:cs="Arial"/>
          <w:b/>
          <w:lang w:val="es-ES"/>
        </w:rPr>
        <w:t>/IP/2019</w:t>
      </w:r>
      <w:r w:rsidRPr="00983FBC">
        <w:rPr>
          <w:rFonts w:ascii="Palatino Linotype" w:hAnsi="Palatino Linotype"/>
          <w:b/>
        </w:rPr>
        <w:t xml:space="preserve">, </w:t>
      </w:r>
      <w:r w:rsidRPr="00983FBC">
        <w:rPr>
          <w:rFonts w:ascii="Palatino Linotype" w:eastAsia="Calibri" w:hAnsi="Palatino Linotype" w:cs="Arial"/>
          <w:lang w:val="es-ES"/>
        </w:rPr>
        <w:t>mediante la cual solicitó lo siguiente:</w:t>
      </w:r>
    </w:p>
    <w:p w:rsidR="00554DF4" w:rsidRPr="00983FBC" w:rsidRDefault="00554DF4" w:rsidP="00983FBC">
      <w:pPr>
        <w:pStyle w:val="Prrafodelista"/>
        <w:spacing w:line="360" w:lineRule="auto"/>
        <w:ind w:left="0"/>
        <w:jc w:val="both"/>
        <w:rPr>
          <w:rFonts w:ascii="Palatino Linotype" w:eastAsia="Times New Roman" w:hAnsi="Palatino Linotype" w:cs="Arial"/>
          <w:lang w:val="es-ES"/>
        </w:rPr>
      </w:pPr>
    </w:p>
    <w:p w:rsidR="00554DF4" w:rsidRPr="00983FBC" w:rsidRDefault="00554DF4" w:rsidP="00983FBC">
      <w:pPr>
        <w:spacing w:line="360" w:lineRule="auto"/>
        <w:ind w:left="567" w:right="567"/>
        <w:jc w:val="both"/>
        <w:rPr>
          <w:rFonts w:ascii="Palatino Linotype" w:eastAsia="Calibri" w:hAnsi="Palatino Linotype" w:cs="Arial"/>
          <w:i/>
          <w:sz w:val="22"/>
          <w:lang w:val="es-ES"/>
        </w:rPr>
      </w:pPr>
      <w:r w:rsidRPr="00983FBC">
        <w:rPr>
          <w:rFonts w:ascii="Palatino Linotype" w:eastAsia="Calibri" w:hAnsi="Palatino Linotype" w:cs="Arial"/>
          <w:i/>
          <w:sz w:val="22"/>
          <w:lang w:val="es-ES"/>
        </w:rPr>
        <w:t>“</w:t>
      </w:r>
      <w:r w:rsidR="00C11A40" w:rsidRPr="00983FBC">
        <w:rPr>
          <w:rFonts w:ascii="Palatino Linotype" w:eastAsia="Times New Roman" w:hAnsi="Palatino Linotype" w:cs="Times New Roman"/>
          <w:i/>
          <w:sz w:val="22"/>
          <w:szCs w:val="14"/>
          <w:lang w:val="es-MX" w:eastAsia="es-MX"/>
        </w:rPr>
        <w:t xml:space="preserve">de los recursos federales recibidos este año se les solicita as facturas contratos de los bienes comprados rentados para seguridad incluidas patrullas radios </w:t>
      </w:r>
      <w:proofErr w:type="gramStart"/>
      <w:r w:rsidR="00C11A40" w:rsidRPr="00983FBC">
        <w:rPr>
          <w:rFonts w:ascii="Palatino Linotype" w:eastAsia="Times New Roman" w:hAnsi="Palatino Linotype" w:cs="Times New Roman"/>
          <w:i/>
          <w:sz w:val="22"/>
          <w:szCs w:val="14"/>
          <w:lang w:val="es-MX" w:eastAsia="es-MX"/>
        </w:rPr>
        <w:t>uniformes ,</w:t>
      </w:r>
      <w:proofErr w:type="gramEnd"/>
      <w:r w:rsidR="00C11A40" w:rsidRPr="00983FBC">
        <w:rPr>
          <w:rFonts w:ascii="Palatino Linotype" w:eastAsia="Times New Roman" w:hAnsi="Palatino Linotype" w:cs="Times New Roman"/>
          <w:i/>
          <w:sz w:val="22"/>
          <w:szCs w:val="14"/>
          <w:lang w:val="es-MX" w:eastAsia="es-MX"/>
        </w:rPr>
        <w:t xml:space="preserve"> así como de recursos locales</w:t>
      </w:r>
      <w:r w:rsidRPr="00983FBC">
        <w:rPr>
          <w:rFonts w:ascii="Palatino Linotype" w:eastAsia="Calibri" w:hAnsi="Palatino Linotype" w:cs="Arial"/>
          <w:i/>
          <w:sz w:val="22"/>
          <w:lang w:val="es-ES"/>
        </w:rPr>
        <w:t>” (Sic)</w:t>
      </w:r>
    </w:p>
    <w:p w:rsidR="006D6CCC" w:rsidRPr="00983FBC" w:rsidRDefault="006D6CCC" w:rsidP="00983FBC">
      <w:pPr>
        <w:spacing w:line="360" w:lineRule="auto"/>
        <w:jc w:val="both"/>
        <w:rPr>
          <w:rFonts w:ascii="Palatino Linotype" w:eastAsia="Calibri" w:hAnsi="Palatino Linotype" w:cs="Arial"/>
          <w:i/>
          <w:sz w:val="22"/>
          <w:lang w:val="es-ES"/>
        </w:rPr>
      </w:pPr>
    </w:p>
    <w:p w:rsidR="00554DF4" w:rsidRPr="00983FBC" w:rsidRDefault="00554DF4" w:rsidP="00983FBC">
      <w:pPr>
        <w:pStyle w:val="Prrafodelista"/>
        <w:numPr>
          <w:ilvl w:val="0"/>
          <w:numId w:val="1"/>
        </w:numPr>
        <w:spacing w:line="360" w:lineRule="auto"/>
        <w:ind w:left="0" w:firstLine="0"/>
        <w:jc w:val="both"/>
        <w:rPr>
          <w:rFonts w:ascii="Palatino Linotype" w:eastAsia="Times New Roman" w:hAnsi="Palatino Linotype" w:cs="Arial"/>
          <w:lang w:val="es-ES"/>
        </w:rPr>
      </w:pPr>
      <w:r w:rsidRPr="00983FBC">
        <w:rPr>
          <w:rFonts w:ascii="Palatino Linotype" w:eastAsia="Times New Roman" w:hAnsi="Palatino Linotype" w:cs="Arial"/>
          <w:lang w:val="es-ES"/>
        </w:rPr>
        <w:t>Señaló como modalidad de entrega de la información</w:t>
      </w:r>
      <w:r w:rsidRPr="00983FBC">
        <w:rPr>
          <w:rFonts w:ascii="Palatino Linotype" w:eastAsia="Times New Roman" w:hAnsi="Palatino Linotype" w:cs="Arial"/>
          <w:b/>
          <w:lang w:val="es-ES"/>
        </w:rPr>
        <w:t>:</w:t>
      </w:r>
      <w:r w:rsidRPr="00983FBC">
        <w:rPr>
          <w:rFonts w:ascii="Palatino Linotype" w:eastAsia="Times New Roman" w:hAnsi="Palatino Linotype" w:cs="Arial"/>
          <w:lang w:val="es-ES"/>
        </w:rPr>
        <w:t xml:space="preserve"> a través del </w:t>
      </w:r>
      <w:r w:rsidRPr="00983FBC">
        <w:rPr>
          <w:rFonts w:ascii="Palatino Linotype" w:eastAsia="Times New Roman" w:hAnsi="Palatino Linotype" w:cs="Arial"/>
          <w:b/>
          <w:lang w:val="es-ES"/>
        </w:rPr>
        <w:t>SAIMEX.</w:t>
      </w:r>
    </w:p>
    <w:p w:rsidR="00554DF4" w:rsidRPr="00983FBC" w:rsidRDefault="00554DF4" w:rsidP="00983FBC">
      <w:pPr>
        <w:pStyle w:val="Prrafodelista"/>
        <w:spacing w:line="360" w:lineRule="auto"/>
        <w:ind w:left="0"/>
        <w:jc w:val="both"/>
        <w:rPr>
          <w:rFonts w:ascii="Palatino Linotype" w:hAnsi="Palatino Linotype"/>
        </w:rPr>
      </w:pPr>
    </w:p>
    <w:p w:rsidR="00554DF4" w:rsidRPr="00983FBC" w:rsidRDefault="00554DF4" w:rsidP="00983FBC">
      <w:pPr>
        <w:pStyle w:val="Prrafodelista"/>
        <w:numPr>
          <w:ilvl w:val="0"/>
          <w:numId w:val="1"/>
        </w:numPr>
        <w:spacing w:line="360" w:lineRule="auto"/>
        <w:ind w:left="0" w:firstLine="0"/>
        <w:jc w:val="both"/>
        <w:rPr>
          <w:rFonts w:ascii="Palatino Linotype" w:eastAsia="Calibri" w:hAnsi="Palatino Linotype" w:cs="Times New Roman"/>
          <w:lang w:val="es-ES"/>
        </w:rPr>
      </w:pPr>
      <w:r w:rsidRPr="00983FBC">
        <w:rPr>
          <w:rFonts w:ascii="Palatino Linotype" w:eastAsia="Calibri" w:hAnsi="Palatino Linotype" w:cs="Times New Roman"/>
          <w:lang w:val="es-ES"/>
        </w:rPr>
        <w:lastRenderedPageBreak/>
        <w:t xml:space="preserve">El día </w:t>
      </w:r>
      <w:r w:rsidR="003F0B1B" w:rsidRPr="00983FBC">
        <w:rPr>
          <w:rFonts w:ascii="Palatino Linotype" w:eastAsia="Calibri" w:hAnsi="Palatino Linotype" w:cs="Times New Roman"/>
          <w:lang w:val="es-ES"/>
        </w:rPr>
        <w:t>once</w:t>
      </w:r>
      <w:r w:rsidR="006D6CCC" w:rsidRPr="00983FBC">
        <w:rPr>
          <w:rFonts w:ascii="Palatino Linotype" w:eastAsia="Calibri" w:hAnsi="Palatino Linotype" w:cs="Arial"/>
          <w:lang w:val="es-ES"/>
        </w:rPr>
        <w:t xml:space="preserve"> (</w:t>
      </w:r>
      <w:r w:rsidR="003F0B1B" w:rsidRPr="00983FBC">
        <w:rPr>
          <w:rFonts w:ascii="Palatino Linotype" w:eastAsia="Calibri" w:hAnsi="Palatino Linotype" w:cs="Arial"/>
          <w:lang w:val="es-ES"/>
        </w:rPr>
        <w:t>11</w:t>
      </w:r>
      <w:r w:rsidR="006D6CCC" w:rsidRPr="00983FBC">
        <w:rPr>
          <w:rFonts w:ascii="Palatino Linotype" w:eastAsia="Calibri" w:hAnsi="Palatino Linotype" w:cs="Arial"/>
          <w:lang w:val="es-ES"/>
        </w:rPr>
        <w:t xml:space="preserve">) </w:t>
      </w:r>
      <w:r w:rsidR="006D6CCC" w:rsidRPr="00983FBC">
        <w:rPr>
          <w:rFonts w:ascii="Palatino Linotype" w:eastAsia="Calibri" w:hAnsi="Palatino Linotype" w:cs="Times New Roman"/>
          <w:lang w:val="es-ES"/>
        </w:rPr>
        <w:t xml:space="preserve">de </w:t>
      </w:r>
      <w:r w:rsidR="00C11A40" w:rsidRPr="00983FBC">
        <w:rPr>
          <w:rFonts w:ascii="Palatino Linotype" w:eastAsia="Calibri" w:hAnsi="Palatino Linotype" w:cs="Times New Roman"/>
          <w:lang w:val="es-ES"/>
        </w:rPr>
        <w:t>noviembre</w:t>
      </w:r>
      <w:r w:rsidR="006D6CCC" w:rsidRPr="00983FBC">
        <w:rPr>
          <w:rFonts w:ascii="Palatino Linotype" w:eastAsia="Calibri" w:hAnsi="Palatino Linotype" w:cs="Times New Roman"/>
          <w:lang w:val="es-ES"/>
        </w:rPr>
        <w:t xml:space="preserve"> </w:t>
      </w:r>
      <w:r w:rsidRPr="00983FBC">
        <w:rPr>
          <w:rFonts w:ascii="Palatino Linotype" w:eastAsia="Calibri" w:hAnsi="Palatino Linotype" w:cs="Times New Roman"/>
          <w:lang w:val="es-ES"/>
        </w:rPr>
        <w:t xml:space="preserve">de dos mil diecinueve, el </w:t>
      </w:r>
      <w:r w:rsidRPr="00983FBC">
        <w:rPr>
          <w:rFonts w:ascii="Palatino Linotype" w:eastAsia="Calibri" w:hAnsi="Palatino Linotype" w:cs="Arial"/>
          <w:b/>
          <w:lang w:val="es-AR"/>
        </w:rPr>
        <w:t>SUJETO OBLIGADO</w:t>
      </w:r>
      <w:r w:rsidRPr="00983FBC">
        <w:rPr>
          <w:rFonts w:ascii="Palatino Linotype" w:eastAsia="Calibri" w:hAnsi="Palatino Linotype" w:cs="Arial"/>
          <w:b/>
          <w:i/>
          <w:lang w:val="es-AR"/>
        </w:rPr>
        <w:t xml:space="preserve"> </w:t>
      </w:r>
      <w:r w:rsidRPr="00983FBC">
        <w:rPr>
          <w:rFonts w:ascii="Palatino Linotype" w:eastAsia="Times New Roman" w:hAnsi="Palatino Linotype" w:cs="Arial"/>
          <w:lang w:val="es-ES"/>
        </w:rPr>
        <w:t>dio respuesta a la solicitud de información,</w:t>
      </w:r>
      <w:r w:rsidR="00196809" w:rsidRPr="00983FBC">
        <w:rPr>
          <w:rFonts w:ascii="Palatino Linotype" w:eastAsia="Times New Roman" w:hAnsi="Palatino Linotype" w:cs="Arial"/>
          <w:lang w:val="es-ES"/>
        </w:rPr>
        <w:t xml:space="preserve"> adjuntando el documento denominado </w:t>
      </w:r>
      <w:r w:rsidR="003F0B1B" w:rsidRPr="00983FBC">
        <w:rPr>
          <w:rFonts w:ascii="Palatino Linotype" w:eastAsia="Times New Roman" w:hAnsi="Palatino Linotype" w:cs="Arial"/>
          <w:b/>
          <w:lang w:val="es-ES"/>
        </w:rPr>
        <w:t>00086 ipomex</w:t>
      </w:r>
      <w:r w:rsidR="00C11A40" w:rsidRPr="00983FBC">
        <w:rPr>
          <w:rFonts w:ascii="Palatino Linotype" w:eastAsia="Times New Roman" w:hAnsi="Palatino Linotype" w:cs="Arial"/>
          <w:b/>
          <w:lang w:val="es-ES"/>
        </w:rPr>
        <w:t>.pdf</w:t>
      </w:r>
      <w:r w:rsidRPr="00983FBC">
        <w:rPr>
          <w:rFonts w:ascii="Palatino Linotype" w:eastAsia="Times New Roman" w:hAnsi="Palatino Linotype" w:cs="Arial"/>
          <w:lang w:val="es-ES"/>
        </w:rPr>
        <w:t xml:space="preserve"> en los siguientes términos:</w:t>
      </w:r>
    </w:p>
    <w:p w:rsidR="00554DF4" w:rsidRPr="00983FBC" w:rsidRDefault="00554DF4" w:rsidP="00983FBC">
      <w:pPr>
        <w:pStyle w:val="Prrafodelista"/>
        <w:spacing w:line="360" w:lineRule="auto"/>
        <w:rPr>
          <w:rFonts w:ascii="Palatino Linotype" w:eastAsia="Times New Roman" w:hAnsi="Palatino Linotype" w:cs="Arial"/>
          <w:lang w:val="es-ES"/>
        </w:rPr>
      </w:pPr>
    </w:p>
    <w:p w:rsidR="003F0B1B" w:rsidRPr="00983FBC" w:rsidRDefault="00554DF4" w:rsidP="00983FBC">
      <w:pPr>
        <w:pStyle w:val="Prrafodelista"/>
        <w:spacing w:line="360" w:lineRule="auto"/>
        <w:ind w:left="567" w:right="567"/>
        <w:jc w:val="both"/>
        <w:rPr>
          <w:rFonts w:ascii="Palatino Linotype" w:hAnsi="Palatino Linotype"/>
          <w:i/>
          <w:color w:val="000000"/>
          <w:sz w:val="22"/>
          <w:szCs w:val="22"/>
        </w:rPr>
      </w:pPr>
      <w:r w:rsidRPr="00983FBC">
        <w:rPr>
          <w:rFonts w:ascii="Palatino Linotype" w:eastAsia="Calibri" w:hAnsi="Palatino Linotype" w:cs="Times New Roman"/>
          <w:i/>
          <w:sz w:val="22"/>
          <w:szCs w:val="22"/>
          <w:lang w:val="es-ES"/>
        </w:rPr>
        <w:t>“</w:t>
      </w:r>
      <w:r w:rsidR="003F0B1B" w:rsidRPr="00983FB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DF4" w:rsidRPr="00983FBC" w:rsidRDefault="003F0B1B" w:rsidP="00983FBC">
      <w:pPr>
        <w:pStyle w:val="Prrafodelista"/>
        <w:spacing w:line="360" w:lineRule="auto"/>
        <w:ind w:left="567" w:right="567"/>
        <w:jc w:val="both"/>
        <w:rPr>
          <w:rFonts w:ascii="Palatino Linotype" w:hAnsi="Palatino Linotype"/>
          <w:i/>
          <w:color w:val="000000"/>
          <w:sz w:val="22"/>
          <w:szCs w:val="22"/>
        </w:rPr>
      </w:pPr>
      <w:r w:rsidRPr="00983FBC">
        <w:rPr>
          <w:rFonts w:ascii="Palatino Linotype" w:hAnsi="Palatino Linotype"/>
          <w:i/>
          <w:color w:val="000000"/>
          <w:sz w:val="22"/>
          <w:szCs w:val="22"/>
        </w:rPr>
        <w:t>ENVIÓ RESPUESTA A SOLICITUD 00086/TEJUPIL/IP/2019 DONDE SE ADJUNTA LA INFORMACIÓN SOLICITADA.</w:t>
      </w:r>
      <w:r w:rsidR="00554DF4" w:rsidRPr="00983FBC">
        <w:rPr>
          <w:rFonts w:ascii="Palatino Linotype" w:hAnsi="Palatino Linotype"/>
          <w:i/>
          <w:color w:val="000000"/>
          <w:sz w:val="22"/>
          <w:szCs w:val="22"/>
        </w:rPr>
        <w:t>” (</w:t>
      </w:r>
      <w:proofErr w:type="gramStart"/>
      <w:r w:rsidR="00554DF4" w:rsidRPr="00983FBC">
        <w:rPr>
          <w:rFonts w:ascii="Palatino Linotype" w:hAnsi="Palatino Linotype"/>
          <w:i/>
          <w:color w:val="000000"/>
          <w:sz w:val="22"/>
          <w:szCs w:val="22"/>
        </w:rPr>
        <w:t>sic</w:t>
      </w:r>
      <w:proofErr w:type="gramEnd"/>
      <w:r w:rsidR="00554DF4" w:rsidRPr="00983FBC">
        <w:rPr>
          <w:rFonts w:ascii="Palatino Linotype" w:hAnsi="Palatino Linotype"/>
          <w:i/>
          <w:color w:val="000000"/>
          <w:sz w:val="22"/>
          <w:szCs w:val="22"/>
        </w:rPr>
        <w:t>)</w:t>
      </w:r>
    </w:p>
    <w:p w:rsidR="00196809" w:rsidRPr="00983FBC" w:rsidRDefault="00196809" w:rsidP="00983FBC">
      <w:pPr>
        <w:pStyle w:val="Prrafodelista"/>
        <w:spacing w:line="360" w:lineRule="auto"/>
        <w:ind w:left="567" w:right="567"/>
        <w:jc w:val="both"/>
        <w:rPr>
          <w:rFonts w:ascii="Palatino Linotype" w:hAnsi="Palatino Linotype"/>
          <w:i/>
          <w:color w:val="000000"/>
          <w:sz w:val="22"/>
          <w:szCs w:val="22"/>
        </w:rPr>
      </w:pPr>
    </w:p>
    <w:p w:rsidR="001A4BC9" w:rsidRPr="00983FBC" w:rsidRDefault="003F0B1B" w:rsidP="00983FBC">
      <w:pPr>
        <w:pStyle w:val="Prrafodelista"/>
        <w:spacing w:line="360" w:lineRule="auto"/>
        <w:ind w:left="567" w:right="567"/>
        <w:jc w:val="both"/>
        <w:rPr>
          <w:rFonts w:ascii="Palatino Linotype" w:eastAsia="Times New Roman" w:hAnsi="Palatino Linotype" w:cs="Arial"/>
          <w:lang w:val="es-ES"/>
        </w:rPr>
      </w:pPr>
      <w:r w:rsidRPr="00983FBC">
        <w:rPr>
          <w:rFonts w:ascii="Palatino Linotype" w:eastAsia="Times New Roman" w:hAnsi="Palatino Linotype" w:cs="Arial"/>
          <w:b/>
          <w:lang w:val="es-ES"/>
        </w:rPr>
        <w:t>00086 ipomex.pdf</w:t>
      </w:r>
      <w:r w:rsidRPr="00983FBC">
        <w:rPr>
          <w:rFonts w:ascii="Palatino Linotype" w:eastAsia="Times New Roman" w:hAnsi="Palatino Linotype" w:cs="Arial"/>
          <w:lang w:val="es-ES"/>
        </w:rPr>
        <w:t xml:space="preserve"> Contiene diversos contratos para la adquisición de bienes, así como facturas en versión pública.</w:t>
      </w:r>
    </w:p>
    <w:p w:rsidR="00554DF4" w:rsidRPr="00983FBC" w:rsidRDefault="00196809" w:rsidP="00983FBC">
      <w:pPr>
        <w:pStyle w:val="Prrafodelista"/>
        <w:spacing w:line="360" w:lineRule="auto"/>
        <w:ind w:left="567" w:right="567"/>
        <w:jc w:val="both"/>
        <w:rPr>
          <w:rFonts w:ascii="Palatino Linotype" w:hAnsi="Palatino Linotype"/>
          <w:i/>
          <w:color w:val="000000"/>
          <w:sz w:val="22"/>
          <w:szCs w:val="22"/>
        </w:rPr>
      </w:pPr>
      <w:r w:rsidRPr="00983FBC">
        <w:rPr>
          <w:rFonts w:ascii="Palatino Linotype" w:eastAsia="Times New Roman" w:hAnsi="Palatino Linotype" w:cs="Arial"/>
          <w:lang w:val="es-ES"/>
        </w:rPr>
        <w:t xml:space="preserve"> </w:t>
      </w:r>
    </w:p>
    <w:p w:rsidR="00554DF4" w:rsidRPr="00983FBC" w:rsidRDefault="00554DF4" w:rsidP="00983FBC">
      <w:pPr>
        <w:pStyle w:val="Prrafodelista"/>
        <w:numPr>
          <w:ilvl w:val="0"/>
          <w:numId w:val="1"/>
        </w:numPr>
        <w:spacing w:line="360" w:lineRule="auto"/>
        <w:ind w:left="0" w:firstLine="0"/>
        <w:jc w:val="both"/>
        <w:rPr>
          <w:rFonts w:ascii="Palatino Linotype" w:hAnsi="Palatino Linotype" w:cs="Arial"/>
          <w:i/>
          <w:sz w:val="22"/>
          <w:szCs w:val="22"/>
        </w:rPr>
      </w:pPr>
      <w:r w:rsidRPr="00983FBC">
        <w:rPr>
          <w:rFonts w:ascii="Palatino Linotype" w:eastAsia="Calibri" w:hAnsi="Palatino Linotype" w:cs="Arial"/>
          <w:lang w:val="es-AR"/>
        </w:rPr>
        <w:t>El día</w:t>
      </w:r>
      <w:r w:rsidR="003F0B1B" w:rsidRPr="00983FBC">
        <w:rPr>
          <w:rFonts w:ascii="Palatino Linotype" w:eastAsia="Calibri" w:hAnsi="Palatino Linotype" w:cs="Arial"/>
          <w:lang w:val="es-AR"/>
        </w:rPr>
        <w:t xml:space="preserve"> doce</w:t>
      </w:r>
      <w:r w:rsidRPr="00983FBC">
        <w:rPr>
          <w:rFonts w:ascii="Palatino Linotype" w:eastAsia="Calibri" w:hAnsi="Palatino Linotype" w:cs="Arial"/>
          <w:lang w:val="es-AR"/>
        </w:rPr>
        <w:t xml:space="preserve"> (</w:t>
      </w:r>
      <w:r w:rsidR="003F0B1B" w:rsidRPr="00983FBC">
        <w:rPr>
          <w:rFonts w:ascii="Palatino Linotype" w:eastAsia="Calibri" w:hAnsi="Palatino Linotype" w:cs="Arial"/>
          <w:lang w:val="es-AR"/>
        </w:rPr>
        <w:t>12</w:t>
      </w:r>
      <w:r w:rsidRPr="00983FBC">
        <w:rPr>
          <w:rFonts w:ascii="Palatino Linotype" w:eastAsia="Calibri" w:hAnsi="Palatino Linotype" w:cs="Arial"/>
          <w:lang w:val="es-AR"/>
        </w:rPr>
        <w:t xml:space="preserve">) de </w:t>
      </w:r>
      <w:r w:rsidR="001A4BC9" w:rsidRPr="00983FBC">
        <w:rPr>
          <w:rFonts w:ascii="Palatino Linotype" w:eastAsia="Calibri" w:hAnsi="Palatino Linotype" w:cs="Arial"/>
          <w:lang w:val="es-AR"/>
        </w:rPr>
        <w:t>noviembre</w:t>
      </w:r>
      <w:r w:rsidRPr="00983FBC">
        <w:rPr>
          <w:rFonts w:ascii="Palatino Linotype" w:eastAsia="Calibri" w:hAnsi="Palatino Linotype" w:cs="Arial"/>
          <w:lang w:val="es-AR"/>
        </w:rPr>
        <w:t xml:space="preserve"> de</w:t>
      </w:r>
      <w:r w:rsidRPr="00983FBC">
        <w:rPr>
          <w:rFonts w:ascii="Palatino Linotype" w:eastAsia="Times New Roman" w:hAnsi="Palatino Linotype" w:cs="Arial"/>
          <w:lang w:val="es-ES"/>
        </w:rPr>
        <w:t xml:space="preserve"> dos mil diecinueve, </w:t>
      </w:r>
      <w:r w:rsidRPr="00983FBC">
        <w:rPr>
          <w:rFonts w:ascii="Palatino Linotype" w:hAnsi="Palatino Linotype"/>
          <w:b/>
        </w:rPr>
        <w:t>EL RECURRENTE</w:t>
      </w:r>
      <w:r w:rsidRPr="00983FBC">
        <w:rPr>
          <w:rFonts w:ascii="Palatino Linotype" w:eastAsia="Times New Roman" w:hAnsi="Palatino Linotype" w:cs="Arial"/>
          <w:lang w:val="es-ES"/>
        </w:rPr>
        <w:t xml:space="preserve"> interpuso el recurso de revisión, e</w:t>
      </w:r>
      <w:r w:rsidR="003F0B1B" w:rsidRPr="00983FBC">
        <w:rPr>
          <w:rFonts w:ascii="Palatino Linotype" w:eastAsia="Times New Roman" w:hAnsi="Palatino Linotype" w:cs="Arial"/>
          <w:lang w:val="es-ES"/>
        </w:rPr>
        <w:t>n contra de la respuesta,</w:t>
      </w:r>
      <w:r w:rsidR="001C401F" w:rsidRPr="00983FBC">
        <w:rPr>
          <w:rFonts w:ascii="Palatino Linotype" w:eastAsia="Times New Roman" w:hAnsi="Palatino Linotype" w:cs="Arial"/>
          <w:lang w:val="es-ES"/>
        </w:rPr>
        <w:t xml:space="preserve"> </w:t>
      </w:r>
      <w:r w:rsidRPr="00983FBC">
        <w:rPr>
          <w:rFonts w:ascii="Palatino Linotype" w:eastAsia="Times New Roman" w:hAnsi="Palatino Linotype" w:cs="Arial"/>
          <w:lang w:val="es-ES"/>
        </w:rPr>
        <w:t>señal</w:t>
      </w:r>
      <w:r w:rsidR="003F0B1B" w:rsidRPr="00983FBC">
        <w:rPr>
          <w:rFonts w:ascii="Palatino Linotype" w:eastAsia="Times New Roman" w:hAnsi="Palatino Linotype" w:cs="Arial"/>
          <w:lang w:val="es-ES"/>
        </w:rPr>
        <w:t>ando</w:t>
      </w:r>
      <w:r w:rsidRPr="00983FBC">
        <w:rPr>
          <w:rFonts w:ascii="Palatino Linotype" w:eastAsia="Times New Roman" w:hAnsi="Palatino Linotype" w:cs="Arial"/>
          <w:lang w:val="es-ES"/>
        </w:rPr>
        <w:t xml:space="preserve"> como:</w:t>
      </w:r>
      <w:bookmarkStart w:id="2" w:name="_Toc472500652"/>
      <w:bookmarkStart w:id="3" w:name="_Toc472427085"/>
      <w:bookmarkStart w:id="4" w:name="_Toc462307683"/>
    </w:p>
    <w:p w:rsidR="00554DF4" w:rsidRPr="00983FBC" w:rsidRDefault="00554DF4" w:rsidP="00983FBC">
      <w:pPr>
        <w:pStyle w:val="Prrafodelista"/>
        <w:spacing w:line="360" w:lineRule="auto"/>
        <w:rPr>
          <w:rFonts w:ascii="Palatino Linotype" w:hAnsi="Palatino Linotype" w:cs="Arial"/>
          <w:i/>
          <w:sz w:val="22"/>
          <w:szCs w:val="22"/>
        </w:rPr>
      </w:pPr>
    </w:p>
    <w:p w:rsidR="00554DF4" w:rsidRPr="00983FBC" w:rsidRDefault="00554DF4" w:rsidP="00983FBC">
      <w:pPr>
        <w:pStyle w:val="Prrafodelista"/>
        <w:spacing w:line="360" w:lineRule="auto"/>
        <w:jc w:val="both"/>
        <w:rPr>
          <w:rFonts w:ascii="Palatino Linotype" w:eastAsia="Calibri" w:hAnsi="Palatino Linotype" w:cs="Arial"/>
          <w:szCs w:val="22"/>
          <w:lang w:val="es-ES"/>
        </w:rPr>
      </w:pPr>
      <w:r w:rsidRPr="00983FBC">
        <w:rPr>
          <w:rFonts w:ascii="Palatino Linotype" w:hAnsi="Palatino Linotype"/>
          <w:b/>
        </w:rPr>
        <w:t>Acto impugnado:</w:t>
      </w:r>
      <w:r w:rsidRPr="00983FBC">
        <w:rPr>
          <w:rStyle w:val="Ttulo2Car"/>
          <w:rFonts w:ascii="Palatino Linotype" w:hAnsi="Palatino Linotype"/>
          <w:b/>
          <w:i/>
          <w:lang w:val="es-ES"/>
        </w:rPr>
        <w:t xml:space="preserve"> </w:t>
      </w:r>
      <w:r w:rsidRPr="00983FBC">
        <w:rPr>
          <w:rFonts w:ascii="Palatino Linotype" w:hAnsi="Palatino Linotype"/>
        </w:rPr>
        <w:t>“</w:t>
      </w:r>
      <w:r w:rsidR="003F0B1B" w:rsidRPr="00983FBC">
        <w:rPr>
          <w:rFonts w:ascii="Palatino Linotype" w:hAnsi="Palatino Linotype"/>
          <w:i/>
          <w:sz w:val="22"/>
        </w:rPr>
        <w:t xml:space="preserve">No entrego todo lo </w:t>
      </w:r>
      <w:proofErr w:type="gramStart"/>
      <w:r w:rsidR="003F0B1B" w:rsidRPr="00983FBC">
        <w:rPr>
          <w:rFonts w:ascii="Palatino Linotype" w:hAnsi="Palatino Linotype"/>
          <w:i/>
          <w:sz w:val="22"/>
        </w:rPr>
        <w:t>solicitado ,</w:t>
      </w:r>
      <w:proofErr w:type="gramEnd"/>
      <w:r w:rsidR="003F0B1B" w:rsidRPr="00983FBC">
        <w:rPr>
          <w:rFonts w:ascii="Palatino Linotype" w:hAnsi="Palatino Linotype"/>
          <w:i/>
          <w:sz w:val="22"/>
        </w:rPr>
        <w:t xml:space="preserve"> documentos borrosos y testados en partes indebidamente , recursos federales y locales incompletos </w:t>
      </w:r>
      <w:r w:rsidRPr="00983FBC">
        <w:rPr>
          <w:rFonts w:ascii="Palatino Linotype" w:hAnsi="Palatino Linotype"/>
        </w:rPr>
        <w:t>"</w:t>
      </w:r>
      <w:r w:rsidRPr="00983FBC">
        <w:rPr>
          <w:rFonts w:ascii="Palatino Linotype" w:eastAsia="Calibri" w:hAnsi="Palatino Linotype" w:cs="Arial"/>
          <w:sz w:val="20"/>
          <w:szCs w:val="22"/>
          <w:lang w:val="es-ES"/>
        </w:rPr>
        <w:t xml:space="preserve"> </w:t>
      </w:r>
      <w:r w:rsidRPr="00983FBC">
        <w:rPr>
          <w:rFonts w:ascii="Palatino Linotype" w:eastAsia="Calibri" w:hAnsi="Palatino Linotype" w:cs="Arial"/>
          <w:szCs w:val="22"/>
          <w:lang w:val="es-ES"/>
        </w:rPr>
        <w:t>(Sic); Y</w:t>
      </w:r>
    </w:p>
    <w:p w:rsidR="00554DF4" w:rsidRPr="00983FBC" w:rsidRDefault="00554DF4" w:rsidP="00983FBC">
      <w:pPr>
        <w:pStyle w:val="Prrafodelista"/>
        <w:spacing w:line="360" w:lineRule="auto"/>
        <w:jc w:val="both"/>
        <w:rPr>
          <w:rFonts w:ascii="Palatino Linotype" w:hAnsi="Palatino Linotype" w:cs="Arial"/>
          <w:sz w:val="22"/>
          <w:szCs w:val="22"/>
        </w:rPr>
      </w:pPr>
      <w:r w:rsidRPr="00983FBC">
        <w:rPr>
          <w:rFonts w:ascii="Palatino Linotype" w:hAnsi="Palatino Linotype"/>
          <w:b/>
        </w:rPr>
        <w:t>Razones o Motivos de inconformidad:</w:t>
      </w:r>
      <w:r w:rsidRPr="00983FBC">
        <w:rPr>
          <w:rStyle w:val="Ttulo2Car"/>
          <w:rFonts w:ascii="Palatino Linotype" w:hAnsi="Palatino Linotype"/>
          <w:b/>
          <w:lang w:val="es-ES"/>
        </w:rPr>
        <w:t xml:space="preserve"> </w:t>
      </w:r>
      <w:r w:rsidRPr="00983FBC">
        <w:rPr>
          <w:rFonts w:ascii="Palatino Linotype" w:hAnsi="Palatino Linotype"/>
          <w:i/>
          <w:szCs w:val="22"/>
        </w:rPr>
        <w:t>“</w:t>
      </w:r>
      <w:r w:rsidR="003F0B1B" w:rsidRPr="00983FBC">
        <w:rPr>
          <w:rFonts w:ascii="Palatino Linotype" w:hAnsi="Palatino Linotype"/>
          <w:i/>
          <w:sz w:val="22"/>
        </w:rPr>
        <w:t>incompleta</w:t>
      </w:r>
      <w:r w:rsidRPr="00983FBC">
        <w:rPr>
          <w:rFonts w:ascii="Palatino Linotype" w:hAnsi="Palatino Linotype"/>
          <w:i/>
          <w:sz w:val="22"/>
          <w:szCs w:val="22"/>
        </w:rPr>
        <w:t xml:space="preserve">” </w:t>
      </w:r>
      <w:r w:rsidRPr="00983FBC">
        <w:rPr>
          <w:rFonts w:ascii="Palatino Linotype" w:hAnsi="Palatino Linotype" w:cs="Arial"/>
          <w:i/>
          <w:sz w:val="22"/>
          <w:szCs w:val="22"/>
        </w:rPr>
        <w:t>(Sic)</w:t>
      </w:r>
      <w:r w:rsidRPr="00983FBC">
        <w:rPr>
          <w:rFonts w:ascii="Palatino Linotype" w:hAnsi="Palatino Linotype" w:cs="Arial"/>
          <w:sz w:val="22"/>
          <w:szCs w:val="22"/>
        </w:rPr>
        <w:t xml:space="preserve"> </w:t>
      </w:r>
    </w:p>
    <w:p w:rsidR="00554DF4" w:rsidRPr="00983FBC" w:rsidRDefault="00554DF4" w:rsidP="00983FBC">
      <w:pPr>
        <w:pStyle w:val="Prrafodelista"/>
        <w:spacing w:line="360" w:lineRule="auto"/>
        <w:jc w:val="both"/>
        <w:rPr>
          <w:rFonts w:ascii="Palatino Linotype" w:hAnsi="Palatino Linotype" w:cs="Arial"/>
          <w:sz w:val="22"/>
          <w:szCs w:val="22"/>
        </w:rPr>
      </w:pPr>
    </w:p>
    <w:bookmarkEnd w:id="2"/>
    <w:bookmarkEnd w:id="3"/>
    <w:bookmarkEnd w:id="4"/>
    <w:p w:rsidR="00554DF4" w:rsidRPr="00983FBC" w:rsidRDefault="00554DF4" w:rsidP="00983FBC">
      <w:pPr>
        <w:pStyle w:val="Prrafodelista"/>
        <w:numPr>
          <w:ilvl w:val="0"/>
          <w:numId w:val="1"/>
        </w:numPr>
        <w:spacing w:line="360" w:lineRule="auto"/>
        <w:ind w:left="0" w:firstLine="0"/>
        <w:jc w:val="both"/>
        <w:rPr>
          <w:rFonts w:ascii="Palatino Linotype" w:eastAsia="Calibri" w:hAnsi="Palatino Linotype" w:cs="Arial"/>
          <w:lang w:val="es-AR"/>
        </w:rPr>
      </w:pPr>
      <w:r w:rsidRPr="00983FBC">
        <w:rPr>
          <w:rFonts w:ascii="Palatino Linotype" w:eastAsia="Times New Roman" w:hAnsi="Palatino Linotype" w:cs="Arial"/>
          <w:lang w:val="es-ES"/>
        </w:rPr>
        <w:t xml:space="preserve">Se registró el recurso de revisión bajo el número de expediente </w:t>
      </w:r>
      <w:r w:rsidRPr="00983FBC">
        <w:rPr>
          <w:rFonts w:ascii="Palatino Linotype" w:hAnsi="Palatino Linotype" w:cs="Arial"/>
          <w:bCs/>
        </w:rPr>
        <w:t xml:space="preserve">al rubro indicado, asimismo con fundamento en lo dispuesto por el </w:t>
      </w:r>
      <w:r w:rsidRPr="00983FBC">
        <w:rPr>
          <w:rFonts w:ascii="Palatino Linotype" w:eastAsia="Calibri" w:hAnsi="Palatino Linotype" w:cs="Arial"/>
          <w:lang w:val="es-ES"/>
        </w:rPr>
        <w:t xml:space="preserve">artículo 185 fracción I de la </w:t>
      </w:r>
      <w:r w:rsidRPr="00983FBC">
        <w:rPr>
          <w:rFonts w:ascii="Palatino Linotype" w:eastAsia="Calibri" w:hAnsi="Palatino Linotype" w:cs="Arial"/>
          <w:b/>
          <w:lang w:val="es-ES"/>
        </w:rPr>
        <w:t xml:space="preserve">Ley de Transparencia y Acceso a la Información Pública del Estado de México y Municipios </w:t>
      </w:r>
      <w:r w:rsidRPr="00983FBC">
        <w:rPr>
          <w:rFonts w:ascii="Palatino Linotype" w:eastAsia="Times New Roman" w:hAnsi="Palatino Linotype" w:cs="Arial"/>
          <w:lang w:val="es-ES"/>
        </w:rPr>
        <w:t xml:space="preserve">se turnó al </w:t>
      </w:r>
      <w:r w:rsidRPr="00983FBC">
        <w:rPr>
          <w:rFonts w:ascii="Palatino Linotype" w:eastAsia="Times New Roman" w:hAnsi="Palatino Linotype" w:cs="Arial"/>
          <w:b/>
          <w:lang w:val="es-ES"/>
        </w:rPr>
        <w:t xml:space="preserve">Comisionado José Guadalupe Luna Hernández, </w:t>
      </w:r>
      <w:r w:rsidRPr="00983FBC">
        <w:rPr>
          <w:rFonts w:ascii="Palatino Linotype" w:eastAsia="Times New Roman" w:hAnsi="Palatino Linotype" w:cs="Arial"/>
          <w:lang w:val="es-ES"/>
        </w:rPr>
        <w:t xml:space="preserve">con el objeto de </w:t>
      </w:r>
      <w:r w:rsidRPr="00983FBC">
        <w:rPr>
          <w:rFonts w:ascii="Palatino Linotype" w:eastAsia="Times New Roman" w:hAnsi="Palatino Linotype" w:cs="Arial"/>
          <w:lang w:val="es-MX"/>
        </w:rPr>
        <w:t xml:space="preserve">su análisis. </w:t>
      </w:r>
    </w:p>
    <w:p w:rsidR="00554DF4" w:rsidRPr="00983FBC" w:rsidRDefault="00554DF4" w:rsidP="00983FBC">
      <w:pPr>
        <w:pStyle w:val="Prrafodelista"/>
        <w:spacing w:line="360" w:lineRule="auto"/>
        <w:ind w:left="0"/>
        <w:jc w:val="both"/>
        <w:rPr>
          <w:rFonts w:ascii="Palatino Linotype" w:eastAsia="Calibri" w:hAnsi="Palatino Linotype" w:cs="Arial"/>
          <w:lang w:val="es-AR"/>
        </w:rPr>
      </w:pPr>
    </w:p>
    <w:p w:rsidR="00554DF4" w:rsidRPr="00983FBC" w:rsidRDefault="00554DF4" w:rsidP="00983FBC">
      <w:pPr>
        <w:pStyle w:val="Prrafodelista"/>
        <w:numPr>
          <w:ilvl w:val="0"/>
          <w:numId w:val="1"/>
        </w:numPr>
        <w:spacing w:line="360" w:lineRule="auto"/>
        <w:ind w:left="0" w:firstLine="0"/>
        <w:jc w:val="both"/>
        <w:rPr>
          <w:rFonts w:ascii="Palatino Linotype" w:hAnsi="Palatino Linotype"/>
          <w:i/>
          <w:color w:val="000000"/>
          <w:sz w:val="22"/>
          <w:szCs w:val="22"/>
        </w:rPr>
      </w:pPr>
      <w:r w:rsidRPr="00983FBC">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3F0B1B" w:rsidRPr="00983FBC">
        <w:rPr>
          <w:rFonts w:ascii="Palatino Linotype" w:eastAsia="Calibri" w:hAnsi="Palatino Linotype" w:cs="Arial"/>
          <w:lang w:val="es-ES"/>
        </w:rPr>
        <w:t>diecinueve</w:t>
      </w:r>
      <w:r w:rsidRPr="00983FBC">
        <w:rPr>
          <w:rFonts w:ascii="Palatino Linotype" w:eastAsia="Calibri" w:hAnsi="Palatino Linotype" w:cs="Arial"/>
          <w:lang w:val="es-ES"/>
        </w:rPr>
        <w:t xml:space="preserve"> (</w:t>
      </w:r>
      <w:r w:rsidR="003F0B1B" w:rsidRPr="00983FBC">
        <w:rPr>
          <w:rFonts w:ascii="Palatino Linotype" w:eastAsia="Calibri" w:hAnsi="Palatino Linotype" w:cs="Arial"/>
          <w:lang w:val="es-ES"/>
        </w:rPr>
        <w:t>19</w:t>
      </w:r>
      <w:r w:rsidRPr="00983FBC">
        <w:rPr>
          <w:rFonts w:ascii="Palatino Linotype" w:eastAsia="Calibri" w:hAnsi="Palatino Linotype" w:cs="Arial"/>
          <w:lang w:val="es-ES"/>
        </w:rPr>
        <w:t xml:space="preserve">) de </w:t>
      </w:r>
      <w:r w:rsidR="00300AC1" w:rsidRPr="00983FBC">
        <w:rPr>
          <w:rFonts w:ascii="Palatino Linotype" w:eastAsia="Calibri" w:hAnsi="Palatino Linotype" w:cs="Arial"/>
          <w:lang w:val="es-ES"/>
        </w:rPr>
        <w:t>noviembre</w:t>
      </w:r>
      <w:r w:rsidRPr="00983FBC">
        <w:rPr>
          <w:rFonts w:ascii="Palatino Linotype" w:eastAsia="Calibri" w:hAnsi="Palatino Linotype" w:cs="Arial"/>
          <w:lang w:val="es-ES"/>
        </w:rPr>
        <w:t xml:space="preserve"> de dos mil diecinueve, puso a disposición de las partes el expediente electrónico </w:t>
      </w:r>
      <w:r w:rsidRPr="00983FBC">
        <w:rPr>
          <w:rFonts w:ascii="Palatino Linotype" w:eastAsia="Calibri" w:hAnsi="Palatino Linotype" w:cs="Arial"/>
        </w:rPr>
        <w:t xml:space="preserve">vía </w:t>
      </w:r>
      <w:r w:rsidRPr="00983FBC">
        <w:rPr>
          <w:rFonts w:ascii="Palatino Linotype" w:eastAsia="Calibri" w:hAnsi="Palatino Linotype" w:cs="Arial"/>
          <w:b/>
          <w:lang w:val="es-ES"/>
        </w:rPr>
        <w:t xml:space="preserve">SAIMEX </w:t>
      </w:r>
      <w:r w:rsidRPr="00983FB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83FBC">
        <w:rPr>
          <w:rFonts w:ascii="Palatino Linotype" w:eastAsia="Calibri" w:hAnsi="Palatino Linotype" w:cs="Arial"/>
          <w:b/>
          <w:lang w:val="es-ES"/>
        </w:rPr>
        <w:t>SUJETO OBLIGADO</w:t>
      </w:r>
      <w:r w:rsidRPr="00983FBC">
        <w:rPr>
          <w:rFonts w:ascii="Palatino Linotype" w:eastAsia="Calibri" w:hAnsi="Palatino Linotype" w:cs="Arial"/>
          <w:lang w:val="es-ES"/>
        </w:rPr>
        <w:t xml:space="preserve"> presentara el informe justificado procedente.</w:t>
      </w:r>
    </w:p>
    <w:p w:rsidR="00554DF4" w:rsidRPr="00983FBC" w:rsidRDefault="00554DF4" w:rsidP="00983FBC">
      <w:pPr>
        <w:pStyle w:val="Prrafodelista"/>
        <w:spacing w:line="360" w:lineRule="auto"/>
        <w:rPr>
          <w:rFonts w:ascii="Palatino Linotype" w:hAnsi="Palatino Linotype"/>
          <w:i/>
          <w:color w:val="000000"/>
          <w:sz w:val="22"/>
          <w:szCs w:val="22"/>
        </w:rPr>
      </w:pPr>
    </w:p>
    <w:p w:rsidR="003F0B1B" w:rsidRPr="00983FBC" w:rsidRDefault="003F0B1B" w:rsidP="00983FBC">
      <w:pPr>
        <w:pStyle w:val="Prrafodelista"/>
        <w:numPr>
          <w:ilvl w:val="0"/>
          <w:numId w:val="1"/>
        </w:numPr>
        <w:spacing w:line="360" w:lineRule="auto"/>
        <w:ind w:left="0" w:firstLine="0"/>
        <w:jc w:val="both"/>
        <w:rPr>
          <w:rFonts w:ascii="Palatino Linotype" w:eastAsia="Calibri" w:hAnsi="Palatino Linotype" w:cs="Arial"/>
          <w:lang w:val="es-ES"/>
        </w:rPr>
      </w:pPr>
      <w:r w:rsidRPr="00983FBC">
        <w:rPr>
          <w:rFonts w:ascii="Palatino Linotype" w:eastAsia="Calibri" w:hAnsi="Palatino Linotype" w:cs="Arial"/>
          <w:lang w:val="es-ES"/>
        </w:rPr>
        <w:t xml:space="preserve">En fecha veinticinco (25) de noviembre de dos mil diecinueve, el Sujeto Obligado remitió el documento </w:t>
      </w:r>
      <w:r w:rsidRPr="00983FBC">
        <w:rPr>
          <w:rFonts w:ascii="Palatino Linotype" w:eastAsia="Calibri" w:hAnsi="Palatino Linotype" w:cs="Arial"/>
          <w:b/>
          <w:i/>
          <w:lang w:val="es-ES"/>
        </w:rPr>
        <w:t xml:space="preserve">recurso de revisión 00086.pdf, </w:t>
      </w:r>
      <w:r w:rsidRPr="00983FBC">
        <w:rPr>
          <w:rFonts w:ascii="Palatino Linotype" w:eastAsia="Calibri" w:hAnsi="Palatino Linotype" w:cs="Arial"/>
          <w:lang w:val="es-ES"/>
        </w:rPr>
        <w:t>el cual es suscrito por el Tesorero Municipal, quien refiere que se entregó la información con la que se cuenta; además señaló que no se cuenta con recursos locales para el área de Seguridad Pública.</w:t>
      </w:r>
    </w:p>
    <w:p w:rsidR="003F0B1B" w:rsidRPr="00983FBC" w:rsidRDefault="003F0B1B" w:rsidP="00983FBC">
      <w:pPr>
        <w:pStyle w:val="Prrafodelista"/>
        <w:spacing w:line="360" w:lineRule="auto"/>
        <w:rPr>
          <w:rFonts w:ascii="Palatino Linotype" w:eastAsia="Calibri" w:hAnsi="Palatino Linotype" w:cs="Arial"/>
          <w:lang w:val="es-ES"/>
        </w:rPr>
      </w:pPr>
    </w:p>
    <w:p w:rsidR="003F0B1B" w:rsidRPr="00983FBC" w:rsidRDefault="006D6CCC" w:rsidP="00983FBC">
      <w:pPr>
        <w:pStyle w:val="Prrafodelista"/>
        <w:numPr>
          <w:ilvl w:val="0"/>
          <w:numId w:val="1"/>
        </w:numPr>
        <w:spacing w:line="360" w:lineRule="auto"/>
        <w:ind w:left="0" w:firstLine="0"/>
        <w:jc w:val="both"/>
        <w:rPr>
          <w:rFonts w:ascii="Palatino Linotype" w:eastAsia="Calibri" w:hAnsi="Palatino Linotype" w:cs="Arial"/>
          <w:lang w:val="es-ES"/>
        </w:rPr>
      </w:pPr>
      <w:r w:rsidRPr="00983FBC">
        <w:rPr>
          <w:rFonts w:ascii="Palatino Linotype" w:eastAsia="Calibri" w:hAnsi="Palatino Linotype" w:cs="Arial"/>
          <w:lang w:val="es-ES"/>
        </w:rPr>
        <w:t xml:space="preserve">El día </w:t>
      </w:r>
      <w:r w:rsidR="001A4BC9" w:rsidRPr="00983FBC">
        <w:rPr>
          <w:rFonts w:ascii="Palatino Linotype" w:eastAsia="Calibri" w:hAnsi="Palatino Linotype" w:cs="Arial"/>
          <w:lang w:val="es-ES"/>
        </w:rPr>
        <w:t>veinti</w:t>
      </w:r>
      <w:r w:rsidR="003F0B1B" w:rsidRPr="00983FBC">
        <w:rPr>
          <w:rFonts w:ascii="Palatino Linotype" w:eastAsia="Calibri" w:hAnsi="Palatino Linotype" w:cs="Arial"/>
          <w:lang w:val="es-ES"/>
        </w:rPr>
        <w:t>ocho</w:t>
      </w:r>
      <w:r w:rsidR="001A4BC9" w:rsidRPr="00983FBC">
        <w:rPr>
          <w:rFonts w:ascii="Palatino Linotype" w:eastAsia="Calibri" w:hAnsi="Palatino Linotype" w:cs="Arial"/>
          <w:lang w:val="es-ES"/>
        </w:rPr>
        <w:t xml:space="preserve"> </w:t>
      </w:r>
      <w:r w:rsidR="00A56957" w:rsidRPr="00983FBC">
        <w:rPr>
          <w:rFonts w:ascii="Palatino Linotype" w:eastAsia="Calibri" w:hAnsi="Palatino Linotype" w:cs="Arial"/>
          <w:lang w:val="es-ES"/>
        </w:rPr>
        <w:t>(</w:t>
      </w:r>
      <w:r w:rsidR="003F0B1B" w:rsidRPr="00983FBC">
        <w:rPr>
          <w:rFonts w:ascii="Palatino Linotype" w:eastAsia="Calibri" w:hAnsi="Palatino Linotype" w:cs="Arial"/>
          <w:lang w:val="es-ES"/>
        </w:rPr>
        <w:t>28</w:t>
      </w:r>
      <w:r w:rsidR="00A56957" w:rsidRPr="00983FBC">
        <w:rPr>
          <w:rFonts w:ascii="Palatino Linotype" w:eastAsia="Calibri" w:hAnsi="Palatino Linotype" w:cs="Arial"/>
          <w:lang w:val="es-ES"/>
        </w:rPr>
        <w:t xml:space="preserve">) de </w:t>
      </w:r>
      <w:r w:rsidR="001A4BC9" w:rsidRPr="00983FBC">
        <w:rPr>
          <w:rFonts w:ascii="Palatino Linotype" w:eastAsia="Calibri" w:hAnsi="Palatino Linotype" w:cs="Arial"/>
          <w:lang w:val="es-ES"/>
        </w:rPr>
        <w:t>enero</w:t>
      </w:r>
      <w:r w:rsidR="00A56957" w:rsidRPr="00983FBC">
        <w:rPr>
          <w:rFonts w:ascii="Palatino Linotype" w:eastAsia="Calibri" w:hAnsi="Palatino Linotype" w:cs="Arial"/>
          <w:lang w:val="es-ES"/>
        </w:rPr>
        <w:t xml:space="preserve"> de dos mil veinte</w:t>
      </w:r>
      <w:r w:rsidRPr="00983FBC">
        <w:rPr>
          <w:rFonts w:ascii="Palatino Linotype" w:eastAsia="Calibri" w:hAnsi="Palatino Linotype" w:cs="Arial"/>
          <w:lang w:val="es-ES"/>
        </w:rPr>
        <w:t xml:space="preserve"> se notificó el acuerdo mediante el cual se amplió el plazo para resolver el recurso de revisión por un periodo de quince (15) días hábiles.</w:t>
      </w:r>
      <w:r w:rsidR="001A4BC9" w:rsidRPr="00983FBC">
        <w:rPr>
          <w:rFonts w:ascii="Palatino Linotype" w:eastAsia="Calibri" w:hAnsi="Palatino Linotype" w:cs="Arial"/>
          <w:lang w:val="es-ES"/>
        </w:rPr>
        <w:t xml:space="preserve"> </w:t>
      </w:r>
    </w:p>
    <w:p w:rsidR="003F0B1B" w:rsidRPr="00983FBC" w:rsidRDefault="003F0B1B" w:rsidP="00983FBC">
      <w:pPr>
        <w:pStyle w:val="Prrafodelista"/>
        <w:spacing w:line="360" w:lineRule="auto"/>
        <w:rPr>
          <w:rFonts w:ascii="Palatino Linotype" w:eastAsia="Calibri" w:hAnsi="Palatino Linotype" w:cs="Arial"/>
          <w:lang w:val="es-ES"/>
        </w:rPr>
      </w:pPr>
    </w:p>
    <w:p w:rsidR="00983FBC" w:rsidRPr="00983FBC" w:rsidRDefault="003F0B1B" w:rsidP="00983FBC">
      <w:pPr>
        <w:pStyle w:val="Prrafodelista"/>
        <w:numPr>
          <w:ilvl w:val="0"/>
          <w:numId w:val="1"/>
        </w:numPr>
        <w:spacing w:line="360" w:lineRule="auto"/>
        <w:ind w:left="0" w:firstLine="0"/>
        <w:jc w:val="both"/>
        <w:rPr>
          <w:rFonts w:ascii="Palatino Linotype" w:eastAsia="Calibri" w:hAnsi="Palatino Linotype" w:cs="Arial"/>
          <w:lang w:val="es-ES"/>
        </w:rPr>
      </w:pPr>
      <w:r w:rsidRPr="00983FBC">
        <w:rPr>
          <w:rFonts w:ascii="Palatino Linotype" w:eastAsia="Calibri" w:hAnsi="Palatino Linotype" w:cs="Arial"/>
          <w:lang w:val="es-ES"/>
        </w:rPr>
        <w:t xml:space="preserve">El cuatro (4) de febrero de dos mil veinte, </w:t>
      </w:r>
      <w:r w:rsidR="001A4BC9" w:rsidRPr="00983FBC">
        <w:rPr>
          <w:rFonts w:ascii="Palatino Linotype" w:eastAsia="Calibri" w:hAnsi="Palatino Linotype" w:cs="Arial"/>
          <w:lang w:val="es-ES"/>
        </w:rPr>
        <w:t>e</w:t>
      </w:r>
      <w:r w:rsidR="00554DF4" w:rsidRPr="00983FBC">
        <w:rPr>
          <w:rFonts w:ascii="Palatino Linotype" w:hAnsi="Palatino Linotype"/>
        </w:rPr>
        <w:t>l Comisionado Ponente decretó el cierre de instrucción</w:t>
      </w:r>
      <w:r w:rsidR="001A4BC9" w:rsidRPr="00983FBC">
        <w:rPr>
          <w:rFonts w:ascii="Palatino Linotype" w:hAnsi="Palatino Linotype" w:cs="Arial"/>
        </w:rPr>
        <w:t xml:space="preserve">, </w:t>
      </w:r>
      <w:r w:rsidR="00554DF4" w:rsidRPr="00983FBC">
        <w:rPr>
          <w:rFonts w:ascii="Palatino Linotype" w:hAnsi="Palatino Linotype" w:cs="Arial"/>
          <w:color w:val="000000" w:themeColor="text1"/>
        </w:rPr>
        <w:t xml:space="preserve">por lo que ordenó turnar el expediente para su resolución, misma que ahora se pronuncia; y  - - - - - - - - - - - </w:t>
      </w:r>
      <w:r w:rsidR="00554DF4" w:rsidRPr="00983FBC">
        <w:rPr>
          <w:rFonts w:ascii="Palatino Linotype" w:hAnsi="Palatino Linotype" w:cs="Arial"/>
        </w:rPr>
        <w:t xml:space="preserve">- </w:t>
      </w:r>
      <w:r w:rsidR="00A56957" w:rsidRPr="00983FBC">
        <w:rPr>
          <w:rFonts w:ascii="Palatino Linotype" w:hAnsi="Palatino Linotype" w:cs="Arial"/>
        </w:rPr>
        <w:t xml:space="preserve">- - </w:t>
      </w:r>
      <w:r w:rsidRPr="00983FBC">
        <w:rPr>
          <w:rFonts w:ascii="Palatino Linotype" w:hAnsi="Palatino Linotype" w:cs="Arial"/>
        </w:rPr>
        <w:t>- - - - - - - - - - - - - - - - - - - -  - - -</w:t>
      </w:r>
    </w:p>
    <w:p w:rsidR="00983FBC" w:rsidRPr="00983FBC" w:rsidRDefault="00983FBC" w:rsidP="00983FBC">
      <w:pPr>
        <w:pStyle w:val="Prrafodelista"/>
        <w:rPr>
          <w:rFonts w:ascii="Palatino Linotype" w:hAnsi="Palatino Linotype" w:cs="Arial"/>
        </w:rPr>
      </w:pPr>
    </w:p>
    <w:p w:rsidR="00983FBC" w:rsidRDefault="00983FBC" w:rsidP="00983FBC">
      <w:pPr>
        <w:spacing w:line="360" w:lineRule="auto"/>
        <w:jc w:val="both"/>
        <w:rPr>
          <w:rFonts w:ascii="Palatino Linotype" w:hAnsi="Palatino Linotype" w:cs="Arial"/>
        </w:rPr>
      </w:pPr>
    </w:p>
    <w:p w:rsidR="00554DF4" w:rsidRPr="00983FBC" w:rsidRDefault="003F0B1B" w:rsidP="00983FBC">
      <w:pPr>
        <w:spacing w:line="360" w:lineRule="auto"/>
        <w:jc w:val="both"/>
        <w:rPr>
          <w:rFonts w:ascii="Palatino Linotype" w:eastAsia="Calibri" w:hAnsi="Palatino Linotype" w:cs="Arial"/>
          <w:lang w:val="es-ES"/>
        </w:rPr>
      </w:pPr>
      <w:r w:rsidRPr="00983FBC">
        <w:rPr>
          <w:rFonts w:ascii="Palatino Linotype" w:hAnsi="Palatino Linotype" w:cs="Arial"/>
        </w:rPr>
        <w:t xml:space="preserve"> </w:t>
      </w:r>
    </w:p>
    <w:p w:rsidR="00554DF4" w:rsidRPr="00983FBC" w:rsidRDefault="00554DF4" w:rsidP="00983FBC">
      <w:pPr>
        <w:pStyle w:val="Ttulo1"/>
        <w:spacing w:before="0" w:line="360" w:lineRule="auto"/>
        <w:jc w:val="center"/>
        <w:rPr>
          <w:b w:val="0"/>
          <w:szCs w:val="24"/>
        </w:rPr>
      </w:pPr>
      <w:bookmarkStart w:id="5" w:name="_Toc32221275"/>
      <w:r w:rsidRPr="00983FBC">
        <w:rPr>
          <w:szCs w:val="24"/>
        </w:rPr>
        <w:lastRenderedPageBreak/>
        <w:t>CONSIDERANDO</w:t>
      </w:r>
      <w:bookmarkEnd w:id="5"/>
      <w:r w:rsidRPr="00983FBC">
        <w:rPr>
          <w:szCs w:val="24"/>
        </w:rPr>
        <w:t xml:space="preserve"> </w:t>
      </w:r>
    </w:p>
    <w:p w:rsidR="00554DF4" w:rsidRPr="00983FBC" w:rsidRDefault="00554DF4" w:rsidP="00983FBC">
      <w:pPr>
        <w:spacing w:line="360" w:lineRule="auto"/>
        <w:rPr>
          <w:rFonts w:ascii="Palatino Linotype" w:hAnsi="Palatino Linotype"/>
          <w:lang w:val="es-MX" w:eastAsia="en-US"/>
        </w:rPr>
      </w:pPr>
    </w:p>
    <w:p w:rsidR="00554DF4" w:rsidRDefault="00554DF4" w:rsidP="00983FBC">
      <w:pPr>
        <w:pStyle w:val="Ttulo2"/>
        <w:spacing w:before="0" w:line="360" w:lineRule="auto"/>
        <w:rPr>
          <w:rFonts w:ascii="Palatino Linotype" w:hAnsi="Palatino Linotype"/>
          <w:b/>
          <w:color w:val="auto"/>
          <w:sz w:val="24"/>
        </w:rPr>
      </w:pPr>
      <w:bookmarkStart w:id="6" w:name="_Toc32221276"/>
      <w:r w:rsidRPr="00983FBC">
        <w:rPr>
          <w:rFonts w:ascii="Palatino Linotype" w:hAnsi="Palatino Linotype"/>
          <w:b/>
          <w:color w:val="auto"/>
          <w:sz w:val="24"/>
        </w:rPr>
        <w:t>PRIMERO. De la competencia</w:t>
      </w:r>
      <w:bookmarkEnd w:id="6"/>
    </w:p>
    <w:p w:rsidR="00983FBC" w:rsidRPr="00983FBC" w:rsidRDefault="00983FBC" w:rsidP="00983FBC">
      <w:pPr>
        <w:rPr>
          <w:lang w:val="es-MX" w:eastAsia="en-US"/>
        </w:rPr>
      </w:pPr>
    </w:p>
    <w:p w:rsidR="00554DF4" w:rsidRDefault="00554DF4" w:rsidP="00983FBC">
      <w:pPr>
        <w:pStyle w:val="Prrafodelista"/>
        <w:numPr>
          <w:ilvl w:val="0"/>
          <w:numId w:val="1"/>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83FBC">
        <w:rPr>
          <w:rFonts w:ascii="Palatino Linotype" w:eastAsia="Calibri" w:hAnsi="Palatino Linotype" w:cs="Times New Roman"/>
          <w:b/>
          <w:lang w:val="es-ES"/>
        </w:rPr>
        <w:t>Constitución Política de los Estados Unidos Mexicanos</w:t>
      </w:r>
      <w:r w:rsidRPr="00983FBC">
        <w:rPr>
          <w:rFonts w:ascii="Palatino Linotype" w:eastAsia="Calibri" w:hAnsi="Palatino Linotype" w:cs="Times New Roman"/>
          <w:lang w:val="es-ES"/>
        </w:rPr>
        <w:t xml:space="preserve">; 5, párrafos </w:t>
      </w:r>
      <w:r w:rsidRPr="00983FBC">
        <w:rPr>
          <w:rFonts w:ascii="Palatino Linotype" w:hAnsi="Palatino Linotype" w:cs="Arial"/>
          <w:bCs/>
          <w:color w:val="222222"/>
          <w:lang w:val="es-ES"/>
        </w:rPr>
        <w:t xml:space="preserve">vigésimo, vigésimo primero y vigésimo segundo </w:t>
      </w:r>
      <w:r w:rsidRPr="00983FBC">
        <w:rPr>
          <w:rFonts w:ascii="Palatino Linotype" w:eastAsia="Calibri" w:hAnsi="Palatino Linotype" w:cs="Times New Roman"/>
          <w:lang w:val="es-ES"/>
        </w:rPr>
        <w:t xml:space="preserve">fracciones IV y V de la </w:t>
      </w:r>
      <w:r w:rsidRPr="00983FBC">
        <w:rPr>
          <w:rFonts w:ascii="Palatino Linotype" w:eastAsia="Calibri" w:hAnsi="Palatino Linotype" w:cs="Times New Roman"/>
          <w:b/>
          <w:lang w:val="es-ES"/>
        </w:rPr>
        <w:t>Constitución Política del Estado Libre y Soberano de México</w:t>
      </w:r>
      <w:r w:rsidRPr="00983FBC">
        <w:rPr>
          <w:rFonts w:ascii="Palatino Linotype" w:eastAsia="Calibri" w:hAnsi="Palatino Linotype" w:cs="Times New Roman"/>
          <w:lang w:val="es-ES"/>
        </w:rPr>
        <w:t xml:space="preserve">; artículos 1, 2 fracción II, 13, 29, 36 fracciones I y II, 176, 178, 179, 181 párrafo tercero y 185 </w:t>
      </w:r>
      <w:r w:rsidRPr="00983FBC">
        <w:rPr>
          <w:rFonts w:ascii="Palatino Linotype" w:eastAsia="Calibri" w:hAnsi="Palatino Linotype" w:cs="Arial"/>
          <w:lang w:val="es-ES"/>
        </w:rPr>
        <w:t xml:space="preserve">de la </w:t>
      </w:r>
      <w:r w:rsidRPr="00983FBC">
        <w:rPr>
          <w:rFonts w:ascii="Palatino Linotype" w:eastAsia="Calibri" w:hAnsi="Palatino Linotype" w:cs="Arial"/>
          <w:b/>
          <w:lang w:val="es-ES"/>
        </w:rPr>
        <w:t>Ley de Transparencia y Acceso a la Información Pública del Estado de México y Municipios</w:t>
      </w:r>
      <w:r w:rsidRPr="00983FBC">
        <w:rPr>
          <w:rFonts w:ascii="Palatino Linotype" w:eastAsia="Calibri" w:hAnsi="Palatino Linotype" w:cs="Arial"/>
          <w:lang w:val="es-ES"/>
        </w:rPr>
        <w:t xml:space="preserve">; y 7, 9 fracciones I y XXIV, y 11 del </w:t>
      </w:r>
      <w:r w:rsidRPr="00983FB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83FBC">
        <w:rPr>
          <w:rFonts w:ascii="Palatino Linotype" w:hAnsi="Palatino Linotype"/>
        </w:rPr>
        <w:t>.</w:t>
      </w:r>
    </w:p>
    <w:p w:rsidR="00983FBC" w:rsidRPr="00983FBC" w:rsidRDefault="00983FBC" w:rsidP="00983FBC">
      <w:pPr>
        <w:pStyle w:val="Prrafodelista"/>
        <w:spacing w:line="360" w:lineRule="auto"/>
        <w:ind w:left="0"/>
        <w:jc w:val="both"/>
        <w:rPr>
          <w:rFonts w:ascii="Palatino Linotype" w:hAnsi="Palatino Linotype"/>
        </w:rPr>
      </w:pPr>
    </w:p>
    <w:p w:rsidR="00554DF4" w:rsidRDefault="00554DF4" w:rsidP="00983FBC">
      <w:pPr>
        <w:pStyle w:val="Ttulo2"/>
        <w:spacing w:before="0" w:line="360" w:lineRule="auto"/>
        <w:rPr>
          <w:rFonts w:ascii="Palatino Linotype" w:hAnsi="Palatino Linotype"/>
          <w:b/>
          <w:color w:val="auto"/>
          <w:sz w:val="24"/>
        </w:rPr>
      </w:pPr>
      <w:bookmarkStart w:id="7" w:name="_Toc32221277"/>
      <w:r w:rsidRPr="00983FBC">
        <w:rPr>
          <w:rFonts w:ascii="Palatino Linotype" w:hAnsi="Palatino Linotype"/>
          <w:b/>
          <w:color w:val="auto"/>
          <w:sz w:val="24"/>
        </w:rPr>
        <w:t>SEGUNDO. De la oportunidad y procedencia.</w:t>
      </w:r>
      <w:bookmarkEnd w:id="7"/>
    </w:p>
    <w:p w:rsidR="00983FBC" w:rsidRPr="00983FBC" w:rsidRDefault="00983FBC" w:rsidP="00983FBC">
      <w:pPr>
        <w:rPr>
          <w:lang w:val="es-MX" w:eastAsia="en-US"/>
        </w:rPr>
      </w:pPr>
    </w:p>
    <w:p w:rsidR="00554DF4" w:rsidRPr="00983FBC" w:rsidRDefault="00554DF4" w:rsidP="00983FBC">
      <w:pPr>
        <w:pStyle w:val="Prrafodelista"/>
        <w:numPr>
          <w:ilvl w:val="0"/>
          <w:numId w:val="1"/>
        </w:numPr>
        <w:spacing w:line="360" w:lineRule="auto"/>
        <w:ind w:left="0" w:right="49" w:firstLine="0"/>
        <w:jc w:val="both"/>
        <w:rPr>
          <w:rFonts w:ascii="Palatino Linotype" w:hAnsi="Palatino Linotype"/>
        </w:rPr>
      </w:pPr>
      <w:r w:rsidRPr="00983FBC">
        <w:rPr>
          <w:rFonts w:ascii="Palatino Linotype" w:eastAsia="Calibri" w:hAnsi="Palatino Linotype" w:cs="Arial"/>
        </w:rPr>
        <w:t xml:space="preserve">El medio de impugnación fue presentado a través del </w:t>
      </w:r>
      <w:r w:rsidRPr="00983FBC">
        <w:rPr>
          <w:rFonts w:ascii="Palatino Linotype" w:eastAsia="Calibri" w:hAnsi="Palatino Linotype" w:cs="Arial"/>
          <w:b/>
        </w:rPr>
        <w:t>SAIMEX,</w:t>
      </w:r>
      <w:r w:rsidRPr="00983FBC">
        <w:rPr>
          <w:rFonts w:ascii="Palatino Linotype" w:eastAsia="Calibri" w:hAnsi="Palatino Linotype" w:cs="Arial"/>
        </w:rPr>
        <w:t xml:space="preserve"> en el formato previamente aprobado para tal efecto y dentro del plazo legal de quince días hábiles otorgados; siendo así que el </w:t>
      </w:r>
      <w:r w:rsidRPr="00983FBC">
        <w:rPr>
          <w:rFonts w:ascii="Palatino Linotype" w:eastAsia="Calibri" w:hAnsi="Palatino Linotype" w:cs="Arial"/>
          <w:b/>
        </w:rPr>
        <w:t>SUJETO OBLIGADO</w:t>
      </w:r>
      <w:r w:rsidRPr="00983FBC">
        <w:rPr>
          <w:rFonts w:ascii="Palatino Linotype" w:eastAsia="Calibri" w:hAnsi="Palatino Linotype" w:cs="Arial"/>
        </w:rPr>
        <w:t xml:space="preserve"> entregó respuesta a la solicitud el día</w:t>
      </w:r>
      <w:r w:rsidR="001A4BC9" w:rsidRPr="00983FBC">
        <w:rPr>
          <w:rFonts w:ascii="Palatino Linotype" w:eastAsia="Calibri" w:hAnsi="Palatino Linotype" w:cs="Arial"/>
        </w:rPr>
        <w:t xml:space="preserve"> </w:t>
      </w:r>
      <w:r w:rsidR="003F0B1B" w:rsidRPr="00983FBC">
        <w:rPr>
          <w:rFonts w:ascii="Palatino Linotype" w:eastAsia="Calibri" w:hAnsi="Palatino Linotype" w:cs="Arial"/>
        </w:rPr>
        <w:t>once</w:t>
      </w:r>
      <w:r w:rsidRPr="00983FBC">
        <w:rPr>
          <w:rFonts w:ascii="Palatino Linotype" w:eastAsia="Calibri" w:hAnsi="Palatino Linotype" w:cs="Arial"/>
        </w:rPr>
        <w:t xml:space="preserve"> (</w:t>
      </w:r>
      <w:r w:rsidR="003F0B1B" w:rsidRPr="00983FBC">
        <w:rPr>
          <w:rFonts w:ascii="Palatino Linotype" w:eastAsia="Calibri" w:hAnsi="Palatino Linotype" w:cs="Arial"/>
        </w:rPr>
        <w:t>11</w:t>
      </w:r>
      <w:r w:rsidRPr="00983FBC">
        <w:rPr>
          <w:rFonts w:ascii="Palatino Linotype" w:eastAsia="Calibri" w:hAnsi="Palatino Linotype" w:cs="Arial"/>
        </w:rPr>
        <w:t xml:space="preserve">) de </w:t>
      </w:r>
      <w:r w:rsidR="001A4BC9" w:rsidRPr="00983FBC">
        <w:rPr>
          <w:rFonts w:ascii="Palatino Linotype" w:eastAsia="Calibri" w:hAnsi="Palatino Linotype" w:cs="Arial"/>
        </w:rPr>
        <w:t>noviembre</w:t>
      </w:r>
      <w:r w:rsidRPr="00983FBC">
        <w:rPr>
          <w:rFonts w:ascii="Palatino Linotype" w:eastAsia="Calibri" w:hAnsi="Palatino Linotype" w:cs="Arial"/>
        </w:rPr>
        <w:t xml:space="preserve"> de dos mil diecinueve, </w:t>
      </w:r>
      <w:r w:rsidRPr="00983FBC">
        <w:rPr>
          <w:rFonts w:ascii="Palatino Linotype" w:hAnsi="Palatino Linotype" w:cs="Arial"/>
        </w:rPr>
        <w:t xml:space="preserve">de tal forma que el plazo para interponer el recurso de revisión transcurrió del </w:t>
      </w:r>
      <w:r w:rsidR="003F0B1B" w:rsidRPr="00983FBC">
        <w:rPr>
          <w:rFonts w:ascii="Palatino Linotype" w:hAnsi="Palatino Linotype" w:cs="Arial"/>
        </w:rPr>
        <w:t>doce</w:t>
      </w:r>
      <w:r w:rsidRPr="00983FBC">
        <w:rPr>
          <w:rFonts w:ascii="Palatino Linotype" w:hAnsi="Palatino Linotype" w:cs="Arial"/>
        </w:rPr>
        <w:t xml:space="preserve"> (</w:t>
      </w:r>
      <w:r w:rsidR="003F0B1B" w:rsidRPr="00983FBC">
        <w:rPr>
          <w:rFonts w:ascii="Palatino Linotype" w:hAnsi="Palatino Linotype" w:cs="Arial"/>
        </w:rPr>
        <w:t>12</w:t>
      </w:r>
      <w:r w:rsidRPr="00983FBC">
        <w:rPr>
          <w:rFonts w:ascii="Palatino Linotype" w:hAnsi="Palatino Linotype" w:cs="Arial"/>
        </w:rPr>
        <w:t xml:space="preserve">) </w:t>
      </w:r>
      <w:r w:rsidR="003F0B1B" w:rsidRPr="00983FBC">
        <w:rPr>
          <w:rFonts w:ascii="Palatino Linotype" w:hAnsi="Palatino Linotype" w:cs="Arial"/>
        </w:rPr>
        <w:t xml:space="preserve">de noviembre al tres (3) de diciembre </w:t>
      </w:r>
      <w:r w:rsidR="00A56957" w:rsidRPr="00983FBC">
        <w:rPr>
          <w:rFonts w:ascii="Palatino Linotype" w:hAnsi="Palatino Linotype" w:cs="Arial"/>
        </w:rPr>
        <w:t xml:space="preserve">de dos </w:t>
      </w:r>
      <w:r w:rsidRPr="00983FBC">
        <w:rPr>
          <w:rFonts w:ascii="Palatino Linotype" w:hAnsi="Palatino Linotype" w:cs="Arial"/>
        </w:rPr>
        <w:t>mil diecinueve; en consecuencia, presen</w:t>
      </w:r>
      <w:r w:rsidR="006B009B" w:rsidRPr="00983FBC">
        <w:rPr>
          <w:rFonts w:ascii="Palatino Linotype" w:hAnsi="Palatino Linotype" w:cs="Arial"/>
        </w:rPr>
        <w:t xml:space="preserve">tó su inconformidad el día </w:t>
      </w:r>
      <w:r w:rsidR="003F0B1B" w:rsidRPr="00983FBC">
        <w:rPr>
          <w:rFonts w:ascii="Palatino Linotype" w:hAnsi="Palatino Linotype" w:cs="Arial"/>
        </w:rPr>
        <w:t>doce</w:t>
      </w:r>
      <w:r w:rsidRPr="00983FBC">
        <w:rPr>
          <w:rFonts w:ascii="Palatino Linotype" w:eastAsia="Calibri" w:hAnsi="Palatino Linotype" w:cs="Arial"/>
        </w:rPr>
        <w:t xml:space="preserve"> (</w:t>
      </w:r>
      <w:r w:rsidR="003F0B1B" w:rsidRPr="00983FBC">
        <w:rPr>
          <w:rFonts w:ascii="Palatino Linotype" w:eastAsia="Calibri" w:hAnsi="Palatino Linotype" w:cs="Arial"/>
        </w:rPr>
        <w:t>12</w:t>
      </w:r>
      <w:r w:rsidRPr="00983FBC">
        <w:rPr>
          <w:rFonts w:ascii="Palatino Linotype" w:eastAsia="Calibri" w:hAnsi="Palatino Linotype" w:cs="Arial"/>
        </w:rPr>
        <w:t xml:space="preserve">) de </w:t>
      </w:r>
      <w:r w:rsidR="001A4BC9" w:rsidRPr="00983FBC">
        <w:rPr>
          <w:rFonts w:ascii="Palatino Linotype" w:eastAsia="Calibri" w:hAnsi="Palatino Linotype" w:cs="Arial"/>
        </w:rPr>
        <w:t>noviembre</w:t>
      </w:r>
      <w:r w:rsidRPr="00983FBC">
        <w:rPr>
          <w:rFonts w:ascii="Palatino Linotype" w:eastAsia="Calibri" w:hAnsi="Palatino Linotype" w:cs="Arial"/>
        </w:rPr>
        <w:t xml:space="preserve"> de dos mil diecinueve</w:t>
      </w:r>
      <w:r w:rsidRPr="00983FBC">
        <w:rPr>
          <w:rFonts w:ascii="Palatino Linotype" w:hAnsi="Palatino Linotype" w:cs="Arial"/>
        </w:rPr>
        <w:t xml:space="preserve">, por lo que se encuentra dentro de los márgenes temporales previstos en el artículo 178 de la </w:t>
      </w:r>
      <w:r w:rsidRPr="00983FBC">
        <w:rPr>
          <w:rFonts w:ascii="Palatino Linotype" w:hAnsi="Palatino Linotype" w:cs="Arial"/>
          <w:b/>
        </w:rPr>
        <w:lastRenderedPageBreak/>
        <w:t>Ley de Transparencia y Acceso a la Información Pública del Estado de México y Municipios vigente.</w:t>
      </w:r>
    </w:p>
    <w:p w:rsidR="001A4BC9" w:rsidRPr="00983FBC" w:rsidRDefault="001A4BC9" w:rsidP="00983FBC">
      <w:pPr>
        <w:pStyle w:val="Prrafodelista"/>
        <w:spacing w:line="360" w:lineRule="auto"/>
        <w:ind w:left="0" w:right="49"/>
        <w:jc w:val="both"/>
        <w:rPr>
          <w:rFonts w:ascii="Palatino Linotype" w:hAnsi="Palatino Linotype" w:cs="Arial"/>
          <w:b/>
        </w:rPr>
      </w:pPr>
    </w:p>
    <w:p w:rsidR="001A4BC9" w:rsidRPr="00983FBC" w:rsidRDefault="001A4BC9"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983FBC">
        <w:rPr>
          <w:rFonts w:ascii="Palatino Linotype" w:eastAsia="Calibri" w:hAnsi="Palatino Linotype" w:cs="Times New Roman"/>
          <w:b/>
          <w:lang w:val="es-ES"/>
        </w:rPr>
        <w:t xml:space="preserve">no proporciona su nombre completo para que sea </w:t>
      </w:r>
      <w:r w:rsidRPr="00983FBC">
        <w:rPr>
          <w:rFonts w:ascii="Palatino Linotype" w:eastAsia="Calibri" w:hAnsi="Palatino Linotype" w:cs="Times New Roman"/>
          <w:b/>
          <w:u w:val="single"/>
          <w:lang w:val="es-ES"/>
        </w:rPr>
        <w:t>identificado</w:t>
      </w:r>
      <w:r w:rsidRPr="00983FBC">
        <w:rPr>
          <w:rFonts w:ascii="Palatino Linotype" w:eastAsia="Calibri" w:hAnsi="Palatino Linotype" w:cs="Times New Roman"/>
          <w:b/>
          <w:lang w:val="es-ES"/>
        </w:rPr>
        <w:t>,</w:t>
      </w:r>
      <w:r w:rsidRPr="00983FBC">
        <w:rPr>
          <w:rFonts w:ascii="Palatino Linotype" w:eastAsia="Calibri" w:hAnsi="Palatino Linotype" w:cs="Times New Roman"/>
          <w:lang w:val="es-ES"/>
        </w:rPr>
        <w:t xml:space="preserve"> ni se tiene la certeza sobre su identidad, sin embargo, es importante señalar también que </w:t>
      </w:r>
      <w:r w:rsidRPr="00983FB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A4BC9" w:rsidRPr="00983FBC" w:rsidRDefault="001A4BC9" w:rsidP="00983FBC">
      <w:pPr>
        <w:pStyle w:val="Prrafodelista"/>
        <w:spacing w:line="360" w:lineRule="auto"/>
        <w:ind w:left="0"/>
        <w:jc w:val="both"/>
        <w:rPr>
          <w:rFonts w:ascii="Palatino Linotype" w:hAnsi="Palatino Linotype"/>
        </w:rPr>
      </w:pPr>
    </w:p>
    <w:p w:rsidR="001A4BC9" w:rsidRPr="00983FBC" w:rsidRDefault="001A4BC9"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t xml:space="preserve">Esto es así, ya que de conformidad con los artículos 6, apartado A, fracciones III y IV de la </w:t>
      </w:r>
      <w:r w:rsidRPr="00983FBC">
        <w:rPr>
          <w:rFonts w:ascii="Palatino Linotype" w:eastAsia="Calibri" w:hAnsi="Palatino Linotype" w:cs="Times New Roman"/>
          <w:b/>
          <w:lang w:val="es-ES"/>
        </w:rPr>
        <w:t>Constitución Política de los Estados Unidos Mexicanos</w:t>
      </w:r>
      <w:r w:rsidRPr="00983FBC">
        <w:rPr>
          <w:rFonts w:ascii="Palatino Linotype" w:eastAsia="Calibri" w:hAnsi="Palatino Linotype" w:cs="Times New Roman"/>
          <w:lang w:val="es-ES"/>
        </w:rPr>
        <w:t xml:space="preserve">; 5, párrafos vigésimo, vigésimo primero y vigésimo segundo fracciones III, IV y V de la </w:t>
      </w:r>
      <w:r w:rsidRPr="00983FBC">
        <w:rPr>
          <w:rFonts w:ascii="Palatino Linotype" w:eastAsia="Calibri" w:hAnsi="Palatino Linotype" w:cs="Times New Roman"/>
          <w:b/>
          <w:lang w:val="es-ES"/>
        </w:rPr>
        <w:t>Constitución Política del Estado Libre y Soberano de México</w:t>
      </w:r>
      <w:r w:rsidRPr="00983FBC">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A4BC9" w:rsidRPr="00983FBC" w:rsidRDefault="001A4BC9" w:rsidP="00983FBC">
      <w:pPr>
        <w:pStyle w:val="Prrafodelista"/>
        <w:spacing w:line="360" w:lineRule="auto"/>
        <w:ind w:left="0"/>
        <w:rPr>
          <w:rFonts w:ascii="Palatino Linotype" w:eastAsia="Calibri" w:hAnsi="Palatino Linotype" w:cs="Times New Roman"/>
          <w:lang w:val="es-ES"/>
        </w:rPr>
      </w:pPr>
    </w:p>
    <w:p w:rsidR="001A4BC9" w:rsidRPr="00983FBC" w:rsidRDefault="001A4BC9"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A4BC9" w:rsidRPr="00983FBC" w:rsidRDefault="001A4BC9" w:rsidP="00983FBC">
      <w:pPr>
        <w:pStyle w:val="Prrafodelista"/>
        <w:spacing w:line="360" w:lineRule="auto"/>
        <w:ind w:left="0"/>
        <w:rPr>
          <w:rFonts w:ascii="Palatino Linotype" w:hAnsi="Palatino Linotype"/>
        </w:rPr>
      </w:pPr>
    </w:p>
    <w:p w:rsidR="001A4BC9" w:rsidRPr="00983FBC" w:rsidRDefault="001A4BC9"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A4BC9" w:rsidRPr="00983FBC" w:rsidRDefault="001A4BC9" w:rsidP="00983FBC">
      <w:pPr>
        <w:pStyle w:val="Prrafodelista"/>
        <w:spacing w:line="360" w:lineRule="auto"/>
        <w:ind w:left="0"/>
        <w:rPr>
          <w:rFonts w:ascii="Palatino Linotype" w:hAnsi="Palatino Linotype"/>
        </w:rPr>
      </w:pPr>
    </w:p>
    <w:p w:rsidR="001A4BC9" w:rsidRPr="00983FBC" w:rsidRDefault="001A4BC9"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eastAsia="Calibri" w:hAnsi="Palatino Linotype" w:cs="Times New Roman"/>
          <w:lang w:val="es-ES"/>
        </w:rPr>
        <w:t>Por</w:t>
      </w:r>
      <w:r w:rsidRPr="00983FB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83FBC">
        <w:rPr>
          <w:rFonts w:ascii="Palatino Linotype" w:eastAsia="Times New Roman" w:hAnsi="Palatino Linotype" w:cs="Arial"/>
          <w:lang w:val="es-ES"/>
        </w:rPr>
        <w:t>Resolutor</w:t>
      </w:r>
      <w:proofErr w:type="spellEnd"/>
      <w:r w:rsidRPr="00983FBC">
        <w:rPr>
          <w:rFonts w:ascii="Palatino Linotype" w:eastAsia="Times New Roman" w:hAnsi="Palatino Linotype" w:cs="Arial"/>
          <w:lang w:val="es-ES"/>
        </w:rPr>
        <w:t>.</w:t>
      </w:r>
    </w:p>
    <w:p w:rsidR="001A4BC9" w:rsidRPr="00983FBC" w:rsidRDefault="001A4BC9" w:rsidP="00983FBC">
      <w:pPr>
        <w:pStyle w:val="Prrafodelista"/>
        <w:spacing w:line="360" w:lineRule="auto"/>
        <w:ind w:left="0" w:right="49"/>
        <w:jc w:val="both"/>
        <w:rPr>
          <w:rFonts w:ascii="Palatino Linotype" w:hAnsi="Palatino Linotype"/>
        </w:rPr>
      </w:pPr>
    </w:p>
    <w:p w:rsidR="00554DF4" w:rsidRPr="00983FBC" w:rsidRDefault="00554DF4" w:rsidP="00983FBC">
      <w:pPr>
        <w:pStyle w:val="Prrafodelista"/>
        <w:numPr>
          <w:ilvl w:val="0"/>
          <w:numId w:val="1"/>
        </w:numPr>
        <w:spacing w:line="360" w:lineRule="auto"/>
        <w:ind w:left="0" w:right="49" w:firstLine="0"/>
        <w:jc w:val="both"/>
        <w:rPr>
          <w:rFonts w:ascii="Palatino Linotype" w:hAnsi="Palatino Linotype"/>
        </w:rPr>
      </w:pPr>
      <w:r w:rsidRPr="00983FB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983FBC" w:rsidRDefault="00554DF4" w:rsidP="00983FBC">
      <w:pPr>
        <w:pStyle w:val="Ttulo2"/>
        <w:spacing w:before="0" w:line="360" w:lineRule="auto"/>
        <w:rPr>
          <w:rFonts w:ascii="Palatino Linotype" w:hAnsi="Palatino Linotype"/>
          <w:b/>
          <w:color w:val="auto"/>
          <w:sz w:val="24"/>
        </w:rPr>
      </w:pPr>
      <w:bookmarkStart w:id="8" w:name="_Toc32221278"/>
      <w:bookmarkStart w:id="9" w:name="_Toc486525253"/>
      <w:r w:rsidRPr="00983FBC">
        <w:rPr>
          <w:rFonts w:ascii="Palatino Linotype" w:hAnsi="Palatino Linotype"/>
          <w:b/>
          <w:color w:val="auto"/>
          <w:sz w:val="24"/>
        </w:rPr>
        <w:lastRenderedPageBreak/>
        <w:t>TERCERO. Planteamiento de la Litis.</w:t>
      </w:r>
      <w:bookmarkEnd w:id="8"/>
    </w:p>
    <w:p w:rsidR="00554DF4" w:rsidRPr="00983FBC" w:rsidRDefault="00554DF4" w:rsidP="00983FBC">
      <w:pPr>
        <w:spacing w:line="360" w:lineRule="auto"/>
        <w:rPr>
          <w:rFonts w:ascii="Palatino Linotype" w:hAnsi="Palatino Linotype"/>
          <w:lang w:val="es-MX" w:eastAsia="en-US"/>
        </w:rPr>
      </w:pPr>
    </w:p>
    <w:p w:rsidR="00FE0502" w:rsidRPr="00983FBC" w:rsidRDefault="00FE0502" w:rsidP="00983FBC">
      <w:pPr>
        <w:pStyle w:val="Prrafodelista"/>
        <w:numPr>
          <w:ilvl w:val="0"/>
          <w:numId w:val="1"/>
        </w:numPr>
        <w:spacing w:line="360" w:lineRule="auto"/>
        <w:ind w:left="0" w:firstLine="0"/>
        <w:jc w:val="both"/>
        <w:rPr>
          <w:rFonts w:ascii="Palatino Linotype" w:hAnsi="Palatino Linotype" w:cs="Arial"/>
        </w:rPr>
      </w:pPr>
      <w:r w:rsidRPr="00983FBC">
        <w:rPr>
          <w:rFonts w:ascii="Palatino Linotype" w:hAnsi="Palatino Linotype" w:cs="Arial"/>
        </w:rPr>
        <w:t>Se solicitaron las facturas y contratos de los bienes comprados, rentados para seguridad pública, como patrullas, radios y uniformes, con los recursos federales y locales recibidos durante el ejercicio fiscal 2019.</w:t>
      </w:r>
    </w:p>
    <w:p w:rsidR="00FE0502" w:rsidRPr="00983FBC" w:rsidRDefault="00FE0502" w:rsidP="00983FBC">
      <w:pPr>
        <w:pStyle w:val="Prrafodelista"/>
        <w:spacing w:line="360" w:lineRule="auto"/>
        <w:ind w:left="0"/>
        <w:jc w:val="both"/>
        <w:rPr>
          <w:rFonts w:ascii="Palatino Linotype" w:hAnsi="Palatino Linotype" w:cs="Arial"/>
        </w:rPr>
      </w:pPr>
    </w:p>
    <w:p w:rsidR="003F0B1B" w:rsidRPr="00983FBC" w:rsidRDefault="001C6B98" w:rsidP="00983FBC">
      <w:pPr>
        <w:pStyle w:val="Prrafodelista"/>
        <w:numPr>
          <w:ilvl w:val="0"/>
          <w:numId w:val="1"/>
        </w:numPr>
        <w:spacing w:line="360" w:lineRule="auto"/>
        <w:ind w:left="0" w:firstLine="0"/>
        <w:jc w:val="both"/>
        <w:rPr>
          <w:rFonts w:ascii="Palatino Linotype" w:hAnsi="Palatino Linotype" w:cs="Arial"/>
        </w:rPr>
      </w:pPr>
      <w:r w:rsidRPr="00983FBC">
        <w:rPr>
          <w:rFonts w:ascii="Palatino Linotype" w:hAnsi="Palatino Linotype" w:cs="Arial"/>
        </w:rPr>
        <w:t xml:space="preserve">El Sujeto Obligado </w:t>
      </w:r>
      <w:r w:rsidR="003F0B1B" w:rsidRPr="00983FBC">
        <w:rPr>
          <w:rFonts w:ascii="Palatino Linotype" w:hAnsi="Palatino Linotype" w:cs="Arial"/>
        </w:rPr>
        <w:t>entregó diversos contratos y facturas en versión pública.</w:t>
      </w:r>
    </w:p>
    <w:p w:rsidR="003F0B1B" w:rsidRPr="00983FBC" w:rsidRDefault="003F0B1B" w:rsidP="00983FBC">
      <w:pPr>
        <w:pStyle w:val="Prrafodelista"/>
        <w:spacing w:line="360" w:lineRule="auto"/>
        <w:rPr>
          <w:rFonts w:ascii="Palatino Linotype" w:hAnsi="Palatino Linotype" w:cs="Arial"/>
        </w:rPr>
      </w:pPr>
    </w:p>
    <w:p w:rsidR="00FE0502" w:rsidRPr="00983FBC" w:rsidRDefault="003F0B1B" w:rsidP="00983FBC">
      <w:pPr>
        <w:pStyle w:val="Prrafodelista"/>
        <w:numPr>
          <w:ilvl w:val="0"/>
          <w:numId w:val="1"/>
        </w:numPr>
        <w:spacing w:line="360" w:lineRule="auto"/>
        <w:ind w:left="0" w:firstLine="0"/>
        <w:jc w:val="both"/>
        <w:rPr>
          <w:rFonts w:ascii="Palatino Linotype" w:hAnsi="Palatino Linotype" w:cs="Arial"/>
        </w:rPr>
      </w:pPr>
      <w:r w:rsidRPr="00983FBC">
        <w:rPr>
          <w:rFonts w:ascii="Palatino Linotype" w:hAnsi="Palatino Linotype" w:cs="Arial"/>
        </w:rPr>
        <w:t>El recurrente se inconformó porque, a su dicho, la información se encuentra incompleta y, se testó información que de carácter público.</w:t>
      </w:r>
    </w:p>
    <w:p w:rsidR="00FE0502" w:rsidRPr="00983FBC" w:rsidRDefault="00FE0502" w:rsidP="00983FBC">
      <w:pPr>
        <w:pStyle w:val="Prrafodelista"/>
        <w:spacing w:line="360" w:lineRule="auto"/>
        <w:rPr>
          <w:rFonts w:ascii="Palatino Linotype" w:hAnsi="Palatino Linotype" w:cs="Arial"/>
        </w:rPr>
      </w:pPr>
    </w:p>
    <w:p w:rsidR="00554DF4" w:rsidRPr="00983FBC" w:rsidRDefault="00554DF4" w:rsidP="00983FBC">
      <w:pPr>
        <w:pStyle w:val="Prrafodelista"/>
        <w:numPr>
          <w:ilvl w:val="0"/>
          <w:numId w:val="1"/>
        </w:numPr>
        <w:spacing w:line="360" w:lineRule="auto"/>
        <w:ind w:left="0" w:firstLine="0"/>
        <w:jc w:val="both"/>
        <w:rPr>
          <w:rFonts w:ascii="Palatino Linotype" w:hAnsi="Palatino Linotype" w:cs="Arial"/>
        </w:rPr>
      </w:pPr>
      <w:r w:rsidRPr="00983FBC">
        <w:rPr>
          <w:rFonts w:ascii="Palatino Linotype" w:hAnsi="Palatino Linotype" w:cs="Arial"/>
        </w:rPr>
        <w:t xml:space="preserve"> </w:t>
      </w:r>
      <w:r w:rsidRPr="00983FBC">
        <w:rPr>
          <w:rFonts w:ascii="Palatino Linotype" w:eastAsia="Times New Roman" w:hAnsi="Palatino Linotype" w:cs="Arial"/>
        </w:rPr>
        <w:t xml:space="preserve">En dichas condiciones, la </w:t>
      </w:r>
      <w:proofErr w:type="spellStart"/>
      <w:r w:rsidRPr="00983FBC">
        <w:rPr>
          <w:rFonts w:ascii="Palatino Linotype" w:eastAsia="Times New Roman" w:hAnsi="Palatino Linotype" w:cs="Arial"/>
          <w:i/>
        </w:rPr>
        <w:t>litis</w:t>
      </w:r>
      <w:proofErr w:type="spellEnd"/>
      <w:r w:rsidRPr="00983FBC">
        <w:rPr>
          <w:rFonts w:ascii="Palatino Linotype" w:eastAsia="Times New Roman" w:hAnsi="Palatino Linotype" w:cs="Arial"/>
        </w:rPr>
        <w:t xml:space="preserve"> a resolver en este recurso se circunscribe a determinar si </w:t>
      </w:r>
      <w:r w:rsidRPr="00983FBC">
        <w:rPr>
          <w:rFonts w:ascii="Palatino Linotype" w:eastAsia="MS Mincho" w:hAnsi="Palatino Linotype" w:cs="Arial"/>
        </w:rPr>
        <w:t>se actualiza la causal de procedencia previst</w:t>
      </w:r>
      <w:r w:rsidR="00806E03" w:rsidRPr="00983FBC">
        <w:rPr>
          <w:rFonts w:ascii="Palatino Linotype" w:eastAsia="MS Mincho" w:hAnsi="Palatino Linotype" w:cs="Arial"/>
        </w:rPr>
        <w:t>a en el artículo 179, fracción</w:t>
      </w:r>
      <w:r w:rsidRPr="00983FBC">
        <w:rPr>
          <w:rFonts w:ascii="Palatino Linotype" w:eastAsia="MS Mincho" w:hAnsi="Palatino Linotype" w:cs="Arial"/>
        </w:rPr>
        <w:t xml:space="preserve"> </w:t>
      </w:r>
      <w:r w:rsidR="003F0B1B" w:rsidRPr="00983FBC">
        <w:rPr>
          <w:rFonts w:ascii="Palatino Linotype" w:eastAsia="MS Mincho" w:hAnsi="Palatino Linotype" w:cs="Arial"/>
          <w:b/>
        </w:rPr>
        <w:t>V</w:t>
      </w:r>
      <w:r w:rsidR="001C6B98" w:rsidRPr="00983FBC">
        <w:rPr>
          <w:rFonts w:ascii="Palatino Linotype" w:eastAsia="MS Mincho" w:hAnsi="Palatino Linotype" w:cs="Arial"/>
        </w:rPr>
        <w:t xml:space="preserve"> </w:t>
      </w:r>
      <w:r w:rsidRPr="00983FBC">
        <w:rPr>
          <w:rFonts w:ascii="Palatino Linotype" w:eastAsia="MS Mincho" w:hAnsi="Palatino Linotype" w:cs="Arial"/>
        </w:rPr>
        <w:t>de la Ley de Transparencia y Acceso a la Información Pública del Estado de México y Municipios.</w:t>
      </w:r>
    </w:p>
    <w:p w:rsidR="00554DF4" w:rsidRPr="00983FBC" w:rsidRDefault="00554DF4" w:rsidP="00983FBC">
      <w:pPr>
        <w:spacing w:line="360" w:lineRule="auto"/>
        <w:rPr>
          <w:rFonts w:ascii="Palatino Linotype" w:hAnsi="Palatino Linotype"/>
          <w:lang w:val="es-MX" w:eastAsia="en-US"/>
        </w:rPr>
      </w:pPr>
    </w:p>
    <w:p w:rsidR="00554DF4" w:rsidRPr="00983FBC" w:rsidRDefault="00554DF4" w:rsidP="00983FBC">
      <w:pPr>
        <w:pStyle w:val="Ttulo2"/>
        <w:spacing w:before="0" w:line="360" w:lineRule="auto"/>
        <w:rPr>
          <w:rFonts w:ascii="Palatino Linotype" w:eastAsia="Times New Roman" w:hAnsi="Palatino Linotype" w:cs="Arial"/>
          <w:color w:val="000000"/>
        </w:rPr>
      </w:pPr>
      <w:bookmarkStart w:id="10" w:name="_Toc32221279"/>
      <w:r w:rsidRPr="00983FBC">
        <w:rPr>
          <w:rFonts w:ascii="Palatino Linotype" w:hAnsi="Palatino Linotype"/>
          <w:b/>
          <w:color w:val="auto"/>
          <w:sz w:val="24"/>
        </w:rPr>
        <w:t xml:space="preserve">CUARTO. </w:t>
      </w:r>
      <w:bookmarkEnd w:id="9"/>
      <w:r w:rsidRPr="00983FBC">
        <w:rPr>
          <w:rFonts w:ascii="Palatino Linotype" w:hAnsi="Palatino Linotype"/>
          <w:b/>
          <w:color w:val="auto"/>
          <w:sz w:val="24"/>
        </w:rPr>
        <w:t>Análisis y resolución del asunto.</w:t>
      </w:r>
      <w:bookmarkEnd w:id="10"/>
    </w:p>
    <w:p w:rsidR="00554DF4" w:rsidRPr="00983FBC" w:rsidRDefault="00554DF4" w:rsidP="00983FBC">
      <w:pPr>
        <w:pStyle w:val="Prrafodelista"/>
        <w:spacing w:line="360" w:lineRule="auto"/>
        <w:rPr>
          <w:rFonts w:ascii="Palatino Linotype" w:hAnsi="Palatino Linotype" w:cs="Arial"/>
        </w:rPr>
      </w:pPr>
      <w:bookmarkStart w:id="11" w:name="_Toc476675991"/>
      <w:bookmarkStart w:id="12" w:name="_Toc454373811"/>
      <w:bookmarkStart w:id="13" w:name="_Toc452722829"/>
    </w:p>
    <w:p w:rsidR="00554DF4" w:rsidRPr="00983FBC" w:rsidRDefault="00554DF4" w:rsidP="00983FBC">
      <w:pPr>
        <w:pStyle w:val="Ttulo2"/>
        <w:numPr>
          <w:ilvl w:val="0"/>
          <w:numId w:val="4"/>
        </w:numPr>
        <w:spacing w:before="0" w:line="360" w:lineRule="auto"/>
        <w:rPr>
          <w:rFonts w:ascii="Palatino Linotype" w:hAnsi="Palatino Linotype"/>
          <w:b/>
          <w:color w:val="auto"/>
          <w:sz w:val="24"/>
        </w:rPr>
      </w:pPr>
      <w:bookmarkStart w:id="14" w:name="_Toc9525984"/>
      <w:bookmarkStart w:id="15" w:name="_Toc32221280"/>
      <w:r w:rsidRPr="00983FBC">
        <w:rPr>
          <w:rFonts w:ascii="Palatino Linotype" w:hAnsi="Palatino Linotype"/>
          <w:b/>
          <w:color w:val="auto"/>
          <w:sz w:val="24"/>
        </w:rPr>
        <w:t>El derecho de acceso a la información.</w:t>
      </w:r>
      <w:bookmarkEnd w:id="14"/>
      <w:bookmarkEnd w:id="15"/>
    </w:p>
    <w:p w:rsidR="00554DF4" w:rsidRPr="00983FBC" w:rsidRDefault="00554DF4" w:rsidP="00983FBC">
      <w:pPr>
        <w:spacing w:line="360" w:lineRule="auto"/>
        <w:rPr>
          <w:rFonts w:ascii="Palatino Linotype" w:hAnsi="Palatino Linotype"/>
          <w:lang w:val="es-MX" w:eastAsia="en-US"/>
        </w:rPr>
      </w:pPr>
    </w:p>
    <w:p w:rsidR="00554DF4" w:rsidRPr="00983FBC" w:rsidRDefault="00554DF4" w:rsidP="00983FBC">
      <w:pPr>
        <w:pStyle w:val="Prrafodelista"/>
        <w:numPr>
          <w:ilvl w:val="0"/>
          <w:numId w:val="1"/>
        </w:numPr>
        <w:spacing w:line="360" w:lineRule="auto"/>
        <w:ind w:left="0" w:firstLine="0"/>
        <w:jc w:val="both"/>
        <w:rPr>
          <w:rFonts w:ascii="Palatino Linotype" w:hAnsi="Palatino Linotype"/>
          <w:color w:val="000000"/>
          <w:sz w:val="22"/>
          <w:szCs w:val="22"/>
        </w:rPr>
      </w:pPr>
      <w:r w:rsidRPr="00983FBC">
        <w:rPr>
          <w:rFonts w:ascii="Palatino Linotype" w:hAnsi="Palatino Linotype"/>
          <w:color w:val="000000"/>
          <w:sz w:val="22"/>
          <w:szCs w:val="22"/>
        </w:rPr>
        <w:t xml:space="preserve">El Derecho que tutela este Órgano Garante es la </w:t>
      </w:r>
      <w:r w:rsidRPr="00983FBC">
        <w:rPr>
          <w:rFonts w:ascii="Palatino Linotype" w:eastAsia="Times New Roman" w:hAnsi="Palatino Linotype" w:cs="Arial"/>
          <w:color w:val="000000" w:themeColor="text1"/>
          <w:lang w:eastAsia="es-MX"/>
        </w:rPr>
        <w:t xml:space="preserve"> </w:t>
      </w:r>
      <w:r w:rsidRPr="00983FBC">
        <w:rPr>
          <w:rFonts w:ascii="Palatino Linotype" w:eastAsia="MS Mincho" w:hAnsi="Palatino Linotype" w:cs="Times New Roman"/>
          <w:i/>
        </w:rPr>
        <w:t>igualdad de oportunidades para recibir, buscar e impartir información</w:t>
      </w:r>
      <w:r w:rsidRPr="00983FBC">
        <w:rPr>
          <w:rStyle w:val="Refdenotaalpie"/>
          <w:rFonts w:ascii="Palatino Linotype" w:eastAsia="MS Mincho" w:hAnsi="Palatino Linotype" w:cs="Times New Roman"/>
          <w:i/>
        </w:rPr>
        <w:footnoteReference w:id="1"/>
      </w:r>
      <w:r w:rsidRPr="00983FBC">
        <w:rPr>
          <w:rFonts w:ascii="Palatino Linotype" w:eastAsia="MS Mincho" w:hAnsi="Palatino Linotype" w:cs="Times New Roman"/>
          <w:i/>
        </w:rPr>
        <w:t xml:space="preserve"> en posesión de cualquier autoridad, entidad, órgano y organismo de los poderes Ejecutivo, Legislativo y Judicial, órganos autónomos, partidos </w:t>
      </w:r>
      <w:r w:rsidRPr="00983FBC">
        <w:rPr>
          <w:rFonts w:ascii="Palatino Linotype" w:eastAsia="MS Mincho" w:hAnsi="Palatino Linotype" w:cs="Times New Roman"/>
          <w:i/>
        </w:rPr>
        <w:lastRenderedPageBreak/>
        <w:t>políticos, fideicomisos, y fondos públicos, así como de cualquier persona física, moral o sindicato que reciba y ejerza recursos públicos o realice actos de autoridad en el ámbito federal, estatal y municipal</w:t>
      </w:r>
      <w:r w:rsidRPr="00983FBC">
        <w:rPr>
          <w:rStyle w:val="Refdenotaalpie"/>
          <w:rFonts w:ascii="Palatino Linotype" w:eastAsia="MS Mincho" w:hAnsi="Palatino Linotype" w:cs="Times New Roman"/>
        </w:rPr>
        <w:footnoteReference w:id="2"/>
      </w:r>
      <w:r w:rsidRPr="00983FBC">
        <w:rPr>
          <w:rFonts w:ascii="Palatino Linotype" w:eastAsia="MS Mincho" w:hAnsi="Palatino Linotype" w:cs="Times New Roman"/>
          <w:i/>
        </w:rPr>
        <w:t xml:space="preserve"> </w:t>
      </w:r>
      <w:r w:rsidRPr="00983FBC">
        <w:rPr>
          <w:rFonts w:ascii="Palatino Linotype" w:eastAsia="MS Mincho" w:hAnsi="Palatino Linotype" w:cs="Times New Roman"/>
        </w:rPr>
        <w:t xml:space="preserve">que se constituye como una herramienta fundamental para </w:t>
      </w:r>
      <w:r w:rsidRPr="00983FB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83FBC">
        <w:rPr>
          <w:rStyle w:val="Refdenotaalpie"/>
          <w:rFonts w:ascii="Palatino Linotype" w:eastAsia="MS Mincho" w:hAnsi="Palatino Linotype" w:cs="Times New Roman"/>
          <w:i/>
        </w:rPr>
        <w:footnoteReference w:id="3"/>
      </w:r>
      <w:r w:rsidRPr="00983FBC">
        <w:rPr>
          <w:rFonts w:ascii="Palatino Linotype" w:eastAsia="MS Mincho" w:hAnsi="Palatino Linotype" w:cs="Times New Roman"/>
        </w:rPr>
        <w:t>fomentando</w:t>
      </w:r>
      <w:r w:rsidRPr="00983FBC">
        <w:rPr>
          <w:rFonts w:ascii="Palatino Linotype" w:eastAsia="MS Mincho" w:hAnsi="Palatino Linotype" w:cs="Times New Roman"/>
          <w:i/>
        </w:rPr>
        <w:t xml:space="preserve"> la transparencia de las actividades estatales y</w:t>
      </w:r>
      <w:r w:rsidRPr="00983FBC">
        <w:rPr>
          <w:rFonts w:ascii="Palatino Linotype" w:eastAsia="MS Mincho" w:hAnsi="Palatino Linotype" w:cs="Times New Roman"/>
        </w:rPr>
        <w:t xml:space="preserve"> promoviendo</w:t>
      </w:r>
      <w:r w:rsidRPr="00983FBC">
        <w:rPr>
          <w:rFonts w:ascii="Palatino Linotype" w:eastAsia="MS Mincho" w:hAnsi="Palatino Linotype" w:cs="Times New Roman"/>
          <w:i/>
        </w:rPr>
        <w:t xml:space="preserve"> la responsabilidad de los funcionarios sobre su gestión pública</w:t>
      </w:r>
      <w:r w:rsidRPr="00983FBC">
        <w:rPr>
          <w:rStyle w:val="Refdenotaalpie"/>
          <w:rFonts w:ascii="Palatino Linotype" w:eastAsia="MS Mincho" w:hAnsi="Palatino Linotype" w:cs="Times New Roman"/>
          <w:i/>
        </w:rPr>
        <w:footnoteReference w:id="4"/>
      </w:r>
      <w:r w:rsidRPr="00983FBC">
        <w:rPr>
          <w:rFonts w:ascii="Palatino Linotype" w:eastAsia="MS Mincho" w:hAnsi="Palatino Linotype" w:cs="Times New Roman"/>
          <w:i/>
        </w:rPr>
        <w:t xml:space="preserve"> </w:t>
      </w:r>
      <w:r w:rsidRPr="00983FBC">
        <w:rPr>
          <w:rFonts w:ascii="Palatino Linotype" w:eastAsia="MS Mincho" w:hAnsi="Palatino Linotype" w:cs="Times New Roman"/>
        </w:rPr>
        <w:t>que permite</w:t>
      </w:r>
      <w:r w:rsidRPr="00983FB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83FBC">
        <w:rPr>
          <w:rStyle w:val="Refdenotaalpie"/>
          <w:rFonts w:ascii="Palatino Linotype" w:eastAsia="MS Mincho" w:hAnsi="Palatino Linotype" w:cs="Times New Roman"/>
          <w:i/>
        </w:rPr>
        <w:footnoteReference w:id="5"/>
      </w:r>
      <w:r w:rsidRPr="00983FBC">
        <w:rPr>
          <w:rFonts w:ascii="Palatino Linotype" w:eastAsia="MS Mincho" w:hAnsi="Palatino Linotype" w:cs="Times New Roman"/>
        </w:rPr>
        <w:t xml:space="preserve"> ” </w:t>
      </w:r>
    </w:p>
    <w:p w:rsidR="00554DF4" w:rsidRPr="00983FBC" w:rsidRDefault="00554DF4" w:rsidP="00983FBC">
      <w:pPr>
        <w:pStyle w:val="Prrafodelista"/>
        <w:spacing w:line="360" w:lineRule="auto"/>
        <w:ind w:left="0"/>
        <w:jc w:val="both"/>
        <w:rPr>
          <w:rFonts w:ascii="Palatino Linotype" w:hAnsi="Palatino Linotype"/>
          <w:color w:val="000000"/>
          <w:sz w:val="22"/>
          <w:szCs w:val="22"/>
        </w:rPr>
      </w:pPr>
    </w:p>
    <w:p w:rsidR="00554DF4" w:rsidRPr="00983FBC" w:rsidRDefault="00554DF4" w:rsidP="00983FBC">
      <w:pPr>
        <w:pStyle w:val="Prrafodelista"/>
        <w:numPr>
          <w:ilvl w:val="0"/>
          <w:numId w:val="1"/>
        </w:numPr>
        <w:spacing w:line="360" w:lineRule="auto"/>
        <w:ind w:left="0" w:firstLine="0"/>
        <w:jc w:val="both"/>
        <w:rPr>
          <w:rFonts w:ascii="Palatino Linotype" w:hAnsi="Palatino Linotype" w:cs="Arial"/>
          <w:i/>
          <w:color w:val="000000" w:themeColor="text1"/>
        </w:rPr>
      </w:pPr>
      <w:r w:rsidRPr="00983FBC">
        <w:rPr>
          <w:rFonts w:ascii="Palatino Linotype" w:hAnsi="Palatino Linotype" w:cs="Arial"/>
        </w:rPr>
        <w:t xml:space="preserve">Ahora bien para entender los alcances de la información pública se considera importante citar el criterio </w:t>
      </w:r>
      <w:r w:rsidRPr="00983FB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83FBC">
        <w:rPr>
          <w:rFonts w:ascii="Palatino Linotype" w:hAnsi="Palatino Linotype" w:cs="Arial"/>
        </w:rPr>
        <w:t>cuyo rubro y texto dispone:</w:t>
      </w:r>
    </w:p>
    <w:p w:rsidR="00554DF4" w:rsidRPr="00983FBC" w:rsidRDefault="00554DF4" w:rsidP="00983FBC">
      <w:pPr>
        <w:pStyle w:val="Prrafodelista"/>
        <w:autoSpaceDE w:val="0"/>
        <w:autoSpaceDN w:val="0"/>
        <w:adjustRightInd w:val="0"/>
        <w:spacing w:line="360" w:lineRule="auto"/>
        <w:ind w:left="0"/>
        <w:jc w:val="both"/>
        <w:rPr>
          <w:rFonts w:ascii="Palatino Linotype" w:hAnsi="Palatino Linotype" w:cs="Arial"/>
          <w:lang w:val="es-MX"/>
        </w:rPr>
      </w:pPr>
    </w:p>
    <w:p w:rsidR="00554DF4" w:rsidRPr="00983FBC" w:rsidRDefault="00554DF4" w:rsidP="00983FBC">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83FBC">
        <w:rPr>
          <w:rFonts w:ascii="Palatino Linotype" w:hAnsi="Palatino Linotype" w:cs="Arial"/>
          <w:b/>
          <w:i/>
          <w:sz w:val="22"/>
          <w:szCs w:val="22"/>
          <w:lang w:val="es-MX" w:eastAsia="es-MX"/>
        </w:rPr>
        <w:t>“CRITERIO 0002-11</w:t>
      </w:r>
    </w:p>
    <w:p w:rsidR="00554DF4" w:rsidRPr="00983FBC" w:rsidRDefault="00554DF4" w:rsidP="00983FB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83FBC">
        <w:rPr>
          <w:rFonts w:ascii="Palatino Linotype" w:hAnsi="Palatino Linotype" w:cs="Arial"/>
          <w:b/>
          <w:i/>
          <w:sz w:val="22"/>
          <w:szCs w:val="22"/>
          <w:lang w:val="es-MX" w:eastAsia="es-MX"/>
        </w:rPr>
        <w:t xml:space="preserve">INFORMACIÓN PÚBLICA, CONCEPTO DE, EN MATERIA DE TRANSPARENCIA. INTERPRETACIÓN TEMÁTICA DE LOS ARTÍCULOS 2, </w:t>
      </w:r>
      <w:r w:rsidRPr="00983FBC">
        <w:rPr>
          <w:rFonts w:ascii="Palatino Linotype" w:hAnsi="Palatino Linotype" w:cs="Arial"/>
          <w:b/>
          <w:i/>
          <w:sz w:val="22"/>
          <w:szCs w:val="22"/>
          <w:lang w:val="es-MX" w:eastAsia="es-MX"/>
        </w:rPr>
        <w:lastRenderedPageBreak/>
        <w:t xml:space="preserve">FRACCIÓN </w:t>
      </w:r>
      <w:r w:rsidRPr="00983FBC">
        <w:rPr>
          <w:rFonts w:ascii="Palatino Linotype" w:hAnsi="Palatino Linotype" w:cs="Arial"/>
          <w:b/>
          <w:bCs/>
          <w:i/>
          <w:sz w:val="22"/>
          <w:szCs w:val="22"/>
          <w:lang w:val="es-MX" w:eastAsia="es-MX"/>
        </w:rPr>
        <w:t xml:space="preserve">V, XV, Y XVI, </w:t>
      </w:r>
      <w:r w:rsidRPr="00983FBC">
        <w:rPr>
          <w:rFonts w:ascii="Palatino Linotype" w:hAnsi="Palatino Linotype" w:cs="Arial"/>
          <w:b/>
          <w:i/>
          <w:sz w:val="22"/>
          <w:szCs w:val="22"/>
          <w:lang w:val="es-MX" w:eastAsia="es-MX"/>
        </w:rPr>
        <w:t>3, 4,11 Y 41.</w:t>
      </w:r>
      <w:r w:rsidRPr="00983FB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983FBC" w:rsidRDefault="00554DF4" w:rsidP="00983FB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83FBC">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983FBC" w:rsidRDefault="00554DF4" w:rsidP="00983FB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83FB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983FBC" w:rsidRDefault="00554DF4" w:rsidP="00983FB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83FB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983FBC" w:rsidRDefault="00554DF4" w:rsidP="00983FBC">
      <w:pPr>
        <w:spacing w:line="360" w:lineRule="auto"/>
        <w:ind w:left="567" w:right="567"/>
        <w:jc w:val="both"/>
        <w:rPr>
          <w:rFonts w:ascii="Palatino Linotype" w:hAnsi="Palatino Linotype" w:cs="Arial"/>
          <w:i/>
          <w:color w:val="000000" w:themeColor="text1"/>
          <w:sz w:val="22"/>
          <w:szCs w:val="22"/>
        </w:rPr>
      </w:pPr>
      <w:r w:rsidRPr="00983FB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983FBC" w:rsidRDefault="00554DF4" w:rsidP="00983FBC">
      <w:pPr>
        <w:pStyle w:val="Prrafodelista"/>
        <w:tabs>
          <w:tab w:val="left" w:pos="851"/>
        </w:tabs>
        <w:spacing w:line="360" w:lineRule="auto"/>
        <w:ind w:left="0" w:right="49"/>
        <w:jc w:val="both"/>
        <w:rPr>
          <w:rFonts w:ascii="Palatino Linotype" w:hAnsi="Palatino Linotype"/>
          <w:lang w:val="es-ES"/>
        </w:rPr>
      </w:pPr>
    </w:p>
    <w:p w:rsidR="00554DF4" w:rsidRPr="00983FBC" w:rsidRDefault="00554DF4" w:rsidP="00983FBC">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sidRPr="00983FB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983FBC" w:rsidRPr="00983FBC" w:rsidRDefault="00983FBC" w:rsidP="00983FBC">
      <w:pPr>
        <w:pStyle w:val="Prrafodelista"/>
        <w:tabs>
          <w:tab w:val="left" w:pos="851"/>
        </w:tabs>
        <w:spacing w:line="360" w:lineRule="auto"/>
        <w:ind w:left="0" w:right="49"/>
        <w:jc w:val="both"/>
        <w:rPr>
          <w:rFonts w:ascii="Palatino Linotype" w:hAnsi="Palatino Linotype" w:cs="Arial"/>
          <w:sz w:val="28"/>
          <w:lang w:val="es-ES"/>
        </w:rPr>
      </w:pPr>
    </w:p>
    <w:p w:rsidR="00554DF4" w:rsidRPr="00983FBC" w:rsidRDefault="00554DF4" w:rsidP="00983FBC">
      <w:pPr>
        <w:autoSpaceDE w:val="0"/>
        <w:autoSpaceDN w:val="0"/>
        <w:adjustRightInd w:val="0"/>
        <w:spacing w:line="360" w:lineRule="auto"/>
        <w:ind w:left="567" w:right="567"/>
        <w:jc w:val="both"/>
        <w:rPr>
          <w:rFonts w:ascii="Palatino Linotype" w:hAnsi="Palatino Linotype"/>
          <w:i/>
          <w:sz w:val="28"/>
          <w:lang w:val="es-ES"/>
        </w:rPr>
      </w:pPr>
      <w:r w:rsidRPr="00983FBC">
        <w:rPr>
          <w:rFonts w:ascii="Palatino Linotype" w:eastAsiaTheme="minorHAnsi" w:hAnsi="Palatino Linotype" w:cs="Bookman Old Style,Bold"/>
          <w:b/>
          <w:bCs/>
          <w:i/>
          <w:sz w:val="22"/>
          <w:szCs w:val="20"/>
          <w:lang w:val="es-MX" w:eastAsia="en-US"/>
        </w:rPr>
        <w:t xml:space="preserve">XI. Documento: </w:t>
      </w:r>
      <w:r w:rsidRPr="00983FB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83FBC">
        <w:rPr>
          <w:rFonts w:ascii="Palatino Linotype" w:eastAsiaTheme="minorHAnsi" w:hAnsi="Palatino Linotype" w:cs="Bookman Old Style"/>
          <w:b/>
          <w:i/>
          <w:sz w:val="22"/>
          <w:szCs w:val="20"/>
          <w:lang w:val="es-MX" w:eastAsia="en-US"/>
        </w:rPr>
        <w:t>cualquier otro registro</w:t>
      </w:r>
      <w:r w:rsidRPr="00983FB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983FBC" w:rsidRDefault="00554DF4" w:rsidP="00983FBC">
      <w:pPr>
        <w:pStyle w:val="Prrafodelista"/>
        <w:tabs>
          <w:tab w:val="left" w:pos="851"/>
        </w:tabs>
        <w:spacing w:line="360" w:lineRule="auto"/>
        <w:ind w:left="0" w:right="49"/>
        <w:jc w:val="both"/>
        <w:rPr>
          <w:rFonts w:ascii="Palatino Linotype" w:hAnsi="Palatino Linotype"/>
          <w:lang w:val="es-ES"/>
        </w:rPr>
      </w:pPr>
    </w:p>
    <w:p w:rsidR="00554DF4" w:rsidRPr="00983FBC" w:rsidRDefault="00554DF4" w:rsidP="00983F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83FBC">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983FBC" w:rsidRDefault="00554DF4" w:rsidP="00983FBC">
      <w:pPr>
        <w:pStyle w:val="Prrafodelista"/>
        <w:spacing w:line="360" w:lineRule="auto"/>
        <w:ind w:left="0"/>
        <w:jc w:val="both"/>
        <w:rPr>
          <w:rFonts w:ascii="Palatino Linotype" w:eastAsia="Calibri" w:hAnsi="Palatino Linotype" w:cs="Arial"/>
        </w:rPr>
      </w:pPr>
    </w:p>
    <w:p w:rsidR="00554DF4" w:rsidRPr="00983FBC" w:rsidRDefault="00554DF4" w:rsidP="00983FBC">
      <w:pPr>
        <w:pStyle w:val="Prrafodelista"/>
        <w:numPr>
          <w:ilvl w:val="0"/>
          <w:numId w:val="1"/>
        </w:numPr>
        <w:spacing w:line="360" w:lineRule="auto"/>
        <w:ind w:left="0" w:firstLine="0"/>
        <w:jc w:val="both"/>
        <w:rPr>
          <w:rFonts w:ascii="Palatino Linotype" w:eastAsia="Calibri" w:hAnsi="Palatino Linotype" w:cs="Arial"/>
        </w:rPr>
      </w:pPr>
      <w:r w:rsidRPr="00983FBC">
        <w:rPr>
          <w:rFonts w:ascii="Palatino Linotype" w:eastAsia="Calibri" w:hAnsi="Palatino Linotype" w:cs="Arial"/>
        </w:rPr>
        <w:t>E</w:t>
      </w:r>
      <w:r w:rsidRPr="00983FBC">
        <w:rPr>
          <w:rFonts w:ascii="Palatino Linotype" w:eastAsia="MS Mincho" w:hAnsi="Palatino Linotype"/>
        </w:rPr>
        <w:t xml:space="preserve">l acceso a la información es un derecho humano constitucional y convencionalmente reconocido y para tal efecto </w:t>
      </w:r>
      <w:r w:rsidRPr="00983FB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83FBC">
        <w:rPr>
          <w:rFonts w:ascii="Palatino Linotype" w:eastAsia="Calibri" w:hAnsi="Palatino Linotype"/>
          <w:i/>
          <w:lang w:val="es-ES"/>
        </w:rPr>
        <w:t xml:space="preserve">en el ámbito de sus atribuciones, de promover, respetar, proteger y </w:t>
      </w:r>
      <w:r w:rsidRPr="00983FBC">
        <w:rPr>
          <w:rFonts w:ascii="Palatino Linotype" w:eastAsia="Calibri" w:hAnsi="Palatino Linotype"/>
          <w:b/>
          <w:i/>
          <w:lang w:val="es-ES"/>
        </w:rPr>
        <w:t>garantizar</w:t>
      </w:r>
      <w:r w:rsidRPr="00983FBC">
        <w:rPr>
          <w:rFonts w:ascii="Palatino Linotype" w:eastAsia="Calibri" w:hAnsi="Palatino Linotype"/>
          <w:i/>
          <w:lang w:val="es-ES"/>
        </w:rPr>
        <w:t xml:space="preserve"> los derechos humanos. </w:t>
      </w:r>
      <w:r w:rsidRPr="00983FB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83FBC">
        <w:rPr>
          <w:rFonts w:ascii="Palatino Linotype" w:eastAsia="Calibri" w:hAnsi="Palatino Linotype"/>
          <w:b/>
          <w:i/>
          <w:lang w:val="es-ES"/>
        </w:rPr>
        <w:t xml:space="preserve"> e</w:t>
      </w:r>
      <w:r w:rsidRPr="00983FB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83FBC">
        <w:rPr>
          <w:rStyle w:val="Refdenotaalpie"/>
          <w:rFonts w:ascii="Palatino Linotype" w:hAnsi="Palatino Linotype"/>
          <w:i/>
        </w:rPr>
        <w:footnoteReference w:id="6"/>
      </w:r>
      <w:r w:rsidRPr="00983FBC">
        <w:rPr>
          <w:rFonts w:ascii="Palatino Linotype" w:hAnsi="Palatino Linotype"/>
          <w:i/>
        </w:rPr>
        <w:t xml:space="preserve">, </w:t>
      </w:r>
      <w:r w:rsidRPr="00983FBC">
        <w:rPr>
          <w:rFonts w:ascii="Palatino Linotype" w:hAnsi="Palatino Linotype"/>
        </w:rPr>
        <w:t>asimismo establece</w:t>
      </w:r>
      <w:r w:rsidRPr="00983FB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983FBC" w:rsidRDefault="00554DF4" w:rsidP="00983FBC">
      <w:pPr>
        <w:pStyle w:val="Prrafodelista"/>
        <w:spacing w:line="360" w:lineRule="auto"/>
        <w:rPr>
          <w:rFonts w:ascii="Palatino Linotype" w:eastAsia="Calibri" w:hAnsi="Palatino Linotype" w:cs="Arial"/>
        </w:rPr>
      </w:pPr>
    </w:p>
    <w:p w:rsidR="00554DF4" w:rsidRPr="00983FBC" w:rsidRDefault="00554DF4" w:rsidP="00983FBC">
      <w:pPr>
        <w:pStyle w:val="Prrafodelista"/>
        <w:numPr>
          <w:ilvl w:val="0"/>
          <w:numId w:val="1"/>
        </w:numPr>
        <w:spacing w:line="360" w:lineRule="auto"/>
        <w:ind w:left="0" w:firstLine="0"/>
        <w:jc w:val="both"/>
        <w:rPr>
          <w:rFonts w:ascii="Palatino Linotype" w:eastAsia="Calibri" w:hAnsi="Palatino Linotype" w:cs="Arial"/>
        </w:rPr>
      </w:pPr>
      <w:r w:rsidRPr="00983FBC">
        <w:rPr>
          <w:rFonts w:ascii="Palatino Linotype" w:hAnsi="Palatino Linotype"/>
          <w:color w:val="000000" w:themeColor="text1"/>
        </w:rPr>
        <w:t xml:space="preserve">Resulta necesario referir que, el </w:t>
      </w:r>
      <w:r w:rsidRPr="00983FB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983FBC">
        <w:rPr>
          <w:rFonts w:ascii="Palatino Linotype" w:eastAsia="Calibri" w:hAnsi="Palatino Linotype" w:cs="Arial"/>
        </w:rPr>
        <w:lastRenderedPageBreak/>
        <w:t xml:space="preserve">Municipios, guardan una estrecha relación, puesto que los ordenamientos citados concurren refiriendo que </w:t>
      </w:r>
      <w:r w:rsidRPr="00983FBC">
        <w:rPr>
          <w:rFonts w:ascii="Palatino Linotype" w:eastAsia="Calibri" w:hAnsi="Palatino Linotype" w:cs="Arial"/>
          <w:b/>
        </w:rPr>
        <w:t>los Sujetos Obligados deberán documentar todo acto que se derive del ejercicio de sus facultades, competencias o funciones,</w:t>
      </w:r>
      <w:r w:rsidRPr="00983FBC">
        <w:rPr>
          <w:rFonts w:ascii="Palatino Linotype" w:eastAsia="Calibri" w:hAnsi="Palatino Linotype" w:cs="Arial"/>
        </w:rPr>
        <w:t xml:space="preserve"> considerando desde su origen la eventual publicidad y reutilización de la información que generen, posean o administren.</w:t>
      </w:r>
    </w:p>
    <w:p w:rsidR="00554DF4" w:rsidRPr="00983FBC" w:rsidRDefault="00554DF4" w:rsidP="00983FBC">
      <w:pPr>
        <w:pStyle w:val="Prrafodelista"/>
        <w:spacing w:line="360" w:lineRule="auto"/>
        <w:rPr>
          <w:rFonts w:ascii="Palatino Linotype" w:eastAsia="Calibri" w:hAnsi="Palatino Linotype" w:cs="Arial"/>
        </w:rPr>
      </w:pPr>
    </w:p>
    <w:p w:rsidR="00554DF4" w:rsidRPr="00983FBC" w:rsidRDefault="00554DF4" w:rsidP="00983FBC">
      <w:pPr>
        <w:pStyle w:val="Prrafodelista"/>
        <w:numPr>
          <w:ilvl w:val="0"/>
          <w:numId w:val="1"/>
        </w:numPr>
        <w:spacing w:line="360" w:lineRule="auto"/>
        <w:ind w:left="0" w:firstLine="0"/>
        <w:jc w:val="both"/>
        <w:rPr>
          <w:rFonts w:ascii="Palatino Linotype" w:eastAsia="Calibri" w:hAnsi="Palatino Linotype" w:cs="Arial"/>
        </w:rPr>
      </w:pPr>
      <w:r w:rsidRPr="00983FB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983FBC" w:rsidRDefault="00554DF4" w:rsidP="00983FBC">
      <w:pPr>
        <w:pStyle w:val="Prrafodelista"/>
        <w:spacing w:line="360" w:lineRule="auto"/>
        <w:rPr>
          <w:rFonts w:ascii="Palatino Linotype" w:eastAsia="Times New Roman" w:hAnsi="Palatino Linotype" w:cs="Arial"/>
          <w:color w:val="000000"/>
        </w:rPr>
      </w:pPr>
    </w:p>
    <w:p w:rsidR="00554DF4" w:rsidRPr="00983FBC" w:rsidRDefault="00983FBC"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983FBC">
        <w:rPr>
          <w:rFonts w:ascii="Palatino Linotype" w:hAnsi="Palatino Linotype" w:cs="Bookman Old Style,Bold"/>
          <w:b/>
          <w:bCs/>
          <w:i/>
          <w:sz w:val="22"/>
          <w:szCs w:val="20"/>
          <w:lang w:val="es-MX"/>
        </w:rPr>
        <w:t xml:space="preserve">Artículo 4. </w:t>
      </w:r>
      <w:r w:rsidR="00554DF4" w:rsidRPr="00983FB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83FB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83FB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983FBC">
        <w:rPr>
          <w:rFonts w:ascii="Palatino Linotype" w:hAnsi="Palatino Linotype" w:cs="Bookman Old Style"/>
          <w:i/>
          <w:sz w:val="22"/>
          <w:szCs w:val="20"/>
          <w:lang w:val="es-MX"/>
        </w:rPr>
        <w:t>”</w:t>
      </w:r>
    </w:p>
    <w:p w:rsidR="00554DF4" w:rsidRPr="00983FBC" w:rsidRDefault="00554DF4" w:rsidP="00983FBC">
      <w:pPr>
        <w:autoSpaceDE w:val="0"/>
        <w:autoSpaceDN w:val="0"/>
        <w:adjustRightInd w:val="0"/>
        <w:spacing w:line="360" w:lineRule="auto"/>
        <w:ind w:right="567"/>
        <w:jc w:val="both"/>
        <w:rPr>
          <w:rFonts w:ascii="Palatino Linotype" w:eastAsia="Times New Roman" w:hAnsi="Palatino Linotype" w:cs="Arial"/>
          <w:i/>
          <w:color w:val="000000"/>
          <w:sz w:val="28"/>
        </w:rPr>
      </w:pPr>
    </w:p>
    <w:p w:rsidR="00554DF4" w:rsidRPr="00983FBC" w:rsidRDefault="00983FBC"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983FBC">
        <w:rPr>
          <w:rFonts w:ascii="Palatino Linotype" w:hAnsi="Palatino Linotype" w:cs="Bookman Old Style,Bold"/>
          <w:b/>
          <w:bCs/>
          <w:i/>
          <w:sz w:val="22"/>
          <w:szCs w:val="20"/>
          <w:lang w:val="es-MX"/>
        </w:rPr>
        <w:t xml:space="preserve">Artículo 12. </w:t>
      </w:r>
      <w:r w:rsidR="00554DF4" w:rsidRPr="00983FB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983FB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83FB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983FBC">
        <w:rPr>
          <w:rFonts w:ascii="Palatino Linotype" w:hAnsi="Palatino Linotype" w:cs="Bookman Old Style"/>
          <w:b/>
          <w:i/>
          <w:sz w:val="22"/>
          <w:szCs w:val="20"/>
          <w:lang w:val="es-MX"/>
        </w:rPr>
        <w:t>”</w:t>
      </w:r>
    </w:p>
    <w:p w:rsidR="00554DF4" w:rsidRPr="00983FBC" w:rsidRDefault="00554DF4" w:rsidP="00983FB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983FBC" w:rsidRDefault="00554DF4" w:rsidP="00983F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83FB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83FBC">
        <w:rPr>
          <w:rStyle w:val="Refdenotaalpie"/>
          <w:rFonts w:ascii="Palatino Linotype" w:hAnsi="Palatino Linotype"/>
          <w:lang w:val="es-ES"/>
        </w:rPr>
        <w:footnoteReference w:id="7"/>
      </w:r>
      <w:r w:rsidRPr="00983FB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983FBC" w:rsidRDefault="00554DF4" w:rsidP="00983FBC">
      <w:pPr>
        <w:pStyle w:val="Prrafodelista"/>
        <w:tabs>
          <w:tab w:val="left" w:pos="851"/>
        </w:tabs>
        <w:spacing w:line="360" w:lineRule="auto"/>
        <w:ind w:left="0" w:right="49"/>
        <w:jc w:val="both"/>
        <w:rPr>
          <w:rFonts w:ascii="Palatino Linotype" w:hAnsi="Palatino Linotype"/>
          <w:lang w:val="es-ES"/>
        </w:rPr>
      </w:pPr>
    </w:p>
    <w:p w:rsidR="00554DF4" w:rsidRPr="00983FBC" w:rsidRDefault="00554DF4" w:rsidP="00983F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83FBC">
        <w:rPr>
          <w:rFonts w:ascii="Palatino Linotype" w:hAnsi="Palatino Linotype"/>
          <w:lang w:val="es-ES"/>
        </w:rPr>
        <w:t xml:space="preserve">Robustece lo anterior la Tesis aislada identificada con la clave I.4º.A.40 A del Cuarto Tribunal colegiado en Materia Administrativa del Primer Circuito, </w:t>
      </w:r>
      <w:r w:rsidRPr="00983FBC">
        <w:rPr>
          <w:rFonts w:ascii="Palatino Linotype" w:hAnsi="Palatino Linotype"/>
          <w:lang w:val="es-ES"/>
        </w:rPr>
        <w:lastRenderedPageBreak/>
        <w:t>publicada en el Seminario Judicial de la Federación y su Gaceta en el libro XVIII, Marzo 2013, Página 1899.</w:t>
      </w:r>
    </w:p>
    <w:p w:rsidR="00554DF4" w:rsidRPr="00983FBC" w:rsidRDefault="00554DF4" w:rsidP="00983FBC">
      <w:pPr>
        <w:pStyle w:val="Prrafodelista"/>
        <w:spacing w:line="360" w:lineRule="auto"/>
        <w:rPr>
          <w:rFonts w:ascii="Palatino Linotype" w:hAnsi="Palatino Linotype"/>
          <w:lang w:val="es-ES"/>
        </w:rPr>
      </w:pPr>
    </w:p>
    <w:p w:rsidR="00554DF4" w:rsidRPr="00983FBC" w:rsidRDefault="00554DF4" w:rsidP="00983FBC">
      <w:pPr>
        <w:pStyle w:val="Prrafodelista"/>
        <w:tabs>
          <w:tab w:val="left" w:pos="851"/>
        </w:tabs>
        <w:spacing w:line="360" w:lineRule="auto"/>
        <w:ind w:left="567" w:right="567"/>
        <w:jc w:val="both"/>
        <w:rPr>
          <w:rFonts w:ascii="Palatino Linotype" w:hAnsi="Palatino Linotype"/>
          <w:i/>
          <w:sz w:val="22"/>
        </w:rPr>
      </w:pPr>
      <w:r w:rsidRPr="00983FBC">
        <w:rPr>
          <w:rFonts w:ascii="Palatino Linotype" w:hAnsi="Palatino Linotype"/>
          <w:b/>
          <w:i/>
          <w:sz w:val="22"/>
        </w:rPr>
        <w:t>ACCESO A LA INFORMACIÓN. IMPLICACIÓN DEL PRINCIPIO DE MÁXIMA PUBLICIDAD EN EL DERECHO FUNDAMENTAL RELATIVO.</w:t>
      </w:r>
      <w:r w:rsidRPr="00983FB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983FBC" w:rsidRDefault="00554DF4" w:rsidP="00983FBC">
      <w:pPr>
        <w:pStyle w:val="Prrafodelista"/>
        <w:tabs>
          <w:tab w:val="left" w:pos="851"/>
        </w:tabs>
        <w:spacing w:line="360" w:lineRule="auto"/>
        <w:ind w:left="567" w:right="567"/>
        <w:jc w:val="both"/>
        <w:rPr>
          <w:rFonts w:ascii="Palatino Linotype" w:hAnsi="Palatino Linotype"/>
          <w:i/>
          <w:sz w:val="22"/>
        </w:rPr>
      </w:pPr>
    </w:p>
    <w:p w:rsidR="00554DF4" w:rsidRPr="00983FBC" w:rsidRDefault="00554DF4" w:rsidP="00983FBC">
      <w:pPr>
        <w:pStyle w:val="Prrafodelista"/>
        <w:tabs>
          <w:tab w:val="left" w:pos="851"/>
        </w:tabs>
        <w:spacing w:line="360" w:lineRule="auto"/>
        <w:ind w:left="567" w:right="567"/>
        <w:jc w:val="both"/>
        <w:rPr>
          <w:rFonts w:ascii="Palatino Linotype" w:hAnsi="Palatino Linotype"/>
          <w:i/>
          <w:sz w:val="22"/>
        </w:rPr>
      </w:pPr>
      <w:r w:rsidRPr="00983FBC">
        <w:rPr>
          <w:rFonts w:ascii="Palatino Linotype" w:hAnsi="Palatino Linotype"/>
          <w:i/>
          <w:sz w:val="22"/>
        </w:rPr>
        <w:lastRenderedPageBreak/>
        <w:t xml:space="preserve">CUARTO TRIBUNAL COLEGIADO EN MATERIA ADMINISTRATIVA DEL PRIMER CIRCUITO. </w:t>
      </w:r>
    </w:p>
    <w:p w:rsidR="00554DF4" w:rsidRPr="00983FBC" w:rsidRDefault="00554DF4" w:rsidP="00983FBC">
      <w:pPr>
        <w:pStyle w:val="Prrafodelista"/>
        <w:tabs>
          <w:tab w:val="left" w:pos="851"/>
        </w:tabs>
        <w:spacing w:line="360" w:lineRule="auto"/>
        <w:ind w:left="567" w:right="567"/>
        <w:jc w:val="both"/>
        <w:rPr>
          <w:rFonts w:ascii="Palatino Linotype" w:hAnsi="Palatino Linotype"/>
          <w:i/>
          <w:sz w:val="22"/>
        </w:rPr>
      </w:pPr>
    </w:p>
    <w:p w:rsidR="00554DF4" w:rsidRPr="00983FBC" w:rsidRDefault="00554DF4" w:rsidP="00983FBC">
      <w:pPr>
        <w:pStyle w:val="Prrafodelista"/>
        <w:tabs>
          <w:tab w:val="left" w:pos="851"/>
        </w:tabs>
        <w:spacing w:line="360" w:lineRule="auto"/>
        <w:ind w:left="567" w:right="567"/>
        <w:jc w:val="both"/>
        <w:rPr>
          <w:rFonts w:ascii="Palatino Linotype" w:hAnsi="Palatino Linotype"/>
          <w:i/>
          <w:sz w:val="22"/>
          <w:lang w:val="es-ES"/>
        </w:rPr>
      </w:pPr>
      <w:r w:rsidRPr="00983FBC">
        <w:rPr>
          <w:rFonts w:ascii="Palatino Linotype" w:hAnsi="Palatino Linotype"/>
          <w:i/>
          <w:sz w:val="22"/>
        </w:rPr>
        <w:t xml:space="preserve">Amparo en revisión 257/2012. Ruth Corona Muñoz. 6 de diciembre de 2012. Unanimidad de votos. Ponente: Jean Claude </w:t>
      </w:r>
      <w:proofErr w:type="spellStart"/>
      <w:r w:rsidRPr="00983FBC">
        <w:rPr>
          <w:rFonts w:ascii="Palatino Linotype" w:hAnsi="Palatino Linotype"/>
          <w:i/>
          <w:sz w:val="22"/>
        </w:rPr>
        <w:t>Tron</w:t>
      </w:r>
      <w:proofErr w:type="spellEnd"/>
      <w:r w:rsidRPr="00983FBC">
        <w:rPr>
          <w:rFonts w:ascii="Palatino Linotype" w:hAnsi="Palatino Linotype"/>
          <w:i/>
          <w:sz w:val="22"/>
        </w:rPr>
        <w:t xml:space="preserve"> </w:t>
      </w:r>
      <w:proofErr w:type="spellStart"/>
      <w:r w:rsidRPr="00983FBC">
        <w:rPr>
          <w:rFonts w:ascii="Palatino Linotype" w:hAnsi="Palatino Linotype"/>
          <w:i/>
          <w:sz w:val="22"/>
        </w:rPr>
        <w:t>Petit</w:t>
      </w:r>
      <w:proofErr w:type="spellEnd"/>
      <w:r w:rsidRPr="00983FBC">
        <w:rPr>
          <w:rFonts w:ascii="Palatino Linotype" w:hAnsi="Palatino Linotype"/>
          <w:i/>
          <w:sz w:val="22"/>
        </w:rPr>
        <w:t>. Secretaria: Mayra Susana Martínez López.</w:t>
      </w:r>
    </w:p>
    <w:p w:rsidR="00554DF4" w:rsidRPr="00983FBC" w:rsidRDefault="00554DF4" w:rsidP="00983FBC">
      <w:pPr>
        <w:pStyle w:val="Prrafodelista"/>
        <w:spacing w:line="360" w:lineRule="auto"/>
        <w:rPr>
          <w:rFonts w:ascii="Palatino Linotype" w:hAnsi="Palatino Linotype"/>
          <w:lang w:val="es-ES"/>
        </w:rPr>
      </w:pPr>
    </w:p>
    <w:p w:rsidR="00554DF4" w:rsidRPr="00983FBC" w:rsidRDefault="00554DF4" w:rsidP="00983F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83FBC">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983FBC" w:rsidRDefault="00C67BCA" w:rsidP="00983FBC">
      <w:pPr>
        <w:tabs>
          <w:tab w:val="left" w:pos="851"/>
        </w:tabs>
        <w:spacing w:line="360" w:lineRule="auto"/>
        <w:ind w:right="49"/>
        <w:jc w:val="both"/>
        <w:rPr>
          <w:rFonts w:ascii="Palatino Linotype" w:hAnsi="Palatino Linotype"/>
          <w:lang w:val="es-ES"/>
        </w:rPr>
      </w:pPr>
    </w:p>
    <w:p w:rsidR="001C6B98" w:rsidRPr="00983FBC" w:rsidRDefault="001C6B98" w:rsidP="00983FBC">
      <w:pPr>
        <w:pStyle w:val="Ttulo2"/>
        <w:numPr>
          <w:ilvl w:val="0"/>
          <w:numId w:val="4"/>
        </w:numPr>
        <w:spacing w:before="0" w:line="360" w:lineRule="auto"/>
        <w:rPr>
          <w:rFonts w:ascii="Palatino Linotype" w:hAnsi="Palatino Linotype"/>
          <w:b/>
          <w:color w:val="auto"/>
          <w:sz w:val="24"/>
        </w:rPr>
      </w:pPr>
      <w:bookmarkStart w:id="16" w:name="_Toc23418068"/>
      <w:bookmarkStart w:id="17" w:name="_Toc25251825"/>
      <w:bookmarkStart w:id="18" w:name="_Toc29923834"/>
      <w:bookmarkStart w:id="19" w:name="_Toc32221281"/>
      <w:r w:rsidRPr="00983FBC">
        <w:rPr>
          <w:rFonts w:ascii="Palatino Linotype" w:hAnsi="Palatino Linotype"/>
          <w:b/>
          <w:color w:val="auto"/>
          <w:sz w:val="24"/>
        </w:rPr>
        <w:t>Fuente Obligacional.</w:t>
      </w:r>
      <w:bookmarkEnd w:id="16"/>
      <w:bookmarkEnd w:id="17"/>
      <w:bookmarkEnd w:id="18"/>
      <w:bookmarkEnd w:id="19"/>
      <w:r w:rsidRPr="00983FBC">
        <w:rPr>
          <w:rFonts w:ascii="Palatino Linotype" w:hAnsi="Palatino Linotype"/>
          <w:b/>
          <w:color w:val="auto"/>
          <w:sz w:val="24"/>
        </w:rPr>
        <w:t xml:space="preserve"> </w:t>
      </w:r>
    </w:p>
    <w:p w:rsidR="001C6B98" w:rsidRPr="00983FBC" w:rsidRDefault="001C6B98" w:rsidP="00983FBC">
      <w:pPr>
        <w:spacing w:line="360" w:lineRule="auto"/>
        <w:rPr>
          <w:rFonts w:ascii="Palatino Linotype" w:hAnsi="Palatino Linotype"/>
          <w:lang w:val="es-MX" w:eastAsia="en-US"/>
        </w:rPr>
      </w:pPr>
    </w:p>
    <w:p w:rsidR="001C6B98" w:rsidRDefault="001C6B98" w:rsidP="00983FBC">
      <w:pPr>
        <w:pStyle w:val="Ttulo3"/>
        <w:numPr>
          <w:ilvl w:val="1"/>
          <w:numId w:val="18"/>
        </w:numPr>
        <w:spacing w:before="0" w:line="360" w:lineRule="auto"/>
        <w:rPr>
          <w:rFonts w:ascii="Palatino Linotype" w:hAnsi="Palatino Linotype"/>
          <w:b/>
          <w:color w:val="auto"/>
        </w:rPr>
      </w:pPr>
      <w:bookmarkStart w:id="20" w:name="_Toc23418069"/>
      <w:bookmarkStart w:id="21" w:name="_Toc25251826"/>
      <w:bookmarkStart w:id="22" w:name="_Toc29923835"/>
      <w:bookmarkStart w:id="23" w:name="_Toc32221282"/>
      <w:r w:rsidRPr="00983FBC">
        <w:rPr>
          <w:rFonts w:ascii="Palatino Linotype" w:hAnsi="Palatino Linotype"/>
          <w:b/>
          <w:color w:val="auto"/>
        </w:rPr>
        <w:t>De la obligación de transparencia.</w:t>
      </w:r>
      <w:bookmarkEnd w:id="20"/>
      <w:bookmarkEnd w:id="21"/>
      <w:bookmarkEnd w:id="22"/>
      <w:bookmarkEnd w:id="23"/>
    </w:p>
    <w:p w:rsidR="00983FBC" w:rsidRPr="00983FBC" w:rsidRDefault="00983FBC" w:rsidP="00983FBC"/>
    <w:p w:rsidR="001C6B98" w:rsidRPr="00983FBC" w:rsidRDefault="001C6B98" w:rsidP="00983FBC">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983FB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983FBC" w:rsidRDefault="001C6B98" w:rsidP="00983FBC">
      <w:pPr>
        <w:spacing w:line="360" w:lineRule="auto"/>
        <w:jc w:val="both"/>
        <w:rPr>
          <w:rFonts w:ascii="Palatino Linotype" w:hAnsi="Palatino Linotype" w:cs="Arial"/>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b/>
          <w:i/>
          <w:sz w:val="22"/>
        </w:rPr>
        <w:t>“Artículo 6o.</w:t>
      </w:r>
      <w:r w:rsidRPr="00983FB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83FBC">
        <w:rPr>
          <w:rFonts w:ascii="Palatino Linotype" w:hAnsi="Palatino Linotype" w:cs="Arial"/>
          <w:b/>
          <w:i/>
          <w:sz w:val="22"/>
        </w:rPr>
        <w:t>El derecho a la información será garantizado por el Estado.</w:t>
      </w:r>
      <w:r w:rsidRPr="00983FBC">
        <w:rPr>
          <w:rFonts w:ascii="Palatino Linotype" w:hAnsi="Palatino Linotype" w:cs="Arial"/>
          <w:i/>
          <w:sz w:val="22"/>
        </w:rPr>
        <w:t xml:space="preserve"> </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Para efectos de lo dispuesto en el presente artículo se observará lo siguiente:</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983FBC" w:rsidRDefault="001C6B98" w:rsidP="00983FBC">
      <w:pPr>
        <w:spacing w:line="360" w:lineRule="auto"/>
        <w:ind w:left="567" w:right="567"/>
        <w:jc w:val="both"/>
        <w:rPr>
          <w:rFonts w:ascii="Palatino Linotype" w:hAnsi="Palatino Linotype" w:cs="Arial"/>
          <w:b/>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b/>
          <w:i/>
          <w:sz w:val="22"/>
        </w:rPr>
        <w:t>I. Toda la información en posesión de</w:t>
      </w:r>
      <w:r w:rsidRPr="00983FBC">
        <w:rPr>
          <w:rFonts w:ascii="Palatino Linotype" w:hAnsi="Palatino Linotype" w:cs="Arial"/>
          <w:i/>
          <w:sz w:val="22"/>
        </w:rPr>
        <w:t xml:space="preserve"> </w:t>
      </w:r>
      <w:r w:rsidRPr="00983FBC">
        <w:rPr>
          <w:rFonts w:ascii="Palatino Linotype" w:hAnsi="Palatino Linotype" w:cs="Arial"/>
          <w:b/>
          <w:i/>
          <w:sz w:val="22"/>
        </w:rPr>
        <w:t>cualquier autoridad</w:t>
      </w:r>
      <w:r w:rsidRPr="00983FB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83FBC">
        <w:rPr>
          <w:rFonts w:ascii="Palatino Linotype" w:hAnsi="Palatino Linotype" w:cs="Arial"/>
          <w:b/>
          <w:i/>
          <w:sz w:val="22"/>
        </w:rPr>
        <w:t>es pública</w:t>
      </w:r>
      <w:r w:rsidRPr="00983FB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83FBC">
        <w:rPr>
          <w:rFonts w:ascii="Palatino Linotype" w:hAnsi="Palatino Linotype" w:cs="Arial"/>
          <w:b/>
          <w:i/>
          <w:sz w:val="22"/>
        </w:rPr>
        <w:t>Los sujetos obligados deberán documentar todo acto que derive del ejercicio de sus facultades, competencias o funciones</w:t>
      </w:r>
      <w:r w:rsidRPr="00983FBC">
        <w:rPr>
          <w:rFonts w:ascii="Palatino Linotype" w:hAnsi="Palatino Linotype" w:cs="Arial"/>
          <w:i/>
          <w:sz w:val="22"/>
        </w:rPr>
        <w:t>, la ley determinará los supuestos específicos bajo los cuales procederá la declaración de inexistencia de la información.</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II. La información que se refiere a la vida privada y los datos personales será protegida en los términos y con las excepciones que fijen las leyes.</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rsidR="001C6B98" w:rsidRPr="00983FBC" w:rsidRDefault="001C6B98" w:rsidP="00983FBC">
      <w:pPr>
        <w:spacing w:line="360" w:lineRule="auto"/>
        <w:ind w:left="567" w:right="567"/>
        <w:jc w:val="both"/>
        <w:rPr>
          <w:rFonts w:ascii="Palatino Linotype" w:hAnsi="Palatino Linotype" w:cs="Arial"/>
          <w:b/>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b/>
          <w:i/>
          <w:sz w:val="22"/>
        </w:rPr>
        <w:t>V. Los sujetos obligados deberán preservar sus documentos en archivos administrativos actualizados y publicarán, a través de los medios electrónicos disponibles</w:t>
      </w:r>
      <w:r w:rsidRPr="00983FB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VII. La inobservancia a las disposiciones en materia de acceso a la información pública será sancionada en los términos que dispongan las leyes.</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w:t>
      </w: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La ley establecerá aquella información que se considere reservada o confidencial.”</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(Énfasis añadido)</w:t>
      </w:r>
    </w:p>
    <w:p w:rsidR="001C6B98" w:rsidRPr="00983FBC" w:rsidRDefault="001C6B9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lastRenderedPageBreak/>
        <w:t>Por su parte, la Constitución Política del Estado Libre y Soberano de México, en su artículo 5°, dispone en su parte conducente, lo siguiente:</w:t>
      </w:r>
    </w:p>
    <w:p w:rsidR="001C6B98" w:rsidRPr="00983FBC" w:rsidRDefault="001C6B98" w:rsidP="00983FBC">
      <w:pPr>
        <w:spacing w:line="360" w:lineRule="auto"/>
        <w:ind w:left="709" w:right="757"/>
        <w:jc w:val="both"/>
        <w:rPr>
          <w:rFonts w:ascii="Palatino Linotype" w:hAnsi="Palatino Linotype" w:cs="Arial"/>
        </w:rPr>
      </w:pPr>
    </w:p>
    <w:p w:rsidR="001C6B98" w:rsidRPr="00983FBC" w:rsidRDefault="001C6B98" w:rsidP="00983FBC">
      <w:pPr>
        <w:spacing w:line="360" w:lineRule="auto"/>
        <w:ind w:left="567" w:right="567"/>
        <w:jc w:val="both"/>
        <w:rPr>
          <w:rFonts w:ascii="Palatino Linotype" w:hAnsi="Palatino Linotype" w:cs="Arial"/>
          <w:b/>
          <w:i/>
          <w:sz w:val="22"/>
        </w:rPr>
      </w:pPr>
      <w:r w:rsidRPr="00983FBC">
        <w:rPr>
          <w:rFonts w:ascii="Palatino Linotype" w:hAnsi="Palatino Linotype" w:cs="Arial"/>
          <w:b/>
          <w:i/>
          <w:sz w:val="22"/>
        </w:rPr>
        <w:t xml:space="preserve">“Artículo 5. … </w:t>
      </w: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b/>
          <w:i/>
          <w:sz w:val="22"/>
        </w:rPr>
        <w:t>El derecho a la información será garantizado por el Estado</w:t>
      </w:r>
      <w:r w:rsidRPr="00983FBC">
        <w:rPr>
          <w:rFonts w:ascii="Palatino Linotype" w:hAnsi="Palatino Linotype"/>
          <w:i/>
          <w:sz w:val="22"/>
        </w:rPr>
        <w:t xml:space="preserve">. La ley establecerá las previsiones que permitan asegurar la protección, el respeto y la difusión de este derecho. </w:t>
      </w: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Este derecho se regirá por los principios y bases siguientes:</w:t>
      </w:r>
    </w:p>
    <w:p w:rsidR="001C6B98" w:rsidRPr="00983FBC" w:rsidRDefault="001C6B98" w:rsidP="00983FBC">
      <w:pPr>
        <w:spacing w:line="360" w:lineRule="auto"/>
        <w:ind w:left="567" w:right="567"/>
        <w:jc w:val="both"/>
        <w:rPr>
          <w:rFonts w:ascii="Palatino Linotype" w:hAnsi="Palatino Linotype"/>
          <w:b/>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b/>
          <w:i/>
          <w:sz w:val="22"/>
        </w:rPr>
        <w:t xml:space="preserve">I. Toda la información en posesión </w:t>
      </w:r>
      <w:r w:rsidRPr="00983FB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83FBC">
        <w:rPr>
          <w:rFonts w:ascii="Palatino Linotype" w:hAnsi="Palatino Linotype"/>
          <w:b/>
          <w:i/>
          <w:sz w:val="22"/>
        </w:rPr>
        <w:t>del gobierno y de la administración pública municipal y sus organismos descentralizados</w:t>
      </w:r>
      <w:r w:rsidRPr="00983FB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83FBC">
        <w:rPr>
          <w:rFonts w:ascii="Palatino Linotype" w:hAnsi="Palatino Linotype"/>
          <w:b/>
          <w:i/>
          <w:sz w:val="22"/>
        </w:rPr>
        <w:t>es pública</w:t>
      </w:r>
      <w:r w:rsidRPr="00983FB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983FBC" w:rsidRDefault="001C6B98" w:rsidP="00983FBC">
      <w:pPr>
        <w:spacing w:line="360" w:lineRule="auto"/>
        <w:ind w:left="567" w:right="567"/>
        <w:jc w:val="both"/>
        <w:rPr>
          <w:rFonts w:ascii="Palatino Linotype" w:hAnsi="Palatino Linotype"/>
          <w:b/>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83FBC">
        <w:rPr>
          <w:rFonts w:ascii="Palatino Linotype" w:hAnsi="Palatino Linotype"/>
          <w:i/>
          <w:sz w:val="22"/>
        </w:rPr>
        <w:t xml:space="preserve"> y los indicadores que permitan rendir cuenta del cumplimiento de sus objetivos y los resultados obtenidos.</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rsidR="001C6B98" w:rsidRPr="00983FBC" w:rsidRDefault="001C6B98" w:rsidP="00983FBC">
      <w:pPr>
        <w:spacing w:line="360" w:lineRule="auto"/>
        <w:ind w:left="567" w:right="567"/>
        <w:jc w:val="both"/>
        <w:rPr>
          <w:rFonts w:ascii="Palatino Linotype" w:hAnsi="Palatino Linotype"/>
          <w:sz w:val="22"/>
        </w:rPr>
      </w:pPr>
    </w:p>
    <w:p w:rsidR="001C6B98" w:rsidRPr="00983FBC" w:rsidRDefault="001C6B98" w:rsidP="00983FBC">
      <w:pPr>
        <w:spacing w:line="360" w:lineRule="auto"/>
        <w:ind w:left="567" w:right="567"/>
        <w:jc w:val="both"/>
        <w:rPr>
          <w:rFonts w:ascii="Palatino Linotype" w:hAnsi="Palatino Linotype"/>
          <w:sz w:val="22"/>
        </w:rPr>
      </w:pPr>
      <w:r w:rsidRPr="00983FBC">
        <w:rPr>
          <w:rFonts w:ascii="Palatino Linotype" w:hAnsi="Palatino Linotype"/>
          <w:sz w:val="22"/>
        </w:rPr>
        <w:t>(Énfasis añadido)</w:t>
      </w:r>
    </w:p>
    <w:p w:rsidR="001C6B98" w:rsidRPr="00983FBC" w:rsidRDefault="001C6B98" w:rsidP="00983FBC">
      <w:pPr>
        <w:spacing w:line="360" w:lineRule="auto"/>
        <w:ind w:left="567" w:right="567"/>
        <w:jc w:val="both"/>
        <w:rPr>
          <w:rFonts w:ascii="Palatino Linotype" w:hAnsi="Palatino Linotype"/>
          <w:sz w:val="22"/>
        </w:rPr>
      </w:pPr>
    </w:p>
    <w:p w:rsidR="001C6B98" w:rsidRPr="00983FBC" w:rsidRDefault="001C6B9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983FBC" w:rsidRDefault="001C6B98" w:rsidP="00983FBC">
      <w:pPr>
        <w:spacing w:line="360" w:lineRule="auto"/>
        <w:jc w:val="both"/>
        <w:rPr>
          <w:rFonts w:ascii="Palatino Linotype" w:hAnsi="Palatino Linotype" w:cs="Arial"/>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b/>
          <w:i/>
          <w:sz w:val="22"/>
        </w:rPr>
        <w:t xml:space="preserve">“Artículo 23. Son sujetos obligados a transparentar y permitir el acceso a su información y </w:t>
      </w:r>
      <w:r w:rsidRPr="00983FBC">
        <w:rPr>
          <w:rFonts w:ascii="Palatino Linotype" w:hAnsi="Palatino Linotype"/>
          <w:b/>
          <w:i/>
          <w:sz w:val="22"/>
        </w:rPr>
        <w:t>proteger</w:t>
      </w:r>
      <w:r w:rsidRPr="00983FBC">
        <w:rPr>
          <w:rFonts w:ascii="Palatino Linotype" w:hAnsi="Palatino Linotype" w:cs="Arial"/>
          <w:b/>
          <w:i/>
          <w:sz w:val="22"/>
        </w:rPr>
        <w:t xml:space="preserve"> los datos personales que obren en su poder</w:t>
      </w:r>
      <w:r w:rsidRPr="00983FBC">
        <w:rPr>
          <w:rFonts w:ascii="Palatino Linotype" w:hAnsi="Palatino Linotype" w:cs="Arial"/>
          <w:i/>
          <w:sz w:val="22"/>
        </w:rPr>
        <w:t>:</w:t>
      </w: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w:t>
      </w:r>
    </w:p>
    <w:p w:rsidR="001C6B98" w:rsidRPr="00983FBC" w:rsidRDefault="001C6B98" w:rsidP="00983FBC">
      <w:pPr>
        <w:spacing w:line="360" w:lineRule="auto"/>
        <w:ind w:left="567" w:right="567"/>
        <w:jc w:val="both"/>
        <w:rPr>
          <w:rFonts w:ascii="Palatino Linotype" w:hAnsi="Palatino Linotype" w:cs="Arial"/>
          <w:i/>
          <w:sz w:val="22"/>
        </w:rPr>
      </w:pPr>
    </w:p>
    <w:p w:rsidR="001C6B98" w:rsidRPr="00983FBC" w:rsidRDefault="001C6B98" w:rsidP="00983FBC">
      <w:pPr>
        <w:spacing w:line="360" w:lineRule="auto"/>
        <w:ind w:left="567" w:right="567"/>
        <w:jc w:val="both"/>
        <w:rPr>
          <w:rFonts w:ascii="Palatino Linotype" w:hAnsi="Palatino Linotype" w:cs="Arial"/>
          <w:b/>
          <w:i/>
          <w:sz w:val="22"/>
          <w:szCs w:val="22"/>
        </w:rPr>
      </w:pPr>
      <w:r w:rsidRPr="00983FBC">
        <w:rPr>
          <w:rFonts w:ascii="Palatino Linotype" w:hAnsi="Palatino Linotype" w:cs="Arial"/>
          <w:b/>
          <w:i/>
          <w:sz w:val="22"/>
          <w:szCs w:val="22"/>
        </w:rPr>
        <w:t xml:space="preserve">IV. </w:t>
      </w:r>
      <w:r w:rsidRPr="00983FBC">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i/>
          <w:sz w:val="22"/>
        </w:rPr>
        <w:t>…</w:t>
      </w:r>
    </w:p>
    <w:p w:rsidR="001C6B98" w:rsidRPr="00983FBC" w:rsidRDefault="001C6B98" w:rsidP="00983FBC">
      <w:pPr>
        <w:spacing w:line="360" w:lineRule="auto"/>
        <w:ind w:left="567" w:right="567"/>
        <w:jc w:val="both"/>
        <w:rPr>
          <w:rFonts w:ascii="Palatino Linotype" w:hAnsi="Palatino Linotype"/>
          <w:i/>
          <w:sz w:val="22"/>
        </w:rPr>
      </w:pPr>
    </w:p>
    <w:p w:rsidR="001C6B98" w:rsidRPr="00983FBC" w:rsidRDefault="001C6B98" w:rsidP="00983FBC">
      <w:pPr>
        <w:spacing w:line="360" w:lineRule="auto"/>
        <w:ind w:left="567" w:right="567"/>
        <w:jc w:val="both"/>
        <w:rPr>
          <w:rFonts w:ascii="Palatino Linotype" w:hAnsi="Palatino Linotype"/>
          <w:i/>
          <w:sz w:val="22"/>
        </w:rPr>
      </w:pPr>
      <w:r w:rsidRPr="00983FB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983FBC" w:rsidRDefault="001C6B98" w:rsidP="00983FBC">
      <w:pPr>
        <w:spacing w:line="360" w:lineRule="auto"/>
        <w:ind w:left="567" w:right="567"/>
        <w:jc w:val="both"/>
        <w:rPr>
          <w:rFonts w:ascii="Palatino Linotype" w:hAnsi="Palatino Linotype" w:cs="Arial"/>
          <w:b/>
          <w:i/>
          <w:sz w:val="22"/>
        </w:rPr>
      </w:pPr>
    </w:p>
    <w:p w:rsidR="001C6B98" w:rsidRPr="00983FBC" w:rsidRDefault="001C6B98" w:rsidP="00983FBC">
      <w:pPr>
        <w:spacing w:line="360" w:lineRule="auto"/>
        <w:ind w:left="567" w:right="567"/>
        <w:jc w:val="both"/>
        <w:rPr>
          <w:rFonts w:ascii="Palatino Linotype" w:hAnsi="Palatino Linotype" w:cs="Arial"/>
          <w:i/>
          <w:sz w:val="22"/>
        </w:rPr>
      </w:pPr>
      <w:r w:rsidRPr="00983FBC">
        <w:rPr>
          <w:rFonts w:ascii="Palatino Linotype" w:hAnsi="Palatino Linotype" w:cs="Arial"/>
          <w:b/>
          <w:i/>
          <w:sz w:val="22"/>
        </w:rPr>
        <w:t>Los servidores públicos deberán transparentar sus acciones así como garantizar y respetar el derecho de acceso a la información pública.”</w:t>
      </w:r>
    </w:p>
    <w:p w:rsidR="001C6B98" w:rsidRPr="00983FBC" w:rsidRDefault="001C6B98" w:rsidP="00983FBC">
      <w:pPr>
        <w:spacing w:line="360" w:lineRule="auto"/>
        <w:ind w:left="567" w:right="567"/>
        <w:jc w:val="both"/>
        <w:rPr>
          <w:rFonts w:ascii="Palatino Linotype" w:hAnsi="Palatino Linotype" w:cs="Arial"/>
          <w:sz w:val="22"/>
        </w:rPr>
      </w:pPr>
    </w:p>
    <w:p w:rsidR="001C6B98" w:rsidRPr="00983FBC" w:rsidRDefault="001C6B98" w:rsidP="00983FBC">
      <w:pPr>
        <w:spacing w:line="360" w:lineRule="auto"/>
        <w:ind w:left="567" w:right="567"/>
        <w:jc w:val="both"/>
        <w:rPr>
          <w:rFonts w:ascii="Palatino Linotype" w:hAnsi="Palatino Linotype" w:cs="Arial"/>
          <w:sz w:val="22"/>
        </w:rPr>
      </w:pPr>
      <w:r w:rsidRPr="00983FBC">
        <w:rPr>
          <w:rFonts w:ascii="Palatino Linotype" w:hAnsi="Palatino Linotype" w:cs="Arial"/>
          <w:sz w:val="22"/>
        </w:rPr>
        <w:t>(Énfasis añadido)</w:t>
      </w:r>
    </w:p>
    <w:p w:rsidR="001C6B98" w:rsidRPr="00983FBC" w:rsidRDefault="001C6B9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983FBC" w:rsidRDefault="001C6B98" w:rsidP="00983FBC">
      <w:pPr>
        <w:pStyle w:val="Prrafodelista"/>
        <w:spacing w:line="360" w:lineRule="auto"/>
        <w:ind w:left="0"/>
        <w:jc w:val="both"/>
        <w:rPr>
          <w:rFonts w:ascii="Palatino Linotype" w:hAnsi="Palatino Linotype" w:cs="Arial"/>
        </w:rPr>
      </w:pPr>
    </w:p>
    <w:p w:rsidR="001C6B98" w:rsidRPr="00983FBC" w:rsidRDefault="001C6B9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Por lo anterior, es de referir que,</w:t>
      </w:r>
      <w:r w:rsidRPr="00983FBC">
        <w:rPr>
          <w:rFonts w:ascii="Palatino Linotype" w:hAnsi="Palatino Linotype" w:cs="Arial"/>
          <w:b/>
        </w:rPr>
        <w:t xml:space="preserve"> el Ayuntamiento de </w:t>
      </w:r>
      <w:r w:rsidR="00012ABB" w:rsidRPr="00983FBC">
        <w:rPr>
          <w:rFonts w:ascii="Palatino Linotype" w:hAnsi="Palatino Linotype" w:cs="Arial"/>
          <w:b/>
        </w:rPr>
        <w:t>Tejupilco</w:t>
      </w:r>
      <w:r w:rsidRPr="00983FBC">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5C46E9" w:rsidRPr="00983FBC" w:rsidRDefault="005C46E9" w:rsidP="00983FBC">
      <w:pPr>
        <w:spacing w:line="360" w:lineRule="auto"/>
        <w:rPr>
          <w:rFonts w:ascii="Palatino Linotype" w:hAnsi="Palatino Linotype" w:cs="Arial"/>
        </w:rPr>
      </w:pPr>
    </w:p>
    <w:p w:rsidR="005C46E9" w:rsidRPr="00983FBC" w:rsidRDefault="005C46E9" w:rsidP="00983FBC">
      <w:pPr>
        <w:pStyle w:val="Ttulo3"/>
        <w:spacing w:before="0" w:line="360" w:lineRule="auto"/>
        <w:ind w:left="720"/>
        <w:rPr>
          <w:rFonts w:ascii="Palatino Linotype" w:hAnsi="Palatino Linotype"/>
          <w:b/>
          <w:color w:val="auto"/>
        </w:rPr>
      </w:pPr>
      <w:bookmarkStart w:id="24" w:name="_Toc20414295"/>
      <w:bookmarkStart w:id="25" w:name="_Toc32221283"/>
      <w:r w:rsidRPr="00983FBC">
        <w:rPr>
          <w:rFonts w:ascii="Palatino Linotype" w:hAnsi="Palatino Linotype"/>
          <w:b/>
          <w:color w:val="auto"/>
        </w:rPr>
        <w:t>II. De las facturas.</w:t>
      </w:r>
      <w:bookmarkEnd w:id="24"/>
      <w:bookmarkEnd w:id="25"/>
    </w:p>
    <w:p w:rsidR="005C46E9" w:rsidRPr="00983FBC" w:rsidRDefault="005C46E9" w:rsidP="00983FBC">
      <w:pPr>
        <w:pStyle w:val="Prrafodelista"/>
        <w:spacing w:line="360" w:lineRule="auto"/>
        <w:ind w:left="0"/>
        <w:rPr>
          <w:rFonts w:ascii="Palatino Linotype" w:hAnsi="Palatino Linotype"/>
          <w:lang w:val="es-MX" w:eastAsia="en-US"/>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lang w:val="es-MX" w:eastAsia="en-US"/>
        </w:rPr>
      </w:pPr>
      <w:r w:rsidRPr="00983FBC">
        <w:rPr>
          <w:rFonts w:ascii="Palatino Linotype" w:hAnsi="Palatino Linotype"/>
          <w:lang w:val="es-MX" w:eastAsia="en-US"/>
        </w:rPr>
        <w:t>La materia elemental de los recursos de revisión se basa en las facturas de los gastos realizados, por lo anterior, es necesario referir que, la Tesorería Municipal es el área encargada de realizar las erogaciones que requiera el Ayuntamiento. Debemos</w:t>
      </w:r>
      <w:r w:rsidRPr="00983FBC">
        <w:rPr>
          <w:rFonts w:ascii="Palatino Linotype" w:hAnsi="Palatino Linotype" w:cs="Arial"/>
        </w:rPr>
        <w:t xml:space="preserve"> primeramente conocer a que nos referimos por </w:t>
      </w:r>
      <w:r w:rsidRPr="00983FBC">
        <w:rPr>
          <w:rFonts w:ascii="Palatino Linotype" w:hAnsi="Palatino Linotype" w:cs="Arial"/>
          <w:b/>
        </w:rPr>
        <w:t xml:space="preserve">“factura” y, </w:t>
      </w:r>
      <w:r w:rsidRPr="00983FBC">
        <w:rPr>
          <w:rFonts w:ascii="Palatino Linotype" w:hAnsi="Palatino Linotype" w:cs="Arial"/>
        </w:rPr>
        <w:t>al respecto, nos referiremos a éste concepto aunque sea sucintamente de acuerdo a lo que dispone e</w:t>
      </w:r>
      <w:r w:rsidRPr="00983FBC">
        <w:rPr>
          <w:rFonts w:ascii="Palatino Linotype" w:hAnsi="Palatino Linotype"/>
        </w:rPr>
        <w:t>l Glosario de Términos Hacendarios que emite el Instituto Hacendario del Estado de México, mismo que expresa lo siguiente:</w:t>
      </w:r>
    </w:p>
    <w:p w:rsidR="00983FBC" w:rsidRPr="00983FBC" w:rsidRDefault="00983FBC" w:rsidP="00983FBC">
      <w:pPr>
        <w:pStyle w:val="Prrafodelista"/>
        <w:spacing w:line="360" w:lineRule="auto"/>
        <w:ind w:left="0"/>
        <w:jc w:val="both"/>
        <w:rPr>
          <w:rFonts w:ascii="Palatino Linotype" w:hAnsi="Palatino Linotype"/>
          <w:lang w:val="es-MX" w:eastAsia="en-US"/>
        </w:rPr>
      </w:pPr>
    </w:p>
    <w:p w:rsidR="005C46E9" w:rsidRPr="00983FBC" w:rsidRDefault="005C46E9" w:rsidP="00983FBC">
      <w:pPr>
        <w:autoSpaceDE w:val="0"/>
        <w:autoSpaceDN w:val="0"/>
        <w:adjustRightInd w:val="0"/>
        <w:spacing w:line="360" w:lineRule="auto"/>
        <w:ind w:left="851" w:right="902"/>
        <w:jc w:val="both"/>
        <w:rPr>
          <w:rFonts w:ascii="Palatino Linotype" w:hAnsi="Palatino Linotype" w:cs="Arial"/>
          <w:b/>
          <w:i/>
        </w:rPr>
      </w:pPr>
      <w:r w:rsidRPr="00983FBC">
        <w:rPr>
          <w:rFonts w:ascii="Palatino Linotype" w:hAnsi="Palatino Linotype" w:cs="Arial"/>
          <w:i/>
        </w:rPr>
        <w:t>“</w:t>
      </w:r>
      <w:r w:rsidRPr="00983FBC">
        <w:rPr>
          <w:rFonts w:ascii="Palatino Linotype" w:hAnsi="Palatino Linotype" w:cs="Arial"/>
          <w:b/>
          <w:i/>
        </w:rPr>
        <w:t>FACTURA</w:t>
      </w:r>
    </w:p>
    <w:p w:rsidR="005C46E9" w:rsidRPr="00983FBC" w:rsidRDefault="005C46E9" w:rsidP="00983FBC">
      <w:pPr>
        <w:autoSpaceDE w:val="0"/>
        <w:autoSpaceDN w:val="0"/>
        <w:adjustRightInd w:val="0"/>
        <w:spacing w:line="360" w:lineRule="auto"/>
        <w:ind w:left="851" w:right="902"/>
        <w:jc w:val="both"/>
        <w:rPr>
          <w:rFonts w:ascii="Palatino Linotype" w:hAnsi="Palatino Linotype" w:cs="Arial"/>
          <w:i/>
        </w:rPr>
      </w:pPr>
      <w:r w:rsidRPr="00983FBC">
        <w:rPr>
          <w:rFonts w:ascii="Palatino Linotype" w:hAnsi="Palatino Linotype" w:cs="Arial"/>
          <w:i/>
        </w:rPr>
        <w:t>Es el documento fiscal que emite la persona física o moral para comprobar la venta o adquisición de un bien y/o servicio.” (Sic)</w:t>
      </w: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lastRenderedPageBreak/>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5C46E9" w:rsidRPr="00983FBC" w:rsidRDefault="005C46E9" w:rsidP="00983FBC">
      <w:pPr>
        <w:pStyle w:val="Prrafodelista"/>
        <w:spacing w:line="360" w:lineRule="auto"/>
        <w:ind w:left="0"/>
        <w:jc w:val="both"/>
        <w:rPr>
          <w:rFonts w:ascii="Palatino Linotype" w:hAnsi="Palatino Linotype" w:cs="Arial"/>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983FBC">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5C46E9" w:rsidRPr="00983FBC" w:rsidRDefault="005C46E9" w:rsidP="00983FBC">
      <w:pPr>
        <w:pStyle w:val="Prrafodelista"/>
        <w:spacing w:line="360" w:lineRule="auto"/>
        <w:rPr>
          <w:rFonts w:ascii="Palatino Linotype" w:hAnsi="Palatino Linotype" w:cs="Arial"/>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color w:val="000000"/>
        </w:rPr>
        <w:t>Asimismo, señala que todos los pagos se harán mediante orden escrita en la que se expresará la partida del presupuesto a cargo de la cual se realizan.</w:t>
      </w:r>
    </w:p>
    <w:p w:rsidR="005C46E9" w:rsidRPr="00983FBC" w:rsidRDefault="005C46E9" w:rsidP="00983FBC">
      <w:pPr>
        <w:pStyle w:val="Prrafodelista"/>
        <w:spacing w:line="360" w:lineRule="auto"/>
        <w:rPr>
          <w:rFonts w:ascii="Palatino Linotype" w:hAnsi="Palatino Linotype" w:cs="Arial"/>
        </w:rPr>
      </w:pPr>
    </w:p>
    <w:p w:rsidR="005C46E9" w:rsidRPr="00983FBC" w:rsidRDefault="005C46E9" w:rsidP="00983FBC">
      <w:pPr>
        <w:pStyle w:val="Prrafodelista"/>
        <w:numPr>
          <w:ilvl w:val="0"/>
          <w:numId w:val="18"/>
        </w:numPr>
        <w:spacing w:line="360" w:lineRule="auto"/>
        <w:ind w:left="0" w:right="49" w:firstLine="0"/>
        <w:jc w:val="both"/>
        <w:rPr>
          <w:rFonts w:ascii="Palatino Linotype" w:hAnsi="Palatino Linotype" w:cs="Arial"/>
        </w:rPr>
      </w:pPr>
      <w:r w:rsidRPr="00983FBC">
        <w:rPr>
          <w:rFonts w:ascii="Palatino Linotype" w:hAnsi="Palatino Linotype" w:cs="Arial"/>
        </w:rPr>
        <w:t>Como se ha dicho anteriormente</w:t>
      </w:r>
      <w:r w:rsidRPr="00983FBC">
        <w:rPr>
          <w:rFonts w:ascii="Palatino Linotype" w:hAnsi="Palatino Linotype" w:cs="Arial"/>
          <w:b/>
        </w:rPr>
        <w:t>, es atribución del Tesorero Municipal la de llevar los registros contables, financieros y administrativos de los ingresos, egresos e inventarios</w:t>
      </w:r>
      <w:r w:rsidRPr="00983FBC">
        <w:rPr>
          <w:rFonts w:ascii="Palatino Linotype" w:hAnsi="Palatino Linotype" w:cs="Arial"/>
        </w:rPr>
        <w:t>.</w:t>
      </w:r>
    </w:p>
    <w:p w:rsidR="005C46E9" w:rsidRPr="00983FBC" w:rsidRDefault="005C46E9" w:rsidP="00983FBC">
      <w:pPr>
        <w:pStyle w:val="Prrafodelista"/>
        <w:spacing w:line="360" w:lineRule="auto"/>
        <w:ind w:left="0" w:right="49"/>
        <w:jc w:val="both"/>
        <w:rPr>
          <w:rFonts w:ascii="Palatino Linotype" w:hAnsi="Palatino Linotype" w:cs="Arial"/>
        </w:rPr>
      </w:pPr>
    </w:p>
    <w:p w:rsidR="005C46E9" w:rsidRPr="00983FBC" w:rsidRDefault="005C46E9" w:rsidP="00983FBC">
      <w:pPr>
        <w:pStyle w:val="Prrafodelista"/>
        <w:numPr>
          <w:ilvl w:val="0"/>
          <w:numId w:val="18"/>
        </w:numPr>
        <w:spacing w:line="360" w:lineRule="auto"/>
        <w:ind w:left="0" w:right="49" w:firstLine="0"/>
        <w:jc w:val="both"/>
        <w:rPr>
          <w:rFonts w:ascii="Palatino Linotype" w:hAnsi="Palatino Linotype" w:cs="Arial"/>
        </w:rPr>
      </w:pPr>
      <w:r w:rsidRPr="00983FBC">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5C46E9" w:rsidRPr="00983FBC" w:rsidRDefault="005C46E9" w:rsidP="00983FBC">
      <w:pPr>
        <w:spacing w:line="360" w:lineRule="auto"/>
        <w:ind w:left="851" w:right="850"/>
        <w:jc w:val="both"/>
        <w:rPr>
          <w:rFonts w:ascii="Palatino Linotype" w:hAnsi="Palatino Linotype"/>
          <w:b/>
          <w:i/>
        </w:rPr>
      </w:pPr>
      <w:r w:rsidRPr="00983FBC">
        <w:rPr>
          <w:rFonts w:ascii="Palatino Linotype" w:hAnsi="Palatino Linotype" w:cs="Arial"/>
          <w:bCs/>
          <w:i/>
          <w:color w:val="000000"/>
        </w:rPr>
        <w:lastRenderedPageBreak/>
        <w:t>“</w:t>
      </w:r>
      <w:r w:rsidRPr="00983FBC">
        <w:rPr>
          <w:rFonts w:ascii="Palatino Linotype" w:hAnsi="Palatino Linotype"/>
          <w:b/>
          <w:i/>
        </w:rPr>
        <w:t>Artículo 342.-</w:t>
      </w:r>
      <w:r w:rsidRPr="00983FBC">
        <w:rPr>
          <w:rFonts w:ascii="Palatino Linotype" w:hAnsi="Palatino Linotype"/>
          <w:i/>
        </w:rPr>
        <w:t xml:space="preserve"> </w:t>
      </w:r>
      <w:r w:rsidRPr="00983FBC">
        <w:rPr>
          <w:rFonts w:ascii="Palatino Linotype" w:hAnsi="Palatino Linotype"/>
          <w:b/>
          <w:i/>
          <w:u w:val="single"/>
        </w:rPr>
        <w:t xml:space="preserve">El registro contable del efecto patrimonial y presupuestal de las operaciones financieras, se realizará conforme al sistema y a las disposiciones que se aprueben en materia </w:t>
      </w:r>
      <w:r w:rsidRPr="00983FBC">
        <w:rPr>
          <w:rFonts w:ascii="Palatino Linotype" w:hAnsi="Palatino Linotype"/>
          <w:i/>
        </w:rPr>
        <w:t xml:space="preserve">de </w:t>
      </w:r>
      <w:r w:rsidRPr="00983FBC">
        <w:rPr>
          <w:rFonts w:ascii="Palatino Linotype" w:hAnsi="Palatino Linotype" w:cs="Arial"/>
          <w:i/>
          <w:color w:val="000000"/>
        </w:rPr>
        <w:t>planeación</w:t>
      </w:r>
      <w:r w:rsidRPr="00983FBC">
        <w:rPr>
          <w:rFonts w:ascii="Palatino Linotype" w:hAnsi="Palatino Linotype"/>
          <w:i/>
        </w:rPr>
        <w:t>,</w:t>
      </w:r>
      <w:r w:rsidRPr="00983FBC">
        <w:rPr>
          <w:rFonts w:ascii="Palatino Linotype" w:hAnsi="Palatino Linotype"/>
          <w:b/>
          <w:i/>
        </w:rPr>
        <w:t xml:space="preserve"> programación, </w:t>
      </w:r>
      <w:proofErr w:type="spellStart"/>
      <w:r w:rsidRPr="00983FBC">
        <w:rPr>
          <w:rFonts w:ascii="Palatino Linotype" w:hAnsi="Palatino Linotype"/>
          <w:b/>
          <w:i/>
        </w:rPr>
        <w:t>p</w:t>
      </w:r>
      <w:r w:rsidRPr="00983FBC">
        <w:rPr>
          <w:rFonts w:ascii="Palatino Linotype" w:hAnsi="Palatino Linotype"/>
          <w:b/>
          <w:i/>
          <w:u w:val="single"/>
        </w:rPr>
        <w:t>resupuestación</w:t>
      </w:r>
      <w:proofErr w:type="spellEnd"/>
      <w:r w:rsidRPr="00983FBC">
        <w:rPr>
          <w:rFonts w:ascii="Palatino Linotype" w:hAnsi="Palatino Linotype"/>
          <w:i/>
        </w:rPr>
        <w:t xml:space="preserve">, evaluación y </w:t>
      </w:r>
      <w:r w:rsidRPr="00983FBC">
        <w:rPr>
          <w:rFonts w:ascii="Palatino Linotype" w:hAnsi="Palatino Linotype" w:cs="Arial"/>
          <w:b/>
          <w:i/>
          <w:color w:val="000000"/>
        </w:rPr>
        <w:t>contabilidad</w:t>
      </w:r>
      <w:r w:rsidRPr="00983FBC">
        <w:rPr>
          <w:rFonts w:ascii="Palatino Linotype" w:hAnsi="Palatino Linotype"/>
          <w:b/>
          <w:i/>
        </w:rPr>
        <w:t xml:space="preserve"> gubernamental.</w:t>
      </w:r>
      <w:r w:rsidRPr="00983FBC">
        <w:rPr>
          <w:rFonts w:ascii="Palatino Linotype" w:hAnsi="Palatino Linotype"/>
          <w:i/>
        </w:rPr>
        <w:t xml:space="preserve"> </w:t>
      </w:r>
    </w:p>
    <w:p w:rsidR="005C46E9" w:rsidRPr="00983FBC" w:rsidRDefault="005C46E9" w:rsidP="00983FBC">
      <w:pPr>
        <w:spacing w:line="360" w:lineRule="auto"/>
        <w:ind w:left="851" w:right="850"/>
        <w:jc w:val="both"/>
        <w:rPr>
          <w:rFonts w:ascii="Palatino Linotype" w:hAnsi="Palatino Linotype"/>
          <w:b/>
          <w:i/>
        </w:rPr>
      </w:pPr>
      <w:r w:rsidRPr="00983FBC">
        <w:rPr>
          <w:rFonts w:ascii="Palatino Linotype" w:hAnsi="Palatino Linotype" w:cs="Arial"/>
          <w:b/>
          <w:bCs/>
          <w:i/>
          <w:color w:val="000000"/>
        </w:rPr>
        <w:t>…</w:t>
      </w:r>
    </w:p>
    <w:p w:rsidR="005C46E9" w:rsidRPr="00983FBC" w:rsidRDefault="005C46E9" w:rsidP="00983FBC">
      <w:pPr>
        <w:spacing w:line="360" w:lineRule="auto"/>
        <w:ind w:left="851" w:right="850"/>
        <w:jc w:val="both"/>
        <w:rPr>
          <w:rFonts w:ascii="Palatino Linotype" w:hAnsi="Palatino Linotype"/>
          <w:i/>
        </w:rPr>
      </w:pPr>
      <w:r w:rsidRPr="00983FBC">
        <w:rPr>
          <w:rFonts w:ascii="Palatino Linotype" w:hAnsi="Palatino Linotype"/>
          <w:b/>
          <w:i/>
        </w:rPr>
        <w:t>Artículo 343.-</w:t>
      </w:r>
      <w:r w:rsidRPr="00983FBC">
        <w:rPr>
          <w:rFonts w:ascii="Palatino Linotype" w:hAnsi="Palatino Linotype"/>
          <w:i/>
        </w:rPr>
        <w:t xml:space="preserve"> El </w:t>
      </w:r>
      <w:r w:rsidRPr="00983FBC">
        <w:rPr>
          <w:rFonts w:ascii="Palatino Linotype" w:hAnsi="Palatino Linotype"/>
          <w:i/>
          <w:u w:val="single"/>
        </w:rPr>
        <w:t xml:space="preserve">sistema de contabilidad debe diseñarse sobre base acumulativa total y operarse en forma que facilite la fiscalización de los activos, pasivos, ingresos, egresos y, en general, </w:t>
      </w:r>
      <w:r w:rsidRPr="00983FBC">
        <w:rPr>
          <w:rFonts w:ascii="Palatino Linotype" w:hAnsi="Palatino Linotype"/>
          <w:i/>
        </w:rPr>
        <w:t xml:space="preserve">que posibilite medir la eficacia del gasto público, y contener las medidas de control interno que permitan verificar el registro de la totalidad de las operaciones financieras. </w:t>
      </w:r>
    </w:p>
    <w:p w:rsidR="005C46E9" w:rsidRPr="00983FBC" w:rsidRDefault="005C46E9" w:rsidP="00983FBC">
      <w:pPr>
        <w:spacing w:line="360" w:lineRule="auto"/>
        <w:ind w:left="851" w:right="850"/>
        <w:jc w:val="both"/>
        <w:rPr>
          <w:rFonts w:ascii="Palatino Linotype" w:hAnsi="Palatino Linotype"/>
          <w:i/>
        </w:rPr>
      </w:pPr>
      <w:r w:rsidRPr="00983FBC">
        <w:rPr>
          <w:rFonts w:ascii="Palatino Linotype" w:hAnsi="Palatino Linotype"/>
          <w:i/>
        </w:rPr>
        <w:t xml:space="preserve">El sistema de contabilidad sobre base acumulativa total se sustentará en los postulados básicos y el marco conceptual de la contabilidad gubernamental. </w:t>
      </w:r>
    </w:p>
    <w:p w:rsidR="005C46E9" w:rsidRPr="00983FBC" w:rsidRDefault="005C46E9" w:rsidP="00983FBC">
      <w:pPr>
        <w:spacing w:line="360" w:lineRule="auto"/>
        <w:ind w:left="851" w:right="850"/>
        <w:jc w:val="both"/>
        <w:rPr>
          <w:rFonts w:ascii="Palatino Linotype" w:hAnsi="Palatino Linotype"/>
          <w:i/>
        </w:rPr>
      </w:pPr>
      <w:r w:rsidRPr="00983FBC">
        <w:rPr>
          <w:rFonts w:ascii="Palatino Linotype" w:hAnsi="Palatino Linotype"/>
          <w:b/>
          <w:i/>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83FBC">
        <w:rPr>
          <w:rFonts w:ascii="Palatino Linotype" w:hAnsi="Palatino Linotype"/>
          <w:i/>
          <w:u w:val="single"/>
        </w:rPr>
        <w:t>en el caso de los Municipios se hará por la Tesorería</w:t>
      </w:r>
      <w:r w:rsidRPr="00983FBC">
        <w:rPr>
          <w:rFonts w:ascii="Palatino Linotype" w:hAnsi="Palatino Linotype"/>
          <w:i/>
        </w:rPr>
        <w:t xml:space="preserve">. </w:t>
      </w:r>
    </w:p>
    <w:p w:rsidR="005C46E9" w:rsidRPr="00983FBC" w:rsidRDefault="005C46E9" w:rsidP="00983FBC">
      <w:pPr>
        <w:autoSpaceDE w:val="0"/>
        <w:autoSpaceDN w:val="0"/>
        <w:adjustRightInd w:val="0"/>
        <w:spacing w:line="360" w:lineRule="auto"/>
        <w:ind w:left="851" w:right="51"/>
        <w:jc w:val="both"/>
        <w:rPr>
          <w:rFonts w:ascii="Palatino Linotype" w:hAnsi="Palatino Linotype"/>
          <w:i/>
        </w:rPr>
      </w:pPr>
      <w:r w:rsidRPr="00983FBC">
        <w:rPr>
          <w:rFonts w:ascii="Palatino Linotype" w:hAnsi="Palatino Linotype"/>
          <w:i/>
        </w:rPr>
        <w:t xml:space="preserve">Derogado. </w:t>
      </w:r>
    </w:p>
    <w:p w:rsidR="005C46E9" w:rsidRPr="00983FBC" w:rsidRDefault="005C46E9" w:rsidP="00983FBC">
      <w:pPr>
        <w:spacing w:line="360" w:lineRule="auto"/>
        <w:ind w:left="851" w:right="850"/>
        <w:jc w:val="both"/>
        <w:rPr>
          <w:rFonts w:ascii="Palatino Linotype" w:hAnsi="Palatino Linotype"/>
          <w:i/>
        </w:rPr>
      </w:pPr>
      <w:r w:rsidRPr="00983FBC">
        <w:rPr>
          <w:rFonts w:ascii="Palatino Linotype" w:hAnsi="Palatino Linotype"/>
          <w:b/>
          <w:i/>
          <w:u w:val="single"/>
        </w:rPr>
        <w:t xml:space="preserve">Todo registro contable y presupuestal deberá estar soportado con los documentos comprobatorios originales, los que deberán permanecer en custodia y conservación de las dependencias, entidades públicas y unidades administrativas que ejercieron el </w:t>
      </w:r>
      <w:r w:rsidRPr="00983FBC">
        <w:rPr>
          <w:rFonts w:ascii="Palatino Linotype" w:hAnsi="Palatino Linotype"/>
          <w:b/>
          <w:i/>
          <w:u w:val="single"/>
        </w:rPr>
        <w:lastRenderedPageBreak/>
        <w:t>gasto, y a disposición del Órgano Superior de Fiscalización del Estado de México y de los órganos de control interno, por un término de cinco años contados</w:t>
      </w:r>
      <w:r w:rsidRPr="00983FBC">
        <w:rPr>
          <w:rFonts w:ascii="Palatino Linotype" w:hAnsi="Palatino Linotype"/>
          <w:i/>
        </w:rPr>
        <w:t xml:space="preserve"> a partir del ejercicio presupuestal siguiente al que corresponda, en el caso de los municipios se hará por la Tesorería. </w:t>
      </w:r>
    </w:p>
    <w:p w:rsidR="005C46E9" w:rsidRPr="00983FBC" w:rsidRDefault="005C46E9" w:rsidP="00983FBC">
      <w:pPr>
        <w:autoSpaceDE w:val="0"/>
        <w:autoSpaceDN w:val="0"/>
        <w:adjustRightInd w:val="0"/>
        <w:spacing w:line="360" w:lineRule="auto"/>
        <w:ind w:left="851" w:right="51"/>
        <w:jc w:val="both"/>
        <w:rPr>
          <w:rFonts w:ascii="Palatino Linotype" w:hAnsi="Palatino Linotype"/>
          <w:i/>
        </w:rPr>
      </w:pPr>
      <w:r w:rsidRPr="00983FBC">
        <w:rPr>
          <w:rFonts w:ascii="Palatino Linotype" w:hAnsi="Palatino Linotype"/>
          <w:i/>
        </w:rPr>
        <w:t>…</w:t>
      </w:r>
    </w:p>
    <w:p w:rsidR="005C46E9" w:rsidRPr="00983FBC" w:rsidRDefault="005C46E9" w:rsidP="00983FBC">
      <w:pPr>
        <w:spacing w:line="360" w:lineRule="auto"/>
        <w:ind w:left="851" w:right="850"/>
        <w:jc w:val="both"/>
        <w:rPr>
          <w:rFonts w:ascii="Palatino Linotype" w:hAnsi="Palatino Linotype"/>
          <w:i/>
        </w:rPr>
      </w:pPr>
      <w:r w:rsidRPr="00983FBC">
        <w:rPr>
          <w:rFonts w:ascii="Palatino Linotype" w:hAnsi="Palatino Linotype"/>
          <w:b/>
          <w:i/>
        </w:rPr>
        <w:t>Artículo 345.-</w:t>
      </w:r>
      <w:r w:rsidRPr="00983FBC">
        <w:rPr>
          <w:rFonts w:ascii="Palatino Linotype" w:hAnsi="Palatino Linotype"/>
          <w:i/>
        </w:rPr>
        <w:t xml:space="preserve"> </w:t>
      </w:r>
      <w:r w:rsidRPr="00983FBC">
        <w:rPr>
          <w:rFonts w:ascii="Palatino Linotype" w:hAnsi="Palatino Linotype"/>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983FBC">
        <w:rPr>
          <w:rFonts w:ascii="Palatino Linotype" w:hAnsi="Palatino Linotype"/>
          <w:i/>
        </w:rPr>
        <w:t xml:space="preserve">, la remitirán en un plazo que no excederá de seis meses al Archivo Contable Gubernamental. </w:t>
      </w:r>
      <w:r w:rsidRPr="00983FBC">
        <w:rPr>
          <w:rFonts w:ascii="Palatino Linotype" w:hAnsi="Palatino Linotype"/>
          <w:b/>
          <w:i/>
          <w:u w:val="single"/>
        </w:rPr>
        <w:t>Tratándose de los comprobantes fiscales digitales, estos deberán estar agregados en forma electrónica en cada póliza de registro contable</w:t>
      </w:r>
      <w:r w:rsidRPr="00983FBC">
        <w:rPr>
          <w:rFonts w:ascii="Palatino Linotype" w:hAnsi="Palatino Linotype"/>
          <w:i/>
        </w:rPr>
        <w:t xml:space="preserve">. </w:t>
      </w:r>
    </w:p>
    <w:p w:rsidR="005C46E9" w:rsidRPr="00983FBC" w:rsidRDefault="005C46E9" w:rsidP="00983FBC">
      <w:pPr>
        <w:spacing w:line="360" w:lineRule="auto"/>
        <w:ind w:left="851" w:right="850"/>
        <w:jc w:val="both"/>
        <w:rPr>
          <w:rFonts w:ascii="Palatino Linotype" w:hAnsi="Palatino Linotype" w:cs="Arial"/>
          <w:bCs/>
          <w:i/>
          <w:color w:val="000000"/>
        </w:rPr>
      </w:pPr>
      <w:r w:rsidRPr="00983FBC">
        <w:rPr>
          <w:rFonts w:ascii="Palatino Linotype" w:hAnsi="Palatino Linotype"/>
          <w:i/>
        </w:rPr>
        <w:t>El plazo señalado en el párrafo anterior, empezará a contar a partir de la publicación en el Periódico Oficial, del decreto correspondiente.</w:t>
      </w:r>
      <w:r w:rsidRPr="00983FBC">
        <w:rPr>
          <w:rFonts w:ascii="Palatino Linotype" w:hAnsi="Palatino Linotype" w:cs="Arial"/>
          <w:bCs/>
          <w:i/>
          <w:color w:val="000000"/>
        </w:rPr>
        <w:t xml:space="preserve"> “</w:t>
      </w:r>
      <w:r w:rsidRPr="00983FBC">
        <w:rPr>
          <w:rFonts w:ascii="Palatino Linotype" w:hAnsi="Palatino Linotype" w:cs="Arial"/>
          <w:i/>
        </w:rPr>
        <w:t>(Sic)</w:t>
      </w:r>
      <w:r w:rsidRPr="00983FBC">
        <w:rPr>
          <w:rFonts w:ascii="Palatino Linotype" w:hAnsi="Palatino Linotype" w:cs="Arial"/>
          <w:bCs/>
          <w:i/>
          <w:color w:val="000000"/>
        </w:rPr>
        <w:t xml:space="preserve"> </w:t>
      </w:r>
    </w:p>
    <w:p w:rsidR="005C46E9" w:rsidRDefault="005C46E9" w:rsidP="00983FBC">
      <w:pPr>
        <w:spacing w:line="360" w:lineRule="auto"/>
        <w:ind w:left="851" w:right="850"/>
        <w:jc w:val="both"/>
        <w:rPr>
          <w:rFonts w:ascii="Palatino Linotype" w:hAnsi="Palatino Linotype" w:cs="Arial"/>
          <w:bCs/>
          <w:i/>
          <w:color w:val="000000"/>
        </w:rPr>
      </w:pPr>
      <w:r w:rsidRPr="00983FBC">
        <w:rPr>
          <w:rFonts w:ascii="Palatino Linotype" w:hAnsi="Palatino Linotype" w:cs="Arial"/>
          <w:bCs/>
          <w:i/>
          <w:color w:val="000000"/>
        </w:rPr>
        <w:t>(Énfasis añadido)</w:t>
      </w:r>
    </w:p>
    <w:p w:rsidR="00983FBC" w:rsidRPr="00983FBC" w:rsidRDefault="00983FBC" w:rsidP="00983FBC">
      <w:pPr>
        <w:spacing w:line="360" w:lineRule="auto"/>
        <w:ind w:left="851" w:right="850"/>
        <w:jc w:val="both"/>
        <w:rPr>
          <w:rFonts w:ascii="Palatino Linotype" w:hAnsi="Palatino Linotype" w:cs="Arial"/>
          <w:bCs/>
          <w:i/>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rPr>
        <w:t>De una interpretación sistemática de los artículos transcritos, se desprende primeramente que el</w:t>
      </w:r>
      <w:r w:rsidRPr="00983FBC">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983FBC">
        <w:rPr>
          <w:rFonts w:ascii="Palatino Linotype" w:hAnsi="Palatino Linotype" w:cs="Arial"/>
          <w:bCs/>
          <w:color w:val="000000"/>
        </w:rPr>
        <w:t>presupuestación</w:t>
      </w:r>
      <w:proofErr w:type="spellEnd"/>
      <w:r w:rsidRPr="00983FBC">
        <w:rPr>
          <w:rFonts w:ascii="Palatino Linotype" w:hAnsi="Palatino Linotype" w:cs="Arial"/>
          <w:bCs/>
          <w:color w:val="000000"/>
        </w:rPr>
        <w:t>, evaluación y contabilidad gubernamental.</w:t>
      </w:r>
    </w:p>
    <w:p w:rsidR="005C46E9" w:rsidRPr="00983FBC" w:rsidRDefault="005C46E9"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83FBC">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983FBC">
        <w:rPr>
          <w:rFonts w:ascii="Palatino Linotype" w:hAnsi="Palatino Linotype" w:cs="Arial"/>
          <w:lang w:eastAsia="es-MX"/>
        </w:rPr>
        <w:t>Presupuestación</w:t>
      </w:r>
      <w:proofErr w:type="spellEnd"/>
      <w:r w:rsidRPr="00983FBC">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83FBC" w:rsidRPr="00983FBC" w:rsidRDefault="00983FBC"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spacing w:line="360" w:lineRule="auto"/>
        <w:ind w:firstLine="708"/>
        <w:jc w:val="both"/>
        <w:rPr>
          <w:rFonts w:ascii="Palatino Linotype" w:hAnsi="Palatino Linotype" w:cs="Arial"/>
          <w:b/>
          <w:i/>
          <w:lang w:eastAsia="es-MX"/>
        </w:rPr>
      </w:pPr>
      <w:r w:rsidRPr="00983FBC">
        <w:rPr>
          <w:rFonts w:ascii="Palatino Linotype" w:hAnsi="Palatino Linotype" w:cs="Arial"/>
          <w:b/>
          <w:i/>
          <w:lang w:eastAsia="es-MX"/>
        </w:rPr>
        <w:t xml:space="preserve">“REGISTRO CONTABLE </w:t>
      </w:r>
    </w:p>
    <w:p w:rsidR="005C46E9" w:rsidRPr="00983FBC" w:rsidRDefault="005C46E9" w:rsidP="00983FBC">
      <w:pPr>
        <w:spacing w:line="360" w:lineRule="auto"/>
        <w:ind w:left="851" w:right="899"/>
        <w:jc w:val="both"/>
        <w:rPr>
          <w:rFonts w:ascii="Palatino Linotype" w:hAnsi="Palatino Linotype" w:cs="Arial"/>
          <w:i/>
        </w:rPr>
      </w:pPr>
      <w:r w:rsidRPr="00983FBC">
        <w:rPr>
          <w:rFonts w:ascii="Palatino Linotype" w:hAnsi="Palatino Linotype" w:cs="Arial"/>
          <w:i/>
          <w:lang w:eastAsia="es-MX"/>
        </w:rPr>
        <w:t xml:space="preserve">Asiento que se realiza en los libros de contabilidad de las actividades relacionadas con el ingreso y egresos de un ente económico.” </w:t>
      </w:r>
      <w:r w:rsidRPr="00983FBC">
        <w:rPr>
          <w:rFonts w:ascii="Palatino Linotype" w:hAnsi="Palatino Linotype" w:cs="Arial"/>
          <w:i/>
        </w:rPr>
        <w:t>(Sic)</w:t>
      </w:r>
    </w:p>
    <w:p w:rsidR="005C46E9" w:rsidRPr="00983FBC" w:rsidRDefault="005C46E9" w:rsidP="00983FBC">
      <w:pPr>
        <w:spacing w:line="360" w:lineRule="auto"/>
        <w:ind w:left="851" w:right="899"/>
        <w:jc w:val="both"/>
        <w:rPr>
          <w:rFonts w:ascii="Palatino Linotype" w:hAnsi="Palatino Linotype" w:cs="Arial"/>
          <w:i/>
          <w:lang w:eastAsia="es-MX"/>
        </w:rPr>
      </w:pPr>
    </w:p>
    <w:p w:rsidR="005C46E9" w:rsidRPr="00983FBC" w:rsidRDefault="005C46E9" w:rsidP="00983FBC">
      <w:pPr>
        <w:spacing w:line="360" w:lineRule="auto"/>
        <w:ind w:right="899" w:firstLine="708"/>
        <w:jc w:val="both"/>
        <w:rPr>
          <w:rFonts w:ascii="Palatino Linotype" w:hAnsi="Palatino Linotype" w:cs="Arial"/>
          <w:b/>
          <w:i/>
          <w:lang w:eastAsia="es-MX"/>
        </w:rPr>
      </w:pPr>
      <w:r w:rsidRPr="00983FBC">
        <w:rPr>
          <w:rFonts w:ascii="Palatino Linotype" w:hAnsi="Palatino Linotype" w:cs="Arial"/>
          <w:b/>
          <w:i/>
          <w:lang w:eastAsia="es-MX"/>
        </w:rPr>
        <w:t>“REGISTRO PRESUPUESTARIO</w:t>
      </w:r>
    </w:p>
    <w:p w:rsidR="005C46E9" w:rsidRDefault="005C46E9" w:rsidP="00983FBC">
      <w:pPr>
        <w:spacing w:line="360" w:lineRule="auto"/>
        <w:ind w:left="708" w:right="899"/>
        <w:jc w:val="both"/>
        <w:rPr>
          <w:rFonts w:ascii="Palatino Linotype" w:hAnsi="Palatino Linotype" w:cs="Arial"/>
          <w:i/>
        </w:rPr>
      </w:pPr>
      <w:r w:rsidRPr="00983FBC">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983FBC">
        <w:rPr>
          <w:rFonts w:ascii="Palatino Linotype" w:hAnsi="Palatino Linotype" w:cs="Arial"/>
          <w:i/>
        </w:rPr>
        <w:t>(Sic)</w:t>
      </w:r>
    </w:p>
    <w:p w:rsidR="00983FBC" w:rsidRPr="00983FBC" w:rsidRDefault="00983FBC" w:rsidP="00983FBC">
      <w:pPr>
        <w:spacing w:line="360" w:lineRule="auto"/>
        <w:ind w:left="708" w:right="899"/>
        <w:jc w:val="both"/>
        <w:rPr>
          <w:rFonts w:ascii="Palatino Linotype" w:hAnsi="Palatino Linotype" w:cs="Arial"/>
          <w:i/>
          <w:lang w:eastAsia="es-MX"/>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bCs/>
          <w:color w:val="000000"/>
        </w:rPr>
        <w:t>Por otra parte, se establece que el sistema de contabilidad sobre base acumulativa total se sustentará en los principios de contabilidad gubernamental.</w:t>
      </w:r>
    </w:p>
    <w:p w:rsidR="005C46E9" w:rsidRPr="00983FBC" w:rsidRDefault="005C46E9"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bCs/>
          <w:color w:val="000000"/>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C46E9" w:rsidRPr="00983FBC" w:rsidRDefault="005C46E9" w:rsidP="00983FBC">
      <w:pPr>
        <w:pStyle w:val="Prrafodelista"/>
        <w:spacing w:line="360" w:lineRule="auto"/>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lang w:eastAsia="es-MX"/>
        </w:rPr>
        <w:t xml:space="preserve">Correlativo a lo anterior, es preciso referir una definición de </w:t>
      </w:r>
      <w:r w:rsidRPr="00983FBC">
        <w:rPr>
          <w:rFonts w:ascii="Palatino Linotype" w:hAnsi="Palatino Linotype" w:cs="Arial"/>
          <w:i/>
          <w:lang w:eastAsia="es-MX"/>
        </w:rPr>
        <w:t>póliza contable</w:t>
      </w:r>
      <w:r w:rsidRPr="00983FBC">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983FBC" w:rsidRPr="00983FBC" w:rsidRDefault="00983FBC"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spacing w:line="360" w:lineRule="auto"/>
        <w:ind w:left="567" w:right="618"/>
        <w:jc w:val="both"/>
        <w:rPr>
          <w:rFonts w:ascii="Palatino Linotype" w:hAnsi="Palatino Linotype" w:cs="Arial"/>
          <w:b/>
          <w:i/>
          <w:lang w:eastAsia="es-MX"/>
        </w:rPr>
      </w:pPr>
      <w:r w:rsidRPr="00983FBC">
        <w:rPr>
          <w:rFonts w:ascii="Palatino Linotype" w:hAnsi="Palatino Linotype" w:cs="Arial"/>
          <w:i/>
          <w:lang w:eastAsia="es-MX"/>
        </w:rPr>
        <w:t>“</w:t>
      </w:r>
      <w:r w:rsidRPr="00983FBC">
        <w:rPr>
          <w:rFonts w:ascii="Palatino Linotype" w:hAnsi="Palatino Linotype" w:cs="Arial"/>
          <w:b/>
          <w:i/>
          <w:lang w:eastAsia="es-MX"/>
        </w:rPr>
        <w:t>PÓLIZA CONTABLE</w:t>
      </w:r>
    </w:p>
    <w:p w:rsidR="005C46E9" w:rsidRDefault="005C46E9" w:rsidP="00983FBC">
      <w:pPr>
        <w:spacing w:line="360" w:lineRule="auto"/>
        <w:ind w:left="567" w:right="618"/>
        <w:jc w:val="both"/>
        <w:rPr>
          <w:rFonts w:ascii="Palatino Linotype" w:hAnsi="Palatino Linotype" w:cs="Arial"/>
          <w:i/>
          <w:lang w:eastAsia="es-MX"/>
        </w:rPr>
      </w:pPr>
      <w:r w:rsidRPr="00983FBC">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983FBC">
        <w:rPr>
          <w:rFonts w:ascii="Palatino Linotype" w:hAnsi="Palatino Linotype" w:cs="Arial"/>
          <w:i/>
          <w:lang w:eastAsia="es-MX"/>
        </w:rPr>
        <w:t>sic</w:t>
      </w:r>
      <w:proofErr w:type="gramEnd"/>
      <w:r w:rsidRPr="00983FBC">
        <w:rPr>
          <w:rFonts w:ascii="Palatino Linotype" w:hAnsi="Palatino Linotype" w:cs="Arial"/>
          <w:i/>
          <w:lang w:eastAsia="es-MX"/>
        </w:rPr>
        <w:t>)</w:t>
      </w:r>
    </w:p>
    <w:p w:rsidR="00983FBC" w:rsidRPr="00983FBC" w:rsidRDefault="00983FBC" w:rsidP="00983FBC">
      <w:pPr>
        <w:spacing w:line="360" w:lineRule="auto"/>
        <w:ind w:left="567" w:right="618"/>
        <w:jc w:val="both"/>
        <w:rPr>
          <w:rFonts w:ascii="Palatino Linotype" w:hAnsi="Palatino Linotype" w:cs="Arial"/>
          <w:i/>
          <w:lang w:eastAsia="es-MX"/>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lang w:eastAsia="es-MX"/>
        </w:rPr>
      </w:pPr>
      <w:r w:rsidRPr="00983FBC">
        <w:rPr>
          <w:rFonts w:ascii="Palatino Linotype" w:hAnsi="Palatino Linotype" w:cs="Arial"/>
          <w:lang w:eastAsia="es-MX"/>
        </w:rPr>
        <w:t xml:space="preserve">Así, se advierte que la </w:t>
      </w:r>
      <w:r w:rsidRPr="00983FBC">
        <w:rPr>
          <w:rFonts w:ascii="Palatino Linotype" w:hAnsi="Palatino Linotype" w:cs="Arial"/>
          <w:i/>
          <w:lang w:eastAsia="es-MX"/>
        </w:rPr>
        <w:t>póliza contable</w:t>
      </w:r>
      <w:r w:rsidRPr="00983FBC">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983FBC">
        <w:rPr>
          <w:rFonts w:ascii="Palatino Linotype" w:hAnsi="Palatino Linotype" w:cs="Arial"/>
          <w:b/>
          <w:lang w:eastAsia="es-MX"/>
        </w:rPr>
        <w:t>y se anexan los documentos o comprobantes que justifiquen las anotaciones y cantidades en ellas registradas</w:t>
      </w:r>
      <w:r w:rsidRPr="00983FBC">
        <w:rPr>
          <w:rFonts w:ascii="Palatino Linotype" w:hAnsi="Palatino Linotype" w:cs="Arial"/>
          <w:lang w:eastAsia="es-MX"/>
        </w:rPr>
        <w:t>, lo que permite la identificación plena de dichas operaciones.</w:t>
      </w:r>
    </w:p>
    <w:p w:rsidR="005C46E9" w:rsidRPr="00983FBC" w:rsidRDefault="005C46E9" w:rsidP="00983FBC">
      <w:pPr>
        <w:pStyle w:val="Prrafodelista"/>
        <w:spacing w:line="360" w:lineRule="auto"/>
        <w:ind w:left="0"/>
        <w:jc w:val="both"/>
        <w:rPr>
          <w:rFonts w:ascii="Palatino Linotype" w:hAnsi="Palatino Linotype" w:cs="Arial"/>
          <w:lang w:eastAsia="es-MX"/>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lang w:eastAsia="es-MX"/>
        </w:rPr>
      </w:pPr>
      <w:r w:rsidRPr="00983FBC">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983FBC">
        <w:rPr>
          <w:rFonts w:ascii="Palatino Linotype" w:hAnsi="Palatino Linotype" w:cs="Arial"/>
          <w:i/>
          <w:lang w:eastAsia="es-MX"/>
        </w:rPr>
        <w:t>pólizas de egresos</w:t>
      </w:r>
      <w:r w:rsidRPr="00983FBC">
        <w:rPr>
          <w:rFonts w:ascii="Palatino Linotype" w:hAnsi="Palatino Linotype" w:cs="Arial"/>
          <w:lang w:eastAsia="es-MX"/>
        </w:rPr>
        <w:t xml:space="preserve">, en las cuales se anotan diariamente las operaciones que representan egresos, es decir, salidas de dinero para </w:t>
      </w:r>
      <w:r w:rsidRPr="00983FBC">
        <w:rPr>
          <w:rFonts w:ascii="Palatino Linotype" w:hAnsi="Palatino Linotype" w:cs="Arial"/>
          <w:b/>
          <w:lang w:eastAsia="es-MX"/>
        </w:rPr>
        <w:t>EL SUJETO OBLIGADO</w:t>
      </w:r>
      <w:r w:rsidRPr="00983FBC">
        <w:rPr>
          <w:rFonts w:ascii="Palatino Linotype" w:hAnsi="Palatino Linotype" w:cs="Arial"/>
          <w:lang w:eastAsia="es-MX"/>
        </w:rPr>
        <w:t xml:space="preserve">, la cual además, debe </w:t>
      </w:r>
      <w:r w:rsidRPr="00983FBC">
        <w:rPr>
          <w:rFonts w:ascii="Palatino Linotype" w:hAnsi="Palatino Linotype" w:cs="Arial"/>
          <w:lang w:eastAsia="es-MX"/>
        </w:rPr>
        <w:lastRenderedPageBreak/>
        <w:t xml:space="preserve">encontrarse acompañada de las documentales que sirven de soporte de dicho movimiento. </w:t>
      </w:r>
    </w:p>
    <w:p w:rsidR="005C46E9" w:rsidRPr="00983FBC" w:rsidRDefault="005C46E9" w:rsidP="00983FBC">
      <w:pPr>
        <w:pStyle w:val="Prrafodelista"/>
        <w:spacing w:line="360" w:lineRule="auto"/>
        <w:rPr>
          <w:rFonts w:ascii="Palatino Linotype" w:hAnsi="Palatino Linotype" w:cs="Arial"/>
          <w:lang w:eastAsia="es-MX"/>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lang w:eastAsia="es-MX"/>
        </w:rPr>
      </w:pPr>
      <w:r w:rsidRPr="00983FBC">
        <w:rPr>
          <w:rFonts w:ascii="Palatino Linotype" w:hAnsi="Palatino Linotype" w:cs="Arial"/>
          <w:bCs/>
          <w:color w:val="000000"/>
        </w:rPr>
        <w:t xml:space="preserve">En este sentido, los Lineamientos para la Integración del Informe Mensual </w:t>
      </w:r>
      <w:r w:rsidRPr="00983FBC">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983FBC">
        <w:rPr>
          <w:rFonts w:ascii="Palatino Linotype" w:hAnsi="Palatino Linotype" w:cs="Arial"/>
          <w:b/>
        </w:rPr>
        <w:t>en el Disco 5</w:t>
      </w:r>
      <w:r w:rsidRPr="00983FBC">
        <w:rPr>
          <w:rFonts w:ascii="Palatino Linotype" w:hAnsi="Palatino Linotype" w:cs="Arial"/>
        </w:rPr>
        <w:t xml:space="preserve">, que se entregan a éste, siendo uno de ellos la información relativa a las </w:t>
      </w:r>
      <w:r w:rsidRPr="00983FBC">
        <w:rPr>
          <w:rFonts w:ascii="Palatino Linotype" w:hAnsi="Palatino Linotype" w:cs="Arial"/>
          <w:i/>
        </w:rPr>
        <w:t xml:space="preserve">pólizas de ingresos, póliza de diario, póliza de egresos, póliza cheque y póliza de cuentas por pagar, </w:t>
      </w:r>
      <w:r w:rsidRPr="00983FBC">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983FBC">
        <w:rPr>
          <w:rFonts w:ascii="Palatino Linotype" w:hAnsi="Palatino Linotype" w:cs="Arial"/>
        </w:rPr>
        <w:t>txt</w:t>
      </w:r>
      <w:proofErr w:type="spellEnd"/>
      <w:r w:rsidRPr="00983FBC">
        <w:rPr>
          <w:rFonts w:ascii="Palatino Linotype" w:hAnsi="Palatino Linotype" w:cs="Arial"/>
        </w:rPr>
        <w:t>)”, d</w:t>
      </w:r>
      <w:r w:rsidRPr="00983FBC">
        <w:rPr>
          <w:rFonts w:ascii="Palatino Linotype" w:hAnsi="Palatino Linotype" w:cs="Arial"/>
          <w:bCs/>
        </w:rPr>
        <w:t xml:space="preserve">e tal manera que, dichos formatos constituyen un soporte documental de que la información solicitada por el hoy </w:t>
      </w:r>
      <w:r w:rsidRPr="00983FBC">
        <w:rPr>
          <w:rFonts w:ascii="Palatino Linotype" w:hAnsi="Palatino Linotype" w:cs="Arial"/>
          <w:b/>
          <w:bCs/>
        </w:rPr>
        <w:t>RECURRENTE</w:t>
      </w:r>
      <w:r w:rsidRPr="00983FBC">
        <w:rPr>
          <w:rFonts w:ascii="Palatino Linotype" w:hAnsi="Palatino Linotype" w:cs="Arial"/>
          <w:bCs/>
        </w:rPr>
        <w:t xml:space="preserve"> obra en los archivos del </w:t>
      </w:r>
      <w:r w:rsidRPr="00983FBC">
        <w:rPr>
          <w:rFonts w:ascii="Palatino Linotype" w:hAnsi="Palatino Linotype" w:cs="Arial"/>
          <w:b/>
          <w:bCs/>
        </w:rPr>
        <w:t>SUJETO OBLIGADO</w:t>
      </w:r>
      <w:r w:rsidRPr="00983FBC">
        <w:rPr>
          <w:rFonts w:ascii="Palatino Linotype" w:hAnsi="Palatino Linotype" w:cs="Arial"/>
          <w:bCs/>
        </w:rPr>
        <w:t xml:space="preserve">, insertando a manera de referencia, el formato correspondiente de 2017: </w:t>
      </w:r>
    </w:p>
    <w:p w:rsidR="00983FBC" w:rsidRPr="00983FBC" w:rsidRDefault="00983FBC" w:rsidP="00983FBC">
      <w:pPr>
        <w:pStyle w:val="Prrafodelista"/>
        <w:spacing w:line="360" w:lineRule="auto"/>
        <w:ind w:left="0"/>
        <w:jc w:val="both"/>
        <w:rPr>
          <w:rFonts w:ascii="Palatino Linotype" w:hAnsi="Palatino Linotype" w:cs="Arial"/>
          <w:lang w:eastAsia="es-MX"/>
        </w:rPr>
      </w:pPr>
    </w:p>
    <w:p w:rsidR="005C46E9" w:rsidRPr="00983FBC" w:rsidRDefault="005C46E9" w:rsidP="00983FBC">
      <w:pPr>
        <w:spacing w:line="360" w:lineRule="auto"/>
        <w:jc w:val="both"/>
        <w:rPr>
          <w:rFonts w:ascii="Palatino Linotype" w:hAnsi="Palatino Linotype" w:cs="Arial"/>
          <w:bCs/>
          <w:color w:val="000000"/>
        </w:rPr>
      </w:pPr>
      <w:r w:rsidRPr="00983FBC">
        <w:rPr>
          <w:rFonts w:ascii="Palatino Linotype" w:hAnsi="Palatino Linotype"/>
          <w:noProof/>
          <w:lang w:val="es-MX" w:eastAsia="es-MX"/>
        </w:rPr>
        <w:drawing>
          <wp:inline distT="0" distB="0" distL="0" distR="0" wp14:anchorId="03A7CF73" wp14:editId="57CE282C">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bCs/>
          <w:color w:val="000000"/>
        </w:rPr>
        <w:lastRenderedPageBreak/>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5C46E9" w:rsidRPr="00983FBC" w:rsidRDefault="005C46E9"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bCs/>
          <w:color w:val="000000"/>
        </w:rPr>
        <w:t xml:space="preserve">Es de señalar que la información que es entregada al </w:t>
      </w:r>
      <w:r w:rsidRPr="00983FBC">
        <w:rPr>
          <w:rFonts w:ascii="Palatino Linotype" w:hAnsi="Palatino Linotype" w:cs="Arial"/>
        </w:rPr>
        <w:t>Órgano Superior de Fiscalización del Estado de México,</w:t>
      </w:r>
      <w:r w:rsidRPr="00983FBC">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5C46E9" w:rsidRPr="00983FBC" w:rsidRDefault="005C46E9" w:rsidP="00983FBC">
      <w:pPr>
        <w:pStyle w:val="Prrafodelista"/>
        <w:spacing w:line="360" w:lineRule="auto"/>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bCs/>
          <w:color w:val="000000"/>
        </w:rPr>
        <w:t xml:space="preserve">Cabe destacar, que el ordenamiento legal en cita refiere que todo registro contable y presupuestal </w:t>
      </w:r>
      <w:r w:rsidRPr="00983FBC">
        <w:rPr>
          <w:rFonts w:ascii="Palatino Linotype" w:hAnsi="Palatino Linotype" w:cs="Arial"/>
          <w:b/>
          <w:bCs/>
          <w:color w:val="000000"/>
        </w:rPr>
        <w:t>deberá estar soportado con los documentos comprobatorios originales</w:t>
      </w:r>
      <w:r w:rsidRPr="00983FBC">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5C46E9" w:rsidRPr="00983FBC" w:rsidRDefault="005C46E9" w:rsidP="00983FBC">
      <w:pPr>
        <w:pStyle w:val="Prrafodelista"/>
        <w:spacing w:line="360" w:lineRule="auto"/>
        <w:rPr>
          <w:rFonts w:ascii="Palatino Linotype" w:hAnsi="Palatino Linotype" w:cs="Arial"/>
          <w:bCs/>
          <w:color w:val="000000"/>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cs="Arial"/>
          <w:bCs/>
          <w:color w:val="000000"/>
        </w:rPr>
      </w:pPr>
      <w:r w:rsidRPr="00983FBC">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983FBC" w:rsidRPr="00983FBC" w:rsidRDefault="00983FBC" w:rsidP="00983FBC">
      <w:pPr>
        <w:pStyle w:val="Prrafodelista"/>
        <w:spacing w:line="360" w:lineRule="auto"/>
        <w:ind w:left="0"/>
        <w:jc w:val="both"/>
        <w:rPr>
          <w:rFonts w:ascii="Palatino Linotype" w:hAnsi="Palatino Linotype" w:cs="Arial"/>
          <w:bCs/>
          <w:color w:val="000000"/>
        </w:rPr>
      </w:pP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lastRenderedPageBreak/>
        <w:t>“</w:t>
      </w:r>
      <w:r w:rsidRPr="00983FBC">
        <w:rPr>
          <w:rFonts w:ascii="Palatino Linotype" w:hAnsi="Palatino Linotype" w:cs="Arial"/>
          <w:b/>
          <w:i/>
        </w:rPr>
        <w:t>CUARTO</w:t>
      </w:r>
      <w:r w:rsidRPr="00983FBC">
        <w:rPr>
          <w:rFonts w:ascii="Palatino Linotype" w:hAnsi="Palatino Linotype" w:cs="Arial"/>
          <w:i/>
        </w:rPr>
        <w:t>: Son sujetos de los presentes Lineamientos:</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I. En los Municipios:</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a) Presidente;</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b) Síndico (s);</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c) Regidores;</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d) Secretario del ayuntamiento;</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 xml:space="preserve">e) </w:t>
      </w:r>
      <w:r w:rsidRPr="00983FBC">
        <w:rPr>
          <w:rFonts w:ascii="Palatino Linotype" w:hAnsi="Palatino Linotype" w:cs="Arial"/>
          <w:b/>
          <w:i/>
          <w:u w:val="single"/>
        </w:rPr>
        <w:t>Tesorero o equivalente</w:t>
      </w:r>
      <w:r w:rsidRPr="00983FBC">
        <w:rPr>
          <w:rFonts w:ascii="Palatino Linotype" w:hAnsi="Palatino Linotype" w:cs="Arial"/>
          <w:i/>
        </w:rPr>
        <w:t>;</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f) Director de administración o su equivalente;</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g) Director de obras públicas; y</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cs="Arial"/>
          <w:i/>
        </w:rPr>
        <w:t>h) Titular del órgano de control interno.</w:t>
      </w:r>
    </w:p>
    <w:p w:rsidR="005C46E9" w:rsidRPr="00983FBC"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i/>
        </w:rPr>
      </w:pPr>
      <w:r w:rsidRPr="00983FBC">
        <w:rPr>
          <w:rFonts w:ascii="Palatino Linotype" w:hAnsi="Palatino Linotype"/>
          <w:b/>
          <w:i/>
        </w:rPr>
        <w:t>DÉCIMO PRIMERO</w:t>
      </w:r>
      <w:r w:rsidRPr="00983FBC">
        <w:rPr>
          <w:rFonts w:ascii="Palatino Linotype" w:hAnsi="Palatino Linotype"/>
          <w:i/>
        </w:rPr>
        <w:t>: Los servidores públicos municipales, tendrán en el ámbito de su competencia, respecto de los presentes Lineamientos, las obligaciones siguientes:</w:t>
      </w:r>
    </w:p>
    <w:p w:rsidR="005C46E9" w:rsidRDefault="005C46E9"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83FBC">
        <w:rPr>
          <w:rFonts w:ascii="Palatino Linotype" w:hAnsi="Palatino Linotype"/>
          <w:i/>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983FBC">
        <w:rPr>
          <w:rFonts w:ascii="Palatino Linotype" w:hAnsi="Palatino Linotype" w:cs="Arial"/>
          <w:i/>
        </w:rPr>
        <w:t>(Sic)</w:t>
      </w:r>
    </w:p>
    <w:p w:rsidR="00983FBC" w:rsidRPr="00983FBC" w:rsidRDefault="00983FBC" w:rsidP="00983FBC">
      <w:pPr>
        <w:widowControl w:val="0"/>
        <w:tabs>
          <w:tab w:val="left" w:pos="8222"/>
        </w:tabs>
        <w:autoSpaceDE w:val="0"/>
        <w:autoSpaceDN w:val="0"/>
        <w:adjustRightInd w:val="0"/>
        <w:spacing w:line="360" w:lineRule="auto"/>
        <w:ind w:left="851" w:right="899"/>
        <w:jc w:val="both"/>
        <w:rPr>
          <w:rFonts w:ascii="Palatino Linotype" w:hAnsi="Palatino Linotype" w:cs="Arial"/>
          <w:i/>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lang w:val="es-MX" w:eastAsia="en-US"/>
        </w:rPr>
      </w:pPr>
      <w:r w:rsidRPr="00983FBC">
        <w:rPr>
          <w:rFonts w:ascii="Palatino Linotype" w:hAnsi="Palatino Linotype" w:cs="Arial"/>
        </w:rPr>
        <w:lastRenderedPageBreak/>
        <w:t>De lo anterior se advierte que es responsabilidad del Tesorero Municipal verificar que todas las pólizas de registro contable y presupuestal, se encuentren firmadas por quien las elaboró. En ese sentido, se aprecia que los comprobantes de las erogaciones que realice el Ayuntamiento deben estar acompañadas en el disco 5, información que solicitó el recurrente.</w:t>
      </w:r>
    </w:p>
    <w:p w:rsidR="005C46E9" w:rsidRPr="00983FBC" w:rsidRDefault="005C46E9" w:rsidP="00983FBC">
      <w:pPr>
        <w:pStyle w:val="Prrafodelista"/>
        <w:spacing w:line="360" w:lineRule="auto"/>
        <w:ind w:left="0"/>
        <w:jc w:val="both"/>
        <w:rPr>
          <w:rFonts w:ascii="Palatino Linotype" w:hAnsi="Palatino Linotype"/>
          <w:lang w:val="es-MX" w:eastAsia="en-US"/>
        </w:rPr>
      </w:pPr>
    </w:p>
    <w:p w:rsidR="005C46E9" w:rsidRPr="00983FBC" w:rsidRDefault="005C46E9" w:rsidP="00983FBC">
      <w:pPr>
        <w:pStyle w:val="Prrafodelista"/>
        <w:numPr>
          <w:ilvl w:val="0"/>
          <w:numId w:val="18"/>
        </w:numPr>
        <w:spacing w:line="360" w:lineRule="auto"/>
        <w:ind w:left="0" w:firstLine="0"/>
        <w:jc w:val="both"/>
        <w:rPr>
          <w:rFonts w:ascii="Palatino Linotype" w:hAnsi="Palatino Linotype"/>
          <w:lang w:val="es-MX" w:eastAsia="en-US"/>
        </w:rPr>
      </w:pPr>
      <w:r w:rsidRPr="00983FBC">
        <w:rPr>
          <w:rFonts w:ascii="Palatino Linotype" w:hAnsi="Palatino Linotype"/>
          <w:lang w:val="es-MX" w:eastAsia="en-US"/>
        </w:rPr>
        <w:t>Es así que, la información relacionada con las facturas es de acceso público, toda vez que, a través de estos documentos se puede apreciar el uso y destino de los recursos públicos, en consecuencia, procede su entrega.</w:t>
      </w:r>
    </w:p>
    <w:p w:rsidR="005C46E9" w:rsidRPr="00983FBC" w:rsidRDefault="005C46E9" w:rsidP="00983FBC">
      <w:pPr>
        <w:pStyle w:val="Prrafodelista"/>
        <w:spacing w:line="360" w:lineRule="auto"/>
        <w:rPr>
          <w:rFonts w:ascii="Palatino Linotype" w:hAnsi="Palatino Linotype"/>
          <w:lang w:val="es-MX" w:eastAsia="en-US"/>
        </w:rPr>
      </w:pPr>
    </w:p>
    <w:p w:rsidR="005C46E9" w:rsidRPr="00983FBC" w:rsidRDefault="005C46E9" w:rsidP="00983FBC">
      <w:pPr>
        <w:pStyle w:val="Ttulo3"/>
        <w:spacing w:before="0" w:line="360" w:lineRule="auto"/>
        <w:ind w:left="284"/>
        <w:rPr>
          <w:rFonts w:ascii="Palatino Linotype" w:hAnsi="Palatino Linotype"/>
          <w:b/>
          <w:color w:val="auto"/>
          <w:lang w:val="es-MX" w:eastAsia="en-US"/>
        </w:rPr>
      </w:pPr>
      <w:bookmarkStart w:id="26" w:name="_Toc32221284"/>
      <w:r w:rsidRPr="00983FBC">
        <w:rPr>
          <w:rFonts w:ascii="Palatino Linotype" w:hAnsi="Palatino Linotype"/>
          <w:b/>
          <w:color w:val="auto"/>
          <w:lang w:val="es-MX" w:eastAsia="en-US"/>
        </w:rPr>
        <w:t>III. Contratos.</w:t>
      </w:r>
      <w:bookmarkEnd w:id="26"/>
    </w:p>
    <w:p w:rsidR="005C46E9" w:rsidRPr="00983FBC" w:rsidRDefault="005C46E9" w:rsidP="00983FBC">
      <w:pPr>
        <w:pStyle w:val="Prrafodelista"/>
        <w:spacing w:line="360" w:lineRule="auto"/>
        <w:ind w:left="0"/>
        <w:jc w:val="both"/>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eastAsia="Calibri" w:hAnsi="Palatino Linotype" w:cs="Tahoma"/>
          <w:iCs/>
          <w:lang w:val="es-ES" w:eastAsia="es-ES_tradnl"/>
        </w:rPr>
        <w:t>La Ley de Contratación Pública del Estado de México y Municipios, aplicable para los municipios que integran al Estado de México,</w:t>
      </w:r>
      <w:r w:rsidRPr="00983FBC">
        <w:rPr>
          <w:rFonts w:ascii="Palatino Linotype" w:eastAsia="Calibri" w:hAnsi="Palatino Linotype" w:cs="Tahoma"/>
          <w:iCs/>
          <w:lang w:eastAsia="es-ES_tradnl"/>
        </w:rPr>
        <w:t xml:space="preserve"> tiene por objeto regular los actos relativos a la planeación, programación, </w:t>
      </w:r>
      <w:proofErr w:type="spellStart"/>
      <w:r w:rsidRPr="00983FBC">
        <w:rPr>
          <w:rFonts w:ascii="Palatino Linotype" w:eastAsia="Calibri" w:hAnsi="Palatino Linotype" w:cs="Tahoma"/>
          <w:iCs/>
          <w:lang w:eastAsia="es-ES_tradnl"/>
        </w:rPr>
        <w:t>presupuestación</w:t>
      </w:r>
      <w:proofErr w:type="spellEnd"/>
      <w:r w:rsidRPr="00983FBC">
        <w:rPr>
          <w:rFonts w:ascii="Palatino Linotype" w:eastAsia="Calibri" w:hAnsi="Palatino Linotype" w:cs="Tahoma"/>
          <w:iCs/>
          <w:lang w:eastAsia="es-ES_tradnl"/>
        </w:rPr>
        <w:t xml:space="preserve">, ejecución y control de la adquisición, enajenación y arrendamiento de bienes, y la </w:t>
      </w:r>
      <w:r w:rsidRPr="00983FBC">
        <w:rPr>
          <w:rFonts w:ascii="Palatino Linotype" w:eastAsia="Calibri" w:hAnsi="Palatino Linotype" w:cs="Tahoma"/>
          <w:b/>
          <w:iCs/>
          <w:lang w:eastAsia="es-ES_tradnl"/>
        </w:rPr>
        <w:t>contratación de servicios de cualquier naturaleza.</w:t>
      </w:r>
    </w:p>
    <w:p w:rsidR="00757201" w:rsidRPr="00983FBC" w:rsidRDefault="00757201" w:rsidP="00983FBC">
      <w:pPr>
        <w:pStyle w:val="Prrafodelista"/>
        <w:spacing w:line="360" w:lineRule="auto"/>
        <w:ind w:left="0"/>
        <w:jc w:val="both"/>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eastAsia="Calibri" w:hAnsi="Palatino Linotype" w:cs="Tahoma"/>
          <w:iCs/>
          <w:lang w:eastAsia="es-ES_tradnl"/>
        </w:rPr>
        <w:t xml:space="preserve">El artículo 26 de la citada legislación, determina que las adquisiciones, arrendamientos y </w:t>
      </w:r>
      <w:r w:rsidRPr="00983FBC">
        <w:rPr>
          <w:rFonts w:ascii="Palatino Linotype" w:eastAsia="Calibri" w:hAnsi="Palatino Linotype" w:cs="Tahoma"/>
          <w:b/>
          <w:iCs/>
          <w:lang w:eastAsia="es-ES_tradnl"/>
        </w:rPr>
        <w:t>servicios se adjudicarán a través de licitaciones públicas</w:t>
      </w:r>
      <w:r w:rsidRPr="00983FBC">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983FBC">
        <w:rPr>
          <w:rFonts w:ascii="Palatino Linotype" w:eastAsia="Calibri" w:hAnsi="Palatino Linotype" w:cs="Tahoma"/>
          <w:b/>
          <w:iCs/>
          <w:lang w:eastAsia="es-ES_tradnl"/>
        </w:rPr>
        <w:t>adquisición de</w:t>
      </w:r>
      <w:r w:rsidRPr="00983FBC">
        <w:rPr>
          <w:rFonts w:ascii="Palatino Linotype" w:eastAsia="Calibri" w:hAnsi="Palatino Linotype" w:cs="Tahoma"/>
          <w:iCs/>
          <w:lang w:eastAsia="es-ES_tradnl"/>
        </w:rPr>
        <w:t xml:space="preserve"> bienes o </w:t>
      </w:r>
      <w:r w:rsidRPr="00983FBC">
        <w:rPr>
          <w:rFonts w:ascii="Palatino Linotype" w:eastAsia="Calibri" w:hAnsi="Palatino Linotype" w:cs="Tahoma"/>
          <w:b/>
          <w:iCs/>
          <w:lang w:eastAsia="es-ES_tradnl"/>
        </w:rPr>
        <w:t>servicios</w:t>
      </w:r>
      <w:r w:rsidRPr="00983FBC">
        <w:rPr>
          <w:rFonts w:ascii="Palatino Linotype" w:eastAsia="Calibri" w:hAnsi="Palatino Linotype" w:cs="Tahoma"/>
          <w:iCs/>
          <w:lang w:eastAsia="es-ES_tradnl"/>
        </w:rPr>
        <w:t xml:space="preserve"> a través de las modalidades de invitación restringida y adjudicación directa.</w:t>
      </w:r>
    </w:p>
    <w:p w:rsidR="00757201" w:rsidRPr="00983FBC" w:rsidRDefault="00757201" w:rsidP="00983FBC">
      <w:pPr>
        <w:pStyle w:val="Prrafodelista"/>
        <w:spacing w:line="360" w:lineRule="auto"/>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eastAsia="Calibri" w:hAnsi="Palatino Linotype" w:cs="Tahoma"/>
          <w:iCs/>
          <w:lang w:eastAsia="es-ES_tradnl"/>
        </w:rPr>
        <w:lastRenderedPageBreak/>
        <w:t xml:space="preserve">Con relación a la modalidad de adjudicación directa, el artículo 48, fracción IV, de la Ley en cita, establece que </w:t>
      </w:r>
      <w:r w:rsidRPr="00983FBC">
        <w:rPr>
          <w:rFonts w:ascii="Palatino Linotype" w:eastAsia="Calibri" w:hAnsi="Palatino Linotype" w:cs="Tahoma"/>
          <w:b/>
          <w:iCs/>
          <w:u w:val="single"/>
          <w:lang w:eastAsia="es-ES_tradnl"/>
        </w:rPr>
        <w:t>podrá realizarse cuando sea urgente la adquisición de</w:t>
      </w:r>
      <w:r w:rsidRPr="00983FBC">
        <w:rPr>
          <w:rFonts w:ascii="Palatino Linotype" w:eastAsia="Calibri" w:hAnsi="Palatino Linotype" w:cs="Tahoma"/>
          <w:iCs/>
          <w:lang w:eastAsia="es-ES_tradnl"/>
        </w:rPr>
        <w:t xml:space="preserve"> bienes, arrendamientos o </w:t>
      </w:r>
      <w:r w:rsidRPr="00983FBC">
        <w:rPr>
          <w:rFonts w:ascii="Palatino Linotype" w:eastAsia="Calibri" w:hAnsi="Palatino Linotype" w:cs="Tahoma"/>
          <w:b/>
          <w:iCs/>
          <w:u w:val="single"/>
          <w:lang w:eastAsia="es-ES_tradnl"/>
        </w:rPr>
        <w:t>servicios por estar en riesgo el orden social, la salubridad, la seguridad pública o el ambiente, de alguna zona o región del Estado</w:t>
      </w:r>
      <w:r w:rsidRPr="00983FBC">
        <w:rPr>
          <w:rFonts w:ascii="Palatino Linotype" w:eastAsia="Calibri" w:hAnsi="Palatino Linotype" w:cs="Tahoma"/>
          <w:iCs/>
          <w:lang w:eastAsia="es-ES_tradnl"/>
        </w:rPr>
        <w:t xml:space="preserve">; </w:t>
      </w:r>
      <w:r w:rsidRPr="00983FBC">
        <w:rPr>
          <w:rFonts w:ascii="Palatino Linotype" w:eastAsia="Calibri" w:hAnsi="Palatino Linotype" w:cs="Tahoma"/>
          <w:b/>
          <w:iCs/>
          <w:u w:val="single"/>
          <w:lang w:eastAsia="es-ES_tradnl"/>
        </w:rPr>
        <w:t>se paralicen los servicios públicos</w:t>
      </w:r>
      <w:r w:rsidRPr="00983FBC">
        <w:rPr>
          <w:rFonts w:ascii="Palatino Linotype" w:eastAsia="Calibri" w:hAnsi="Palatino Linotype" w:cs="Tahoma"/>
          <w:iCs/>
          <w:lang w:eastAsia="es-ES_tradnl"/>
        </w:rPr>
        <w:t xml:space="preserve">; </w:t>
      </w:r>
      <w:r w:rsidRPr="00983FBC">
        <w:rPr>
          <w:rFonts w:ascii="Palatino Linotype" w:eastAsia="Calibri" w:hAnsi="Palatino Linotype" w:cs="Tahoma"/>
          <w:b/>
          <w:iCs/>
          <w:u w:val="single"/>
          <w:lang w:eastAsia="es-ES_tradnl"/>
        </w:rPr>
        <w:t>se trate de programas o acciones</w:t>
      </w:r>
      <w:r w:rsidRPr="00983FBC">
        <w:rPr>
          <w:rFonts w:ascii="Palatino Linotype" w:eastAsia="Calibri" w:hAnsi="Palatino Linotype" w:cs="Tahoma"/>
          <w:iCs/>
          <w:lang w:eastAsia="es-ES_tradnl"/>
        </w:rPr>
        <w:t xml:space="preserve"> de apoyo a la población </w:t>
      </w:r>
      <w:r w:rsidRPr="00983FBC">
        <w:rPr>
          <w:rFonts w:ascii="Palatino Linotype" w:eastAsia="Calibri" w:hAnsi="Palatino Linotype" w:cs="Tahoma"/>
          <w:b/>
          <w:iCs/>
          <w:u w:val="single"/>
          <w:lang w:eastAsia="es-ES_tradnl"/>
        </w:rPr>
        <w:t>para atender necesidades apremiantes, o concurra alguna causa similar de interés público</w:t>
      </w:r>
      <w:r w:rsidRPr="00983FBC">
        <w:rPr>
          <w:rFonts w:ascii="Palatino Linotype" w:eastAsia="Calibri" w:hAnsi="Palatino Linotype" w:cs="Tahoma"/>
          <w:iCs/>
          <w:lang w:eastAsia="es-ES_tradnl"/>
        </w:rPr>
        <w:t>.</w:t>
      </w:r>
    </w:p>
    <w:p w:rsidR="00757201" w:rsidRPr="00983FBC" w:rsidRDefault="00757201" w:rsidP="00983FBC">
      <w:pPr>
        <w:pStyle w:val="Prrafodelista"/>
        <w:spacing w:line="360" w:lineRule="auto"/>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rsidR="00757201" w:rsidRPr="00983FBC" w:rsidRDefault="00757201" w:rsidP="00983FBC">
      <w:pPr>
        <w:pStyle w:val="Prrafodelista"/>
        <w:spacing w:line="360" w:lineRule="auto"/>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eastAsia="Calibri" w:hAnsi="Palatino Linotype" w:cs="Tahoma"/>
          <w:iCs/>
          <w:lang w:eastAsia="es-ES_tradnl"/>
        </w:rPr>
        <w:t xml:space="preserve">Asimismo, los artículos 65, 80 y 81 de la </w:t>
      </w:r>
      <w:r w:rsidRPr="00983FBC">
        <w:rPr>
          <w:rFonts w:ascii="Palatino Linotype" w:eastAsia="Calibri" w:hAnsi="Palatino Linotype" w:cs="Tahoma"/>
          <w:iCs/>
          <w:lang w:val="es-ES" w:eastAsia="es-ES_tradnl"/>
        </w:rPr>
        <w:t>Ley de Contratación Pública del Estado de México y Municipios establecen lo siguiente:</w:t>
      </w:r>
    </w:p>
    <w:p w:rsidR="00757201" w:rsidRPr="00983FBC" w:rsidRDefault="00757201" w:rsidP="00983FBC">
      <w:pPr>
        <w:tabs>
          <w:tab w:val="left" w:pos="4962"/>
        </w:tabs>
        <w:spacing w:line="360" w:lineRule="auto"/>
        <w:jc w:val="both"/>
        <w:rPr>
          <w:rFonts w:ascii="Palatino Linotype" w:eastAsia="Calibri" w:hAnsi="Palatino Linotype" w:cs="Tahoma"/>
          <w:iCs/>
          <w:lang w:val="es-ES" w:eastAsia="es-ES_tradnl"/>
        </w:rPr>
      </w:pPr>
    </w:p>
    <w:p w:rsidR="00757201" w:rsidRPr="00983FBC" w:rsidRDefault="00983FBC" w:rsidP="00983FBC">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983FBC">
        <w:rPr>
          <w:rFonts w:ascii="Palatino Linotype" w:eastAsia="Calibri" w:hAnsi="Palatino Linotype" w:cs="Tahoma"/>
          <w:b/>
          <w:i/>
          <w:iCs/>
          <w:sz w:val="22"/>
          <w:lang w:eastAsia="es-ES_tradnl"/>
        </w:rPr>
        <w:t>Artículo 65.-</w:t>
      </w:r>
      <w:r w:rsidR="00757201" w:rsidRPr="00983FBC">
        <w:rPr>
          <w:rFonts w:ascii="Palatino Linotype" w:eastAsia="Calibri" w:hAnsi="Palatino Linotype" w:cs="Tahoma"/>
          <w:i/>
          <w:iCs/>
          <w:sz w:val="22"/>
          <w:lang w:eastAsia="es-ES_tradnl"/>
        </w:rPr>
        <w:t xml:space="preserve"> La adjudicación de los contratos derivados de los procedimientos de </w:t>
      </w:r>
      <w:r w:rsidR="00757201" w:rsidRPr="00983FBC">
        <w:rPr>
          <w:rFonts w:ascii="Palatino Linotype" w:eastAsia="Calibri" w:hAnsi="Palatino Linotype" w:cs="Tahoma"/>
          <w:b/>
          <w:i/>
          <w:iCs/>
          <w:sz w:val="22"/>
          <w:lang w:eastAsia="es-ES_tradnl"/>
        </w:rPr>
        <w:t xml:space="preserve">adquisiciones de </w:t>
      </w:r>
      <w:r w:rsidR="00757201" w:rsidRPr="00983FBC">
        <w:rPr>
          <w:rFonts w:ascii="Palatino Linotype" w:eastAsia="Calibri" w:hAnsi="Palatino Linotype" w:cs="Tahoma"/>
          <w:i/>
          <w:iCs/>
          <w:sz w:val="22"/>
          <w:lang w:eastAsia="es-ES_tradnl"/>
        </w:rPr>
        <w:t xml:space="preserve">bienes o </w:t>
      </w:r>
      <w:r w:rsidR="00757201" w:rsidRPr="00983FBC">
        <w:rPr>
          <w:rFonts w:ascii="Palatino Linotype" w:eastAsia="Calibri" w:hAnsi="Palatino Linotype" w:cs="Tahoma"/>
          <w:b/>
          <w:i/>
          <w:iCs/>
          <w:sz w:val="22"/>
          <w:lang w:eastAsia="es-ES_tradnl"/>
        </w:rPr>
        <w:t>servicios</w:t>
      </w:r>
      <w:r w:rsidR="00757201" w:rsidRPr="00983FBC">
        <w:rPr>
          <w:rFonts w:ascii="Palatino Linotype" w:eastAsia="Calibri" w:hAnsi="Palatino Linotype" w:cs="Tahoma"/>
          <w:i/>
          <w:iCs/>
          <w:sz w:val="22"/>
          <w:lang w:eastAsia="es-ES_tradnl"/>
        </w:rPr>
        <w:t xml:space="preserve">, obligará a la convocante y al licitante ganador a </w:t>
      </w:r>
      <w:r w:rsidR="00757201" w:rsidRPr="00983FBC">
        <w:rPr>
          <w:rFonts w:ascii="Palatino Linotype" w:eastAsia="Calibri" w:hAnsi="Palatino Linotype" w:cs="Tahoma"/>
          <w:b/>
          <w:i/>
          <w:iCs/>
          <w:sz w:val="22"/>
          <w:lang w:eastAsia="es-ES_tradnl"/>
        </w:rPr>
        <w:t>suscribir el contrato respectivo</w:t>
      </w:r>
      <w:r w:rsidR="00757201" w:rsidRPr="00983FBC">
        <w:rPr>
          <w:rFonts w:ascii="Palatino Linotype" w:eastAsia="Calibri" w:hAnsi="Palatino Linotype" w:cs="Tahoma"/>
          <w:i/>
          <w:iCs/>
          <w:sz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rsidR="00757201" w:rsidRPr="00983FBC" w:rsidRDefault="00757201" w:rsidP="00983FBC">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983FBC" w:rsidRDefault="00757201" w:rsidP="00983FBC">
      <w:pPr>
        <w:tabs>
          <w:tab w:val="left" w:pos="4962"/>
        </w:tabs>
        <w:spacing w:line="360" w:lineRule="auto"/>
        <w:ind w:left="567" w:right="567"/>
        <w:jc w:val="both"/>
        <w:rPr>
          <w:rFonts w:ascii="Palatino Linotype" w:eastAsia="Calibri" w:hAnsi="Palatino Linotype" w:cs="Tahoma"/>
          <w:i/>
          <w:iCs/>
          <w:sz w:val="22"/>
          <w:lang w:eastAsia="es-ES_tradnl"/>
        </w:rPr>
      </w:pPr>
      <w:r w:rsidRPr="00983FBC">
        <w:rPr>
          <w:rFonts w:ascii="Palatino Linotype" w:eastAsia="Calibri" w:hAnsi="Palatino Linotype" w:cs="Tahoma"/>
          <w:b/>
          <w:i/>
          <w:iCs/>
          <w:sz w:val="22"/>
          <w:lang w:eastAsia="es-ES_tradnl"/>
        </w:rPr>
        <w:t>Artículo 80.-</w:t>
      </w:r>
      <w:r w:rsidRPr="00983FBC">
        <w:rPr>
          <w:rFonts w:ascii="Palatino Linotype" w:eastAsia="Calibri" w:hAnsi="Palatino Linotype" w:cs="Tahoma"/>
          <w:i/>
          <w:iCs/>
          <w:sz w:val="22"/>
          <w:lang w:eastAsia="es-ES_tradnl"/>
        </w:rPr>
        <w:t xml:space="preserve"> Los </w:t>
      </w:r>
      <w:r w:rsidRPr="00983FBC">
        <w:rPr>
          <w:rFonts w:ascii="Palatino Linotype" w:eastAsia="Calibri" w:hAnsi="Palatino Linotype" w:cs="Tahoma"/>
          <w:b/>
          <w:i/>
          <w:iCs/>
          <w:sz w:val="22"/>
          <w:lang w:eastAsia="es-ES_tradnl"/>
        </w:rPr>
        <w:t xml:space="preserve">contratos </w:t>
      </w:r>
      <w:proofErr w:type="gramStart"/>
      <w:r w:rsidRPr="00983FBC">
        <w:rPr>
          <w:rFonts w:ascii="Palatino Linotype" w:eastAsia="Calibri" w:hAnsi="Palatino Linotype" w:cs="Tahoma"/>
          <w:b/>
          <w:i/>
          <w:iCs/>
          <w:sz w:val="22"/>
          <w:lang w:eastAsia="es-ES_tradnl"/>
        </w:rPr>
        <w:t>pedido</w:t>
      </w:r>
      <w:proofErr w:type="gramEnd"/>
      <w:r w:rsidRPr="00983FBC">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que no exceda los montos </w:t>
      </w:r>
      <w:r w:rsidRPr="00983FBC">
        <w:rPr>
          <w:rFonts w:ascii="Palatino Linotype" w:eastAsia="Calibri" w:hAnsi="Palatino Linotype" w:cs="Tahoma"/>
          <w:i/>
          <w:iCs/>
          <w:sz w:val="22"/>
          <w:lang w:eastAsia="es-ES_tradnl"/>
        </w:rPr>
        <w:lastRenderedPageBreak/>
        <w:t xml:space="preserve">establecidos para la adjudicación directa, de conformidad con lo previsto en la fracción XI del artículo 48 de la presente Ley. Las dependencias deberán celebrar </w:t>
      </w:r>
      <w:proofErr w:type="gramStart"/>
      <w:r w:rsidRPr="00983FBC">
        <w:rPr>
          <w:rFonts w:ascii="Palatino Linotype" w:eastAsia="Calibri" w:hAnsi="Palatino Linotype" w:cs="Tahoma"/>
          <w:i/>
          <w:iCs/>
          <w:sz w:val="22"/>
          <w:lang w:eastAsia="es-ES_tradnl"/>
        </w:rPr>
        <w:t>contratos pedido</w:t>
      </w:r>
      <w:proofErr w:type="gramEnd"/>
      <w:r w:rsidRPr="00983FBC">
        <w:rPr>
          <w:rFonts w:ascii="Palatino Linotype" w:eastAsia="Calibri" w:hAnsi="Palatino Linotype" w:cs="Tahoma"/>
          <w:i/>
          <w:iCs/>
          <w:sz w:val="22"/>
          <w:lang w:eastAsia="es-ES_tradnl"/>
        </w:rPr>
        <w:t xml:space="preserve"> para la contratación de bienes o de servicios, que realicen al amparo de dicha fracción. </w:t>
      </w:r>
    </w:p>
    <w:p w:rsidR="00757201" w:rsidRPr="00983FBC" w:rsidRDefault="00757201" w:rsidP="00983FBC">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983FBC" w:rsidRDefault="00757201" w:rsidP="00983FBC">
      <w:pPr>
        <w:tabs>
          <w:tab w:val="left" w:pos="4962"/>
        </w:tabs>
        <w:spacing w:line="360" w:lineRule="auto"/>
        <w:ind w:left="567" w:right="567"/>
        <w:jc w:val="both"/>
        <w:rPr>
          <w:rFonts w:ascii="Palatino Linotype" w:eastAsia="Calibri" w:hAnsi="Palatino Linotype" w:cs="Tahoma"/>
          <w:i/>
          <w:iCs/>
          <w:sz w:val="22"/>
          <w:lang w:eastAsia="es-ES_tradnl"/>
        </w:rPr>
      </w:pPr>
      <w:r w:rsidRPr="00983FBC">
        <w:rPr>
          <w:rFonts w:ascii="Palatino Linotype" w:eastAsia="Calibri" w:hAnsi="Palatino Linotype" w:cs="Tahoma"/>
          <w:b/>
          <w:i/>
          <w:iCs/>
          <w:sz w:val="22"/>
          <w:lang w:eastAsia="es-ES_tradnl"/>
        </w:rPr>
        <w:t>Artículo 81.-</w:t>
      </w:r>
      <w:r w:rsidRPr="00983FBC">
        <w:rPr>
          <w:rFonts w:ascii="Palatino Linotype" w:eastAsia="Calibri" w:hAnsi="Palatino Linotype" w:cs="Tahoma"/>
          <w:i/>
          <w:iCs/>
          <w:sz w:val="22"/>
          <w:lang w:eastAsia="es-ES_tradnl"/>
        </w:rPr>
        <w:t xml:space="preserve"> Los </w:t>
      </w:r>
      <w:r w:rsidRPr="00983FBC">
        <w:rPr>
          <w:rFonts w:ascii="Palatino Linotype" w:eastAsia="Calibri" w:hAnsi="Palatino Linotype" w:cs="Tahoma"/>
          <w:b/>
          <w:i/>
          <w:iCs/>
          <w:sz w:val="22"/>
          <w:lang w:eastAsia="es-ES_tradnl"/>
        </w:rPr>
        <w:t>contratos abiertos</w:t>
      </w:r>
      <w:r w:rsidRPr="00983FBC">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r w:rsidR="00983FBC">
        <w:rPr>
          <w:rFonts w:ascii="Palatino Linotype" w:eastAsia="Calibri" w:hAnsi="Palatino Linotype" w:cs="Tahoma"/>
          <w:i/>
          <w:iCs/>
          <w:sz w:val="22"/>
          <w:lang w:eastAsia="es-ES_tradnl"/>
        </w:rPr>
        <w:t>”</w:t>
      </w:r>
    </w:p>
    <w:p w:rsidR="00757201" w:rsidRPr="00983FBC" w:rsidRDefault="00757201" w:rsidP="00983FBC">
      <w:pPr>
        <w:pStyle w:val="Prrafodelista"/>
        <w:spacing w:line="360" w:lineRule="auto"/>
        <w:ind w:left="0"/>
        <w:jc w:val="both"/>
        <w:rPr>
          <w:rFonts w:ascii="Palatino Linotype" w:hAnsi="Palatino Linotype" w:cs="Arial"/>
        </w:rPr>
      </w:pPr>
    </w:p>
    <w:p w:rsidR="00757201" w:rsidRPr="00983FBC" w:rsidRDefault="00757201"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 xml:space="preserve">Es así que, los municipios cuentan con la atribución legal para celebrar contratos para la adquisición de bienes o servicios. Por su parte, la Ley de Transparencia y Acceso a la Información Pública del Estado de México y Municipios, en su artículo </w:t>
      </w:r>
      <w:r w:rsidR="008F61D4" w:rsidRPr="00983FBC">
        <w:rPr>
          <w:rFonts w:ascii="Palatino Linotype" w:hAnsi="Palatino Linotype" w:cs="Arial"/>
        </w:rPr>
        <w:t>92, fracción XXIX establece lo siguiente:</w:t>
      </w:r>
    </w:p>
    <w:p w:rsidR="008F61D4" w:rsidRPr="00983FBC" w:rsidRDefault="008F61D4" w:rsidP="00983FBC">
      <w:pPr>
        <w:spacing w:line="360" w:lineRule="auto"/>
        <w:jc w:val="both"/>
        <w:rPr>
          <w:rFonts w:ascii="Palatino Linotype" w:hAnsi="Palatino Linotype" w:cs="Arial"/>
        </w:rPr>
      </w:pPr>
    </w:p>
    <w:p w:rsidR="005D258B" w:rsidRPr="00983FBC" w:rsidRDefault="005D258B" w:rsidP="00983FBC">
      <w:pPr>
        <w:autoSpaceDE w:val="0"/>
        <w:autoSpaceDN w:val="0"/>
        <w:adjustRightInd w:val="0"/>
        <w:spacing w:line="360" w:lineRule="auto"/>
        <w:ind w:left="284" w:right="567"/>
        <w:rPr>
          <w:rFonts w:ascii="Palatino Linotype" w:hAnsi="Palatino Linotype" w:cs="Arial"/>
          <w:i/>
          <w:sz w:val="28"/>
        </w:rPr>
      </w:pPr>
      <w:r w:rsidRPr="00983FBC">
        <w:rPr>
          <w:rFonts w:ascii="Palatino Linotype" w:eastAsiaTheme="minorHAnsi" w:hAnsi="Palatino Linotype" w:cs="Bookman Old Style,Bold"/>
          <w:b/>
          <w:bCs/>
          <w:i/>
          <w:sz w:val="22"/>
          <w:szCs w:val="20"/>
          <w:lang w:val="es-MX" w:eastAsia="en-US"/>
        </w:rPr>
        <w:t xml:space="preserve">XXIX. </w:t>
      </w:r>
      <w:r w:rsidRPr="00983FBC">
        <w:rPr>
          <w:rFonts w:ascii="Palatino Linotype" w:eastAsiaTheme="minorHAnsi" w:hAnsi="Palatino Linotype" w:cs="Bookman Old Style"/>
          <w:i/>
          <w:sz w:val="22"/>
          <w:szCs w:val="20"/>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5D258B" w:rsidRPr="00983FBC" w:rsidRDefault="005D258B" w:rsidP="00983FBC">
      <w:pPr>
        <w:spacing w:line="360" w:lineRule="auto"/>
        <w:ind w:left="567" w:right="567" w:hanging="283"/>
        <w:jc w:val="both"/>
        <w:rPr>
          <w:rFonts w:ascii="Palatino Linotype" w:hAnsi="Palatino Linotype" w:cs="Arial"/>
          <w:i/>
          <w:sz w:val="28"/>
        </w:rPr>
      </w:pPr>
    </w:p>
    <w:p w:rsidR="005D258B" w:rsidRPr="00983FBC" w:rsidRDefault="005D258B" w:rsidP="00983FBC">
      <w:pPr>
        <w:spacing w:line="360" w:lineRule="auto"/>
        <w:ind w:left="284" w:right="567" w:hanging="283"/>
        <w:jc w:val="both"/>
        <w:rPr>
          <w:rFonts w:ascii="Palatino Linotype" w:hAnsi="Palatino Linotype" w:cs="Arial"/>
          <w:i/>
          <w:sz w:val="28"/>
        </w:rPr>
      </w:pPr>
      <w:r w:rsidRPr="00983FBC">
        <w:rPr>
          <w:rFonts w:ascii="Palatino Linotype" w:eastAsiaTheme="minorHAnsi" w:hAnsi="Palatino Linotype" w:cs="Bookman Old Style,Bold"/>
          <w:b/>
          <w:bCs/>
          <w:i/>
          <w:sz w:val="22"/>
          <w:szCs w:val="20"/>
          <w:lang w:val="es-MX" w:eastAsia="en-US"/>
        </w:rPr>
        <w:t xml:space="preserve">a) </w:t>
      </w:r>
      <w:r w:rsidRPr="00983FBC">
        <w:rPr>
          <w:rFonts w:ascii="Palatino Linotype" w:eastAsiaTheme="minorHAnsi" w:hAnsi="Palatino Linotype" w:cs="Bookman Old Style"/>
          <w:i/>
          <w:sz w:val="22"/>
          <w:szCs w:val="20"/>
          <w:lang w:val="es-MX" w:eastAsia="en-US"/>
        </w:rPr>
        <w:t>De licitaciones públicas o procedimientos de invitación restringida:</w:t>
      </w:r>
    </w:p>
    <w:p w:rsidR="00757201" w:rsidRPr="00983FBC" w:rsidRDefault="00757201" w:rsidP="00983FBC">
      <w:pPr>
        <w:pStyle w:val="Prrafodelista"/>
        <w:spacing w:line="360" w:lineRule="auto"/>
        <w:ind w:left="567" w:right="567" w:hanging="283"/>
        <w:jc w:val="both"/>
        <w:rPr>
          <w:rFonts w:ascii="Palatino Linotype" w:hAnsi="Palatino Linotype" w:cs="Arial"/>
          <w:i/>
          <w:sz w:val="28"/>
        </w:rPr>
      </w:pP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 </w:t>
      </w:r>
      <w:r w:rsidRPr="00983FBC">
        <w:rPr>
          <w:rFonts w:ascii="Palatino Linotype" w:eastAsiaTheme="minorHAnsi" w:hAnsi="Palatino Linotype" w:cs="Bookman Old Style"/>
          <w:i/>
          <w:sz w:val="22"/>
          <w:szCs w:val="20"/>
          <w:lang w:val="es-MX" w:eastAsia="en-US"/>
        </w:rPr>
        <w:t>La convocatoria o invitación emitida, así como los fundamentos legales aplicados para llevarla a cabo;</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2) </w:t>
      </w:r>
      <w:r w:rsidRPr="00983FBC">
        <w:rPr>
          <w:rFonts w:ascii="Palatino Linotype" w:eastAsiaTheme="minorHAnsi" w:hAnsi="Palatino Linotype" w:cs="Bookman Old Style"/>
          <w:i/>
          <w:sz w:val="22"/>
          <w:szCs w:val="20"/>
          <w:lang w:val="es-MX" w:eastAsia="en-US"/>
        </w:rPr>
        <w:t>Los nombres de los participantes o invitados;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3) </w:t>
      </w:r>
      <w:r w:rsidRPr="00983FBC">
        <w:rPr>
          <w:rFonts w:ascii="Palatino Linotype" w:eastAsiaTheme="minorHAnsi" w:hAnsi="Palatino Linotype" w:cs="Bookman Old Style"/>
          <w:i/>
          <w:sz w:val="22"/>
          <w:szCs w:val="20"/>
          <w:lang w:val="es-MX" w:eastAsia="en-US"/>
        </w:rPr>
        <w:t>El nombre del ganador y las razones que lo justifican;</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lastRenderedPageBreak/>
        <w:t xml:space="preserve">4) </w:t>
      </w:r>
      <w:r w:rsidRPr="00983FBC">
        <w:rPr>
          <w:rFonts w:ascii="Palatino Linotype" w:eastAsiaTheme="minorHAnsi" w:hAnsi="Palatino Linotype" w:cs="Bookman Old Style"/>
          <w:i/>
          <w:sz w:val="22"/>
          <w:szCs w:val="20"/>
          <w:lang w:val="es-MX" w:eastAsia="en-US"/>
        </w:rPr>
        <w:t>El área solicitante y la responsable de su ejecución;</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5) </w:t>
      </w:r>
      <w:r w:rsidRPr="00983FBC">
        <w:rPr>
          <w:rFonts w:ascii="Palatino Linotype" w:eastAsiaTheme="minorHAnsi" w:hAnsi="Palatino Linotype" w:cs="Bookman Old Style"/>
          <w:i/>
          <w:sz w:val="22"/>
          <w:szCs w:val="20"/>
          <w:lang w:val="es-MX" w:eastAsia="en-US"/>
        </w:rPr>
        <w:t>Las convocatorias e invitaciones emitidas;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6) </w:t>
      </w:r>
      <w:r w:rsidRPr="00983FBC">
        <w:rPr>
          <w:rFonts w:ascii="Palatino Linotype" w:eastAsiaTheme="minorHAnsi" w:hAnsi="Palatino Linotype" w:cs="Bookman Old Style"/>
          <w:i/>
          <w:sz w:val="22"/>
          <w:szCs w:val="20"/>
          <w:lang w:val="es-MX" w:eastAsia="en-US"/>
        </w:rPr>
        <w:t>Los dictámenes y fallo de adjudicación;</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b/>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7) </w:t>
      </w:r>
      <w:r w:rsidRPr="00983FBC">
        <w:rPr>
          <w:rFonts w:ascii="Palatino Linotype" w:eastAsiaTheme="minorHAnsi" w:hAnsi="Palatino Linotype" w:cs="Bookman Old Style"/>
          <w:b/>
          <w:i/>
          <w:sz w:val="22"/>
          <w:szCs w:val="20"/>
          <w:lang w:val="es-MX" w:eastAsia="en-US"/>
        </w:rPr>
        <w:t>El contrato y, en su caso, sus anexos;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8) </w:t>
      </w:r>
      <w:r w:rsidRPr="00983FBC">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9) </w:t>
      </w:r>
      <w:r w:rsidRPr="00983FBC">
        <w:rPr>
          <w:rFonts w:ascii="Palatino Linotype" w:eastAsiaTheme="minorHAnsi" w:hAnsi="Palatino Linotype" w:cs="Bookman Old Style"/>
          <w:i/>
          <w:sz w:val="22"/>
          <w:szCs w:val="20"/>
          <w:lang w:val="es-MX" w:eastAsia="en-US"/>
        </w:rPr>
        <w:t>La partida presupuestal, de conformidad con el clasificador por objeto del gasto, en el caso de ser aplicable;</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10) </w:t>
      </w:r>
      <w:r w:rsidRPr="00983FBC">
        <w:rPr>
          <w:rFonts w:ascii="Palatino Linotype" w:eastAsiaTheme="minorHAnsi" w:hAnsi="Palatino Linotype" w:cs="Bookman Old Style"/>
          <w:i/>
          <w:sz w:val="22"/>
          <w:szCs w:val="20"/>
          <w:lang w:val="es-MX" w:eastAsia="en-US"/>
        </w:rPr>
        <w:t>Origen de los recursos especificando si son federales, estatales o municipales, así como el tipo de fondo de participación o aportación respectiva;</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11) </w:t>
      </w:r>
      <w:r w:rsidRPr="00983FBC">
        <w:rPr>
          <w:rFonts w:ascii="Palatino Linotype" w:eastAsiaTheme="minorHAnsi" w:hAnsi="Palatino Linotype" w:cs="Bookman Old Style"/>
          <w:i/>
          <w:sz w:val="22"/>
          <w:szCs w:val="20"/>
          <w:lang w:val="es-MX" w:eastAsia="en-US"/>
        </w:rPr>
        <w:t>Los convenios modificatorios que, en su caso, sean firmados, precisando el objeto y la fecha de celebración;</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12) </w:t>
      </w:r>
      <w:r w:rsidRPr="00983FBC">
        <w:rPr>
          <w:rFonts w:ascii="Palatino Linotype" w:eastAsiaTheme="minorHAnsi" w:hAnsi="Palatino Linotype" w:cs="Bookman Old Style"/>
          <w:i/>
          <w:sz w:val="22"/>
          <w:szCs w:val="20"/>
          <w:lang w:val="es-MX" w:eastAsia="en-US"/>
        </w:rPr>
        <w:t>Los informes de avance físico y financiero sobre las obras o servicios contratados;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13) </w:t>
      </w:r>
      <w:r w:rsidRPr="00983FBC">
        <w:rPr>
          <w:rFonts w:ascii="Palatino Linotype" w:eastAsiaTheme="minorHAnsi" w:hAnsi="Palatino Linotype" w:cs="Bookman Old Style"/>
          <w:i/>
          <w:sz w:val="22"/>
          <w:szCs w:val="20"/>
          <w:lang w:val="es-MX" w:eastAsia="en-US"/>
        </w:rPr>
        <w:t>El convenio de terminación; y</w:t>
      </w:r>
    </w:p>
    <w:p w:rsidR="005D258B" w:rsidRPr="00983FBC" w:rsidRDefault="005D258B" w:rsidP="00983FBC">
      <w:pPr>
        <w:pStyle w:val="Prrafodelista"/>
        <w:spacing w:line="360" w:lineRule="auto"/>
        <w:ind w:left="567" w:right="567" w:hanging="283"/>
        <w:jc w:val="both"/>
        <w:rPr>
          <w:rFonts w:ascii="Palatino Linotype" w:hAnsi="Palatino Linotype" w:cs="Arial"/>
          <w:i/>
          <w:sz w:val="28"/>
        </w:rPr>
      </w:pPr>
      <w:r w:rsidRPr="00983FBC">
        <w:rPr>
          <w:rFonts w:ascii="Palatino Linotype" w:eastAsiaTheme="minorHAnsi" w:hAnsi="Palatino Linotype" w:cs="Bookman Old Style,Bold"/>
          <w:b/>
          <w:bCs/>
          <w:i/>
          <w:sz w:val="22"/>
          <w:szCs w:val="20"/>
          <w:lang w:val="es-MX" w:eastAsia="en-US"/>
        </w:rPr>
        <w:t xml:space="preserve">14) </w:t>
      </w:r>
      <w:r w:rsidRPr="00983FBC">
        <w:rPr>
          <w:rFonts w:ascii="Palatino Linotype" w:eastAsiaTheme="minorHAnsi" w:hAnsi="Palatino Linotype" w:cs="Bookman Old Style"/>
          <w:i/>
          <w:sz w:val="22"/>
          <w:szCs w:val="20"/>
          <w:lang w:val="es-MX" w:eastAsia="en-US"/>
        </w:rPr>
        <w:t>El finiquito.</w:t>
      </w:r>
    </w:p>
    <w:p w:rsidR="005D258B" w:rsidRPr="00983FBC" w:rsidRDefault="005D258B" w:rsidP="00983FBC">
      <w:pPr>
        <w:pStyle w:val="Prrafodelista"/>
        <w:spacing w:line="360" w:lineRule="auto"/>
        <w:ind w:left="567" w:right="567" w:hanging="283"/>
        <w:jc w:val="both"/>
        <w:rPr>
          <w:rFonts w:ascii="Palatino Linotype" w:hAnsi="Palatino Linotype" w:cs="Arial"/>
          <w:i/>
          <w:sz w:val="28"/>
        </w:rPr>
      </w:pPr>
    </w:p>
    <w:p w:rsidR="005D258B" w:rsidRPr="00983FBC" w:rsidRDefault="005D258B" w:rsidP="00983FBC">
      <w:pPr>
        <w:pStyle w:val="Prrafodelista"/>
        <w:spacing w:line="360" w:lineRule="auto"/>
        <w:ind w:left="284" w:right="567" w:hanging="283"/>
        <w:jc w:val="both"/>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b) </w:t>
      </w:r>
      <w:r w:rsidRPr="00983FBC">
        <w:rPr>
          <w:rFonts w:ascii="Palatino Linotype" w:eastAsiaTheme="minorHAnsi" w:hAnsi="Palatino Linotype" w:cs="Bookman Old Style"/>
          <w:i/>
          <w:sz w:val="22"/>
          <w:szCs w:val="20"/>
          <w:lang w:val="es-MX" w:eastAsia="en-US"/>
        </w:rPr>
        <w:t>De las adjudicaciones directas:</w:t>
      </w:r>
    </w:p>
    <w:p w:rsidR="005D258B" w:rsidRPr="00983FBC" w:rsidRDefault="005D258B" w:rsidP="00983FB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 </w:t>
      </w:r>
      <w:r w:rsidRPr="00983FBC">
        <w:rPr>
          <w:rFonts w:ascii="Palatino Linotype" w:eastAsiaTheme="minorHAnsi" w:hAnsi="Palatino Linotype" w:cs="Bookman Old Style"/>
          <w:i/>
          <w:sz w:val="22"/>
          <w:szCs w:val="20"/>
          <w:lang w:val="es-MX" w:eastAsia="en-US"/>
        </w:rPr>
        <w:t>La propuesta enviada por el participante;</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2) </w:t>
      </w:r>
      <w:r w:rsidRPr="00983FBC">
        <w:rPr>
          <w:rFonts w:ascii="Palatino Linotype" w:eastAsiaTheme="minorHAnsi" w:hAnsi="Palatino Linotype" w:cs="Bookman Old Style"/>
          <w:i/>
          <w:sz w:val="22"/>
          <w:szCs w:val="20"/>
          <w:lang w:val="es-MX" w:eastAsia="en-US"/>
        </w:rPr>
        <w:t>Los motivos y fundamentos legales aplicados para llevarla a cabo;</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3) </w:t>
      </w:r>
      <w:r w:rsidRPr="00983FBC">
        <w:rPr>
          <w:rFonts w:ascii="Palatino Linotype" w:eastAsiaTheme="minorHAnsi" w:hAnsi="Palatino Linotype" w:cs="Bookman Old Style"/>
          <w:i/>
          <w:sz w:val="22"/>
          <w:szCs w:val="20"/>
          <w:lang w:val="es-MX" w:eastAsia="en-US"/>
        </w:rPr>
        <w:t>La autorización del ejercicio de la opción;</w:t>
      </w:r>
    </w:p>
    <w:p w:rsidR="005D258B" w:rsidRPr="00983FBC" w:rsidRDefault="005D258B" w:rsidP="00983FB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4) </w:t>
      </w:r>
      <w:r w:rsidRPr="00983FBC">
        <w:rPr>
          <w:rFonts w:ascii="Palatino Linotype" w:eastAsiaTheme="minorHAnsi" w:hAnsi="Palatino Linotype" w:cs="Bookman Old Style"/>
          <w:i/>
          <w:sz w:val="22"/>
          <w:szCs w:val="20"/>
          <w:lang w:val="es-MX" w:eastAsia="en-US"/>
        </w:rPr>
        <w:t>En su caso, las cotizaciones consideradas, especificando los nombres de los proveedores y sus montos;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5) </w:t>
      </w:r>
      <w:r w:rsidRPr="00983FBC">
        <w:rPr>
          <w:rFonts w:ascii="Palatino Linotype" w:eastAsiaTheme="minorHAnsi" w:hAnsi="Palatino Linotype" w:cs="Bookman Old Style"/>
          <w:i/>
          <w:sz w:val="22"/>
          <w:szCs w:val="20"/>
          <w:lang w:val="es-MX" w:eastAsia="en-US"/>
        </w:rPr>
        <w:t>El nombre de la persona física o jurídica colectiva adjudicada;</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6) </w:t>
      </w:r>
      <w:r w:rsidRPr="00983FBC">
        <w:rPr>
          <w:rFonts w:ascii="Palatino Linotype" w:eastAsiaTheme="minorHAnsi" w:hAnsi="Palatino Linotype" w:cs="Bookman Old Style"/>
          <w:i/>
          <w:sz w:val="22"/>
          <w:szCs w:val="20"/>
          <w:lang w:val="es-MX" w:eastAsia="en-US"/>
        </w:rPr>
        <w:t>La unidad administrativa solicitante y la responsable de su ejecución;</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7) </w:t>
      </w:r>
      <w:r w:rsidRPr="00983FBC">
        <w:rPr>
          <w:rFonts w:ascii="Palatino Linotype" w:eastAsiaTheme="minorHAnsi" w:hAnsi="Palatino Linotype" w:cs="Bookman Old Style"/>
          <w:i/>
          <w:sz w:val="22"/>
          <w:szCs w:val="20"/>
          <w:lang w:val="es-MX" w:eastAsia="en-US"/>
        </w:rPr>
        <w:t>El número, fecha, el monto del contrato y el plazo de entrega o de ejecución de los servicios u obra;</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lastRenderedPageBreak/>
        <w:t xml:space="preserve">8) </w:t>
      </w:r>
      <w:r w:rsidRPr="00983FBC">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9) </w:t>
      </w:r>
      <w:r w:rsidRPr="00983FBC">
        <w:rPr>
          <w:rFonts w:ascii="Palatino Linotype" w:eastAsiaTheme="minorHAnsi" w:hAnsi="Palatino Linotype" w:cs="Bookman Old Style"/>
          <w:i/>
          <w:sz w:val="22"/>
          <w:szCs w:val="20"/>
          <w:lang w:val="es-MX" w:eastAsia="en-US"/>
        </w:rPr>
        <w:t>Los informes de avance sobre las obras o servicios contratados;</w:t>
      </w:r>
    </w:p>
    <w:p w:rsidR="005D258B" w:rsidRPr="00983FBC" w:rsidRDefault="005D258B" w:rsidP="00983FB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10) </w:t>
      </w:r>
      <w:r w:rsidRPr="00983FBC">
        <w:rPr>
          <w:rFonts w:ascii="Palatino Linotype" w:eastAsiaTheme="minorHAnsi" w:hAnsi="Palatino Linotype" w:cs="Bookman Old Style"/>
          <w:i/>
          <w:sz w:val="22"/>
          <w:szCs w:val="20"/>
          <w:lang w:val="es-MX" w:eastAsia="en-US"/>
        </w:rPr>
        <w:t>El convenio de terminación; y</w:t>
      </w:r>
    </w:p>
    <w:p w:rsidR="005D258B" w:rsidRPr="00983FBC" w:rsidRDefault="005D258B" w:rsidP="00983FB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983FBC">
        <w:rPr>
          <w:rFonts w:ascii="Palatino Linotype" w:eastAsiaTheme="minorHAnsi" w:hAnsi="Palatino Linotype" w:cs="Bookman Old Style,Bold"/>
          <w:b/>
          <w:bCs/>
          <w:i/>
          <w:sz w:val="22"/>
          <w:szCs w:val="20"/>
          <w:lang w:val="es-MX" w:eastAsia="en-US"/>
        </w:rPr>
        <w:t xml:space="preserve">11) </w:t>
      </w:r>
      <w:r w:rsidRPr="00983FBC">
        <w:rPr>
          <w:rFonts w:ascii="Palatino Linotype" w:eastAsiaTheme="minorHAnsi" w:hAnsi="Palatino Linotype" w:cs="Bookman Old Style"/>
          <w:i/>
          <w:sz w:val="22"/>
          <w:szCs w:val="20"/>
          <w:lang w:val="es-MX" w:eastAsia="en-US"/>
        </w:rPr>
        <w:t>El finiquito.</w:t>
      </w:r>
    </w:p>
    <w:p w:rsidR="005D258B" w:rsidRPr="00983FBC" w:rsidRDefault="005D258B" w:rsidP="00983FBC">
      <w:pPr>
        <w:pStyle w:val="Prrafodelista"/>
        <w:spacing w:line="360" w:lineRule="auto"/>
        <w:ind w:left="0"/>
        <w:jc w:val="both"/>
        <w:rPr>
          <w:rFonts w:ascii="Palatino Linotype" w:eastAsiaTheme="minorHAnsi" w:hAnsi="Palatino Linotype" w:cs="Bookman Old Style"/>
          <w:sz w:val="20"/>
          <w:szCs w:val="20"/>
          <w:lang w:val="es-MX" w:eastAsia="en-US"/>
        </w:rPr>
      </w:pPr>
    </w:p>
    <w:p w:rsidR="00757201" w:rsidRPr="00983FBC" w:rsidRDefault="005D258B"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La normatividad en materia establece que los procesos de licitación pública  y adjudicación directa deberán ser públicos junto con toda la documentación que de ellos se derive, tal como el contrato y sus anexos por estar contemplados dentro de las obligaciones de transparencia común.</w:t>
      </w:r>
    </w:p>
    <w:p w:rsidR="00806E03" w:rsidRPr="00983FBC" w:rsidRDefault="00806E03" w:rsidP="00983FBC">
      <w:pPr>
        <w:pStyle w:val="Prrafodelista"/>
        <w:spacing w:line="360" w:lineRule="auto"/>
        <w:ind w:left="0"/>
        <w:jc w:val="both"/>
        <w:rPr>
          <w:rFonts w:ascii="Palatino Linotype" w:hAnsi="Palatino Linotype" w:cs="Arial"/>
        </w:rPr>
      </w:pPr>
    </w:p>
    <w:p w:rsidR="00806E03" w:rsidRPr="00983FBC" w:rsidRDefault="00806E03"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En el presente asunto en particular, el Sujeto Obligado no niega la existencia de la información, sino por el contrario, entrega los documentos solicitados; no obstante, surgen algunos aspectos a considerar.</w:t>
      </w:r>
    </w:p>
    <w:p w:rsidR="00806E03" w:rsidRPr="00983FBC" w:rsidRDefault="00806E03" w:rsidP="00983FBC">
      <w:pPr>
        <w:pStyle w:val="Prrafodelista"/>
        <w:spacing w:line="360" w:lineRule="auto"/>
        <w:rPr>
          <w:rFonts w:ascii="Palatino Linotype" w:hAnsi="Palatino Linotype" w:cs="Arial"/>
        </w:rPr>
      </w:pPr>
    </w:p>
    <w:p w:rsidR="00806E03" w:rsidRPr="00983FBC" w:rsidRDefault="00806E03"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El primero de ellos, es que los contratos proporcionados hablan de la existencia de anexos, en los cuales se contienen las especificaciones de los bienes adquiridos, dichos anexos no fueron incorporados a la información proporcionada.</w:t>
      </w:r>
      <w:r w:rsidR="00493874" w:rsidRPr="00983FBC">
        <w:rPr>
          <w:rFonts w:ascii="Palatino Linotype" w:hAnsi="Palatino Linotype" w:cs="Arial"/>
        </w:rPr>
        <w:t xml:space="preserve"> Si bien es cierto, en la solicitud únicamente hace alusión a los contratos, también lo es que, los anexos forman parte del documento requerido y, por lo tanto, debieron ser proporcionados.</w:t>
      </w:r>
    </w:p>
    <w:p w:rsidR="00493874" w:rsidRPr="00983FBC" w:rsidRDefault="00493874" w:rsidP="00983FBC">
      <w:pPr>
        <w:spacing w:line="360" w:lineRule="auto"/>
        <w:jc w:val="both"/>
        <w:rPr>
          <w:rFonts w:ascii="Palatino Linotype" w:hAnsi="Palatino Linotype" w:cs="Arial"/>
        </w:rPr>
      </w:pPr>
    </w:p>
    <w:p w:rsidR="00493874" w:rsidRPr="00983FBC" w:rsidRDefault="00493874" w:rsidP="00983FBC">
      <w:pPr>
        <w:numPr>
          <w:ilvl w:val="0"/>
          <w:numId w:val="18"/>
        </w:numPr>
        <w:spacing w:line="360" w:lineRule="auto"/>
        <w:ind w:left="0" w:firstLine="0"/>
        <w:contextualSpacing/>
        <w:jc w:val="both"/>
        <w:rPr>
          <w:rFonts w:ascii="Palatino Linotype" w:hAnsi="Palatino Linotype" w:cs="Times New Roman"/>
          <w:i/>
          <w:lang w:eastAsia="es-ES_tradnl"/>
        </w:rPr>
      </w:pPr>
      <w:r w:rsidRPr="00983FBC">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rsidR="00493874" w:rsidRPr="00983FBC" w:rsidRDefault="00493874" w:rsidP="00983FBC">
      <w:pPr>
        <w:spacing w:line="360" w:lineRule="auto"/>
        <w:ind w:left="567" w:right="567"/>
        <w:contextualSpacing/>
        <w:jc w:val="center"/>
        <w:rPr>
          <w:rFonts w:ascii="Palatino Linotype" w:hAnsi="Palatino Linotype" w:cs="Times New Roman"/>
          <w:b/>
          <w:i/>
          <w:sz w:val="22"/>
          <w:szCs w:val="22"/>
          <w:lang w:eastAsia="es-ES_tradnl"/>
        </w:rPr>
      </w:pPr>
      <w:r w:rsidRPr="00983FBC">
        <w:rPr>
          <w:rFonts w:ascii="Palatino Linotype" w:hAnsi="Palatino Linotype" w:cs="Times New Roman"/>
          <w:b/>
          <w:i/>
          <w:sz w:val="22"/>
          <w:szCs w:val="22"/>
          <w:lang w:eastAsia="es-ES_tradnl"/>
        </w:rPr>
        <w:lastRenderedPageBreak/>
        <w:t>Criterio 20/10</w:t>
      </w:r>
    </w:p>
    <w:p w:rsidR="00493874" w:rsidRPr="00983FBC" w:rsidRDefault="00493874" w:rsidP="00983FBC">
      <w:pPr>
        <w:spacing w:line="360" w:lineRule="auto"/>
        <w:ind w:left="567" w:right="567"/>
        <w:jc w:val="both"/>
        <w:rPr>
          <w:rFonts w:ascii="Palatino Linotype" w:eastAsia="Arial" w:hAnsi="Palatino Linotype" w:cs="Arial"/>
          <w:i/>
          <w:sz w:val="22"/>
          <w:szCs w:val="22"/>
          <w:lang w:val="en-US" w:eastAsia="en-US"/>
        </w:rPr>
      </w:pPr>
      <w:r w:rsidRPr="00983FBC">
        <w:rPr>
          <w:rFonts w:ascii="Palatino Linotype" w:eastAsia="Arial" w:hAnsi="Palatino Linotype" w:cs="Arial"/>
          <w:b/>
          <w:i/>
          <w:sz w:val="22"/>
          <w:szCs w:val="22"/>
          <w:lang w:val="en-US" w:eastAsia="en-US"/>
        </w:rPr>
        <w:t>Los</w:t>
      </w:r>
      <w:r w:rsidRPr="00983FBC">
        <w:rPr>
          <w:rFonts w:ascii="Palatino Linotype" w:eastAsia="Arial" w:hAnsi="Palatino Linotype" w:cs="Arial"/>
          <w:b/>
          <w:i/>
          <w:spacing w:val="6"/>
          <w:sz w:val="22"/>
          <w:szCs w:val="22"/>
          <w:lang w:val="en-US" w:eastAsia="en-US"/>
        </w:rPr>
        <w:t xml:space="preserve"> </w:t>
      </w:r>
      <w:proofErr w:type="spellStart"/>
      <w:r w:rsidRPr="00983FBC">
        <w:rPr>
          <w:rFonts w:ascii="Palatino Linotype" w:eastAsia="Arial" w:hAnsi="Palatino Linotype" w:cs="Arial"/>
          <w:b/>
          <w:i/>
          <w:spacing w:val="1"/>
          <w:sz w:val="22"/>
          <w:szCs w:val="22"/>
          <w:lang w:val="en-US" w:eastAsia="en-US"/>
        </w:rPr>
        <w:t>a</w:t>
      </w:r>
      <w:r w:rsidRPr="00983FBC">
        <w:rPr>
          <w:rFonts w:ascii="Palatino Linotype" w:eastAsia="Arial" w:hAnsi="Palatino Linotype" w:cs="Arial"/>
          <w:b/>
          <w:i/>
          <w:sz w:val="22"/>
          <w:szCs w:val="22"/>
          <w:lang w:val="en-US" w:eastAsia="en-US"/>
        </w:rPr>
        <w:t>ne</w:t>
      </w:r>
      <w:r w:rsidRPr="00983FBC">
        <w:rPr>
          <w:rFonts w:ascii="Palatino Linotype" w:eastAsia="Arial" w:hAnsi="Palatino Linotype" w:cs="Arial"/>
          <w:b/>
          <w:i/>
          <w:spacing w:val="1"/>
          <w:sz w:val="22"/>
          <w:szCs w:val="22"/>
          <w:lang w:val="en-US" w:eastAsia="en-US"/>
        </w:rPr>
        <w:t>x</w:t>
      </w:r>
      <w:r w:rsidRPr="00983FBC">
        <w:rPr>
          <w:rFonts w:ascii="Palatino Linotype" w:eastAsia="Arial" w:hAnsi="Palatino Linotype" w:cs="Arial"/>
          <w:b/>
          <w:i/>
          <w:sz w:val="22"/>
          <w:szCs w:val="22"/>
          <w:lang w:val="en-US" w:eastAsia="en-US"/>
        </w:rPr>
        <w:t>os</w:t>
      </w:r>
      <w:proofErr w:type="spellEnd"/>
      <w:r w:rsidRPr="00983FBC">
        <w:rPr>
          <w:rFonts w:ascii="Palatino Linotype" w:eastAsia="Arial" w:hAnsi="Palatino Linotype" w:cs="Arial"/>
          <w:b/>
          <w:i/>
          <w:spacing w:val="3"/>
          <w:sz w:val="22"/>
          <w:szCs w:val="22"/>
          <w:lang w:val="en-US" w:eastAsia="en-US"/>
        </w:rPr>
        <w:t xml:space="preserve"> </w:t>
      </w:r>
      <w:r w:rsidRPr="00983FBC">
        <w:rPr>
          <w:rFonts w:ascii="Palatino Linotype" w:eastAsia="Arial" w:hAnsi="Palatino Linotype" w:cs="Arial"/>
          <w:b/>
          <w:i/>
          <w:spacing w:val="1"/>
          <w:sz w:val="22"/>
          <w:szCs w:val="22"/>
          <w:lang w:val="en-US" w:eastAsia="en-US"/>
        </w:rPr>
        <w:t>s</w:t>
      </w:r>
      <w:r w:rsidRPr="00983FBC">
        <w:rPr>
          <w:rFonts w:ascii="Palatino Linotype" w:eastAsia="Arial" w:hAnsi="Palatino Linotype" w:cs="Arial"/>
          <w:b/>
          <w:i/>
          <w:sz w:val="22"/>
          <w:szCs w:val="22"/>
          <w:lang w:val="en-US" w:eastAsia="en-US"/>
        </w:rPr>
        <w:t>on</w:t>
      </w:r>
      <w:r w:rsidRPr="00983FBC">
        <w:rPr>
          <w:rFonts w:ascii="Palatino Linotype" w:eastAsia="Arial" w:hAnsi="Palatino Linotype" w:cs="Arial"/>
          <w:b/>
          <w:i/>
          <w:spacing w:val="5"/>
          <w:sz w:val="22"/>
          <w:szCs w:val="22"/>
          <w:lang w:val="en-US" w:eastAsia="en-US"/>
        </w:rPr>
        <w:t xml:space="preserve"> </w:t>
      </w:r>
      <w:r w:rsidRPr="00983FBC">
        <w:rPr>
          <w:rFonts w:ascii="Palatino Linotype" w:eastAsia="Arial" w:hAnsi="Palatino Linotype" w:cs="Arial"/>
          <w:b/>
          <w:i/>
          <w:sz w:val="22"/>
          <w:szCs w:val="22"/>
          <w:lang w:val="en-US" w:eastAsia="en-US"/>
        </w:rPr>
        <w:t>par</w:t>
      </w:r>
      <w:r w:rsidRPr="00983FBC">
        <w:rPr>
          <w:rFonts w:ascii="Palatino Linotype" w:eastAsia="Arial" w:hAnsi="Palatino Linotype" w:cs="Arial"/>
          <w:b/>
          <w:i/>
          <w:spacing w:val="-3"/>
          <w:sz w:val="22"/>
          <w:szCs w:val="22"/>
          <w:lang w:val="en-US" w:eastAsia="en-US"/>
        </w:rPr>
        <w:t>t</w:t>
      </w:r>
      <w:r w:rsidRPr="00983FBC">
        <w:rPr>
          <w:rFonts w:ascii="Palatino Linotype" w:eastAsia="Arial" w:hAnsi="Palatino Linotype" w:cs="Arial"/>
          <w:b/>
          <w:i/>
          <w:sz w:val="22"/>
          <w:szCs w:val="22"/>
          <w:lang w:val="en-US" w:eastAsia="en-US"/>
        </w:rPr>
        <w:t>e</w:t>
      </w:r>
      <w:r w:rsidRPr="00983FBC">
        <w:rPr>
          <w:rFonts w:ascii="Palatino Linotype" w:eastAsia="Arial" w:hAnsi="Palatino Linotype" w:cs="Arial"/>
          <w:b/>
          <w:i/>
          <w:spacing w:val="6"/>
          <w:sz w:val="22"/>
          <w:szCs w:val="22"/>
          <w:lang w:val="en-US" w:eastAsia="en-US"/>
        </w:rPr>
        <w:t xml:space="preserve"> </w:t>
      </w:r>
      <w:r w:rsidRPr="00983FBC">
        <w:rPr>
          <w:rFonts w:ascii="Palatino Linotype" w:eastAsia="Arial" w:hAnsi="Palatino Linotype" w:cs="Arial"/>
          <w:b/>
          <w:i/>
          <w:sz w:val="22"/>
          <w:szCs w:val="22"/>
          <w:lang w:val="en-US" w:eastAsia="en-US"/>
        </w:rPr>
        <w:t>integr</w:t>
      </w:r>
      <w:r w:rsidRPr="00983FBC">
        <w:rPr>
          <w:rFonts w:ascii="Palatino Linotype" w:eastAsia="Arial" w:hAnsi="Palatino Linotype" w:cs="Arial"/>
          <w:b/>
          <w:i/>
          <w:spacing w:val="1"/>
          <w:sz w:val="22"/>
          <w:szCs w:val="22"/>
          <w:lang w:val="en-US" w:eastAsia="en-US"/>
        </w:rPr>
        <w:t>a</w:t>
      </w:r>
      <w:r w:rsidRPr="00983FBC">
        <w:rPr>
          <w:rFonts w:ascii="Palatino Linotype" w:eastAsia="Arial" w:hAnsi="Palatino Linotype" w:cs="Arial"/>
          <w:b/>
          <w:i/>
          <w:sz w:val="22"/>
          <w:szCs w:val="22"/>
          <w:lang w:val="en-US" w:eastAsia="en-US"/>
        </w:rPr>
        <w:t>l</w:t>
      </w:r>
      <w:r w:rsidRPr="00983FBC">
        <w:rPr>
          <w:rFonts w:ascii="Palatino Linotype" w:eastAsia="Arial" w:hAnsi="Palatino Linotype" w:cs="Arial"/>
          <w:b/>
          <w:i/>
          <w:spacing w:val="6"/>
          <w:sz w:val="22"/>
          <w:szCs w:val="22"/>
          <w:lang w:val="en-US" w:eastAsia="en-US"/>
        </w:rPr>
        <w:t xml:space="preserve"> </w:t>
      </w:r>
      <w:proofErr w:type="gramStart"/>
      <w:r w:rsidRPr="00983FBC">
        <w:rPr>
          <w:rFonts w:ascii="Palatino Linotype" w:eastAsia="Arial" w:hAnsi="Palatino Linotype" w:cs="Arial"/>
          <w:b/>
          <w:i/>
          <w:sz w:val="22"/>
          <w:szCs w:val="22"/>
          <w:lang w:val="en-US" w:eastAsia="en-US"/>
        </w:rPr>
        <w:t>d</w:t>
      </w:r>
      <w:r w:rsidRPr="00983FBC">
        <w:rPr>
          <w:rFonts w:ascii="Palatino Linotype" w:eastAsia="Arial" w:hAnsi="Palatino Linotype" w:cs="Arial"/>
          <w:b/>
          <w:i/>
          <w:spacing w:val="-2"/>
          <w:sz w:val="22"/>
          <w:szCs w:val="22"/>
          <w:lang w:val="en-US" w:eastAsia="en-US"/>
        </w:rPr>
        <w:t>e</w:t>
      </w:r>
      <w:r w:rsidRPr="00983FBC">
        <w:rPr>
          <w:rFonts w:ascii="Palatino Linotype" w:eastAsia="Arial" w:hAnsi="Palatino Linotype" w:cs="Arial"/>
          <w:b/>
          <w:i/>
          <w:sz w:val="22"/>
          <w:szCs w:val="22"/>
          <w:lang w:val="en-US" w:eastAsia="en-US"/>
        </w:rPr>
        <w:t>l</w:t>
      </w:r>
      <w:proofErr w:type="gramEnd"/>
      <w:r w:rsidRPr="00983FBC">
        <w:rPr>
          <w:rFonts w:ascii="Palatino Linotype" w:eastAsia="Arial" w:hAnsi="Palatino Linotype" w:cs="Arial"/>
          <w:b/>
          <w:i/>
          <w:spacing w:val="6"/>
          <w:sz w:val="22"/>
          <w:szCs w:val="22"/>
          <w:lang w:val="en-US" w:eastAsia="en-US"/>
        </w:rPr>
        <w:t xml:space="preserve"> </w:t>
      </w:r>
      <w:proofErr w:type="spellStart"/>
      <w:r w:rsidRPr="00983FBC">
        <w:rPr>
          <w:rFonts w:ascii="Palatino Linotype" w:eastAsia="Arial" w:hAnsi="Palatino Linotype" w:cs="Arial"/>
          <w:b/>
          <w:i/>
          <w:sz w:val="22"/>
          <w:szCs w:val="22"/>
          <w:lang w:val="en-US" w:eastAsia="en-US"/>
        </w:rPr>
        <w:t>docu</w:t>
      </w:r>
      <w:r w:rsidRPr="00983FBC">
        <w:rPr>
          <w:rFonts w:ascii="Palatino Linotype" w:eastAsia="Arial" w:hAnsi="Palatino Linotype" w:cs="Arial"/>
          <w:b/>
          <w:i/>
          <w:spacing w:val="-2"/>
          <w:sz w:val="22"/>
          <w:szCs w:val="22"/>
          <w:lang w:val="en-US" w:eastAsia="en-US"/>
        </w:rPr>
        <w:t>m</w:t>
      </w:r>
      <w:r w:rsidRPr="00983FBC">
        <w:rPr>
          <w:rFonts w:ascii="Palatino Linotype" w:eastAsia="Arial" w:hAnsi="Palatino Linotype" w:cs="Arial"/>
          <w:b/>
          <w:i/>
          <w:spacing w:val="1"/>
          <w:sz w:val="22"/>
          <w:szCs w:val="22"/>
          <w:lang w:val="en-US" w:eastAsia="en-US"/>
        </w:rPr>
        <w:t>e</w:t>
      </w:r>
      <w:r w:rsidRPr="00983FBC">
        <w:rPr>
          <w:rFonts w:ascii="Palatino Linotype" w:eastAsia="Arial" w:hAnsi="Palatino Linotype" w:cs="Arial"/>
          <w:b/>
          <w:i/>
          <w:sz w:val="22"/>
          <w:szCs w:val="22"/>
          <w:lang w:val="en-US" w:eastAsia="en-US"/>
        </w:rPr>
        <w:t>n</w:t>
      </w:r>
      <w:r w:rsidRPr="00983FBC">
        <w:rPr>
          <w:rFonts w:ascii="Palatino Linotype" w:eastAsia="Arial" w:hAnsi="Palatino Linotype" w:cs="Arial"/>
          <w:b/>
          <w:i/>
          <w:spacing w:val="-1"/>
          <w:sz w:val="22"/>
          <w:szCs w:val="22"/>
          <w:lang w:val="en-US" w:eastAsia="en-US"/>
        </w:rPr>
        <w:t>t</w:t>
      </w:r>
      <w:r w:rsidRPr="00983FBC">
        <w:rPr>
          <w:rFonts w:ascii="Palatino Linotype" w:eastAsia="Arial" w:hAnsi="Palatino Linotype" w:cs="Arial"/>
          <w:b/>
          <w:i/>
          <w:sz w:val="22"/>
          <w:szCs w:val="22"/>
          <w:lang w:val="en-US" w:eastAsia="en-US"/>
        </w:rPr>
        <w:t>o</w:t>
      </w:r>
      <w:proofErr w:type="spellEnd"/>
      <w:r w:rsidRPr="00983FBC">
        <w:rPr>
          <w:rFonts w:ascii="Palatino Linotype" w:eastAsia="Arial" w:hAnsi="Palatino Linotype" w:cs="Arial"/>
          <w:b/>
          <w:i/>
          <w:spacing w:val="5"/>
          <w:sz w:val="22"/>
          <w:szCs w:val="22"/>
          <w:lang w:val="en-US" w:eastAsia="en-US"/>
        </w:rPr>
        <w:t xml:space="preserve"> </w:t>
      </w:r>
      <w:r w:rsidRPr="00983FBC">
        <w:rPr>
          <w:rFonts w:ascii="Palatino Linotype" w:eastAsia="Arial" w:hAnsi="Palatino Linotype" w:cs="Arial"/>
          <w:b/>
          <w:i/>
          <w:sz w:val="22"/>
          <w:szCs w:val="22"/>
          <w:lang w:val="en-US" w:eastAsia="en-US"/>
        </w:rPr>
        <w:t>prin</w:t>
      </w:r>
      <w:r w:rsidRPr="00983FBC">
        <w:rPr>
          <w:rFonts w:ascii="Palatino Linotype" w:eastAsia="Arial" w:hAnsi="Palatino Linotype" w:cs="Arial"/>
          <w:b/>
          <w:i/>
          <w:spacing w:val="1"/>
          <w:sz w:val="22"/>
          <w:szCs w:val="22"/>
          <w:lang w:val="en-US" w:eastAsia="en-US"/>
        </w:rPr>
        <w:t>c</w:t>
      </w:r>
      <w:r w:rsidRPr="00983FBC">
        <w:rPr>
          <w:rFonts w:ascii="Palatino Linotype" w:eastAsia="Arial" w:hAnsi="Palatino Linotype" w:cs="Arial"/>
          <w:b/>
          <w:i/>
          <w:sz w:val="22"/>
          <w:szCs w:val="22"/>
          <w:lang w:val="en-US" w:eastAsia="en-US"/>
        </w:rPr>
        <w:t>ip</w:t>
      </w:r>
      <w:r w:rsidRPr="00983FBC">
        <w:rPr>
          <w:rFonts w:ascii="Palatino Linotype" w:eastAsia="Arial" w:hAnsi="Palatino Linotype" w:cs="Arial"/>
          <w:b/>
          <w:i/>
          <w:spacing w:val="1"/>
          <w:sz w:val="22"/>
          <w:szCs w:val="22"/>
          <w:lang w:val="en-US" w:eastAsia="en-US"/>
        </w:rPr>
        <w:t>a</w:t>
      </w:r>
      <w:r w:rsidRPr="00983FBC">
        <w:rPr>
          <w:rFonts w:ascii="Palatino Linotype" w:eastAsia="Arial" w:hAnsi="Palatino Linotype" w:cs="Arial"/>
          <w:b/>
          <w:i/>
          <w:sz w:val="22"/>
          <w:szCs w:val="22"/>
          <w:lang w:val="en-US" w:eastAsia="en-US"/>
        </w:rPr>
        <w:t>l.</w:t>
      </w:r>
      <w:r w:rsidRPr="00983FBC">
        <w:rPr>
          <w:rFonts w:ascii="Palatino Linotype" w:eastAsia="Arial" w:hAnsi="Palatino Linotype" w:cs="Arial"/>
          <w:b/>
          <w:i/>
          <w:spacing w:val="12"/>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2"/>
          <w:sz w:val="22"/>
          <w:szCs w:val="22"/>
          <w:lang w:val="en-US" w:eastAsia="en-US"/>
        </w:rPr>
        <w:t>u</w:t>
      </w:r>
      <w:r w:rsidRPr="00983FBC">
        <w:rPr>
          <w:rFonts w:ascii="Palatino Linotype" w:eastAsia="Arial" w:hAnsi="Palatino Linotype" w:cs="Arial"/>
          <w:i/>
          <w:spacing w:val="1"/>
          <w:sz w:val="22"/>
          <w:szCs w:val="22"/>
          <w:lang w:val="en-US" w:eastAsia="en-US"/>
        </w:rPr>
        <w:t>an</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o</w:t>
      </w:r>
      <w:proofErr w:type="spellEnd"/>
      <w:r w:rsidRPr="00983FBC">
        <w:rPr>
          <w:rFonts w:ascii="Palatino Linotype" w:eastAsia="Arial" w:hAnsi="Palatino Linotype" w:cs="Arial"/>
          <w:i/>
          <w:spacing w:val="1"/>
          <w:sz w:val="22"/>
          <w:szCs w:val="22"/>
          <w:lang w:val="en-US" w:eastAsia="en-US"/>
        </w:rPr>
        <w:t xml:space="preserve"> u</w:t>
      </w:r>
      <w:r w:rsidRPr="00983FBC">
        <w:rPr>
          <w:rFonts w:ascii="Palatino Linotype" w:eastAsia="Arial" w:hAnsi="Palatino Linotype" w:cs="Arial"/>
          <w:i/>
          <w:sz w:val="22"/>
          <w:szCs w:val="22"/>
          <w:lang w:val="en-US" w:eastAsia="en-US"/>
        </w:rPr>
        <w:t>n</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do</w:t>
      </w:r>
      <w:r w:rsidRPr="00983FBC">
        <w:rPr>
          <w:rFonts w:ascii="Palatino Linotype" w:eastAsia="Arial" w:hAnsi="Palatino Linotype" w:cs="Arial"/>
          <w:i/>
          <w:spacing w:val="-2"/>
          <w:sz w:val="22"/>
          <w:szCs w:val="22"/>
          <w:lang w:val="en-US" w:eastAsia="en-US"/>
        </w:rPr>
        <w:t>c</w:t>
      </w:r>
      <w:r w:rsidRPr="00983FBC">
        <w:rPr>
          <w:rFonts w:ascii="Palatino Linotype" w:eastAsia="Arial" w:hAnsi="Palatino Linotype" w:cs="Arial"/>
          <w:i/>
          <w:spacing w:val="-1"/>
          <w:sz w:val="22"/>
          <w:szCs w:val="22"/>
          <w:lang w:val="en-US" w:eastAsia="en-US"/>
        </w:rPr>
        <w:t>umen</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z w:val="22"/>
          <w:szCs w:val="22"/>
          <w:lang w:val="en-US" w:eastAsia="en-US"/>
        </w:rPr>
        <w:t>o</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g</w:t>
      </w:r>
      <w:r w:rsidRPr="00983FBC">
        <w:rPr>
          <w:rFonts w:ascii="Palatino Linotype" w:eastAsia="Arial" w:hAnsi="Palatino Linotype" w:cs="Arial"/>
          <w:i/>
          <w:spacing w:val="1"/>
          <w:sz w:val="22"/>
          <w:szCs w:val="22"/>
          <w:lang w:val="en-US" w:eastAsia="en-US"/>
        </w:rPr>
        <w:t>ube</w:t>
      </w:r>
      <w:r w:rsidRPr="00983FBC">
        <w:rPr>
          <w:rFonts w:ascii="Palatino Linotype" w:eastAsia="Arial" w:hAnsi="Palatino Linotype" w:cs="Arial"/>
          <w:i/>
          <w:sz w:val="22"/>
          <w:szCs w:val="22"/>
          <w:lang w:val="en-US" w:eastAsia="en-US"/>
        </w:rPr>
        <w:t>rn</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me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l</w:t>
      </w:r>
      <w:proofErr w:type="spellEnd"/>
      <w:r w:rsidRPr="00983FBC">
        <w:rPr>
          <w:rFonts w:ascii="Palatino Linotype" w:eastAsia="Arial" w:hAnsi="Palatino Linotype" w:cs="Arial"/>
          <w:i/>
          <w:spacing w:val="12"/>
          <w:sz w:val="22"/>
          <w:szCs w:val="22"/>
          <w:lang w:val="en-US" w:eastAsia="en-US"/>
        </w:rPr>
        <w:t xml:space="preserve"> </w:t>
      </w:r>
      <w:proofErr w:type="spellStart"/>
      <w:r w:rsidRPr="00983FBC">
        <w:rPr>
          <w:rFonts w:ascii="Palatino Linotype" w:eastAsia="Arial" w:hAnsi="Palatino Linotype" w:cs="Arial"/>
          <w:i/>
          <w:spacing w:val="-2"/>
          <w:sz w:val="22"/>
          <w:szCs w:val="22"/>
          <w:lang w:val="en-US" w:eastAsia="en-US"/>
        </w:rPr>
        <w:t>c</w:t>
      </w:r>
      <w:r w:rsidRPr="00983FBC">
        <w:rPr>
          <w:rFonts w:ascii="Palatino Linotype" w:eastAsia="Arial" w:hAnsi="Palatino Linotype" w:cs="Arial"/>
          <w:i/>
          <w:spacing w:val="1"/>
          <w:sz w:val="22"/>
          <w:szCs w:val="22"/>
          <w:lang w:val="en-US" w:eastAsia="en-US"/>
        </w:rPr>
        <w:t>on</w:t>
      </w:r>
      <w:r w:rsidRPr="00983FBC">
        <w:rPr>
          <w:rFonts w:ascii="Palatino Linotype" w:eastAsia="Arial" w:hAnsi="Palatino Linotype" w:cs="Arial"/>
          <w:i/>
          <w:sz w:val="22"/>
          <w:szCs w:val="22"/>
          <w:lang w:val="en-US" w:eastAsia="en-US"/>
        </w:rPr>
        <w:t>ti</w:t>
      </w:r>
      <w:r w:rsidRPr="00983FBC">
        <w:rPr>
          <w:rFonts w:ascii="Palatino Linotype" w:eastAsia="Arial" w:hAnsi="Palatino Linotype" w:cs="Arial"/>
          <w:i/>
          <w:spacing w:val="-1"/>
          <w:sz w:val="22"/>
          <w:szCs w:val="22"/>
          <w:lang w:val="en-US" w:eastAsia="en-US"/>
        </w:rPr>
        <w:t>en</w:t>
      </w:r>
      <w:r w:rsidRPr="00983FBC">
        <w:rPr>
          <w:rFonts w:ascii="Palatino Linotype" w:eastAsia="Arial" w:hAnsi="Palatino Linotype" w:cs="Arial"/>
          <w:i/>
          <w:sz w:val="22"/>
          <w:szCs w:val="22"/>
          <w:lang w:val="en-US" w:eastAsia="en-US"/>
        </w:rPr>
        <w:t>e</w:t>
      </w:r>
      <w:proofErr w:type="spellEnd"/>
      <w:r w:rsidRPr="00983FBC">
        <w:rPr>
          <w:rFonts w:ascii="Palatino Linotype" w:eastAsia="Arial" w:hAnsi="Palatino Linotype" w:cs="Arial"/>
          <w:i/>
          <w:spacing w:val="13"/>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ne</w:t>
      </w:r>
      <w:r w:rsidRPr="00983FBC">
        <w:rPr>
          <w:rFonts w:ascii="Palatino Linotype" w:eastAsia="Arial" w:hAnsi="Palatino Linotype" w:cs="Arial"/>
          <w:i/>
          <w:spacing w:val="-2"/>
          <w:sz w:val="22"/>
          <w:szCs w:val="22"/>
          <w:lang w:val="en-US" w:eastAsia="en-US"/>
        </w:rPr>
        <w:t>x</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pacing w:val="12"/>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é</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pacing w:val="12"/>
          <w:sz w:val="22"/>
          <w:szCs w:val="22"/>
          <w:lang w:val="en-US" w:eastAsia="en-US"/>
        </w:rPr>
        <w:t xml:space="preserve"> </w:t>
      </w:r>
      <w:r w:rsidRPr="00983FBC">
        <w:rPr>
          <w:rFonts w:ascii="Palatino Linotype" w:eastAsia="Arial" w:hAnsi="Palatino Linotype" w:cs="Arial"/>
          <w:i/>
          <w:spacing w:val="-2"/>
          <w:sz w:val="22"/>
          <w:szCs w:val="22"/>
          <w:lang w:val="en-US" w:eastAsia="en-US"/>
        </w:rPr>
        <w:t>s</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13"/>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on</w:t>
      </w:r>
      <w:r w:rsidRPr="00983FBC">
        <w:rPr>
          <w:rFonts w:ascii="Palatino Linotype" w:eastAsia="Arial" w:hAnsi="Palatino Linotype" w:cs="Arial"/>
          <w:i/>
          <w:sz w:val="22"/>
          <w:szCs w:val="22"/>
          <w:lang w:val="en-US" w:eastAsia="en-US"/>
        </w:rPr>
        <w:t>sid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ran</w:t>
      </w:r>
      <w:proofErr w:type="spellEnd"/>
      <w:r w:rsidRPr="00983FBC">
        <w:rPr>
          <w:rFonts w:ascii="Palatino Linotype" w:eastAsia="Arial" w:hAnsi="Palatino Linotype" w:cs="Arial"/>
          <w:i/>
          <w:spacing w:val="11"/>
          <w:sz w:val="22"/>
          <w:szCs w:val="22"/>
          <w:lang w:val="en-US" w:eastAsia="en-US"/>
        </w:rPr>
        <w:t xml:space="preserve"> </w:t>
      </w:r>
      <w:r w:rsidRPr="00983FBC">
        <w:rPr>
          <w:rFonts w:ascii="Palatino Linotype" w:eastAsia="Arial" w:hAnsi="Palatino Linotype" w:cs="Arial"/>
          <w:i/>
          <w:spacing w:val="1"/>
          <w:sz w:val="22"/>
          <w:szCs w:val="22"/>
          <w:lang w:val="en-US" w:eastAsia="en-US"/>
        </w:rPr>
        <w:t>pa</w:t>
      </w:r>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3"/>
          <w:sz w:val="22"/>
          <w:szCs w:val="22"/>
          <w:lang w:val="en-US" w:eastAsia="en-US"/>
        </w:rPr>
        <w:t>t</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13"/>
          <w:sz w:val="22"/>
          <w:szCs w:val="22"/>
          <w:lang w:val="en-US" w:eastAsia="en-US"/>
        </w:rPr>
        <w:t xml:space="preserve"> </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2"/>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1"/>
          <w:sz w:val="22"/>
          <w:szCs w:val="22"/>
          <w:lang w:val="en-US" w:eastAsia="en-US"/>
        </w:rPr>
        <w:t>me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1"/>
          <w:sz w:val="22"/>
          <w:szCs w:val="22"/>
          <w:lang w:val="en-US" w:eastAsia="en-US"/>
        </w:rPr>
        <w:t>o</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11"/>
          <w:sz w:val="22"/>
          <w:szCs w:val="22"/>
          <w:lang w:val="en-US" w:eastAsia="en-US"/>
        </w:rPr>
        <w:t xml:space="preserve"> </w:t>
      </w:r>
      <w:proofErr w:type="spellStart"/>
      <w:r w:rsidRPr="00983FBC">
        <w:rPr>
          <w:rFonts w:ascii="Palatino Linotype" w:eastAsia="Arial" w:hAnsi="Palatino Linotype" w:cs="Arial"/>
          <w:i/>
          <w:spacing w:val="-2"/>
          <w:sz w:val="22"/>
          <w:szCs w:val="22"/>
          <w:lang w:val="en-US" w:eastAsia="en-US"/>
        </w:rPr>
        <w:t>y</w:t>
      </w:r>
      <w:r w:rsidRPr="00983FBC">
        <w:rPr>
          <w:rFonts w:ascii="Palatino Linotype" w:eastAsia="Arial" w:hAnsi="Palatino Linotype" w:cs="Arial"/>
          <w:i/>
          <w:sz w:val="22"/>
          <w:szCs w:val="22"/>
          <w:lang w:val="en-US" w:eastAsia="en-US"/>
        </w:rPr>
        <w:t>a</w:t>
      </w:r>
      <w:proofErr w:type="spellEnd"/>
      <w:r w:rsidRPr="00983FBC">
        <w:rPr>
          <w:rFonts w:ascii="Palatino Linotype" w:eastAsia="Arial" w:hAnsi="Palatino Linotype" w:cs="Arial"/>
          <w:i/>
          <w:spacing w:val="13"/>
          <w:sz w:val="22"/>
          <w:szCs w:val="22"/>
          <w:lang w:val="en-US" w:eastAsia="en-US"/>
        </w:rPr>
        <w:t xml:space="preserve"> </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 xml:space="preserve">e a </w:t>
      </w:r>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p</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rt</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z w:val="22"/>
          <w:szCs w:val="22"/>
          <w:lang w:val="en-US" w:eastAsia="en-US"/>
        </w:rPr>
        <w:t>r</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2"/>
          <w:sz w:val="22"/>
          <w:szCs w:val="22"/>
          <w:lang w:val="en-US" w:eastAsia="en-US"/>
        </w:rPr>
        <w:t xml:space="preserve"> </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 xml:space="preserve">e </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é</w:t>
      </w:r>
      <w:r w:rsidRPr="00983FBC">
        <w:rPr>
          <w:rFonts w:ascii="Palatino Linotype" w:eastAsia="Arial" w:hAnsi="Palatino Linotype" w:cs="Arial"/>
          <w:i/>
          <w:sz w:val="22"/>
          <w:szCs w:val="22"/>
          <w:lang w:val="en-US" w:eastAsia="en-US"/>
        </w:rPr>
        <w:t>l</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2"/>
          <w:sz w:val="22"/>
          <w:szCs w:val="22"/>
          <w:lang w:val="en-US" w:eastAsia="en-US"/>
        </w:rPr>
        <w:t xml:space="preserve"> </w:t>
      </w:r>
      <w:r w:rsidRPr="00983FBC">
        <w:rPr>
          <w:rFonts w:ascii="Palatino Linotype" w:eastAsia="Arial" w:hAnsi="Palatino Linotype" w:cs="Arial"/>
          <w:i/>
          <w:spacing w:val="-2"/>
          <w:sz w:val="22"/>
          <w:szCs w:val="22"/>
          <w:lang w:val="en-US" w:eastAsia="en-US"/>
        </w:rPr>
        <w:t>s</w:t>
      </w:r>
      <w:r w:rsidRPr="00983FBC">
        <w:rPr>
          <w:rFonts w:ascii="Palatino Linotype" w:eastAsia="Arial" w:hAnsi="Palatino Linotype" w:cs="Arial"/>
          <w:i/>
          <w:sz w:val="22"/>
          <w:szCs w:val="22"/>
          <w:lang w:val="en-US" w:eastAsia="en-US"/>
        </w:rPr>
        <w:t xml:space="preserve">e </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2"/>
          <w:sz w:val="22"/>
          <w:szCs w:val="22"/>
          <w:lang w:val="en-US" w:eastAsia="en-US"/>
        </w:rPr>
        <w:t>x</w:t>
      </w:r>
      <w:r w:rsidRPr="00983FBC">
        <w:rPr>
          <w:rFonts w:ascii="Palatino Linotype" w:eastAsia="Arial" w:hAnsi="Palatino Linotype" w:cs="Arial"/>
          <w:i/>
          <w:spacing w:val="1"/>
          <w:sz w:val="22"/>
          <w:szCs w:val="22"/>
          <w:lang w:val="en-US" w:eastAsia="en-US"/>
        </w:rPr>
        <w:t>p</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z w:val="22"/>
          <w:szCs w:val="22"/>
          <w:lang w:val="en-US" w:eastAsia="en-US"/>
        </w:rPr>
        <w:t xml:space="preserve">o </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
          <w:sz w:val="22"/>
          <w:szCs w:val="22"/>
          <w:lang w:val="en-US" w:eastAsia="en-US"/>
        </w:rPr>
        <w:t>la</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i</w:t>
      </w:r>
      <w:r w:rsidRPr="00983FBC">
        <w:rPr>
          <w:rFonts w:ascii="Palatino Linotype" w:eastAsia="Arial" w:hAnsi="Palatino Linotype" w:cs="Arial"/>
          <w:i/>
          <w:spacing w:val="-3"/>
          <w:sz w:val="22"/>
          <w:szCs w:val="22"/>
          <w:lang w:val="en-US" w:eastAsia="en-US"/>
        </w:rPr>
        <w:t>v</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rsas</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sti</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pacing w:val="1"/>
          <w:sz w:val="22"/>
          <w:szCs w:val="22"/>
          <w:lang w:val="en-US" w:eastAsia="en-US"/>
        </w:rPr>
        <w:t>ne</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z w:val="22"/>
          <w:szCs w:val="22"/>
          <w:lang w:val="en-US" w:eastAsia="en-US"/>
        </w:rPr>
        <w:t>relac</w:t>
      </w:r>
      <w:r w:rsidRPr="00983FBC">
        <w:rPr>
          <w:rFonts w:ascii="Palatino Linotype" w:eastAsia="Arial" w:hAnsi="Palatino Linotype" w:cs="Arial"/>
          <w:i/>
          <w:spacing w:val="-3"/>
          <w:sz w:val="22"/>
          <w:szCs w:val="22"/>
          <w:lang w:val="en-US" w:eastAsia="en-US"/>
        </w:rPr>
        <w:t>i</w:t>
      </w:r>
      <w:r w:rsidRPr="00983FBC">
        <w:rPr>
          <w:rFonts w:ascii="Palatino Linotype" w:eastAsia="Arial" w:hAnsi="Palatino Linotype" w:cs="Arial"/>
          <w:i/>
          <w:spacing w:val="1"/>
          <w:sz w:val="22"/>
          <w:szCs w:val="22"/>
          <w:lang w:val="en-US" w:eastAsia="en-US"/>
        </w:rPr>
        <w:t>on</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da</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c</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 xml:space="preserve">n </w:t>
      </w:r>
      <w:r w:rsidRPr="00983FBC">
        <w:rPr>
          <w:rFonts w:ascii="Palatino Linotype" w:eastAsia="Arial" w:hAnsi="Palatino Linotype" w:cs="Arial"/>
          <w:i/>
          <w:spacing w:val="1"/>
          <w:sz w:val="22"/>
          <w:szCs w:val="22"/>
          <w:lang w:val="en-US" w:eastAsia="en-US"/>
        </w:rPr>
        <w:t xml:space="preserve"> </w:t>
      </w:r>
      <w:r w:rsidRPr="00983FBC">
        <w:rPr>
          <w:rFonts w:ascii="Palatino Linotype" w:eastAsia="Arial" w:hAnsi="Palatino Linotype" w:cs="Arial"/>
          <w:i/>
          <w:sz w:val="22"/>
          <w:szCs w:val="22"/>
          <w:lang w:val="en-US" w:eastAsia="en-US"/>
        </w:rPr>
        <w:t xml:space="preserve">la </w:t>
      </w:r>
      <w:proofErr w:type="spellStart"/>
      <w:r w:rsidRPr="00983FBC">
        <w:rPr>
          <w:rFonts w:ascii="Palatino Linotype" w:eastAsia="Arial" w:hAnsi="Palatino Linotype" w:cs="Arial"/>
          <w:i/>
          <w:spacing w:val="1"/>
          <w:sz w:val="22"/>
          <w:szCs w:val="22"/>
          <w:lang w:val="en-US" w:eastAsia="en-US"/>
        </w:rPr>
        <w:t>ma</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z w:val="22"/>
          <w:szCs w:val="22"/>
          <w:lang w:val="en-US" w:eastAsia="en-US"/>
        </w:rPr>
        <w:t>a</w:t>
      </w:r>
      <w:proofErr w:type="spellEnd"/>
      <w:r w:rsidRPr="00983FBC">
        <w:rPr>
          <w:rFonts w:ascii="Palatino Linotype" w:eastAsia="Arial" w:hAnsi="Palatino Linotype" w:cs="Arial"/>
          <w:i/>
          <w:spacing w:val="4"/>
          <w:sz w:val="22"/>
          <w:szCs w:val="22"/>
          <w:lang w:val="en-US" w:eastAsia="en-US"/>
        </w:rPr>
        <w:t xml:space="preserve"> </w:t>
      </w:r>
      <w:r w:rsidRPr="00983FBC">
        <w:rPr>
          <w:rFonts w:ascii="Palatino Linotype" w:eastAsia="Arial" w:hAnsi="Palatino Linotype" w:cs="Arial"/>
          <w:i/>
          <w:spacing w:val="1"/>
          <w:sz w:val="22"/>
          <w:szCs w:val="22"/>
          <w:lang w:val="en-US" w:eastAsia="en-US"/>
        </w:rPr>
        <w:t>de</w:t>
      </w:r>
      <w:r w:rsidRPr="00983FBC">
        <w:rPr>
          <w:rFonts w:ascii="Palatino Linotype" w:eastAsia="Arial" w:hAnsi="Palatino Linotype" w:cs="Arial"/>
          <w:i/>
          <w:sz w:val="22"/>
          <w:szCs w:val="22"/>
          <w:lang w:val="en-US" w:eastAsia="en-US"/>
        </w:rPr>
        <w:t xml:space="preserve">l </w:t>
      </w:r>
      <w:proofErr w:type="spellStart"/>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z w:val="22"/>
          <w:szCs w:val="22"/>
          <w:lang w:val="en-US" w:eastAsia="en-US"/>
        </w:rPr>
        <w:t>is</w:t>
      </w:r>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pacing w:val="1"/>
          <w:sz w:val="22"/>
          <w:szCs w:val="22"/>
          <w:lang w:val="en-US" w:eastAsia="en-US"/>
        </w:rPr>
        <w:t>o</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z w:val="22"/>
          <w:szCs w:val="22"/>
          <w:lang w:val="en-US" w:eastAsia="en-US"/>
        </w:rPr>
        <w:t>En</w:t>
      </w:r>
      <w:proofErr w:type="spellEnd"/>
      <w:r w:rsidRPr="00983FBC">
        <w:rPr>
          <w:rFonts w:ascii="Palatino Linotype" w:eastAsia="Arial" w:hAnsi="Palatino Linotype" w:cs="Arial"/>
          <w:i/>
          <w:spacing w:val="5"/>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sta</w:t>
      </w:r>
      <w:proofErr w:type="spellEnd"/>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si</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ra</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4"/>
          <w:sz w:val="22"/>
          <w:szCs w:val="22"/>
          <w:lang w:val="en-US" w:eastAsia="en-US"/>
        </w:rPr>
        <w:t xml:space="preserve"> </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te</w:t>
      </w:r>
      <w:r w:rsidRPr="00983FBC">
        <w:rPr>
          <w:rFonts w:ascii="Palatino Linotype" w:eastAsia="Arial" w:hAnsi="Palatino Linotype" w:cs="Arial"/>
          <w:i/>
          <w:spacing w:val="4"/>
          <w:sz w:val="22"/>
          <w:szCs w:val="22"/>
          <w:lang w:val="en-US" w:eastAsia="en-US"/>
        </w:rPr>
        <w:t xml:space="preserve"> </w:t>
      </w:r>
      <w:r w:rsidRPr="00983FBC">
        <w:rPr>
          <w:rFonts w:ascii="Palatino Linotype" w:eastAsia="Arial" w:hAnsi="Palatino Linotype" w:cs="Arial"/>
          <w:i/>
          <w:spacing w:val="-2"/>
          <w:sz w:val="22"/>
          <w:szCs w:val="22"/>
          <w:lang w:val="en-US" w:eastAsia="en-US"/>
        </w:rPr>
        <w:t>s</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pacing w:val="-3"/>
          <w:sz w:val="22"/>
          <w:szCs w:val="22"/>
          <w:lang w:val="en-US" w:eastAsia="en-US"/>
        </w:rPr>
        <w:t>l</w:t>
      </w:r>
      <w:r w:rsidRPr="00983FBC">
        <w:rPr>
          <w:rFonts w:ascii="Palatino Linotype" w:eastAsia="Arial" w:hAnsi="Palatino Linotype" w:cs="Arial"/>
          <w:i/>
          <w:sz w:val="22"/>
          <w:szCs w:val="22"/>
          <w:lang w:val="en-US" w:eastAsia="en-US"/>
        </w:rPr>
        <w:t>ic</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1"/>
          <w:sz w:val="22"/>
          <w:szCs w:val="22"/>
          <w:lang w:val="en-US" w:eastAsia="en-US"/>
        </w:rPr>
        <w:t>ude</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z w:val="22"/>
          <w:szCs w:val="22"/>
          <w:lang w:val="en-US" w:eastAsia="en-US"/>
        </w:rPr>
        <w:t>i</w:t>
      </w:r>
      <w:r w:rsidRPr="00983FBC">
        <w:rPr>
          <w:rFonts w:ascii="Palatino Linotype" w:eastAsia="Arial" w:hAnsi="Palatino Linotype" w:cs="Arial"/>
          <w:i/>
          <w:spacing w:val="-2"/>
          <w:sz w:val="22"/>
          <w:szCs w:val="22"/>
          <w:lang w:val="en-US" w:eastAsia="en-US"/>
        </w:rPr>
        <w:t>n</w:t>
      </w:r>
      <w:r w:rsidRPr="00983FBC">
        <w:rPr>
          <w:rFonts w:ascii="Palatino Linotype" w:eastAsia="Arial" w:hAnsi="Palatino Linotype" w:cs="Arial"/>
          <w:i/>
          <w:spacing w:val="3"/>
          <w:sz w:val="22"/>
          <w:szCs w:val="22"/>
          <w:lang w:val="en-US" w:eastAsia="en-US"/>
        </w:rPr>
        <w:t>f</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pacing w:val="-3"/>
          <w:sz w:val="22"/>
          <w:szCs w:val="22"/>
          <w:lang w:val="en-US" w:eastAsia="en-US"/>
        </w:rPr>
        <w:t>r</w:t>
      </w:r>
      <w:r w:rsidRPr="00983FBC">
        <w:rPr>
          <w:rFonts w:ascii="Palatino Linotype" w:eastAsia="Arial" w:hAnsi="Palatino Linotype" w:cs="Arial"/>
          <w:i/>
          <w:spacing w:val="1"/>
          <w:sz w:val="22"/>
          <w:szCs w:val="22"/>
          <w:lang w:val="en-US" w:eastAsia="en-US"/>
        </w:rPr>
        <w:t>ma</w:t>
      </w:r>
      <w:r w:rsidRPr="00983FBC">
        <w:rPr>
          <w:rFonts w:ascii="Palatino Linotype" w:eastAsia="Arial" w:hAnsi="Palatino Linotype" w:cs="Arial"/>
          <w:i/>
          <w:sz w:val="22"/>
          <w:szCs w:val="22"/>
          <w:lang w:val="en-US" w:eastAsia="en-US"/>
        </w:rPr>
        <w:t>ci</w:t>
      </w:r>
      <w:r w:rsidRPr="00983FBC">
        <w:rPr>
          <w:rFonts w:ascii="Palatino Linotype" w:eastAsia="Arial" w:hAnsi="Palatino Linotype" w:cs="Arial"/>
          <w:i/>
          <w:spacing w:val="-2"/>
          <w:sz w:val="22"/>
          <w:szCs w:val="22"/>
          <w:lang w:val="en-US" w:eastAsia="en-US"/>
        </w:rPr>
        <w:t>ó</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z w:val="22"/>
          <w:szCs w:val="22"/>
          <w:lang w:val="en-US" w:eastAsia="en-US"/>
        </w:rPr>
        <w:t>relacio</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c</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n</w:t>
      </w:r>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do</w:t>
      </w:r>
      <w:r w:rsidRPr="00983FBC">
        <w:rPr>
          <w:rFonts w:ascii="Palatino Linotype" w:eastAsia="Arial" w:hAnsi="Palatino Linotype" w:cs="Arial"/>
          <w:i/>
          <w:spacing w:val="-2"/>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pacing w:val="1"/>
          <w:sz w:val="22"/>
          <w:szCs w:val="22"/>
          <w:lang w:val="en-US" w:eastAsia="en-US"/>
        </w:rPr>
        <w:t>en</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z w:val="22"/>
          <w:szCs w:val="22"/>
          <w:lang w:val="en-US" w:eastAsia="en-US"/>
        </w:rPr>
        <w:t>incl</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2"/>
          <w:sz w:val="22"/>
          <w:szCs w:val="22"/>
          <w:lang w:val="en-US" w:eastAsia="en-US"/>
        </w:rPr>
        <w:t>y</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ane</w:t>
      </w:r>
      <w:r w:rsidRPr="00983FBC">
        <w:rPr>
          <w:rFonts w:ascii="Palatino Linotype" w:eastAsia="Arial" w:hAnsi="Palatino Linotype" w:cs="Arial"/>
          <w:i/>
          <w:spacing w:val="-2"/>
          <w:sz w:val="22"/>
          <w:szCs w:val="22"/>
          <w:lang w:val="en-US" w:eastAsia="en-US"/>
        </w:rPr>
        <w:t>x</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pa</w:t>
      </w:r>
      <w:r w:rsidRPr="00983FBC">
        <w:rPr>
          <w:rFonts w:ascii="Palatino Linotype" w:eastAsia="Arial" w:hAnsi="Palatino Linotype" w:cs="Arial"/>
          <w:i/>
          <w:sz w:val="22"/>
          <w:szCs w:val="22"/>
          <w:lang w:val="en-US" w:eastAsia="en-US"/>
        </w:rPr>
        <w:t>rt</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pacing w:val="-2"/>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lar</w:t>
      </w:r>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te</w:t>
      </w:r>
      <w:proofErr w:type="spellEnd"/>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ue</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
          <w:sz w:val="22"/>
          <w:szCs w:val="22"/>
          <w:lang w:val="en-US" w:eastAsia="en-US"/>
        </w:rPr>
        <w:t>l</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4"/>
          <w:sz w:val="22"/>
          <w:szCs w:val="22"/>
          <w:lang w:val="en-US" w:eastAsia="en-US"/>
        </w:rPr>
        <w:t xml:space="preserve"> </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o</w:t>
      </w:r>
      <w:r w:rsidRPr="00983FBC">
        <w:rPr>
          <w:rFonts w:ascii="Palatino Linotype" w:eastAsia="Arial" w:hAnsi="Palatino Linotype" w:cs="Arial"/>
          <w:i/>
          <w:spacing w:val="4"/>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lu</w:t>
      </w:r>
      <w:r w:rsidRPr="00983FBC">
        <w:rPr>
          <w:rFonts w:ascii="Palatino Linotype" w:eastAsia="Arial" w:hAnsi="Palatino Linotype" w:cs="Arial"/>
          <w:i/>
          <w:spacing w:val="-1"/>
          <w:sz w:val="22"/>
          <w:szCs w:val="22"/>
          <w:lang w:val="en-US" w:eastAsia="en-US"/>
        </w:rPr>
        <w:t>da</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2"/>
          <w:sz w:val="22"/>
          <w:szCs w:val="22"/>
          <w:lang w:val="en-US" w:eastAsia="en-US"/>
        </w:rPr>
        <w:t>x</w:t>
      </w:r>
      <w:r w:rsidRPr="00983FBC">
        <w:rPr>
          <w:rFonts w:ascii="Palatino Linotype" w:eastAsia="Arial" w:hAnsi="Palatino Linotype" w:cs="Arial"/>
          <w:i/>
          <w:spacing w:val="1"/>
          <w:sz w:val="22"/>
          <w:szCs w:val="22"/>
          <w:lang w:val="en-US" w:eastAsia="en-US"/>
        </w:rPr>
        <w:t>p</w:t>
      </w:r>
      <w:r w:rsidRPr="00983FBC">
        <w:rPr>
          <w:rFonts w:ascii="Palatino Linotype" w:eastAsia="Arial" w:hAnsi="Palatino Linotype" w:cs="Arial"/>
          <w:i/>
          <w:sz w:val="22"/>
          <w:szCs w:val="22"/>
          <w:lang w:val="en-US" w:eastAsia="en-US"/>
        </w:rPr>
        <w:t>res</w:t>
      </w:r>
      <w:r w:rsidRPr="00983FBC">
        <w:rPr>
          <w:rFonts w:ascii="Palatino Linotype" w:eastAsia="Arial" w:hAnsi="Palatino Linotype" w:cs="Arial"/>
          <w:i/>
          <w:spacing w:val="1"/>
          <w:sz w:val="22"/>
          <w:szCs w:val="22"/>
          <w:lang w:val="en-US" w:eastAsia="en-US"/>
        </w:rPr>
        <w:t>am</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te</w:t>
      </w:r>
      <w:proofErr w:type="spellEnd"/>
      <w:r w:rsidRPr="00983FBC">
        <w:rPr>
          <w:rFonts w:ascii="Palatino Linotype" w:eastAsia="Arial" w:hAnsi="Palatino Linotype" w:cs="Arial"/>
          <w:i/>
          <w:spacing w:val="1"/>
          <w:sz w:val="22"/>
          <w:szCs w:val="22"/>
          <w:lang w:val="en-US" w:eastAsia="en-US"/>
        </w:rPr>
        <w:t xml:space="preserve"> </w:t>
      </w:r>
      <w:r w:rsidRPr="00983FBC">
        <w:rPr>
          <w:rFonts w:ascii="Palatino Linotype" w:eastAsia="Arial" w:hAnsi="Palatino Linotype" w:cs="Arial"/>
          <w:i/>
          <w:sz w:val="22"/>
          <w:szCs w:val="22"/>
          <w:lang w:val="en-US" w:eastAsia="en-US"/>
        </w:rPr>
        <w:t>a</w:t>
      </w:r>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ú</w:t>
      </w:r>
      <w:r w:rsidRPr="00983FBC">
        <w:rPr>
          <w:rFonts w:ascii="Palatino Linotype" w:eastAsia="Arial" w:hAnsi="Palatino Linotype" w:cs="Arial"/>
          <w:i/>
          <w:sz w:val="22"/>
          <w:szCs w:val="22"/>
          <w:lang w:val="en-US" w:eastAsia="en-US"/>
        </w:rPr>
        <w:t>lti</w:t>
      </w:r>
      <w:r w:rsidRPr="00983FBC">
        <w:rPr>
          <w:rFonts w:ascii="Palatino Linotype" w:eastAsia="Arial" w:hAnsi="Palatino Linotype" w:cs="Arial"/>
          <w:i/>
          <w:spacing w:val="1"/>
          <w:sz w:val="22"/>
          <w:szCs w:val="22"/>
          <w:lang w:val="en-US" w:eastAsia="en-US"/>
        </w:rPr>
        <w:t>mo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3"/>
          <w:sz w:val="22"/>
          <w:szCs w:val="22"/>
          <w:lang w:val="en-US" w:eastAsia="en-US"/>
        </w:rPr>
        <w:t>l</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2"/>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pe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cias</w:t>
      </w:r>
      <w:proofErr w:type="spellEnd"/>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z w:val="22"/>
          <w:szCs w:val="22"/>
          <w:lang w:val="en-US" w:eastAsia="en-US"/>
        </w:rPr>
        <w:t xml:space="preserve">y </w:t>
      </w:r>
      <w:proofErr w:type="spellStart"/>
      <w:r w:rsidRPr="00983FBC">
        <w:rPr>
          <w:rFonts w:ascii="Palatino Linotype" w:eastAsia="Arial" w:hAnsi="Palatino Linotype" w:cs="Arial"/>
          <w:i/>
          <w:spacing w:val="1"/>
          <w:sz w:val="22"/>
          <w:szCs w:val="22"/>
          <w:lang w:val="en-US" w:eastAsia="en-US"/>
        </w:rPr>
        <w:t>en</w:t>
      </w:r>
      <w:r w:rsidRPr="00983FBC">
        <w:rPr>
          <w:rFonts w:ascii="Palatino Linotype" w:eastAsia="Arial" w:hAnsi="Palatino Linotype" w:cs="Arial"/>
          <w:i/>
          <w:sz w:val="22"/>
          <w:szCs w:val="22"/>
          <w:lang w:val="en-US" w:eastAsia="en-US"/>
        </w:rPr>
        <w:t>ti</w:t>
      </w:r>
      <w:r w:rsidRPr="00983FBC">
        <w:rPr>
          <w:rFonts w:ascii="Palatino Linotype" w:eastAsia="Arial" w:hAnsi="Palatino Linotype" w:cs="Arial"/>
          <w:i/>
          <w:spacing w:val="1"/>
          <w:sz w:val="22"/>
          <w:szCs w:val="22"/>
          <w:lang w:val="en-US" w:eastAsia="en-US"/>
        </w:rPr>
        <w:t>da</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pacing w:val="2"/>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eb</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rán</w:t>
      </w:r>
      <w:proofErr w:type="spellEnd"/>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sid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rar</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z w:val="22"/>
          <w:szCs w:val="22"/>
          <w:lang w:val="en-US" w:eastAsia="en-US"/>
        </w:rPr>
        <w:t>las</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z w:val="22"/>
          <w:szCs w:val="22"/>
          <w:lang w:val="en-US" w:eastAsia="en-US"/>
        </w:rPr>
        <w:t>i</w:t>
      </w:r>
      <w:r w:rsidRPr="00983FBC">
        <w:rPr>
          <w:rFonts w:ascii="Palatino Linotype" w:eastAsia="Arial" w:hAnsi="Palatino Linotype" w:cs="Arial"/>
          <w:i/>
          <w:spacing w:val="-3"/>
          <w:sz w:val="22"/>
          <w:szCs w:val="22"/>
          <w:lang w:val="en-US" w:eastAsia="en-US"/>
        </w:rPr>
        <w:t>s</w:t>
      </w:r>
      <w:r w:rsidRPr="00983FBC">
        <w:rPr>
          <w:rFonts w:ascii="Palatino Linotype" w:eastAsia="Arial" w:hAnsi="Palatino Linotype" w:cs="Arial"/>
          <w:i/>
          <w:spacing w:val="1"/>
          <w:sz w:val="22"/>
          <w:szCs w:val="22"/>
          <w:lang w:val="en-US" w:eastAsia="en-US"/>
        </w:rPr>
        <w:t>ma</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2"/>
          <w:sz w:val="22"/>
          <w:szCs w:val="22"/>
          <w:lang w:val="en-US" w:eastAsia="en-US"/>
        </w:rPr>
        <w:t>e</w:t>
      </w:r>
      <w:r w:rsidRPr="00983FBC">
        <w:rPr>
          <w:rFonts w:ascii="Palatino Linotype" w:eastAsia="Arial" w:hAnsi="Palatino Linotype" w:cs="Arial"/>
          <w:i/>
          <w:spacing w:val="3"/>
          <w:sz w:val="22"/>
          <w:szCs w:val="22"/>
          <w:lang w:val="en-US" w:eastAsia="en-US"/>
        </w:rPr>
        <w:t>f</w:t>
      </w:r>
      <w:r w:rsidRPr="00983FBC">
        <w:rPr>
          <w:rFonts w:ascii="Palatino Linotype" w:eastAsia="Arial" w:hAnsi="Palatino Linotype" w:cs="Arial"/>
          <w:i/>
          <w:sz w:val="22"/>
          <w:szCs w:val="22"/>
          <w:lang w:val="en-US" w:eastAsia="en-US"/>
        </w:rPr>
        <w:t>ie</w:t>
      </w:r>
      <w:r w:rsidRPr="00983FBC">
        <w:rPr>
          <w:rFonts w:ascii="Palatino Linotype" w:eastAsia="Arial" w:hAnsi="Palatino Linotype" w:cs="Arial"/>
          <w:i/>
          <w:spacing w:val="-3"/>
          <w:sz w:val="22"/>
          <w:szCs w:val="22"/>
          <w:lang w:val="en-US" w:eastAsia="en-US"/>
        </w:rPr>
        <w:t>r</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n</w:t>
      </w:r>
      <w:proofErr w:type="spellEnd"/>
      <w:r w:rsidRPr="00983FBC">
        <w:rPr>
          <w:rFonts w:ascii="Palatino Linotype" w:eastAsia="Arial" w:hAnsi="Palatino Linotype" w:cs="Arial"/>
          <w:i/>
          <w:spacing w:val="1"/>
          <w:sz w:val="22"/>
          <w:szCs w:val="22"/>
          <w:lang w:val="en-US" w:eastAsia="en-US"/>
        </w:rPr>
        <w:t xml:space="preserve"> </w:t>
      </w:r>
      <w:r w:rsidRPr="00983FBC">
        <w:rPr>
          <w:rFonts w:ascii="Palatino Linotype" w:eastAsia="Arial" w:hAnsi="Palatino Linotype" w:cs="Arial"/>
          <w:i/>
          <w:sz w:val="22"/>
          <w:szCs w:val="22"/>
          <w:lang w:val="en-US" w:eastAsia="en-US"/>
        </w:rPr>
        <w:t>a</w:t>
      </w:r>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z w:val="22"/>
          <w:szCs w:val="22"/>
          <w:lang w:val="en-US" w:eastAsia="en-US"/>
        </w:rPr>
        <w:t>los</w:t>
      </w:r>
      <w:proofErr w:type="spellEnd"/>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w:t>
      </w:r>
      <w:r w:rsidRPr="00983FBC">
        <w:rPr>
          <w:rFonts w:ascii="Palatino Linotype" w:eastAsia="Arial" w:hAnsi="Palatino Linotype" w:cs="Arial"/>
          <w:i/>
          <w:spacing w:val="6"/>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z w:val="22"/>
          <w:szCs w:val="22"/>
          <w:lang w:val="en-US" w:eastAsia="en-US"/>
        </w:rPr>
        <w:t>re</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ue</w:t>
      </w:r>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pacing w:val="1"/>
          <w:sz w:val="22"/>
          <w:szCs w:val="22"/>
          <w:lang w:val="en-US" w:eastAsia="en-US"/>
        </w:rPr>
        <w:t>do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sí</w:t>
      </w:r>
      <w:proofErr w:type="spellEnd"/>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om</w:t>
      </w:r>
      <w:r w:rsidRPr="00983FBC">
        <w:rPr>
          <w:rFonts w:ascii="Palatino Linotype" w:eastAsia="Arial" w:hAnsi="Palatino Linotype" w:cs="Arial"/>
          <w:i/>
          <w:sz w:val="22"/>
          <w:szCs w:val="22"/>
          <w:lang w:val="en-US" w:eastAsia="en-US"/>
        </w:rPr>
        <w:t>o</w:t>
      </w:r>
      <w:proofErr w:type="spellEnd"/>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z w:val="22"/>
          <w:szCs w:val="22"/>
          <w:lang w:val="en-US" w:eastAsia="en-US"/>
        </w:rPr>
        <w:t>a</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z w:val="22"/>
          <w:szCs w:val="22"/>
          <w:lang w:val="en-US" w:eastAsia="en-US"/>
        </w:rPr>
        <w:t>los</w:t>
      </w:r>
      <w:proofErr w:type="spellEnd"/>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2"/>
          <w:sz w:val="22"/>
          <w:szCs w:val="22"/>
          <w:lang w:val="en-US" w:eastAsia="en-US"/>
        </w:rPr>
        <w:t>x</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z w:val="22"/>
          <w:szCs w:val="22"/>
          <w:lang w:val="en-US" w:eastAsia="en-US"/>
        </w:rPr>
        <w:t>c</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1"/>
          <w:sz w:val="22"/>
          <w:szCs w:val="22"/>
          <w:lang w:val="en-US" w:eastAsia="en-US"/>
        </w:rPr>
        <w:t>r</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1"/>
          <w:sz w:val="22"/>
          <w:szCs w:val="22"/>
          <w:lang w:val="en-US" w:eastAsia="en-US"/>
        </w:rPr>
        <w:t>po</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ie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2"/>
          <w:sz w:val="22"/>
          <w:szCs w:val="22"/>
          <w:lang w:val="en-US" w:eastAsia="en-US"/>
        </w:rPr>
        <w:t>t</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w:t>
      </w:r>
      <w:proofErr w:type="spellEnd"/>
      <w:r w:rsidRPr="00983FBC">
        <w:rPr>
          <w:rFonts w:ascii="Palatino Linotype" w:eastAsia="Arial" w:hAnsi="Palatino Linotype" w:cs="Arial"/>
          <w:i/>
          <w:sz w:val="22"/>
          <w:szCs w:val="22"/>
          <w:lang w:val="en-US" w:eastAsia="en-US"/>
        </w:rPr>
        <w:t>,</w:t>
      </w:r>
      <w:r w:rsidRPr="00983FBC">
        <w:rPr>
          <w:rFonts w:ascii="Palatino Linotype" w:eastAsia="Arial" w:hAnsi="Palatino Linotype" w:cs="Arial"/>
          <w:i/>
          <w:spacing w:val="2"/>
          <w:sz w:val="22"/>
          <w:szCs w:val="22"/>
          <w:lang w:val="en-US" w:eastAsia="en-US"/>
        </w:rPr>
        <w:t xml:space="preserve"> </w:t>
      </w:r>
      <w:r w:rsidRPr="00983FBC">
        <w:rPr>
          <w:rFonts w:ascii="Palatino Linotype" w:eastAsia="Arial" w:hAnsi="Palatino Linotype" w:cs="Arial"/>
          <w:i/>
          <w:spacing w:val="-2"/>
          <w:sz w:val="22"/>
          <w:szCs w:val="22"/>
          <w:lang w:val="en-US" w:eastAsia="en-US"/>
        </w:rPr>
        <w:t>s</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3"/>
          <w:sz w:val="22"/>
          <w:szCs w:val="22"/>
          <w:lang w:val="en-US" w:eastAsia="en-US"/>
        </w:rPr>
        <w:t>v</w:t>
      </w:r>
      <w:r w:rsidRPr="00983FBC">
        <w:rPr>
          <w:rFonts w:ascii="Palatino Linotype" w:eastAsia="Arial" w:hAnsi="Palatino Linotype" w:cs="Arial"/>
          <w:i/>
          <w:sz w:val="22"/>
          <w:szCs w:val="22"/>
          <w:lang w:val="en-US" w:eastAsia="en-US"/>
        </w:rPr>
        <w:t>o</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1"/>
          <w:sz w:val="22"/>
          <w:szCs w:val="22"/>
          <w:lang w:val="en-US" w:eastAsia="en-US"/>
        </w:rPr>
        <w:t>q</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z w:val="22"/>
          <w:szCs w:val="22"/>
          <w:lang w:val="en-US" w:eastAsia="en-US"/>
        </w:rPr>
        <w:t>e</w:t>
      </w:r>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1"/>
          <w:sz w:val="22"/>
          <w:szCs w:val="22"/>
          <w:lang w:val="en-US" w:eastAsia="en-US"/>
        </w:rPr>
        <w:t>o</w:t>
      </w:r>
      <w:r w:rsidRPr="00983FBC">
        <w:rPr>
          <w:rFonts w:ascii="Palatino Linotype" w:eastAsia="Arial" w:hAnsi="Palatino Linotype" w:cs="Arial"/>
          <w:i/>
          <w:sz w:val="22"/>
          <w:szCs w:val="22"/>
          <w:lang w:val="en-US" w:eastAsia="en-US"/>
        </w:rPr>
        <w:t>l</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z w:val="22"/>
          <w:szCs w:val="22"/>
          <w:lang w:val="en-US" w:eastAsia="en-US"/>
        </w:rPr>
        <w:t>cit</w:t>
      </w:r>
      <w:r w:rsidRPr="00983FBC">
        <w:rPr>
          <w:rFonts w:ascii="Palatino Linotype" w:eastAsia="Arial" w:hAnsi="Palatino Linotype" w:cs="Arial"/>
          <w:i/>
          <w:spacing w:val="1"/>
          <w:sz w:val="22"/>
          <w:szCs w:val="22"/>
          <w:lang w:val="en-US" w:eastAsia="en-US"/>
        </w:rPr>
        <w:t>an</w:t>
      </w:r>
      <w:r w:rsidRPr="00983FBC">
        <w:rPr>
          <w:rFonts w:ascii="Palatino Linotype" w:eastAsia="Arial" w:hAnsi="Palatino Linotype" w:cs="Arial"/>
          <w:i/>
          <w:sz w:val="22"/>
          <w:szCs w:val="22"/>
          <w:lang w:val="en-US" w:eastAsia="en-US"/>
        </w:rPr>
        <w:t>te</w:t>
      </w:r>
      <w:proofErr w:type="spellEnd"/>
      <w:r w:rsidRPr="00983FBC">
        <w:rPr>
          <w:rFonts w:ascii="Palatino Linotype" w:eastAsia="Arial" w:hAnsi="Palatino Linotype" w:cs="Arial"/>
          <w:i/>
          <w:spacing w:val="1"/>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m</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pacing w:val="-3"/>
          <w:sz w:val="22"/>
          <w:szCs w:val="22"/>
          <w:lang w:val="en-US" w:eastAsia="en-US"/>
        </w:rPr>
        <w:t>i</w:t>
      </w:r>
      <w:r w:rsidRPr="00983FBC">
        <w:rPr>
          <w:rFonts w:ascii="Palatino Linotype" w:eastAsia="Arial" w:hAnsi="Palatino Linotype" w:cs="Arial"/>
          <w:i/>
          <w:spacing w:val="3"/>
          <w:sz w:val="22"/>
          <w:szCs w:val="22"/>
          <w:lang w:val="en-US" w:eastAsia="en-US"/>
        </w:rPr>
        <w:t>f</w:t>
      </w:r>
      <w:r w:rsidRPr="00983FBC">
        <w:rPr>
          <w:rFonts w:ascii="Palatino Linotype" w:eastAsia="Arial" w:hAnsi="Palatino Linotype" w:cs="Arial"/>
          <w:i/>
          <w:sz w:val="22"/>
          <w:szCs w:val="22"/>
          <w:lang w:val="en-US" w:eastAsia="en-US"/>
        </w:rPr>
        <w:t>ies</w:t>
      </w:r>
      <w:r w:rsidRPr="00983FBC">
        <w:rPr>
          <w:rFonts w:ascii="Palatino Linotype" w:eastAsia="Arial" w:hAnsi="Palatino Linotype" w:cs="Arial"/>
          <w:i/>
          <w:spacing w:val="1"/>
          <w:sz w:val="22"/>
          <w:szCs w:val="22"/>
          <w:lang w:val="en-US" w:eastAsia="en-US"/>
        </w:rPr>
        <w:t>t</w:t>
      </w:r>
      <w:r w:rsidRPr="00983FBC">
        <w:rPr>
          <w:rFonts w:ascii="Palatino Linotype" w:eastAsia="Arial" w:hAnsi="Palatino Linotype" w:cs="Arial"/>
          <w:i/>
          <w:sz w:val="22"/>
          <w:szCs w:val="22"/>
          <w:lang w:val="en-US" w:eastAsia="en-US"/>
        </w:rPr>
        <w:t>e</w:t>
      </w:r>
      <w:proofErr w:type="spellEnd"/>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pacing w:val="-2"/>
          <w:sz w:val="22"/>
          <w:szCs w:val="22"/>
          <w:lang w:val="en-US" w:eastAsia="en-US"/>
        </w:rPr>
        <w:t>s</w:t>
      </w:r>
      <w:r w:rsidRPr="00983FBC">
        <w:rPr>
          <w:rFonts w:ascii="Palatino Linotype" w:eastAsia="Arial" w:hAnsi="Palatino Linotype" w:cs="Arial"/>
          <w:i/>
          <w:sz w:val="22"/>
          <w:szCs w:val="22"/>
          <w:lang w:val="en-US" w:eastAsia="en-US"/>
        </w:rPr>
        <w:t>u</w:t>
      </w:r>
      <w:proofErr w:type="spellEnd"/>
      <w:r w:rsidRPr="00983FBC">
        <w:rPr>
          <w:rFonts w:ascii="Palatino Linotype" w:eastAsia="Arial" w:hAnsi="Palatino Linotype" w:cs="Arial"/>
          <w:i/>
          <w:spacing w:val="3"/>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s</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o</w:t>
      </w:r>
      <w:proofErr w:type="spellEnd"/>
      <w:r w:rsidRPr="00983FBC">
        <w:rPr>
          <w:rFonts w:ascii="Palatino Linotype" w:eastAsia="Arial" w:hAnsi="Palatino Linotype" w:cs="Arial"/>
          <w:i/>
          <w:spacing w:val="3"/>
          <w:sz w:val="22"/>
          <w:szCs w:val="22"/>
          <w:lang w:val="en-US" w:eastAsia="en-US"/>
        </w:rPr>
        <w:t xml:space="preserve"> </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z w:val="22"/>
          <w:szCs w:val="22"/>
          <w:lang w:val="en-US" w:eastAsia="en-US"/>
        </w:rPr>
        <w:t xml:space="preserve">e </w:t>
      </w:r>
      <w:proofErr w:type="spellStart"/>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cc</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pacing w:val="1"/>
          <w:sz w:val="22"/>
          <w:szCs w:val="22"/>
          <w:lang w:val="en-US" w:eastAsia="en-US"/>
        </w:rPr>
        <w:t>d</w:t>
      </w:r>
      <w:r w:rsidRPr="00983FBC">
        <w:rPr>
          <w:rFonts w:ascii="Palatino Linotype" w:eastAsia="Arial" w:hAnsi="Palatino Linotype" w:cs="Arial"/>
          <w:i/>
          <w:spacing w:val="-1"/>
          <w:sz w:val="22"/>
          <w:szCs w:val="22"/>
          <w:lang w:val="en-US" w:eastAsia="en-US"/>
        </w:rPr>
        <w:t>e</w:t>
      </w:r>
      <w:r w:rsidRPr="00983FBC">
        <w:rPr>
          <w:rFonts w:ascii="Palatino Linotype" w:eastAsia="Arial" w:hAnsi="Palatino Linotype" w:cs="Arial"/>
          <w:i/>
          <w:sz w:val="22"/>
          <w:szCs w:val="22"/>
          <w:lang w:val="en-US" w:eastAsia="en-US"/>
        </w:rPr>
        <w:t>r</w:t>
      </w:r>
      <w:proofErr w:type="spellEnd"/>
      <w:r w:rsidRPr="00983FBC">
        <w:rPr>
          <w:rFonts w:ascii="Palatino Linotype" w:eastAsia="Arial" w:hAnsi="Palatino Linotype" w:cs="Arial"/>
          <w:i/>
          <w:sz w:val="22"/>
          <w:szCs w:val="22"/>
          <w:lang w:val="en-US" w:eastAsia="en-US"/>
        </w:rPr>
        <w:t xml:space="preserve"> </w:t>
      </w:r>
      <w:proofErr w:type="spellStart"/>
      <w:r w:rsidRPr="00983FBC">
        <w:rPr>
          <w:rFonts w:ascii="Palatino Linotype" w:eastAsia="Arial" w:hAnsi="Palatino Linotype" w:cs="Arial"/>
          <w:i/>
          <w:spacing w:val="1"/>
          <w:sz w:val="22"/>
          <w:szCs w:val="22"/>
          <w:lang w:val="en-US" w:eastAsia="en-US"/>
        </w:rPr>
        <w:t>ún</w:t>
      </w:r>
      <w:r w:rsidRPr="00983FBC">
        <w:rPr>
          <w:rFonts w:ascii="Palatino Linotype" w:eastAsia="Arial" w:hAnsi="Palatino Linotype" w:cs="Arial"/>
          <w:i/>
          <w:sz w:val="22"/>
          <w:szCs w:val="22"/>
          <w:lang w:val="en-US" w:eastAsia="en-US"/>
        </w:rPr>
        <w:t>ic</w:t>
      </w:r>
      <w:r w:rsidRPr="00983FBC">
        <w:rPr>
          <w:rFonts w:ascii="Palatino Linotype" w:eastAsia="Arial" w:hAnsi="Palatino Linotype" w:cs="Arial"/>
          <w:i/>
          <w:spacing w:val="-2"/>
          <w:sz w:val="22"/>
          <w:szCs w:val="22"/>
          <w:lang w:val="en-US" w:eastAsia="en-US"/>
        </w:rPr>
        <w:t>a</w:t>
      </w:r>
      <w:r w:rsidRPr="00983FBC">
        <w:rPr>
          <w:rFonts w:ascii="Palatino Linotype" w:eastAsia="Arial" w:hAnsi="Palatino Linotype" w:cs="Arial"/>
          <w:i/>
          <w:spacing w:val="1"/>
          <w:sz w:val="22"/>
          <w:szCs w:val="22"/>
          <w:lang w:val="en-US" w:eastAsia="en-US"/>
        </w:rPr>
        <w:t>me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te</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 xml:space="preserve">l </w:t>
      </w:r>
      <w:proofErr w:type="spellStart"/>
      <w:r w:rsidRPr="00983FBC">
        <w:rPr>
          <w:rFonts w:ascii="Palatino Linotype" w:eastAsia="Arial" w:hAnsi="Palatino Linotype" w:cs="Arial"/>
          <w:i/>
          <w:spacing w:val="1"/>
          <w:sz w:val="22"/>
          <w:szCs w:val="22"/>
          <w:lang w:val="en-US" w:eastAsia="en-US"/>
        </w:rPr>
        <w:t>do</w:t>
      </w:r>
      <w:r w:rsidRPr="00983FBC">
        <w:rPr>
          <w:rFonts w:ascii="Palatino Linotype" w:eastAsia="Arial" w:hAnsi="Palatino Linotype" w:cs="Arial"/>
          <w:i/>
          <w:spacing w:val="-2"/>
          <w:sz w:val="22"/>
          <w:szCs w:val="22"/>
          <w:lang w:val="en-US" w:eastAsia="en-US"/>
        </w:rPr>
        <w:t>c</w:t>
      </w:r>
      <w:r w:rsidRPr="00983FBC">
        <w:rPr>
          <w:rFonts w:ascii="Palatino Linotype" w:eastAsia="Arial" w:hAnsi="Palatino Linotype" w:cs="Arial"/>
          <w:i/>
          <w:spacing w:val="1"/>
          <w:sz w:val="22"/>
          <w:szCs w:val="22"/>
          <w:lang w:val="en-US" w:eastAsia="en-US"/>
        </w:rPr>
        <w:t>u</w:t>
      </w:r>
      <w:r w:rsidRPr="00983FBC">
        <w:rPr>
          <w:rFonts w:ascii="Palatino Linotype" w:eastAsia="Arial" w:hAnsi="Palatino Linotype" w:cs="Arial"/>
          <w:i/>
          <w:spacing w:val="-1"/>
          <w:sz w:val="22"/>
          <w:szCs w:val="22"/>
          <w:lang w:val="en-US" w:eastAsia="en-US"/>
        </w:rPr>
        <w:t>me</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to</w:t>
      </w:r>
      <w:proofErr w:type="spellEnd"/>
      <w:r w:rsidRPr="00983FBC">
        <w:rPr>
          <w:rFonts w:ascii="Palatino Linotype" w:eastAsia="Arial" w:hAnsi="Palatino Linotype" w:cs="Arial"/>
          <w:i/>
          <w:sz w:val="22"/>
          <w:szCs w:val="22"/>
          <w:lang w:val="en-US" w:eastAsia="en-US"/>
        </w:rPr>
        <w:t xml:space="preserve"> </w:t>
      </w:r>
      <w:r w:rsidRPr="00983FBC">
        <w:rPr>
          <w:rFonts w:ascii="Palatino Linotype" w:eastAsia="Arial" w:hAnsi="Palatino Linotype" w:cs="Arial"/>
          <w:i/>
          <w:spacing w:val="1"/>
          <w:sz w:val="22"/>
          <w:szCs w:val="22"/>
          <w:lang w:val="en-US" w:eastAsia="en-US"/>
        </w:rPr>
        <w:t>p</w:t>
      </w:r>
      <w:r w:rsidRPr="00983FBC">
        <w:rPr>
          <w:rFonts w:ascii="Palatino Linotype" w:eastAsia="Arial" w:hAnsi="Palatino Linotype" w:cs="Arial"/>
          <w:i/>
          <w:sz w:val="22"/>
          <w:szCs w:val="22"/>
          <w:lang w:val="en-US" w:eastAsia="en-US"/>
        </w:rPr>
        <w:t>r</w:t>
      </w:r>
      <w:r w:rsidRPr="00983FBC">
        <w:rPr>
          <w:rFonts w:ascii="Palatino Linotype" w:eastAsia="Arial" w:hAnsi="Palatino Linotype" w:cs="Arial"/>
          <w:i/>
          <w:spacing w:val="-1"/>
          <w:sz w:val="22"/>
          <w:szCs w:val="22"/>
          <w:lang w:val="en-US" w:eastAsia="en-US"/>
        </w:rPr>
        <w:t>i</w:t>
      </w:r>
      <w:r w:rsidRPr="00983FBC">
        <w:rPr>
          <w:rFonts w:ascii="Palatino Linotype" w:eastAsia="Arial" w:hAnsi="Palatino Linotype" w:cs="Arial"/>
          <w:i/>
          <w:spacing w:val="1"/>
          <w:sz w:val="22"/>
          <w:szCs w:val="22"/>
          <w:lang w:val="en-US" w:eastAsia="en-US"/>
        </w:rPr>
        <w:t>n</w:t>
      </w:r>
      <w:r w:rsidRPr="00983FBC">
        <w:rPr>
          <w:rFonts w:ascii="Palatino Linotype" w:eastAsia="Arial" w:hAnsi="Palatino Linotype" w:cs="Arial"/>
          <w:i/>
          <w:sz w:val="22"/>
          <w:szCs w:val="22"/>
          <w:lang w:val="en-US" w:eastAsia="en-US"/>
        </w:rPr>
        <w:t>cip</w:t>
      </w:r>
      <w:r w:rsidRPr="00983FBC">
        <w:rPr>
          <w:rFonts w:ascii="Palatino Linotype" w:eastAsia="Arial" w:hAnsi="Palatino Linotype" w:cs="Arial"/>
          <w:i/>
          <w:spacing w:val="1"/>
          <w:sz w:val="22"/>
          <w:szCs w:val="22"/>
          <w:lang w:val="en-US" w:eastAsia="en-US"/>
        </w:rPr>
        <w:t>a</w:t>
      </w:r>
      <w:r w:rsidRPr="00983FBC">
        <w:rPr>
          <w:rFonts w:ascii="Palatino Linotype" w:eastAsia="Arial" w:hAnsi="Palatino Linotype" w:cs="Arial"/>
          <w:i/>
          <w:sz w:val="22"/>
          <w:szCs w:val="22"/>
          <w:lang w:val="en-US" w:eastAsia="en-US"/>
        </w:rPr>
        <w:t>l.</w:t>
      </w:r>
    </w:p>
    <w:p w:rsidR="00493874" w:rsidRPr="00983FBC" w:rsidRDefault="00493874" w:rsidP="00983FBC">
      <w:pPr>
        <w:spacing w:line="360" w:lineRule="auto"/>
        <w:ind w:left="567" w:right="567"/>
        <w:contextualSpacing/>
        <w:jc w:val="both"/>
        <w:rPr>
          <w:rFonts w:ascii="Palatino Linotype" w:hAnsi="Palatino Linotype" w:cs="Times New Roman"/>
          <w:i/>
          <w:sz w:val="22"/>
          <w:szCs w:val="22"/>
          <w:lang w:eastAsia="es-ES_tradnl"/>
        </w:rPr>
      </w:pPr>
    </w:p>
    <w:p w:rsidR="00493874" w:rsidRPr="00983FBC" w:rsidRDefault="00493874" w:rsidP="00983FBC">
      <w:pPr>
        <w:spacing w:line="360" w:lineRule="auto"/>
        <w:ind w:left="567" w:right="567"/>
        <w:contextualSpacing/>
        <w:jc w:val="center"/>
        <w:rPr>
          <w:rFonts w:ascii="Palatino Linotype" w:hAnsi="Palatino Linotype" w:cs="Times New Roman"/>
          <w:b/>
          <w:i/>
          <w:color w:val="000000" w:themeColor="text1"/>
          <w:sz w:val="22"/>
          <w:szCs w:val="22"/>
          <w:lang w:eastAsia="es-ES_tradnl"/>
        </w:rPr>
      </w:pPr>
      <w:r w:rsidRPr="00983FBC">
        <w:rPr>
          <w:rFonts w:ascii="Palatino Linotype" w:hAnsi="Palatino Linotype" w:cs="Times New Roman"/>
          <w:b/>
          <w:i/>
          <w:color w:val="000000" w:themeColor="text1"/>
          <w:sz w:val="22"/>
          <w:szCs w:val="22"/>
          <w:lang w:eastAsia="es-ES_tradnl"/>
        </w:rPr>
        <w:t>Criterio 17/17</w:t>
      </w:r>
    </w:p>
    <w:p w:rsidR="00493874" w:rsidRDefault="00493874" w:rsidP="00983FBC">
      <w:pPr>
        <w:spacing w:line="360" w:lineRule="auto"/>
        <w:ind w:left="567" w:right="567"/>
        <w:jc w:val="both"/>
        <w:rPr>
          <w:rFonts w:ascii="Palatino Linotype" w:hAnsi="Palatino Linotype" w:cs="Arial"/>
          <w:bCs/>
          <w:i/>
          <w:sz w:val="22"/>
          <w:szCs w:val="22"/>
        </w:rPr>
      </w:pPr>
      <w:r w:rsidRPr="00983FBC">
        <w:rPr>
          <w:rFonts w:ascii="Palatino Linotype" w:hAnsi="Palatino Linotype" w:cs="Arial"/>
          <w:b/>
          <w:bCs/>
          <w:i/>
          <w:sz w:val="22"/>
          <w:szCs w:val="22"/>
        </w:rPr>
        <w:t xml:space="preserve">Anexos de los documentos solicitados. </w:t>
      </w:r>
      <w:r w:rsidRPr="00983FBC">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983FBC" w:rsidRPr="00983FBC" w:rsidRDefault="00983FBC" w:rsidP="00983FBC">
      <w:pPr>
        <w:spacing w:line="360" w:lineRule="auto"/>
        <w:ind w:left="567" w:right="567"/>
        <w:jc w:val="both"/>
        <w:rPr>
          <w:rFonts w:ascii="Palatino Linotype" w:hAnsi="Palatino Linotype" w:cs="Arial"/>
          <w:b/>
          <w:i/>
          <w:sz w:val="22"/>
          <w:szCs w:val="22"/>
        </w:rPr>
      </w:pPr>
    </w:p>
    <w:p w:rsidR="00493874" w:rsidRDefault="00493874" w:rsidP="00983FBC">
      <w:pPr>
        <w:widowControl w:val="0"/>
        <w:numPr>
          <w:ilvl w:val="0"/>
          <w:numId w:val="18"/>
        </w:numPr>
        <w:autoSpaceDE w:val="0"/>
        <w:autoSpaceDN w:val="0"/>
        <w:adjustRightInd w:val="0"/>
        <w:spacing w:line="360" w:lineRule="auto"/>
        <w:ind w:left="0" w:firstLine="0"/>
        <w:jc w:val="both"/>
        <w:rPr>
          <w:rFonts w:ascii="Palatino Linotype" w:hAnsi="Palatino Linotype" w:cs="Times New Roman"/>
          <w:lang w:eastAsia="es-ES_tradnl"/>
        </w:rPr>
      </w:pPr>
      <w:r w:rsidRPr="00983FBC">
        <w:rPr>
          <w:rFonts w:ascii="Palatino Linotype" w:hAnsi="Palatino Linotype" w:cs="Times New Roman"/>
          <w:lang w:eastAsia="es-ES_tradnl"/>
        </w:rPr>
        <w:t>Es menester señalar que este órgano garante tiene el deber de velar por el acceso a la información pública que se requiere, y se advirtió de la revisión de las documentales enviadas en respuesta, que los contratos cuentan con anexos que no fueron incorporados en la información proporcionada.</w:t>
      </w:r>
    </w:p>
    <w:p w:rsidR="00983FBC" w:rsidRPr="00983FBC" w:rsidRDefault="00983FBC" w:rsidP="00983FBC">
      <w:pPr>
        <w:widowControl w:val="0"/>
        <w:autoSpaceDE w:val="0"/>
        <w:autoSpaceDN w:val="0"/>
        <w:adjustRightInd w:val="0"/>
        <w:spacing w:line="360" w:lineRule="auto"/>
        <w:jc w:val="both"/>
        <w:rPr>
          <w:rFonts w:ascii="Palatino Linotype" w:hAnsi="Palatino Linotype" w:cs="Times New Roman"/>
          <w:lang w:eastAsia="es-ES_tradnl"/>
        </w:rPr>
      </w:pPr>
    </w:p>
    <w:p w:rsidR="00EA3F3C" w:rsidRPr="00983FBC" w:rsidRDefault="00493874" w:rsidP="00983FBC">
      <w:pPr>
        <w:widowControl w:val="0"/>
        <w:numPr>
          <w:ilvl w:val="0"/>
          <w:numId w:val="18"/>
        </w:numPr>
        <w:autoSpaceDE w:val="0"/>
        <w:autoSpaceDN w:val="0"/>
        <w:adjustRightInd w:val="0"/>
        <w:spacing w:line="360" w:lineRule="auto"/>
        <w:ind w:left="0" w:firstLine="0"/>
        <w:jc w:val="both"/>
        <w:rPr>
          <w:rFonts w:ascii="Palatino Linotype" w:hAnsi="Palatino Linotype" w:cs="Arial"/>
        </w:rPr>
      </w:pPr>
      <w:r w:rsidRPr="00983FBC">
        <w:rPr>
          <w:rFonts w:ascii="Palatino Linotype" w:hAnsi="Palatino Linotype" w:cs="Times New Roman"/>
          <w:lang w:eastAsia="es-ES_tradnl"/>
        </w:rPr>
        <w:t>En ese sentido se considera necesario ordenar la entrega de los contratos y con los anexos correspondientes.</w:t>
      </w:r>
    </w:p>
    <w:p w:rsidR="00493874" w:rsidRPr="00983FBC" w:rsidRDefault="00493874"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lastRenderedPageBreak/>
        <w:t>El segundo aspecto a considerar, son las versiones públicas, tanto de los contratos como de las facturas, puesto que se testó información que, a consideración de este Órgano Garante es de acceso público. Tal como el RFC, el nombre del representante legal y su firma; nombres de personas morales, domicilio legal del proveedor, número de factura, folios, cadenas digitales, entre otros.</w:t>
      </w:r>
    </w:p>
    <w:p w:rsidR="00493874" w:rsidRPr="00983FBC" w:rsidRDefault="00493874" w:rsidP="00983FBC">
      <w:pPr>
        <w:pStyle w:val="Prrafodelista"/>
        <w:spacing w:line="360" w:lineRule="auto"/>
        <w:ind w:left="0"/>
        <w:jc w:val="both"/>
        <w:rPr>
          <w:rFonts w:ascii="Palatino Linotype" w:hAnsi="Palatino Linotype" w:cs="Arial"/>
        </w:rPr>
      </w:pPr>
    </w:p>
    <w:p w:rsidR="00493874" w:rsidRPr="00983FBC" w:rsidRDefault="00493874"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 xml:space="preserve">Es necesario traer a colación </w:t>
      </w:r>
      <w:r w:rsidR="009E392C" w:rsidRPr="00983FBC">
        <w:rPr>
          <w:rFonts w:ascii="Palatino Linotype"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incluir los Sujetos Obligados en los portales de internet y en la Plataforma Nacional de Transparencia. Los cuales respecto a los proveedores y su contratación establecen que deberá publicarse lo siguiente:</w:t>
      </w:r>
    </w:p>
    <w:p w:rsidR="009E392C" w:rsidRPr="00983FBC" w:rsidRDefault="009E392C" w:rsidP="00983FBC">
      <w:pPr>
        <w:pStyle w:val="Prrafodelista"/>
        <w:spacing w:line="360" w:lineRule="auto"/>
        <w:rPr>
          <w:rFonts w:ascii="Palatino Linotype" w:hAnsi="Palatino Linotype" w:cs="Arial"/>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t>Respecto a los proveedores y su contratación se publicará:</w:t>
      </w:r>
    </w:p>
    <w:p w:rsidR="009E392C" w:rsidRPr="00983FBC" w:rsidRDefault="009E392C" w:rsidP="00983FBC">
      <w:pPr>
        <w:pStyle w:val="Prrafodelista"/>
        <w:spacing w:line="360" w:lineRule="auto"/>
        <w:ind w:left="567" w:right="567"/>
        <w:jc w:val="both"/>
        <w:rPr>
          <w:rFonts w:ascii="Palatino Linotype" w:hAnsi="Palatino Linotype"/>
          <w:i/>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t xml:space="preserve">Criterio 31 Razón social o nombre completo del (los) proveedor(es) y/o responsable(s) de publicar la campaña o la comunicación correspondiente (nombre[s], primer apellido y segundo apellido en caso de ser persona física) </w:t>
      </w:r>
    </w:p>
    <w:p w:rsidR="009E392C" w:rsidRPr="00983FBC" w:rsidRDefault="009E392C" w:rsidP="00983FBC">
      <w:pPr>
        <w:pStyle w:val="Prrafodelista"/>
        <w:spacing w:line="360" w:lineRule="auto"/>
        <w:ind w:left="567" w:right="567"/>
        <w:jc w:val="both"/>
        <w:rPr>
          <w:rFonts w:ascii="Palatino Linotype" w:hAnsi="Palatino Linotype"/>
          <w:i/>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t xml:space="preserve">Criterio 32 Nombre comercial del (los) proveedor(es) y/o responsable(s) </w:t>
      </w:r>
    </w:p>
    <w:p w:rsidR="009E392C" w:rsidRPr="00983FBC" w:rsidRDefault="009E392C" w:rsidP="00983FBC">
      <w:pPr>
        <w:pStyle w:val="Prrafodelista"/>
        <w:spacing w:line="360" w:lineRule="auto"/>
        <w:ind w:left="567" w:right="567"/>
        <w:jc w:val="both"/>
        <w:rPr>
          <w:rFonts w:ascii="Palatino Linotype" w:hAnsi="Palatino Linotype"/>
          <w:i/>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t xml:space="preserve">Criterio 33 Registro Federal de Contribuyentes de la persona física o moral proveedora del producto o servicio publicitario </w:t>
      </w:r>
    </w:p>
    <w:p w:rsidR="009E392C" w:rsidRPr="00983FBC" w:rsidRDefault="009E392C" w:rsidP="00983FBC">
      <w:pPr>
        <w:pStyle w:val="Prrafodelista"/>
        <w:spacing w:line="360" w:lineRule="auto"/>
        <w:ind w:left="567" w:right="567"/>
        <w:jc w:val="both"/>
        <w:rPr>
          <w:rFonts w:ascii="Palatino Linotype" w:hAnsi="Palatino Linotype"/>
          <w:i/>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lastRenderedPageBreak/>
        <w:t xml:space="preserve">Criterio 34 Procedimiento de contratación: licitación pública, adjudicación directa, invitación restringida Criterio 35 Fundamento jurídico del proceso de contratación </w:t>
      </w:r>
    </w:p>
    <w:p w:rsidR="009E392C" w:rsidRPr="00983FBC" w:rsidRDefault="009E392C" w:rsidP="00983FBC">
      <w:pPr>
        <w:pStyle w:val="Prrafodelista"/>
        <w:spacing w:line="360" w:lineRule="auto"/>
        <w:ind w:left="567" w:right="567"/>
        <w:jc w:val="both"/>
        <w:rPr>
          <w:rFonts w:ascii="Palatino Linotype" w:hAnsi="Palatino Linotype"/>
          <w:i/>
        </w:rPr>
      </w:pPr>
    </w:p>
    <w:p w:rsidR="009E392C" w:rsidRPr="00983FBC" w:rsidRDefault="009E392C" w:rsidP="00983FBC">
      <w:pPr>
        <w:pStyle w:val="Prrafodelista"/>
        <w:spacing w:line="360" w:lineRule="auto"/>
        <w:ind w:left="567" w:right="567"/>
        <w:jc w:val="both"/>
        <w:rPr>
          <w:rFonts w:ascii="Palatino Linotype" w:hAnsi="Palatino Linotype"/>
          <w:i/>
        </w:rPr>
      </w:pPr>
      <w:r w:rsidRPr="00983FBC">
        <w:rPr>
          <w:rFonts w:ascii="Palatino Linotype" w:hAnsi="Palatino Linotype"/>
          <w:i/>
        </w:rPr>
        <w:t>Criterio 36 Descripción breve de las razones que justifican la elección de tal proveedor</w:t>
      </w:r>
    </w:p>
    <w:p w:rsidR="009E392C" w:rsidRPr="00983FBC" w:rsidRDefault="009E392C" w:rsidP="00983FBC">
      <w:pPr>
        <w:pStyle w:val="Prrafodelista"/>
        <w:spacing w:line="360" w:lineRule="auto"/>
        <w:ind w:left="0"/>
        <w:jc w:val="both"/>
        <w:rPr>
          <w:rFonts w:ascii="Palatino Linotype" w:hAnsi="Palatino Linotype" w:cs="Arial"/>
        </w:rPr>
      </w:pPr>
    </w:p>
    <w:p w:rsidR="00493874" w:rsidRPr="00983FBC" w:rsidRDefault="009E392C"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Asimismo, en lo que corresponde al padrón de proveedores y contratistas, se contempla la publicidad, entre otra información, lo siguiente:</w:t>
      </w:r>
    </w:p>
    <w:p w:rsidR="009E392C" w:rsidRPr="00983FBC" w:rsidRDefault="009E392C" w:rsidP="00983FBC">
      <w:pPr>
        <w:pStyle w:val="Prrafodelista"/>
        <w:spacing w:line="360" w:lineRule="auto"/>
        <w:ind w:left="567" w:right="567"/>
        <w:jc w:val="both"/>
        <w:rPr>
          <w:rFonts w:ascii="Palatino Linotype" w:hAnsi="Palatino Linotype" w:cs="Arial"/>
          <w:i/>
          <w:sz w:val="22"/>
        </w:rPr>
      </w:pPr>
      <w:r w:rsidRPr="00983FBC">
        <w:rPr>
          <w:rFonts w:ascii="Palatino Linotype" w:hAnsi="Palatino Linotype" w:cs="Arial"/>
          <w:i/>
          <w:sz w:val="22"/>
        </w:rPr>
        <w:t>…</w:t>
      </w:r>
    </w:p>
    <w:p w:rsidR="009E392C" w:rsidRPr="00983FBC" w:rsidRDefault="009E392C"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Criterio 3 Personería jurídica del proveedor o contratista: Persona física/Persona moral</w:t>
      </w:r>
    </w:p>
    <w:p w:rsidR="009E392C" w:rsidRPr="00983FBC" w:rsidRDefault="009E392C" w:rsidP="00983FBC">
      <w:pPr>
        <w:pStyle w:val="Prrafodelista"/>
        <w:spacing w:line="360" w:lineRule="auto"/>
        <w:ind w:left="567" w:right="567"/>
        <w:jc w:val="both"/>
        <w:rPr>
          <w:rFonts w:ascii="Palatino Linotype" w:hAnsi="Palatino Linotype"/>
          <w:i/>
          <w:sz w:val="22"/>
        </w:rPr>
      </w:pPr>
    </w:p>
    <w:p w:rsidR="009E392C" w:rsidRPr="00983FBC" w:rsidRDefault="009E392C"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Criterio 4 Nombre (nombre[s], primer apellido, segundo apellido), denominación o razón social del proveedor o contratista</w:t>
      </w:r>
    </w:p>
    <w:p w:rsidR="00287C48" w:rsidRPr="00983FBC" w:rsidRDefault="00287C48" w:rsidP="00983FBC">
      <w:pPr>
        <w:pStyle w:val="Prrafodelista"/>
        <w:spacing w:line="360" w:lineRule="auto"/>
        <w:ind w:left="567" w:right="567"/>
        <w:jc w:val="both"/>
        <w:rPr>
          <w:rFonts w:ascii="Palatino Linotype" w:hAnsi="Palatino Linotype"/>
          <w:i/>
          <w:sz w:val="22"/>
        </w:rPr>
      </w:pP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Respecto del Representante legal se publicará la siguiente información:</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Criterio 13 Nombre del representante legal de la empresa, es decir, la persona que posee facultades legales para representarla</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 xml:space="preserve">Criterio 14 Datos de contacto: teléfono, en su caso extensión, y correo electrónico siempre y cuando éstos hayan sido proporcionados por la empresa </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 xml:space="preserve">Criterio 15 Tipo de acreditación legal que posee o, en su caso, señalar que no se cuenta con uno </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 xml:space="preserve">Criterio 16 Dirección electrónica que corresponda a la página web del proveedor o contratista </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 xml:space="preserve">Criterio 17 Teléfono oficial del proveedor o contratista </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lastRenderedPageBreak/>
        <w:t xml:space="preserve">Criterio 18 Correo electrónico comercial del proveedor o contratista </w:t>
      </w:r>
    </w:p>
    <w:p w:rsidR="00287C48" w:rsidRPr="00983FBC" w:rsidRDefault="00287C48" w:rsidP="00983FBC">
      <w:pPr>
        <w:pStyle w:val="Prrafodelista"/>
        <w:spacing w:line="360" w:lineRule="auto"/>
        <w:ind w:left="567" w:right="567"/>
        <w:jc w:val="both"/>
        <w:rPr>
          <w:rFonts w:ascii="Palatino Linotype" w:hAnsi="Palatino Linotype"/>
          <w:i/>
          <w:sz w:val="22"/>
        </w:rPr>
      </w:pPr>
      <w:r w:rsidRPr="00983FBC">
        <w:rPr>
          <w:rFonts w:ascii="Palatino Linotype" w:hAnsi="Palatino Linotype"/>
          <w:i/>
          <w:sz w:val="22"/>
        </w:rPr>
        <w:t xml:space="preserve">Criterio 19 Hipervínculo al registro electrónico de proveedores y contratistas que, en su caso, corresponda </w:t>
      </w:r>
    </w:p>
    <w:p w:rsidR="00287C48" w:rsidRPr="00983FBC" w:rsidRDefault="00287C48" w:rsidP="00983FBC">
      <w:pPr>
        <w:pStyle w:val="Prrafodelista"/>
        <w:spacing w:line="360" w:lineRule="auto"/>
        <w:ind w:left="567" w:right="567"/>
        <w:jc w:val="both"/>
        <w:rPr>
          <w:rFonts w:ascii="Palatino Linotype" w:hAnsi="Palatino Linotype" w:cs="Arial"/>
          <w:i/>
          <w:sz w:val="22"/>
        </w:rPr>
      </w:pPr>
      <w:r w:rsidRPr="00983FBC">
        <w:rPr>
          <w:rFonts w:ascii="Palatino Linotype" w:hAnsi="Palatino Linotype"/>
          <w:i/>
          <w:sz w:val="22"/>
        </w:rPr>
        <w:t>Criterio 20 Hipervínculo al Directorio de Proveedores y Contratistas Sancionados</w:t>
      </w:r>
    </w:p>
    <w:p w:rsidR="009E392C" w:rsidRPr="00983FBC" w:rsidRDefault="009E392C" w:rsidP="00983FBC">
      <w:pPr>
        <w:pStyle w:val="Prrafodelista"/>
        <w:spacing w:line="360" w:lineRule="auto"/>
        <w:ind w:left="0"/>
        <w:jc w:val="both"/>
        <w:rPr>
          <w:rFonts w:ascii="Palatino Linotype" w:hAnsi="Palatino Linotype" w:cs="Arial"/>
        </w:rPr>
      </w:pPr>
    </w:p>
    <w:p w:rsidR="00287C48" w:rsidRPr="00983FBC" w:rsidRDefault="00287C4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Es así que, la información que</w:t>
      </w:r>
      <w:r w:rsidR="00384ACB" w:rsidRPr="00983FBC">
        <w:rPr>
          <w:rFonts w:ascii="Palatino Linotype" w:hAnsi="Palatino Linotype" w:cs="Arial"/>
        </w:rPr>
        <w:t xml:space="preserve"> la pretendida clasificación del Sujeto Obligado </w:t>
      </w:r>
      <w:r w:rsidRPr="00983FBC">
        <w:rPr>
          <w:rFonts w:ascii="Palatino Linotype" w:hAnsi="Palatino Linotype" w:cs="Arial"/>
        </w:rPr>
        <w:t xml:space="preserve">en relación al RFC del proveedor, </w:t>
      </w:r>
      <w:r w:rsidR="00384ACB" w:rsidRPr="00983FBC">
        <w:rPr>
          <w:rFonts w:ascii="Palatino Linotype" w:hAnsi="Palatino Linotype" w:cs="Arial"/>
        </w:rPr>
        <w:t xml:space="preserve">nombre y firma del representante legal, </w:t>
      </w:r>
      <w:r w:rsidRPr="00983FBC">
        <w:rPr>
          <w:rFonts w:ascii="Palatino Linotype" w:hAnsi="Palatino Linotype" w:cs="Arial"/>
        </w:rPr>
        <w:t xml:space="preserve">domicilio fiscal y nombres de personas morales, resulta improcedente, toda vez que al ser proveedores, están recibiendo recursos públicos, en consecuencia, se privilegia el derecho de acceso a la información en cuanto a conocer el uso y destino de </w:t>
      </w:r>
      <w:r w:rsidR="007C71C5" w:rsidRPr="00983FBC">
        <w:rPr>
          <w:rFonts w:ascii="Palatino Linotype" w:hAnsi="Palatino Linotype" w:cs="Arial"/>
        </w:rPr>
        <w:t>dichos recursos.</w:t>
      </w:r>
    </w:p>
    <w:p w:rsidR="007C71C5" w:rsidRPr="00983FBC" w:rsidRDefault="007C71C5" w:rsidP="00983FBC">
      <w:pPr>
        <w:spacing w:line="360" w:lineRule="auto"/>
        <w:jc w:val="both"/>
        <w:rPr>
          <w:rFonts w:ascii="Palatino Linotype" w:hAnsi="Palatino Linotype" w:cs="Arial"/>
        </w:rPr>
      </w:pPr>
    </w:p>
    <w:p w:rsidR="00493874" w:rsidRPr="00983FBC" w:rsidRDefault="007C71C5"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En cuanto al RFC y nombre o razón social de las personas morales, se considera que es información pública, sirve de sustento el criterio 8/19 del Instituto Nacional de Transparencia, Acceso a la información Pública y protección de Datos Personales:</w:t>
      </w:r>
    </w:p>
    <w:p w:rsidR="007C71C5" w:rsidRPr="00983FBC" w:rsidRDefault="007C71C5" w:rsidP="00983FBC">
      <w:pPr>
        <w:pStyle w:val="Prrafodelista"/>
        <w:spacing w:line="360" w:lineRule="auto"/>
        <w:rPr>
          <w:rFonts w:ascii="Palatino Linotype" w:hAnsi="Palatino Linotype" w:cs="Arial"/>
        </w:rPr>
      </w:pPr>
    </w:p>
    <w:p w:rsidR="007C71C5" w:rsidRPr="00983FBC" w:rsidRDefault="007C71C5" w:rsidP="00983FBC">
      <w:pPr>
        <w:tabs>
          <w:tab w:val="left" w:pos="7371"/>
        </w:tabs>
        <w:spacing w:line="360" w:lineRule="auto"/>
        <w:ind w:left="567" w:right="567"/>
        <w:jc w:val="both"/>
        <w:rPr>
          <w:rFonts w:ascii="Palatino Linotype" w:hAnsi="Palatino Linotype" w:cs="Arial"/>
          <w:bCs/>
          <w:i/>
          <w:sz w:val="20"/>
        </w:rPr>
      </w:pPr>
      <w:r w:rsidRPr="00983FBC">
        <w:rPr>
          <w:rFonts w:ascii="Palatino Linotype" w:hAnsi="Palatino Linotype" w:cs="Arial"/>
          <w:b/>
          <w:bCs/>
          <w:i/>
          <w:sz w:val="20"/>
        </w:rPr>
        <w:t xml:space="preserve">Razón social y RFC de personas morales. </w:t>
      </w:r>
      <w:r w:rsidRPr="00983FBC">
        <w:rPr>
          <w:rFonts w:ascii="Palatino Linotype" w:hAnsi="Palatino Linotype" w:cs="Arial"/>
          <w:bCs/>
          <w:i/>
          <w:sz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7C71C5" w:rsidRPr="00983FBC" w:rsidRDefault="007C71C5" w:rsidP="00983FBC">
      <w:pPr>
        <w:tabs>
          <w:tab w:val="left" w:pos="7371"/>
        </w:tabs>
        <w:spacing w:line="360" w:lineRule="auto"/>
        <w:ind w:right="567"/>
        <w:jc w:val="both"/>
        <w:rPr>
          <w:rFonts w:ascii="Palatino Linotype" w:hAnsi="Palatino Linotype" w:cs="Arial"/>
          <w:b/>
          <w:bCs/>
          <w:i/>
          <w:sz w:val="20"/>
        </w:rPr>
      </w:pPr>
    </w:p>
    <w:p w:rsidR="007C71C5" w:rsidRPr="00983FBC" w:rsidRDefault="007C71C5" w:rsidP="00983FBC">
      <w:pPr>
        <w:tabs>
          <w:tab w:val="left" w:pos="7371"/>
        </w:tabs>
        <w:spacing w:line="360" w:lineRule="auto"/>
        <w:ind w:left="567" w:right="567"/>
        <w:jc w:val="both"/>
        <w:rPr>
          <w:rFonts w:ascii="Palatino Linotype" w:hAnsi="Palatino Linotype" w:cs="Arial"/>
          <w:b/>
          <w:bCs/>
          <w:i/>
          <w:sz w:val="20"/>
        </w:rPr>
      </w:pPr>
      <w:r w:rsidRPr="00983FBC">
        <w:rPr>
          <w:rFonts w:ascii="Palatino Linotype" w:hAnsi="Palatino Linotype" w:cs="Arial"/>
          <w:b/>
          <w:bCs/>
          <w:i/>
          <w:sz w:val="20"/>
        </w:rPr>
        <w:t xml:space="preserve">Resoluciones </w:t>
      </w:r>
    </w:p>
    <w:p w:rsidR="007C71C5" w:rsidRPr="00983FBC" w:rsidRDefault="007C71C5" w:rsidP="00983FBC">
      <w:pPr>
        <w:pStyle w:val="Prrafodelista"/>
        <w:numPr>
          <w:ilvl w:val="0"/>
          <w:numId w:val="35"/>
        </w:numPr>
        <w:tabs>
          <w:tab w:val="left" w:pos="7371"/>
        </w:tabs>
        <w:spacing w:line="360" w:lineRule="auto"/>
        <w:ind w:left="567" w:right="567" w:firstLine="0"/>
        <w:jc w:val="both"/>
        <w:rPr>
          <w:rFonts w:ascii="Palatino Linotype" w:hAnsi="Palatino Linotype" w:cs="Arial"/>
          <w:bCs/>
          <w:i/>
          <w:sz w:val="20"/>
        </w:rPr>
      </w:pPr>
      <w:r w:rsidRPr="00983FBC">
        <w:rPr>
          <w:rFonts w:ascii="Palatino Linotype" w:hAnsi="Palatino Linotype" w:cs="Arial"/>
          <w:b/>
          <w:bCs/>
          <w:i/>
          <w:sz w:val="20"/>
        </w:rPr>
        <w:t xml:space="preserve">RRA 3104/16. </w:t>
      </w:r>
      <w:r w:rsidRPr="00983FBC">
        <w:rPr>
          <w:rFonts w:ascii="Palatino Linotype" w:hAnsi="Palatino Linotype" w:cs="Arial"/>
          <w:bCs/>
          <w:i/>
          <w:sz w:val="20"/>
        </w:rPr>
        <w:t>Secretaría de la Defensa Nacional. 01 de noviembre de 2016. Por unanimidad. Comisionada Ponente Oscar Mauricio Guerra Ford.</w:t>
      </w:r>
    </w:p>
    <w:p w:rsidR="007C71C5" w:rsidRPr="00983FBC" w:rsidRDefault="00E6007F" w:rsidP="00983FBC">
      <w:pPr>
        <w:pStyle w:val="Prrafodelista"/>
        <w:numPr>
          <w:ilvl w:val="1"/>
          <w:numId w:val="35"/>
        </w:numPr>
        <w:tabs>
          <w:tab w:val="left" w:pos="7371"/>
        </w:tabs>
        <w:spacing w:line="360" w:lineRule="auto"/>
        <w:ind w:left="567" w:right="567" w:firstLine="0"/>
        <w:jc w:val="both"/>
        <w:rPr>
          <w:rFonts w:ascii="Palatino Linotype" w:hAnsi="Palatino Linotype" w:cs="Arial"/>
          <w:bCs/>
          <w:i/>
          <w:sz w:val="20"/>
        </w:rPr>
      </w:pPr>
      <w:hyperlink r:id="rId9" w:history="1">
        <w:r w:rsidR="007C71C5" w:rsidRPr="00983FBC">
          <w:rPr>
            <w:rStyle w:val="Hipervnculo"/>
            <w:rFonts w:ascii="Palatino Linotype" w:hAnsi="Palatino Linotype" w:cs="Arial"/>
            <w:bCs/>
            <w:i/>
            <w:sz w:val="20"/>
          </w:rPr>
          <w:t>http://consultas.ifai.org.mx/descargar.php?r=./pdf/resoluciones/2016/&amp;a=RRA%203104.pdf</w:t>
        </w:r>
      </w:hyperlink>
      <w:r w:rsidR="007C71C5" w:rsidRPr="00983FBC">
        <w:rPr>
          <w:rFonts w:ascii="Palatino Linotype" w:hAnsi="Palatino Linotype" w:cs="Arial"/>
          <w:bCs/>
          <w:i/>
          <w:sz w:val="20"/>
        </w:rPr>
        <w:t xml:space="preserve"> </w:t>
      </w:r>
    </w:p>
    <w:p w:rsidR="007C71C5" w:rsidRPr="00983FBC" w:rsidRDefault="007C71C5" w:rsidP="00983FBC">
      <w:pPr>
        <w:pStyle w:val="Prrafodelista"/>
        <w:numPr>
          <w:ilvl w:val="0"/>
          <w:numId w:val="35"/>
        </w:numPr>
        <w:tabs>
          <w:tab w:val="left" w:pos="7371"/>
        </w:tabs>
        <w:spacing w:line="360" w:lineRule="auto"/>
        <w:ind w:left="567" w:right="567" w:firstLine="0"/>
        <w:jc w:val="both"/>
        <w:rPr>
          <w:rFonts w:ascii="Palatino Linotype" w:hAnsi="Palatino Linotype" w:cs="Arial"/>
          <w:bCs/>
          <w:i/>
          <w:sz w:val="20"/>
        </w:rPr>
      </w:pPr>
      <w:r w:rsidRPr="00983FBC">
        <w:rPr>
          <w:rFonts w:ascii="Palatino Linotype" w:hAnsi="Palatino Linotype" w:cs="Arial"/>
          <w:b/>
          <w:bCs/>
          <w:i/>
          <w:sz w:val="20"/>
        </w:rPr>
        <w:t xml:space="preserve">RRA 5402/17. </w:t>
      </w:r>
      <w:r w:rsidRPr="00983FBC">
        <w:rPr>
          <w:rFonts w:ascii="Palatino Linotype" w:hAnsi="Palatino Linotype" w:cs="Arial"/>
          <w:bCs/>
          <w:i/>
          <w:sz w:val="20"/>
        </w:rPr>
        <w:t xml:space="preserve">Comisión Federal para la Protección contra Riesgos Sanitarios. 25 de octubre de 2017. Por unanimidad. Comisionado Ponente </w:t>
      </w:r>
      <w:proofErr w:type="spellStart"/>
      <w:r w:rsidRPr="00983FBC">
        <w:rPr>
          <w:rFonts w:ascii="Palatino Linotype" w:hAnsi="Palatino Linotype" w:cs="Arial"/>
          <w:bCs/>
          <w:i/>
          <w:sz w:val="20"/>
        </w:rPr>
        <w:t>Rosendoevgueni</w:t>
      </w:r>
      <w:proofErr w:type="spellEnd"/>
      <w:r w:rsidRPr="00983FBC">
        <w:rPr>
          <w:rFonts w:ascii="Palatino Linotype" w:hAnsi="Palatino Linotype" w:cs="Arial"/>
          <w:bCs/>
          <w:i/>
          <w:sz w:val="20"/>
        </w:rPr>
        <w:t xml:space="preserve"> Monterrey </w:t>
      </w:r>
      <w:proofErr w:type="spellStart"/>
      <w:r w:rsidRPr="00983FBC">
        <w:rPr>
          <w:rFonts w:ascii="Palatino Linotype" w:hAnsi="Palatino Linotype" w:cs="Arial"/>
          <w:bCs/>
          <w:i/>
          <w:sz w:val="20"/>
        </w:rPr>
        <w:t>Chepov</w:t>
      </w:r>
      <w:proofErr w:type="spellEnd"/>
      <w:r w:rsidRPr="00983FBC">
        <w:rPr>
          <w:rFonts w:ascii="Palatino Linotype" w:hAnsi="Palatino Linotype" w:cs="Arial"/>
          <w:bCs/>
          <w:i/>
          <w:sz w:val="20"/>
        </w:rPr>
        <w:t>.</w:t>
      </w:r>
    </w:p>
    <w:p w:rsidR="007C71C5" w:rsidRPr="00983FBC" w:rsidRDefault="00E6007F" w:rsidP="00983FBC">
      <w:pPr>
        <w:pStyle w:val="Prrafodelista"/>
        <w:numPr>
          <w:ilvl w:val="1"/>
          <w:numId w:val="35"/>
        </w:numPr>
        <w:tabs>
          <w:tab w:val="left" w:pos="7371"/>
        </w:tabs>
        <w:spacing w:line="360" w:lineRule="auto"/>
        <w:ind w:left="567" w:right="567" w:firstLine="0"/>
        <w:jc w:val="both"/>
        <w:rPr>
          <w:rFonts w:ascii="Palatino Linotype" w:hAnsi="Palatino Linotype" w:cs="Arial"/>
          <w:bCs/>
          <w:i/>
          <w:sz w:val="20"/>
        </w:rPr>
      </w:pPr>
      <w:hyperlink r:id="rId10" w:history="1">
        <w:r w:rsidR="007C71C5" w:rsidRPr="00983FBC">
          <w:rPr>
            <w:rStyle w:val="Hipervnculo"/>
            <w:rFonts w:ascii="Palatino Linotype" w:hAnsi="Palatino Linotype" w:cs="Arial"/>
            <w:bCs/>
            <w:i/>
            <w:sz w:val="20"/>
          </w:rPr>
          <w:t>http://consultas.ifai.org.mx/descargar.php?r=./pdf/resoluciones/2017/&amp;a=RRA%205402.pdf</w:t>
        </w:r>
      </w:hyperlink>
      <w:r w:rsidR="007C71C5" w:rsidRPr="00983FBC">
        <w:rPr>
          <w:rFonts w:ascii="Palatino Linotype" w:hAnsi="Palatino Linotype" w:cs="Arial"/>
          <w:bCs/>
          <w:i/>
          <w:sz w:val="20"/>
        </w:rPr>
        <w:t xml:space="preserve"> </w:t>
      </w:r>
    </w:p>
    <w:p w:rsidR="007C71C5" w:rsidRPr="00983FBC" w:rsidRDefault="007C71C5" w:rsidP="00983FBC">
      <w:pPr>
        <w:pStyle w:val="Prrafodelista"/>
        <w:numPr>
          <w:ilvl w:val="0"/>
          <w:numId w:val="35"/>
        </w:numPr>
        <w:tabs>
          <w:tab w:val="left" w:pos="7371"/>
        </w:tabs>
        <w:spacing w:line="360" w:lineRule="auto"/>
        <w:ind w:left="567" w:right="567" w:firstLine="0"/>
        <w:jc w:val="both"/>
        <w:rPr>
          <w:rFonts w:ascii="Palatino Linotype" w:hAnsi="Palatino Linotype" w:cs="Arial"/>
          <w:bCs/>
          <w:i/>
          <w:sz w:val="20"/>
        </w:rPr>
      </w:pPr>
      <w:r w:rsidRPr="00983FBC">
        <w:rPr>
          <w:rFonts w:ascii="Palatino Linotype" w:hAnsi="Palatino Linotype" w:cs="Arial"/>
          <w:b/>
          <w:bCs/>
          <w:i/>
          <w:sz w:val="20"/>
        </w:rPr>
        <w:t xml:space="preserve">RRA 7492/17. </w:t>
      </w:r>
      <w:r w:rsidRPr="00983FBC">
        <w:rPr>
          <w:rFonts w:ascii="Palatino Linotype" w:hAnsi="Palatino Linotype" w:cs="Arial"/>
          <w:bCs/>
          <w:i/>
          <w:sz w:val="20"/>
        </w:rPr>
        <w:t>Procuraduría Federal del Consumidor. 07 de febrero de 2018. Por unanimidad. Comisionada Ponente Areli Cano Guadiana.</w:t>
      </w:r>
    </w:p>
    <w:p w:rsidR="007C71C5" w:rsidRPr="00983FBC" w:rsidRDefault="00E6007F" w:rsidP="00983FBC">
      <w:pPr>
        <w:pStyle w:val="Prrafodelista"/>
        <w:tabs>
          <w:tab w:val="left" w:pos="7371"/>
        </w:tabs>
        <w:spacing w:line="360" w:lineRule="auto"/>
        <w:ind w:left="567" w:right="567"/>
        <w:jc w:val="both"/>
        <w:rPr>
          <w:rFonts w:ascii="Palatino Linotype" w:hAnsi="Palatino Linotype" w:cs="Arial"/>
          <w:bCs/>
          <w:i/>
          <w:sz w:val="20"/>
        </w:rPr>
      </w:pPr>
      <w:hyperlink r:id="rId11" w:history="1">
        <w:r w:rsidR="007C71C5" w:rsidRPr="00983FBC">
          <w:rPr>
            <w:rStyle w:val="Hipervnculo"/>
            <w:rFonts w:ascii="Palatino Linotype" w:hAnsi="Palatino Linotype" w:cs="Arial"/>
            <w:bCs/>
            <w:i/>
            <w:sz w:val="20"/>
          </w:rPr>
          <w:t>http://consultas.ifai.org.mx/descargar.php?r=./pdf/resoluciones/2017/&amp;a=RRA%207492.pdf</w:t>
        </w:r>
      </w:hyperlink>
      <w:r w:rsidR="007C71C5" w:rsidRPr="00983FBC">
        <w:rPr>
          <w:rFonts w:ascii="Palatino Linotype" w:hAnsi="Palatino Linotype" w:cs="Arial"/>
          <w:bCs/>
          <w:i/>
          <w:sz w:val="20"/>
        </w:rPr>
        <w:t xml:space="preserve"> </w:t>
      </w:r>
    </w:p>
    <w:p w:rsidR="007C71C5" w:rsidRPr="00983FBC" w:rsidRDefault="007C71C5" w:rsidP="00983FBC">
      <w:pPr>
        <w:spacing w:line="360" w:lineRule="auto"/>
        <w:rPr>
          <w:rFonts w:ascii="Palatino Linotype" w:hAnsi="Palatino Linotype" w:cs="Arial"/>
        </w:rPr>
      </w:pPr>
    </w:p>
    <w:p w:rsidR="007C71C5" w:rsidRDefault="007C71C5"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Ahora bien, por lo que hace a las cadenas y sellos digitales del Servicio de Administración Tributaria,</w:t>
      </w:r>
      <w:r w:rsidRPr="00983FBC">
        <w:rPr>
          <w:rFonts w:ascii="Palatino Linotype" w:eastAsia="Arial Unicode MS" w:hAnsi="Palatino Linotype" w:cs="Arial"/>
        </w:rPr>
        <w:t xml:space="preserve"> </w:t>
      </w:r>
      <w:r w:rsidRPr="00983FBC">
        <w:rPr>
          <w:rFonts w:ascii="Palatino Linotype" w:hAnsi="Palatino Linotype" w:cs="Arial"/>
        </w:rPr>
        <w:t xml:space="preserve">forman parte del </w:t>
      </w:r>
      <w:r w:rsidRPr="00983FBC">
        <w:rPr>
          <w:rFonts w:ascii="Palatino Linotype" w:hAnsi="Palatino Linotype" w:cs="Arial"/>
          <w:b/>
        </w:rPr>
        <w:t>certificado de sello digital</w:t>
      </w:r>
      <w:r w:rsidRPr="00983FBC">
        <w:rPr>
          <w:rFonts w:ascii="Palatino Linotype" w:hAnsi="Palatino Linotype" w:cs="Arial"/>
        </w:rPr>
        <w:t xml:space="preserve">, el cual es un documento electrónico, que de conformidad con los artículos 17-G fracción I y 29 primer y segundo párrafos, fracciones II y IV y 31 penúltimo párrafo del Código Fiscal de la Federación, </w:t>
      </w:r>
      <w:r w:rsidRPr="00983FBC">
        <w:rPr>
          <w:rFonts w:ascii="Palatino Linotype" w:hAnsi="Palatino Linotype" w:cs="Arial"/>
          <w:b/>
        </w:rPr>
        <w:t>le permiten advertir una vinculación entre la identidad de un sujeto o entidad con su clave pública</w:t>
      </w:r>
      <w:r w:rsidRPr="00983FBC">
        <w:rPr>
          <w:rFonts w:ascii="Palatino Linotype" w:hAnsi="Palatino Linotype" w:cs="Arial"/>
        </w:rPr>
        <w:t xml:space="preserve">, lo que hace identificable a una persona (física) o entidad (persona jurídica colectiva), </w:t>
      </w:r>
      <w:r w:rsidRPr="00983FBC">
        <w:rPr>
          <w:rFonts w:ascii="Palatino Linotype" w:hAnsi="Palatino Linotype" w:cs="Arial"/>
          <w:b/>
        </w:rPr>
        <w:t>por los ingresos que perciban o por la retención de contribuciones que efectúen</w:t>
      </w:r>
      <w:r w:rsidRPr="00983FBC">
        <w:rPr>
          <w:rFonts w:ascii="Palatino Linotype" w:hAnsi="Palatino Linotype" w:cs="Arial"/>
        </w:rPr>
        <w:t>, es decir los datos que se revelan al consultar las Cadenas Originales y Sellos Digitales del Servicio de Administración Tributaria, corresponden en este caso a los ingresos como una entidad proveedora, además de que dichos certificados tienen como finalidad o propósito específico, firmar digitalmente las facturas electrónicas para acreditar la autoría de los comprobantes fiscales digitales. Preceptos que se transcriben a continuación:</w:t>
      </w:r>
    </w:p>
    <w:p w:rsidR="00983FBC" w:rsidRPr="00983FBC" w:rsidRDefault="00983FBC" w:rsidP="00983FBC">
      <w:pPr>
        <w:pStyle w:val="Prrafodelista"/>
        <w:spacing w:line="360" w:lineRule="auto"/>
        <w:ind w:left="0"/>
        <w:jc w:val="both"/>
        <w:rPr>
          <w:rFonts w:ascii="Palatino Linotype" w:hAnsi="Palatino Linotype" w:cs="Arial"/>
        </w:rPr>
      </w:pP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noProof/>
          <w:sz w:val="22"/>
        </w:rPr>
        <w:lastRenderedPageBreak/>
        <w:t>“</w:t>
      </w:r>
      <w:r w:rsidRPr="00983FBC">
        <w:rPr>
          <w:rFonts w:ascii="Palatino Linotype" w:hAnsi="Palatino Linotype" w:cs="Arial"/>
          <w:b/>
          <w:bCs/>
          <w:noProof/>
          <w:sz w:val="22"/>
        </w:rPr>
        <w:t>Artículo 17-G</w:t>
      </w:r>
      <w:r w:rsidRPr="00983FBC">
        <w:rPr>
          <w:rFonts w:ascii="Palatino Linotype" w:hAnsi="Palatino Linotype" w:cs="Arial"/>
          <w:bCs/>
          <w:i/>
          <w:noProof/>
          <w:sz w:val="22"/>
        </w:rPr>
        <w:t xml:space="preserve">.- Los certificados que emita el Servicio de Administración Tributaria para ser considerados válidos deberán contener los datos siguientes: </w:t>
      </w:r>
    </w:p>
    <w:p w:rsidR="007C71C5"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
          <w:bCs/>
          <w:i/>
          <w:noProof/>
          <w:sz w:val="22"/>
        </w:rPr>
        <w:t>I.</w:t>
      </w:r>
      <w:r w:rsidRPr="00983FBC">
        <w:rPr>
          <w:rFonts w:ascii="Palatino Linotype" w:hAnsi="Palatino Linotype" w:cs="Arial"/>
          <w:bCs/>
          <w:i/>
          <w:noProof/>
          <w:sz w:val="22"/>
        </w:rPr>
        <w:tab/>
      </w:r>
      <w:r w:rsidRPr="00983FBC">
        <w:rPr>
          <w:rFonts w:ascii="Palatino Linotype" w:hAnsi="Palatino Linotype" w:cs="Arial"/>
          <w:b/>
          <w:bCs/>
          <w:i/>
          <w:noProof/>
          <w:sz w:val="22"/>
        </w:rPr>
        <w:t>La mención de que se expiden como tales</w:t>
      </w:r>
      <w:r w:rsidRPr="00983FBC">
        <w:rPr>
          <w:rFonts w:ascii="Palatino Linotype" w:hAnsi="Palatino Linotype" w:cs="Arial"/>
          <w:bCs/>
          <w:i/>
          <w:noProof/>
          <w:sz w:val="22"/>
        </w:rPr>
        <w:t xml:space="preserve">. </w:t>
      </w:r>
      <w:r w:rsidRPr="00983FBC">
        <w:rPr>
          <w:rFonts w:ascii="Palatino Linotype" w:hAnsi="Palatino Linotype" w:cs="Arial"/>
          <w:b/>
          <w:bCs/>
          <w:i/>
          <w:noProof/>
          <w:sz w:val="22"/>
        </w:rPr>
        <w:t>Tratándose de certificados de sellos digitales, se deberán especificar las limitantes que tengan para su uso</w:t>
      </w:r>
      <w:r w:rsidRPr="00983FBC">
        <w:rPr>
          <w:rFonts w:ascii="Palatino Linotype" w:hAnsi="Palatino Linotype" w:cs="Arial"/>
          <w:bCs/>
          <w:i/>
          <w:noProof/>
          <w:sz w:val="22"/>
        </w:rPr>
        <w:t>.</w:t>
      </w:r>
    </w:p>
    <w:p w:rsidR="00983FBC" w:rsidRPr="00983FBC" w:rsidRDefault="00983FBC" w:rsidP="00983FBC">
      <w:pPr>
        <w:spacing w:line="360" w:lineRule="auto"/>
        <w:ind w:left="851" w:right="902"/>
        <w:jc w:val="both"/>
        <w:rPr>
          <w:rFonts w:ascii="Palatino Linotype" w:hAnsi="Palatino Linotype" w:cs="Arial"/>
          <w:bCs/>
          <w:i/>
          <w:noProof/>
          <w:sz w:val="22"/>
        </w:rPr>
      </w:pP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
          <w:bCs/>
          <w:i/>
          <w:noProof/>
          <w:sz w:val="22"/>
        </w:rPr>
        <w:t xml:space="preserve">Artículo 29. </w:t>
      </w:r>
      <w:r w:rsidRPr="00983FBC">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Los contribuyentes a que se refiere el párrafo anterior deberán cumplir con las obligaciones siguientes:</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
          <w:bCs/>
          <w:i/>
          <w:noProof/>
          <w:sz w:val="22"/>
        </w:rPr>
        <w:t>II.</w:t>
      </w:r>
      <w:r w:rsidRPr="00983FBC">
        <w:rPr>
          <w:rFonts w:ascii="Palatino Linotype" w:hAnsi="Palatino Linotype" w:cs="Arial"/>
          <w:bCs/>
          <w:i/>
          <w:noProof/>
          <w:sz w:val="22"/>
        </w:rPr>
        <w:tab/>
      </w:r>
      <w:r w:rsidRPr="00983FBC">
        <w:rPr>
          <w:rFonts w:ascii="Palatino Linotype" w:hAnsi="Palatino Linotype" w:cs="Arial"/>
          <w:b/>
          <w:bCs/>
          <w:i/>
          <w:noProof/>
          <w:sz w:val="22"/>
        </w:rPr>
        <w:t>Tramitar ante el Servicio de Administración Tributaria el certificado para el uso de los sellos digitales</w:t>
      </w:r>
      <w:r w:rsidRPr="00983FBC">
        <w:rPr>
          <w:rFonts w:ascii="Palatino Linotype" w:hAnsi="Palatino Linotype" w:cs="Arial"/>
          <w:bCs/>
          <w:i/>
          <w:noProof/>
          <w:sz w:val="22"/>
        </w:rPr>
        <w:t>.</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983FBC">
        <w:rPr>
          <w:rFonts w:ascii="Palatino Linotype" w:hAnsi="Palatino Linotype" w:cs="Arial"/>
          <w:b/>
          <w:bCs/>
          <w:i/>
          <w:noProof/>
          <w:sz w:val="22"/>
        </w:rPr>
        <w:t>El sello digital permitirá acreditar la autoría de los comprobantes fiscales digitales</w:t>
      </w:r>
      <w:r w:rsidRPr="00983FBC">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7C71C5" w:rsidRPr="00983FBC" w:rsidRDefault="007C71C5" w:rsidP="00983FBC">
      <w:pPr>
        <w:spacing w:line="360" w:lineRule="auto"/>
        <w:ind w:left="851" w:right="902" w:firstLine="142"/>
        <w:jc w:val="both"/>
        <w:rPr>
          <w:rFonts w:ascii="Palatino Linotype" w:hAnsi="Palatino Linotype" w:cs="Arial"/>
          <w:bCs/>
          <w:i/>
          <w:noProof/>
          <w:sz w:val="22"/>
        </w:rPr>
      </w:pPr>
      <w:r w:rsidRPr="00983FBC">
        <w:rPr>
          <w:rFonts w:ascii="Palatino Linotype" w:hAnsi="Palatino Linotype" w:cs="Arial"/>
          <w:bCs/>
          <w:i/>
          <w:noProof/>
          <w:sz w:val="22"/>
        </w:rPr>
        <w:t>[…]</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
          <w:bCs/>
          <w:i/>
          <w:noProof/>
          <w:sz w:val="22"/>
        </w:rPr>
        <w:lastRenderedPageBreak/>
        <w:t>IV.</w:t>
      </w:r>
      <w:r w:rsidRPr="00983FBC">
        <w:rPr>
          <w:rFonts w:ascii="Palatino Linotype" w:hAnsi="Palatino Linotype" w:cs="Arial"/>
          <w:b/>
          <w:bCs/>
          <w:i/>
          <w:noProof/>
          <w:sz w:val="22"/>
        </w:rPr>
        <w:tab/>
        <w:t>Remitir al Servicio de Administración Tributaria, antes de su expedición, el comprobante fiscal digital por Internet respectivo</w:t>
      </w:r>
      <w:r w:rsidRPr="00983FBC">
        <w:rPr>
          <w:rFonts w:ascii="Palatino Linotype" w:hAnsi="Palatino Linotype" w:cs="Arial"/>
          <w:bCs/>
          <w:i/>
          <w:noProof/>
          <w:sz w:val="22"/>
        </w:rPr>
        <w:t xml:space="preserve"> a través de los mecanismos digitales que para tal efecto determine dicho órgano desconcentrado mediante reglas de carácter general, </w:t>
      </w:r>
      <w:r w:rsidRPr="00983FBC">
        <w:rPr>
          <w:rFonts w:ascii="Palatino Linotype" w:hAnsi="Palatino Linotype" w:cs="Arial"/>
          <w:b/>
          <w:bCs/>
          <w:i/>
          <w:noProof/>
          <w:sz w:val="22"/>
        </w:rPr>
        <w:t>con el objeto de que éste proceda a</w:t>
      </w:r>
      <w:r w:rsidRPr="00983FBC">
        <w:rPr>
          <w:rFonts w:ascii="Palatino Linotype" w:hAnsi="Palatino Linotype" w:cs="Arial"/>
          <w:bCs/>
          <w:i/>
          <w:noProof/>
          <w:sz w:val="22"/>
        </w:rPr>
        <w:t>:</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a)</w:t>
      </w:r>
      <w:r w:rsidRPr="00983FBC">
        <w:rPr>
          <w:rFonts w:ascii="Palatino Linotype" w:hAnsi="Palatino Linotype" w:cs="Arial"/>
          <w:bCs/>
          <w:i/>
          <w:noProof/>
          <w:sz w:val="22"/>
        </w:rPr>
        <w:tab/>
        <w:t>Validar el cumplimiento de los requisitos establecidos en el artículo 29-A de este Código.</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b)</w:t>
      </w:r>
      <w:r w:rsidRPr="00983FBC">
        <w:rPr>
          <w:rFonts w:ascii="Palatino Linotype" w:hAnsi="Palatino Linotype" w:cs="Arial"/>
          <w:bCs/>
          <w:i/>
          <w:noProof/>
          <w:sz w:val="22"/>
        </w:rPr>
        <w:tab/>
        <w:t>Asignar el folio del comprobante fiscal digital.</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
          <w:bCs/>
          <w:i/>
          <w:noProof/>
          <w:sz w:val="22"/>
        </w:rPr>
        <w:t>c)</w:t>
      </w:r>
      <w:r w:rsidRPr="00983FBC">
        <w:rPr>
          <w:rFonts w:ascii="Palatino Linotype" w:hAnsi="Palatino Linotype" w:cs="Arial"/>
          <w:b/>
          <w:bCs/>
          <w:i/>
          <w:noProof/>
          <w:sz w:val="22"/>
        </w:rPr>
        <w:tab/>
        <w:t>Incorporar el sello digital del Servicio de Administración Tributaria</w:t>
      </w:r>
      <w:r w:rsidRPr="00983FBC">
        <w:rPr>
          <w:rFonts w:ascii="Palatino Linotype" w:hAnsi="Palatino Linotype" w:cs="Arial"/>
          <w:bCs/>
          <w:i/>
          <w:noProof/>
          <w:sz w:val="22"/>
        </w:rPr>
        <w:t>.</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El Servicio de Administración Tributaria podrá autorizar a proveedores de certificación de comprobantes fiscales digitales por Internet para que efectúen la validación, asignación de folio e incorporación del sello a que se refiere esta fracción.</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7C71C5"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rsidR="00983FBC" w:rsidRPr="00983FBC" w:rsidRDefault="00983FBC" w:rsidP="00983FBC">
      <w:pPr>
        <w:spacing w:line="360" w:lineRule="auto"/>
        <w:ind w:left="851" w:right="902"/>
        <w:jc w:val="both"/>
        <w:rPr>
          <w:rFonts w:ascii="Palatino Linotype" w:hAnsi="Palatino Linotype" w:cs="Arial"/>
          <w:bCs/>
          <w:i/>
          <w:noProof/>
          <w:sz w:val="22"/>
        </w:rPr>
      </w:pPr>
    </w:p>
    <w:p w:rsidR="007C71C5" w:rsidRPr="00983FBC" w:rsidRDefault="007C71C5" w:rsidP="00983FBC">
      <w:pPr>
        <w:spacing w:line="360" w:lineRule="auto"/>
        <w:ind w:left="851" w:right="902" w:firstLine="142"/>
        <w:jc w:val="both"/>
        <w:rPr>
          <w:rFonts w:ascii="Palatino Linotype" w:hAnsi="Palatino Linotype" w:cs="Arial"/>
          <w:bCs/>
          <w:i/>
          <w:noProof/>
          <w:sz w:val="22"/>
        </w:rPr>
      </w:pPr>
      <w:r w:rsidRPr="00983FBC">
        <w:rPr>
          <w:rFonts w:ascii="Palatino Linotype" w:hAnsi="Palatino Linotype" w:cs="Arial"/>
          <w:b/>
          <w:bCs/>
          <w:i/>
          <w:noProof/>
          <w:sz w:val="22"/>
        </w:rPr>
        <w:lastRenderedPageBreak/>
        <w:t>Artículo 31</w:t>
      </w:r>
      <w:r w:rsidRPr="00983FBC">
        <w:rPr>
          <w:rFonts w:ascii="Palatino Linotype" w:hAnsi="Palatino Linotype" w:cs="Arial"/>
          <w:bCs/>
          <w:i/>
          <w:noProof/>
          <w:sz w:val="22"/>
        </w:rPr>
        <w:t>. […]</w:t>
      </w:r>
    </w:p>
    <w:p w:rsidR="007C71C5" w:rsidRPr="00983FBC" w:rsidRDefault="007C71C5" w:rsidP="00983FBC">
      <w:pPr>
        <w:spacing w:line="360" w:lineRule="auto"/>
        <w:ind w:left="851" w:right="902"/>
        <w:jc w:val="both"/>
        <w:rPr>
          <w:rFonts w:ascii="Palatino Linotype" w:hAnsi="Palatino Linotype" w:cs="Arial"/>
          <w:bCs/>
          <w:i/>
          <w:noProof/>
          <w:sz w:val="22"/>
        </w:rPr>
      </w:pPr>
      <w:r w:rsidRPr="00983FBC">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7C71C5" w:rsidRDefault="007C71C5" w:rsidP="00983FBC">
      <w:pPr>
        <w:spacing w:line="360" w:lineRule="auto"/>
        <w:ind w:left="851" w:right="902"/>
        <w:jc w:val="both"/>
        <w:rPr>
          <w:rFonts w:ascii="Palatino Linotype" w:hAnsi="Palatino Linotype" w:cs="Arial"/>
          <w:sz w:val="22"/>
          <w:szCs w:val="22"/>
          <w:lang w:eastAsia="es-MX"/>
        </w:rPr>
      </w:pPr>
      <w:r w:rsidRPr="00983FBC">
        <w:rPr>
          <w:rFonts w:ascii="Palatino Linotype" w:hAnsi="Palatino Linotype" w:cs="Arial"/>
          <w:sz w:val="22"/>
          <w:szCs w:val="22"/>
          <w:lang w:eastAsia="es-MX"/>
        </w:rPr>
        <w:t>(Énfasis añadido)</w:t>
      </w:r>
    </w:p>
    <w:p w:rsidR="00983FBC" w:rsidRPr="00983FBC" w:rsidRDefault="00983FBC" w:rsidP="00983FBC">
      <w:pPr>
        <w:spacing w:line="360" w:lineRule="auto"/>
        <w:ind w:left="851" w:right="902"/>
        <w:jc w:val="both"/>
        <w:rPr>
          <w:rFonts w:ascii="Palatino Linotype" w:hAnsi="Palatino Linotype" w:cs="Arial"/>
          <w:sz w:val="22"/>
          <w:szCs w:val="22"/>
          <w:lang w:eastAsia="es-MX"/>
        </w:rPr>
      </w:pPr>
    </w:p>
    <w:p w:rsidR="007C71C5" w:rsidRDefault="007C71C5" w:rsidP="00983FBC">
      <w:pPr>
        <w:pStyle w:val="Prrafodelista"/>
        <w:widowControl w:val="0"/>
        <w:numPr>
          <w:ilvl w:val="0"/>
          <w:numId w:val="18"/>
        </w:numPr>
        <w:autoSpaceDE w:val="0"/>
        <w:autoSpaceDN w:val="0"/>
        <w:adjustRightInd w:val="0"/>
        <w:spacing w:line="360" w:lineRule="auto"/>
        <w:ind w:left="0" w:firstLine="0"/>
        <w:jc w:val="both"/>
        <w:rPr>
          <w:rFonts w:ascii="Palatino Linotype" w:hAnsi="Palatino Linotype" w:cs="Arial"/>
        </w:rPr>
      </w:pPr>
      <w:r w:rsidRPr="00983FBC">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dichos datos corresponden </w:t>
      </w:r>
      <w:r w:rsidR="006F24A8" w:rsidRPr="00983FBC">
        <w:rPr>
          <w:rFonts w:ascii="Palatino Linotype" w:hAnsi="Palatino Linotype" w:cs="Arial"/>
        </w:rPr>
        <w:t xml:space="preserve">una persona física o moral que recibió recursos públicos vender bienes al </w:t>
      </w:r>
      <w:r w:rsidRPr="00983FBC">
        <w:rPr>
          <w:rFonts w:ascii="Palatino Linotype" w:hAnsi="Palatino Linotype" w:cs="Arial"/>
          <w:b/>
        </w:rPr>
        <w:t xml:space="preserve">SUJETO OBLIGADO, </w:t>
      </w:r>
      <w:r w:rsidRPr="00983FBC">
        <w:rPr>
          <w:rFonts w:ascii="Palatino Linotype" w:hAnsi="Palatino Linotype" w:cs="Arial"/>
        </w:rPr>
        <w:t xml:space="preserve">que es quien, a través de la emisión de dichos comprobantes, justifica el detrimento al erario público que sufre el Municipio de </w:t>
      </w:r>
      <w:r w:rsidR="006F24A8" w:rsidRPr="00983FBC">
        <w:rPr>
          <w:rFonts w:ascii="Palatino Linotype" w:hAnsi="Palatino Linotype" w:cs="Arial"/>
        </w:rPr>
        <w:t>Tejupilco. A</w:t>
      </w:r>
      <w:r w:rsidRPr="00983FBC">
        <w:rPr>
          <w:rFonts w:ascii="Palatino Linotype" w:hAnsi="Palatino Linotype" w:cs="Arial"/>
        </w:rPr>
        <w:t>sí conviene traer a contexto lo siguiente:</w:t>
      </w:r>
    </w:p>
    <w:p w:rsidR="00983FBC" w:rsidRPr="00983FBC" w:rsidRDefault="00983FBC" w:rsidP="00983FBC">
      <w:pPr>
        <w:pStyle w:val="Prrafodelista"/>
        <w:widowControl w:val="0"/>
        <w:autoSpaceDE w:val="0"/>
        <w:autoSpaceDN w:val="0"/>
        <w:adjustRightInd w:val="0"/>
        <w:spacing w:line="360" w:lineRule="auto"/>
        <w:ind w:left="0"/>
        <w:jc w:val="both"/>
        <w:rPr>
          <w:rFonts w:ascii="Palatino Linotype" w:hAnsi="Palatino Linotype" w:cs="Arial"/>
        </w:rPr>
      </w:pPr>
    </w:p>
    <w:p w:rsidR="007C71C5" w:rsidRPr="00983FBC" w:rsidRDefault="007C71C5" w:rsidP="00983FBC">
      <w:pPr>
        <w:spacing w:line="360" w:lineRule="auto"/>
        <w:ind w:left="709" w:right="709"/>
        <w:jc w:val="center"/>
        <w:rPr>
          <w:rFonts w:ascii="Palatino Linotype" w:hAnsi="Palatino Linotype" w:cs="Arial"/>
          <w:b/>
          <w:bCs/>
          <w:i/>
          <w:noProof/>
          <w:sz w:val="22"/>
          <w:szCs w:val="22"/>
        </w:rPr>
      </w:pPr>
      <w:r w:rsidRPr="00983FBC">
        <w:rPr>
          <w:rFonts w:ascii="Palatino Linotype" w:hAnsi="Palatino Linotype" w:cs="Arial"/>
          <w:b/>
          <w:bCs/>
          <w:i/>
          <w:noProof/>
          <w:sz w:val="22"/>
          <w:szCs w:val="22"/>
        </w:rPr>
        <w:t>Código Fiscal de la Federación</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r w:rsidRPr="00983FBC">
        <w:rPr>
          <w:rFonts w:ascii="Palatino Linotype" w:hAnsi="Palatino Linotype" w:cs="Arial"/>
          <w:b/>
          <w:bCs/>
          <w:i/>
          <w:noProof/>
          <w:sz w:val="22"/>
          <w:szCs w:val="22"/>
        </w:rPr>
        <w:t xml:space="preserve">Artículo 33.- </w:t>
      </w:r>
      <w:r w:rsidRPr="00983FBC">
        <w:rPr>
          <w:rFonts w:ascii="Palatino Linotype" w:hAnsi="Palatino Linotype" w:cs="Arial"/>
          <w:bCs/>
          <w:i/>
          <w:noProof/>
          <w:sz w:val="22"/>
          <w:szCs w:val="22"/>
        </w:rPr>
        <w:t>Las autoridades fiscales para el mejor cumplimiento de sus facultades, estarán a lo siguiente:</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lastRenderedPageBreak/>
        <w:t>I.- Proporcionarán asistencia gratuita a los contribuyentes y para ello procurarán:</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
          <w:bCs/>
          <w:i/>
          <w:noProof/>
          <w:sz w:val="22"/>
          <w:szCs w:val="22"/>
        </w:rPr>
        <w:t>g)</w:t>
      </w:r>
      <w:r w:rsidRPr="00983FBC">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983FBC">
        <w:rPr>
          <w:rFonts w:ascii="Palatino Linotype" w:hAnsi="Palatino Linotype" w:cs="Arial"/>
          <w:bCs/>
          <w:i/>
          <w:noProof/>
          <w:sz w:val="22"/>
          <w:szCs w:val="22"/>
        </w:rPr>
        <w:t xml:space="preserve">; </w:t>
      </w:r>
      <w:r w:rsidRPr="00983FBC">
        <w:rPr>
          <w:rFonts w:ascii="Palatino Linotype" w:hAnsi="Palatino Linotype" w:cs="Arial"/>
          <w:b/>
          <w:bCs/>
          <w:i/>
          <w:noProof/>
          <w:sz w:val="22"/>
          <w:szCs w:val="22"/>
        </w:rPr>
        <w:t>se podrán publicar aisladamente aquellas disposiciones cuyos efectos se limitan a periodos inferiores a un año</w:t>
      </w:r>
      <w:r w:rsidRPr="00983FBC">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rsidR="007C71C5" w:rsidRPr="00983FBC" w:rsidRDefault="007C71C5" w:rsidP="00983FBC">
      <w:pPr>
        <w:spacing w:line="360" w:lineRule="auto"/>
        <w:ind w:left="851" w:right="899"/>
        <w:jc w:val="center"/>
        <w:rPr>
          <w:rFonts w:ascii="Palatino Linotype" w:hAnsi="Palatino Linotype" w:cs="Arial"/>
          <w:b/>
          <w:bCs/>
          <w:i/>
          <w:noProof/>
          <w:sz w:val="22"/>
          <w:szCs w:val="22"/>
        </w:rPr>
      </w:pPr>
    </w:p>
    <w:p w:rsidR="007C71C5" w:rsidRPr="00983FBC" w:rsidRDefault="007C71C5" w:rsidP="00983FBC">
      <w:pPr>
        <w:spacing w:line="360" w:lineRule="auto"/>
        <w:ind w:left="851" w:right="899"/>
        <w:jc w:val="center"/>
        <w:rPr>
          <w:rFonts w:ascii="Palatino Linotype" w:hAnsi="Palatino Linotype" w:cs="Arial"/>
          <w:b/>
          <w:bCs/>
          <w:i/>
          <w:noProof/>
          <w:sz w:val="22"/>
          <w:szCs w:val="22"/>
        </w:rPr>
      </w:pPr>
      <w:r w:rsidRPr="00983FBC">
        <w:rPr>
          <w:rFonts w:ascii="Palatino Linotype" w:hAnsi="Palatino Linotype" w:cs="Arial"/>
          <w:b/>
          <w:bCs/>
          <w:i/>
          <w:noProof/>
          <w:sz w:val="22"/>
          <w:szCs w:val="22"/>
        </w:rPr>
        <w:t>Anexo 20 de la Segunda Resolución de modificaciones a la Resolución Miscelánea Fiscal para 2017</w:t>
      </w:r>
    </w:p>
    <w:p w:rsidR="007C71C5" w:rsidRPr="00983FBC" w:rsidRDefault="007C71C5" w:rsidP="00983FBC">
      <w:pPr>
        <w:spacing w:line="360" w:lineRule="auto"/>
        <w:ind w:left="851" w:right="899"/>
        <w:jc w:val="center"/>
        <w:rPr>
          <w:rFonts w:ascii="Palatino Linotype" w:hAnsi="Palatino Linotype" w:cs="Arial"/>
          <w:b/>
          <w:bCs/>
          <w:i/>
          <w:noProof/>
          <w:sz w:val="22"/>
          <w:szCs w:val="22"/>
        </w:rPr>
      </w:pP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I. Del Comprobante fiscal digital por Internet:</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B. Generación de sellos digitales para comprobantes fiscales digitales por Internet.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Elementos utilizados en la generación de Sellos Digitales:</w:t>
      </w:r>
    </w:p>
    <w:p w:rsidR="007C71C5" w:rsidRPr="00983FBC" w:rsidRDefault="007C71C5" w:rsidP="00983FBC">
      <w:pPr>
        <w:pStyle w:val="Prrafodelista"/>
        <w:numPr>
          <w:ilvl w:val="0"/>
          <w:numId w:val="36"/>
        </w:numPr>
        <w:spacing w:line="360" w:lineRule="auto"/>
        <w:ind w:left="851" w:right="899" w:firstLine="0"/>
        <w:contextualSpacing w:val="0"/>
        <w:jc w:val="both"/>
        <w:rPr>
          <w:rFonts w:ascii="Palatino Linotype" w:hAnsi="Palatino Linotype" w:cs="Arial"/>
          <w:bCs/>
          <w:i/>
          <w:noProof/>
          <w:sz w:val="22"/>
          <w:szCs w:val="22"/>
        </w:rPr>
      </w:pPr>
      <w:r w:rsidRPr="00983FBC">
        <w:rPr>
          <w:rFonts w:ascii="Palatino Linotype" w:hAnsi="Palatino Linotype" w:cs="Arial"/>
          <w:b/>
          <w:bCs/>
          <w:i/>
          <w:noProof/>
          <w:sz w:val="22"/>
          <w:szCs w:val="22"/>
        </w:rPr>
        <w:t xml:space="preserve">Cadena Original </w:t>
      </w:r>
      <w:r w:rsidRPr="00983FBC">
        <w:rPr>
          <w:rFonts w:ascii="Palatino Linotype" w:hAnsi="Palatino Linotype" w:cs="Arial"/>
          <w:bCs/>
          <w:i/>
          <w:noProof/>
          <w:sz w:val="22"/>
          <w:szCs w:val="22"/>
        </w:rPr>
        <w:t>del elemento a sellar.</w:t>
      </w:r>
    </w:p>
    <w:p w:rsidR="007C71C5" w:rsidRPr="00983FBC" w:rsidRDefault="007C71C5" w:rsidP="00983FBC">
      <w:pPr>
        <w:pStyle w:val="Prrafodelista"/>
        <w:numPr>
          <w:ilvl w:val="0"/>
          <w:numId w:val="36"/>
        </w:numPr>
        <w:spacing w:line="360" w:lineRule="auto"/>
        <w:ind w:left="851" w:right="899" w:firstLine="0"/>
        <w:contextualSpacing w:val="0"/>
        <w:jc w:val="both"/>
        <w:rPr>
          <w:rFonts w:ascii="Palatino Linotype" w:hAnsi="Palatino Linotype" w:cs="Arial"/>
          <w:b/>
          <w:bCs/>
          <w:i/>
          <w:noProof/>
          <w:sz w:val="22"/>
          <w:szCs w:val="22"/>
        </w:rPr>
      </w:pPr>
      <w:r w:rsidRPr="00983FBC">
        <w:rPr>
          <w:rFonts w:ascii="Palatino Linotype" w:hAnsi="Palatino Linotype" w:cs="Arial"/>
          <w:b/>
          <w:bCs/>
          <w:i/>
          <w:noProof/>
          <w:sz w:val="22"/>
          <w:szCs w:val="22"/>
        </w:rPr>
        <w:t xml:space="preserve">Certificado de Sello Digital </w:t>
      </w:r>
      <w:r w:rsidRPr="00983FBC">
        <w:rPr>
          <w:rFonts w:ascii="Palatino Linotype" w:hAnsi="Palatino Linotype" w:cs="Arial"/>
          <w:bCs/>
          <w:i/>
          <w:noProof/>
          <w:sz w:val="22"/>
          <w:szCs w:val="22"/>
        </w:rPr>
        <w:t>y su correspondiente clave privada</w:t>
      </w:r>
      <w:r w:rsidRPr="00983FBC">
        <w:rPr>
          <w:rFonts w:ascii="Palatino Linotype" w:hAnsi="Palatino Linotype" w:cs="Arial"/>
          <w:b/>
          <w:bCs/>
          <w:i/>
          <w:noProof/>
          <w:sz w:val="22"/>
          <w:szCs w:val="22"/>
        </w:rPr>
        <w:t>.</w:t>
      </w:r>
    </w:p>
    <w:p w:rsidR="007C71C5" w:rsidRPr="00983FBC" w:rsidRDefault="007C71C5" w:rsidP="00983FBC">
      <w:pPr>
        <w:pStyle w:val="Prrafodelista"/>
        <w:numPr>
          <w:ilvl w:val="0"/>
          <w:numId w:val="36"/>
        </w:numPr>
        <w:spacing w:line="360" w:lineRule="auto"/>
        <w:ind w:left="851" w:right="899" w:firstLine="0"/>
        <w:contextualSpacing w:val="0"/>
        <w:jc w:val="both"/>
        <w:rPr>
          <w:rFonts w:ascii="Palatino Linotype" w:hAnsi="Palatino Linotype" w:cs="Arial"/>
          <w:bCs/>
          <w:i/>
          <w:noProof/>
          <w:sz w:val="22"/>
          <w:szCs w:val="22"/>
        </w:rPr>
      </w:pPr>
      <w:r w:rsidRPr="00983FBC">
        <w:rPr>
          <w:rFonts w:ascii="Palatino Linotype" w:hAnsi="Palatino Linotype" w:cs="Arial"/>
          <w:bCs/>
          <w:i/>
          <w:noProof/>
          <w:sz w:val="22"/>
          <w:szCs w:val="22"/>
        </w:rPr>
        <w:t>Algoritmos de criptografía de clave pública para firma electrónica avanzada.</w:t>
      </w:r>
    </w:p>
    <w:p w:rsidR="007C71C5" w:rsidRPr="00983FBC" w:rsidRDefault="007C71C5" w:rsidP="00983FBC">
      <w:pPr>
        <w:pStyle w:val="Prrafodelista"/>
        <w:numPr>
          <w:ilvl w:val="0"/>
          <w:numId w:val="36"/>
        </w:numPr>
        <w:spacing w:line="360" w:lineRule="auto"/>
        <w:ind w:left="851" w:right="899" w:firstLine="0"/>
        <w:contextualSpacing w:val="0"/>
        <w:jc w:val="both"/>
        <w:rPr>
          <w:rFonts w:ascii="Palatino Linotype" w:hAnsi="Palatino Linotype" w:cs="Arial"/>
          <w:bCs/>
          <w:i/>
          <w:noProof/>
          <w:sz w:val="22"/>
          <w:szCs w:val="22"/>
        </w:rPr>
      </w:pPr>
      <w:r w:rsidRPr="00983FBC">
        <w:rPr>
          <w:rFonts w:ascii="Palatino Linotype" w:hAnsi="Palatino Linotype" w:cs="Arial"/>
          <w:bCs/>
          <w:i/>
          <w:noProof/>
          <w:sz w:val="22"/>
          <w:szCs w:val="22"/>
        </w:rPr>
        <w:t>Especificaciones de conversión de la firma electrónica avanzada a Base 64.</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Cadena Original</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lastRenderedPageBreak/>
        <w:t>Se entiende como cadena original, a la secuencia de datos formada con la información contenida dentro del comprobante fiscal digital por Internet, establecida en el Rubro I.A. de este anexo, construida aplicando las siguientes reglas.</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Reglas Generales:</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2. El inicio de la cadena original se encuentra marcado mediante una secuencia de caracteres || (doble pleca).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4. Cada dato individual se debe separar de su dato subsiguiente, en caso de existir, mediante un carácter | (pleca sencilla).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5. Los espacios en blanco que se presenten dentro de la cadena original son tratados de la siguiente manera: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a. Se deben reemplazar todos los tabuladores, retornos de carro y saltos de línea por el carácter espacio (ASCII 32).</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b. Acto seguido se elimina cualquier espacio al principio y al final de cada separador | (pleca).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c. Finalmente, toda secuencia de caracteres en blanco se sustituye por un único carácter espacio (ASCII 32).</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6. Los datos opcionales no expresados, no aparecen en la cadena original y no tienen delimitador alguno.</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lastRenderedPageBreak/>
        <w:t>7. El final de la cadena original se expresa mediante una cadena de caracteres || (doble pleca).</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8. Toda la cadena original se expresa en el formato de codificación UTF-8.</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Generación del Sello Digital</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
          <w:bCs/>
          <w:i/>
          <w:noProof/>
          <w:sz w:val="22"/>
          <w:szCs w:val="22"/>
        </w:rPr>
        <w:t>Para toda cadena original a ser sellada digitalmente, la secuencia de algoritmos a aplicar es la siguiente</w:t>
      </w: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E. Secuencia de formación para generar la cadena original para comprobantes fiscales digitalespor Internet</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Secuencia de Formación:</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
          <w:bCs/>
          <w:i/>
          <w:noProof/>
          <w:sz w:val="22"/>
          <w:szCs w:val="22"/>
        </w:rPr>
        <w:t>La secuencia de formación siempre se registra en el orden que se expresa a continuación</w:t>
      </w:r>
      <w:r w:rsidRPr="00983FBC">
        <w:rPr>
          <w:rFonts w:ascii="Palatino Linotype" w:hAnsi="Palatino Linotype" w:cs="Arial"/>
          <w:bCs/>
          <w:i/>
          <w:noProof/>
          <w:sz w:val="22"/>
          <w:szCs w:val="22"/>
        </w:rPr>
        <w:t>,</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lastRenderedPageBreak/>
        <w:t>[…]</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 xml:space="preserve">3. </w:t>
      </w:r>
      <w:r w:rsidRPr="00983FBC">
        <w:rPr>
          <w:rFonts w:ascii="Palatino Linotype" w:hAnsi="Palatino Linotype" w:cs="Arial"/>
          <w:b/>
          <w:bCs/>
          <w:i/>
          <w:noProof/>
          <w:sz w:val="22"/>
          <w:szCs w:val="22"/>
        </w:rPr>
        <w:t>Información del nodo Emisor</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a. Rfc</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b. Nombre</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c. RegimenFiscal</w:t>
      </w:r>
    </w:p>
    <w:p w:rsidR="007C71C5" w:rsidRPr="00983FBC" w:rsidRDefault="007C71C5" w:rsidP="00983FBC">
      <w:pPr>
        <w:spacing w:line="360" w:lineRule="auto"/>
        <w:ind w:left="851" w:right="899"/>
        <w:jc w:val="both"/>
        <w:rPr>
          <w:rFonts w:ascii="Palatino Linotype" w:hAnsi="Palatino Linotype" w:cs="Arial"/>
          <w:b/>
          <w:bCs/>
          <w:i/>
          <w:noProof/>
          <w:sz w:val="22"/>
          <w:szCs w:val="22"/>
        </w:rPr>
      </w:pPr>
      <w:r w:rsidRPr="00983FBC">
        <w:rPr>
          <w:rFonts w:ascii="Palatino Linotype" w:hAnsi="Palatino Linotype" w:cs="Arial"/>
          <w:b/>
          <w:bCs/>
          <w:i/>
          <w:noProof/>
          <w:sz w:val="22"/>
          <w:szCs w:val="22"/>
        </w:rPr>
        <w:t>4. Información del nodo Receptor</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a. Rfc</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b. Nombre</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c. Residencia Fiscal</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d. NumRegIdTrib</w:t>
      </w:r>
    </w:p>
    <w:p w:rsidR="007C71C5" w:rsidRPr="00983FBC" w:rsidRDefault="007C71C5" w:rsidP="00983FBC">
      <w:pPr>
        <w:spacing w:line="360" w:lineRule="auto"/>
        <w:ind w:left="851" w:right="899"/>
        <w:jc w:val="both"/>
        <w:rPr>
          <w:rFonts w:ascii="Palatino Linotype" w:hAnsi="Palatino Linotype" w:cs="Arial"/>
          <w:bCs/>
          <w:i/>
          <w:noProof/>
          <w:sz w:val="22"/>
          <w:szCs w:val="22"/>
        </w:rPr>
      </w:pPr>
      <w:r w:rsidRPr="00983FBC">
        <w:rPr>
          <w:rFonts w:ascii="Palatino Linotype" w:hAnsi="Palatino Linotype" w:cs="Arial"/>
          <w:bCs/>
          <w:i/>
          <w:noProof/>
          <w:sz w:val="22"/>
          <w:szCs w:val="22"/>
        </w:rPr>
        <w:t>e. UsoCFDI”</w:t>
      </w:r>
    </w:p>
    <w:p w:rsidR="007C71C5" w:rsidRPr="00983FBC" w:rsidRDefault="007C71C5" w:rsidP="00983FBC">
      <w:pPr>
        <w:spacing w:line="360" w:lineRule="auto"/>
        <w:ind w:left="851" w:right="899"/>
        <w:jc w:val="both"/>
        <w:rPr>
          <w:rFonts w:ascii="Palatino Linotype" w:hAnsi="Palatino Linotype" w:cs="Arial"/>
          <w:sz w:val="22"/>
          <w:szCs w:val="22"/>
          <w:lang w:eastAsia="es-MX"/>
        </w:rPr>
      </w:pPr>
    </w:p>
    <w:p w:rsidR="007C71C5" w:rsidRPr="00983FBC" w:rsidRDefault="007C71C5" w:rsidP="00983FBC">
      <w:pPr>
        <w:spacing w:line="360" w:lineRule="auto"/>
        <w:ind w:left="851" w:right="899"/>
        <w:jc w:val="both"/>
        <w:rPr>
          <w:rFonts w:ascii="Palatino Linotype" w:hAnsi="Palatino Linotype" w:cs="Arial"/>
          <w:sz w:val="22"/>
          <w:szCs w:val="22"/>
          <w:lang w:eastAsia="es-MX"/>
        </w:rPr>
      </w:pPr>
      <w:r w:rsidRPr="00983FBC">
        <w:rPr>
          <w:rFonts w:ascii="Palatino Linotype" w:hAnsi="Palatino Linotype" w:cs="Arial"/>
          <w:sz w:val="22"/>
          <w:szCs w:val="22"/>
          <w:lang w:eastAsia="es-MX"/>
        </w:rPr>
        <w:t>(Énfasis añadido)</w:t>
      </w:r>
    </w:p>
    <w:p w:rsidR="007C71C5" w:rsidRPr="00983FBC" w:rsidRDefault="007C71C5" w:rsidP="00983FBC">
      <w:pPr>
        <w:pStyle w:val="Prrafodelista"/>
        <w:spacing w:line="360" w:lineRule="auto"/>
        <w:ind w:left="0"/>
        <w:jc w:val="both"/>
        <w:rPr>
          <w:rFonts w:ascii="Palatino Linotype" w:hAnsi="Palatino Linotype" w:cs="Arial"/>
        </w:rPr>
      </w:pPr>
    </w:p>
    <w:p w:rsidR="007C71C5" w:rsidRPr="00983FBC" w:rsidRDefault="006F24A8"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Derivado de lo anterior, se considera que, la información relacionada con las cadenas y sellos digitales que contienen las facturas debe ser de conocimiento público, en razón de que tales documentos se emiten por el pago que realizó el Sujeto Obligado para la adquisición de bienes y, las cadenas y sellos digitales dan certeza de que las facturas fueron realmente emitidas y validadas por el Sistema de Administración Tributaria. En consecuencia, existe un interés superior de la ciudadanía para conocer el uso y destino de los recursos públicos, por ende no procede su clasificación.</w:t>
      </w:r>
    </w:p>
    <w:p w:rsidR="006F24A8" w:rsidRPr="00983FBC" w:rsidRDefault="006F24A8" w:rsidP="00983FBC">
      <w:pPr>
        <w:pStyle w:val="Prrafodelista"/>
        <w:spacing w:line="360" w:lineRule="auto"/>
        <w:ind w:left="0"/>
        <w:jc w:val="both"/>
        <w:rPr>
          <w:rFonts w:ascii="Palatino Linotype" w:hAnsi="Palatino Linotype" w:cs="Arial"/>
        </w:rPr>
      </w:pPr>
    </w:p>
    <w:p w:rsidR="00D84BCB" w:rsidRPr="00983FBC" w:rsidRDefault="00566769" w:rsidP="00983FBC">
      <w:pPr>
        <w:pStyle w:val="Prrafodelista"/>
        <w:numPr>
          <w:ilvl w:val="0"/>
          <w:numId w:val="18"/>
        </w:numPr>
        <w:spacing w:line="360" w:lineRule="auto"/>
        <w:ind w:left="0" w:firstLine="0"/>
        <w:jc w:val="both"/>
        <w:rPr>
          <w:rFonts w:ascii="Palatino Linotype" w:hAnsi="Palatino Linotype" w:cs="Arial"/>
        </w:rPr>
      </w:pPr>
      <w:r w:rsidRPr="00983FBC">
        <w:rPr>
          <w:rFonts w:ascii="Palatino Linotype" w:hAnsi="Palatino Linotype" w:cs="Arial"/>
        </w:rPr>
        <w:t xml:space="preserve">Por otra parte, </w:t>
      </w:r>
      <w:r w:rsidR="00D84BCB" w:rsidRPr="00983FBC">
        <w:rPr>
          <w:rFonts w:ascii="Palatino Linotype" w:hAnsi="Palatino Linotype" w:cs="Arial"/>
        </w:rPr>
        <w:t xml:space="preserve">necesario mencionar que el recurrente en sus motivos de inconformidad manifestó que los documentos son borrosos, por lo que fue necesario </w:t>
      </w:r>
      <w:r w:rsidR="00D84BCB" w:rsidRPr="00983FBC">
        <w:rPr>
          <w:rFonts w:ascii="Palatino Linotype" w:hAnsi="Palatino Linotype" w:cs="Arial"/>
        </w:rPr>
        <w:lastRenderedPageBreak/>
        <w:t xml:space="preserve">verificar tal situación, percatándose que, en efecto, algunos documentos resultan ilegibles, </w:t>
      </w:r>
      <w:r w:rsidR="00D84BCB" w:rsidRPr="00983FBC">
        <w:rPr>
          <w:rFonts w:ascii="Palatino Linotype" w:eastAsia="Calibri" w:hAnsi="Palatino Linotype" w:cs="Arial"/>
        </w:rPr>
        <w:t>restringiendo así el derecho de acceso a la información del particular.</w:t>
      </w:r>
    </w:p>
    <w:p w:rsidR="00D84BCB" w:rsidRPr="00983FBC" w:rsidRDefault="00D84BCB" w:rsidP="00983FBC">
      <w:pPr>
        <w:pStyle w:val="Prrafodelista"/>
        <w:spacing w:line="360" w:lineRule="auto"/>
        <w:rPr>
          <w:rFonts w:ascii="Palatino Linotype" w:eastAsia="Calibri" w:hAnsi="Palatino Linotype" w:cs="Arial"/>
        </w:rPr>
      </w:pPr>
    </w:p>
    <w:p w:rsidR="00D84BCB" w:rsidRPr="00983FBC" w:rsidRDefault="00D84BCB" w:rsidP="00983FBC">
      <w:pPr>
        <w:pStyle w:val="Prrafodelista"/>
        <w:numPr>
          <w:ilvl w:val="0"/>
          <w:numId w:val="18"/>
        </w:numPr>
        <w:spacing w:line="360" w:lineRule="auto"/>
        <w:ind w:left="0" w:firstLine="0"/>
        <w:jc w:val="both"/>
        <w:rPr>
          <w:rFonts w:ascii="Palatino Linotype" w:eastAsia="Calibri" w:hAnsi="Palatino Linotype" w:cs="Arial"/>
        </w:rPr>
      </w:pPr>
      <w:r w:rsidRPr="00983FBC">
        <w:rPr>
          <w:rFonts w:ascii="Palatino Linotype" w:eastAsia="Calibri" w:hAnsi="Palatino Linotype" w:cs="Arial"/>
        </w:rPr>
        <w:t>La información que proporcionen los Sujetos Obligados para dar cumplimiento al derecho de acceso a la información deben ser claros, precisos y sobre todo legibles, puesto que de lo contrario se restringe de manera ilegítima el derecho de los particulares al impedirles conocer el contenido de los documentos.</w:t>
      </w:r>
    </w:p>
    <w:p w:rsidR="00D84BCB" w:rsidRPr="00983FBC" w:rsidRDefault="00D84BCB" w:rsidP="00983FBC">
      <w:pPr>
        <w:pStyle w:val="Prrafodelista"/>
        <w:spacing w:line="360" w:lineRule="auto"/>
        <w:rPr>
          <w:rFonts w:ascii="Palatino Linotype" w:eastAsia="Calibri" w:hAnsi="Palatino Linotype" w:cs="Arial"/>
        </w:rPr>
      </w:pPr>
    </w:p>
    <w:p w:rsidR="00D84BCB" w:rsidRPr="00983FBC" w:rsidRDefault="00D84BCB" w:rsidP="00983FBC">
      <w:pPr>
        <w:pStyle w:val="Prrafodelista"/>
        <w:numPr>
          <w:ilvl w:val="0"/>
          <w:numId w:val="18"/>
        </w:numPr>
        <w:spacing w:line="360" w:lineRule="auto"/>
        <w:ind w:left="0" w:firstLine="0"/>
        <w:jc w:val="both"/>
        <w:rPr>
          <w:rFonts w:ascii="Palatino Linotype" w:eastAsia="Calibri" w:hAnsi="Palatino Linotype" w:cs="Arial"/>
        </w:rPr>
      </w:pPr>
      <w:r w:rsidRPr="00983FBC">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rsidR="00D84BCB" w:rsidRPr="00983FBC" w:rsidRDefault="00D84BCB" w:rsidP="00983FBC">
      <w:pPr>
        <w:pStyle w:val="Prrafodelista"/>
        <w:spacing w:line="360" w:lineRule="auto"/>
        <w:rPr>
          <w:rFonts w:ascii="Palatino Linotype" w:eastAsia="MS Mincho" w:hAnsi="Palatino Linotype" w:cs="Arial"/>
        </w:rPr>
      </w:pPr>
    </w:p>
    <w:p w:rsidR="00D84BCB" w:rsidRPr="00983FBC" w:rsidRDefault="00D84BCB" w:rsidP="00983FBC">
      <w:pPr>
        <w:pStyle w:val="Prrafodelista"/>
        <w:spacing w:line="360" w:lineRule="auto"/>
        <w:ind w:left="426" w:right="616"/>
        <w:jc w:val="both"/>
        <w:rPr>
          <w:rFonts w:ascii="Palatino Linotype" w:eastAsia="MS Mincho" w:hAnsi="Palatino Linotype" w:cs="Arial"/>
          <w:i/>
          <w:sz w:val="22"/>
        </w:rPr>
      </w:pPr>
      <w:r w:rsidRPr="00983FBC">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983FBC">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D84BCB" w:rsidRPr="00983FBC" w:rsidRDefault="00566769" w:rsidP="00983FBC">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983FBC">
        <w:rPr>
          <w:rFonts w:ascii="Palatino Linotype" w:hAnsi="Palatino Linotype"/>
          <w:lang w:val="es-ES"/>
        </w:rPr>
        <w:lastRenderedPageBreak/>
        <w:t>En consecuencia, la información deberá entregarse nuevamente, de forma legible, a efecto de dar cabal cumplimiento al derecho accionado por el recurrente.</w:t>
      </w:r>
    </w:p>
    <w:p w:rsidR="00566769" w:rsidRPr="00983FBC" w:rsidRDefault="00566769" w:rsidP="00983FBC">
      <w:pPr>
        <w:pStyle w:val="Prrafodelista"/>
        <w:tabs>
          <w:tab w:val="left" w:pos="851"/>
        </w:tabs>
        <w:spacing w:line="360" w:lineRule="auto"/>
        <w:ind w:left="0" w:right="49"/>
        <w:jc w:val="both"/>
        <w:rPr>
          <w:rFonts w:ascii="Palatino Linotype" w:hAnsi="Palatino Linotype"/>
          <w:lang w:val="es-ES"/>
        </w:rPr>
      </w:pPr>
    </w:p>
    <w:p w:rsidR="009E16C0" w:rsidRPr="00983FBC" w:rsidRDefault="00566769" w:rsidP="00983FBC">
      <w:pPr>
        <w:pStyle w:val="Prrafodelista"/>
        <w:numPr>
          <w:ilvl w:val="0"/>
          <w:numId w:val="18"/>
        </w:numPr>
        <w:spacing w:line="360" w:lineRule="auto"/>
        <w:ind w:left="0" w:right="49" w:firstLine="0"/>
        <w:jc w:val="both"/>
        <w:rPr>
          <w:rFonts w:ascii="Palatino Linotype" w:eastAsia="MS Gothic" w:hAnsi="Palatino Linotype" w:cs="Times New Roman"/>
          <w:szCs w:val="26"/>
        </w:rPr>
      </w:pPr>
      <w:r w:rsidRPr="00983FBC">
        <w:rPr>
          <w:rFonts w:ascii="Palatino Linotype" w:hAnsi="Palatino Linotype"/>
          <w:lang w:val="es-ES"/>
        </w:rPr>
        <w:t>Por último y no menos importante, es necesario mencionar que el Sujeto Obligado, a través del Tesorero Municipal, mediante su informe justificado, refirió que el municipio no cuenta con recursos locales para el área de Seguridad Pública, por consiguiente al realizar la búsqueda el área cuenta solo con recursos federales, ya que con los demás recursos no se han adquirido bienes en lo que va del año.</w:t>
      </w:r>
      <w:r w:rsidR="009E16C0" w:rsidRPr="00983FBC">
        <w:rPr>
          <w:rFonts w:ascii="Palatino Linotype" w:eastAsia="MS Gothic" w:hAnsi="Palatino Linotype" w:cs="Times New Roman"/>
          <w:szCs w:val="26"/>
        </w:rPr>
        <w:t xml:space="preserve"> En</w:t>
      </w:r>
      <w:r w:rsidR="009E16C0" w:rsidRPr="00983FBC">
        <w:rPr>
          <w:rFonts w:ascii="Palatino Linotype" w:hAnsi="Palatino Linotype"/>
          <w:lang w:val="es-ES"/>
        </w:rPr>
        <w:t xml:space="preserve"> ese sentido, </w:t>
      </w:r>
      <w:r w:rsidR="009E16C0" w:rsidRPr="00983FBC">
        <w:rPr>
          <w:rFonts w:ascii="Palatino Linotype" w:hAnsi="Palatino Linotype"/>
          <w:lang w:val="es-MX" w:eastAsia="en-US"/>
        </w:rPr>
        <w:t xml:space="preserve">es que </w:t>
      </w:r>
      <w:r w:rsidR="009E16C0" w:rsidRPr="00983FBC">
        <w:rPr>
          <w:rFonts w:ascii="Palatino Linotype" w:hAnsi="Palatino Linotype"/>
          <w:lang w:val="es-ES"/>
        </w:rPr>
        <w:t>debemos</w:t>
      </w:r>
      <w:r w:rsidR="009E16C0" w:rsidRPr="00983FBC">
        <w:rPr>
          <w:rFonts w:ascii="Palatino Linotype" w:hAnsi="Palatino Linotype"/>
          <w:i/>
          <w:lang w:val="es-ES"/>
        </w:rPr>
        <w:t xml:space="preserve"> </w:t>
      </w:r>
      <w:r w:rsidR="009E16C0" w:rsidRPr="00983FBC">
        <w:rPr>
          <w:rFonts w:ascii="Palatino Linotype" w:hAnsi="Palatino Linotype" w:cs="Arial"/>
          <w:szCs w:val="20"/>
        </w:rPr>
        <w:t>hacer referencia a l</w:t>
      </w:r>
      <w:r w:rsidR="009E16C0" w:rsidRPr="00983FBC">
        <w:rPr>
          <w:rFonts w:ascii="Palatino Linotype" w:hAnsi="Palatino Linotype"/>
        </w:rPr>
        <w:t>a presunción de veracidad</w:t>
      </w:r>
      <w:r w:rsidR="009E16C0" w:rsidRPr="00983FBC">
        <w:rPr>
          <w:rStyle w:val="Refdenotaalpie"/>
          <w:rFonts w:ascii="Palatino Linotype" w:hAnsi="Palatino Linotype"/>
        </w:rPr>
        <w:footnoteReference w:id="8"/>
      </w:r>
      <w:r w:rsidR="009E16C0" w:rsidRPr="00983FBC">
        <w:rPr>
          <w:rFonts w:ascii="Palatino Linotype" w:hAnsi="Palatino Linotype"/>
        </w:rPr>
        <w:t xml:space="preserve"> supone una declaración </w:t>
      </w:r>
      <w:proofErr w:type="spellStart"/>
      <w:r w:rsidR="009E16C0" w:rsidRPr="00983FBC">
        <w:rPr>
          <w:rFonts w:ascii="Palatino Linotype" w:hAnsi="Palatino Linotype"/>
          <w:i/>
        </w:rPr>
        <w:t>iurus</w:t>
      </w:r>
      <w:proofErr w:type="spellEnd"/>
      <w:r w:rsidR="009E16C0" w:rsidRPr="00983FBC">
        <w:rPr>
          <w:rFonts w:ascii="Palatino Linotype" w:hAnsi="Palatino Linotype"/>
          <w:i/>
        </w:rPr>
        <w:t xml:space="preserve"> tantum</w:t>
      </w:r>
      <w:r w:rsidR="009E16C0" w:rsidRPr="00983FB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9E16C0" w:rsidRPr="00983FBC" w:rsidRDefault="009E16C0" w:rsidP="00983FBC">
      <w:pPr>
        <w:pStyle w:val="Prrafodelista"/>
        <w:spacing w:line="360" w:lineRule="auto"/>
        <w:rPr>
          <w:rFonts w:ascii="Palatino Linotype" w:hAnsi="Palatino Linotype"/>
        </w:rPr>
      </w:pPr>
    </w:p>
    <w:p w:rsidR="009E16C0" w:rsidRPr="00983FBC" w:rsidRDefault="009E16C0" w:rsidP="00983FBC">
      <w:pPr>
        <w:pStyle w:val="Prrafodelista"/>
        <w:numPr>
          <w:ilvl w:val="0"/>
          <w:numId w:val="18"/>
        </w:numPr>
        <w:spacing w:line="360" w:lineRule="auto"/>
        <w:ind w:left="0" w:firstLine="0"/>
        <w:jc w:val="both"/>
        <w:rPr>
          <w:rFonts w:ascii="Palatino Linotype" w:hAnsi="Palatino Linotype"/>
        </w:rPr>
      </w:pPr>
      <w:r w:rsidRPr="00983FBC">
        <w:rPr>
          <w:rFonts w:ascii="Palatino Linotype" w:hAnsi="Palatino Linotype"/>
        </w:rPr>
        <w:t>Sirve de apoyo a lo anterior por analogía el criterio 31-10 emitido por el entonces Instituto Federal de Acceso a la Información y Protección de Datos, que a la letra dice:</w:t>
      </w:r>
    </w:p>
    <w:p w:rsidR="009E16C0" w:rsidRPr="00983FBC" w:rsidRDefault="009E16C0" w:rsidP="00983FBC">
      <w:pPr>
        <w:pStyle w:val="Prrafodelista"/>
        <w:spacing w:line="360" w:lineRule="auto"/>
        <w:rPr>
          <w:rFonts w:ascii="Palatino Linotype" w:hAnsi="Palatino Linotype"/>
        </w:rPr>
      </w:pPr>
    </w:p>
    <w:p w:rsidR="009E16C0" w:rsidRDefault="009E16C0" w:rsidP="00983FBC">
      <w:pPr>
        <w:autoSpaceDE w:val="0"/>
        <w:autoSpaceDN w:val="0"/>
        <w:adjustRightInd w:val="0"/>
        <w:spacing w:line="360" w:lineRule="auto"/>
        <w:ind w:left="567" w:right="567"/>
        <w:jc w:val="both"/>
        <w:rPr>
          <w:rFonts w:ascii="Palatino Linotype" w:hAnsi="Palatino Linotype"/>
          <w:i/>
          <w:iCs/>
          <w:sz w:val="22"/>
        </w:rPr>
      </w:pPr>
      <w:r w:rsidRPr="00983FBC">
        <w:rPr>
          <w:rFonts w:ascii="Palatino Linotype" w:hAnsi="Palatino Linotype"/>
          <w:b/>
          <w:i/>
          <w:iCs/>
          <w:sz w:val="22"/>
        </w:rPr>
        <w:t>El Instituto Federal de Acceso a la Información y Protección de Datos </w:t>
      </w:r>
      <w:r w:rsidRPr="00983FBC">
        <w:rPr>
          <w:rFonts w:ascii="Palatino Linotype" w:hAnsi="Palatino Linotype"/>
          <w:b/>
          <w:bCs/>
          <w:i/>
          <w:iCs/>
          <w:sz w:val="22"/>
        </w:rPr>
        <w:t>no cuenta con facultades para pronunciarse respecto de la veracidad de los documentos proporcionados por los sujetos obligados.</w:t>
      </w:r>
      <w:r w:rsidRPr="00983FB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w:t>
      </w:r>
      <w:r w:rsidRPr="00983FBC">
        <w:rPr>
          <w:rFonts w:ascii="Palatino Linotype" w:hAnsi="Palatino Linotype"/>
          <w:i/>
          <w:iCs/>
          <w:sz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83FBC" w:rsidRPr="00983FBC" w:rsidRDefault="00983FBC" w:rsidP="00983FBC">
      <w:pPr>
        <w:autoSpaceDE w:val="0"/>
        <w:autoSpaceDN w:val="0"/>
        <w:adjustRightInd w:val="0"/>
        <w:spacing w:line="360" w:lineRule="auto"/>
        <w:ind w:left="567" w:right="567"/>
        <w:jc w:val="both"/>
        <w:rPr>
          <w:rFonts w:ascii="Palatino Linotype" w:hAnsi="Palatino Linotype"/>
          <w:i/>
          <w:iCs/>
          <w:sz w:val="22"/>
        </w:rPr>
      </w:pPr>
    </w:p>
    <w:p w:rsidR="009E16C0" w:rsidRPr="00983FBC" w:rsidRDefault="009E16C0" w:rsidP="00983FBC">
      <w:pPr>
        <w:pStyle w:val="Prrafodelista"/>
        <w:numPr>
          <w:ilvl w:val="0"/>
          <w:numId w:val="18"/>
        </w:numPr>
        <w:shd w:val="clear" w:color="auto" w:fill="FFFFFF"/>
        <w:spacing w:line="360" w:lineRule="auto"/>
        <w:ind w:left="0" w:firstLine="0"/>
        <w:jc w:val="both"/>
        <w:rPr>
          <w:rFonts w:ascii="Palatino Linotype" w:hAnsi="Palatino Linotype" w:cs="Arial"/>
        </w:rPr>
      </w:pPr>
      <w:r w:rsidRPr="00983FBC">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w:t>
      </w:r>
    </w:p>
    <w:p w:rsidR="00566769" w:rsidRPr="00983FBC" w:rsidRDefault="00566769" w:rsidP="00983FBC">
      <w:pPr>
        <w:pStyle w:val="Prrafodelista"/>
        <w:tabs>
          <w:tab w:val="left" w:pos="851"/>
        </w:tabs>
        <w:spacing w:line="360" w:lineRule="auto"/>
        <w:ind w:left="0" w:right="49"/>
        <w:jc w:val="both"/>
        <w:rPr>
          <w:rFonts w:ascii="Palatino Linotype" w:hAnsi="Palatino Linotype"/>
          <w:lang w:val="es-ES"/>
        </w:rPr>
      </w:pPr>
    </w:p>
    <w:p w:rsidR="00D84BCB" w:rsidRPr="00983FBC" w:rsidRDefault="00D84BCB" w:rsidP="00983FBC">
      <w:pPr>
        <w:pStyle w:val="Prrafodelista"/>
        <w:numPr>
          <w:ilvl w:val="0"/>
          <w:numId w:val="18"/>
        </w:numPr>
        <w:tabs>
          <w:tab w:val="left" w:pos="851"/>
        </w:tabs>
        <w:spacing w:line="360" w:lineRule="auto"/>
        <w:ind w:left="0" w:right="49" w:firstLine="0"/>
        <w:jc w:val="both"/>
        <w:rPr>
          <w:rStyle w:val="Ttulo2Car"/>
          <w:rFonts w:ascii="Palatino Linotype" w:eastAsiaTheme="minorEastAsia" w:hAnsi="Palatino Linotype" w:cstheme="minorBidi"/>
          <w:color w:val="auto"/>
          <w:sz w:val="24"/>
          <w:szCs w:val="24"/>
          <w:lang w:val="es-ES"/>
        </w:rPr>
      </w:pPr>
      <w:r w:rsidRPr="00983FBC">
        <w:rPr>
          <w:rFonts w:ascii="Palatino Linotype" w:hAnsi="Palatino Linotype"/>
          <w:lang w:val="es-ES"/>
        </w:rPr>
        <w:t>Derivado de lo anterior, es dable ORDENAR al Sujeto Obligado remita nuevamente de manera legible las facturas</w:t>
      </w:r>
      <w:r w:rsidRPr="00983FBC">
        <w:rPr>
          <w:rFonts w:ascii="Palatino Linotype" w:hAnsi="Palatino Linotype" w:cs="Arial"/>
        </w:rPr>
        <w:t xml:space="preserve"> y contratos de los bienes comprados y/o rentados para seguridad pública, como patrullas, radios y uniformes, con los recursos federales recibidos durante el 2019.</w:t>
      </w:r>
    </w:p>
    <w:p w:rsidR="00D84BCB" w:rsidRPr="00983FBC" w:rsidRDefault="00D84BCB" w:rsidP="00983FBC">
      <w:pPr>
        <w:pStyle w:val="Prrafodelista"/>
        <w:spacing w:line="360" w:lineRule="auto"/>
        <w:ind w:left="0"/>
        <w:jc w:val="both"/>
        <w:rPr>
          <w:rFonts w:ascii="Palatino Linotype" w:hAnsi="Palatino Linotype" w:cs="Arial"/>
        </w:rPr>
      </w:pPr>
    </w:p>
    <w:p w:rsidR="00D84BCB" w:rsidRPr="00983FBC" w:rsidRDefault="005E22B0" w:rsidP="00983FBC">
      <w:pPr>
        <w:pStyle w:val="Ttulo1"/>
        <w:spacing w:before="0" w:line="360" w:lineRule="auto"/>
        <w:rPr>
          <w:rFonts w:eastAsia="MS Gothic"/>
          <w:szCs w:val="24"/>
          <w:lang w:val="es-ES_tradnl"/>
        </w:rPr>
      </w:pPr>
      <w:bookmarkStart w:id="27" w:name="_Toc536726465"/>
      <w:bookmarkStart w:id="28" w:name="_Toc23430164"/>
      <w:bookmarkStart w:id="29" w:name="_Toc32221285"/>
      <w:r w:rsidRPr="00983FBC">
        <w:rPr>
          <w:rFonts w:eastAsia="MS Gothic"/>
          <w:szCs w:val="24"/>
          <w:lang w:val="es-ES_tradnl"/>
        </w:rPr>
        <w:t>QUINTO. De la Versión Pública</w:t>
      </w:r>
      <w:bookmarkEnd w:id="27"/>
      <w:bookmarkEnd w:id="28"/>
      <w:bookmarkEnd w:id="29"/>
      <w:r w:rsidRPr="00983FBC">
        <w:rPr>
          <w:rFonts w:eastAsia="MS Gothic"/>
          <w:szCs w:val="24"/>
          <w:lang w:val="es-ES_tradnl"/>
        </w:rPr>
        <w:t xml:space="preserve"> </w:t>
      </w:r>
    </w:p>
    <w:p w:rsidR="00D84BCB" w:rsidRPr="00983FBC" w:rsidRDefault="00D84BCB" w:rsidP="00983FBC">
      <w:pPr>
        <w:pStyle w:val="Prrafodelista"/>
        <w:spacing w:line="360" w:lineRule="auto"/>
        <w:rPr>
          <w:rFonts w:ascii="Palatino Linotype" w:hAnsi="Palatino Linotype" w:cs="Arial"/>
          <w:b/>
        </w:rPr>
      </w:pPr>
    </w:p>
    <w:p w:rsidR="00D84BCB" w:rsidRPr="00983FBC" w:rsidRDefault="00D84BCB" w:rsidP="00983FBC">
      <w:pPr>
        <w:pStyle w:val="Prrafodelista"/>
        <w:numPr>
          <w:ilvl w:val="0"/>
          <w:numId w:val="18"/>
        </w:numPr>
        <w:spacing w:line="360" w:lineRule="auto"/>
        <w:ind w:left="0" w:hanging="11"/>
        <w:jc w:val="both"/>
        <w:rPr>
          <w:rFonts w:ascii="Palatino Linotype" w:hAnsi="Palatino Linotype"/>
          <w:color w:val="000000" w:themeColor="text1"/>
        </w:rPr>
      </w:pPr>
      <w:r w:rsidRPr="00983FBC">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83FBC">
        <w:rPr>
          <w:rFonts w:ascii="Palatino Linotype" w:hAnsi="Palatino Linotype"/>
          <w:color w:val="000000" w:themeColor="text1"/>
          <w:vertAlign w:val="superscript"/>
        </w:rPr>
        <w:footnoteReference w:id="9"/>
      </w:r>
      <w:r w:rsidRPr="00983FBC">
        <w:rPr>
          <w:rFonts w:ascii="Palatino Linotype" w:hAnsi="Palatino Linotype"/>
          <w:color w:val="000000" w:themeColor="text1"/>
        </w:rPr>
        <w:t xml:space="preserve"> aunque cualquier límite o </w:t>
      </w:r>
      <w:r w:rsidRPr="00983FBC">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83FBC">
        <w:rPr>
          <w:rFonts w:ascii="Palatino Linotype" w:hAnsi="Palatino Linotype"/>
          <w:color w:val="000000" w:themeColor="text1"/>
          <w:vertAlign w:val="superscript"/>
        </w:rPr>
        <w:footnoteReference w:id="10"/>
      </w:r>
      <w:r w:rsidRPr="00983FBC">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84BCB" w:rsidRPr="00983FBC" w:rsidRDefault="00D84BCB" w:rsidP="00983FBC">
      <w:pPr>
        <w:pStyle w:val="Prrafodelista"/>
        <w:spacing w:line="360" w:lineRule="auto"/>
        <w:ind w:left="0"/>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983FBC" w:rsidRPr="00983FBC" w:rsidRDefault="00983FBC" w:rsidP="00983FBC">
      <w:pPr>
        <w:spacing w:line="360" w:lineRule="auto"/>
        <w:contextualSpacing/>
        <w:jc w:val="both"/>
        <w:rPr>
          <w:rFonts w:ascii="Palatino Linotype" w:hAnsi="Palatino Linotype"/>
          <w:color w:val="000000" w:themeColor="text1"/>
        </w:rPr>
      </w:pPr>
    </w:p>
    <w:p w:rsidR="00D84BCB" w:rsidRPr="00983FBC" w:rsidRDefault="00D84BCB" w:rsidP="00983FB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Requisitos previos.</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Los </w:t>
      </w:r>
      <w:r w:rsidRPr="00983FBC">
        <w:rPr>
          <w:rFonts w:ascii="Palatino Linotype" w:hAnsi="Palatino Linotype"/>
          <w:color w:val="000000" w:themeColor="text1"/>
        </w:rPr>
        <w:t>artículos</w:t>
      </w:r>
      <w:r w:rsidRPr="00983FB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83FBC" w:rsidRPr="00983FBC" w:rsidRDefault="00983FBC"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Supuestos de clasificación.</w:t>
      </w:r>
    </w:p>
    <w:p w:rsidR="00D84BCB" w:rsidRPr="00983FBC" w:rsidRDefault="00D84BCB" w:rsidP="00983FBC">
      <w:pPr>
        <w:spacing w:line="360" w:lineRule="auto"/>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983FBC" w:rsidRDefault="00983FBC" w:rsidP="00983FBC">
      <w:pPr>
        <w:pStyle w:val="Prrafodelista"/>
        <w:rPr>
          <w:rFonts w:ascii="Palatino Linotype" w:hAnsi="Palatino Linotype" w:cs="Arial"/>
          <w:color w:val="000000" w:themeColor="text1"/>
        </w:rPr>
      </w:pPr>
    </w:p>
    <w:p w:rsidR="00983FBC" w:rsidRPr="00983FBC" w:rsidRDefault="00983FBC"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D84BCB" w:rsidRPr="00983FBC" w:rsidTr="009E1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center"/>
              <w:rPr>
                <w:rFonts w:ascii="Palatino Linotype" w:hAnsi="Palatino Linotype"/>
                <w:color w:val="000000" w:themeColor="text1"/>
                <w:sz w:val="16"/>
                <w:szCs w:val="16"/>
              </w:rPr>
            </w:pPr>
            <w:r w:rsidRPr="00983FBC">
              <w:rPr>
                <w:rFonts w:ascii="Palatino Linotype" w:hAnsi="Palatino Linotype" w:cs="Gill Sans,Bold"/>
                <w:color w:val="000000" w:themeColor="text1"/>
                <w:sz w:val="16"/>
                <w:szCs w:val="16"/>
              </w:rPr>
              <w:t>LEY ESTATAL</w:t>
            </w:r>
          </w:p>
        </w:tc>
        <w:tc>
          <w:tcPr>
            <w:tcW w:w="4111" w:type="dxa"/>
          </w:tcPr>
          <w:p w:rsidR="00D84BCB" w:rsidRPr="00983FBC" w:rsidRDefault="00D84BCB" w:rsidP="00983FB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983FBC">
              <w:rPr>
                <w:rFonts w:ascii="Palatino Linotype" w:hAnsi="Palatino Linotype"/>
                <w:color w:val="000000" w:themeColor="text1"/>
                <w:sz w:val="16"/>
                <w:szCs w:val="16"/>
              </w:rPr>
              <w:t>LEY GENERAL</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 Comprometa la seguridad pública y cuente con un propósito genuino y un efecto demostrable;</w:t>
            </w:r>
          </w:p>
          <w:p w:rsidR="00D84BCB" w:rsidRPr="00983FBC" w:rsidRDefault="00D84BCB" w:rsidP="00983FBC">
            <w:pPr>
              <w:spacing w:line="360" w:lineRule="auto"/>
              <w:jc w:val="both"/>
              <w:rPr>
                <w:rFonts w:ascii="Palatino Linotype" w:hAnsi="Palatino Linotype"/>
                <w:color w:val="000000" w:themeColor="text1"/>
                <w:sz w:val="16"/>
                <w:szCs w:val="16"/>
              </w:rPr>
            </w:pP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w:t>
            </w:r>
            <w:r w:rsidRPr="00983FB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II.</w:t>
            </w:r>
            <w:r w:rsidRPr="00983FBC">
              <w:rPr>
                <w:rFonts w:ascii="Palatino Linotype" w:hAnsi="Palatino Linotype"/>
                <w:color w:val="000000" w:themeColor="text1"/>
                <w:sz w:val="16"/>
                <w:szCs w:val="16"/>
                <w:lang w:val="es-ES"/>
              </w:rPr>
              <w:tab/>
              <w:t>Pueda menoscabar la conducción de las negociaciones y relaciones internacionales;</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III.</w:t>
            </w:r>
            <w:r w:rsidRPr="00983FBC">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IV.</w:t>
            </w:r>
            <w:r w:rsidRPr="00983FBC">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IV. Ponga en riesgo la vida, la seguridad o la salud de una persona física;</w:t>
            </w: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w:t>
            </w:r>
            <w:r w:rsidRPr="00983FBC">
              <w:rPr>
                <w:rFonts w:ascii="Palatino Linotype" w:hAnsi="Palatino Linotype"/>
                <w:color w:val="000000" w:themeColor="text1"/>
                <w:sz w:val="16"/>
                <w:szCs w:val="16"/>
                <w:lang w:val="es-ES"/>
              </w:rPr>
              <w:tab/>
              <w:t>Pueda poner en riesgo la vida, seguridad o salud de una persona física;</w:t>
            </w: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 Aquella cuya divulgación obstruya o pueda causar un serio perjuicio a:</w:t>
            </w:r>
          </w:p>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p>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p>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2. La recaudación de las contribuciones.</w:t>
            </w: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VI.</w:t>
            </w:r>
            <w:r w:rsidRPr="00983FB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 xml:space="preserve">VI. Pueda causar daño u obstruya la prevención o persecución de los delitos, altere el proceso de investigación de las carpetas de investigación, afecte o vulnere la </w:t>
            </w:r>
            <w:r w:rsidRPr="00983FBC">
              <w:rPr>
                <w:rFonts w:ascii="Palatino Linotype" w:hAnsi="Palatino Linotype" w:cs="Arial"/>
                <w:color w:val="000000" w:themeColor="text1"/>
                <w:sz w:val="16"/>
                <w:szCs w:val="16"/>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lastRenderedPageBreak/>
              <w:t>VII.</w:t>
            </w:r>
            <w:r w:rsidRPr="00983FBC">
              <w:rPr>
                <w:rFonts w:ascii="Palatino Linotype" w:hAnsi="Palatino Linotype"/>
                <w:color w:val="000000" w:themeColor="text1"/>
                <w:sz w:val="16"/>
                <w:szCs w:val="16"/>
                <w:lang w:val="es-ES"/>
              </w:rPr>
              <w:tab/>
              <w:t>Obstruya la prevención o persecución de los delitos;</w:t>
            </w:r>
          </w:p>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VIII.</w:t>
            </w:r>
            <w:r w:rsidRPr="00983FBC">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IX.</w:t>
            </w:r>
            <w:r w:rsidRPr="00983FB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w:t>
            </w:r>
            <w:r w:rsidRPr="00983FBC">
              <w:rPr>
                <w:rFonts w:ascii="Palatino Linotype" w:hAnsi="Palatino Linotype"/>
                <w:color w:val="000000" w:themeColor="text1"/>
                <w:sz w:val="16"/>
                <w:szCs w:val="16"/>
                <w:lang w:val="es-ES"/>
              </w:rPr>
              <w:tab/>
              <w:t>Afecte los derechos del debido proceso;</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XI.</w:t>
            </w:r>
            <w:r w:rsidRPr="00983FB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XII.</w:t>
            </w:r>
            <w:r w:rsidRPr="00983FB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D84BCB" w:rsidRPr="00983FBC" w:rsidTr="009E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autoSpaceDE w:val="0"/>
              <w:autoSpaceDN w:val="0"/>
              <w:adjustRightInd w:val="0"/>
              <w:spacing w:line="360" w:lineRule="auto"/>
              <w:ind w:left="-108"/>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84BCB" w:rsidRPr="00983FBC" w:rsidRDefault="00D84BCB"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D84BCB" w:rsidRPr="00983FBC" w:rsidRDefault="00D84BCB"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84BCB" w:rsidRPr="00983FBC" w:rsidTr="009E16C0">
        <w:tc>
          <w:tcPr>
            <w:cnfStyle w:val="001000000000" w:firstRow="0" w:lastRow="0" w:firstColumn="1" w:lastColumn="0" w:oddVBand="0" w:evenVBand="0" w:oddHBand="0" w:evenHBand="0" w:firstRowFirstColumn="0" w:firstRowLastColumn="0" w:lastRowFirstColumn="0" w:lastRowLastColumn="0"/>
            <w:tcW w:w="4536" w:type="dxa"/>
          </w:tcPr>
          <w:p w:rsidR="00D84BCB" w:rsidRPr="00983FBC" w:rsidRDefault="00D84BCB" w:rsidP="00983FBC">
            <w:pPr>
              <w:spacing w:line="360" w:lineRule="auto"/>
              <w:jc w:val="both"/>
              <w:rPr>
                <w:rFonts w:ascii="Palatino Linotype" w:hAnsi="Palatino Linotype"/>
                <w:color w:val="000000" w:themeColor="text1"/>
                <w:sz w:val="16"/>
                <w:szCs w:val="16"/>
              </w:rPr>
            </w:pPr>
            <w:r w:rsidRPr="00983FBC">
              <w:rPr>
                <w:rFonts w:ascii="Palatino Linotype" w:hAnsi="Palatino Linotype" w:cs="Arial"/>
                <w:color w:val="000000" w:themeColor="text1"/>
                <w:sz w:val="16"/>
                <w:szCs w:val="16"/>
              </w:rPr>
              <w:t xml:space="preserve">XI. Las que por disposición expresa de una ley tengan tal carácter, siempre que sean acordes con las bases, principios </w:t>
            </w:r>
            <w:r w:rsidRPr="00983FBC">
              <w:rPr>
                <w:rFonts w:ascii="Palatino Linotype" w:hAnsi="Palatino Linotype" w:cs="Arial"/>
                <w:color w:val="000000" w:themeColor="text1"/>
                <w:sz w:val="16"/>
                <w:szCs w:val="16"/>
              </w:rPr>
              <w:lastRenderedPageBreak/>
              <w:t>y disposiciones establecidos en esta Ley y no la contravengan; así como las previstas en tratados internacionales.</w:t>
            </w:r>
          </w:p>
        </w:tc>
        <w:tc>
          <w:tcPr>
            <w:tcW w:w="4111" w:type="dxa"/>
          </w:tcPr>
          <w:p w:rsidR="00D84BCB" w:rsidRPr="00983FBC" w:rsidRDefault="00D84BCB"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lastRenderedPageBreak/>
              <w:t>XIII.</w:t>
            </w:r>
            <w:r w:rsidRPr="00983FBC">
              <w:rPr>
                <w:rFonts w:ascii="Palatino Linotype" w:hAnsi="Palatino Linotype"/>
                <w:color w:val="000000" w:themeColor="text1"/>
                <w:sz w:val="16"/>
                <w:szCs w:val="16"/>
                <w:lang w:val="es-ES"/>
              </w:rPr>
              <w:tab/>
              <w:t xml:space="preserve">Las que por disposición expresa de una ley tengan tal carácter, siempre que sean acordes con las </w:t>
            </w:r>
            <w:r w:rsidRPr="00983FBC">
              <w:rPr>
                <w:rFonts w:ascii="Palatino Linotype" w:hAnsi="Palatino Linotype"/>
                <w:color w:val="000000" w:themeColor="text1"/>
                <w:sz w:val="16"/>
                <w:szCs w:val="16"/>
                <w:lang w:val="es-ES"/>
              </w:rPr>
              <w:lastRenderedPageBreak/>
              <w:t>bases, principios y disposiciones establecidos en esta Ley y no la contravengan; así como las previstas en tratados internacionales.</w:t>
            </w:r>
          </w:p>
        </w:tc>
      </w:tr>
    </w:tbl>
    <w:p w:rsidR="00D84BCB" w:rsidRPr="00983FBC" w:rsidRDefault="00D84BCB" w:rsidP="00983FBC">
      <w:pPr>
        <w:spacing w:line="360" w:lineRule="auto"/>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D84BCB" w:rsidRPr="00983FBC" w:rsidRDefault="00D84BCB" w:rsidP="00983FBC">
      <w:pPr>
        <w:spacing w:line="360" w:lineRule="auto"/>
        <w:jc w:val="both"/>
        <w:rPr>
          <w:rFonts w:ascii="Palatino Linotype" w:hAnsi="Palatino Linotype" w:cs="Arial"/>
          <w:color w:val="000000" w:themeColor="text1"/>
        </w:rPr>
      </w:pP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t xml:space="preserve">I. </w:t>
      </w:r>
      <w:r w:rsidRPr="00983FBC">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983FBC">
        <w:rPr>
          <w:rFonts w:ascii="Palatino Linotype" w:hAnsi="Palatino Linotype" w:cs="Bookman Old Style"/>
          <w:color w:val="000000" w:themeColor="text1"/>
        </w:rPr>
        <w:t>jurídico</w:t>
      </w:r>
      <w:proofErr w:type="gramEnd"/>
      <w:r w:rsidRPr="00983FBC">
        <w:rPr>
          <w:rFonts w:ascii="Palatino Linotype" w:hAnsi="Palatino Linotype" w:cs="Bookman Old Style"/>
          <w:color w:val="000000" w:themeColor="text1"/>
        </w:rPr>
        <w:t xml:space="preserve"> colectiva identificada o identificable; </w:t>
      </w: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t xml:space="preserve">II. </w:t>
      </w:r>
      <w:r w:rsidRPr="00983FBC">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t xml:space="preserve">III. </w:t>
      </w:r>
      <w:r w:rsidRPr="00983FBC">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D84BCB" w:rsidRPr="00983FBC" w:rsidRDefault="00D84BCB" w:rsidP="00983FBC">
      <w:pPr>
        <w:spacing w:line="360" w:lineRule="auto"/>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983FBC">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Como consecuencia de lo anterior, el sujeto obligado debe identificar claramente el tipo de información y hacer un juicio de subsunción o encaje</w:t>
      </w:r>
      <w:r w:rsidRPr="00983FBC">
        <w:rPr>
          <w:rFonts w:ascii="Palatino Linotype" w:hAnsi="Palatino Linotype" w:cs="Arial"/>
          <w:color w:val="000000" w:themeColor="text1"/>
          <w:vertAlign w:val="superscript"/>
        </w:rPr>
        <w:footnoteReference w:id="11"/>
      </w:r>
      <w:r w:rsidRPr="00983FB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D84BCB" w:rsidRPr="00983FBC" w:rsidRDefault="00D84BCB" w:rsidP="00983FBC">
      <w:pPr>
        <w:pStyle w:val="Prrafodelista"/>
        <w:keepNext/>
        <w:keepLines/>
        <w:numPr>
          <w:ilvl w:val="0"/>
          <w:numId w:val="32"/>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Excepciones a los supuestos de clasificación de la información como reservada.</w:t>
      </w:r>
    </w:p>
    <w:p w:rsidR="00D84BCB" w:rsidRPr="00983FBC" w:rsidRDefault="00D84BCB" w:rsidP="00983FBC">
      <w:pPr>
        <w:spacing w:line="360" w:lineRule="auto"/>
        <w:rPr>
          <w:rFonts w:ascii="Palatino Linotype" w:hAnsi="Palatino Linotype"/>
          <w:color w:val="000000" w:themeColor="text1"/>
        </w:rPr>
      </w:pPr>
    </w:p>
    <w:p w:rsidR="00D84BCB" w:rsidRDefault="00D84BCB" w:rsidP="00983FBC">
      <w:pPr>
        <w:numPr>
          <w:ilvl w:val="0"/>
          <w:numId w:val="18"/>
        </w:numPr>
        <w:spacing w:line="360" w:lineRule="auto"/>
        <w:ind w:left="0" w:firstLine="0"/>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color w:val="000000" w:themeColor="text1"/>
          <w:lang w:val="es-ES"/>
        </w:rPr>
        <w:lastRenderedPageBreak/>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983FBC" w:rsidRPr="00983FBC" w:rsidRDefault="00983FBC" w:rsidP="00983FBC">
      <w:pPr>
        <w:spacing w:line="360" w:lineRule="auto"/>
        <w:jc w:val="both"/>
        <w:rPr>
          <w:rFonts w:ascii="Palatino Linotype" w:eastAsia="Times New Roman" w:hAnsi="Palatino Linotype" w:cs="Times New Roman"/>
          <w:color w:val="000000" w:themeColor="text1"/>
          <w:lang w:val="es-ES"/>
        </w:rPr>
      </w:pPr>
    </w:p>
    <w:p w:rsidR="00D84BCB" w:rsidRPr="00983FBC" w:rsidRDefault="00D84BCB" w:rsidP="00983FBC">
      <w:pPr>
        <w:spacing w:line="360" w:lineRule="auto"/>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II. La intervención del Comité de Transparencia.</w:t>
      </w:r>
    </w:p>
    <w:p w:rsidR="00D84BCB" w:rsidRPr="00983FBC" w:rsidRDefault="00D84BCB" w:rsidP="00983FBC">
      <w:pPr>
        <w:spacing w:line="360" w:lineRule="auto"/>
        <w:rPr>
          <w:rFonts w:ascii="Palatino Linotype" w:eastAsiaTheme="majorEastAsia" w:hAnsi="Palatino Linotype" w:cstheme="majorBidi"/>
          <w:b/>
          <w:color w:val="000000" w:themeColor="text1"/>
        </w:rPr>
      </w:pPr>
    </w:p>
    <w:p w:rsidR="00D84BCB" w:rsidRPr="00983FBC" w:rsidRDefault="00D84BCB" w:rsidP="00983FB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Formalidades para emitir el acuerdo de clasificación.</w:t>
      </w:r>
    </w:p>
    <w:p w:rsidR="00D84BCB" w:rsidRPr="00983FBC" w:rsidRDefault="00D84BCB" w:rsidP="00983FBC">
      <w:pPr>
        <w:tabs>
          <w:tab w:val="left" w:pos="7770"/>
        </w:tabs>
        <w:spacing w:line="360" w:lineRule="auto"/>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ab/>
      </w:r>
    </w:p>
    <w:p w:rsidR="00D84BCB" w:rsidRPr="00983FBC" w:rsidRDefault="00D84BCB" w:rsidP="00983FBC">
      <w:pPr>
        <w:numPr>
          <w:ilvl w:val="0"/>
          <w:numId w:val="18"/>
        </w:numPr>
        <w:spacing w:line="360" w:lineRule="auto"/>
        <w:ind w:left="0" w:firstLine="0"/>
        <w:contextualSpacing/>
        <w:jc w:val="both"/>
        <w:rPr>
          <w:rFonts w:ascii="Palatino Linotype" w:eastAsia="Times New Roman" w:hAnsi="Palatino Linotype"/>
          <w:color w:val="000000" w:themeColor="text1"/>
          <w:lang w:eastAsia="es-ES_tradnl"/>
        </w:rPr>
      </w:pPr>
      <w:r w:rsidRPr="00983FB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83FBC">
        <w:rPr>
          <w:rFonts w:ascii="Palatino Linotype" w:hAnsi="Palatino Linotype"/>
          <w:color w:val="000000" w:themeColor="text1"/>
        </w:rPr>
        <w:t xml:space="preserve">la fracción III del numeral Segundo de los </w:t>
      </w:r>
      <w:r w:rsidRPr="00983FB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83FBC">
        <w:rPr>
          <w:rFonts w:ascii="Palatino Linotype" w:hAnsi="Palatino Linotype"/>
          <w:color w:val="000000" w:themeColor="text1"/>
        </w:rPr>
        <w:t xml:space="preserve"> </w:t>
      </w:r>
      <w:r w:rsidRPr="00983FBC">
        <w:rPr>
          <w:rFonts w:ascii="Palatino Linotype" w:hAnsi="Palatino Linotype" w:cs="Arial"/>
          <w:color w:val="000000" w:themeColor="text1"/>
        </w:rPr>
        <w:t xml:space="preserve">cuenta con las facultades para </w:t>
      </w:r>
      <w:r w:rsidRPr="00983FBC">
        <w:rPr>
          <w:rFonts w:ascii="Palatino Linotype" w:hAnsi="Palatino Linotype" w:cs="Arial"/>
          <w:color w:val="000000" w:themeColor="text1"/>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84BCB" w:rsidRPr="00983FBC" w:rsidRDefault="00D84BCB" w:rsidP="00983FBC">
      <w:pPr>
        <w:spacing w:line="360" w:lineRule="auto"/>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84BCB" w:rsidRPr="00983FBC" w:rsidRDefault="00D84BCB" w:rsidP="00983FB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lastRenderedPageBreak/>
        <w:t>Requisitos de fondo del acuerdo de clasificación.</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983FBC">
        <w:rPr>
          <w:rFonts w:ascii="Palatino Linotype" w:eastAsia="Times New Roman" w:hAnsi="Palatino Linotype" w:cs="Arial"/>
          <w:color w:val="000000" w:themeColor="text1"/>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83FBC">
        <w:rPr>
          <w:rFonts w:ascii="Palatino Linotype" w:eastAsia="Times New Roman" w:hAnsi="Palatino Linotype" w:cs="Arial"/>
          <w:color w:val="000000" w:themeColor="text1"/>
          <w:vertAlign w:val="superscript"/>
          <w:lang w:eastAsia="es-MX"/>
        </w:rPr>
        <w:footnoteReference w:id="12"/>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D84BCB" w:rsidRPr="00983FBC" w:rsidRDefault="00D84BCB" w:rsidP="00983FBC">
      <w:pPr>
        <w:spacing w:line="360" w:lineRule="auto"/>
        <w:ind w:right="618"/>
        <w:contextualSpacing/>
        <w:jc w:val="both"/>
        <w:rPr>
          <w:rFonts w:ascii="Palatino Linotype" w:hAnsi="Palatino Linotype" w:cs="Arial"/>
          <w:color w:val="000000" w:themeColor="text1"/>
        </w:rPr>
      </w:pP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b/>
          <w:i/>
          <w:color w:val="000000" w:themeColor="text1"/>
        </w:rPr>
        <w:t>FUNDAMENTACIÓN Y MOTIVACIÓN.</w:t>
      </w:r>
      <w:r w:rsidRPr="00983FBC">
        <w:rPr>
          <w:rFonts w:ascii="Palatino Linotype" w:hAnsi="Palatino Linotype" w:cs="Arial"/>
          <w:i/>
          <w:color w:val="000000" w:themeColor="text1"/>
        </w:rPr>
        <w:t xml:space="preserve"> La </w:t>
      </w:r>
      <w:r w:rsidRPr="00983FB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3FBC">
        <w:rPr>
          <w:rFonts w:ascii="Palatino Linotype" w:hAnsi="Palatino Linotype" w:cs="Arial"/>
          <w:i/>
          <w:color w:val="000000" w:themeColor="text1"/>
        </w:rPr>
        <w:t>.</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SEGUNDO TRIBUNAL COLEGIADO DEL SEXTO CIRCUITO.</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83FBC">
        <w:rPr>
          <w:rFonts w:ascii="Palatino Linotype" w:hAnsi="Palatino Linotype" w:cs="Arial"/>
          <w:i/>
          <w:color w:val="000000" w:themeColor="text1"/>
        </w:rPr>
        <w:t>Esponda</w:t>
      </w:r>
      <w:proofErr w:type="spellEnd"/>
      <w:r w:rsidRPr="00983FBC">
        <w:rPr>
          <w:rFonts w:ascii="Palatino Linotype" w:hAnsi="Palatino Linotype" w:cs="Arial"/>
          <w:i/>
          <w:color w:val="000000" w:themeColor="text1"/>
        </w:rPr>
        <w:t xml:space="preserve"> Rincón.</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lastRenderedPageBreak/>
        <w:t xml:space="preserve">Amparo en revisión 333/88. </w:t>
      </w:r>
      <w:proofErr w:type="spellStart"/>
      <w:r w:rsidRPr="00983FBC">
        <w:rPr>
          <w:rFonts w:ascii="Palatino Linotype" w:hAnsi="Palatino Linotype" w:cs="Arial"/>
          <w:i/>
          <w:color w:val="000000" w:themeColor="text1"/>
        </w:rPr>
        <w:t>Adilia</w:t>
      </w:r>
      <w:proofErr w:type="spellEnd"/>
      <w:r w:rsidRPr="00983FBC">
        <w:rPr>
          <w:rFonts w:ascii="Palatino Linotype" w:hAnsi="Palatino Linotype" w:cs="Arial"/>
          <w:i/>
          <w:color w:val="000000" w:themeColor="text1"/>
        </w:rPr>
        <w:t xml:space="preserve"> Romero. 26 de octubre de 1988. Unanimidad de votos. Ponente: Arnoldo Nájera Virgen. Secretario: Enrique Crispín Campos Ramírez.</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83FBC">
        <w:rPr>
          <w:rFonts w:ascii="Palatino Linotype" w:hAnsi="Palatino Linotype" w:cs="Arial"/>
          <w:i/>
          <w:color w:val="000000" w:themeColor="text1"/>
        </w:rPr>
        <w:t>Goyzueta</w:t>
      </w:r>
      <w:proofErr w:type="spellEnd"/>
      <w:r w:rsidRPr="00983FBC">
        <w:rPr>
          <w:rFonts w:ascii="Palatino Linotype" w:hAnsi="Palatino Linotype" w:cs="Arial"/>
          <w:i/>
          <w:color w:val="000000" w:themeColor="text1"/>
        </w:rPr>
        <w:t>. Secretario: Gonzalo Carrera Molina.</w:t>
      </w:r>
    </w:p>
    <w:p w:rsidR="00D84BCB" w:rsidRPr="00983FBC" w:rsidRDefault="00D84BCB"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83FBC">
        <w:rPr>
          <w:rFonts w:ascii="Palatino Linotype" w:hAnsi="Palatino Linotype" w:cs="Arial"/>
          <w:i/>
          <w:color w:val="000000" w:themeColor="text1"/>
        </w:rPr>
        <w:t>Baigts</w:t>
      </w:r>
      <w:proofErr w:type="spellEnd"/>
      <w:r w:rsidRPr="00983FBC">
        <w:rPr>
          <w:rFonts w:ascii="Palatino Linotype" w:hAnsi="Palatino Linotype" w:cs="Arial"/>
          <w:i/>
          <w:color w:val="000000" w:themeColor="text1"/>
        </w:rPr>
        <w:t xml:space="preserve"> Muñoz.</w:t>
      </w:r>
      <w:r w:rsidRPr="00983FBC">
        <w:rPr>
          <w:rFonts w:ascii="Palatino Linotype" w:hAnsi="Palatino Linotype" w:cs="Arial"/>
          <w:i/>
          <w:color w:val="000000" w:themeColor="text1"/>
          <w:vertAlign w:val="superscript"/>
        </w:rPr>
        <w:footnoteReference w:id="13"/>
      </w:r>
    </w:p>
    <w:p w:rsidR="00D84BCB" w:rsidRPr="00983FBC" w:rsidRDefault="00D84BCB" w:rsidP="00983FBC">
      <w:pPr>
        <w:spacing w:line="360" w:lineRule="auto"/>
        <w:ind w:left="567"/>
        <w:contextualSpacing/>
        <w:jc w:val="both"/>
        <w:rPr>
          <w:rFonts w:ascii="Palatino Linotype" w:hAnsi="Palatino Linotype" w:cs="Arial"/>
          <w:color w:val="000000" w:themeColor="text1"/>
          <w:lang w:val="es-ES"/>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83FBC">
        <w:rPr>
          <w:rFonts w:ascii="Palatino Linotype" w:hAnsi="Palatino Linotype"/>
          <w:color w:val="000000" w:themeColor="text1"/>
        </w:rPr>
        <w:t xml:space="preserve"> </w:t>
      </w:r>
      <w:r w:rsidRPr="00983FBC">
        <w:rPr>
          <w:rFonts w:ascii="Palatino Linotype" w:eastAsia="Times New Roman" w:hAnsi="Palatino Linotype" w:cs="Arial"/>
          <w:color w:val="000000" w:themeColor="text1"/>
          <w:lang w:eastAsia="es-MX"/>
        </w:rPr>
        <w:t>datos personales</w:t>
      </w:r>
      <w:r w:rsidRPr="00983FBC">
        <w:rPr>
          <w:rFonts w:ascii="Palatino Linotype" w:eastAsia="Times New Roman" w:hAnsi="Palatino Linotype" w:cs="Arial"/>
          <w:color w:val="000000" w:themeColor="text1"/>
          <w:vertAlign w:val="superscript"/>
          <w:lang w:eastAsia="es-MX"/>
        </w:rPr>
        <w:footnoteReference w:id="14"/>
      </w:r>
      <w:r w:rsidRPr="00983FBC">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983FBC">
        <w:rPr>
          <w:rFonts w:ascii="Palatino Linotype" w:eastAsia="Times New Roman" w:hAnsi="Palatino Linotype" w:cs="Arial"/>
          <w:b/>
          <w:color w:val="000000" w:themeColor="text1"/>
          <w:lang w:eastAsia="es-MX"/>
        </w:rPr>
        <w:t>por ejemplo</w:t>
      </w:r>
      <w:r w:rsidRPr="00983FBC">
        <w:rPr>
          <w:rFonts w:ascii="Palatino Linotype" w:eastAsia="Times New Roman" w:hAnsi="Palatino Linotype" w:cs="Arial"/>
          <w:color w:val="000000" w:themeColor="text1"/>
          <w:lang w:eastAsia="es-MX"/>
        </w:rPr>
        <w:t xml:space="preserve">, </w:t>
      </w:r>
      <w:r w:rsidRPr="00983FBC">
        <w:rPr>
          <w:rFonts w:ascii="Palatino Linotype" w:eastAsia="Calibri" w:hAnsi="Palatino Linotype" w:cs="Arial"/>
          <w:color w:val="000000" w:themeColor="text1"/>
          <w:lang w:val="es-ES" w:eastAsia="es-MX"/>
        </w:rPr>
        <w:t xml:space="preserve">Clave Única de Registro de Población (CURP), Registro Federal de Contribuyentes (R.F.C. solo tratándose de aquellas personas físicas que no reciben recursos públicos), clave de ISSEMYM, número de cuenta (solo de personas físicas), estos son datos susceptibles de clasificarse como confidenciales mediante una versión pública que deje a la vista los datos que ofrezcan la información requerida.  </w:t>
      </w:r>
    </w:p>
    <w:p w:rsidR="00D84BCB" w:rsidRPr="00983FBC" w:rsidRDefault="00D84BCB" w:rsidP="00983FBC">
      <w:pPr>
        <w:shd w:val="clear" w:color="auto" w:fill="FFFFFF"/>
        <w:spacing w:line="360" w:lineRule="auto"/>
        <w:contextualSpacing/>
        <w:jc w:val="both"/>
        <w:rPr>
          <w:rFonts w:ascii="Palatino Linotype" w:eastAsia="Calibri" w:hAnsi="Palatino Linotype" w:cs="Arial"/>
          <w:color w:val="000000" w:themeColor="text1"/>
          <w:lang w:val="es-ES"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983FBC">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84BCB" w:rsidRPr="00983FBC" w:rsidRDefault="00D84BCB" w:rsidP="00983FBC">
      <w:pPr>
        <w:spacing w:line="360" w:lineRule="auto"/>
        <w:contextualSpacing/>
        <w:jc w:val="both"/>
        <w:rPr>
          <w:rFonts w:ascii="Palatino Linotype" w:hAnsi="Palatino Linotype" w:cs="Arial"/>
          <w:color w:val="000000" w:themeColor="text1"/>
        </w:rPr>
      </w:pPr>
    </w:p>
    <w:p w:rsidR="00D84BCB" w:rsidRPr="00983FBC" w:rsidRDefault="00D84BCB" w:rsidP="00983FBC">
      <w:pPr>
        <w:spacing w:line="360" w:lineRule="auto"/>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 xml:space="preserve">III. Condiciones especiales de la clasificación de la información como reservada </w:t>
      </w:r>
    </w:p>
    <w:p w:rsidR="00D84BCB" w:rsidRPr="00983FBC" w:rsidRDefault="00D84BCB" w:rsidP="00983FBC">
      <w:pPr>
        <w:spacing w:line="360" w:lineRule="auto"/>
        <w:contextualSpacing/>
        <w:jc w:val="both"/>
        <w:rPr>
          <w:rFonts w:ascii="Palatino Linotype" w:hAnsi="Palatino Linotype" w:cs="Arial"/>
          <w:b/>
          <w:color w:val="000000" w:themeColor="text1"/>
        </w:rPr>
      </w:pPr>
    </w:p>
    <w:p w:rsidR="00D84BCB" w:rsidRPr="00983FBC" w:rsidRDefault="00D84BCB" w:rsidP="00983FBC">
      <w:pPr>
        <w:spacing w:line="360" w:lineRule="auto"/>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La fundamentación específica.</w:t>
      </w:r>
    </w:p>
    <w:p w:rsidR="00D84BCB" w:rsidRPr="00983FBC" w:rsidRDefault="00D84BCB" w:rsidP="00983FBC">
      <w:pPr>
        <w:spacing w:line="360" w:lineRule="auto"/>
        <w:rPr>
          <w:rFonts w:ascii="Palatino Linotype" w:eastAsiaTheme="majorEastAsia" w:hAnsi="Palatino Linotype" w:cstheme="majorBidi"/>
          <w:b/>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83FBC">
        <w:rPr>
          <w:rFonts w:ascii="Palatino Linotype" w:hAnsi="Palatino Linotype" w:cs="Arial"/>
          <w:color w:val="000000" w:themeColor="text1"/>
        </w:rPr>
        <w:t>autoreferencial</w:t>
      </w:r>
      <w:proofErr w:type="spellEnd"/>
      <w:r w:rsidRPr="00983FBC">
        <w:rPr>
          <w:rFonts w:ascii="Palatino Linotype" w:hAnsi="Palatino Linotype" w:cs="Arial"/>
          <w:color w:val="000000" w:themeColor="text1"/>
        </w:rPr>
        <w:t xml:space="preserve"> en el que primero se dice algo, después se dice lo mismo y al final exactamente lo mismo, cambiando sólo el orden de las palabras.</w:t>
      </w:r>
    </w:p>
    <w:p w:rsidR="00D84BCB" w:rsidRPr="00983FBC" w:rsidRDefault="00D84BCB" w:rsidP="00983FBC">
      <w:pPr>
        <w:spacing w:line="360" w:lineRule="auto"/>
        <w:contextualSpacing/>
        <w:jc w:val="both"/>
        <w:rPr>
          <w:rFonts w:ascii="Palatino Linotype" w:hAnsi="Palatino Linotype" w:cs="Arial"/>
          <w:b/>
          <w:color w:val="000000" w:themeColor="text1"/>
        </w:rPr>
      </w:pPr>
    </w:p>
    <w:p w:rsidR="00D84BCB" w:rsidRPr="00983FBC" w:rsidRDefault="00D84BCB" w:rsidP="00983FBC">
      <w:pPr>
        <w:spacing w:line="360" w:lineRule="auto"/>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La prueba de daño.</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w:t>
      </w:r>
      <w:r w:rsidRPr="00983FBC">
        <w:rPr>
          <w:rFonts w:ascii="Palatino Linotype" w:hAnsi="Palatino Linotype"/>
          <w:color w:val="000000" w:themeColor="text1"/>
        </w:rPr>
        <w:lastRenderedPageBreak/>
        <w:t>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Para aplicar la prueba de daño, se deberán de precisar la razones objetivas por las que la apertura genera una afectación, acreditando que:</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983FBC">
        <w:rPr>
          <w:rFonts w:ascii="Palatino Linotype" w:hAnsi="Palatino Linotype" w:cs="Bookman Old Style"/>
          <w:bCs/>
          <w:i/>
          <w:color w:val="000000" w:themeColor="text1"/>
        </w:rPr>
        <w:t xml:space="preserve">I. </w:t>
      </w:r>
      <w:r w:rsidRPr="00983FBC">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D84BCB" w:rsidRPr="00983FBC" w:rsidRDefault="00D84BCB" w:rsidP="00983FB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983FBC">
        <w:rPr>
          <w:rFonts w:ascii="Palatino Linotype" w:hAnsi="Palatino Linotype" w:cs="Bookman Old Style"/>
          <w:bCs/>
          <w:i/>
          <w:color w:val="000000" w:themeColor="text1"/>
        </w:rPr>
        <w:t xml:space="preserve">II. </w:t>
      </w:r>
      <w:r w:rsidRPr="00983FBC">
        <w:rPr>
          <w:rFonts w:ascii="Palatino Linotype" w:hAnsi="Palatino Linotype" w:cs="Bookman Old Style"/>
          <w:i/>
          <w:color w:val="000000" w:themeColor="text1"/>
        </w:rPr>
        <w:t xml:space="preserve">El riesgo de perjuicio que supondría la divulgación supera el interés público general de que se difunda; y </w:t>
      </w:r>
    </w:p>
    <w:p w:rsidR="00D84BCB" w:rsidRDefault="00D84BCB" w:rsidP="00983FBC">
      <w:pPr>
        <w:widowControl w:val="0"/>
        <w:autoSpaceDE w:val="0"/>
        <w:autoSpaceDN w:val="0"/>
        <w:adjustRightInd w:val="0"/>
        <w:spacing w:line="360" w:lineRule="auto"/>
        <w:ind w:left="567" w:right="616"/>
        <w:jc w:val="both"/>
        <w:rPr>
          <w:rFonts w:ascii="Palatino Linotype" w:hAnsi="Palatino Linotype" w:cs="Bookman Old Style"/>
          <w:i/>
          <w:color w:val="000000" w:themeColor="text1"/>
        </w:rPr>
      </w:pPr>
      <w:r w:rsidRPr="00983FBC">
        <w:rPr>
          <w:rFonts w:ascii="Palatino Linotype" w:hAnsi="Palatino Linotype" w:cs="Bookman Old Style"/>
          <w:bCs/>
          <w:i/>
          <w:color w:val="000000" w:themeColor="text1"/>
        </w:rPr>
        <w:t xml:space="preserve">III. </w:t>
      </w:r>
      <w:r w:rsidRPr="00983FBC">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983FBC" w:rsidRPr="00983FBC" w:rsidRDefault="00983FBC" w:rsidP="00983FBC">
      <w:pPr>
        <w:widowControl w:val="0"/>
        <w:autoSpaceDE w:val="0"/>
        <w:autoSpaceDN w:val="0"/>
        <w:adjustRightInd w:val="0"/>
        <w:spacing w:line="360" w:lineRule="auto"/>
        <w:ind w:left="567" w:right="616"/>
        <w:jc w:val="both"/>
        <w:rPr>
          <w:rFonts w:ascii="Palatino Linotype" w:hAnsi="Palatino Linotype" w:cs="Times"/>
          <w:i/>
          <w:color w:val="000000" w:themeColor="text1"/>
        </w:rPr>
      </w:pPr>
    </w:p>
    <w:p w:rsidR="00D84BCB" w:rsidRPr="00983FBC" w:rsidRDefault="00D84BCB" w:rsidP="00983FBC">
      <w:pPr>
        <w:numPr>
          <w:ilvl w:val="0"/>
          <w:numId w:val="18"/>
        </w:numPr>
        <w:shd w:val="clear" w:color="auto" w:fill="FFFFFF"/>
        <w:suppressAutoHyphens/>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983FBC">
        <w:rPr>
          <w:rFonts w:ascii="Palatino Linotype" w:hAnsi="Palatino Linotype" w:cs="Times New Roman"/>
          <w:color w:val="000000" w:themeColor="text1"/>
          <w:vertAlign w:val="superscript"/>
          <w:lang w:eastAsia="es-ES_tradnl"/>
        </w:rPr>
        <w:footnoteReference w:id="15"/>
      </w:r>
      <w:r w:rsidRPr="00983FBC">
        <w:rPr>
          <w:rFonts w:ascii="Palatino Linotype" w:hAnsi="Palatino Linotype" w:cs="Times New Roman"/>
          <w:color w:val="000000" w:themeColor="text1"/>
          <w:lang w:eastAsia="es-ES_tradnl"/>
        </w:rPr>
        <w:t xml:space="preserve"> mientras que el daño es considerado como un “perjuicio o lesión”</w:t>
      </w:r>
      <w:r w:rsidRPr="00983FBC">
        <w:rPr>
          <w:rFonts w:ascii="Palatino Linotype" w:hAnsi="Palatino Linotype" w:cs="Times New Roman"/>
          <w:color w:val="000000" w:themeColor="text1"/>
          <w:vertAlign w:val="superscript"/>
          <w:lang w:eastAsia="es-ES_tradnl"/>
        </w:rPr>
        <w:footnoteReference w:id="16"/>
      </w:r>
      <w:r w:rsidRPr="00983FBC">
        <w:rPr>
          <w:rFonts w:ascii="Palatino Linotype" w:hAnsi="Palatino Linotype" w:cs="Times New Roman"/>
          <w:color w:val="000000" w:themeColor="text1"/>
          <w:lang w:eastAsia="es-ES_tradnl"/>
        </w:rPr>
        <w:t>, mientras que según el Diccionario de la Lengua Española, lo real es</w:t>
      </w:r>
      <w:r w:rsidRPr="00983FBC">
        <w:rPr>
          <w:rFonts w:ascii="Palatino Linotype" w:eastAsia="Arial Unicode MS" w:hAnsi="Palatino Linotype" w:cs="Arial Unicode MS"/>
          <w:color w:val="000000" w:themeColor="text1"/>
          <w:spacing w:val="4"/>
          <w:shd w:val="clear" w:color="auto" w:fill="FFFFFF"/>
          <w:lang w:eastAsia="es-ES_tradnl"/>
        </w:rPr>
        <w:t xml:space="preserve"> lo “</w:t>
      </w:r>
      <w:r w:rsidRPr="00983FBC">
        <w:rPr>
          <w:rFonts w:ascii="Palatino Linotype" w:eastAsia="Times New Roman" w:hAnsi="Palatino Linotype" w:cs="Times New Roman"/>
          <w:color w:val="000000" w:themeColor="text1"/>
          <w:lang w:eastAsia="es-ES_tradnl"/>
        </w:rPr>
        <w:t>(que</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tiene</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existencia</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objetiva”,</w:t>
      </w:r>
      <w:r w:rsidRPr="00983FBC">
        <w:rPr>
          <w:rFonts w:ascii="Palatino Linotype" w:eastAsia="Times New Roman" w:hAnsi="Palatino Linotype" w:cs="Times New Roman"/>
          <w:color w:val="000000" w:themeColor="text1"/>
          <w:vertAlign w:val="superscript"/>
          <w:lang w:eastAsia="es-ES_tradnl"/>
        </w:rPr>
        <w:footnoteReference w:id="17"/>
      </w:r>
      <w:r w:rsidRPr="00983FBC">
        <w:rPr>
          <w:rFonts w:ascii="Palatino Linotype" w:eastAsia="Times New Roman" w:hAnsi="Palatino Linotype" w:cs="Times New Roman"/>
          <w:color w:val="000000" w:themeColor="text1"/>
          <w:lang w:eastAsia="es-ES_tradnl"/>
        </w:rPr>
        <w:t xml:space="preserve"> </w:t>
      </w:r>
      <w:r w:rsidRPr="00983FBC">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983FBC">
        <w:rPr>
          <w:rFonts w:ascii="Palatino Linotype" w:eastAsia="Arial Unicode MS" w:hAnsi="Palatino Linotype" w:cs="Arial Unicode MS"/>
          <w:color w:val="000000" w:themeColor="text1"/>
          <w:spacing w:val="4"/>
          <w:shd w:val="clear" w:color="auto" w:fill="FFFFFF"/>
          <w:vertAlign w:val="superscript"/>
          <w:lang w:eastAsia="es-ES_tradnl"/>
        </w:rPr>
        <w:footnoteReference w:id="18"/>
      </w:r>
      <w:r w:rsidRPr="00983FBC">
        <w:rPr>
          <w:rFonts w:ascii="Palatino Linotype" w:eastAsia="Arial Unicode MS" w:hAnsi="Palatino Linotype" w:cs="Arial Unicode MS"/>
          <w:color w:val="000000" w:themeColor="text1"/>
          <w:spacing w:val="4"/>
          <w:shd w:val="clear" w:color="auto" w:fill="FFFFFF"/>
          <w:lang w:eastAsia="es-ES_tradnl"/>
        </w:rPr>
        <w:t xml:space="preserve"> es decir, </w:t>
      </w:r>
      <w:r w:rsidRPr="00983FBC">
        <w:rPr>
          <w:rFonts w:ascii="Palatino Linotype" w:hAnsi="Palatino Linotype"/>
          <w:color w:val="000000" w:themeColor="text1"/>
        </w:rPr>
        <w:t xml:space="preserve">“(manifestar, declarar. Probar, sirviéndose de </w:t>
      </w:r>
      <w:r w:rsidRPr="00983FBC">
        <w:rPr>
          <w:rFonts w:ascii="Palatino Linotype" w:hAnsi="Palatino Linotype"/>
          <w:color w:val="000000" w:themeColor="text1"/>
        </w:rPr>
        <w:lastRenderedPageBreak/>
        <w:t xml:space="preserve">cualquier género de demostración, </w:t>
      </w:r>
      <w:hyperlink r:id="rId12" w:anchor="6nAyKjE" w:history="1">
        <w:r w:rsidRPr="00983FBC">
          <w:rPr>
            <w:rFonts w:ascii="Palatino Linotype" w:hAnsi="Palatino Linotype"/>
            <w:color w:val="000000" w:themeColor="text1"/>
          </w:rPr>
          <w:t>enseñar</w:t>
        </w:r>
      </w:hyperlink>
      <w:r w:rsidRPr="00983FBC">
        <w:rPr>
          <w:rFonts w:ascii="Palatino Linotype" w:hAnsi="Palatino Linotype"/>
          <w:color w:val="000000" w:themeColor="text1"/>
        </w:rPr>
        <w:t xml:space="preserve"> mostrar o exponer algo)”.</w:t>
      </w:r>
      <w:r w:rsidRPr="00983FBC">
        <w:rPr>
          <w:rFonts w:ascii="Palatino Linotype" w:hAnsi="Palatino Linotype"/>
          <w:color w:val="000000" w:themeColor="text1"/>
          <w:vertAlign w:val="superscript"/>
        </w:rPr>
        <w:footnoteReference w:id="19"/>
      </w:r>
      <w:r w:rsidRPr="00983FBC">
        <w:rPr>
          <w:rFonts w:ascii="Palatino Linotype" w:hAnsi="Palatino Linotype"/>
          <w:color w:val="000000" w:themeColor="text1"/>
        </w:rPr>
        <w:t xml:space="preserve"> Mientras que lo identificable es lo que puede ser identificado,</w:t>
      </w:r>
      <w:r w:rsidRPr="00983FBC">
        <w:rPr>
          <w:rFonts w:ascii="Palatino Linotype" w:hAnsi="Palatino Linotype"/>
          <w:color w:val="000000" w:themeColor="text1"/>
          <w:vertAlign w:val="superscript"/>
        </w:rPr>
        <w:footnoteReference w:id="20"/>
      </w:r>
      <w:r w:rsidRPr="00983FBC">
        <w:rPr>
          <w:rFonts w:ascii="Palatino Linotype" w:hAnsi="Palatino Linotype"/>
          <w:color w:val="000000" w:themeColor="text1"/>
        </w:rPr>
        <w:t xml:space="preserve"> esto es,</w:t>
      </w:r>
      <w:r w:rsidRPr="00983FBC">
        <w:rPr>
          <w:rFonts w:ascii="Palatino Linotype" w:hAnsi="Palatino Linotype"/>
          <w:color w:val="000000" w:themeColor="text1"/>
          <w:lang w:eastAsia="es-ES_tradnl"/>
        </w:rPr>
        <w:t xml:space="preserve"> “(dar los datos necesarios para ser reconocido”.</w:t>
      </w:r>
      <w:r w:rsidRPr="00983FBC">
        <w:rPr>
          <w:rFonts w:ascii="Palatino Linotype" w:hAnsi="Palatino Linotype"/>
          <w:color w:val="000000" w:themeColor="text1"/>
          <w:vertAlign w:val="superscript"/>
          <w:lang w:eastAsia="es-ES_tradnl"/>
        </w:rPr>
        <w:footnoteReference w:id="21"/>
      </w:r>
    </w:p>
    <w:p w:rsidR="00983FBC" w:rsidRPr="00983FBC" w:rsidRDefault="00983FBC" w:rsidP="00983FBC">
      <w:pPr>
        <w:shd w:val="clear" w:color="auto" w:fill="FFFFFF"/>
        <w:suppressAutoHyphens/>
        <w:spacing w:line="360" w:lineRule="auto"/>
        <w:jc w:val="both"/>
        <w:textAlignment w:val="baseline"/>
        <w:rPr>
          <w:rFonts w:ascii="Palatino Linotype" w:hAnsi="Palatino Linotype" w:cs="Times New Roman"/>
          <w:color w:val="000000" w:themeColor="text1"/>
          <w:lang w:eastAsia="es-ES_tradnl"/>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Identificado ese riesgo, se debe demostrar que el mismo supera el interés público general porque se difunda dicha información. </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983FBC">
        <w:rPr>
          <w:rFonts w:ascii="Palatino Linotype" w:hAnsi="Palatino Linotype"/>
          <w:color w:val="000000" w:themeColor="text1"/>
          <w:vertAlign w:val="superscript"/>
        </w:rPr>
        <w:footnoteReference w:id="22"/>
      </w:r>
      <w:r w:rsidRPr="00983FBC">
        <w:rPr>
          <w:rFonts w:ascii="Palatino Linotype" w:hAnsi="Palatino Linotype"/>
          <w:color w:val="000000" w:themeColor="text1"/>
        </w:rPr>
        <w:t xml:space="preserve">, siguiendo el principio de ponderación </w:t>
      </w:r>
      <w:r w:rsidRPr="00983FBC">
        <w:rPr>
          <w:rFonts w:ascii="Palatino Linotype" w:hAnsi="Palatino Linotype"/>
          <w:color w:val="000000" w:themeColor="text1"/>
        </w:rPr>
        <w:lastRenderedPageBreak/>
        <w:t>propuesto por el Tribunal Constitucional Alemán,</w:t>
      </w:r>
      <w:r w:rsidRPr="00983FBC">
        <w:rPr>
          <w:rFonts w:ascii="Palatino Linotype" w:hAnsi="Palatino Linotype"/>
          <w:color w:val="000000" w:themeColor="text1"/>
          <w:vertAlign w:val="superscript"/>
        </w:rPr>
        <w:footnoteReference w:id="23"/>
      </w:r>
      <w:r w:rsidRPr="00983FBC">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D84BCB" w:rsidRPr="00983FBC" w:rsidRDefault="00D84BCB" w:rsidP="00983FBC">
      <w:pPr>
        <w:spacing w:line="360" w:lineRule="auto"/>
        <w:contextualSpacing/>
        <w:rPr>
          <w:rFonts w:ascii="Palatino Linotype" w:hAnsi="Palatino Linotype"/>
          <w:color w:val="000000" w:themeColor="text1"/>
        </w:rPr>
      </w:pPr>
    </w:p>
    <w:p w:rsidR="00D84BCB" w:rsidRPr="00983FBC" w:rsidRDefault="00D84BCB" w:rsidP="00983FBC">
      <w:pPr>
        <w:pStyle w:val="Prrafodelista"/>
        <w:keepNext/>
        <w:keepLines/>
        <w:numPr>
          <w:ilvl w:val="0"/>
          <w:numId w:val="28"/>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t>La clasificación de la información reservada debe ser de manera temporal.</w:t>
      </w:r>
    </w:p>
    <w:p w:rsidR="00D84BCB" w:rsidRPr="00983FBC" w:rsidRDefault="00D84BCB" w:rsidP="00983FBC">
      <w:pPr>
        <w:spacing w:line="360" w:lineRule="auto"/>
        <w:jc w:val="both"/>
        <w:rPr>
          <w:rFonts w:ascii="Palatino Linotype" w:hAnsi="Palatino Linotype"/>
          <w:b/>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D84BCB" w:rsidRPr="00983FBC" w:rsidRDefault="00D84BCB" w:rsidP="00983FBC">
      <w:pPr>
        <w:spacing w:line="360" w:lineRule="auto"/>
        <w:contextualSpacing/>
        <w:jc w:val="both"/>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983FBC">
        <w:rPr>
          <w:rFonts w:ascii="Palatino Linotype" w:hAnsi="Palatino Linotype"/>
          <w:color w:val="000000" w:themeColor="text1"/>
        </w:rPr>
        <w:lastRenderedPageBreak/>
        <w:t xml:space="preserve">cumplimiento del periodo de restricción, dejaran de existir los motivos de su reserva. </w:t>
      </w:r>
    </w:p>
    <w:p w:rsidR="00D84BCB" w:rsidRPr="00983FBC" w:rsidRDefault="00D84BCB" w:rsidP="00983FBC">
      <w:pPr>
        <w:spacing w:line="360" w:lineRule="auto"/>
        <w:contextualSpacing/>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D84BCB" w:rsidRPr="00983FBC" w:rsidRDefault="00D84BCB" w:rsidP="00983FBC">
      <w:pPr>
        <w:spacing w:line="360" w:lineRule="auto"/>
        <w:contextualSpacing/>
        <w:rPr>
          <w:rFonts w:ascii="Palatino Linotype" w:hAnsi="Palatino Linotype"/>
          <w:b/>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De</w:t>
      </w:r>
      <w:r w:rsidRPr="00983FBC">
        <w:rPr>
          <w:rFonts w:ascii="Palatino Linotype" w:hAnsi="Palatino Linotype"/>
          <w:b/>
          <w:color w:val="000000" w:themeColor="text1"/>
        </w:rPr>
        <w:t xml:space="preserve"> </w:t>
      </w:r>
      <w:r w:rsidRPr="00983FBC">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D84BCB" w:rsidRPr="00983FBC" w:rsidRDefault="00D84BCB" w:rsidP="00983FBC">
      <w:pPr>
        <w:spacing w:line="360" w:lineRule="auto"/>
        <w:contextualSpacing/>
        <w:rPr>
          <w:rFonts w:ascii="Palatino Linotype" w:hAnsi="Palatino Linotype"/>
          <w:color w:val="000000" w:themeColor="text1"/>
        </w:rPr>
      </w:pPr>
    </w:p>
    <w:p w:rsidR="00D84BCB" w:rsidRPr="00983FBC" w:rsidRDefault="00D84BCB"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84BCB" w:rsidRDefault="00D84BCB" w:rsidP="00983FBC">
      <w:pPr>
        <w:pStyle w:val="Prrafodelista"/>
        <w:keepNext/>
        <w:keepLines/>
        <w:numPr>
          <w:ilvl w:val="0"/>
          <w:numId w:val="34"/>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r w:rsidRPr="00983FBC">
        <w:rPr>
          <w:rFonts w:ascii="Palatino Linotype" w:eastAsiaTheme="majorEastAsia" w:hAnsi="Palatino Linotype" w:cstheme="majorBidi"/>
          <w:b/>
          <w:color w:val="000000" w:themeColor="text1"/>
        </w:rPr>
        <w:lastRenderedPageBreak/>
        <w:t>Condiciones especiales de la clasificación de la información como confidencial.</w:t>
      </w:r>
    </w:p>
    <w:p w:rsidR="00983FBC" w:rsidRPr="00983FBC" w:rsidRDefault="00983FBC" w:rsidP="00983FBC">
      <w:pPr>
        <w:pStyle w:val="Prrafodelista"/>
        <w:keepNext/>
        <w:keepLines/>
        <w:pBdr>
          <w:top w:val="nil"/>
          <w:left w:val="nil"/>
          <w:bottom w:val="nil"/>
          <w:right w:val="nil"/>
          <w:between w:val="nil"/>
          <w:bar w:val="nil"/>
        </w:pBdr>
        <w:spacing w:line="360" w:lineRule="auto"/>
        <w:ind w:left="0"/>
        <w:jc w:val="both"/>
        <w:rPr>
          <w:rFonts w:ascii="Palatino Linotype" w:eastAsiaTheme="majorEastAsia" w:hAnsi="Palatino Linotype" w:cstheme="majorBidi"/>
          <w:b/>
          <w:color w:val="000000" w:themeColor="text1"/>
        </w:rPr>
      </w:pPr>
    </w:p>
    <w:p w:rsidR="00D84BCB" w:rsidRDefault="00D84BCB" w:rsidP="00983FBC">
      <w:pPr>
        <w:numPr>
          <w:ilvl w:val="0"/>
          <w:numId w:val="18"/>
        </w:numPr>
        <w:shd w:val="clear" w:color="auto" w:fill="FFFFFF"/>
        <w:spacing w:line="360" w:lineRule="auto"/>
        <w:ind w:left="0" w:firstLine="0"/>
        <w:jc w:val="both"/>
        <w:textAlignment w:val="baseline"/>
        <w:rPr>
          <w:rFonts w:ascii="Palatino Linotype" w:hAnsi="Palatino Linotype"/>
          <w:color w:val="000000" w:themeColor="text1"/>
        </w:rPr>
      </w:pPr>
      <w:r w:rsidRPr="00983FBC">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83FBC" w:rsidRPr="00983FBC" w:rsidRDefault="00983FBC" w:rsidP="00983FBC">
      <w:pPr>
        <w:shd w:val="clear" w:color="auto" w:fill="FFFFFF"/>
        <w:spacing w:line="360" w:lineRule="auto"/>
        <w:jc w:val="both"/>
        <w:textAlignment w:val="baseline"/>
        <w:rPr>
          <w:rFonts w:ascii="Palatino Linotype" w:hAnsi="Palatino Linotype"/>
          <w:color w:val="000000" w:themeColor="text1"/>
        </w:rPr>
      </w:pPr>
    </w:p>
    <w:p w:rsidR="00D84BCB" w:rsidRPr="00983FBC" w:rsidRDefault="00D84BCB" w:rsidP="00983FBC">
      <w:pPr>
        <w:spacing w:line="360" w:lineRule="auto"/>
        <w:ind w:left="567" w:right="616"/>
        <w:jc w:val="both"/>
        <w:rPr>
          <w:rFonts w:ascii="Palatino Linotype" w:eastAsia="Times New Roman" w:hAnsi="Palatino Linotype" w:cs="Times New Roman"/>
          <w:bCs/>
          <w:color w:val="000000" w:themeColor="text1"/>
          <w:lang w:val="es-ES"/>
        </w:rPr>
      </w:pPr>
      <w:r w:rsidRPr="00983FBC">
        <w:rPr>
          <w:rFonts w:ascii="Palatino Linotype" w:eastAsia="Times New Roman" w:hAnsi="Palatino Linotype" w:cs="Times New Roman"/>
          <w:bCs/>
          <w:color w:val="000000" w:themeColor="text1"/>
          <w:lang w:val="es-ES"/>
        </w:rPr>
        <w:t>I.</w:t>
      </w:r>
      <w:r w:rsidRPr="00983FBC">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D84BCB" w:rsidRPr="00983FBC" w:rsidRDefault="00D84BCB" w:rsidP="00983FBC">
      <w:pPr>
        <w:spacing w:line="360" w:lineRule="auto"/>
        <w:ind w:left="567" w:right="616"/>
        <w:jc w:val="both"/>
        <w:rPr>
          <w:rFonts w:ascii="Palatino Linotype" w:eastAsia="Times New Roman" w:hAnsi="Palatino Linotype" w:cs="Times New Roman"/>
          <w:bCs/>
          <w:color w:val="000000" w:themeColor="text1"/>
          <w:lang w:val="es-ES"/>
        </w:rPr>
      </w:pPr>
      <w:r w:rsidRPr="00983FBC">
        <w:rPr>
          <w:rFonts w:ascii="Palatino Linotype" w:eastAsia="Times New Roman" w:hAnsi="Palatino Linotype" w:cs="Times New Roman"/>
          <w:bCs/>
          <w:color w:val="000000" w:themeColor="text1"/>
          <w:lang w:val="es-ES"/>
        </w:rPr>
        <w:t xml:space="preserve">II. </w:t>
      </w:r>
      <w:r w:rsidRPr="00983FBC">
        <w:rPr>
          <w:rFonts w:ascii="Palatino Linotype" w:eastAsia="Times New Roman" w:hAnsi="Palatino Linotype" w:cs="Times New Roman"/>
          <w:color w:val="000000" w:themeColor="text1"/>
          <w:lang w:val="es-ES"/>
        </w:rPr>
        <w:t>Por Ley tenga el carácter de pública;</w:t>
      </w:r>
    </w:p>
    <w:p w:rsidR="00D84BCB" w:rsidRPr="00983FBC" w:rsidRDefault="00D84BCB"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III. </w:t>
      </w:r>
      <w:r w:rsidRPr="00983FBC">
        <w:rPr>
          <w:rFonts w:ascii="Palatino Linotype" w:eastAsia="Times New Roman" w:hAnsi="Palatino Linotype" w:cs="Times New Roman"/>
          <w:color w:val="000000" w:themeColor="text1"/>
          <w:lang w:val="es-ES"/>
        </w:rPr>
        <w:t xml:space="preserve">Exista una orden judicial; </w:t>
      </w:r>
    </w:p>
    <w:p w:rsidR="00D84BCB" w:rsidRPr="00983FBC" w:rsidRDefault="00D84BCB"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IV. </w:t>
      </w:r>
      <w:r w:rsidRPr="00983FBC">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D84BCB" w:rsidRDefault="00D84BCB"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V. </w:t>
      </w:r>
      <w:r w:rsidRPr="00983FBC">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83FBC" w:rsidRPr="00983FBC" w:rsidRDefault="00983FBC" w:rsidP="00983FBC">
      <w:pPr>
        <w:spacing w:line="360" w:lineRule="auto"/>
        <w:ind w:left="567" w:right="616"/>
        <w:jc w:val="both"/>
        <w:rPr>
          <w:rFonts w:ascii="Palatino Linotype" w:eastAsia="Times New Roman" w:hAnsi="Palatino Linotype" w:cs="Times New Roman"/>
          <w:color w:val="000000" w:themeColor="text1"/>
          <w:lang w:val="es-ES"/>
        </w:rPr>
      </w:pPr>
    </w:p>
    <w:p w:rsidR="00D84BCB" w:rsidRPr="00983FBC" w:rsidRDefault="00D84BCB" w:rsidP="00983FB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olor w:val="000000" w:themeColor="text1"/>
        </w:rPr>
        <w:t>En</w:t>
      </w:r>
      <w:r w:rsidRPr="00983FBC">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84BCB" w:rsidRPr="00983FBC" w:rsidRDefault="00D84BCB" w:rsidP="00983FB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D84BCB" w:rsidRPr="00983FBC" w:rsidRDefault="00D84BCB" w:rsidP="00983FB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983FBC">
        <w:rPr>
          <w:rFonts w:ascii="Palatino Linotype" w:hAnsi="Palatino Linotype"/>
          <w:color w:val="000000" w:themeColor="text1"/>
        </w:rPr>
        <w:lastRenderedPageBreak/>
        <w:t>Pero</w:t>
      </w:r>
      <w:r w:rsidRPr="00983FB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84BCB" w:rsidRPr="00983FBC" w:rsidRDefault="00D84BCB" w:rsidP="00983FBC">
      <w:pPr>
        <w:shd w:val="clear" w:color="auto" w:fill="FFFFFF"/>
        <w:spacing w:line="360" w:lineRule="auto"/>
        <w:contextualSpacing/>
        <w:jc w:val="both"/>
        <w:textAlignment w:val="baseline"/>
        <w:rPr>
          <w:rFonts w:ascii="Palatino Linotype" w:hAnsi="Palatino Linotype"/>
          <w:color w:val="000000" w:themeColor="text1"/>
        </w:rPr>
      </w:pPr>
    </w:p>
    <w:p w:rsidR="00D84BCB" w:rsidRPr="00983FBC" w:rsidRDefault="00D84BCB" w:rsidP="00983FB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983FBC">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D84BCB" w:rsidRPr="00983FBC" w:rsidRDefault="00D84BCB" w:rsidP="00983FBC">
      <w:pPr>
        <w:spacing w:line="360" w:lineRule="auto"/>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D84BCB" w:rsidRPr="00983FBC" w:rsidTr="009E16C0">
        <w:tc>
          <w:tcPr>
            <w:tcW w:w="2142" w:type="dxa"/>
            <w:vMerge w:val="restart"/>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Requisitos previos</w:t>
            </w: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p>
          <w:p w:rsidR="00D84BCB" w:rsidRPr="00983FBC" w:rsidRDefault="00D84BCB" w:rsidP="00983FBC">
            <w:pPr>
              <w:spacing w:line="360" w:lineRule="auto"/>
              <w:jc w:val="both"/>
              <w:rPr>
                <w:rFonts w:ascii="Palatino Linotype" w:hAnsi="Palatino Linotype"/>
                <w:color w:val="000000" w:themeColor="text1"/>
                <w:sz w:val="18"/>
                <w:szCs w:val="18"/>
              </w:rPr>
            </w:pPr>
          </w:p>
          <w:p w:rsidR="00D84BCB" w:rsidRPr="00983FBC" w:rsidRDefault="00D84BCB" w:rsidP="00983FBC">
            <w:pPr>
              <w:spacing w:line="360" w:lineRule="auto"/>
              <w:jc w:val="both"/>
              <w:rPr>
                <w:rFonts w:ascii="Palatino Linotype" w:hAnsi="Palatino Linotype"/>
                <w:color w:val="000000" w:themeColor="text1"/>
                <w:sz w:val="18"/>
                <w:szCs w:val="18"/>
              </w:rPr>
            </w:pPr>
          </w:p>
          <w:p w:rsidR="00D84BCB" w:rsidRPr="00983FBC" w:rsidRDefault="00D84BCB" w:rsidP="00983FBC">
            <w:pPr>
              <w:numPr>
                <w:ilvl w:val="0"/>
                <w:numId w:val="30"/>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Confidencialidad </w:t>
            </w:r>
          </w:p>
          <w:p w:rsidR="00D84BCB" w:rsidRPr="00983FBC" w:rsidRDefault="00D84BCB" w:rsidP="00983FBC">
            <w:pPr>
              <w:numPr>
                <w:ilvl w:val="0"/>
                <w:numId w:val="30"/>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Reserva</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La clasificación de la información se realiza al momento de:</w:t>
            </w:r>
          </w:p>
        </w:tc>
        <w:tc>
          <w:tcPr>
            <w:tcW w:w="2305" w:type="dxa"/>
          </w:tcPr>
          <w:p w:rsidR="00D84BCB" w:rsidRPr="00983FBC" w:rsidRDefault="00D84BCB"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Atender una solicitud</w:t>
            </w:r>
          </w:p>
          <w:p w:rsidR="00D84BCB" w:rsidRPr="00983FBC" w:rsidRDefault="00D84BCB"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lastRenderedPageBreak/>
              <w:t>Por mandato de una autoridad competente</w:t>
            </w:r>
          </w:p>
          <w:p w:rsidR="00D84BCB" w:rsidRPr="00983FBC" w:rsidRDefault="00D84BCB"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elaborar una versión pública y cumplir una obligación de transparencia</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No se pueden emitir acuerdos de carácter general ni particular</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val="restart"/>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Supuestos de clasificación</w:t>
            </w: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clasificar la información como reservada hay</w:t>
            </w:r>
          </w:p>
        </w:tc>
        <w:tc>
          <w:tcPr>
            <w:tcW w:w="2305" w:type="dxa"/>
          </w:tcPr>
          <w:p w:rsidR="00D84BCB" w:rsidRPr="00983FBC" w:rsidRDefault="00D84BCB" w:rsidP="00983FBC">
            <w:pPr>
              <w:numPr>
                <w:ilvl w:val="0"/>
                <w:numId w:val="31"/>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11 supuestos en la Ley Estatal</w:t>
            </w:r>
          </w:p>
          <w:p w:rsidR="00D84BCB" w:rsidRPr="00983FBC" w:rsidRDefault="00D84BCB" w:rsidP="00983FBC">
            <w:pPr>
              <w:numPr>
                <w:ilvl w:val="0"/>
                <w:numId w:val="31"/>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13 supuestos en la Ley General</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clasificar la información como confidencial hay</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que considerar la definición de dato personal</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Estos supuestos se aplican de manera restrictiva y estricta, no pueden ampliarse</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val="restart"/>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Excepciones a la clasificación de reserva</w:t>
            </w:r>
          </w:p>
        </w:tc>
        <w:tc>
          <w:tcPr>
            <w:tcW w:w="2106" w:type="dxa"/>
            <w:vMerge w:val="restart"/>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No puede clasificarse como información reservada la concerniente a:</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Actos (probados o en investigación) graves de violaciones a derechos humanos</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Delitos de </w:t>
            </w:r>
            <w:proofErr w:type="spellStart"/>
            <w:r w:rsidRPr="00983FBC">
              <w:rPr>
                <w:rFonts w:ascii="Palatino Linotype" w:hAnsi="Palatino Linotype"/>
                <w:color w:val="000000" w:themeColor="text1"/>
                <w:sz w:val="18"/>
                <w:szCs w:val="18"/>
              </w:rPr>
              <w:t>lessa</w:t>
            </w:r>
            <w:proofErr w:type="spellEnd"/>
            <w:r w:rsidRPr="00983FBC">
              <w:rPr>
                <w:rFonts w:ascii="Palatino Linotype" w:hAnsi="Palatino Linotype"/>
                <w:color w:val="000000" w:themeColor="text1"/>
                <w:sz w:val="18"/>
                <w:szCs w:val="18"/>
              </w:rPr>
              <w:t xml:space="preserve"> humanidad</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Actos de Corrupción</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Los comprendidos en el Título Sexto del Código Penal del Estado</w:t>
            </w:r>
          </w:p>
        </w:tc>
      </w:tr>
      <w:tr w:rsidR="00D84BCB" w:rsidRPr="00983FBC" w:rsidTr="009E16C0">
        <w:tc>
          <w:tcPr>
            <w:tcW w:w="2142" w:type="dxa"/>
            <w:vMerge w:val="restart"/>
            <w:shd w:val="clear" w:color="auto" w:fill="D5DCE4" w:themeFill="text2" w:themeFillTint="33"/>
          </w:tcPr>
          <w:p w:rsidR="00D84BCB" w:rsidRPr="00983FBC" w:rsidRDefault="00D84BCB" w:rsidP="00983FBC">
            <w:pPr>
              <w:shd w:val="clear" w:color="auto" w:fill="AADAF8"/>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Participación del Comité de Transparencia</w:t>
            </w:r>
          </w:p>
          <w:p w:rsidR="00D84BCB" w:rsidRPr="00983FBC" w:rsidRDefault="00D84BCB" w:rsidP="00983FBC">
            <w:pPr>
              <w:spacing w:line="360" w:lineRule="auto"/>
              <w:rPr>
                <w:rFonts w:ascii="Palatino Linotype" w:hAnsi="Palatino Linotype"/>
                <w:sz w:val="18"/>
                <w:szCs w:val="18"/>
              </w:rPr>
            </w:pPr>
          </w:p>
          <w:p w:rsidR="00D84BCB" w:rsidRPr="00983FBC" w:rsidRDefault="00D84BCB" w:rsidP="00983FBC">
            <w:pPr>
              <w:spacing w:line="360" w:lineRule="auto"/>
              <w:jc w:val="center"/>
              <w:rPr>
                <w:rFonts w:ascii="Palatino Linotype" w:hAnsi="Palatino Linotype"/>
                <w:sz w:val="18"/>
                <w:szCs w:val="18"/>
              </w:rPr>
            </w:pPr>
          </w:p>
        </w:tc>
        <w:tc>
          <w:tcPr>
            <w:tcW w:w="2106" w:type="dxa"/>
            <w:vMerge w:val="restart"/>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Formalidades</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Comité debe de estar debidamente integrado</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Fondo del acuerdo de clasificación</w:t>
            </w: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La carga de la prueba para justificar la restricción corresponde al sujeto obligado</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Deber de fundar y motivar</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rPr>
          <w:trHeight w:val="604"/>
        </w:trPr>
        <w:tc>
          <w:tcPr>
            <w:tcW w:w="2142" w:type="dxa"/>
            <w:vMerge w:val="restart"/>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Condiciones especiales de la reserva</w:t>
            </w:r>
          </w:p>
        </w:tc>
        <w:tc>
          <w:tcPr>
            <w:tcW w:w="2106" w:type="dxa"/>
            <w:vMerge w:val="restart"/>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Motivar implica</w:t>
            </w:r>
          </w:p>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Además se debe aplicar, caso por caso, una prueba de daño.</w:t>
            </w:r>
          </w:p>
        </w:tc>
        <w:tc>
          <w:tcPr>
            <w:tcW w:w="2305" w:type="dxa"/>
            <w:vMerge w:val="restart"/>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Señalar las razones, motivos o circunstancias.</w:t>
            </w:r>
          </w:p>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Se deben señalar las razones objetivas y acreditar.</w:t>
            </w:r>
          </w:p>
          <w:p w:rsidR="00D84BCB" w:rsidRPr="00983FBC" w:rsidRDefault="00D84BCB" w:rsidP="00983FBC">
            <w:pPr>
              <w:spacing w:line="360" w:lineRule="auto"/>
              <w:jc w:val="both"/>
              <w:rPr>
                <w:rFonts w:ascii="Palatino Linotype" w:hAnsi="Palatino Linotype"/>
                <w:color w:val="000000" w:themeColor="text1"/>
                <w:sz w:val="18"/>
                <w:szCs w:val="18"/>
              </w:rPr>
            </w:pPr>
          </w:p>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D84BCB" w:rsidRPr="00983FBC" w:rsidTr="009E16C0">
        <w:trPr>
          <w:trHeight w:val="604"/>
        </w:trPr>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riesgo por divulgar es mayor que el interés público de que se difunda  </w:t>
            </w:r>
          </w:p>
        </w:tc>
      </w:tr>
      <w:tr w:rsidR="00D84BCB" w:rsidRPr="00983FBC" w:rsidTr="009E16C0">
        <w:trPr>
          <w:trHeight w:val="1454"/>
        </w:trPr>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305" w:type="dxa"/>
            <w:vMerge/>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principio de proporcionalidad</w:t>
            </w:r>
          </w:p>
        </w:tc>
      </w:tr>
      <w:tr w:rsidR="00D84BCB" w:rsidRPr="00983FBC" w:rsidTr="009E16C0">
        <w:tc>
          <w:tcPr>
            <w:tcW w:w="2142" w:type="dxa"/>
            <w:vMerge w:val="restart"/>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Condiciones especiales de la confidencialidad</w:t>
            </w: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r w:rsidR="00D84BCB" w:rsidRPr="00983FBC" w:rsidTr="009E16C0">
        <w:trPr>
          <w:trHeight w:val="3404"/>
        </w:trPr>
        <w:tc>
          <w:tcPr>
            <w:tcW w:w="2142" w:type="dxa"/>
            <w:vMerge/>
            <w:shd w:val="clear" w:color="auto" w:fill="D5DCE4" w:themeFill="text2" w:themeFillTint="33"/>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106" w:type="dxa"/>
          </w:tcPr>
          <w:p w:rsidR="00D84BCB" w:rsidRPr="00983FBC" w:rsidRDefault="00D84BCB"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D84BCB" w:rsidRPr="00983FBC" w:rsidRDefault="00D84BCB" w:rsidP="00983FBC">
            <w:pPr>
              <w:spacing w:line="360" w:lineRule="auto"/>
              <w:jc w:val="both"/>
              <w:rPr>
                <w:rFonts w:ascii="Palatino Linotype" w:hAnsi="Palatino Linotype"/>
                <w:color w:val="000000" w:themeColor="text1"/>
                <w:sz w:val="18"/>
                <w:szCs w:val="18"/>
              </w:rPr>
            </w:pPr>
          </w:p>
        </w:tc>
        <w:tc>
          <w:tcPr>
            <w:tcW w:w="2254" w:type="dxa"/>
          </w:tcPr>
          <w:p w:rsidR="00D84BCB" w:rsidRPr="00983FBC" w:rsidRDefault="00D84BCB" w:rsidP="00983FBC">
            <w:pPr>
              <w:spacing w:line="360" w:lineRule="auto"/>
              <w:jc w:val="both"/>
              <w:rPr>
                <w:rFonts w:ascii="Palatino Linotype" w:hAnsi="Palatino Linotype"/>
                <w:color w:val="000000" w:themeColor="text1"/>
                <w:sz w:val="18"/>
                <w:szCs w:val="18"/>
              </w:rPr>
            </w:pPr>
          </w:p>
        </w:tc>
      </w:tr>
    </w:tbl>
    <w:p w:rsidR="00983FBC" w:rsidRPr="00983FBC" w:rsidRDefault="00983FBC" w:rsidP="00983FB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D84BCB" w:rsidRDefault="00D84BCB" w:rsidP="00983FB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olor w:val="000000" w:themeColor="text1"/>
        </w:rPr>
        <w:t>Pero</w:t>
      </w:r>
      <w:r w:rsidRPr="00983FB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83FBC" w:rsidRPr="00983FBC" w:rsidRDefault="00983FBC" w:rsidP="00983FB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lastRenderedPageBreak/>
        <w:t>Lo anterior, derivado de que tanto en la respuesta como en el informe justificado, se remitieron contratos y facturas en las cuales se aprecia información que se relaciona con el estado de fuerza del Sujeto Obligado, tal y como lo es el equipamiento de las patrullas adquiridas y las características técnicas del armamento adquirido. Esta información compromete la seguridad del Municipio, toda vez que su divulgación pudiera dar lugar a que grupos criminales obtengan mejor armamento y vehículos con mejores características para superar la capacidad de reacción de los elementos de policía.</w:t>
      </w:r>
    </w:p>
    <w:p w:rsidR="00D84BCB" w:rsidRPr="00983FBC" w:rsidRDefault="00D84BCB" w:rsidP="00983FBC">
      <w:pPr>
        <w:pStyle w:val="Prrafodelista"/>
        <w:spacing w:line="360" w:lineRule="auto"/>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Es por ello que, la información relacionada con las características técnicas del equipamiento de los policías y las patrullas, debe ser considerada como información reservada, en concordancia con lo establecido en líneas anteriores.</w:t>
      </w:r>
    </w:p>
    <w:p w:rsidR="00D84BCB" w:rsidRPr="00983FBC" w:rsidRDefault="00D84BCB" w:rsidP="00983FBC">
      <w:pPr>
        <w:pStyle w:val="Prrafodelista"/>
        <w:spacing w:line="360" w:lineRule="auto"/>
        <w:rPr>
          <w:rFonts w:ascii="Palatino Linotype" w:eastAsia="Times New Roman" w:hAnsi="Palatino Linotype" w:cs="Arial"/>
          <w:color w:val="000000" w:themeColor="text1"/>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Asimismo, se aprecia que, a través de su informe justificado complementó su información inicial, remitiendo más facturas sobre la adquisición de bienes en materia de seguridad, como armamento y equipamiento de policías, sin embargo, al no encontrarse en versión pública no fueron del conocimiento del recurrente.</w:t>
      </w:r>
    </w:p>
    <w:p w:rsidR="00D84BCB" w:rsidRPr="00983FBC" w:rsidRDefault="00D84BCB"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D84BCB" w:rsidRPr="00983FBC" w:rsidRDefault="00D84BCB" w:rsidP="00983FBC">
      <w:pPr>
        <w:pStyle w:val="Prrafodelista"/>
        <w:numPr>
          <w:ilvl w:val="0"/>
          <w:numId w:val="18"/>
        </w:numPr>
        <w:spacing w:line="360" w:lineRule="auto"/>
        <w:ind w:left="0" w:firstLine="0"/>
        <w:jc w:val="both"/>
        <w:rPr>
          <w:rFonts w:ascii="Palatino Linotype" w:hAnsi="Palatino Linotype" w:cs="Arial"/>
          <w:noProof/>
          <w:lang w:eastAsia="es-MX"/>
        </w:rPr>
      </w:pPr>
      <w:r w:rsidRPr="00983FBC">
        <w:rPr>
          <w:rFonts w:ascii="Palatino Linotype" w:hAnsi="Palatino Linotype" w:cs="Arial"/>
          <w:noProof/>
          <w:lang w:eastAsia="es-MX"/>
        </w:rPr>
        <w:t xml:space="preserve">Por ultimo señalar que </w:t>
      </w:r>
      <w:r w:rsidRPr="00983FBC">
        <w:rPr>
          <w:rFonts w:ascii="Palatino Linotype" w:hAnsi="Palatino Linotype" w:cs="Arial"/>
          <w:b/>
          <w:noProof/>
          <w:u w:val="single"/>
          <w:lang w:eastAsia="es-MX"/>
        </w:rPr>
        <w:t>la temporalidad de la información versara del 1 de enero al 31 de diciembre de 2019</w:t>
      </w:r>
      <w:r w:rsidRPr="00983FBC">
        <w:rPr>
          <w:rFonts w:ascii="Palatino Linotype" w:hAnsi="Palatino Linotype" w:cs="Arial"/>
          <w:noProof/>
          <w:lang w:eastAsia="es-MX"/>
        </w:rPr>
        <w:t>; en virtud que el hoy recurrente señaló requerir la información de “</w:t>
      </w:r>
      <w:r w:rsidRPr="00983FBC">
        <w:rPr>
          <w:rFonts w:ascii="Palatino Linotype" w:hAnsi="Palatino Linotype" w:cs="Arial"/>
          <w:i/>
          <w:noProof/>
          <w:lang w:eastAsia="es-MX"/>
        </w:rPr>
        <w:t>este año</w:t>
      </w:r>
      <w:r w:rsidRPr="00983FBC">
        <w:rPr>
          <w:rFonts w:ascii="Palatino Linotype" w:hAnsi="Palatino Linotype" w:cs="Arial"/>
          <w:noProof/>
          <w:lang w:eastAsia="es-MX"/>
        </w:rPr>
        <w:t>”. Si bien la solicitud de información fue interpuesta en fecha veintiuno (21) de octubre de 2019, no se estima dable ordenar el soporte documental generado a dicha fecha; toda vez que a la fecha en que se resuelve el presente recurso de revisión, ya ha concluido el ejercicio fiscal 2019.</w:t>
      </w:r>
    </w:p>
    <w:p w:rsidR="00D84BCB" w:rsidRPr="00983FBC" w:rsidRDefault="00D84BCB" w:rsidP="00983FBC">
      <w:pPr>
        <w:pStyle w:val="Prrafodelista"/>
        <w:spacing w:line="360" w:lineRule="auto"/>
        <w:rPr>
          <w:rFonts w:ascii="Palatino Linotype" w:hAnsi="Palatino Linotype" w:cs="Arial"/>
          <w:noProof/>
          <w:lang w:eastAsia="es-MX"/>
        </w:rPr>
      </w:pPr>
    </w:p>
    <w:p w:rsidR="00D84BCB" w:rsidRPr="0000470D" w:rsidRDefault="00D84BCB" w:rsidP="00983FBC">
      <w:pPr>
        <w:pStyle w:val="Prrafodelista"/>
        <w:numPr>
          <w:ilvl w:val="0"/>
          <w:numId w:val="18"/>
        </w:numPr>
        <w:spacing w:line="360" w:lineRule="auto"/>
        <w:ind w:left="0" w:firstLine="0"/>
        <w:jc w:val="both"/>
        <w:rPr>
          <w:rFonts w:ascii="Palatino Linotype" w:hAnsi="Palatino Linotype" w:cs="Arial"/>
          <w:i/>
          <w:noProof/>
          <w:lang w:eastAsia="es-MX"/>
        </w:rPr>
      </w:pPr>
      <w:r w:rsidRPr="00983FBC">
        <w:rPr>
          <w:rFonts w:ascii="Palatino Linotype" w:hAnsi="Palatino Linotype" w:cs="Arial"/>
          <w:noProof/>
          <w:lang w:eastAsia="es-MX"/>
        </w:rPr>
        <w:lastRenderedPageBreak/>
        <w:t xml:space="preserve">Lo anterior, en virtud que el procedimiento de acceso a la información es la garantía primaria del derecho en cuestión y se rige por los principios de </w:t>
      </w:r>
      <w:r w:rsidRPr="00983FBC">
        <w:rPr>
          <w:rFonts w:ascii="Palatino Linotype" w:hAnsi="Palatino Linotype" w:cs="Arial"/>
          <w:b/>
          <w:noProof/>
          <w:lang w:eastAsia="es-MX"/>
        </w:rPr>
        <w:t>rapidez, efectividad y de máxima publicidad</w:t>
      </w:r>
      <w:r w:rsidRPr="00983FBC">
        <w:rPr>
          <w:rFonts w:ascii="Palatino Linotype" w:hAnsi="Palatino Linotype" w:cs="Arial"/>
          <w:noProof/>
          <w:lang w:eastAsia="es-MX"/>
        </w:rPr>
        <w:t xml:space="preserve">; luego entonces si el particular deseara conocer la información que se haya generado en los meses restantes, tendria que interponer nuevas solicitudes de información, lo que resultaria ocioso si es que desde a la fecha en que se notifique el presente proveido, el </w:t>
      </w:r>
      <w:r w:rsidRPr="00983FBC">
        <w:rPr>
          <w:rFonts w:ascii="Palatino Linotype" w:hAnsi="Palatino Linotype" w:cs="Arial"/>
          <w:b/>
          <w:noProof/>
          <w:lang w:eastAsia="es-MX"/>
        </w:rPr>
        <w:t xml:space="preserve">SUJETO OBLIGADO </w:t>
      </w:r>
      <w:r w:rsidRPr="00983FBC">
        <w:rPr>
          <w:rFonts w:ascii="Palatino Linotype" w:hAnsi="Palatino Linotype" w:cs="Arial"/>
          <w:noProof/>
          <w:lang w:eastAsia="es-MX"/>
        </w:rPr>
        <w:t>ya esta condiciones de pronunciarse al respecto, lo que trae como consecuencia una protección efectiva al derecho del particular.</w:t>
      </w:r>
    </w:p>
    <w:p w:rsidR="0000470D" w:rsidRPr="00983FBC" w:rsidRDefault="0000470D" w:rsidP="0000470D">
      <w:pPr>
        <w:pStyle w:val="Prrafodelista"/>
        <w:spacing w:line="360" w:lineRule="auto"/>
        <w:ind w:left="0"/>
        <w:jc w:val="both"/>
        <w:rPr>
          <w:rFonts w:ascii="Palatino Linotype" w:hAnsi="Palatino Linotype" w:cs="Arial"/>
          <w:i/>
          <w:noProof/>
          <w:lang w:eastAsia="es-MX"/>
        </w:rPr>
      </w:pPr>
    </w:p>
    <w:p w:rsidR="00D84BCB" w:rsidRPr="00983FBC" w:rsidRDefault="00D84BCB"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En consecuencia, se ordena al Sujeto Obligado entregar los contratos y facturas de bienes comprados y rentados para la seguridad pública durante el 2019, con recursos públicos federales y locales.</w:t>
      </w:r>
    </w:p>
    <w:p w:rsidR="00D84BCB" w:rsidRPr="00983FBC" w:rsidRDefault="00D84BCB" w:rsidP="00983FBC">
      <w:pPr>
        <w:pStyle w:val="Prrafodelista"/>
        <w:shd w:val="clear" w:color="auto" w:fill="FFFFFF"/>
        <w:tabs>
          <w:tab w:val="left" w:pos="284"/>
          <w:tab w:val="left" w:pos="426"/>
        </w:tabs>
        <w:spacing w:line="360" w:lineRule="auto"/>
        <w:ind w:left="0"/>
        <w:jc w:val="both"/>
        <w:rPr>
          <w:rFonts w:ascii="Palatino Linotype" w:eastAsia="Times New Roman" w:hAnsi="Palatino Linotype" w:cs="Arial"/>
          <w:color w:val="000000" w:themeColor="text1"/>
        </w:rPr>
      </w:pPr>
    </w:p>
    <w:p w:rsidR="005E22B0" w:rsidRPr="00983FBC" w:rsidRDefault="005E22B0" w:rsidP="00983FBC">
      <w:pPr>
        <w:pStyle w:val="Prrafodelista"/>
        <w:numPr>
          <w:ilvl w:val="0"/>
          <w:numId w:val="18"/>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983FBC">
        <w:rPr>
          <w:rFonts w:ascii="Palatino Linotype" w:hAnsi="Palatino Linotype" w:cs="Arial"/>
          <w:noProof/>
          <w:color w:val="000000" w:themeColor="text1"/>
          <w:lang w:eastAsia="es-MX"/>
        </w:rPr>
        <w:t xml:space="preserve">Resulta </w:t>
      </w:r>
      <w:r w:rsidRPr="00983FBC">
        <w:rPr>
          <w:rFonts w:ascii="Palatino Linotype" w:hAnsi="Palatino Linotype" w:cs="Arial"/>
          <w:color w:val="000000" w:themeColor="text1"/>
        </w:rPr>
        <w:t xml:space="preserve">necesario manifestar que debido a la naturaleza de </w:t>
      </w:r>
      <w:r w:rsidRPr="00983FBC">
        <w:rPr>
          <w:rFonts w:ascii="Palatino Linotype" w:hAnsi="Palatino Linotype"/>
          <w:color w:val="000000" w:themeColor="text1"/>
        </w:rPr>
        <w:t>la información que se ordenará entregar</w:t>
      </w:r>
      <w:r w:rsidRPr="00983FBC">
        <w:rPr>
          <w:rFonts w:ascii="Palatino Linotype" w:hAnsi="Palatino Linotype" w:cs="Arial"/>
          <w:color w:val="000000" w:themeColor="text1"/>
        </w:rPr>
        <w:t xml:space="preserve">, contiene </w:t>
      </w:r>
      <w:r w:rsidRPr="00983FBC">
        <w:rPr>
          <w:rFonts w:ascii="Palatino Linotype" w:hAnsi="Palatino Linotype" w:cs="Arial"/>
          <w:b/>
          <w:color w:val="000000" w:themeColor="text1"/>
        </w:rPr>
        <w:t xml:space="preserve">datos susceptibles de ser clasificados </w:t>
      </w:r>
      <w:r w:rsidRPr="00983FBC">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personales, de tal modo que el </w:t>
      </w:r>
      <w:r w:rsidRPr="00983FBC">
        <w:rPr>
          <w:rFonts w:ascii="Palatino Linotype" w:hAnsi="Palatino Linotype" w:cs="Arial"/>
          <w:b/>
          <w:color w:val="000000" w:themeColor="text1"/>
        </w:rPr>
        <w:t>SUJETO OBLIGADO</w:t>
      </w:r>
      <w:r w:rsidRPr="00983FBC">
        <w:rPr>
          <w:rFonts w:ascii="Palatino Linotype" w:hAnsi="Palatino Linotype" w:cs="Arial"/>
          <w:color w:val="000000" w:themeColor="text1"/>
        </w:rPr>
        <w:t xml:space="preserve"> deberá en su caso generar la versión pública de las facturas entregadas en respuesta. </w:t>
      </w:r>
    </w:p>
    <w:p w:rsidR="005E22B0" w:rsidRPr="00983FBC" w:rsidRDefault="005E22B0" w:rsidP="00983FBC">
      <w:pPr>
        <w:shd w:val="clear" w:color="auto" w:fill="FFFFFF"/>
        <w:tabs>
          <w:tab w:val="left" w:pos="284"/>
          <w:tab w:val="left" w:pos="426"/>
        </w:tabs>
        <w:spacing w:line="360" w:lineRule="auto"/>
        <w:contextualSpacing/>
        <w:jc w:val="both"/>
        <w:rPr>
          <w:rFonts w:ascii="Palatino Linotype" w:eastAsia="Times New Roman" w:hAnsi="Palatino Linotype" w:cs="Arial"/>
          <w:color w:val="000000" w:themeColor="text1"/>
        </w:rPr>
      </w:pPr>
    </w:p>
    <w:p w:rsidR="005E22B0" w:rsidRPr="00983FBC" w:rsidRDefault="005E22B0" w:rsidP="00983FBC">
      <w:pPr>
        <w:numPr>
          <w:ilvl w:val="0"/>
          <w:numId w:val="18"/>
        </w:numPr>
        <w:shd w:val="clear" w:color="auto" w:fill="FFFFFF"/>
        <w:tabs>
          <w:tab w:val="left" w:pos="284"/>
          <w:tab w:val="left" w:pos="426"/>
        </w:tabs>
        <w:spacing w:line="360" w:lineRule="auto"/>
        <w:ind w:left="0" w:firstLine="0"/>
        <w:contextualSpacing/>
        <w:jc w:val="both"/>
        <w:rPr>
          <w:rFonts w:ascii="Palatino Linotype" w:eastAsia="Times New Roman" w:hAnsi="Palatino Linotype" w:cs="Arial"/>
          <w:color w:val="000000" w:themeColor="text1"/>
        </w:rPr>
      </w:pPr>
      <w:r w:rsidRPr="00983FBC">
        <w:rPr>
          <w:rFonts w:ascii="Palatino Linotype" w:eastAsia="Calibri" w:hAnsi="Palatino Linotype" w:cs="Arial"/>
          <w:color w:val="000000" w:themeColor="text1"/>
          <w:lang w:val="es-ES" w:eastAsia="es-MX"/>
        </w:rPr>
        <w:t xml:space="preserve">Es de señalar, que por lo que hace a las versiones públicas, el </w:t>
      </w:r>
      <w:r w:rsidRPr="00983FBC">
        <w:rPr>
          <w:rFonts w:ascii="Palatino Linotype" w:eastAsia="Calibri" w:hAnsi="Palatino Linotype" w:cs="Arial"/>
          <w:b/>
          <w:color w:val="000000" w:themeColor="text1"/>
          <w:lang w:val="es-ES" w:eastAsia="es-MX"/>
        </w:rPr>
        <w:t>SUJETO OBLIGADO</w:t>
      </w:r>
      <w:r w:rsidRPr="00983FBC">
        <w:rPr>
          <w:rFonts w:ascii="Palatino Linotype" w:eastAsia="Calibri" w:hAnsi="Palatino Linotype" w:cs="Arial"/>
          <w:color w:val="000000" w:themeColor="text1"/>
          <w:lang w:val="es-ES" w:eastAsia="es-MX"/>
        </w:rPr>
        <w:t xml:space="preserve"> debe cumplir con las formalidades exigidas en la Ley, por lo que </w:t>
      </w:r>
      <w:r w:rsidRPr="00983FBC">
        <w:rPr>
          <w:rFonts w:ascii="Palatino Linotype" w:eastAsia="Times New Roman" w:hAnsi="Palatino Linotype" w:cs="Arial"/>
          <w:color w:val="000000" w:themeColor="text1"/>
          <w:lang w:eastAsia="es-MX"/>
        </w:rPr>
        <w:t xml:space="preserve">para tal efecto emitirá el </w:t>
      </w:r>
      <w:r w:rsidRPr="00983FBC">
        <w:rPr>
          <w:rFonts w:ascii="Palatino Linotype" w:eastAsia="Calibri" w:hAnsi="Palatino Linotype" w:cs="Arial"/>
          <w:color w:val="000000" w:themeColor="text1"/>
          <w:lang w:val="es-ES" w:eastAsia="es-MX"/>
        </w:rPr>
        <w:t xml:space="preserve">Acuerdo del Comité de Transparencia en términos de los </w:t>
      </w:r>
      <w:r w:rsidRPr="00983FBC">
        <w:rPr>
          <w:rFonts w:ascii="Palatino Linotype" w:eastAsia="Calibri" w:hAnsi="Palatino Linotype" w:cs="Arial"/>
          <w:color w:val="000000" w:themeColor="text1"/>
          <w:lang w:val="es-ES" w:eastAsia="es-MX"/>
        </w:rPr>
        <w:lastRenderedPageBreak/>
        <w:t>artículos 49 fracción</w:t>
      </w:r>
      <w:r w:rsidRPr="00983FBC">
        <w:rPr>
          <w:rFonts w:ascii="Palatino Linotype" w:eastAsia="Calibri" w:hAnsi="Palatino Linotype" w:cs="Arial"/>
          <w:bCs/>
          <w:color w:val="000000" w:themeColor="text1"/>
        </w:rPr>
        <w:t xml:space="preserve"> VIII,</w:t>
      </w:r>
      <w:r w:rsidRPr="00983FBC">
        <w:rPr>
          <w:rFonts w:ascii="Palatino Linotype" w:eastAsia="Calibri" w:hAnsi="Palatino Linotype" w:cs="Arial"/>
          <w:color w:val="000000" w:themeColor="text1"/>
          <w:lang w:val="es-ES" w:eastAsia="es-MX"/>
        </w:rPr>
        <w:t xml:space="preserve"> 122</w:t>
      </w:r>
      <w:r w:rsidRPr="00983FBC">
        <w:rPr>
          <w:rFonts w:ascii="Palatino Linotype" w:hAnsi="Palatino Linotype" w:cs="Times New Roman"/>
          <w:color w:val="000000" w:themeColor="text1"/>
          <w:vertAlign w:val="superscript"/>
          <w:lang w:val="es-ES" w:eastAsia="es-MX"/>
        </w:rPr>
        <w:footnoteReference w:id="24"/>
      </w:r>
      <w:r w:rsidRPr="00983FBC">
        <w:rPr>
          <w:rFonts w:ascii="Palatino Linotype" w:eastAsia="Calibri" w:hAnsi="Palatino Linotype" w:cs="Arial"/>
          <w:color w:val="000000" w:themeColor="text1"/>
          <w:lang w:val="es-ES" w:eastAsia="es-MX"/>
        </w:rPr>
        <w:t>, 135</w:t>
      </w:r>
      <w:r w:rsidRPr="00983FBC">
        <w:rPr>
          <w:rFonts w:ascii="Palatino Linotype" w:hAnsi="Palatino Linotype" w:cs="Times New Roman"/>
          <w:color w:val="000000" w:themeColor="text1"/>
          <w:vertAlign w:val="superscript"/>
          <w:lang w:val="es-ES" w:eastAsia="es-MX"/>
        </w:rPr>
        <w:footnoteReference w:id="25"/>
      </w:r>
      <w:r w:rsidRPr="00983FBC">
        <w:rPr>
          <w:rFonts w:ascii="Palatino Linotype" w:eastAsia="Calibri" w:hAnsi="Palatino Linotype" w:cs="Arial"/>
          <w:color w:val="000000" w:themeColor="text1"/>
          <w:lang w:val="es-ES" w:eastAsia="es-MX"/>
        </w:rPr>
        <w:t xml:space="preserve"> y 149 de la </w:t>
      </w:r>
      <w:r w:rsidRPr="00983FBC">
        <w:rPr>
          <w:rFonts w:ascii="Palatino Linotype" w:eastAsia="Calibri" w:hAnsi="Palatino Linotype" w:cs="Arial"/>
          <w:b/>
          <w:color w:val="000000" w:themeColor="text1"/>
          <w:lang w:val="es-ES" w:eastAsia="es-MX"/>
        </w:rPr>
        <w:t>Ley de Transparencia y Acceso a la Información Pública del Estado de México y Municipios</w:t>
      </w:r>
      <w:r w:rsidRPr="00983FBC">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5E22B0" w:rsidRPr="00983FBC" w:rsidRDefault="005E22B0" w:rsidP="00983FBC">
      <w:pPr>
        <w:pStyle w:val="Prrafodelista"/>
        <w:spacing w:line="360" w:lineRule="auto"/>
        <w:rPr>
          <w:rFonts w:ascii="Palatino Linotype" w:eastAsia="Times New Roman" w:hAnsi="Palatino Linotype" w:cs="Arial"/>
          <w:color w:val="000000" w:themeColor="text1"/>
        </w:rPr>
      </w:pPr>
    </w:p>
    <w:p w:rsidR="005E22B0" w:rsidRPr="00983FBC" w:rsidRDefault="005E22B0" w:rsidP="00983FBC">
      <w:pPr>
        <w:keepNext/>
        <w:keepLines/>
        <w:spacing w:line="360" w:lineRule="auto"/>
        <w:outlineLvl w:val="1"/>
        <w:rPr>
          <w:rFonts w:ascii="Palatino Linotype" w:eastAsiaTheme="majorEastAsia" w:hAnsi="Palatino Linotype" w:cstheme="majorBidi"/>
          <w:b/>
          <w:color w:val="000000" w:themeColor="text1"/>
        </w:rPr>
      </w:pPr>
      <w:bookmarkStart w:id="30" w:name="_Toc32221286"/>
      <w:r w:rsidRPr="00983FBC">
        <w:rPr>
          <w:rFonts w:ascii="Palatino Linotype" w:eastAsiaTheme="majorEastAsia" w:hAnsi="Palatino Linotype" w:cstheme="majorBidi"/>
          <w:b/>
          <w:color w:val="000000" w:themeColor="text1"/>
        </w:rPr>
        <w:t xml:space="preserve">I. </w:t>
      </w:r>
      <w:bookmarkStart w:id="31" w:name="_Toc500756709"/>
      <w:bookmarkStart w:id="32" w:name="_Toc536691777"/>
      <w:bookmarkStart w:id="33" w:name="_Toc2267540"/>
      <w:bookmarkStart w:id="34" w:name="_Toc2856713"/>
      <w:bookmarkStart w:id="35" w:name="_Toc23430165"/>
      <w:r w:rsidRPr="00983FBC">
        <w:rPr>
          <w:rFonts w:ascii="Palatino Linotype" w:eastAsiaTheme="majorEastAsia" w:hAnsi="Palatino Linotype" w:cstheme="majorBidi"/>
          <w:b/>
          <w:color w:val="000000" w:themeColor="text1"/>
        </w:rPr>
        <w:t>De la clasificación de la información.</w:t>
      </w:r>
      <w:bookmarkEnd w:id="30"/>
      <w:bookmarkEnd w:id="31"/>
      <w:bookmarkEnd w:id="32"/>
      <w:bookmarkEnd w:id="33"/>
      <w:bookmarkEnd w:id="34"/>
      <w:bookmarkEnd w:id="35"/>
    </w:p>
    <w:p w:rsidR="005E22B0" w:rsidRPr="00983FBC" w:rsidRDefault="005E22B0" w:rsidP="00983FBC">
      <w:pPr>
        <w:spacing w:line="360" w:lineRule="auto"/>
        <w:rPr>
          <w:rFonts w:ascii="Palatino Linotype" w:hAnsi="Palatino Linotype"/>
          <w:color w:val="000000" w:themeColor="text1"/>
        </w:rPr>
      </w:pPr>
    </w:p>
    <w:p w:rsidR="005E22B0" w:rsidRPr="00983FBC" w:rsidRDefault="005E22B0" w:rsidP="00983FBC">
      <w:pPr>
        <w:pStyle w:val="Prrafodelista"/>
        <w:numPr>
          <w:ilvl w:val="0"/>
          <w:numId w:val="18"/>
        </w:numPr>
        <w:spacing w:line="360" w:lineRule="auto"/>
        <w:ind w:left="0" w:hanging="11"/>
        <w:jc w:val="both"/>
        <w:rPr>
          <w:rFonts w:ascii="Palatino Linotype" w:hAnsi="Palatino Linotype"/>
          <w:color w:val="000000" w:themeColor="text1"/>
        </w:rPr>
      </w:pPr>
      <w:r w:rsidRPr="00983FBC">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83FBC">
        <w:rPr>
          <w:rFonts w:ascii="Palatino Linotype" w:hAnsi="Palatino Linotype"/>
          <w:color w:val="000000" w:themeColor="text1"/>
          <w:vertAlign w:val="superscript"/>
        </w:rPr>
        <w:footnoteReference w:id="26"/>
      </w:r>
      <w:r w:rsidRPr="00983FBC">
        <w:rPr>
          <w:rFonts w:ascii="Palatino Linotype" w:hAnsi="Palatino Linotype"/>
          <w:color w:val="000000" w:themeColor="text1"/>
        </w:rPr>
        <w:t xml:space="preserve"> aunque cualquier límite o </w:t>
      </w:r>
      <w:r w:rsidRPr="00983FBC">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83FBC">
        <w:rPr>
          <w:rFonts w:ascii="Palatino Linotype" w:hAnsi="Palatino Linotype"/>
          <w:color w:val="000000" w:themeColor="text1"/>
          <w:vertAlign w:val="superscript"/>
        </w:rPr>
        <w:footnoteReference w:id="27"/>
      </w:r>
      <w:r w:rsidRPr="00983FBC">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22B0" w:rsidRPr="00983FBC" w:rsidRDefault="005E22B0" w:rsidP="00983FBC">
      <w:pPr>
        <w:pStyle w:val="Prrafodelista"/>
        <w:spacing w:line="360" w:lineRule="auto"/>
        <w:ind w:left="0"/>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983FBC">
        <w:rPr>
          <w:rFonts w:ascii="Palatino Linotype" w:hAnsi="Palatino Linotype"/>
          <w:color w:val="000000" w:themeColor="text1"/>
        </w:rPr>
        <w:lastRenderedPageBreak/>
        <w:t>tanto por la complejidad del procedimiento como por la falta de atención de los operadores jurídicos.</w:t>
      </w:r>
    </w:p>
    <w:p w:rsidR="005E22B0" w:rsidRPr="00983FBC" w:rsidRDefault="005E22B0" w:rsidP="00983FBC">
      <w:pPr>
        <w:spacing w:line="360" w:lineRule="auto"/>
        <w:contextualSpacing/>
        <w:jc w:val="both"/>
        <w:rPr>
          <w:rFonts w:ascii="Palatino Linotype" w:hAnsi="Palatino Linotype"/>
          <w:color w:val="000000" w:themeColor="text1"/>
        </w:rPr>
      </w:pPr>
    </w:p>
    <w:p w:rsidR="0000470D" w:rsidRDefault="005E22B0" w:rsidP="0000470D">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00470D" w:rsidRPr="0000470D" w:rsidRDefault="0000470D" w:rsidP="0000470D">
      <w:pPr>
        <w:spacing w:line="360" w:lineRule="auto"/>
        <w:contextualSpacing/>
        <w:jc w:val="both"/>
        <w:rPr>
          <w:rFonts w:ascii="Palatino Linotype" w:hAnsi="Palatino Linotype"/>
          <w:color w:val="000000" w:themeColor="text1"/>
        </w:rPr>
      </w:pPr>
    </w:p>
    <w:p w:rsidR="005E22B0" w:rsidRPr="00983FBC" w:rsidRDefault="005E22B0" w:rsidP="00983FB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36" w:name="_Toc485631700"/>
      <w:bookmarkStart w:id="37" w:name="_Toc500756710"/>
      <w:bookmarkStart w:id="38" w:name="_Toc536691778"/>
      <w:bookmarkStart w:id="39" w:name="_Toc2267541"/>
      <w:bookmarkStart w:id="40" w:name="_Toc2856714"/>
      <w:r w:rsidRPr="00983FBC">
        <w:rPr>
          <w:rFonts w:ascii="Palatino Linotype" w:eastAsiaTheme="majorEastAsia" w:hAnsi="Palatino Linotype" w:cstheme="majorBidi"/>
          <w:b/>
          <w:color w:val="000000" w:themeColor="text1"/>
        </w:rPr>
        <w:t>Requisitos previos.</w:t>
      </w:r>
      <w:bookmarkEnd w:id="36"/>
      <w:bookmarkEnd w:id="37"/>
      <w:bookmarkEnd w:id="38"/>
      <w:bookmarkEnd w:id="39"/>
      <w:bookmarkEnd w:id="40"/>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Los </w:t>
      </w:r>
      <w:r w:rsidRPr="00983FBC">
        <w:rPr>
          <w:rFonts w:ascii="Palatino Linotype" w:hAnsi="Palatino Linotype"/>
          <w:color w:val="000000" w:themeColor="text1"/>
        </w:rPr>
        <w:t>artículos</w:t>
      </w:r>
      <w:r w:rsidRPr="00983FB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00470D"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41" w:name="_Toc485631701"/>
      <w:bookmarkStart w:id="42" w:name="_Toc500756711"/>
      <w:bookmarkStart w:id="43" w:name="_Toc536691779"/>
      <w:bookmarkStart w:id="44" w:name="_Toc2267542"/>
      <w:bookmarkStart w:id="45" w:name="_Toc2856715"/>
      <w:r w:rsidRPr="00983FBC">
        <w:rPr>
          <w:rFonts w:ascii="Palatino Linotype" w:eastAsiaTheme="majorEastAsia" w:hAnsi="Palatino Linotype" w:cstheme="majorBidi"/>
          <w:b/>
          <w:color w:val="000000" w:themeColor="text1"/>
        </w:rPr>
        <w:t>Supuestos de clasificación.</w:t>
      </w:r>
      <w:bookmarkEnd w:id="41"/>
      <w:bookmarkEnd w:id="42"/>
      <w:bookmarkEnd w:id="43"/>
      <w:bookmarkEnd w:id="44"/>
      <w:bookmarkEnd w:id="45"/>
    </w:p>
    <w:p w:rsidR="005E22B0" w:rsidRPr="00983FBC" w:rsidRDefault="005E22B0" w:rsidP="00983FBC">
      <w:pPr>
        <w:spacing w:line="360" w:lineRule="auto"/>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5E22B0" w:rsidRPr="00983FBC" w:rsidRDefault="005E22B0" w:rsidP="00983FBC">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5E22B0" w:rsidRPr="00983FBC" w:rsidTr="00EB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center"/>
              <w:rPr>
                <w:rFonts w:ascii="Palatino Linotype" w:hAnsi="Palatino Linotype"/>
                <w:color w:val="000000" w:themeColor="text1"/>
                <w:sz w:val="16"/>
                <w:szCs w:val="16"/>
              </w:rPr>
            </w:pPr>
            <w:r w:rsidRPr="00983FBC">
              <w:rPr>
                <w:rFonts w:ascii="Palatino Linotype" w:hAnsi="Palatino Linotype" w:cs="Gill Sans,Bold"/>
                <w:color w:val="000000" w:themeColor="text1"/>
                <w:sz w:val="16"/>
                <w:szCs w:val="16"/>
              </w:rPr>
              <w:t>LEY ESTATAL</w:t>
            </w:r>
          </w:p>
        </w:tc>
        <w:tc>
          <w:tcPr>
            <w:tcW w:w="4111" w:type="dxa"/>
          </w:tcPr>
          <w:p w:rsidR="005E22B0" w:rsidRPr="00983FBC" w:rsidRDefault="005E22B0" w:rsidP="00983FB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983FBC">
              <w:rPr>
                <w:rFonts w:ascii="Palatino Linotype" w:hAnsi="Palatino Linotype"/>
                <w:color w:val="000000" w:themeColor="text1"/>
                <w:sz w:val="16"/>
                <w:szCs w:val="16"/>
              </w:rPr>
              <w:t>LEY GENERAL</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 Comprometa la seguridad pública y cuente con un propósito genuino y un efecto demostrable;</w:t>
            </w:r>
          </w:p>
          <w:p w:rsidR="005E22B0" w:rsidRPr="00983FBC" w:rsidRDefault="005E22B0" w:rsidP="00983FBC">
            <w:pPr>
              <w:spacing w:line="360" w:lineRule="auto"/>
              <w:jc w:val="both"/>
              <w:rPr>
                <w:rFonts w:ascii="Palatino Linotype" w:hAnsi="Palatino Linotype"/>
                <w:color w:val="000000" w:themeColor="text1"/>
                <w:sz w:val="16"/>
                <w:szCs w:val="16"/>
              </w:rPr>
            </w:pP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w:t>
            </w:r>
            <w:r w:rsidRPr="00983FB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II.</w:t>
            </w:r>
            <w:r w:rsidRPr="00983FBC">
              <w:rPr>
                <w:rFonts w:ascii="Palatino Linotype" w:hAnsi="Palatino Linotype"/>
                <w:color w:val="000000" w:themeColor="text1"/>
                <w:sz w:val="16"/>
                <w:szCs w:val="16"/>
                <w:lang w:val="es-ES"/>
              </w:rPr>
              <w:tab/>
              <w:t>Pueda menoscabar la conducción de las negociaciones y relaciones internacionales;</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 xml:space="preserve">III. Se entregue a la Entidad expresamente con ese carácter o el de confidencialidad por otro u otros sujetos de derecho internacional, excepto cuando se trate de violaciones graves </w:t>
            </w:r>
            <w:r w:rsidRPr="00983FBC">
              <w:rPr>
                <w:rFonts w:ascii="Palatino Linotype" w:hAnsi="Palatino Linotype" w:cs="Arial"/>
                <w:color w:val="000000" w:themeColor="text1"/>
                <w:sz w:val="16"/>
                <w:szCs w:val="16"/>
              </w:rPr>
              <w:lastRenderedPageBreak/>
              <w:t>de derechos humanos o delitos de lesa humanidad de conformidad con el derecho internacional;</w:t>
            </w: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lastRenderedPageBreak/>
              <w:t>III.</w:t>
            </w:r>
            <w:r w:rsidRPr="00983FBC">
              <w:rPr>
                <w:rFonts w:ascii="Palatino Linotype" w:hAnsi="Palatino Linotype"/>
                <w:color w:val="000000" w:themeColor="text1"/>
                <w:sz w:val="16"/>
                <w:szCs w:val="16"/>
                <w:lang w:val="es-ES"/>
              </w:rPr>
              <w:tab/>
              <w:t xml:space="preserve">Se entregue al Estado mexicano expresamente con ese carácter o el de confidencial por otro u otros sujetos de derecho internacional, excepto cuando se trate de violaciones graves de derechos </w:t>
            </w:r>
            <w:r w:rsidRPr="00983FBC">
              <w:rPr>
                <w:rFonts w:ascii="Palatino Linotype" w:hAnsi="Palatino Linotype"/>
                <w:color w:val="000000" w:themeColor="text1"/>
                <w:sz w:val="16"/>
                <w:szCs w:val="16"/>
                <w:lang w:val="es-ES"/>
              </w:rPr>
              <w:lastRenderedPageBreak/>
              <w:t>humanos o delitos de lesa humanidad de conformidad con el derecho internacional;</w:t>
            </w: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IV.</w:t>
            </w:r>
            <w:r w:rsidRPr="00983FBC">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IV. Ponga en riesgo la vida, la seguridad o la salud de una persona física;</w:t>
            </w: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w:t>
            </w:r>
            <w:r w:rsidRPr="00983FBC">
              <w:rPr>
                <w:rFonts w:ascii="Palatino Linotype" w:hAnsi="Palatino Linotype"/>
                <w:color w:val="000000" w:themeColor="text1"/>
                <w:sz w:val="16"/>
                <w:szCs w:val="16"/>
                <w:lang w:val="es-ES"/>
              </w:rPr>
              <w:tab/>
              <w:t>Pueda poner en riesgo la vida, seguridad o salud de una persona física;</w:t>
            </w: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 Aquella cuya divulgación obstruya o pueda causar un serio perjuicio a:</w:t>
            </w:r>
          </w:p>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2. La recaudación de las contribuciones.</w:t>
            </w: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VI.</w:t>
            </w:r>
            <w:r w:rsidRPr="00983FB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VII.</w:t>
            </w:r>
            <w:r w:rsidRPr="00983FBC">
              <w:rPr>
                <w:rFonts w:ascii="Palatino Linotype" w:hAnsi="Palatino Linotype"/>
                <w:color w:val="000000" w:themeColor="text1"/>
                <w:sz w:val="16"/>
                <w:szCs w:val="16"/>
                <w:lang w:val="es-ES"/>
              </w:rPr>
              <w:tab/>
              <w:t>Obstruya la prevención o persecución de los delitos;</w:t>
            </w:r>
          </w:p>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VIII.</w:t>
            </w:r>
            <w:r w:rsidRPr="00983FBC">
              <w:rPr>
                <w:rFonts w:ascii="Palatino Linotype" w:hAnsi="Palatino Linotype"/>
                <w:color w:val="000000" w:themeColor="text1"/>
                <w:sz w:val="16"/>
                <w:szCs w:val="16"/>
                <w:lang w:val="es-ES"/>
              </w:rPr>
              <w:tab/>
              <w:t xml:space="preserve">La que contenga las opiniones, recomendaciones o puntos de vista que formen parte del proceso deliberativo de los servidores públicos, </w:t>
            </w:r>
            <w:r w:rsidRPr="00983FBC">
              <w:rPr>
                <w:rFonts w:ascii="Palatino Linotype" w:hAnsi="Palatino Linotype"/>
                <w:color w:val="000000" w:themeColor="text1"/>
                <w:sz w:val="16"/>
                <w:szCs w:val="16"/>
                <w:lang w:val="es-ES"/>
              </w:rPr>
              <w:lastRenderedPageBreak/>
              <w:t>hasta en tanto no sea adoptada la decisión definitiva, la cual deberá estar documentada;</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IX.</w:t>
            </w:r>
            <w:r w:rsidRPr="00983FB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w:t>
            </w:r>
            <w:r w:rsidRPr="00983FBC">
              <w:rPr>
                <w:rFonts w:ascii="Palatino Linotype" w:hAnsi="Palatino Linotype"/>
                <w:color w:val="000000" w:themeColor="text1"/>
                <w:sz w:val="16"/>
                <w:szCs w:val="16"/>
                <w:lang w:val="es-ES"/>
              </w:rPr>
              <w:tab/>
              <w:t>Afecte los derechos del debido proceso;</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XI.</w:t>
            </w:r>
            <w:r w:rsidRPr="00983FB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XII.</w:t>
            </w:r>
            <w:r w:rsidRPr="00983FB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5E22B0" w:rsidRPr="00983FBC" w:rsidTr="00EB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autoSpaceDE w:val="0"/>
              <w:autoSpaceDN w:val="0"/>
              <w:adjustRightInd w:val="0"/>
              <w:spacing w:line="360" w:lineRule="auto"/>
              <w:ind w:left="-108"/>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22B0" w:rsidRPr="00983FBC" w:rsidRDefault="005E22B0" w:rsidP="00983FBC">
            <w:pPr>
              <w:autoSpaceDE w:val="0"/>
              <w:autoSpaceDN w:val="0"/>
              <w:adjustRightInd w:val="0"/>
              <w:spacing w:line="360" w:lineRule="auto"/>
              <w:jc w:val="both"/>
              <w:rPr>
                <w:rFonts w:ascii="Palatino Linotype" w:hAnsi="Palatino Linotype" w:cs="Arial"/>
                <w:color w:val="000000" w:themeColor="text1"/>
                <w:sz w:val="16"/>
                <w:szCs w:val="16"/>
              </w:rPr>
            </w:pPr>
            <w:r w:rsidRPr="00983FBC">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5E22B0" w:rsidRPr="00983FBC" w:rsidRDefault="005E22B0" w:rsidP="00983F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983FBC" w:rsidTr="00EB1ACA">
        <w:tc>
          <w:tcPr>
            <w:cnfStyle w:val="001000000000" w:firstRow="0" w:lastRow="0" w:firstColumn="1" w:lastColumn="0" w:oddVBand="0" w:evenVBand="0" w:oddHBand="0" w:evenHBand="0" w:firstRowFirstColumn="0" w:firstRowLastColumn="0" w:lastRowFirstColumn="0" w:lastRowLastColumn="0"/>
            <w:tcW w:w="4536" w:type="dxa"/>
          </w:tcPr>
          <w:p w:rsidR="005E22B0" w:rsidRPr="00983FBC" w:rsidRDefault="005E22B0" w:rsidP="00983FBC">
            <w:pPr>
              <w:spacing w:line="360" w:lineRule="auto"/>
              <w:jc w:val="both"/>
              <w:rPr>
                <w:rFonts w:ascii="Palatino Linotype" w:hAnsi="Palatino Linotype"/>
                <w:color w:val="000000" w:themeColor="text1"/>
                <w:sz w:val="16"/>
                <w:szCs w:val="16"/>
              </w:rPr>
            </w:pPr>
            <w:r w:rsidRPr="00983FBC">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rsidR="005E22B0" w:rsidRPr="00983FBC" w:rsidRDefault="005E22B0" w:rsidP="00983F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83FBC">
              <w:rPr>
                <w:rFonts w:ascii="Palatino Linotype" w:hAnsi="Palatino Linotype"/>
                <w:color w:val="000000" w:themeColor="text1"/>
                <w:sz w:val="16"/>
                <w:szCs w:val="16"/>
                <w:lang w:val="es-ES"/>
              </w:rPr>
              <w:t>XIII.</w:t>
            </w:r>
            <w:r w:rsidRPr="00983FBC">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5E22B0" w:rsidRPr="00983FBC" w:rsidRDefault="005E22B0" w:rsidP="00983FBC">
      <w:pPr>
        <w:spacing w:line="360" w:lineRule="auto"/>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5E22B0" w:rsidRPr="00983FBC" w:rsidRDefault="005E22B0" w:rsidP="00983FBC">
      <w:pPr>
        <w:spacing w:line="360" w:lineRule="auto"/>
        <w:jc w:val="both"/>
        <w:rPr>
          <w:rFonts w:ascii="Palatino Linotype" w:hAnsi="Palatino Linotype" w:cs="Arial"/>
          <w:color w:val="000000" w:themeColor="text1"/>
        </w:rPr>
      </w:pP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lastRenderedPageBreak/>
        <w:t xml:space="preserve">I. </w:t>
      </w:r>
      <w:r w:rsidRPr="00983FBC">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983FBC">
        <w:rPr>
          <w:rFonts w:ascii="Palatino Linotype" w:hAnsi="Palatino Linotype" w:cs="Bookman Old Style"/>
          <w:color w:val="000000" w:themeColor="text1"/>
        </w:rPr>
        <w:t>jurídico</w:t>
      </w:r>
      <w:proofErr w:type="gramEnd"/>
      <w:r w:rsidRPr="00983FBC">
        <w:rPr>
          <w:rFonts w:ascii="Palatino Linotype" w:hAnsi="Palatino Linotype" w:cs="Bookman Old Style"/>
          <w:color w:val="000000" w:themeColor="text1"/>
        </w:rPr>
        <w:t xml:space="preserve"> colectiva identificada o identificable; </w:t>
      </w: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t xml:space="preserve">II. </w:t>
      </w:r>
      <w:r w:rsidRPr="00983FBC">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bCs/>
          <w:color w:val="000000" w:themeColor="text1"/>
        </w:rPr>
        <w:t xml:space="preserve">III. </w:t>
      </w:r>
      <w:r w:rsidRPr="00983FBC">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83FBC">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5E22B0" w:rsidRPr="00983FBC" w:rsidRDefault="005E22B0" w:rsidP="00983FBC">
      <w:pPr>
        <w:spacing w:line="360" w:lineRule="auto"/>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983FBC">
        <w:rPr>
          <w:rFonts w:ascii="Palatino Linotype" w:hAnsi="Palatino Linotype" w:cs="Arial"/>
          <w:color w:val="000000" w:themeColor="text1"/>
          <w:vertAlign w:val="superscript"/>
        </w:rPr>
        <w:footnoteReference w:id="28"/>
      </w:r>
      <w:r w:rsidRPr="00983FB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00470D" w:rsidRPr="00983FBC" w:rsidRDefault="0000470D" w:rsidP="0000470D">
      <w:pPr>
        <w:spacing w:line="360" w:lineRule="auto"/>
        <w:contextualSpacing/>
        <w:jc w:val="both"/>
        <w:rPr>
          <w:rFonts w:ascii="Palatino Linotype" w:hAnsi="Palatino Linotype" w:cs="Arial"/>
          <w:color w:val="000000" w:themeColor="text1"/>
        </w:rPr>
      </w:pPr>
    </w:p>
    <w:p w:rsidR="005E22B0" w:rsidRPr="00983FBC" w:rsidRDefault="005E22B0" w:rsidP="00983FBC">
      <w:pPr>
        <w:pStyle w:val="Prrafodelista"/>
        <w:keepNext/>
        <w:keepLines/>
        <w:numPr>
          <w:ilvl w:val="0"/>
          <w:numId w:val="32"/>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46" w:name="_Toc485631702"/>
      <w:bookmarkStart w:id="47" w:name="_Toc500756712"/>
      <w:bookmarkStart w:id="48" w:name="_Toc536691780"/>
      <w:bookmarkStart w:id="49" w:name="_Toc2267543"/>
      <w:bookmarkStart w:id="50" w:name="_Toc2856716"/>
      <w:r w:rsidRPr="00983FBC">
        <w:rPr>
          <w:rFonts w:ascii="Palatino Linotype" w:eastAsiaTheme="majorEastAsia" w:hAnsi="Palatino Linotype" w:cstheme="majorBidi"/>
          <w:b/>
          <w:color w:val="000000" w:themeColor="text1"/>
        </w:rPr>
        <w:t>Excepciones a los supuestos de clasificación de la información como reservada.</w:t>
      </w:r>
      <w:bookmarkEnd w:id="46"/>
      <w:bookmarkEnd w:id="47"/>
      <w:bookmarkEnd w:id="48"/>
      <w:bookmarkEnd w:id="49"/>
      <w:bookmarkEnd w:id="50"/>
    </w:p>
    <w:p w:rsidR="005E22B0" w:rsidRPr="00983FBC" w:rsidRDefault="005E22B0" w:rsidP="00983FBC">
      <w:pPr>
        <w:spacing w:line="360" w:lineRule="auto"/>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83FBC">
        <w:rPr>
          <w:rFonts w:ascii="Palatino Linotype" w:eastAsia="Times New Roman" w:hAnsi="Palatino Linotype" w:cs="Times New Roman"/>
          <w:color w:val="000000" w:themeColor="text1"/>
          <w:lang w:val="es-ES"/>
        </w:rPr>
        <w:lastRenderedPageBreak/>
        <w:t>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5E22B0" w:rsidRPr="00983FBC" w:rsidRDefault="005E22B0" w:rsidP="00983FBC">
      <w:pPr>
        <w:spacing w:line="360" w:lineRule="auto"/>
        <w:jc w:val="both"/>
        <w:rPr>
          <w:rFonts w:ascii="Palatino Linotype" w:eastAsia="Times New Roman" w:hAnsi="Palatino Linotype" w:cs="Times New Roman"/>
          <w:color w:val="000000" w:themeColor="text1"/>
          <w:lang w:val="es-ES"/>
        </w:rPr>
      </w:pPr>
    </w:p>
    <w:p w:rsidR="005E22B0" w:rsidRPr="00983FBC" w:rsidRDefault="005E22B0" w:rsidP="00983FBC">
      <w:pPr>
        <w:spacing w:line="360" w:lineRule="auto"/>
        <w:rPr>
          <w:rFonts w:ascii="Palatino Linotype" w:eastAsiaTheme="majorEastAsia" w:hAnsi="Palatino Linotype" w:cstheme="majorBidi"/>
          <w:b/>
          <w:color w:val="000000" w:themeColor="text1"/>
        </w:rPr>
      </w:pPr>
      <w:bookmarkStart w:id="51" w:name="_Toc485631703"/>
      <w:bookmarkStart w:id="52" w:name="_Toc500756713"/>
      <w:bookmarkStart w:id="53" w:name="_Toc536691781"/>
      <w:bookmarkStart w:id="54" w:name="_Toc2267544"/>
      <w:bookmarkStart w:id="55" w:name="_Toc2856717"/>
      <w:r w:rsidRPr="00983FBC">
        <w:rPr>
          <w:rFonts w:ascii="Palatino Linotype" w:eastAsiaTheme="majorEastAsia" w:hAnsi="Palatino Linotype" w:cstheme="majorBidi"/>
          <w:b/>
          <w:color w:val="000000" w:themeColor="text1"/>
        </w:rPr>
        <w:t>II. La intervención del Comité de Transparencia.</w:t>
      </w:r>
      <w:bookmarkEnd w:id="51"/>
      <w:bookmarkEnd w:id="52"/>
      <w:bookmarkEnd w:id="53"/>
      <w:bookmarkEnd w:id="54"/>
      <w:bookmarkEnd w:id="55"/>
    </w:p>
    <w:p w:rsidR="005E22B0" w:rsidRPr="00983FBC" w:rsidRDefault="005E22B0" w:rsidP="00983FBC">
      <w:pPr>
        <w:spacing w:line="360" w:lineRule="auto"/>
        <w:rPr>
          <w:rFonts w:ascii="Palatino Linotype" w:eastAsiaTheme="majorEastAsia" w:hAnsi="Palatino Linotype" w:cstheme="majorBidi"/>
          <w:b/>
          <w:color w:val="000000" w:themeColor="text1"/>
        </w:rPr>
      </w:pPr>
    </w:p>
    <w:p w:rsidR="005E22B0" w:rsidRPr="00983FBC" w:rsidRDefault="005E22B0" w:rsidP="00983FB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56" w:name="_Toc485631704"/>
      <w:bookmarkStart w:id="57" w:name="_Toc500756714"/>
      <w:bookmarkStart w:id="58" w:name="_Toc536691782"/>
      <w:bookmarkStart w:id="59" w:name="_Toc2267545"/>
      <w:bookmarkStart w:id="60" w:name="_Toc2856718"/>
      <w:r w:rsidRPr="00983FBC">
        <w:rPr>
          <w:rFonts w:ascii="Palatino Linotype" w:eastAsiaTheme="majorEastAsia" w:hAnsi="Palatino Linotype" w:cstheme="majorBidi"/>
          <w:b/>
          <w:color w:val="000000" w:themeColor="text1"/>
        </w:rPr>
        <w:t>Formalidades para emitir el acuerdo de clasificación.</w:t>
      </w:r>
      <w:bookmarkEnd w:id="56"/>
      <w:bookmarkEnd w:id="57"/>
      <w:bookmarkEnd w:id="58"/>
      <w:bookmarkEnd w:id="59"/>
      <w:bookmarkEnd w:id="60"/>
    </w:p>
    <w:p w:rsidR="005E22B0" w:rsidRPr="00983FBC" w:rsidRDefault="005E22B0" w:rsidP="00983FBC">
      <w:pPr>
        <w:tabs>
          <w:tab w:val="left" w:pos="7770"/>
        </w:tabs>
        <w:spacing w:line="360" w:lineRule="auto"/>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ab/>
      </w:r>
    </w:p>
    <w:p w:rsidR="005E22B0" w:rsidRPr="00983FBC" w:rsidRDefault="005E22B0" w:rsidP="00983FBC">
      <w:pPr>
        <w:numPr>
          <w:ilvl w:val="0"/>
          <w:numId w:val="18"/>
        </w:numPr>
        <w:spacing w:line="360" w:lineRule="auto"/>
        <w:ind w:left="0" w:firstLine="0"/>
        <w:contextualSpacing/>
        <w:jc w:val="both"/>
        <w:rPr>
          <w:rFonts w:ascii="Palatino Linotype" w:eastAsia="Times New Roman" w:hAnsi="Palatino Linotype"/>
          <w:color w:val="000000" w:themeColor="text1"/>
          <w:lang w:eastAsia="es-ES_tradnl"/>
        </w:rPr>
      </w:pPr>
      <w:r w:rsidRPr="00983FB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83FBC">
        <w:rPr>
          <w:rFonts w:ascii="Palatino Linotype" w:hAnsi="Palatino Linotype"/>
          <w:color w:val="000000" w:themeColor="text1"/>
        </w:rPr>
        <w:t xml:space="preserve">la fracción III del numeral Segundo de los </w:t>
      </w:r>
      <w:r w:rsidRPr="00983FB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83FBC">
        <w:rPr>
          <w:rFonts w:ascii="Palatino Linotype" w:hAnsi="Palatino Linotype"/>
          <w:color w:val="000000" w:themeColor="text1"/>
        </w:rPr>
        <w:t xml:space="preserve"> </w:t>
      </w:r>
      <w:r w:rsidRPr="00983FBC">
        <w:rPr>
          <w:rFonts w:ascii="Palatino Linotype" w:hAnsi="Palatino Linotype" w:cs="Arial"/>
          <w:color w:val="000000" w:themeColor="text1"/>
        </w:rPr>
        <w:t xml:space="preserve">cuenta con las facultades para confirmar, modificar o revocar la clasificación de la información que ha hecho el titular del área que administra la información. Por lo tanto, el Comité no aprueba la </w:t>
      </w:r>
      <w:r w:rsidRPr="00983FBC">
        <w:rPr>
          <w:rFonts w:ascii="Palatino Linotype" w:hAnsi="Palatino Linotype" w:cs="Arial"/>
          <w:color w:val="000000" w:themeColor="text1"/>
        </w:rPr>
        <w:lastRenderedPageBreak/>
        <w:t>clasificación, sino que revisa lo que ha hecho el titular del área y confirma, modifica o revoca la decisión a través de un acuerdo.</w:t>
      </w:r>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E22B0" w:rsidRPr="00983FBC" w:rsidRDefault="005E22B0" w:rsidP="00983FBC">
      <w:pPr>
        <w:spacing w:line="360" w:lineRule="auto"/>
        <w:jc w:val="both"/>
        <w:rPr>
          <w:rFonts w:ascii="Palatino Linotype" w:hAnsi="Palatino Linotype"/>
          <w:color w:val="000000" w:themeColor="text1"/>
        </w:rPr>
      </w:pPr>
    </w:p>
    <w:p w:rsidR="005E22B0"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0470D" w:rsidRDefault="0000470D" w:rsidP="0000470D">
      <w:pPr>
        <w:pStyle w:val="Prrafodelista"/>
        <w:rPr>
          <w:rFonts w:ascii="Palatino Linotype" w:hAnsi="Palatino Linotype"/>
          <w:color w:val="000000" w:themeColor="text1"/>
        </w:rPr>
      </w:pPr>
    </w:p>
    <w:p w:rsidR="0000470D" w:rsidRPr="00983FBC" w:rsidRDefault="0000470D" w:rsidP="0000470D">
      <w:pPr>
        <w:spacing w:line="360" w:lineRule="auto"/>
        <w:contextualSpacing/>
        <w:jc w:val="both"/>
        <w:rPr>
          <w:rFonts w:ascii="Palatino Linotype" w:hAnsi="Palatino Linotype"/>
          <w:color w:val="000000" w:themeColor="text1"/>
        </w:rPr>
      </w:pPr>
    </w:p>
    <w:p w:rsidR="005E22B0" w:rsidRPr="00983FBC" w:rsidRDefault="005E22B0" w:rsidP="00983FB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61" w:name="_Toc485631705"/>
      <w:bookmarkStart w:id="62" w:name="_Toc500756715"/>
      <w:bookmarkStart w:id="63" w:name="_Toc536691783"/>
      <w:bookmarkStart w:id="64" w:name="_Toc2267546"/>
      <w:bookmarkStart w:id="65" w:name="_Toc2856719"/>
      <w:r w:rsidRPr="00983FBC">
        <w:rPr>
          <w:rFonts w:ascii="Palatino Linotype" w:eastAsiaTheme="majorEastAsia" w:hAnsi="Palatino Linotype" w:cstheme="majorBidi"/>
          <w:b/>
          <w:color w:val="000000" w:themeColor="text1"/>
        </w:rPr>
        <w:lastRenderedPageBreak/>
        <w:t>Requisitos de fondo del acuerdo de clasificación.</w:t>
      </w:r>
      <w:bookmarkEnd w:id="61"/>
      <w:bookmarkEnd w:id="62"/>
      <w:bookmarkEnd w:id="63"/>
      <w:bookmarkEnd w:id="64"/>
      <w:bookmarkEnd w:id="65"/>
    </w:p>
    <w:p w:rsidR="005E22B0" w:rsidRPr="00983FBC" w:rsidRDefault="005E22B0" w:rsidP="00983FBC">
      <w:pPr>
        <w:spacing w:line="360" w:lineRule="auto"/>
        <w:contextualSpacing/>
        <w:jc w:val="both"/>
        <w:rPr>
          <w:rFonts w:ascii="Palatino Linotype" w:hAnsi="Palatino Linotype" w:cs="Arial"/>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22B0" w:rsidRPr="00983FBC" w:rsidRDefault="005E22B0"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983FBC">
        <w:rPr>
          <w:rFonts w:ascii="Palatino Linotype" w:eastAsia="Times New Roman" w:hAnsi="Palatino Linotype" w:cs="Arial"/>
          <w:color w:val="000000" w:themeColor="text1"/>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83FBC">
        <w:rPr>
          <w:rFonts w:ascii="Palatino Linotype" w:eastAsia="Times New Roman" w:hAnsi="Palatino Linotype" w:cs="Arial"/>
          <w:color w:val="000000" w:themeColor="text1"/>
          <w:vertAlign w:val="superscript"/>
          <w:lang w:eastAsia="es-MX"/>
        </w:rPr>
        <w:footnoteReference w:id="29"/>
      </w:r>
    </w:p>
    <w:p w:rsidR="005E22B0" w:rsidRPr="00983FBC" w:rsidRDefault="005E22B0"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5E22B0" w:rsidRPr="00983FBC" w:rsidRDefault="005E22B0" w:rsidP="00983FBC">
      <w:pPr>
        <w:spacing w:line="360" w:lineRule="auto"/>
        <w:ind w:right="618"/>
        <w:contextualSpacing/>
        <w:jc w:val="both"/>
        <w:rPr>
          <w:rFonts w:ascii="Palatino Linotype" w:hAnsi="Palatino Linotype" w:cs="Arial"/>
          <w:color w:val="000000" w:themeColor="text1"/>
        </w:rPr>
      </w:pP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b/>
          <w:i/>
          <w:color w:val="000000" w:themeColor="text1"/>
        </w:rPr>
        <w:t>FUNDAMENTACIÓN Y MOTIVACIÓN.</w:t>
      </w:r>
      <w:r w:rsidRPr="00983FBC">
        <w:rPr>
          <w:rFonts w:ascii="Palatino Linotype" w:hAnsi="Palatino Linotype" w:cs="Arial"/>
          <w:i/>
          <w:color w:val="000000" w:themeColor="text1"/>
        </w:rPr>
        <w:t xml:space="preserve"> La </w:t>
      </w:r>
      <w:r w:rsidRPr="00983FB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3FBC">
        <w:rPr>
          <w:rFonts w:ascii="Palatino Linotype" w:hAnsi="Palatino Linotype" w:cs="Arial"/>
          <w:i/>
          <w:color w:val="000000" w:themeColor="text1"/>
        </w:rPr>
        <w:t>.</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SEGUNDO TRIBUNAL COLEGIADO DEL SEXTO CIRCUITO.</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83FBC">
        <w:rPr>
          <w:rFonts w:ascii="Palatino Linotype" w:hAnsi="Palatino Linotype" w:cs="Arial"/>
          <w:i/>
          <w:color w:val="000000" w:themeColor="text1"/>
        </w:rPr>
        <w:t>Esponda</w:t>
      </w:r>
      <w:proofErr w:type="spellEnd"/>
      <w:r w:rsidRPr="00983FBC">
        <w:rPr>
          <w:rFonts w:ascii="Palatino Linotype" w:hAnsi="Palatino Linotype" w:cs="Arial"/>
          <w:i/>
          <w:color w:val="000000" w:themeColor="text1"/>
        </w:rPr>
        <w:t xml:space="preserve"> Rincón.</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lastRenderedPageBreak/>
        <w:t xml:space="preserve">Amparo en revisión 333/88. </w:t>
      </w:r>
      <w:proofErr w:type="spellStart"/>
      <w:r w:rsidRPr="00983FBC">
        <w:rPr>
          <w:rFonts w:ascii="Palatino Linotype" w:hAnsi="Palatino Linotype" w:cs="Arial"/>
          <w:i/>
          <w:color w:val="000000" w:themeColor="text1"/>
        </w:rPr>
        <w:t>Adilia</w:t>
      </w:r>
      <w:proofErr w:type="spellEnd"/>
      <w:r w:rsidRPr="00983FBC">
        <w:rPr>
          <w:rFonts w:ascii="Palatino Linotype" w:hAnsi="Palatino Linotype" w:cs="Arial"/>
          <w:i/>
          <w:color w:val="000000" w:themeColor="text1"/>
        </w:rPr>
        <w:t xml:space="preserve"> Romero. 26 de octubre de 1988. Unanimidad de votos. Ponente: Arnoldo Nájera Virgen. Secretario: Enrique Crispín Campos Ramírez.</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83FBC">
        <w:rPr>
          <w:rFonts w:ascii="Palatino Linotype" w:hAnsi="Palatino Linotype" w:cs="Arial"/>
          <w:i/>
          <w:color w:val="000000" w:themeColor="text1"/>
        </w:rPr>
        <w:t>Goyzueta</w:t>
      </w:r>
      <w:proofErr w:type="spellEnd"/>
      <w:r w:rsidRPr="00983FBC">
        <w:rPr>
          <w:rFonts w:ascii="Palatino Linotype" w:hAnsi="Palatino Linotype" w:cs="Arial"/>
          <w:i/>
          <w:color w:val="000000" w:themeColor="text1"/>
        </w:rPr>
        <w:t>. Secretario: Gonzalo Carrera Molina.</w:t>
      </w:r>
    </w:p>
    <w:p w:rsidR="005E22B0" w:rsidRPr="00983FBC" w:rsidRDefault="005E22B0" w:rsidP="00983FBC">
      <w:pPr>
        <w:spacing w:line="360" w:lineRule="auto"/>
        <w:ind w:left="567" w:right="618"/>
        <w:contextualSpacing/>
        <w:jc w:val="both"/>
        <w:rPr>
          <w:rFonts w:ascii="Palatino Linotype" w:hAnsi="Palatino Linotype" w:cs="Arial"/>
          <w:i/>
          <w:color w:val="000000" w:themeColor="text1"/>
        </w:rPr>
      </w:pPr>
      <w:r w:rsidRPr="00983FB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83FBC">
        <w:rPr>
          <w:rFonts w:ascii="Palatino Linotype" w:hAnsi="Palatino Linotype" w:cs="Arial"/>
          <w:i/>
          <w:color w:val="000000" w:themeColor="text1"/>
        </w:rPr>
        <w:t>Baigts</w:t>
      </w:r>
      <w:proofErr w:type="spellEnd"/>
      <w:r w:rsidRPr="00983FBC">
        <w:rPr>
          <w:rFonts w:ascii="Palatino Linotype" w:hAnsi="Palatino Linotype" w:cs="Arial"/>
          <w:i/>
          <w:color w:val="000000" w:themeColor="text1"/>
        </w:rPr>
        <w:t xml:space="preserve"> Muñoz.</w:t>
      </w:r>
      <w:r w:rsidRPr="00983FBC">
        <w:rPr>
          <w:rFonts w:ascii="Palatino Linotype" w:hAnsi="Palatino Linotype" w:cs="Arial"/>
          <w:i/>
          <w:color w:val="000000" w:themeColor="text1"/>
          <w:vertAlign w:val="superscript"/>
        </w:rPr>
        <w:footnoteReference w:id="30"/>
      </w:r>
    </w:p>
    <w:p w:rsidR="005E22B0" w:rsidRPr="00983FBC" w:rsidRDefault="005E22B0" w:rsidP="00983FBC">
      <w:pPr>
        <w:spacing w:line="360" w:lineRule="auto"/>
        <w:ind w:left="567"/>
        <w:contextualSpacing/>
        <w:jc w:val="both"/>
        <w:rPr>
          <w:rFonts w:ascii="Palatino Linotype" w:hAnsi="Palatino Linotype" w:cs="Arial"/>
          <w:color w:val="000000" w:themeColor="text1"/>
          <w:lang w:val="es-ES"/>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22B0" w:rsidRPr="00983FBC" w:rsidRDefault="005E22B0"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22B0" w:rsidRPr="00983FBC" w:rsidRDefault="005E22B0"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rsidR="005E22B0" w:rsidRPr="00983FBC" w:rsidRDefault="005E22B0" w:rsidP="00983FB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83FBC">
        <w:rPr>
          <w:rFonts w:ascii="Palatino Linotype" w:hAnsi="Palatino Linotype"/>
          <w:color w:val="000000" w:themeColor="text1"/>
        </w:rPr>
        <w:t xml:space="preserve"> </w:t>
      </w:r>
      <w:r w:rsidRPr="00983FBC">
        <w:rPr>
          <w:rFonts w:ascii="Palatino Linotype" w:eastAsia="Times New Roman" w:hAnsi="Palatino Linotype" w:cs="Arial"/>
          <w:color w:val="000000" w:themeColor="text1"/>
          <w:lang w:eastAsia="es-MX"/>
        </w:rPr>
        <w:t>datos personales</w:t>
      </w:r>
      <w:r w:rsidRPr="00983FBC">
        <w:rPr>
          <w:rFonts w:ascii="Palatino Linotype" w:eastAsia="Times New Roman" w:hAnsi="Palatino Linotype" w:cs="Arial"/>
          <w:color w:val="000000" w:themeColor="text1"/>
          <w:vertAlign w:val="superscript"/>
          <w:lang w:eastAsia="es-MX"/>
        </w:rPr>
        <w:footnoteReference w:id="31"/>
      </w:r>
      <w:r w:rsidRPr="00983FBC">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983FBC">
        <w:rPr>
          <w:rFonts w:ascii="Palatino Linotype" w:eastAsia="Times New Roman" w:hAnsi="Palatino Linotype" w:cs="Arial"/>
          <w:b/>
          <w:color w:val="000000" w:themeColor="text1"/>
          <w:lang w:eastAsia="es-MX"/>
        </w:rPr>
        <w:t>por ejemplo</w:t>
      </w:r>
      <w:r w:rsidRPr="00983FBC">
        <w:rPr>
          <w:rFonts w:ascii="Palatino Linotype" w:eastAsia="Times New Roman" w:hAnsi="Palatino Linotype" w:cs="Arial"/>
          <w:color w:val="000000" w:themeColor="text1"/>
          <w:lang w:eastAsia="es-MX"/>
        </w:rPr>
        <w:t xml:space="preserve">, </w:t>
      </w:r>
      <w:r w:rsidRPr="00983FBC">
        <w:rPr>
          <w:rFonts w:ascii="Palatino Linotype" w:eastAsia="Calibri" w:hAnsi="Palatino Linotype" w:cs="Arial"/>
          <w:color w:val="000000" w:themeColor="text1"/>
          <w:lang w:val="es-ES" w:eastAsia="es-MX"/>
        </w:rPr>
        <w:t xml:space="preserve">Clave Única de Registro de Población (CURP), Registro Federal de Contribuyentes (R.F.C. solo tratándose de aquellas personas físicas que no reciben recursos públicos), clave de ISSEMYM, número de cuenta (solo de personas físicas), estos son datos susceptibles de clasificarse como confidenciales mediante una versión pública que deje a la vista los datos que ofrezcan la información requerida.  </w:t>
      </w:r>
    </w:p>
    <w:p w:rsidR="005E22B0" w:rsidRPr="00983FBC" w:rsidRDefault="005E22B0" w:rsidP="00983FBC">
      <w:pPr>
        <w:shd w:val="clear" w:color="auto" w:fill="FFFFFF"/>
        <w:spacing w:line="360" w:lineRule="auto"/>
        <w:contextualSpacing/>
        <w:jc w:val="both"/>
        <w:rPr>
          <w:rFonts w:ascii="Palatino Linotype" w:eastAsia="Calibri" w:hAnsi="Palatino Linotype" w:cs="Arial"/>
          <w:color w:val="000000" w:themeColor="text1"/>
          <w:lang w:val="es-ES" w:eastAsia="es-MX"/>
        </w:rPr>
      </w:pPr>
    </w:p>
    <w:p w:rsidR="005E22B0" w:rsidRPr="0000470D" w:rsidRDefault="005E22B0" w:rsidP="00983FBC">
      <w:pPr>
        <w:numPr>
          <w:ilvl w:val="0"/>
          <w:numId w:val="18"/>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983FBC">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22B0" w:rsidRPr="00983FBC" w:rsidRDefault="005E22B0" w:rsidP="00983FBC">
      <w:pPr>
        <w:spacing w:line="360" w:lineRule="auto"/>
        <w:rPr>
          <w:rFonts w:ascii="Palatino Linotype" w:eastAsiaTheme="majorEastAsia" w:hAnsi="Palatino Linotype" w:cstheme="majorBidi"/>
          <w:b/>
          <w:color w:val="000000" w:themeColor="text1"/>
        </w:rPr>
      </w:pPr>
      <w:bookmarkStart w:id="66" w:name="_Toc485631706"/>
      <w:bookmarkStart w:id="67" w:name="_Toc500756716"/>
      <w:bookmarkStart w:id="68" w:name="_Toc536691784"/>
      <w:bookmarkStart w:id="69" w:name="_Toc2267547"/>
      <w:bookmarkStart w:id="70" w:name="_Toc2856720"/>
      <w:r w:rsidRPr="00983FBC">
        <w:rPr>
          <w:rFonts w:ascii="Palatino Linotype" w:eastAsiaTheme="majorEastAsia" w:hAnsi="Palatino Linotype" w:cstheme="majorBidi"/>
          <w:b/>
          <w:color w:val="000000" w:themeColor="text1"/>
        </w:rPr>
        <w:lastRenderedPageBreak/>
        <w:t>III. Condiciones especiales de la clasificación de la información como reservada</w:t>
      </w:r>
      <w:bookmarkEnd w:id="66"/>
      <w:bookmarkEnd w:id="67"/>
      <w:bookmarkEnd w:id="68"/>
      <w:bookmarkEnd w:id="69"/>
      <w:bookmarkEnd w:id="70"/>
      <w:r w:rsidRPr="00983FBC">
        <w:rPr>
          <w:rFonts w:ascii="Palatino Linotype" w:eastAsiaTheme="majorEastAsia" w:hAnsi="Palatino Linotype" w:cstheme="majorBidi"/>
          <w:b/>
          <w:color w:val="000000" w:themeColor="text1"/>
        </w:rPr>
        <w:t xml:space="preserve"> </w:t>
      </w:r>
    </w:p>
    <w:p w:rsidR="005E22B0" w:rsidRPr="00983FBC" w:rsidRDefault="005E22B0" w:rsidP="00983FBC">
      <w:pPr>
        <w:spacing w:line="360" w:lineRule="auto"/>
        <w:contextualSpacing/>
        <w:jc w:val="both"/>
        <w:rPr>
          <w:rFonts w:ascii="Palatino Linotype" w:hAnsi="Palatino Linotype" w:cs="Arial"/>
          <w:b/>
          <w:color w:val="000000" w:themeColor="text1"/>
        </w:rPr>
      </w:pPr>
    </w:p>
    <w:p w:rsidR="005E22B0" w:rsidRDefault="005E22B0" w:rsidP="00983FBC">
      <w:pPr>
        <w:spacing w:line="360" w:lineRule="auto"/>
        <w:rPr>
          <w:rFonts w:ascii="Palatino Linotype" w:eastAsiaTheme="majorEastAsia" w:hAnsi="Palatino Linotype" w:cstheme="majorBidi"/>
          <w:b/>
          <w:color w:val="000000" w:themeColor="text1"/>
        </w:rPr>
      </w:pPr>
      <w:bookmarkStart w:id="71" w:name="_Toc485631707"/>
      <w:bookmarkStart w:id="72" w:name="_Toc500756717"/>
      <w:bookmarkStart w:id="73" w:name="_Toc536691785"/>
      <w:bookmarkStart w:id="74" w:name="_Toc2267548"/>
      <w:bookmarkStart w:id="75" w:name="_Toc2856721"/>
      <w:r w:rsidRPr="00983FBC">
        <w:rPr>
          <w:rFonts w:ascii="Palatino Linotype" w:eastAsiaTheme="majorEastAsia" w:hAnsi="Palatino Linotype" w:cstheme="majorBidi"/>
          <w:b/>
          <w:color w:val="000000" w:themeColor="text1"/>
        </w:rPr>
        <w:t>La fundamentación específica.</w:t>
      </w:r>
      <w:bookmarkEnd w:id="71"/>
      <w:bookmarkEnd w:id="72"/>
      <w:bookmarkEnd w:id="73"/>
      <w:bookmarkEnd w:id="74"/>
      <w:bookmarkEnd w:id="75"/>
    </w:p>
    <w:p w:rsidR="0000470D" w:rsidRPr="00983FBC" w:rsidRDefault="0000470D" w:rsidP="00983FBC">
      <w:pPr>
        <w:spacing w:line="360" w:lineRule="auto"/>
        <w:rPr>
          <w:rFonts w:ascii="Palatino Linotype" w:eastAsiaTheme="majorEastAsia" w:hAnsi="Palatino Linotype" w:cstheme="majorBidi"/>
          <w:b/>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s="Arial"/>
          <w:color w:val="000000" w:themeColor="text1"/>
        </w:rPr>
      </w:pPr>
      <w:r w:rsidRPr="00983FBC">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83FBC">
        <w:rPr>
          <w:rFonts w:ascii="Palatino Linotype" w:hAnsi="Palatino Linotype" w:cs="Arial"/>
          <w:color w:val="000000" w:themeColor="text1"/>
        </w:rPr>
        <w:t>autoreferencial</w:t>
      </w:r>
      <w:proofErr w:type="spellEnd"/>
      <w:r w:rsidRPr="00983FBC">
        <w:rPr>
          <w:rFonts w:ascii="Palatino Linotype" w:hAnsi="Palatino Linotype" w:cs="Arial"/>
          <w:color w:val="000000" w:themeColor="text1"/>
        </w:rPr>
        <w:t xml:space="preserve"> en el que primero se dice algo, después se dice lo mismo y al final exactamente lo mismo, cambiando sólo el orden de las palabras.</w:t>
      </w:r>
    </w:p>
    <w:p w:rsidR="005E22B0" w:rsidRPr="00983FBC" w:rsidRDefault="005E22B0" w:rsidP="00983FBC">
      <w:pPr>
        <w:spacing w:line="360" w:lineRule="auto"/>
        <w:contextualSpacing/>
        <w:jc w:val="both"/>
        <w:rPr>
          <w:rFonts w:ascii="Palatino Linotype" w:hAnsi="Palatino Linotype" w:cs="Arial"/>
          <w:b/>
          <w:color w:val="000000" w:themeColor="text1"/>
        </w:rPr>
      </w:pPr>
    </w:p>
    <w:p w:rsidR="005E22B0" w:rsidRPr="00983FBC" w:rsidRDefault="005E22B0" w:rsidP="00983FBC">
      <w:pPr>
        <w:spacing w:line="360" w:lineRule="auto"/>
        <w:rPr>
          <w:rFonts w:ascii="Palatino Linotype" w:eastAsiaTheme="majorEastAsia" w:hAnsi="Palatino Linotype" w:cstheme="majorBidi"/>
          <w:b/>
          <w:color w:val="000000" w:themeColor="text1"/>
        </w:rPr>
      </w:pPr>
      <w:bookmarkStart w:id="76" w:name="_Toc485631708"/>
      <w:bookmarkStart w:id="77" w:name="_Toc500756718"/>
      <w:bookmarkStart w:id="78" w:name="_Toc536691786"/>
      <w:bookmarkStart w:id="79" w:name="_Toc2267549"/>
      <w:bookmarkStart w:id="80" w:name="_Toc2856722"/>
      <w:r w:rsidRPr="00983FBC">
        <w:rPr>
          <w:rFonts w:ascii="Palatino Linotype" w:eastAsiaTheme="majorEastAsia" w:hAnsi="Palatino Linotype" w:cstheme="majorBidi"/>
          <w:b/>
          <w:color w:val="000000" w:themeColor="text1"/>
        </w:rPr>
        <w:t>La prueba de daño.</w:t>
      </w:r>
      <w:bookmarkEnd w:id="76"/>
      <w:bookmarkEnd w:id="77"/>
      <w:bookmarkEnd w:id="78"/>
      <w:bookmarkEnd w:id="79"/>
      <w:bookmarkEnd w:id="80"/>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w:t>
      </w:r>
      <w:r w:rsidRPr="00983FBC">
        <w:rPr>
          <w:rFonts w:ascii="Palatino Linotype" w:hAnsi="Palatino Linotype"/>
          <w:color w:val="000000" w:themeColor="text1"/>
        </w:rPr>
        <w:lastRenderedPageBreak/>
        <w:t>del acuerdo y otra parte, distinta, es la que corresponde a la prueba de daño, la que debe aplicarse caso por caso, esto es, no se puede hacer una prueba de daño de un expediente completo, sino de cada uno de los documentos que lo integran.</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Para aplicar la prueba de daño, se deberán de precisar la razones objetivas por las que la apertura genera una afectación, acreditando que:</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983FBC">
        <w:rPr>
          <w:rFonts w:ascii="Palatino Linotype" w:hAnsi="Palatino Linotype" w:cs="Bookman Old Style"/>
          <w:bCs/>
          <w:i/>
          <w:color w:val="000000" w:themeColor="text1"/>
        </w:rPr>
        <w:t xml:space="preserve">I. </w:t>
      </w:r>
      <w:r w:rsidRPr="00983FBC">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5E22B0" w:rsidRPr="00983FBC" w:rsidRDefault="005E22B0" w:rsidP="00983FB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983FBC">
        <w:rPr>
          <w:rFonts w:ascii="Palatino Linotype" w:hAnsi="Palatino Linotype" w:cs="Bookman Old Style"/>
          <w:bCs/>
          <w:i/>
          <w:color w:val="000000" w:themeColor="text1"/>
        </w:rPr>
        <w:t xml:space="preserve">II. </w:t>
      </w:r>
      <w:r w:rsidRPr="00983FBC">
        <w:rPr>
          <w:rFonts w:ascii="Palatino Linotype" w:hAnsi="Palatino Linotype" w:cs="Bookman Old Style"/>
          <w:i/>
          <w:color w:val="000000" w:themeColor="text1"/>
        </w:rPr>
        <w:t xml:space="preserve">El riesgo de perjuicio que supondría la divulgación supera el interés público general de que se difunda; y </w:t>
      </w:r>
    </w:p>
    <w:p w:rsidR="005E22B0" w:rsidRDefault="005E22B0" w:rsidP="00983FBC">
      <w:pPr>
        <w:widowControl w:val="0"/>
        <w:autoSpaceDE w:val="0"/>
        <w:autoSpaceDN w:val="0"/>
        <w:adjustRightInd w:val="0"/>
        <w:spacing w:line="360" w:lineRule="auto"/>
        <w:ind w:left="567" w:right="616"/>
        <w:jc w:val="both"/>
        <w:rPr>
          <w:rFonts w:ascii="Palatino Linotype" w:hAnsi="Palatino Linotype" w:cs="Bookman Old Style"/>
          <w:i/>
          <w:color w:val="000000" w:themeColor="text1"/>
        </w:rPr>
      </w:pPr>
      <w:r w:rsidRPr="00983FBC">
        <w:rPr>
          <w:rFonts w:ascii="Palatino Linotype" w:hAnsi="Palatino Linotype" w:cs="Bookman Old Style"/>
          <w:bCs/>
          <w:i/>
          <w:color w:val="000000" w:themeColor="text1"/>
        </w:rPr>
        <w:t xml:space="preserve">III. </w:t>
      </w:r>
      <w:r w:rsidRPr="00983FBC">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00470D" w:rsidRPr="00983FBC" w:rsidRDefault="0000470D" w:rsidP="0000470D">
      <w:pPr>
        <w:widowControl w:val="0"/>
        <w:autoSpaceDE w:val="0"/>
        <w:autoSpaceDN w:val="0"/>
        <w:adjustRightInd w:val="0"/>
        <w:spacing w:line="360" w:lineRule="auto"/>
        <w:ind w:right="616"/>
        <w:jc w:val="both"/>
        <w:rPr>
          <w:rFonts w:ascii="Palatino Linotype" w:hAnsi="Palatino Linotype" w:cs="Times"/>
          <w:i/>
          <w:color w:val="000000" w:themeColor="text1"/>
        </w:rPr>
      </w:pPr>
    </w:p>
    <w:p w:rsidR="005E22B0" w:rsidRPr="0000470D" w:rsidRDefault="005E22B0" w:rsidP="00983FBC">
      <w:pPr>
        <w:numPr>
          <w:ilvl w:val="0"/>
          <w:numId w:val="18"/>
        </w:numPr>
        <w:shd w:val="clear" w:color="auto" w:fill="FFFFFF"/>
        <w:suppressAutoHyphens/>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983FBC">
        <w:rPr>
          <w:rFonts w:ascii="Palatino Linotype" w:hAnsi="Palatino Linotype" w:cs="Times New Roman"/>
          <w:color w:val="000000" w:themeColor="text1"/>
          <w:vertAlign w:val="superscript"/>
          <w:lang w:eastAsia="es-ES_tradnl"/>
        </w:rPr>
        <w:footnoteReference w:id="32"/>
      </w:r>
      <w:r w:rsidRPr="00983FBC">
        <w:rPr>
          <w:rFonts w:ascii="Palatino Linotype" w:hAnsi="Palatino Linotype" w:cs="Times New Roman"/>
          <w:color w:val="000000" w:themeColor="text1"/>
          <w:lang w:eastAsia="es-ES_tradnl"/>
        </w:rPr>
        <w:t xml:space="preserve"> mientras que el daño es considerado como un “perjuicio o lesión”</w:t>
      </w:r>
      <w:r w:rsidRPr="00983FBC">
        <w:rPr>
          <w:rFonts w:ascii="Palatino Linotype" w:hAnsi="Palatino Linotype" w:cs="Times New Roman"/>
          <w:color w:val="000000" w:themeColor="text1"/>
          <w:vertAlign w:val="superscript"/>
          <w:lang w:eastAsia="es-ES_tradnl"/>
        </w:rPr>
        <w:footnoteReference w:id="33"/>
      </w:r>
      <w:r w:rsidRPr="00983FBC">
        <w:rPr>
          <w:rFonts w:ascii="Palatino Linotype" w:hAnsi="Palatino Linotype" w:cs="Times New Roman"/>
          <w:color w:val="000000" w:themeColor="text1"/>
          <w:lang w:eastAsia="es-ES_tradnl"/>
        </w:rPr>
        <w:t>, mientras que según el Diccionario de la Lengua Española, lo real es</w:t>
      </w:r>
      <w:r w:rsidRPr="00983FBC">
        <w:rPr>
          <w:rFonts w:ascii="Palatino Linotype" w:eastAsia="Arial Unicode MS" w:hAnsi="Palatino Linotype" w:cs="Arial Unicode MS"/>
          <w:color w:val="000000" w:themeColor="text1"/>
          <w:spacing w:val="4"/>
          <w:shd w:val="clear" w:color="auto" w:fill="FFFFFF"/>
          <w:lang w:eastAsia="es-ES_tradnl"/>
        </w:rPr>
        <w:t xml:space="preserve"> lo “</w:t>
      </w:r>
      <w:r w:rsidRPr="00983FBC">
        <w:rPr>
          <w:rFonts w:ascii="Palatino Linotype" w:eastAsia="Times New Roman" w:hAnsi="Palatino Linotype" w:cs="Times New Roman"/>
          <w:color w:val="000000" w:themeColor="text1"/>
          <w:lang w:eastAsia="es-ES_tradnl"/>
        </w:rPr>
        <w:t>(que</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tiene</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existencia</w:t>
      </w:r>
      <w:r w:rsidRPr="00983FBC">
        <w:rPr>
          <w:rFonts w:ascii="Palatino Linotype" w:eastAsia="Arial Unicode MS" w:hAnsi="Palatino Linotype" w:cs="Arial Unicode MS"/>
          <w:color w:val="000000" w:themeColor="text1"/>
          <w:spacing w:val="4"/>
          <w:shd w:val="clear" w:color="auto" w:fill="FFFFFF"/>
          <w:lang w:eastAsia="es-ES_tradnl"/>
        </w:rPr>
        <w:t xml:space="preserve"> </w:t>
      </w:r>
      <w:r w:rsidRPr="00983FBC">
        <w:rPr>
          <w:rFonts w:ascii="Palatino Linotype" w:eastAsia="Times New Roman" w:hAnsi="Palatino Linotype" w:cs="Times New Roman"/>
          <w:color w:val="000000" w:themeColor="text1"/>
          <w:lang w:eastAsia="es-ES_tradnl"/>
        </w:rPr>
        <w:t>objetiva”,</w:t>
      </w:r>
      <w:r w:rsidRPr="00983FBC">
        <w:rPr>
          <w:rFonts w:ascii="Palatino Linotype" w:eastAsia="Times New Roman" w:hAnsi="Palatino Linotype" w:cs="Times New Roman"/>
          <w:color w:val="000000" w:themeColor="text1"/>
          <w:vertAlign w:val="superscript"/>
          <w:lang w:eastAsia="es-ES_tradnl"/>
        </w:rPr>
        <w:footnoteReference w:id="34"/>
      </w:r>
      <w:r w:rsidRPr="00983FBC">
        <w:rPr>
          <w:rFonts w:ascii="Palatino Linotype" w:eastAsia="Times New Roman" w:hAnsi="Palatino Linotype" w:cs="Times New Roman"/>
          <w:color w:val="000000" w:themeColor="text1"/>
          <w:lang w:eastAsia="es-ES_tradnl"/>
        </w:rPr>
        <w:t xml:space="preserve"> </w:t>
      </w:r>
      <w:r w:rsidRPr="00983FBC">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983FBC">
        <w:rPr>
          <w:rFonts w:ascii="Palatino Linotype" w:eastAsia="Arial Unicode MS" w:hAnsi="Palatino Linotype" w:cs="Arial Unicode MS"/>
          <w:color w:val="000000" w:themeColor="text1"/>
          <w:spacing w:val="4"/>
          <w:shd w:val="clear" w:color="auto" w:fill="FFFFFF"/>
          <w:vertAlign w:val="superscript"/>
          <w:lang w:eastAsia="es-ES_tradnl"/>
        </w:rPr>
        <w:footnoteReference w:id="35"/>
      </w:r>
      <w:r w:rsidRPr="00983FBC">
        <w:rPr>
          <w:rFonts w:ascii="Palatino Linotype" w:eastAsia="Arial Unicode MS" w:hAnsi="Palatino Linotype" w:cs="Arial Unicode MS"/>
          <w:color w:val="000000" w:themeColor="text1"/>
          <w:spacing w:val="4"/>
          <w:shd w:val="clear" w:color="auto" w:fill="FFFFFF"/>
          <w:lang w:eastAsia="es-ES_tradnl"/>
        </w:rPr>
        <w:t xml:space="preserve"> es decir, </w:t>
      </w:r>
      <w:r w:rsidRPr="00983FBC">
        <w:rPr>
          <w:rFonts w:ascii="Palatino Linotype" w:hAnsi="Palatino Linotype"/>
          <w:color w:val="000000" w:themeColor="text1"/>
        </w:rPr>
        <w:t xml:space="preserve">“(manifestar, declarar. Probar, sirviéndose de cualquier género de demostración, </w:t>
      </w:r>
      <w:hyperlink r:id="rId13" w:anchor="6nAyKjE" w:history="1">
        <w:r w:rsidRPr="00983FBC">
          <w:rPr>
            <w:rFonts w:ascii="Palatino Linotype" w:hAnsi="Palatino Linotype"/>
            <w:color w:val="000000" w:themeColor="text1"/>
          </w:rPr>
          <w:t>enseñar</w:t>
        </w:r>
      </w:hyperlink>
      <w:r w:rsidRPr="00983FBC">
        <w:rPr>
          <w:rFonts w:ascii="Palatino Linotype" w:hAnsi="Palatino Linotype"/>
          <w:color w:val="000000" w:themeColor="text1"/>
        </w:rPr>
        <w:t xml:space="preserve"> mostrar o exponer algo)”.</w:t>
      </w:r>
      <w:r w:rsidRPr="00983FBC">
        <w:rPr>
          <w:rFonts w:ascii="Palatino Linotype" w:hAnsi="Palatino Linotype"/>
          <w:color w:val="000000" w:themeColor="text1"/>
          <w:vertAlign w:val="superscript"/>
        </w:rPr>
        <w:footnoteReference w:id="36"/>
      </w:r>
      <w:r w:rsidRPr="00983FBC">
        <w:rPr>
          <w:rFonts w:ascii="Palatino Linotype" w:hAnsi="Palatino Linotype"/>
          <w:color w:val="000000" w:themeColor="text1"/>
        </w:rPr>
        <w:t xml:space="preserve"> Mientras </w:t>
      </w:r>
      <w:r w:rsidRPr="00983FBC">
        <w:rPr>
          <w:rFonts w:ascii="Palatino Linotype" w:hAnsi="Palatino Linotype"/>
          <w:color w:val="000000" w:themeColor="text1"/>
        </w:rPr>
        <w:lastRenderedPageBreak/>
        <w:t>que lo identificable es lo que puede ser identificado,</w:t>
      </w:r>
      <w:r w:rsidRPr="00983FBC">
        <w:rPr>
          <w:rFonts w:ascii="Palatino Linotype" w:hAnsi="Palatino Linotype"/>
          <w:color w:val="000000" w:themeColor="text1"/>
          <w:vertAlign w:val="superscript"/>
        </w:rPr>
        <w:footnoteReference w:id="37"/>
      </w:r>
      <w:r w:rsidRPr="00983FBC">
        <w:rPr>
          <w:rFonts w:ascii="Palatino Linotype" w:hAnsi="Palatino Linotype"/>
          <w:color w:val="000000" w:themeColor="text1"/>
        </w:rPr>
        <w:t xml:space="preserve"> esto es,</w:t>
      </w:r>
      <w:r w:rsidRPr="00983FBC">
        <w:rPr>
          <w:rFonts w:ascii="Palatino Linotype" w:hAnsi="Palatino Linotype"/>
          <w:color w:val="000000" w:themeColor="text1"/>
          <w:lang w:eastAsia="es-ES_tradnl"/>
        </w:rPr>
        <w:t xml:space="preserve"> “(dar los datos necesarios para ser reconocido”.</w:t>
      </w:r>
      <w:r w:rsidRPr="00983FBC">
        <w:rPr>
          <w:rFonts w:ascii="Palatino Linotype" w:hAnsi="Palatino Linotype"/>
          <w:color w:val="000000" w:themeColor="text1"/>
          <w:vertAlign w:val="superscript"/>
          <w:lang w:eastAsia="es-ES_tradnl"/>
        </w:rPr>
        <w:footnoteReference w:id="38"/>
      </w:r>
    </w:p>
    <w:p w:rsidR="0000470D" w:rsidRPr="00983FBC" w:rsidRDefault="0000470D" w:rsidP="0000470D">
      <w:pPr>
        <w:shd w:val="clear" w:color="auto" w:fill="FFFFFF"/>
        <w:suppressAutoHyphens/>
        <w:spacing w:line="360" w:lineRule="auto"/>
        <w:jc w:val="both"/>
        <w:textAlignment w:val="baseline"/>
        <w:rPr>
          <w:rFonts w:ascii="Palatino Linotype" w:hAnsi="Palatino Linotype" w:cs="Times New Roman"/>
          <w:color w:val="000000" w:themeColor="text1"/>
          <w:lang w:eastAsia="es-ES_tradnl"/>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Identificado ese riesgo, se debe demostrar que el mismo supera el interés público general porque se difunda dicha información. </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983FBC">
        <w:rPr>
          <w:rFonts w:ascii="Palatino Linotype" w:hAnsi="Palatino Linotype"/>
          <w:color w:val="000000" w:themeColor="text1"/>
          <w:vertAlign w:val="superscript"/>
        </w:rPr>
        <w:footnoteReference w:id="39"/>
      </w:r>
      <w:r w:rsidRPr="00983FBC">
        <w:rPr>
          <w:rFonts w:ascii="Palatino Linotype" w:hAnsi="Palatino Linotype"/>
          <w:color w:val="000000" w:themeColor="text1"/>
        </w:rPr>
        <w:t xml:space="preserve">, siguiendo el principio de ponderación </w:t>
      </w:r>
      <w:r w:rsidRPr="00983FBC">
        <w:rPr>
          <w:rFonts w:ascii="Palatino Linotype" w:hAnsi="Palatino Linotype"/>
          <w:color w:val="000000" w:themeColor="text1"/>
        </w:rPr>
        <w:lastRenderedPageBreak/>
        <w:t>propuesto por el Tribunal Constitucional Alemán,</w:t>
      </w:r>
      <w:r w:rsidRPr="00983FBC">
        <w:rPr>
          <w:rFonts w:ascii="Palatino Linotype" w:hAnsi="Palatino Linotype"/>
          <w:color w:val="000000" w:themeColor="text1"/>
          <w:vertAlign w:val="superscript"/>
        </w:rPr>
        <w:footnoteReference w:id="40"/>
      </w:r>
      <w:r w:rsidRPr="00983FBC">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5E22B0" w:rsidRPr="00983FBC" w:rsidRDefault="005E22B0" w:rsidP="00983FBC">
      <w:pPr>
        <w:spacing w:line="360" w:lineRule="auto"/>
        <w:contextualSpacing/>
        <w:rPr>
          <w:rFonts w:ascii="Palatino Linotype" w:hAnsi="Palatino Linotype"/>
          <w:color w:val="000000" w:themeColor="text1"/>
        </w:rPr>
      </w:pPr>
    </w:p>
    <w:p w:rsidR="005E22B0" w:rsidRPr="00983FBC" w:rsidRDefault="005E22B0" w:rsidP="00983FBC">
      <w:pPr>
        <w:pStyle w:val="Prrafodelista"/>
        <w:keepNext/>
        <w:keepLines/>
        <w:numPr>
          <w:ilvl w:val="0"/>
          <w:numId w:val="28"/>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81" w:name="_Toc485631709"/>
      <w:bookmarkStart w:id="82" w:name="_Toc500756719"/>
      <w:bookmarkStart w:id="83" w:name="_Toc536691787"/>
      <w:bookmarkStart w:id="84" w:name="_Toc2267550"/>
      <w:bookmarkStart w:id="85" w:name="_Toc2856723"/>
      <w:r w:rsidRPr="00983FBC">
        <w:rPr>
          <w:rFonts w:ascii="Palatino Linotype" w:eastAsiaTheme="majorEastAsia" w:hAnsi="Palatino Linotype" w:cstheme="majorBidi"/>
          <w:b/>
          <w:color w:val="000000" w:themeColor="text1"/>
        </w:rPr>
        <w:t>La clasificación de la información reservada debe ser de manera temporal.</w:t>
      </w:r>
      <w:bookmarkEnd w:id="81"/>
      <w:bookmarkEnd w:id="82"/>
      <w:bookmarkEnd w:id="83"/>
      <w:bookmarkEnd w:id="84"/>
      <w:bookmarkEnd w:id="85"/>
    </w:p>
    <w:p w:rsidR="005E22B0" w:rsidRPr="00983FBC" w:rsidRDefault="005E22B0" w:rsidP="00983FBC">
      <w:pPr>
        <w:spacing w:line="360" w:lineRule="auto"/>
        <w:jc w:val="both"/>
        <w:rPr>
          <w:rFonts w:ascii="Palatino Linotype" w:hAnsi="Palatino Linotype"/>
          <w:b/>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E22B0" w:rsidRPr="00983FBC" w:rsidRDefault="005E22B0" w:rsidP="00983FBC">
      <w:pPr>
        <w:spacing w:line="360" w:lineRule="auto"/>
        <w:contextualSpacing/>
        <w:jc w:val="both"/>
        <w:rPr>
          <w:rFonts w:ascii="Palatino Linotype" w:hAnsi="Palatino Linotype"/>
          <w:color w:val="000000" w:themeColor="text1"/>
        </w:rPr>
      </w:pPr>
    </w:p>
    <w:p w:rsidR="005E22B0" w:rsidRPr="0000470D"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E22B0" w:rsidRPr="00983FBC" w:rsidRDefault="005E22B0" w:rsidP="00983FBC">
      <w:pPr>
        <w:spacing w:line="360" w:lineRule="auto"/>
        <w:contextualSpacing/>
        <w:rPr>
          <w:rFonts w:ascii="Palatino Linotype" w:hAnsi="Palatino Linotype"/>
          <w:b/>
          <w:color w:val="000000" w:themeColor="text1"/>
        </w:rPr>
      </w:pPr>
    </w:p>
    <w:p w:rsidR="005E22B0" w:rsidRPr="00983FBC" w:rsidRDefault="005E22B0" w:rsidP="00983FBC">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De</w:t>
      </w:r>
      <w:r w:rsidRPr="00983FBC">
        <w:rPr>
          <w:rFonts w:ascii="Palatino Linotype" w:hAnsi="Palatino Linotype"/>
          <w:b/>
          <w:color w:val="000000" w:themeColor="text1"/>
        </w:rPr>
        <w:t xml:space="preserve"> </w:t>
      </w:r>
      <w:r w:rsidRPr="00983FBC">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5E22B0" w:rsidRPr="00983FBC" w:rsidRDefault="005E22B0" w:rsidP="00983FBC">
      <w:pPr>
        <w:spacing w:line="360" w:lineRule="auto"/>
        <w:contextualSpacing/>
        <w:rPr>
          <w:rFonts w:ascii="Palatino Linotype" w:hAnsi="Palatino Linotype"/>
          <w:color w:val="000000" w:themeColor="text1"/>
        </w:rPr>
      </w:pPr>
    </w:p>
    <w:p w:rsidR="0000470D" w:rsidRDefault="005E22B0" w:rsidP="0000470D">
      <w:pPr>
        <w:numPr>
          <w:ilvl w:val="0"/>
          <w:numId w:val="18"/>
        </w:numPr>
        <w:spacing w:line="360" w:lineRule="auto"/>
        <w:ind w:left="0" w:firstLine="0"/>
        <w:contextualSpacing/>
        <w:jc w:val="both"/>
        <w:rPr>
          <w:rFonts w:ascii="Palatino Linotype" w:hAnsi="Palatino Linotype"/>
          <w:color w:val="000000" w:themeColor="text1"/>
        </w:rPr>
      </w:pPr>
      <w:r w:rsidRPr="00983FBC">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00470D" w:rsidRDefault="0000470D" w:rsidP="0000470D">
      <w:pPr>
        <w:pStyle w:val="Prrafodelista"/>
        <w:rPr>
          <w:rFonts w:ascii="Palatino Linotype" w:hAnsi="Palatino Linotype"/>
          <w:color w:val="000000" w:themeColor="text1"/>
        </w:rPr>
      </w:pPr>
    </w:p>
    <w:p w:rsidR="0000470D" w:rsidRPr="0000470D" w:rsidRDefault="0000470D" w:rsidP="0000470D">
      <w:pPr>
        <w:spacing w:line="360" w:lineRule="auto"/>
        <w:contextualSpacing/>
        <w:jc w:val="both"/>
        <w:rPr>
          <w:rFonts w:ascii="Palatino Linotype" w:hAnsi="Palatino Linotype"/>
          <w:color w:val="000000" w:themeColor="text1"/>
        </w:rPr>
      </w:pPr>
    </w:p>
    <w:p w:rsidR="005E22B0" w:rsidRDefault="005E22B0" w:rsidP="00983FBC">
      <w:pPr>
        <w:pStyle w:val="Prrafodelista"/>
        <w:keepNext/>
        <w:keepLines/>
        <w:numPr>
          <w:ilvl w:val="0"/>
          <w:numId w:val="34"/>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86" w:name="_Toc485631710"/>
      <w:bookmarkStart w:id="87" w:name="_Toc500756720"/>
      <w:bookmarkStart w:id="88" w:name="_Toc536691788"/>
      <w:bookmarkStart w:id="89" w:name="_Toc2267551"/>
      <w:bookmarkStart w:id="90" w:name="_Toc2856724"/>
      <w:r w:rsidRPr="00983FBC">
        <w:rPr>
          <w:rFonts w:ascii="Palatino Linotype" w:eastAsiaTheme="majorEastAsia" w:hAnsi="Palatino Linotype" w:cstheme="majorBidi"/>
          <w:b/>
          <w:color w:val="000000" w:themeColor="text1"/>
        </w:rPr>
        <w:lastRenderedPageBreak/>
        <w:t>Condiciones especiales de la clasificación de la información como confidencial.</w:t>
      </w:r>
      <w:bookmarkEnd w:id="86"/>
      <w:bookmarkEnd w:id="87"/>
      <w:bookmarkEnd w:id="88"/>
      <w:bookmarkEnd w:id="89"/>
      <w:bookmarkEnd w:id="90"/>
    </w:p>
    <w:p w:rsidR="0000470D" w:rsidRPr="00983FBC" w:rsidRDefault="0000470D" w:rsidP="0000470D">
      <w:pPr>
        <w:pStyle w:val="Prrafodelista"/>
        <w:keepNext/>
        <w:keepLines/>
        <w:pBdr>
          <w:top w:val="nil"/>
          <w:left w:val="nil"/>
          <w:bottom w:val="nil"/>
          <w:right w:val="nil"/>
          <w:between w:val="nil"/>
          <w:bar w:val="nil"/>
        </w:pBdr>
        <w:spacing w:line="360" w:lineRule="auto"/>
        <w:ind w:left="0"/>
        <w:jc w:val="both"/>
        <w:rPr>
          <w:rFonts w:ascii="Palatino Linotype" w:eastAsiaTheme="majorEastAsia" w:hAnsi="Palatino Linotype" w:cstheme="majorBidi"/>
          <w:b/>
          <w:color w:val="000000" w:themeColor="text1"/>
        </w:rPr>
      </w:pPr>
    </w:p>
    <w:p w:rsidR="005E22B0" w:rsidRDefault="005E22B0" w:rsidP="00983FBC">
      <w:pPr>
        <w:numPr>
          <w:ilvl w:val="0"/>
          <w:numId w:val="18"/>
        </w:numPr>
        <w:shd w:val="clear" w:color="auto" w:fill="FFFFFF"/>
        <w:spacing w:line="360" w:lineRule="auto"/>
        <w:ind w:left="0" w:firstLine="0"/>
        <w:jc w:val="both"/>
        <w:textAlignment w:val="baseline"/>
        <w:rPr>
          <w:rFonts w:ascii="Palatino Linotype" w:hAnsi="Palatino Linotype"/>
          <w:color w:val="000000" w:themeColor="text1"/>
        </w:rPr>
      </w:pPr>
      <w:r w:rsidRPr="00983FBC">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00470D" w:rsidRPr="00983FBC" w:rsidRDefault="0000470D" w:rsidP="0000470D">
      <w:pPr>
        <w:shd w:val="clear" w:color="auto" w:fill="FFFFFF"/>
        <w:spacing w:line="360" w:lineRule="auto"/>
        <w:jc w:val="both"/>
        <w:textAlignment w:val="baseline"/>
        <w:rPr>
          <w:rFonts w:ascii="Palatino Linotype" w:hAnsi="Palatino Linotype"/>
          <w:color w:val="000000" w:themeColor="text1"/>
        </w:rPr>
      </w:pPr>
    </w:p>
    <w:p w:rsidR="005E22B0" w:rsidRPr="00983FBC" w:rsidRDefault="005E22B0" w:rsidP="00983FBC">
      <w:pPr>
        <w:spacing w:line="360" w:lineRule="auto"/>
        <w:ind w:left="567" w:right="616"/>
        <w:jc w:val="both"/>
        <w:rPr>
          <w:rFonts w:ascii="Palatino Linotype" w:eastAsia="Times New Roman" w:hAnsi="Palatino Linotype" w:cs="Times New Roman"/>
          <w:bCs/>
          <w:color w:val="000000" w:themeColor="text1"/>
          <w:lang w:val="es-ES"/>
        </w:rPr>
      </w:pPr>
      <w:r w:rsidRPr="00983FBC">
        <w:rPr>
          <w:rFonts w:ascii="Palatino Linotype" w:eastAsia="Times New Roman" w:hAnsi="Palatino Linotype" w:cs="Times New Roman"/>
          <w:bCs/>
          <w:color w:val="000000" w:themeColor="text1"/>
          <w:lang w:val="es-ES"/>
        </w:rPr>
        <w:t>I.</w:t>
      </w:r>
      <w:r w:rsidRPr="00983FBC">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5E22B0" w:rsidRPr="00983FBC" w:rsidRDefault="005E22B0" w:rsidP="00983FBC">
      <w:pPr>
        <w:spacing w:line="360" w:lineRule="auto"/>
        <w:ind w:left="567" w:right="616"/>
        <w:jc w:val="both"/>
        <w:rPr>
          <w:rFonts w:ascii="Palatino Linotype" w:eastAsia="Times New Roman" w:hAnsi="Palatino Linotype" w:cs="Times New Roman"/>
          <w:bCs/>
          <w:color w:val="000000" w:themeColor="text1"/>
          <w:lang w:val="es-ES"/>
        </w:rPr>
      </w:pPr>
      <w:r w:rsidRPr="00983FBC">
        <w:rPr>
          <w:rFonts w:ascii="Palatino Linotype" w:eastAsia="Times New Roman" w:hAnsi="Palatino Linotype" w:cs="Times New Roman"/>
          <w:bCs/>
          <w:color w:val="000000" w:themeColor="text1"/>
          <w:lang w:val="es-ES"/>
        </w:rPr>
        <w:t xml:space="preserve">II. </w:t>
      </w:r>
      <w:r w:rsidRPr="00983FBC">
        <w:rPr>
          <w:rFonts w:ascii="Palatino Linotype" w:eastAsia="Times New Roman" w:hAnsi="Palatino Linotype" w:cs="Times New Roman"/>
          <w:color w:val="000000" w:themeColor="text1"/>
          <w:lang w:val="es-ES"/>
        </w:rPr>
        <w:t>Por Ley tenga el carácter de pública;</w:t>
      </w:r>
    </w:p>
    <w:p w:rsidR="005E22B0" w:rsidRPr="00983FBC" w:rsidRDefault="005E22B0"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III. </w:t>
      </w:r>
      <w:r w:rsidRPr="00983FBC">
        <w:rPr>
          <w:rFonts w:ascii="Palatino Linotype" w:eastAsia="Times New Roman" w:hAnsi="Palatino Linotype" w:cs="Times New Roman"/>
          <w:color w:val="000000" w:themeColor="text1"/>
          <w:lang w:val="es-ES"/>
        </w:rPr>
        <w:t xml:space="preserve">Exista una orden judicial; </w:t>
      </w:r>
    </w:p>
    <w:p w:rsidR="005E22B0" w:rsidRPr="00983FBC" w:rsidRDefault="005E22B0"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IV. </w:t>
      </w:r>
      <w:r w:rsidRPr="00983FBC">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5E22B0" w:rsidRDefault="005E22B0" w:rsidP="00983FBC">
      <w:pPr>
        <w:spacing w:line="360" w:lineRule="auto"/>
        <w:ind w:left="567" w:right="616"/>
        <w:jc w:val="both"/>
        <w:rPr>
          <w:rFonts w:ascii="Palatino Linotype" w:eastAsia="Times New Roman" w:hAnsi="Palatino Linotype" w:cs="Times New Roman"/>
          <w:color w:val="000000" w:themeColor="text1"/>
          <w:lang w:val="es-ES"/>
        </w:rPr>
      </w:pPr>
      <w:r w:rsidRPr="00983FBC">
        <w:rPr>
          <w:rFonts w:ascii="Palatino Linotype" w:eastAsia="Times New Roman" w:hAnsi="Palatino Linotype" w:cs="Times New Roman"/>
          <w:bCs/>
          <w:color w:val="000000" w:themeColor="text1"/>
          <w:lang w:val="es-ES"/>
        </w:rPr>
        <w:t xml:space="preserve">V. </w:t>
      </w:r>
      <w:r w:rsidRPr="00983FBC">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00470D" w:rsidRPr="00983FBC" w:rsidRDefault="0000470D" w:rsidP="00983FBC">
      <w:pPr>
        <w:spacing w:line="360" w:lineRule="auto"/>
        <w:ind w:left="567" w:right="616"/>
        <w:jc w:val="both"/>
        <w:rPr>
          <w:rFonts w:ascii="Palatino Linotype" w:eastAsia="Times New Roman" w:hAnsi="Palatino Linotype" w:cs="Times New Roman"/>
          <w:color w:val="000000" w:themeColor="text1"/>
          <w:lang w:val="es-ES"/>
        </w:rPr>
      </w:pPr>
    </w:p>
    <w:p w:rsidR="005E22B0" w:rsidRPr="00983FBC" w:rsidRDefault="005E22B0" w:rsidP="00983FB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olor w:val="000000" w:themeColor="text1"/>
        </w:rPr>
        <w:t>En</w:t>
      </w:r>
      <w:r w:rsidRPr="00983FBC">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22B0" w:rsidRPr="00983FBC" w:rsidRDefault="005E22B0" w:rsidP="00983FB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983FBC" w:rsidRDefault="005E22B0" w:rsidP="00983FB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983FBC">
        <w:rPr>
          <w:rFonts w:ascii="Palatino Linotype" w:hAnsi="Palatino Linotype"/>
          <w:color w:val="000000" w:themeColor="text1"/>
        </w:rPr>
        <w:lastRenderedPageBreak/>
        <w:t>Pero</w:t>
      </w:r>
      <w:r w:rsidRPr="00983FB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E22B0" w:rsidRPr="00983FBC" w:rsidRDefault="005E22B0" w:rsidP="00983FBC">
      <w:pPr>
        <w:shd w:val="clear" w:color="auto" w:fill="FFFFFF"/>
        <w:spacing w:line="360" w:lineRule="auto"/>
        <w:contextualSpacing/>
        <w:jc w:val="both"/>
        <w:textAlignment w:val="baseline"/>
        <w:rPr>
          <w:rFonts w:ascii="Palatino Linotype" w:hAnsi="Palatino Linotype"/>
          <w:color w:val="000000" w:themeColor="text1"/>
        </w:rPr>
      </w:pPr>
    </w:p>
    <w:p w:rsidR="005E22B0" w:rsidRPr="00983FBC" w:rsidRDefault="005E22B0" w:rsidP="00983FB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983FBC">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5E22B0" w:rsidRPr="00983FBC" w:rsidRDefault="005E22B0" w:rsidP="00983FBC">
      <w:pPr>
        <w:spacing w:line="360" w:lineRule="auto"/>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5E22B0" w:rsidRPr="00983FBC" w:rsidTr="00EB1ACA">
        <w:tc>
          <w:tcPr>
            <w:tcW w:w="2142" w:type="dxa"/>
            <w:vMerge w:val="restart"/>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Requisitos previos</w:t>
            </w: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p>
          <w:p w:rsidR="005E22B0" w:rsidRPr="00983FBC" w:rsidRDefault="005E22B0" w:rsidP="00983FBC">
            <w:pPr>
              <w:spacing w:line="360" w:lineRule="auto"/>
              <w:jc w:val="both"/>
              <w:rPr>
                <w:rFonts w:ascii="Palatino Linotype" w:hAnsi="Palatino Linotype"/>
                <w:color w:val="000000" w:themeColor="text1"/>
                <w:sz w:val="18"/>
                <w:szCs w:val="18"/>
              </w:rPr>
            </w:pPr>
          </w:p>
          <w:p w:rsidR="005E22B0" w:rsidRPr="00983FBC" w:rsidRDefault="005E22B0" w:rsidP="00983FBC">
            <w:pPr>
              <w:spacing w:line="360" w:lineRule="auto"/>
              <w:jc w:val="both"/>
              <w:rPr>
                <w:rFonts w:ascii="Palatino Linotype" w:hAnsi="Palatino Linotype"/>
                <w:color w:val="000000" w:themeColor="text1"/>
                <w:sz w:val="18"/>
                <w:szCs w:val="18"/>
              </w:rPr>
            </w:pPr>
          </w:p>
          <w:p w:rsidR="005E22B0" w:rsidRPr="00983FBC" w:rsidRDefault="005E22B0" w:rsidP="00983FBC">
            <w:pPr>
              <w:numPr>
                <w:ilvl w:val="0"/>
                <w:numId w:val="30"/>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Confidencialidad </w:t>
            </w:r>
          </w:p>
          <w:p w:rsidR="005E22B0" w:rsidRPr="00983FBC" w:rsidRDefault="005E22B0" w:rsidP="00983FBC">
            <w:pPr>
              <w:numPr>
                <w:ilvl w:val="0"/>
                <w:numId w:val="30"/>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Reserva</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La clasificación de la información se realiza al momento de:</w:t>
            </w:r>
          </w:p>
        </w:tc>
        <w:tc>
          <w:tcPr>
            <w:tcW w:w="2305" w:type="dxa"/>
          </w:tcPr>
          <w:p w:rsidR="005E22B0" w:rsidRPr="00983FBC" w:rsidRDefault="005E22B0"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Atender una solicitud</w:t>
            </w:r>
          </w:p>
          <w:p w:rsidR="005E22B0" w:rsidRPr="00983FBC" w:rsidRDefault="005E22B0"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lastRenderedPageBreak/>
              <w:t>Por mandato de una autoridad competente</w:t>
            </w:r>
          </w:p>
          <w:p w:rsidR="005E22B0" w:rsidRPr="00983FBC" w:rsidRDefault="005E22B0" w:rsidP="00983FBC">
            <w:pPr>
              <w:numPr>
                <w:ilvl w:val="0"/>
                <w:numId w:val="29"/>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elaborar una versión pública y cumplir una obligación de transparencia</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No se pueden emitir acuerdos de carácter general ni particular</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val="restart"/>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Supuestos de clasificación</w:t>
            </w: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clasificar la información como reservada hay</w:t>
            </w:r>
          </w:p>
        </w:tc>
        <w:tc>
          <w:tcPr>
            <w:tcW w:w="2305" w:type="dxa"/>
          </w:tcPr>
          <w:p w:rsidR="005E22B0" w:rsidRPr="00983FBC" w:rsidRDefault="005E22B0" w:rsidP="00983FBC">
            <w:pPr>
              <w:numPr>
                <w:ilvl w:val="0"/>
                <w:numId w:val="31"/>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11 supuestos en la Ley Estatal</w:t>
            </w:r>
          </w:p>
          <w:p w:rsidR="005E22B0" w:rsidRPr="00983FBC" w:rsidRDefault="005E22B0" w:rsidP="00983FBC">
            <w:pPr>
              <w:numPr>
                <w:ilvl w:val="0"/>
                <w:numId w:val="31"/>
              </w:numPr>
              <w:spacing w:line="360" w:lineRule="auto"/>
              <w:ind w:left="0" w:firstLine="0"/>
              <w:contextualSpacing/>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13 supuestos en la Ley General</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Para clasificar la información como confidencial hay</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que considerar la definición de dato personal</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Estos supuestos se aplican de manera restrictiva y estricta, no pueden ampliarse</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val="restart"/>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Excepciones a la clasificación de reserva</w:t>
            </w:r>
          </w:p>
        </w:tc>
        <w:tc>
          <w:tcPr>
            <w:tcW w:w="2106" w:type="dxa"/>
            <w:vMerge w:val="restart"/>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No puede clasificarse como información reservada la concerniente a:</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Actos (probados o en investigación) graves de violaciones a derechos humanos</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Delitos de </w:t>
            </w:r>
            <w:proofErr w:type="spellStart"/>
            <w:r w:rsidRPr="00983FBC">
              <w:rPr>
                <w:rFonts w:ascii="Palatino Linotype" w:hAnsi="Palatino Linotype"/>
                <w:color w:val="000000" w:themeColor="text1"/>
                <w:sz w:val="18"/>
                <w:szCs w:val="18"/>
              </w:rPr>
              <w:t>lessa</w:t>
            </w:r>
            <w:proofErr w:type="spellEnd"/>
            <w:r w:rsidRPr="00983FBC">
              <w:rPr>
                <w:rFonts w:ascii="Palatino Linotype" w:hAnsi="Palatino Linotype"/>
                <w:color w:val="000000" w:themeColor="text1"/>
                <w:sz w:val="18"/>
                <w:szCs w:val="18"/>
              </w:rPr>
              <w:t xml:space="preserve"> humanidad</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Actos de Corrupción</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Los comprendidos en el Título Sexto del Código Penal del Estado</w:t>
            </w:r>
          </w:p>
        </w:tc>
      </w:tr>
      <w:tr w:rsidR="005E22B0" w:rsidRPr="00983FBC" w:rsidTr="00EB1ACA">
        <w:tc>
          <w:tcPr>
            <w:tcW w:w="2142" w:type="dxa"/>
            <w:vMerge w:val="restart"/>
            <w:shd w:val="clear" w:color="auto" w:fill="D5DCE4" w:themeFill="text2" w:themeFillTint="33"/>
          </w:tcPr>
          <w:p w:rsidR="005E22B0" w:rsidRPr="00983FBC" w:rsidRDefault="005E22B0" w:rsidP="00983FBC">
            <w:pPr>
              <w:shd w:val="clear" w:color="auto" w:fill="AADAF8"/>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Participación del Comité de Transparencia</w:t>
            </w:r>
          </w:p>
          <w:p w:rsidR="005E22B0" w:rsidRPr="00983FBC" w:rsidRDefault="005E22B0" w:rsidP="00983FBC">
            <w:pPr>
              <w:spacing w:line="360" w:lineRule="auto"/>
              <w:rPr>
                <w:rFonts w:ascii="Palatino Linotype" w:hAnsi="Palatino Linotype"/>
                <w:sz w:val="18"/>
                <w:szCs w:val="18"/>
              </w:rPr>
            </w:pPr>
          </w:p>
          <w:p w:rsidR="005E22B0" w:rsidRPr="00983FBC" w:rsidRDefault="005E22B0" w:rsidP="00983FBC">
            <w:pPr>
              <w:spacing w:line="360" w:lineRule="auto"/>
              <w:jc w:val="center"/>
              <w:rPr>
                <w:rFonts w:ascii="Palatino Linotype" w:hAnsi="Palatino Linotype"/>
                <w:sz w:val="18"/>
                <w:szCs w:val="18"/>
              </w:rPr>
            </w:pPr>
          </w:p>
        </w:tc>
        <w:tc>
          <w:tcPr>
            <w:tcW w:w="2106" w:type="dxa"/>
            <w:vMerge w:val="restart"/>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Formalidades</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Comité debe de estar debidamente integrado</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Fondo del acuerdo de clasificación</w:t>
            </w: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La carga de la prueba para justificar la restricción corresponde al sujeto obligado</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Deber de fundar y motivar</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rPr>
          <w:trHeight w:val="486"/>
        </w:trPr>
        <w:tc>
          <w:tcPr>
            <w:tcW w:w="2142" w:type="dxa"/>
            <w:vMerge w:val="restart"/>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Condiciones especiales de la reserva</w:t>
            </w:r>
          </w:p>
        </w:tc>
        <w:tc>
          <w:tcPr>
            <w:tcW w:w="2106" w:type="dxa"/>
            <w:vMerge w:val="restart"/>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Motivar implica</w:t>
            </w:r>
          </w:p>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Además se debe aplicar, caso por caso, una prueba de daño.</w:t>
            </w:r>
          </w:p>
        </w:tc>
        <w:tc>
          <w:tcPr>
            <w:tcW w:w="2305" w:type="dxa"/>
            <w:vMerge w:val="restart"/>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Señalar las razones, motivos o circunstancias.</w:t>
            </w:r>
          </w:p>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Se deben señalar las razones objetivas y acreditar.</w:t>
            </w:r>
          </w:p>
          <w:p w:rsidR="005E22B0" w:rsidRPr="00983FBC" w:rsidRDefault="005E22B0" w:rsidP="00983FBC">
            <w:pPr>
              <w:spacing w:line="360" w:lineRule="auto"/>
              <w:jc w:val="both"/>
              <w:rPr>
                <w:rFonts w:ascii="Palatino Linotype" w:hAnsi="Palatino Linotype"/>
                <w:color w:val="000000" w:themeColor="text1"/>
                <w:sz w:val="18"/>
                <w:szCs w:val="18"/>
              </w:rPr>
            </w:pPr>
          </w:p>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5E22B0" w:rsidRPr="00983FBC" w:rsidTr="00EB1ACA">
        <w:trPr>
          <w:trHeight w:val="486"/>
        </w:trPr>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El riesgo por divulgar es mayor que el interés público de que se difunda  </w:t>
            </w:r>
          </w:p>
        </w:tc>
      </w:tr>
      <w:tr w:rsidR="005E22B0" w:rsidRPr="00983FBC" w:rsidTr="00EB1ACA">
        <w:trPr>
          <w:trHeight w:val="1454"/>
        </w:trPr>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305" w:type="dxa"/>
            <w:vMerge/>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El principio de proporcionalidad</w:t>
            </w:r>
          </w:p>
        </w:tc>
      </w:tr>
      <w:tr w:rsidR="005E22B0" w:rsidRPr="00983FBC" w:rsidTr="00EB1ACA">
        <w:tc>
          <w:tcPr>
            <w:tcW w:w="2142" w:type="dxa"/>
            <w:vMerge w:val="restart"/>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Condiciones especiales de la confidencialidad</w:t>
            </w: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r w:rsidR="005E22B0" w:rsidRPr="00983FBC" w:rsidTr="00EB1ACA">
        <w:trPr>
          <w:trHeight w:val="3404"/>
        </w:trPr>
        <w:tc>
          <w:tcPr>
            <w:tcW w:w="2142" w:type="dxa"/>
            <w:vMerge/>
            <w:shd w:val="clear" w:color="auto" w:fill="D5DCE4" w:themeFill="text2" w:themeFillTint="33"/>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106" w:type="dxa"/>
          </w:tcPr>
          <w:p w:rsidR="005E22B0" w:rsidRPr="00983FBC" w:rsidRDefault="005E22B0" w:rsidP="00983FBC">
            <w:pPr>
              <w:spacing w:line="360" w:lineRule="auto"/>
              <w:jc w:val="both"/>
              <w:rPr>
                <w:rFonts w:ascii="Palatino Linotype" w:hAnsi="Palatino Linotype"/>
                <w:color w:val="000000" w:themeColor="text1"/>
                <w:sz w:val="18"/>
                <w:szCs w:val="18"/>
              </w:rPr>
            </w:pPr>
            <w:r w:rsidRPr="00983FBC">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5E22B0" w:rsidRPr="00983FBC" w:rsidRDefault="005E22B0" w:rsidP="00983FBC">
            <w:pPr>
              <w:spacing w:line="360" w:lineRule="auto"/>
              <w:jc w:val="both"/>
              <w:rPr>
                <w:rFonts w:ascii="Palatino Linotype" w:hAnsi="Palatino Linotype"/>
                <w:color w:val="000000" w:themeColor="text1"/>
                <w:sz w:val="18"/>
                <w:szCs w:val="18"/>
              </w:rPr>
            </w:pPr>
          </w:p>
        </w:tc>
        <w:tc>
          <w:tcPr>
            <w:tcW w:w="2254" w:type="dxa"/>
          </w:tcPr>
          <w:p w:rsidR="005E22B0" w:rsidRPr="00983FBC" w:rsidRDefault="005E22B0" w:rsidP="00983FBC">
            <w:pPr>
              <w:spacing w:line="360" w:lineRule="auto"/>
              <w:jc w:val="both"/>
              <w:rPr>
                <w:rFonts w:ascii="Palatino Linotype" w:hAnsi="Palatino Linotype"/>
                <w:color w:val="000000" w:themeColor="text1"/>
                <w:sz w:val="18"/>
                <w:szCs w:val="18"/>
              </w:rPr>
            </w:pPr>
          </w:p>
        </w:tc>
      </w:tr>
    </w:tbl>
    <w:p w:rsidR="0000470D" w:rsidRPr="0000470D" w:rsidRDefault="0000470D" w:rsidP="0000470D">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Default="005E22B0" w:rsidP="00983FB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983FBC">
        <w:rPr>
          <w:rFonts w:ascii="Palatino Linotype" w:hAnsi="Palatino Linotype"/>
          <w:color w:val="000000" w:themeColor="text1"/>
        </w:rPr>
        <w:t>Pero</w:t>
      </w:r>
      <w:r w:rsidRPr="00983FB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0470D" w:rsidRPr="00983FBC" w:rsidRDefault="0000470D" w:rsidP="0000470D">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983FBC" w:rsidRDefault="005E22B0" w:rsidP="00983FB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83FBC">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E22B0" w:rsidRPr="00983FBC" w:rsidRDefault="005E22B0" w:rsidP="00983FBC">
      <w:pPr>
        <w:spacing w:line="360" w:lineRule="auto"/>
        <w:contextualSpacing/>
        <w:jc w:val="both"/>
        <w:rPr>
          <w:rFonts w:ascii="Palatino Linotype" w:eastAsia="Calibri" w:hAnsi="Palatino Linotype" w:cs="Arial"/>
          <w:bCs/>
        </w:rPr>
      </w:pPr>
    </w:p>
    <w:p w:rsidR="005E22B0" w:rsidRPr="00983FBC" w:rsidRDefault="005E22B0" w:rsidP="00983FBC">
      <w:pPr>
        <w:spacing w:line="360" w:lineRule="auto"/>
        <w:jc w:val="both"/>
        <w:rPr>
          <w:rFonts w:ascii="Palatino Linotype" w:eastAsia="Calibri" w:hAnsi="Palatino Linotype" w:cs="Arial"/>
          <w:bCs/>
        </w:rPr>
      </w:pPr>
      <w:r w:rsidRPr="00983FBC">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rsidR="00554DF4" w:rsidRPr="0000470D" w:rsidRDefault="00554DF4" w:rsidP="00983FBC">
      <w:pPr>
        <w:pStyle w:val="Prrafodelista"/>
        <w:numPr>
          <w:ilvl w:val="0"/>
          <w:numId w:val="1"/>
        </w:numPr>
        <w:spacing w:line="360" w:lineRule="auto"/>
        <w:ind w:left="0" w:firstLine="0"/>
        <w:jc w:val="both"/>
        <w:rPr>
          <w:rFonts w:ascii="Palatino Linotype" w:hAnsi="Palatino Linotype" w:cs="Arial"/>
        </w:rPr>
      </w:pPr>
      <w:r w:rsidRPr="00983FBC">
        <w:rPr>
          <w:rFonts w:ascii="Palatino Linotype" w:hAnsi="Palatino Linotype"/>
          <w:color w:val="000000"/>
          <w:lang w:val="es-ES" w:eastAsia="es-MX"/>
        </w:rPr>
        <w:lastRenderedPageBreak/>
        <w:t xml:space="preserve">Por lo anteriormente expuesto y fundado, este </w:t>
      </w:r>
      <w:r w:rsidRPr="00983FBC">
        <w:rPr>
          <w:rFonts w:ascii="Palatino Linotype" w:hAnsi="Palatino Linotype"/>
          <w:b/>
          <w:bCs/>
          <w:color w:val="000000"/>
          <w:lang w:val="es-ES" w:eastAsia="es-MX"/>
        </w:rPr>
        <w:t>ÓRGANO GARANTE</w:t>
      </w:r>
      <w:r w:rsidRPr="00983FBC">
        <w:rPr>
          <w:rFonts w:ascii="Palatino Linotype" w:hAnsi="Palatino Linotype"/>
          <w:color w:val="000000"/>
          <w:lang w:val="es-ES" w:eastAsia="es-MX"/>
        </w:rPr>
        <w:t xml:space="preserve"> emite los siguientes:</w:t>
      </w:r>
    </w:p>
    <w:p w:rsidR="0000470D" w:rsidRPr="00983FBC" w:rsidRDefault="0000470D" w:rsidP="0000470D">
      <w:pPr>
        <w:pStyle w:val="Prrafodelista"/>
        <w:spacing w:line="360" w:lineRule="auto"/>
        <w:ind w:left="0"/>
        <w:jc w:val="both"/>
        <w:rPr>
          <w:rFonts w:ascii="Palatino Linotype" w:hAnsi="Palatino Linotype" w:cs="Arial"/>
        </w:rPr>
      </w:pPr>
    </w:p>
    <w:p w:rsidR="00554DF4" w:rsidRPr="00983FBC" w:rsidRDefault="00554DF4" w:rsidP="00983FBC">
      <w:pPr>
        <w:keepNext/>
        <w:keepLines/>
        <w:spacing w:line="360" w:lineRule="auto"/>
        <w:jc w:val="center"/>
        <w:outlineLvl w:val="0"/>
        <w:rPr>
          <w:rFonts w:ascii="Palatino Linotype" w:eastAsia="Times New Roman" w:hAnsi="Palatino Linotype" w:cstheme="majorBidi"/>
          <w:b/>
          <w:bCs/>
        </w:rPr>
      </w:pPr>
      <w:bookmarkStart w:id="91" w:name="_Toc486525261"/>
      <w:bookmarkStart w:id="92" w:name="_Toc445745148"/>
      <w:bookmarkStart w:id="93" w:name="_Toc447699324"/>
      <w:bookmarkStart w:id="94" w:name="_Toc32221287"/>
      <w:r w:rsidRPr="00983FBC">
        <w:rPr>
          <w:rFonts w:ascii="Palatino Linotype" w:eastAsia="Times New Roman" w:hAnsi="Palatino Linotype" w:cstheme="majorBidi"/>
          <w:b/>
          <w:bCs/>
        </w:rPr>
        <w:t>R E S O L U T I V O S</w:t>
      </w:r>
      <w:bookmarkEnd w:id="91"/>
      <w:bookmarkEnd w:id="92"/>
      <w:bookmarkEnd w:id="93"/>
      <w:bookmarkEnd w:id="94"/>
    </w:p>
    <w:p w:rsidR="00554DF4" w:rsidRPr="00983FBC" w:rsidRDefault="00554DF4" w:rsidP="00983FBC">
      <w:pPr>
        <w:keepNext/>
        <w:keepLines/>
        <w:spacing w:line="360" w:lineRule="auto"/>
        <w:jc w:val="center"/>
        <w:outlineLvl w:val="0"/>
        <w:rPr>
          <w:rFonts w:ascii="Palatino Linotype" w:eastAsia="Times New Roman" w:hAnsi="Palatino Linotype" w:cstheme="majorBidi"/>
          <w:b/>
          <w:bCs/>
        </w:rPr>
      </w:pPr>
    </w:p>
    <w:p w:rsidR="0000470D" w:rsidRDefault="00554DF4" w:rsidP="00983FBC">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95" w:name="_Toc460947011"/>
      <w:bookmarkStart w:id="96" w:name="_Toc450120669"/>
      <w:bookmarkEnd w:id="11"/>
      <w:bookmarkEnd w:id="12"/>
      <w:bookmarkEnd w:id="13"/>
      <w:r w:rsidRPr="00983FBC">
        <w:rPr>
          <w:rFonts w:ascii="Palatino Linotype" w:eastAsia="Times New Roman" w:hAnsi="Palatino Linotype" w:cs="Arial"/>
          <w:b/>
        </w:rPr>
        <w:t xml:space="preserve">PRIMERO. </w:t>
      </w:r>
      <w:r w:rsidRPr="00983FBC">
        <w:rPr>
          <w:rFonts w:ascii="Palatino Linotype" w:hAnsi="Palatino Linotype"/>
        </w:rPr>
        <w:t xml:space="preserve">Resultan fundadas las razones y motivos de inconformidad hechos valer en el recurso de revisión </w:t>
      </w:r>
      <w:r w:rsidRPr="00983FBC">
        <w:rPr>
          <w:rFonts w:ascii="Palatino Linotype" w:hAnsi="Palatino Linotype"/>
          <w:b/>
        </w:rPr>
        <w:t>0</w:t>
      </w:r>
      <w:r w:rsidR="00EB1ACA" w:rsidRPr="00983FBC">
        <w:rPr>
          <w:rFonts w:ascii="Palatino Linotype" w:hAnsi="Palatino Linotype" w:cs="Arial"/>
          <w:b/>
          <w:bCs/>
          <w:szCs w:val="22"/>
          <w:lang w:eastAsia="es-MX"/>
        </w:rPr>
        <w:t>8623</w:t>
      </w:r>
      <w:r w:rsidRPr="00983FBC">
        <w:rPr>
          <w:rFonts w:ascii="Palatino Linotype" w:hAnsi="Palatino Linotype"/>
          <w:b/>
        </w:rPr>
        <w:t xml:space="preserve">/INFOEM/IP/RR/2019 </w:t>
      </w:r>
      <w:r w:rsidRPr="00983FBC">
        <w:rPr>
          <w:rFonts w:ascii="Palatino Linotype" w:hAnsi="Palatino Linotype"/>
        </w:rPr>
        <w:t>en términos de los considerandos</w:t>
      </w:r>
      <w:r w:rsidRPr="00983FBC">
        <w:rPr>
          <w:rFonts w:ascii="Palatino Linotype" w:hAnsi="Palatino Linotype"/>
          <w:b/>
        </w:rPr>
        <w:t xml:space="preserve"> CUARTO </w:t>
      </w:r>
      <w:r w:rsidR="00ED430A" w:rsidRPr="00983FBC">
        <w:rPr>
          <w:rFonts w:ascii="Palatino Linotype" w:hAnsi="Palatino Linotype"/>
          <w:b/>
        </w:rPr>
        <w:t xml:space="preserve">y QUINTO </w:t>
      </w:r>
      <w:r w:rsidRPr="00983FBC">
        <w:rPr>
          <w:rFonts w:ascii="Palatino Linotype" w:hAnsi="Palatino Linotype"/>
        </w:rPr>
        <w:t>de la presente resolución.</w:t>
      </w:r>
    </w:p>
    <w:p w:rsidR="0000470D" w:rsidRPr="0000470D" w:rsidRDefault="0000470D" w:rsidP="00983FBC">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554DF4" w:rsidRDefault="00554DF4" w:rsidP="00983FBC">
      <w:pPr>
        <w:spacing w:line="360" w:lineRule="auto"/>
        <w:jc w:val="both"/>
        <w:rPr>
          <w:rStyle w:val="Ttulo2Car"/>
          <w:rFonts w:ascii="Palatino Linotype" w:hAnsi="Palatino Linotype"/>
          <w:color w:val="000000" w:themeColor="text1"/>
        </w:rPr>
      </w:pPr>
      <w:bookmarkStart w:id="97" w:name="_Toc504377974"/>
      <w:bookmarkStart w:id="98" w:name="_Toc499757020"/>
      <w:bookmarkStart w:id="99" w:name="_Toc499756977"/>
      <w:bookmarkStart w:id="100" w:name="_Toc496100166"/>
      <w:bookmarkStart w:id="101" w:name="_Toc496099789"/>
      <w:bookmarkStart w:id="102" w:name="_Toc462228129"/>
      <w:bookmarkStart w:id="103" w:name="_Toc462228049"/>
      <w:bookmarkStart w:id="104" w:name="_Toc461648682"/>
      <w:bookmarkStart w:id="105" w:name="_Toc461648590"/>
      <w:r w:rsidRPr="00983FBC">
        <w:rPr>
          <w:rFonts w:ascii="Palatino Linotype" w:eastAsia="Times New Roman" w:hAnsi="Palatino Linotype" w:cs="Arial"/>
          <w:b/>
        </w:rPr>
        <w:t>SEGUNDO.</w:t>
      </w:r>
      <w:bookmarkEnd w:id="97"/>
      <w:bookmarkEnd w:id="98"/>
      <w:bookmarkEnd w:id="99"/>
      <w:bookmarkEnd w:id="100"/>
      <w:bookmarkEnd w:id="101"/>
      <w:bookmarkEnd w:id="102"/>
      <w:bookmarkEnd w:id="103"/>
      <w:bookmarkEnd w:id="104"/>
      <w:bookmarkEnd w:id="105"/>
      <w:r w:rsidRPr="00983FBC">
        <w:rPr>
          <w:rStyle w:val="Ttulo2Car"/>
          <w:rFonts w:ascii="Palatino Linotype" w:hAnsi="Palatino Linotype"/>
          <w:b/>
          <w:color w:val="000000" w:themeColor="text1"/>
        </w:rPr>
        <w:t xml:space="preserve"> Se </w:t>
      </w:r>
      <w:r w:rsidR="003F0B1B" w:rsidRPr="00983FBC">
        <w:rPr>
          <w:rStyle w:val="Ttulo2Car"/>
          <w:rFonts w:ascii="Palatino Linotype" w:hAnsi="Palatino Linotype"/>
          <w:b/>
          <w:color w:val="000000" w:themeColor="text1"/>
        </w:rPr>
        <w:t>MODIFICA</w:t>
      </w:r>
      <w:r w:rsidRPr="00983FBC">
        <w:rPr>
          <w:rStyle w:val="Ttulo2Car"/>
          <w:rFonts w:ascii="Palatino Linotype" w:hAnsi="Palatino Linotype"/>
          <w:b/>
          <w:color w:val="000000" w:themeColor="text1"/>
        </w:rPr>
        <w:t xml:space="preserve"> </w:t>
      </w:r>
      <w:r w:rsidRPr="00983FBC">
        <w:rPr>
          <w:rStyle w:val="Ttulo2Car"/>
          <w:rFonts w:ascii="Palatino Linotype" w:hAnsi="Palatino Linotype"/>
          <w:color w:val="000000" w:themeColor="text1"/>
        </w:rPr>
        <w:t>la respuesta emitida por el</w:t>
      </w:r>
      <w:r w:rsidRPr="00983FBC">
        <w:rPr>
          <w:rStyle w:val="Ttulo2Car"/>
          <w:rFonts w:ascii="Palatino Linotype" w:hAnsi="Palatino Linotype"/>
          <w:b/>
          <w:color w:val="000000" w:themeColor="text1"/>
        </w:rPr>
        <w:t xml:space="preserve"> </w:t>
      </w:r>
      <w:r w:rsidR="00F76C2F" w:rsidRPr="00983FBC">
        <w:rPr>
          <w:rFonts w:ascii="Palatino Linotype" w:hAnsi="Palatino Linotype"/>
          <w:b/>
          <w:bCs/>
          <w:szCs w:val="22"/>
        </w:rPr>
        <w:t xml:space="preserve">Ayuntamiento de </w:t>
      </w:r>
      <w:r w:rsidR="003F0B1B" w:rsidRPr="00983FBC">
        <w:rPr>
          <w:rFonts w:ascii="Palatino Linotype" w:hAnsi="Palatino Linotype"/>
          <w:b/>
          <w:bCs/>
          <w:szCs w:val="22"/>
        </w:rPr>
        <w:t>Tejupilco</w:t>
      </w:r>
      <w:r w:rsidRPr="00983FBC">
        <w:rPr>
          <w:rStyle w:val="Ttulo2Car"/>
          <w:rFonts w:ascii="Palatino Linotype" w:hAnsi="Palatino Linotype"/>
          <w:b/>
          <w:color w:val="000000" w:themeColor="text1"/>
        </w:rPr>
        <w:t xml:space="preserve"> </w:t>
      </w:r>
      <w:r w:rsidRPr="00983FBC">
        <w:rPr>
          <w:rStyle w:val="Ttulo2Car"/>
          <w:rFonts w:ascii="Palatino Linotype" w:hAnsi="Palatino Linotype"/>
          <w:color w:val="000000" w:themeColor="text1"/>
        </w:rPr>
        <w:t>y se</w:t>
      </w:r>
      <w:r w:rsidRPr="00983FBC">
        <w:rPr>
          <w:rStyle w:val="Ttulo2Car"/>
          <w:rFonts w:ascii="Palatino Linotype" w:hAnsi="Palatino Linotype"/>
          <w:b/>
          <w:color w:val="000000" w:themeColor="text1"/>
        </w:rPr>
        <w:t xml:space="preserve"> ORDENA </w:t>
      </w:r>
      <w:r w:rsidR="00827373" w:rsidRPr="00983FBC">
        <w:rPr>
          <w:rStyle w:val="Ttulo2Car"/>
          <w:rFonts w:ascii="Palatino Linotype" w:hAnsi="Palatino Linotype"/>
          <w:color w:val="000000" w:themeColor="text1"/>
        </w:rPr>
        <w:t xml:space="preserve">entregar </w:t>
      </w:r>
      <w:r w:rsidR="00ED430A" w:rsidRPr="00983FBC">
        <w:rPr>
          <w:rStyle w:val="Ttulo2Car"/>
          <w:rFonts w:ascii="Palatino Linotype" w:hAnsi="Palatino Linotype"/>
          <w:color w:val="000000" w:themeColor="text1"/>
        </w:rPr>
        <w:t>vía Sistema de Acceso a la Información Mexiquense (SAIMEX) y vía correo electrónico, de ser el caso en versión pública,</w:t>
      </w:r>
      <w:r w:rsidR="00827373" w:rsidRPr="00983FBC">
        <w:rPr>
          <w:rStyle w:val="Ttulo2Car"/>
          <w:rFonts w:ascii="Palatino Linotype" w:hAnsi="Palatino Linotype"/>
          <w:b/>
          <w:color w:val="000000" w:themeColor="text1"/>
        </w:rPr>
        <w:t xml:space="preserve"> </w:t>
      </w:r>
      <w:r w:rsidRPr="00983FBC">
        <w:rPr>
          <w:rStyle w:val="Ttulo2Car"/>
          <w:rFonts w:ascii="Palatino Linotype" w:hAnsi="Palatino Linotype"/>
          <w:color w:val="000000" w:themeColor="text1"/>
        </w:rPr>
        <w:t>lo siguiente:</w:t>
      </w:r>
    </w:p>
    <w:p w:rsidR="0000470D" w:rsidRPr="00983FBC" w:rsidRDefault="0000470D" w:rsidP="00983FBC">
      <w:pPr>
        <w:spacing w:line="360" w:lineRule="auto"/>
        <w:jc w:val="both"/>
        <w:rPr>
          <w:rStyle w:val="Ttulo2Car"/>
          <w:rFonts w:ascii="Palatino Linotype" w:hAnsi="Palatino Linotype"/>
          <w:color w:val="000000" w:themeColor="text1"/>
        </w:rPr>
      </w:pPr>
    </w:p>
    <w:p w:rsidR="00ED430A" w:rsidRPr="0000470D" w:rsidRDefault="00ED430A" w:rsidP="00983FBC">
      <w:pPr>
        <w:pStyle w:val="Prrafodelista"/>
        <w:numPr>
          <w:ilvl w:val="0"/>
          <w:numId w:val="7"/>
        </w:numPr>
        <w:spacing w:line="360" w:lineRule="auto"/>
        <w:jc w:val="both"/>
        <w:rPr>
          <w:rFonts w:ascii="Palatino Linotype" w:hAnsi="Palatino Linotype"/>
          <w:b/>
          <w:szCs w:val="22"/>
        </w:rPr>
      </w:pPr>
      <w:bookmarkStart w:id="106" w:name="_Toc29491355"/>
      <w:r w:rsidRPr="00983FBC">
        <w:rPr>
          <w:rFonts w:ascii="Palatino Linotype" w:hAnsi="Palatino Linotype" w:cs="Arial"/>
          <w:b/>
        </w:rPr>
        <w:t>Facturas y contratos de los bienes comprados y/o rentados para seguridad pública, como patrullas, radios y uniformes, con los recursos federales</w:t>
      </w:r>
      <w:r w:rsidR="00C9670D" w:rsidRPr="00983FBC">
        <w:rPr>
          <w:rFonts w:ascii="Palatino Linotype" w:hAnsi="Palatino Linotype" w:cs="Arial"/>
          <w:b/>
        </w:rPr>
        <w:t xml:space="preserve"> </w:t>
      </w:r>
      <w:r w:rsidRPr="00983FBC">
        <w:rPr>
          <w:rFonts w:ascii="Palatino Linotype" w:hAnsi="Palatino Linotype" w:cs="Arial"/>
          <w:b/>
        </w:rPr>
        <w:t>recibidos</w:t>
      </w:r>
      <w:r w:rsidR="00316661" w:rsidRPr="00983FBC">
        <w:rPr>
          <w:rFonts w:ascii="Palatino Linotype" w:hAnsi="Palatino Linotype" w:cs="Arial"/>
          <w:b/>
        </w:rPr>
        <w:t xml:space="preserve"> durante el</w:t>
      </w:r>
      <w:r w:rsidRPr="00983FBC">
        <w:rPr>
          <w:rFonts w:ascii="Palatino Linotype" w:hAnsi="Palatino Linotype" w:cs="Arial"/>
          <w:b/>
        </w:rPr>
        <w:t xml:space="preserve"> 2019.</w:t>
      </w:r>
    </w:p>
    <w:p w:rsidR="0000470D" w:rsidRPr="00983FBC" w:rsidRDefault="0000470D" w:rsidP="0000470D">
      <w:pPr>
        <w:pStyle w:val="Prrafodelista"/>
        <w:spacing w:line="360" w:lineRule="auto"/>
        <w:jc w:val="both"/>
        <w:rPr>
          <w:rStyle w:val="Ttulo2Car"/>
          <w:rFonts w:ascii="Palatino Linotype" w:eastAsiaTheme="minorEastAsia" w:hAnsi="Palatino Linotype" w:cstheme="minorBidi"/>
          <w:b/>
          <w:color w:val="auto"/>
          <w:sz w:val="24"/>
          <w:szCs w:val="22"/>
        </w:rPr>
      </w:pPr>
    </w:p>
    <w:bookmarkEnd w:id="106"/>
    <w:p w:rsidR="00C11FEA" w:rsidRPr="00983FBC" w:rsidRDefault="00C11FEA" w:rsidP="00983FBC">
      <w:pPr>
        <w:spacing w:line="360" w:lineRule="auto"/>
        <w:jc w:val="both"/>
        <w:rPr>
          <w:rFonts w:ascii="Palatino Linotype" w:eastAsia="Calibri" w:hAnsi="Palatino Linotype" w:cs="Arial"/>
        </w:rPr>
      </w:pPr>
      <w:r w:rsidRPr="00983FB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893E01" w:rsidRPr="00983FBC">
        <w:rPr>
          <w:rFonts w:ascii="Palatino Linotype" w:eastAsia="Calibri" w:hAnsi="Palatino Linotype" w:cs="Arial"/>
        </w:rPr>
        <w:t xml:space="preserve">siones públicas que se formulen y se pongan a disposición del </w:t>
      </w:r>
      <w:r w:rsidR="00893E01" w:rsidRPr="00983FBC">
        <w:rPr>
          <w:rFonts w:ascii="Palatino Linotype" w:eastAsia="Calibri" w:hAnsi="Palatino Linotype" w:cs="Arial"/>
          <w:b/>
        </w:rPr>
        <w:t>RECURRENTE.</w:t>
      </w:r>
    </w:p>
    <w:p w:rsidR="00C11FEA" w:rsidRPr="00983FBC" w:rsidRDefault="00C11FEA" w:rsidP="00983FBC">
      <w:pPr>
        <w:spacing w:line="360" w:lineRule="auto"/>
        <w:jc w:val="both"/>
        <w:rPr>
          <w:rFonts w:ascii="Palatino Linotype" w:hAnsi="Palatino Linotype"/>
          <w:color w:val="222222"/>
          <w:highlight w:val="cyan"/>
          <w:shd w:val="clear" w:color="auto" w:fill="FFFFFF"/>
        </w:rPr>
      </w:pPr>
    </w:p>
    <w:p w:rsidR="00554DF4" w:rsidRPr="00983FBC" w:rsidRDefault="00554DF4" w:rsidP="00983FBC">
      <w:pPr>
        <w:tabs>
          <w:tab w:val="left" w:pos="8080"/>
        </w:tabs>
        <w:spacing w:line="360" w:lineRule="auto"/>
        <w:ind w:right="49"/>
        <w:contextualSpacing/>
        <w:jc w:val="both"/>
        <w:rPr>
          <w:rFonts w:ascii="Palatino Linotype" w:hAnsi="Palatino Linotype"/>
          <w:color w:val="222222"/>
          <w:shd w:val="clear" w:color="auto" w:fill="FFFFFF"/>
        </w:rPr>
      </w:pPr>
      <w:r w:rsidRPr="00983FBC">
        <w:rPr>
          <w:rFonts w:ascii="Palatino Linotype" w:eastAsia="Palatino Linotype" w:hAnsi="Palatino Linotype" w:cs="Palatino Linotype"/>
          <w:b/>
        </w:rPr>
        <w:lastRenderedPageBreak/>
        <w:t xml:space="preserve">TERCERO. Notifíquese </w:t>
      </w:r>
      <w:r w:rsidRPr="00983FBC">
        <w:rPr>
          <w:rFonts w:ascii="Palatino Linotype" w:eastAsia="Palatino Linotype" w:hAnsi="Palatino Linotype" w:cs="Palatino Linotype"/>
        </w:rPr>
        <w:t xml:space="preserve">al Titular de la Unidad de Transparencia del </w:t>
      </w:r>
      <w:r w:rsidRPr="00983FBC">
        <w:rPr>
          <w:rFonts w:ascii="Palatino Linotype" w:eastAsia="Palatino Linotype" w:hAnsi="Palatino Linotype" w:cs="Palatino Linotype"/>
          <w:b/>
        </w:rPr>
        <w:t>SUJETO OBLIGADO</w:t>
      </w:r>
      <w:r w:rsidRPr="00983FB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83FB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983FBC" w:rsidRDefault="00554DF4" w:rsidP="00983FBC">
      <w:pPr>
        <w:tabs>
          <w:tab w:val="left" w:pos="8080"/>
        </w:tabs>
        <w:spacing w:line="360" w:lineRule="auto"/>
        <w:ind w:right="49"/>
        <w:contextualSpacing/>
        <w:jc w:val="both"/>
        <w:rPr>
          <w:rFonts w:ascii="Palatino Linotype" w:eastAsia="Palatino Linotype" w:hAnsi="Palatino Linotype" w:cs="Palatino Linotype"/>
          <w:b/>
        </w:rPr>
      </w:pPr>
    </w:p>
    <w:p w:rsidR="00554DF4" w:rsidRPr="00983FBC" w:rsidRDefault="00554DF4" w:rsidP="00983FBC">
      <w:pPr>
        <w:spacing w:line="360" w:lineRule="auto"/>
        <w:jc w:val="both"/>
        <w:rPr>
          <w:rFonts w:ascii="Palatino Linotype" w:hAnsi="Palatino Linotype"/>
        </w:rPr>
      </w:pPr>
      <w:bookmarkStart w:id="107" w:name="_Toc460947013"/>
      <w:bookmarkEnd w:id="95"/>
      <w:bookmarkEnd w:id="96"/>
      <w:r w:rsidRPr="00983FBC">
        <w:rPr>
          <w:rFonts w:ascii="Palatino Linotype" w:eastAsia="Times New Roman" w:hAnsi="Palatino Linotype" w:cs="Arial"/>
          <w:b/>
        </w:rPr>
        <w:t xml:space="preserve">CUARTO. </w:t>
      </w:r>
      <w:r w:rsidRPr="00983FBC">
        <w:rPr>
          <w:rFonts w:ascii="Palatino Linotype" w:eastAsia="Times New Roman" w:hAnsi="Palatino Linotype" w:cs="Times New Roman"/>
          <w:b/>
          <w:bCs/>
          <w:color w:val="222222"/>
          <w:lang w:val="es-ES"/>
        </w:rPr>
        <w:t xml:space="preserve">Notifíquese a </w:t>
      </w:r>
      <w:r w:rsidR="00756F13" w:rsidRPr="00756F13">
        <w:rPr>
          <w:rFonts w:ascii="Palatino Linotype" w:hAnsi="Palatino Linotype"/>
          <w:b/>
          <w:sz w:val="22"/>
          <w:szCs w:val="22"/>
          <w:highlight w:val="black"/>
        </w:rPr>
        <w:t>-</w:t>
      </w:r>
      <w:r w:rsidR="00756F13">
        <w:rPr>
          <w:rFonts w:ascii="Palatino Linotype" w:hAnsi="Palatino Linotype"/>
          <w:b/>
          <w:sz w:val="22"/>
          <w:szCs w:val="22"/>
          <w:highlight w:val="black"/>
        </w:rPr>
        <w:t>-----------------</w:t>
      </w:r>
      <w:r w:rsidR="00756F13" w:rsidRPr="00756F13">
        <w:rPr>
          <w:rFonts w:ascii="Palatino Linotype" w:hAnsi="Palatino Linotype"/>
          <w:b/>
          <w:sz w:val="22"/>
          <w:szCs w:val="22"/>
          <w:highlight w:val="black"/>
        </w:rPr>
        <w:t>-------</w:t>
      </w:r>
      <w:r w:rsidR="00F76C2F" w:rsidRPr="00983FBC">
        <w:rPr>
          <w:rFonts w:ascii="Palatino Linotype" w:hAnsi="Palatino Linotype"/>
        </w:rPr>
        <w:t xml:space="preserve"> </w:t>
      </w:r>
      <w:r w:rsidRPr="00983FBC">
        <w:rPr>
          <w:rFonts w:ascii="Palatino Linotype" w:hAnsi="Palatino Linotype"/>
        </w:rPr>
        <w:t>la presente resolución</w:t>
      </w:r>
      <w:r w:rsidR="006D6CCC" w:rsidRPr="00983FBC">
        <w:rPr>
          <w:rFonts w:ascii="Palatino Linotype" w:hAnsi="Palatino Linotype"/>
        </w:rPr>
        <w:t>.</w:t>
      </w:r>
    </w:p>
    <w:p w:rsidR="00554DF4" w:rsidRPr="00983FBC" w:rsidRDefault="00554DF4" w:rsidP="00983FBC">
      <w:pPr>
        <w:spacing w:line="360" w:lineRule="auto"/>
        <w:jc w:val="both"/>
        <w:rPr>
          <w:rFonts w:ascii="Palatino Linotype" w:hAnsi="Palatino Linotype"/>
        </w:rPr>
      </w:pPr>
    </w:p>
    <w:bookmarkEnd w:id="107"/>
    <w:p w:rsidR="00554DF4" w:rsidRPr="00983FBC" w:rsidRDefault="00554DF4" w:rsidP="00983FBC">
      <w:pPr>
        <w:spacing w:line="360" w:lineRule="auto"/>
        <w:jc w:val="both"/>
        <w:rPr>
          <w:rFonts w:ascii="Palatino Linotype" w:eastAsia="MS Mincho" w:hAnsi="Palatino Linotype" w:cs="Times New Roman"/>
          <w:lang w:val="es-ES"/>
        </w:rPr>
      </w:pPr>
      <w:r w:rsidRPr="00983FBC">
        <w:rPr>
          <w:rFonts w:ascii="Palatino Linotype" w:eastAsia="MS Mincho" w:hAnsi="Palatino Linotype" w:cs="Times New Roman"/>
          <w:b/>
          <w:lang w:val="es-MX"/>
        </w:rPr>
        <w:t>QUINTO.</w:t>
      </w:r>
      <w:r w:rsidRPr="00983FBC">
        <w:rPr>
          <w:rFonts w:ascii="Palatino Linotype" w:eastAsia="MS Mincho" w:hAnsi="Palatino Linotype" w:cs="Times New Roman"/>
          <w:lang w:val="es-MX"/>
        </w:rPr>
        <w:t xml:space="preserve"> </w:t>
      </w:r>
      <w:r w:rsidRPr="00983FBC">
        <w:rPr>
          <w:rFonts w:ascii="Palatino Linotype" w:eastAsia="MS Mincho" w:hAnsi="Palatino Linotype" w:cs="Times New Roman"/>
          <w:lang w:val="es-ES"/>
        </w:rPr>
        <w:t xml:space="preserve">Se hace del conocimiento del </w:t>
      </w:r>
      <w:r w:rsidR="00756F13" w:rsidRPr="00756F13">
        <w:rPr>
          <w:rFonts w:ascii="Palatino Linotype" w:hAnsi="Palatino Linotype"/>
          <w:b/>
          <w:sz w:val="22"/>
          <w:szCs w:val="22"/>
          <w:highlight w:val="black"/>
        </w:rPr>
        <w:t>----------</w:t>
      </w:r>
      <w:r w:rsidR="00756F13">
        <w:rPr>
          <w:rFonts w:ascii="Palatino Linotype" w:hAnsi="Palatino Linotype"/>
          <w:b/>
          <w:sz w:val="22"/>
          <w:szCs w:val="22"/>
          <w:highlight w:val="black"/>
        </w:rPr>
        <w:t>--</w:t>
      </w:r>
      <w:r w:rsidR="00756F13" w:rsidRPr="00756F13">
        <w:rPr>
          <w:rFonts w:ascii="Palatino Linotype" w:hAnsi="Palatino Linotype"/>
          <w:b/>
          <w:sz w:val="22"/>
          <w:szCs w:val="22"/>
          <w:highlight w:val="black"/>
        </w:rPr>
        <w:t>----------</w:t>
      </w:r>
      <w:r w:rsidR="00C11FEA" w:rsidRPr="00983FBC">
        <w:rPr>
          <w:rFonts w:ascii="Palatino Linotype" w:eastAsia="MS Mincho" w:hAnsi="Palatino Linotype" w:cs="Times New Roman"/>
          <w:lang w:val="es-ES"/>
        </w:rPr>
        <w:t xml:space="preserve"> </w:t>
      </w:r>
      <w:r w:rsidRPr="00983FB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83FBC">
        <w:rPr>
          <w:rFonts w:ascii="Palatino Linotype" w:eastAsia="MS Mincho" w:hAnsi="Palatino Linotype" w:cs="Times New Roman"/>
          <w:bCs/>
          <w:lang w:val="es-ES"/>
        </w:rPr>
        <w:t>vía juicio de amparo</w:t>
      </w:r>
      <w:r w:rsidRPr="00983FBC">
        <w:rPr>
          <w:rFonts w:ascii="Palatino Linotype" w:eastAsia="MS Mincho" w:hAnsi="Palatino Linotype" w:cs="Times New Roman"/>
          <w:lang w:val="es-ES"/>
        </w:rPr>
        <w:t> en los términos de las leyes aplicables.</w:t>
      </w:r>
    </w:p>
    <w:p w:rsidR="00554DF4" w:rsidRPr="00983FBC" w:rsidRDefault="00554DF4" w:rsidP="00983FBC">
      <w:pPr>
        <w:spacing w:line="360" w:lineRule="auto"/>
        <w:jc w:val="both"/>
        <w:rPr>
          <w:rFonts w:ascii="Palatino Linotype" w:eastAsia="MS Mincho" w:hAnsi="Palatino Linotype" w:cs="Times New Roman"/>
          <w:lang w:val="es-ES"/>
        </w:rPr>
      </w:pPr>
    </w:p>
    <w:p w:rsidR="0000470D" w:rsidRPr="00424E77" w:rsidRDefault="0000470D" w:rsidP="0000470D">
      <w:pPr>
        <w:shd w:val="clear" w:color="auto" w:fill="FFFFFF"/>
        <w:spacing w:line="360" w:lineRule="auto"/>
        <w:jc w:val="both"/>
        <w:rPr>
          <w:rFonts w:ascii="Palatino Linotype" w:hAnsi="Palatino Linotype"/>
        </w:rPr>
      </w:pP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tbl>
      <w:tblPr>
        <w:tblW w:w="10365" w:type="dxa"/>
        <w:jc w:val="center"/>
        <w:tblLayout w:type="fixed"/>
        <w:tblLook w:val="04A0" w:firstRow="1" w:lastRow="0" w:firstColumn="1" w:lastColumn="0" w:noHBand="0" w:noVBand="1"/>
      </w:tblPr>
      <w:tblGrid>
        <w:gridCol w:w="5183"/>
        <w:gridCol w:w="5182"/>
      </w:tblGrid>
      <w:tr w:rsidR="00554DF4" w:rsidRPr="00983FBC" w:rsidTr="00316661">
        <w:trPr>
          <w:jc w:val="center"/>
        </w:trPr>
        <w:tc>
          <w:tcPr>
            <w:tcW w:w="10365" w:type="dxa"/>
            <w:gridSpan w:val="2"/>
          </w:tcPr>
          <w:p w:rsidR="00554DF4" w:rsidRPr="00983FBC" w:rsidRDefault="00554DF4" w:rsidP="0000470D">
            <w:pPr>
              <w:spacing w:line="276" w:lineRule="auto"/>
              <w:jc w:val="center"/>
              <w:rPr>
                <w:rFonts w:ascii="Palatino Linotype" w:hAnsi="Palatino Linotype" w:cs="Arial"/>
                <w:b/>
              </w:rPr>
            </w:pPr>
          </w:p>
          <w:p w:rsidR="00554DF4" w:rsidRDefault="00554DF4" w:rsidP="0000470D">
            <w:pPr>
              <w:spacing w:line="276" w:lineRule="auto"/>
              <w:jc w:val="center"/>
              <w:rPr>
                <w:rFonts w:ascii="Palatino Linotype" w:hAnsi="Palatino Linotype" w:cs="Arial"/>
                <w:b/>
              </w:rPr>
            </w:pPr>
          </w:p>
          <w:p w:rsidR="0000470D" w:rsidRDefault="0000470D" w:rsidP="0000470D">
            <w:pPr>
              <w:spacing w:line="276" w:lineRule="auto"/>
              <w:jc w:val="center"/>
              <w:rPr>
                <w:rFonts w:ascii="Palatino Linotype" w:hAnsi="Palatino Linotype" w:cs="Arial"/>
                <w:b/>
              </w:rPr>
            </w:pPr>
          </w:p>
          <w:p w:rsidR="0000470D" w:rsidRDefault="0000470D" w:rsidP="0000470D">
            <w:pPr>
              <w:spacing w:line="276" w:lineRule="auto"/>
              <w:jc w:val="center"/>
              <w:rPr>
                <w:rFonts w:ascii="Palatino Linotype" w:hAnsi="Palatino Linotype" w:cs="Arial"/>
                <w:b/>
              </w:rPr>
            </w:pPr>
          </w:p>
          <w:p w:rsidR="0000470D" w:rsidRPr="00983FBC" w:rsidRDefault="0000470D" w:rsidP="0000470D">
            <w:pPr>
              <w:spacing w:line="276" w:lineRule="auto"/>
              <w:jc w:val="center"/>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Zulema Martínez Sánchez</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rPr>
              <w:t>Comisionada Presidenta</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 xml:space="preserve">(RÚBRICA) </w:t>
            </w:r>
          </w:p>
          <w:p w:rsidR="00554DF4" w:rsidRPr="00983FBC" w:rsidRDefault="00554DF4" w:rsidP="0000470D">
            <w:pPr>
              <w:spacing w:line="276" w:lineRule="auto"/>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p>
        </w:tc>
      </w:tr>
      <w:tr w:rsidR="00554DF4" w:rsidRPr="00983FBC" w:rsidTr="00316661">
        <w:trPr>
          <w:jc w:val="center"/>
        </w:trPr>
        <w:tc>
          <w:tcPr>
            <w:tcW w:w="5183" w:type="dxa"/>
            <w:hideMark/>
          </w:tcPr>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lastRenderedPageBreak/>
              <w:t xml:space="preserve">Eva </w:t>
            </w:r>
            <w:proofErr w:type="spellStart"/>
            <w:r w:rsidRPr="00983FBC">
              <w:rPr>
                <w:rFonts w:ascii="Palatino Linotype" w:hAnsi="Palatino Linotype" w:cs="Arial"/>
                <w:b/>
              </w:rPr>
              <w:t>Abaid</w:t>
            </w:r>
            <w:proofErr w:type="spellEnd"/>
            <w:r w:rsidRPr="00983FBC">
              <w:rPr>
                <w:rFonts w:ascii="Palatino Linotype" w:hAnsi="Palatino Linotype" w:cs="Arial"/>
                <w:b/>
              </w:rPr>
              <w:t xml:space="preserve"> </w:t>
            </w:r>
            <w:proofErr w:type="spellStart"/>
            <w:r w:rsidRPr="00983FBC">
              <w:rPr>
                <w:rFonts w:ascii="Palatino Linotype" w:hAnsi="Palatino Linotype" w:cs="Arial"/>
                <w:b/>
              </w:rPr>
              <w:t>Yapur</w:t>
            </w:r>
            <w:proofErr w:type="spellEnd"/>
          </w:p>
          <w:p w:rsidR="00554DF4" w:rsidRPr="00983FBC" w:rsidRDefault="00554DF4" w:rsidP="0000470D">
            <w:pPr>
              <w:spacing w:line="276" w:lineRule="auto"/>
              <w:jc w:val="center"/>
              <w:rPr>
                <w:rFonts w:ascii="Palatino Linotype" w:hAnsi="Palatino Linotype" w:cs="Arial"/>
              </w:rPr>
            </w:pPr>
            <w:r w:rsidRPr="00983FBC">
              <w:rPr>
                <w:rFonts w:ascii="Palatino Linotype" w:hAnsi="Palatino Linotype" w:cs="Arial"/>
              </w:rPr>
              <w:t>Comisionada</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(RÚBRICA)</w:t>
            </w:r>
          </w:p>
        </w:tc>
        <w:tc>
          <w:tcPr>
            <w:tcW w:w="5182" w:type="dxa"/>
          </w:tcPr>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José Guadalupe Luna Hernández</w:t>
            </w:r>
          </w:p>
          <w:p w:rsidR="00554DF4" w:rsidRPr="00983FBC" w:rsidRDefault="00554DF4" w:rsidP="0000470D">
            <w:pPr>
              <w:spacing w:line="276" w:lineRule="auto"/>
              <w:jc w:val="center"/>
              <w:rPr>
                <w:rFonts w:ascii="Palatino Linotype" w:hAnsi="Palatino Linotype" w:cs="Arial"/>
              </w:rPr>
            </w:pPr>
            <w:r w:rsidRPr="00983FBC">
              <w:rPr>
                <w:rFonts w:ascii="Palatino Linotype" w:hAnsi="Palatino Linotype" w:cs="Arial"/>
              </w:rPr>
              <w:t>Comisionado</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(RÚBRICA)</w:t>
            </w:r>
          </w:p>
          <w:p w:rsidR="00554DF4" w:rsidRPr="00983FBC" w:rsidRDefault="00554DF4" w:rsidP="0000470D">
            <w:pPr>
              <w:spacing w:line="276" w:lineRule="auto"/>
              <w:jc w:val="center"/>
              <w:rPr>
                <w:rFonts w:ascii="Palatino Linotype" w:hAnsi="Palatino Linotype" w:cs="Arial"/>
                <w:b/>
              </w:rPr>
            </w:pPr>
          </w:p>
        </w:tc>
      </w:tr>
      <w:tr w:rsidR="00554DF4" w:rsidRPr="00983FBC" w:rsidTr="00316661">
        <w:trPr>
          <w:jc w:val="center"/>
        </w:trPr>
        <w:tc>
          <w:tcPr>
            <w:tcW w:w="5183" w:type="dxa"/>
          </w:tcPr>
          <w:p w:rsidR="00554DF4" w:rsidRPr="00983FBC" w:rsidRDefault="00554DF4" w:rsidP="0000470D">
            <w:pPr>
              <w:spacing w:line="276" w:lineRule="auto"/>
              <w:rPr>
                <w:rFonts w:ascii="Palatino Linotype" w:hAnsi="Palatino Linotype" w:cs="Arial"/>
                <w:b/>
              </w:rPr>
            </w:pPr>
          </w:p>
          <w:p w:rsidR="00554DF4" w:rsidRDefault="00554DF4" w:rsidP="0000470D">
            <w:pPr>
              <w:spacing w:line="276" w:lineRule="auto"/>
              <w:jc w:val="center"/>
              <w:rPr>
                <w:rFonts w:ascii="Palatino Linotype" w:hAnsi="Palatino Linotype" w:cs="Arial"/>
                <w:b/>
              </w:rPr>
            </w:pPr>
          </w:p>
          <w:p w:rsidR="0000470D" w:rsidRPr="00983FBC" w:rsidRDefault="0000470D" w:rsidP="0000470D">
            <w:pPr>
              <w:spacing w:line="276" w:lineRule="auto"/>
              <w:jc w:val="center"/>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Javier Martínez Cruz</w:t>
            </w:r>
          </w:p>
          <w:p w:rsidR="00554DF4" w:rsidRPr="00983FBC" w:rsidRDefault="00554DF4" w:rsidP="0000470D">
            <w:pPr>
              <w:spacing w:line="276" w:lineRule="auto"/>
              <w:jc w:val="center"/>
              <w:rPr>
                <w:rFonts w:ascii="Palatino Linotype" w:hAnsi="Palatino Linotype" w:cs="Arial"/>
              </w:rPr>
            </w:pPr>
            <w:r w:rsidRPr="00983FBC">
              <w:rPr>
                <w:rFonts w:ascii="Palatino Linotype" w:hAnsi="Palatino Linotype" w:cs="Arial"/>
              </w:rPr>
              <w:t>Comisionado</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(RÚBRICA)</w:t>
            </w:r>
          </w:p>
        </w:tc>
        <w:tc>
          <w:tcPr>
            <w:tcW w:w="5182" w:type="dxa"/>
          </w:tcPr>
          <w:p w:rsidR="00554DF4" w:rsidRPr="00983FBC" w:rsidRDefault="00554DF4" w:rsidP="0000470D">
            <w:pPr>
              <w:spacing w:line="276" w:lineRule="auto"/>
              <w:rPr>
                <w:rFonts w:ascii="Palatino Linotype" w:hAnsi="Palatino Linotype" w:cs="Arial"/>
                <w:b/>
              </w:rPr>
            </w:pPr>
          </w:p>
          <w:p w:rsidR="00554DF4" w:rsidRDefault="00554DF4" w:rsidP="0000470D">
            <w:pPr>
              <w:spacing w:line="276" w:lineRule="auto"/>
              <w:jc w:val="center"/>
              <w:rPr>
                <w:rFonts w:ascii="Palatino Linotype" w:hAnsi="Palatino Linotype" w:cs="Arial"/>
                <w:b/>
              </w:rPr>
            </w:pPr>
          </w:p>
          <w:p w:rsidR="0000470D" w:rsidRPr="00983FBC" w:rsidRDefault="0000470D" w:rsidP="0000470D">
            <w:pPr>
              <w:spacing w:line="276" w:lineRule="auto"/>
              <w:jc w:val="center"/>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Luis Gustavo Parra Noriega</w:t>
            </w:r>
          </w:p>
          <w:p w:rsidR="00554DF4" w:rsidRPr="00983FBC" w:rsidRDefault="00554DF4" w:rsidP="0000470D">
            <w:pPr>
              <w:spacing w:line="276" w:lineRule="auto"/>
              <w:jc w:val="center"/>
              <w:rPr>
                <w:rFonts w:ascii="Palatino Linotype" w:hAnsi="Palatino Linotype" w:cs="Arial"/>
              </w:rPr>
            </w:pPr>
            <w:r w:rsidRPr="00983FBC">
              <w:rPr>
                <w:rFonts w:ascii="Palatino Linotype" w:hAnsi="Palatino Linotype" w:cs="Arial"/>
              </w:rPr>
              <w:t>Comisionado</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(RÚBRICA)</w:t>
            </w:r>
          </w:p>
        </w:tc>
      </w:tr>
      <w:tr w:rsidR="00554DF4" w:rsidRPr="00983FBC" w:rsidTr="00316661">
        <w:trPr>
          <w:jc w:val="center"/>
        </w:trPr>
        <w:tc>
          <w:tcPr>
            <w:tcW w:w="10365" w:type="dxa"/>
            <w:gridSpan w:val="2"/>
          </w:tcPr>
          <w:p w:rsidR="00554DF4" w:rsidRPr="00983FBC" w:rsidRDefault="00554DF4" w:rsidP="0000470D">
            <w:pPr>
              <w:spacing w:line="276" w:lineRule="auto"/>
              <w:jc w:val="center"/>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p>
          <w:p w:rsidR="00554DF4" w:rsidRPr="00983FBC" w:rsidRDefault="00554DF4" w:rsidP="0000470D">
            <w:pPr>
              <w:spacing w:line="276" w:lineRule="auto"/>
              <w:rPr>
                <w:rFonts w:ascii="Palatino Linotype" w:hAnsi="Palatino Linotype" w:cs="Arial"/>
                <w:b/>
              </w:rPr>
            </w:pP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Alexis Tapia Ramírez</w:t>
            </w:r>
          </w:p>
          <w:p w:rsidR="00554DF4" w:rsidRPr="00983FBC" w:rsidRDefault="00554DF4" w:rsidP="0000470D">
            <w:pPr>
              <w:spacing w:line="276" w:lineRule="auto"/>
              <w:jc w:val="center"/>
              <w:rPr>
                <w:rFonts w:ascii="Palatino Linotype" w:hAnsi="Palatino Linotype" w:cs="Arial"/>
              </w:rPr>
            </w:pPr>
            <w:r w:rsidRPr="00983FBC">
              <w:rPr>
                <w:rFonts w:ascii="Palatino Linotype" w:hAnsi="Palatino Linotype" w:cs="Arial"/>
              </w:rPr>
              <w:t>Secretario Técnico del Pleno</w:t>
            </w:r>
          </w:p>
          <w:p w:rsidR="00554DF4" w:rsidRPr="00983FBC" w:rsidRDefault="00554DF4" w:rsidP="0000470D">
            <w:pPr>
              <w:spacing w:line="276" w:lineRule="auto"/>
              <w:jc w:val="center"/>
              <w:rPr>
                <w:rFonts w:ascii="Palatino Linotype" w:hAnsi="Palatino Linotype" w:cs="Arial"/>
                <w:b/>
              </w:rPr>
            </w:pPr>
            <w:r w:rsidRPr="00983FBC">
              <w:rPr>
                <w:rFonts w:ascii="Palatino Linotype" w:hAnsi="Palatino Linotype" w:cs="Arial"/>
                <w:b/>
              </w:rPr>
              <w:t>(RÚBRICA)</w:t>
            </w:r>
          </w:p>
          <w:p w:rsidR="00554DF4" w:rsidRPr="00983FBC" w:rsidRDefault="00554DF4" w:rsidP="0000470D">
            <w:pPr>
              <w:spacing w:line="276" w:lineRule="auto"/>
              <w:rPr>
                <w:rFonts w:ascii="Palatino Linotype" w:hAnsi="Palatino Linotype" w:cs="Arial"/>
                <w:b/>
              </w:rPr>
            </w:pPr>
          </w:p>
          <w:p w:rsidR="00554DF4" w:rsidRPr="00983FBC" w:rsidRDefault="00554DF4" w:rsidP="0000470D">
            <w:pPr>
              <w:spacing w:line="276" w:lineRule="auto"/>
              <w:rPr>
                <w:rFonts w:ascii="Palatino Linotype" w:hAnsi="Palatino Linotype" w:cs="Arial"/>
              </w:rPr>
            </w:pPr>
          </w:p>
        </w:tc>
      </w:tr>
    </w:tbl>
    <w:p w:rsidR="00554DF4" w:rsidRPr="00983FBC" w:rsidRDefault="00554DF4" w:rsidP="00983FBC">
      <w:pPr>
        <w:spacing w:line="360" w:lineRule="auto"/>
        <w:jc w:val="both"/>
        <w:rPr>
          <w:rFonts w:ascii="Palatino Linotype" w:hAnsi="Palatino Linotype"/>
        </w:rPr>
      </w:pPr>
      <w:r w:rsidRPr="00983FBC">
        <w:rPr>
          <w:rFonts w:ascii="Palatino Linotype" w:hAnsi="Palatino Linotype" w:cs="Arial"/>
          <w:szCs w:val="18"/>
        </w:rPr>
        <w:t xml:space="preserve">Esta hoja corresponde a la resolución de fecha </w:t>
      </w:r>
      <w:r w:rsidR="0000470D">
        <w:rPr>
          <w:rFonts w:ascii="Palatino Linotype" w:hAnsi="Palatino Linotype" w:cs="Arial"/>
          <w:szCs w:val="18"/>
        </w:rPr>
        <w:t xml:space="preserve">seis (6) de febrero </w:t>
      </w:r>
      <w:r w:rsidRPr="00983FBC">
        <w:rPr>
          <w:rFonts w:ascii="Palatino Linotype" w:hAnsi="Palatino Linotype" w:cs="Arial"/>
          <w:szCs w:val="18"/>
        </w:rPr>
        <w:t xml:space="preserve"> de dos mil </w:t>
      </w:r>
      <w:r w:rsidR="00D95FF9" w:rsidRPr="00983FBC">
        <w:rPr>
          <w:rFonts w:ascii="Palatino Linotype" w:hAnsi="Palatino Linotype" w:cs="Arial"/>
          <w:szCs w:val="18"/>
        </w:rPr>
        <w:t>veinte</w:t>
      </w:r>
      <w:r w:rsidRPr="00983FBC">
        <w:rPr>
          <w:rFonts w:ascii="Palatino Linotype" w:hAnsi="Palatino Linotype" w:cs="Arial"/>
          <w:szCs w:val="18"/>
        </w:rPr>
        <w:t xml:space="preserve">, emitida en el recurso de revisión </w:t>
      </w:r>
      <w:r w:rsidR="00AC7DFC" w:rsidRPr="00983FBC">
        <w:rPr>
          <w:rFonts w:ascii="Palatino Linotype" w:hAnsi="Palatino Linotype" w:cs="Arial"/>
          <w:b/>
          <w:bCs/>
          <w:szCs w:val="22"/>
          <w:lang w:eastAsia="es-MX"/>
        </w:rPr>
        <w:t>08</w:t>
      </w:r>
      <w:r w:rsidR="00316661" w:rsidRPr="00983FBC">
        <w:rPr>
          <w:rFonts w:ascii="Palatino Linotype" w:hAnsi="Palatino Linotype" w:cs="Arial"/>
          <w:b/>
          <w:bCs/>
          <w:szCs w:val="22"/>
          <w:lang w:eastAsia="es-MX"/>
        </w:rPr>
        <w:t>623</w:t>
      </w:r>
      <w:r w:rsidRPr="00983FBC">
        <w:rPr>
          <w:rFonts w:ascii="Palatino Linotype" w:hAnsi="Palatino Linotype" w:cs="Arial"/>
          <w:b/>
          <w:bCs/>
          <w:szCs w:val="18"/>
        </w:rPr>
        <w:t>/INFOEM/IP/RR/2019.</w:t>
      </w:r>
      <w:r w:rsidRPr="00983FBC">
        <w:rPr>
          <w:rFonts w:ascii="Palatino Linotype" w:hAnsi="Palatino Linotype" w:cs="Arial"/>
          <w:bCs/>
          <w:szCs w:val="18"/>
        </w:rPr>
        <w:t xml:space="preserve"> </w:t>
      </w:r>
    </w:p>
    <w:p w:rsidR="002248D3" w:rsidRPr="00983FBC" w:rsidRDefault="002248D3" w:rsidP="00983FBC">
      <w:pPr>
        <w:spacing w:line="360" w:lineRule="auto"/>
        <w:rPr>
          <w:rFonts w:ascii="Palatino Linotype" w:hAnsi="Palatino Linotype"/>
        </w:rPr>
      </w:pPr>
    </w:p>
    <w:sectPr w:rsidR="002248D3" w:rsidRPr="00983FBC" w:rsidSect="00141DF6">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98" w:rsidRDefault="00D43398" w:rsidP="008B6F5F">
      <w:r>
        <w:separator/>
      </w:r>
    </w:p>
  </w:endnote>
  <w:endnote w:type="continuationSeparator" w:id="0">
    <w:p w:rsidR="00D43398" w:rsidRDefault="00D4339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983FBC" w:rsidRPr="000A2541" w:rsidRDefault="00983FB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6007F">
              <w:rPr>
                <w:rFonts w:ascii="Palatino Linotype" w:hAnsi="Palatino Linotype"/>
                <w:b/>
                <w:bCs/>
                <w:noProof/>
              </w:rPr>
              <w:t>100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6007F">
              <w:rPr>
                <w:rFonts w:ascii="Palatino Linotype" w:hAnsi="Palatino Linotype"/>
                <w:b/>
                <w:bCs/>
                <w:noProof/>
              </w:rPr>
              <w:t>102</w:t>
            </w:r>
            <w:r w:rsidRPr="000A2541">
              <w:rPr>
                <w:rFonts w:ascii="Palatino Linotype" w:hAnsi="Palatino Linotype"/>
                <w:b/>
                <w:bCs/>
              </w:rPr>
              <w:fldChar w:fldCharType="end"/>
            </w:r>
          </w:p>
        </w:sdtContent>
      </w:sdt>
    </w:sdtContent>
  </w:sdt>
  <w:p w:rsidR="00983FBC" w:rsidRDefault="00983F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BC" w:rsidRPr="00883450" w:rsidRDefault="00983FB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007F" w:rsidRPr="00E600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007F" w:rsidRPr="00E6007F">
      <w:rPr>
        <w:rFonts w:ascii="Palatino Linotype" w:hAnsi="Palatino Linotype"/>
        <w:noProof/>
        <w:sz w:val="22"/>
        <w:szCs w:val="22"/>
        <w:lang w:val="es-ES"/>
      </w:rPr>
      <w:t>102</w:t>
    </w:r>
    <w:r w:rsidRPr="00883450">
      <w:rPr>
        <w:rFonts w:ascii="Palatino Linotype" w:hAnsi="Palatino Linotype"/>
        <w:sz w:val="22"/>
        <w:szCs w:val="22"/>
      </w:rPr>
      <w:fldChar w:fldCharType="end"/>
    </w:r>
  </w:p>
  <w:p w:rsidR="00983FBC" w:rsidRPr="00883450" w:rsidRDefault="00983F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98" w:rsidRDefault="00D43398" w:rsidP="008B6F5F">
      <w:r>
        <w:separator/>
      </w:r>
    </w:p>
  </w:footnote>
  <w:footnote w:type="continuationSeparator" w:id="0">
    <w:p w:rsidR="00D43398" w:rsidRDefault="00D43398" w:rsidP="008B6F5F">
      <w:r>
        <w:continuationSeparator/>
      </w:r>
    </w:p>
  </w:footnote>
  <w:footnote w:id="1">
    <w:p w:rsidR="00983FBC" w:rsidRDefault="00983FBC" w:rsidP="00554DF4">
      <w:pPr>
        <w:pStyle w:val="Textonotapie"/>
      </w:pPr>
      <w:r>
        <w:rPr>
          <w:rStyle w:val="Refdenotaalpie"/>
        </w:rPr>
        <w:footnoteRef/>
      </w:r>
      <w:r>
        <w:t xml:space="preserve"> Convención Americana sobre Derechos Humanos. Artículo 13.</w:t>
      </w:r>
    </w:p>
  </w:footnote>
  <w:footnote w:id="2">
    <w:p w:rsidR="00983FBC" w:rsidRDefault="00983FBC" w:rsidP="00554DF4">
      <w:pPr>
        <w:pStyle w:val="Textonotapie"/>
      </w:pPr>
      <w:r>
        <w:rPr>
          <w:rStyle w:val="Refdenotaalpie"/>
        </w:rPr>
        <w:footnoteRef/>
      </w:r>
      <w:r>
        <w:t xml:space="preserve"> Constitución Política de los Estados Unidos Mexicanos. Artículo sexto, sección A, Fracción I.</w:t>
      </w:r>
    </w:p>
  </w:footnote>
  <w:footnote w:id="3">
    <w:p w:rsidR="00983FBC" w:rsidRDefault="00983FBC"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83FBC" w:rsidRDefault="00983FBC" w:rsidP="00554DF4">
      <w:pPr>
        <w:pStyle w:val="Textonotapie"/>
      </w:pPr>
      <w:r>
        <w:rPr>
          <w:rStyle w:val="Refdenotaalpie"/>
        </w:rPr>
        <w:footnoteRef/>
      </w:r>
      <w:r>
        <w:t xml:space="preserve"> Ibídem. Párr. 87.</w:t>
      </w:r>
    </w:p>
  </w:footnote>
  <w:footnote w:id="5">
    <w:p w:rsidR="00983FBC" w:rsidRDefault="00983FBC"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983FBC" w:rsidRDefault="00983FBC" w:rsidP="00554DF4">
      <w:pPr>
        <w:pStyle w:val="Textonotapie"/>
      </w:pPr>
      <w:r>
        <w:rPr>
          <w:rStyle w:val="Refdenotaalpie"/>
        </w:rPr>
        <w:footnoteRef/>
      </w:r>
      <w:r>
        <w:t xml:space="preserve"> Artículo 150. Ley de Transparencia y Acceso a la Información Pública del Estado de México y Municipios.</w:t>
      </w:r>
    </w:p>
    <w:p w:rsidR="00983FBC" w:rsidRDefault="00983FBC" w:rsidP="00554DF4">
      <w:pPr>
        <w:pStyle w:val="Textonotapie"/>
      </w:pPr>
      <w:r>
        <w:t>Artículo 151. Ibídem.</w:t>
      </w:r>
    </w:p>
  </w:footnote>
  <w:footnote w:id="7">
    <w:p w:rsidR="00983FBC" w:rsidRDefault="00983FBC" w:rsidP="00554DF4">
      <w:pPr>
        <w:pStyle w:val="Textonotapie"/>
      </w:pPr>
      <w:r>
        <w:rPr>
          <w:rStyle w:val="Refdenotaalpie"/>
        </w:rPr>
        <w:footnoteRef/>
      </w:r>
      <w:r>
        <w:t xml:space="preserve"> Ley de Transparencia y Acceso a la Información Pública del Estado de México y Municipios. Artículo 9. …</w:t>
      </w:r>
    </w:p>
    <w:p w:rsidR="00983FBC" w:rsidRDefault="00983FBC" w:rsidP="00554DF4">
      <w:pPr>
        <w:pStyle w:val="Textonotapie"/>
      </w:pPr>
      <w:r>
        <w:t>II. Eficacia: Obligación del Instituto para tutelar, de manera efectiva, el derecho de acceso a la información;</w:t>
      </w:r>
    </w:p>
    <w:p w:rsidR="00983FBC" w:rsidRDefault="00983FBC" w:rsidP="00554DF4">
      <w:pPr>
        <w:pStyle w:val="Textonotapie"/>
      </w:pPr>
      <w:r>
        <w:t xml:space="preserve">… </w:t>
      </w:r>
    </w:p>
  </w:footnote>
  <w:footnote w:id="8">
    <w:p w:rsidR="00983FBC" w:rsidRPr="00952F10" w:rsidRDefault="00983FBC" w:rsidP="009E16C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983FBC" w:rsidRDefault="00983FBC" w:rsidP="009E16C0">
      <w:pPr>
        <w:pStyle w:val="Textonotapie"/>
      </w:pPr>
    </w:p>
  </w:footnote>
  <w:footnote w:id="9">
    <w:p w:rsidR="00983FBC" w:rsidRPr="003047EC" w:rsidRDefault="00983FBC" w:rsidP="00D84BCB">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rsidR="00983FBC" w:rsidRPr="003047EC" w:rsidRDefault="00983FBC" w:rsidP="00D84BCB">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10">
    <w:p w:rsidR="00983FBC" w:rsidRPr="00A870EF" w:rsidRDefault="00983FBC" w:rsidP="00D84BCB">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1">
    <w:p w:rsidR="00983FBC" w:rsidRDefault="00983FBC" w:rsidP="00D84BC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83FBC" w:rsidRDefault="00983FBC" w:rsidP="00D84BC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83FBC" w:rsidRPr="001E1F95" w:rsidRDefault="00983FBC" w:rsidP="00D84BC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983FBC" w:rsidRPr="007F43A5" w:rsidRDefault="00983FBC" w:rsidP="00D84BCB">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3">
    <w:p w:rsidR="00983FBC" w:rsidRPr="0037004E" w:rsidRDefault="00983FBC" w:rsidP="00D84BCB">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983FBC" w:rsidRDefault="00983FBC" w:rsidP="00D84BCB">
      <w:pPr>
        <w:pStyle w:val="Textonotapie"/>
      </w:pPr>
    </w:p>
  </w:footnote>
  <w:footnote w:id="14">
    <w:p w:rsidR="00983FBC" w:rsidRDefault="00983FBC" w:rsidP="00D84BCB">
      <w:pPr>
        <w:pStyle w:val="Textonotapie"/>
        <w:jc w:val="both"/>
      </w:pPr>
      <w:r>
        <w:rPr>
          <w:rStyle w:val="Refdenotaalpie"/>
        </w:rPr>
        <w:footnoteRef/>
      </w:r>
      <w:r>
        <w:t xml:space="preserve"> Artículo 3. Para los efectos de la presente Ley se entenderá por:</w:t>
      </w:r>
    </w:p>
    <w:p w:rsidR="00983FBC" w:rsidRDefault="00983FBC" w:rsidP="00D84BCB">
      <w:pPr>
        <w:pStyle w:val="Textonotapie"/>
        <w:jc w:val="both"/>
      </w:pPr>
      <w:r>
        <w:t xml:space="preserve"> (…)</w:t>
      </w:r>
    </w:p>
    <w:p w:rsidR="00983FBC" w:rsidRDefault="00983FBC" w:rsidP="00D84BCB">
      <w:pPr>
        <w:pStyle w:val="Textonotapie"/>
        <w:jc w:val="both"/>
      </w:pPr>
      <w:r>
        <w:t>IX. Datos personales: La información concerniente a una persona, identificada o identificable según lo dispuesto por la Ley de Protección de Datos Personales del Estado de México;</w:t>
      </w:r>
    </w:p>
  </w:footnote>
  <w:footnote w:id="15">
    <w:p w:rsidR="00983FBC" w:rsidRPr="00ED2A04" w:rsidRDefault="00983FBC" w:rsidP="00D84BCB">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6">
    <w:p w:rsidR="00983FBC" w:rsidRPr="00ED2A04" w:rsidRDefault="00983FBC" w:rsidP="00D84BCB">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7">
    <w:p w:rsidR="00983FBC" w:rsidRPr="000406A4" w:rsidRDefault="00983FBC" w:rsidP="00D84BCB">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8">
    <w:p w:rsidR="00983FBC" w:rsidRPr="000406A4" w:rsidRDefault="00983FBC" w:rsidP="00D84BCB">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9">
    <w:p w:rsidR="00983FBC" w:rsidRPr="000406A4" w:rsidRDefault="00983FBC" w:rsidP="00D84BCB">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0">
    <w:p w:rsidR="00983FBC" w:rsidRPr="000406A4" w:rsidRDefault="00983FBC" w:rsidP="00D84BCB">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1">
    <w:p w:rsidR="00983FBC" w:rsidRPr="000406A4" w:rsidRDefault="00983FBC" w:rsidP="00D84BCB">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2">
    <w:p w:rsidR="00983FBC" w:rsidRPr="00042E67" w:rsidRDefault="00983FBC" w:rsidP="00D84BCB">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3">
    <w:p w:rsidR="00983FBC" w:rsidRPr="00A4142C" w:rsidRDefault="00983FBC" w:rsidP="00D84BC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4">
    <w:p w:rsidR="00983FBC" w:rsidRPr="00985DD4" w:rsidRDefault="00983FBC" w:rsidP="005E22B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983FBC" w:rsidRPr="00985DD4" w:rsidRDefault="00983FBC" w:rsidP="005E22B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83FBC" w:rsidRPr="00985DD4" w:rsidRDefault="00983FBC" w:rsidP="005E22B0">
      <w:pPr>
        <w:autoSpaceDE w:val="0"/>
        <w:autoSpaceDN w:val="0"/>
        <w:adjustRightInd w:val="0"/>
        <w:spacing w:line="276" w:lineRule="auto"/>
        <w:jc w:val="both"/>
        <w:rPr>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25">
    <w:p w:rsidR="00983FBC" w:rsidRPr="00985DD4" w:rsidRDefault="00983FBC" w:rsidP="005E22B0">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26">
    <w:p w:rsidR="00983FBC" w:rsidRPr="003047EC" w:rsidRDefault="00983FBC" w:rsidP="005E22B0">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rsidR="00983FBC" w:rsidRPr="003047EC" w:rsidRDefault="00983FBC" w:rsidP="005E22B0">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27">
    <w:p w:rsidR="00983FBC" w:rsidRPr="00A870EF" w:rsidRDefault="00983FBC" w:rsidP="005E22B0">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28">
    <w:p w:rsidR="00983FBC" w:rsidRDefault="00983FBC" w:rsidP="005E22B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83FBC" w:rsidRDefault="00983FBC" w:rsidP="005E22B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83FBC" w:rsidRPr="001E1F95" w:rsidRDefault="00983FBC" w:rsidP="005E22B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9">
    <w:p w:rsidR="00983FBC" w:rsidRPr="007F43A5" w:rsidRDefault="00983FBC" w:rsidP="005E22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0">
    <w:p w:rsidR="00983FBC" w:rsidRPr="0037004E" w:rsidRDefault="00983FBC" w:rsidP="005E22B0">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983FBC" w:rsidRDefault="00983FBC" w:rsidP="005E22B0">
      <w:pPr>
        <w:pStyle w:val="Textonotapie"/>
      </w:pPr>
    </w:p>
  </w:footnote>
  <w:footnote w:id="31">
    <w:p w:rsidR="00983FBC" w:rsidRDefault="00983FBC" w:rsidP="005E22B0">
      <w:pPr>
        <w:pStyle w:val="Textonotapie"/>
        <w:jc w:val="both"/>
      </w:pPr>
      <w:r>
        <w:rPr>
          <w:rStyle w:val="Refdenotaalpie"/>
        </w:rPr>
        <w:footnoteRef/>
      </w:r>
      <w:r>
        <w:t xml:space="preserve"> Artículo 3. Para los efectos de la presente Ley se entenderá por:</w:t>
      </w:r>
    </w:p>
    <w:p w:rsidR="00983FBC" w:rsidRDefault="00983FBC" w:rsidP="005E22B0">
      <w:pPr>
        <w:pStyle w:val="Textonotapie"/>
        <w:jc w:val="both"/>
      </w:pPr>
      <w:r>
        <w:t xml:space="preserve"> (…)</w:t>
      </w:r>
    </w:p>
    <w:p w:rsidR="00983FBC" w:rsidRDefault="00983FBC" w:rsidP="005E22B0">
      <w:pPr>
        <w:pStyle w:val="Textonotapie"/>
        <w:jc w:val="both"/>
      </w:pPr>
      <w:r>
        <w:t>IX. Datos personales: La información concerniente a una persona, identificada o identificable según lo dispuesto por la Ley de Protección de Datos Personales del Estado de México;</w:t>
      </w:r>
    </w:p>
  </w:footnote>
  <w:footnote w:id="32">
    <w:p w:rsidR="00983FBC" w:rsidRPr="00ED2A04" w:rsidRDefault="00983FBC" w:rsidP="005E22B0">
      <w:pPr>
        <w:pStyle w:val="Textonotapie"/>
        <w:jc w:val="both"/>
        <w:rPr>
          <w:lang w:val="es-ES"/>
        </w:rPr>
      </w:pPr>
      <w:r>
        <w:rPr>
          <w:rStyle w:val="Refdenotaalpie"/>
        </w:rPr>
        <w:footnoteRef/>
      </w:r>
      <w:r>
        <w:t xml:space="preserve"> </w:t>
      </w:r>
      <w:hyperlink r:id="rId9" w:anchor="/entry-id/E216930" w:history="1">
        <w:r w:rsidRPr="00AA2458">
          <w:rPr>
            <w:rStyle w:val="Hipervnculo"/>
          </w:rPr>
          <w:t>http://dej.rae.es/#/entry-id/E216930</w:t>
        </w:r>
      </w:hyperlink>
      <w:r>
        <w:t xml:space="preserve"> </w:t>
      </w:r>
    </w:p>
  </w:footnote>
  <w:footnote w:id="33">
    <w:p w:rsidR="00983FBC" w:rsidRPr="00ED2A04" w:rsidRDefault="00983FBC" w:rsidP="005E22B0">
      <w:pPr>
        <w:pStyle w:val="Textonotapie"/>
        <w:jc w:val="both"/>
        <w:rPr>
          <w:lang w:val="es-ES"/>
        </w:rPr>
      </w:pPr>
      <w:r>
        <w:rPr>
          <w:rStyle w:val="Refdenotaalpie"/>
        </w:rPr>
        <w:footnoteRef/>
      </w:r>
      <w:r>
        <w:t xml:space="preserve"> </w:t>
      </w:r>
      <w:hyperlink r:id="rId10" w:anchor="/entry-id/E87450" w:history="1">
        <w:r w:rsidRPr="00AA2458">
          <w:rPr>
            <w:rStyle w:val="Hipervnculo"/>
          </w:rPr>
          <w:t>http://dej.rae.es/#/entry-id/E87450</w:t>
        </w:r>
      </w:hyperlink>
      <w:r>
        <w:t xml:space="preserve"> </w:t>
      </w:r>
    </w:p>
  </w:footnote>
  <w:footnote w:id="34">
    <w:p w:rsidR="00983FBC" w:rsidRPr="000406A4" w:rsidRDefault="00983FBC" w:rsidP="005E22B0">
      <w:pPr>
        <w:pStyle w:val="Textonotapie"/>
        <w:jc w:val="both"/>
        <w:rPr>
          <w:lang w:val="es-ES"/>
        </w:rPr>
      </w:pPr>
      <w:r>
        <w:rPr>
          <w:rStyle w:val="Refdenotaalpie"/>
        </w:rPr>
        <w:footnoteRef/>
      </w:r>
      <w:r>
        <w:t xml:space="preserve"> </w:t>
      </w:r>
      <w:hyperlink r:id="rId11" w:history="1">
        <w:r w:rsidRPr="00AA2458">
          <w:rPr>
            <w:rStyle w:val="Hipervnculo"/>
          </w:rPr>
          <w:t>http://dle.rae.es/?id=VGqyuLj|VGtxgAo|VGuc9Wg</w:t>
        </w:r>
      </w:hyperlink>
      <w:r>
        <w:t xml:space="preserve"> </w:t>
      </w:r>
    </w:p>
  </w:footnote>
  <w:footnote w:id="35">
    <w:p w:rsidR="00983FBC" w:rsidRPr="000406A4" w:rsidRDefault="00983FBC" w:rsidP="005E22B0">
      <w:pPr>
        <w:pStyle w:val="Textonotapie"/>
        <w:jc w:val="both"/>
        <w:rPr>
          <w:lang w:val="es-ES"/>
        </w:rPr>
      </w:pPr>
      <w:r>
        <w:rPr>
          <w:rStyle w:val="Refdenotaalpie"/>
        </w:rPr>
        <w:footnoteRef/>
      </w:r>
      <w:r>
        <w:t xml:space="preserve"> </w:t>
      </w:r>
      <w:hyperlink r:id="rId12" w:history="1">
        <w:r w:rsidRPr="00AA2458">
          <w:rPr>
            <w:rStyle w:val="Hipervnculo"/>
          </w:rPr>
          <w:t>http://dle.rae.es/?id=CAjNzMR</w:t>
        </w:r>
      </w:hyperlink>
      <w:r>
        <w:t xml:space="preserve"> </w:t>
      </w:r>
    </w:p>
  </w:footnote>
  <w:footnote w:id="36">
    <w:p w:rsidR="00983FBC" w:rsidRPr="000406A4" w:rsidRDefault="00983FBC" w:rsidP="005E22B0">
      <w:pPr>
        <w:pStyle w:val="Textonotapie"/>
        <w:jc w:val="both"/>
        <w:rPr>
          <w:lang w:val="es-ES"/>
        </w:rPr>
      </w:pPr>
      <w:r>
        <w:rPr>
          <w:rStyle w:val="Refdenotaalpie"/>
        </w:rPr>
        <w:footnoteRef/>
      </w:r>
      <w:r>
        <w:t xml:space="preserve"> </w:t>
      </w:r>
      <w:hyperlink r:id="rId13" w:history="1">
        <w:r w:rsidRPr="00AA2458">
          <w:rPr>
            <w:rStyle w:val="Hipervnculo"/>
          </w:rPr>
          <w:t>http://dle.rae.es/?id=CAqWkEB</w:t>
        </w:r>
      </w:hyperlink>
      <w:r>
        <w:t xml:space="preserve"> </w:t>
      </w:r>
    </w:p>
  </w:footnote>
  <w:footnote w:id="37">
    <w:p w:rsidR="00983FBC" w:rsidRPr="000406A4" w:rsidRDefault="00983FBC" w:rsidP="005E22B0">
      <w:pPr>
        <w:pStyle w:val="Textonotapie"/>
        <w:jc w:val="both"/>
        <w:rPr>
          <w:lang w:val="es-ES"/>
        </w:rPr>
      </w:pPr>
      <w:r>
        <w:rPr>
          <w:rStyle w:val="Refdenotaalpie"/>
        </w:rPr>
        <w:footnoteRef/>
      </w:r>
      <w:r>
        <w:t xml:space="preserve"> </w:t>
      </w:r>
      <w:hyperlink r:id="rId14" w:history="1">
        <w:r w:rsidRPr="00AA2458">
          <w:rPr>
            <w:rStyle w:val="Hipervnculo"/>
          </w:rPr>
          <w:t>http://dle.rae.es/?id=KtnHLLd</w:t>
        </w:r>
      </w:hyperlink>
      <w:r>
        <w:t xml:space="preserve"> </w:t>
      </w:r>
    </w:p>
  </w:footnote>
  <w:footnote w:id="38">
    <w:p w:rsidR="00983FBC" w:rsidRPr="000406A4" w:rsidRDefault="00983FBC" w:rsidP="005E22B0">
      <w:pPr>
        <w:pStyle w:val="Textonotapie"/>
        <w:jc w:val="both"/>
        <w:rPr>
          <w:lang w:val="es-ES"/>
        </w:rPr>
      </w:pPr>
      <w:r>
        <w:rPr>
          <w:rStyle w:val="Refdenotaalpie"/>
        </w:rPr>
        <w:footnoteRef/>
      </w:r>
      <w:r>
        <w:t xml:space="preserve"> </w:t>
      </w:r>
      <w:hyperlink r:id="rId15" w:history="1">
        <w:r w:rsidRPr="00AA2458">
          <w:rPr>
            <w:rStyle w:val="Hipervnculo"/>
          </w:rPr>
          <w:t>http://dle.rae.es/?id=KtpfgjV</w:t>
        </w:r>
      </w:hyperlink>
      <w:r>
        <w:t xml:space="preserve"> </w:t>
      </w:r>
    </w:p>
  </w:footnote>
  <w:footnote w:id="39">
    <w:p w:rsidR="00983FBC" w:rsidRPr="00042E67" w:rsidRDefault="00983FBC" w:rsidP="005E22B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40">
    <w:p w:rsidR="00983FBC" w:rsidRPr="00A4142C" w:rsidRDefault="00983FBC" w:rsidP="005E22B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83FBC" w:rsidRPr="00EF13C1" w:rsidTr="00646380">
      <w:trPr>
        <w:trHeight w:val="138"/>
        <w:jc w:val="right"/>
      </w:trPr>
      <w:tc>
        <w:tcPr>
          <w:tcW w:w="2552" w:type="dxa"/>
          <w:vAlign w:val="center"/>
        </w:tcPr>
        <w:p w:rsidR="00983FBC" w:rsidRPr="00EF13C1" w:rsidRDefault="00983FB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83FBC" w:rsidRPr="00EF13C1" w:rsidRDefault="00983FBC" w:rsidP="00EB1ACA">
          <w:pPr>
            <w:pStyle w:val="Encabezado"/>
            <w:jc w:val="right"/>
            <w:rPr>
              <w:rFonts w:ascii="Palatino Linotype" w:hAnsi="Palatino Linotype"/>
              <w:b/>
              <w:sz w:val="22"/>
              <w:szCs w:val="22"/>
            </w:rPr>
          </w:pPr>
          <w:r>
            <w:rPr>
              <w:rFonts w:ascii="Palatino Linotype" w:hAnsi="Palatino Linotype" w:cs="Arial"/>
              <w:b/>
              <w:bCs/>
              <w:sz w:val="22"/>
              <w:szCs w:val="22"/>
              <w:lang w:eastAsia="es-MX"/>
            </w:rPr>
            <w:t>08623/INFOEM/IP/RR/2019</w:t>
          </w:r>
        </w:p>
      </w:tc>
    </w:tr>
    <w:tr w:rsidR="00983FBC" w:rsidRPr="00EF13C1" w:rsidTr="00646380">
      <w:trPr>
        <w:trHeight w:val="233"/>
        <w:jc w:val="right"/>
      </w:trPr>
      <w:tc>
        <w:tcPr>
          <w:tcW w:w="2552" w:type="dxa"/>
          <w:vAlign w:val="center"/>
        </w:tcPr>
        <w:p w:rsidR="00983FBC" w:rsidRPr="00EF13C1" w:rsidRDefault="00983FBC" w:rsidP="00646380">
          <w:pPr>
            <w:rPr>
              <w:rFonts w:ascii="Palatino Linotype" w:hAnsi="Palatino Linotype"/>
              <w:b/>
              <w:sz w:val="22"/>
              <w:szCs w:val="22"/>
            </w:rPr>
          </w:pPr>
        </w:p>
      </w:tc>
      <w:tc>
        <w:tcPr>
          <w:tcW w:w="3826" w:type="dxa"/>
          <w:vAlign w:val="center"/>
        </w:tcPr>
        <w:p w:rsidR="00983FBC" w:rsidRPr="00EF13C1" w:rsidRDefault="00983FBC" w:rsidP="00141DF6">
          <w:pPr>
            <w:pStyle w:val="Encabezado"/>
            <w:jc w:val="center"/>
            <w:rPr>
              <w:rFonts w:ascii="Palatino Linotype" w:hAnsi="Palatino Linotype"/>
              <w:b/>
              <w:sz w:val="22"/>
              <w:szCs w:val="22"/>
            </w:rPr>
          </w:pPr>
        </w:p>
      </w:tc>
    </w:tr>
    <w:tr w:rsidR="00983FBC" w:rsidRPr="00EF13C1" w:rsidTr="00646380">
      <w:trPr>
        <w:trHeight w:val="321"/>
        <w:jc w:val="right"/>
      </w:trPr>
      <w:tc>
        <w:tcPr>
          <w:tcW w:w="2552" w:type="dxa"/>
          <w:vAlign w:val="center"/>
        </w:tcPr>
        <w:p w:rsidR="00983FBC" w:rsidRPr="00EF13C1" w:rsidRDefault="00983FB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83FBC" w:rsidRPr="00EF13C1" w:rsidRDefault="00983FBC" w:rsidP="00EB1ACA">
          <w:pPr>
            <w:pStyle w:val="Encabezado"/>
            <w:jc w:val="right"/>
            <w:rPr>
              <w:rFonts w:ascii="Palatino Linotype" w:hAnsi="Palatino Linotype"/>
              <w:b/>
              <w:sz w:val="22"/>
              <w:szCs w:val="22"/>
            </w:rPr>
          </w:pPr>
          <w:r>
            <w:rPr>
              <w:rFonts w:ascii="Palatino Linotype" w:hAnsi="Palatino Linotype"/>
              <w:b/>
              <w:bCs/>
              <w:sz w:val="22"/>
              <w:szCs w:val="22"/>
            </w:rPr>
            <w:t>Ayuntamiento de Tejupilco</w:t>
          </w:r>
        </w:p>
      </w:tc>
    </w:tr>
    <w:tr w:rsidR="00983FBC" w:rsidRPr="00EF13C1" w:rsidTr="00646380">
      <w:trPr>
        <w:trHeight w:val="321"/>
        <w:jc w:val="right"/>
      </w:trPr>
      <w:tc>
        <w:tcPr>
          <w:tcW w:w="2552" w:type="dxa"/>
          <w:vAlign w:val="center"/>
        </w:tcPr>
        <w:p w:rsidR="00983FBC" w:rsidRPr="00EF13C1" w:rsidRDefault="00983FB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83FBC" w:rsidRPr="00EF13C1" w:rsidRDefault="00983FB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83FBC" w:rsidRDefault="00983FB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83FBC" w:rsidRPr="00182113" w:rsidTr="00141DF6">
      <w:trPr>
        <w:trHeight w:val="138"/>
      </w:trPr>
      <w:tc>
        <w:tcPr>
          <w:tcW w:w="2532" w:type="dxa"/>
          <w:vAlign w:val="center"/>
        </w:tcPr>
        <w:p w:rsidR="00983FBC" w:rsidRPr="00EF13C1" w:rsidRDefault="00983FB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983FBC" w:rsidRPr="00EF13C1" w:rsidRDefault="00983FBC" w:rsidP="00EB1AC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08623/INFOEM/IP/RR/2019 </w:t>
          </w:r>
        </w:p>
      </w:tc>
      <w:tc>
        <w:tcPr>
          <w:tcW w:w="2532" w:type="dxa"/>
          <w:vAlign w:val="center"/>
        </w:tcPr>
        <w:p w:rsidR="00983FBC" w:rsidRPr="00182113" w:rsidRDefault="00983FBC" w:rsidP="00141DF6">
          <w:pPr>
            <w:rPr>
              <w:rFonts w:ascii="Palatino Linotype" w:hAnsi="Palatino Linotype"/>
              <w:b/>
              <w:sz w:val="22"/>
              <w:szCs w:val="22"/>
            </w:rPr>
          </w:pPr>
        </w:p>
      </w:tc>
      <w:tc>
        <w:tcPr>
          <w:tcW w:w="236" w:type="dxa"/>
          <w:vAlign w:val="center"/>
        </w:tcPr>
        <w:p w:rsidR="00983FBC" w:rsidRPr="00182113" w:rsidRDefault="00983FBC" w:rsidP="00141DF6">
          <w:pPr>
            <w:pStyle w:val="Encabezado"/>
            <w:jc w:val="center"/>
            <w:rPr>
              <w:rFonts w:ascii="Palatino Linotype" w:hAnsi="Palatino Linotype"/>
              <w:b/>
              <w:sz w:val="22"/>
              <w:szCs w:val="22"/>
            </w:rPr>
          </w:pPr>
        </w:p>
      </w:tc>
      <w:tc>
        <w:tcPr>
          <w:tcW w:w="3261" w:type="dxa"/>
          <w:vAlign w:val="center"/>
        </w:tcPr>
        <w:p w:rsidR="00983FBC" w:rsidRPr="00182113" w:rsidRDefault="00983FBC" w:rsidP="00141DF6">
          <w:pPr>
            <w:pStyle w:val="Encabezado"/>
            <w:rPr>
              <w:rFonts w:ascii="Palatino Linotype" w:hAnsi="Palatino Linotype"/>
              <w:b/>
              <w:sz w:val="22"/>
              <w:szCs w:val="22"/>
            </w:rPr>
          </w:pPr>
        </w:p>
      </w:tc>
    </w:tr>
    <w:tr w:rsidR="00983FBC" w:rsidRPr="00182113" w:rsidTr="00141DF6">
      <w:trPr>
        <w:trHeight w:val="227"/>
      </w:trPr>
      <w:tc>
        <w:tcPr>
          <w:tcW w:w="2532" w:type="dxa"/>
          <w:vAlign w:val="center"/>
        </w:tcPr>
        <w:p w:rsidR="00983FBC" w:rsidRPr="00EF13C1" w:rsidRDefault="00983FB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983FBC" w:rsidRPr="00EF13C1" w:rsidRDefault="00756F13" w:rsidP="00141DF6">
          <w:pPr>
            <w:pStyle w:val="Encabezado"/>
            <w:jc w:val="right"/>
            <w:rPr>
              <w:rFonts w:ascii="Palatino Linotype" w:hAnsi="Palatino Linotype"/>
              <w:b/>
              <w:sz w:val="22"/>
              <w:szCs w:val="22"/>
            </w:rPr>
          </w:pPr>
          <w:r w:rsidRPr="00756F13">
            <w:rPr>
              <w:rFonts w:ascii="Palatino Linotype" w:hAnsi="Palatino Linotype"/>
              <w:b/>
              <w:sz w:val="22"/>
              <w:szCs w:val="22"/>
              <w:highlight w:val="black"/>
            </w:rPr>
            <w:t>---------------------</w:t>
          </w:r>
        </w:p>
      </w:tc>
      <w:tc>
        <w:tcPr>
          <w:tcW w:w="2532" w:type="dxa"/>
          <w:vAlign w:val="center"/>
        </w:tcPr>
        <w:p w:rsidR="00983FBC" w:rsidRPr="00182113" w:rsidRDefault="00983FBC" w:rsidP="00141DF6">
          <w:pPr>
            <w:rPr>
              <w:rFonts w:ascii="Palatino Linotype" w:hAnsi="Palatino Linotype"/>
              <w:b/>
              <w:sz w:val="22"/>
              <w:szCs w:val="22"/>
            </w:rPr>
          </w:pPr>
        </w:p>
      </w:tc>
      <w:tc>
        <w:tcPr>
          <w:tcW w:w="236" w:type="dxa"/>
          <w:vAlign w:val="center"/>
        </w:tcPr>
        <w:p w:rsidR="00983FBC" w:rsidRPr="00182113" w:rsidRDefault="00983FBC" w:rsidP="00141DF6">
          <w:pPr>
            <w:pStyle w:val="Encabezado"/>
            <w:jc w:val="center"/>
            <w:rPr>
              <w:rFonts w:ascii="Palatino Linotype" w:hAnsi="Palatino Linotype"/>
              <w:b/>
              <w:sz w:val="22"/>
              <w:szCs w:val="22"/>
            </w:rPr>
          </w:pPr>
        </w:p>
      </w:tc>
      <w:tc>
        <w:tcPr>
          <w:tcW w:w="3261" w:type="dxa"/>
          <w:vAlign w:val="center"/>
        </w:tcPr>
        <w:p w:rsidR="00983FBC" w:rsidRPr="00182113" w:rsidRDefault="00983FBC" w:rsidP="00141DF6">
          <w:pPr>
            <w:pStyle w:val="Encabezado"/>
            <w:rPr>
              <w:rFonts w:ascii="Palatino Linotype" w:hAnsi="Palatino Linotype"/>
              <w:b/>
              <w:sz w:val="22"/>
              <w:szCs w:val="22"/>
            </w:rPr>
          </w:pPr>
        </w:p>
      </w:tc>
    </w:tr>
    <w:tr w:rsidR="00983FBC" w:rsidRPr="00182113" w:rsidTr="00141DF6">
      <w:trPr>
        <w:trHeight w:val="232"/>
      </w:trPr>
      <w:tc>
        <w:tcPr>
          <w:tcW w:w="2532" w:type="dxa"/>
          <w:vAlign w:val="center"/>
        </w:tcPr>
        <w:p w:rsidR="00983FBC" w:rsidRPr="00EF13C1" w:rsidRDefault="00983FB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983FBC" w:rsidRPr="00EF13C1" w:rsidRDefault="00983FBC" w:rsidP="00EB1ACA">
          <w:pPr>
            <w:pStyle w:val="Encabezado"/>
            <w:jc w:val="right"/>
            <w:rPr>
              <w:rFonts w:ascii="Palatino Linotype" w:hAnsi="Palatino Linotype"/>
              <w:b/>
              <w:sz w:val="22"/>
              <w:szCs w:val="22"/>
            </w:rPr>
          </w:pPr>
          <w:r>
            <w:rPr>
              <w:rFonts w:ascii="Palatino Linotype" w:hAnsi="Palatino Linotype"/>
              <w:b/>
              <w:bCs/>
              <w:sz w:val="22"/>
              <w:szCs w:val="22"/>
            </w:rPr>
            <w:t>Ayuntamiento de Tejupilco</w:t>
          </w:r>
        </w:p>
      </w:tc>
      <w:tc>
        <w:tcPr>
          <w:tcW w:w="2532" w:type="dxa"/>
          <w:vAlign w:val="center"/>
        </w:tcPr>
        <w:p w:rsidR="00983FBC" w:rsidRPr="00182113" w:rsidRDefault="00983FBC" w:rsidP="00141DF6">
          <w:pPr>
            <w:rPr>
              <w:rFonts w:ascii="Palatino Linotype" w:hAnsi="Palatino Linotype"/>
              <w:b/>
              <w:sz w:val="22"/>
              <w:szCs w:val="22"/>
            </w:rPr>
          </w:pPr>
        </w:p>
      </w:tc>
      <w:tc>
        <w:tcPr>
          <w:tcW w:w="236" w:type="dxa"/>
          <w:vAlign w:val="center"/>
        </w:tcPr>
        <w:p w:rsidR="00983FBC" w:rsidRPr="00182113" w:rsidRDefault="00983FBC" w:rsidP="00141DF6">
          <w:pPr>
            <w:pStyle w:val="Encabezado"/>
            <w:jc w:val="center"/>
            <w:rPr>
              <w:rFonts w:ascii="Palatino Linotype" w:hAnsi="Palatino Linotype"/>
              <w:b/>
              <w:sz w:val="22"/>
              <w:szCs w:val="22"/>
            </w:rPr>
          </w:pPr>
        </w:p>
      </w:tc>
      <w:tc>
        <w:tcPr>
          <w:tcW w:w="3261" w:type="dxa"/>
          <w:vAlign w:val="center"/>
        </w:tcPr>
        <w:p w:rsidR="00983FBC" w:rsidRPr="00182113" w:rsidRDefault="00983FBC" w:rsidP="00141DF6">
          <w:pPr>
            <w:pStyle w:val="Encabezado"/>
            <w:rPr>
              <w:rFonts w:ascii="Palatino Linotype" w:hAnsi="Palatino Linotype"/>
              <w:b/>
              <w:sz w:val="22"/>
              <w:szCs w:val="22"/>
            </w:rPr>
          </w:pPr>
        </w:p>
      </w:tc>
    </w:tr>
    <w:tr w:rsidR="00983FBC" w:rsidRPr="00182113" w:rsidTr="00141DF6">
      <w:trPr>
        <w:trHeight w:val="320"/>
      </w:trPr>
      <w:tc>
        <w:tcPr>
          <w:tcW w:w="2532" w:type="dxa"/>
          <w:vAlign w:val="center"/>
        </w:tcPr>
        <w:p w:rsidR="00983FBC" w:rsidRPr="00EF13C1" w:rsidRDefault="00983FB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983FBC" w:rsidRPr="00EF13C1" w:rsidRDefault="00983FB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983FBC" w:rsidRPr="00182113" w:rsidRDefault="00983FBC" w:rsidP="00141DF6">
          <w:pPr>
            <w:rPr>
              <w:rFonts w:ascii="Palatino Linotype" w:hAnsi="Palatino Linotype"/>
              <w:b/>
              <w:sz w:val="22"/>
              <w:szCs w:val="22"/>
            </w:rPr>
          </w:pPr>
        </w:p>
      </w:tc>
      <w:tc>
        <w:tcPr>
          <w:tcW w:w="236" w:type="dxa"/>
          <w:vAlign w:val="center"/>
        </w:tcPr>
        <w:p w:rsidR="00983FBC" w:rsidRPr="00182113" w:rsidRDefault="00983FBC" w:rsidP="00141DF6">
          <w:pPr>
            <w:pStyle w:val="Encabezado"/>
            <w:jc w:val="center"/>
            <w:rPr>
              <w:rFonts w:ascii="Palatino Linotype" w:hAnsi="Palatino Linotype"/>
              <w:b/>
              <w:sz w:val="22"/>
              <w:szCs w:val="22"/>
            </w:rPr>
          </w:pPr>
        </w:p>
      </w:tc>
      <w:tc>
        <w:tcPr>
          <w:tcW w:w="3261" w:type="dxa"/>
          <w:vAlign w:val="center"/>
        </w:tcPr>
        <w:p w:rsidR="00983FBC" w:rsidRPr="00182113" w:rsidRDefault="00983FBC" w:rsidP="00141DF6">
          <w:pPr>
            <w:pStyle w:val="Encabezado"/>
            <w:rPr>
              <w:rFonts w:ascii="Palatino Linotype" w:hAnsi="Palatino Linotype"/>
              <w:b/>
              <w:sz w:val="22"/>
              <w:szCs w:val="22"/>
            </w:rPr>
          </w:pPr>
        </w:p>
      </w:tc>
    </w:tr>
  </w:tbl>
  <w:p w:rsidR="00983FBC" w:rsidRDefault="00983F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2"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6" w15:restartNumberingAfterBreak="0">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28"/>
  </w:num>
  <w:num w:numId="11">
    <w:abstractNumId w:val="4"/>
  </w:num>
  <w:num w:numId="12">
    <w:abstractNumId w:val="26"/>
  </w:num>
  <w:num w:numId="13">
    <w:abstractNumId w:val="13"/>
  </w:num>
  <w:num w:numId="14">
    <w:abstractNumId w:val="0"/>
  </w:num>
  <w:num w:numId="15">
    <w:abstractNumId w:val="24"/>
  </w:num>
  <w:num w:numId="16">
    <w:abstractNumId w:val="11"/>
  </w:num>
  <w:num w:numId="17">
    <w:abstractNumId w:val="1"/>
  </w:num>
  <w:num w:numId="18">
    <w:abstractNumId w:val="17"/>
  </w:num>
  <w:num w:numId="19">
    <w:abstractNumId w:val="5"/>
  </w:num>
  <w:num w:numId="20">
    <w:abstractNumId w:val="29"/>
  </w:num>
  <w:num w:numId="21">
    <w:abstractNumId w:val="16"/>
  </w:num>
  <w:num w:numId="22">
    <w:abstractNumId w:val="22"/>
  </w:num>
  <w:num w:numId="23">
    <w:abstractNumId w:val="25"/>
  </w:num>
  <w:num w:numId="24">
    <w:abstractNumId w:val="9"/>
  </w:num>
  <w:num w:numId="25">
    <w:abstractNumId w:val="6"/>
  </w:num>
  <w:num w:numId="26">
    <w:abstractNumId w:val="27"/>
  </w:num>
  <w:num w:numId="27">
    <w:abstractNumId w:val="18"/>
  </w:num>
  <w:num w:numId="28">
    <w:abstractNumId w:val="19"/>
  </w:num>
  <w:num w:numId="29">
    <w:abstractNumId w:val="23"/>
  </w:num>
  <w:num w:numId="30">
    <w:abstractNumId w:val="20"/>
  </w:num>
  <w:num w:numId="31">
    <w:abstractNumId w:val="8"/>
  </w:num>
  <w:num w:numId="32">
    <w:abstractNumId w:val="21"/>
  </w:num>
  <w:num w:numId="33">
    <w:abstractNumId w:val="10"/>
  </w:num>
  <w:num w:numId="34">
    <w:abstractNumId w:val="7"/>
  </w:num>
  <w:num w:numId="35">
    <w:abstractNumId w:val="3"/>
  </w:num>
  <w:num w:numId="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470D"/>
    <w:rsid w:val="0000765F"/>
    <w:rsid w:val="0001045F"/>
    <w:rsid w:val="00011298"/>
    <w:rsid w:val="000129FA"/>
    <w:rsid w:val="00012ABB"/>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0786"/>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0A7"/>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4BC9"/>
    <w:rsid w:val="001A556A"/>
    <w:rsid w:val="001A7D74"/>
    <w:rsid w:val="001B0E38"/>
    <w:rsid w:val="001B2A18"/>
    <w:rsid w:val="001B3D20"/>
    <w:rsid w:val="001B48A5"/>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3E6D"/>
    <w:rsid w:val="002748FD"/>
    <w:rsid w:val="00274B39"/>
    <w:rsid w:val="00274D1E"/>
    <w:rsid w:val="00274DA0"/>
    <w:rsid w:val="00274E75"/>
    <w:rsid w:val="00276B36"/>
    <w:rsid w:val="002770B1"/>
    <w:rsid w:val="0027779A"/>
    <w:rsid w:val="00277AA5"/>
    <w:rsid w:val="002809AD"/>
    <w:rsid w:val="0028469E"/>
    <w:rsid w:val="00286C61"/>
    <w:rsid w:val="00287C48"/>
    <w:rsid w:val="00294EEE"/>
    <w:rsid w:val="00296E48"/>
    <w:rsid w:val="00296EF2"/>
    <w:rsid w:val="002A0419"/>
    <w:rsid w:val="002A3EC2"/>
    <w:rsid w:val="002A4249"/>
    <w:rsid w:val="002A5BA4"/>
    <w:rsid w:val="002B0356"/>
    <w:rsid w:val="002B430C"/>
    <w:rsid w:val="002C32FE"/>
    <w:rsid w:val="002C51AA"/>
    <w:rsid w:val="002D2177"/>
    <w:rsid w:val="002D21B7"/>
    <w:rsid w:val="002D3168"/>
    <w:rsid w:val="002D3F81"/>
    <w:rsid w:val="002D4F68"/>
    <w:rsid w:val="002D7BFD"/>
    <w:rsid w:val="002E01F3"/>
    <w:rsid w:val="002E2041"/>
    <w:rsid w:val="002E4801"/>
    <w:rsid w:val="002F1198"/>
    <w:rsid w:val="002F37F6"/>
    <w:rsid w:val="002F41D4"/>
    <w:rsid w:val="002F42C6"/>
    <w:rsid w:val="002F4E9B"/>
    <w:rsid w:val="003006D4"/>
    <w:rsid w:val="00300AC1"/>
    <w:rsid w:val="00302FF6"/>
    <w:rsid w:val="00311921"/>
    <w:rsid w:val="0031666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3F0F"/>
    <w:rsid w:val="0038111F"/>
    <w:rsid w:val="00382C85"/>
    <w:rsid w:val="00384ACB"/>
    <w:rsid w:val="00385622"/>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ACD"/>
    <w:rsid w:val="003F0B1B"/>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3874"/>
    <w:rsid w:val="00493DF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6769"/>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24A8"/>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5072"/>
    <w:rsid w:val="00746CAC"/>
    <w:rsid w:val="007473A6"/>
    <w:rsid w:val="00747BD2"/>
    <w:rsid w:val="00755CC3"/>
    <w:rsid w:val="00756E1A"/>
    <w:rsid w:val="00756F13"/>
    <w:rsid w:val="00757201"/>
    <w:rsid w:val="00757EFE"/>
    <w:rsid w:val="0076044B"/>
    <w:rsid w:val="007604AA"/>
    <w:rsid w:val="00766EB6"/>
    <w:rsid w:val="007740EB"/>
    <w:rsid w:val="0078539D"/>
    <w:rsid w:val="00785B79"/>
    <w:rsid w:val="00794037"/>
    <w:rsid w:val="00794C0D"/>
    <w:rsid w:val="00795D3A"/>
    <w:rsid w:val="00795EA1"/>
    <w:rsid w:val="00796727"/>
    <w:rsid w:val="00796D7E"/>
    <w:rsid w:val="007B40B0"/>
    <w:rsid w:val="007B5F1E"/>
    <w:rsid w:val="007B6033"/>
    <w:rsid w:val="007B726B"/>
    <w:rsid w:val="007C1E72"/>
    <w:rsid w:val="007C2EBB"/>
    <w:rsid w:val="007C71C5"/>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61A9"/>
    <w:rsid w:val="007F7C18"/>
    <w:rsid w:val="008004BE"/>
    <w:rsid w:val="00801CB0"/>
    <w:rsid w:val="00805C58"/>
    <w:rsid w:val="00806E03"/>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3E01"/>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E7F99"/>
    <w:rsid w:val="008F284F"/>
    <w:rsid w:val="008F6153"/>
    <w:rsid w:val="008F61D4"/>
    <w:rsid w:val="008F7333"/>
    <w:rsid w:val="008F7F5F"/>
    <w:rsid w:val="00903060"/>
    <w:rsid w:val="0090334F"/>
    <w:rsid w:val="00916C74"/>
    <w:rsid w:val="009208AB"/>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6E5F"/>
    <w:rsid w:val="0097749D"/>
    <w:rsid w:val="00980652"/>
    <w:rsid w:val="00983FBC"/>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E0CF4"/>
    <w:rsid w:val="009E1568"/>
    <w:rsid w:val="009E16C0"/>
    <w:rsid w:val="009E392C"/>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F2"/>
    <w:rsid w:val="00A82194"/>
    <w:rsid w:val="00A828E4"/>
    <w:rsid w:val="00A848FC"/>
    <w:rsid w:val="00A86541"/>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64C"/>
    <w:rsid w:val="00AF0D0E"/>
    <w:rsid w:val="00B01F10"/>
    <w:rsid w:val="00B024CD"/>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6CBB"/>
    <w:rsid w:val="00B37C23"/>
    <w:rsid w:val="00B40212"/>
    <w:rsid w:val="00B40B5C"/>
    <w:rsid w:val="00B50B83"/>
    <w:rsid w:val="00B5361E"/>
    <w:rsid w:val="00B55EEC"/>
    <w:rsid w:val="00B57C10"/>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4F16"/>
    <w:rsid w:val="00BE0B34"/>
    <w:rsid w:val="00BE1F56"/>
    <w:rsid w:val="00BE3B9E"/>
    <w:rsid w:val="00BE7859"/>
    <w:rsid w:val="00BF2E59"/>
    <w:rsid w:val="00BF5406"/>
    <w:rsid w:val="00BF7759"/>
    <w:rsid w:val="00C00901"/>
    <w:rsid w:val="00C11558"/>
    <w:rsid w:val="00C11A40"/>
    <w:rsid w:val="00C11D32"/>
    <w:rsid w:val="00C11FEA"/>
    <w:rsid w:val="00C156B2"/>
    <w:rsid w:val="00C22445"/>
    <w:rsid w:val="00C24901"/>
    <w:rsid w:val="00C306D3"/>
    <w:rsid w:val="00C33621"/>
    <w:rsid w:val="00C35183"/>
    <w:rsid w:val="00C353A3"/>
    <w:rsid w:val="00C36247"/>
    <w:rsid w:val="00C366FF"/>
    <w:rsid w:val="00C4140A"/>
    <w:rsid w:val="00C4149D"/>
    <w:rsid w:val="00C41A2E"/>
    <w:rsid w:val="00C4225D"/>
    <w:rsid w:val="00C434DD"/>
    <w:rsid w:val="00C43B58"/>
    <w:rsid w:val="00C45590"/>
    <w:rsid w:val="00C509A4"/>
    <w:rsid w:val="00C523E7"/>
    <w:rsid w:val="00C56D7E"/>
    <w:rsid w:val="00C57119"/>
    <w:rsid w:val="00C572EF"/>
    <w:rsid w:val="00C602D0"/>
    <w:rsid w:val="00C61C2B"/>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670D"/>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43398"/>
    <w:rsid w:val="00D57D6E"/>
    <w:rsid w:val="00D60131"/>
    <w:rsid w:val="00D6467C"/>
    <w:rsid w:val="00D70F0F"/>
    <w:rsid w:val="00D75159"/>
    <w:rsid w:val="00D7583A"/>
    <w:rsid w:val="00D765E3"/>
    <w:rsid w:val="00D76CEA"/>
    <w:rsid w:val="00D777C0"/>
    <w:rsid w:val="00D81D71"/>
    <w:rsid w:val="00D84BCB"/>
    <w:rsid w:val="00D87A72"/>
    <w:rsid w:val="00D87AF3"/>
    <w:rsid w:val="00D94D2C"/>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0CCE"/>
    <w:rsid w:val="00E02044"/>
    <w:rsid w:val="00E12C58"/>
    <w:rsid w:val="00E1317C"/>
    <w:rsid w:val="00E1743B"/>
    <w:rsid w:val="00E174E5"/>
    <w:rsid w:val="00E17F9A"/>
    <w:rsid w:val="00E22A84"/>
    <w:rsid w:val="00E26459"/>
    <w:rsid w:val="00E30414"/>
    <w:rsid w:val="00E345A7"/>
    <w:rsid w:val="00E353B9"/>
    <w:rsid w:val="00E37012"/>
    <w:rsid w:val="00E40062"/>
    <w:rsid w:val="00E40EC3"/>
    <w:rsid w:val="00E446ED"/>
    <w:rsid w:val="00E50C09"/>
    <w:rsid w:val="00E5400F"/>
    <w:rsid w:val="00E55AA1"/>
    <w:rsid w:val="00E6007F"/>
    <w:rsid w:val="00E60440"/>
    <w:rsid w:val="00E60771"/>
    <w:rsid w:val="00E616A4"/>
    <w:rsid w:val="00E6281B"/>
    <w:rsid w:val="00E62999"/>
    <w:rsid w:val="00E62F4E"/>
    <w:rsid w:val="00E632D0"/>
    <w:rsid w:val="00E64135"/>
    <w:rsid w:val="00E6579F"/>
    <w:rsid w:val="00E65874"/>
    <w:rsid w:val="00E6663B"/>
    <w:rsid w:val="00E66780"/>
    <w:rsid w:val="00E66B3A"/>
    <w:rsid w:val="00E81879"/>
    <w:rsid w:val="00E83578"/>
    <w:rsid w:val="00E876CA"/>
    <w:rsid w:val="00E91E3F"/>
    <w:rsid w:val="00E95C7C"/>
    <w:rsid w:val="00EA3F3C"/>
    <w:rsid w:val="00EA4970"/>
    <w:rsid w:val="00EA5687"/>
    <w:rsid w:val="00EA59B6"/>
    <w:rsid w:val="00EA606F"/>
    <w:rsid w:val="00EB1032"/>
    <w:rsid w:val="00EB1ACA"/>
    <w:rsid w:val="00EB2644"/>
    <w:rsid w:val="00EB2A7E"/>
    <w:rsid w:val="00EC033D"/>
    <w:rsid w:val="00EC1FDB"/>
    <w:rsid w:val="00EC220C"/>
    <w:rsid w:val="00EC2B71"/>
    <w:rsid w:val="00EC5155"/>
    <w:rsid w:val="00ED0266"/>
    <w:rsid w:val="00ED2E65"/>
    <w:rsid w:val="00ED430A"/>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4E2A"/>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983FBC"/>
    <w:pPr>
      <w:tabs>
        <w:tab w:val="left" w:pos="567"/>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983FBC"/>
    <w:pPr>
      <w:tabs>
        <w:tab w:val="left" w:pos="880"/>
        <w:tab w:val="right" w:leader="dot" w:pos="8779"/>
      </w:tabs>
      <w:spacing w:after="10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4041451">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4377731">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749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54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6/&amp;a=RRA%203104.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13" Type="http://schemas.openxmlformats.org/officeDocument/2006/relationships/hyperlink" Target="http://dle.rae.es/?id=CAqWkEB"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12" Type="http://schemas.openxmlformats.org/officeDocument/2006/relationships/hyperlink" Target="http://dle.rae.es/?id=CAjNzMR"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11" Type="http://schemas.openxmlformats.org/officeDocument/2006/relationships/hyperlink" Target="http://dle.rae.es/?id=VGqyuLj|VGtxgAo|VGuc9Wg" TargetMode="External"/><Relationship Id="rId5" Type="http://schemas.openxmlformats.org/officeDocument/2006/relationships/hyperlink" Target="http://dle.rae.es/?id=CAjNzMR" TargetMode="External"/><Relationship Id="rId15" Type="http://schemas.openxmlformats.org/officeDocument/2006/relationships/hyperlink" Target="http://dle.rae.es/?id=KtpfgjV" TargetMode="External"/><Relationship Id="rId10" Type="http://schemas.openxmlformats.org/officeDocument/2006/relationships/hyperlink" Target="http://dej.rae.es/" TargetMode="External"/><Relationship Id="rId4" Type="http://schemas.openxmlformats.org/officeDocument/2006/relationships/hyperlink" Target="http://dle.rae.es/?id=VGqyuLj|VGtxgAo|VGuc9Wg" TargetMode="External"/><Relationship Id="rId9" Type="http://schemas.openxmlformats.org/officeDocument/2006/relationships/hyperlink" Target="http://dej.rae.es/" TargetMode="External"/><Relationship Id="rId14" Type="http://schemas.openxmlformats.org/officeDocument/2006/relationships/hyperlink" Target="http://dle.rae.es/?id=KtnHLL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16CE-1BBD-4C32-9753-4D31C8C6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102</Pages>
  <Words>22023</Words>
  <Characters>121129</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10</cp:revision>
  <cp:lastPrinted>2020-02-11T23:14:00Z</cp:lastPrinted>
  <dcterms:created xsi:type="dcterms:W3CDTF">2020-01-31T01:11:00Z</dcterms:created>
  <dcterms:modified xsi:type="dcterms:W3CDTF">2020-04-14T23:39:00Z</dcterms:modified>
</cp:coreProperties>
</file>