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375D7">
        <w:rPr>
          <w:rFonts w:ascii="Palatino Linotype" w:hAnsi="Palatino Linotype" w:cs="Arial"/>
          <w:b/>
          <w:sz w:val="24"/>
          <w:szCs w:val="24"/>
        </w:rPr>
        <w:t>PRIMERA</w:t>
      </w:r>
      <w:r w:rsidRPr="009F71D8">
        <w:rPr>
          <w:rFonts w:ascii="Palatino Linotype" w:hAnsi="Palatino Linotype" w:cs="Arial"/>
          <w:b/>
          <w:sz w:val="24"/>
          <w:szCs w:val="24"/>
        </w:rPr>
        <w:t xml:space="preserve"> SESIÓN ORDINARIA DE </w:t>
      </w:r>
      <w:r w:rsidR="006375D7">
        <w:rPr>
          <w:rFonts w:ascii="Palatino Linotype" w:hAnsi="Palatino Linotype" w:cs="Arial"/>
          <w:b/>
          <w:sz w:val="24"/>
          <w:szCs w:val="24"/>
        </w:rPr>
        <w:t>QUINCE DE ENERO DE DOS MIL VEINTE, EN LOS</w:t>
      </w:r>
      <w:r w:rsidRPr="009F71D8">
        <w:rPr>
          <w:rFonts w:ascii="Palatino Linotype" w:hAnsi="Palatino Linotype" w:cs="Arial"/>
          <w:b/>
          <w:sz w:val="24"/>
          <w:szCs w:val="24"/>
        </w:rPr>
        <w:t xml:space="preserve"> RECURSO</w:t>
      </w:r>
      <w:r w:rsidR="006375D7">
        <w:rPr>
          <w:rFonts w:ascii="Palatino Linotype" w:hAnsi="Palatino Linotype" w:cs="Arial"/>
          <w:b/>
          <w:sz w:val="24"/>
          <w:szCs w:val="24"/>
        </w:rPr>
        <w:t>S</w:t>
      </w:r>
      <w:r w:rsidRPr="009F71D8">
        <w:rPr>
          <w:rFonts w:ascii="Palatino Linotype" w:hAnsi="Palatino Linotype" w:cs="Arial"/>
          <w:b/>
          <w:sz w:val="24"/>
          <w:szCs w:val="24"/>
        </w:rPr>
        <w:t xml:space="preserve"> DE REVISIÓN</w:t>
      </w:r>
      <w:r w:rsidR="006375D7">
        <w:rPr>
          <w:rFonts w:ascii="Palatino Linotype" w:hAnsi="Palatino Linotype" w:cs="Arial"/>
          <w:b/>
          <w:sz w:val="24"/>
          <w:szCs w:val="24"/>
        </w:rPr>
        <w:t xml:space="preserve"> ACUMULADOS</w:t>
      </w:r>
      <w:r w:rsidRPr="009F71D8">
        <w:rPr>
          <w:rFonts w:ascii="Palatino Linotype" w:hAnsi="Palatino Linotype" w:cs="Arial"/>
          <w:b/>
          <w:sz w:val="24"/>
          <w:szCs w:val="24"/>
        </w:rPr>
        <w:t xml:space="preserve"> </w:t>
      </w:r>
      <w:r w:rsidR="008E268A">
        <w:rPr>
          <w:rFonts w:ascii="Palatino Linotype" w:hAnsi="Palatino Linotype" w:cs="Arial"/>
          <w:b/>
          <w:bCs/>
          <w:sz w:val="24"/>
          <w:szCs w:val="24"/>
        </w:rPr>
        <w:t>08401/INFOEM/IP/RR/2019 Y</w:t>
      </w:r>
      <w:r w:rsidR="006375D7" w:rsidRPr="006375D7">
        <w:rPr>
          <w:rFonts w:ascii="Palatino Linotype" w:hAnsi="Palatino Linotype" w:cs="Arial"/>
          <w:b/>
          <w:bCs/>
          <w:sz w:val="24"/>
          <w:szCs w:val="24"/>
        </w:rPr>
        <w:t xml:space="preserve"> 08402/INFOEM/IP/RR/2019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respect</w:t>
      </w:r>
      <w:r w:rsidR="006375D7">
        <w:rPr>
          <w:rFonts w:ascii="Palatino Linotype" w:hAnsi="Palatino Linotype" w:cs="Arial"/>
          <w:sz w:val="24"/>
          <w:szCs w:val="24"/>
        </w:rPr>
        <w:t xml:space="preserve">o de la resolución dictada en los recursos </w:t>
      </w:r>
      <w:r w:rsidRPr="009F71D8">
        <w:rPr>
          <w:rFonts w:ascii="Palatino Linotype" w:hAnsi="Palatino Linotype" w:cs="Arial"/>
          <w:sz w:val="24"/>
          <w:szCs w:val="24"/>
        </w:rPr>
        <w:t>de revisión</w:t>
      </w:r>
      <w:r w:rsidR="006375D7">
        <w:rPr>
          <w:rFonts w:ascii="Palatino Linotype" w:hAnsi="Palatino Linotype" w:cs="Arial"/>
          <w:sz w:val="24"/>
          <w:szCs w:val="24"/>
        </w:rPr>
        <w:t xml:space="preserve"> acumulados </w:t>
      </w:r>
      <w:r w:rsidR="006375D7" w:rsidRPr="006375D7">
        <w:rPr>
          <w:rFonts w:ascii="Palatino Linotype" w:hAnsi="Palatino Linotype" w:cs="Arial"/>
          <w:b/>
          <w:sz w:val="24"/>
          <w:szCs w:val="24"/>
        </w:rPr>
        <w:t>08401/INFOEM/IP/RR/2019 y 08402/INFOEM/IP/RR/2019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4B622D">
        <w:rPr>
          <w:rFonts w:ascii="Palatino Linotype" w:hAnsi="Palatino Linotype" w:cs="Arial"/>
          <w:sz w:val="24"/>
          <w:szCs w:val="24"/>
        </w:rPr>
        <w:t>el Comisionado</w:t>
      </w:r>
      <w:r w:rsidRPr="009F71D8">
        <w:rPr>
          <w:rFonts w:ascii="Palatino Linotype" w:hAnsi="Palatino Linotype" w:cs="Arial"/>
          <w:sz w:val="24"/>
          <w:szCs w:val="24"/>
        </w:rPr>
        <w:t xml:space="preserve"> </w:t>
      </w:r>
      <w:r w:rsidR="004B622D">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121F69" w:rsidRDefault="00222D15" w:rsidP="00121F69">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6375D7" w:rsidRPr="006375D7">
        <w:rPr>
          <w:rFonts w:ascii="Palatino Linotype" w:hAnsi="Palatino Linotype"/>
          <w:b/>
          <w:sz w:val="24"/>
          <w:szCs w:val="24"/>
        </w:rPr>
        <w:t xml:space="preserve">Ayuntamiento de </w:t>
      </w:r>
      <w:proofErr w:type="spellStart"/>
      <w:r w:rsidR="006375D7" w:rsidRPr="006375D7">
        <w:rPr>
          <w:rFonts w:ascii="Palatino Linotype" w:hAnsi="Palatino Linotype"/>
          <w:b/>
          <w:sz w:val="24"/>
          <w:szCs w:val="24"/>
        </w:rPr>
        <w:t>Ozumba</w:t>
      </w:r>
      <w:proofErr w:type="spellEnd"/>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DD6808">
        <w:rPr>
          <w:rFonts w:ascii="Palatino Linotype" w:hAnsi="Palatino Linotype"/>
          <w:sz w:val="24"/>
          <w:szCs w:val="24"/>
        </w:rPr>
        <w:t>los siguiente:</w:t>
      </w:r>
    </w:p>
    <w:p w:rsidR="006375D7" w:rsidRPr="006375D7" w:rsidRDefault="006375D7" w:rsidP="00D103DE">
      <w:pPr>
        <w:pStyle w:val="Prrafodelista"/>
        <w:numPr>
          <w:ilvl w:val="0"/>
          <w:numId w:val="16"/>
        </w:numPr>
        <w:tabs>
          <w:tab w:val="left" w:pos="1276"/>
        </w:tabs>
        <w:ind w:left="851" w:right="899" w:firstLine="0"/>
        <w:jc w:val="both"/>
        <w:rPr>
          <w:rFonts w:ascii="Palatino Linotype" w:eastAsia="Calibri" w:hAnsi="Palatino Linotype" w:cs="Tahoma"/>
          <w:i/>
          <w:iCs/>
          <w:szCs w:val="22"/>
          <w:lang w:val="es-ES" w:eastAsia="es-ES_tradnl"/>
        </w:rPr>
      </w:pPr>
      <w:r w:rsidRPr="006375D7">
        <w:rPr>
          <w:rFonts w:ascii="Palatino Linotype" w:eastAsia="Calibri" w:hAnsi="Palatino Linotype" w:cs="Tahoma"/>
          <w:i/>
          <w:iCs/>
          <w:szCs w:val="22"/>
          <w:lang w:val="es-ES" w:eastAsia="es-ES_tradnl"/>
        </w:rPr>
        <w:lastRenderedPageBreak/>
        <w:t>Presupuesto aprobado para el pago de los sueldos de todos los servidores públicos, en el ejercicio fiscal dos mil diecinueve;</w:t>
      </w:r>
    </w:p>
    <w:p w:rsidR="006375D7" w:rsidRPr="006375D7" w:rsidRDefault="006375D7" w:rsidP="00D103DE">
      <w:pPr>
        <w:pStyle w:val="Prrafodelista"/>
        <w:tabs>
          <w:tab w:val="left" w:pos="4962"/>
        </w:tabs>
        <w:ind w:left="851" w:right="899"/>
        <w:jc w:val="both"/>
        <w:rPr>
          <w:rFonts w:ascii="Palatino Linotype" w:eastAsia="Calibri" w:hAnsi="Palatino Linotype" w:cs="Tahoma"/>
          <w:i/>
          <w:iCs/>
          <w:szCs w:val="22"/>
          <w:lang w:val="es-ES" w:eastAsia="es-ES_tradnl"/>
        </w:rPr>
      </w:pPr>
    </w:p>
    <w:p w:rsidR="006375D7" w:rsidRPr="006375D7" w:rsidRDefault="006375D7" w:rsidP="00D103DE">
      <w:pPr>
        <w:pStyle w:val="Prrafodelista"/>
        <w:numPr>
          <w:ilvl w:val="0"/>
          <w:numId w:val="16"/>
        </w:numPr>
        <w:tabs>
          <w:tab w:val="left" w:pos="1276"/>
        </w:tabs>
        <w:ind w:left="851" w:right="899" w:firstLine="0"/>
        <w:jc w:val="both"/>
        <w:rPr>
          <w:rFonts w:ascii="Palatino Linotype" w:eastAsia="Calibri" w:hAnsi="Palatino Linotype" w:cs="Tahoma"/>
          <w:i/>
          <w:iCs/>
          <w:szCs w:val="22"/>
          <w:lang w:val="es-ES" w:eastAsia="es-ES_tradnl"/>
        </w:rPr>
      </w:pPr>
      <w:r w:rsidRPr="006375D7">
        <w:rPr>
          <w:rFonts w:ascii="Palatino Linotype" w:eastAsia="Calibri" w:hAnsi="Palatino Linotype" w:cs="Tahoma"/>
          <w:i/>
          <w:iCs/>
          <w:szCs w:val="22"/>
          <w:lang w:val="es-ES" w:eastAsia="es-ES_tradnl"/>
        </w:rPr>
        <w:t>Número de servidores públicos que han sido despedidos, del veintitrés de agosto de la presente anualidad al veintiocho de septiembre de dos mil diecinueve, así como, lo siguiente:</w:t>
      </w:r>
    </w:p>
    <w:p w:rsidR="006375D7" w:rsidRPr="006375D7" w:rsidRDefault="006375D7" w:rsidP="00D103DE">
      <w:pPr>
        <w:pStyle w:val="Prrafodelista"/>
        <w:ind w:left="851" w:right="899"/>
        <w:rPr>
          <w:rFonts w:ascii="Palatino Linotype" w:eastAsia="Calibri" w:hAnsi="Palatino Linotype" w:cs="Tahoma"/>
          <w:i/>
          <w:iCs/>
          <w:szCs w:val="22"/>
          <w:lang w:val="es-ES" w:eastAsia="es-ES_tradnl"/>
        </w:rPr>
      </w:pPr>
    </w:p>
    <w:p w:rsidR="006375D7" w:rsidRPr="006375D7" w:rsidRDefault="006375D7" w:rsidP="00D103DE">
      <w:pPr>
        <w:pStyle w:val="Prrafodelista"/>
        <w:numPr>
          <w:ilvl w:val="0"/>
          <w:numId w:val="17"/>
        </w:numPr>
        <w:tabs>
          <w:tab w:val="left" w:pos="1276"/>
        </w:tabs>
        <w:ind w:left="851" w:right="899" w:firstLine="0"/>
        <w:jc w:val="both"/>
        <w:rPr>
          <w:rFonts w:ascii="Palatino Linotype" w:eastAsia="Calibri" w:hAnsi="Palatino Linotype" w:cs="Tahoma"/>
          <w:i/>
          <w:iCs/>
          <w:szCs w:val="22"/>
          <w:lang w:val="es-ES" w:eastAsia="es-ES_tradnl"/>
        </w:rPr>
      </w:pPr>
      <w:r w:rsidRPr="006375D7">
        <w:rPr>
          <w:rFonts w:ascii="Palatino Linotype" w:eastAsia="Calibri" w:hAnsi="Palatino Linotype" w:cs="Tahoma"/>
          <w:i/>
          <w:iCs/>
          <w:szCs w:val="22"/>
          <w:lang w:val="es-ES" w:eastAsia="es-ES_tradnl"/>
        </w:rPr>
        <w:t>Razones por las cuales se despidió al personal, señalado en el punto anterior;</w:t>
      </w:r>
    </w:p>
    <w:p w:rsidR="006375D7" w:rsidRPr="006375D7" w:rsidRDefault="006375D7" w:rsidP="00D103DE">
      <w:pPr>
        <w:pStyle w:val="Prrafodelista"/>
        <w:ind w:left="851" w:right="899"/>
        <w:rPr>
          <w:rFonts w:ascii="Palatino Linotype" w:eastAsia="Calibri" w:hAnsi="Palatino Linotype" w:cs="Tahoma"/>
          <w:i/>
          <w:iCs/>
          <w:szCs w:val="22"/>
          <w:lang w:val="es-ES" w:eastAsia="es-ES_tradnl"/>
        </w:rPr>
      </w:pPr>
    </w:p>
    <w:p w:rsidR="00DD6808" w:rsidRPr="006375D7" w:rsidRDefault="006375D7" w:rsidP="00D103DE">
      <w:pPr>
        <w:pStyle w:val="Prrafodelista"/>
        <w:numPr>
          <w:ilvl w:val="0"/>
          <w:numId w:val="17"/>
        </w:numPr>
        <w:tabs>
          <w:tab w:val="left" w:pos="993"/>
          <w:tab w:val="left" w:pos="1276"/>
        </w:tabs>
        <w:spacing w:before="240"/>
        <w:ind w:left="851" w:right="899" w:firstLine="0"/>
        <w:jc w:val="both"/>
        <w:rPr>
          <w:rFonts w:ascii="Palatino Linotype" w:hAnsi="Palatino Linotype" w:cs="Arial"/>
          <w:i/>
          <w:szCs w:val="22"/>
        </w:rPr>
      </w:pPr>
      <w:r w:rsidRPr="006375D7">
        <w:rPr>
          <w:rFonts w:ascii="Palatino Linotype" w:eastAsia="Calibri" w:hAnsi="Palatino Linotype" w:cs="Tahoma"/>
          <w:i/>
          <w:iCs/>
          <w:szCs w:val="22"/>
          <w:lang w:val="es-ES" w:eastAsia="es-ES_tradnl"/>
        </w:rPr>
        <w:t>Monto de indemnización que se le dio a cada uno de los servidores públicos;</w:t>
      </w:r>
    </w:p>
    <w:p w:rsidR="00D103DE" w:rsidRDefault="00D103DE" w:rsidP="00121F69">
      <w:pPr>
        <w:spacing w:before="240" w:line="360" w:lineRule="auto"/>
        <w:jc w:val="both"/>
        <w:rPr>
          <w:rFonts w:ascii="Palatino Linotype" w:hAnsi="Palatino Linotype" w:cs="Arial"/>
          <w:sz w:val="24"/>
          <w:szCs w:val="24"/>
        </w:rPr>
      </w:pPr>
    </w:p>
    <w:p w:rsidR="008C3005" w:rsidRPr="00121F69" w:rsidRDefault="00222D15" w:rsidP="00121F69">
      <w:pPr>
        <w:spacing w:before="240" w:line="360" w:lineRule="auto"/>
        <w:jc w:val="both"/>
        <w:rPr>
          <w:rFonts w:ascii="Palatino Linotype" w:hAnsi="Palatino Linotype" w:cs="Arial"/>
          <w:sz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DD6808">
        <w:rPr>
          <w:rFonts w:ascii="Palatino Linotype" w:hAnsi="Palatino Linotype" w:cs="Arial"/>
          <w:sz w:val="24"/>
          <w:szCs w:val="24"/>
        </w:rPr>
        <w:t xml:space="preserve">fue omiso en remitir su respuesta </w:t>
      </w:r>
      <w:r w:rsidR="003A0433">
        <w:rPr>
          <w:rFonts w:ascii="Palatino Linotype" w:hAnsi="Palatino Linotype" w:cs="Arial"/>
          <w:sz w:val="24"/>
          <w:szCs w:val="24"/>
        </w:rPr>
        <w:t>a la solicitud de acceso a la información pública formulada por el particular.</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6375D7">
        <w:rPr>
          <w:rFonts w:ascii="Palatino Linotype" w:hAnsi="Palatino Linotype" w:cs="Arial"/>
          <w:sz w:val="24"/>
          <w:szCs w:val="24"/>
        </w:rPr>
        <w:t xml:space="preserve"> falta de</w:t>
      </w:r>
      <w:r w:rsidR="004B7753">
        <w:rPr>
          <w:rFonts w:ascii="Palatino Linotype" w:hAnsi="Palatino Linotype" w:cs="Arial"/>
          <w:sz w:val="24"/>
          <w:szCs w:val="24"/>
        </w:rPr>
        <w:t xml:space="preserve"> respuesta, la</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3A0433">
        <w:rPr>
          <w:rFonts w:ascii="Palatino Linotype" w:hAnsi="Palatino Linotype" w:cs="Arial"/>
          <w:sz w:val="24"/>
          <w:szCs w:val="24"/>
        </w:rPr>
        <w:t xml:space="preserve">que se </w:t>
      </w:r>
      <w:r w:rsidR="006375D7">
        <w:rPr>
          <w:rFonts w:ascii="Palatino Linotype" w:hAnsi="Palatino Linotype" w:cs="Arial"/>
          <w:sz w:val="24"/>
          <w:szCs w:val="24"/>
        </w:rPr>
        <w:t>había</w:t>
      </w:r>
      <w:r w:rsidR="003A0433">
        <w:rPr>
          <w:rFonts w:ascii="Palatino Linotype" w:hAnsi="Palatino Linotype" w:cs="Arial"/>
          <w:sz w:val="24"/>
          <w:szCs w:val="24"/>
        </w:rPr>
        <w:t xml:space="preserve"> vencido el término para otorgar respuesta</w:t>
      </w:r>
      <w:r w:rsidR="00D72673">
        <w:rPr>
          <w:rFonts w:ascii="Palatino Linotype" w:hAnsi="Palatino Linotype" w:cs="Arial"/>
          <w:sz w:val="24"/>
          <w:szCs w:val="24"/>
        </w:rPr>
        <w:t>.</w:t>
      </w:r>
    </w:p>
    <w:p w:rsidR="005E0746" w:rsidRPr="00D103DE" w:rsidRDefault="00222D15" w:rsidP="005E0746">
      <w:pPr>
        <w:pStyle w:val="Sinespaciado"/>
        <w:spacing w:line="360" w:lineRule="auto"/>
        <w:jc w:val="both"/>
        <w:rPr>
          <w:rFonts w:ascii="Palatino Linotype" w:eastAsia="Calibri" w:hAnsi="Palatino Linotype" w:cs="Arial"/>
          <w:sz w:val="28"/>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5F2664">
        <w:rPr>
          <w:rFonts w:ascii="Palatino Linotype" w:hAnsi="Palatino Linotype"/>
          <w:b/>
          <w:sz w:val="24"/>
          <w:szCs w:val="24"/>
        </w:rPr>
        <w:t>ORDENAR</w:t>
      </w:r>
      <w:r w:rsidR="007A3711" w:rsidRPr="0014447C">
        <w:rPr>
          <w:rFonts w:ascii="Palatino Linotype" w:hAnsi="Palatino Linotype"/>
          <w:sz w:val="24"/>
          <w:szCs w:val="24"/>
        </w:rPr>
        <w:t xml:space="preserve"> </w:t>
      </w:r>
      <w:r w:rsidR="005F2664" w:rsidRPr="00D103DE">
        <w:rPr>
          <w:rFonts w:ascii="Palatino Linotype" w:eastAsia="Calibri" w:hAnsi="Palatino Linotype" w:cs="Tahoma"/>
          <w:sz w:val="24"/>
          <w:lang w:eastAsia="es-MX"/>
        </w:rPr>
        <w:t xml:space="preserve">al </w:t>
      </w:r>
      <w:r w:rsidR="005F2664" w:rsidRPr="00D103DE">
        <w:rPr>
          <w:rFonts w:ascii="Palatino Linotype" w:eastAsia="Calibri" w:hAnsi="Palatino Linotype" w:cs="Tahoma"/>
          <w:b/>
          <w:sz w:val="24"/>
          <w:lang w:eastAsia="es-MX"/>
        </w:rPr>
        <w:t>SUJETO OBLIGADO</w:t>
      </w:r>
      <w:r w:rsidR="005F2664" w:rsidRPr="00D103DE">
        <w:rPr>
          <w:rFonts w:ascii="Palatino Linotype" w:eastAsia="Calibri" w:hAnsi="Palatino Linotype" w:cs="Tahoma"/>
          <w:sz w:val="24"/>
          <w:lang w:eastAsia="es-MX"/>
        </w:rPr>
        <w:t xml:space="preserve">, </w:t>
      </w:r>
      <w:r w:rsidR="0085524D" w:rsidRPr="00D103DE">
        <w:rPr>
          <w:rFonts w:ascii="Palatino Linotype" w:eastAsia="Calibri" w:hAnsi="Palatino Linotype" w:cs="Tahoma"/>
          <w:bCs/>
          <w:sz w:val="24"/>
        </w:rPr>
        <w:t>a efecto de que entregue, a través del Sistema de Acceso a la Información Mexiquense (SAIMEX), previa búsqueda exhaustiva y razonable, en todas las unidades administrativas competentes, en su caso en versión pública, la siguiente información:</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6375D7" w:rsidRPr="006375D7" w:rsidRDefault="006375D7" w:rsidP="00D103DE">
      <w:pPr>
        <w:numPr>
          <w:ilvl w:val="0"/>
          <w:numId w:val="18"/>
        </w:numPr>
        <w:tabs>
          <w:tab w:val="left" w:pos="1276"/>
        </w:tabs>
        <w:spacing w:after="0" w:line="240" w:lineRule="auto"/>
        <w:ind w:left="851" w:right="899" w:firstLine="0"/>
        <w:jc w:val="both"/>
        <w:rPr>
          <w:rFonts w:ascii="Palatino Linotype" w:eastAsia="Calibri" w:hAnsi="Palatino Linotype" w:cs="Tahoma"/>
          <w:bCs/>
          <w:i/>
          <w:iCs/>
          <w:lang w:val="es-ES"/>
        </w:rPr>
      </w:pPr>
      <w:r w:rsidRPr="006375D7">
        <w:rPr>
          <w:rFonts w:ascii="Palatino Linotype" w:eastAsia="Calibri" w:hAnsi="Palatino Linotype" w:cs="Tahoma"/>
          <w:bCs/>
          <w:i/>
          <w:iCs/>
          <w:lang w:val="es-ES"/>
        </w:rPr>
        <w:t>Los formatos PbRM-E-04c y PbRM-E-04d, del ejercicio fiscal dos mil diecinueve.</w:t>
      </w:r>
    </w:p>
    <w:p w:rsidR="006375D7" w:rsidRPr="006375D7" w:rsidRDefault="006375D7" w:rsidP="00D103DE">
      <w:pPr>
        <w:tabs>
          <w:tab w:val="left" w:pos="4962"/>
        </w:tabs>
        <w:spacing w:line="240" w:lineRule="auto"/>
        <w:ind w:left="851" w:right="899"/>
        <w:jc w:val="both"/>
        <w:rPr>
          <w:rFonts w:ascii="Palatino Linotype" w:eastAsia="Calibri" w:hAnsi="Palatino Linotype" w:cs="Tahoma"/>
          <w:bCs/>
          <w:i/>
          <w:iCs/>
          <w:lang w:val="es-ES"/>
        </w:rPr>
      </w:pPr>
    </w:p>
    <w:p w:rsidR="006375D7" w:rsidRPr="006375D7" w:rsidRDefault="006375D7" w:rsidP="00D103DE">
      <w:pPr>
        <w:numPr>
          <w:ilvl w:val="0"/>
          <w:numId w:val="18"/>
        </w:numPr>
        <w:tabs>
          <w:tab w:val="left" w:pos="1276"/>
        </w:tabs>
        <w:spacing w:after="0" w:line="240" w:lineRule="auto"/>
        <w:ind w:left="851" w:right="899" w:firstLine="0"/>
        <w:jc w:val="both"/>
        <w:rPr>
          <w:rFonts w:ascii="Palatino Linotype" w:eastAsia="Calibri" w:hAnsi="Palatino Linotype" w:cs="Tahoma"/>
          <w:bCs/>
          <w:i/>
          <w:iCs/>
          <w:lang w:val="es-ES"/>
        </w:rPr>
      </w:pPr>
      <w:r w:rsidRPr="006375D7">
        <w:rPr>
          <w:rFonts w:ascii="Palatino Linotype" w:eastAsia="Calibri" w:hAnsi="Palatino Linotype" w:cs="Tahoma"/>
          <w:bCs/>
          <w:i/>
          <w:iCs/>
          <w:lang w:val="es-ES"/>
        </w:rPr>
        <w:lastRenderedPageBreak/>
        <w:t>Respecto a los despidos realizados por el Sujeto Obligado, del veintitrés de agosto de dos mil diecinueve al veintiocho de septiembre de la presente anualidad, los documentos donde conste, lo siguiente:</w:t>
      </w:r>
    </w:p>
    <w:p w:rsidR="006375D7" w:rsidRPr="006375D7" w:rsidRDefault="006375D7" w:rsidP="00D103DE">
      <w:pPr>
        <w:tabs>
          <w:tab w:val="left" w:pos="4962"/>
        </w:tabs>
        <w:spacing w:line="240" w:lineRule="auto"/>
        <w:ind w:left="851" w:right="899"/>
        <w:jc w:val="both"/>
        <w:rPr>
          <w:rFonts w:ascii="Palatino Linotype" w:eastAsia="Calibri" w:hAnsi="Palatino Linotype" w:cs="Tahoma"/>
          <w:bCs/>
          <w:i/>
          <w:iCs/>
          <w:lang w:val="es-ES"/>
        </w:rPr>
      </w:pPr>
    </w:p>
    <w:p w:rsidR="006375D7" w:rsidRPr="006375D7" w:rsidRDefault="006375D7" w:rsidP="00D103DE">
      <w:pPr>
        <w:numPr>
          <w:ilvl w:val="0"/>
          <w:numId w:val="19"/>
        </w:numPr>
        <w:tabs>
          <w:tab w:val="left" w:pos="1276"/>
        </w:tabs>
        <w:spacing w:after="0" w:line="240" w:lineRule="auto"/>
        <w:ind w:left="851" w:right="899" w:firstLine="0"/>
        <w:jc w:val="both"/>
        <w:rPr>
          <w:rFonts w:ascii="Palatino Linotype" w:eastAsia="Calibri" w:hAnsi="Palatino Linotype" w:cs="Tahoma"/>
          <w:bCs/>
          <w:i/>
          <w:iCs/>
          <w:lang w:val="es-ES"/>
        </w:rPr>
      </w:pPr>
      <w:r w:rsidRPr="006375D7">
        <w:rPr>
          <w:rFonts w:ascii="Palatino Linotype" w:eastAsia="Calibri" w:hAnsi="Palatino Linotype" w:cs="Tahoma"/>
          <w:bCs/>
          <w:i/>
          <w:iCs/>
          <w:lang w:val="es-ES"/>
        </w:rPr>
        <w:t>Número total.</w:t>
      </w:r>
    </w:p>
    <w:p w:rsidR="006375D7" w:rsidRPr="006375D7" w:rsidRDefault="006375D7" w:rsidP="00D103DE">
      <w:pPr>
        <w:numPr>
          <w:ilvl w:val="0"/>
          <w:numId w:val="19"/>
        </w:numPr>
        <w:tabs>
          <w:tab w:val="left" w:pos="1276"/>
        </w:tabs>
        <w:spacing w:after="0" w:line="240" w:lineRule="auto"/>
        <w:ind w:left="851" w:right="899" w:firstLine="0"/>
        <w:jc w:val="both"/>
        <w:rPr>
          <w:rFonts w:ascii="Palatino Linotype" w:eastAsia="Calibri" w:hAnsi="Palatino Linotype" w:cs="Tahoma"/>
          <w:bCs/>
          <w:i/>
          <w:iCs/>
          <w:lang w:val="es-ES"/>
        </w:rPr>
      </w:pPr>
      <w:r w:rsidRPr="006375D7">
        <w:rPr>
          <w:rFonts w:ascii="Palatino Linotype" w:eastAsia="Calibri" w:hAnsi="Palatino Linotype" w:cs="Tahoma"/>
          <w:bCs/>
          <w:i/>
          <w:iCs/>
          <w:lang w:val="es-ES"/>
        </w:rPr>
        <w:t>Razones por las cuales fue rescindida la relación laboral.</w:t>
      </w:r>
    </w:p>
    <w:p w:rsidR="006375D7" w:rsidRPr="006375D7" w:rsidRDefault="006375D7" w:rsidP="00D103DE">
      <w:pPr>
        <w:tabs>
          <w:tab w:val="left" w:pos="4962"/>
        </w:tabs>
        <w:spacing w:line="240" w:lineRule="auto"/>
        <w:ind w:left="851" w:right="899"/>
        <w:jc w:val="both"/>
        <w:rPr>
          <w:rFonts w:ascii="Palatino Linotype" w:eastAsia="Calibri" w:hAnsi="Palatino Linotype" w:cs="Tahoma"/>
          <w:bCs/>
          <w:i/>
          <w:iCs/>
          <w:lang w:val="es-ES"/>
        </w:rPr>
      </w:pPr>
    </w:p>
    <w:p w:rsidR="006375D7" w:rsidRPr="006375D7" w:rsidRDefault="006375D7" w:rsidP="00D103DE">
      <w:pPr>
        <w:tabs>
          <w:tab w:val="left" w:pos="4962"/>
        </w:tabs>
        <w:spacing w:line="240" w:lineRule="auto"/>
        <w:ind w:left="851" w:right="899"/>
        <w:jc w:val="both"/>
        <w:rPr>
          <w:rFonts w:ascii="Palatino Linotype" w:eastAsia="Calibri" w:hAnsi="Palatino Linotype" w:cs="Tahoma"/>
          <w:bCs/>
          <w:i/>
          <w:iCs/>
          <w:lang w:val="es-ES"/>
        </w:rPr>
      </w:pPr>
      <w:r w:rsidRPr="006375D7">
        <w:rPr>
          <w:rFonts w:ascii="Palatino Linotype" w:eastAsia="Calibri" w:hAnsi="Palatino Linotype" w:cs="Tahoma"/>
          <w:bCs/>
          <w:i/>
          <w:iCs/>
          <w:lang w:val="es-ES"/>
        </w:rPr>
        <w:t>En el supuesto, que las causas de despido, sean por cuestiones personales de los ex empleados, deberá proporcionar el Acuerdo emitido por el Comité de Transparencia donde confirmé la clasificación de estas, en términos del artículo 143, fracción I de la Ley de Transparencia y Acceso a la Información Pública del Estado de México y Municipios,</w:t>
      </w:r>
    </w:p>
    <w:p w:rsidR="006375D7" w:rsidRPr="006375D7" w:rsidRDefault="006375D7" w:rsidP="00D103DE">
      <w:pPr>
        <w:tabs>
          <w:tab w:val="left" w:pos="4962"/>
        </w:tabs>
        <w:spacing w:line="240" w:lineRule="auto"/>
        <w:ind w:left="851" w:right="899"/>
        <w:jc w:val="both"/>
        <w:rPr>
          <w:rFonts w:ascii="Palatino Linotype" w:eastAsia="Calibri" w:hAnsi="Palatino Linotype" w:cs="Tahoma"/>
          <w:bCs/>
          <w:i/>
          <w:iCs/>
          <w:lang w:val="es-ES"/>
        </w:rPr>
      </w:pPr>
    </w:p>
    <w:p w:rsidR="005E0746" w:rsidRPr="006375D7" w:rsidRDefault="006375D7" w:rsidP="00D103DE">
      <w:pPr>
        <w:pStyle w:val="Sinespaciado"/>
        <w:ind w:left="851" w:right="899"/>
        <w:jc w:val="both"/>
        <w:rPr>
          <w:rFonts w:ascii="Palatino Linotype" w:hAnsi="Palatino Linotype"/>
          <w:i/>
          <w:lang w:val="es-ES_tradnl"/>
        </w:rPr>
      </w:pPr>
      <w:r w:rsidRPr="006375D7">
        <w:rPr>
          <w:rFonts w:ascii="Palatino Linotype" w:eastAsia="Calibri" w:hAnsi="Palatino Linotype" w:cs="Tahoma"/>
          <w:bCs/>
          <w:i/>
          <w:iCs/>
          <w:lang w:val="es-ES"/>
        </w:rPr>
        <w:t>Monto de recursos públicos entregados a cada uno de los ex servidores públicos.</w:t>
      </w:r>
      <w:r w:rsidR="005E0746" w:rsidRPr="006375D7">
        <w:rPr>
          <w:rFonts w:ascii="Palatino Linotype" w:hAnsi="Palatino Linotype"/>
          <w:i/>
          <w:lang w:val="es-ES_tradnl"/>
        </w:rPr>
        <w:t xml:space="preserve"> </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85524D">
        <w:rPr>
          <w:rFonts w:ascii="Palatino Linotype" w:hAnsi="Palatino Linotype" w:cs="Arial"/>
          <w:sz w:val="24"/>
          <w:szCs w:val="24"/>
        </w:rPr>
        <w:t xml:space="preserve">tomado por derecho de petición la pretensión del particular encaminada a conocer si se le había dado aviso a la sala auxiliar del tribunal estatal de conciliación y arbitraje sobre el despido mencionado. </w:t>
      </w:r>
    </w:p>
    <w:p w:rsidR="00432008" w:rsidRPr="0085524D" w:rsidRDefault="006079F6" w:rsidP="000B643B">
      <w:p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 xml:space="preserve">Lo anterior en razón, de que </w:t>
      </w:r>
      <w:r w:rsidR="0085524D">
        <w:rPr>
          <w:rFonts w:ascii="Palatino Linotype" w:hAnsi="Palatino Linotype" w:cs="Arial"/>
          <w:sz w:val="24"/>
        </w:rPr>
        <w:t xml:space="preserve">si bien es cierto la pretensión señalada fue formulada en forma de interrogante, también lo es que como órgano garante debemos tener presente que los particulares quienes pretender </w:t>
      </w:r>
      <w:r w:rsidR="004D0F62">
        <w:rPr>
          <w:rFonts w:ascii="Palatino Linotype" w:hAnsi="Palatino Linotype" w:cs="Arial"/>
          <w:sz w:val="24"/>
        </w:rPr>
        <w:t>acceder a la información no son expertos en la materia</w:t>
      </w:r>
      <w:r w:rsidR="00432008">
        <w:rPr>
          <w:rFonts w:ascii="Palatino Linotype" w:hAnsi="Palatino Linotype" w:cs="Arial"/>
          <w:sz w:val="24"/>
        </w:rPr>
        <w:t>.</w:t>
      </w:r>
    </w:p>
    <w:p w:rsidR="004D0F62" w:rsidRDefault="00CB35F6" w:rsidP="004D0F62">
      <w:pPr>
        <w:spacing w:before="100" w:beforeAutospacing="1" w:after="100" w:afterAutospacing="1" w:line="360" w:lineRule="auto"/>
        <w:ind w:right="49"/>
        <w:jc w:val="both"/>
        <w:rPr>
          <w:rFonts w:ascii="Palatino Linotype" w:eastAsia="Calibri" w:hAnsi="Palatino Linotype"/>
          <w:sz w:val="24"/>
          <w:szCs w:val="24"/>
        </w:rPr>
      </w:pPr>
      <w:r>
        <w:rPr>
          <w:rFonts w:ascii="Palatino Linotype" w:eastAsia="Calibri" w:hAnsi="Palatino Linotype"/>
          <w:sz w:val="24"/>
          <w:szCs w:val="24"/>
        </w:rPr>
        <w:lastRenderedPageBreak/>
        <w:t xml:space="preserve">Es por ello que </w:t>
      </w:r>
      <w:r w:rsidR="00AE1C6B">
        <w:rPr>
          <w:rFonts w:ascii="Palatino Linotype" w:eastAsia="Calibri" w:hAnsi="Palatino Linotype"/>
          <w:sz w:val="24"/>
          <w:szCs w:val="24"/>
        </w:rPr>
        <w:t xml:space="preserve">se considera </w:t>
      </w:r>
      <w:r w:rsidR="004D0F62">
        <w:rPr>
          <w:rFonts w:ascii="Palatino Linotype" w:eastAsia="Calibri" w:hAnsi="Palatino Linotype"/>
          <w:sz w:val="24"/>
          <w:szCs w:val="24"/>
        </w:rPr>
        <w:t>importante analizar el criterio 16/2017 emitido por el Instituto Nacional de Transparencia Acceso a la Información y Protección de Datos Personales, mismo que a la letra nos dice:</w:t>
      </w:r>
    </w:p>
    <w:p w:rsidR="004D0F62" w:rsidRPr="004D0F62" w:rsidRDefault="004D0F62" w:rsidP="004D0F62">
      <w:pPr>
        <w:spacing w:before="100" w:beforeAutospacing="1" w:after="100" w:afterAutospacing="1" w:line="240" w:lineRule="auto"/>
        <w:ind w:left="851" w:right="757"/>
        <w:jc w:val="both"/>
        <w:rPr>
          <w:rFonts w:ascii="Palatino Linotype" w:hAnsi="Palatino Linotype" w:cs="Arial"/>
          <w:i/>
        </w:rPr>
      </w:pPr>
      <w:r w:rsidRPr="004D0F62">
        <w:rPr>
          <w:rFonts w:ascii="Palatino Linotype" w:hAnsi="Palatino Linotype" w:cs="Arial"/>
          <w:i/>
        </w:rPr>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4D0F62" w:rsidRPr="004D0F62" w:rsidRDefault="004D0F62" w:rsidP="004D0F62">
      <w:pPr>
        <w:spacing w:before="100" w:beforeAutospacing="1" w:after="100" w:afterAutospacing="1" w:line="240" w:lineRule="auto"/>
        <w:ind w:left="851" w:right="757"/>
        <w:jc w:val="both"/>
        <w:rPr>
          <w:rFonts w:ascii="Palatino Linotype" w:hAnsi="Palatino Linotype" w:cs="Arial"/>
          <w:i/>
        </w:rPr>
      </w:pPr>
      <w:r w:rsidRPr="004D0F62">
        <w:rPr>
          <w:rFonts w:ascii="Palatino Linotype" w:hAnsi="Palatino Linotype" w:cs="Arial"/>
          <w:i/>
        </w:rPr>
        <w:t>Resoluciones:</w:t>
      </w:r>
    </w:p>
    <w:p w:rsidR="004D0F62" w:rsidRPr="004D0F62" w:rsidRDefault="004D0F62" w:rsidP="004D0F62">
      <w:pPr>
        <w:spacing w:before="100" w:beforeAutospacing="1" w:after="100" w:afterAutospacing="1" w:line="240" w:lineRule="auto"/>
        <w:ind w:left="851" w:right="757"/>
        <w:jc w:val="both"/>
        <w:rPr>
          <w:rFonts w:ascii="Palatino Linotype" w:hAnsi="Palatino Linotype" w:cs="Arial"/>
          <w:i/>
        </w:rPr>
      </w:pPr>
      <w:r w:rsidRPr="004D0F62">
        <w:rPr>
          <w:rFonts w:ascii="Palatino Linotype" w:hAnsi="Palatino Linotype" w:cs="Arial"/>
          <w:i/>
        </w:rPr>
        <w:t>•</w:t>
      </w:r>
      <w:r w:rsidRPr="004D0F62">
        <w:rPr>
          <w:rFonts w:ascii="Palatino Linotype" w:hAnsi="Palatino Linotype" w:cs="Arial"/>
          <w:i/>
        </w:rPr>
        <w:tab/>
        <w:t xml:space="preserve">RRA 0774/16. Secretaría de Salud. 31 de agosto de 2016. Por unanimidad. Comisionada Ponente María Patricia </w:t>
      </w:r>
      <w:proofErr w:type="spellStart"/>
      <w:r w:rsidRPr="004D0F62">
        <w:rPr>
          <w:rFonts w:ascii="Palatino Linotype" w:hAnsi="Palatino Linotype" w:cs="Arial"/>
          <w:i/>
        </w:rPr>
        <w:t>Kurczyn</w:t>
      </w:r>
      <w:proofErr w:type="spellEnd"/>
      <w:r w:rsidRPr="004D0F62">
        <w:rPr>
          <w:rFonts w:ascii="Palatino Linotype" w:hAnsi="Palatino Linotype" w:cs="Arial"/>
          <w:i/>
        </w:rPr>
        <w:t xml:space="preserve"> Villalobos.</w:t>
      </w:r>
    </w:p>
    <w:p w:rsidR="004D0F62" w:rsidRPr="004D0F62" w:rsidRDefault="004D0F62" w:rsidP="004D0F62">
      <w:pPr>
        <w:spacing w:before="100" w:beforeAutospacing="1" w:after="100" w:afterAutospacing="1" w:line="240" w:lineRule="auto"/>
        <w:ind w:left="851" w:right="757"/>
        <w:jc w:val="both"/>
        <w:rPr>
          <w:rFonts w:ascii="Palatino Linotype" w:hAnsi="Palatino Linotype" w:cs="Arial"/>
          <w:i/>
        </w:rPr>
      </w:pPr>
      <w:r w:rsidRPr="004D0F62">
        <w:rPr>
          <w:rFonts w:ascii="Palatino Linotype" w:hAnsi="Palatino Linotype" w:cs="Arial"/>
          <w:i/>
        </w:rPr>
        <w:t>•</w:t>
      </w:r>
      <w:r w:rsidRPr="004D0F62">
        <w:rPr>
          <w:rFonts w:ascii="Palatino Linotype" w:hAnsi="Palatino Linotype" w:cs="Arial"/>
          <w:i/>
        </w:rPr>
        <w:tab/>
        <w:t xml:space="preserve">RRA 0143/17. Universidad Autónoma Agraria Antonio Narro. 22 de febrero de 2017. Por unanimidad. Comisionado Ponente Oscar Mauricio Guerra Ford. </w:t>
      </w:r>
    </w:p>
    <w:p w:rsidR="004D0F62" w:rsidRDefault="004D0F62" w:rsidP="004D0F62">
      <w:pPr>
        <w:spacing w:before="100" w:beforeAutospacing="1" w:after="100" w:afterAutospacing="1" w:line="240" w:lineRule="auto"/>
        <w:ind w:left="851" w:right="757"/>
        <w:jc w:val="both"/>
        <w:rPr>
          <w:rFonts w:ascii="Palatino Linotype" w:hAnsi="Palatino Linotype" w:cs="Arial"/>
          <w:i/>
        </w:rPr>
      </w:pPr>
      <w:r w:rsidRPr="004D0F62">
        <w:rPr>
          <w:rFonts w:ascii="Palatino Linotype" w:hAnsi="Palatino Linotype" w:cs="Arial"/>
          <w:i/>
        </w:rPr>
        <w:t>•</w:t>
      </w:r>
      <w:r w:rsidRPr="004D0F62">
        <w:rPr>
          <w:rFonts w:ascii="Palatino Linotype" w:hAnsi="Palatino Linotype" w:cs="Arial"/>
          <w:i/>
        </w:rPr>
        <w:tab/>
        <w:t>RRA 0540/17. Secretaría de Economía. 08 de marzo del 2017. Por unanimidad. Comisionado Ponente Francisco Javier Acuña Llamas.</w:t>
      </w:r>
    </w:p>
    <w:p w:rsidR="00D103DE" w:rsidRPr="00D103DE" w:rsidRDefault="00D103DE" w:rsidP="00036E28">
      <w:pPr>
        <w:spacing w:before="100" w:beforeAutospacing="1" w:after="100" w:afterAutospacing="1" w:line="360" w:lineRule="auto"/>
        <w:jc w:val="both"/>
        <w:rPr>
          <w:rFonts w:ascii="Palatino Linotype" w:hAnsi="Palatino Linotype" w:cs="Arial"/>
          <w:sz w:val="12"/>
          <w:szCs w:val="24"/>
        </w:rPr>
      </w:pPr>
    </w:p>
    <w:p w:rsidR="004D0F62" w:rsidRPr="004D0F62" w:rsidRDefault="004D0F62" w:rsidP="00036E28">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Es de lo anterior que podemos advertir, que si bien el particular no cuenta con los conocimientos suficientes del ámbito, su requerimiento debe ser interpretado por la Ponencia </w:t>
      </w:r>
      <w:proofErr w:type="spellStart"/>
      <w:r w:rsidR="00E06EEA">
        <w:rPr>
          <w:rFonts w:ascii="Palatino Linotype" w:hAnsi="Palatino Linotype" w:cs="Arial"/>
          <w:sz w:val="24"/>
          <w:szCs w:val="24"/>
        </w:rPr>
        <w:t>Resolutora</w:t>
      </w:r>
      <w:proofErr w:type="spellEnd"/>
      <w:r w:rsidR="00E06EEA">
        <w:rPr>
          <w:rFonts w:ascii="Palatino Linotype" w:hAnsi="Palatino Linotype" w:cs="Arial"/>
          <w:sz w:val="24"/>
          <w:szCs w:val="24"/>
        </w:rPr>
        <w:t>, en aras de privilegiar el derecho de acceso a la información pública del ciudadano.</w:t>
      </w:r>
    </w:p>
    <w:p w:rsidR="00D67AAB"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se debió</w:t>
      </w:r>
      <w:r w:rsidR="000B643B">
        <w:rPr>
          <w:rFonts w:ascii="Palatino Linotype" w:hAnsi="Palatino Linotype" w:cs="Arial"/>
          <w:sz w:val="24"/>
          <w:szCs w:val="24"/>
        </w:rPr>
        <w:t xml:space="preserve"> </w:t>
      </w:r>
      <w:r w:rsidR="00E06EEA">
        <w:rPr>
          <w:rFonts w:ascii="Palatino Linotype" w:hAnsi="Palatino Linotype" w:cs="Arial"/>
          <w:sz w:val="24"/>
          <w:szCs w:val="24"/>
        </w:rPr>
        <w:t xml:space="preserve">considerar y analizar el requerimiento del </w:t>
      </w:r>
      <w:r w:rsidR="00E06EEA" w:rsidRPr="00E06EEA">
        <w:rPr>
          <w:rFonts w:ascii="Palatino Linotype" w:hAnsi="Palatino Linotype" w:cs="Arial"/>
          <w:b/>
          <w:sz w:val="24"/>
          <w:szCs w:val="24"/>
        </w:rPr>
        <w:t>RECURRENTE</w:t>
      </w:r>
      <w:r w:rsidR="00E06EEA">
        <w:rPr>
          <w:rFonts w:ascii="Palatino Linotype" w:hAnsi="Palatino Linotype" w:cs="Arial"/>
          <w:sz w:val="24"/>
          <w:szCs w:val="24"/>
        </w:rPr>
        <w:t xml:space="preserve">, encaminado a que se le hiciera de su conocimiento si se le había dado vista a la sala auxiliar del </w:t>
      </w:r>
      <w:r w:rsidR="00D103DE">
        <w:rPr>
          <w:rFonts w:ascii="Palatino Linotype" w:hAnsi="Palatino Linotype" w:cs="Arial"/>
          <w:sz w:val="24"/>
          <w:szCs w:val="24"/>
        </w:rPr>
        <w:t>tribunal</w:t>
      </w:r>
      <w:r w:rsidR="00E06EEA">
        <w:rPr>
          <w:rFonts w:ascii="Palatino Linotype" w:hAnsi="Palatino Linotype" w:cs="Arial"/>
          <w:sz w:val="24"/>
          <w:szCs w:val="24"/>
        </w:rPr>
        <w:t xml:space="preserve"> estatal </w:t>
      </w:r>
      <w:r w:rsidR="003C1760">
        <w:rPr>
          <w:rFonts w:ascii="Palatino Linotype" w:hAnsi="Palatino Linotype" w:cs="Arial"/>
          <w:sz w:val="24"/>
          <w:szCs w:val="24"/>
        </w:rPr>
        <w:t xml:space="preserve">de conciliación </w:t>
      </w:r>
      <w:r w:rsidR="00E06EEA">
        <w:rPr>
          <w:rFonts w:ascii="Palatino Linotype" w:hAnsi="Palatino Linotype" w:cs="Arial"/>
          <w:sz w:val="24"/>
          <w:szCs w:val="24"/>
        </w:rPr>
        <w:t xml:space="preserve">y arbitraje sobre el despido que se especifica dentro de la solicitud de información pública, lo anterior con el fin </w:t>
      </w:r>
      <w:r w:rsidR="008E268A">
        <w:rPr>
          <w:rFonts w:ascii="Palatino Linotype" w:hAnsi="Palatino Linotype" w:cs="Arial"/>
          <w:sz w:val="24"/>
          <w:szCs w:val="24"/>
        </w:rPr>
        <w:t>garantizar el derecho de acceso a la información pública accionado por el particular.</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3C1760" w:rsidRPr="002601BD" w:rsidRDefault="003C1760"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3C1760">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C76708" w:rsidRPr="009F71D8" w:rsidRDefault="00C76708" w:rsidP="003C1760">
            <w:pPr>
              <w:spacing w:after="0"/>
              <w:ind w:right="51"/>
              <w:jc w:val="center"/>
              <w:rPr>
                <w:rFonts w:ascii="Palatino Linotype" w:hAnsi="Palatino Linotype"/>
                <w:b/>
                <w:sz w:val="24"/>
                <w:szCs w:val="24"/>
              </w:rPr>
            </w:pPr>
            <w:r w:rsidRPr="009F71D8">
              <w:rPr>
                <w:rFonts w:ascii="Palatino Linotype" w:hAnsi="Palatino Linotype"/>
                <w:b/>
                <w:sz w:val="24"/>
                <w:szCs w:val="24"/>
              </w:rPr>
              <w:t>RÚBRICA)</w:t>
            </w:r>
            <w:bookmarkStart w:id="0" w:name="_GoBack"/>
            <w:bookmarkEnd w:id="0"/>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3C1760" w:rsidRDefault="003C1760"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3C1760" w:rsidRDefault="003C1760" w:rsidP="00222D15">
      <w:pPr>
        <w:widowControl w:val="0"/>
        <w:spacing w:after="0" w:line="240" w:lineRule="auto"/>
        <w:ind w:right="51"/>
        <w:jc w:val="both"/>
        <w:rPr>
          <w:rFonts w:ascii="Palatino Linotype" w:eastAsia="Calibri" w:hAnsi="Palatino Linotype" w:cs="Arial"/>
          <w:color w:val="000000" w:themeColor="text1"/>
          <w:sz w:val="20"/>
          <w:szCs w:val="20"/>
        </w:rPr>
      </w:pPr>
    </w:p>
    <w:p w:rsidR="003C1760" w:rsidRDefault="003C1760"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00E06EEA">
        <w:rPr>
          <w:rFonts w:ascii="Palatino Linotype" w:eastAsia="Calibri" w:hAnsi="Palatino Linotype" w:cs="Arial"/>
          <w:color w:val="000000" w:themeColor="text1"/>
          <w:sz w:val="20"/>
          <w:szCs w:val="20"/>
        </w:rPr>
        <w:t>e los</w:t>
      </w:r>
      <w:r w:rsidRPr="002D79AC">
        <w:rPr>
          <w:rFonts w:ascii="Palatino Linotype" w:eastAsia="Calibri" w:hAnsi="Palatino Linotype" w:cs="Arial"/>
          <w:color w:val="000000" w:themeColor="text1"/>
          <w:sz w:val="20"/>
          <w:szCs w:val="20"/>
        </w:rPr>
        <w:t xml:space="preserve"> recurso</w:t>
      </w:r>
      <w:r w:rsidR="00E06EEA">
        <w:rPr>
          <w:rFonts w:ascii="Palatino Linotype" w:eastAsia="Calibri" w:hAnsi="Palatino Linotype" w:cs="Arial"/>
          <w:color w:val="000000" w:themeColor="text1"/>
          <w:sz w:val="20"/>
          <w:szCs w:val="20"/>
        </w:rPr>
        <w:t>s</w:t>
      </w:r>
      <w:r w:rsidRPr="002D79AC">
        <w:rPr>
          <w:rFonts w:ascii="Palatino Linotype" w:eastAsia="Calibri" w:hAnsi="Palatino Linotype" w:cs="Arial"/>
          <w:color w:val="000000" w:themeColor="text1"/>
          <w:sz w:val="20"/>
          <w:szCs w:val="20"/>
        </w:rPr>
        <w:t xml:space="preserve"> de revisión </w:t>
      </w:r>
      <w:r w:rsidR="00E06EEA">
        <w:rPr>
          <w:rFonts w:ascii="Palatino Linotype" w:eastAsia="Calibri" w:hAnsi="Palatino Linotype" w:cs="Arial"/>
          <w:color w:val="000000" w:themeColor="text1"/>
          <w:sz w:val="20"/>
          <w:szCs w:val="20"/>
        </w:rPr>
        <w:t xml:space="preserve">acumulados </w:t>
      </w:r>
      <w:r w:rsidR="00E06EEA" w:rsidRPr="00E06EEA">
        <w:rPr>
          <w:rFonts w:ascii="Palatino Linotype" w:hAnsi="Palatino Linotype" w:cs="Arial"/>
          <w:bCs/>
          <w:sz w:val="20"/>
          <w:szCs w:val="20"/>
        </w:rPr>
        <w:t>08401/INFOEM/IP/RR/2019 y 08402/INFOEM/IP/RR/2019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E06EEA">
        <w:rPr>
          <w:rFonts w:ascii="Palatino Linotype" w:hAnsi="Palatino Linotype" w:cs="Arial"/>
          <w:bCs/>
          <w:sz w:val="20"/>
          <w:szCs w:val="20"/>
        </w:rPr>
        <w:t>quince de enero de dos mil veinte.</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238" w:rsidRDefault="00FC4238" w:rsidP="00222D15">
      <w:pPr>
        <w:spacing w:after="0" w:line="240" w:lineRule="auto"/>
      </w:pPr>
      <w:r>
        <w:separator/>
      </w:r>
    </w:p>
  </w:endnote>
  <w:endnote w:type="continuationSeparator" w:id="0">
    <w:p w:rsidR="00FC4238" w:rsidRDefault="00FC4238"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76708" w:rsidP="00DC5C4E">
    <w:pPr>
      <w:pStyle w:val="Piedepgina"/>
      <w:tabs>
        <w:tab w:val="clear" w:pos="4252"/>
        <w:tab w:val="left" w:pos="4228"/>
      </w:tabs>
      <w:rPr>
        <w:rFonts w:ascii="Palatino Linotype" w:hAnsi="Palatino Linotype" w:cs="Arial"/>
        <w:b/>
        <w:bCs/>
        <w:sz w:val="20"/>
        <w:szCs w:val="20"/>
      </w:rPr>
    </w:pPr>
  </w:p>
  <w:p w:rsidR="005C7C8F" w:rsidRDefault="00C76708" w:rsidP="00DC5C4E">
    <w:pPr>
      <w:pStyle w:val="Piedepgina"/>
      <w:tabs>
        <w:tab w:val="clear" w:pos="4252"/>
        <w:tab w:val="left" w:pos="4228"/>
      </w:tabs>
      <w:rPr>
        <w:rFonts w:ascii="Palatino Linotype" w:hAnsi="Palatino Linotype" w:cs="Arial"/>
        <w:b/>
        <w:bCs/>
        <w:sz w:val="20"/>
        <w:szCs w:val="20"/>
      </w:rPr>
    </w:pPr>
  </w:p>
  <w:p w:rsidR="005C7C8F" w:rsidRDefault="00C76708" w:rsidP="00DC5C4E">
    <w:pPr>
      <w:pStyle w:val="Piedepgina"/>
      <w:tabs>
        <w:tab w:val="clear" w:pos="4252"/>
        <w:tab w:val="left" w:pos="4228"/>
      </w:tabs>
      <w:rPr>
        <w:rFonts w:ascii="Palatino Linotype" w:hAnsi="Palatino Linotype" w:cs="Arial"/>
        <w:b/>
        <w:bCs/>
        <w:sz w:val="20"/>
        <w:szCs w:val="20"/>
      </w:rPr>
    </w:pPr>
  </w:p>
  <w:p w:rsidR="005C7C8F" w:rsidRDefault="00C76708"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7670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7670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C76708"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38" w:rsidRDefault="00FC4238" w:rsidP="00222D15">
      <w:pPr>
        <w:spacing w:after="0" w:line="240" w:lineRule="auto"/>
      </w:pPr>
      <w:r>
        <w:separator/>
      </w:r>
    </w:p>
  </w:footnote>
  <w:footnote w:type="continuationSeparator" w:id="0">
    <w:p w:rsidR="00FC4238" w:rsidRDefault="00FC4238"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767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C76708"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D103DE"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D103DE"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ACUMULADOS</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008E268A">
      <w:rPr>
        <w:rFonts w:ascii="Palatino Linotype" w:hAnsi="Palatino Linotype" w:cs="Arial"/>
        <w:sz w:val="20"/>
        <w:szCs w:val="20"/>
      </w:rPr>
      <w:t>08401/INFOEM/IP/RR/2019 Y</w:t>
    </w:r>
    <w:r w:rsidR="006375D7" w:rsidRPr="006375D7">
      <w:rPr>
        <w:rFonts w:ascii="Palatino Linotype" w:hAnsi="Palatino Linotype" w:cs="Arial"/>
        <w:sz w:val="20"/>
        <w:szCs w:val="20"/>
      </w:rPr>
      <w:t xml:space="preserve"> 08402/INFOEM/IP/RR/2019</w:t>
    </w:r>
  </w:p>
  <w:p w:rsidR="00D406EF" w:rsidRDefault="00C76708"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9.65pt;margin-top:249.25pt;width:637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767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B13"/>
    <w:multiLevelType w:val="hybridMultilevel"/>
    <w:tmpl w:val="8D242A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9B0D32"/>
    <w:multiLevelType w:val="hybridMultilevel"/>
    <w:tmpl w:val="1F7E9D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541E1A"/>
    <w:multiLevelType w:val="hybridMultilevel"/>
    <w:tmpl w:val="4CDE2E4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35B1247"/>
    <w:multiLevelType w:val="hybridMultilevel"/>
    <w:tmpl w:val="D6EA5BE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2">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B96749"/>
    <w:multiLevelType w:val="hybridMultilevel"/>
    <w:tmpl w:val="4626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8"/>
  </w:num>
  <w:num w:numId="9">
    <w:abstractNumId w:val="16"/>
  </w:num>
  <w:num w:numId="10">
    <w:abstractNumId w:val="3"/>
  </w:num>
  <w:num w:numId="11">
    <w:abstractNumId w:val="6"/>
  </w:num>
  <w:num w:numId="12">
    <w:abstractNumId w:val="7"/>
  </w:num>
  <w:num w:numId="13">
    <w:abstractNumId w:val="14"/>
  </w:num>
  <w:num w:numId="14">
    <w:abstractNumId w:val="11"/>
  </w:num>
  <w:num w:numId="15">
    <w:abstractNumId w:val="5"/>
  </w:num>
  <w:num w:numId="16">
    <w:abstractNumId w:val="8"/>
  </w:num>
  <w:num w:numId="17">
    <w:abstractNumId w:val="2"/>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B643B"/>
    <w:rsid w:val="000D3E21"/>
    <w:rsid w:val="00121F69"/>
    <w:rsid w:val="001354EB"/>
    <w:rsid w:val="001375AB"/>
    <w:rsid w:val="00142B10"/>
    <w:rsid w:val="00177DDB"/>
    <w:rsid w:val="001F5492"/>
    <w:rsid w:val="00222D15"/>
    <w:rsid w:val="002670F4"/>
    <w:rsid w:val="00267DAC"/>
    <w:rsid w:val="00280712"/>
    <w:rsid w:val="002B43B8"/>
    <w:rsid w:val="002F537D"/>
    <w:rsid w:val="00303FB7"/>
    <w:rsid w:val="0030441A"/>
    <w:rsid w:val="00333EEC"/>
    <w:rsid w:val="00334792"/>
    <w:rsid w:val="00352450"/>
    <w:rsid w:val="00352721"/>
    <w:rsid w:val="00363930"/>
    <w:rsid w:val="003A0433"/>
    <w:rsid w:val="003B2D2B"/>
    <w:rsid w:val="003C1760"/>
    <w:rsid w:val="003E5AB1"/>
    <w:rsid w:val="003E6C2F"/>
    <w:rsid w:val="003F231C"/>
    <w:rsid w:val="00432008"/>
    <w:rsid w:val="00434F2D"/>
    <w:rsid w:val="0046713B"/>
    <w:rsid w:val="004773D0"/>
    <w:rsid w:val="004801C3"/>
    <w:rsid w:val="004B607A"/>
    <w:rsid w:val="004B622D"/>
    <w:rsid w:val="004B7753"/>
    <w:rsid w:val="004D0F62"/>
    <w:rsid w:val="004E7395"/>
    <w:rsid w:val="004F1058"/>
    <w:rsid w:val="004F307F"/>
    <w:rsid w:val="0051785B"/>
    <w:rsid w:val="00517C66"/>
    <w:rsid w:val="00520810"/>
    <w:rsid w:val="00534C05"/>
    <w:rsid w:val="00541D04"/>
    <w:rsid w:val="00563884"/>
    <w:rsid w:val="00571F3C"/>
    <w:rsid w:val="005D1C17"/>
    <w:rsid w:val="005E0490"/>
    <w:rsid w:val="005E0746"/>
    <w:rsid w:val="005F2664"/>
    <w:rsid w:val="006025F2"/>
    <w:rsid w:val="006079F6"/>
    <w:rsid w:val="006375D7"/>
    <w:rsid w:val="00642D83"/>
    <w:rsid w:val="006537E7"/>
    <w:rsid w:val="00657587"/>
    <w:rsid w:val="00661074"/>
    <w:rsid w:val="00692DB6"/>
    <w:rsid w:val="006A112C"/>
    <w:rsid w:val="00702877"/>
    <w:rsid w:val="0075624F"/>
    <w:rsid w:val="00772859"/>
    <w:rsid w:val="00784D68"/>
    <w:rsid w:val="00787DD5"/>
    <w:rsid w:val="00792EC9"/>
    <w:rsid w:val="007A3711"/>
    <w:rsid w:val="0085524D"/>
    <w:rsid w:val="008C3005"/>
    <w:rsid w:val="008C3EA5"/>
    <w:rsid w:val="008C4B77"/>
    <w:rsid w:val="008E268A"/>
    <w:rsid w:val="00920D70"/>
    <w:rsid w:val="009C0562"/>
    <w:rsid w:val="009F1B96"/>
    <w:rsid w:val="00A55C30"/>
    <w:rsid w:val="00A85D7A"/>
    <w:rsid w:val="00AC0AFF"/>
    <w:rsid w:val="00AE1C6B"/>
    <w:rsid w:val="00AE4B1F"/>
    <w:rsid w:val="00AE56B4"/>
    <w:rsid w:val="00AF155E"/>
    <w:rsid w:val="00B26C8F"/>
    <w:rsid w:val="00B65E8A"/>
    <w:rsid w:val="00BA7978"/>
    <w:rsid w:val="00BB75BA"/>
    <w:rsid w:val="00BC647D"/>
    <w:rsid w:val="00C10C4B"/>
    <w:rsid w:val="00C10CE9"/>
    <w:rsid w:val="00C23B43"/>
    <w:rsid w:val="00C3408B"/>
    <w:rsid w:val="00C76708"/>
    <w:rsid w:val="00C76FD9"/>
    <w:rsid w:val="00C83DFF"/>
    <w:rsid w:val="00C92D53"/>
    <w:rsid w:val="00C9714C"/>
    <w:rsid w:val="00CB35F6"/>
    <w:rsid w:val="00CB3EA9"/>
    <w:rsid w:val="00CD75F6"/>
    <w:rsid w:val="00CE3D7A"/>
    <w:rsid w:val="00D05991"/>
    <w:rsid w:val="00D103DE"/>
    <w:rsid w:val="00D34ECE"/>
    <w:rsid w:val="00D43876"/>
    <w:rsid w:val="00D67AAB"/>
    <w:rsid w:val="00D72673"/>
    <w:rsid w:val="00D83EB3"/>
    <w:rsid w:val="00D9781B"/>
    <w:rsid w:val="00DB79F9"/>
    <w:rsid w:val="00DD6808"/>
    <w:rsid w:val="00DE584D"/>
    <w:rsid w:val="00E02985"/>
    <w:rsid w:val="00E06EEA"/>
    <w:rsid w:val="00E43478"/>
    <w:rsid w:val="00E45F71"/>
    <w:rsid w:val="00E471A2"/>
    <w:rsid w:val="00E47517"/>
    <w:rsid w:val="00E838CF"/>
    <w:rsid w:val="00E842B6"/>
    <w:rsid w:val="00E97C45"/>
    <w:rsid w:val="00EA3494"/>
    <w:rsid w:val="00EB3365"/>
    <w:rsid w:val="00EB621D"/>
    <w:rsid w:val="00EC447A"/>
    <w:rsid w:val="00ED22F1"/>
    <w:rsid w:val="00ED29D1"/>
    <w:rsid w:val="00EE67AD"/>
    <w:rsid w:val="00F3668C"/>
    <w:rsid w:val="00F367F5"/>
    <w:rsid w:val="00F5763D"/>
    <w:rsid w:val="00F7093C"/>
    <w:rsid w:val="00F860A0"/>
    <w:rsid w:val="00FA1B5A"/>
    <w:rsid w:val="00FA59D8"/>
    <w:rsid w:val="00FC4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637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721D-8E04-4610-B81A-8B40530F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934</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2020-01-20T23:56:00Z</cp:lastPrinted>
  <dcterms:created xsi:type="dcterms:W3CDTF">2020-01-20T23:49:00Z</dcterms:created>
  <dcterms:modified xsi:type="dcterms:W3CDTF">2020-02-14T16:50:00Z</dcterms:modified>
</cp:coreProperties>
</file>