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C8" w:rsidRDefault="00202921" w:rsidP="00477DB6">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VOTO PARTICULAR QUE FORMULA</w:t>
      </w:r>
      <w:r w:rsidR="0051698B">
        <w:rPr>
          <w:rFonts w:ascii="Palatino Linotype" w:hAnsi="Palatino Linotype" w:cs="Arial"/>
          <w:b/>
        </w:rPr>
        <w:t xml:space="preserve"> LA COMISIONADA EVA ABAID YAPUR </w:t>
      </w:r>
      <w:r w:rsidRPr="0073286C">
        <w:rPr>
          <w:rFonts w:ascii="Palatino Linotype" w:hAnsi="Palatino Linotype" w:cs="Arial"/>
          <w:b/>
        </w:rPr>
        <w:t xml:space="preserve">EN RELACIÓN CON LA RESOLUCIÓN DICTADA POR EL PLENO DEL INSTITUTO DE TRANSPARENCIA, ACCESO A LA INFORMACIÓN PÚBLICA Y PROTECCIÓN DE DATOS PERSONALES DEL ESTADO DE MÉXICO Y MUNICIPIOS, EN LA </w:t>
      </w:r>
      <w:r w:rsidR="002940B3">
        <w:rPr>
          <w:rFonts w:ascii="Palatino Linotype" w:hAnsi="Palatino Linotype" w:cs="Arial"/>
          <w:b/>
        </w:rPr>
        <w:t>CUARTA</w:t>
      </w:r>
      <w:r w:rsidR="00400547">
        <w:rPr>
          <w:rFonts w:ascii="Palatino Linotype" w:hAnsi="Palatino Linotype" w:cs="Arial"/>
          <w:b/>
        </w:rPr>
        <w:t xml:space="preserve"> </w:t>
      </w:r>
      <w:r w:rsidRPr="0073286C">
        <w:rPr>
          <w:rFonts w:ascii="Palatino Linotype" w:hAnsi="Palatino Linotype" w:cs="Arial"/>
          <w:b/>
        </w:rPr>
        <w:t xml:space="preserve">SESIÓN ORDINARIA DE </w:t>
      </w:r>
      <w:r w:rsidR="002940B3">
        <w:rPr>
          <w:rFonts w:ascii="Palatino Linotype" w:hAnsi="Palatino Linotype" w:cs="Arial"/>
          <w:b/>
        </w:rPr>
        <w:t>SEIS DE FEBRERO DE DOS MIL VEINTE</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sidR="006B7C5E">
        <w:rPr>
          <w:rFonts w:ascii="Palatino Linotype" w:hAnsi="Palatino Linotype" w:cs="Arial"/>
          <w:b/>
        </w:rPr>
        <w:t xml:space="preserve"> 08996</w:t>
      </w:r>
      <w:r>
        <w:rPr>
          <w:rFonts w:ascii="Palatino Linotype" w:hAnsi="Palatino Linotype" w:cs="Arial"/>
          <w:b/>
        </w:rPr>
        <w:t>/</w:t>
      </w:r>
      <w:r w:rsidRPr="00F87541">
        <w:rPr>
          <w:rFonts w:ascii="Palatino Linotype" w:hAnsi="Palatino Linotype" w:cs="Arial"/>
          <w:b/>
        </w:rPr>
        <w:t>INFOEM/IP/RR/201</w:t>
      </w:r>
      <w:r w:rsidR="003F243C">
        <w:rPr>
          <w:rFonts w:ascii="Palatino Linotype" w:hAnsi="Palatino Linotype" w:cs="Arial"/>
          <w:b/>
        </w:rPr>
        <w:t>9</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202921" w:rsidP="00477DB6">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Con fundamento en lo dispuesto por el artículo 14</w:t>
      </w:r>
      <w:r w:rsidR="003215B6">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Pr="0073286C">
        <w:rPr>
          <w:rFonts w:ascii="Palatino Linotype" w:hAnsi="Palatino Linotype" w:cs="Arial"/>
        </w:rPr>
        <w:t xml:space="preserve">emite </w:t>
      </w:r>
      <w:r w:rsidRPr="0073286C">
        <w:rPr>
          <w:rFonts w:ascii="Palatino Linotype" w:hAnsi="Palatino Linotype" w:cs="Arial"/>
          <w:b/>
        </w:rPr>
        <w:t>VOTO PARTICULAR</w:t>
      </w:r>
      <w:r w:rsidR="003933AB">
        <w:rPr>
          <w:rFonts w:ascii="Palatino Linotype" w:hAnsi="Palatino Linotype" w:cs="Arial"/>
          <w:b/>
        </w:rPr>
        <w:t xml:space="preserv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sidR="002940B3">
        <w:rPr>
          <w:rFonts w:ascii="Palatino Linotype" w:hAnsi="Palatino Linotype" w:cs="Arial"/>
          <w:b/>
        </w:rPr>
        <w:t>08996</w:t>
      </w:r>
      <w:r w:rsidR="003F243C">
        <w:rPr>
          <w:rFonts w:ascii="Palatino Linotype" w:hAnsi="Palatino Linotype" w:cs="Arial"/>
          <w:b/>
        </w:rPr>
        <w:t>/INFOEM/IP/RR/2019</w:t>
      </w:r>
      <w:r w:rsidRPr="0073286C">
        <w:rPr>
          <w:rFonts w:ascii="Palatino Linotype" w:hAnsi="Palatino Linotype" w:cs="Arial"/>
        </w:rPr>
        <w:t>, pronunciada por el Pleno de este Instituto an</w:t>
      </w:r>
      <w:r w:rsidR="00944C03">
        <w:rPr>
          <w:rFonts w:ascii="Palatino Linotype" w:hAnsi="Palatino Linotype" w:cs="Arial"/>
        </w:rPr>
        <w:t>te el proyecto presentado</w:t>
      </w:r>
      <w:r w:rsidR="00456B98">
        <w:rPr>
          <w:rFonts w:ascii="Palatino Linotype" w:hAnsi="Palatino Linotype" w:cs="Arial"/>
        </w:rPr>
        <w:t xml:space="preserve"> por el Comisionado</w:t>
      </w:r>
      <w:r w:rsidRPr="0073286C">
        <w:rPr>
          <w:rFonts w:ascii="Palatino Linotype" w:hAnsi="Palatino Linotype" w:cs="Arial"/>
        </w:rPr>
        <w:t xml:space="preserve"> </w:t>
      </w:r>
      <w:r w:rsidR="00456B98">
        <w:rPr>
          <w:rFonts w:ascii="Palatino Linotype" w:hAnsi="Palatino Linotype" w:cs="Arial"/>
          <w:b/>
        </w:rPr>
        <w:t>LUIS GUSTAVO PARRA NORIEGA</w:t>
      </w:r>
      <w:r w:rsidRPr="0073286C">
        <w:rPr>
          <w:rFonts w:ascii="Palatino Linotype" w:hAnsi="Palatino Linotype" w:cs="Arial"/>
        </w:rPr>
        <w:t>, que es del tenor siguiente</w:t>
      </w:r>
      <w:r>
        <w:rPr>
          <w:rFonts w:ascii="Palatino Linotype" w:hAnsi="Palatino Linotype" w:cs="Arial"/>
        </w:rPr>
        <w:t>.</w:t>
      </w:r>
    </w:p>
    <w:p w:rsidR="002956D3" w:rsidRDefault="00202921" w:rsidP="00477DB6">
      <w:pPr>
        <w:spacing w:before="100" w:beforeAutospacing="1" w:after="100" w:afterAutospacing="1" w:line="360" w:lineRule="auto"/>
        <w:jc w:val="both"/>
        <w:rPr>
          <w:rFonts w:ascii="Palatino Linotype" w:hAnsi="Palatino Linotype"/>
        </w:rPr>
      </w:pPr>
      <w:r w:rsidRPr="0073286C">
        <w:rPr>
          <w:rFonts w:ascii="Palatino Linotype" w:hAnsi="Palatino Linotype"/>
        </w:rPr>
        <w:t>Es de destacar, que la</w:t>
      </w:r>
      <w:r w:rsidR="00465F40">
        <w:rPr>
          <w:rFonts w:ascii="Palatino Linotype" w:hAnsi="Palatino Linotype"/>
        </w:rPr>
        <w:t xml:space="preserve"> </w:t>
      </w:r>
      <w:r w:rsidRPr="0073286C">
        <w:rPr>
          <w:rFonts w:ascii="Palatino Linotype" w:hAnsi="Palatino Linotype"/>
        </w:rPr>
        <w:t xml:space="preserve">suscrita </w:t>
      </w:r>
      <w:r w:rsidR="0051698B">
        <w:rPr>
          <w:rFonts w:ascii="Palatino Linotype" w:hAnsi="Palatino Linotype"/>
        </w:rPr>
        <w:t>compart</w:t>
      </w:r>
      <w:r w:rsidR="003F243C">
        <w:rPr>
          <w:rFonts w:ascii="Palatino Linotype" w:hAnsi="Palatino Linotype"/>
        </w:rPr>
        <w:t>e</w:t>
      </w:r>
      <w:r>
        <w:rPr>
          <w:rFonts w:ascii="Palatino Linotype" w:hAnsi="Palatino Linotype"/>
        </w:rPr>
        <w:t xml:space="preserv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w:t>
      </w:r>
      <w:r w:rsidR="0051698B">
        <w:rPr>
          <w:rFonts w:ascii="Palatino Linotype" w:hAnsi="Palatino Linotype"/>
        </w:rPr>
        <w:t>, esti</w:t>
      </w:r>
      <w:r w:rsidR="003F243C">
        <w:rPr>
          <w:rFonts w:ascii="Palatino Linotype" w:hAnsi="Palatino Linotype"/>
        </w:rPr>
        <w:t>mo</w:t>
      </w:r>
      <w:r w:rsidRPr="0073286C">
        <w:rPr>
          <w:rFonts w:ascii="Palatino Linotype" w:hAnsi="Palatino Linotype"/>
        </w:rPr>
        <w:t xml:space="preserve"> necesario precisar algunas consideraciones de hecho y de derecho</w:t>
      </w:r>
      <w:r>
        <w:rPr>
          <w:rFonts w:ascii="Palatino Linotype" w:hAnsi="Palatino Linotype"/>
        </w:rPr>
        <w:t>.</w:t>
      </w:r>
    </w:p>
    <w:p w:rsidR="004C5335" w:rsidRPr="008E646E" w:rsidRDefault="00202921" w:rsidP="008E646E">
      <w:pPr>
        <w:spacing w:before="100" w:beforeAutospacing="1" w:after="100" w:afterAutospacing="1" w:line="360" w:lineRule="auto"/>
        <w:jc w:val="both"/>
        <w:rPr>
          <w:rFonts w:ascii="Palatino Linotype" w:eastAsia="Calibri" w:hAnsi="Palatino Linotype" w:cs="Tahoma"/>
          <w:i/>
          <w:iCs/>
          <w:sz w:val="22"/>
          <w:szCs w:val="22"/>
          <w:lang w:eastAsia="es-ES_tradnl"/>
        </w:rPr>
      </w:pPr>
      <w:r w:rsidRPr="0073286C">
        <w:rPr>
          <w:rFonts w:ascii="Palatino Linotype" w:hAnsi="Palatino Linotype"/>
        </w:rPr>
        <w:t>Al respecto, tal y como quedó debidamente asentado en la resoluci</w:t>
      </w:r>
      <w:r w:rsidR="0051698B">
        <w:rPr>
          <w:rFonts w:ascii="Palatino Linotype" w:hAnsi="Palatino Linotype"/>
        </w:rPr>
        <w:t>ón materia del presente voto, el</w:t>
      </w:r>
      <w:r w:rsidRPr="0073286C">
        <w:rPr>
          <w:rFonts w:ascii="Palatino Linotype" w:hAnsi="Palatino Linotype"/>
        </w:rPr>
        <w:t xml:space="preserve"> particular requirió </w:t>
      </w:r>
      <w:r w:rsidR="0051698B">
        <w:rPr>
          <w:rFonts w:ascii="Palatino Linotype" w:hAnsi="Palatino Linotype"/>
        </w:rPr>
        <w:t xml:space="preserve">medularmente </w:t>
      </w:r>
      <w:r w:rsidRPr="0073286C">
        <w:rPr>
          <w:rFonts w:ascii="Palatino Linotype" w:hAnsi="Palatino Linotype"/>
        </w:rPr>
        <w:t>de</w:t>
      </w:r>
      <w:r w:rsidR="004C5335">
        <w:rPr>
          <w:rFonts w:ascii="Palatino Linotype" w:hAnsi="Palatino Linotype"/>
        </w:rPr>
        <w:t>l</w:t>
      </w:r>
      <w:r w:rsidR="00CB7A00">
        <w:rPr>
          <w:rFonts w:ascii="Palatino Linotype" w:hAnsi="Palatino Linotype"/>
        </w:rPr>
        <w:t xml:space="preserve"> </w:t>
      </w:r>
      <w:r w:rsidR="002940B3" w:rsidRPr="006B7C5E">
        <w:rPr>
          <w:rFonts w:ascii="Palatino Linotype" w:hAnsi="Palatino Linotype" w:cs="Tahoma"/>
          <w:b/>
          <w:bCs/>
          <w:color w:val="0D0D0D" w:themeColor="text1" w:themeTint="F2"/>
        </w:rPr>
        <w:t>Instituto de Seguridad Social del Estado de México y Municipios</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sidR="006B7C5E">
        <w:rPr>
          <w:rFonts w:ascii="Palatino Linotype" w:hAnsi="Palatino Linotype"/>
        </w:rPr>
        <w:t>c</w:t>
      </w:r>
      <w:r w:rsidR="00944C03" w:rsidRPr="00944C03">
        <w:rPr>
          <w:rFonts w:ascii="Palatino Linotype" w:hAnsi="Palatino Linotype"/>
        </w:rPr>
        <w:t xml:space="preserve">opia certificada </w:t>
      </w:r>
      <w:r w:rsidR="002940B3">
        <w:rPr>
          <w:rFonts w:ascii="Palatino Linotype" w:hAnsi="Palatino Linotype"/>
        </w:rPr>
        <w:t xml:space="preserve">del dictamen de pensión de los servidores públicos señalados dentro de la </w:t>
      </w:r>
      <w:r w:rsidR="002940B3">
        <w:rPr>
          <w:rFonts w:ascii="Palatino Linotype" w:hAnsi="Palatino Linotype"/>
        </w:rPr>
        <w:lastRenderedPageBreak/>
        <w:t xml:space="preserve">solicitud de información, mismos que se encontraban </w:t>
      </w:r>
      <w:r w:rsidR="00D671FD" w:rsidRPr="00D671FD">
        <w:rPr>
          <w:rFonts w:ascii="Palatino Linotype" w:hAnsi="Palatino Linotype"/>
        </w:rPr>
        <w:t>publicados en la página oficial del instituto en el "Listado de Jubilados y Pensionados y el monto que reciben</w:t>
      </w:r>
      <w:r w:rsidR="00D671FD">
        <w:rPr>
          <w:rFonts w:ascii="Palatino Linotype" w:hAnsi="Palatino Linotype"/>
        </w:rPr>
        <w:t>.</w:t>
      </w:r>
    </w:p>
    <w:p w:rsidR="008E646E" w:rsidRDefault="00202921" w:rsidP="008E646E">
      <w:pPr>
        <w:spacing w:before="240" w:after="240" w:line="360" w:lineRule="auto"/>
        <w:jc w:val="both"/>
        <w:rPr>
          <w:rFonts w:ascii="Palatino Linotype" w:hAnsi="Palatino Linotype"/>
          <w:color w:val="000000"/>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944C03">
        <w:rPr>
          <w:rFonts w:ascii="Palatino Linotype" w:hAnsi="Palatino Linotype" w:cs="Arial"/>
        </w:rPr>
        <w:t xml:space="preserve">remitió </w:t>
      </w:r>
      <w:r w:rsidR="00DF00DE">
        <w:rPr>
          <w:rFonts w:ascii="Palatino Linotype" w:hAnsi="Palatino Linotype" w:cs="Arial"/>
        </w:rPr>
        <w:t xml:space="preserve">un archivo electrónico </w:t>
      </w:r>
      <w:r w:rsidR="00D671FD">
        <w:rPr>
          <w:rFonts w:ascii="Palatino Linotype" w:hAnsi="Palatino Linotype" w:cs="Arial"/>
        </w:rPr>
        <w:t xml:space="preserve">en donde </w:t>
      </w:r>
      <w:r w:rsidR="00D671FD" w:rsidRPr="00D671FD">
        <w:rPr>
          <w:rFonts w:ascii="Palatino Linotype" w:hAnsi="Palatino Linotype" w:cs="Arial"/>
        </w:rPr>
        <w:t>precisó</w:t>
      </w:r>
      <w:r w:rsidR="00D671FD">
        <w:rPr>
          <w:rFonts w:ascii="Palatino Linotype" w:hAnsi="Palatino Linotype" w:cs="Arial"/>
        </w:rPr>
        <w:t xml:space="preserve"> que</w:t>
      </w:r>
      <w:r w:rsidR="00D671FD" w:rsidRPr="00D671FD">
        <w:rPr>
          <w:rFonts w:ascii="Palatino Linotype" w:hAnsi="Palatino Linotype" w:cs="Arial"/>
        </w:rPr>
        <w:t xml:space="preserve"> no podía proporcionar la información solicitada, pues conforme al artículo 68 del Reglamento de Prestaciones del Instituto de Seguridad Social del Estado de México y Municipios, los trámites de pensión se iniciaban a petición de parte, por tratarse de trámites personales; además, indicó que una vez concluido el mismo, su notificación y entrega del dictamen respectivo, se hacía única y exclusivamente al titular de los derechos, en áreas de garantizar la privacidad de los individuos y la observancia de los principios de protección de datos personales.</w:t>
      </w:r>
    </w:p>
    <w:p w:rsidR="008A5420" w:rsidRPr="008E646E" w:rsidRDefault="00177727" w:rsidP="008E646E">
      <w:pPr>
        <w:spacing w:before="240" w:after="240" w:line="360" w:lineRule="auto"/>
        <w:jc w:val="both"/>
        <w:rPr>
          <w:rFonts w:ascii="Palatino Linotype" w:hAnsi="Palatino Linotype"/>
          <w:color w:val="000000"/>
        </w:rPr>
      </w:pPr>
      <w:r>
        <w:rPr>
          <w:rFonts w:ascii="Palatino Linotype" w:hAnsi="Palatino Linotype"/>
        </w:rPr>
        <w:t xml:space="preserve">Inconforme con </w:t>
      </w:r>
      <w:r w:rsidR="004E606A">
        <w:rPr>
          <w:rFonts w:ascii="Palatino Linotype" w:hAnsi="Palatino Linotype"/>
        </w:rPr>
        <w:t>la respuesta</w:t>
      </w:r>
      <w:r w:rsidR="00563561">
        <w:rPr>
          <w:rFonts w:ascii="Palatino Linotype" w:hAnsi="Palatino Linotype"/>
        </w:rPr>
        <w:t xml:space="preserve"> otorgada por </w:t>
      </w:r>
      <w:r w:rsidR="00563561">
        <w:rPr>
          <w:rFonts w:ascii="Palatino Linotype" w:hAnsi="Palatino Linotype"/>
          <w:b/>
        </w:rPr>
        <w:t>EL SUJETO OBLIGADO</w:t>
      </w:r>
      <w:r w:rsidR="00E515B2">
        <w:rPr>
          <w:rFonts w:ascii="Palatino Linotype" w:hAnsi="Palatino Linotype"/>
          <w:b/>
        </w:rPr>
        <w:t>,</w:t>
      </w:r>
      <w:r w:rsidR="00563561">
        <w:rPr>
          <w:rFonts w:ascii="Palatino Linotype" w:hAnsi="Palatino Linotype"/>
          <w:b/>
        </w:rPr>
        <w:t xml:space="preserve"> </w:t>
      </w:r>
      <w:r w:rsidR="004C5335">
        <w:rPr>
          <w:rFonts w:ascii="Palatino Linotype" w:hAnsi="Palatino Linotype"/>
        </w:rPr>
        <w:t>el</w:t>
      </w:r>
      <w:r w:rsidR="00563561">
        <w:rPr>
          <w:rFonts w:ascii="Palatino Linotype" w:hAnsi="Palatino Linotype"/>
        </w:rPr>
        <w:t xml:space="preserve"> particular interpuso </w:t>
      </w:r>
      <w:r w:rsidR="004E606A">
        <w:rPr>
          <w:rFonts w:ascii="Palatino Linotype" w:hAnsi="Palatino Linotype"/>
        </w:rPr>
        <w:t>el</w:t>
      </w:r>
      <w:r w:rsidR="00563561">
        <w:rPr>
          <w:rFonts w:ascii="Palatino Linotype" w:hAnsi="Palatino Linotype"/>
        </w:rPr>
        <w:t xml:space="preserve"> recurso</w:t>
      </w:r>
      <w:r w:rsidR="004E606A">
        <w:rPr>
          <w:rFonts w:ascii="Palatino Linotype" w:hAnsi="Palatino Linotype"/>
        </w:rPr>
        <w:t xml:space="preserve"> de revisión de mérito, </w:t>
      </w:r>
      <w:r w:rsidR="008A5420">
        <w:rPr>
          <w:rFonts w:ascii="Palatino Linotype" w:hAnsi="Palatino Linotype"/>
        </w:rPr>
        <w:t xml:space="preserve">manifestando </w:t>
      </w:r>
      <w:r w:rsidR="00944C03">
        <w:rPr>
          <w:rFonts w:ascii="Palatino Linotype" w:hAnsi="Palatino Linotype"/>
        </w:rPr>
        <w:t xml:space="preserve">medularmente </w:t>
      </w:r>
      <w:r w:rsidR="008A5420">
        <w:rPr>
          <w:rFonts w:ascii="Palatino Linotype" w:hAnsi="Palatino Linotype"/>
        </w:rPr>
        <w:t xml:space="preserve">como razones o motivos de inconformidad </w:t>
      </w:r>
      <w:r w:rsidR="004B351A">
        <w:rPr>
          <w:rFonts w:ascii="Palatino Linotype" w:hAnsi="Palatino Linotype"/>
        </w:rPr>
        <w:t xml:space="preserve">que no se le había remitido </w:t>
      </w:r>
      <w:r w:rsidR="00D671FD">
        <w:rPr>
          <w:rFonts w:ascii="Palatino Linotype" w:hAnsi="Palatino Linotype"/>
        </w:rPr>
        <w:t>una versión pública de los documentos solicitados.</w:t>
      </w:r>
    </w:p>
    <w:p w:rsidR="00696A1A" w:rsidRDefault="000F0BC5" w:rsidP="00DF00DE">
      <w:pPr>
        <w:autoSpaceDE w:val="0"/>
        <w:autoSpaceDN w:val="0"/>
        <w:adjustRightInd w:val="0"/>
        <w:spacing w:before="240" w:line="360" w:lineRule="auto"/>
        <w:ind w:right="49"/>
        <w:jc w:val="both"/>
        <w:rPr>
          <w:rFonts w:ascii="Palatino Linotype" w:hAnsi="Palatino Linotype" w:cs="Arial"/>
          <w:lang w:eastAsia="es-MX"/>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DF00DE">
        <w:rPr>
          <w:rFonts w:ascii="Palatino Linotype" w:hAnsi="Palatino Linotype" w:cs="Arial"/>
          <w:b/>
        </w:rPr>
        <w:t>REVOCAR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sidR="006468C8">
        <w:rPr>
          <w:rFonts w:ascii="Palatino Linotype" w:hAnsi="Palatino Linotype" w:cs="Arial"/>
        </w:rPr>
        <w:t>ordenándole</w:t>
      </w:r>
      <w:r w:rsidR="008910FB">
        <w:rPr>
          <w:rFonts w:ascii="Palatino Linotype" w:hAnsi="Palatino Linotype" w:cs="Arial"/>
        </w:rPr>
        <w:t xml:space="preserve"> </w:t>
      </w:r>
      <w:r w:rsidR="00D671FD" w:rsidRPr="00D671FD">
        <w:rPr>
          <w:rFonts w:ascii="Palatino Linotype" w:hAnsi="Palatino Linotype" w:cs="Arial"/>
          <w:lang w:eastAsia="es-MX"/>
        </w:rPr>
        <w:t>al Instituto de Seguridad Social del Estado de México y Municipios, a efecto de que, ponga a disposición del ahora Recurrente, en copias certificadas sin costo, lo siguiente:</w:t>
      </w:r>
    </w:p>
    <w:p w:rsidR="00D671FD" w:rsidRPr="00D671FD" w:rsidRDefault="00DF00DE" w:rsidP="00040333">
      <w:pPr>
        <w:pStyle w:val="Sinespaciado"/>
        <w:ind w:left="851" w:right="992"/>
        <w:jc w:val="both"/>
        <w:rPr>
          <w:rFonts w:ascii="Palatino Linotype" w:hAnsi="Palatino Linotype" w:cs="Arial"/>
          <w:i/>
          <w:sz w:val="22"/>
          <w:szCs w:val="22"/>
        </w:rPr>
      </w:pPr>
      <w:r>
        <w:rPr>
          <w:rFonts w:ascii="Palatino Linotype" w:hAnsi="Palatino Linotype" w:cs="Arial"/>
          <w:i/>
          <w:sz w:val="22"/>
          <w:szCs w:val="22"/>
        </w:rPr>
        <w:t>“</w:t>
      </w:r>
      <w:r w:rsidR="00D671FD" w:rsidRPr="00D671FD">
        <w:rPr>
          <w:rFonts w:ascii="Palatino Linotype" w:hAnsi="Palatino Linotype" w:cs="Arial"/>
          <w:i/>
          <w:sz w:val="22"/>
          <w:szCs w:val="22"/>
        </w:rPr>
        <w:t>•</w:t>
      </w:r>
      <w:r w:rsidR="00D671FD" w:rsidRPr="00D671FD">
        <w:rPr>
          <w:rFonts w:ascii="Palatino Linotype" w:hAnsi="Palatino Linotype" w:cs="Arial"/>
          <w:i/>
          <w:sz w:val="22"/>
          <w:szCs w:val="22"/>
        </w:rPr>
        <w:tab/>
        <w:t>Versión pública de los Dictámenes de pensión a nombre de las personas que se identifican en la solicitud con número de folio 00862/ISSEMYM/IP/2019.</w:t>
      </w:r>
    </w:p>
    <w:p w:rsidR="00D671FD" w:rsidRPr="00D671FD" w:rsidRDefault="00D671FD" w:rsidP="00040333">
      <w:pPr>
        <w:pStyle w:val="Sinespaciado"/>
        <w:ind w:left="851" w:right="992"/>
        <w:jc w:val="both"/>
        <w:rPr>
          <w:rFonts w:ascii="Palatino Linotype" w:hAnsi="Palatino Linotype" w:cs="Arial"/>
          <w:i/>
          <w:sz w:val="22"/>
          <w:szCs w:val="22"/>
        </w:rPr>
      </w:pPr>
    </w:p>
    <w:p w:rsidR="00D671FD" w:rsidRPr="00D671FD" w:rsidRDefault="00D671FD" w:rsidP="00040333">
      <w:pPr>
        <w:pStyle w:val="Sinespaciado"/>
        <w:ind w:left="851" w:right="992"/>
        <w:jc w:val="both"/>
        <w:rPr>
          <w:rFonts w:ascii="Palatino Linotype" w:hAnsi="Palatino Linotype" w:cs="Arial"/>
          <w:i/>
          <w:sz w:val="22"/>
          <w:szCs w:val="22"/>
        </w:rPr>
      </w:pPr>
      <w:r w:rsidRPr="00D671FD">
        <w:rPr>
          <w:rFonts w:ascii="Palatino Linotype" w:hAnsi="Palatino Linotype" w:cs="Arial"/>
          <w:i/>
          <w:sz w:val="22"/>
          <w:szCs w:val="22"/>
        </w:rPr>
        <w:lastRenderedPageBreak/>
        <w:t>Junto con la versión pública, se deberá proporcionar el Acuerdo de Clasificación donde el Comité de Transparencia, confirme la eliminación del dato conforme a lo concluido en el Considerado QUINTO, de conformidad con los artículos 49, fracciones II y VIII, 143, fracción I y 149 de la Ley de Transparencia y Acceso a la Información Pública del Estado de México y Municipios.</w:t>
      </w:r>
    </w:p>
    <w:p w:rsidR="004B351A" w:rsidRPr="004B351A" w:rsidRDefault="00D671FD" w:rsidP="00040333">
      <w:pPr>
        <w:pStyle w:val="Sinespaciado"/>
        <w:ind w:left="851" w:right="992"/>
        <w:jc w:val="both"/>
        <w:rPr>
          <w:rFonts w:ascii="Palatino Linotype" w:hAnsi="Palatino Linotype" w:cs="Arial"/>
          <w:i/>
          <w:sz w:val="22"/>
          <w:szCs w:val="22"/>
        </w:rPr>
      </w:pPr>
      <w:r w:rsidRPr="00D671FD">
        <w:rPr>
          <w:rFonts w:ascii="Palatino Linotype" w:hAnsi="Palatino Linotype" w:cs="Arial"/>
          <w:i/>
          <w:sz w:val="22"/>
          <w:szCs w:val="22"/>
        </w:rPr>
        <w:t>En este sentido, a través del Sistema de Acceso a la Información Mexiquense (SAIMEX), deberá indicar al Recurrente el domicilio de la Unidad de Transparencia, en donde le será entregada la información en copias certificadas, así como los días, horarios de atención y el s</w:t>
      </w:r>
      <w:r w:rsidR="006B7C5E">
        <w:rPr>
          <w:rFonts w:ascii="Palatino Linotype" w:hAnsi="Palatino Linotype" w:cs="Arial"/>
          <w:i/>
          <w:sz w:val="22"/>
          <w:szCs w:val="22"/>
        </w:rPr>
        <w:t>ervidor público que le atenderá</w:t>
      </w:r>
      <w:r w:rsidR="004B351A" w:rsidRPr="004B351A">
        <w:rPr>
          <w:rFonts w:ascii="Palatino Linotype" w:hAnsi="Palatino Linotype" w:cs="Arial"/>
          <w:i/>
          <w:sz w:val="22"/>
          <w:szCs w:val="22"/>
        </w:rPr>
        <w:t>.</w:t>
      </w:r>
      <w:r w:rsidR="00DF00DE">
        <w:rPr>
          <w:rFonts w:ascii="Palatino Linotype" w:hAnsi="Palatino Linotype" w:cs="Arial"/>
          <w:i/>
          <w:sz w:val="22"/>
          <w:szCs w:val="22"/>
        </w:rPr>
        <w:t>”</w:t>
      </w:r>
    </w:p>
    <w:p w:rsidR="00B63948" w:rsidRDefault="00B63948" w:rsidP="00696A1A">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w:t>
      </w:r>
      <w:r w:rsidR="00E515B2">
        <w:rPr>
          <w:rFonts w:ascii="Palatino Linotype" w:hAnsi="Palatino Linotype" w:cs="Arial"/>
        </w:rPr>
        <w:t>,</w:t>
      </w:r>
      <w:r>
        <w:rPr>
          <w:rFonts w:ascii="Palatino Linotype" w:hAnsi="Palatino Linotype" w:cs="Arial"/>
        </w:rPr>
        <w:t xml:space="preserve"> obedece a que de acuerdo a lo señalado en la resolución de mérito, la Ponencia </w:t>
      </w:r>
      <w:proofErr w:type="spellStart"/>
      <w:r>
        <w:rPr>
          <w:rFonts w:ascii="Palatino Linotype" w:hAnsi="Palatino Linotype" w:cs="Arial"/>
        </w:rPr>
        <w:t>Resolutora</w:t>
      </w:r>
      <w:proofErr w:type="spellEnd"/>
      <w:r>
        <w:rPr>
          <w:rFonts w:ascii="Palatino Linotype" w:hAnsi="Palatino Linotype" w:cs="Arial"/>
        </w:rPr>
        <w:t xml:space="preserve"> estableció que ante la solicitud formulada por </w:t>
      </w:r>
      <w:r w:rsidR="00180F7F">
        <w:rPr>
          <w:rFonts w:ascii="Palatino Linotype" w:hAnsi="Palatino Linotype" w:cs="Arial"/>
        </w:rPr>
        <w:t>el</w:t>
      </w:r>
      <w:r w:rsidR="00E515B2" w:rsidRPr="00B63948">
        <w:rPr>
          <w:rFonts w:ascii="Palatino Linotype" w:hAnsi="Palatino Linotype" w:cs="Arial"/>
          <w:b/>
        </w:rPr>
        <w:t xml:space="preserve"> </w:t>
      </w:r>
      <w:r w:rsidR="00E515B2"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a la que pretende acceder en su modalidad de copias certificadas </w:t>
      </w:r>
      <w:r w:rsidR="00DF00DE">
        <w:rPr>
          <w:rFonts w:ascii="Palatino Linotype" w:hAnsi="Palatino Linotype" w:cs="Arial"/>
        </w:rPr>
        <w:t xml:space="preserve">con costo </w:t>
      </w:r>
      <w:r w:rsidRPr="00B63948">
        <w:rPr>
          <w:rFonts w:ascii="Palatino Linotype" w:hAnsi="Palatino Linotype" w:cs="Arial"/>
        </w:rPr>
        <w:t xml:space="preserve">y </w:t>
      </w:r>
      <w:r>
        <w:rPr>
          <w:rFonts w:ascii="Palatino Linotype" w:hAnsi="Palatino Linotype" w:cs="Arial"/>
        </w:rPr>
        <w:t>derivado de que</w:t>
      </w:r>
      <w:r w:rsidR="000B7BCA">
        <w:rPr>
          <w:rFonts w:ascii="Palatino Linotype" w:hAnsi="Palatino Linotype" w:cs="Arial"/>
        </w:rPr>
        <w:t xml:space="preserve"> </w:t>
      </w:r>
      <w:r>
        <w:rPr>
          <w:rFonts w:ascii="Palatino Linotype" w:hAnsi="Palatino Linotype" w:cs="Arial"/>
        </w:rPr>
        <w:t>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por lo que </w:t>
      </w:r>
      <w:r>
        <w:rPr>
          <w:rFonts w:ascii="Palatino Linotype" w:hAnsi="Palatino Linotype" w:cs="Arial"/>
        </w:rPr>
        <w:t xml:space="preserve">la Ponencia </w:t>
      </w:r>
      <w:r w:rsidR="008910FB">
        <w:rPr>
          <w:rFonts w:ascii="Palatino Linotype" w:hAnsi="Palatino Linotype" w:cs="Arial"/>
        </w:rPr>
        <w:t>decidió</w:t>
      </w:r>
      <w:r>
        <w:rPr>
          <w:rFonts w:ascii="Palatino Linotype" w:hAnsi="Palatino Linotype" w:cs="Arial"/>
        </w:rPr>
        <w:t xml:space="preserve"> ordenar</w:t>
      </w:r>
      <w:r w:rsidRPr="00B63948">
        <w:rPr>
          <w:rFonts w:ascii="Palatino Linotype" w:hAnsi="Palatino Linotype" w:cs="Arial"/>
        </w:rPr>
        <w:t xml:space="preserve"> el acceso a la información de referencia en </w:t>
      </w:r>
      <w:r w:rsidR="00E515B2">
        <w:rPr>
          <w:rFonts w:ascii="Palatino Linotype" w:hAnsi="Palatino Linotype" w:cs="Arial"/>
        </w:rPr>
        <w:t>c</w:t>
      </w:r>
      <w:r w:rsidRPr="00B63948">
        <w:rPr>
          <w:rFonts w:ascii="Palatino Linotype" w:hAnsi="Palatino Linotype" w:cs="Arial"/>
        </w:rPr>
        <w:t>opias certifica</w:t>
      </w:r>
      <w:r w:rsidR="008910FB">
        <w:rPr>
          <w:rFonts w:ascii="Palatino Linotype" w:hAnsi="Palatino Linotype" w:cs="Arial"/>
        </w:rPr>
        <w:t>das sin que medie el pago de</w:t>
      </w:r>
      <w:r w:rsidRPr="00B63948">
        <w:rPr>
          <w:rFonts w:ascii="Palatino Linotype" w:hAnsi="Palatino Linotype" w:cs="Arial"/>
        </w:rPr>
        <w:t xml:space="preserve"> derechos correspondientes. </w:t>
      </w: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Atento a lo anterior, es importante señalar que la naturaleza del recurso de revisión es que su interposición obedece a una garantía secundaria mediante el cual se pretende reparar cualquier posible afectación al derecho </w:t>
      </w:r>
      <w:r w:rsidR="00E515B2">
        <w:rPr>
          <w:rFonts w:ascii="Palatino Linotype" w:hAnsi="Palatino Linotype" w:cs="Arial"/>
        </w:rPr>
        <w:t xml:space="preserve">humano </w:t>
      </w:r>
      <w:r>
        <w:rPr>
          <w:rFonts w:ascii="Palatino Linotype" w:hAnsi="Palatino Linotype" w:cs="Arial"/>
        </w:rPr>
        <w:t>de acc</w:t>
      </w:r>
      <w:r w:rsidR="00477DB6">
        <w:rPr>
          <w:rFonts w:ascii="Palatino Linotype" w:hAnsi="Palatino Linotype" w:cs="Arial"/>
        </w:rPr>
        <w:t>eso a la información pública de la</w:t>
      </w:r>
      <w:r>
        <w:rPr>
          <w:rFonts w:ascii="Palatino Linotype" w:hAnsi="Palatino Linotype" w:cs="Arial"/>
        </w:rPr>
        <w:t xml:space="preserve"> particular, y una vez instrumentadas cada una de las actuaciones que la Ley contempla, este Órgano Garante emitirá un fallo donde se podrá:</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 Desechar o sobreseer el recurso;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 Confirmar la respuesta del sujeto obligado;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lastRenderedPageBreak/>
        <w:t>III. Revocar o modificar la respuesta del sujeto obligado; y</w:t>
      </w:r>
    </w:p>
    <w:p w:rsidR="00B63948"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IV. Ordenar la entrega de la información.</w:t>
      </w:r>
    </w:p>
    <w:p w:rsidR="000060E4"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xml:space="preserve"> no contempla como atribución de este Órgano Garante, el </w:t>
      </w:r>
      <w:r w:rsidR="000060E4">
        <w:rPr>
          <w:rFonts w:ascii="Palatino Linotype" w:hAnsi="Palatino Linotype" w:cs="Arial"/>
        </w:rPr>
        <w:t>determinar a través del recurso de revisión, la negligencia por parte de</w:t>
      </w:r>
      <w:r>
        <w:rPr>
          <w:rFonts w:ascii="Palatino Linotype" w:hAnsi="Palatino Linotype" w:cs="Arial"/>
        </w:rPr>
        <w:t xml:space="preserve"> los Sujetos Obligados</w:t>
      </w:r>
      <w:r w:rsidR="000060E4">
        <w:rPr>
          <w:rFonts w:ascii="Palatino Linotype" w:hAnsi="Palatino Linotype" w:cs="Arial"/>
        </w:rPr>
        <w:t>.</w:t>
      </w:r>
    </w:p>
    <w:p w:rsidR="009A2CD2" w:rsidRDefault="000060E4"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aunado a que el fundamento que la Ponencia invoca para determinar la entrega de la informació</w:t>
      </w:r>
      <w:r w:rsidR="008910FB">
        <w:rPr>
          <w:rFonts w:ascii="Palatino Linotype" w:hAnsi="Palatino Linotype" w:cs="Arial"/>
        </w:rPr>
        <w:t>n requerida sin que medie el</w:t>
      </w:r>
      <w:r>
        <w:rPr>
          <w:rFonts w:ascii="Palatino Linotype" w:hAnsi="Palatino Linotype" w:cs="Arial"/>
        </w:rPr>
        <w:t xml:space="preserve"> pago de derechos por la expedición de copias certificadas, se encuentra contenido en el </w:t>
      </w:r>
      <w:r w:rsidRPr="000060E4">
        <w:rPr>
          <w:rFonts w:ascii="Palatino Linotype" w:hAnsi="Palatino Linotype" w:cs="Arial"/>
        </w:rPr>
        <w:t>Título Noveno</w:t>
      </w:r>
      <w:r>
        <w:rPr>
          <w:rFonts w:ascii="Palatino Linotype" w:hAnsi="Palatino Linotype" w:cs="Arial"/>
        </w:rPr>
        <w:t xml:space="preserve"> denominado </w:t>
      </w:r>
      <w:r w:rsidRPr="000060E4">
        <w:rPr>
          <w:rFonts w:ascii="Palatino Linotype" w:hAnsi="Palatino Linotype" w:cs="Arial"/>
          <w:i/>
        </w:rPr>
        <w:t>“De las Medidas de Apremio, Responsabilidades y Sanciones”</w:t>
      </w:r>
      <w:r>
        <w:rPr>
          <w:rFonts w:ascii="Palatino Linotype" w:hAnsi="Palatino Linotype" w:cs="Arial"/>
        </w:rPr>
        <w:t xml:space="preserve">, específicamente en el </w:t>
      </w:r>
      <w:r w:rsidRPr="000060E4">
        <w:rPr>
          <w:rFonts w:ascii="Palatino Linotype" w:hAnsi="Palatino Linotype" w:cs="Arial"/>
        </w:rPr>
        <w:t>Capítulo II</w:t>
      </w:r>
      <w:r>
        <w:rPr>
          <w:rFonts w:ascii="Palatino Linotype" w:hAnsi="Palatino Linotype" w:cs="Arial"/>
        </w:rPr>
        <w:t xml:space="preserve"> </w:t>
      </w:r>
      <w:r w:rsidRPr="000060E4">
        <w:rPr>
          <w:rFonts w:ascii="Palatino Linotype" w:hAnsi="Palatino Linotype" w:cs="Arial"/>
          <w:i/>
        </w:rPr>
        <w:t>“De las Responsabilidades y Sanciones</w:t>
      </w:r>
      <w:r>
        <w:rPr>
          <w:rFonts w:ascii="Palatino Linotype" w:hAnsi="Palatino Linotype" w:cs="Arial"/>
          <w:i/>
        </w:rPr>
        <w:t>”</w:t>
      </w:r>
      <w:r>
        <w:rPr>
          <w:rFonts w:ascii="Palatino Linotype" w:hAnsi="Palatino Linotype" w:cs="Arial"/>
        </w:rPr>
        <w:t>, donde si bien se establece que el a</w:t>
      </w:r>
      <w:r w:rsidRPr="000060E4">
        <w:rPr>
          <w:rFonts w:ascii="Palatino Linotype" w:hAnsi="Palatino Linotype" w:cs="Arial"/>
        </w:rPr>
        <w:t xml:space="preserve">ctuar con negligencia, dolo o mala fe en la clasificación o desclasificación de la información </w:t>
      </w:r>
      <w:r>
        <w:rPr>
          <w:rFonts w:ascii="Palatino Linotype" w:hAnsi="Palatino Linotype" w:cs="Arial"/>
        </w:rPr>
        <w:t>es</w:t>
      </w:r>
      <w:r w:rsidRPr="000060E4">
        <w:rPr>
          <w:rFonts w:ascii="Palatino Linotype" w:hAnsi="Palatino Linotype" w:cs="Arial"/>
        </w:rPr>
        <w:t xml:space="preserve"> causa</w:t>
      </w:r>
      <w:r>
        <w:rPr>
          <w:rFonts w:ascii="Palatino Linotype" w:hAnsi="Palatino Linotype" w:cs="Arial"/>
        </w:rPr>
        <w:t>l</w:t>
      </w:r>
      <w:r w:rsidRPr="000060E4">
        <w:rPr>
          <w:rFonts w:ascii="Palatino Linotype" w:hAnsi="Palatino Linotype" w:cs="Arial"/>
        </w:rPr>
        <w:t xml:space="preserve"> de responsabilidad administrativa de los servidores públicos de los </w:t>
      </w:r>
      <w:r w:rsidR="00E515B2" w:rsidRPr="000060E4">
        <w:rPr>
          <w:rFonts w:ascii="Palatino Linotype" w:hAnsi="Palatino Linotype" w:cs="Arial"/>
        </w:rPr>
        <w:t>Sujetos Obligados</w:t>
      </w:r>
      <w:r w:rsidRPr="000060E4">
        <w:rPr>
          <w:rFonts w:ascii="Palatino Linotype" w:hAnsi="Palatino Linotype" w:cs="Arial"/>
        </w:rPr>
        <w:t>, por</w:t>
      </w:r>
      <w:r>
        <w:rPr>
          <w:rFonts w:ascii="Palatino Linotype" w:hAnsi="Palatino Linotype" w:cs="Arial"/>
        </w:rPr>
        <w:t xml:space="preserve"> </w:t>
      </w:r>
      <w:r w:rsidRPr="000060E4">
        <w:rPr>
          <w:rFonts w:ascii="Palatino Linotype" w:hAnsi="Palatino Linotype" w:cs="Arial"/>
        </w:rPr>
        <w:t>incumplimiento de las obligaciones establecidas en la Ley</w:t>
      </w:r>
      <w:r>
        <w:rPr>
          <w:rFonts w:ascii="Palatino Linotype" w:hAnsi="Palatino Linotype" w:cs="Arial"/>
        </w:rPr>
        <w:t xml:space="preserve"> de la materia; lo cierto es que</w:t>
      </w:r>
      <w:r w:rsidR="00E515B2">
        <w:rPr>
          <w:rFonts w:ascii="Palatino Linotype" w:hAnsi="Palatino Linotype" w:cs="Arial"/>
        </w:rPr>
        <w:t>,</w:t>
      </w:r>
      <w:r>
        <w:rPr>
          <w:rFonts w:ascii="Palatino Linotype" w:hAnsi="Palatino Linotype" w:cs="Arial"/>
        </w:rPr>
        <w:t xml:space="preserve"> para tal efecto el a</w:t>
      </w:r>
      <w:r w:rsidRPr="000060E4">
        <w:rPr>
          <w:rFonts w:ascii="Palatino Linotype" w:hAnsi="Palatino Linotype" w:cs="Arial"/>
        </w:rPr>
        <w:t xml:space="preserve">rtículo </w:t>
      </w:r>
      <w:r w:rsidR="00E515B2">
        <w:rPr>
          <w:rFonts w:ascii="Palatino Linotype" w:hAnsi="Palatino Linotype" w:cs="Arial"/>
        </w:rPr>
        <w:t>190</w:t>
      </w:r>
      <w:r w:rsidR="009A2CD2">
        <w:rPr>
          <w:rFonts w:ascii="Palatino Linotype" w:hAnsi="Palatino Linotype" w:cs="Arial"/>
        </w:rPr>
        <w:t xml:space="preserve"> de la Ley de Transparencia y Acceso a la Información Pública del Estado de México y Municipios </w:t>
      </w:r>
      <w:r>
        <w:rPr>
          <w:rFonts w:ascii="Palatino Linotype" w:hAnsi="Palatino Linotype" w:cs="Arial"/>
        </w:rPr>
        <w:t>señala que e</w:t>
      </w:r>
      <w:r w:rsidRPr="000060E4">
        <w:rPr>
          <w:rFonts w:ascii="Palatino Linotype" w:hAnsi="Palatino Linotype" w:cs="Arial"/>
        </w:rPr>
        <w:t xml:space="preserve">l Instituto </w:t>
      </w:r>
      <w:r w:rsidR="00E515B2" w:rsidRPr="00E515B2">
        <w:rPr>
          <w:rFonts w:ascii="Palatino Linotype" w:hAnsi="Palatino Linotype" w:cs="Arial"/>
        </w:rPr>
        <w:t xml:space="preserve">durante la sustanciación del recurso de revisión </w:t>
      </w:r>
      <w:r w:rsidR="00E515B2">
        <w:rPr>
          <w:rFonts w:ascii="Palatino Linotype" w:hAnsi="Palatino Linotype" w:cs="Arial"/>
        </w:rPr>
        <w:t>estima que</w:t>
      </w:r>
      <w:r w:rsidR="00E515B2" w:rsidRPr="00E515B2">
        <w:rPr>
          <w:rFonts w:ascii="Palatino Linotype" w:hAnsi="Palatino Linotype" w:cs="Arial"/>
        </w:rPr>
        <w:t xml:space="preserve"> pudo haberse incurrido en</w:t>
      </w:r>
      <w:r w:rsidR="00E515B2">
        <w:rPr>
          <w:rFonts w:ascii="Palatino Linotype" w:hAnsi="Palatino Linotype" w:cs="Arial"/>
        </w:rPr>
        <w:t xml:space="preserve"> </w:t>
      </w:r>
      <w:r w:rsidR="00E515B2" w:rsidRPr="00E515B2">
        <w:rPr>
          <w:rFonts w:ascii="Palatino Linotype" w:hAnsi="Palatino Linotype" w:cs="Arial"/>
        </w:rPr>
        <w:t xml:space="preserve">una probable responsabilidad por el incumplimiento a las obligaciones previstas en </w:t>
      </w:r>
      <w:r w:rsidR="00E515B2">
        <w:rPr>
          <w:rFonts w:ascii="Palatino Linotype" w:hAnsi="Palatino Linotype" w:cs="Arial"/>
        </w:rPr>
        <w:t>la</w:t>
      </w:r>
      <w:r w:rsidR="00E515B2" w:rsidRPr="00E515B2">
        <w:rPr>
          <w:rFonts w:ascii="Palatino Linotype" w:hAnsi="Palatino Linotype" w:cs="Arial"/>
        </w:rPr>
        <w:t xml:space="preserve"> Ley</w:t>
      </w:r>
      <w:r w:rsidR="00E515B2">
        <w:rPr>
          <w:rFonts w:ascii="Palatino Linotype" w:hAnsi="Palatino Linotype" w:cs="Arial"/>
        </w:rPr>
        <w:t xml:space="preserve"> de la materia</w:t>
      </w:r>
      <w:r w:rsidR="00E515B2" w:rsidRPr="00E515B2">
        <w:rPr>
          <w:rFonts w:ascii="Palatino Linotype" w:hAnsi="Palatino Linotype" w:cs="Arial"/>
        </w:rPr>
        <w:t xml:space="preserve">, deberá hacerlo del conocimiento del Órgano de Control Interno </w:t>
      </w:r>
      <w:r w:rsidR="008363F4">
        <w:rPr>
          <w:rFonts w:ascii="Palatino Linotype" w:hAnsi="Palatino Linotype" w:cs="Arial"/>
        </w:rPr>
        <w:t>para que</w:t>
      </w:r>
      <w:r w:rsidR="00E515B2" w:rsidRPr="00E515B2">
        <w:rPr>
          <w:rFonts w:ascii="Palatino Linotype" w:hAnsi="Palatino Linotype" w:cs="Arial"/>
        </w:rPr>
        <w:t xml:space="preserve"> </w:t>
      </w:r>
      <w:r w:rsidR="00E515B2">
        <w:rPr>
          <w:rFonts w:ascii="Palatino Linotype" w:hAnsi="Palatino Linotype" w:cs="Arial"/>
        </w:rPr>
        <w:t>determine lo conducente</w:t>
      </w:r>
      <w:r w:rsidRPr="000060E4">
        <w:rPr>
          <w:rFonts w:ascii="Palatino Linotype" w:hAnsi="Palatino Linotype" w:cs="Arial"/>
        </w:rPr>
        <w:t>.</w:t>
      </w:r>
    </w:p>
    <w:p w:rsidR="008910FB" w:rsidRDefault="0046500C"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P</w:t>
      </w:r>
      <w:r w:rsidR="00B63948">
        <w:rPr>
          <w:rFonts w:ascii="Palatino Linotype" w:hAnsi="Palatino Linotype" w:cs="Arial"/>
        </w:rPr>
        <w:t>or lo cual, la suscrita</w:t>
      </w:r>
      <w:r w:rsidR="00696A1A">
        <w:rPr>
          <w:rFonts w:ascii="Palatino Linotype" w:hAnsi="Palatino Linotype" w:cs="Arial"/>
        </w:rPr>
        <w:t xml:space="preserve"> emite</w:t>
      </w:r>
      <w:r w:rsidR="00B63948">
        <w:rPr>
          <w:rFonts w:ascii="Palatino Linotype" w:hAnsi="Palatino Linotype" w:cs="Arial"/>
        </w:rPr>
        <w:t xml:space="preserve"> </w:t>
      </w:r>
      <w:r w:rsidR="00B63948" w:rsidRPr="006073E1">
        <w:rPr>
          <w:rFonts w:ascii="Palatino Linotype" w:hAnsi="Palatino Linotype" w:cs="Arial"/>
          <w:b/>
        </w:rPr>
        <w:t>VOTO PARTICULAR</w:t>
      </w:r>
      <w:r w:rsidR="00180F7F">
        <w:rPr>
          <w:rFonts w:ascii="Palatino Linotype" w:hAnsi="Palatino Linotype" w:cs="Arial"/>
          <w:b/>
        </w:rPr>
        <w:t xml:space="preserve"> </w:t>
      </w:r>
      <w:r w:rsidR="00B63948" w:rsidRPr="00F74B57">
        <w:rPr>
          <w:rFonts w:ascii="Palatino Linotype" w:hAnsi="Palatino Linotype" w:cs="Arial"/>
        </w:rPr>
        <w:t xml:space="preserve">con </w:t>
      </w:r>
      <w:r w:rsidR="00B63948">
        <w:rPr>
          <w:rFonts w:ascii="Palatino Linotype" w:hAnsi="Palatino Linotype" w:cs="Arial"/>
        </w:rPr>
        <w:t>independencia de que se comparta el fallo, tanto en lo general como en su sentido</w:t>
      </w:r>
      <w:r w:rsidR="00E515B2">
        <w:rPr>
          <w:rFonts w:ascii="Palatino Linotype" w:hAnsi="Palatino Linotype" w:cs="Arial"/>
        </w:rPr>
        <w:t xml:space="preserve">, ya que </w:t>
      </w:r>
      <w:r w:rsidR="00B63948">
        <w:rPr>
          <w:rFonts w:ascii="Palatino Linotype" w:hAnsi="Palatino Linotype" w:cs="Arial"/>
        </w:rPr>
        <w:t xml:space="preserve">se insiste que, no se considera procedente </w:t>
      </w:r>
      <w:r>
        <w:rPr>
          <w:rFonts w:ascii="Palatino Linotype" w:hAnsi="Palatino Linotype" w:cs="Arial"/>
        </w:rPr>
        <w:t xml:space="preserve">eximir al </w:t>
      </w:r>
      <w:r w:rsidRPr="0046500C">
        <w:rPr>
          <w:rFonts w:ascii="Palatino Linotype" w:hAnsi="Palatino Linotype" w:cs="Arial"/>
          <w:b/>
        </w:rPr>
        <w:t>RECURRENTE</w:t>
      </w:r>
      <w:r>
        <w:rPr>
          <w:rFonts w:ascii="Palatino Linotype" w:hAnsi="Palatino Linotype" w:cs="Arial"/>
        </w:rPr>
        <w:t xml:space="preserve"> del pago de derechos por la expedición de copias certificadas, modalidad de entrega elegida por éste, </w:t>
      </w:r>
      <w:r w:rsidR="008910FB">
        <w:rPr>
          <w:rFonts w:ascii="Palatino Linotype" w:hAnsi="Palatino Linotype" w:cs="Arial"/>
        </w:rPr>
        <w:t>al</w:t>
      </w:r>
      <w:r>
        <w:rPr>
          <w:rFonts w:ascii="Palatino Linotype" w:hAnsi="Palatino Linotype" w:cs="Arial"/>
        </w:rPr>
        <w:t xml:space="preserve"> </w:t>
      </w:r>
      <w:r w:rsidR="00E515B2">
        <w:rPr>
          <w:rFonts w:ascii="Palatino Linotype" w:hAnsi="Palatino Linotype" w:cs="Arial"/>
        </w:rPr>
        <w:t>valorar como</w:t>
      </w:r>
      <w:r>
        <w:rPr>
          <w:rFonts w:ascii="Palatino Linotype" w:hAnsi="Palatino Linotype" w:cs="Arial"/>
        </w:rPr>
        <w:t xml:space="preserve"> negligen</w:t>
      </w:r>
      <w:r w:rsidR="00E515B2">
        <w:rPr>
          <w:rFonts w:ascii="Palatino Linotype" w:hAnsi="Palatino Linotype" w:cs="Arial"/>
        </w:rPr>
        <w:t>te el actuar</w:t>
      </w:r>
      <w:r>
        <w:rPr>
          <w:rFonts w:ascii="Palatino Linotype" w:hAnsi="Palatino Linotype" w:cs="Arial"/>
        </w:rPr>
        <w:t xml:space="preserve"> del</w:t>
      </w:r>
      <w:r w:rsidR="00B63948">
        <w:rPr>
          <w:rFonts w:ascii="Palatino Linotype" w:hAnsi="Palatino Linotype" w:cs="Arial"/>
        </w:rPr>
        <w:t xml:space="preserve"> </w:t>
      </w:r>
      <w:r w:rsidR="00B63948" w:rsidRPr="00A002B7">
        <w:rPr>
          <w:rFonts w:ascii="Palatino Linotype" w:hAnsi="Palatino Linotype" w:cs="Arial"/>
          <w:b/>
        </w:rPr>
        <w:t>SUJETO OBLIGADO</w:t>
      </w:r>
      <w:r w:rsidR="00B63948">
        <w:rPr>
          <w:rFonts w:ascii="Palatino Linotype" w:hAnsi="Palatino Linotype" w:cs="Arial"/>
        </w:rPr>
        <w:t xml:space="preserve"> vía recurso de revisión, toda vez que los medios de impugnación no son la instancia para </w:t>
      </w:r>
      <w:r w:rsidR="00E515B2">
        <w:rPr>
          <w:rFonts w:ascii="Palatino Linotype" w:hAnsi="Palatino Linotype" w:cs="Arial"/>
        </w:rPr>
        <w:t>determinar las responsabilidades de los Sujeto Obligados,</w:t>
      </w:r>
      <w:r w:rsidR="00B63948">
        <w:rPr>
          <w:rFonts w:ascii="Palatino Linotype" w:hAnsi="Palatino Linotype" w:cs="Arial"/>
        </w:rPr>
        <w:t xml:space="preserve"> pues al emitir la resolución se debe actuar con apego a los principios de exhaustividad y congruencia.</w:t>
      </w:r>
    </w:p>
    <w:p w:rsidR="00DF00DE" w:rsidRDefault="00DF00DE"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DF00DE" w:rsidRDefault="00DF00DE"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DF00DE" w:rsidRDefault="00DF00DE"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249"/>
        <w:tblW w:w="4393" w:type="dxa"/>
        <w:tblLayout w:type="fixed"/>
        <w:tblLook w:val="04A0" w:firstRow="1" w:lastRow="0" w:firstColumn="1" w:lastColumn="0" w:noHBand="0" w:noVBand="1"/>
      </w:tblPr>
      <w:tblGrid>
        <w:gridCol w:w="4393"/>
      </w:tblGrid>
      <w:tr w:rsidR="003F243C" w:rsidRPr="0073286C" w:rsidTr="003F243C">
        <w:tc>
          <w:tcPr>
            <w:tcW w:w="4393" w:type="dxa"/>
          </w:tcPr>
          <w:p w:rsidR="003F243C" w:rsidRPr="0073286C" w:rsidRDefault="003F243C" w:rsidP="003F243C">
            <w:pPr>
              <w:jc w:val="center"/>
              <w:rPr>
                <w:rFonts w:ascii="Palatino Linotype" w:hAnsi="Palatino Linotype"/>
                <w:b/>
              </w:rPr>
            </w:pPr>
            <w:r w:rsidRPr="0073286C">
              <w:rPr>
                <w:rFonts w:ascii="Palatino Linotype" w:hAnsi="Palatino Linotype"/>
                <w:b/>
              </w:rPr>
              <w:t>EVA ABAID YAPUR</w:t>
            </w:r>
            <w:r>
              <w:rPr>
                <w:rFonts w:ascii="Palatino Linotype" w:hAnsi="Palatino Linotype"/>
                <w:b/>
              </w:rPr>
              <w:t xml:space="preserve">     </w:t>
            </w:r>
          </w:p>
          <w:p w:rsidR="003F243C" w:rsidRDefault="003F243C" w:rsidP="00040333">
            <w:pPr>
              <w:jc w:val="center"/>
              <w:rPr>
                <w:rFonts w:ascii="Palatino Linotype" w:hAnsi="Palatino Linotype"/>
                <w:b/>
              </w:rPr>
            </w:pPr>
            <w:r w:rsidRPr="0073286C">
              <w:rPr>
                <w:rFonts w:ascii="Palatino Linotype" w:hAnsi="Palatino Linotype"/>
                <w:b/>
              </w:rPr>
              <w:t>COMISIONADA</w:t>
            </w:r>
          </w:p>
          <w:p w:rsidR="00B327C0" w:rsidRDefault="00B327C0" w:rsidP="00B327C0">
            <w:pPr>
              <w:jc w:val="center"/>
              <w:rPr>
                <w:rFonts w:ascii="Palatino Linotype" w:hAnsi="Palatino Linotype"/>
                <w:b/>
              </w:rPr>
            </w:pPr>
            <w:r>
              <w:rPr>
                <w:rFonts w:ascii="Palatino Linotype" w:hAnsi="Palatino Linotype" w:cs="Arial"/>
                <w:b/>
              </w:rPr>
              <w:t>(RÚBRICA)</w:t>
            </w:r>
          </w:p>
          <w:p w:rsidR="00B327C0" w:rsidRPr="0073286C" w:rsidRDefault="00B327C0" w:rsidP="00040333">
            <w:pPr>
              <w:jc w:val="center"/>
              <w:rPr>
                <w:rFonts w:ascii="Palatino Linotype" w:hAnsi="Palatino Linotype"/>
                <w:b/>
              </w:rPr>
            </w:pPr>
            <w:bookmarkStart w:id="0" w:name="_GoBack"/>
            <w:bookmarkEnd w:id="0"/>
          </w:p>
        </w:tc>
      </w:tr>
    </w:tbl>
    <w:p w:rsidR="006468C8" w:rsidRDefault="006468C8" w:rsidP="00C146EB">
      <w:pPr>
        <w:jc w:val="both"/>
        <w:rPr>
          <w:rFonts w:ascii="Palatino Linotype" w:hAnsi="Palatino Linotype" w:cs="Arial"/>
        </w:rPr>
      </w:pPr>
    </w:p>
    <w:p w:rsidR="006468C8" w:rsidRDefault="006468C8" w:rsidP="00385565">
      <w:pPr>
        <w:jc w:val="both"/>
        <w:rPr>
          <w:rFonts w:ascii="Palatino Linotype" w:eastAsia="Calibri" w:hAnsi="Palatino Linotype" w:cs="Arial"/>
          <w:color w:val="000000" w:themeColor="text1"/>
          <w:sz w:val="20"/>
          <w:szCs w:val="20"/>
        </w:rPr>
      </w:pPr>
    </w:p>
    <w:p w:rsidR="00F22431" w:rsidRDefault="00F22431" w:rsidP="00385565">
      <w:pPr>
        <w:jc w:val="both"/>
        <w:rPr>
          <w:rFonts w:ascii="Palatino Linotype" w:eastAsia="Calibri" w:hAnsi="Palatino Linotype" w:cs="Arial"/>
          <w:color w:val="000000" w:themeColor="text1"/>
          <w:sz w:val="20"/>
          <w:szCs w:val="20"/>
        </w:rPr>
      </w:pPr>
    </w:p>
    <w:p w:rsidR="008B1D0F" w:rsidRDefault="008B1D0F" w:rsidP="00385565">
      <w:pPr>
        <w:jc w:val="both"/>
        <w:rPr>
          <w:rFonts w:ascii="Palatino Linotype" w:eastAsia="Calibri" w:hAnsi="Palatino Linotype" w:cs="Arial"/>
          <w:color w:val="000000" w:themeColor="text1"/>
          <w:sz w:val="20"/>
          <w:szCs w:val="20"/>
        </w:rPr>
      </w:pPr>
    </w:p>
    <w:p w:rsidR="008B1D0F" w:rsidRDefault="008B1D0F" w:rsidP="00385565">
      <w:pPr>
        <w:jc w:val="both"/>
        <w:rPr>
          <w:rFonts w:ascii="Palatino Linotype" w:eastAsia="Calibri" w:hAnsi="Palatino Linotype" w:cs="Arial"/>
          <w:color w:val="000000" w:themeColor="text1"/>
          <w:sz w:val="20"/>
          <w:szCs w:val="20"/>
        </w:rPr>
      </w:pPr>
    </w:p>
    <w:p w:rsidR="00DF00DE" w:rsidRDefault="00DF00DE" w:rsidP="00385565">
      <w:pPr>
        <w:jc w:val="both"/>
        <w:rPr>
          <w:rFonts w:ascii="Palatino Linotype" w:eastAsia="Calibri" w:hAnsi="Palatino Linotype" w:cs="Arial"/>
          <w:color w:val="000000" w:themeColor="text1"/>
          <w:sz w:val="20"/>
          <w:szCs w:val="20"/>
        </w:rPr>
      </w:pPr>
    </w:p>
    <w:p w:rsidR="00DF00DE" w:rsidRDefault="00DF00DE" w:rsidP="00385565">
      <w:pPr>
        <w:jc w:val="both"/>
        <w:rPr>
          <w:rFonts w:ascii="Palatino Linotype" w:eastAsia="Calibri" w:hAnsi="Palatino Linotype" w:cs="Arial"/>
          <w:color w:val="000000" w:themeColor="text1"/>
          <w:sz w:val="20"/>
          <w:szCs w:val="20"/>
        </w:rPr>
      </w:pPr>
    </w:p>
    <w:p w:rsidR="00040333" w:rsidRDefault="00040333" w:rsidP="00385565">
      <w:pPr>
        <w:jc w:val="both"/>
        <w:rPr>
          <w:rFonts w:ascii="Palatino Linotype" w:eastAsia="Calibri" w:hAnsi="Palatino Linotype" w:cs="Arial"/>
          <w:color w:val="000000" w:themeColor="text1"/>
          <w:sz w:val="20"/>
          <w:szCs w:val="20"/>
        </w:rPr>
      </w:pPr>
    </w:p>
    <w:p w:rsidR="00040333" w:rsidRDefault="00040333" w:rsidP="00385565">
      <w:pPr>
        <w:jc w:val="both"/>
        <w:rPr>
          <w:rFonts w:ascii="Palatino Linotype" w:eastAsia="Calibri" w:hAnsi="Palatino Linotype" w:cs="Arial"/>
          <w:color w:val="000000" w:themeColor="text1"/>
          <w:sz w:val="20"/>
          <w:szCs w:val="20"/>
        </w:rPr>
      </w:pPr>
    </w:p>
    <w:p w:rsidR="00040333" w:rsidRDefault="00040333" w:rsidP="00385565">
      <w:pPr>
        <w:jc w:val="both"/>
        <w:rPr>
          <w:rFonts w:ascii="Palatino Linotype" w:eastAsia="Calibri" w:hAnsi="Palatino Linotype" w:cs="Arial"/>
          <w:color w:val="000000" w:themeColor="text1"/>
          <w:sz w:val="20"/>
          <w:szCs w:val="20"/>
        </w:rPr>
      </w:pPr>
    </w:p>
    <w:p w:rsidR="00040333" w:rsidRDefault="00040333" w:rsidP="00385565">
      <w:pPr>
        <w:jc w:val="both"/>
        <w:rPr>
          <w:rFonts w:ascii="Palatino Linotype" w:eastAsia="Calibri" w:hAnsi="Palatino Linotype" w:cs="Arial"/>
          <w:color w:val="000000" w:themeColor="text1"/>
          <w:sz w:val="20"/>
          <w:szCs w:val="20"/>
        </w:rPr>
      </w:pPr>
    </w:p>
    <w:p w:rsidR="00040333" w:rsidRDefault="00040333" w:rsidP="00385565">
      <w:pPr>
        <w:jc w:val="both"/>
        <w:rPr>
          <w:rFonts w:ascii="Palatino Linotype" w:eastAsia="Calibri" w:hAnsi="Palatino Linotype" w:cs="Arial"/>
          <w:color w:val="000000" w:themeColor="text1"/>
          <w:sz w:val="20"/>
          <w:szCs w:val="20"/>
        </w:rPr>
      </w:pPr>
    </w:p>
    <w:p w:rsidR="00040333" w:rsidRDefault="00040333" w:rsidP="00385565">
      <w:pPr>
        <w:jc w:val="both"/>
        <w:rPr>
          <w:rFonts w:ascii="Palatino Linotype" w:eastAsia="Calibri" w:hAnsi="Palatino Linotype" w:cs="Arial"/>
          <w:color w:val="000000" w:themeColor="text1"/>
          <w:sz w:val="20"/>
          <w:szCs w:val="20"/>
        </w:rPr>
      </w:pPr>
    </w:p>
    <w:p w:rsidR="00DF00DE" w:rsidRDefault="00202921" w:rsidP="00385565">
      <w:pPr>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C146EB">
        <w:rPr>
          <w:rFonts w:ascii="Palatino Linotype" w:eastAsia="Calibri" w:hAnsi="Palatino Linotype" w:cs="Arial"/>
          <w:color w:val="000000" w:themeColor="text1"/>
          <w:sz w:val="20"/>
          <w:szCs w:val="20"/>
        </w:rPr>
        <w:t xml:space="preserve"> </w:t>
      </w:r>
      <w:r w:rsidRPr="001A4E4A">
        <w:rPr>
          <w:rFonts w:ascii="Palatino Linotype" w:eastAsia="Calibri" w:hAnsi="Palatino Linotype" w:cs="Arial"/>
          <w:color w:val="000000" w:themeColor="text1"/>
          <w:sz w:val="20"/>
          <w:szCs w:val="20"/>
        </w:rPr>
        <w:t>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D671FD">
        <w:rPr>
          <w:rFonts w:ascii="Palatino Linotype" w:eastAsia="Calibri" w:hAnsi="Palatino Linotype" w:cs="Arial"/>
          <w:color w:val="000000" w:themeColor="text1"/>
          <w:sz w:val="20"/>
          <w:szCs w:val="20"/>
        </w:rPr>
        <w:t xml:space="preserve"> recurso de revisión 08996</w:t>
      </w:r>
      <w:r w:rsidR="00F545FB">
        <w:rPr>
          <w:rFonts w:ascii="Palatino Linotype" w:eastAsia="Calibri" w:hAnsi="Palatino Linotype" w:cs="Arial"/>
          <w:color w:val="000000" w:themeColor="text1"/>
          <w:sz w:val="20"/>
          <w:szCs w:val="20"/>
        </w:rPr>
        <w:t>/INFOEM/IP/RR/2019</w:t>
      </w:r>
      <w:r w:rsidRPr="001A4E4A">
        <w:rPr>
          <w:rFonts w:ascii="Palatino Linotype" w:eastAsia="Calibri" w:hAnsi="Palatino Linotype" w:cs="Arial"/>
          <w:color w:val="000000" w:themeColor="text1"/>
          <w:sz w:val="20"/>
          <w:szCs w:val="20"/>
        </w:rPr>
        <w:t>,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D671FD">
        <w:rPr>
          <w:rFonts w:ascii="Palatino Linotype" w:eastAsia="Calibri" w:hAnsi="Palatino Linotype" w:cs="Arial"/>
          <w:color w:val="000000" w:themeColor="text1"/>
          <w:sz w:val="20"/>
          <w:szCs w:val="20"/>
        </w:rPr>
        <w:t>seis de febrero de dos mil veinte</w:t>
      </w:r>
      <w:r w:rsidRPr="001A4E4A">
        <w:rPr>
          <w:rFonts w:ascii="Palatino Linotype" w:eastAsia="Calibri" w:hAnsi="Palatino Linotype" w:cs="Arial"/>
          <w:color w:val="000000" w:themeColor="text1"/>
          <w:sz w:val="20"/>
          <w:szCs w:val="20"/>
        </w:rPr>
        <w:t xml:space="preserve">.  </w:t>
      </w:r>
    </w:p>
    <w:p w:rsidR="00040333" w:rsidRPr="00040333" w:rsidRDefault="00040333" w:rsidP="00385565">
      <w:pPr>
        <w:jc w:val="both"/>
        <w:rPr>
          <w:rFonts w:ascii="Palatino Linotype" w:eastAsia="Calibri" w:hAnsi="Palatino Linotype" w:cs="Arial"/>
          <w:color w:val="000000" w:themeColor="text1"/>
          <w:sz w:val="8"/>
          <w:szCs w:val="8"/>
        </w:rPr>
      </w:pPr>
    </w:p>
    <w:p w:rsidR="00202921" w:rsidRPr="00F545FB" w:rsidRDefault="004444DA" w:rsidP="00385565">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w:t>
      </w:r>
      <w:r w:rsidR="00D671FD">
        <w:rPr>
          <w:rFonts w:ascii="Palatino Linotype" w:eastAsia="Calibri" w:hAnsi="Palatino Linotype" w:cs="Arial"/>
          <w:color w:val="000000" w:themeColor="text1"/>
          <w:sz w:val="20"/>
          <w:szCs w:val="20"/>
        </w:rPr>
        <w:t>/</w:t>
      </w:r>
      <w:r w:rsidR="00477DB6">
        <w:rPr>
          <w:rFonts w:ascii="Palatino Linotype" w:eastAsia="Calibri" w:hAnsi="Palatino Linotype" w:cs="Arial"/>
          <w:color w:val="000000" w:themeColor="text1"/>
          <w:sz w:val="20"/>
          <w:szCs w:val="20"/>
        </w:rPr>
        <w:t>EJCA</w:t>
      </w:r>
    </w:p>
    <w:sectPr w:rsidR="00202921" w:rsidRPr="00F545FB" w:rsidSect="004B351A">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85B" w:rsidRDefault="0089785B" w:rsidP="00202921">
      <w:r>
        <w:separator/>
      </w:r>
    </w:p>
  </w:endnote>
  <w:endnote w:type="continuationSeparator" w:id="0">
    <w:p w:rsidR="0089785B" w:rsidRDefault="0089785B"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51A" w:rsidRDefault="004B351A" w:rsidP="004B351A">
    <w:pPr>
      <w:pStyle w:val="Piedepgina"/>
      <w:tabs>
        <w:tab w:val="clear" w:pos="4252"/>
        <w:tab w:val="left" w:pos="4228"/>
      </w:tabs>
      <w:rPr>
        <w:rFonts w:ascii="Palatino Linotype" w:hAnsi="Palatino Linotype" w:cs="Arial"/>
        <w:b/>
        <w:bCs/>
        <w:sz w:val="20"/>
        <w:szCs w:val="20"/>
      </w:rPr>
    </w:pPr>
  </w:p>
  <w:p w:rsidR="00040333" w:rsidRDefault="00040333" w:rsidP="004B351A">
    <w:pPr>
      <w:pStyle w:val="Piedepgina"/>
      <w:tabs>
        <w:tab w:val="clear" w:pos="4252"/>
        <w:tab w:val="left" w:pos="4228"/>
      </w:tabs>
      <w:rPr>
        <w:rFonts w:ascii="Palatino Linotype" w:hAnsi="Palatino Linotype" w:cs="Arial"/>
        <w:b/>
        <w:bCs/>
        <w:sz w:val="20"/>
        <w:szCs w:val="20"/>
      </w:rPr>
    </w:pPr>
  </w:p>
  <w:p w:rsidR="006468C8" w:rsidRDefault="006468C8" w:rsidP="004B351A">
    <w:pPr>
      <w:pStyle w:val="Piedepgina"/>
      <w:tabs>
        <w:tab w:val="clear" w:pos="4252"/>
        <w:tab w:val="left" w:pos="4228"/>
      </w:tabs>
      <w:rPr>
        <w:rFonts w:ascii="Palatino Linotype" w:hAnsi="Palatino Linotype" w:cs="Arial"/>
        <w:b/>
        <w:bCs/>
        <w:sz w:val="20"/>
        <w:szCs w:val="20"/>
      </w:rPr>
    </w:pPr>
  </w:p>
  <w:p w:rsidR="004B351A" w:rsidRDefault="004B351A" w:rsidP="004B351A">
    <w:pPr>
      <w:pStyle w:val="Piedepgina"/>
      <w:tabs>
        <w:tab w:val="clear" w:pos="4252"/>
        <w:tab w:val="left" w:pos="4228"/>
      </w:tabs>
      <w:rPr>
        <w:rFonts w:ascii="Palatino Linotype" w:hAnsi="Palatino Linotype" w:cs="Arial"/>
        <w:b/>
        <w:bCs/>
        <w:sz w:val="20"/>
        <w:szCs w:val="20"/>
      </w:rPr>
    </w:pPr>
  </w:p>
  <w:p w:rsidR="004B351A" w:rsidRDefault="004B351A" w:rsidP="004B351A">
    <w:pPr>
      <w:pStyle w:val="Piedepgina"/>
      <w:rPr>
        <w:rFonts w:ascii="Palatino Linotype" w:hAnsi="Palatino Linotype" w:cs="Arial"/>
        <w:b/>
        <w:bCs/>
        <w:sz w:val="20"/>
        <w:szCs w:val="20"/>
      </w:rPr>
    </w:pPr>
  </w:p>
  <w:p w:rsidR="004B351A" w:rsidRPr="00F12350" w:rsidRDefault="00615728" w:rsidP="004B351A">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327C0">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327C0">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4B351A" w:rsidRDefault="004B351A" w:rsidP="004B351A">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85B" w:rsidRDefault="0089785B" w:rsidP="00202921">
      <w:r>
        <w:separator/>
      </w:r>
    </w:p>
  </w:footnote>
  <w:footnote w:type="continuationSeparator" w:id="0">
    <w:p w:rsidR="0089785B" w:rsidRDefault="0089785B"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51A" w:rsidRDefault="00B327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51A" w:rsidRDefault="00615728" w:rsidP="004B351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4B351A" w:rsidRDefault="004B351A" w:rsidP="004B351A">
    <w:pPr>
      <w:pStyle w:val="Encabezado"/>
      <w:tabs>
        <w:tab w:val="clear" w:pos="4252"/>
        <w:tab w:val="clear" w:pos="8504"/>
        <w:tab w:val="left" w:pos="2326"/>
      </w:tabs>
      <w:jc w:val="right"/>
      <w:rPr>
        <w:rFonts w:ascii="Palatino Linotype" w:hAnsi="Palatino Linotype"/>
      </w:rPr>
    </w:pP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040333" w:rsidRPr="003764C2">
      <w:rPr>
        <w:rFonts w:ascii="Palatino Linotype" w:hAnsi="Palatino Linotype" w:cs="Arial"/>
        <w:sz w:val="20"/>
        <w:szCs w:val="20"/>
      </w:rPr>
      <w:t>VOTO</w:t>
    </w:r>
    <w:r w:rsidR="00040333" w:rsidRPr="006F01F2">
      <w:rPr>
        <w:rFonts w:ascii="Palatino Linotype" w:hAnsi="Palatino Linotype" w:cs="Arial"/>
        <w:sz w:val="20"/>
        <w:szCs w:val="20"/>
      </w:rPr>
      <w:t xml:space="preserve"> PARTICULAR</w:t>
    </w:r>
  </w:p>
  <w:p w:rsidR="00400547" w:rsidRDefault="00040333" w:rsidP="0040054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08996/INFOEM/IP/RR/2019</w:t>
    </w:r>
  </w:p>
  <w:p w:rsidR="00040333" w:rsidRPr="00040333" w:rsidRDefault="00040333" w:rsidP="00400547">
    <w:pPr>
      <w:pStyle w:val="Encabezado"/>
      <w:tabs>
        <w:tab w:val="clear" w:pos="4252"/>
        <w:tab w:val="clear" w:pos="8504"/>
        <w:tab w:val="left" w:pos="2326"/>
      </w:tabs>
      <w:jc w:val="right"/>
      <w:rPr>
        <w:rFonts w:ascii="Palatino Linotype" w:hAnsi="Palatino Linotype" w:cs="Arial"/>
        <w:sz w:val="6"/>
        <w:szCs w:val="20"/>
      </w:rPr>
    </w:pPr>
  </w:p>
  <w:p w:rsidR="004B351A" w:rsidRDefault="00B327C0" w:rsidP="004B351A">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8.1pt;margin-top:243pt;width:654.8pt;height:93.55pt;rotation:315;z-index:-251655168;mso-position-horizontal-relative:margin;mso-position-vertical-relative:margin" o:allowincell="f" fillcolor="#bfbfbf [2412]" stroked="f">
          <v:fill opacity=".5"/>
          <v:textpath style="font-family:&quot;Palatino Linotype&quot;;font-size:1pt" string="VOTO PARTICULAR&#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51A" w:rsidRDefault="00B327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FD1A1B"/>
    <w:multiLevelType w:val="hybridMultilevel"/>
    <w:tmpl w:val="5298E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E8707C0"/>
    <w:multiLevelType w:val="hybridMultilevel"/>
    <w:tmpl w:val="FB3010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5E73474"/>
    <w:multiLevelType w:val="hybridMultilevel"/>
    <w:tmpl w:val="09F6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9">
    <w:nsid w:val="7B9B46CB"/>
    <w:multiLevelType w:val="hybridMultilevel"/>
    <w:tmpl w:val="57DE3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7"/>
  </w:num>
  <w:num w:numId="5">
    <w:abstractNumId w:val="4"/>
  </w:num>
  <w:num w:numId="6">
    <w:abstractNumId w:val="3"/>
  </w:num>
  <w:num w:numId="7">
    <w:abstractNumId w:val="6"/>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30EE3"/>
    <w:rsid w:val="00040333"/>
    <w:rsid w:val="00046F49"/>
    <w:rsid w:val="000A6BFF"/>
    <w:rsid w:val="000B36A8"/>
    <w:rsid w:val="000B5100"/>
    <w:rsid w:val="000B7BCA"/>
    <w:rsid w:val="000F0BC5"/>
    <w:rsid w:val="0012326D"/>
    <w:rsid w:val="0012478C"/>
    <w:rsid w:val="00143198"/>
    <w:rsid w:val="00173159"/>
    <w:rsid w:val="00177727"/>
    <w:rsid w:val="00180F7F"/>
    <w:rsid w:val="001D44D9"/>
    <w:rsid w:val="001E0C0E"/>
    <w:rsid w:val="00202921"/>
    <w:rsid w:val="00213408"/>
    <w:rsid w:val="00222326"/>
    <w:rsid w:val="0027401A"/>
    <w:rsid w:val="002940B3"/>
    <w:rsid w:val="002956D3"/>
    <w:rsid w:val="002C1CC6"/>
    <w:rsid w:val="003215B6"/>
    <w:rsid w:val="00364F1A"/>
    <w:rsid w:val="003837CB"/>
    <w:rsid w:val="00385565"/>
    <w:rsid w:val="003878EC"/>
    <w:rsid w:val="003933AB"/>
    <w:rsid w:val="003C6361"/>
    <w:rsid w:val="003F243C"/>
    <w:rsid w:val="00400547"/>
    <w:rsid w:val="004444DA"/>
    <w:rsid w:val="00451878"/>
    <w:rsid w:val="00456B98"/>
    <w:rsid w:val="0046500C"/>
    <w:rsid w:val="00465F40"/>
    <w:rsid w:val="00477DB6"/>
    <w:rsid w:val="00487744"/>
    <w:rsid w:val="004B351A"/>
    <w:rsid w:val="004C5335"/>
    <w:rsid w:val="004E606A"/>
    <w:rsid w:val="0051698B"/>
    <w:rsid w:val="005202BA"/>
    <w:rsid w:val="00554A32"/>
    <w:rsid w:val="00563561"/>
    <w:rsid w:val="00615728"/>
    <w:rsid w:val="006468C8"/>
    <w:rsid w:val="00650F98"/>
    <w:rsid w:val="00660D15"/>
    <w:rsid w:val="00696A1A"/>
    <w:rsid w:val="006B7C5E"/>
    <w:rsid w:val="006E0773"/>
    <w:rsid w:val="00717A14"/>
    <w:rsid w:val="007739F4"/>
    <w:rsid w:val="007D206A"/>
    <w:rsid w:val="007E2282"/>
    <w:rsid w:val="008363F4"/>
    <w:rsid w:val="008910FB"/>
    <w:rsid w:val="0089785B"/>
    <w:rsid w:val="008A5420"/>
    <w:rsid w:val="008B1D0F"/>
    <w:rsid w:val="008E646E"/>
    <w:rsid w:val="0094134D"/>
    <w:rsid w:val="00944C03"/>
    <w:rsid w:val="009A2CD2"/>
    <w:rsid w:val="00A86F59"/>
    <w:rsid w:val="00AB3A08"/>
    <w:rsid w:val="00B31768"/>
    <w:rsid w:val="00B327C0"/>
    <w:rsid w:val="00B63948"/>
    <w:rsid w:val="00B81A48"/>
    <w:rsid w:val="00BF33C2"/>
    <w:rsid w:val="00C146EB"/>
    <w:rsid w:val="00C23B43"/>
    <w:rsid w:val="00C44FEB"/>
    <w:rsid w:val="00C9714C"/>
    <w:rsid w:val="00CB7A00"/>
    <w:rsid w:val="00D173FA"/>
    <w:rsid w:val="00D671FD"/>
    <w:rsid w:val="00DA1173"/>
    <w:rsid w:val="00DB65D1"/>
    <w:rsid w:val="00DD4484"/>
    <w:rsid w:val="00DF00DE"/>
    <w:rsid w:val="00E515B2"/>
    <w:rsid w:val="00E8005C"/>
    <w:rsid w:val="00ED0329"/>
    <w:rsid w:val="00EF1ABE"/>
    <w:rsid w:val="00F22431"/>
    <w:rsid w:val="00F545FB"/>
    <w:rsid w:val="00FF71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F515858-2536-4821-947F-20A66DBF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4134D"/>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4B351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B351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3A08-9206-446F-8605-5C6FE476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1103</Words>
  <Characters>6070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5</cp:revision>
  <cp:lastPrinted>2020-02-11T00:24:00Z</cp:lastPrinted>
  <dcterms:created xsi:type="dcterms:W3CDTF">2020-02-07T20:42:00Z</dcterms:created>
  <dcterms:modified xsi:type="dcterms:W3CDTF">2020-04-29T01:15:00Z</dcterms:modified>
</cp:coreProperties>
</file>