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4E38AF">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87D26">
        <w:rPr>
          <w:rFonts w:ascii="Palatino Linotype" w:hAnsi="Palatino Linotype" w:cs="Arial"/>
          <w:b/>
        </w:rPr>
        <w:t xml:space="preserve">TRIGÉSIMA </w:t>
      </w:r>
      <w:r w:rsidR="00E9046A">
        <w:rPr>
          <w:rFonts w:ascii="Palatino Linotype" w:hAnsi="Palatino Linotype" w:cs="Arial"/>
          <w:b/>
        </w:rPr>
        <w:t xml:space="preserve">TERCERA </w:t>
      </w:r>
      <w:r w:rsidR="006378F7">
        <w:rPr>
          <w:rFonts w:ascii="Palatino Linotype" w:hAnsi="Palatino Linotype" w:cs="Arial"/>
          <w:b/>
        </w:rPr>
        <w:t>SESIÓN ORDINARIA</w:t>
      </w:r>
      <w:r w:rsidRPr="003E78C6">
        <w:rPr>
          <w:rFonts w:ascii="Palatino Linotype" w:hAnsi="Palatino Linotype" w:cs="Arial"/>
          <w:b/>
        </w:rPr>
        <w:t xml:space="preserve"> DE</w:t>
      </w:r>
      <w:r w:rsidR="006378F7">
        <w:rPr>
          <w:rFonts w:ascii="Palatino Linotype" w:hAnsi="Palatino Linotype" w:cs="Arial"/>
          <w:b/>
        </w:rPr>
        <w:t>L</w:t>
      </w:r>
      <w:r w:rsidRPr="003E78C6">
        <w:rPr>
          <w:rFonts w:ascii="Palatino Linotype" w:hAnsi="Palatino Linotype" w:cs="Arial"/>
          <w:b/>
        </w:rPr>
        <w:t xml:space="preserve"> </w:t>
      </w:r>
      <w:r w:rsidR="00E9046A">
        <w:rPr>
          <w:rFonts w:ascii="Palatino Linotype" w:hAnsi="Palatino Linotype" w:cs="Arial"/>
          <w:b/>
        </w:rPr>
        <w:t xml:space="preserve">ONCE </w:t>
      </w:r>
      <w:r w:rsidR="00026BF3">
        <w:rPr>
          <w:rFonts w:ascii="Palatino Linotype" w:hAnsi="Palatino Linotype" w:cs="Arial"/>
          <w:b/>
        </w:rPr>
        <w:t xml:space="preserve">DE </w:t>
      </w:r>
      <w:r w:rsidR="00E9046A">
        <w:rPr>
          <w:rFonts w:ascii="Palatino Linotype" w:hAnsi="Palatino Linotype" w:cs="Arial"/>
          <w:b/>
        </w:rPr>
        <w:t xml:space="preserve">SEPTIEMBRE </w:t>
      </w:r>
      <w:r w:rsidR="004A33ED">
        <w:rPr>
          <w:rFonts w:ascii="Palatino Linotype" w:hAnsi="Palatino Linotype" w:cs="Arial"/>
          <w:b/>
        </w:rPr>
        <w:t>DE DOS MIL DIECI</w:t>
      </w:r>
      <w:r w:rsidR="00E9046A">
        <w:rPr>
          <w:rFonts w:ascii="Palatino Linotype" w:hAnsi="Palatino Linotype" w:cs="Arial"/>
          <w:b/>
        </w:rPr>
        <w:t>NUEVE</w:t>
      </w:r>
      <w:r w:rsidR="00026BF3">
        <w:rPr>
          <w:rFonts w:ascii="Palatino Linotype" w:hAnsi="Palatino Linotype" w:cs="Arial"/>
          <w:b/>
        </w:rPr>
        <w:t xml:space="preserve">, EN </w:t>
      </w:r>
      <w:r w:rsidR="004A33ED">
        <w:rPr>
          <w:rFonts w:ascii="Palatino Linotype" w:hAnsi="Palatino Linotype" w:cs="Arial"/>
          <w:b/>
        </w:rPr>
        <w:t>EL</w:t>
      </w:r>
      <w:r w:rsidRPr="003E78C6">
        <w:rPr>
          <w:rFonts w:ascii="Palatino Linotype" w:hAnsi="Palatino Linotype" w:cs="Arial"/>
          <w:b/>
        </w:rPr>
        <w:t xml:space="preserve"> RECURSO DE REVISIÓN</w:t>
      </w:r>
      <w:r w:rsidR="00026BF3">
        <w:rPr>
          <w:rFonts w:ascii="Palatino Linotype" w:hAnsi="Palatino Linotype" w:cs="Arial"/>
          <w:b/>
        </w:rPr>
        <w:t xml:space="preserve"> </w:t>
      </w:r>
      <w:r w:rsidR="00E9046A">
        <w:rPr>
          <w:rFonts w:ascii="Palatino Linotype" w:hAnsi="Palatino Linotype" w:cs="Arial"/>
          <w:b/>
          <w:bCs/>
        </w:rPr>
        <w:t>05094</w:t>
      </w:r>
      <w:r w:rsidR="004A33ED" w:rsidRPr="004A33ED">
        <w:rPr>
          <w:rFonts w:ascii="Palatino Linotype" w:hAnsi="Palatino Linotype" w:cs="Arial"/>
          <w:b/>
          <w:bCs/>
        </w:rPr>
        <w:t>/INFOEM/IP/RR/201</w:t>
      </w:r>
      <w:r w:rsidR="00E9046A">
        <w:rPr>
          <w:rFonts w:ascii="Palatino Linotype" w:hAnsi="Palatino Linotype" w:cs="Arial"/>
          <w:b/>
          <w:bCs/>
        </w:rPr>
        <w:t>9</w:t>
      </w:r>
      <w:r w:rsidR="00026BF3">
        <w:rPr>
          <w:rFonts w:ascii="Palatino Linotype" w:hAnsi="Palatino Linotype" w:cs="Arial"/>
          <w:b/>
          <w:bCs/>
          <w:spacing w:val="-20"/>
        </w:rPr>
        <w:t>.</w:t>
      </w:r>
    </w:p>
    <w:p w:rsidR="00C51CFE" w:rsidRPr="003E78C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4A33ED">
        <w:rPr>
          <w:rFonts w:ascii="Palatino Linotype" w:hAnsi="Palatino Linotype" w:cs="Arial"/>
        </w:rPr>
        <w:t xml:space="preserve">el </w:t>
      </w:r>
      <w:r w:rsidR="00026BF3">
        <w:rPr>
          <w:rFonts w:ascii="Palatino Linotype" w:hAnsi="Palatino Linotype" w:cs="Arial"/>
        </w:rPr>
        <w:t xml:space="preserve">recurso </w:t>
      </w:r>
      <w:r w:rsidRPr="003E78C6">
        <w:rPr>
          <w:rFonts w:ascii="Palatino Linotype" w:hAnsi="Palatino Linotype" w:cs="Arial"/>
        </w:rPr>
        <w:t>de revisión</w:t>
      </w:r>
      <w:r w:rsidR="00026BF3">
        <w:rPr>
          <w:rFonts w:ascii="Palatino Linotype" w:hAnsi="Palatino Linotype" w:cs="Arial"/>
        </w:rPr>
        <w:t xml:space="preserve"> </w:t>
      </w:r>
      <w:r w:rsidR="006378F7">
        <w:rPr>
          <w:rFonts w:ascii="Palatino Linotype" w:hAnsi="Palatino Linotype" w:cs="Arial"/>
          <w:b/>
          <w:bCs/>
        </w:rPr>
        <w:t>05094</w:t>
      </w:r>
      <w:r w:rsidR="004A33ED">
        <w:rPr>
          <w:rFonts w:ascii="Palatino Linotype" w:hAnsi="Palatino Linotype" w:cs="Arial"/>
          <w:b/>
          <w:bCs/>
        </w:rPr>
        <w:t>/INFOEM/IP/RR/201</w:t>
      </w:r>
      <w:r w:rsidR="006378F7">
        <w:rPr>
          <w:rFonts w:ascii="Palatino Linotype" w:hAnsi="Palatino Linotype" w:cs="Arial"/>
          <w:b/>
          <w:bCs/>
        </w:rPr>
        <w:t>9</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el Comisionado</w:t>
      </w:r>
      <w:r>
        <w:rPr>
          <w:rFonts w:ascii="Palatino Linotype" w:hAnsi="Palatino Linotype" w:cs="Arial"/>
        </w:rPr>
        <w:t xml:space="preserve"> </w:t>
      </w:r>
      <w:r w:rsidR="00B87D26">
        <w:rPr>
          <w:rFonts w:ascii="Palatino Linotype" w:hAnsi="Palatino Linotype" w:cs="Arial"/>
          <w:b/>
          <w:lang w:val="es-MX"/>
        </w:rPr>
        <w:t>JAVIER MARTÍNEZ CRUZ</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4E38AF">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6378F7" w:rsidRPr="009B4306" w:rsidRDefault="00C51CFE" w:rsidP="006378F7">
      <w:pPr>
        <w:spacing w:before="240" w:after="240" w:line="360" w:lineRule="auto"/>
        <w:jc w:val="both"/>
        <w:rPr>
          <w:rFonts w:ascii="Palatino Linotype" w:hAnsi="Palatino Linotype"/>
        </w:rPr>
      </w:pPr>
      <w:r w:rsidRPr="003E78C6">
        <w:rPr>
          <w:rFonts w:ascii="Palatino Linotype" w:hAnsi="Palatino Linotype"/>
        </w:rPr>
        <w:t>Tal y como quedó debidamente asentado en la resoluc</w:t>
      </w:r>
      <w:r w:rsidR="004A33ED">
        <w:rPr>
          <w:rFonts w:ascii="Palatino Linotype" w:hAnsi="Palatino Linotype"/>
        </w:rPr>
        <w:t xml:space="preserve">ión materia del presente voto, </w:t>
      </w:r>
      <w:r w:rsidR="00B87D26">
        <w:rPr>
          <w:rFonts w:ascii="Palatino Linotype" w:hAnsi="Palatino Linotype"/>
        </w:rPr>
        <w:t>el</w:t>
      </w:r>
      <w:r w:rsidRPr="003E78C6">
        <w:rPr>
          <w:rFonts w:ascii="Palatino Linotype" w:hAnsi="Palatino Linotype"/>
        </w:rPr>
        <w:t xml:space="preserve"> particular requirió de</w:t>
      </w:r>
      <w:r w:rsidR="006378F7">
        <w:rPr>
          <w:rFonts w:ascii="Palatino Linotype" w:hAnsi="Palatino Linotype"/>
        </w:rPr>
        <w:t xml:space="preserve"> </w:t>
      </w:r>
      <w:r w:rsidRPr="003E78C6">
        <w:rPr>
          <w:rFonts w:ascii="Palatino Linotype" w:hAnsi="Palatino Linotype"/>
        </w:rPr>
        <w:t>l</w:t>
      </w:r>
      <w:r w:rsidR="006378F7">
        <w:rPr>
          <w:rFonts w:ascii="Palatino Linotype" w:hAnsi="Palatino Linotype"/>
        </w:rPr>
        <w:t>a</w:t>
      </w:r>
      <w:r w:rsidR="004A33ED">
        <w:rPr>
          <w:rFonts w:ascii="Palatino Linotype" w:hAnsi="Palatino Linotype"/>
        </w:rPr>
        <w:t xml:space="preserve"> </w:t>
      </w:r>
      <w:r w:rsidR="006378F7" w:rsidRPr="006378F7">
        <w:rPr>
          <w:rFonts w:ascii="Palatino Linotype" w:hAnsi="Palatino Linotype"/>
          <w:b/>
        </w:rPr>
        <w:t>Secretaría de Seguridad</w:t>
      </w:r>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t>OBLIGADO</w:t>
      </w:r>
      <w:r w:rsidRPr="00D22F3A">
        <w:rPr>
          <w:rFonts w:ascii="Palatino Linotype" w:hAnsi="Palatino Linotype"/>
        </w:rPr>
        <w:t xml:space="preserve">, </w:t>
      </w:r>
      <w:r w:rsidR="00492289" w:rsidRPr="00321A51">
        <w:rPr>
          <w:rFonts w:ascii="Palatino Linotype" w:hAnsi="Palatino Linotype" w:cs="Arial"/>
        </w:rPr>
        <w:t>en la modalidad</w:t>
      </w:r>
      <w:r w:rsidR="00492289">
        <w:rPr>
          <w:rFonts w:ascii="Palatino Linotype" w:hAnsi="Palatino Linotype" w:cs="Arial"/>
          <w:b/>
        </w:rPr>
        <w:t xml:space="preserve"> </w:t>
      </w:r>
      <w:r w:rsidR="00492289" w:rsidRPr="00321A51">
        <w:rPr>
          <w:rFonts w:ascii="Palatino Linotype" w:hAnsi="Palatino Linotype" w:cs="Arial"/>
        </w:rPr>
        <w:t>de</w:t>
      </w:r>
      <w:r w:rsidR="004A33ED">
        <w:rPr>
          <w:rFonts w:ascii="Palatino Linotype" w:hAnsi="Palatino Linotype" w:cs="Arial"/>
          <w:b/>
        </w:rPr>
        <w:t xml:space="preserve"> </w:t>
      </w:r>
      <w:r w:rsidRPr="00D22F3A">
        <w:rPr>
          <w:rFonts w:ascii="Palatino Linotype" w:hAnsi="Palatino Linotype" w:cs="Arial"/>
          <w:b/>
        </w:rPr>
        <w:t>copias certificadas</w:t>
      </w:r>
      <w:r w:rsidR="004A33ED">
        <w:rPr>
          <w:rFonts w:ascii="Palatino Linotype" w:hAnsi="Palatino Linotype" w:cs="Arial"/>
          <w:b/>
        </w:rPr>
        <w:t xml:space="preserve"> con costo</w:t>
      </w:r>
      <w:r w:rsidRPr="00D22F3A">
        <w:rPr>
          <w:rFonts w:ascii="Palatino Linotype" w:hAnsi="Palatino Linotype" w:cs="Arial"/>
        </w:rPr>
        <w:t xml:space="preserve">, </w:t>
      </w:r>
      <w:r w:rsidR="006378F7" w:rsidRPr="009B4306">
        <w:rPr>
          <w:rFonts w:ascii="Palatino Linotype" w:hAnsi="Palatino Linotype"/>
        </w:rPr>
        <w:t xml:space="preserve">le informara si dentro </w:t>
      </w:r>
      <w:r w:rsidR="006378F7" w:rsidRPr="009B4306">
        <w:rPr>
          <w:rFonts w:ascii="Palatino Linotype" w:hAnsi="Palatino Linotype"/>
        </w:rPr>
        <w:lastRenderedPageBreak/>
        <w:t>del parque vehicular de la Secretaría de Seguridad del Estad</w:t>
      </w:r>
      <w:r w:rsidR="001A05A0">
        <w:rPr>
          <w:rFonts w:ascii="Palatino Linotype" w:hAnsi="Palatino Linotype"/>
        </w:rPr>
        <w:t>o de México, se encont</w:t>
      </w:r>
      <w:r w:rsidR="006378F7" w:rsidRPr="009B4306">
        <w:rPr>
          <w:rFonts w:ascii="Palatino Linotype" w:hAnsi="Palatino Linotype"/>
        </w:rPr>
        <w:t>ra</w:t>
      </w:r>
      <w:r w:rsidR="001A05A0">
        <w:rPr>
          <w:rFonts w:ascii="Palatino Linotype" w:hAnsi="Palatino Linotype"/>
        </w:rPr>
        <w:t>ba</w:t>
      </w:r>
      <w:r w:rsidR="006378F7" w:rsidRPr="009B4306">
        <w:rPr>
          <w:rFonts w:ascii="Palatino Linotype" w:hAnsi="Palatino Linotype"/>
        </w:rPr>
        <w:t xml:space="preserve"> registrado y dado de alta</w:t>
      </w:r>
      <w:r w:rsidR="006378F7">
        <w:rPr>
          <w:rFonts w:ascii="Palatino Linotype" w:hAnsi="Palatino Linotype"/>
        </w:rPr>
        <w:t>, lo siguiente</w:t>
      </w:r>
      <w:r w:rsidR="006378F7" w:rsidRPr="009B4306">
        <w:rPr>
          <w:rFonts w:ascii="Palatino Linotype" w:hAnsi="Palatino Linotype"/>
        </w:rPr>
        <w:t xml:space="preserve">: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A) un vehículo de la</w:t>
      </w:r>
      <w:r w:rsidR="006D1F0D">
        <w:rPr>
          <w:rFonts w:ascii="Palatino Linotype" w:hAnsi="Palatino Linotype"/>
          <w:i/>
        </w:rPr>
        <w:t xml:space="preserve"> marca jeep, tipo gran </w:t>
      </w:r>
      <w:proofErr w:type="spellStart"/>
      <w:r w:rsidR="006D1F0D">
        <w:rPr>
          <w:rFonts w:ascii="Palatino Linotype" w:hAnsi="Palatino Linotype"/>
          <w:i/>
        </w:rPr>
        <w:t>cherokee</w:t>
      </w:r>
      <w:proofErr w:type="spellEnd"/>
      <w:r w:rsidR="006D1F0D">
        <w:rPr>
          <w:rFonts w:ascii="Palatino Linotype" w:hAnsi="Palatino Linotype"/>
          <w:i/>
        </w:rPr>
        <w:t xml:space="preserve">, señalando las </w:t>
      </w:r>
      <w:r w:rsidRPr="009B4306">
        <w:rPr>
          <w:rFonts w:ascii="Palatino Linotype" w:hAnsi="Palatino Linotype"/>
          <w:i/>
        </w:rPr>
        <w:t xml:space="preserve">placas de circulación, y de ser afirmativa la pregunta anterior: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 xml:space="preserve">B) que número de inventario tiene.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 xml:space="preserve">C) cuenta con blindaje, de ser así, cual es el nivel de blindaje con el que cuenta.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 xml:space="preserve">D) actualmente a quien se encuentra asignado dicho vehículo.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 xml:space="preserve">E) quien es el </w:t>
      </w:r>
      <w:proofErr w:type="spellStart"/>
      <w:r w:rsidRPr="009B4306">
        <w:rPr>
          <w:rFonts w:ascii="Palatino Linotype" w:hAnsi="Palatino Linotype"/>
          <w:i/>
        </w:rPr>
        <w:t>resguardatario</w:t>
      </w:r>
      <w:proofErr w:type="spellEnd"/>
      <w:r w:rsidRPr="009B4306">
        <w:rPr>
          <w:rFonts w:ascii="Palatino Linotype" w:hAnsi="Palatino Linotype"/>
          <w:i/>
        </w:rPr>
        <w:t xml:space="preserve"> de dicho bien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 xml:space="preserve">F) cual es la cantidad de combustible con la se le dota quincenalmente.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 xml:space="preserve">G) se me proporcionen fotografías actuales de dicho bien, en el que se puedan advertir todas sus características físicas. </w:t>
      </w:r>
    </w:p>
    <w:p w:rsidR="006378F7" w:rsidRPr="009B4306" w:rsidRDefault="006378F7" w:rsidP="00CC6339">
      <w:pPr>
        <w:spacing w:before="240" w:after="240"/>
        <w:ind w:left="851" w:right="899"/>
        <w:jc w:val="both"/>
        <w:rPr>
          <w:rFonts w:ascii="Palatino Linotype" w:hAnsi="Palatino Linotype"/>
          <w:i/>
        </w:rPr>
      </w:pPr>
      <w:r w:rsidRPr="009B4306">
        <w:rPr>
          <w:rFonts w:ascii="Palatino Linotype" w:hAnsi="Palatino Linotype"/>
          <w:i/>
        </w:rPr>
        <w:t xml:space="preserve">H) cual fue el precio de compra de dicho vehículo. </w:t>
      </w:r>
    </w:p>
    <w:p w:rsidR="006378F7" w:rsidRDefault="006378F7" w:rsidP="00CC6339">
      <w:pPr>
        <w:spacing w:before="100" w:beforeAutospacing="1" w:after="100" w:afterAutospacing="1"/>
        <w:ind w:left="851" w:right="899"/>
        <w:mirrorIndents/>
        <w:jc w:val="both"/>
        <w:rPr>
          <w:rFonts w:ascii="Palatino Linotype" w:hAnsi="Palatino Linotype" w:cs="Arial"/>
        </w:rPr>
      </w:pPr>
      <w:r w:rsidRPr="009B4306">
        <w:rPr>
          <w:rFonts w:ascii="Palatino Linotype" w:hAnsi="Palatino Linotype"/>
          <w:i/>
        </w:rPr>
        <w:t>Por último, solicitó, copias certificadas, de la documentación del vehículo, como son la factura, resguardo actual y tarjeta de circulación.</w:t>
      </w:r>
    </w:p>
    <w:p w:rsidR="00BE080A" w:rsidRPr="009B4306" w:rsidRDefault="00C51CFE" w:rsidP="003316CD">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Al respecto, </w:t>
      </w:r>
      <w:r w:rsidRPr="003E78C6">
        <w:rPr>
          <w:rFonts w:ascii="Palatino Linotype" w:hAnsi="Palatino Linotype" w:cs="Arial"/>
          <w:b/>
        </w:rPr>
        <w:t xml:space="preserve">EL </w:t>
      </w:r>
      <w:r w:rsidRPr="003E78C6">
        <w:rPr>
          <w:rFonts w:ascii="Palatino Linotype" w:hAnsi="Palatino Linotype" w:cs="Arial"/>
          <w:b/>
          <w:lang w:val="es-ES_tradnl"/>
        </w:rPr>
        <w:t>SUJETO OBLIGADO</w:t>
      </w:r>
      <w:r w:rsidRPr="003E78C6">
        <w:rPr>
          <w:rFonts w:ascii="Palatino Linotype" w:hAnsi="Palatino Linotype" w:cs="Arial"/>
          <w:b/>
          <w:i/>
          <w:lang w:val="es-ES_tradnl"/>
        </w:rPr>
        <w:t xml:space="preserve"> </w:t>
      </w:r>
      <w:r w:rsidRPr="003E78C6">
        <w:rPr>
          <w:rFonts w:ascii="Palatino Linotype" w:hAnsi="Palatino Linotype" w:cs="Arial"/>
        </w:rPr>
        <w:t>en respuest</w:t>
      </w:r>
      <w:r>
        <w:rPr>
          <w:rFonts w:ascii="Palatino Linotype" w:hAnsi="Palatino Linotype" w:cs="Arial"/>
        </w:rPr>
        <w:t>a a la solicitud</w:t>
      </w:r>
      <w:r w:rsidR="00026BF3">
        <w:rPr>
          <w:rFonts w:ascii="Palatino Linotype" w:hAnsi="Palatino Linotype" w:cs="Arial"/>
        </w:rPr>
        <w:t xml:space="preserve"> </w:t>
      </w:r>
      <w:r>
        <w:rPr>
          <w:rFonts w:ascii="Palatino Linotype" w:hAnsi="Palatino Linotype" w:cs="Arial"/>
        </w:rPr>
        <w:t xml:space="preserve">de información </w:t>
      </w:r>
      <w:r w:rsidR="00BE080A">
        <w:rPr>
          <w:rFonts w:ascii="Palatino Linotype" w:hAnsi="Palatino Linotype" w:cs="Arial"/>
        </w:rPr>
        <w:t xml:space="preserve">adjunto diversos archivos electrónicos en los que sustancialmente refirió que la información se encontraba </w:t>
      </w:r>
      <w:r w:rsidR="00BE080A" w:rsidRPr="009B4306">
        <w:rPr>
          <w:rFonts w:ascii="Palatino Linotype" w:hAnsi="Palatino Linotype" w:cs="Arial"/>
        </w:rPr>
        <w:t>reservada</w:t>
      </w:r>
      <w:r w:rsidR="006D1F0D">
        <w:rPr>
          <w:rFonts w:ascii="Palatino Linotype" w:hAnsi="Palatino Linotype" w:cs="Arial"/>
        </w:rPr>
        <w:t xml:space="preserve"> por un término de cinco años, en razón </w:t>
      </w:r>
      <w:r w:rsidR="00BE080A" w:rsidRPr="009B4306">
        <w:rPr>
          <w:rFonts w:ascii="Palatino Linotype" w:hAnsi="Palatino Linotype" w:cs="Arial"/>
        </w:rPr>
        <w:t xml:space="preserve">al Estado de Fuerza de la Secretaría de </w:t>
      </w:r>
      <w:r w:rsidR="00BE080A">
        <w:rPr>
          <w:rFonts w:ascii="Palatino Linotype" w:hAnsi="Palatino Linotype" w:cs="Arial"/>
        </w:rPr>
        <w:t xml:space="preserve">Seguridad del Estado de México, </w:t>
      </w:r>
      <w:r w:rsidR="006D1F0D">
        <w:rPr>
          <w:rFonts w:ascii="Palatino Linotype" w:hAnsi="Palatino Linotype" w:cs="Arial"/>
        </w:rPr>
        <w:t xml:space="preserve">ahora bien, por lo que hace a </w:t>
      </w:r>
      <w:r w:rsidR="003316CD" w:rsidRPr="003316CD">
        <w:rPr>
          <w:rFonts w:ascii="Palatino Linotype" w:hAnsi="Palatino Linotype" w:cs="Arial"/>
        </w:rPr>
        <w:t xml:space="preserve">quien es </w:t>
      </w:r>
      <w:r w:rsidR="003316CD">
        <w:rPr>
          <w:rFonts w:ascii="Palatino Linotype" w:hAnsi="Palatino Linotype" w:cs="Arial"/>
        </w:rPr>
        <w:t xml:space="preserve">el </w:t>
      </w:r>
      <w:proofErr w:type="spellStart"/>
      <w:r w:rsidR="003316CD">
        <w:rPr>
          <w:rFonts w:ascii="Palatino Linotype" w:hAnsi="Palatino Linotype" w:cs="Arial"/>
        </w:rPr>
        <w:t>resgu</w:t>
      </w:r>
      <w:r w:rsidR="006D1F0D">
        <w:rPr>
          <w:rFonts w:ascii="Palatino Linotype" w:hAnsi="Palatino Linotype" w:cs="Arial"/>
        </w:rPr>
        <w:t>ardatario</w:t>
      </w:r>
      <w:proofErr w:type="spellEnd"/>
      <w:r w:rsidR="006D1F0D">
        <w:rPr>
          <w:rFonts w:ascii="Palatino Linotype" w:hAnsi="Palatino Linotype" w:cs="Arial"/>
        </w:rPr>
        <w:t xml:space="preserve"> de dicho bien, informo que é</w:t>
      </w:r>
      <w:r w:rsidR="003316CD">
        <w:rPr>
          <w:rFonts w:ascii="Palatino Linotype" w:hAnsi="Palatino Linotype" w:cs="Arial"/>
        </w:rPr>
        <w:t>st</w:t>
      </w:r>
      <w:r w:rsidR="006D1F0D">
        <w:rPr>
          <w:rFonts w:ascii="Palatino Linotype" w:hAnsi="Palatino Linotype" w:cs="Arial"/>
        </w:rPr>
        <w:t>a</w:t>
      </w:r>
      <w:r w:rsidR="003316CD">
        <w:rPr>
          <w:rFonts w:ascii="Palatino Linotype" w:hAnsi="Palatino Linotype" w:cs="Arial"/>
        </w:rPr>
        <w:t xml:space="preserve"> era información reservada referente a</w:t>
      </w:r>
      <w:r w:rsidR="00BE080A" w:rsidRPr="009B4306">
        <w:rPr>
          <w:rFonts w:ascii="Palatino Linotype" w:hAnsi="Palatino Linotype" w:cs="Arial"/>
        </w:rPr>
        <w:t xml:space="preserve"> la información que individualiza o identifica al personal operativo de la Secretaría de Seguridad del Estado de México</w:t>
      </w:r>
      <w:r w:rsidR="00BE080A">
        <w:rPr>
          <w:rFonts w:ascii="Palatino Linotype" w:hAnsi="Palatino Linotype" w:cs="Arial"/>
        </w:rPr>
        <w:t xml:space="preserve">; así mismo manifestó que la </w:t>
      </w:r>
      <w:r w:rsidR="00BE080A" w:rsidRPr="00BE080A">
        <w:rPr>
          <w:rFonts w:ascii="Palatino Linotype" w:hAnsi="Palatino Linotype" w:cs="Arial"/>
        </w:rPr>
        <w:t xml:space="preserve">cantidad de combustible con la </w:t>
      </w:r>
      <w:r w:rsidR="006D1F0D">
        <w:rPr>
          <w:rFonts w:ascii="Palatino Linotype" w:hAnsi="Palatino Linotype" w:cs="Arial"/>
        </w:rPr>
        <w:t xml:space="preserve">que </w:t>
      </w:r>
      <w:r w:rsidR="00BE080A" w:rsidRPr="00BE080A">
        <w:rPr>
          <w:rFonts w:ascii="Palatino Linotype" w:hAnsi="Palatino Linotype" w:cs="Arial"/>
        </w:rPr>
        <w:t>se dota quincenalmente</w:t>
      </w:r>
      <w:r w:rsidR="00BE080A">
        <w:rPr>
          <w:rFonts w:ascii="Palatino Linotype" w:hAnsi="Palatino Linotype" w:cs="Arial"/>
        </w:rPr>
        <w:t xml:space="preserve">, </w:t>
      </w:r>
      <w:r w:rsidR="003316CD">
        <w:rPr>
          <w:rFonts w:ascii="Palatino Linotype" w:hAnsi="Palatino Linotype" w:cs="Arial"/>
        </w:rPr>
        <w:t>ésta se ajusta</w:t>
      </w:r>
      <w:r w:rsidR="00BE080A" w:rsidRPr="009B4306">
        <w:rPr>
          <w:rFonts w:ascii="Palatino Linotype" w:hAnsi="Palatino Linotype" w:cs="Arial"/>
        </w:rPr>
        <w:t xml:space="preserve"> a lo </w:t>
      </w:r>
      <w:r w:rsidR="00BE080A" w:rsidRPr="009B4306">
        <w:rPr>
          <w:rFonts w:ascii="Palatino Linotype" w:hAnsi="Palatino Linotype" w:cs="Arial"/>
        </w:rPr>
        <w:lastRenderedPageBreak/>
        <w:t>establecido por la “</w:t>
      </w:r>
      <w:proofErr w:type="spellStart"/>
      <w:r w:rsidR="00BE080A" w:rsidRPr="009B4306">
        <w:rPr>
          <w:rFonts w:ascii="Palatino Linotype" w:hAnsi="Palatino Linotype" w:cs="Arial"/>
        </w:rPr>
        <w:t>Pobalín</w:t>
      </w:r>
      <w:proofErr w:type="spellEnd"/>
      <w:r w:rsidR="00BE080A" w:rsidRPr="009B4306">
        <w:rPr>
          <w:rFonts w:ascii="Palatino Linotype" w:hAnsi="Palatino Linotype" w:cs="Arial"/>
        </w:rPr>
        <w:t xml:space="preserve"> No. 102” y proporcionó el nombre del acuerdo que lo contiene, así como el link electrónico en el que </w:t>
      </w:r>
      <w:r w:rsidR="006D1F0D">
        <w:rPr>
          <w:rFonts w:ascii="Palatino Linotype" w:hAnsi="Palatino Linotype" w:cs="Arial"/>
        </w:rPr>
        <w:t xml:space="preserve">podía </w:t>
      </w:r>
      <w:r w:rsidR="003316CD">
        <w:rPr>
          <w:rFonts w:ascii="Palatino Linotype" w:hAnsi="Palatino Linotype" w:cs="Arial"/>
        </w:rPr>
        <w:t>consultar la información, p</w:t>
      </w:r>
      <w:r w:rsidR="00BE080A" w:rsidRPr="009B4306">
        <w:rPr>
          <w:rFonts w:ascii="Palatino Linotype" w:hAnsi="Palatino Linotype" w:cs="Arial"/>
        </w:rPr>
        <w:t xml:space="preserve">or lo que hace al </w:t>
      </w:r>
      <w:r w:rsidR="003316CD" w:rsidRPr="003316CD">
        <w:rPr>
          <w:rFonts w:ascii="Palatino Linotype" w:hAnsi="Palatino Linotype" w:cs="Arial"/>
        </w:rPr>
        <w:t>pre</w:t>
      </w:r>
      <w:r w:rsidR="003316CD">
        <w:rPr>
          <w:rFonts w:ascii="Palatino Linotype" w:hAnsi="Palatino Linotype" w:cs="Arial"/>
        </w:rPr>
        <w:t xml:space="preserve">cio de compra de dicho vehículo, </w:t>
      </w:r>
      <w:r w:rsidR="006D1F0D">
        <w:rPr>
          <w:rFonts w:ascii="Palatino Linotype" w:hAnsi="Palatino Linotype" w:cs="Arial"/>
        </w:rPr>
        <w:t xml:space="preserve">éste </w:t>
      </w:r>
      <w:r w:rsidR="00BE080A" w:rsidRPr="009B4306">
        <w:rPr>
          <w:rFonts w:ascii="Palatino Linotype" w:hAnsi="Palatino Linotype" w:cs="Arial"/>
        </w:rPr>
        <w:t xml:space="preserve">proporcionó el </w:t>
      </w:r>
      <w:r w:rsidR="006D1F0D">
        <w:rPr>
          <w:rFonts w:ascii="Palatino Linotype" w:hAnsi="Palatino Linotype" w:cs="Arial"/>
        </w:rPr>
        <w:t>costo</w:t>
      </w:r>
      <w:r w:rsidR="00BE080A" w:rsidRPr="009B4306">
        <w:rPr>
          <w:rFonts w:ascii="Palatino Linotype" w:hAnsi="Palatino Linotype" w:cs="Arial"/>
        </w:rPr>
        <w:t xml:space="preserve"> del vehículo solicitado.</w:t>
      </w:r>
    </w:p>
    <w:p w:rsidR="00BE080A" w:rsidRPr="009B4306" w:rsidRDefault="00BE080A" w:rsidP="00BE080A">
      <w:pPr>
        <w:spacing w:line="360" w:lineRule="auto"/>
        <w:ind w:right="49"/>
        <w:jc w:val="both"/>
        <w:rPr>
          <w:rFonts w:ascii="Palatino Linotype" w:hAnsi="Palatino Linotype" w:cs="Arial"/>
        </w:rPr>
      </w:pPr>
      <w:r w:rsidRPr="009B4306">
        <w:rPr>
          <w:rFonts w:ascii="Palatino Linotype" w:hAnsi="Palatino Linotype" w:cs="Arial"/>
        </w:rPr>
        <w:t xml:space="preserve">En referencia a las copias certificadas de la documentación del vehículo en cuestión, tales como la factura, resguardo actual y tarjeta de circulación, el </w:t>
      </w:r>
      <w:r w:rsidRPr="009B4306">
        <w:rPr>
          <w:rFonts w:ascii="Palatino Linotype" w:hAnsi="Palatino Linotype" w:cs="Arial"/>
          <w:b/>
        </w:rPr>
        <w:t>SUJETO OBLIGADO</w:t>
      </w:r>
      <w:r w:rsidRPr="009B4306">
        <w:rPr>
          <w:rFonts w:ascii="Palatino Linotype" w:hAnsi="Palatino Linotype" w:cs="Arial"/>
        </w:rPr>
        <w:t xml:space="preserve"> respondió que estas se encuentran a disposición del particular, previa identificación, pago de derechos correspondiente y exhibición del recibo de pago; para lo cual indicó el área administrativa, ubicación, horario de servicios y servidora pública que brindará la atención, así como el procedimiento detallado de pago en el portal electrónico de la Secretaría de Finanzas.   </w:t>
      </w:r>
    </w:p>
    <w:p w:rsidR="00C51CFE" w:rsidRPr="003E78C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Inconforme con la respuesta anterior, </w:t>
      </w:r>
      <w:r w:rsidR="00820C10">
        <w:rPr>
          <w:rFonts w:ascii="Palatino Linotype" w:hAnsi="Palatino Linotype"/>
          <w:b/>
        </w:rPr>
        <w:t>E</w:t>
      </w:r>
      <w:r w:rsidRPr="003E78C6">
        <w:rPr>
          <w:rFonts w:ascii="Palatino Linotype" w:hAnsi="Palatino Linotype"/>
          <w:b/>
        </w:rPr>
        <w:t>L RECURRENTE</w:t>
      </w:r>
      <w:r w:rsidRPr="003E78C6">
        <w:rPr>
          <w:rFonts w:ascii="Palatino Linotype" w:hAnsi="Palatino Linotype"/>
        </w:rPr>
        <w:t xml:space="preserve"> interpuso </w:t>
      </w:r>
      <w:r w:rsidR="00353D78">
        <w:rPr>
          <w:rFonts w:ascii="Palatino Linotype" w:hAnsi="Palatino Linotype"/>
        </w:rPr>
        <w:t xml:space="preserve">el </w:t>
      </w:r>
      <w:r w:rsidRPr="003E78C6">
        <w:rPr>
          <w:rFonts w:ascii="Palatino Linotype" w:hAnsi="Palatino Linotype"/>
        </w:rPr>
        <w:t xml:space="preserve">recurso de revisión, </w:t>
      </w:r>
      <w:r>
        <w:rPr>
          <w:rFonts w:ascii="Palatino Linotype" w:hAnsi="Palatino Linotype"/>
        </w:rPr>
        <w:t>de mérito.</w:t>
      </w:r>
    </w:p>
    <w:p w:rsidR="00BA11B7" w:rsidRDefault="00C51CFE" w:rsidP="004E38AF">
      <w:pPr>
        <w:spacing w:before="100" w:beforeAutospacing="1" w:after="100" w:afterAutospacing="1" w:line="360" w:lineRule="auto"/>
        <w:mirrorIndents/>
        <w:jc w:val="both"/>
        <w:rPr>
          <w:rFonts w:ascii="Palatino Linotype" w:hAnsi="Palatino Linotype"/>
          <w:color w:val="000000"/>
        </w:rPr>
      </w:pPr>
      <w:r w:rsidRPr="003E78C6">
        <w:rPr>
          <w:rFonts w:ascii="Palatino Linotype" w:hAnsi="Palatino Linotype"/>
        </w:rPr>
        <w:t xml:space="preserve">Bajo ese contexto, la Ponencia </w:t>
      </w:r>
      <w:proofErr w:type="spellStart"/>
      <w:r w:rsidRPr="003E78C6">
        <w:rPr>
          <w:rFonts w:ascii="Palatino Linotype" w:hAnsi="Palatino Linotype"/>
        </w:rPr>
        <w:t>Resolutora</w:t>
      </w:r>
      <w:proofErr w:type="spellEnd"/>
      <w:r>
        <w:rPr>
          <w:rFonts w:ascii="Palatino Linotype" w:hAnsi="Palatino Linotype"/>
        </w:rPr>
        <w:t xml:space="preserve"> determinó</w:t>
      </w:r>
      <w:r w:rsidRPr="003E78C6">
        <w:rPr>
          <w:rFonts w:ascii="Palatino Linotype" w:hAnsi="Palatino Linotype"/>
        </w:rPr>
        <w:t xml:space="preserve"> </w:t>
      </w:r>
      <w:r w:rsidR="00820C10">
        <w:rPr>
          <w:rFonts w:ascii="Palatino Linotype" w:hAnsi="Palatino Linotype"/>
          <w:b/>
          <w:color w:val="000000"/>
        </w:rPr>
        <w:t xml:space="preserve">MODIFICAR </w:t>
      </w:r>
      <w:r w:rsidRPr="003E78C6">
        <w:rPr>
          <w:rFonts w:ascii="Palatino Linotype" w:hAnsi="Palatino Linotype"/>
          <w:color w:val="000000"/>
        </w:rPr>
        <w:t>la</w:t>
      </w:r>
      <w:r w:rsidR="0069535B">
        <w:rPr>
          <w:rFonts w:ascii="Palatino Linotype" w:hAnsi="Palatino Linotype"/>
          <w:color w:val="000000"/>
        </w:rPr>
        <w:t xml:space="preserve"> </w:t>
      </w:r>
      <w:r w:rsidRPr="003E78C6">
        <w:rPr>
          <w:rFonts w:ascii="Palatino Linotype" w:hAnsi="Palatino Linotype"/>
          <w:color w:val="000000"/>
        </w:rPr>
        <w:t xml:space="preserve">respuesta del </w:t>
      </w:r>
      <w:r w:rsidRPr="003E78C6">
        <w:rPr>
          <w:rFonts w:ascii="Palatino Linotype" w:hAnsi="Palatino Linotype"/>
          <w:b/>
          <w:color w:val="000000"/>
        </w:rPr>
        <w:t>SUJETO OBLIGADO</w:t>
      </w:r>
      <w:r w:rsidRPr="003E78C6">
        <w:rPr>
          <w:rFonts w:ascii="Palatino Linotype" w:hAnsi="Palatino Linotype"/>
          <w:color w:val="000000"/>
        </w:rPr>
        <w:t xml:space="preserve">, a efecto de ordenar </w:t>
      </w:r>
      <w:r w:rsidR="00820C10">
        <w:rPr>
          <w:rFonts w:ascii="Palatino Linotype" w:hAnsi="Palatino Linotype"/>
          <w:color w:val="000000"/>
        </w:rPr>
        <w:t xml:space="preserve">la entrega </w:t>
      </w:r>
      <w:r w:rsidR="00BA11B7">
        <w:rPr>
          <w:rFonts w:ascii="Palatino Linotype" w:hAnsi="Palatino Linotype"/>
          <w:color w:val="000000"/>
        </w:rPr>
        <w:t xml:space="preserve">del soporte documental en donde conste la información del vehículo referido en la solicitud de información pública siguiente: </w:t>
      </w:r>
    </w:p>
    <w:p w:rsidR="00BA11B7" w:rsidRPr="00BA11B7" w:rsidRDefault="00BA11B7" w:rsidP="00BA11B7">
      <w:pPr>
        <w:ind w:left="851" w:right="902"/>
        <w:jc w:val="both"/>
        <w:rPr>
          <w:rFonts w:ascii="Palatino Linotype" w:hAnsi="Palatino Linotype" w:cs="Arial"/>
          <w:i/>
          <w:sz w:val="22"/>
          <w:lang w:val="es-MX"/>
        </w:rPr>
      </w:pPr>
      <w:r w:rsidRPr="00BA11B7">
        <w:rPr>
          <w:rFonts w:ascii="Palatino Linotype" w:hAnsi="Palatino Linotype" w:cs="Arial"/>
          <w:b/>
          <w:i/>
          <w:sz w:val="22"/>
        </w:rPr>
        <w:t xml:space="preserve">En copias certificada sin costo </w:t>
      </w:r>
      <w:r w:rsidRPr="00BA11B7">
        <w:rPr>
          <w:rFonts w:ascii="Palatino Linotype" w:hAnsi="Palatino Linotype" w:cs="Arial"/>
          <w:i/>
          <w:sz w:val="22"/>
        </w:rPr>
        <w:t>y</w:t>
      </w:r>
      <w:r w:rsidRPr="00BA11B7">
        <w:rPr>
          <w:rFonts w:ascii="Palatino Linotype" w:hAnsi="Palatino Linotype" w:cs="Arial"/>
          <w:b/>
          <w:i/>
          <w:sz w:val="22"/>
        </w:rPr>
        <w:t xml:space="preserve"> </w:t>
      </w:r>
      <w:r w:rsidRPr="00BA11B7">
        <w:rPr>
          <w:rFonts w:ascii="Palatino Linotype" w:hAnsi="Palatino Linotype" w:cs="Arial"/>
          <w:i/>
          <w:sz w:val="22"/>
        </w:rPr>
        <w:t>en versión pública:</w:t>
      </w:r>
    </w:p>
    <w:p w:rsidR="00BA11B7" w:rsidRPr="00BA11B7" w:rsidRDefault="00BA11B7" w:rsidP="00BA11B7">
      <w:pPr>
        <w:pStyle w:val="Prrafodelista"/>
        <w:numPr>
          <w:ilvl w:val="0"/>
          <w:numId w:val="9"/>
        </w:numPr>
        <w:ind w:left="851" w:right="902"/>
        <w:jc w:val="both"/>
        <w:rPr>
          <w:rFonts w:ascii="Palatino Linotype" w:hAnsi="Palatino Linotype" w:cs="Arial"/>
          <w:b/>
          <w:i/>
          <w:sz w:val="22"/>
          <w:lang w:eastAsia="es-MX"/>
        </w:rPr>
      </w:pPr>
      <w:r w:rsidRPr="00BA11B7">
        <w:rPr>
          <w:rFonts w:ascii="Palatino Linotype" w:hAnsi="Palatino Linotype" w:cs="Arial"/>
          <w:b/>
          <w:i/>
          <w:sz w:val="22"/>
          <w:lang w:eastAsia="es-MX"/>
        </w:rPr>
        <w:t>El número de inventario.</w:t>
      </w:r>
    </w:p>
    <w:p w:rsidR="00BA11B7" w:rsidRPr="00BA11B7" w:rsidRDefault="00BA11B7" w:rsidP="00BA11B7">
      <w:pPr>
        <w:pStyle w:val="Prrafodelista"/>
        <w:numPr>
          <w:ilvl w:val="0"/>
          <w:numId w:val="9"/>
        </w:numPr>
        <w:ind w:left="851" w:right="902"/>
        <w:jc w:val="both"/>
        <w:rPr>
          <w:rFonts w:ascii="Palatino Linotype" w:hAnsi="Palatino Linotype" w:cs="Arial"/>
          <w:i/>
          <w:sz w:val="22"/>
          <w:lang w:eastAsia="es-MX"/>
        </w:rPr>
      </w:pPr>
      <w:r w:rsidRPr="00BA11B7">
        <w:rPr>
          <w:rFonts w:ascii="Palatino Linotype" w:hAnsi="Palatino Linotype" w:cs="Arial"/>
          <w:b/>
          <w:i/>
          <w:sz w:val="22"/>
          <w:lang w:eastAsia="es-MX"/>
        </w:rPr>
        <w:t>La factura, resguardo actual y tarjeta de circulación.</w:t>
      </w:r>
      <w:r w:rsidRPr="00BA11B7">
        <w:rPr>
          <w:rFonts w:ascii="Palatino Linotype" w:hAnsi="Palatino Linotype" w:cs="Arial"/>
          <w:i/>
          <w:sz w:val="22"/>
          <w:lang w:eastAsia="es-MX"/>
        </w:rPr>
        <w:t xml:space="preserve"> </w:t>
      </w:r>
    </w:p>
    <w:p w:rsidR="00BA11B7" w:rsidRDefault="00BA11B7" w:rsidP="00BA11B7">
      <w:pPr>
        <w:pStyle w:val="Prrafodelista"/>
        <w:ind w:left="851" w:right="902"/>
        <w:jc w:val="both"/>
        <w:rPr>
          <w:rFonts w:ascii="Palatino Linotype" w:hAnsi="Palatino Linotype" w:cs="Arial"/>
          <w:b/>
          <w:i/>
          <w:sz w:val="22"/>
          <w:lang w:eastAsia="es-MX"/>
        </w:rPr>
      </w:pPr>
      <w:r w:rsidRPr="00BA11B7">
        <w:rPr>
          <w:rFonts w:ascii="Palatino Linotype" w:hAnsi="Palatino Linotype" w:cs="Arial"/>
          <w:i/>
          <w:sz w:val="22"/>
        </w:rPr>
        <w:t xml:space="preserve">Para lo cual el Sujeto Obligado, </w:t>
      </w:r>
      <w:r w:rsidRPr="00BA11B7">
        <w:rPr>
          <w:rFonts w:ascii="Palatino Linotype" w:hAnsi="Palatino Linotype"/>
          <w:i/>
          <w:sz w:val="22"/>
        </w:rPr>
        <w:t>deberá informar al Recurrente</w:t>
      </w:r>
      <w:r w:rsidRPr="00BA11B7">
        <w:rPr>
          <w:rFonts w:ascii="Palatino Linotype" w:hAnsi="Palatino Linotype"/>
          <w:b/>
          <w:i/>
          <w:sz w:val="22"/>
        </w:rPr>
        <w:t xml:space="preserve"> </w:t>
      </w:r>
      <w:r w:rsidRPr="00BA11B7">
        <w:rPr>
          <w:rFonts w:ascii="Palatino Linotype" w:hAnsi="Palatino Linotype"/>
          <w:i/>
          <w:sz w:val="22"/>
        </w:rPr>
        <w:t xml:space="preserve">con claridad y certeza, </w:t>
      </w:r>
      <w:r w:rsidRPr="00BA11B7">
        <w:rPr>
          <w:rFonts w:ascii="Palatino Linotype" w:hAnsi="Palatino Linotype"/>
          <w:i/>
          <w:sz w:val="22"/>
          <w:lang w:val="es-ES_tradnl"/>
        </w:rPr>
        <w:t xml:space="preserve">el domicilio al cual deberá acudir, el nombre de la dependencia o área respectiva; </w:t>
      </w:r>
      <w:r w:rsidRPr="00BA11B7">
        <w:rPr>
          <w:rFonts w:ascii="Palatino Linotype" w:hAnsi="Palatino Linotype"/>
          <w:i/>
          <w:sz w:val="22"/>
          <w:lang w:val="es-ES_tradnl"/>
        </w:rPr>
        <w:lastRenderedPageBreak/>
        <w:t>servidor público, días y horarios en que se brindará la atención y periodo temporal por el cual la información quedará a disposición del particular.</w:t>
      </w:r>
      <w:r>
        <w:rPr>
          <w:rFonts w:ascii="Palatino Linotype" w:hAnsi="Palatino Linotype" w:cs="Arial"/>
          <w:b/>
          <w:i/>
          <w:sz w:val="22"/>
          <w:lang w:eastAsia="es-MX"/>
        </w:rPr>
        <w:t xml:space="preserve"> </w:t>
      </w:r>
    </w:p>
    <w:p w:rsidR="00BA11B7" w:rsidRPr="00BA11B7" w:rsidRDefault="00BA11B7" w:rsidP="00BA11B7">
      <w:pPr>
        <w:pStyle w:val="Prrafodelista"/>
        <w:ind w:left="851" w:right="902"/>
        <w:jc w:val="both"/>
        <w:rPr>
          <w:rFonts w:ascii="Palatino Linotype" w:hAnsi="Palatino Linotype" w:cs="Arial"/>
          <w:b/>
          <w:i/>
          <w:sz w:val="22"/>
          <w:lang w:eastAsia="es-MX"/>
        </w:rPr>
      </w:pPr>
    </w:p>
    <w:p w:rsidR="00BA11B7" w:rsidRDefault="00BA11B7" w:rsidP="00BA11B7">
      <w:pPr>
        <w:ind w:left="851" w:right="902"/>
        <w:jc w:val="both"/>
        <w:rPr>
          <w:rFonts w:ascii="Palatino Linotype" w:eastAsia="Calibri" w:hAnsi="Palatino Linotype" w:cs="Arial"/>
          <w:i/>
          <w:sz w:val="22"/>
          <w:lang w:val="es-ES_tradnl" w:eastAsia="en-US"/>
        </w:rPr>
      </w:pPr>
      <w:r w:rsidRPr="00BA11B7">
        <w:rPr>
          <w:rFonts w:ascii="Palatino Linotype" w:hAnsi="Palatino Linotype" w:cs="Arial"/>
          <w:bCs/>
          <w:i/>
          <w:sz w:val="22"/>
          <w:shd w:val="clear" w:color="auto" w:fill="FFFFFF"/>
          <w:lang w:val="es-MX" w:eastAsia="en-US"/>
        </w:rPr>
        <w:t xml:space="preserve">Asimismo, deberá emitir el Acuerdo del Comité de Transparencia en términos del artículo 49 fracción VIII y </w:t>
      </w:r>
      <w:r w:rsidRPr="00BA11B7">
        <w:rPr>
          <w:rFonts w:ascii="Palatino Linotype" w:eastAsia="Calibri" w:hAnsi="Palatino Linotype" w:cs="Arial"/>
          <w:i/>
          <w:sz w:val="22"/>
          <w:lang w:val="es-ES_tradnl" w:eastAsia="en-US"/>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BA11B7" w:rsidRPr="00BA11B7" w:rsidRDefault="00BA11B7" w:rsidP="00BA11B7">
      <w:pPr>
        <w:ind w:left="851" w:right="902"/>
        <w:jc w:val="both"/>
        <w:rPr>
          <w:rFonts w:ascii="Palatino Linotype" w:eastAsia="Calibri" w:hAnsi="Palatino Linotype" w:cs="Arial"/>
          <w:i/>
          <w:sz w:val="22"/>
          <w:lang w:val="es-ES_tradnl" w:eastAsia="en-US"/>
        </w:rPr>
      </w:pPr>
    </w:p>
    <w:p w:rsidR="00BA11B7" w:rsidRPr="00BA11B7" w:rsidRDefault="00BA11B7" w:rsidP="00BA11B7">
      <w:pPr>
        <w:ind w:left="851" w:right="902"/>
        <w:jc w:val="both"/>
        <w:rPr>
          <w:rFonts w:ascii="Palatino Linotype" w:eastAsia="Calibri" w:hAnsi="Palatino Linotype" w:cs="Arial"/>
          <w:i/>
          <w:sz w:val="22"/>
          <w:lang w:val="es-ES_tradnl" w:eastAsia="en-US"/>
        </w:rPr>
      </w:pPr>
      <w:r w:rsidRPr="00BA11B7">
        <w:rPr>
          <w:rFonts w:ascii="Palatino Linotype" w:hAnsi="Palatino Linotype" w:cs="Arial"/>
          <w:i/>
          <w:sz w:val="22"/>
          <w:lang w:val="es-MX"/>
        </w:rPr>
        <w:t>A través del Sistema de Acceso a la Información Mexiquense SAIMEX:</w:t>
      </w:r>
    </w:p>
    <w:p w:rsidR="00BA11B7" w:rsidRPr="00BA11B7" w:rsidRDefault="00BA11B7" w:rsidP="00BA11B7">
      <w:pPr>
        <w:pStyle w:val="Prrafodelista"/>
        <w:numPr>
          <w:ilvl w:val="0"/>
          <w:numId w:val="9"/>
        </w:numPr>
        <w:ind w:right="902"/>
        <w:mirrorIndents/>
        <w:jc w:val="both"/>
        <w:rPr>
          <w:rFonts w:ascii="Palatino Linotype" w:hAnsi="Palatino Linotype" w:cs="Arial"/>
          <w:i/>
          <w:sz w:val="22"/>
          <w:szCs w:val="22"/>
          <w:lang w:val="es-MX"/>
        </w:rPr>
      </w:pPr>
      <w:r w:rsidRPr="00BA11B7">
        <w:rPr>
          <w:rFonts w:ascii="Palatino Linotype" w:eastAsia="Calibri" w:hAnsi="Palatino Linotype" w:cs="Arial"/>
          <w:b/>
          <w:i/>
          <w:sz w:val="22"/>
          <w:lang w:val="es-ES_tradnl" w:eastAsia="en-US"/>
        </w:rPr>
        <w:t xml:space="preserve">El Acuerdo del Comité de Transparencia debidamente motivado y fundado, en el que clasifique como información reservada, la información solicitada en los incisos C, D, E y G.  </w:t>
      </w:r>
    </w:p>
    <w:p w:rsidR="00820C10" w:rsidRPr="00820C10" w:rsidRDefault="00820C10" w:rsidP="00BA11B7">
      <w:pPr>
        <w:ind w:left="851" w:right="902"/>
        <w:contextualSpacing/>
        <w:jc w:val="both"/>
        <w:rPr>
          <w:rFonts w:ascii="Palatino Linotype" w:hAnsi="Palatino Linotype" w:cs="Arial"/>
          <w:i/>
          <w:sz w:val="22"/>
          <w:szCs w:val="22"/>
          <w:lang w:val="es-MX"/>
        </w:rPr>
      </w:pPr>
    </w:p>
    <w:p w:rsidR="002A7464" w:rsidRDefault="001E429C"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En ese sentido, la que suscribe reitera, que si bien coincide en términos generales con el sentido de la resolución en comento, </w:t>
      </w:r>
      <w:r w:rsidR="002A7464">
        <w:rPr>
          <w:rFonts w:ascii="Palatino Linotype" w:hAnsi="Palatino Linotype"/>
        </w:rPr>
        <w:t xml:space="preserve">considero necesario señalar que se debió ordenar el cobro por concepto de la expedición de las copias certificadas requeridas por </w:t>
      </w:r>
      <w:r w:rsidR="002A7464">
        <w:rPr>
          <w:rFonts w:ascii="Palatino Linotype" w:hAnsi="Palatino Linotype"/>
          <w:b/>
        </w:rPr>
        <w:t>EL RECURRENTE.</w:t>
      </w:r>
    </w:p>
    <w:p w:rsidR="00F52052" w:rsidRDefault="00F52052"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cs="Arial"/>
        </w:rPr>
        <w:t xml:space="preserve">Lo anterior,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ante la solicitud formulada por el</w:t>
      </w:r>
      <w:r w:rsidRPr="00B63948">
        <w:rPr>
          <w:rFonts w:ascii="Palatino Linotype" w:hAnsi="Palatino Linotype" w:cs="Arial"/>
          <w:b/>
        </w:rPr>
        <w:t xml:space="preserve"> </w:t>
      </w:r>
      <w:r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en su modalidad de copias certificadas con costo y </w:t>
      </w:r>
      <w:r>
        <w:rPr>
          <w:rFonts w:ascii="Palatino Linotype" w:hAnsi="Palatino Linotype" w:cs="Arial"/>
        </w:rPr>
        <w:t>derivado de que 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w:t>
      </w:r>
      <w:r w:rsidR="00321A51">
        <w:rPr>
          <w:rFonts w:ascii="Palatino Linotype" w:hAnsi="Palatino Linotype" w:cs="Arial"/>
        </w:rPr>
        <w:t xml:space="preserve">es que se </w:t>
      </w:r>
      <w:r w:rsidR="003C3FE0">
        <w:rPr>
          <w:rFonts w:ascii="Palatino Linotype" w:hAnsi="Palatino Linotype" w:cs="Arial"/>
        </w:rPr>
        <w:t xml:space="preserve">concluyó en </w:t>
      </w:r>
      <w:r>
        <w:rPr>
          <w:rFonts w:ascii="Palatino Linotype" w:hAnsi="Palatino Linotype" w:cs="Arial"/>
        </w:rPr>
        <w:t>ordenar</w:t>
      </w:r>
      <w:r w:rsidRPr="00B63948">
        <w:rPr>
          <w:rFonts w:ascii="Palatino Linotype" w:hAnsi="Palatino Linotype" w:cs="Arial"/>
        </w:rPr>
        <w:t xml:space="preserve"> el acceso a la información de referencia en </w:t>
      </w:r>
      <w:r>
        <w:rPr>
          <w:rFonts w:ascii="Palatino Linotype" w:hAnsi="Palatino Linotype" w:cs="Arial"/>
        </w:rPr>
        <w:t>c</w:t>
      </w:r>
      <w:r w:rsidRPr="00B63948">
        <w:rPr>
          <w:rFonts w:ascii="Palatino Linotype" w:hAnsi="Palatino Linotype" w:cs="Arial"/>
        </w:rPr>
        <w:t>opias certificadas sin que medie el pago de los derechos correspondientes.</w:t>
      </w:r>
    </w:p>
    <w:p w:rsidR="000674FF" w:rsidRDefault="003C3FE0"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Atento a lo anterior;</w:t>
      </w:r>
      <w:r w:rsidR="000674FF">
        <w:rPr>
          <w:rFonts w:ascii="Palatino Linotype" w:hAnsi="Palatino Linotype" w:cs="Arial"/>
        </w:rPr>
        <w:t xml:space="preserve"> es importante </w:t>
      </w:r>
      <w:r>
        <w:rPr>
          <w:rFonts w:ascii="Palatino Linotype" w:hAnsi="Palatino Linotype" w:cs="Arial"/>
        </w:rPr>
        <w:t>referir</w:t>
      </w:r>
      <w:r w:rsidR="000674FF">
        <w:rPr>
          <w:rFonts w:ascii="Palatino Linotype" w:hAnsi="Palatino Linotype" w:cs="Arial"/>
        </w:rPr>
        <w:t xml:space="preserve"> </w:t>
      </w:r>
      <w:r>
        <w:rPr>
          <w:rFonts w:ascii="Palatino Linotype" w:hAnsi="Palatino Linotype" w:cs="Arial"/>
        </w:rPr>
        <w:t xml:space="preserve">que de conformidad con el artículo 176 de la Ley de Transparencia y Acceso a la Información Pública del Estado de México y Municipios, señala que </w:t>
      </w:r>
      <w:r w:rsidR="000674FF">
        <w:rPr>
          <w:rFonts w:ascii="Palatino Linotype" w:hAnsi="Palatino Linotype" w:cs="Arial"/>
        </w:rPr>
        <w:t>la naturaleza del recurso de revisión</w:t>
      </w:r>
      <w:r>
        <w:rPr>
          <w:rFonts w:ascii="Palatino Linotype" w:hAnsi="Palatino Linotype" w:cs="Arial"/>
        </w:rPr>
        <w:t xml:space="preserve"> </w:t>
      </w:r>
      <w:r w:rsidR="000674FF">
        <w:rPr>
          <w:rFonts w:ascii="Palatino Linotype" w:hAnsi="Palatino Linotype" w:cs="Arial"/>
        </w:rPr>
        <w:t>e</w:t>
      </w:r>
      <w:r w:rsidR="00890FC5">
        <w:rPr>
          <w:rFonts w:ascii="Palatino Linotype" w:hAnsi="Palatino Linotype" w:cs="Arial"/>
        </w:rPr>
        <w:t xml:space="preserve">n </w:t>
      </w:r>
      <w:r w:rsidR="000674FF">
        <w:rPr>
          <w:rFonts w:ascii="Palatino Linotype" w:hAnsi="Palatino Linotype" w:cs="Arial"/>
        </w:rPr>
        <w:t xml:space="preserve">su interposición obedece a una garantía secundaria mediante el cual se pretende reparar cualquier posible afectación al derecho humano de acceso a la información </w:t>
      </w:r>
      <w:r>
        <w:rPr>
          <w:rFonts w:ascii="Palatino Linotype" w:hAnsi="Palatino Linotype" w:cs="Arial"/>
        </w:rPr>
        <w:t>pública del</w:t>
      </w:r>
      <w:r w:rsidR="000674FF">
        <w:rPr>
          <w:rFonts w:ascii="Palatino Linotype" w:hAnsi="Palatino Linotype" w:cs="Arial"/>
        </w:rPr>
        <w:t xml:space="preserve"> particular, y una vez instrumentadas cada una de las actuaciones que la Ley contempla, este Órgano Garante emitirá un fallo donde se podrá:</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 Desechar o sobreseer el recurso;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0674FF"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674FF" w:rsidRDefault="000674FF"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no contempla como atribución de este Órgano Garante, el determinar a través del recurso de revisión, la negligencia por parte de los Sujetos Obligados.</w:t>
      </w:r>
    </w:p>
    <w:p w:rsidR="00F52052" w:rsidRPr="00FF2386" w:rsidRDefault="00FF2386"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Ahora bien</w:t>
      </w:r>
      <w:r w:rsidR="00890FC5">
        <w:rPr>
          <w:rFonts w:ascii="Palatino Linotype" w:hAnsi="Palatino Linotype"/>
        </w:rPr>
        <w:t>,</w:t>
      </w:r>
      <w:r>
        <w:rPr>
          <w:rFonts w:ascii="Palatino Linotype" w:hAnsi="Palatino Linotype"/>
        </w:rPr>
        <w:t xml:space="preserve"> el Instituto de Transparencia debe actuar bajo los principios señalados en el artículo 9 de la Ley de Transparencia y Acceso a la Información Pública del Estado de México y Municipios</w:t>
      </w:r>
      <w:r w:rsidR="00890FC5">
        <w:rPr>
          <w:rFonts w:ascii="Palatino Linotype" w:hAnsi="Palatino Linotype"/>
        </w:rPr>
        <w:t>;</w:t>
      </w:r>
      <w:r>
        <w:rPr>
          <w:rFonts w:ascii="Palatino Linotype" w:hAnsi="Palatino Linotype"/>
        </w:rPr>
        <w:t xml:space="preserve"> sin embargo</w:t>
      </w:r>
      <w:r w:rsidR="00890FC5">
        <w:rPr>
          <w:rFonts w:ascii="Palatino Linotype" w:hAnsi="Palatino Linotype"/>
        </w:rPr>
        <w:t>,</w:t>
      </w:r>
      <w:r>
        <w:rPr>
          <w:rFonts w:ascii="Palatino Linotype" w:hAnsi="Palatino Linotype"/>
        </w:rPr>
        <w:t xml:space="preserve"> en su fracción III se establece el de gratuidad </w:t>
      </w:r>
      <w:r w:rsidR="00890FC5">
        <w:rPr>
          <w:rFonts w:ascii="Palatino Linotype" w:hAnsi="Palatino Linotype"/>
        </w:rPr>
        <w:t>mismo que menciona</w:t>
      </w:r>
      <w:r>
        <w:rPr>
          <w:rFonts w:ascii="Palatino Linotype" w:hAnsi="Palatino Linotype"/>
        </w:rPr>
        <w:t xml:space="preserve"> que podrá requerirse el cobro correspondiente </w:t>
      </w:r>
      <w:r w:rsidR="001D1C0D">
        <w:rPr>
          <w:rFonts w:ascii="Palatino Linotype" w:hAnsi="Palatino Linotype"/>
        </w:rPr>
        <w:t>a la modalidad de rep</w:t>
      </w:r>
      <w:r w:rsidR="00890FC5">
        <w:rPr>
          <w:rFonts w:ascii="Palatino Linotype" w:hAnsi="Palatino Linotype"/>
        </w:rPr>
        <w:t xml:space="preserve">roducción y entrega solicitada. </w:t>
      </w:r>
    </w:p>
    <w:p w:rsidR="00947992" w:rsidRDefault="001D1C0D"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lastRenderedPageBreak/>
        <w:t>En ese sentido</w:t>
      </w:r>
      <w:r w:rsidR="000233D6">
        <w:rPr>
          <w:rFonts w:ascii="Palatino Linotype" w:hAnsi="Palatino Linotype"/>
        </w:rPr>
        <w:t>, es de señalar que como quedó</w:t>
      </w:r>
      <w:r w:rsidR="00947992">
        <w:rPr>
          <w:rFonts w:ascii="Palatino Linotype" w:hAnsi="Palatino Linotype"/>
        </w:rPr>
        <w:t xml:space="preserve"> estab</w:t>
      </w:r>
      <w:r w:rsidR="000233D6">
        <w:rPr>
          <w:rFonts w:ascii="Palatino Linotype" w:hAnsi="Palatino Linotype"/>
        </w:rPr>
        <w:t>lecido en el estudio que realizó</w:t>
      </w:r>
      <w:r w:rsidR="00947992">
        <w:rPr>
          <w:rFonts w:ascii="Palatino Linotype" w:hAnsi="Palatino Linotype"/>
        </w:rPr>
        <w:t xml:space="preserve"> la Ponencia </w:t>
      </w:r>
      <w:proofErr w:type="spellStart"/>
      <w:r w:rsidR="00947992">
        <w:rPr>
          <w:rFonts w:ascii="Palatino Linotype" w:hAnsi="Palatino Linotype"/>
        </w:rPr>
        <w:t>Resolutora</w:t>
      </w:r>
      <w:proofErr w:type="spellEnd"/>
      <w:r w:rsidR="00947992">
        <w:rPr>
          <w:rFonts w:ascii="Palatino Linotype" w:hAnsi="Palatino Linotype"/>
        </w:rPr>
        <w:t xml:space="preserve"> </w:t>
      </w:r>
      <w:r w:rsidR="00947992">
        <w:rPr>
          <w:rFonts w:ascii="Palatino Linotype" w:hAnsi="Palatino Linotype"/>
          <w:b/>
        </w:rPr>
        <w:t xml:space="preserve">EL SUJETO OBLIGADO </w:t>
      </w:r>
      <w:r w:rsidR="00947992">
        <w:rPr>
          <w:rFonts w:ascii="Palatino Linotype" w:hAnsi="Palatino Linotype"/>
        </w:rPr>
        <w:t xml:space="preserve">cuenta con la facultad para haber generado la información por lo que deberá </w:t>
      </w:r>
      <w:r w:rsidR="004B4CA7">
        <w:rPr>
          <w:rFonts w:ascii="Palatino Linotype" w:hAnsi="Palatino Linotype"/>
        </w:rPr>
        <w:t xml:space="preserve">de hacer </w:t>
      </w:r>
      <w:r w:rsidR="00947992">
        <w:rPr>
          <w:rFonts w:ascii="Palatino Linotype" w:hAnsi="Palatino Linotype"/>
        </w:rPr>
        <w:t xml:space="preserve">entrega </w:t>
      </w:r>
      <w:r w:rsidR="004B4CA7">
        <w:rPr>
          <w:rFonts w:ascii="Palatino Linotype" w:hAnsi="Palatino Linotype"/>
        </w:rPr>
        <w:t>de la misma en copias certificadas</w:t>
      </w:r>
      <w:r w:rsidR="000C04E8">
        <w:rPr>
          <w:rFonts w:ascii="Palatino Linotype" w:hAnsi="Palatino Linotype"/>
        </w:rPr>
        <w:t xml:space="preserve">; sin embargo, considero que </w:t>
      </w:r>
      <w:r w:rsidR="004B4CA7">
        <w:rPr>
          <w:rFonts w:ascii="Palatino Linotype" w:hAnsi="Palatino Linotype"/>
        </w:rPr>
        <w:t>para ello debe de dar</w:t>
      </w:r>
      <w:r w:rsidR="000C04E8">
        <w:rPr>
          <w:rFonts w:ascii="Palatino Linotype" w:hAnsi="Palatino Linotype"/>
        </w:rPr>
        <w:t>se</w:t>
      </w:r>
      <w:r w:rsidR="004B4CA7">
        <w:rPr>
          <w:rFonts w:ascii="Palatino Linotype" w:hAnsi="Palatino Linotype"/>
        </w:rPr>
        <w:t xml:space="preserve"> a conocer el procedimiento a efectuar para </w:t>
      </w:r>
      <w:r w:rsidR="000C04E8">
        <w:rPr>
          <w:rFonts w:ascii="Palatino Linotype" w:hAnsi="Palatino Linotype"/>
        </w:rPr>
        <w:t>el pago de derechos;</w:t>
      </w:r>
      <w:r w:rsidR="004B4CA7">
        <w:rPr>
          <w:rFonts w:ascii="Palatino Linotype" w:hAnsi="Palatino Linotype"/>
        </w:rPr>
        <w:t xml:space="preserve"> es decir, debe </w:t>
      </w:r>
      <w:r w:rsidR="00890FC5">
        <w:rPr>
          <w:rFonts w:ascii="Palatino Linotype" w:hAnsi="Palatino Linotype"/>
        </w:rPr>
        <w:t>señalar</w:t>
      </w:r>
      <w:r w:rsidR="004B4CA7">
        <w:rPr>
          <w:rFonts w:ascii="Palatino Linotype" w:hAnsi="Palatino Linotype"/>
        </w:rPr>
        <w:t xml:space="preserve"> entre otras el número de fojas que integran los documentos qu</w:t>
      </w:r>
      <w:r w:rsidR="00890FC5">
        <w:rPr>
          <w:rFonts w:ascii="Palatino Linotype" w:hAnsi="Palatino Linotype"/>
        </w:rPr>
        <w:t>e le serán entregados, ante quié</w:t>
      </w:r>
      <w:r w:rsidR="004B4CA7">
        <w:rPr>
          <w:rFonts w:ascii="Palatino Linotype" w:hAnsi="Palatino Linotype"/>
        </w:rPr>
        <w:t>n efect</w:t>
      </w:r>
      <w:r w:rsidR="000C04E8">
        <w:rPr>
          <w:rFonts w:ascii="Palatino Linotype" w:hAnsi="Palatino Linotype"/>
        </w:rPr>
        <w:t>uar el</w:t>
      </w:r>
      <w:r w:rsidR="006F2131">
        <w:rPr>
          <w:rFonts w:ascii="Palatino Linotype" w:hAnsi="Palatino Linotype"/>
        </w:rPr>
        <w:t xml:space="preserve"> pago, el costo total, etcétera;</w:t>
      </w:r>
      <w:r w:rsidR="004B4CA7">
        <w:rPr>
          <w:rFonts w:ascii="Palatino Linotype" w:hAnsi="Palatino Linotype"/>
        </w:rPr>
        <w:t xml:space="preserve"> tal y como lo establece el artículo </w:t>
      </w:r>
      <w:r w:rsidR="006D1F0D">
        <w:rPr>
          <w:rFonts w:ascii="Palatino Linotype" w:hAnsi="Palatino Linotype"/>
        </w:rPr>
        <w:t>73</w:t>
      </w:r>
      <w:r w:rsidR="004B4CA7">
        <w:rPr>
          <w:rFonts w:ascii="Palatino Linotype" w:hAnsi="Palatino Linotype"/>
        </w:rPr>
        <w:t xml:space="preserve"> del Código Financiero del Estado de México y Municipios, que a la letra dice: </w:t>
      </w:r>
    </w:p>
    <w:p w:rsidR="006F2131" w:rsidRDefault="006D1F0D" w:rsidP="004E38AF">
      <w:pPr>
        <w:spacing w:before="100" w:beforeAutospacing="1" w:after="100" w:afterAutospacing="1" w:line="360" w:lineRule="auto"/>
        <w:mirrorIndents/>
        <w:jc w:val="both"/>
        <w:rPr>
          <w:noProof/>
          <w:lang w:val="es-MX" w:eastAsia="es-MX"/>
        </w:rPr>
      </w:pPr>
      <w:r w:rsidRPr="006D1F0D">
        <w:rPr>
          <w:noProof/>
          <w:lang w:val="es-MX" w:eastAsia="es-MX"/>
        </w:rPr>
        <w:t xml:space="preserve"> </w:t>
      </w:r>
      <w:r>
        <w:rPr>
          <w:noProof/>
          <w:lang w:val="es-MX" w:eastAsia="es-MX"/>
        </w:rPr>
        <w:drawing>
          <wp:inline distT="0" distB="0" distL="0" distR="0" wp14:anchorId="68A9BCB0" wp14:editId="27A95BD2">
            <wp:extent cx="5729844" cy="62861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3289" cy="641056"/>
                    </a:xfrm>
                    <a:prstGeom prst="rect">
                      <a:avLst/>
                    </a:prstGeom>
                  </pic:spPr>
                </pic:pic>
              </a:graphicData>
            </a:graphic>
          </wp:inline>
        </w:drawing>
      </w:r>
    </w:p>
    <w:p w:rsidR="006D1F0D" w:rsidRDefault="006D1F0D" w:rsidP="004E38AF">
      <w:pPr>
        <w:spacing w:before="100" w:beforeAutospacing="1" w:after="100" w:afterAutospacing="1" w:line="360" w:lineRule="auto"/>
        <w:mirrorIndents/>
        <w:jc w:val="both"/>
        <w:rPr>
          <w:rFonts w:ascii="Palatino Linotype" w:hAnsi="Palatino Linotype"/>
        </w:rPr>
      </w:pPr>
      <w:r>
        <w:rPr>
          <w:rFonts w:ascii="Palatino Linotype" w:hAnsi="Palatino Linotype"/>
          <w:b/>
          <w:i/>
          <w:noProof/>
          <w:lang w:val="es-MX" w:eastAsia="es-MX"/>
        </w:rPr>
        <mc:AlternateContent>
          <mc:Choice Requires="wps">
            <w:drawing>
              <wp:anchor distT="0" distB="0" distL="114300" distR="114300" simplePos="0" relativeHeight="251662336" behindDoc="0" locked="0" layoutInCell="1" allowOverlap="1" wp14:anchorId="093E3E36" wp14:editId="33E55058">
                <wp:simplePos x="0" y="0"/>
                <wp:positionH relativeFrom="page">
                  <wp:posOffset>1021278</wp:posOffset>
                </wp:positionH>
                <wp:positionV relativeFrom="paragraph">
                  <wp:posOffset>61405</wp:posOffset>
                </wp:positionV>
                <wp:extent cx="5715000" cy="635330"/>
                <wp:effectExtent l="19050" t="19050" r="19050" b="12700"/>
                <wp:wrapNone/>
                <wp:docPr id="5" name="Rectángulo redondeado 5"/>
                <wp:cNvGraphicFramePr/>
                <a:graphic xmlns:a="http://schemas.openxmlformats.org/drawingml/2006/main">
                  <a:graphicData uri="http://schemas.microsoft.com/office/word/2010/wordprocessingShape">
                    <wps:wsp>
                      <wps:cNvSpPr/>
                      <wps:spPr>
                        <a:xfrm>
                          <a:off x="0" y="0"/>
                          <a:ext cx="5715000" cy="63533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8C5311" id="Rectángulo redondeado 5" o:spid="_x0000_s1026" style="position:absolute;margin-left:80.4pt;margin-top:4.85pt;width:450pt;height:50.0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" filled="f" strokecolor="red" strokeweight="3pt">
                <v:stroke joinstyle="miter"/>
                <w10:wrap anchorx="page"/>
              </v:roundrect>
            </w:pict>
          </mc:Fallback>
        </mc:AlternateContent>
      </w:r>
      <w:r>
        <w:rPr>
          <w:noProof/>
          <w:lang w:val="es-MX" w:eastAsia="es-MX"/>
        </w:rPr>
        <w:drawing>
          <wp:inline distT="0" distB="0" distL="0" distR="0" wp14:anchorId="1AA5F214" wp14:editId="2A3A1BFA">
            <wp:extent cx="5791835" cy="287382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5571" cy="2880645"/>
                    </a:xfrm>
                    <a:prstGeom prst="rect">
                      <a:avLst/>
                    </a:prstGeom>
                  </pic:spPr>
                </pic:pic>
              </a:graphicData>
            </a:graphic>
          </wp:inline>
        </w:drawing>
      </w:r>
    </w:p>
    <w:p w:rsidR="00947992" w:rsidRDefault="004B4CA7"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efecto, dado que el particular requirió la información en copias certificadas con costo, </w:t>
      </w:r>
      <w:r>
        <w:rPr>
          <w:rFonts w:ascii="Palatino Linotype" w:hAnsi="Palatino Linotype"/>
          <w:b/>
        </w:rPr>
        <w:t xml:space="preserve">EL SUJETO OBLIGADO </w:t>
      </w:r>
      <w:r>
        <w:rPr>
          <w:rFonts w:ascii="Palatino Linotype" w:hAnsi="Palatino Linotype"/>
        </w:rPr>
        <w:t xml:space="preserve">debe notificarle el costo total de la reproducción de los </w:t>
      </w:r>
      <w:r>
        <w:rPr>
          <w:rFonts w:ascii="Palatino Linotype" w:hAnsi="Palatino Linotype"/>
        </w:rPr>
        <w:lastRenderedPageBreak/>
        <w:t xml:space="preserve">documentos solicitados, en términos del artículo 17 y 174 de la Ley de Transparencia Local que dispone que la expedición de documentos, grabaciones y reproducciones se sujetará al pago de los derechos establecidos en la legislación correspondiente, como se aprecia a continuación: </w:t>
      </w:r>
    </w:p>
    <w:p w:rsidR="004B4CA7" w:rsidRDefault="004B4CA7" w:rsidP="004E38AF">
      <w:pPr>
        <w:tabs>
          <w:tab w:val="left" w:pos="851"/>
        </w:tabs>
        <w:ind w:left="851" w:right="901"/>
        <w:jc w:val="both"/>
        <w:rPr>
          <w:rFonts w:ascii="Palatino Linotype" w:hAnsi="Palatino Linotype" w:cs="Arial"/>
          <w:i/>
          <w:color w:val="000000" w:themeColor="text1"/>
          <w:sz w:val="22"/>
          <w:szCs w:val="22"/>
        </w:rPr>
      </w:pPr>
      <w:r w:rsidRPr="001A224C">
        <w:rPr>
          <w:rFonts w:ascii="Palatino Linotype" w:hAnsi="Palatino Linotype" w:cs="Arial"/>
          <w:i/>
          <w:color w:val="000000" w:themeColor="text1"/>
          <w:sz w:val="22"/>
          <w:szCs w:val="22"/>
        </w:rPr>
        <w:t>“</w:t>
      </w:r>
      <w:r w:rsidRPr="00452903">
        <w:rPr>
          <w:rFonts w:ascii="Palatino Linotype" w:hAnsi="Palatino Linotype" w:cs="Arial"/>
          <w:b/>
          <w:i/>
          <w:color w:val="000000" w:themeColor="text1"/>
          <w:sz w:val="22"/>
          <w:szCs w:val="22"/>
        </w:rPr>
        <w:t>Artículo 17.</w:t>
      </w:r>
      <w:r w:rsidRPr="00452903">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452903">
        <w:rPr>
          <w:rFonts w:ascii="Palatino Linotype" w:hAnsi="Palatino Linotype"/>
          <w:i/>
          <w:sz w:val="22"/>
          <w:szCs w:val="22"/>
        </w:rPr>
        <w:t>los</w:t>
      </w:r>
      <w:r w:rsidRPr="00452903">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4E38AF" w:rsidRPr="00452903" w:rsidRDefault="004E38AF" w:rsidP="004E38AF">
      <w:pPr>
        <w:tabs>
          <w:tab w:val="left" w:pos="851"/>
        </w:tabs>
        <w:ind w:left="851" w:right="901"/>
        <w:jc w:val="both"/>
        <w:rPr>
          <w:rFonts w:ascii="Palatino Linotype" w:hAnsi="Palatino Linotype" w:cs="Arial"/>
          <w:i/>
          <w:color w:val="000000" w:themeColor="text1"/>
          <w:sz w:val="22"/>
          <w:szCs w:val="22"/>
        </w:rPr>
      </w:pP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b/>
          <w:i/>
          <w:color w:val="000000" w:themeColor="text1"/>
          <w:sz w:val="22"/>
          <w:szCs w:val="22"/>
        </w:rPr>
        <w:t>Artículo 174.</w:t>
      </w:r>
      <w:r w:rsidRPr="00452903">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452903">
        <w:rPr>
          <w:rFonts w:ascii="Palatino Linotype" w:hAnsi="Palatino Linotype"/>
          <w:i/>
          <w:sz w:val="22"/>
          <w:szCs w:val="22"/>
        </w:rPr>
        <w:t>n</w:t>
      </w:r>
      <w:r w:rsidRPr="00452903">
        <w:rPr>
          <w:rFonts w:ascii="Palatino Linotype" w:hAnsi="Palatino Linotype" w:cs="Arial"/>
          <w:i/>
          <w:color w:val="000000" w:themeColor="text1"/>
          <w:sz w:val="22"/>
          <w:szCs w:val="22"/>
        </w:rPr>
        <w:t xml:space="preserve"> ser superiores a la suma de: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los materiales utilizados en la reproducción de la información;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envío, en su caso; y </w:t>
      </w:r>
    </w:p>
    <w:p w:rsidR="004B4CA7" w:rsidRPr="005B5FEF" w:rsidRDefault="004B4CA7" w:rsidP="004E38AF">
      <w:pPr>
        <w:pStyle w:val="Prrafodelista"/>
        <w:numPr>
          <w:ilvl w:val="0"/>
          <w:numId w:val="6"/>
        </w:numPr>
        <w:ind w:right="900"/>
        <w:contextualSpacing w:val="0"/>
        <w:jc w:val="both"/>
        <w:rPr>
          <w:rFonts w:ascii="Palatino Linotype" w:hAnsi="Palatino Linotype" w:cs="Arial"/>
          <w:color w:val="000000" w:themeColor="text1"/>
          <w:sz w:val="22"/>
          <w:szCs w:val="22"/>
        </w:rPr>
      </w:pPr>
      <w:r w:rsidRPr="005B5FEF">
        <w:rPr>
          <w:rFonts w:ascii="Palatino Linotype" w:hAnsi="Palatino Linotype" w:cs="Arial"/>
          <w:b/>
          <w:i/>
          <w:color w:val="000000" w:themeColor="text1"/>
          <w:sz w:val="22"/>
          <w:szCs w:val="22"/>
        </w:rPr>
        <w:t>El pago de la certificación de los documentos, cuando proceda</w:t>
      </w:r>
      <w:r w:rsidRPr="005B5FEF">
        <w:rPr>
          <w:rFonts w:ascii="Palatino Linotype" w:hAnsi="Palatino Linotype" w:cs="Arial"/>
          <w:color w:val="000000" w:themeColor="text1"/>
          <w:sz w:val="22"/>
          <w:szCs w:val="22"/>
        </w:rPr>
        <w:t xml:space="preserve">. </w:t>
      </w: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4B4CA7" w:rsidRPr="00452903" w:rsidRDefault="004B4CA7" w:rsidP="004E38AF">
      <w:pPr>
        <w:tabs>
          <w:tab w:val="left" w:pos="851"/>
        </w:tabs>
        <w:ind w:left="851" w:right="901"/>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4B4CA7" w:rsidRPr="0024355B" w:rsidRDefault="004B4CA7" w:rsidP="004E38AF">
      <w:pPr>
        <w:ind w:left="851" w:right="900"/>
        <w:jc w:val="both"/>
        <w:rPr>
          <w:rFonts w:ascii="Palatino Linotype" w:hAnsi="Palatino Linotype" w:cs="Arial"/>
          <w:b/>
          <w:i/>
          <w:color w:val="000000" w:themeColor="text1"/>
          <w:sz w:val="22"/>
          <w:szCs w:val="22"/>
        </w:rPr>
      </w:pPr>
      <w:r w:rsidRPr="00452903">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1A224C">
        <w:rPr>
          <w:rFonts w:ascii="Palatino Linotype" w:hAnsi="Palatino Linotype" w:cs="Arial"/>
          <w:i/>
          <w:color w:val="000000" w:themeColor="text1"/>
          <w:sz w:val="22"/>
          <w:szCs w:val="22"/>
        </w:rPr>
        <w:t>.”</w:t>
      </w:r>
    </w:p>
    <w:p w:rsidR="004B4CA7" w:rsidRDefault="00564878"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En esa tesitura, con la final</w:t>
      </w:r>
      <w:r w:rsidR="005C0C81">
        <w:rPr>
          <w:rFonts w:ascii="Palatino Linotype" w:hAnsi="Palatino Linotype"/>
        </w:rPr>
        <w:t>idad de dar certeza jurídica al</w:t>
      </w:r>
      <w:r>
        <w:rPr>
          <w:rFonts w:ascii="Palatino Linotype" w:hAnsi="Palatino Linotype"/>
        </w:rPr>
        <w:t xml:space="preserve"> solicitante, </w:t>
      </w:r>
      <w:r>
        <w:rPr>
          <w:rFonts w:ascii="Palatino Linotype" w:hAnsi="Palatino Linotype"/>
          <w:b/>
        </w:rPr>
        <w:t xml:space="preserve">EL SUJETO OBLIGADO </w:t>
      </w:r>
      <w:r>
        <w:rPr>
          <w:rFonts w:ascii="Palatino Linotype" w:hAnsi="Palatino Linotype"/>
        </w:rPr>
        <w:t xml:space="preserve">debe señalar con precisión: </w:t>
      </w:r>
    </w:p>
    <w:p w:rsidR="00564878" w:rsidRPr="00774B3F" w:rsidRDefault="00564878" w:rsidP="004E38AF">
      <w:pPr>
        <w:jc w:val="both"/>
        <w:rPr>
          <w:rFonts w:ascii="Palatino Linotype" w:hAnsi="Palatino Linotype"/>
        </w:rPr>
      </w:pPr>
      <w:r w:rsidRPr="00774B3F">
        <w:rPr>
          <w:rFonts w:ascii="Palatino Linotype" w:hAnsi="Palatino Linotype"/>
        </w:rPr>
        <w:t>a) El costo unitario,</w:t>
      </w:r>
    </w:p>
    <w:p w:rsidR="00564878" w:rsidRPr="00774B3F" w:rsidRDefault="00564878" w:rsidP="004E38AF">
      <w:pPr>
        <w:jc w:val="both"/>
        <w:rPr>
          <w:rFonts w:ascii="Palatino Linotype" w:hAnsi="Palatino Linotype"/>
        </w:rPr>
      </w:pPr>
      <w:r w:rsidRPr="00774B3F">
        <w:rPr>
          <w:rFonts w:ascii="Palatino Linotype" w:hAnsi="Palatino Linotype"/>
        </w:rPr>
        <w:t>b) El costo global,</w:t>
      </w:r>
    </w:p>
    <w:p w:rsidR="00564878" w:rsidRPr="00774B3F" w:rsidRDefault="00564878" w:rsidP="004E38AF">
      <w:pPr>
        <w:jc w:val="both"/>
        <w:rPr>
          <w:rFonts w:ascii="Palatino Linotype" w:hAnsi="Palatino Linotype"/>
        </w:rPr>
      </w:pPr>
      <w:r w:rsidRPr="00774B3F">
        <w:rPr>
          <w:rFonts w:ascii="Palatino Linotype" w:hAnsi="Palatino Linotype"/>
        </w:rPr>
        <w:lastRenderedPageBreak/>
        <w:t>c) El fundamento del cobro y,</w:t>
      </w:r>
    </w:p>
    <w:p w:rsidR="00564878" w:rsidRPr="00774B3F" w:rsidRDefault="00564878" w:rsidP="004E38AF">
      <w:pPr>
        <w:jc w:val="both"/>
        <w:rPr>
          <w:rFonts w:ascii="Palatino Linotype" w:hAnsi="Palatino Linotype"/>
        </w:rPr>
      </w:pPr>
      <w:r w:rsidRPr="00774B3F">
        <w:rPr>
          <w:rFonts w:ascii="Palatino Linotype" w:hAnsi="Palatino Linotype"/>
        </w:rPr>
        <w:t>d) El lugar y horario para efectuar el pago.</w:t>
      </w:r>
    </w:p>
    <w:p w:rsidR="00564878" w:rsidRDefault="00564878"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Para que una vez cubierto el monto de reproducción, </w:t>
      </w:r>
      <w:r>
        <w:rPr>
          <w:rFonts w:ascii="Palatino Linotype" w:hAnsi="Palatino Linotype"/>
          <w:b/>
        </w:rPr>
        <w:t xml:space="preserve">EL SUJETO OBLIGADO </w:t>
      </w:r>
      <w:r>
        <w:rPr>
          <w:rFonts w:ascii="Palatino Linotype" w:hAnsi="Palatino Linotype"/>
        </w:rPr>
        <w:t xml:space="preserve">entregue las copias certificadas solicitadas por </w:t>
      </w:r>
      <w:r w:rsidR="005C0C81">
        <w:rPr>
          <w:rFonts w:ascii="Palatino Linotype" w:hAnsi="Palatino Linotype"/>
          <w:b/>
        </w:rPr>
        <w:t>EL</w:t>
      </w:r>
      <w:r>
        <w:rPr>
          <w:rFonts w:ascii="Palatino Linotype" w:hAnsi="Palatino Linotype"/>
          <w:b/>
        </w:rPr>
        <w:t xml:space="preserve"> RECURRENTE</w:t>
      </w:r>
      <w:r w:rsidR="000C04E8">
        <w:rPr>
          <w:rFonts w:ascii="Palatino Linotype" w:hAnsi="Palatino Linotype"/>
          <w:b/>
        </w:rPr>
        <w:t>.</w:t>
      </w:r>
    </w:p>
    <w:p w:rsidR="003D75AD" w:rsidRDefault="003D75AD" w:rsidP="004E38AF">
      <w:pPr>
        <w:spacing w:before="100" w:beforeAutospacing="1" w:after="100" w:afterAutospacing="1" w:line="360" w:lineRule="auto"/>
        <w:jc w:val="both"/>
        <w:rPr>
          <w:rFonts w:ascii="Palatino Linotype" w:hAnsi="Palatino Linotype"/>
        </w:rPr>
      </w:pPr>
      <w:r>
        <w:rPr>
          <w:rFonts w:ascii="Palatino Linotype" w:hAnsi="Palatino Linotype"/>
        </w:rPr>
        <w:t>Sirve de apoyo en la fundamentación de lo antes expresado el criterio 6-17 del Instituto Nacional de Acceso a la Información Pública y Protección de Datos Personales que se transcribe a continuación para la claridad de las razones que justifican la actuación de este Órgano Garante.</w:t>
      </w:r>
    </w:p>
    <w:p w:rsidR="003D75AD" w:rsidRPr="003D75AD" w:rsidRDefault="003D75AD" w:rsidP="004E38AF">
      <w:pPr>
        <w:ind w:left="851" w:right="902"/>
        <w:jc w:val="both"/>
        <w:rPr>
          <w:rFonts w:ascii="Palatino Linotype" w:eastAsia="Arial Unicode MS" w:hAnsi="Palatino Linotype" w:cs="Arial"/>
          <w:i/>
          <w:sz w:val="22"/>
        </w:rPr>
      </w:pPr>
      <w:r w:rsidRPr="003D75AD">
        <w:rPr>
          <w:rFonts w:ascii="Palatino Linotype" w:eastAsia="Arial Unicode MS" w:hAnsi="Palatino Linotype" w:cs="Arial"/>
          <w:b/>
          <w:bCs/>
          <w:i/>
          <w:sz w:val="22"/>
        </w:rPr>
        <w:t xml:space="preserve">Copias certificadas, como modalidad de entrega en la Ley Federal de Transparencia y Acceso a la Información Pública corrobora que el documento es una copia fiel del que obra en los archivos del sujeto obligado. </w:t>
      </w:r>
      <w:r w:rsidRPr="003D75AD">
        <w:rPr>
          <w:rFonts w:ascii="Palatino Linotype" w:eastAsia="Arial Unicode MS" w:hAnsi="Palatino Linotype" w:cs="Arial"/>
          <w:bCs/>
          <w:i/>
          <w:sz w:val="22"/>
        </w:rPr>
        <w:t>Los artículos 125, fracción V y 136 de la Ley Federal de Transparencia y Acceso a la Información Pública, prevén que el acceso a la información se dará en la modalidad de entrega elegida por los solicitantes, como lo es, en copia certificada</w:t>
      </w:r>
      <w:r w:rsidRPr="003D75AD">
        <w:rPr>
          <w:rFonts w:ascii="Palatino Linotype" w:eastAsia="Arial Unicode MS" w:hAnsi="Palatino Linotype" w:cs="Arial"/>
          <w:i/>
          <w:sz w:val="22"/>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3D75AD" w:rsidRPr="003D75AD" w:rsidRDefault="003D75AD" w:rsidP="004E38AF">
      <w:pPr>
        <w:ind w:left="851" w:right="902"/>
        <w:jc w:val="both"/>
        <w:rPr>
          <w:rFonts w:ascii="Palatino Linotype" w:eastAsia="Arial Unicode MS" w:hAnsi="Palatino Linotype" w:cs="Arial"/>
          <w:b/>
          <w:i/>
          <w:sz w:val="22"/>
        </w:rPr>
      </w:pPr>
      <w:r w:rsidRPr="003D75AD">
        <w:rPr>
          <w:rFonts w:ascii="Palatino Linotype" w:eastAsia="Arial Unicode MS" w:hAnsi="Palatino Linotype" w:cs="Arial"/>
          <w:b/>
          <w:i/>
          <w:sz w:val="22"/>
        </w:rPr>
        <w:t>Resoluciones:</w:t>
      </w:r>
    </w:p>
    <w:p w:rsidR="003D75AD" w:rsidRPr="003D75AD" w:rsidRDefault="003D75AD" w:rsidP="00B06D49">
      <w:pPr>
        <w:pStyle w:val="Prrafodelista"/>
        <w:numPr>
          <w:ilvl w:val="0"/>
          <w:numId w:val="7"/>
        </w:numPr>
        <w:ind w:left="851" w:right="902" w:firstLine="0"/>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1291/16.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Partido Encuentro Social</w:t>
      </w:r>
      <w:r w:rsidRPr="003D75AD">
        <w:rPr>
          <w:rFonts w:ascii="Palatino Linotype" w:eastAsia="Arial Unicode MS" w:hAnsi="Palatino Linotype" w:cs="Arial"/>
          <w:i/>
          <w:sz w:val="22"/>
        </w:rPr>
        <w:t>. 07 de septiembre de 2016. Por unanimidad. Comisionado Ponente Oscar Mauricio Guerra Ford.</w:t>
      </w:r>
    </w:p>
    <w:p w:rsidR="003D75AD" w:rsidRPr="003D75AD" w:rsidRDefault="003D75AD" w:rsidP="00B06D49">
      <w:pPr>
        <w:pStyle w:val="Prrafodelista"/>
        <w:numPr>
          <w:ilvl w:val="0"/>
          <w:numId w:val="7"/>
        </w:numPr>
        <w:ind w:left="851" w:right="902" w:firstLine="0"/>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1541/16.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Secretaría de Agricultura, Ganadería, Desarrollo Rural, Pesca y Alimentación. 14</w:t>
      </w:r>
      <w:r w:rsidRPr="003D75AD">
        <w:rPr>
          <w:rFonts w:ascii="Palatino Linotype" w:eastAsia="Arial Unicode MS" w:hAnsi="Palatino Linotype" w:cs="Arial"/>
          <w:i/>
          <w:sz w:val="22"/>
        </w:rPr>
        <w:t xml:space="preserve"> de septiembre de 2016. Por unanimidad. Comisionado Ponente Francisco Javier Acuña Llamas.</w:t>
      </w:r>
      <w:r w:rsidRPr="003D75AD">
        <w:rPr>
          <w:rFonts w:ascii="Palatino Linotype" w:eastAsia="Arial Unicode MS" w:hAnsi="Palatino Linotype" w:cs="Arial"/>
          <w:b/>
          <w:i/>
          <w:sz w:val="22"/>
        </w:rPr>
        <w:t xml:space="preserve"> </w:t>
      </w:r>
    </w:p>
    <w:p w:rsidR="003D75AD" w:rsidRDefault="003D75AD" w:rsidP="004E38AF">
      <w:pPr>
        <w:ind w:left="851" w:right="902"/>
        <w:mirrorIndents/>
        <w:jc w:val="both"/>
        <w:rPr>
          <w:rFonts w:ascii="Palatino Linotype" w:hAnsi="Palatino Linotype"/>
        </w:rPr>
      </w:pPr>
      <w:r w:rsidRPr="003D75AD">
        <w:rPr>
          <w:rFonts w:ascii="Palatino Linotype" w:eastAsia="Arial Unicode MS" w:hAnsi="Palatino Linotype" w:cs="Arial"/>
          <w:b/>
          <w:i/>
          <w:sz w:val="22"/>
        </w:rPr>
        <w:lastRenderedPageBreak/>
        <w:t xml:space="preserve">RRA 1657/16. </w:t>
      </w:r>
      <w:r w:rsidRPr="003D75AD">
        <w:rPr>
          <w:rFonts w:ascii="Palatino Linotype" w:eastAsia="Arial Unicode MS" w:hAnsi="Palatino Linotype" w:cs="Arial"/>
          <w:i/>
          <w:sz w:val="22"/>
        </w:rPr>
        <w:t xml:space="preserve">Universidad Nacional Autónoma de México. 05 de octubre de 2016. Por unanimidad. Comisionado Ponente </w:t>
      </w:r>
      <w:proofErr w:type="spellStart"/>
      <w:r w:rsidRPr="003D75AD">
        <w:rPr>
          <w:rFonts w:ascii="Palatino Linotype" w:hAnsi="Palatino Linotype"/>
          <w:i/>
          <w:sz w:val="22"/>
        </w:rPr>
        <w:t>Rosendoevgueni</w:t>
      </w:r>
      <w:proofErr w:type="spellEnd"/>
      <w:r w:rsidRPr="003D75AD">
        <w:rPr>
          <w:rFonts w:ascii="Palatino Linotype" w:hAnsi="Palatino Linotype"/>
          <w:i/>
          <w:sz w:val="22"/>
        </w:rPr>
        <w:t xml:space="preserve"> Monterrey </w:t>
      </w:r>
      <w:proofErr w:type="spellStart"/>
      <w:r w:rsidRPr="003D75AD">
        <w:rPr>
          <w:rFonts w:ascii="Palatino Linotype" w:hAnsi="Palatino Linotype"/>
          <w:i/>
          <w:sz w:val="22"/>
        </w:rPr>
        <w:t>Chepov</w:t>
      </w:r>
      <w:proofErr w:type="spellEnd"/>
      <w:r w:rsidRPr="003D75AD">
        <w:rPr>
          <w:rFonts w:ascii="Palatino Linotype" w:eastAsia="Arial Unicode MS" w:hAnsi="Palatino Linotype" w:cs="Arial"/>
          <w:i/>
          <w:sz w:val="22"/>
        </w:rPr>
        <w:t>.</w:t>
      </w:r>
    </w:p>
    <w:p w:rsidR="00443A78" w:rsidRDefault="003D75AD"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330772">
        <w:rPr>
          <w:rFonts w:ascii="Palatino Linotype" w:hAnsi="Palatino Linotype"/>
        </w:rPr>
        <w:t>En ese sentido, las copias certificadas a que se r</w:t>
      </w:r>
      <w:r>
        <w:rPr>
          <w:rFonts w:ascii="Palatino Linotype" w:hAnsi="Palatino Linotype"/>
        </w:rPr>
        <w:t>efiere la Ley de la materia,</w:t>
      </w:r>
      <w:r w:rsidRPr="00330772">
        <w:rPr>
          <w:rFonts w:ascii="Palatino Linotype" w:hAnsi="Palatino Linotype"/>
        </w:rPr>
        <w:t xml:space="preserve"> únicamente implican que un documento obra en los archivos de la dependencia o entidad y que la copia reproducida es idéntica a aquel documento que se localiza en los archivos del </w:t>
      </w:r>
      <w:r w:rsidR="006F2131" w:rsidRPr="00443A78">
        <w:rPr>
          <w:rFonts w:ascii="Palatino Linotype" w:hAnsi="Palatino Linotype"/>
          <w:b/>
        </w:rPr>
        <w:t>SUJETO OBLIGADO</w:t>
      </w:r>
      <w:r w:rsidR="00443A78">
        <w:rPr>
          <w:rFonts w:ascii="Palatino Linotype" w:hAnsi="Palatino Linotype"/>
        </w:rPr>
        <w:t xml:space="preserve">. </w:t>
      </w:r>
    </w:p>
    <w:p w:rsidR="00807DA9" w:rsidRPr="00E768FA" w:rsidRDefault="00807DA9" w:rsidP="004E38AF">
      <w:pPr>
        <w:widowControl w:val="0"/>
        <w:autoSpaceDE w:val="0"/>
        <w:autoSpaceDN w:val="0"/>
        <w:adjustRightInd w:val="0"/>
        <w:spacing w:before="100" w:beforeAutospacing="1" w:after="100" w:afterAutospacing="1" w:line="360" w:lineRule="auto"/>
        <w:ind w:right="-36"/>
        <w:jc w:val="both"/>
        <w:rPr>
          <w:rFonts w:ascii="Palatino Linotype" w:hAnsi="Palatino Linotype" w:cs="Arial"/>
        </w:rPr>
      </w:pPr>
      <w:r>
        <w:rPr>
          <w:rFonts w:ascii="Palatino Linotype" w:hAnsi="Palatino Linotype" w:cs="Arial"/>
        </w:rPr>
        <w:t xml:space="preserve">Por otra parte, es </w:t>
      </w:r>
      <w:r w:rsidRPr="00E768FA">
        <w:rPr>
          <w:rFonts w:ascii="Palatino Linotype" w:hAnsi="Palatino Linotype" w:cs="Arial"/>
        </w:rPr>
        <w:t>considera</w:t>
      </w:r>
      <w:r>
        <w:rPr>
          <w:rFonts w:ascii="Palatino Linotype" w:hAnsi="Palatino Linotype" w:cs="Arial"/>
        </w:rPr>
        <w:t xml:space="preserve">do </w:t>
      </w:r>
      <w:r w:rsidRPr="00E768FA">
        <w:rPr>
          <w:rFonts w:ascii="Palatino Linotype" w:hAnsi="Palatino Linotype" w:cs="Arial"/>
        </w:rPr>
        <w:t>importante tr</w:t>
      </w:r>
      <w:r w:rsidR="005B5FEF">
        <w:rPr>
          <w:rFonts w:ascii="Palatino Linotype" w:hAnsi="Palatino Linotype" w:cs="Arial"/>
        </w:rPr>
        <w:t xml:space="preserve">aer a contexto lo dispuesto en </w:t>
      </w:r>
      <w:r w:rsidRPr="00E768FA">
        <w:rPr>
          <w:rFonts w:ascii="Palatino Linotype" w:hAnsi="Palatino Linotype" w:cs="Arial"/>
        </w:rPr>
        <w:t>l</w:t>
      </w:r>
      <w:r w:rsidR="005B5FEF">
        <w:rPr>
          <w:rFonts w:ascii="Palatino Linotype" w:hAnsi="Palatino Linotype" w:cs="Arial"/>
        </w:rPr>
        <w:t>os</w:t>
      </w:r>
      <w:r w:rsidRPr="00E768FA">
        <w:rPr>
          <w:rFonts w:ascii="Palatino Linotype" w:hAnsi="Palatino Linotype" w:cs="Arial"/>
        </w:rPr>
        <w:t xml:space="preserve"> artículo</w:t>
      </w:r>
      <w:r w:rsidR="005B5FEF">
        <w:rPr>
          <w:rFonts w:ascii="Palatino Linotype" w:hAnsi="Palatino Linotype" w:cs="Arial"/>
        </w:rPr>
        <w:t>s</w:t>
      </w:r>
      <w:r w:rsidRPr="00E768FA">
        <w:rPr>
          <w:rFonts w:ascii="Palatino Linotype" w:hAnsi="Palatino Linotype" w:cs="Arial"/>
        </w:rPr>
        <w:t xml:space="preserve"> 165</w:t>
      </w:r>
      <w:r>
        <w:rPr>
          <w:rFonts w:ascii="Palatino Linotype" w:hAnsi="Palatino Linotype" w:cs="Arial"/>
        </w:rPr>
        <w:t xml:space="preserve"> y 175</w:t>
      </w:r>
      <w:r w:rsidRPr="00E768FA">
        <w:rPr>
          <w:rFonts w:ascii="Palatino Linotype" w:hAnsi="Palatino Linotype" w:cs="Arial"/>
        </w:rPr>
        <w:t xml:space="preserve"> de la Ley de Transparencia y Acceso a la Información Pública del Estado de México y Municipios, que a la letra dice</w:t>
      </w:r>
      <w:r>
        <w:rPr>
          <w:rFonts w:ascii="Palatino Linotype" w:hAnsi="Palatino Linotype" w:cs="Arial"/>
        </w:rPr>
        <w:t>n</w:t>
      </w:r>
      <w:r w:rsidRPr="00E768FA">
        <w:rPr>
          <w:rFonts w:ascii="Palatino Linotype" w:hAnsi="Palatino Linotype" w:cs="Arial"/>
        </w:rPr>
        <w:t xml:space="preserve">: </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t>“</w:t>
      </w:r>
      <w:r w:rsidRPr="00E768FA">
        <w:rPr>
          <w:rFonts w:ascii="Palatino Linotype" w:hAnsi="Palatino Linotype" w:cs="Arial"/>
          <w:b/>
          <w:i/>
          <w:sz w:val="22"/>
          <w:szCs w:val="22"/>
        </w:rPr>
        <w:t>Artículo 165</w:t>
      </w:r>
      <w:r w:rsidRPr="00E768FA">
        <w:rPr>
          <w:rFonts w:ascii="Palatino Linotype" w:hAnsi="Palatino Linotype" w:cs="Arial"/>
          <w:i/>
          <w:sz w:val="22"/>
          <w:szCs w:val="22"/>
        </w:rPr>
        <w:t>. Los sujetos obligados establecerán la forma y términos en que darán trámite interno a las solicitudes en materia de acceso a la información.</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807DA9" w:rsidRDefault="00807DA9" w:rsidP="004E38AF">
      <w:pPr>
        <w:ind w:left="851" w:right="902"/>
        <w:jc w:val="both"/>
        <w:rPr>
          <w:rFonts w:ascii="Palatino Linotype" w:hAnsi="Palatino Linotype" w:cs="Arial"/>
          <w:i/>
          <w:sz w:val="22"/>
          <w:szCs w:val="22"/>
        </w:rPr>
      </w:pPr>
      <w:r w:rsidRPr="00E768FA">
        <w:rPr>
          <w:rFonts w:ascii="Palatino Linotype" w:hAnsi="Palatino Linotype" w:cs="Arial"/>
          <w:b/>
          <w:i/>
          <w:sz w:val="22"/>
          <w:szCs w:val="22"/>
        </w:rPr>
        <w:t>Ante la falta de respuesta a una solicitud en el plazo previsto y en caso de que proceda el acceso, los costos de reproducción y envío correrán a cargo del sujeto obligado</w:t>
      </w:r>
      <w:r w:rsidRPr="00E768FA">
        <w:rPr>
          <w:rFonts w:ascii="Palatino Linotype" w:hAnsi="Palatino Linotype" w:cs="Arial"/>
          <w:i/>
          <w:sz w:val="22"/>
          <w:szCs w:val="22"/>
        </w:rPr>
        <w:t>.</w:t>
      </w:r>
    </w:p>
    <w:p w:rsidR="004E38AF" w:rsidRDefault="004E38AF" w:rsidP="004E38AF">
      <w:pPr>
        <w:ind w:left="851" w:right="902"/>
        <w:jc w:val="both"/>
        <w:rPr>
          <w:rFonts w:ascii="Palatino Linotype" w:hAnsi="Palatino Linotype" w:cs="Arial"/>
          <w:i/>
          <w:sz w:val="22"/>
          <w:szCs w:val="22"/>
        </w:rPr>
      </w:pPr>
    </w:p>
    <w:p w:rsidR="00807DA9" w:rsidRPr="00807DA9" w:rsidRDefault="00807DA9" w:rsidP="004E38AF">
      <w:pPr>
        <w:ind w:left="851" w:right="902"/>
        <w:jc w:val="both"/>
        <w:rPr>
          <w:rFonts w:ascii="Palatino Linotype" w:hAnsi="Palatino Linotype" w:cs="Arial"/>
          <w:i/>
          <w:sz w:val="22"/>
          <w:szCs w:val="22"/>
        </w:rPr>
      </w:pPr>
      <w:r w:rsidRPr="00807DA9">
        <w:rPr>
          <w:rFonts w:ascii="Palatino Linotype" w:hAnsi="Palatino Linotype" w:cs="Arial"/>
          <w:b/>
          <w:i/>
          <w:sz w:val="22"/>
          <w:szCs w:val="22"/>
        </w:rPr>
        <w:t>Artículo 175</w:t>
      </w:r>
      <w:r w:rsidRPr="00807DA9">
        <w:rPr>
          <w:rFonts w:ascii="Palatino Linotype" w:hAnsi="Palatino Linotype" w:cs="Arial"/>
          <w:i/>
          <w:sz w:val="22"/>
          <w:szCs w:val="22"/>
        </w:rPr>
        <w:t xml:space="preserve">. </w:t>
      </w:r>
      <w:r w:rsidRPr="0039670C">
        <w:rPr>
          <w:rFonts w:ascii="Palatino Linotype" w:hAnsi="Palatino Linotype" w:cs="Arial"/>
          <w:i/>
          <w:sz w:val="22"/>
          <w:szCs w:val="22"/>
        </w:rPr>
        <w:t xml:space="preserve">La </w:t>
      </w:r>
      <w:r w:rsidRPr="005B5FEF">
        <w:rPr>
          <w:rFonts w:ascii="Palatino Linotype" w:hAnsi="Palatino Linotype" w:cs="Arial"/>
          <w:b/>
          <w:i/>
          <w:sz w:val="22"/>
          <w:szCs w:val="22"/>
        </w:rPr>
        <w:t>información que en términos de Ley deban publicar de manera obligatoria los sujetos obligados, o deba ser generada de manera electrónica, según lo dispongan las disposiciones legales o administrativas no podrá tener ningún costo</w:t>
      </w:r>
      <w:r w:rsidRPr="0039670C">
        <w:rPr>
          <w:rFonts w:ascii="Palatino Linotype" w:hAnsi="Palatino Linotype" w:cs="Arial"/>
          <w:i/>
          <w:sz w:val="22"/>
          <w:szCs w:val="22"/>
        </w:rPr>
        <w:t>, incluyendo aquella que se hubiera digitalizado previamente por cualquier motivo</w:t>
      </w:r>
      <w:r w:rsidRPr="00807DA9">
        <w:rPr>
          <w:rFonts w:ascii="Palatino Linotype" w:hAnsi="Palatino Linotype" w:cs="Arial"/>
          <w:i/>
          <w:sz w:val="22"/>
          <w:szCs w:val="22"/>
        </w:rPr>
        <w:t>, en aquellos casos en que la modalidad de entrega sea por medio de</w:t>
      </w:r>
      <w:r>
        <w:rPr>
          <w:rFonts w:ascii="Palatino Linotype" w:hAnsi="Palatino Linotype" w:cs="Arial"/>
          <w:i/>
          <w:sz w:val="22"/>
          <w:szCs w:val="22"/>
        </w:rPr>
        <w:t xml:space="preserve"> </w:t>
      </w:r>
      <w:r w:rsidRPr="00807DA9">
        <w:rPr>
          <w:rFonts w:ascii="Palatino Linotype" w:hAnsi="Palatino Linotype" w:cs="Arial"/>
          <w:i/>
          <w:sz w:val="22"/>
          <w:szCs w:val="22"/>
        </w:rPr>
        <w:t>la plataforma o vía electrónica.</w:t>
      </w:r>
    </w:p>
    <w:p w:rsidR="00807DA9" w:rsidRPr="00E768FA" w:rsidRDefault="00807DA9" w:rsidP="004E38AF">
      <w:pPr>
        <w:ind w:left="851" w:right="902"/>
        <w:jc w:val="both"/>
        <w:rPr>
          <w:rFonts w:ascii="Palatino Linotype" w:hAnsi="Palatino Linotype" w:cs="Arial"/>
          <w:i/>
          <w:sz w:val="22"/>
          <w:szCs w:val="22"/>
        </w:rPr>
      </w:pPr>
      <w:r w:rsidRPr="00807DA9">
        <w:rPr>
          <w:rFonts w:ascii="Palatino Linotype" w:hAnsi="Palatino Linotype" w:cs="Arial"/>
          <w:i/>
          <w:sz w:val="22"/>
          <w:szCs w:val="22"/>
        </w:rPr>
        <w:t>En ningún caso, el pago de derechos deberá exceder el costo de reproducción de la información en el</w:t>
      </w:r>
      <w:r w:rsidR="0039670C">
        <w:rPr>
          <w:rFonts w:ascii="Palatino Linotype" w:hAnsi="Palatino Linotype" w:cs="Arial"/>
          <w:i/>
          <w:sz w:val="22"/>
          <w:szCs w:val="22"/>
        </w:rPr>
        <w:t xml:space="preserve"> </w:t>
      </w:r>
      <w:r w:rsidRPr="00807DA9">
        <w:rPr>
          <w:rFonts w:ascii="Palatino Linotype" w:hAnsi="Palatino Linotype" w:cs="Arial"/>
          <w:i/>
          <w:sz w:val="22"/>
          <w:szCs w:val="22"/>
        </w:rPr>
        <w:t>material solicitado. Los ajustes razonables que se realicen para el acceso de la información de</w:t>
      </w:r>
      <w:r w:rsidR="0039670C">
        <w:rPr>
          <w:rFonts w:ascii="Palatino Linotype" w:hAnsi="Palatino Linotype" w:cs="Arial"/>
          <w:i/>
          <w:sz w:val="22"/>
          <w:szCs w:val="22"/>
        </w:rPr>
        <w:t xml:space="preserve"> </w:t>
      </w:r>
      <w:r w:rsidRPr="00807DA9">
        <w:rPr>
          <w:rFonts w:ascii="Palatino Linotype" w:hAnsi="Palatino Linotype" w:cs="Arial"/>
          <w:i/>
          <w:sz w:val="22"/>
          <w:szCs w:val="22"/>
        </w:rPr>
        <w:t>solicitantes con discapacidad s</w:t>
      </w:r>
      <w:r w:rsidR="0039670C">
        <w:rPr>
          <w:rFonts w:ascii="Palatino Linotype" w:hAnsi="Palatino Linotype" w:cs="Arial"/>
          <w:i/>
          <w:sz w:val="22"/>
          <w:szCs w:val="22"/>
        </w:rPr>
        <w:t>erán sin costo para los mismos.</w:t>
      </w:r>
      <w:r w:rsidRPr="00E768FA">
        <w:rPr>
          <w:rFonts w:ascii="Palatino Linotype" w:hAnsi="Palatino Linotype" w:cs="Arial"/>
          <w:i/>
          <w:sz w:val="22"/>
          <w:szCs w:val="22"/>
        </w:rPr>
        <w:t>”</w:t>
      </w:r>
    </w:p>
    <w:p w:rsidR="00807DA9" w:rsidRDefault="00807DA9"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E768FA">
        <w:rPr>
          <w:rFonts w:ascii="Palatino Linotype" w:hAnsi="Palatino Linotype"/>
          <w:color w:val="000000"/>
          <w:szCs w:val="22"/>
        </w:rPr>
        <w:t xml:space="preserve">De lo anterior, se puede advertir que ante la falta de respuesta a una solicitud los costos </w:t>
      </w:r>
      <w:r w:rsidRPr="00E768FA">
        <w:rPr>
          <w:rFonts w:ascii="Palatino Linotype" w:hAnsi="Palatino Linotype"/>
          <w:color w:val="000000"/>
          <w:szCs w:val="22"/>
        </w:rPr>
        <w:lastRenderedPageBreak/>
        <w:t xml:space="preserve">de reproducción y envío correrán a cargo del </w:t>
      </w:r>
      <w:r w:rsidRPr="00E768FA">
        <w:rPr>
          <w:rFonts w:ascii="Palatino Linotype" w:hAnsi="Palatino Linotype"/>
          <w:b/>
          <w:color w:val="000000"/>
          <w:szCs w:val="22"/>
        </w:rPr>
        <w:t>SUJETO OBLIGADO</w:t>
      </w:r>
      <w:r w:rsidR="005B5FEF">
        <w:rPr>
          <w:rFonts w:ascii="Palatino Linotype" w:hAnsi="Palatino Linotype"/>
          <w:b/>
          <w:color w:val="000000"/>
          <w:szCs w:val="22"/>
        </w:rPr>
        <w:t xml:space="preserve"> </w:t>
      </w:r>
      <w:r w:rsidR="005B5FEF">
        <w:rPr>
          <w:rFonts w:ascii="Palatino Linotype" w:hAnsi="Palatino Linotype"/>
          <w:color w:val="000000"/>
          <w:szCs w:val="22"/>
        </w:rPr>
        <w:t>o bien si se trata de información que</w:t>
      </w:r>
      <w:r w:rsidR="004E38AF">
        <w:rPr>
          <w:rFonts w:ascii="Palatino Linotype" w:hAnsi="Palatino Linotype"/>
          <w:color w:val="000000"/>
          <w:szCs w:val="22"/>
        </w:rPr>
        <w:t xml:space="preserve"> deban publicar </w:t>
      </w:r>
      <w:r w:rsidR="005B5FEF">
        <w:rPr>
          <w:rFonts w:ascii="Palatino Linotype" w:hAnsi="Palatino Linotype"/>
          <w:color w:val="000000"/>
          <w:szCs w:val="22"/>
        </w:rPr>
        <w:t xml:space="preserve">de manera obligatoria </w:t>
      </w:r>
      <w:r w:rsidR="004E38AF">
        <w:rPr>
          <w:rFonts w:ascii="Palatino Linotype" w:hAnsi="Palatino Linotype"/>
          <w:color w:val="000000"/>
          <w:szCs w:val="22"/>
        </w:rPr>
        <w:t>o deba ser generada de manera electrónica según lo dispongan las disposiciones legales o administrativas no podrá tener ningún costo</w:t>
      </w:r>
      <w:r w:rsidRPr="00E768FA">
        <w:rPr>
          <w:rFonts w:ascii="Palatino Linotype" w:hAnsi="Palatino Linotype"/>
          <w:color w:val="000000"/>
          <w:szCs w:val="22"/>
        </w:rPr>
        <w:t xml:space="preserve">; situación que </w:t>
      </w:r>
      <w:r w:rsidR="0039670C">
        <w:rPr>
          <w:rFonts w:ascii="Palatino Linotype" w:hAnsi="Palatino Linotype"/>
          <w:color w:val="000000"/>
          <w:szCs w:val="22"/>
        </w:rPr>
        <w:t xml:space="preserve">no </w:t>
      </w:r>
      <w:r w:rsidRPr="00E768FA">
        <w:rPr>
          <w:rFonts w:ascii="Palatino Linotype" w:hAnsi="Palatino Linotype"/>
          <w:color w:val="000000"/>
          <w:szCs w:val="22"/>
        </w:rPr>
        <w:t xml:space="preserve">se actualiza en el presente asunto, pues de las documentales que integran el expediente electrónico, se desprende que </w:t>
      </w:r>
      <w:r w:rsidR="0039670C">
        <w:rPr>
          <w:rFonts w:ascii="Palatino Linotype" w:hAnsi="Palatino Linotype"/>
          <w:b/>
          <w:color w:val="000000"/>
          <w:szCs w:val="22"/>
        </w:rPr>
        <w:t>EL SUJETO OBL</w:t>
      </w:r>
      <w:r w:rsidRPr="00E768FA">
        <w:rPr>
          <w:rFonts w:ascii="Palatino Linotype" w:hAnsi="Palatino Linotype"/>
          <w:b/>
          <w:color w:val="000000"/>
          <w:szCs w:val="22"/>
        </w:rPr>
        <w:t xml:space="preserve">IGADO </w:t>
      </w:r>
      <w:r w:rsidR="0039670C">
        <w:rPr>
          <w:rFonts w:ascii="Palatino Linotype" w:hAnsi="Palatino Linotype"/>
          <w:color w:val="000000"/>
          <w:szCs w:val="22"/>
        </w:rPr>
        <w:t>si atendió la</w:t>
      </w:r>
      <w:r w:rsidRPr="00E768FA">
        <w:rPr>
          <w:rFonts w:ascii="Palatino Linotype" w:hAnsi="Palatino Linotype"/>
          <w:color w:val="000000"/>
          <w:szCs w:val="22"/>
        </w:rPr>
        <w:t xml:space="preserve"> </w:t>
      </w:r>
      <w:r w:rsidR="0039670C">
        <w:rPr>
          <w:rFonts w:ascii="Palatino Linotype" w:hAnsi="Palatino Linotype"/>
          <w:color w:val="000000"/>
          <w:szCs w:val="22"/>
        </w:rPr>
        <w:t xml:space="preserve">solicitud de información. </w:t>
      </w:r>
    </w:p>
    <w:p w:rsidR="0039670C" w:rsidRDefault="0039670C" w:rsidP="00CD236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ese contexto, la suscrita insiste que, no se considera procedente eximir al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modalidad elegida por éste, en razón de valorar como negligente el actuar del </w:t>
      </w:r>
      <w:r w:rsidRPr="00A002B7">
        <w:rPr>
          <w:rFonts w:ascii="Palatino Linotype" w:hAnsi="Palatino Linotype" w:cs="Arial"/>
          <w:b/>
        </w:rPr>
        <w:t>SUJETO OBLIGADO</w:t>
      </w:r>
      <w:r>
        <w:rPr>
          <w:rFonts w:ascii="Palatino Linotype" w:hAnsi="Palatino Linotype" w:cs="Arial"/>
        </w:rPr>
        <w:t xml:space="preserve"> vía recurso de revisión, toda vez que los medios de impugnación no son la instancia para determinar</w:t>
      </w:r>
      <w:r w:rsidR="004E38AF">
        <w:rPr>
          <w:rFonts w:ascii="Palatino Linotype" w:hAnsi="Palatino Linotype" w:cs="Arial"/>
        </w:rPr>
        <w:t>lo</w:t>
      </w:r>
      <w:r>
        <w:rPr>
          <w:rFonts w:ascii="Palatino Linotype" w:hAnsi="Palatino Linotype" w:cs="Arial"/>
        </w:rPr>
        <w:t>, pues al emitir la resolución se debe actuar con apego a los principios de exhaustividad y congruencia.</w:t>
      </w:r>
    </w:p>
    <w:p w:rsidR="00CD236D" w:rsidRDefault="00CD236D" w:rsidP="00CD236D">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 xml:space="preserve">Por otra parte y en razón al pronunciamiento que realizo la Ponencia </w:t>
      </w:r>
      <w:proofErr w:type="spellStart"/>
      <w:r>
        <w:rPr>
          <w:rFonts w:ascii="Palatino Linotype" w:hAnsi="Palatino Linotype" w:cs="Arial"/>
        </w:rPr>
        <w:t>Resolutora</w:t>
      </w:r>
      <w:proofErr w:type="spellEnd"/>
      <w:r>
        <w:rPr>
          <w:rFonts w:ascii="Palatino Linotype" w:hAnsi="Palatino Linotype" w:cs="Arial"/>
        </w:rPr>
        <w:t xml:space="preserve"> en su Resolutivo Cuarto de la resolución en comento, </w:t>
      </w:r>
      <w:r w:rsidRPr="004F3DBF">
        <w:rPr>
          <w:rFonts w:ascii="Palatino Linotype" w:hAnsi="Palatino Linotype" w:cs="Arial"/>
          <w:lang w:val="es-MX"/>
        </w:rPr>
        <w:t xml:space="preserve">difiero respecto </w:t>
      </w:r>
      <w:r>
        <w:rPr>
          <w:rFonts w:ascii="Palatino Linotype" w:hAnsi="Palatino Linotype" w:cs="Arial"/>
          <w:lang w:val="es-MX"/>
        </w:rPr>
        <w:t xml:space="preserve">a que se invoquen los artículos 159 y 160 de la Ley General de Transparencia y Acceso a la Información Pública. </w:t>
      </w:r>
    </w:p>
    <w:p w:rsidR="00CD236D" w:rsidRPr="00CD236D" w:rsidRDefault="00CD236D" w:rsidP="00CD236D">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 xml:space="preserve">Lo anterior, obedece a que el sentido en que se resolvió el recurso de revisión no encuadra con alguna de las hipótesis contenidas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w:t>
      </w:r>
      <w:r>
        <w:rPr>
          <w:rFonts w:ascii="Palatino Linotype" w:hAnsi="Palatino Linotype" w:cs="Arial"/>
        </w:rPr>
        <w:lastRenderedPageBreak/>
        <w:t xml:space="preserve">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CD236D" w:rsidRDefault="00CD236D" w:rsidP="00CD236D">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CD236D" w:rsidRPr="009F7867" w:rsidRDefault="00CD236D" w:rsidP="00CD236D">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CD236D" w:rsidRPr="009F7867" w:rsidRDefault="00CD236D" w:rsidP="00CD236D">
      <w:pPr>
        <w:ind w:left="851" w:right="899"/>
        <w:jc w:val="both"/>
        <w:rPr>
          <w:rFonts w:ascii="Palatino Linotype" w:hAnsi="Palatino Linotype"/>
          <w:i/>
          <w:sz w:val="22"/>
          <w:szCs w:val="22"/>
        </w:rPr>
      </w:pPr>
    </w:p>
    <w:p w:rsidR="00CD236D" w:rsidRPr="009F7867" w:rsidRDefault="00CD236D" w:rsidP="00CD236D">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CD236D" w:rsidRPr="009F7867" w:rsidRDefault="00CD236D" w:rsidP="00CD236D">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CD236D" w:rsidRPr="009F7867" w:rsidRDefault="00CD236D" w:rsidP="00CD236D">
      <w:pPr>
        <w:ind w:left="851" w:right="899"/>
        <w:jc w:val="both"/>
        <w:rPr>
          <w:rFonts w:ascii="Palatino Linotype" w:hAnsi="Palatino Linotype"/>
          <w:i/>
          <w:sz w:val="22"/>
          <w:szCs w:val="22"/>
        </w:rPr>
      </w:pPr>
      <w:r w:rsidRPr="009F7867">
        <w:rPr>
          <w:rFonts w:ascii="Palatino Linotype" w:hAnsi="Palatino Linotype"/>
          <w:i/>
          <w:sz w:val="22"/>
          <w:szCs w:val="22"/>
        </w:rPr>
        <w:t>II.</w:t>
      </w:r>
      <w:r w:rsidRPr="009F7867">
        <w:rPr>
          <w:rFonts w:ascii="Palatino Linotype" w:hAnsi="Palatino Linotype"/>
          <w:i/>
          <w:sz w:val="22"/>
          <w:szCs w:val="22"/>
        </w:rPr>
        <w:tab/>
        <w:t>Confirmen la inexistencia o negativa de información.</w:t>
      </w:r>
    </w:p>
    <w:p w:rsidR="00CD236D" w:rsidRDefault="00CD236D" w:rsidP="00CD236D">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D7107A" w:rsidRDefault="00CD236D" w:rsidP="00CD236D">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Así, de lo anterior se advierte que, los artículos en cita no resultan aplicables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manifestó que la información solicitada se encontraba reservada; sin embargo, es hasta el Informe Justificado en donde entregó el </w:t>
      </w:r>
      <w:r w:rsidR="00121EF3" w:rsidRPr="00121EF3">
        <w:rPr>
          <w:rFonts w:ascii="Palatino Linotype" w:hAnsi="Palatino Linotype" w:cs="Arial"/>
        </w:rPr>
        <w:t xml:space="preserve">“Acta de la Quinta Sesión Extraordinaria 2019 del Comité de Transparencia de la Secretaría de Seguridad”, que contiene los Acuerdos SS/CT/EXT/V/001/2019 y SS/CT/EXT/V/002/2019 </w:t>
      </w:r>
      <w:r w:rsidR="00121EF3">
        <w:rPr>
          <w:rFonts w:ascii="Palatino Linotype" w:hAnsi="Palatino Linotype" w:cs="Arial"/>
        </w:rPr>
        <w:t xml:space="preserve">en </w:t>
      </w:r>
      <w:r w:rsidR="00121EF3" w:rsidRPr="00121EF3">
        <w:rPr>
          <w:rFonts w:ascii="Palatino Linotype" w:hAnsi="Palatino Linotype" w:cs="Arial"/>
        </w:rPr>
        <w:t xml:space="preserve">que </w:t>
      </w:r>
      <w:r w:rsidR="00121EF3">
        <w:rPr>
          <w:rFonts w:ascii="Palatino Linotype" w:hAnsi="Palatino Linotype" w:cs="Arial"/>
        </w:rPr>
        <w:t xml:space="preserve">se </w:t>
      </w:r>
      <w:r w:rsidR="00121EF3" w:rsidRPr="00121EF3">
        <w:rPr>
          <w:rFonts w:ascii="Palatino Linotype" w:hAnsi="Palatino Linotype" w:cs="Arial"/>
        </w:rPr>
        <w:t xml:space="preserve">aprueba la clasificación de </w:t>
      </w:r>
      <w:r w:rsidR="00121EF3" w:rsidRPr="00121EF3">
        <w:rPr>
          <w:rFonts w:ascii="Palatino Linotype" w:hAnsi="Palatino Linotype" w:cs="Arial"/>
        </w:rPr>
        <w:lastRenderedPageBreak/>
        <w:t>información reservada por un término de cinco años, relacionada con la información que “Individualiza o Identifica al Personal Operativo de la Secretaría de Seguridad del Estado de México” y “El Estado de Fuerza de la Secretaría de Seguridad” del Es</w:t>
      </w:r>
      <w:r w:rsidR="00121EF3">
        <w:rPr>
          <w:rFonts w:ascii="Palatino Linotype" w:hAnsi="Palatino Linotype" w:cs="Arial"/>
        </w:rPr>
        <w:t>tado de México, respectivamente</w:t>
      </w:r>
      <w:r>
        <w:rPr>
          <w:rFonts w:ascii="Palatino Linotype" w:hAnsi="Palatino Linotype" w:cs="Arial"/>
        </w:rPr>
        <w:t xml:space="preserve">; por lo que, la Ponencia </w:t>
      </w:r>
      <w:proofErr w:type="spellStart"/>
      <w:r>
        <w:rPr>
          <w:rFonts w:ascii="Palatino Linotype" w:hAnsi="Palatino Linotype" w:cs="Arial"/>
        </w:rPr>
        <w:t>Resolutora</w:t>
      </w:r>
      <w:proofErr w:type="spellEnd"/>
      <w:r>
        <w:rPr>
          <w:rFonts w:ascii="Palatino Linotype" w:hAnsi="Palatino Linotype" w:cs="Arial"/>
        </w:rPr>
        <w:t>, tanto en estudio como en resolutivos manifestó que respecto a la clasificación ésta se fundamentó</w:t>
      </w:r>
      <w:r w:rsidRPr="008B5B02">
        <w:rPr>
          <w:rFonts w:ascii="Palatino Linotype" w:hAnsi="Palatino Linotype" w:cs="Arial"/>
        </w:rPr>
        <w:t xml:space="preserve"> en el </w:t>
      </w:r>
      <w:r w:rsidR="00121EF3">
        <w:rPr>
          <w:rFonts w:ascii="Palatino Linotype" w:hAnsi="Palatino Linotype" w:cs="Arial"/>
        </w:rPr>
        <w:t xml:space="preserve">artículo </w:t>
      </w:r>
      <w:r w:rsidR="00121EF3" w:rsidRPr="009B4306">
        <w:rPr>
          <w:rFonts w:ascii="Palatino Linotype" w:eastAsia="Calibri" w:hAnsi="Palatino Linotype" w:cs="Arial"/>
          <w:lang w:val="es-MX" w:eastAsia="en-US"/>
        </w:rPr>
        <w:t xml:space="preserve">113, fracción V de la Ley General de Transparencia y Acceso a la Información Pública </w:t>
      </w:r>
      <w:r w:rsidR="00D7107A">
        <w:rPr>
          <w:rFonts w:ascii="Palatino Linotype" w:eastAsia="Calibri" w:hAnsi="Palatino Linotype" w:cs="Arial"/>
          <w:lang w:val="es-MX" w:eastAsia="en-US"/>
        </w:rPr>
        <w:t xml:space="preserve">y 140, fracciones </w:t>
      </w:r>
      <w:r w:rsidR="00D7107A" w:rsidRPr="009B4306">
        <w:rPr>
          <w:rFonts w:ascii="Palatino Linotype" w:eastAsia="Calibri" w:hAnsi="Palatino Linotype" w:cs="Arial"/>
          <w:lang w:val="es-MX" w:eastAsia="en-US"/>
        </w:rPr>
        <w:t>I, IV, V y XI de la Ley de Transp</w:t>
      </w:r>
      <w:r w:rsidR="00D7107A">
        <w:rPr>
          <w:rFonts w:ascii="Palatino Linotype" w:eastAsia="Calibri" w:hAnsi="Palatino Linotype" w:cs="Arial"/>
          <w:lang w:val="es-MX" w:eastAsia="en-US"/>
        </w:rPr>
        <w:t>arencia</w:t>
      </w:r>
      <w:r w:rsidR="00D7107A" w:rsidRPr="009B4306">
        <w:rPr>
          <w:rFonts w:ascii="Palatino Linotype" w:eastAsia="Calibri" w:hAnsi="Palatino Linotype" w:cs="Arial"/>
          <w:lang w:val="es-MX" w:eastAsia="en-US"/>
        </w:rPr>
        <w:t xml:space="preserve"> </w:t>
      </w:r>
      <w:r w:rsidR="00D7107A">
        <w:rPr>
          <w:rFonts w:ascii="Palatino Linotype" w:eastAsia="Calibri" w:hAnsi="Palatino Linotype" w:cs="Arial"/>
          <w:lang w:val="es-MX" w:eastAsia="en-US"/>
        </w:rPr>
        <w:t xml:space="preserve">y </w:t>
      </w:r>
      <w:r w:rsidR="00D7107A" w:rsidRPr="009B4306">
        <w:rPr>
          <w:rFonts w:ascii="Palatino Linotype" w:eastAsia="Calibri" w:hAnsi="Palatino Linotype" w:cs="Arial"/>
          <w:lang w:val="es-MX" w:eastAsia="en-US"/>
        </w:rPr>
        <w:t>81, fracciones I, II y III de la Ley de Seguridad del Estado de México</w:t>
      </w:r>
      <w:r>
        <w:rPr>
          <w:rFonts w:ascii="Palatino Linotype" w:hAnsi="Palatino Linotype" w:cs="Arial"/>
        </w:rPr>
        <w:t>, sin señalar</w:t>
      </w:r>
      <w:r w:rsidRPr="008B5B02">
        <w:rPr>
          <w:rFonts w:ascii="Palatino Linotype" w:hAnsi="Palatino Linotype" w:cs="Arial"/>
        </w:rPr>
        <w:t xml:space="preserve"> las razones, motivos o circunstancias especiales que llevaron al sujeto obligado a concluir que el caso particular se ajusta</w:t>
      </w:r>
      <w:r>
        <w:rPr>
          <w:rFonts w:ascii="Palatino Linotype" w:hAnsi="Palatino Linotype" w:cs="Arial"/>
        </w:rPr>
        <w:t>ba</w:t>
      </w:r>
      <w:r w:rsidRPr="008B5B02">
        <w:rPr>
          <w:rFonts w:ascii="Palatino Linotype" w:hAnsi="Palatino Linotype" w:cs="Arial"/>
        </w:rPr>
        <w:t xml:space="preserve"> a cada supuesto legal invocado como fundamento, como lo prevé e</w:t>
      </w:r>
      <w:r>
        <w:rPr>
          <w:rFonts w:ascii="Palatino Linotype" w:hAnsi="Palatino Linotype" w:cs="Arial"/>
        </w:rPr>
        <w:t xml:space="preserve">l artículo 128 párrafo segundo </w:t>
      </w:r>
      <w:r w:rsidRPr="008B5B02">
        <w:rPr>
          <w:rFonts w:ascii="Palatino Linotype" w:hAnsi="Palatino Linotype" w:cs="Arial"/>
        </w:rPr>
        <w:t xml:space="preserve">de la Ley de la materia, por lo </w:t>
      </w:r>
      <w:r>
        <w:rPr>
          <w:rFonts w:ascii="Palatino Linotype" w:hAnsi="Palatino Linotype" w:cs="Arial"/>
        </w:rPr>
        <w:t>que no hubo</w:t>
      </w:r>
      <w:r w:rsidRPr="008B5B02">
        <w:rPr>
          <w:rFonts w:ascii="Palatino Linotype" w:hAnsi="Palatino Linotype" w:cs="Arial"/>
        </w:rPr>
        <w:t xml:space="preserve"> conexidad entre los fundamentos y los motivos que dieron origen a la clasificación</w:t>
      </w:r>
      <w:r>
        <w:rPr>
          <w:rFonts w:ascii="Palatino Linotype" w:hAnsi="Palatino Linotype" w:cs="Arial"/>
        </w:rPr>
        <w:t xml:space="preserve">, sin embargo, determino ordenar al </w:t>
      </w:r>
      <w:r>
        <w:rPr>
          <w:rFonts w:ascii="Palatino Linotype" w:hAnsi="Palatino Linotype" w:cs="Arial"/>
          <w:b/>
        </w:rPr>
        <w:t xml:space="preserve">SUJETO OBLIGADO, </w:t>
      </w:r>
      <w:r>
        <w:rPr>
          <w:rFonts w:ascii="Palatino Linotype" w:hAnsi="Palatino Linotype" w:cs="Arial"/>
        </w:rPr>
        <w:t xml:space="preserve">emitir nuevamente mediante su Comité de Transparencia el debido Acuerdo; ahora bien, tampoco se advierte que tanto la Ponencia </w:t>
      </w:r>
      <w:proofErr w:type="spellStart"/>
      <w:r>
        <w:rPr>
          <w:rFonts w:ascii="Palatino Linotype" w:hAnsi="Palatino Linotype" w:cs="Arial"/>
        </w:rPr>
        <w:t>Resolutora</w:t>
      </w:r>
      <w:proofErr w:type="spellEnd"/>
      <w:r>
        <w:rPr>
          <w:rFonts w:ascii="Palatino Linotype" w:hAnsi="Palatino Linotype" w:cs="Arial"/>
        </w:rPr>
        <w:t xml:space="preserve"> como </w:t>
      </w:r>
      <w:r>
        <w:rPr>
          <w:rFonts w:ascii="Palatino Linotype" w:hAnsi="Palatino Linotype" w:cs="Arial"/>
          <w:b/>
        </w:rPr>
        <w:t xml:space="preserve">EL SUJETO OBLIGADO </w:t>
      </w:r>
      <w:r>
        <w:rPr>
          <w:rFonts w:ascii="Palatino Linotype" w:hAnsi="Palatino Linotype" w:cs="Arial"/>
        </w:rPr>
        <w:t>hubieran declarado formalmente la Inexistencia de la información; en consecuencia no puede considerarse como negativa de la información, siendo que no se actualizan ninguno de los supuestos legales anteriormente citados</w:t>
      </w:r>
      <w:r w:rsidR="00D7107A">
        <w:rPr>
          <w:rFonts w:ascii="Palatino Linotype" w:hAnsi="Palatino Linotype" w:cs="Arial"/>
        </w:rPr>
        <w:t xml:space="preserve">. </w:t>
      </w:r>
    </w:p>
    <w:p w:rsidR="00CD236D" w:rsidRDefault="00CD236D" w:rsidP="00CD236D">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En ese contexto, la Ponencia </w:t>
      </w:r>
      <w:proofErr w:type="spellStart"/>
      <w:r>
        <w:rPr>
          <w:rFonts w:ascii="Palatino Linotype" w:hAnsi="Palatino Linotype" w:cs="Arial"/>
        </w:rPr>
        <w:t>Resolutora</w:t>
      </w:r>
      <w:proofErr w:type="spellEnd"/>
      <w:r>
        <w:rPr>
          <w:rFonts w:ascii="Palatino Linotype" w:hAnsi="Palatino Linotype" w:cs="Arial"/>
        </w:rPr>
        <w:t xml:space="preserve"> no confirmó la clasificación como reservada de la información requerida por el particular; por lo que, el recurso de revisión fue resuelto conforme al plazo señalado en el numeral 181 de la Ley de Transparencia y Acceso a la Información Pública del Estado de México y Municipios; en consecuencia, no puede considerarse como negativa de la información, y no se actualiza ninguno de </w:t>
      </w:r>
      <w:r>
        <w:rPr>
          <w:rFonts w:ascii="Palatino Linotype" w:hAnsi="Palatino Linotype" w:cs="Arial"/>
        </w:rPr>
        <w:lastRenderedPageBreak/>
        <w:t>los supuestos legales anteriormente citados.</w:t>
      </w:r>
    </w:p>
    <w:p w:rsidR="00CD236D" w:rsidRDefault="00CD236D" w:rsidP="00CD236D">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declarara la reserva de la información y que derivado de la inconformidad del hoy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modificara el Acuerdo emitido en su momento.</w:t>
      </w:r>
    </w:p>
    <w:p w:rsidR="00CD236D" w:rsidRDefault="00CD236D" w:rsidP="00CD236D">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 xml:space="preserve">Es </w:t>
      </w:r>
      <w:r w:rsidR="00D7107A">
        <w:rPr>
          <w:rFonts w:ascii="Palatino Linotype" w:hAnsi="Palatino Linotype" w:cs="Arial"/>
        </w:rPr>
        <w:t xml:space="preserve">así </w:t>
      </w:r>
      <w:r>
        <w:rPr>
          <w:rFonts w:ascii="Palatino Linotype" w:hAnsi="Palatino Linotype" w:cs="Arial"/>
        </w:rPr>
        <w:t>que, la suscrita</w:t>
      </w:r>
      <w:r w:rsidRPr="000A6958">
        <w:rPr>
          <w:rFonts w:ascii="Palatino Linotype" w:hAnsi="Palatino Linotype" w:cs="Arial"/>
        </w:rPr>
        <w:t xml:space="preserve"> insiste que</w:t>
      </w:r>
      <w:r>
        <w:rPr>
          <w:rFonts w:ascii="Palatino Linotype" w:hAnsi="Palatino Linotype" w:cs="Arial"/>
        </w:rPr>
        <w:t xml:space="preserve"> no era p</w:t>
      </w:r>
      <w:r w:rsidRPr="000A6958">
        <w:rPr>
          <w:rFonts w:ascii="Palatino Linotype" w:hAnsi="Palatino Linotype" w:cs="Arial"/>
        </w:rPr>
        <w:t xml:space="preserve">rocedente </w:t>
      </w:r>
      <w:r>
        <w:rPr>
          <w:rFonts w:ascii="Palatino Linotype" w:hAnsi="Palatino Linotype" w:cs="Arial"/>
        </w:rPr>
        <w:t>que se invocaran los artículos 159 y 160 de la Ley General de Transparencia y Acceso a la Información Pública en el Resolutivo Cuarto de la resolución ya que de las constancias del expediente no se advierten actos que encuadren en los supuestos de procedencia señalados.</w:t>
      </w:r>
    </w:p>
    <w:p w:rsidR="00CD236D" w:rsidRDefault="00D7107A" w:rsidP="00CD236D">
      <w:pPr>
        <w:spacing w:before="100" w:beforeAutospacing="1" w:after="100" w:afterAutospacing="1" w:line="360" w:lineRule="auto"/>
        <w:jc w:val="both"/>
        <w:rPr>
          <w:rFonts w:ascii="Palatino Linotype" w:hAnsi="Palatino Linotype"/>
        </w:rPr>
      </w:pPr>
      <w:r w:rsidRPr="00990378">
        <w:rPr>
          <w:rFonts w:ascii="Palatino Linotype" w:hAnsi="Palatino Linotype" w:cs="Arial"/>
          <w:lang w:eastAsia="es-MX"/>
        </w:rPr>
        <w:t xml:space="preserve">En razón de lo expuesto, la que suscribe emite </w:t>
      </w:r>
      <w:r w:rsidRPr="00990378">
        <w:rPr>
          <w:rFonts w:ascii="Palatino Linotype" w:hAnsi="Palatino Linotype" w:cs="Arial"/>
          <w:b/>
          <w:lang w:eastAsia="es-MX"/>
        </w:rPr>
        <w:t>VOTO PARTICULAR</w:t>
      </w:r>
      <w:r w:rsidRPr="00990378">
        <w:rPr>
          <w:rFonts w:ascii="Palatino Linotype" w:hAnsi="Palatino Linotype" w:cs="Arial"/>
        </w:rPr>
        <w:t>, puesto que se estima que debieron de ser precisadas las consideraciones enunciadas en el presente voto, en atención a los principios que consagra e</w:t>
      </w:r>
      <w:bookmarkStart w:id="0" w:name="_GoBack"/>
      <w:bookmarkEnd w:id="0"/>
      <w:r w:rsidRPr="00990378">
        <w:rPr>
          <w:rFonts w:ascii="Palatino Linotype" w:hAnsi="Palatino Linotype" w:cs="Arial"/>
        </w:rPr>
        <w:t xml:space="preserve">l artículo 9 de la Ley de Transparencia y Acceso a la Información Pública del Estado de México y Municipios. </w:t>
      </w:r>
    </w:p>
    <w:tbl>
      <w:tblPr>
        <w:tblW w:w="4393" w:type="dxa"/>
        <w:jc w:val="center"/>
        <w:tblLayout w:type="fixed"/>
        <w:tblLook w:val="04A0" w:firstRow="1" w:lastRow="0" w:firstColumn="1" w:lastColumn="0" w:noHBand="0" w:noVBand="1"/>
      </w:tblPr>
      <w:tblGrid>
        <w:gridCol w:w="4393"/>
      </w:tblGrid>
      <w:tr w:rsidR="00C51CFE" w:rsidRPr="003E78C6" w:rsidTr="00C710FB">
        <w:trPr>
          <w:jc w:val="center"/>
        </w:trPr>
        <w:tc>
          <w:tcPr>
            <w:tcW w:w="4393" w:type="dxa"/>
          </w:tcPr>
          <w:p w:rsidR="00CC6339" w:rsidRDefault="00CC6339" w:rsidP="004E38AF">
            <w:pPr>
              <w:jc w:val="center"/>
              <w:rPr>
                <w:rFonts w:ascii="Palatino Linotype" w:hAnsi="Palatino Linotype" w:cs="Arial"/>
                <w:b/>
              </w:rPr>
            </w:pPr>
          </w:p>
          <w:p w:rsidR="00CC6339" w:rsidRDefault="00CC6339" w:rsidP="004E38AF">
            <w:pPr>
              <w:jc w:val="center"/>
              <w:rPr>
                <w:rFonts w:ascii="Palatino Linotype" w:hAnsi="Palatino Linotype" w:cs="Arial"/>
                <w:b/>
              </w:rPr>
            </w:pPr>
          </w:p>
          <w:p w:rsidR="008267C9" w:rsidRDefault="008267C9" w:rsidP="004E38AF">
            <w:pPr>
              <w:jc w:val="center"/>
              <w:rPr>
                <w:rFonts w:ascii="Palatino Linotype" w:hAnsi="Palatino Linotype" w:cs="Arial"/>
                <w:b/>
              </w:rPr>
            </w:pPr>
          </w:p>
          <w:p w:rsidR="00C51CFE" w:rsidRPr="003E78C6" w:rsidRDefault="00C51CFE" w:rsidP="004E38AF">
            <w:pPr>
              <w:jc w:val="center"/>
              <w:rPr>
                <w:rFonts w:ascii="Palatino Linotype" w:hAnsi="Palatino Linotype" w:cs="Arial"/>
                <w:b/>
              </w:rPr>
            </w:pPr>
            <w:r w:rsidRPr="003E78C6">
              <w:rPr>
                <w:rFonts w:ascii="Palatino Linotype" w:hAnsi="Palatino Linotype" w:cs="Arial"/>
                <w:b/>
              </w:rPr>
              <w:t>EVA ABAID YAPUR</w:t>
            </w:r>
          </w:p>
          <w:p w:rsidR="00C51CFE" w:rsidRDefault="00C51CFE" w:rsidP="008267C9">
            <w:pPr>
              <w:jc w:val="center"/>
              <w:rPr>
                <w:rFonts w:ascii="Palatino Linotype" w:hAnsi="Palatino Linotype" w:cs="Arial"/>
                <w:b/>
              </w:rPr>
            </w:pPr>
            <w:r w:rsidRPr="003E78C6">
              <w:rPr>
                <w:rFonts w:ascii="Palatino Linotype" w:hAnsi="Palatino Linotype" w:cs="Arial"/>
                <w:b/>
              </w:rPr>
              <w:t>COMISIONADA</w:t>
            </w:r>
          </w:p>
          <w:p w:rsidR="0055781C" w:rsidRPr="003E78C6" w:rsidRDefault="0055781C" w:rsidP="008267C9">
            <w:pPr>
              <w:jc w:val="center"/>
              <w:rPr>
                <w:rFonts w:ascii="Palatino Linotype" w:hAnsi="Palatino Linotype" w:cs="Arial"/>
              </w:rPr>
            </w:pPr>
            <w:r>
              <w:rPr>
                <w:rFonts w:ascii="Palatino Linotype" w:hAnsi="Palatino Linotype"/>
                <w:b/>
              </w:rPr>
              <w:t>(RÚBRICA)</w:t>
            </w:r>
          </w:p>
        </w:tc>
      </w:tr>
    </w:tbl>
    <w:p w:rsidR="00A876FC" w:rsidRPr="008267C9" w:rsidRDefault="00A876FC" w:rsidP="00A876FC">
      <w:pPr>
        <w:mirrorIndents/>
        <w:jc w:val="both"/>
        <w:rPr>
          <w:rFonts w:ascii="Palatino Linotype" w:eastAsia="Calibri" w:hAnsi="Palatino Linotype" w:cs="Arial"/>
          <w:color w:val="000000" w:themeColor="text1"/>
          <w:sz w:val="8"/>
          <w:szCs w:val="20"/>
        </w:rPr>
      </w:pPr>
    </w:p>
    <w:p w:rsidR="00C51CFE" w:rsidRDefault="00C51CFE" w:rsidP="00A876FC">
      <w:pPr>
        <w:mirrorIndents/>
        <w:jc w:val="both"/>
        <w:rPr>
          <w:rFonts w:ascii="Palatino Linotype" w:eastAsia="Calibri" w:hAnsi="Palatino Linotype" w:cs="Arial"/>
          <w:color w:val="000000" w:themeColor="text1"/>
          <w:sz w:val="20"/>
          <w:szCs w:val="20"/>
        </w:rPr>
      </w:pPr>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 xml:space="preserve">a resolución del </w:t>
      </w:r>
      <w:r w:rsidRPr="001F2C7E">
        <w:rPr>
          <w:rFonts w:ascii="Palatino Linotype" w:eastAsia="Calibri" w:hAnsi="Palatino Linotype" w:cs="Arial"/>
          <w:color w:val="000000" w:themeColor="text1"/>
          <w:sz w:val="20"/>
          <w:szCs w:val="20"/>
        </w:rPr>
        <w:t xml:space="preserve">recurso de revisión </w:t>
      </w:r>
      <w:r w:rsidR="0027625B" w:rsidRPr="0027625B">
        <w:rPr>
          <w:rFonts w:ascii="Palatino Linotype" w:hAnsi="Palatino Linotype" w:cs="Arial"/>
          <w:sz w:val="20"/>
          <w:szCs w:val="20"/>
        </w:rPr>
        <w:t>0</w:t>
      </w:r>
      <w:r w:rsidR="00CC6339">
        <w:rPr>
          <w:rFonts w:ascii="Palatino Linotype" w:hAnsi="Palatino Linotype" w:cs="Arial"/>
          <w:sz w:val="20"/>
          <w:szCs w:val="20"/>
        </w:rPr>
        <w:t>5094</w:t>
      </w:r>
      <w:r w:rsidR="00F3670B" w:rsidRPr="0027625B">
        <w:rPr>
          <w:rFonts w:ascii="Palatino Linotype" w:hAnsi="Palatino Linotype" w:cs="Arial"/>
          <w:sz w:val="20"/>
          <w:szCs w:val="20"/>
        </w:rPr>
        <w:t>/INFOEM/IP/RR/201</w:t>
      </w:r>
      <w:r w:rsidR="00CC6339">
        <w:rPr>
          <w:rFonts w:ascii="Palatino Linotype" w:hAnsi="Palatino Linotype" w:cs="Arial"/>
          <w:sz w:val="20"/>
          <w:szCs w:val="20"/>
        </w:rPr>
        <w:t>9</w:t>
      </w:r>
      <w:r w:rsidRPr="001F2C7E">
        <w:rPr>
          <w:rFonts w:ascii="Palatino Linotype" w:eastAsia="Calibri" w:hAnsi="Palatino Linotype" w:cs="Arial"/>
          <w:color w:val="000000" w:themeColor="text1"/>
          <w:spacing w:val="-20"/>
          <w:sz w:val="20"/>
          <w:szCs w:val="20"/>
        </w:rPr>
        <w:t>,</w:t>
      </w:r>
      <w:r w:rsidR="0027625B">
        <w:rPr>
          <w:rFonts w:ascii="Palatino Linotype" w:eastAsia="Calibri" w:hAnsi="Palatino Linotype" w:cs="Arial"/>
          <w:color w:val="000000" w:themeColor="text1"/>
          <w:sz w:val="20"/>
          <w:szCs w:val="20"/>
        </w:rPr>
        <w:t xml:space="preserve"> aprobada</w:t>
      </w:r>
      <w:r w:rsidRPr="001F2C7E">
        <w:rPr>
          <w:rFonts w:ascii="Palatino Linotype" w:eastAsia="Calibri" w:hAnsi="Palatino Linotype" w:cs="Arial"/>
          <w:color w:val="000000" w:themeColor="text1"/>
          <w:sz w:val="20"/>
          <w:szCs w:val="20"/>
        </w:rPr>
        <w:t xml:space="preserve"> el </w:t>
      </w:r>
      <w:r w:rsidR="00CC6339">
        <w:rPr>
          <w:rFonts w:ascii="Palatino Linotype" w:eastAsia="Calibri" w:hAnsi="Palatino Linotype" w:cs="Arial"/>
          <w:color w:val="000000" w:themeColor="text1"/>
          <w:sz w:val="20"/>
          <w:szCs w:val="20"/>
        </w:rPr>
        <w:t xml:space="preserve">once </w:t>
      </w:r>
      <w:r w:rsidR="0027625B">
        <w:rPr>
          <w:rFonts w:ascii="Palatino Linotype" w:eastAsia="Calibri" w:hAnsi="Palatino Linotype" w:cs="Arial"/>
          <w:color w:val="000000" w:themeColor="text1"/>
          <w:sz w:val="20"/>
          <w:szCs w:val="20"/>
        </w:rPr>
        <w:t xml:space="preserve">de </w:t>
      </w:r>
      <w:r w:rsidR="00CC6339">
        <w:rPr>
          <w:rFonts w:ascii="Palatino Linotype" w:eastAsia="Calibri" w:hAnsi="Palatino Linotype" w:cs="Arial"/>
          <w:color w:val="000000" w:themeColor="text1"/>
          <w:sz w:val="20"/>
          <w:szCs w:val="20"/>
        </w:rPr>
        <w:t xml:space="preserve">septiembre </w:t>
      </w:r>
      <w:r w:rsidR="0027625B">
        <w:rPr>
          <w:rFonts w:ascii="Palatino Linotype" w:eastAsia="Calibri" w:hAnsi="Palatino Linotype" w:cs="Arial"/>
          <w:color w:val="000000" w:themeColor="text1"/>
          <w:sz w:val="20"/>
          <w:szCs w:val="20"/>
        </w:rPr>
        <w:t>de dos mil dieci</w:t>
      </w:r>
      <w:r w:rsidR="00CC6339">
        <w:rPr>
          <w:rFonts w:ascii="Palatino Linotype" w:eastAsia="Calibri" w:hAnsi="Palatino Linotype" w:cs="Arial"/>
          <w:color w:val="000000" w:themeColor="text1"/>
          <w:sz w:val="20"/>
          <w:szCs w:val="20"/>
        </w:rPr>
        <w:t>nueve</w:t>
      </w:r>
      <w:r w:rsidRPr="001F2C7E">
        <w:rPr>
          <w:rFonts w:ascii="Palatino Linotype" w:eastAsia="Calibri" w:hAnsi="Palatino Linotype" w:cs="Arial"/>
          <w:color w:val="000000" w:themeColor="text1"/>
          <w:sz w:val="20"/>
          <w:szCs w:val="20"/>
        </w:rPr>
        <w:t>.</w:t>
      </w:r>
    </w:p>
    <w:p w:rsidR="00A876FC" w:rsidRPr="008267C9" w:rsidRDefault="00A876FC" w:rsidP="00A876FC">
      <w:pPr>
        <w:mirrorIndents/>
        <w:jc w:val="both"/>
        <w:rPr>
          <w:rFonts w:ascii="Palatino Linotype" w:eastAsia="Calibri" w:hAnsi="Palatino Linotype" w:cs="Arial"/>
          <w:color w:val="000000" w:themeColor="text1"/>
          <w:sz w:val="4"/>
          <w:szCs w:val="20"/>
        </w:rPr>
      </w:pPr>
    </w:p>
    <w:p w:rsidR="00C23B43" w:rsidRDefault="0027625B" w:rsidP="00A876FC">
      <w:pPr>
        <w:mirrorIndents/>
        <w:jc w:val="both"/>
      </w:pPr>
      <w:r>
        <w:rPr>
          <w:rFonts w:ascii="Palatino Linotype" w:eastAsia="Calibri" w:hAnsi="Palatino Linotype" w:cs="Arial"/>
          <w:color w:val="000000" w:themeColor="text1"/>
          <w:sz w:val="20"/>
          <w:szCs w:val="20"/>
        </w:rPr>
        <w:t>YSM/</w:t>
      </w:r>
      <w:r w:rsidR="00B06D49">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IAHA</w:t>
      </w:r>
    </w:p>
    <w:sectPr w:rsidR="00C23B43" w:rsidSect="009B21E8">
      <w:headerReference w:type="even" r:id="rId10"/>
      <w:headerReference w:type="default" r:id="rId11"/>
      <w:footerReference w:type="default" r:id="rId12"/>
      <w:headerReference w:type="first" r:id="rId13"/>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1AD" w:rsidRDefault="00F271AD" w:rsidP="00026BF3">
      <w:r>
        <w:separator/>
      </w:r>
    </w:p>
  </w:endnote>
  <w:endnote w:type="continuationSeparator" w:id="0">
    <w:p w:rsidR="00F271AD" w:rsidRDefault="00F271AD"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55781C" w:rsidP="003056D9">
    <w:pPr>
      <w:pStyle w:val="Piedepgina"/>
      <w:tabs>
        <w:tab w:val="clear" w:pos="4252"/>
        <w:tab w:val="left" w:pos="4228"/>
      </w:tabs>
      <w:rPr>
        <w:rFonts w:ascii="Palatino Linotype" w:hAnsi="Palatino Linotype" w:cs="Arial"/>
        <w:b/>
        <w:bCs/>
        <w:sz w:val="20"/>
        <w:szCs w:val="20"/>
      </w:rPr>
    </w:pPr>
  </w:p>
  <w:p w:rsidR="003056D9" w:rsidRDefault="0055781C" w:rsidP="003056D9">
    <w:pPr>
      <w:pStyle w:val="Piedepgina"/>
      <w:tabs>
        <w:tab w:val="clear" w:pos="4252"/>
        <w:tab w:val="left" w:pos="4228"/>
      </w:tabs>
      <w:rPr>
        <w:rFonts w:ascii="Palatino Linotype" w:hAnsi="Palatino Linotype" w:cs="Arial"/>
        <w:b/>
        <w:bCs/>
        <w:sz w:val="20"/>
        <w:szCs w:val="20"/>
      </w:rPr>
    </w:pPr>
  </w:p>
  <w:p w:rsidR="003056D9" w:rsidRDefault="0055781C" w:rsidP="003056D9">
    <w:pPr>
      <w:pStyle w:val="Piedepgina"/>
      <w:tabs>
        <w:tab w:val="clear" w:pos="4252"/>
        <w:tab w:val="left" w:pos="4228"/>
      </w:tabs>
      <w:rPr>
        <w:rFonts w:ascii="Palatino Linotype" w:hAnsi="Palatino Linotype" w:cs="Arial"/>
        <w:b/>
        <w:bCs/>
        <w:sz w:val="20"/>
        <w:szCs w:val="20"/>
      </w:rPr>
    </w:pPr>
  </w:p>
  <w:p w:rsidR="00455CB3" w:rsidRDefault="0055781C" w:rsidP="000E2B1A">
    <w:pPr>
      <w:pStyle w:val="Piedepgina"/>
      <w:rPr>
        <w:rFonts w:ascii="Palatino Linotype" w:hAnsi="Palatino Linotype" w:cs="Arial"/>
        <w:b/>
        <w:bCs/>
        <w:sz w:val="20"/>
        <w:szCs w:val="20"/>
      </w:rPr>
    </w:pP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5781C">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5781C">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6F30F8" w:rsidRDefault="0055781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1AD" w:rsidRDefault="00F271AD" w:rsidP="00026BF3">
      <w:r>
        <w:separator/>
      </w:r>
    </w:p>
  </w:footnote>
  <w:footnote w:type="continuationSeparator" w:id="0">
    <w:p w:rsidR="00F271AD" w:rsidRDefault="00F271AD"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578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55781C" w:rsidP="0034309A">
    <w:pPr>
      <w:pStyle w:val="Encabezado"/>
      <w:tabs>
        <w:tab w:val="clear" w:pos="4252"/>
        <w:tab w:val="clear" w:pos="8504"/>
        <w:tab w:val="left" w:pos="2326"/>
      </w:tabs>
      <w:jc w:val="right"/>
    </w:pPr>
  </w:p>
  <w:p w:rsidR="0034309A" w:rsidRDefault="00333A12"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26BF3" w:rsidRDefault="00333A12" w:rsidP="00026BF3">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26BF3">
      <w:rPr>
        <w:rFonts w:ascii="Palatino Linotype" w:hAnsi="Palatino Linotype" w:cs="Arial"/>
        <w:sz w:val="20"/>
        <w:szCs w:val="20"/>
      </w:rPr>
      <w:t>0</w:t>
    </w:r>
    <w:r w:rsidR="00E9046A">
      <w:rPr>
        <w:rFonts w:ascii="Palatino Linotype" w:hAnsi="Palatino Linotype" w:cs="Arial"/>
        <w:sz w:val="20"/>
        <w:szCs w:val="20"/>
      </w:rPr>
      <w:t>5094</w:t>
    </w:r>
    <w:r w:rsidR="00026BF3">
      <w:rPr>
        <w:rFonts w:ascii="Palatino Linotype" w:hAnsi="Palatino Linotype" w:cs="Arial"/>
        <w:sz w:val="20"/>
        <w:szCs w:val="20"/>
      </w:rPr>
      <w:t>/INFOEM/IP</w:t>
    </w:r>
    <w:r w:rsidR="00026BF3" w:rsidRPr="00706042">
      <w:rPr>
        <w:rFonts w:ascii="Palatino Linotype" w:hAnsi="Palatino Linotype" w:cs="Arial"/>
        <w:sz w:val="20"/>
        <w:szCs w:val="20"/>
      </w:rPr>
      <w:t>/RR/201</w:t>
    </w:r>
    <w:r w:rsidR="00E9046A">
      <w:rPr>
        <w:rFonts w:ascii="Palatino Linotype" w:hAnsi="Palatino Linotype" w:cs="Arial"/>
        <w:sz w:val="20"/>
        <w:szCs w:val="20"/>
      </w:rPr>
      <w:t>9</w:t>
    </w:r>
  </w:p>
  <w:p w:rsidR="00353D78" w:rsidRDefault="0055781C"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95.6pt;margin-top:240.25pt;width:662.1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578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D3DAB"/>
    <w:multiLevelType w:val="hybridMultilevel"/>
    <w:tmpl w:val="5CE6795A"/>
    <w:lvl w:ilvl="0" w:tplc="F7784CF8">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FD87B0E"/>
    <w:multiLevelType w:val="hybridMultilevel"/>
    <w:tmpl w:val="C998519C"/>
    <w:lvl w:ilvl="0" w:tplc="DB7470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2550"/>
    <w:rsid w:val="000233D6"/>
    <w:rsid w:val="00026BF3"/>
    <w:rsid w:val="00044162"/>
    <w:rsid w:val="000607FC"/>
    <w:rsid w:val="000674FF"/>
    <w:rsid w:val="00094F5A"/>
    <w:rsid w:val="000C04E8"/>
    <w:rsid w:val="000D52F5"/>
    <w:rsid w:val="00106334"/>
    <w:rsid w:val="00121EF3"/>
    <w:rsid w:val="0019202C"/>
    <w:rsid w:val="001A05A0"/>
    <w:rsid w:val="001A224C"/>
    <w:rsid w:val="001C0499"/>
    <w:rsid w:val="001D1C0D"/>
    <w:rsid w:val="001E429C"/>
    <w:rsid w:val="001F2C7E"/>
    <w:rsid w:val="0027625B"/>
    <w:rsid w:val="002A0719"/>
    <w:rsid w:val="002A7464"/>
    <w:rsid w:val="002C1EAB"/>
    <w:rsid w:val="002C5365"/>
    <w:rsid w:val="00321A51"/>
    <w:rsid w:val="003316CD"/>
    <w:rsid w:val="00333A12"/>
    <w:rsid w:val="00353D78"/>
    <w:rsid w:val="0039670C"/>
    <w:rsid w:val="003B6148"/>
    <w:rsid w:val="003C3FE0"/>
    <w:rsid w:val="003D75AD"/>
    <w:rsid w:val="00443A78"/>
    <w:rsid w:val="00492289"/>
    <w:rsid w:val="00497EC3"/>
    <w:rsid w:val="004A33ED"/>
    <w:rsid w:val="004A70BD"/>
    <w:rsid w:val="004B4CA7"/>
    <w:rsid w:val="004D66D7"/>
    <w:rsid w:val="004E20C7"/>
    <w:rsid w:val="004E38AF"/>
    <w:rsid w:val="0055781C"/>
    <w:rsid w:val="00564878"/>
    <w:rsid w:val="005B5FEF"/>
    <w:rsid w:val="005C0C81"/>
    <w:rsid w:val="006378F7"/>
    <w:rsid w:val="0069535B"/>
    <w:rsid w:val="006C49AC"/>
    <w:rsid w:val="006D1F0D"/>
    <w:rsid w:val="006F1723"/>
    <w:rsid w:val="006F2131"/>
    <w:rsid w:val="0073098E"/>
    <w:rsid w:val="0076217A"/>
    <w:rsid w:val="00774B3F"/>
    <w:rsid w:val="007F443A"/>
    <w:rsid w:val="00807DA9"/>
    <w:rsid w:val="008102C4"/>
    <w:rsid w:val="00820C10"/>
    <w:rsid w:val="008267C9"/>
    <w:rsid w:val="00890FC5"/>
    <w:rsid w:val="00940763"/>
    <w:rsid w:val="00947992"/>
    <w:rsid w:val="00982B5B"/>
    <w:rsid w:val="00A36C1E"/>
    <w:rsid w:val="00A876FC"/>
    <w:rsid w:val="00B063FD"/>
    <w:rsid w:val="00B06D49"/>
    <w:rsid w:val="00B246AD"/>
    <w:rsid w:val="00B341DD"/>
    <w:rsid w:val="00B87D26"/>
    <w:rsid w:val="00B94271"/>
    <w:rsid w:val="00BA11B7"/>
    <w:rsid w:val="00BE080A"/>
    <w:rsid w:val="00C23B43"/>
    <w:rsid w:val="00C50802"/>
    <w:rsid w:val="00C5154F"/>
    <w:rsid w:val="00C51CFE"/>
    <w:rsid w:val="00C52216"/>
    <w:rsid w:val="00C61422"/>
    <w:rsid w:val="00C9714C"/>
    <w:rsid w:val="00CC6339"/>
    <w:rsid w:val="00CC6AAE"/>
    <w:rsid w:val="00CD236D"/>
    <w:rsid w:val="00D1413E"/>
    <w:rsid w:val="00D7107A"/>
    <w:rsid w:val="00DE353F"/>
    <w:rsid w:val="00E31356"/>
    <w:rsid w:val="00E43E28"/>
    <w:rsid w:val="00E9046A"/>
    <w:rsid w:val="00F271AD"/>
    <w:rsid w:val="00F3670B"/>
    <w:rsid w:val="00F52052"/>
    <w:rsid w:val="00F557AF"/>
    <w:rsid w:val="00FF0BDC"/>
    <w:rsid w:val="00FF2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21EF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EF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21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2455-A050-4243-A148-8DE1B37E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3227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2018-10-08T15:32:00Z</cp:lastPrinted>
  <dcterms:created xsi:type="dcterms:W3CDTF">2019-09-13T00:38:00Z</dcterms:created>
  <dcterms:modified xsi:type="dcterms:W3CDTF">2019-10-15T23:46:00Z</dcterms:modified>
</cp:coreProperties>
</file>