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006031CE">
        <w:rPr>
          <w:rFonts w:ascii="Palatino Linotype" w:eastAsia="Times New Roman" w:hAnsi="Palatino Linotype" w:cs="Arial"/>
          <w:color w:val="000000"/>
          <w:sz w:val="24"/>
          <w:szCs w:val="24"/>
          <w:lang w:eastAsia="es-MX"/>
        </w:rPr>
        <w:t>a doce de junio</w:t>
      </w:r>
      <w:r w:rsidR="0035772D">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273570">
        <w:rPr>
          <w:rFonts w:ascii="Palatino Linotype" w:hAnsi="Palatino Linotype" w:cs="Arial"/>
          <w:b/>
          <w:bCs/>
          <w:sz w:val="24"/>
          <w:lang w:eastAsia="es-MX"/>
        </w:rPr>
        <w:t>02105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087E1F">
        <w:rPr>
          <w:rFonts w:ascii="Palatino Linotype" w:hAnsi="Palatino Linotype" w:cs="Arial"/>
          <w:b/>
          <w:sz w:val="24"/>
        </w:rPr>
        <w:t>XXXXX XXXXXXX XXXXXXX XXXXXXXX</w:t>
      </w:r>
      <w:r w:rsidR="00273570">
        <w:rPr>
          <w:rFonts w:ascii="Palatino Linotype" w:hAnsi="Palatino Linotype" w:cs="Arial"/>
          <w:b/>
          <w:sz w:val="24"/>
        </w:rPr>
        <w:t xml:space="preserve"> </w:t>
      </w:r>
      <w:r w:rsidR="004803ED">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FC145E">
        <w:rPr>
          <w:rFonts w:ascii="Palatino Linotype" w:hAnsi="Palatino Linotype" w:cs="Arial"/>
          <w:sz w:val="24"/>
          <w:szCs w:val="24"/>
        </w:rPr>
        <w:t xml:space="preserve"> la</w:t>
      </w:r>
      <w:r w:rsidRPr="00224181">
        <w:rPr>
          <w:rFonts w:ascii="Palatino Linotype" w:hAnsi="Palatino Linotype" w:cs="Arial"/>
          <w:sz w:val="24"/>
          <w:szCs w:val="24"/>
        </w:rPr>
        <w:t xml:space="preserve"> </w:t>
      </w:r>
      <w:r w:rsidR="00273570" w:rsidRPr="00273570">
        <w:rPr>
          <w:rFonts w:ascii="Palatino Linotype" w:hAnsi="Palatino Linotype" w:cs="Arial"/>
          <w:b/>
          <w:sz w:val="24"/>
          <w:szCs w:val="24"/>
        </w:rPr>
        <w:t>Secretaría de Educación</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273570">
        <w:rPr>
          <w:rFonts w:ascii="Palatino Linotype" w:hAnsi="Palatino Linotype" w:cs="Arial"/>
          <w:sz w:val="24"/>
        </w:rPr>
        <w:t>once de marzo</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273570" w:rsidRPr="00273570">
        <w:rPr>
          <w:rFonts w:ascii="Palatino Linotype" w:hAnsi="Palatino Linotype" w:cs="Arial"/>
          <w:b/>
          <w:sz w:val="24"/>
        </w:rPr>
        <w:t>00257/SE/IP/2019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273570" w:rsidRPr="00273570">
        <w:rPr>
          <w:rFonts w:ascii="Palatino Linotype" w:hAnsi="Palatino Linotype"/>
          <w:i/>
          <w:color w:val="000000"/>
        </w:rPr>
        <w:t>Costo unitario de los Vehiculos que arrendaron para las oficinas staff del Secretario de Eduación y su justificación de uso.</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7357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A30977">
        <w:rPr>
          <w:rFonts w:ascii="Palatino Linotype" w:hAnsi="Palatino Linotype" w:cs="Arial"/>
          <w:sz w:val="24"/>
        </w:rPr>
        <w:t xml:space="preserve">veinticinco </w:t>
      </w:r>
      <w:r w:rsidR="002B7CD8">
        <w:rPr>
          <w:rFonts w:ascii="Palatino Linotype" w:hAnsi="Palatino Linotype" w:cs="Arial"/>
          <w:sz w:val="24"/>
        </w:rPr>
        <w:t xml:space="preserve">de </w:t>
      </w:r>
      <w:r w:rsidR="00273570">
        <w:rPr>
          <w:rFonts w:ascii="Palatino Linotype" w:hAnsi="Palatino Linotype" w:cs="Arial"/>
          <w:sz w:val="24"/>
        </w:rPr>
        <w:t xml:space="preserve">marzo </w:t>
      </w:r>
      <w:r w:rsidR="002B7CD8">
        <w:rPr>
          <w:rFonts w:ascii="Palatino Linotype" w:hAnsi="Palatino Linotype" w:cs="Arial"/>
          <w:sz w:val="24"/>
        </w:rPr>
        <w:t xml:space="preserve">de dos mil diecinueve, remitiendo </w:t>
      </w:r>
      <w:r w:rsidR="00A30977">
        <w:rPr>
          <w:rFonts w:ascii="Palatino Linotype" w:hAnsi="Palatino Linotype" w:cs="Arial"/>
          <w:sz w:val="24"/>
        </w:rPr>
        <w:t>los documentos denominados “</w:t>
      </w:r>
      <w:r w:rsidR="00273570" w:rsidRPr="00273570">
        <w:rPr>
          <w:rFonts w:ascii="Palatino Linotype" w:hAnsi="Palatino Linotype" w:cs="Arial"/>
          <w:sz w:val="24"/>
          <w:u w:val="single"/>
        </w:rPr>
        <w:t>anexo_00257.pdf</w:t>
      </w:r>
      <w:r w:rsidR="00273570" w:rsidRPr="00273570">
        <w:rPr>
          <w:rFonts w:ascii="Palatino Linotype" w:hAnsi="Palatino Linotype" w:cs="Arial"/>
          <w:sz w:val="24"/>
        </w:rPr>
        <w:t xml:space="preserve"> y </w:t>
      </w:r>
      <w:r w:rsidR="00273570" w:rsidRPr="00273570">
        <w:rPr>
          <w:rFonts w:ascii="Palatino Linotype" w:hAnsi="Palatino Linotype" w:cs="Arial"/>
          <w:sz w:val="24"/>
          <w:u w:val="single"/>
        </w:rPr>
        <w:t>res_00257.PDF</w:t>
      </w:r>
      <w:r w:rsidR="00A30977">
        <w:rPr>
          <w:rFonts w:ascii="Palatino Linotype" w:hAnsi="Palatino Linotype" w:cs="Arial"/>
          <w:sz w:val="24"/>
          <w:u w:val="single"/>
        </w:rPr>
        <w:t>”</w:t>
      </w:r>
      <w:r w:rsidR="00273570">
        <w:rPr>
          <w:rFonts w:ascii="Palatino Linotype" w:hAnsi="Palatino Linotype" w:cs="Arial"/>
          <w:sz w:val="24"/>
        </w:rPr>
        <w:t>, los</w:t>
      </w:r>
      <w:r w:rsidR="00F77F57">
        <w:rPr>
          <w:rFonts w:ascii="Palatino Linotype" w:hAnsi="Palatino Linotype" w:cs="Arial"/>
          <w:sz w:val="24"/>
        </w:rPr>
        <w:t xml:space="preserve"> cual</w:t>
      </w:r>
      <w:r w:rsidR="00273570">
        <w:rPr>
          <w:rFonts w:ascii="Palatino Linotype" w:hAnsi="Palatino Linotype" w:cs="Arial"/>
          <w:sz w:val="24"/>
        </w:rPr>
        <w:t>es</w:t>
      </w:r>
      <w:r w:rsidR="00F77F57">
        <w:rPr>
          <w:rFonts w:ascii="Palatino Linotype" w:hAnsi="Palatino Linotype" w:cs="Arial"/>
          <w:sz w:val="24"/>
        </w:rPr>
        <w:t xml:space="preserve"> se tiene</w:t>
      </w:r>
      <w:r w:rsidR="00273570">
        <w:rPr>
          <w:rFonts w:ascii="Palatino Linotype" w:hAnsi="Palatino Linotype" w:cs="Arial"/>
          <w:sz w:val="24"/>
        </w:rPr>
        <w:t>n</w:t>
      </w:r>
      <w:r w:rsidR="00F77F57">
        <w:rPr>
          <w:rFonts w:ascii="Palatino Linotype" w:hAnsi="Palatino Linotype" w:cs="Arial"/>
          <w:sz w:val="24"/>
        </w:rPr>
        <w:t xml:space="preserve"> por reproducido</w:t>
      </w:r>
      <w:r w:rsidR="00273570">
        <w:rPr>
          <w:rFonts w:ascii="Palatino Linotype" w:hAnsi="Palatino Linotype" w:cs="Arial"/>
          <w:sz w:val="24"/>
        </w:rPr>
        <w:t>s</w:t>
      </w:r>
      <w:r w:rsidR="002B7CD8">
        <w:rPr>
          <w:rFonts w:ascii="Palatino Linotype" w:hAnsi="Palatino Linotype" w:cs="Arial"/>
          <w:sz w:val="24"/>
        </w:rPr>
        <w:t xml:space="preserve"> en</w:t>
      </w:r>
      <w:r w:rsidR="00A9298D">
        <w:rPr>
          <w:rFonts w:ascii="Palatino Linotype" w:hAnsi="Palatino Linotype" w:cs="Arial"/>
          <w:sz w:val="24"/>
        </w:rPr>
        <w:t xml:space="preserve"> obvio de reproducciones ociosas.</w:t>
      </w:r>
    </w:p>
    <w:p w:rsidR="00273570" w:rsidRPr="00273570" w:rsidRDefault="00273570" w:rsidP="00273570">
      <w:pPr>
        <w:spacing w:before="240" w:line="360" w:lineRule="auto"/>
        <w:ind w:left="708"/>
        <w:jc w:val="both"/>
        <w:rPr>
          <w:rFonts w:ascii="Palatino Linotype" w:hAnsi="Palatino Linotype" w:cs="Arial"/>
          <w:i/>
          <w:sz w:val="24"/>
        </w:rPr>
      </w:pPr>
      <w:r w:rsidRPr="00273570">
        <w:rPr>
          <w:rFonts w:ascii="Palatino Linotype" w:hAnsi="Palatino Linotype" w:cs="Arial"/>
          <w:i/>
          <w:sz w:val="24"/>
        </w:rPr>
        <w:t>En respuesta a la solicitud recibida, nos permitimos hacer de su conocimiento que con fundamento en el artículo 53, Fracciones: II, V y VI de la Ley de Transparencia y Acces</w:t>
      </w:r>
      <w:bookmarkStart w:id="0" w:name="_GoBack"/>
      <w:bookmarkEnd w:id="0"/>
      <w:r w:rsidRPr="00273570">
        <w:rPr>
          <w:rFonts w:ascii="Palatino Linotype" w:hAnsi="Palatino Linotype" w:cs="Arial"/>
          <w:i/>
          <w:sz w:val="24"/>
        </w:rPr>
        <w:t>o a la Información Pública del Estado de México y Municipios, le contestamos que:</w:t>
      </w:r>
    </w:p>
    <w:p w:rsidR="00273570" w:rsidRPr="00273570" w:rsidRDefault="00273570" w:rsidP="00273570">
      <w:pPr>
        <w:spacing w:before="240" w:line="360" w:lineRule="auto"/>
        <w:ind w:left="708"/>
        <w:jc w:val="both"/>
        <w:rPr>
          <w:rFonts w:ascii="Palatino Linotype" w:hAnsi="Palatino Linotype" w:cs="Arial"/>
          <w:i/>
          <w:sz w:val="24"/>
        </w:rPr>
      </w:pPr>
      <w:r w:rsidRPr="00273570">
        <w:rPr>
          <w:rFonts w:ascii="Palatino Linotype" w:hAnsi="Palatino Linotype" w:cs="Arial"/>
          <w:i/>
          <w:sz w:val="24"/>
        </w:rPr>
        <w:t>De conformidad con lo dispuesto en el artículo 163 de la Ley de Transparencia y Acceso a la Información Pública del Estado de México y Municipios; se adjunta la respuesta correspondiente.</w:t>
      </w:r>
    </w:p>
    <w:p w:rsidR="00273570" w:rsidRPr="00273570" w:rsidRDefault="00273570" w:rsidP="00273570">
      <w:pPr>
        <w:spacing w:before="240" w:line="360" w:lineRule="auto"/>
        <w:ind w:left="708"/>
        <w:jc w:val="both"/>
        <w:rPr>
          <w:rFonts w:ascii="Palatino Linotype" w:hAnsi="Palatino Linotype" w:cs="Arial"/>
          <w:i/>
          <w:sz w:val="24"/>
        </w:rPr>
      </w:pPr>
      <w:r w:rsidRPr="00273570">
        <w:rPr>
          <w:rFonts w:ascii="Palatino Linotype" w:hAnsi="Palatino Linotype" w:cs="Arial"/>
          <w:i/>
          <w:sz w:val="24"/>
        </w:rPr>
        <w:t>ATENTAMENTE</w:t>
      </w:r>
    </w:p>
    <w:p w:rsidR="00273570" w:rsidRDefault="00273570" w:rsidP="00273570">
      <w:pPr>
        <w:spacing w:before="240" w:line="360" w:lineRule="auto"/>
        <w:ind w:left="708"/>
        <w:jc w:val="both"/>
        <w:rPr>
          <w:rFonts w:ascii="Palatino Linotype" w:hAnsi="Palatino Linotype" w:cs="Arial"/>
          <w:i/>
          <w:sz w:val="24"/>
        </w:rPr>
      </w:pPr>
      <w:r w:rsidRPr="00273570">
        <w:rPr>
          <w:rFonts w:ascii="Palatino Linotype" w:hAnsi="Palatino Linotype" w:cs="Arial"/>
          <w:i/>
          <w:sz w:val="24"/>
        </w:rPr>
        <w:t>Licenciada en Derecho Alejandra González Camacho</w:t>
      </w:r>
    </w:p>
    <w:p w:rsidR="00E15E85" w:rsidRPr="00441A94" w:rsidRDefault="00E15E85" w:rsidP="00273570">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A9298D">
        <w:rPr>
          <w:rFonts w:ascii="Palatino Linotype" w:hAnsi="Palatino Linotype" w:cs="Arial"/>
          <w:sz w:val="24"/>
          <w:szCs w:val="24"/>
        </w:rPr>
        <w:t>veintiséis</w:t>
      </w:r>
      <w:r w:rsidR="00A30977">
        <w:rPr>
          <w:rFonts w:ascii="Palatino Linotype" w:hAnsi="Palatino Linotype" w:cs="Arial"/>
          <w:sz w:val="24"/>
          <w:szCs w:val="24"/>
        </w:rPr>
        <w:t xml:space="preserve"> de marzo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A9298D">
        <w:rPr>
          <w:rFonts w:ascii="Palatino Linotype" w:hAnsi="Palatino Linotype" w:cs="Arial"/>
          <w:b/>
          <w:bCs/>
          <w:sz w:val="24"/>
          <w:szCs w:val="24"/>
          <w:lang w:eastAsia="es-MX"/>
        </w:rPr>
        <w:t>02105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A9298D" w:rsidRPr="00A9298D">
        <w:rPr>
          <w:rFonts w:ascii="Palatino Linotype" w:hAnsi="Palatino Linotype"/>
          <w:i/>
          <w:color w:val="000000"/>
        </w:rPr>
        <w:t>No es precisa la justificación.</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A9298D" w:rsidRPr="00A9298D">
        <w:rPr>
          <w:rFonts w:ascii="Palatino Linotype" w:hAnsi="Palatino Linotype" w:cs="Arial"/>
          <w:i/>
        </w:rPr>
        <w:t>Que tipo de actividades, cuales, con base en que articulo, porque recorren distancias diarias sin justificar su uso, por ejemplo moverse a cdmx es una actividad de servicio o tienen que ver con moverse a domicilios particulares.</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A9298D">
        <w:rPr>
          <w:rFonts w:ascii="Palatino Linotype" w:hAnsi="Palatino Linotype" w:cs="Arial"/>
          <w:sz w:val="24"/>
          <w:szCs w:val="24"/>
        </w:rPr>
        <w:t>uno de abril</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A9298D">
        <w:rPr>
          <w:rFonts w:ascii="Palatino Linotype" w:hAnsi="Palatino Linotype" w:cs="Arial"/>
          <w:sz w:val="24"/>
          <w:szCs w:val="24"/>
        </w:rPr>
        <w:t xml:space="preserve">cinco y diez de </w:t>
      </w:r>
      <w:r w:rsidR="0017548E">
        <w:rPr>
          <w:rFonts w:ascii="Palatino Linotype" w:hAnsi="Palatino Linotype" w:cs="Arial"/>
          <w:sz w:val="24"/>
          <w:szCs w:val="24"/>
        </w:rPr>
        <w:t>abril</w:t>
      </w:r>
      <w:r w:rsidR="00EB0246">
        <w:rPr>
          <w:rFonts w:ascii="Palatino Linotype" w:hAnsi="Palatino Linotype" w:cs="Arial"/>
          <w:sz w:val="24"/>
          <w:szCs w:val="24"/>
        </w:rPr>
        <w:t xml:space="preserve"> de dos mil diecinueve</w:t>
      </w:r>
      <w:r w:rsidR="002606F0">
        <w:rPr>
          <w:rFonts w:ascii="Palatino Linotype" w:hAnsi="Palatino Linotype" w:cs="Arial"/>
          <w:sz w:val="24"/>
          <w:szCs w:val="24"/>
        </w:rPr>
        <w:t xml:space="preserve"> </w:t>
      </w:r>
      <w:r w:rsidR="00EB0246">
        <w:rPr>
          <w:rFonts w:ascii="Palatino Linotype" w:hAnsi="Palatino Linotype" w:cs="Arial"/>
          <w:sz w:val="24"/>
          <w:szCs w:val="24"/>
        </w:rPr>
        <w:t>remitió</w:t>
      </w:r>
      <w:r w:rsidR="002606F0">
        <w:rPr>
          <w:rFonts w:ascii="Palatino Linotype" w:hAnsi="Palatino Linotype" w:cs="Arial"/>
          <w:sz w:val="24"/>
          <w:szCs w:val="24"/>
        </w:rPr>
        <w:t xml:space="preserve"> su informe justificado, mismo que se puso a la vista del recurrente</w:t>
      </w:r>
      <w:r w:rsidR="00091D98">
        <w:rPr>
          <w:rFonts w:ascii="Palatino Linotype" w:hAnsi="Palatino Linotype" w:cs="Arial"/>
          <w:sz w:val="24"/>
          <w:szCs w:val="24"/>
        </w:rPr>
        <w:t>.</w:t>
      </w:r>
      <w:r w:rsidR="00E372DA">
        <w:rPr>
          <w:rFonts w:ascii="Palatino Linotype" w:hAnsi="Palatino Linotype" w:cs="Arial"/>
          <w:sz w:val="24"/>
          <w:szCs w:val="24"/>
        </w:rPr>
        <w:t xml:space="preserve"> </w:t>
      </w:r>
    </w:p>
    <w:p w:rsidR="00E15E85"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17548E">
        <w:rPr>
          <w:rFonts w:ascii="Palatino Linotype" w:hAnsi="Palatino Linotype" w:cs="Arial"/>
          <w:sz w:val="24"/>
          <w:szCs w:val="24"/>
        </w:rPr>
        <w:t>veintidós de abril</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 xml:space="preserve">racción VI </w:t>
      </w:r>
      <w:r w:rsidR="00E15E85" w:rsidRPr="003E076B">
        <w:rPr>
          <w:rFonts w:ascii="Palatino Linotype" w:hAnsi="Palatino Linotype" w:cs="Arial"/>
          <w:sz w:val="24"/>
          <w:szCs w:val="24"/>
        </w:rPr>
        <w:lastRenderedPageBreak/>
        <w:t>de la Ley de Transparencia y Acceso a la Información Pública del Estado de México y Municipios, iniciando el término legal para dictar resolución definitiva del asunto.</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17548E" w:rsidRDefault="0017548E" w:rsidP="007654BC">
      <w:pPr>
        <w:spacing w:before="240" w:line="360" w:lineRule="auto"/>
        <w:jc w:val="center"/>
        <w:rPr>
          <w:rFonts w:ascii="Palatino Linotype" w:hAnsi="Palatino Linotype" w:cs="Arial"/>
          <w:b/>
          <w:sz w:val="24"/>
        </w:rPr>
      </w:pP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17548E" w:rsidRDefault="0017548E"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 xml:space="preserve">tiene el fin y alcance que </w:t>
      </w:r>
      <w:r w:rsidRPr="00B10F60">
        <w:rPr>
          <w:rFonts w:ascii="Palatino Linotype" w:hAnsi="Palatino Linotype" w:cs="Arial"/>
        </w:rPr>
        <w:lastRenderedPageBreak/>
        <w:t>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causas </w:t>
      </w:r>
      <w:r w:rsidR="00BC59B2">
        <w:rPr>
          <w:rFonts w:ascii="Palatino Linotype" w:hAnsi="Palatino Linotype" w:cs="Arial"/>
          <w:b/>
          <w:sz w:val="28"/>
          <w:szCs w:val="28"/>
        </w:rPr>
        <w:t>de</w:t>
      </w:r>
      <w:r>
        <w:rPr>
          <w:rFonts w:ascii="Palatino Linotype" w:hAnsi="Palatino Linotype" w:cs="Arial"/>
          <w:b/>
          <w:sz w:val="28"/>
          <w:szCs w:val="28"/>
        </w:rPr>
        <w:t xml:space="preserve"> sobreseimiento</w:t>
      </w:r>
      <w:r w:rsidRPr="0087163A">
        <w:rPr>
          <w:rFonts w:ascii="Palatino Linotype" w:hAnsi="Palatino Linotype" w:cs="Arial"/>
          <w:b/>
          <w:sz w:val="28"/>
          <w:szCs w:val="28"/>
        </w:rPr>
        <w:t>.</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104FD" w:rsidRDefault="00B04652" w:rsidP="00B0465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primer término, </w:t>
      </w:r>
      <w:r w:rsidR="00E104FD">
        <w:rPr>
          <w:rFonts w:ascii="Palatino Linotype" w:hAnsi="Palatino Linotype" w:cs="Arial"/>
          <w:sz w:val="24"/>
          <w:szCs w:val="24"/>
        </w:rPr>
        <w:t>es de recordar que el sujeto obligado dio respuesta en tiempo y forma en el siguiente tenor.</w:t>
      </w:r>
    </w:p>
    <w:p w:rsidR="00E104FD" w:rsidRDefault="00E104FD" w:rsidP="00B04652">
      <w:pPr>
        <w:tabs>
          <w:tab w:val="left" w:pos="709"/>
        </w:tabs>
        <w:spacing w:before="240" w:line="360" w:lineRule="auto"/>
        <w:ind w:right="51"/>
        <w:jc w:val="both"/>
        <w:rPr>
          <w:rFonts w:ascii="Palatino Linotype" w:hAnsi="Palatino Linotype" w:cs="Arial"/>
          <w:sz w:val="24"/>
          <w:szCs w:val="24"/>
        </w:rPr>
      </w:pPr>
      <w:r w:rsidRPr="00E104FD">
        <w:rPr>
          <w:rFonts w:ascii="Palatino Linotype" w:hAnsi="Palatino Linotype" w:cs="Arial"/>
          <w:noProof/>
          <w:sz w:val="24"/>
          <w:szCs w:val="24"/>
          <w:lang w:eastAsia="es-MX"/>
        </w:rPr>
        <w:drawing>
          <wp:inline distT="0" distB="0" distL="0" distR="0">
            <wp:extent cx="5760085" cy="2181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493" cy="2181758"/>
                    </a:xfrm>
                    <a:prstGeom prst="rect">
                      <a:avLst/>
                    </a:prstGeom>
                    <a:noFill/>
                    <a:ln>
                      <a:noFill/>
                    </a:ln>
                  </pic:spPr>
                </pic:pic>
              </a:graphicData>
            </a:graphic>
          </wp:inline>
        </w:drawing>
      </w:r>
    </w:p>
    <w:p w:rsidR="00E104FD" w:rsidRDefault="00E104FD" w:rsidP="00B04652">
      <w:pPr>
        <w:tabs>
          <w:tab w:val="left" w:pos="709"/>
        </w:tabs>
        <w:spacing w:before="240" w:line="360" w:lineRule="auto"/>
        <w:ind w:right="51"/>
        <w:jc w:val="both"/>
        <w:rPr>
          <w:rFonts w:ascii="Palatino Linotype" w:hAnsi="Palatino Linotype" w:cs="Arial"/>
          <w:sz w:val="24"/>
          <w:szCs w:val="24"/>
        </w:rPr>
      </w:pPr>
      <w:r w:rsidRPr="00E104FD">
        <w:rPr>
          <w:rFonts w:ascii="Palatino Linotype" w:hAnsi="Palatino Linotype" w:cs="Arial"/>
          <w:noProof/>
          <w:sz w:val="24"/>
          <w:szCs w:val="24"/>
          <w:lang w:eastAsia="es-MX"/>
        </w:rPr>
        <w:lastRenderedPageBreak/>
        <w:drawing>
          <wp:inline distT="0" distB="0" distL="0" distR="0">
            <wp:extent cx="5760085" cy="2152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1" cy="2153123"/>
                    </a:xfrm>
                    <a:prstGeom prst="rect">
                      <a:avLst/>
                    </a:prstGeom>
                    <a:noFill/>
                    <a:ln>
                      <a:noFill/>
                    </a:ln>
                  </pic:spPr>
                </pic:pic>
              </a:graphicData>
            </a:graphic>
          </wp:inline>
        </w:drawing>
      </w:r>
    </w:p>
    <w:p w:rsidR="00E104FD" w:rsidRDefault="00E104FD" w:rsidP="00B04652">
      <w:pPr>
        <w:tabs>
          <w:tab w:val="left" w:pos="709"/>
        </w:tabs>
        <w:spacing w:before="240" w:line="360" w:lineRule="auto"/>
        <w:ind w:right="51"/>
        <w:jc w:val="both"/>
        <w:rPr>
          <w:rFonts w:ascii="Palatino Linotype" w:hAnsi="Palatino Linotype" w:cs="Arial"/>
          <w:sz w:val="24"/>
          <w:szCs w:val="24"/>
        </w:rPr>
      </w:pPr>
      <w:r>
        <w:rPr>
          <w:noProof/>
          <w:lang w:eastAsia="es-MX"/>
        </w:rPr>
        <w:drawing>
          <wp:inline distT="0" distB="0" distL="0" distR="0" wp14:anchorId="1AE9C8E9" wp14:editId="586C384B">
            <wp:extent cx="5762195" cy="504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99" t="11464" r="22619" b="2410"/>
                    <a:stretch/>
                  </pic:blipFill>
                  <pic:spPr bwMode="auto">
                    <a:xfrm>
                      <a:off x="0" y="0"/>
                      <a:ext cx="5772047" cy="5056882"/>
                    </a:xfrm>
                    <a:prstGeom prst="rect">
                      <a:avLst/>
                    </a:prstGeom>
                    <a:ln>
                      <a:noFill/>
                    </a:ln>
                    <a:extLst>
                      <a:ext uri="{53640926-AAD7-44D8-BBD7-CCE9431645EC}">
                        <a14:shadowObscured xmlns:a14="http://schemas.microsoft.com/office/drawing/2010/main"/>
                      </a:ext>
                    </a:extLst>
                  </pic:spPr>
                </pic:pic>
              </a:graphicData>
            </a:graphic>
          </wp:inline>
        </w:drawing>
      </w:r>
    </w:p>
    <w:p w:rsidR="00E104FD" w:rsidRDefault="00E104FD" w:rsidP="00B0465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Así pues, como se desprende, el sujeto obligado alude que se le hace del conocimiento del solicitante los costos unitarios de los vehículos que se arrendaron, asimismo, señala que el uso de dichos vehículos son para el desarrollo propio de la</w:t>
      </w:r>
      <w:r w:rsidR="007D0B2C">
        <w:rPr>
          <w:rFonts w:ascii="Palatino Linotype" w:hAnsi="Palatino Linotype" w:cs="Arial"/>
          <w:sz w:val="24"/>
          <w:szCs w:val="24"/>
        </w:rPr>
        <w:t>s funciones de la Secretaria de Educación.</w:t>
      </w:r>
    </w:p>
    <w:p w:rsidR="00653B08" w:rsidRDefault="007D0B2C" w:rsidP="00B0465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Motivo por el cual el hoy recurrente se adolece de la respuesta, señalando </w:t>
      </w:r>
      <w:r w:rsidR="00B04652">
        <w:rPr>
          <w:rFonts w:ascii="Palatino Linotype" w:hAnsi="Palatino Linotype" w:cs="Arial"/>
          <w:sz w:val="24"/>
          <w:szCs w:val="24"/>
        </w:rPr>
        <w:t xml:space="preserve">como </w:t>
      </w:r>
      <w:r w:rsidR="006C7125">
        <w:rPr>
          <w:rFonts w:ascii="Palatino Linotype" w:hAnsi="Palatino Linotype" w:cs="Arial"/>
          <w:sz w:val="24"/>
          <w:szCs w:val="24"/>
        </w:rPr>
        <w:t>acto impugnado “</w:t>
      </w:r>
      <w:r w:rsidR="00A9298D">
        <w:rPr>
          <w:rFonts w:ascii="Palatino Linotype" w:hAnsi="Palatino Linotype" w:cs="Arial"/>
          <w:sz w:val="24"/>
          <w:szCs w:val="24"/>
        </w:rPr>
        <w:t>no se precisa la justificación</w:t>
      </w:r>
      <w:r>
        <w:rPr>
          <w:rFonts w:ascii="Palatino Linotype" w:hAnsi="Palatino Linotype" w:cs="Arial"/>
          <w:sz w:val="24"/>
          <w:szCs w:val="24"/>
        </w:rPr>
        <w:t>” y como razones o motvios de inconformidad, “</w:t>
      </w:r>
      <w:r w:rsidRPr="007D0B2C">
        <w:rPr>
          <w:rFonts w:ascii="Palatino Linotype" w:hAnsi="Palatino Linotype" w:cs="Arial"/>
          <w:sz w:val="24"/>
          <w:szCs w:val="24"/>
        </w:rPr>
        <w:t>Que tipo de actividades, cuales, con base en que articulo, porque recorren distancias diarias sin justificar su uso, por ejemplo moverse a cdmx es una actividad de servicio o tienen que ver con mo</w:t>
      </w:r>
      <w:r>
        <w:rPr>
          <w:rFonts w:ascii="Palatino Linotype" w:hAnsi="Palatino Linotype" w:cs="Arial"/>
          <w:sz w:val="24"/>
          <w:szCs w:val="24"/>
        </w:rPr>
        <w:t>verse a domicilios particulares” [sic.]</w:t>
      </w:r>
    </w:p>
    <w:p w:rsidR="00B04652" w:rsidRDefault="00B04652" w:rsidP="00B04652">
      <w:pPr>
        <w:spacing w:before="240" w:after="240" w:line="360" w:lineRule="auto"/>
        <w:jc w:val="both"/>
        <w:rPr>
          <w:rFonts w:ascii="Palatino Linotype" w:hAnsi="Palatino Linotype"/>
          <w:sz w:val="24"/>
          <w:szCs w:val="24"/>
        </w:rPr>
      </w:pPr>
      <w:r>
        <w:rPr>
          <w:rFonts w:ascii="Palatino Linotype" w:hAnsi="Palatino Linotype" w:cs="Arial"/>
          <w:sz w:val="24"/>
          <w:szCs w:val="24"/>
        </w:rPr>
        <w:t xml:space="preserve">En ese tenor, se denota que el recurrente únicamente se adolece de una parte de la respuesta emitida por el sujeto obligado, </w:t>
      </w:r>
      <w:r>
        <w:rPr>
          <w:rFonts w:ascii="Palatino Linotype" w:hAnsi="Palatino Linotype"/>
          <w:sz w:val="24"/>
          <w:szCs w:val="24"/>
        </w:rPr>
        <w:t>por lo que, respecto a los puntos restantes de los requerimientos vertidos por el particular se tienen por colmados en virtud de que no arguyo alegato alguno en contra de la respuesta proporcionada por el sujeto obligado, amén de que  el sujeto obligado se pronuncia respecto a todos los puntos de la soli</w:t>
      </w:r>
      <w:r w:rsidR="00CA6DA1">
        <w:rPr>
          <w:rFonts w:ascii="Palatino Linotype" w:hAnsi="Palatino Linotype"/>
          <w:sz w:val="24"/>
          <w:szCs w:val="24"/>
        </w:rPr>
        <w:t>ci</w:t>
      </w:r>
      <w:r>
        <w:rPr>
          <w:rFonts w:ascii="Palatino Linotype" w:hAnsi="Palatino Linotype"/>
          <w:sz w:val="24"/>
          <w:szCs w:val="24"/>
        </w:rPr>
        <w:t>tud, por lo anterior, existe imposibilidad para estudiarlos, ya que se trata de actos consentidos por el impetrante, asintiendo satisfacción con lo notificado por el sujeto obligado de manera tacita.</w:t>
      </w:r>
    </w:p>
    <w:p w:rsidR="00B04652" w:rsidRPr="001229C4" w:rsidRDefault="00B04652" w:rsidP="00B04652">
      <w:pPr>
        <w:spacing w:before="240" w:after="240" w:line="360" w:lineRule="auto"/>
        <w:jc w:val="both"/>
        <w:rPr>
          <w:rFonts w:ascii="Palatino Linotype" w:hAnsi="Palatino Linotype" w:cs="Arial"/>
          <w:color w:val="000000"/>
          <w:sz w:val="24"/>
          <w:szCs w:val="24"/>
        </w:rPr>
      </w:pPr>
      <w:r w:rsidRPr="001229C4">
        <w:rPr>
          <w:rFonts w:ascii="Palatino Linotype" w:hAnsi="Palatino Linotype" w:cs="Arial"/>
          <w:sz w:val="24"/>
          <w:szCs w:val="24"/>
        </w:rPr>
        <w:t xml:space="preserve">Sirve de apoyo por analogía, la Tesis Jurisprudencial Número </w:t>
      </w:r>
      <w:r w:rsidRPr="001229C4">
        <w:rPr>
          <w:rFonts w:ascii="Palatino Linotype" w:hAnsi="Palatino Linotype" w:cs="Arial"/>
          <w:color w:val="000000"/>
          <w:sz w:val="24"/>
          <w:szCs w:val="24"/>
        </w:rPr>
        <w:t>3ª./J.7/91</w:t>
      </w:r>
      <w:r w:rsidRPr="001229C4">
        <w:rPr>
          <w:rStyle w:val="Refdenotaalpie"/>
          <w:rFonts w:ascii="Palatino Linotype" w:hAnsi="Palatino Linotype" w:cs="Arial"/>
          <w:color w:val="000000"/>
          <w:sz w:val="24"/>
          <w:szCs w:val="24"/>
        </w:rPr>
        <w:footnoteReference w:id="2"/>
      </w:r>
      <w:r w:rsidRPr="001229C4">
        <w:rPr>
          <w:rFonts w:ascii="Palatino Linotype" w:hAnsi="Palatino Linotype" w:cs="Arial"/>
          <w:color w:val="000000"/>
          <w:sz w:val="24"/>
          <w:szCs w:val="24"/>
        </w:rPr>
        <w:t>, que establece:</w:t>
      </w:r>
    </w:p>
    <w:p w:rsidR="00B04652" w:rsidRDefault="00B04652" w:rsidP="00B04652">
      <w:pPr>
        <w:pStyle w:val="Prrafodelista"/>
        <w:autoSpaceDE w:val="0"/>
        <w:autoSpaceDN w:val="0"/>
        <w:adjustRightInd w:val="0"/>
        <w:spacing w:before="240" w:after="240" w:line="360" w:lineRule="auto"/>
        <w:ind w:left="567" w:right="851"/>
        <w:jc w:val="both"/>
        <w:rPr>
          <w:rFonts w:ascii="Palatino Linotype" w:hAnsi="Palatino Linotype" w:cs="Arial"/>
          <w:bCs/>
          <w:i/>
          <w:iCs/>
          <w:color w:val="000000"/>
          <w:sz w:val="20"/>
          <w:szCs w:val="20"/>
        </w:rPr>
      </w:pPr>
      <w:r w:rsidRPr="006B287D">
        <w:rPr>
          <w:rFonts w:ascii="Palatino Linotype" w:hAnsi="Palatino Linotype" w:cs="Arial"/>
          <w:b/>
          <w:i/>
          <w:color w:val="000000"/>
          <w:sz w:val="20"/>
          <w:szCs w:val="20"/>
        </w:rPr>
        <w:t xml:space="preserve">“REVISIÓN EN AMPARO. LOS RESOLUTIVOS NO COMBATIDOS DEBEN DECLARARSE FIRMES. </w:t>
      </w:r>
      <w:r w:rsidRPr="006B287D">
        <w:rPr>
          <w:rFonts w:ascii="Palatino Linotype" w:hAnsi="Palatino Linotype" w:cs="Arial"/>
          <w:bCs/>
          <w:i/>
          <w:iCs/>
          <w:color w:val="000000"/>
          <w:sz w:val="20"/>
          <w:szCs w:val="20"/>
          <w:u w:val="single"/>
        </w:rPr>
        <w:t>Cuando algún resolutivo de la sentencia impugnada afecta a la recurrente, y ésta no expresa agravio en contra de las consideraciones que le sirven de base, dicho resolutivo debe declararse firme.</w:t>
      </w:r>
      <w:r w:rsidRPr="006B287D">
        <w:rPr>
          <w:rFonts w:ascii="Palatino Linotype" w:hAnsi="Palatino Linotype" w:cs="Arial"/>
          <w:bCs/>
          <w:i/>
          <w:iCs/>
          <w:color w:val="000000"/>
          <w:sz w:val="20"/>
          <w:szCs w:val="20"/>
        </w:rPr>
        <w:t xml:space="preserve"> Esto es, en el caso referido, no obstante que la materia de la </w:t>
      </w:r>
      <w:r w:rsidRPr="006B287D">
        <w:rPr>
          <w:rFonts w:ascii="Palatino Linotype" w:hAnsi="Palatino Linotype" w:cs="Arial"/>
          <w:bCs/>
          <w:i/>
          <w:iCs/>
          <w:color w:val="000000"/>
          <w:sz w:val="20"/>
          <w:szCs w:val="20"/>
        </w:rPr>
        <w:lastRenderedPageBreak/>
        <w:t xml:space="preserve">revisión comprende a todos los resolutivos que afectan a la recurrente, </w:t>
      </w:r>
      <w:r w:rsidRPr="006B287D">
        <w:rPr>
          <w:rFonts w:ascii="Palatino Linotype" w:hAnsi="Palatino Linotype" w:cs="Arial"/>
          <w:bCs/>
          <w:i/>
          <w:iCs/>
          <w:color w:val="000000"/>
          <w:sz w:val="20"/>
          <w:szCs w:val="2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B287D">
        <w:rPr>
          <w:rFonts w:ascii="Palatino Linotype" w:hAnsi="Palatino Linotype" w:cs="Arial"/>
          <w:bCs/>
          <w:i/>
          <w:iCs/>
          <w:color w:val="000000"/>
          <w:sz w:val="20"/>
          <w:szCs w:val="20"/>
        </w:rPr>
        <w:t>.”</w:t>
      </w:r>
    </w:p>
    <w:p w:rsidR="00B04652" w:rsidRPr="006B287D" w:rsidRDefault="00B04652" w:rsidP="00B04652">
      <w:pPr>
        <w:pStyle w:val="Prrafodelista"/>
        <w:autoSpaceDE w:val="0"/>
        <w:autoSpaceDN w:val="0"/>
        <w:adjustRightInd w:val="0"/>
        <w:spacing w:before="240" w:after="240" w:line="360" w:lineRule="auto"/>
        <w:ind w:left="567" w:right="851"/>
        <w:jc w:val="both"/>
        <w:rPr>
          <w:rFonts w:ascii="Palatino Linotype" w:hAnsi="Palatino Linotype" w:cs="Arial"/>
          <w:bCs/>
          <w:iCs/>
          <w:color w:val="000000"/>
          <w:sz w:val="20"/>
          <w:szCs w:val="20"/>
        </w:rPr>
      </w:pPr>
      <w:r w:rsidRPr="006B287D">
        <w:rPr>
          <w:rFonts w:ascii="Palatino Linotype" w:hAnsi="Palatino Linotype" w:cs="Arial"/>
          <w:color w:val="000000"/>
          <w:sz w:val="20"/>
          <w:szCs w:val="20"/>
        </w:rPr>
        <w:t>(Énfasis añadido)</w:t>
      </w:r>
    </w:p>
    <w:p w:rsidR="00B04652" w:rsidRDefault="00B04652" w:rsidP="00B04652">
      <w:pPr>
        <w:spacing w:before="240" w:after="240" w:line="360" w:lineRule="auto"/>
        <w:jc w:val="both"/>
        <w:rPr>
          <w:rFonts w:ascii="Palatino Linotype" w:eastAsia="Arial Unicode MS" w:hAnsi="Palatino Linotype" w:cs="Arial"/>
          <w:sz w:val="24"/>
          <w:szCs w:val="24"/>
        </w:rPr>
      </w:pPr>
      <w:r w:rsidRPr="001229C4">
        <w:rPr>
          <w:rFonts w:ascii="Palatino Linotype" w:eastAsia="Arial Unicode MS" w:hAnsi="Palatino Linotype" w:cs="Arial"/>
          <w:sz w:val="24"/>
          <w:szCs w:val="24"/>
        </w:rPr>
        <w:t xml:space="preserve">Consecuentemente, la parte de la respuesta que no fue impugnada debe declararse consentida por el recurrente, toda vez que no realizó manifestaciones de </w:t>
      </w:r>
      <w:r>
        <w:rPr>
          <w:rFonts w:ascii="Palatino Linotype" w:eastAsia="Arial Unicode MS" w:hAnsi="Palatino Linotype" w:cs="Arial"/>
          <w:sz w:val="24"/>
          <w:szCs w:val="24"/>
        </w:rPr>
        <w:t xml:space="preserve">disenso, </w:t>
      </w:r>
      <w:r w:rsidRPr="001229C4">
        <w:rPr>
          <w:rFonts w:ascii="Palatino Linotype" w:eastAsia="Arial Unicode MS" w:hAnsi="Palatino Linotype" w:cs="Arial"/>
          <w:sz w:val="24"/>
          <w:szCs w:val="24"/>
        </w:rPr>
        <w:t>por lo que, no pueden producirse efectos jurídicos tendentes a revocar, confirmar o modificar el acto reclamado ya que se infiere su consentimiento</w:t>
      </w:r>
      <w:r>
        <w:rPr>
          <w:rStyle w:val="Refdenotaalpie"/>
          <w:rFonts w:ascii="Palatino Linotype" w:eastAsia="Arial Unicode MS" w:hAnsi="Palatino Linotype" w:cs="Arial"/>
          <w:sz w:val="24"/>
          <w:szCs w:val="24"/>
        </w:rPr>
        <w:footnoteReference w:id="3"/>
      </w:r>
      <w:r w:rsidRPr="001229C4">
        <w:rPr>
          <w:rFonts w:ascii="Palatino Linotype" w:eastAsia="Arial Unicode MS" w:hAnsi="Palatino Linotype" w:cs="Arial"/>
          <w:sz w:val="24"/>
          <w:szCs w:val="24"/>
        </w:rPr>
        <w:t xml:space="preserve">. </w:t>
      </w:r>
    </w:p>
    <w:p w:rsidR="008E7408" w:rsidRDefault="00B04652" w:rsidP="00384AC7">
      <w:pPr>
        <w:spacing w:before="240" w:after="240" w:line="360" w:lineRule="auto"/>
        <w:jc w:val="both"/>
        <w:rPr>
          <w:rFonts w:ascii="Palatino Linotype" w:hAnsi="Palatino Linotype" w:cs="Arial"/>
          <w:sz w:val="24"/>
          <w:szCs w:val="20"/>
        </w:rPr>
      </w:pPr>
      <w:r>
        <w:rPr>
          <w:rFonts w:ascii="Palatino Linotype" w:hAnsi="Palatino Linotype" w:cs="Arial"/>
          <w:sz w:val="24"/>
          <w:szCs w:val="20"/>
        </w:rPr>
        <w:t>Bajo esa premisa, el estu</w:t>
      </w:r>
      <w:r w:rsidR="00B73CC5">
        <w:rPr>
          <w:rFonts w:ascii="Palatino Linotype" w:hAnsi="Palatino Linotype" w:cs="Arial"/>
          <w:sz w:val="24"/>
          <w:szCs w:val="20"/>
        </w:rPr>
        <w:t xml:space="preserve">dio versara únicamente sobre </w:t>
      </w:r>
      <w:r w:rsidR="00A9298D">
        <w:rPr>
          <w:rFonts w:ascii="Palatino Linotype" w:hAnsi="Palatino Linotype" w:cs="Arial"/>
          <w:sz w:val="24"/>
          <w:szCs w:val="20"/>
        </w:rPr>
        <w:t>la justificación de uso de los vehículos arrendados para las oficinas del Secretario de Educación,</w:t>
      </w:r>
      <w:r w:rsidR="00B73CC5">
        <w:rPr>
          <w:rFonts w:ascii="Palatino Linotype" w:hAnsi="Palatino Linotype" w:cs="Arial"/>
          <w:sz w:val="24"/>
          <w:szCs w:val="20"/>
        </w:rPr>
        <w:t xml:space="preserve"> no siendo óbice mencionar que mediante informe justificado </w:t>
      </w:r>
      <w:r w:rsidR="009A45B6">
        <w:rPr>
          <w:rFonts w:ascii="Palatino Linotype" w:hAnsi="Palatino Linotype" w:cs="Arial"/>
          <w:sz w:val="24"/>
          <w:szCs w:val="20"/>
        </w:rPr>
        <w:t xml:space="preserve">remitido el </w:t>
      </w:r>
      <w:r w:rsidR="00A9298D">
        <w:rPr>
          <w:rFonts w:ascii="Palatino Linotype" w:hAnsi="Palatino Linotype" w:cs="Arial"/>
          <w:sz w:val="24"/>
          <w:szCs w:val="20"/>
        </w:rPr>
        <w:t>cinco y diez de abril</w:t>
      </w:r>
      <w:r w:rsidR="009A45B6">
        <w:rPr>
          <w:rFonts w:ascii="Palatino Linotype" w:hAnsi="Palatino Linotype" w:cs="Arial"/>
          <w:sz w:val="24"/>
          <w:szCs w:val="20"/>
        </w:rPr>
        <w:t xml:space="preserve"> de dos mil diecinueve, </w:t>
      </w:r>
      <w:r w:rsidR="00B73CC5">
        <w:rPr>
          <w:rFonts w:ascii="Palatino Linotype" w:hAnsi="Palatino Linotype" w:cs="Arial"/>
          <w:sz w:val="24"/>
          <w:szCs w:val="20"/>
        </w:rPr>
        <w:t xml:space="preserve">el sujeto obligado </w:t>
      </w:r>
      <w:r w:rsidR="009A45B6">
        <w:rPr>
          <w:rFonts w:ascii="Palatino Linotype" w:hAnsi="Palatino Linotype" w:cs="Arial"/>
          <w:sz w:val="24"/>
          <w:szCs w:val="20"/>
        </w:rPr>
        <w:t>complemento</w:t>
      </w:r>
      <w:r w:rsidR="00B73CC5">
        <w:rPr>
          <w:rFonts w:ascii="Palatino Linotype" w:hAnsi="Palatino Linotype" w:cs="Arial"/>
          <w:sz w:val="24"/>
          <w:szCs w:val="20"/>
        </w:rPr>
        <w:t xml:space="preserve"> la información </w:t>
      </w:r>
      <w:r w:rsidR="009A45B6">
        <w:rPr>
          <w:rFonts w:ascii="Palatino Linotype" w:hAnsi="Palatino Linotype" w:cs="Arial"/>
          <w:sz w:val="24"/>
          <w:szCs w:val="20"/>
        </w:rPr>
        <w:t xml:space="preserve">que </w:t>
      </w:r>
      <w:r w:rsidR="00B73CC5">
        <w:rPr>
          <w:rFonts w:ascii="Palatino Linotype" w:hAnsi="Palatino Linotype" w:cs="Arial"/>
          <w:sz w:val="24"/>
          <w:szCs w:val="20"/>
        </w:rPr>
        <w:t xml:space="preserve">señala como razones o motivos de inconformidad la parte recurrente y el cual </w:t>
      </w:r>
      <w:r w:rsidR="006C7125">
        <w:rPr>
          <w:rFonts w:ascii="Palatino Linotype" w:hAnsi="Palatino Linotype" w:cs="Arial"/>
          <w:sz w:val="24"/>
          <w:szCs w:val="20"/>
        </w:rPr>
        <w:t xml:space="preserve">se puso a la vista </w:t>
      </w:r>
      <w:r w:rsidR="00B73CC5">
        <w:rPr>
          <w:rFonts w:ascii="Palatino Linotype" w:hAnsi="Palatino Linotype" w:cs="Arial"/>
          <w:sz w:val="24"/>
          <w:szCs w:val="20"/>
        </w:rPr>
        <w:t>consta</w:t>
      </w:r>
      <w:r w:rsidR="006C7125">
        <w:rPr>
          <w:rFonts w:ascii="Palatino Linotype" w:hAnsi="Palatino Linotype" w:cs="Arial"/>
          <w:sz w:val="24"/>
          <w:szCs w:val="20"/>
        </w:rPr>
        <w:t>ndo</w:t>
      </w:r>
      <w:r w:rsidR="00B73CC5">
        <w:rPr>
          <w:rFonts w:ascii="Palatino Linotype" w:hAnsi="Palatino Linotype" w:cs="Arial"/>
          <w:sz w:val="24"/>
          <w:szCs w:val="20"/>
        </w:rPr>
        <w:t xml:space="preserve"> de los siguientes archivos electrónicos.</w:t>
      </w:r>
    </w:p>
    <w:p w:rsidR="006C7125" w:rsidRPr="006C7125" w:rsidRDefault="00FB0756" w:rsidP="00FB0756">
      <w:pPr>
        <w:pStyle w:val="Prrafodelista"/>
        <w:numPr>
          <w:ilvl w:val="0"/>
          <w:numId w:val="14"/>
        </w:numPr>
        <w:spacing w:before="240" w:after="240" w:line="360" w:lineRule="auto"/>
        <w:jc w:val="both"/>
        <w:rPr>
          <w:rFonts w:ascii="Palatino Linotype" w:hAnsi="Palatino Linotype" w:cs="Arial"/>
          <w:szCs w:val="20"/>
        </w:rPr>
      </w:pPr>
      <w:r w:rsidRPr="00FB0756">
        <w:rPr>
          <w:rFonts w:ascii="Palatino Linotype" w:hAnsi="Palatino Linotype" w:cs="Arial"/>
          <w:szCs w:val="20"/>
        </w:rPr>
        <w:lastRenderedPageBreak/>
        <w:t>MANIFESTACIONES EXPEDIENTE 257.pdf</w:t>
      </w:r>
      <w:r w:rsidR="006C7125">
        <w:rPr>
          <w:rFonts w:ascii="Palatino Linotype" w:hAnsi="Palatino Linotype" w:cs="Arial"/>
          <w:szCs w:val="20"/>
        </w:rPr>
        <w:t xml:space="preserve">: </w:t>
      </w:r>
      <w:r>
        <w:rPr>
          <w:rFonts w:ascii="Palatino Linotype" w:hAnsi="Palatino Linotype" w:cs="Arial"/>
          <w:szCs w:val="20"/>
        </w:rPr>
        <w:t xml:space="preserve">Consiste en el oficio número 20531A000/0133/UT/2019, dentro del cual se encuentran inmerso el informe justificado del sujeto obligado, esgrimiendo los hechos motivo del recurso de revisión, así como la refutación a las razones o motivos de inconformidad. </w:t>
      </w:r>
    </w:p>
    <w:p w:rsidR="006C7125" w:rsidRPr="006C7125" w:rsidRDefault="00FB0756" w:rsidP="00FB0756">
      <w:pPr>
        <w:pStyle w:val="Prrafodelista"/>
        <w:numPr>
          <w:ilvl w:val="0"/>
          <w:numId w:val="14"/>
        </w:numPr>
        <w:spacing w:before="240" w:after="240" w:line="360" w:lineRule="auto"/>
        <w:jc w:val="both"/>
        <w:rPr>
          <w:rFonts w:ascii="Palatino Linotype" w:hAnsi="Palatino Linotype" w:cs="Arial"/>
          <w:szCs w:val="20"/>
        </w:rPr>
      </w:pPr>
      <w:r>
        <w:rPr>
          <w:rFonts w:ascii="Palatino Linotype" w:hAnsi="Palatino Linotype" w:cs="Arial"/>
          <w:szCs w:val="20"/>
        </w:rPr>
        <w:t>ANEXO 2570001.pdf</w:t>
      </w:r>
      <w:r w:rsidR="006C7125">
        <w:rPr>
          <w:rFonts w:ascii="Palatino Linotype" w:hAnsi="Palatino Linotype" w:cs="Arial"/>
          <w:szCs w:val="20"/>
        </w:rPr>
        <w:t xml:space="preserve">: Oficio </w:t>
      </w:r>
      <w:r>
        <w:rPr>
          <w:rFonts w:ascii="Palatino Linotype" w:hAnsi="Palatino Linotype" w:cs="Arial"/>
          <w:szCs w:val="20"/>
        </w:rPr>
        <w:t xml:space="preserve">21014001A00000/2177/2019, en el cual el </w:t>
      </w:r>
      <w:r w:rsidR="005E6786">
        <w:rPr>
          <w:rFonts w:ascii="Palatino Linotype" w:hAnsi="Palatino Linotype" w:cs="Arial"/>
          <w:szCs w:val="20"/>
        </w:rPr>
        <w:t>Director</w:t>
      </w:r>
      <w:r>
        <w:rPr>
          <w:rFonts w:ascii="Palatino Linotype" w:hAnsi="Palatino Linotype" w:cs="Arial"/>
          <w:szCs w:val="20"/>
        </w:rPr>
        <w:t xml:space="preserve"> General alude que la justificación de uso de las unidades vehiculares </w:t>
      </w:r>
      <w:r w:rsidR="005E6786">
        <w:rPr>
          <w:rFonts w:ascii="Palatino Linotype" w:hAnsi="Palatino Linotype" w:cs="Arial"/>
          <w:szCs w:val="20"/>
        </w:rPr>
        <w:t>asignadas</w:t>
      </w:r>
      <w:r>
        <w:rPr>
          <w:rFonts w:ascii="Palatino Linotype" w:hAnsi="Palatino Linotype" w:cs="Arial"/>
          <w:szCs w:val="20"/>
        </w:rPr>
        <w:t xml:space="preserve"> a las oficinas del staff del Secretario de </w:t>
      </w:r>
      <w:r w:rsidR="005E6786">
        <w:rPr>
          <w:rFonts w:ascii="Palatino Linotype" w:hAnsi="Palatino Linotype" w:cs="Arial"/>
          <w:szCs w:val="20"/>
        </w:rPr>
        <w:t>Educación</w:t>
      </w:r>
      <w:r>
        <w:rPr>
          <w:rFonts w:ascii="Palatino Linotype" w:hAnsi="Palatino Linotype" w:cs="Arial"/>
          <w:szCs w:val="20"/>
        </w:rPr>
        <w:t xml:space="preserve">, lo es para el desarrollo propio de la Secretaria, en </w:t>
      </w:r>
      <w:r w:rsidR="005E6786">
        <w:rPr>
          <w:rFonts w:ascii="Palatino Linotype" w:hAnsi="Palatino Linotype" w:cs="Arial"/>
          <w:szCs w:val="20"/>
        </w:rPr>
        <w:t>cumplimiento</w:t>
      </w:r>
      <w:r>
        <w:rPr>
          <w:rFonts w:ascii="Palatino Linotype" w:hAnsi="Palatino Linotype" w:cs="Arial"/>
          <w:szCs w:val="20"/>
        </w:rPr>
        <w:t xml:space="preserve"> a lo establecido en los artículos 29 y 30 de la Ley </w:t>
      </w:r>
      <w:r w:rsidR="005E6786">
        <w:rPr>
          <w:rFonts w:ascii="Palatino Linotype" w:hAnsi="Palatino Linotype" w:cs="Arial"/>
          <w:szCs w:val="20"/>
        </w:rPr>
        <w:t>Orgánica</w:t>
      </w:r>
      <w:r>
        <w:rPr>
          <w:rFonts w:ascii="Palatino Linotype" w:hAnsi="Palatino Linotype" w:cs="Arial"/>
          <w:szCs w:val="20"/>
        </w:rPr>
        <w:t xml:space="preserve"> de la </w:t>
      </w:r>
      <w:r w:rsidR="005E6786">
        <w:rPr>
          <w:rFonts w:ascii="Palatino Linotype" w:hAnsi="Palatino Linotype" w:cs="Arial"/>
          <w:szCs w:val="20"/>
        </w:rPr>
        <w:t>Administración Pú</w:t>
      </w:r>
      <w:r>
        <w:rPr>
          <w:rFonts w:ascii="Palatino Linotype" w:hAnsi="Palatino Linotype" w:cs="Arial"/>
          <w:szCs w:val="20"/>
        </w:rPr>
        <w:t xml:space="preserve">blica del Estado de </w:t>
      </w:r>
      <w:r w:rsidR="005E6786">
        <w:rPr>
          <w:rFonts w:ascii="Palatino Linotype" w:hAnsi="Palatino Linotype" w:cs="Arial"/>
          <w:szCs w:val="20"/>
        </w:rPr>
        <w:t>México</w:t>
      </w:r>
      <w:r>
        <w:rPr>
          <w:rFonts w:ascii="Palatino Linotype" w:hAnsi="Palatino Linotype" w:cs="Arial"/>
          <w:szCs w:val="20"/>
        </w:rPr>
        <w:t xml:space="preserve">, </w:t>
      </w:r>
      <w:r w:rsidR="005E6786">
        <w:rPr>
          <w:rFonts w:ascii="Palatino Linotype" w:hAnsi="Palatino Linotype" w:cs="Arial"/>
          <w:szCs w:val="20"/>
        </w:rPr>
        <w:t>así</w:t>
      </w:r>
      <w:r>
        <w:rPr>
          <w:rFonts w:ascii="Palatino Linotype" w:hAnsi="Palatino Linotype" w:cs="Arial"/>
          <w:szCs w:val="20"/>
        </w:rPr>
        <w:t xml:space="preserve"> como lo establecido en los diversos 29 y 30 del Manual General de Organización de la Secretaria de </w:t>
      </w:r>
      <w:r w:rsidR="005E6786">
        <w:rPr>
          <w:rFonts w:ascii="Palatino Linotype" w:hAnsi="Palatino Linotype" w:cs="Arial"/>
          <w:szCs w:val="20"/>
        </w:rPr>
        <w:t>Educación.</w:t>
      </w:r>
    </w:p>
    <w:p w:rsidR="00C23151" w:rsidRDefault="00C23151" w:rsidP="005E6786">
      <w:pPr>
        <w:spacing w:before="240" w:after="240" w:line="360" w:lineRule="auto"/>
        <w:jc w:val="both"/>
        <w:rPr>
          <w:rFonts w:ascii="Palatino Linotype" w:hAnsi="Palatino Linotype" w:cs="Arial"/>
          <w:sz w:val="24"/>
          <w:szCs w:val="24"/>
        </w:rPr>
      </w:pPr>
      <w:r w:rsidRPr="00FB0756">
        <w:rPr>
          <w:rFonts w:ascii="Palatino Linotype" w:hAnsi="Palatino Linotype" w:cs="Arial"/>
          <w:sz w:val="24"/>
          <w:szCs w:val="24"/>
        </w:rPr>
        <w:t xml:space="preserve">De lo anterior se desprende que el sujeto obligado por medio </w:t>
      </w:r>
      <w:r w:rsidR="005E6786">
        <w:rPr>
          <w:rFonts w:ascii="Palatino Linotype" w:hAnsi="Palatino Linotype" w:cs="Arial"/>
          <w:sz w:val="24"/>
          <w:szCs w:val="24"/>
        </w:rPr>
        <w:t xml:space="preserve">de los archivos remitidos en informe justificado, amplio su respuesta arguyendo que </w:t>
      </w:r>
      <w:r w:rsidR="005E6786" w:rsidRPr="005E6786">
        <w:rPr>
          <w:rFonts w:ascii="Palatino Linotype" w:hAnsi="Palatino Linotype" w:cs="Arial"/>
          <w:sz w:val="24"/>
          <w:szCs w:val="24"/>
        </w:rPr>
        <w:t xml:space="preserve">la justificación de uso de las unidades vehiculares asignadas a las oficinas del staff del Secretario de Educación, lo es para el desarrollo propio de la Secretaria, en cumplimiento a lo establecido en los </w:t>
      </w:r>
      <w:r w:rsidR="005E283C">
        <w:rPr>
          <w:rFonts w:ascii="Palatino Linotype" w:hAnsi="Palatino Linotype" w:cs="Arial"/>
          <w:sz w:val="24"/>
          <w:szCs w:val="24"/>
        </w:rPr>
        <w:t>en la</w:t>
      </w:r>
      <w:r w:rsidR="005E6786" w:rsidRPr="005E6786">
        <w:rPr>
          <w:rFonts w:ascii="Palatino Linotype" w:hAnsi="Palatino Linotype" w:cs="Arial"/>
          <w:sz w:val="24"/>
          <w:szCs w:val="24"/>
        </w:rPr>
        <w:t xml:space="preserve"> Ley Orgánica de la Administración Pública del Estado de México, así como lo establecido en </w:t>
      </w:r>
      <w:r w:rsidR="005E283C">
        <w:rPr>
          <w:rFonts w:ascii="Palatino Linotype" w:hAnsi="Palatino Linotype" w:cs="Arial"/>
          <w:sz w:val="24"/>
          <w:szCs w:val="24"/>
        </w:rPr>
        <w:t xml:space="preserve">el </w:t>
      </w:r>
      <w:r w:rsidR="005E6786" w:rsidRPr="005E6786">
        <w:rPr>
          <w:rFonts w:ascii="Palatino Linotype" w:hAnsi="Palatino Linotype" w:cs="Arial"/>
          <w:sz w:val="24"/>
          <w:szCs w:val="24"/>
        </w:rPr>
        <w:t>Manual General de Organización de la Secretaria de Educación.</w:t>
      </w:r>
    </w:p>
    <w:p w:rsidR="005E6786" w:rsidRDefault="005E6786" w:rsidP="005E678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Bajo tal guisa, dichos ordenamientos legales rezan a la letra:</w:t>
      </w:r>
    </w:p>
    <w:p w:rsidR="005E283C" w:rsidRPr="00D5453E" w:rsidRDefault="005E283C" w:rsidP="00D5453E">
      <w:pPr>
        <w:spacing w:before="240" w:after="240" w:line="360" w:lineRule="auto"/>
        <w:ind w:left="708"/>
        <w:jc w:val="both"/>
        <w:rPr>
          <w:rFonts w:ascii="Palatino Linotype" w:hAnsi="Palatino Linotype"/>
          <w:i/>
        </w:rPr>
      </w:pPr>
      <w:r w:rsidRPr="00D5453E">
        <w:rPr>
          <w:rFonts w:ascii="Palatino Linotype" w:hAnsi="Palatino Linotype"/>
          <w:i/>
        </w:rPr>
        <w:t>Artículo 29.- La Secretaría de Educación, es el órgano encargado de fijar y ejecutar la política educativa, en la Entidad.</w:t>
      </w:r>
    </w:p>
    <w:p w:rsidR="005E283C" w:rsidRPr="00D5453E" w:rsidRDefault="005E283C" w:rsidP="00D5453E">
      <w:pPr>
        <w:spacing w:before="240" w:after="240" w:line="360" w:lineRule="auto"/>
        <w:ind w:left="708"/>
        <w:jc w:val="both"/>
        <w:rPr>
          <w:rFonts w:ascii="Palatino Linotype" w:hAnsi="Palatino Linotype"/>
          <w:i/>
        </w:rPr>
      </w:pPr>
      <w:r w:rsidRPr="00D5453E">
        <w:rPr>
          <w:rFonts w:ascii="Palatino Linotype" w:hAnsi="Palatino Linotype"/>
          <w:i/>
        </w:rPr>
        <w:t xml:space="preserve">Artículo 30.- A la Secretaría de Educación, corresponde el despacho de los siguientes asuntos: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i/>
          <w:sz w:val="22"/>
          <w:szCs w:val="22"/>
        </w:rPr>
      </w:pPr>
      <w:r w:rsidRPr="00D5453E">
        <w:rPr>
          <w:rFonts w:ascii="Palatino Linotype" w:hAnsi="Palatino Linotype"/>
          <w:i/>
          <w:sz w:val="22"/>
          <w:szCs w:val="22"/>
        </w:rPr>
        <w:lastRenderedPageBreak/>
        <w:t xml:space="preserve">Formular, en el ámbito que compete al Estado, la política educativa, así como la de desarrollo cultural, bienestar social y deporte.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Planear, organizar, desarrollar, vigilar y evaluar los servicios educativos que dependen del Gobierno del Estado o sus organismos descentralizados con apego a la legislación federal y estatal vigentes.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Planear, desarrollar, dirigir, y vigilar la educación a cargo del Gobierno Federal y de los particulares en todos los tipos, niveles y modalidades, en términos de la legislación correspondiente.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Vigilar el cumplimiento de las disposiciones jurídicas, políticas y planes del sector, a través de auditorías, revisiones e inspecciones, que se realicen a los servicios educativos que dependen del Gobierno del Estado o sus organismos descentralizados y de las instituciones educativas particulares en todos los tipos, niveles y modalidades.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Crear y mantener las escuelas oficiales que dependan directamente del Gobierno del Estado y autorizar la creación de las que forman parte de sus organismos descentralizados, con excepción de las instituciones de educación superior autónomas.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Formular los contenidos regionales de los planes y programas de estudio y educación básica.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Elaborar y, en su caso, ejecutar los convenios de coordinación que en materia educativa, cultural, de bienestar social, o deportiva celebre el Estado con el Gobierno Federal y los Municipios.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Representar al Gobierno del Estado ante todo tipo de organismos educativos.</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lastRenderedPageBreak/>
        <w:t xml:space="preserve">Revalidar los estudios, diplomas, grados o títulos equivalentes a la enseñanza que se imparta en el Estado y organizar el servicio social.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Mantener por sí, o en coordinación con los Gobiernos Federal y Municipal, programas permanentes de educación para adultos, de alfabetización y demás programas especiales.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Promover, coordinar y fomentar los programas de educación para la salud y mejoramiento del ambiente aprobados para el Estado.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Desarrollar por sí, o en coordinación con otras instancias competentes programas de atención a indígenas.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Vigilar la realización de los actos cívicos escolares de acuerdo con el calendario oficial.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Otorgar becas de conformidad con las disposiciones legales aplicables.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Coordinar, organizar, dirigir y fomentar el establecimiento de bibliotecas, hemerotecas, casas de cultura, museos y orientar sus actividades.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Fomentar y vigilar el desarrollo de la investigación científica y tecnológica de la Entidad y promover la creación de centros de investigación, laboratorios, observatorios y, en general, la infraestructura que requiera la educación formal, la investigación científica y el desarrollo tecnológico.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Impulsar las actividades de difusión y fomento cultural y la educación artística.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Mantener al corriente el escalafón del magisterio y crear un sistema de estímulos y recompensas a la labor docente.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lastRenderedPageBreak/>
        <w:t xml:space="preserve">Administrar los asilos e instituciones de beneficencia pública del Gobierno del Estado.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Coordinar con las autoridades competentes la realización de campañas para prevenir y atacar la farmacodependencia y el alcoholismo.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Proteger, mantener y acrecentar el patrimonio artístico e histórico de la entidad.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Establecer los criterios educativos y culturales en la producción radiofónica y televisiva del Gobierno del Estado.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Coordinar, organizar y fomentar la enseñanza y la práctica de los deportes en el Estado, así como la participación en torneos y justas deportivas nacionales y extranjeras.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Establecer, promover y fomentar los planes y programas educativos, material didáctico y libros de texto locales, con perspectiva de género, así como las políticas para prevenir y eliminar actos de discriminación.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Fomentar en su esfera de competencia la sana alimentación y activación física de la población escolar del sistema educativo del Estado de México, con especial énfasis en el cuidado de los alimentos que se expenden en las escuelas públicas y privadas de educación básica, aplicando la reglamentación conducente. La Secretaría de Educación se coordinará con la Secretaría de Salud y demás dependencias y organismos que tengan intervención en la materia, pudiendo establecer los convenios respectivos con los municipios de la Entidad.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 xml:space="preserve">Promover la transformación de las guarderías y de las escuelas del sistema tradicional por turno, en guarderías y escuelas de tiempo completo, según población </w:t>
      </w:r>
      <w:r w:rsidRPr="00D5453E">
        <w:rPr>
          <w:rFonts w:ascii="Palatino Linotype" w:hAnsi="Palatino Linotype"/>
          <w:i/>
          <w:sz w:val="22"/>
          <w:szCs w:val="22"/>
        </w:rPr>
        <w:lastRenderedPageBreak/>
        <w:t xml:space="preserve">objetivo, cuando lo permitan la capacitación del personal docente, las condiciones presupuestales y la infraestructura física educativa. </w:t>
      </w:r>
    </w:p>
    <w:p w:rsidR="005E283C" w:rsidRPr="00D5453E" w:rsidRDefault="005E283C" w:rsidP="00D5453E">
      <w:pPr>
        <w:pStyle w:val="Prrafodelista"/>
        <w:numPr>
          <w:ilvl w:val="0"/>
          <w:numId w:val="15"/>
        </w:numPr>
        <w:spacing w:before="240" w:after="240" w:line="360" w:lineRule="auto"/>
        <w:ind w:left="1788"/>
        <w:jc w:val="both"/>
        <w:rPr>
          <w:rFonts w:ascii="Palatino Linotype" w:hAnsi="Palatino Linotype" w:cs="Arial"/>
          <w:i/>
          <w:sz w:val="22"/>
          <w:szCs w:val="22"/>
        </w:rPr>
      </w:pPr>
      <w:r w:rsidRPr="00D5453E">
        <w:rPr>
          <w:rFonts w:ascii="Palatino Linotype" w:hAnsi="Palatino Linotype"/>
          <w:i/>
          <w:sz w:val="22"/>
          <w:szCs w:val="22"/>
        </w:rPr>
        <w:t>Las demás que señalen las leyes y reglamentos vigentes en el Estado.</w:t>
      </w:r>
    </w:p>
    <w:p w:rsidR="005E283C" w:rsidRPr="00D5453E" w:rsidRDefault="005E283C" w:rsidP="00D5453E">
      <w:pPr>
        <w:spacing w:before="240" w:after="240" w:line="360" w:lineRule="auto"/>
        <w:ind w:left="708"/>
        <w:jc w:val="both"/>
        <w:rPr>
          <w:rFonts w:ascii="Palatino Linotype" w:hAnsi="Palatino Linotype"/>
          <w:i/>
        </w:rPr>
      </w:pPr>
      <w:r w:rsidRPr="00D5453E">
        <w:rPr>
          <w:rFonts w:ascii="Palatino Linotype" w:hAnsi="Palatino Linotype"/>
          <w:i/>
        </w:rPr>
        <w:t xml:space="preserve">1.5.3 Dirección General de Recursos Materiales y Servicios </w:t>
      </w:r>
    </w:p>
    <w:p w:rsidR="005E283C" w:rsidRPr="00D5453E" w:rsidRDefault="005E283C" w:rsidP="00D5453E">
      <w:pPr>
        <w:spacing w:before="240" w:after="240" w:line="360" w:lineRule="auto"/>
        <w:ind w:left="708"/>
        <w:jc w:val="both"/>
        <w:rPr>
          <w:rFonts w:ascii="Palatino Linotype" w:hAnsi="Palatino Linotype"/>
          <w:i/>
        </w:rPr>
      </w:pPr>
      <w:r w:rsidRPr="00D5453E">
        <w:rPr>
          <w:rFonts w:ascii="Palatino Linotype" w:hAnsi="Palatino Linotype"/>
          <w:i/>
        </w:rPr>
        <w:t xml:space="preserve">Misión </w:t>
      </w:r>
    </w:p>
    <w:p w:rsidR="005E283C" w:rsidRPr="00D5453E" w:rsidRDefault="005E283C" w:rsidP="00D5453E">
      <w:pPr>
        <w:spacing w:before="240" w:after="240" w:line="360" w:lineRule="auto"/>
        <w:ind w:left="708"/>
        <w:jc w:val="both"/>
        <w:rPr>
          <w:rFonts w:ascii="Palatino Linotype" w:hAnsi="Palatino Linotype"/>
          <w:i/>
        </w:rPr>
      </w:pPr>
      <w:r w:rsidRPr="00D5453E">
        <w:rPr>
          <w:rFonts w:ascii="Palatino Linotype" w:hAnsi="Palatino Linotype"/>
          <w:i/>
        </w:rPr>
        <w:t xml:space="preserve">Administrar los recursos económicos destinados a las adquisiciones, arrendamientos y prestación de servicios relacionados con bienes muebles, así como la contratación de obras públicas y servicios relacionados con las mismas que las unidades administrativas de la Secretaría de Educación Pública requieran. </w:t>
      </w:r>
    </w:p>
    <w:p w:rsidR="005E283C" w:rsidRPr="00D5453E" w:rsidRDefault="005E283C" w:rsidP="00D5453E">
      <w:pPr>
        <w:spacing w:before="240" w:after="240" w:line="360" w:lineRule="auto"/>
        <w:ind w:left="708"/>
        <w:jc w:val="both"/>
        <w:rPr>
          <w:rFonts w:ascii="Palatino Linotype" w:hAnsi="Palatino Linotype"/>
          <w:i/>
        </w:rPr>
      </w:pPr>
      <w:r w:rsidRPr="00D5453E">
        <w:rPr>
          <w:rFonts w:ascii="Palatino Linotype" w:hAnsi="Palatino Linotype"/>
          <w:i/>
        </w:rPr>
        <w:t xml:space="preserve">Funciones </w:t>
      </w:r>
    </w:p>
    <w:p w:rsidR="005E283C"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Proponer normas para regular las actividades de administración de los recursos materiales y la prestación de servicios generales cuya aplicación corresponda a las unidades administrativas de la Secretaría, difundir las vigentes y verificar su cumplimiento;</w:t>
      </w:r>
    </w:p>
    <w:p w:rsidR="005E283C"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Analizar las requisiciones, evaluar los programas y presupuesto de adquisiciones elaborados por las unidades administrativas de la Secretaría, y verificar su correcta ejecución; </w:t>
      </w:r>
    </w:p>
    <w:p w:rsidR="005E283C" w:rsidRPr="00625D87" w:rsidRDefault="005E283C" w:rsidP="00D5453E">
      <w:pPr>
        <w:pStyle w:val="Prrafodelista"/>
        <w:numPr>
          <w:ilvl w:val="0"/>
          <w:numId w:val="16"/>
        </w:numPr>
        <w:spacing w:before="240" w:after="240" w:line="360" w:lineRule="auto"/>
        <w:ind w:left="1428"/>
        <w:jc w:val="both"/>
        <w:rPr>
          <w:rFonts w:ascii="Palatino Linotype" w:hAnsi="Palatino Linotype"/>
          <w:b/>
          <w:i/>
          <w:sz w:val="22"/>
          <w:szCs w:val="22"/>
        </w:rPr>
      </w:pPr>
      <w:r w:rsidRPr="00625D87">
        <w:rPr>
          <w:rFonts w:ascii="Palatino Linotype" w:hAnsi="Palatino Linotype"/>
          <w:b/>
          <w:i/>
          <w:sz w:val="22"/>
          <w:szCs w:val="22"/>
        </w:rPr>
        <w:t xml:space="preserve">Elaborar los programas anuales de adquisiciones, arrendamientos y servicios, de obras públicas y servicios relacionados con las mismas, de conservación y de mantenimiento de bienes de la Secretaría, e integrar el anteproyecto de presupuesto anual para la adquisición de bienes de inversión de ésta; </w:t>
      </w:r>
    </w:p>
    <w:p w:rsidR="005E283C" w:rsidRPr="00625D87" w:rsidRDefault="005E283C" w:rsidP="00D5453E">
      <w:pPr>
        <w:pStyle w:val="Prrafodelista"/>
        <w:numPr>
          <w:ilvl w:val="0"/>
          <w:numId w:val="16"/>
        </w:numPr>
        <w:spacing w:before="240" w:after="240" w:line="360" w:lineRule="auto"/>
        <w:ind w:left="1428"/>
        <w:jc w:val="both"/>
        <w:rPr>
          <w:rFonts w:ascii="Palatino Linotype" w:hAnsi="Palatino Linotype"/>
          <w:b/>
          <w:i/>
          <w:sz w:val="22"/>
          <w:szCs w:val="22"/>
        </w:rPr>
      </w:pPr>
      <w:r w:rsidRPr="00625D87">
        <w:rPr>
          <w:rFonts w:ascii="Palatino Linotype" w:hAnsi="Palatino Linotype"/>
          <w:b/>
          <w:i/>
          <w:sz w:val="22"/>
          <w:szCs w:val="22"/>
        </w:rPr>
        <w:lastRenderedPageBreak/>
        <w:t xml:space="preserve">Tramitar la adquisición de bienes y la contratación de los servicios de apoyo que requieran las unidades administrativas de la Secretaría, y desarrollar los procesos de contrataciones públicas para la adquisición de recursos materiales y de arrendamientos, servicios, obras públicas y servicios relacionados con las mismas, así como realizar los actos jurídicos y administrativos inherentes a ellos, incluida su terminación o rescisión; </w:t>
      </w:r>
    </w:p>
    <w:p w:rsidR="005E283C"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Participar, en los términos de las disposiciones jurídicas aplicables, en los comités de Obras Públicas, Bienes Muebles y de Adquisiciones, Arrendamientos y Servicios, entre otros, en unidades internas de protección civil de la Secretaría, así como en los subcomités de adquisiciones, arrendamientos y servicios que se creen en los órganos administrativos desconcentrados de ésta; </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Llevar el inventario de los bienes muebles de la Secretaría, así como determinar y tramitar la baja y disposición final de los mismos, emitir el dictamen técnico e instrumentar el procedimiento que deba seguirse en lo relativo a su afectación y destino final; </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Llevar el registro de los bienes inmuebles asignados y destinados a la Secretaría, constituirse como responsable inmobiliario respecto de los bienes en destino y aquéllos que se encuentren en trámite, y ser el enlace ante el Sistema de Administración Inmobiliario Federal y Paraestatal, conforme a lo dispuesto en la Ley General de Bienes Nacionales y demás disposiciones jurídicas aplicables; </w:t>
      </w:r>
    </w:p>
    <w:p w:rsidR="00D5453E" w:rsidRPr="00D5453E" w:rsidRDefault="00D5453E"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P</w:t>
      </w:r>
      <w:r w:rsidR="005E283C" w:rsidRPr="00D5453E">
        <w:rPr>
          <w:rFonts w:ascii="Palatino Linotype" w:hAnsi="Palatino Linotype"/>
          <w:i/>
          <w:sz w:val="22"/>
          <w:szCs w:val="22"/>
        </w:rPr>
        <w:t xml:space="preserve">ropiciar, en coordinación con las unidades administrativas de la Secretaría, la conservación, reparación, mantenimiento y adaptación del mobiliario, maquinaria, equipo e instrumental destinado a la labor educativa y administrativa; </w:t>
      </w:r>
    </w:p>
    <w:p w:rsidR="00D5453E" w:rsidRPr="00625D87" w:rsidRDefault="005E283C" w:rsidP="00D5453E">
      <w:pPr>
        <w:pStyle w:val="Prrafodelista"/>
        <w:numPr>
          <w:ilvl w:val="0"/>
          <w:numId w:val="16"/>
        </w:numPr>
        <w:spacing w:before="240" w:after="240" w:line="360" w:lineRule="auto"/>
        <w:ind w:left="1428"/>
        <w:jc w:val="both"/>
        <w:rPr>
          <w:rFonts w:ascii="Palatino Linotype" w:hAnsi="Palatino Linotype"/>
          <w:b/>
          <w:i/>
          <w:sz w:val="22"/>
          <w:szCs w:val="22"/>
        </w:rPr>
      </w:pPr>
      <w:r w:rsidRPr="00625D87">
        <w:rPr>
          <w:rFonts w:ascii="Palatino Linotype" w:hAnsi="Palatino Linotype"/>
          <w:b/>
          <w:i/>
          <w:sz w:val="22"/>
          <w:szCs w:val="22"/>
        </w:rPr>
        <w:lastRenderedPageBreak/>
        <w:t xml:space="preserve">Prestar los servicios generales de correspondencia, archivo, almacén, aseo, intendencia, mantenimiento, taller de automotores, transportes, vigilancia y demás que requieran las unidades administrativas de la Secretaría, así como mantener asegurados sus bienes; </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Conservar, reparar, mantener y adaptar los edificios destinados a labores administrativas de la Secretaría;</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Supervisar el establecimiento y operación de los servicios de seguridad en las unidades administrativas de la Secretaría, así como proponer las medidas que resulten conducentes; </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Coordinar el establecimiento y operación de los programas de protección civil en las unidades administrativas de la Secretaría y asesorar en la materia a los planteles en que se imparte educación de los tipos medio superior y superior, así como a las entidades del sector educativo; </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Elaborar y suscribir, los contratos y convenios de obras públicas y servicios relacionados con las mismas, adquisiciones, arrendamientos y de prestación de servicios de la Secretaría, así como realizar los trámites necesarios ante las autoridades competentes y las instituciones respectivas para recuperar las garantías otorgadas por proveedores y contratistas; </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Elaborar y suscribir, los contratos y convenios de arrendamiento de inmuebles, previa justificación de las unidades administrativas y órganos administrativos desconcentrados de la Secretaría, conforme a las disposiciones jurídicas aplicables, y </w:t>
      </w:r>
    </w:p>
    <w:p w:rsidR="00D5453E" w:rsidRPr="00D5453E" w:rsidRDefault="005E283C" w:rsidP="00D5453E">
      <w:pPr>
        <w:pStyle w:val="Prrafodelista"/>
        <w:numPr>
          <w:ilvl w:val="0"/>
          <w:numId w:val="16"/>
        </w:numPr>
        <w:spacing w:before="240" w:after="240" w:line="360" w:lineRule="auto"/>
        <w:ind w:left="1428"/>
        <w:jc w:val="both"/>
        <w:rPr>
          <w:rFonts w:ascii="Palatino Linotype" w:hAnsi="Palatino Linotype"/>
          <w:i/>
          <w:sz w:val="22"/>
          <w:szCs w:val="22"/>
        </w:rPr>
      </w:pPr>
      <w:r w:rsidRPr="00D5453E">
        <w:rPr>
          <w:rFonts w:ascii="Palatino Linotype" w:hAnsi="Palatino Linotype"/>
          <w:i/>
          <w:sz w:val="22"/>
          <w:szCs w:val="22"/>
        </w:rPr>
        <w:t xml:space="preserve">Vigilar y supervisar que las obras de construcción, reparación, adaptación, mantenimiento, conservación o acondicionamiento que realice por sí o a través de </w:t>
      </w:r>
      <w:r w:rsidRPr="00D5453E">
        <w:rPr>
          <w:rFonts w:ascii="Palatino Linotype" w:hAnsi="Palatino Linotype"/>
          <w:i/>
          <w:sz w:val="22"/>
          <w:szCs w:val="22"/>
        </w:rPr>
        <w:lastRenderedPageBreak/>
        <w:t xml:space="preserve">terceros contratados, se ejecuten conforme a las especificaciones de los contratos y proyectos respectivos. </w:t>
      </w:r>
    </w:p>
    <w:p w:rsidR="00E14924" w:rsidRDefault="005E283C" w:rsidP="00E14924">
      <w:pPr>
        <w:spacing w:before="240" w:after="240" w:line="360" w:lineRule="auto"/>
        <w:ind w:left="708"/>
        <w:jc w:val="both"/>
        <w:rPr>
          <w:rFonts w:ascii="Palatino Linotype" w:hAnsi="Palatino Linotype"/>
          <w:i/>
        </w:rPr>
      </w:pPr>
      <w:r w:rsidRPr="00D5453E">
        <w:rPr>
          <w:rFonts w:ascii="Palatino Linotype" w:hAnsi="Palatino Linotype"/>
          <w:i/>
        </w:rPr>
        <w:t>Para el ejercicio de las funciones cuarta, décima tercera y décima cuarta, el Director General de Recursos Materiales y Servicios se auxiliará de los directores generales adjuntos de Adquisiciones y Seguimiento Normativo e Informático, y de Inmuebles y de Servicios, Almacenes e Inventarios.</w:t>
      </w:r>
    </w:p>
    <w:p w:rsidR="00E14924" w:rsidRPr="00E14924" w:rsidRDefault="00E14924" w:rsidP="00E14924">
      <w:pPr>
        <w:spacing w:before="240" w:after="240" w:line="360" w:lineRule="auto"/>
        <w:jc w:val="both"/>
        <w:rPr>
          <w:rFonts w:ascii="Palatino Linotype" w:hAnsi="Palatino Linotype"/>
          <w:sz w:val="24"/>
        </w:rPr>
      </w:pPr>
      <w:r>
        <w:rPr>
          <w:rFonts w:ascii="Palatino Linotype" w:hAnsi="Palatino Linotype"/>
          <w:sz w:val="24"/>
        </w:rPr>
        <w:t>Bajo tales consideraciones, se puede apreciar que se le deberán de prestar servicios generales cuando así lo requieran las unidades administrativas de la Secretaria, tales como el de transporte, los cuales serán destinados para realizar las funciones propias de la Secretaria de Educación que se encuentran enmarcadas en los arábigos 29 y 30 de la Ley Orgánica de la Administración Publica del Estado de México.</w:t>
      </w:r>
    </w:p>
    <w:p w:rsidR="00950056" w:rsidRPr="00C23151" w:rsidRDefault="00950056" w:rsidP="00C23151">
      <w:pPr>
        <w:spacing w:before="240" w:after="240" w:line="360" w:lineRule="auto"/>
        <w:jc w:val="both"/>
        <w:rPr>
          <w:rFonts w:ascii="Palatino Linotype" w:hAnsi="Palatino Linotype" w:cs="Arial"/>
          <w:szCs w:val="20"/>
        </w:rPr>
      </w:pPr>
      <w:r>
        <w:rPr>
          <w:rFonts w:ascii="Palatino Linotype" w:hAnsi="Palatino Linotype" w:cs="Arial"/>
          <w:sz w:val="24"/>
          <w:szCs w:val="20"/>
        </w:rPr>
        <w:t xml:space="preserve">Atento a ello, se denota a todas luces que el sujeto </w:t>
      </w:r>
      <w:r w:rsidR="00B56617">
        <w:rPr>
          <w:rFonts w:ascii="Palatino Linotype" w:hAnsi="Palatino Linotype" w:cs="Arial"/>
          <w:sz w:val="24"/>
          <w:szCs w:val="20"/>
        </w:rPr>
        <w:t>obligado</w:t>
      </w:r>
      <w:r>
        <w:rPr>
          <w:rFonts w:ascii="Palatino Linotype" w:hAnsi="Palatino Linotype" w:cs="Arial"/>
          <w:sz w:val="24"/>
          <w:szCs w:val="20"/>
        </w:rPr>
        <w:t xml:space="preserve"> modifico su respuesta primigenia </w:t>
      </w:r>
      <w:r w:rsidR="00DF6F40">
        <w:rPr>
          <w:rFonts w:ascii="Palatino Linotype" w:hAnsi="Palatino Linotype" w:cs="Arial"/>
          <w:sz w:val="24"/>
          <w:szCs w:val="20"/>
        </w:rPr>
        <w:t xml:space="preserve">mediante informe justificado, por lo que una vez recibido de conformidad con la fracción III del numeral 185 de la Ley de Transparencia y Acceso a la Información </w:t>
      </w:r>
      <w:r w:rsidR="00D24D6B">
        <w:rPr>
          <w:rFonts w:ascii="Palatino Linotype" w:hAnsi="Palatino Linotype" w:cs="Arial"/>
          <w:sz w:val="24"/>
          <w:szCs w:val="20"/>
        </w:rPr>
        <w:t>Pú</w:t>
      </w:r>
      <w:r w:rsidR="00DF6F40">
        <w:rPr>
          <w:rFonts w:ascii="Palatino Linotype" w:hAnsi="Palatino Linotype" w:cs="Arial"/>
          <w:sz w:val="24"/>
          <w:szCs w:val="20"/>
        </w:rPr>
        <w:t xml:space="preserve">blica del Estado de </w:t>
      </w:r>
      <w:r w:rsidR="00D24D6B">
        <w:rPr>
          <w:rFonts w:ascii="Palatino Linotype" w:hAnsi="Palatino Linotype" w:cs="Arial"/>
          <w:sz w:val="24"/>
          <w:szCs w:val="20"/>
        </w:rPr>
        <w:t>México</w:t>
      </w:r>
      <w:r w:rsidR="00DF6F40">
        <w:rPr>
          <w:rFonts w:ascii="Palatino Linotype" w:hAnsi="Palatino Linotype" w:cs="Arial"/>
          <w:sz w:val="24"/>
          <w:szCs w:val="20"/>
        </w:rPr>
        <w:t xml:space="preserve"> y Municipios, se puso a la vista del recurrente para que manifestara lo que a su derecho conviniera.</w:t>
      </w:r>
    </w:p>
    <w:p w:rsidR="008E7408" w:rsidRDefault="008E7408" w:rsidP="008E7408">
      <w:pPr>
        <w:spacing w:before="240" w:after="240" w:line="360" w:lineRule="auto"/>
        <w:jc w:val="both"/>
        <w:rPr>
          <w:rFonts w:ascii="Palatino Linotype" w:hAnsi="Palatino Linotype"/>
          <w:sz w:val="24"/>
          <w:szCs w:val="24"/>
        </w:rPr>
      </w:pPr>
      <w:r>
        <w:rPr>
          <w:rFonts w:ascii="Palatino Linotype" w:hAnsi="Palatino Linotype"/>
          <w:sz w:val="24"/>
          <w:szCs w:val="24"/>
        </w:rPr>
        <w:t>Amén de lo anterior, se advierte que el recurrente no realizo manifestación alguna, sin embargo como ya se mencionó en párrafos que anteceden, el sujeto obligado modifico su respuesta, dando cumplimiento a la solicitud de información en su totalidad, por lo que lo procedente seria sobreseer el presente recurso de revisión que nos ocupa.</w:t>
      </w:r>
      <w:r w:rsidR="00C23151">
        <w:rPr>
          <w:rFonts w:ascii="Palatino Linotype" w:hAnsi="Palatino Linotype"/>
          <w:sz w:val="24"/>
          <w:szCs w:val="24"/>
        </w:rPr>
        <w:t xml:space="preserve">                                                                                                                                                                                      </w:t>
      </w:r>
    </w:p>
    <w:p w:rsidR="008E7408" w:rsidRDefault="008E7408" w:rsidP="008E7408">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No obstante lo anterior, el sujeto obligado entrego al recurrente la información con la que posee, administra y obra en sus archivos, así también, mediante informe </w:t>
      </w:r>
      <w:r>
        <w:rPr>
          <w:rFonts w:ascii="Palatino Linotype" w:hAnsi="Palatino Linotype"/>
          <w:sz w:val="24"/>
          <w:szCs w:val="24"/>
        </w:rPr>
        <w:lastRenderedPageBreak/>
        <w:t xml:space="preserve">justificado modifico su respuesta complementando la </w:t>
      </w:r>
      <w:r w:rsidR="001F5D0E">
        <w:rPr>
          <w:rFonts w:ascii="Palatino Linotype" w:hAnsi="Palatino Linotype"/>
          <w:sz w:val="24"/>
          <w:szCs w:val="24"/>
        </w:rPr>
        <w:t>información</w:t>
      </w:r>
      <w:r>
        <w:rPr>
          <w:rFonts w:ascii="Palatino Linotype" w:hAnsi="Palatino Linotype"/>
          <w:sz w:val="24"/>
          <w:szCs w:val="24"/>
        </w:rPr>
        <w:t xml:space="preserve"> y remitiendo el Protocolo solicitado</w:t>
      </w:r>
      <w:r w:rsidR="001F5D0E">
        <w:rPr>
          <w:rFonts w:ascii="Palatino Linotype" w:hAnsi="Palatino Linotype"/>
          <w:sz w:val="24"/>
          <w:szCs w:val="24"/>
        </w:rPr>
        <w:t>,</w:t>
      </w:r>
      <w:r>
        <w:rPr>
          <w:rFonts w:ascii="Palatino Linotype" w:hAnsi="Palatino Linotype"/>
          <w:sz w:val="24"/>
          <w:szCs w:val="24"/>
        </w:rPr>
        <w:t xml:space="preserve"> correspondiente al punto restante de la solicitud de información; por lo que se entiende para este órgano garante que ya satisfizo el derecho accionado por la parte solicitante.</w:t>
      </w:r>
    </w:p>
    <w:p w:rsidR="00852141" w:rsidRPr="007D0B2C" w:rsidRDefault="00852141" w:rsidP="00852141">
      <w:pPr>
        <w:autoSpaceDE w:val="0"/>
        <w:autoSpaceDN w:val="0"/>
        <w:adjustRightInd w:val="0"/>
        <w:spacing w:line="360" w:lineRule="auto"/>
        <w:jc w:val="both"/>
        <w:rPr>
          <w:rFonts w:ascii="Palatino Linotype" w:eastAsia="Calibri" w:hAnsi="Palatino Linotype" w:cs="Times New Roman"/>
          <w:sz w:val="24"/>
        </w:rPr>
      </w:pPr>
      <w:r w:rsidRPr="007D0B2C">
        <w:rPr>
          <w:rFonts w:ascii="Palatino Linotype" w:eastAsia="Calibri" w:hAnsi="Palatino Linotype" w:cs="Times New Roman"/>
          <w:sz w:val="24"/>
        </w:rPr>
        <w:t xml:space="preserve">Finalmente podemos concluir que las manifestaciones vertidas por el </w:t>
      </w:r>
      <w:r w:rsidRPr="007D0B2C">
        <w:rPr>
          <w:rFonts w:ascii="Palatino Linotype" w:eastAsia="Calibri" w:hAnsi="Palatino Linotype" w:cs="Times New Roman"/>
          <w:b/>
          <w:sz w:val="24"/>
        </w:rPr>
        <w:t xml:space="preserve">sujeto obligado </w:t>
      </w:r>
      <w:r w:rsidRPr="007D0B2C">
        <w:rPr>
          <w:rFonts w:ascii="Palatino Linotype" w:eastAsia="Calibri" w:hAnsi="Palatino Linotype" w:cs="Times New Roman"/>
          <w:sz w:val="24"/>
        </w:rPr>
        <w:t>resultan fundadas</w:t>
      </w:r>
      <w:r w:rsidRPr="007D0B2C">
        <w:rPr>
          <w:rFonts w:ascii="Palatino Linotype" w:eastAsia="Calibri" w:hAnsi="Palatino Linotype" w:cs="Times New Roman"/>
          <w:b/>
          <w:sz w:val="24"/>
        </w:rPr>
        <w:t xml:space="preserve">, </w:t>
      </w:r>
      <w:r w:rsidRPr="007D0B2C">
        <w:rPr>
          <w:rFonts w:ascii="Palatino Linotype" w:eastAsia="Calibri" w:hAnsi="Palatino Linotype" w:cs="Times New Roman"/>
          <w:sz w:val="24"/>
        </w:rPr>
        <w:t xml:space="preserve">atendiendo a las consideraciones de hecho y de derecho precisadas en líneas anteriores, en ese sentido se </w:t>
      </w:r>
      <w:r w:rsidRPr="007D0B2C">
        <w:rPr>
          <w:rFonts w:ascii="Palatino Linotype" w:hAnsi="Palatino Linotype" w:cs="Arial"/>
          <w:sz w:val="24"/>
        </w:rPr>
        <w:t xml:space="preserve">actualiza lo consagrado en la fracción III del artículo 192, de la </w:t>
      </w:r>
      <w:r w:rsidRPr="007D0B2C">
        <w:rPr>
          <w:rFonts w:ascii="Palatino Linotype" w:hAnsi="Palatino Linotype" w:cs="Arial"/>
          <w:b/>
          <w:sz w:val="24"/>
        </w:rPr>
        <w:t xml:space="preserve">Ley de Transparencia y Acceso a la Información Pública del Estado de México y Municipios </w:t>
      </w:r>
      <w:r w:rsidRPr="007D0B2C">
        <w:rPr>
          <w:rFonts w:ascii="Palatino Linotype" w:hAnsi="Palatino Linotype" w:cs="Arial"/>
          <w:sz w:val="24"/>
        </w:rPr>
        <w:t>vigente, que a la letra señala:</w:t>
      </w:r>
    </w:p>
    <w:p w:rsidR="00852141" w:rsidRPr="004838C5" w:rsidRDefault="00852141" w:rsidP="00852141">
      <w:pPr>
        <w:pStyle w:val="Prrafodelista"/>
        <w:autoSpaceDE w:val="0"/>
        <w:autoSpaceDN w:val="0"/>
        <w:adjustRightInd w:val="0"/>
        <w:ind w:left="567" w:right="567"/>
        <w:jc w:val="both"/>
        <w:rPr>
          <w:rFonts w:ascii="Palatino Linotype" w:hAnsi="Palatino Linotype" w:cs="Arial"/>
          <w:i/>
          <w:sz w:val="22"/>
          <w:szCs w:val="22"/>
        </w:rPr>
      </w:pPr>
      <w:r w:rsidRPr="004838C5">
        <w:rPr>
          <w:rFonts w:ascii="Palatino Linotype" w:hAnsi="Palatino Linotype" w:cs="Arial"/>
          <w:b/>
          <w:bCs/>
          <w:i/>
          <w:sz w:val="22"/>
          <w:szCs w:val="22"/>
        </w:rPr>
        <w:t xml:space="preserve">“Artículo 192. </w:t>
      </w:r>
      <w:r w:rsidRPr="004838C5">
        <w:rPr>
          <w:rFonts w:ascii="Palatino Linotype" w:hAnsi="Palatino Linotype" w:cs="Arial"/>
          <w:i/>
          <w:sz w:val="22"/>
          <w:szCs w:val="22"/>
        </w:rPr>
        <w:t>El recurso será sobreseído, en todo o en parte, cuando una vez admitido, se actualicen alguno de los siguientes supuestos:</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 </w:t>
      </w:r>
      <w:r w:rsidRPr="004838C5">
        <w:rPr>
          <w:rFonts w:ascii="Palatino Linotype" w:hAnsi="Palatino Linotype" w:cs="Arial"/>
          <w:i/>
        </w:rPr>
        <w:t>El recurrente se desista expresamente del recurso;</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II. </w:t>
      </w:r>
      <w:r w:rsidRPr="004838C5">
        <w:rPr>
          <w:rFonts w:ascii="Palatino Linotype" w:hAnsi="Palatino Linotype" w:cs="Arial"/>
          <w:i/>
        </w:rPr>
        <w:t>El recurrente fallezca o, tratándose de personas jurídicas colectivas, se disuelva;</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III. </w:t>
      </w:r>
      <w:r w:rsidRPr="004838C5">
        <w:rPr>
          <w:rFonts w:ascii="Palatino Linotype" w:hAnsi="Palatino Linotype" w:cs="Arial"/>
          <w:i/>
          <w:u w:val="single"/>
        </w:rPr>
        <w:t xml:space="preserve">El sujeto obligado responsable del acto lo </w:t>
      </w:r>
      <w:r w:rsidRPr="004838C5">
        <w:rPr>
          <w:rFonts w:ascii="Palatino Linotype" w:hAnsi="Palatino Linotype" w:cs="Arial"/>
          <w:b/>
          <w:i/>
          <w:u w:val="single"/>
        </w:rPr>
        <w:t>modifique</w:t>
      </w:r>
      <w:r w:rsidRPr="004838C5">
        <w:rPr>
          <w:rFonts w:ascii="Palatino Linotype" w:hAnsi="Palatino Linotype" w:cs="Arial"/>
          <w:i/>
          <w:u w:val="single"/>
        </w:rPr>
        <w:t xml:space="preserve"> o revoque de tal manera que el recurso de revisión quede sin materia;</w:t>
      </w:r>
    </w:p>
    <w:p w:rsidR="00852141" w:rsidRPr="004838C5" w:rsidRDefault="00852141" w:rsidP="00852141">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IV. </w:t>
      </w:r>
      <w:r w:rsidRPr="004838C5">
        <w:rPr>
          <w:rFonts w:ascii="Palatino Linotype" w:hAnsi="Palatino Linotype" w:cs="Arial"/>
          <w:i/>
        </w:rPr>
        <w:t>Admitido el recurso de revisión, aparezca alguna causal de improcedencia en los términos de la presente Ley; y</w:t>
      </w:r>
    </w:p>
    <w:p w:rsidR="00852141" w:rsidRPr="004838C5" w:rsidRDefault="00852141" w:rsidP="00852141">
      <w:pPr>
        <w:pStyle w:val="Prrafodelista"/>
        <w:autoSpaceDE w:val="0"/>
        <w:autoSpaceDN w:val="0"/>
        <w:adjustRightInd w:val="0"/>
        <w:ind w:left="567" w:right="567"/>
        <w:jc w:val="both"/>
        <w:rPr>
          <w:rFonts w:ascii="Palatino Linotype" w:hAnsi="Palatino Linotype" w:cs="Arial"/>
          <w:i/>
          <w:sz w:val="22"/>
          <w:szCs w:val="22"/>
          <w:lang w:val="es-MX"/>
        </w:rPr>
      </w:pPr>
      <w:r w:rsidRPr="004838C5">
        <w:rPr>
          <w:rFonts w:ascii="Palatino Linotype" w:hAnsi="Palatino Linotype" w:cs="Arial"/>
          <w:b/>
          <w:bCs/>
          <w:i/>
          <w:sz w:val="22"/>
          <w:szCs w:val="22"/>
          <w:lang w:val="es-MX"/>
        </w:rPr>
        <w:t>V</w:t>
      </w:r>
      <w:r w:rsidRPr="004838C5">
        <w:rPr>
          <w:rFonts w:ascii="Palatino Linotype" w:hAnsi="Palatino Linotype" w:cs="Arial"/>
          <w:bCs/>
          <w:i/>
          <w:sz w:val="22"/>
          <w:szCs w:val="22"/>
          <w:lang w:val="es-MX"/>
        </w:rPr>
        <w:t xml:space="preserve">. </w:t>
      </w:r>
      <w:r w:rsidRPr="004838C5">
        <w:rPr>
          <w:rFonts w:ascii="Palatino Linotype" w:hAnsi="Palatino Linotype" w:cs="Arial"/>
          <w:i/>
          <w:sz w:val="22"/>
          <w:szCs w:val="22"/>
          <w:lang w:val="es-MX"/>
        </w:rPr>
        <w:t>Cuando por cualquier motivo quede sin materia el recurso.</w:t>
      </w:r>
    </w:p>
    <w:p w:rsidR="00852141" w:rsidRDefault="00852141" w:rsidP="00852141">
      <w:pPr>
        <w:pStyle w:val="Prrafodelista"/>
        <w:autoSpaceDE w:val="0"/>
        <w:autoSpaceDN w:val="0"/>
        <w:adjustRightInd w:val="0"/>
        <w:ind w:left="567" w:right="567"/>
        <w:jc w:val="both"/>
        <w:rPr>
          <w:rFonts w:ascii="Palatino Linotype" w:hAnsi="Palatino Linotype" w:cs="Arial"/>
          <w:sz w:val="22"/>
          <w:szCs w:val="22"/>
          <w:lang w:val="es-MX"/>
        </w:rPr>
      </w:pPr>
    </w:p>
    <w:p w:rsidR="00852141" w:rsidRPr="004838C5" w:rsidRDefault="00852141" w:rsidP="00852141">
      <w:pPr>
        <w:pStyle w:val="Prrafodelista"/>
        <w:autoSpaceDE w:val="0"/>
        <w:autoSpaceDN w:val="0"/>
        <w:adjustRightInd w:val="0"/>
        <w:ind w:left="567" w:right="567"/>
        <w:jc w:val="right"/>
        <w:rPr>
          <w:rFonts w:ascii="Palatino Linotype" w:hAnsi="Palatino Linotype" w:cs="Arial"/>
          <w:sz w:val="22"/>
          <w:szCs w:val="22"/>
          <w:lang w:val="es-MX"/>
        </w:rPr>
      </w:pPr>
      <w:r>
        <w:rPr>
          <w:rFonts w:ascii="Palatino Linotype" w:hAnsi="Palatino Linotype" w:cs="Arial"/>
          <w:sz w:val="22"/>
          <w:szCs w:val="22"/>
          <w:lang w:val="es-MX"/>
        </w:rPr>
        <w:t>(Énfasis añadido)</w:t>
      </w:r>
    </w:p>
    <w:p w:rsidR="00852141" w:rsidRPr="00955E7F" w:rsidRDefault="00852141" w:rsidP="00852141">
      <w:pPr>
        <w:pStyle w:val="Prrafodelista"/>
        <w:autoSpaceDE w:val="0"/>
        <w:autoSpaceDN w:val="0"/>
        <w:adjustRightInd w:val="0"/>
        <w:spacing w:line="360" w:lineRule="auto"/>
        <w:ind w:right="616"/>
        <w:jc w:val="both"/>
        <w:rPr>
          <w:rFonts w:ascii="Palatino Linotype" w:hAnsi="Palatino Linotype" w:cs="Arial"/>
          <w:b/>
          <w:i/>
        </w:rPr>
      </w:pPr>
    </w:p>
    <w:p w:rsidR="00852141" w:rsidRPr="007D0B2C" w:rsidRDefault="00852141" w:rsidP="00852141">
      <w:pPr>
        <w:spacing w:line="360" w:lineRule="auto"/>
        <w:jc w:val="both"/>
        <w:rPr>
          <w:rFonts w:ascii="Palatino Linotype" w:eastAsia="Batang" w:hAnsi="Palatino Linotype" w:cs="Arial"/>
          <w:sz w:val="24"/>
        </w:rPr>
      </w:pPr>
      <w:r w:rsidRPr="007D0B2C">
        <w:rPr>
          <w:rFonts w:ascii="Palatino Linotype" w:hAnsi="Palatino Linotype"/>
          <w:sz w:val="24"/>
        </w:rPr>
        <w:t xml:space="preserve">Artículo que establece en su fracción </w:t>
      </w:r>
      <w:r w:rsidRPr="007D0B2C">
        <w:rPr>
          <w:rFonts w:ascii="Palatino Linotype" w:hAnsi="Palatino Linotype" w:cs="Arial"/>
          <w:sz w:val="24"/>
        </w:rPr>
        <w:t xml:space="preserve">III del artículo 192 </w:t>
      </w:r>
      <w:r w:rsidRPr="007D0B2C">
        <w:rPr>
          <w:rFonts w:ascii="Palatino Linotype" w:eastAsia="Batang" w:hAnsi="Palatino Linotype" w:cs="Arial"/>
          <w:sz w:val="24"/>
        </w:rPr>
        <w:t xml:space="preserve">de la Ley de Transparencia y Acceso a la Información Pública del Estado de México y Municipios, la procedencia para sobreseer el recurso de revisión cuando el </w:t>
      </w:r>
      <w:r w:rsidRPr="007D0B2C">
        <w:rPr>
          <w:rFonts w:ascii="Palatino Linotype" w:eastAsia="Batang" w:hAnsi="Palatino Linotype" w:cs="Arial"/>
          <w:b/>
          <w:sz w:val="24"/>
        </w:rPr>
        <w:t>sujeto obligado</w:t>
      </w:r>
      <w:r w:rsidRPr="007D0B2C">
        <w:rPr>
          <w:rFonts w:ascii="Palatino Linotype" w:eastAsia="Batang" w:hAnsi="Palatino Linotype" w:cs="Arial"/>
          <w:sz w:val="24"/>
        </w:rPr>
        <w:t xml:space="preserve"> mediante un acto posterior, revoque o modifique el acto de origen del recurso de tal manera que se quede sin materia.</w:t>
      </w:r>
    </w:p>
    <w:p w:rsidR="00852141" w:rsidRPr="004838C5" w:rsidRDefault="00852141" w:rsidP="00852141">
      <w:pPr>
        <w:spacing w:line="360" w:lineRule="auto"/>
        <w:jc w:val="both"/>
        <w:rPr>
          <w:rFonts w:ascii="Palatino Linotype" w:eastAsia="Batang" w:hAnsi="Palatino Linotype" w:cs="Arial"/>
        </w:rPr>
      </w:pPr>
    </w:p>
    <w:p w:rsidR="00852141" w:rsidRPr="007D0B2C" w:rsidRDefault="00852141" w:rsidP="00852141">
      <w:pPr>
        <w:spacing w:line="360" w:lineRule="auto"/>
        <w:jc w:val="both"/>
        <w:rPr>
          <w:rFonts w:ascii="Palatino Linotype" w:eastAsia="Batang" w:hAnsi="Palatino Linotype" w:cs="Arial"/>
          <w:sz w:val="24"/>
        </w:rPr>
      </w:pPr>
      <w:r w:rsidRPr="007D0B2C">
        <w:rPr>
          <w:rFonts w:ascii="Palatino Linotype" w:eastAsia="Batang" w:hAnsi="Palatino Linotype" w:cs="Arial"/>
          <w:sz w:val="24"/>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852141" w:rsidRPr="00EE52C9" w:rsidRDefault="00852141" w:rsidP="00852141">
      <w:pPr>
        <w:pStyle w:val="Prrafodelista"/>
        <w:autoSpaceDE w:val="0"/>
        <w:autoSpaceDN w:val="0"/>
        <w:adjustRightInd w:val="0"/>
        <w:ind w:left="567" w:right="567"/>
        <w:jc w:val="both"/>
        <w:rPr>
          <w:rFonts w:ascii="Palatino Linotype" w:eastAsia="Batang" w:hAnsi="Palatino Linotype" w:cs="Arial"/>
          <w:b/>
          <w:i/>
          <w:sz w:val="22"/>
          <w:lang w:val="es-AR"/>
        </w:rPr>
      </w:pPr>
      <w:r w:rsidRPr="00EE52C9">
        <w:rPr>
          <w:rFonts w:ascii="Palatino Linotype" w:eastAsia="Batang" w:hAnsi="Palatino Linotype" w:cs="Arial"/>
          <w:b/>
          <w:i/>
          <w:sz w:val="22"/>
          <w:lang w:val="es-AR"/>
        </w:rPr>
        <w:t>SOBRESEIMIENTO EN EL JUICIO DE AMPARO DIRECTO. IMPIDE EL ESTUDIO DE LAS VIOLACIONES PROCESALES PLANTEADAS EN LOS CONCEPTOS DE VIOLACIÓN.</w:t>
      </w:r>
    </w:p>
    <w:p w:rsidR="00852141" w:rsidRPr="00EE52C9" w:rsidRDefault="00852141" w:rsidP="00852141">
      <w:pPr>
        <w:pStyle w:val="Prrafodelista"/>
        <w:autoSpaceDE w:val="0"/>
        <w:autoSpaceDN w:val="0"/>
        <w:adjustRightInd w:val="0"/>
        <w:ind w:left="567" w:right="567"/>
        <w:jc w:val="both"/>
        <w:rPr>
          <w:rFonts w:ascii="Palatino Linotype" w:eastAsia="Batang" w:hAnsi="Palatino Linotype" w:cs="Arial"/>
          <w:i/>
          <w:sz w:val="22"/>
          <w:lang w:val="es-AR"/>
        </w:rPr>
      </w:pPr>
      <w:r w:rsidRPr="00EE52C9">
        <w:rPr>
          <w:rFonts w:ascii="Palatino Linotype" w:eastAsia="Batang" w:hAnsi="Palatino Linotype" w:cs="Arial"/>
          <w:b/>
          <w:i/>
          <w:sz w:val="22"/>
          <w:lang w:val="es-AR"/>
        </w:rPr>
        <w:t>El sobreseimiento</w:t>
      </w:r>
      <w:r w:rsidRPr="00EE52C9">
        <w:rPr>
          <w:rFonts w:ascii="Palatino Linotype" w:eastAsia="Batang" w:hAnsi="Palatino Linotype" w:cs="Arial"/>
          <w:i/>
          <w:sz w:val="22"/>
          <w:lang w:val="es-AR"/>
        </w:rPr>
        <w:t xml:space="preserve"> en el juicio de amparo directo </w:t>
      </w:r>
      <w:r w:rsidRPr="00EE52C9">
        <w:rPr>
          <w:rFonts w:ascii="Palatino Linotype" w:eastAsia="Batang" w:hAnsi="Palatino Linotype" w:cs="Arial"/>
          <w:b/>
          <w:i/>
          <w:sz w:val="22"/>
          <w:lang w:val="es-AR"/>
        </w:rPr>
        <w:t>provoca la terminación de la controversia planteada</w:t>
      </w:r>
      <w:r w:rsidRPr="00EE52C9">
        <w:rPr>
          <w:rFonts w:ascii="Palatino Linotype" w:eastAsia="Batang" w:hAnsi="Palatino Linotype" w:cs="Arial"/>
          <w:i/>
          <w:sz w:val="22"/>
          <w:lang w:val="es-AR"/>
        </w:rPr>
        <w:t xml:space="preserve"> por el quejoso en la demanda de amparo</w:t>
      </w:r>
      <w:r w:rsidRPr="00EE52C9">
        <w:rPr>
          <w:rFonts w:ascii="Palatino Linotype" w:eastAsia="Batang" w:hAnsi="Palatino Linotype" w:cs="Arial"/>
          <w:b/>
          <w:i/>
          <w:sz w:val="22"/>
          <w:lang w:val="es-AR"/>
        </w:rPr>
        <w:t>, sin hacer un pronunciamiento de fondo sobre la legalidad o ilegalidad de la sentencia reclamada</w:t>
      </w:r>
      <w:r w:rsidRPr="00EE52C9">
        <w:rPr>
          <w:rFonts w:ascii="Palatino Linotype" w:eastAsia="Batang" w:hAnsi="Palatino Linotype" w:cs="Arial"/>
          <w:i/>
          <w:sz w:val="22"/>
          <w:lang w:val="es-AR"/>
        </w:rPr>
        <w:t xml:space="preserve">. </w:t>
      </w:r>
      <w:r w:rsidRPr="00EE52C9">
        <w:rPr>
          <w:rFonts w:ascii="Palatino Linotype" w:eastAsia="Batang" w:hAnsi="Palatino Linotype" w:cs="Arial"/>
          <w:b/>
          <w:i/>
          <w:sz w:val="22"/>
          <w:lang w:val="es-AR"/>
        </w:rPr>
        <w:t xml:space="preserve">Por consiguiente, si al sobreseerse en el juicio de amparo </w:t>
      </w:r>
      <w:r w:rsidRPr="00EE52C9">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E52C9">
        <w:rPr>
          <w:rFonts w:ascii="Palatino Linotype" w:eastAsia="Batang" w:hAnsi="Palatino Linotype" w:cs="Arial"/>
          <w:i/>
          <w:sz w:val="22"/>
          <w:lang w:val="es-AR"/>
        </w:rPr>
        <w:t>.</w:t>
      </w:r>
    </w:p>
    <w:p w:rsidR="00852141" w:rsidRPr="004838C5" w:rsidRDefault="00852141" w:rsidP="00852141">
      <w:pPr>
        <w:pStyle w:val="Prrafodelista"/>
        <w:autoSpaceDE w:val="0"/>
        <w:autoSpaceDN w:val="0"/>
        <w:adjustRightInd w:val="0"/>
        <w:ind w:left="567" w:right="567"/>
        <w:jc w:val="both"/>
        <w:rPr>
          <w:rFonts w:ascii="Palatino Linotype" w:eastAsia="Batang" w:hAnsi="Palatino Linotype" w:cs="Arial"/>
          <w:i/>
          <w:sz w:val="20"/>
          <w:lang w:val="es-AR"/>
        </w:rPr>
      </w:pPr>
      <w:r w:rsidRPr="004838C5">
        <w:rPr>
          <w:rFonts w:ascii="Palatino Linotype" w:eastAsia="Batang" w:hAnsi="Palatino Linotype" w:cs="Arial"/>
          <w:i/>
          <w:sz w:val="20"/>
          <w:lang w:val="es-AR"/>
        </w:rPr>
        <w:t>SÉPTIMO TRIBUNAL COLEGIADO EN MATERIA CIVIL DEL PRIMER CIRCUITO.</w:t>
      </w:r>
    </w:p>
    <w:p w:rsidR="00852141" w:rsidRPr="004838C5" w:rsidRDefault="00852141" w:rsidP="00852141">
      <w:pPr>
        <w:pStyle w:val="Prrafodelista"/>
        <w:autoSpaceDE w:val="0"/>
        <w:autoSpaceDN w:val="0"/>
        <w:adjustRightInd w:val="0"/>
        <w:ind w:left="567" w:right="567"/>
        <w:jc w:val="both"/>
        <w:rPr>
          <w:rFonts w:ascii="Palatino Linotype" w:eastAsia="Batang" w:hAnsi="Palatino Linotype" w:cs="Arial"/>
          <w:i/>
          <w:sz w:val="20"/>
          <w:lang w:val="es-AR"/>
        </w:rPr>
      </w:pPr>
      <w:r w:rsidRPr="004838C5">
        <w:rPr>
          <w:rFonts w:ascii="Palatino Linotype" w:eastAsia="Batang" w:hAnsi="Palatino Linotype" w:cs="Arial"/>
          <w:i/>
          <w:sz w:val="20"/>
          <w:lang w:val="es-AR"/>
        </w:rPr>
        <w:t>Amparo directo 699/2008. Mariana Leticia González Steele. 13 de noviembre de 2008. Unanimidad de votos. Ponente: Sara Judith Montalvo Trejo. Secretario: Arnulfo Mateos García.</w:t>
      </w:r>
    </w:p>
    <w:p w:rsidR="00852141" w:rsidRPr="00955E7F" w:rsidRDefault="00852141" w:rsidP="00852141">
      <w:pPr>
        <w:pStyle w:val="Prrafodelista"/>
        <w:autoSpaceDE w:val="0"/>
        <w:autoSpaceDN w:val="0"/>
        <w:adjustRightInd w:val="0"/>
        <w:spacing w:line="360" w:lineRule="auto"/>
        <w:ind w:right="616"/>
        <w:jc w:val="both"/>
        <w:rPr>
          <w:rFonts w:ascii="Palatino Linotype" w:eastAsia="Batang" w:hAnsi="Palatino Linotype" w:cs="Arial"/>
          <w:i/>
          <w:lang w:val="es-AR"/>
        </w:rPr>
      </w:pPr>
    </w:p>
    <w:p w:rsidR="00852141" w:rsidRPr="007D0B2C" w:rsidRDefault="00852141" w:rsidP="00852141">
      <w:pPr>
        <w:spacing w:line="360" w:lineRule="auto"/>
        <w:jc w:val="both"/>
        <w:rPr>
          <w:rFonts w:ascii="Palatino Linotype" w:eastAsia="Batang" w:hAnsi="Palatino Linotype" w:cs="Arial"/>
          <w:sz w:val="24"/>
          <w:lang w:val="es-ES"/>
        </w:rPr>
      </w:pPr>
      <w:r w:rsidRPr="007D0B2C">
        <w:rPr>
          <w:rFonts w:ascii="Palatino Linotype" w:eastAsia="Batang" w:hAnsi="Palatino Linotype" w:cs="Arial"/>
          <w:sz w:val="24"/>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D0B2C">
        <w:rPr>
          <w:rFonts w:ascii="Palatino Linotype" w:eastAsia="Batang" w:hAnsi="Palatino Linotype" w:cs="Arial"/>
          <w:b/>
          <w:sz w:val="24"/>
          <w:lang w:val="es-ES"/>
        </w:rPr>
        <w:t xml:space="preserve">192 </w:t>
      </w:r>
      <w:r w:rsidRPr="007D0B2C">
        <w:rPr>
          <w:rFonts w:ascii="Palatino Linotype" w:eastAsia="Batang" w:hAnsi="Palatino Linotype" w:cs="Arial"/>
          <w:sz w:val="24"/>
          <w:lang w:val="es-ES"/>
        </w:rPr>
        <w:t xml:space="preserve">de la </w:t>
      </w:r>
      <w:r w:rsidRPr="007D0B2C">
        <w:rPr>
          <w:rFonts w:ascii="Palatino Linotype" w:eastAsia="Batang" w:hAnsi="Palatino Linotype" w:cs="Arial"/>
          <w:b/>
          <w:sz w:val="24"/>
          <w:lang w:val="es-ES"/>
        </w:rPr>
        <w:t>Ley de Transparencia y Acceso a la Información Pública del Estado de México y Municipios</w:t>
      </w:r>
      <w:r w:rsidRPr="007D0B2C">
        <w:rPr>
          <w:rFonts w:ascii="Palatino Linotype" w:eastAsia="Batang" w:hAnsi="Palatino Linotype" w:cs="Arial"/>
          <w:sz w:val="24"/>
          <w:lang w:val="es-ES"/>
        </w:rPr>
        <w:t>, nos encontramos ante un sobreseimiento definitivo toda vez que pone fin al procedimiento sin entrar al estudio de fondo del mismo.</w:t>
      </w:r>
    </w:p>
    <w:p w:rsidR="008E7408" w:rsidRPr="000F6AAA" w:rsidRDefault="008E7408" w:rsidP="008E7408">
      <w:pPr>
        <w:spacing w:before="240" w:after="240" w:line="360" w:lineRule="auto"/>
        <w:jc w:val="both"/>
        <w:rPr>
          <w:rFonts w:ascii="Palatino Linotype" w:hAnsi="Palatino Linotype"/>
          <w:sz w:val="24"/>
        </w:rPr>
      </w:pPr>
      <w:r w:rsidRPr="000F6AAA">
        <w:rPr>
          <w:rFonts w:ascii="Palatino Linotype" w:hAnsi="Palatino Linotype"/>
          <w:sz w:val="24"/>
        </w:rPr>
        <w:lastRenderedPageBreak/>
        <w:t>Bajo este tenor, un acto impugnado queda sin efectos, cuando aun existiendo jurídicamente (esto es, que no se ha modificado, ni revocado) ya no genera ninguna consecuencia legal.</w:t>
      </w:r>
    </w:p>
    <w:p w:rsidR="008E7408" w:rsidRPr="000F6AAA" w:rsidRDefault="008E7408" w:rsidP="008E7408">
      <w:pPr>
        <w:spacing w:before="240" w:after="240" w:line="360" w:lineRule="auto"/>
        <w:jc w:val="both"/>
        <w:rPr>
          <w:rFonts w:ascii="Palatino Linotype" w:hAnsi="Palatino Linotype" w:cs="Arial"/>
          <w:sz w:val="24"/>
        </w:rPr>
      </w:pPr>
      <w:r w:rsidRPr="000F6AAA">
        <w:rPr>
          <w:rFonts w:ascii="Palatino Linotype" w:hAnsi="Palatino Linotype"/>
          <w:sz w:val="24"/>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8E7408" w:rsidRDefault="008E7408" w:rsidP="008E7408">
      <w:pPr>
        <w:spacing w:before="240" w:after="240" w:line="360" w:lineRule="auto"/>
        <w:jc w:val="both"/>
        <w:rPr>
          <w:rFonts w:ascii="Palatino Linotype" w:hAnsi="Palatino Linotype"/>
          <w:sz w:val="24"/>
        </w:rPr>
      </w:pPr>
      <w:r w:rsidRPr="000F6AAA">
        <w:rPr>
          <w:rFonts w:ascii="Palatino Linotype" w:hAnsi="Palatino Linotype"/>
          <w:sz w:val="24"/>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rsidR="007D0B2C" w:rsidRPr="00271BB8" w:rsidRDefault="007D0B2C" w:rsidP="008E7408">
      <w:pPr>
        <w:spacing w:before="240" w:after="240" w:line="360" w:lineRule="auto"/>
        <w:jc w:val="both"/>
        <w:rPr>
          <w:rFonts w:ascii="Palatino Linotype" w:hAnsi="Palatino Linotype"/>
          <w:sz w:val="24"/>
        </w:rPr>
      </w:pPr>
    </w:p>
    <w:p w:rsidR="008E7408" w:rsidRDefault="008E7408" w:rsidP="008E740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inoperantes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recurso de revisión número </w:t>
      </w:r>
      <w:r w:rsidR="00E14924">
        <w:rPr>
          <w:rFonts w:ascii="Palatino Linotype" w:hAnsi="Palatino Linotype" w:cs="Arial"/>
          <w:b/>
          <w:bCs/>
          <w:sz w:val="24"/>
          <w:lang w:eastAsia="es-MX"/>
        </w:rPr>
        <w:t>02105</w:t>
      </w:r>
      <w:r w:rsidRPr="00041425">
        <w:rPr>
          <w:rFonts w:ascii="Palatino Linotype" w:hAnsi="Palatino Linotype" w:cs="Arial"/>
          <w:b/>
          <w:bCs/>
          <w:sz w:val="24"/>
          <w:lang w:eastAsia="es-MX"/>
        </w:rPr>
        <w:t>/</w:t>
      </w:r>
      <w:r>
        <w:rPr>
          <w:rFonts w:ascii="Palatino Linotype" w:hAnsi="Palatino Linotype" w:cs="Arial"/>
          <w:b/>
          <w:bCs/>
          <w:sz w:val="24"/>
          <w:lang w:eastAsia="es-MX"/>
        </w:rPr>
        <w:t>INFOEM/IP/RR/201</w:t>
      </w:r>
      <w:r w:rsidR="001F5D0E">
        <w:rPr>
          <w:rFonts w:ascii="Palatino Linotype" w:hAnsi="Palatino Linotype" w:cs="Arial"/>
          <w:b/>
          <w:bCs/>
          <w:sz w:val="24"/>
          <w:lang w:eastAsia="es-MX"/>
        </w:rPr>
        <w:t>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8E7408" w:rsidRDefault="008E7408" w:rsidP="008E740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7D0B2C" w:rsidRDefault="007D0B2C" w:rsidP="008E7408">
      <w:pPr>
        <w:tabs>
          <w:tab w:val="left" w:pos="8931"/>
        </w:tabs>
        <w:spacing w:before="240" w:line="360" w:lineRule="auto"/>
        <w:ind w:right="51"/>
        <w:jc w:val="both"/>
        <w:rPr>
          <w:rFonts w:ascii="Palatino Linotype" w:hAnsi="Palatino Linotype"/>
          <w:sz w:val="24"/>
          <w:szCs w:val="24"/>
        </w:rPr>
      </w:pPr>
    </w:p>
    <w:p w:rsidR="007D0B2C" w:rsidRDefault="007D0B2C" w:rsidP="008E7408">
      <w:pPr>
        <w:tabs>
          <w:tab w:val="left" w:pos="8931"/>
        </w:tabs>
        <w:spacing w:before="240" w:line="360" w:lineRule="auto"/>
        <w:ind w:right="51"/>
        <w:jc w:val="both"/>
        <w:rPr>
          <w:rFonts w:ascii="Palatino Linotype" w:hAnsi="Palatino Linotype"/>
          <w:sz w:val="24"/>
          <w:szCs w:val="24"/>
        </w:rPr>
      </w:pPr>
    </w:p>
    <w:p w:rsidR="008E7408" w:rsidRDefault="008E7408" w:rsidP="008E740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8E7408" w:rsidRPr="00921CA9" w:rsidRDefault="008E7408" w:rsidP="008E7408">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sidRPr="00921CA9">
        <w:rPr>
          <w:rFonts w:ascii="Palatino Linotype" w:hAnsi="Palatino Linotype" w:cs="Arial"/>
          <w:sz w:val="24"/>
          <w:szCs w:val="24"/>
          <w:lang w:val="es-ES_tradnl"/>
        </w:rPr>
        <w:t xml:space="preserve"> </w:t>
      </w:r>
      <w:r>
        <w:rPr>
          <w:rFonts w:ascii="Palatino Linotype" w:eastAsia="Arial Unicode MS" w:hAnsi="Palatino Linotype" w:cs="Arial"/>
          <w:sz w:val="24"/>
          <w:szCs w:val="24"/>
        </w:rPr>
        <w:t xml:space="preserve">el recurso de revisión número </w:t>
      </w:r>
      <w:r w:rsidR="00E14924">
        <w:rPr>
          <w:rFonts w:ascii="Palatino Linotype" w:hAnsi="Palatino Linotype" w:cs="Arial"/>
          <w:b/>
          <w:bCs/>
          <w:sz w:val="24"/>
          <w:lang w:eastAsia="es-MX"/>
        </w:rPr>
        <w:t>02105</w:t>
      </w:r>
      <w:r w:rsidR="001F5D0E" w:rsidRPr="00041425">
        <w:rPr>
          <w:rFonts w:ascii="Palatino Linotype" w:hAnsi="Palatino Linotype" w:cs="Arial"/>
          <w:b/>
          <w:bCs/>
          <w:sz w:val="24"/>
          <w:lang w:eastAsia="es-MX"/>
        </w:rPr>
        <w:t>/</w:t>
      </w:r>
      <w:r w:rsidR="001F5D0E">
        <w:rPr>
          <w:rFonts w:ascii="Palatino Linotype" w:hAnsi="Palatino Linotype" w:cs="Arial"/>
          <w:b/>
          <w:bCs/>
          <w:sz w:val="24"/>
          <w:lang w:eastAsia="es-MX"/>
        </w:rPr>
        <w:t>INFOEM/IP/RR/2019</w:t>
      </w:r>
      <w:r w:rsidRPr="00921CA9">
        <w:rPr>
          <w:rFonts w:ascii="Palatino Linotype" w:eastAsia="Arial Unicode MS" w:hAnsi="Palatino Linotype" w:cs="Arial"/>
          <w:sz w:val="24"/>
          <w:szCs w:val="24"/>
        </w:rPr>
        <w:t xml:space="preserve">, </w:t>
      </w:r>
      <w:r w:rsidRPr="00B0399C">
        <w:rPr>
          <w:rFonts w:ascii="Palatino Linotype" w:eastAsia="Arial Unicode MS" w:hAnsi="Palatino Linotype" w:cs="Arial"/>
          <w:sz w:val="24"/>
          <w:szCs w:val="24"/>
        </w:rPr>
        <w:t xml:space="preserve">porque al modificar la respuesta el recurso de revisión quedó sin materia en términos del  </w:t>
      </w:r>
      <w:r w:rsidRPr="00B0399C">
        <w:rPr>
          <w:rFonts w:ascii="Palatino Linotype" w:eastAsia="Arial Unicode MS" w:hAnsi="Palatino Linotype" w:cs="Arial"/>
          <w:b/>
          <w:sz w:val="24"/>
          <w:szCs w:val="24"/>
        </w:rPr>
        <w:t>Considerando Tercero</w:t>
      </w:r>
      <w:r w:rsidRPr="00B0399C">
        <w:rPr>
          <w:rFonts w:ascii="Palatino Linotype" w:eastAsia="Arial Unicode MS" w:hAnsi="Palatino Linotype" w:cs="Arial"/>
          <w:sz w:val="24"/>
          <w:szCs w:val="24"/>
        </w:rPr>
        <w:t xml:space="preserve"> de la presente resolución.</w:t>
      </w:r>
    </w:p>
    <w:p w:rsidR="008E7408" w:rsidRDefault="008E7408" w:rsidP="008E7408">
      <w:pPr>
        <w:spacing w:line="360" w:lineRule="auto"/>
        <w:ind w:right="333"/>
        <w:jc w:val="both"/>
        <w:rPr>
          <w:rFonts w:ascii="Palatino Linotype" w:hAnsi="Palatino Linotype" w:cs="Arial"/>
          <w:sz w:val="24"/>
        </w:rPr>
      </w:pPr>
      <w:r w:rsidRPr="00120192">
        <w:rPr>
          <w:rFonts w:ascii="Palatino Linotype" w:hAnsi="Palatino Linotype"/>
          <w:b/>
          <w:sz w:val="28"/>
        </w:rPr>
        <w:t>SEGUNDO.</w:t>
      </w:r>
      <w:r w:rsidRPr="00120192">
        <w:rPr>
          <w:rFonts w:ascii="Palatino Linotype" w:hAnsi="Palatino Linotype" w:cs="Arial"/>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al </w:t>
      </w:r>
      <w:r w:rsidRPr="00636255">
        <w:rPr>
          <w:rFonts w:ascii="Palatino Linotype" w:hAnsi="Palatino Linotype" w:cs="Arial"/>
          <w:b/>
          <w:sz w:val="24"/>
        </w:rPr>
        <w:t xml:space="preserve">Titular de la Unidad de Transparencia del Sujeto Obligado </w:t>
      </w:r>
    </w:p>
    <w:p w:rsidR="008E7408" w:rsidRDefault="008E7408" w:rsidP="008E7408">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rsidR="008A5E77" w:rsidRDefault="0035772D" w:rsidP="008A5E7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w:t>
      </w:r>
      <w:r w:rsidR="006031CE">
        <w:rPr>
          <w:rFonts w:ascii="Palatino Linotype" w:hAnsi="Palatino Linotype" w:cs="Arial"/>
          <w:sz w:val="24"/>
          <w:szCs w:val="24"/>
        </w:rPr>
        <w:t>HERNÁNDEZ</w:t>
      </w:r>
      <w:r w:rsidR="006031CE" w:rsidRPr="006031CE">
        <w:rPr>
          <w:rFonts w:ascii="Palatino Linotype" w:hAnsi="Palatino Linotype" w:cs="Arial"/>
          <w:sz w:val="24"/>
          <w:szCs w:val="24"/>
        </w:rPr>
        <w:t xml:space="preserve"> </w:t>
      </w:r>
      <w:r w:rsidR="006031CE">
        <w:rPr>
          <w:rFonts w:ascii="Palatino Linotype" w:hAnsi="Palatino Linotype" w:cs="Arial"/>
          <w:sz w:val="24"/>
          <w:szCs w:val="24"/>
        </w:rPr>
        <w:t>EMITIENDO VOTO PARTICULAR, JAVIER MARTÍNEZ CRUZ Y LUIS GUSTAVO PARRA NORIEGA, EN LA VIGÉSIMA SEGUNDA SESIÓN ORDINARIA CELEBRADA EL DOCE DE JUNIO</w:t>
      </w:r>
      <w:r w:rsidR="006031CE">
        <w:rPr>
          <w:rFonts w:ascii="Palatino Linotype" w:eastAsia="Times New Roman" w:hAnsi="Palatino Linotype" w:cs="Arial"/>
          <w:color w:val="000000"/>
          <w:sz w:val="24"/>
          <w:szCs w:val="24"/>
          <w:lang w:eastAsia="es-MX"/>
        </w:rPr>
        <w:t xml:space="preserve"> </w:t>
      </w:r>
      <w:r w:rsidR="006031CE">
        <w:rPr>
          <w:rFonts w:ascii="Palatino Linotype" w:hAnsi="Palatino Linotype" w:cs="Arial"/>
          <w:sz w:val="24"/>
          <w:szCs w:val="24"/>
        </w:rPr>
        <w:t xml:space="preserve">DE DOS MIL DIECINUEVE, ANTE EL SECRETARIO TÉCNICO DEL PLENO, ALEXIS </w:t>
      </w:r>
      <w:r>
        <w:rPr>
          <w:rFonts w:ascii="Palatino Linotype" w:hAnsi="Palatino Linotype" w:cs="Arial"/>
          <w:sz w:val="24"/>
          <w:szCs w:val="24"/>
        </w:rPr>
        <w:t>TAPIA RA</w:t>
      </w:r>
      <w:r w:rsidR="008A5E77">
        <w:rPr>
          <w:rFonts w:ascii="Palatino Linotype" w:hAnsi="Palatino Linotype" w:cs="Arial"/>
          <w:sz w:val="24"/>
          <w:szCs w:val="24"/>
        </w:rPr>
        <w:t>MÍREZ</w:t>
      </w:r>
      <w:r w:rsidR="006031CE">
        <w:rPr>
          <w:rFonts w:ascii="Palatino Linotype" w:hAnsi="Palatino Linotype" w:cs="Arial"/>
          <w:sz w:val="24"/>
          <w:szCs w:val="24"/>
        </w:rPr>
        <w:t>.---------------------------------------------------------------------------------------------------------------------------------------------------------------------------------------------------------------------------------------------------------------------------------------------------------------</w:t>
      </w:r>
    </w:p>
    <w:p w:rsidR="006031CE" w:rsidRDefault="006031CE" w:rsidP="008A5E77">
      <w:pPr>
        <w:spacing w:after="0" w:line="360" w:lineRule="auto"/>
        <w:jc w:val="both"/>
        <w:rPr>
          <w:rFonts w:ascii="Palatino Linotype" w:hAnsi="Palatino Linotype"/>
        </w:rPr>
      </w:pPr>
    </w:p>
    <w:p w:rsidR="006031CE" w:rsidRDefault="006031CE" w:rsidP="00A459D0">
      <w:pPr>
        <w:spacing w:before="240"/>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6031CE" w:rsidRDefault="006031CE"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6031CE">
        <w:rPr>
          <w:rFonts w:ascii="Palatino Linotype" w:hAnsi="Palatino Linotype" w:cs="Arial"/>
          <w:sz w:val="16"/>
          <w:szCs w:val="16"/>
        </w:rPr>
        <w:t>doce de junio</w:t>
      </w:r>
      <w:r w:rsidR="0035772D">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sidR="006031CE">
        <w:rPr>
          <w:rFonts w:ascii="Palatino Linotype" w:hAnsi="Palatino Linotype" w:cs="Arial"/>
          <w:bCs/>
          <w:sz w:val="16"/>
          <w:szCs w:val="16"/>
          <w:lang w:eastAsia="es-MX"/>
        </w:rPr>
        <w:t>02105</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D20" w:rsidRDefault="00FA0D20" w:rsidP="00E15E85">
      <w:pPr>
        <w:spacing w:after="0" w:line="240" w:lineRule="auto"/>
      </w:pPr>
      <w:r>
        <w:separator/>
      </w:r>
    </w:p>
  </w:endnote>
  <w:endnote w:type="continuationSeparator" w:id="0">
    <w:p w:rsidR="00FA0D20" w:rsidRDefault="00FA0D2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37C3">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37C3">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7E1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7E1F">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D20" w:rsidRDefault="00FA0D20" w:rsidP="00E15E85">
      <w:pPr>
        <w:spacing w:after="0" w:line="240" w:lineRule="auto"/>
      </w:pPr>
      <w:r>
        <w:separator/>
      </w:r>
    </w:p>
  </w:footnote>
  <w:footnote w:type="continuationSeparator" w:id="0">
    <w:p w:rsidR="00FA0D20" w:rsidRDefault="00FA0D20" w:rsidP="00E15E85">
      <w:pPr>
        <w:spacing w:after="0" w:line="240" w:lineRule="auto"/>
      </w:pPr>
      <w:r>
        <w:continuationSeparator/>
      </w:r>
    </w:p>
  </w:footnote>
  <w:footnote w:id="1">
    <w:p w:rsidR="00B04652" w:rsidRPr="00911081" w:rsidRDefault="00B04652"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04652" w:rsidRPr="00911081" w:rsidRDefault="00B04652"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B04652" w:rsidRPr="00B75941" w:rsidRDefault="00B04652" w:rsidP="00B04652">
      <w:pPr>
        <w:pStyle w:val="Textonotapie"/>
        <w:rPr>
          <w:rFonts w:ascii="Palatino Linotype" w:hAnsi="Palatino Linotype"/>
          <w:sz w:val="16"/>
          <w:szCs w:val="16"/>
        </w:rPr>
      </w:pPr>
      <w:r w:rsidRPr="00B75941">
        <w:rPr>
          <w:rStyle w:val="Refdenotaalpie"/>
          <w:rFonts w:ascii="Palatino Linotype" w:hAnsi="Palatino Linotype"/>
          <w:sz w:val="16"/>
          <w:szCs w:val="16"/>
        </w:rPr>
        <w:footnoteRef/>
      </w:r>
      <w:r w:rsidRPr="00B75941">
        <w:rPr>
          <w:rFonts w:ascii="Palatino Linotype" w:hAnsi="Palatino Linotype"/>
          <w:sz w:val="16"/>
          <w:szCs w:val="16"/>
        </w:rPr>
        <w:t xml:space="preserve"> </w:t>
      </w:r>
      <w:r w:rsidRPr="00B75941">
        <w:rPr>
          <w:rFonts w:ascii="Palatino Linotype" w:hAnsi="Palatino Linotype"/>
          <w:sz w:val="16"/>
          <w:szCs w:val="16"/>
          <w:lang w:val="es-ES"/>
        </w:rPr>
        <w:t>Publicada en el Semanario Judicial de la Federación y su Gaceta bajo el nú</w:t>
      </w:r>
      <w:r>
        <w:rPr>
          <w:rFonts w:ascii="Palatino Linotype" w:hAnsi="Palatino Linotype"/>
          <w:sz w:val="16"/>
          <w:szCs w:val="16"/>
          <w:lang w:val="es-ES"/>
        </w:rPr>
        <w:t>mero de registro 174</w:t>
      </w:r>
      <w:r w:rsidRPr="00B75941">
        <w:rPr>
          <w:rFonts w:ascii="Palatino Linotype" w:hAnsi="Palatino Linotype"/>
          <w:sz w:val="16"/>
          <w:szCs w:val="16"/>
          <w:lang w:val="es-ES"/>
        </w:rPr>
        <w:t>177.</w:t>
      </w:r>
    </w:p>
  </w:footnote>
  <w:footnote w:id="3">
    <w:p w:rsidR="00B04652" w:rsidRPr="008C55A3" w:rsidRDefault="00B04652" w:rsidP="00B04652">
      <w:pPr>
        <w:spacing w:before="240" w:after="240" w:line="360" w:lineRule="auto"/>
        <w:jc w:val="both"/>
        <w:rPr>
          <w:rFonts w:ascii="Palatino Linotype" w:hAnsi="Palatino Linotype" w:cs="Arial"/>
          <w:sz w:val="18"/>
          <w:szCs w:val="18"/>
        </w:rPr>
      </w:pPr>
      <w:r w:rsidRPr="008C55A3">
        <w:rPr>
          <w:rStyle w:val="Refdenotaalpie"/>
          <w:rFonts w:ascii="Palatino Linotype" w:hAnsi="Palatino Linotype"/>
          <w:sz w:val="20"/>
          <w:szCs w:val="20"/>
        </w:rPr>
        <w:footnoteRef/>
      </w:r>
      <w:r w:rsidRPr="008C55A3">
        <w:rPr>
          <w:rFonts w:ascii="Palatino Linotype" w:hAnsi="Palatino Linotype"/>
          <w:sz w:val="20"/>
          <w:szCs w:val="20"/>
        </w:rPr>
        <w:t xml:space="preserve"> </w:t>
      </w:r>
      <w:r w:rsidRPr="008C55A3">
        <w:rPr>
          <w:rFonts w:ascii="Palatino Linotype" w:eastAsia="Arial Unicode MS" w:hAnsi="Palatino Linotype" w:cs="Arial"/>
          <w:sz w:val="18"/>
          <w:szCs w:val="18"/>
        </w:rPr>
        <w:t xml:space="preserve">Sirve de sustento a lo anterior por analogía la tesis jurisprudencial </w:t>
      </w:r>
      <w:r>
        <w:rPr>
          <w:rFonts w:ascii="Palatino Linotype" w:eastAsia="Arial Unicode MS" w:hAnsi="Palatino Linotype" w:cs="Arial"/>
          <w:sz w:val="18"/>
          <w:szCs w:val="18"/>
        </w:rPr>
        <w:t xml:space="preserve">publicada en el </w:t>
      </w:r>
      <w:r w:rsidRPr="008C55A3">
        <w:rPr>
          <w:rFonts w:ascii="Palatino Linotype" w:hAnsi="Palatino Linotype" w:cs="Arial"/>
          <w:sz w:val="18"/>
          <w:szCs w:val="18"/>
        </w:rPr>
        <w:t xml:space="preserve">del Semanario Judicial de la Federación y su Gaceta </w:t>
      </w:r>
      <w:r>
        <w:rPr>
          <w:rFonts w:ascii="Palatino Linotype" w:hAnsi="Palatino Linotype" w:cs="Arial"/>
          <w:sz w:val="18"/>
          <w:szCs w:val="18"/>
        </w:rPr>
        <w:t xml:space="preserve">bajo el </w:t>
      </w:r>
      <w:r w:rsidRPr="008C55A3">
        <w:rPr>
          <w:rFonts w:ascii="Palatino Linotype" w:eastAsia="Arial Unicode MS" w:hAnsi="Palatino Linotype" w:cs="Arial"/>
          <w:sz w:val="18"/>
          <w:szCs w:val="18"/>
        </w:rPr>
        <w:t xml:space="preserve">número </w:t>
      </w:r>
      <w:r>
        <w:rPr>
          <w:rFonts w:ascii="Palatino Linotype" w:eastAsia="Arial Unicode MS" w:hAnsi="Palatino Linotype" w:cs="Arial"/>
          <w:sz w:val="18"/>
          <w:szCs w:val="18"/>
        </w:rPr>
        <w:t xml:space="preserve">de registro </w:t>
      </w:r>
      <w:r w:rsidRPr="008C55A3">
        <w:rPr>
          <w:rFonts w:ascii="Palatino Linotype" w:hAnsi="Palatino Linotype" w:cs="Arial"/>
          <w:sz w:val="18"/>
          <w:szCs w:val="18"/>
        </w:rPr>
        <w:t>176,608 que a la letra dice:</w:t>
      </w:r>
    </w:p>
    <w:p w:rsidR="00B04652" w:rsidRPr="008C55A3" w:rsidRDefault="00B04652" w:rsidP="00B04652">
      <w:pPr>
        <w:pStyle w:val="Prrafodelista"/>
        <w:spacing w:before="240" w:after="240" w:line="360" w:lineRule="auto"/>
        <w:ind w:left="567"/>
        <w:jc w:val="both"/>
        <w:rPr>
          <w:rFonts w:ascii="Palatino Linotype" w:hAnsi="Palatino Linotype" w:cs="Arial"/>
          <w:i/>
          <w:sz w:val="18"/>
          <w:szCs w:val="18"/>
        </w:rPr>
      </w:pPr>
      <w:r w:rsidRPr="008C55A3">
        <w:rPr>
          <w:rFonts w:ascii="Palatino Linotype" w:hAnsi="Palatino Linotype" w:cs="Arial"/>
          <w:b/>
          <w:bCs/>
          <w:i/>
          <w:caps/>
          <w:sz w:val="18"/>
          <w:szCs w:val="18"/>
        </w:rPr>
        <w:t xml:space="preserve">“ACTOS CONSENTIDOS. SON LOS QUE NO SE IMPUGNAN MEDIANTE EL RECURSO IDÓNEO. </w:t>
      </w:r>
      <w:r w:rsidRPr="008C55A3">
        <w:rPr>
          <w:rFonts w:ascii="Palatino Linotype" w:hAnsi="Palatino Linotype" w:cs="Arial"/>
          <w:i/>
          <w:sz w:val="18"/>
          <w:szCs w:val="18"/>
          <w:u w:val="single"/>
        </w:rPr>
        <w:t>Debe reputarse como consentido el acto que no se impugnó por el medio establecido por la ley</w:t>
      </w:r>
      <w:r w:rsidRPr="008C55A3">
        <w:rPr>
          <w:rFonts w:ascii="Palatino Linotype" w:hAnsi="Palatino Linotype" w:cs="Arial"/>
          <w:i/>
          <w:sz w:val="18"/>
          <w:szCs w:val="18"/>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507903" w:rsidP="0050790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02105</w:t>
          </w:r>
          <w:r w:rsidR="0037311B" w:rsidRPr="0037311B">
            <w:rPr>
              <w:rFonts w:ascii="Palatino Linotype" w:hAnsi="Palatino Linotype" w:cs="Arial"/>
              <w:bCs/>
              <w:sz w:val="24"/>
              <w:lang w:eastAsia="es-MX"/>
            </w:rPr>
            <w:t>/INFOEM/IP/RR/2019</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507903" w:rsidP="00E15E85">
          <w:pPr>
            <w:spacing w:after="120" w:line="256" w:lineRule="auto"/>
            <w:ind w:left="-486" w:right="214" w:firstLine="284"/>
            <w:jc w:val="right"/>
            <w:rPr>
              <w:rFonts w:ascii="Palatino Linotype" w:hAnsi="Palatino Linotype" w:cs="Arial"/>
              <w:szCs w:val="20"/>
            </w:rPr>
          </w:pPr>
          <w:r w:rsidRPr="00507903">
            <w:rPr>
              <w:rFonts w:ascii="Palatino Linotype" w:hAnsi="Palatino Linotype" w:cs="Arial"/>
              <w:szCs w:val="20"/>
            </w:rPr>
            <w:t>Secretaría de Educación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4803ED" w:rsidP="00507903">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507903">
            <w:rPr>
              <w:rFonts w:ascii="Palatino Linotype" w:hAnsi="Palatino Linotype" w:cs="Arial"/>
              <w:bCs/>
              <w:sz w:val="24"/>
              <w:lang w:eastAsia="es-MX"/>
            </w:rPr>
            <w:t>2105</w:t>
          </w:r>
          <w:r w:rsidR="0037311B" w:rsidRPr="0037311B">
            <w:rPr>
              <w:rFonts w:ascii="Palatino Linotype" w:hAnsi="Palatino Linotype" w:cs="Arial"/>
              <w:bCs/>
              <w:sz w:val="24"/>
              <w:lang w:eastAsia="es-MX"/>
            </w:rPr>
            <w:t>/INFOEM/IP/RR/2019</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087E1F"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 XXXXXX XXXXXXX 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507903" w:rsidP="0015550A">
          <w:pPr>
            <w:spacing w:after="120" w:line="256" w:lineRule="auto"/>
            <w:ind w:left="-495" w:right="214" w:firstLine="567"/>
            <w:jc w:val="right"/>
            <w:rPr>
              <w:rFonts w:ascii="Palatino Linotype" w:hAnsi="Palatino Linotype" w:cs="Arial"/>
              <w:szCs w:val="20"/>
            </w:rPr>
          </w:pPr>
          <w:r w:rsidRPr="00507903">
            <w:rPr>
              <w:rFonts w:ascii="Palatino Linotype" w:hAnsi="Palatino Linotype" w:cs="Arial"/>
              <w:szCs w:val="20"/>
            </w:rPr>
            <w:t>Secretaría de Educación</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157DB9"/>
    <w:multiLevelType w:val="hybridMultilevel"/>
    <w:tmpl w:val="18640776"/>
    <w:numStyleLink w:val="Estiloimportado2"/>
  </w:abstractNum>
  <w:abstractNum w:abstractNumId="12"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4"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3"/>
  </w:num>
  <w:num w:numId="2">
    <w:abstractNumId w:val="3"/>
  </w:num>
  <w:num w:numId="3">
    <w:abstractNumId w:val="10"/>
  </w:num>
  <w:num w:numId="4">
    <w:abstractNumId w:val="7"/>
  </w:num>
  <w:num w:numId="5">
    <w:abstractNumId w:val="11"/>
  </w:num>
  <w:num w:numId="6">
    <w:abstractNumId w:val="4"/>
  </w:num>
  <w:num w:numId="7">
    <w:abstractNumId w:val="15"/>
  </w:num>
  <w:num w:numId="8">
    <w:abstractNumId w:val="9"/>
  </w:num>
  <w:num w:numId="9">
    <w:abstractNumId w:val="5"/>
  </w:num>
  <w:num w:numId="10">
    <w:abstractNumId w:val="14"/>
  </w:num>
  <w:num w:numId="11">
    <w:abstractNumId w:val="6"/>
  </w:num>
  <w:num w:numId="12">
    <w:abstractNumId w:val="8"/>
  </w:num>
  <w:num w:numId="13">
    <w:abstractNumId w:val="1"/>
  </w:num>
  <w:num w:numId="14">
    <w:abstractNumId w:val="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B19"/>
    <w:rsid w:val="00053ED1"/>
    <w:rsid w:val="00062CBD"/>
    <w:rsid w:val="00073973"/>
    <w:rsid w:val="00074A99"/>
    <w:rsid w:val="00076643"/>
    <w:rsid w:val="00082DF3"/>
    <w:rsid w:val="00087E1F"/>
    <w:rsid w:val="00091D98"/>
    <w:rsid w:val="000C22EC"/>
    <w:rsid w:val="000C59EE"/>
    <w:rsid w:val="000F019E"/>
    <w:rsid w:val="0011750A"/>
    <w:rsid w:val="0012266D"/>
    <w:rsid w:val="00130D58"/>
    <w:rsid w:val="0013463F"/>
    <w:rsid w:val="00152B26"/>
    <w:rsid w:val="0015550A"/>
    <w:rsid w:val="00171BD5"/>
    <w:rsid w:val="0017548E"/>
    <w:rsid w:val="00183623"/>
    <w:rsid w:val="001B066D"/>
    <w:rsid w:val="001B3E5E"/>
    <w:rsid w:val="001C28D0"/>
    <w:rsid w:val="001C3E01"/>
    <w:rsid w:val="001C3F41"/>
    <w:rsid w:val="001C7069"/>
    <w:rsid w:val="001F5D0E"/>
    <w:rsid w:val="002052F6"/>
    <w:rsid w:val="00217E99"/>
    <w:rsid w:val="00223C2F"/>
    <w:rsid w:val="00224181"/>
    <w:rsid w:val="00233D51"/>
    <w:rsid w:val="00240133"/>
    <w:rsid w:val="00253101"/>
    <w:rsid w:val="002606F0"/>
    <w:rsid w:val="0026534C"/>
    <w:rsid w:val="002677ED"/>
    <w:rsid w:val="00273570"/>
    <w:rsid w:val="0028577D"/>
    <w:rsid w:val="00287512"/>
    <w:rsid w:val="002902D7"/>
    <w:rsid w:val="00294D34"/>
    <w:rsid w:val="002A1820"/>
    <w:rsid w:val="002A30B2"/>
    <w:rsid w:val="002A6F17"/>
    <w:rsid w:val="002B067A"/>
    <w:rsid w:val="002B144D"/>
    <w:rsid w:val="002B18B0"/>
    <w:rsid w:val="002B7CD8"/>
    <w:rsid w:val="002C1EC5"/>
    <w:rsid w:val="002E37C3"/>
    <w:rsid w:val="003011A8"/>
    <w:rsid w:val="003034F4"/>
    <w:rsid w:val="00307041"/>
    <w:rsid w:val="00317B8A"/>
    <w:rsid w:val="00330A95"/>
    <w:rsid w:val="003341B0"/>
    <w:rsid w:val="00334E11"/>
    <w:rsid w:val="00342A59"/>
    <w:rsid w:val="003452FA"/>
    <w:rsid w:val="0034696E"/>
    <w:rsid w:val="003470B1"/>
    <w:rsid w:val="003474F2"/>
    <w:rsid w:val="0035772D"/>
    <w:rsid w:val="00357BFC"/>
    <w:rsid w:val="0037311B"/>
    <w:rsid w:val="00384AC7"/>
    <w:rsid w:val="00385299"/>
    <w:rsid w:val="0039084D"/>
    <w:rsid w:val="003B465B"/>
    <w:rsid w:val="003C5897"/>
    <w:rsid w:val="004254FE"/>
    <w:rsid w:val="00437C82"/>
    <w:rsid w:val="004803ED"/>
    <w:rsid w:val="00492244"/>
    <w:rsid w:val="004A2BFB"/>
    <w:rsid w:val="004C3693"/>
    <w:rsid w:val="004E6DB3"/>
    <w:rsid w:val="004F05B2"/>
    <w:rsid w:val="00507903"/>
    <w:rsid w:val="00523067"/>
    <w:rsid w:val="00527856"/>
    <w:rsid w:val="00527C6A"/>
    <w:rsid w:val="005329E8"/>
    <w:rsid w:val="005733EB"/>
    <w:rsid w:val="0057576D"/>
    <w:rsid w:val="00576C26"/>
    <w:rsid w:val="005820BF"/>
    <w:rsid w:val="005E283C"/>
    <w:rsid w:val="005E6786"/>
    <w:rsid w:val="006031CE"/>
    <w:rsid w:val="00611799"/>
    <w:rsid w:val="00614FDD"/>
    <w:rsid w:val="00616784"/>
    <w:rsid w:val="00625D87"/>
    <w:rsid w:val="00631B59"/>
    <w:rsid w:val="00653B08"/>
    <w:rsid w:val="00654B56"/>
    <w:rsid w:val="00673CFD"/>
    <w:rsid w:val="006A08BA"/>
    <w:rsid w:val="006B2E10"/>
    <w:rsid w:val="006C1A4F"/>
    <w:rsid w:val="006C7125"/>
    <w:rsid w:val="006F2EA8"/>
    <w:rsid w:val="00707CD8"/>
    <w:rsid w:val="0071620F"/>
    <w:rsid w:val="00740AC8"/>
    <w:rsid w:val="00755099"/>
    <w:rsid w:val="007654BC"/>
    <w:rsid w:val="0079194D"/>
    <w:rsid w:val="007A0267"/>
    <w:rsid w:val="007C1445"/>
    <w:rsid w:val="007C64C1"/>
    <w:rsid w:val="007D0B2C"/>
    <w:rsid w:val="007D276C"/>
    <w:rsid w:val="007D48FA"/>
    <w:rsid w:val="007D59B4"/>
    <w:rsid w:val="007D62B3"/>
    <w:rsid w:val="007E2959"/>
    <w:rsid w:val="00845C1C"/>
    <w:rsid w:val="00852141"/>
    <w:rsid w:val="00872278"/>
    <w:rsid w:val="00875499"/>
    <w:rsid w:val="0087560D"/>
    <w:rsid w:val="00881D0D"/>
    <w:rsid w:val="008A12F6"/>
    <w:rsid w:val="008A5E77"/>
    <w:rsid w:val="008B34EC"/>
    <w:rsid w:val="008D6D31"/>
    <w:rsid w:val="008E0E21"/>
    <w:rsid w:val="008E5141"/>
    <w:rsid w:val="008E7408"/>
    <w:rsid w:val="008F7A52"/>
    <w:rsid w:val="009306B4"/>
    <w:rsid w:val="00943223"/>
    <w:rsid w:val="0094613F"/>
    <w:rsid w:val="009472E2"/>
    <w:rsid w:val="00950056"/>
    <w:rsid w:val="00980401"/>
    <w:rsid w:val="009838CD"/>
    <w:rsid w:val="00991CC2"/>
    <w:rsid w:val="00994336"/>
    <w:rsid w:val="00997030"/>
    <w:rsid w:val="009A45B6"/>
    <w:rsid w:val="009A4C2C"/>
    <w:rsid w:val="009B76BF"/>
    <w:rsid w:val="009C75A5"/>
    <w:rsid w:val="009E3B36"/>
    <w:rsid w:val="009F7948"/>
    <w:rsid w:val="00A30977"/>
    <w:rsid w:val="00A459D0"/>
    <w:rsid w:val="00A45C8D"/>
    <w:rsid w:val="00A70873"/>
    <w:rsid w:val="00A9298D"/>
    <w:rsid w:val="00A92C85"/>
    <w:rsid w:val="00A948EF"/>
    <w:rsid w:val="00AA2CB1"/>
    <w:rsid w:val="00AB29CF"/>
    <w:rsid w:val="00AC1D50"/>
    <w:rsid w:val="00AF15FD"/>
    <w:rsid w:val="00AF385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4369"/>
    <w:rsid w:val="00BA2458"/>
    <w:rsid w:val="00BA68FA"/>
    <w:rsid w:val="00BC1280"/>
    <w:rsid w:val="00BC1C0A"/>
    <w:rsid w:val="00BC4EF7"/>
    <w:rsid w:val="00BC59B2"/>
    <w:rsid w:val="00C16071"/>
    <w:rsid w:val="00C203E8"/>
    <w:rsid w:val="00C23151"/>
    <w:rsid w:val="00C25BA8"/>
    <w:rsid w:val="00C3114B"/>
    <w:rsid w:val="00C56C4E"/>
    <w:rsid w:val="00C61C1C"/>
    <w:rsid w:val="00C6478B"/>
    <w:rsid w:val="00C64C22"/>
    <w:rsid w:val="00C66E70"/>
    <w:rsid w:val="00C80AEF"/>
    <w:rsid w:val="00CA6DA1"/>
    <w:rsid w:val="00CD4B02"/>
    <w:rsid w:val="00D120B9"/>
    <w:rsid w:val="00D24D6B"/>
    <w:rsid w:val="00D5302E"/>
    <w:rsid w:val="00D5453E"/>
    <w:rsid w:val="00D56BC3"/>
    <w:rsid w:val="00D67629"/>
    <w:rsid w:val="00D70FE3"/>
    <w:rsid w:val="00D8485C"/>
    <w:rsid w:val="00D9010D"/>
    <w:rsid w:val="00D95936"/>
    <w:rsid w:val="00DB584E"/>
    <w:rsid w:val="00DC3B85"/>
    <w:rsid w:val="00DD13E2"/>
    <w:rsid w:val="00DF16C4"/>
    <w:rsid w:val="00DF6F40"/>
    <w:rsid w:val="00E104FD"/>
    <w:rsid w:val="00E10DEE"/>
    <w:rsid w:val="00E11EFA"/>
    <w:rsid w:val="00E14924"/>
    <w:rsid w:val="00E158AD"/>
    <w:rsid w:val="00E15E85"/>
    <w:rsid w:val="00E16AC8"/>
    <w:rsid w:val="00E221C1"/>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E5CB5"/>
    <w:rsid w:val="00EF2AE9"/>
    <w:rsid w:val="00F21A2E"/>
    <w:rsid w:val="00F433DC"/>
    <w:rsid w:val="00F77F57"/>
    <w:rsid w:val="00F812A0"/>
    <w:rsid w:val="00F9756D"/>
    <w:rsid w:val="00FA0D20"/>
    <w:rsid w:val="00FA1D2B"/>
    <w:rsid w:val="00FB0756"/>
    <w:rsid w:val="00FC145E"/>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6031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31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4414</Words>
  <Characters>24277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2019-06-13T00:37:00Z</cp:lastPrinted>
  <dcterms:created xsi:type="dcterms:W3CDTF">2019-08-01T18:15:00Z</dcterms:created>
  <dcterms:modified xsi:type="dcterms:W3CDTF">2019-08-01T18:15:00Z</dcterms:modified>
</cp:coreProperties>
</file>