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37D" w:rsidRPr="002F537D" w:rsidRDefault="00222D15" w:rsidP="00117C44">
      <w:pPr>
        <w:widowControl w:val="0"/>
        <w:spacing w:before="100" w:beforeAutospacing="1" w:after="100" w:afterAutospacing="1" w:line="360" w:lineRule="auto"/>
        <w:ind w:right="49"/>
        <w:jc w:val="both"/>
        <w:rPr>
          <w:rFonts w:ascii="Palatino Linotype" w:hAnsi="Palatino Linotype" w:cs="Arial"/>
          <w:b/>
          <w:bCs/>
          <w:sz w:val="24"/>
          <w:szCs w:val="24"/>
        </w:rPr>
      </w:pPr>
      <w:r w:rsidRPr="009F71D8">
        <w:rPr>
          <w:rFonts w:ascii="Palatino Linotype" w:hAnsi="Palatino Linotype" w:cs="Arial"/>
          <w:b/>
          <w:sz w:val="24"/>
          <w:szCs w:val="24"/>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727368">
        <w:rPr>
          <w:rFonts w:ascii="Palatino Linotype" w:hAnsi="Palatino Linotype" w:cs="Arial"/>
          <w:b/>
          <w:sz w:val="24"/>
          <w:szCs w:val="24"/>
        </w:rPr>
        <w:t xml:space="preserve">CUADRAGÉSIMA CUARTA </w:t>
      </w:r>
      <w:r w:rsidRPr="009F71D8">
        <w:rPr>
          <w:rFonts w:ascii="Palatino Linotype" w:hAnsi="Palatino Linotype" w:cs="Arial"/>
          <w:b/>
          <w:sz w:val="24"/>
          <w:szCs w:val="24"/>
        </w:rPr>
        <w:t xml:space="preserve">SESIÓN ORDINARIA DE </w:t>
      </w:r>
      <w:r w:rsidR="00727368">
        <w:rPr>
          <w:rFonts w:ascii="Palatino Linotype" w:hAnsi="Palatino Linotype" w:cs="Arial"/>
          <w:b/>
          <w:sz w:val="24"/>
          <w:szCs w:val="24"/>
        </w:rPr>
        <w:t xml:space="preserve">VEINTISIETE </w:t>
      </w:r>
      <w:r w:rsidR="007C4D4B">
        <w:rPr>
          <w:rFonts w:ascii="Palatino Linotype" w:hAnsi="Palatino Linotype" w:cs="Arial"/>
          <w:b/>
          <w:sz w:val="24"/>
          <w:szCs w:val="24"/>
        </w:rPr>
        <w:t xml:space="preserve">DE </w:t>
      </w:r>
      <w:r w:rsidR="00727368">
        <w:rPr>
          <w:rFonts w:ascii="Palatino Linotype" w:hAnsi="Palatino Linotype" w:cs="Arial"/>
          <w:b/>
          <w:sz w:val="24"/>
          <w:szCs w:val="24"/>
        </w:rPr>
        <w:t xml:space="preserve">NOVIEMBRE </w:t>
      </w:r>
      <w:r w:rsidRPr="009F71D8">
        <w:rPr>
          <w:rFonts w:ascii="Palatino Linotype" w:hAnsi="Palatino Linotype" w:cs="Arial"/>
          <w:b/>
          <w:sz w:val="24"/>
          <w:szCs w:val="24"/>
        </w:rPr>
        <w:t xml:space="preserve">DE DOS MIL </w:t>
      </w:r>
      <w:r w:rsidR="0046713B">
        <w:rPr>
          <w:rFonts w:ascii="Palatino Linotype" w:hAnsi="Palatino Linotype" w:cs="Arial"/>
          <w:b/>
          <w:sz w:val="24"/>
          <w:szCs w:val="24"/>
        </w:rPr>
        <w:t>DIECINUEVE</w:t>
      </w:r>
      <w:r w:rsidRPr="009F71D8">
        <w:rPr>
          <w:rFonts w:ascii="Palatino Linotype" w:hAnsi="Palatino Linotype" w:cs="Arial"/>
          <w:b/>
          <w:sz w:val="24"/>
          <w:szCs w:val="24"/>
        </w:rPr>
        <w:t xml:space="preserve">, EN EL RECURSO DE REVISIÓN </w:t>
      </w:r>
      <w:r w:rsidR="00727368">
        <w:rPr>
          <w:rFonts w:ascii="Palatino Linotype" w:hAnsi="Palatino Linotype" w:cs="Arial"/>
          <w:b/>
          <w:bCs/>
          <w:sz w:val="24"/>
          <w:szCs w:val="24"/>
        </w:rPr>
        <w:t>07615</w:t>
      </w:r>
      <w:r w:rsidRPr="009F71D8">
        <w:rPr>
          <w:rFonts w:ascii="Palatino Linotype" w:hAnsi="Palatino Linotype" w:cs="Arial"/>
          <w:b/>
          <w:bCs/>
          <w:sz w:val="24"/>
          <w:szCs w:val="24"/>
        </w:rPr>
        <w:t>/INFOEM/IP/RR/201</w:t>
      </w:r>
      <w:r w:rsidR="00571F3C">
        <w:rPr>
          <w:rFonts w:ascii="Palatino Linotype" w:hAnsi="Palatino Linotype" w:cs="Arial"/>
          <w:b/>
          <w:bCs/>
          <w:sz w:val="24"/>
          <w:szCs w:val="24"/>
        </w:rPr>
        <w:t>9</w:t>
      </w:r>
      <w:r w:rsidRPr="009F71D8">
        <w:rPr>
          <w:rFonts w:ascii="Palatino Linotype" w:hAnsi="Palatino Linotype" w:cs="Arial"/>
          <w:b/>
          <w:bCs/>
          <w:sz w:val="24"/>
          <w:szCs w:val="24"/>
        </w:rPr>
        <w:t>.</w:t>
      </w:r>
    </w:p>
    <w:p w:rsidR="00222D15" w:rsidRPr="009F71D8" w:rsidRDefault="00222D15" w:rsidP="00117C44">
      <w:pPr>
        <w:spacing w:before="100" w:beforeAutospacing="1" w:after="100" w:afterAutospacing="1" w:line="360" w:lineRule="auto"/>
        <w:ind w:right="49"/>
        <w:jc w:val="both"/>
        <w:rPr>
          <w:rFonts w:ascii="Palatino Linotype" w:hAnsi="Palatino Linotype" w:cs="Arial"/>
          <w:sz w:val="24"/>
          <w:szCs w:val="24"/>
        </w:rPr>
      </w:pPr>
      <w:r w:rsidRPr="009F71D8">
        <w:rPr>
          <w:rFonts w:ascii="Palatino Linotype" w:hAnsi="Palatino Linotype" w:cs="Arial"/>
          <w:sz w:val="24"/>
          <w:szCs w:val="24"/>
        </w:rPr>
        <w:t>Con fundamento en lo dispuesto por el artículo 14</w:t>
      </w:r>
      <w:r w:rsidR="00A85D7A">
        <w:rPr>
          <w:rFonts w:ascii="Palatino Linotype" w:hAnsi="Palatino Linotype" w:cs="Arial"/>
          <w:sz w:val="24"/>
          <w:szCs w:val="24"/>
        </w:rPr>
        <w:t>,</w:t>
      </w:r>
      <w:r w:rsidRPr="009F71D8">
        <w:rPr>
          <w:rFonts w:ascii="Palatino Linotype" w:hAnsi="Palatino Linotype" w:cs="Arial"/>
          <w:sz w:val="24"/>
          <w:szCs w:val="24"/>
        </w:rPr>
        <w:t xml:space="preserve"> fracciones X y XI del Reglamento Interior del Instituto de Transparencia, Acceso a la Información Pública y Protección de Datos Personales del Estado de México y Municipios, la que suscribe</w:t>
      </w:r>
      <w:r w:rsidRPr="009F71D8">
        <w:rPr>
          <w:rFonts w:ascii="Palatino Linotype" w:hAnsi="Palatino Linotype" w:cs="Arial"/>
          <w:b/>
          <w:sz w:val="24"/>
          <w:szCs w:val="24"/>
          <w:lang w:val="es-ES_tradnl"/>
        </w:rPr>
        <w:t xml:space="preserve"> </w:t>
      </w:r>
      <w:r w:rsidRPr="009F71D8">
        <w:rPr>
          <w:rFonts w:ascii="Palatino Linotype" w:hAnsi="Palatino Linotype" w:cs="Arial"/>
          <w:b/>
          <w:sz w:val="24"/>
          <w:szCs w:val="24"/>
        </w:rPr>
        <w:t xml:space="preserve">EVA ABAID YAPUR </w:t>
      </w:r>
      <w:r w:rsidRPr="009F71D8">
        <w:rPr>
          <w:rFonts w:ascii="Palatino Linotype" w:hAnsi="Palatino Linotype" w:cs="Arial"/>
          <w:sz w:val="24"/>
          <w:szCs w:val="24"/>
        </w:rPr>
        <w:t xml:space="preserve">emite </w:t>
      </w:r>
      <w:r w:rsidRPr="009F71D8">
        <w:rPr>
          <w:rFonts w:ascii="Palatino Linotype" w:hAnsi="Palatino Linotype" w:cs="Arial"/>
          <w:b/>
          <w:sz w:val="24"/>
          <w:szCs w:val="24"/>
        </w:rPr>
        <w:t xml:space="preserve">VOTO PARTICULAR </w:t>
      </w:r>
      <w:r w:rsidRPr="009F71D8">
        <w:rPr>
          <w:rFonts w:ascii="Palatino Linotype" w:hAnsi="Palatino Linotype" w:cs="Arial"/>
          <w:sz w:val="24"/>
          <w:szCs w:val="24"/>
        </w:rPr>
        <w:t xml:space="preserve">respecto de la resolución dictada en el recurso de revisión </w:t>
      </w:r>
      <w:r w:rsidR="00727368">
        <w:rPr>
          <w:rFonts w:ascii="Palatino Linotype" w:hAnsi="Palatino Linotype" w:cs="Arial"/>
          <w:b/>
          <w:bCs/>
          <w:sz w:val="24"/>
          <w:szCs w:val="24"/>
        </w:rPr>
        <w:t>0761</w:t>
      </w:r>
      <w:r w:rsidR="007C4D4B">
        <w:rPr>
          <w:rFonts w:ascii="Palatino Linotype" w:hAnsi="Palatino Linotype" w:cs="Arial"/>
          <w:b/>
          <w:bCs/>
          <w:sz w:val="24"/>
          <w:szCs w:val="24"/>
        </w:rPr>
        <w:t>5</w:t>
      </w:r>
      <w:r w:rsidR="00571F3C">
        <w:rPr>
          <w:rFonts w:ascii="Palatino Linotype" w:hAnsi="Palatino Linotype" w:cs="Arial"/>
          <w:b/>
          <w:bCs/>
          <w:sz w:val="24"/>
          <w:szCs w:val="24"/>
        </w:rPr>
        <w:t>/INFOEM/IP/RR/2019</w:t>
      </w:r>
      <w:r w:rsidRPr="009F71D8">
        <w:rPr>
          <w:rFonts w:ascii="Palatino Linotype" w:hAnsi="Palatino Linotype" w:cs="Arial"/>
          <w:sz w:val="24"/>
          <w:szCs w:val="24"/>
        </w:rPr>
        <w:t>, pronunciada por el Pleno de este Instituto an</w:t>
      </w:r>
      <w:r w:rsidR="00571F3C">
        <w:rPr>
          <w:rFonts w:ascii="Palatino Linotype" w:hAnsi="Palatino Linotype" w:cs="Arial"/>
          <w:sz w:val="24"/>
          <w:szCs w:val="24"/>
        </w:rPr>
        <w:t xml:space="preserve">te el proyecto presentado por </w:t>
      </w:r>
      <w:r w:rsidR="007A3711">
        <w:rPr>
          <w:rFonts w:ascii="Palatino Linotype" w:hAnsi="Palatino Linotype" w:cs="Arial"/>
          <w:sz w:val="24"/>
          <w:szCs w:val="24"/>
        </w:rPr>
        <w:t>la Comisionada</w:t>
      </w:r>
      <w:r w:rsidR="005E0746">
        <w:rPr>
          <w:rFonts w:ascii="Palatino Linotype" w:hAnsi="Palatino Linotype" w:cs="Arial"/>
          <w:sz w:val="24"/>
          <w:szCs w:val="24"/>
        </w:rPr>
        <w:t xml:space="preserve"> Presidenta</w:t>
      </w:r>
      <w:r w:rsidRPr="009F71D8">
        <w:rPr>
          <w:rFonts w:ascii="Palatino Linotype" w:hAnsi="Palatino Linotype" w:cs="Arial"/>
          <w:sz w:val="24"/>
          <w:szCs w:val="24"/>
        </w:rPr>
        <w:t xml:space="preserve"> </w:t>
      </w:r>
      <w:r w:rsidR="005E0746">
        <w:rPr>
          <w:rFonts w:ascii="Palatino Linotype" w:hAnsi="Palatino Linotype" w:cs="Arial"/>
          <w:b/>
          <w:sz w:val="24"/>
          <w:szCs w:val="24"/>
        </w:rPr>
        <w:t>ZULEMA MARTÍNEZ SÁNCHEZ</w:t>
      </w:r>
      <w:r w:rsidRPr="009F71D8">
        <w:rPr>
          <w:rFonts w:ascii="Palatino Linotype" w:hAnsi="Palatino Linotype" w:cs="Arial"/>
          <w:sz w:val="24"/>
          <w:szCs w:val="24"/>
        </w:rPr>
        <w:t>, que es del tenor siguiente.</w:t>
      </w:r>
    </w:p>
    <w:p w:rsidR="00222D15" w:rsidRPr="009F71D8" w:rsidRDefault="00222D15" w:rsidP="00117C44">
      <w:pPr>
        <w:spacing w:before="100" w:beforeAutospacing="1" w:after="100" w:afterAutospacing="1" w:line="360" w:lineRule="auto"/>
        <w:ind w:right="49"/>
        <w:jc w:val="both"/>
        <w:rPr>
          <w:rFonts w:ascii="Palatino Linotype" w:hAnsi="Palatino Linotype"/>
          <w:sz w:val="24"/>
          <w:szCs w:val="24"/>
        </w:rPr>
      </w:pPr>
      <w:r w:rsidRPr="009F71D8">
        <w:rPr>
          <w:rFonts w:ascii="Palatino Linotype" w:hAnsi="Palatino Linotype"/>
          <w:sz w:val="24"/>
          <w:szCs w:val="24"/>
        </w:rPr>
        <w:t xml:space="preserve">Es de destacar, que la suscrita comparte esencialmente el </w:t>
      </w:r>
      <w:r>
        <w:rPr>
          <w:rFonts w:ascii="Palatino Linotype" w:hAnsi="Palatino Linotype"/>
          <w:sz w:val="24"/>
          <w:szCs w:val="24"/>
        </w:rPr>
        <w:t xml:space="preserve">sentido de la resolución </w:t>
      </w:r>
      <w:r w:rsidRPr="009F71D8">
        <w:rPr>
          <w:rFonts w:ascii="Palatino Linotype" w:hAnsi="Palatino Linotype"/>
          <w:sz w:val="24"/>
          <w:szCs w:val="24"/>
        </w:rPr>
        <w:t>del rec</w:t>
      </w:r>
      <w:r w:rsidR="00642D83">
        <w:rPr>
          <w:rFonts w:ascii="Palatino Linotype" w:hAnsi="Palatino Linotype"/>
          <w:sz w:val="24"/>
          <w:szCs w:val="24"/>
        </w:rPr>
        <w:t>urso de revisión; empero, estimo</w:t>
      </w:r>
      <w:r w:rsidRPr="009F71D8">
        <w:rPr>
          <w:rFonts w:ascii="Palatino Linotype" w:hAnsi="Palatino Linotype"/>
          <w:sz w:val="24"/>
          <w:szCs w:val="24"/>
        </w:rPr>
        <w:t xml:space="preserve"> necesario precisar algunas consideraciones de hecho y de derecho.</w:t>
      </w:r>
    </w:p>
    <w:p w:rsidR="00D72673" w:rsidRPr="000E13D9" w:rsidRDefault="00222D15" w:rsidP="00117C44">
      <w:pPr>
        <w:spacing w:before="100" w:beforeAutospacing="1" w:after="100" w:afterAutospacing="1" w:line="360" w:lineRule="auto"/>
        <w:jc w:val="both"/>
        <w:rPr>
          <w:rFonts w:ascii="Palatino Linotype" w:hAnsi="Palatino Linotype" w:cs="Arial"/>
          <w:sz w:val="24"/>
        </w:rPr>
      </w:pPr>
      <w:r w:rsidRPr="009F71D8">
        <w:rPr>
          <w:rFonts w:ascii="Palatino Linotype" w:hAnsi="Palatino Linotype"/>
          <w:sz w:val="24"/>
          <w:szCs w:val="24"/>
        </w:rPr>
        <w:t>Al respecto, tal y como quedó debidamente asentado en la resoluc</w:t>
      </w:r>
      <w:r>
        <w:rPr>
          <w:rFonts w:ascii="Palatino Linotype" w:hAnsi="Palatino Linotype"/>
          <w:sz w:val="24"/>
          <w:szCs w:val="24"/>
        </w:rPr>
        <w:t>i</w:t>
      </w:r>
      <w:r w:rsidR="00E43478">
        <w:rPr>
          <w:rFonts w:ascii="Palatino Linotype" w:hAnsi="Palatino Linotype"/>
          <w:sz w:val="24"/>
          <w:szCs w:val="24"/>
        </w:rPr>
        <w:t>ón materia del presente voto, el</w:t>
      </w:r>
      <w:r w:rsidR="00352721">
        <w:rPr>
          <w:rFonts w:ascii="Palatino Linotype" w:hAnsi="Palatino Linotype"/>
          <w:sz w:val="24"/>
          <w:szCs w:val="24"/>
        </w:rPr>
        <w:t xml:space="preserve"> particular requirió </w:t>
      </w:r>
      <w:r w:rsidR="007A3711">
        <w:rPr>
          <w:rFonts w:ascii="Palatino Linotype" w:hAnsi="Palatino Linotype"/>
          <w:sz w:val="24"/>
          <w:szCs w:val="24"/>
        </w:rPr>
        <w:t>del</w:t>
      </w:r>
      <w:r w:rsidR="00EC447A">
        <w:rPr>
          <w:rFonts w:ascii="Palatino Linotype" w:hAnsi="Palatino Linotype"/>
          <w:sz w:val="24"/>
          <w:szCs w:val="24"/>
        </w:rPr>
        <w:t xml:space="preserve"> </w:t>
      </w:r>
      <w:r w:rsidR="003A1818" w:rsidRPr="00C82169">
        <w:rPr>
          <w:rFonts w:ascii="Palatino Linotype" w:hAnsi="Palatino Linotype" w:cs="Arial"/>
          <w:b/>
          <w:sz w:val="24"/>
          <w:szCs w:val="24"/>
        </w:rPr>
        <w:t>Ayuntamiento de To</w:t>
      </w:r>
      <w:r w:rsidR="00727368">
        <w:rPr>
          <w:rFonts w:ascii="Palatino Linotype" w:hAnsi="Palatino Linotype" w:cs="Arial"/>
          <w:b/>
          <w:sz w:val="24"/>
          <w:szCs w:val="24"/>
        </w:rPr>
        <w:t>luca</w:t>
      </w:r>
      <w:r w:rsidR="004773D0">
        <w:rPr>
          <w:rFonts w:ascii="Palatino Linotype" w:hAnsi="Palatino Linotype"/>
          <w:sz w:val="24"/>
          <w:szCs w:val="24"/>
        </w:rPr>
        <w:t>,</w:t>
      </w:r>
      <w:r w:rsidR="00352721">
        <w:rPr>
          <w:rFonts w:ascii="Palatino Linotype" w:hAnsi="Palatino Linotype"/>
          <w:sz w:val="24"/>
          <w:szCs w:val="24"/>
        </w:rPr>
        <w:t xml:space="preserve"> en lo sucesivo </w:t>
      </w:r>
      <w:r w:rsidR="00352721" w:rsidRPr="00352721">
        <w:rPr>
          <w:rFonts w:ascii="Palatino Linotype" w:hAnsi="Palatino Linotype"/>
          <w:b/>
          <w:sz w:val="24"/>
          <w:szCs w:val="24"/>
        </w:rPr>
        <w:t>EL</w:t>
      </w:r>
      <w:r w:rsidRPr="009F71D8">
        <w:rPr>
          <w:rFonts w:ascii="Palatino Linotype" w:hAnsi="Palatino Linotype"/>
          <w:sz w:val="24"/>
          <w:szCs w:val="24"/>
        </w:rPr>
        <w:t xml:space="preserve"> </w:t>
      </w:r>
      <w:r w:rsidRPr="009F71D8">
        <w:rPr>
          <w:rFonts w:ascii="Palatino Linotype" w:hAnsi="Palatino Linotype"/>
          <w:b/>
          <w:sz w:val="24"/>
          <w:szCs w:val="24"/>
        </w:rPr>
        <w:t>SUJETO OBLIGADO,</w:t>
      </w:r>
      <w:r w:rsidR="004F1058" w:rsidRPr="004F1058">
        <w:t xml:space="preserve"> </w:t>
      </w:r>
      <w:r w:rsidR="00692DB6">
        <w:rPr>
          <w:rFonts w:ascii="Palatino Linotype" w:hAnsi="Palatino Linotype" w:cs="Arial"/>
          <w:sz w:val="24"/>
        </w:rPr>
        <w:t>lo siguiente</w:t>
      </w:r>
      <w:r w:rsidR="00D72673">
        <w:rPr>
          <w:rFonts w:ascii="Palatino Linotype" w:hAnsi="Palatino Linotype" w:cs="Arial"/>
          <w:sz w:val="24"/>
        </w:rPr>
        <w:t xml:space="preserve">: </w:t>
      </w:r>
      <w:r w:rsidR="00FA59D8">
        <w:rPr>
          <w:rFonts w:ascii="Palatino Linotype" w:hAnsi="Palatino Linotype" w:cs="Arial"/>
          <w:sz w:val="24"/>
        </w:rPr>
        <w:t xml:space="preserve"> </w:t>
      </w:r>
    </w:p>
    <w:p w:rsidR="007C4D4B" w:rsidRDefault="00727368" w:rsidP="00117C44">
      <w:pPr>
        <w:pStyle w:val="Sinespaciado"/>
        <w:ind w:left="851" w:right="902"/>
        <w:jc w:val="both"/>
        <w:rPr>
          <w:rFonts w:ascii="Palatino Linotype" w:eastAsia="Times New Roman" w:hAnsi="Palatino Linotype" w:cs="Times New Roman"/>
          <w:i/>
          <w:szCs w:val="24"/>
          <w:lang w:val="es-ES_tradnl" w:eastAsia="es-ES"/>
        </w:rPr>
      </w:pPr>
      <w:r w:rsidRPr="00727368">
        <w:rPr>
          <w:rFonts w:ascii="Palatino Linotype" w:eastAsia="Times New Roman" w:hAnsi="Palatino Linotype" w:cs="Times New Roman"/>
          <w:i/>
          <w:szCs w:val="24"/>
          <w:lang w:val="es-ES_tradnl" w:eastAsia="es-ES"/>
        </w:rPr>
        <w:lastRenderedPageBreak/>
        <w:t>“Atentamente solicito, me informe y proporcione los documentos que sustenten la compra o renta de las 500 patrullas que entrego el presidente municipal de Toluca la semana pasada. Así como los montos o costo de cada una. Los contratos de compra o renta, pólizas de seguros y las facturas correspondientes de cada patrulla adquirida.” (Sic).</w:t>
      </w:r>
    </w:p>
    <w:p w:rsidR="00727368" w:rsidRPr="00727368" w:rsidRDefault="00727368" w:rsidP="00117C44">
      <w:pPr>
        <w:tabs>
          <w:tab w:val="left" w:pos="7938"/>
        </w:tabs>
        <w:autoSpaceDE w:val="0"/>
        <w:autoSpaceDN w:val="0"/>
        <w:adjustRightInd w:val="0"/>
        <w:spacing w:before="100" w:beforeAutospacing="1" w:after="100" w:afterAutospacing="1" w:line="360" w:lineRule="auto"/>
        <w:ind w:right="49"/>
        <w:jc w:val="both"/>
        <w:rPr>
          <w:rFonts w:ascii="Palatino Linotype" w:hAnsi="Palatino Linotype"/>
          <w:sz w:val="24"/>
          <w:szCs w:val="24"/>
          <w:lang w:eastAsia="es-MX"/>
        </w:rPr>
      </w:pPr>
      <w:r w:rsidRPr="00727368">
        <w:rPr>
          <w:rFonts w:ascii="Palatino Linotype" w:hAnsi="Palatino Linotype" w:cs="Arial"/>
          <w:sz w:val="24"/>
          <w:szCs w:val="24"/>
        </w:rPr>
        <w:t xml:space="preserve">De las constancias que obran dentro del expediente electrónico del Sistema de Acceso a la Información Mexiquense, en lo sucesivo el SAIMEX, se advierte que </w:t>
      </w:r>
      <w:r w:rsidRPr="00AD789B">
        <w:rPr>
          <w:rFonts w:ascii="Palatino Linotype" w:hAnsi="Palatino Linotype" w:cs="Arial"/>
          <w:b/>
          <w:sz w:val="24"/>
          <w:szCs w:val="24"/>
        </w:rPr>
        <w:t>EL SUJETO OBLIGADO</w:t>
      </w:r>
      <w:r w:rsidRPr="00727368">
        <w:rPr>
          <w:rFonts w:ascii="Palatino Linotype" w:hAnsi="Palatino Linotype" w:cs="Arial"/>
          <w:sz w:val="24"/>
          <w:szCs w:val="24"/>
        </w:rPr>
        <w:t xml:space="preserve">, en respuesta manifestó </w:t>
      </w:r>
      <w:r>
        <w:rPr>
          <w:rFonts w:ascii="Palatino Linotype" w:hAnsi="Palatino Linotype" w:cs="Arial"/>
          <w:sz w:val="24"/>
          <w:szCs w:val="24"/>
        </w:rPr>
        <w:t xml:space="preserve">que derivado de realizar una búsqueda exhaustiva en sus archivos se encontró el procedimiento adquisitivo de </w:t>
      </w:r>
      <w:r w:rsidRPr="00727368">
        <w:rPr>
          <w:rFonts w:ascii="Palatino Linotype" w:hAnsi="Palatino Linotype" w:cs="Arial"/>
          <w:i/>
          <w:sz w:val="24"/>
          <w:szCs w:val="24"/>
        </w:rPr>
        <w:t>“Contratación del servicio integral para arrendamiento de transportación terrestre”</w:t>
      </w:r>
      <w:r>
        <w:rPr>
          <w:rFonts w:ascii="Palatino Linotype" w:hAnsi="Palatino Linotype" w:cs="Arial"/>
          <w:i/>
          <w:sz w:val="24"/>
          <w:szCs w:val="24"/>
        </w:rPr>
        <w:t xml:space="preserve"> </w:t>
      </w:r>
      <w:r>
        <w:rPr>
          <w:rFonts w:ascii="Palatino Linotype" w:hAnsi="Palatino Linotype" w:cs="Arial"/>
          <w:sz w:val="24"/>
          <w:szCs w:val="24"/>
        </w:rPr>
        <w:t xml:space="preserve">la cual se encontraba disponible para su consulta en el portal </w:t>
      </w:r>
      <w:proofErr w:type="spellStart"/>
      <w:r>
        <w:rPr>
          <w:rFonts w:ascii="Palatino Linotype" w:hAnsi="Palatino Linotype" w:cs="Arial"/>
          <w:sz w:val="24"/>
          <w:szCs w:val="24"/>
        </w:rPr>
        <w:t>Compramex</w:t>
      </w:r>
      <w:proofErr w:type="spellEnd"/>
      <w:r w:rsidR="00AD789B">
        <w:rPr>
          <w:rFonts w:ascii="Palatino Linotype" w:hAnsi="Palatino Linotype" w:cs="Arial"/>
          <w:sz w:val="24"/>
          <w:szCs w:val="24"/>
        </w:rPr>
        <w:t>;</w:t>
      </w:r>
      <w:r>
        <w:rPr>
          <w:rFonts w:ascii="Palatino Linotype" w:hAnsi="Palatino Linotype" w:cs="Arial"/>
          <w:sz w:val="24"/>
          <w:szCs w:val="24"/>
        </w:rPr>
        <w:t xml:space="preserve"> por su parte</w:t>
      </w:r>
      <w:r w:rsidR="00AD789B">
        <w:rPr>
          <w:rFonts w:ascii="Palatino Linotype" w:hAnsi="Palatino Linotype" w:cs="Arial"/>
          <w:sz w:val="24"/>
          <w:szCs w:val="24"/>
        </w:rPr>
        <w:t>,</w:t>
      </w:r>
      <w:r>
        <w:rPr>
          <w:rFonts w:ascii="Palatino Linotype" w:hAnsi="Palatino Linotype" w:cs="Arial"/>
          <w:sz w:val="24"/>
          <w:szCs w:val="24"/>
        </w:rPr>
        <w:t xml:space="preserve"> la Directora de Egresos refirió que el área responsable de remitir la información es la </w:t>
      </w:r>
      <w:r w:rsidR="00AD789B">
        <w:rPr>
          <w:rFonts w:ascii="Palatino Linotype" w:hAnsi="Palatino Linotype" w:cs="Arial"/>
          <w:sz w:val="24"/>
          <w:szCs w:val="24"/>
        </w:rPr>
        <w:t xml:space="preserve">Dirección General </w:t>
      </w:r>
      <w:r>
        <w:rPr>
          <w:rFonts w:ascii="Palatino Linotype" w:hAnsi="Palatino Linotype" w:cs="Arial"/>
          <w:sz w:val="24"/>
          <w:szCs w:val="24"/>
        </w:rPr>
        <w:t xml:space="preserve">de </w:t>
      </w:r>
      <w:r w:rsidR="00AD789B">
        <w:rPr>
          <w:rFonts w:ascii="Palatino Linotype" w:hAnsi="Palatino Linotype" w:cs="Arial"/>
          <w:sz w:val="24"/>
          <w:szCs w:val="24"/>
        </w:rPr>
        <w:t>Administración</w:t>
      </w:r>
      <w:r w:rsidR="00C53325">
        <w:rPr>
          <w:rFonts w:ascii="Palatino Linotype" w:hAnsi="Palatino Linotype" w:cs="Arial"/>
          <w:sz w:val="24"/>
          <w:szCs w:val="24"/>
        </w:rPr>
        <w:t xml:space="preserve">, señalando a su vez que no ha realizado erogación alguna por dicho concepto. </w:t>
      </w:r>
    </w:p>
    <w:p w:rsidR="00C53325" w:rsidRDefault="00A85D7A" w:rsidP="00117C44">
      <w:pPr>
        <w:spacing w:before="100" w:beforeAutospacing="1" w:after="100" w:afterAutospacing="1" w:line="360" w:lineRule="auto"/>
        <w:jc w:val="both"/>
        <w:rPr>
          <w:rFonts w:ascii="Palatino Linotype" w:hAnsi="Palatino Linotype" w:cs="Arial"/>
          <w:sz w:val="24"/>
          <w:szCs w:val="24"/>
        </w:rPr>
      </w:pPr>
      <w:r>
        <w:rPr>
          <w:rFonts w:ascii="Palatino Linotype" w:hAnsi="Palatino Linotype" w:cs="Arial"/>
          <w:sz w:val="24"/>
          <w:szCs w:val="24"/>
        </w:rPr>
        <w:t>Inconforme con la</w:t>
      </w:r>
      <w:r w:rsidR="004B7753">
        <w:rPr>
          <w:rFonts w:ascii="Palatino Linotype" w:hAnsi="Palatino Linotype" w:cs="Arial"/>
          <w:sz w:val="24"/>
          <w:szCs w:val="24"/>
        </w:rPr>
        <w:t xml:space="preserve"> respuesta, </w:t>
      </w:r>
      <w:r w:rsidR="00C53325">
        <w:rPr>
          <w:rFonts w:ascii="Palatino Linotype" w:hAnsi="Palatino Linotype" w:cs="Arial"/>
          <w:sz w:val="24"/>
          <w:szCs w:val="24"/>
        </w:rPr>
        <w:t>e</w:t>
      </w:r>
      <w:r w:rsidR="004B7753">
        <w:rPr>
          <w:rFonts w:ascii="Palatino Linotype" w:hAnsi="Palatino Linotype" w:cs="Arial"/>
          <w:sz w:val="24"/>
          <w:szCs w:val="24"/>
        </w:rPr>
        <w:t>l</w:t>
      </w:r>
      <w:r w:rsidR="00E97C45">
        <w:rPr>
          <w:rFonts w:ascii="Palatino Linotype" w:hAnsi="Palatino Linotype" w:cs="Arial"/>
          <w:sz w:val="24"/>
          <w:szCs w:val="24"/>
        </w:rPr>
        <w:t xml:space="preserve"> particular interpuso el recurso de revisión de mérito, manifestando medularmente como razones o motivos de inconformidad </w:t>
      </w:r>
      <w:r w:rsidR="00C53325">
        <w:rPr>
          <w:rFonts w:ascii="Palatino Linotype" w:hAnsi="Palatino Linotype" w:cs="Arial"/>
          <w:sz w:val="24"/>
          <w:szCs w:val="24"/>
        </w:rPr>
        <w:t xml:space="preserve">que se le </w:t>
      </w:r>
      <w:r w:rsidR="00C53325" w:rsidRPr="00C53325">
        <w:rPr>
          <w:rFonts w:ascii="Palatino Linotype" w:hAnsi="Palatino Linotype" w:cs="Arial"/>
          <w:sz w:val="24"/>
          <w:szCs w:val="24"/>
        </w:rPr>
        <w:t>informa</w:t>
      </w:r>
      <w:r w:rsidR="00C53325">
        <w:rPr>
          <w:rFonts w:ascii="Palatino Linotype" w:hAnsi="Palatino Linotype" w:cs="Arial"/>
          <w:sz w:val="24"/>
          <w:szCs w:val="24"/>
        </w:rPr>
        <w:t>ba</w:t>
      </w:r>
      <w:r w:rsidR="00C53325" w:rsidRPr="00C53325">
        <w:rPr>
          <w:rFonts w:ascii="Palatino Linotype" w:hAnsi="Palatino Linotype" w:cs="Arial"/>
          <w:sz w:val="24"/>
          <w:szCs w:val="24"/>
        </w:rPr>
        <w:t xml:space="preserve"> parcialmente lo solicitado</w:t>
      </w:r>
      <w:r w:rsidR="00C53325">
        <w:rPr>
          <w:rFonts w:ascii="Palatino Linotype" w:hAnsi="Palatino Linotype" w:cs="Arial"/>
          <w:sz w:val="24"/>
          <w:szCs w:val="24"/>
        </w:rPr>
        <w:t xml:space="preserve">. </w:t>
      </w:r>
    </w:p>
    <w:p w:rsidR="003A1818" w:rsidRDefault="00222D15" w:rsidP="00117C44">
      <w:pPr>
        <w:spacing w:before="100" w:beforeAutospacing="1" w:after="100" w:afterAutospacing="1" w:line="360" w:lineRule="auto"/>
        <w:jc w:val="both"/>
        <w:rPr>
          <w:rFonts w:ascii="Palatino Linotype" w:hAnsi="Palatino Linotype" w:cs="Arial"/>
          <w:sz w:val="24"/>
          <w:lang w:eastAsia="es-MX"/>
        </w:rPr>
      </w:pPr>
      <w:r w:rsidRPr="009F71D8">
        <w:rPr>
          <w:rFonts w:ascii="Palatino Linotype" w:hAnsi="Palatino Linotype" w:cs="Arial"/>
          <w:sz w:val="24"/>
          <w:szCs w:val="24"/>
        </w:rPr>
        <w:t xml:space="preserve">Bajo ese tenor, del análisis a las constancias que obran en el </w:t>
      </w:r>
      <w:r>
        <w:rPr>
          <w:rFonts w:ascii="Palatino Linotype" w:hAnsi="Palatino Linotype" w:cs="Arial"/>
          <w:sz w:val="24"/>
          <w:szCs w:val="24"/>
        </w:rPr>
        <w:t>SAIMEX</w:t>
      </w:r>
      <w:r w:rsidRPr="009F71D8">
        <w:rPr>
          <w:rFonts w:ascii="Palatino Linotype" w:hAnsi="Palatino Linotype" w:cs="Arial"/>
          <w:sz w:val="24"/>
          <w:szCs w:val="24"/>
        </w:rPr>
        <w:t xml:space="preserve">, la Ponencia </w:t>
      </w:r>
      <w:proofErr w:type="spellStart"/>
      <w:r w:rsidRPr="009F71D8">
        <w:rPr>
          <w:rFonts w:ascii="Palatino Linotype" w:hAnsi="Palatino Linotype" w:cs="Arial"/>
          <w:sz w:val="24"/>
          <w:szCs w:val="24"/>
        </w:rPr>
        <w:t>Resolutora</w:t>
      </w:r>
      <w:proofErr w:type="spellEnd"/>
      <w:r w:rsidRPr="009F71D8">
        <w:rPr>
          <w:rFonts w:ascii="Palatino Linotype" w:hAnsi="Palatino Linotype" w:cs="Arial"/>
          <w:sz w:val="24"/>
          <w:szCs w:val="24"/>
        </w:rPr>
        <w:t xml:space="preserve"> determinó </w:t>
      </w:r>
      <w:r w:rsidR="00C53325">
        <w:rPr>
          <w:rFonts w:ascii="Palatino Linotype" w:hAnsi="Palatino Linotype"/>
          <w:b/>
          <w:sz w:val="24"/>
          <w:szCs w:val="24"/>
        </w:rPr>
        <w:t xml:space="preserve">REVOCAR </w:t>
      </w:r>
      <w:r w:rsidR="00C53325">
        <w:rPr>
          <w:rFonts w:ascii="Palatino Linotype" w:hAnsi="Palatino Linotype"/>
          <w:sz w:val="24"/>
          <w:szCs w:val="24"/>
        </w:rPr>
        <w:t xml:space="preserve">la respuesta del </w:t>
      </w:r>
      <w:r w:rsidR="003A1818">
        <w:rPr>
          <w:rFonts w:ascii="Palatino Linotype" w:hAnsi="Palatino Linotype" w:cs="Arial"/>
          <w:b/>
          <w:sz w:val="24"/>
          <w:szCs w:val="24"/>
        </w:rPr>
        <w:t>SUJETO OBLIGADO</w:t>
      </w:r>
      <w:r w:rsidR="00C53325">
        <w:rPr>
          <w:rFonts w:ascii="Palatino Linotype" w:hAnsi="Palatino Linotype" w:cs="Arial"/>
          <w:b/>
          <w:sz w:val="24"/>
          <w:szCs w:val="24"/>
        </w:rPr>
        <w:t xml:space="preserve"> </w:t>
      </w:r>
      <w:r w:rsidR="00C53325" w:rsidRPr="00C53325">
        <w:rPr>
          <w:rFonts w:ascii="Palatino Linotype" w:hAnsi="Palatino Linotype" w:cs="Arial"/>
          <w:sz w:val="24"/>
          <w:szCs w:val="24"/>
        </w:rPr>
        <w:t>y ordenarle la entrega</w:t>
      </w:r>
      <w:r w:rsidR="003A1818">
        <w:rPr>
          <w:rFonts w:ascii="Palatino Linotype" w:hAnsi="Palatino Linotype" w:cs="Arial"/>
          <w:sz w:val="24"/>
          <w:lang w:eastAsia="es-MX"/>
        </w:rPr>
        <w:t xml:space="preserve"> al </w:t>
      </w:r>
      <w:r w:rsidR="00AD789B" w:rsidRPr="00AD789B">
        <w:rPr>
          <w:rFonts w:ascii="Palatino Linotype" w:hAnsi="Palatino Linotype" w:cs="Arial"/>
          <w:b/>
          <w:sz w:val="24"/>
          <w:lang w:eastAsia="es-MX"/>
        </w:rPr>
        <w:t>RECURRENTE</w:t>
      </w:r>
      <w:r w:rsidR="003A1818">
        <w:rPr>
          <w:rFonts w:ascii="Palatino Linotype" w:hAnsi="Palatino Linotype" w:cs="Arial"/>
          <w:sz w:val="24"/>
          <w:lang w:eastAsia="es-MX"/>
        </w:rPr>
        <w:t xml:space="preserve">, </w:t>
      </w:r>
      <w:r w:rsidR="00C53325">
        <w:rPr>
          <w:rFonts w:ascii="Palatino Linotype" w:hAnsi="Palatino Linotype" w:cs="Arial"/>
          <w:sz w:val="24"/>
          <w:lang w:eastAsia="es-MX"/>
        </w:rPr>
        <w:t xml:space="preserve">de ser procedente </w:t>
      </w:r>
      <w:r w:rsidR="003A1818">
        <w:rPr>
          <w:rFonts w:ascii="Palatino Linotype" w:hAnsi="Palatino Linotype" w:cs="Arial"/>
          <w:sz w:val="24"/>
          <w:lang w:eastAsia="es-MX"/>
        </w:rPr>
        <w:t>en versión pública, a través del SAIMEX, de lo siguiente:</w:t>
      </w:r>
    </w:p>
    <w:p w:rsidR="001F5492" w:rsidRPr="00EA2B71" w:rsidRDefault="001F5492" w:rsidP="00117C44">
      <w:pPr>
        <w:pStyle w:val="Sinespaciado"/>
        <w:spacing w:before="100" w:beforeAutospacing="1" w:after="100" w:afterAutospacing="1" w:line="360" w:lineRule="auto"/>
        <w:jc w:val="both"/>
        <w:rPr>
          <w:rFonts w:ascii="Palatino Linotype" w:eastAsia="Calibri" w:hAnsi="Palatino Linotype" w:cs="Arial"/>
          <w:i/>
          <w:color w:val="000000" w:themeColor="text1"/>
          <w:sz w:val="2"/>
          <w:lang w:val="es-ES"/>
        </w:rPr>
      </w:pPr>
    </w:p>
    <w:p w:rsidR="00C53325" w:rsidRPr="00C53325" w:rsidRDefault="00C53325" w:rsidP="00117C44">
      <w:pPr>
        <w:pStyle w:val="Prrafodelista"/>
        <w:autoSpaceDE w:val="0"/>
        <w:autoSpaceDN w:val="0"/>
        <w:adjustRightInd w:val="0"/>
        <w:ind w:left="851" w:right="902"/>
        <w:contextualSpacing w:val="0"/>
        <w:jc w:val="both"/>
        <w:rPr>
          <w:rFonts w:ascii="Palatino Linotype" w:eastAsia="MS Mincho" w:hAnsi="Palatino Linotype"/>
          <w:i/>
        </w:rPr>
      </w:pPr>
      <w:r w:rsidRPr="00C53325">
        <w:rPr>
          <w:rFonts w:ascii="Palatino Linotype" w:eastAsia="MS Mincho" w:hAnsi="Palatino Linotype"/>
          <w:i/>
        </w:rPr>
        <w:lastRenderedPageBreak/>
        <w:t>De la compra o arrendamiento de las 500 patrullas entregadas por el Presidente Municipal de Toluca</w:t>
      </w:r>
    </w:p>
    <w:p w:rsidR="00C53325" w:rsidRPr="00C53325" w:rsidRDefault="00C53325" w:rsidP="00117C44">
      <w:pPr>
        <w:pStyle w:val="Prrafodelista"/>
        <w:autoSpaceDE w:val="0"/>
        <w:autoSpaceDN w:val="0"/>
        <w:adjustRightInd w:val="0"/>
        <w:ind w:left="851" w:right="902"/>
        <w:contextualSpacing w:val="0"/>
        <w:jc w:val="both"/>
        <w:rPr>
          <w:rFonts w:ascii="Palatino Linotype" w:eastAsia="MS Mincho" w:hAnsi="Palatino Linotype"/>
          <w:i/>
        </w:rPr>
      </w:pPr>
    </w:p>
    <w:p w:rsidR="00C53325" w:rsidRPr="00C53325" w:rsidRDefault="00C53325" w:rsidP="00117C44">
      <w:pPr>
        <w:pStyle w:val="Prrafodelista"/>
        <w:numPr>
          <w:ilvl w:val="0"/>
          <w:numId w:val="18"/>
        </w:numPr>
        <w:autoSpaceDE w:val="0"/>
        <w:autoSpaceDN w:val="0"/>
        <w:adjustRightInd w:val="0"/>
        <w:ind w:left="851" w:right="902" w:firstLine="0"/>
        <w:contextualSpacing w:val="0"/>
        <w:jc w:val="both"/>
        <w:rPr>
          <w:rFonts w:ascii="Palatino Linotype" w:eastAsia="MS Mincho" w:hAnsi="Palatino Linotype"/>
          <w:i/>
        </w:rPr>
      </w:pPr>
      <w:r w:rsidRPr="00C53325">
        <w:rPr>
          <w:rFonts w:ascii="Palatino Linotype" w:eastAsia="MS Mincho" w:hAnsi="Palatino Linotype"/>
          <w:i/>
        </w:rPr>
        <w:t xml:space="preserve">Documentos que sustenten las adquisiciones (contratos de compra y arrendamiento, pólizas de seguro, facturas) en los que se incluyan los costos de cada patrulla. </w:t>
      </w:r>
    </w:p>
    <w:p w:rsidR="00C53325" w:rsidRPr="00C53325" w:rsidRDefault="00C53325" w:rsidP="00117C44">
      <w:pPr>
        <w:pStyle w:val="Prrafodelista"/>
        <w:autoSpaceDE w:val="0"/>
        <w:autoSpaceDN w:val="0"/>
        <w:adjustRightInd w:val="0"/>
        <w:ind w:left="851" w:right="902"/>
        <w:contextualSpacing w:val="0"/>
        <w:jc w:val="both"/>
        <w:rPr>
          <w:rFonts w:ascii="Palatino Linotype" w:eastAsia="MS Mincho" w:hAnsi="Palatino Linotype"/>
          <w:i/>
        </w:rPr>
      </w:pPr>
    </w:p>
    <w:p w:rsidR="003A1818" w:rsidRDefault="00C53325" w:rsidP="00117C44">
      <w:pPr>
        <w:pStyle w:val="Prrafodelista"/>
        <w:autoSpaceDE w:val="0"/>
        <w:autoSpaceDN w:val="0"/>
        <w:adjustRightInd w:val="0"/>
        <w:ind w:left="851" w:right="902"/>
        <w:contextualSpacing w:val="0"/>
        <w:jc w:val="both"/>
        <w:rPr>
          <w:rFonts w:ascii="Palatino Linotype" w:hAnsi="Palatino Linotype" w:cs="Arial"/>
          <w:i/>
        </w:rPr>
      </w:pPr>
      <w:r w:rsidRPr="00C53325">
        <w:rPr>
          <w:rFonts w:ascii="Palatino Linotype" w:eastAsia="MS Mincho" w:hAnsi="Palatino Linotype"/>
          <w:i/>
        </w:rPr>
        <w:t>Para el caso de la clasificación de la información, se deberá emitir el Acuerdo del Comité de Transparencia en términos de los artículos 49, fracción VIII, 122 y 132 fracciones II y III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w:t>
      </w:r>
      <w:r w:rsidR="003A1818" w:rsidRPr="00F00F4B">
        <w:rPr>
          <w:rFonts w:ascii="Palatino Linotype" w:hAnsi="Palatino Linotype" w:cs="Arial"/>
          <w:i/>
        </w:rPr>
        <w:t xml:space="preserve"> </w:t>
      </w:r>
    </w:p>
    <w:p w:rsidR="00EB1CEB" w:rsidRDefault="00222D15" w:rsidP="00117C44">
      <w:pPr>
        <w:spacing w:before="100" w:beforeAutospacing="1" w:after="100" w:afterAutospacing="1" w:line="360" w:lineRule="auto"/>
        <w:ind w:right="49"/>
        <w:jc w:val="both"/>
        <w:rPr>
          <w:rFonts w:ascii="Palatino Linotype" w:hAnsi="Palatino Linotype" w:cs="Arial"/>
          <w:sz w:val="24"/>
          <w:szCs w:val="24"/>
        </w:rPr>
      </w:pPr>
      <w:r w:rsidRPr="009F71D8">
        <w:rPr>
          <w:rFonts w:ascii="Palatino Linotype" w:hAnsi="Palatino Linotype" w:cs="Arial"/>
          <w:sz w:val="24"/>
          <w:szCs w:val="24"/>
        </w:rPr>
        <w:t xml:space="preserve">En ese sentido, la que suscribe reitera, que si bien coincide en términos generales con el </w:t>
      </w:r>
      <w:r>
        <w:rPr>
          <w:rFonts w:ascii="Palatino Linotype" w:hAnsi="Palatino Linotype" w:cs="Arial"/>
          <w:sz w:val="24"/>
          <w:szCs w:val="24"/>
        </w:rPr>
        <w:t xml:space="preserve">sentido de la resolución en comento; </w:t>
      </w:r>
      <w:r w:rsidR="00EB1CEB">
        <w:rPr>
          <w:rFonts w:ascii="Palatino Linotype" w:hAnsi="Palatino Linotype" w:cs="Arial"/>
          <w:sz w:val="24"/>
          <w:szCs w:val="24"/>
        </w:rPr>
        <w:t xml:space="preserve">considero que se debió evaluar la entrega de la información que diera mayor certeza jurídica al </w:t>
      </w:r>
      <w:r w:rsidR="00EB1CEB" w:rsidRPr="00AD789B">
        <w:rPr>
          <w:rFonts w:ascii="Palatino Linotype" w:hAnsi="Palatino Linotype" w:cs="Arial"/>
          <w:b/>
          <w:sz w:val="24"/>
          <w:szCs w:val="24"/>
        </w:rPr>
        <w:t>RECURRENTE</w:t>
      </w:r>
      <w:r w:rsidR="00EB1CEB">
        <w:rPr>
          <w:rFonts w:ascii="Palatino Linotype" w:hAnsi="Palatino Linotype" w:cs="Arial"/>
          <w:sz w:val="24"/>
          <w:szCs w:val="24"/>
        </w:rPr>
        <w:t xml:space="preserve">, atendiendo al principio de máxima publicidad que se consagra en el artículo 4 de la Ley de la materia. </w:t>
      </w:r>
    </w:p>
    <w:p w:rsidR="00EB1CEB" w:rsidRPr="00122905" w:rsidRDefault="00EB1CEB" w:rsidP="00117C44">
      <w:pPr>
        <w:spacing w:after="0" w:line="240" w:lineRule="auto"/>
        <w:ind w:left="851" w:right="902"/>
        <w:jc w:val="both"/>
        <w:rPr>
          <w:rFonts w:ascii="Palatino Linotype" w:hAnsi="Palatino Linotype" w:cs="Arial"/>
          <w:i/>
        </w:rPr>
      </w:pPr>
      <w:r>
        <w:rPr>
          <w:rFonts w:ascii="Palatino Linotype" w:hAnsi="Palatino Linotype" w:cs="Arial"/>
          <w:b/>
          <w:i/>
        </w:rPr>
        <w:t>“</w:t>
      </w:r>
      <w:r w:rsidRPr="00122905">
        <w:rPr>
          <w:rFonts w:ascii="Palatino Linotype" w:hAnsi="Palatino Linotype" w:cs="Arial"/>
          <w:b/>
          <w:i/>
        </w:rPr>
        <w:t>Artículo 4.</w:t>
      </w:r>
      <w:r w:rsidRPr="00122905">
        <w:rPr>
          <w:rFonts w:ascii="Palatino Linotype" w:hAnsi="Palatino Linotype" w:cs="Arial"/>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EB1CEB" w:rsidRPr="00E8092B" w:rsidRDefault="00EB1CEB" w:rsidP="00117C44">
      <w:pPr>
        <w:spacing w:after="0" w:line="240" w:lineRule="auto"/>
        <w:ind w:left="851" w:right="902"/>
        <w:jc w:val="both"/>
        <w:rPr>
          <w:rFonts w:ascii="Palatino Linotype" w:hAnsi="Palatino Linotype" w:cs="Arial"/>
          <w:i/>
          <w:sz w:val="28"/>
        </w:rPr>
      </w:pPr>
    </w:p>
    <w:p w:rsidR="00EB1CEB" w:rsidRDefault="00EB1CEB" w:rsidP="00117C44">
      <w:pPr>
        <w:spacing w:after="0" w:line="240" w:lineRule="auto"/>
        <w:ind w:left="851" w:right="902"/>
        <w:jc w:val="both"/>
        <w:rPr>
          <w:rFonts w:ascii="Palatino Linotype" w:hAnsi="Palatino Linotype" w:cs="Arial"/>
          <w:sz w:val="24"/>
          <w:szCs w:val="24"/>
        </w:rPr>
      </w:pPr>
      <w:r w:rsidRPr="00122905">
        <w:rPr>
          <w:rFonts w:ascii="Palatino Linotype" w:hAnsi="Palatino Linotype" w:cs="Arial"/>
          <w:i/>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w:t>
      </w:r>
      <w:r w:rsidRPr="00122905">
        <w:rPr>
          <w:rFonts w:ascii="Palatino Linotype" w:hAnsi="Palatino Linotype" w:cs="Arial"/>
          <w:b/>
          <w:i/>
        </w:rPr>
        <w:t>privilegiando el principio de máxima publicidad de la información</w:t>
      </w:r>
      <w:r w:rsidRPr="00122905">
        <w:rPr>
          <w:rFonts w:ascii="Palatino Linotype" w:hAnsi="Palatino Linotype" w:cs="Arial"/>
          <w:i/>
        </w:rPr>
        <w:t>. Solo podrá ser clasificada excepcionalmente como reservada temporalmente por razones de interés público, en los términos de las causas legítimas y estrictamente necesarias previstas por esta Ley</w:t>
      </w:r>
      <w:r>
        <w:rPr>
          <w:rFonts w:ascii="Palatino Linotype" w:hAnsi="Palatino Linotype" w:cs="Arial"/>
          <w:i/>
        </w:rPr>
        <w:t>…”</w:t>
      </w:r>
    </w:p>
    <w:p w:rsidR="00EB1CEB" w:rsidRDefault="00EB1CEB" w:rsidP="00117C44">
      <w:pPr>
        <w:spacing w:before="100" w:beforeAutospacing="1" w:after="100" w:afterAutospacing="1" w:line="360" w:lineRule="auto"/>
        <w:ind w:right="49"/>
        <w:jc w:val="both"/>
        <w:rPr>
          <w:rFonts w:ascii="Palatino Linotype" w:eastAsia="Times New Roman" w:hAnsi="Palatino Linotype" w:cs="Times New Roman"/>
          <w:sz w:val="24"/>
          <w:szCs w:val="24"/>
          <w:lang w:val="es-ES" w:eastAsia="es-MX"/>
        </w:rPr>
      </w:pPr>
      <w:r>
        <w:rPr>
          <w:rFonts w:ascii="Palatino Linotype" w:eastAsia="Times New Roman" w:hAnsi="Palatino Linotype" w:cs="Times New Roman"/>
          <w:sz w:val="24"/>
          <w:szCs w:val="24"/>
          <w:lang w:val="es-ES" w:eastAsia="es-MX"/>
        </w:rPr>
        <w:t xml:space="preserve">Lo anterior, obedece a que de la literalidad de la solicitud de acceso a la información pública del ciudadano se advierte claramente que requirió conocer las </w:t>
      </w:r>
      <w:r w:rsidRPr="00EB1CEB">
        <w:rPr>
          <w:rFonts w:ascii="Palatino Linotype" w:eastAsia="Times New Roman" w:hAnsi="Palatino Linotype" w:cs="Times New Roman"/>
          <w:i/>
          <w:sz w:val="24"/>
          <w:szCs w:val="24"/>
          <w:lang w:val="es-ES" w:eastAsia="es-MX"/>
        </w:rPr>
        <w:t xml:space="preserve">“Pólizas de </w:t>
      </w:r>
      <w:r w:rsidRPr="00EB1CEB">
        <w:rPr>
          <w:rFonts w:ascii="Palatino Linotype" w:eastAsia="Times New Roman" w:hAnsi="Palatino Linotype" w:cs="Times New Roman"/>
          <w:i/>
          <w:sz w:val="24"/>
          <w:szCs w:val="24"/>
          <w:lang w:val="es-ES" w:eastAsia="es-MX"/>
        </w:rPr>
        <w:lastRenderedPageBreak/>
        <w:t>Seguro”</w:t>
      </w:r>
      <w:r>
        <w:rPr>
          <w:rFonts w:ascii="Palatino Linotype" w:eastAsia="Times New Roman" w:hAnsi="Palatino Linotype" w:cs="Times New Roman"/>
          <w:sz w:val="24"/>
          <w:szCs w:val="24"/>
          <w:lang w:val="es-ES" w:eastAsia="es-MX"/>
        </w:rPr>
        <w:t xml:space="preserve">, pues si atendemos a las manifestaciones vertidas tanto en la solicitud como en las razones y motivos de inconformidad por parte del </w:t>
      </w:r>
      <w:r w:rsidRPr="00BA0EBA">
        <w:rPr>
          <w:rFonts w:ascii="Palatino Linotype" w:eastAsia="Times New Roman" w:hAnsi="Palatino Linotype" w:cs="Times New Roman"/>
          <w:b/>
          <w:sz w:val="24"/>
          <w:szCs w:val="24"/>
          <w:lang w:val="es-ES" w:eastAsia="es-MX"/>
        </w:rPr>
        <w:t>RECURRENTE</w:t>
      </w:r>
      <w:r>
        <w:rPr>
          <w:rFonts w:ascii="Palatino Linotype" w:eastAsia="Times New Roman" w:hAnsi="Palatino Linotype" w:cs="Times New Roman"/>
          <w:sz w:val="24"/>
          <w:szCs w:val="24"/>
          <w:lang w:val="es-ES" w:eastAsia="es-MX"/>
        </w:rPr>
        <w:t>, resulta claro que también requirió las Pólizas de S</w:t>
      </w:r>
      <w:r w:rsidR="00BA0EBA">
        <w:rPr>
          <w:rFonts w:ascii="Palatino Linotype" w:eastAsia="Times New Roman" w:hAnsi="Palatino Linotype" w:cs="Times New Roman"/>
          <w:sz w:val="24"/>
          <w:szCs w:val="24"/>
          <w:lang w:val="es-ES" w:eastAsia="es-MX"/>
        </w:rPr>
        <w:t>eguros</w:t>
      </w:r>
      <w:r w:rsidR="00AD789B">
        <w:rPr>
          <w:rFonts w:ascii="Palatino Linotype" w:eastAsia="Times New Roman" w:hAnsi="Palatino Linotype" w:cs="Times New Roman"/>
          <w:sz w:val="24"/>
          <w:szCs w:val="24"/>
          <w:lang w:val="es-ES" w:eastAsia="es-MX"/>
        </w:rPr>
        <w:t xml:space="preserve">. </w:t>
      </w:r>
      <w:r w:rsidR="00BA0EBA">
        <w:rPr>
          <w:rFonts w:ascii="Palatino Linotype" w:eastAsia="Times New Roman" w:hAnsi="Palatino Linotype" w:cs="Times New Roman"/>
          <w:sz w:val="24"/>
          <w:szCs w:val="24"/>
          <w:lang w:val="es-ES" w:eastAsia="es-MX"/>
        </w:rPr>
        <w:t xml:space="preserve"> </w:t>
      </w:r>
    </w:p>
    <w:p w:rsidR="00AD789B" w:rsidRDefault="00BA0EBA" w:rsidP="00117C44">
      <w:pPr>
        <w:spacing w:before="100" w:beforeAutospacing="1" w:after="100" w:afterAutospacing="1" w:line="360" w:lineRule="auto"/>
        <w:ind w:right="49"/>
        <w:jc w:val="both"/>
        <w:rPr>
          <w:rFonts w:ascii="Palatino Linotype" w:eastAsia="Times New Roman" w:hAnsi="Palatino Linotype" w:cs="Times New Roman"/>
          <w:sz w:val="24"/>
          <w:szCs w:val="24"/>
          <w:lang w:val="es-ES" w:eastAsia="es-MX"/>
        </w:rPr>
      </w:pPr>
      <w:r>
        <w:rPr>
          <w:rFonts w:ascii="Palatino Linotype" w:eastAsia="Times New Roman" w:hAnsi="Palatino Linotype" w:cs="Times New Roman"/>
          <w:sz w:val="24"/>
          <w:szCs w:val="24"/>
          <w:lang w:val="es-ES" w:eastAsia="es-MX"/>
        </w:rPr>
        <w:t xml:space="preserve">Por tanto, </w:t>
      </w:r>
      <w:r w:rsidR="00AD789B">
        <w:rPr>
          <w:rFonts w:ascii="Palatino Linotype" w:eastAsia="Times New Roman" w:hAnsi="Palatino Linotype" w:cs="Times New Roman"/>
          <w:sz w:val="24"/>
          <w:szCs w:val="24"/>
          <w:lang w:val="es-ES" w:eastAsia="es-MX"/>
        </w:rPr>
        <w:t xml:space="preserve">si bien la Ponencia </w:t>
      </w:r>
      <w:proofErr w:type="spellStart"/>
      <w:r w:rsidR="00AD789B">
        <w:rPr>
          <w:rFonts w:ascii="Palatino Linotype" w:eastAsia="Times New Roman" w:hAnsi="Palatino Linotype" w:cs="Times New Roman"/>
          <w:sz w:val="24"/>
          <w:szCs w:val="24"/>
          <w:lang w:val="es-ES" w:eastAsia="es-MX"/>
        </w:rPr>
        <w:t>Resolutora</w:t>
      </w:r>
      <w:proofErr w:type="spellEnd"/>
      <w:r w:rsidR="00AD789B">
        <w:rPr>
          <w:rFonts w:ascii="Palatino Linotype" w:eastAsia="Times New Roman" w:hAnsi="Palatino Linotype" w:cs="Times New Roman"/>
          <w:sz w:val="24"/>
          <w:szCs w:val="24"/>
          <w:lang w:val="es-ES" w:eastAsia="es-MX"/>
        </w:rPr>
        <w:t xml:space="preserve"> determinó ordenar el documento en donde se encuentren inmersas las pólizas de seguros, lo cierto es que pareciera que con dichos documentos no sustentan las adquisiciones; por lo que, debió ordenarse en numeral distinto aunado a que se desprende que la Ponencia </w:t>
      </w:r>
      <w:proofErr w:type="spellStart"/>
      <w:r w:rsidR="00AD789B">
        <w:rPr>
          <w:rFonts w:ascii="Palatino Linotype" w:eastAsia="Times New Roman" w:hAnsi="Palatino Linotype" w:cs="Times New Roman"/>
          <w:sz w:val="24"/>
          <w:szCs w:val="24"/>
          <w:lang w:val="es-ES" w:eastAsia="es-MX"/>
        </w:rPr>
        <w:t>Resolutora</w:t>
      </w:r>
      <w:proofErr w:type="spellEnd"/>
      <w:r w:rsidR="00AD789B">
        <w:rPr>
          <w:rFonts w:ascii="Palatino Linotype" w:eastAsia="Times New Roman" w:hAnsi="Palatino Linotype" w:cs="Times New Roman"/>
          <w:sz w:val="24"/>
          <w:szCs w:val="24"/>
          <w:lang w:val="es-ES" w:eastAsia="es-MX"/>
        </w:rPr>
        <w:t xml:space="preserve"> realizara el análisis correspondiente para este documento en específico. </w:t>
      </w:r>
    </w:p>
    <w:p w:rsidR="00BA0EBA" w:rsidRPr="005877C9" w:rsidRDefault="00BA0EBA" w:rsidP="00117C44">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sz w:val="24"/>
        </w:rPr>
      </w:pPr>
      <w:r w:rsidRPr="005877C9">
        <w:rPr>
          <w:rFonts w:ascii="Palatino Linotype" w:hAnsi="Palatino Linotype" w:cs="Arial"/>
          <w:sz w:val="24"/>
        </w:rPr>
        <w:t xml:space="preserve">Aunado a lo anterior, es importante precisar que </w:t>
      </w:r>
      <w:r w:rsidR="00AD789B">
        <w:rPr>
          <w:rFonts w:ascii="Palatino Linotype" w:hAnsi="Palatino Linotype" w:cs="Arial"/>
          <w:sz w:val="24"/>
        </w:rPr>
        <w:t xml:space="preserve">de ser el caso </w:t>
      </w:r>
      <w:r w:rsidR="00260D23">
        <w:rPr>
          <w:rFonts w:ascii="Palatino Linotype" w:hAnsi="Palatino Linotype" w:cs="Arial"/>
          <w:sz w:val="24"/>
        </w:rPr>
        <w:t xml:space="preserve">de que sean bienes </w:t>
      </w:r>
      <w:r w:rsidRPr="005877C9">
        <w:rPr>
          <w:rFonts w:ascii="Palatino Linotype" w:hAnsi="Palatino Linotype" w:cs="Arial"/>
          <w:sz w:val="24"/>
        </w:rPr>
        <w:t xml:space="preserve">solo para uso y disfrute es que deben de contar con la póliza de seguros, </w:t>
      </w:r>
      <w:r w:rsidR="00260D23">
        <w:rPr>
          <w:rFonts w:ascii="Palatino Linotype" w:hAnsi="Palatino Linotype" w:cs="Arial"/>
          <w:sz w:val="24"/>
        </w:rPr>
        <w:t>toda vez que son un</w:t>
      </w:r>
      <w:r w:rsidRPr="005877C9">
        <w:rPr>
          <w:rFonts w:ascii="Palatino Linotype" w:hAnsi="Palatino Linotype" w:cs="Arial"/>
          <w:sz w:val="24"/>
        </w:rPr>
        <w:t xml:space="preserve"> bien objeto de percances por </w:t>
      </w:r>
      <w:r w:rsidR="005877C9">
        <w:rPr>
          <w:rFonts w:ascii="Palatino Linotype" w:hAnsi="Palatino Linotype" w:cs="Arial"/>
          <w:sz w:val="24"/>
        </w:rPr>
        <w:t>el propio servicio que se da</w:t>
      </w:r>
      <w:r w:rsidRPr="005877C9">
        <w:rPr>
          <w:rFonts w:ascii="Palatino Linotype" w:hAnsi="Palatino Linotype" w:cs="Arial"/>
          <w:sz w:val="24"/>
        </w:rPr>
        <w:t>; sin embargo, hay que hace hincapié que</w:t>
      </w:r>
      <w:r w:rsidR="00260D23">
        <w:rPr>
          <w:rFonts w:ascii="Palatino Linotype" w:hAnsi="Palatino Linotype" w:cs="Arial"/>
          <w:sz w:val="24"/>
        </w:rPr>
        <w:t xml:space="preserve"> si bien</w:t>
      </w:r>
      <w:r w:rsidRPr="005877C9">
        <w:rPr>
          <w:rFonts w:ascii="Palatino Linotype" w:hAnsi="Palatino Linotype" w:cs="Arial"/>
          <w:sz w:val="24"/>
        </w:rPr>
        <w:t xml:space="preserve"> la autoridad </w:t>
      </w:r>
      <w:r w:rsidR="00260D23">
        <w:rPr>
          <w:rFonts w:ascii="Palatino Linotype" w:hAnsi="Palatino Linotype" w:cs="Arial"/>
          <w:sz w:val="24"/>
        </w:rPr>
        <w:t>omitió pronunciarse al respecto</w:t>
      </w:r>
      <w:r w:rsidRPr="005877C9">
        <w:rPr>
          <w:rFonts w:ascii="Palatino Linotype" w:hAnsi="Palatino Linotype" w:cs="Arial"/>
          <w:sz w:val="24"/>
        </w:rPr>
        <w:t xml:space="preserve">, lo cierto es que </w:t>
      </w:r>
      <w:r w:rsidR="00260D23">
        <w:rPr>
          <w:rFonts w:ascii="Palatino Linotype" w:hAnsi="Palatino Linotype" w:cs="Arial"/>
          <w:sz w:val="24"/>
        </w:rPr>
        <w:t xml:space="preserve">estas </w:t>
      </w:r>
      <w:r w:rsidRPr="005877C9">
        <w:rPr>
          <w:rFonts w:ascii="Palatino Linotype" w:hAnsi="Palatino Linotype" w:cs="Arial"/>
          <w:sz w:val="24"/>
        </w:rPr>
        <w:t>deben de constar en cada uno de los vehículos, pues eso asegura que los mismos se encuentren protegidos.</w:t>
      </w:r>
    </w:p>
    <w:p w:rsidR="00117C44" w:rsidRDefault="00117C44" w:rsidP="00117C44">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sz w:val="24"/>
        </w:rPr>
      </w:pPr>
    </w:p>
    <w:p w:rsidR="00BA0EBA" w:rsidRPr="005877C9" w:rsidRDefault="00BA0EBA" w:rsidP="00117C44">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sz w:val="24"/>
        </w:rPr>
      </w:pPr>
      <w:r w:rsidRPr="005877C9">
        <w:rPr>
          <w:rFonts w:ascii="Palatino Linotype" w:hAnsi="Palatino Linotype" w:cs="Arial"/>
          <w:sz w:val="24"/>
        </w:rPr>
        <w:t>Lo anterior es así, en virtud de lo que disponen los artículos 18 y 19 de la Ley de Transparencia y Acceso a la Información Pública del Estado de México y Municipios que establece:</w:t>
      </w:r>
    </w:p>
    <w:p w:rsidR="00BA0EBA" w:rsidRPr="00446DFF" w:rsidRDefault="00BA0EBA" w:rsidP="00117C44">
      <w:pPr>
        <w:pStyle w:val="Prrafodelista"/>
        <w:widowControl w:val="0"/>
        <w:autoSpaceDE w:val="0"/>
        <w:autoSpaceDN w:val="0"/>
        <w:adjustRightInd w:val="0"/>
        <w:ind w:left="851" w:right="618"/>
        <w:jc w:val="both"/>
        <w:rPr>
          <w:rFonts w:ascii="Palatino Linotype" w:hAnsi="Palatino Linotype"/>
          <w:i/>
          <w:szCs w:val="22"/>
        </w:rPr>
      </w:pPr>
      <w:r w:rsidRPr="00446DFF">
        <w:rPr>
          <w:rFonts w:ascii="Palatino Linotype" w:hAnsi="Palatino Linotype"/>
          <w:b/>
          <w:i/>
          <w:szCs w:val="22"/>
        </w:rPr>
        <w:t>“Artículo 18.</w:t>
      </w:r>
      <w:r w:rsidRPr="00446DFF">
        <w:rPr>
          <w:rFonts w:ascii="Palatino Linotype" w:hAnsi="Palatino Linotype"/>
          <w:i/>
          <w:szCs w:val="22"/>
        </w:rPr>
        <w:t xml:space="preserve"> Los sujetos obligados deberán documentar todo acto que derive del ejercicio de sus facultades, competencias o funciones, considerando desde su origen la eventual publicidad y reutilización de la información que generen. </w:t>
      </w:r>
    </w:p>
    <w:p w:rsidR="00BA0EBA" w:rsidRPr="00446DFF" w:rsidRDefault="00BA0EBA" w:rsidP="00117C44">
      <w:pPr>
        <w:pStyle w:val="Prrafodelista"/>
        <w:widowControl w:val="0"/>
        <w:autoSpaceDE w:val="0"/>
        <w:autoSpaceDN w:val="0"/>
        <w:adjustRightInd w:val="0"/>
        <w:ind w:left="851" w:right="618"/>
        <w:jc w:val="both"/>
        <w:rPr>
          <w:rFonts w:ascii="Palatino Linotype" w:hAnsi="Palatino Linotype"/>
          <w:i/>
          <w:szCs w:val="22"/>
        </w:rPr>
      </w:pPr>
      <w:r w:rsidRPr="00446DFF">
        <w:rPr>
          <w:rFonts w:ascii="Palatino Linotype" w:hAnsi="Palatino Linotype"/>
          <w:b/>
          <w:i/>
          <w:szCs w:val="22"/>
        </w:rPr>
        <w:t>Artículo 19.</w:t>
      </w:r>
      <w:r w:rsidRPr="00446DFF">
        <w:rPr>
          <w:rFonts w:ascii="Palatino Linotype" w:hAnsi="Palatino Linotype"/>
          <w:i/>
          <w:szCs w:val="22"/>
        </w:rPr>
        <w:t xml:space="preserve"> Se presume que la información debe existir si se refiere a las facultades, competencias y funciones que los ordenamientos jurídicos aplicables otorgan a los sujetos obligados. </w:t>
      </w:r>
    </w:p>
    <w:p w:rsidR="00BA0EBA" w:rsidRPr="00446DFF" w:rsidRDefault="00BA0EBA" w:rsidP="00117C44">
      <w:pPr>
        <w:pStyle w:val="Prrafodelista"/>
        <w:widowControl w:val="0"/>
        <w:autoSpaceDE w:val="0"/>
        <w:autoSpaceDN w:val="0"/>
        <w:adjustRightInd w:val="0"/>
        <w:ind w:left="851" w:right="618"/>
        <w:jc w:val="both"/>
        <w:rPr>
          <w:rFonts w:ascii="Palatino Linotype" w:hAnsi="Palatino Linotype"/>
          <w:i/>
          <w:szCs w:val="22"/>
        </w:rPr>
      </w:pPr>
      <w:r w:rsidRPr="00446DFF">
        <w:rPr>
          <w:rFonts w:ascii="Palatino Linotype" w:hAnsi="Palatino Linotype"/>
          <w:i/>
          <w:szCs w:val="22"/>
        </w:rPr>
        <w:lastRenderedPageBreak/>
        <w:t xml:space="preserve">En los casos en que ciertas facultades, competencias o funciones no se hayan ejercido, se debe motivar la respuesta en función de las causas que motiven tal circunstancia. </w:t>
      </w:r>
    </w:p>
    <w:p w:rsidR="00BA0EBA" w:rsidRPr="00446DFF" w:rsidRDefault="00BA0EBA" w:rsidP="00117C44">
      <w:pPr>
        <w:pStyle w:val="Prrafodelista"/>
        <w:widowControl w:val="0"/>
        <w:autoSpaceDE w:val="0"/>
        <w:autoSpaceDN w:val="0"/>
        <w:adjustRightInd w:val="0"/>
        <w:ind w:left="851" w:right="618"/>
        <w:jc w:val="both"/>
        <w:rPr>
          <w:rFonts w:ascii="Palatino Linotype" w:hAnsi="Palatino Linotype" w:cs="Arial"/>
          <w:i/>
          <w:szCs w:val="22"/>
        </w:rPr>
      </w:pPr>
      <w:r w:rsidRPr="00446DFF">
        <w:rPr>
          <w:rFonts w:ascii="Palatino Linotype" w:hAnsi="Palatino Linotype"/>
          <w:i/>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BA0EBA" w:rsidRPr="005877C9" w:rsidRDefault="00BA0EBA" w:rsidP="00117C44">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sz w:val="24"/>
        </w:rPr>
      </w:pPr>
    </w:p>
    <w:p w:rsidR="005877C9" w:rsidRDefault="00260D23" w:rsidP="00117C44">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sz w:val="24"/>
        </w:rPr>
      </w:pPr>
      <w:r>
        <w:rPr>
          <w:rFonts w:ascii="Palatino Linotype" w:hAnsi="Palatino Linotype" w:cs="Arial"/>
          <w:sz w:val="24"/>
        </w:rPr>
        <w:t>E</w:t>
      </w:r>
      <w:r w:rsidR="00BA0EBA" w:rsidRPr="005877C9">
        <w:rPr>
          <w:rFonts w:ascii="Palatino Linotype" w:hAnsi="Palatino Linotype" w:cs="Arial"/>
          <w:sz w:val="24"/>
        </w:rPr>
        <w:t xml:space="preserve">n razón de lo anterior, es que todo acto de autoridad debe de documentarse en ejercicio de las facultades que le son conferidas, por lo que se presume que la información debe constar en los archivos del </w:t>
      </w:r>
      <w:r w:rsidR="00BA0EBA" w:rsidRPr="005877C9">
        <w:rPr>
          <w:rFonts w:ascii="Palatino Linotype" w:hAnsi="Palatino Linotype" w:cs="Arial"/>
          <w:b/>
          <w:sz w:val="24"/>
        </w:rPr>
        <w:t>SUJETO OBLIGADO</w:t>
      </w:r>
      <w:r w:rsidR="005877C9">
        <w:rPr>
          <w:rFonts w:ascii="Palatino Linotype" w:hAnsi="Palatino Linotype" w:cs="Arial"/>
          <w:b/>
          <w:sz w:val="24"/>
        </w:rPr>
        <w:t>.</w:t>
      </w:r>
      <w:r w:rsidR="005877C9" w:rsidRPr="005877C9">
        <w:rPr>
          <w:rFonts w:ascii="Palatino Linotype" w:hAnsi="Palatino Linotype"/>
          <w:sz w:val="24"/>
        </w:rPr>
        <w:t xml:space="preserve"> </w:t>
      </w:r>
      <w:r w:rsidR="005877C9" w:rsidRPr="005877C9">
        <w:rPr>
          <w:rFonts w:ascii="Palatino Linotype" w:hAnsi="Palatino Linotype" w:cs="Arial"/>
          <w:sz w:val="24"/>
          <w:lang w:eastAsia="es-MX"/>
        </w:rPr>
        <w:t xml:space="preserve">Conforme a ello, se considera que </w:t>
      </w:r>
      <w:r>
        <w:rPr>
          <w:rFonts w:ascii="Palatino Linotype" w:hAnsi="Palatino Linotype" w:cs="Arial"/>
          <w:sz w:val="24"/>
          <w:lang w:eastAsia="es-MX"/>
        </w:rPr>
        <w:t xml:space="preserve">la Ponencia </w:t>
      </w:r>
      <w:proofErr w:type="spellStart"/>
      <w:r>
        <w:rPr>
          <w:rFonts w:ascii="Palatino Linotype" w:hAnsi="Palatino Linotype" w:cs="Arial"/>
          <w:sz w:val="24"/>
          <w:lang w:eastAsia="es-MX"/>
        </w:rPr>
        <w:t>Resolutora</w:t>
      </w:r>
      <w:proofErr w:type="spellEnd"/>
      <w:r>
        <w:rPr>
          <w:rFonts w:ascii="Palatino Linotype" w:hAnsi="Palatino Linotype" w:cs="Arial"/>
          <w:sz w:val="24"/>
          <w:lang w:eastAsia="es-MX"/>
        </w:rPr>
        <w:t xml:space="preserve"> </w:t>
      </w:r>
      <w:r w:rsidR="005877C9" w:rsidRPr="005877C9">
        <w:rPr>
          <w:rFonts w:ascii="Palatino Linotype" w:hAnsi="Palatino Linotype" w:cs="Arial"/>
          <w:sz w:val="24"/>
          <w:lang w:eastAsia="es-MX"/>
        </w:rPr>
        <w:t>debió</w:t>
      </w:r>
      <w:r>
        <w:rPr>
          <w:rFonts w:ascii="Palatino Linotype" w:hAnsi="Palatino Linotype" w:cs="Arial"/>
          <w:sz w:val="24"/>
          <w:lang w:eastAsia="es-MX"/>
        </w:rPr>
        <w:t xml:space="preserve"> contemplar en su estudio el análisis de las </w:t>
      </w:r>
      <w:r w:rsidR="00117C44">
        <w:rPr>
          <w:rFonts w:ascii="Palatino Linotype" w:hAnsi="Palatino Linotype" w:cs="Arial"/>
          <w:sz w:val="24"/>
          <w:lang w:eastAsia="es-MX"/>
        </w:rPr>
        <w:t>pólizas</w:t>
      </w:r>
      <w:r>
        <w:rPr>
          <w:rFonts w:ascii="Palatino Linotype" w:hAnsi="Palatino Linotype" w:cs="Arial"/>
          <w:sz w:val="24"/>
          <w:lang w:eastAsia="es-MX"/>
        </w:rPr>
        <w:t xml:space="preserve"> de seguros y </w:t>
      </w:r>
      <w:r w:rsidR="00117C44">
        <w:rPr>
          <w:rFonts w:ascii="Palatino Linotype" w:hAnsi="Palatino Linotype" w:cs="Arial"/>
          <w:sz w:val="24"/>
          <w:lang w:eastAsia="es-MX"/>
        </w:rPr>
        <w:t>así</w:t>
      </w:r>
      <w:r>
        <w:rPr>
          <w:rFonts w:ascii="Palatino Linotype" w:hAnsi="Palatino Linotype" w:cs="Arial"/>
          <w:sz w:val="24"/>
          <w:lang w:eastAsia="es-MX"/>
        </w:rPr>
        <w:t xml:space="preserve"> </w:t>
      </w:r>
      <w:r w:rsidR="005877C9" w:rsidRPr="005877C9">
        <w:rPr>
          <w:rFonts w:ascii="Palatino Linotype" w:hAnsi="Palatino Linotype" w:cs="Arial"/>
          <w:sz w:val="24"/>
          <w:lang w:eastAsia="es-MX"/>
        </w:rPr>
        <w:t xml:space="preserve">ordenar al </w:t>
      </w:r>
      <w:r w:rsidR="005877C9" w:rsidRPr="005877C9">
        <w:rPr>
          <w:rFonts w:ascii="Palatino Linotype" w:hAnsi="Palatino Linotype" w:cs="Arial"/>
          <w:b/>
          <w:sz w:val="24"/>
          <w:lang w:eastAsia="es-MX"/>
        </w:rPr>
        <w:t>SUJETO OBLIGADO</w:t>
      </w:r>
      <w:r w:rsidR="005877C9" w:rsidRPr="005877C9">
        <w:rPr>
          <w:rFonts w:ascii="Palatino Linotype" w:hAnsi="Palatino Linotype" w:cs="Arial"/>
          <w:sz w:val="24"/>
          <w:lang w:eastAsia="es-MX"/>
        </w:rPr>
        <w:t xml:space="preserve"> la entrega de</w:t>
      </w:r>
      <w:r w:rsidR="005877C9">
        <w:rPr>
          <w:rFonts w:ascii="Palatino Linotype" w:hAnsi="Palatino Linotype" w:cs="Arial"/>
          <w:sz w:val="24"/>
          <w:lang w:eastAsia="es-MX"/>
        </w:rPr>
        <w:t xml:space="preserve"> </w:t>
      </w:r>
      <w:r w:rsidR="00117C44">
        <w:rPr>
          <w:rFonts w:ascii="Palatino Linotype" w:hAnsi="Palatino Linotype" w:cs="Arial"/>
          <w:sz w:val="24"/>
          <w:lang w:eastAsia="es-MX"/>
        </w:rPr>
        <w:t xml:space="preserve">estas. </w:t>
      </w:r>
    </w:p>
    <w:p w:rsidR="000D3E21" w:rsidRPr="005877C9" w:rsidRDefault="005877C9" w:rsidP="00117C44">
      <w:pPr>
        <w:spacing w:before="100" w:beforeAutospacing="1" w:after="100" w:afterAutospacing="1" w:line="360" w:lineRule="auto"/>
        <w:jc w:val="both"/>
        <w:rPr>
          <w:rFonts w:ascii="Palatino Linotype" w:hAnsi="Palatino Linotype" w:cs="Arial"/>
          <w:sz w:val="28"/>
          <w:szCs w:val="24"/>
        </w:rPr>
      </w:pPr>
      <w:r w:rsidRPr="005877C9">
        <w:rPr>
          <w:rFonts w:ascii="Palatino Linotype" w:hAnsi="Palatino Linotype" w:cs="Arial"/>
          <w:sz w:val="24"/>
        </w:rPr>
        <w:t xml:space="preserve">En ese sentido, la que suscribe reitera, que si bien comparto en términos generales el estudio de la resolución en comento, se emite </w:t>
      </w:r>
      <w:r w:rsidRPr="005877C9">
        <w:rPr>
          <w:rFonts w:ascii="Palatino Linotype" w:hAnsi="Palatino Linotype" w:cs="Arial"/>
          <w:b/>
          <w:sz w:val="24"/>
        </w:rPr>
        <w:t>VOTO PARTICULAR</w:t>
      </w:r>
      <w:r w:rsidRPr="005877C9">
        <w:rPr>
          <w:rFonts w:ascii="Palatino Linotype" w:hAnsi="Palatino Linotype" w:cs="Arial"/>
          <w:sz w:val="24"/>
        </w:rPr>
        <w:t xml:space="preserve"> pues considero que la Ponencia </w:t>
      </w:r>
      <w:proofErr w:type="spellStart"/>
      <w:r w:rsidRPr="005877C9">
        <w:rPr>
          <w:rFonts w:ascii="Palatino Linotype" w:hAnsi="Palatino Linotype" w:cs="Arial"/>
          <w:sz w:val="24"/>
        </w:rPr>
        <w:t>Resolutora</w:t>
      </w:r>
      <w:proofErr w:type="spellEnd"/>
      <w:r w:rsidRPr="005877C9">
        <w:rPr>
          <w:rFonts w:ascii="Palatino Linotype" w:hAnsi="Palatino Linotype" w:cs="Arial"/>
          <w:sz w:val="24"/>
        </w:rPr>
        <w:t xml:space="preserve"> debió pronunciarse respecto de la información en poder del </w:t>
      </w:r>
      <w:r w:rsidRPr="005877C9">
        <w:rPr>
          <w:rFonts w:ascii="Palatino Linotype" w:hAnsi="Palatino Linotype" w:cs="Arial"/>
          <w:b/>
          <w:sz w:val="24"/>
        </w:rPr>
        <w:t>SUJETO OBLIGADO</w:t>
      </w:r>
      <w:r w:rsidRPr="005877C9">
        <w:rPr>
          <w:rFonts w:ascii="Palatino Linotype" w:hAnsi="Palatino Linotype" w:cs="Arial"/>
          <w:sz w:val="24"/>
        </w:rPr>
        <w:t xml:space="preserve"> que </w:t>
      </w:r>
      <w:r w:rsidR="00B94EFD">
        <w:rPr>
          <w:rFonts w:ascii="Palatino Linotype" w:hAnsi="Palatino Linotype" w:cs="Arial"/>
          <w:sz w:val="24"/>
        </w:rPr>
        <w:t>debió ordenarse su entrega al</w:t>
      </w:r>
      <w:r w:rsidRPr="005877C9">
        <w:rPr>
          <w:rFonts w:ascii="Palatino Linotype" w:hAnsi="Palatino Linotype" w:cs="Arial"/>
          <w:b/>
          <w:sz w:val="24"/>
        </w:rPr>
        <w:t xml:space="preserve"> </w:t>
      </w:r>
      <w:r w:rsidRPr="005877C9">
        <w:rPr>
          <w:rFonts w:ascii="Palatino Linotype" w:hAnsi="Palatino Linotype" w:cs="Arial"/>
          <w:sz w:val="24"/>
        </w:rPr>
        <w:t>ahora</w:t>
      </w:r>
      <w:r w:rsidRPr="005877C9">
        <w:rPr>
          <w:rFonts w:ascii="Palatino Linotype" w:hAnsi="Palatino Linotype" w:cs="Arial"/>
          <w:b/>
          <w:sz w:val="24"/>
        </w:rPr>
        <w:t xml:space="preserve"> RECURRENTE</w:t>
      </w:r>
      <w:r w:rsidRPr="005877C9">
        <w:rPr>
          <w:rFonts w:ascii="Palatino Linotype" w:hAnsi="Palatino Linotype" w:cs="Arial"/>
          <w:sz w:val="24"/>
        </w:rPr>
        <w:t>, a fin de otorgar mayor certeza jurídica a éste de conformidad con lo señalado en el artículo 9, fracción I de la Ley de Transparencia y Acceso a la Información Pública del Estado de México y Municipios.</w:t>
      </w:r>
    </w:p>
    <w:tbl>
      <w:tblPr>
        <w:tblW w:w="4393" w:type="dxa"/>
        <w:jc w:val="center"/>
        <w:tblLayout w:type="fixed"/>
        <w:tblLook w:val="04A0" w:firstRow="1" w:lastRow="0" w:firstColumn="1" w:lastColumn="0" w:noHBand="0" w:noVBand="1"/>
      </w:tblPr>
      <w:tblGrid>
        <w:gridCol w:w="4393"/>
      </w:tblGrid>
      <w:tr w:rsidR="00222D15" w:rsidRPr="009F71D8" w:rsidTr="00FF74B8">
        <w:trPr>
          <w:jc w:val="center"/>
        </w:trPr>
        <w:tc>
          <w:tcPr>
            <w:tcW w:w="4393" w:type="dxa"/>
          </w:tcPr>
          <w:p w:rsidR="00117C44" w:rsidRDefault="00117C44" w:rsidP="00117C44">
            <w:pPr>
              <w:spacing w:after="0" w:line="240" w:lineRule="auto"/>
              <w:ind w:right="51"/>
              <w:jc w:val="center"/>
              <w:rPr>
                <w:rFonts w:ascii="Palatino Linotype" w:hAnsi="Palatino Linotype"/>
                <w:b/>
                <w:sz w:val="24"/>
                <w:szCs w:val="24"/>
              </w:rPr>
            </w:pPr>
          </w:p>
          <w:p w:rsidR="00222D15" w:rsidRPr="009F71D8" w:rsidRDefault="00222D15" w:rsidP="00117C44">
            <w:pPr>
              <w:spacing w:after="0" w:line="240" w:lineRule="auto"/>
              <w:ind w:right="51"/>
              <w:jc w:val="center"/>
              <w:rPr>
                <w:rFonts w:ascii="Palatino Linotype" w:hAnsi="Palatino Linotype"/>
                <w:b/>
                <w:sz w:val="24"/>
                <w:szCs w:val="24"/>
              </w:rPr>
            </w:pPr>
            <w:r w:rsidRPr="009F71D8">
              <w:rPr>
                <w:rFonts w:ascii="Palatino Linotype" w:hAnsi="Palatino Linotype"/>
                <w:b/>
                <w:sz w:val="24"/>
                <w:szCs w:val="24"/>
              </w:rPr>
              <w:t>EVA ABA</w:t>
            </w:r>
            <w:bookmarkStart w:id="0" w:name="_GoBack"/>
            <w:bookmarkEnd w:id="0"/>
            <w:r w:rsidRPr="009F71D8">
              <w:rPr>
                <w:rFonts w:ascii="Palatino Linotype" w:hAnsi="Palatino Linotype"/>
                <w:b/>
                <w:sz w:val="24"/>
                <w:szCs w:val="24"/>
              </w:rPr>
              <w:t>ID YAPUR</w:t>
            </w:r>
          </w:p>
          <w:p w:rsidR="00B94EFD" w:rsidRDefault="00222D15" w:rsidP="001D2200">
            <w:pPr>
              <w:spacing w:after="0" w:line="240" w:lineRule="auto"/>
              <w:ind w:right="51"/>
              <w:jc w:val="center"/>
              <w:rPr>
                <w:rFonts w:ascii="Palatino Linotype" w:hAnsi="Palatino Linotype"/>
                <w:b/>
                <w:sz w:val="24"/>
                <w:szCs w:val="24"/>
              </w:rPr>
            </w:pPr>
            <w:r w:rsidRPr="009F71D8">
              <w:rPr>
                <w:rFonts w:ascii="Palatino Linotype" w:hAnsi="Palatino Linotype"/>
                <w:b/>
                <w:sz w:val="24"/>
                <w:szCs w:val="24"/>
              </w:rPr>
              <w:t>COMISIONADA</w:t>
            </w:r>
          </w:p>
          <w:p w:rsidR="006F44FB" w:rsidRPr="009F71D8" w:rsidRDefault="006F44FB" w:rsidP="006F44FB">
            <w:pPr>
              <w:jc w:val="center"/>
              <w:rPr>
                <w:rFonts w:ascii="Palatino Linotype" w:hAnsi="Palatino Linotype"/>
                <w:b/>
                <w:sz w:val="24"/>
                <w:szCs w:val="24"/>
              </w:rPr>
            </w:pPr>
            <w:r>
              <w:rPr>
                <w:rFonts w:ascii="Palatino Linotype" w:hAnsi="Palatino Linotype" w:cs="Arial"/>
                <w:b/>
              </w:rPr>
              <w:t>(RÚBRICA)</w:t>
            </w:r>
          </w:p>
        </w:tc>
      </w:tr>
    </w:tbl>
    <w:p w:rsidR="001D2200" w:rsidRPr="001D2200" w:rsidRDefault="001D2200" w:rsidP="00117C44">
      <w:pPr>
        <w:widowControl w:val="0"/>
        <w:spacing w:after="0" w:line="240" w:lineRule="auto"/>
        <w:ind w:right="51"/>
        <w:jc w:val="both"/>
        <w:rPr>
          <w:rFonts w:ascii="Palatino Linotype" w:eastAsia="Calibri" w:hAnsi="Palatino Linotype" w:cs="Arial"/>
          <w:color w:val="000000" w:themeColor="text1"/>
          <w:sz w:val="8"/>
          <w:szCs w:val="8"/>
        </w:rPr>
      </w:pPr>
    </w:p>
    <w:p w:rsidR="00222D15" w:rsidRPr="002D79AC" w:rsidRDefault="00222D15" w:rsidP="00117C44">
      <w:pPr>
        <w:widowControl w:val="0"/>
        <w:spacing w:after="0" w:line="240" w:lineRule="auto"/>
        <w:ind w:right="51"/>
        <w:jc w:val="both"/>
        <w:rPr>
          <w:rFonts w:ascii="Palatino Linotype" w:hAnsi="Palatino Linotype" w:cs="Arial"/>
          <w:sz w:val="20"/>
          <w:szCs w:val="20"/>
        </w:rPr>
      </w:pPr>
      <w:r w:rsidRPr="002D79AC">
        <w:rPr>
          <w:rFonts w:ascii="Palatino Linotype" w:eastAsia="Calibri" w:hAnsi="Palatino Linotype" w:cs="Arial"/>
          <w:color w:val="000000" w:themeColor="text1"/>
          <w:sz w:val="20"/>
          <w:szCs w:val="20"/>
        </w:rPr>
        <w:t>Esta hoja corresponde al voto particular emitido en</w:t>
      </w:r>
      <w:r w:rsidR="00792EC9">
        <w:rPr>
          <w:rFonts w:ascii="Palatino Linotype" w:eastAsia="Calibri" w:hAnsi="Palatino Linotype" w:cs="Arial"/>
          <w:color w:val="000000" w:themeColor="text1"/>
          <w:sz w:val="20"/>
          <w:szCs w:val="20"/>
        </w:rPr>
        <w:t xml:space="preserve"> la resolución</w:t>
      </w:r>
      <w:r w:rsidRPr="002D79AC">
        <w:rPr>
          <w:rFonts w:ascii="Palatino Linotype" w:eastAsia="Calibri" w:hAnsi="Palatino Linotype" w:cs="Arial"/>
          <w:color w:val="000000" w:themeColor="text1"/>
          <w:sz w:val="20"/>
          <w:szCs w:val="20"/>
        </w:rPr>
        <w:t xml:space="preserve"> </w:t>
      </w:r>
      <w:r w:rsidR="00792EC9">
        <w:rPr>
          <w:rFonts w:ascii="Palatino Linotype" w:eastAsia="Calibri" w:hAnsi="Palatino Linotype" w:cs="Arial"/>
          <w:color w:val="000000" w:themeColor="text1"/>
          <w:sz w:val="20"/>
          <w:szCs w:val="20"/>
        </w:rPr>
        <w:t>d</w:t>
      </w:r>
      <w:r w:rsidRPr="002D79AC">
        <w:rPr>
          <w:rFonts w:ascii="Palatino Linotype" w:eastAsia="Calibri" w:hAnsi="Palatino Linotype" w:cs="Arial"/>
          <w:color w:val="000000" w:themeColor="text1"/>
          <w:sz w:val="20"/>
          <w:szCs w:val="20"/>
        </w:rPr>
        <w:t xml:space="preserve">el recurso de revisión </w:t>
      </w:r>
      <w:r w:rsidR="005E0490">
        <w:rPr>
          <w:rFonts w:ascii="Palatino Linotype" w:hAnsi="Palatino Linotype" w:cs="Arial"/>
          <w:bCs/>
          <w:sz w:val="20"/>
          <w:szCs w:val="20"/>
        </w:rPr>
        <w:t>0</w:t>
      </w:r>
      <w:r w:rsidR="00B94EFD">
        <w:rPr>
          <w:rFonts w:ascii="Palatino Linotype" w:hAnsi="Palatino Linotype" w:cs="Arial"/>
          <w:bCs/>
          <w:sz w:val="20"/>
          <w:szCs w:val="20"/>
        </w:rPr>
        <w:t>7615</w:t>
      </w:r>
      <w:r w:rsidRPr="002D79AC">
        <w:rPr>
          <w:rFonts w:ascii="Palatino Linotype" w:hAnsi="Palatino Linotype" w:cs="Arial"/>
          <w:bCs/>
          <w:sz w:val="20"/>
          <w:szCs w:val="20"/>
        </w:rPr>
        <w:t>/INFOEM/IP/RR/201</w:t>
      </w:r>
      <w:r w:rsidR="00D67AAB">
        <w:rPr>
          <w:rFonts w:ascii="Palatino Linotype" w:hAnsi="Palatino Linotype" w:cs="Arial"/>
          <w:bCs/>
          <w:sz w:val="20"/>
          <w:szCs w:val="20"/>
        </w:rPr>
        <w:t>9</w:t>
      </w:r>
      <w:r w:rsidRPr="002D79AC">
        <w:rPr>
          <w:rFonts w:ascii="Palatino Linotype" w:hAnsi="Palatino Linotype" w:cs="Arial"/>
          <w:bCs/>
          <w:sz w:val="20"/>
          <w:szCs w:val="20"/>
        </w:rPr>
        <w:t>,</w:t>
      </w:r>
      <w:r w:rsidRPr="002D79AC">
        <w:rPr>
          <w:rFonts w:ascii="Palatino Linotype" w:hAnsi="Palatino Linotype" w:cs="Arial"/>
          <w:b/>
          <w:bCs/>
          <w:sz w:val="20"/>
          <w:szCs w:val="20"/>
        </w:rPr>
        <w:t xml:space="preserve"> </w:t>
      </w:r>
      <w:r w:rsidR="00C76FD9">
        <w:rPr>
          <w:rFonts w:ascii="Palatino Linotype" w:hAnsi="Palatino Linotype" w:cs="Arial"/>
          <w:bCs/>
          <w:sz w:val="20"/>
          <w:szCs w:val="20"/>
        </w:rPr>
        <w:t>aprobada</w:t>
      </w:r>
      <w:r w:rsidRPr="002D79AC">
        <w:rPr>
          <w:rFonts w:ascii="Palatino Linotype" w:hAnsi="Palatino Linotype" w:cs="Arial"/>
          <w:bCs/>
          <w:sz w:val="20"/>
          <w:szCs w:val="20"/>
        </w:rPr>
        <w:t xml:space="preserve"> </w:t>
      </w:r>
      <w:r w:rsidR="00CB3EA9">
        <w:rPr>
          <w:rFonts w:ascii="Palatino Linotype" w:hAnsi="Palatino Linotype" w:cs="Arial"/>
          <w:bCs/>
          <w:sz w:val="20"/>
          <w:szCs w:val="20"/>
        </w:rPr>
        <w:t xml:space="preserve">el </w:t>
      </w:r>
      <w:r w:rsidR="00B94EFD">
        <w:rPr>
          <w:rFonts w:ascii="Palatino Linotype" w:hAnsi="Palatino Linotype" w:cs="Arial"/>
          <w:bCs/>
          <w:sz w:val="20"/>
          <w:szCs w:val="20"/>
        </w:rPr>
        <w:t xml:space="preserve">veintisiete de noviembre </w:t>
      </w:r>
      <w:r w:rsidR="00F860A0">
        <w:rPr>
          <w:rFonts w:ascii="Palatino Linotype" w:hAnsi="Palatino Linotype" w:cs="Arial"/>
          <w:bCs/>
          <w:sz w:val="20"/>
          <w:szCs w:val="20"/>
        </w:rPr>
        <w:t>de dos mil diecinueve</w:t>
      </w:r>
      <w:r w:rsidRPr="002D79AC">
        <w:rPr>
          <w:rFonts w:ascii="Palatino Linotype" w:hAnsi="Palatino Linotype" w:cs="Arial"/>
          <w:bCs/>
          <w:sz w:val="20"/>
          <w:szCs w:val="20"/>
        </w:rPr>
        <w:t>.</w:t>
      </w:r>
    </w:p>
    <w:p w:rsidR="00222D15" w:rsidRPr="00263C9A" w:rsidRDefault="00222D15" w:rsidP="00117C44">
      <w:pPr>
        <w:spacing w:after="0" w:line="240" w:lineRule="auto"/>
        <w:ind w:right="51"/>
        <w:jc w:val="both"/>
        <w:rPr>
          <w:rFonts w:ascii="Palatino Linotype" w:eastAsia="Calibri" w:hAnsi="Palatino Linotype" w:cs="Arial"/>
          <w:color w:val="000000" w:themeColor="text1"/>
          <w:sz w:val="10"/>
          <w:szCs w:val="10"/>
        </w:rPr>
      </w:pPr>
    </w:p>
    <w:p w:rsidR="00C23B43" w:rsidRPr="00F5763D" w:rsidRDefault="004E7395" w:rsidP="00117C44">
      <w:pPr>
        <w:spacing w:after="0" w:line="240" w:lineRule="auto"/>
        <w:ind w:right="51"/>
        <w:jc w:val="both"/>
        <w:rPr>
          <w:sz w:val="20"/>
          <w:szCs w:val="20"/>
        </w:rPr>
      </w:pPr>
      <w:r>
        <w:rPr>
          <w:rFonts w:ascii="Palatino Linotype" w:eastAsia="Calibri" w:hAnsi="Palatino Linotype" w:cs="Arial"/>
          <w:color w:val="000000" w:themeColor="text1"/>
          <w:sz w:val="20"/>
          <w:szCs w:val="20"/>
        </w:rPr>
        <w:t>YSM</w:t>
      </w:r>
      <w:r w:rsidR="00B94EFD">
        <w:rPr>
          <w:rFonts w:ascii="Palatino Linotype" w:eastAsia="Calibri" w:hAnsi="Palatino Linotype" w:cs="Arial"/>
          <w:color w:val="000000" w:themeColor="text1"/>
          <w:sz w:val="20"/>
          <w:szCs w:val="20"/>
        </w:rPr>
        <w:t xml:space="preserve">/IAHA </w:t>
      </w:r>
    </w:p>
    <w:sectPr w:rsidR="00C23B43" w:rsidRPr="00F5763D" w:rsidSect="005A28C0">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66DA" w:rsidRDefault="005966DA" w:rsidP="00222D15">
      <w:pPr>
        <w:spacing w:after="0" w:line="240" w:lineRule="auto"/>
      </w:pPr>
      <w:r>
        <w:separator/>
      </w:r>
    </w:p>
  </w:endnote>
  <w:endnote w:type="continuationSeparator" w:id="0">
    <w:p w:rsidR="005966DA" w:rsidRDefault="005966DA" w:rsidP="00222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6F44FB" w:rsidP="00DC5C4E">
    <w:pPr>
      <w:pStyle w:val="Piedepgina"/>
      <w:tabs>
        <w:tab w:val="clear" w:pos="4252"/>
        <w:tab w:val="left" w:pos="4228"/>
      </w:tabs>
      <w:rPr>
        <w:rFonts w:ascii="Palatino Linotype" w:hAnsi="Palatino Linotype" w:cs="Arial"/>
        <w:b/>
        <w:bCs/>
        <w:sz w:val="20"/>
        <w:szCs w:val="20"/>
      </w:rPr>
    </w:pPr>
  </w:p>
  <w:p w:rsidR="005C7C8F" w:rsidRDefault="006F44FB" w:rsidP="00DC5C4E">
    <w:pPr>
      <w:pStyle w:val="Piedepgina"/>
      <w:tabs>
        <w:tab w:val="clear" w:pos="4252"/>
        <w:tab w:val="left" w:pos="4228"/>
      </w:tabs>
      <w:rPr>
        <w:rFonts w:ascii="Palatino Linotype" w:hAnsi="Palatino Linotype" w:cs="Arial"/>
        <w:b/>
        <w:bCs/>
        <w:sz w:val="20"/>
        <w:szCs w:val="20"/>
      </w:rPr>
    </w:pPr>
  </w:p>
  <w:p w:rsidR="005C7C8F" w:rsidRDefault="006F44FB" w:rsidP="00DC5C4E">
    <w:pPr>
      <w:pStyle w:val="Piedepgina"/>
      <w:tabs>
        <w:tab w:val="clear" w:pos="4252"/>
        <w:tab w:val="left" w:pos="4228"/>
      </w:tabs>
      <w:rPr>
        <w:rFonts w:ascii="Palatino Linotype" w:hAnsi="Palatino Linotype" w:cs="Arial"/>
        <w:b/>
        <w:bCs/>
        <w:sz w:val="20"/>
        <w:szCs w:val="20"/>
      </w:rPr>
    </w:pPr>
  </w:p>
  <w:p w:rsidR="005C7C8F" w:rsidRDefault="006F44FB" w:rsidP="00DC5C4E">
    <w:pPr>
      <w:pStyle w:val="Piedepgina"/>
      <w:rPr>
        <w:rFonts w:ascii="Palatino Linotype" w:hAnsi="Palatino Linotype" w:cs="Arial"/>
        <w:b/>
        <w:bCs/>
        <w:sz w:val="20"/>
        <w:szCs w:val="20"/>
      </w:rPr>
    </w:pPr>
  </w:p>
  <w:p w:rsidR="005C7C8F" w:rsidRPr="00F12350" w:rsidRDefault="00C92D53"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6F44FB">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6F44FB">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p>
  <w:p w:rsidR="005C7C8F" w:rsidRDefault="006F44FB"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66DA" w:rsidRDefault="005966DA" w:rsidP="00222D15">
      <w:pPr>
        <w:spacing w:after="0" w:line="240" w:lineRule="auto"/>
      </w:pPr>
      <w:r>
        <w:separator/>
      </w:r>
    </w:p>
  </w:footnote>
  <w:footnote w:type="continuationSeparator" w:id="0">
    <w:p w:rsidR="005966DA" w:rsidRDefault="005966DA" w:rsidP="00222D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6F44F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926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C92D53"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6192" behindDoc="1" locked="0" layoutInCell="1" allowOverlap="1" wp14:anchorId="01A823FD" wp14:editId="2A79579C">
          <wp:simplePos x="0" y="0"/>
          <wp:positionH relativeFrom="column">
            <wp:posOffset>-632460</wp:posOffset>
          </wp:positionH>
          <wp:positionV relativeFrom="paragraph">
            <wp:posOffset>-354965</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p>
  <w:p w:rsidR="00894E9C" w:rsidRDefault="006F44FB" w:rsidP="00DC5C4E">
    <w:pPr>
      <w:pStyle w:val="Encabezado"/>
      <w:tabs>
        <w:tab w:val="clear" w:pos="4252"/>
        <w:tab w:val="clear" w:pos="8504"/>
        <w:tab w:val="left" w:pos="2326"/>
      </w:tabs>
      <w:jc w:val="right"/>
      <w:rPr>
        <w:rFonts w:ascii="Palatino Linotype" w:hAnsi="Palatino Linotype" w:cs="Arial"/>
        <w:sz w:val="20"/>
        <w:szCs w:val="20"/>
      </w:rPr>
    </w:pPr>
  </w:p>
  <w:p w:rsidR="00894E9C" w:rsidRDefault="006F44FB" w:rsidP="00DC5C4E">
    <w:pPr>
      <w:pStyle w:val="Encabezado"/>
      <w:tabs>
        <w:tab w:val="clear" w:pos="4252"/>
        <w:tab w:val="clear" w:pos="8504"/>
        <w:tab w:val="left" w:pos="2326"/>
      </w:tabs>
      <w:jc w:val="right"/>
      <w:rPr>
        <w:rFonts w:ascii="Palatino Linotype" w:hAnsi="Palatino Linotype" w:cs="Arial"/>
        <w:sz w:val="20"/>
        <w:szCs w:val="20"/>
      </w:rPr>
    </w:pPr>
  </w:p>
  <w:p w:rsidR="005C7C8F" w:rsidRDefault="00C92D53" w:rsidP="00DC5C4E">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A91250" w:rsidRDefault="00C92D53" w:rsidP="007C4D4B">
    <w:pPr>
      <w:pStyle w:val="Encabezado"/>
      <w:tabs>
        <w:tab w:val="clear" w:pos="4252"/>
        <w:tab w:val="clear" w:pos="8504"/>
        <w:tab w:val="left" w:pos="2326"/>
      </w:tabs>
      <w:ind w:left="2832"/>
      <w:jc w:val="right"/>
      <w:rPr>
        <w:rFonts w:ascii="Palatino Linotype" w:hAnsi="Palatino Linotype" w:cs="Arial"/>
        <w:sz w:val="20"/>
        <w:szCs w:val="20"/>
      </w:rPr>
    </w:pPr>
    <w:r>
      <w:rPr>
        <w:rFonts w:ascii="Palatino Linotype" w:hAnsi="Palatino Linotype" w:cs="Arial"/>
        <w:sz w:val="20"/>
        <w:szCs w:val="20"/>
      </w:rPr>
      <w:tab/>
    </w:r>
    <w:r w:rsidRPr="00706042">
      <w:rPr>
        <w:rFonts w:ascii="Palatino Linotype" w:hAnsi="Palatino Linotype" w:cs="Arial"/>
        <w:sz w:val="20"/>
        <w:szCs w:val="20"/>
      </w:rPr>
      <w:t>RECURSO DE REVISIÓN</w:t>
    </w:r>
    <w:r>
      <w:rPr>
        <w:rFonts w:ascii="Palatino Linotype" w:hAnsi="Palatino Linotype" w:cs="Arial"/>
        <w:sz w:val="20"/>
        <w:szCs w:val="20"/>
      </w:rPr>
      <w:t xml:space="preserve"> </w:t>
    </w:r>
    <w:r w:rsidRPr="00A91250">
      <w:rPr>
        <w:rFonts w:ascii="Palatino Linotype" w:hAnsi="Palatino Linotype" w:cs="Arial"/>
        <w:sz w:val="20"/>
        <w:szCs w:val="20"/>
      </w:rPr>
      <w:t>0</w:t>
    </w:r>
    <w:r w:rsidR="00727368">
      <w:rPr>
        <w:rFonts w:ascii="Palatino Linotype" w:hAnsi="Palatino Linotype" w:cs="Arial"/>
        <w:sz w:val="20"/>
        <w:szCs w:val="20"/>
      </w:rPr>
      <w:t>761</w:t>
    </w:r>
    <w:r w:rsidR="003A1818">
      <w:rPr>
        <w:rFonts w:ascii="Palatino Linotype" w:hAnsi="Palatino Linotype" w:cs="Arial"/>
        <w:sz w:val="20"/>
        <w:szCs w:val="20"/>
      </w:rPr>
      <w:t>5</w:t>
    </w:r>
    <w:r w:rsidRPr="00A91250">
      <w:rPr>
        <w:rFonts w:ascii="Palatino Linotype" w:hAnsi="Palatino Linotype" w:cs="Arial"/>
        <w:sz w:val="20"/>
        <w:szCs w:val="20"/>
      </w:rPr>
      <w:t>/INFOEM/IP/RR/201</w:t>
    </w:r>
    <w:r w:rsidR="00571F3C">
      <w:rPr>
        <w:rFonts w:ascii="Palatino Linotype" w:hAnsi="Palatino Linotype" w:cs="Arial"/>
        <w:sz w:val="20"/>
        <w:szCs w:val="20"/>
      </w:rPr>
      <w:t>9</w:t>
    </w:r>
  </w:p>
  <w:p w:rsidR="00D406EF" w:rsidRDefault="006F44FB" w:rsidP="005A28C0">
    <w:pPr>
      <w:pStyle w:val="Encabezado"/>
      <w:tabs>
        <w:tab w:val="clear" w:pos="4252"/>
        <w:tab w:val="clear" w:pos="8504"/>
        <w:tab w:val="left" w:pos="2326"/>
      </w:tabs>
      <w:ind w:left="2832"/>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98.9pt;margin-top:249.55pt;width:672.85pt;height:93.55pt;rotation:315;z-index:-251658240;mso-position-horizontal-relative:margin;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6F44F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7216;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A7578"/>
    <w:multiLevelType w:val="multilevel"/>
    <w:tmpl w:val="6994D100"/>
    <w:lvl w:ilvl="0">
      <w:start w:val="1"/>
      <w:numFmt w:val="lowerLetter"/>
      <w:lvlText w:val="%1)"/>
      <w:lvlJc w:val="left"/>
      <w:pPr>
        <w:ind w:left="644" w:hanging="360"/>
      </w:pPr>
      <w:rPr>
        <w:sz w:val="24"/>
        <w:szCs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0F1C506D"/>
    <w:multiLevelType w:val="hybridMultilevel"/>
    <w:tmpl w:val="49801E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BE186B"/>
    <w:multiLevelType w:val="hybridMultilevel"/>
    <w:tmpl w:val="E076A7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8787912"/>
    <w:multiLevelType w:val="hybridMultilevel"/>
    <w:tmpl w:val="5D4E075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620B40"/>
    <w:multiLevelType w:val="hybridMultilevel"/>
    <w:tmpl w:val="56160362"/>
    <w:lvl w:ilvl="0" w:tplc="87E4B78E">
      <w:start w:val="1"/>
      <w:numFmt w:val="lowerLetter"/>
      <w:lvlText w:val="%1)"/>
      <w:lvlJc w:val="left"/>
      <w:pPr>
        <w:ind w:left="927" w:hanging="360"/>
      </w:pPr>
      <w:rPr>
        <w:rFonts w:eastAsia="Calibri"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2445115F"/>
    <w:multiLevelType w:val="hybridMultilevel"/>
    <w:tmpl w:val="377616D2"/>
    <w:lvl w:ilvl="0" w:tplc="5FD017F4">
      <w:start w:val="1"/>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6" w15:restartNumberingAfterBreak="0">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7" w15:restartNumberingAfterBreak="0">
    <w:nsid w:val="31361FEB"/>
    <w:multiLevelType w:val="hybridMultilevel"/>
    <w:tmpl w:val="7430BD10"/>
    <w:lvl w:ilvl="0" w:tplc="080A0017">
      <w:start w:val="1"/>
      <w:numFmt w:val="lowerLetter"/>
      <w:lvlText w:val="%1)"/>
      <w:lvlJc w:val="left"/>
      <w:pPr>
        <w:ind w:left="786" w:hanging="360"/>
      </w:pPr>
      <w:rPr>
        <w:rFonts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8" w15:restartNumberingAfterBreak="0">
    <w:nsid w:val="387067B2"/>
    <w:multiLevelType w:val="hybridMultilevel"/>
    <w:tmpl w:val="EF426112"/>
    <w:lvl w:ilvl="0" w:tplc="3DF2FE56">
      <w:start w:val="1"/>
      <w:numFmt w:val="decimal"/>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162055F"/>
    <w:multiLevelType w:val="multilevel"/>
    <w:tmpl w:val="6994D100"/>
    <w:lvl w:ilvl="0">
      <w:start w:val="1"/>
      <w:numFmt w:val="low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6945C93"/>
    <w:multiLevelType w:val="hybridMultilevel"/>
    <w:tmpl w:val="7CA0951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C411729"/>
    <w:multiLevelType w:val="hybridMultilevel"/>
    <w:tmpl w:val="FDD45054"/>
    <w:lvl w:ilvl="0" w:tplc="BD7CC452">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5C531474"/>
    <w:multiLevelType w:val="hybridMultilevel"/>
    <w:tmpl w:val="B09E38C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3" w15:restartNumberingAfterBreak="0">
    <w:nsid w:val="71E3504F"/>
    <w:multiLevelType w:val="hybridMultilevel"/>
    <w:tmpl w:val="2CF289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2586F73"/>
    <w:multiLevelType w:val="hybridMultilevel"/>
    <w:tmpl w:val="FBD604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AD7614"/>
    <w:multiLevelType w:val="hybridMultilevel"/>
    <w:tmpl w:val="125A75CC"/>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5422B96"/>
    <w:multiLevelType w:val="hybridMultilevel"/>
    <w:tmpl w:val="E682AF4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14"/>
  </w:num>
  <w:num w:numId="3">
    <w:abstractNumId w:val="9"/>
  </w:num>
  <w:num w:numId="4">
    <w:abstractNumId w:val="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num>
  <w:num w:numId="8">
    <w:abstractNumId w:val="16"/>
  </w:num>
  <w:num w:numId="9">
    <w:abstractNumId w:val="12"/>
  </w:num>
  <w:num w:numId="10">
    <w:abstractNumId w:val="1"/>
  </w:num>
  <w:num w:numId="11">
    <w:abstractNumId w:val="3"/>
  </w:num>
  <w:num w:numId="12">
    <w:abstractNumId w:val="4"/>
  </w:num>
  <w:num w:numId="13">
    <w:abstractNumId w:val="10"/>
  </w:num>
  <w:num w:numId="14">
    <w:abstractNumId w:val="7"/>
  </w:num>
  <w:num w:numId="15">
    <w:abstractNumId w:val="13"/>
  </w:num>
  <w:num w:numId="16">
    <w:abstractNumId w:val="15"/>
  </w:num>
  <w:num w:numId="17">
    <w:abstractNumId w:val="1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D15"/>
    <w:rsid w:val="000127CC"/>
    <w:rsid w:val="00016E33"/>
    <w:rsid w:val="00036E28"/>
    <w:rsid w:val="00074680"/>
    <w:rsid w:val="000B643B"/>
    <w:rsid w:val="000D3E21"/>
    <w:rsid w:val="00117C44"/>
    <w:rsid w:val="001354EB"/>
    <w:rsid w:val="001375AB"/>
    <w:rsid w:val="00142B10"/>
    <w:rsid w:val="00177DDB"/>
    <w:rsid w:val="00184B83"/>
    <w:rsid w:val="001A53BA"/>
    <w:rsid w:val="001D2200"/>
    <w:rsid w:val="001F5492"/>
    <w:rsid w:val="00222D15"/>
    <w:rsid w:val="0024260F"/>
    <w:rsid w:val="00260D23"/>
    <w:rsid w:val="002670F4"/>
    <w:rsid w:val="00267DAC"/>
    <w:rsid w:val="00280712"/>
    <w:rsid w:val="002B43B8"/>
    <w:rsid w:val="002F537D"/>
    <w:rsid w:val="00303FB7"/>
    <w:rsid w:val="0030441A"/>
    <w:rsid w:val="00333EEC"/>
    <w:rsid w:val="00334792"/>
    <w:rsid w:val="0034670C"/>
    <w:rsid w:val="00352450"/>
    <w:rsid w:val="00352721"/>
    <w:rsid w:val="00363930"/>
    <w:rsid w:val="003A1818"/>
    <w:rsid w:val="003A28A6"/>
    <w:rsid w:val="003B2D2B"/>
    <w:rsid w:val="003D5927"/>
    <w:rsid w:val="003E5AB1"/>
    <w:rsid w:val="003E6C2F"/>
    <w:rsid w:val="003F231C"/>
    <w:rsid w:val="00434F2D"/>
    <w:rsid w:val="0046713B"/>
    <w:rsid w:val="004773D0"/>
    <w:rsid w:val="004801C3"/>
    <w:rsid w:val="004B607A"/>
    <w:rsid w:val="004B7753"/>
    <w:rsid w:val="004C6792"/>
    <w:rsid w:val="004E7395"/>
    <w:rsid w:val="004F1058"/>
    <w:rsid w:val="004F307F"/>
    <w:rsid w:val="0051785B"/>
    <w:rsid w:val="00517C66"/>
    <w:rsid w:val="00520810"/>
    <w:rsid w:val="00534C05"/>
    <w:rsid w:val="00541D04"/>
    <w:rsid w:val="00563884"/>
    <w:rsid w:val="00571F3C"/>
    <w:rsid w:val="005877C9"/>
    <w:rsid w:val="005966DA"/>
    <w:rsid w:val="005D1C17"/>
    <w:rsid w:val="005E0490"/>
    <w:rsid w:val="005E0746"/>
    <w:rsid w:val="006079F6"/>
    <w:rsid w:val="00642D83"/>
    <w:rsid w:val="006537E7"/>
    <w:rsid w:val="00657587"/>
    <w:rsid w:val="00661074"/>
    <w:rsid w:val="00692DB6"/>
    <w:rsid w:val="006A112C"/>
    <w:rsid w:val="006F44FB"/>
    <w:rsid w:val="00702877"/>
    <w:rsid w:val="00727368"/>
    <w:rsid w:val="0075624F"/>
    <w:rsid w:val="00784D68"/>
    <w:rsid w:val="00787DD5"/>
    <w:rsid w:val="00792EC9"/>
    <w:rsid w:val="007A3711"/>
    <w:rsid w:val="007C4D4B"/>
    <w:rsid w:val="008C3005"/>
    <w:rsid w:val="008C3EA5"/>
    <w:rsid w:val="008C4B77"/>
    <w:rsid w:val="008C6BC1"/>
    <w:rsid w:val="00900F4A"/>
    <w:rsid w:val="00920D70"/>
    <w:rsid w:val="00945BD8"/>
    <w:rsid w:val="009C0562"/>
    <w:rsid w:val="009D5FE6"/>
    <w:rsid w:val="009F1B96"/>
    <w:rsid w:val="00A409AC"/>
    <w:rsid w:val="00A55C30"/>
    <w:rsid w:val="00A85D7A"/>
    <w:rsid w:val="00AC0AFF"/>
    <w:rsid w:val="00AD789B"/>
    <w:rsid w:val="00AE1C6B"/>
    <w:rsid w:val="00AE3945"/>
    <w:rsid w:val="00AE4B1F"/>
    <w:rsid w:val="00AE56B4"/>
    <w:rsid w:val="00AF155E"/>
    <w:rsid w:val="00B26C8F"/>
    <w:rsid w:val="00B65E8A"/>
    <w:rsid w:val="00B94EFD"/>
    <w:rsid w:val="00BA0EBA"/>
    <w:rsid w:val="00BA7978"/>
    <w:rsid w:val="00BB75BA"/>
    <w:rsid w:val="00BC647D"/>
    <w:rsid w:val="00C10C4B"/>
    <w:rsid w:val="00C10CE9"/>
    <w:rsid w:val="00C23B43"/>
    <w:rsid w:val="00C3408B"/>
    <w:rsid w:val="00C53325"/>
    <w:rsid w:val="00C76FD9"/>
    <w:rsid w:val="00C83DFF"/>
    <w:rsid w:val="00C846FA"/>
    <w:rsid w:val="00C92D53"/>
    <w:rsid w:val="00C9714C"/>
    <w:rsid w:val="00CB35F6"/>
    <w:rsid w:val="00CB3EA9"/>
    <w:rsid w:val="00CD75F6"/>
    <w:rsid w:val="00CE3D7A"/>
    <w:rsid w:val="00CF6CA1"/>
    <w:rsid w:val="00D05991"/>
    <w:rsid w:val="00D3046F"/>
    <w:rsid w:val="00D34ECE"/>
    <w:rsid w:val="00D67AAB"/>
    <w:rsid w:val="00D72673"/>
    <w:rsid w:val="00D83EB3"/>
    <w:rsid w:val="00D9781B"/>
    <w:rsid w:val="00DB79F9"/>
    <w:rsid w:val="00E02985"/>
    <w:rsid w:val="00E43478"/>
    <w:rsid w:val="00E45F71"/>
    <w:rsid w:val="00E471A2"/>
    <w:rsid w:val="00E47517"/>
    <w:rsid w:val="00E838CF"/>
    <w:rsid w:val="00E842B6"/>
    <w:rsid w:val="00E97C45"/>
    <w:rsid w:val="00EA2B71"/>
    <w:rsid w:val="00EA3494"/>
    <w:rsid w:val="00EB1CEB"/>
    <w:rsid w:val="00EB3365"/>
    <w:rsid w:val="00EB621D"/>
    <w:rsid w:val="00EC447A"/>
    <w:rsid w:val="00ED22F1"/>
    <w:rsid w:val="00ED29D1"/>
    <w:rsid w:val="00EE67AD"/>
    <w:rsid w:val="00F3668C"/>
    <w:rsid w:val="00F367F5"/>
    <w:rsid w:val="00F5763D"/>
    <w:rsid w:val="00F7093C"/>
    <w:rsid w:val="00F860A0"/>
    <w:rsid w:val="00FA1B5A"/>
    <w:rsid w:val="00FA59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5C2A7B3-F5A5-4343-88A8-AF6F94594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2D1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2D15"/>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22D15"/>
    <w:rPr>
      <w:rFonts w:eastAsiaTheme="minorEastAsia"/>
      <w:sz w:val="24"/>
      <w:szCs w:val="24"/>
      <w:lang w:val="es-ES_tradnl" w:eastAsia="es-ES"/>
    </w:rPr>
  </w:style>
  <w:style w:type="paragraph" w:styleId="Piedepgina">
    <w:name w:val="footer"/>
    <w:basedOn w:val="Normal"/>
    <w:link w:val="PiedepginaCar"/>
    <w:uiPriority w:val="99"/>
    <w:unhideWhenUsed/>
    <w:rsid w:val="00222D15"/>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22D15"/>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65758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7587"/>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97C45"/>
    <w:pPr>
      <w:spacing w:after="0" w:line="240" w:lineRule="auto"/>
      <w:ind w:left="720"/>
      <w:contextualSpacing/>
    </w:pPr>
    <w:rPr>
      <w:rFonts w:ascii="Century Gothic" w:eastAsia="Times New Roman" w:hAnsi="Century Gothic" w:cs="Times New Roman"/>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E97C45"/>
    <w:rPr>
      <w:rFonts w:ascii="Century Gothic" w:eastAsia="Times New Roman" w:hAnsi="Century Gothic" w:cs="Times New Roman"/>
      <w:szCs w:val="24"/>
      <w:lang w:eastAsia="es-ES"/>
    </w:rPr>
  </w:style>
  <w:style w:type="paragraph" w:styleId="Sinespaciado">
    <w:name w:val="No Spacing"/>
    <w:aliases w:val="Francesa"/>
    <w:link w:val="SinespaciadoCar"/>
    <w:uiPriority w:val="1"/>
    <w:qFormat/>
    <w:rsid w:val="007A3711"/>
    <w:pPr>
      <w:spacing w:after="0" w:line="240" w:lineRule="auto"/>
    </w:pPr>
  </w:style>
  <w:style w:type="character" w:customStyle="1" w:styleId="SinespaciadoCar">
    <w:name w:val="Sin espaciado Car"/>
    <w:aliases w:val="Francesa Car"/>
    <w:link w:val="Sinespaciado"/>
    <w:uiPriority w:val="1"/>
    <w:locked/>
    <w:rsid w:val="007A37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782704">
      <w:bodyDiv w:val="1"/>
      <w:marLeft w:val="0"/>
      <w:marRight w:val="0"/>
      <w:marTop w:val="0"/>
      <w:marBottom w:val="0"/>
      <w:divBdr>
        <w:top w:val="none" w:sz="0" w:space="0" w:color="auto"/>
        <w:left w:val="none" w:sz="0" w:space="0" w:color="auto"/>
        <w:bottom w:val="none" w:sz="0" w:space="0" w:color="auto"/>
        <w:right w:val="none" w:sz="0" w:space="0" w:color="auto"/>
      </w:divBdr>
    </w:div>
    <w:div w:id="509296431">
      <w:bodyDiv w:val="1"/>
      <w:marLeft w:val="0"/>
      <w:marRight w:val="0"/>
      <w:marTop w:val="0"/>
      <w:marBottom w:val="0"/>
      <w:divBdr>
        <w:top w:val="none" w:sz="0" w:space="0" w:color="auto"/>
        <w:left w:val="none" w:sz="0" w:space="0" w:color="auto"/>
        <w:bottom w:val="none" w:sz="0" w:space="0" w:color="auto"/>
        <w:right w:val="none" w:sz="0" w:space="0" w:color="auto"/>
      </w:divBdr>
    </w:div>
    <w:div w:id="202296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14EF4-9765-479C-8EB9-647DDEBD2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5</Pages>
  <Words>1266</Words>
  <Characters>6966</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Itze Hdz.</cp:lastModifiedBy>
  <cp:revision>7</cp:revision>
  <cp:lastPrinted>2019-12-02T22:23:00Z</cp:lastPrinted>
  <dcterms:created xsi:type="dcterms:W3CDTF">2019-12-02T17:59:00Z</dcterms:created>
  <dcterms:modified xsi:type="dcterms:W3CDTF">2019-12-18T01:58:00Z</dcterms:modified>
</cp:coreProperties>
</file>