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15E85"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Instituto de Transparencia, Acceso a la Información Pública y Protección de Datos Personales del Estado de México y Municipios</w:t>
      </w:r>
      <w:r w:rsidRPr="0007011C">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con domicilio en </w:t>
      </w:r>
      <w:r w:rsidRPr="0007011C">
        <w:rPr>
          <w:rFonts w:ascii="Palatino Linotype" w:eastAsia="Times New Roman" w:hAnsi="Palatino Linotype" w:cs="Arial"/>
          <w:color w:val="000000"/>
          <w:sz w:val="24"/>
          <w:szCs w:val="24"/>
          <w:lang w:eastAsia="es-MX"/>
        </w:rPr>
        <w:t xml:space="preserve">Metepec, </w:t>
      </w:r>
      <w:r>
        <w:rPr>
          <w:rFonts w:ascii="Palatino Linotype" w:eastAsia="Times New Roman" w:hAnsi="Palatino Linotype" w:cs="Arial"/>
          <w:color w:val="000000"/>
          <w:sz w:val="24"/>
          <w:szCs w:val="24"/>
          <w:lang w:eastAsia="es-MX"/>
        </w:rPr>
        <w:t xml:space="preserve">Estado de </w:t>
      </w:r>
      <w:r w:rsidRPr="009902AF">
        <w:rPr>
          <w:rFonts w:ascii="Palatino Linotype" w:eastAsia="Times New Roman" w:hAnsi="Palatino Linotype" w:cs="Arial"/>
          <w:color w:val="000000"/>
          <w:sz w:val="24"/>
          <w:szCs w:val="24"/>
          <w:lang w:eastAsia="es-MX"/>
        </w:rPr>
        <w:t xml:space="preserve">México, </w:t>
      </w:r>
      <w:r w:rsidRPr="002052F6">
        <w:rPr>
          <w:rFonts w:ascii="Palatino Linotype" w:eastAsia="Times New Roman" w:hAnsi="Palatino Linotype" w:cs="Arial"/>
          <w:color w:val="000000"/>
          <w:sz w:val="24"/>
          <w:szCs w:val="24"/>
          <w:lang w:eastAsia="es-MX"/>
        </w:rPr>
        <w:t xml:space="preserve">a </w:t>
      </w:r>
      <w:r w:rsidR="00307CD9">
        <w:rPr>
          <w:rFonts w:ascii="Palatino Linotype" w:eastAsia="Times New Roman" w:hAnsi="Palatino Linotype" w:cs="Arial"/>
          <w:color w:val="000000"/>
          <w:sz w:val="24"/>
          <w:szCs w:val="24"/>
          <w:lang w:eastAsia="es-MX"/>
        </w:rPr>
        <w:t>cinco de junio de dos mil diecinueve</w:t>
      </w:r>
      <w:r w:rsidRPr="002052F6">
        <w:rPr>
          <w:rFonts w:ascii="Palatino Linotype" w:eastAsia="Times New Roman" w:hAnsi="Palatino Linotype" w:cs="Arial"/>
          <w:color w:val="000000"/>
          <w:sz w:val="24"/>
          <w:szCs w:val="24"/>
          <w:lang w:eastAsia="es-MX"/>
        </w:rPr>
        <w:t>.</w:t>
      </w:r>
    </w:p>
    <w:p w:rsidR="00E15E85" w:rsidRPr="00F07740"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eastAsia="es-MX"/>
        </w:rPr>
      </w:pPr>
    </w:p>
    <w:p w:rsidR="00E87E34" w:rsidRPr="00C203E8" w:rsidRDefault="00E15E85" w:rsidP="00E15E85">
      <w:pPr>
        <w:tabs>
          <w:tab w:val="left" w:pos="1701"/>
        </w:tabs>
        <w:spacing w:before="240" w:line="360" w:lineRule="auto"/>
        <w:jc w:val="both"/>
        <w:rPr>
          <w:rFonts w:ascii="Palatino Linotype" w:hAnsi="Palatino Linotype" w:cs="Arial"/>
          <w:b/>
          <w:bCs/>
          <w:sz w:val="24"/>
          <w:lang w:eastAsia="es-MX"/>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E94BA2">
        <w:rPr>
          <w:rFonts w:ascii="Palatino Linotype" w:hAnsi="Palatino Linotype" w:cs="Arial"/>
          <w:b/>
          <w:bCs/>
          <w:sz w:val="24"/>
          <w:lang w:eastAsia="es-MX"/>
        </w:rPr>
        <w:t>0</w:t>
      </w:r>
      <w:r w:rsidR="005B1DF4">
        <w:rPr>
          <w:rFonts w:ascii="Palatino Linotype" w:hAnsi="Palatino Linotype" w:cs="Arial"/>
          <w:b/>
          <w:bCs/>
          <w:sz w:val="24"/>
          <w:lang w:eastAsia="es-MX"/>
        </w:rPr>
        <w:t>3040</w:t>
      </w:r>
      <w:r w:rsidR="007E2959" w:rsidRPr="007E2959">
        <w:rPr>
          <w:rFonts w:ascii="Palatino Linotype" w:hAnsi="Palatino Linotype" w:cs="Arial"/>
          <w:b/>
          <w:bCs/>
          <w:sz w:val="24"/>
          <w:lang w:eastAsia="es-MX"/>
        </w:rPr>
        <w:t>/INFOEM/IP/RR/201</w:t>
      </w:r>
      <w:r w:rsidR="00D41F41">
        <w:rPr>
          <w:rFonts w:ascii="Palatino Linotype" w:hAnsi="Palatino Linotype" w:cs="Arial"/>
          <w:b/>
          <w:bCs/>
          <w:sz w:val="24"/>
          <w:lang w:eastAsia="es-MX"/>
        </w:rPr>
        <w:t>9</w:t>
      </w:r>
      <w:r>
        <w:rPr>
          <w:rFonts w:ascii="Palatino Linotype" w:hAnsi="Palatino Linotype" w:cs="Arial"/>
          <w:sz w:val="24"/>
        </w:rPr>
        <w:t xml:space="preserve">, </w:t>
      </w:r>
      <w:r w:rsidR="00614FDD">
        <w:rPr>
          <w:rFonts w:ascii="Palatino Linotype" w:hAnsi="Palatino Linotype" w:cs="Arial"/>
          <w:sz w:val="24"/>
        </w:rPr>
        <w:t xml:space="preserve">interpuesto por </w:t>
      </w:r>
      <w:r w:rsidR="006200A2">
        <w:rPr>
          <w:rFonts w:ascii="Palatino Linotype" w:hAnsi="Palatino Linotype" w:cs="Arial"/>
          <w:sz w:val="24"/>
        </w:rPr>
        <w:t xml:space="preserve">el C. </w:t>
      </w:r>
      <w:r w:rsidR="002A76FD" w:rsidRPr="002A76FD">
        <w:rPr>
          <w:rFonts w:ascii="Palatino Linotype" w:hAnsi="Palatino Linotype" w:cs="Arial"/>
          <w:b/>
          <w:sz w:val="24"/>
        </w:rPr>
        <w:t>XXXXXXXXXXXXXXX</w:t>
      </w:r>
      <w:r w:rsidR="002A76FD" w:rsidRPr="002A76FD">
        <w:rPr>
          <w:rFonts w:ascii="Palatino Linotype" w:hAnsi="Palatino Linotype" w:cs="Arial"/>
          <w:b/>
          <w:sz w:val="24"/>
        </w:rPr>
        <w:t xml:space="preserve"> </w:t>
      </w:r>
      <w:bookmarkStart w:id="0" w:name="_GoBack"/>
      <w:bookmarkEnd w:id="0"/>
      <w:r w:rsidR="006200A2">
        <w:rPr>
          <w:rFonts w:ascii="Palatino Linotype" w:hAnsi="Palatino Linotype" w:cs="Arial"/>
          <w:sz w:val="24"/>
        </w:rPr>
        <w:t xml:space="preserve">en lo sucesivo </w:t>
      </w:r>
      <w:r w:rsidR="00B86E3B">
        <w:rPr>
          <w:rFonts w:ascii="Palatino Linotype" w:hAnsi="Palatino Linotype" w:cs="Arial"/>
          <w:sz w:val="24"/>
        </w:rPr>
        <w:t>e</w:t>
      </w:r>
      <w:r w:rsidR="00D41F41">
        <w:rPr>
          <w:rFonts w:ascii="Palatino Linotype" w:hAnsi="Palatino Linotype" w:cs="Arial"/>
          <w:b/>
          <w:sz w:val="24"/>
        </w:rPr>
        <w:t>l</w:t>
      </w:r>
      <w:r w:rsidRPr="00224181">
        <w:rPr>
          <w:rFonts w:ascii="Palatino Linotype" w:hAnsi="Palatino Linotype" w:cs="Arial"/>
          <w:b/>
          <w:sz w:val="24"/>
        </w:rPr>
        <w:t xml:space="preserve"> Recurrente</w:t>
      </w:r>
      <w:r w:rsidR="00E221C1">
        <w:rPr>
          <w:rFonts w:ascii="Palatino Linotype" w:hAnsi="Palatino Linotype" w:cs="Arial"/>
          <w:sz w:val="24"/>
        </w:rPr>
        <w:t xml:space="preserve">, en contra </w:t>
      </w:r>
      <w:r w:rsidR="00E372DA">
        <w:rPr>
          <w:rFonts w:ascii="Palatino Linotype" w:hAnsi="Palatino Linotype" w:cs="Arial"/>
          <w:sz w:val="24"/>
        </w:rPr>
        <w:t>de</w:t>
      </w:r>
      <w:r w:rsidR="00E221C1">
        <w:rPr>
          <w:rFonts w:ascii="Palatino Linotype" w:hAnsi="Palatino Linotype" w:cs="Arial"/>
          <w:sz w:val="24"/>
        </w:rPr>
        <w:t xml:space="preserve"> </w:t>
      </w:r>
      <w:r w:rsidR="00654533">
        <w:rPr>
          <w:rFonts w:ascii="Palatino Linotype" w:hAnsi="Palatino Linotype" w:cs="Arial"/>
          <w:sz w:val="24"/>
        </w:rPr>
        <w:t xml:space="preserve">la </w:t>
      </w:r>
      <w:r w:rsidRPr="00224181">
        <w:rPr>
          <w:rFonts w:ascii="Palatino Linotype" w:hAnsi="Palatino Linotype" w:cs="Arial"/>
          <w:sz w:val="24"/>
        </w:rPr>
        <w:t xml:space="preserve">respuesta </w:t>
      </w:r>
      <w:r w:rsidR="003470B1">
        <w:rPr>
          <w:rFonts w:ascii="Palatino Linotype" w:hAnsi="Palatino Linotype" w:cs="Arial"/>
          <w:sz w:val="24"/>
        </w:rPr>
        <w:t>d</w:t>
      </w:r>
      <w:r w:rsidR="00E372DA" w:rsidRPr="00224181">
        <w:rPr>
          <w:rFonts w:ascii="Palatino Linotype" w:hAnsi="Palatino Linotype" w:cs="Arial"/>
          <w:sz w:val="24"/>
          <w:szCs w:val="24"/>
        </w:rPr>
        <w:t>e</w:t>
      </w:r>
      <w:r w:rsidR="00E372DA">
        <w:rPr>
          <w:rFonts w:ascii="Palatino Linotype" w:hAnsi="Palatino Linotype" w:cs="Arial"/>
          <w:sz w:val="24"/>
          <w:szCs w:val="24"/>
        </w:rPr>
        <w:t>l</w:t>
      </w:r>
      <w:r w:rsidRPr="00224181">
        <w:rPr>
          <w:rFonts w:ascii="Palatino Linotype" w:hAnsi="Palatino Linotype" w:cs="Arial"/>
          <w:sz w:val="24"/>
          <w:szCs w:val="24"/>
        </w:rPr>
        <w:t xml:space="preserve"> </w:t>
      </w:r>
      <w:r w:rsidR="005B1DF4" w:rsidRPr="005B1DF4">
        <w:rPr>
          <w:rFonts w:ascii="Palatino Linotype" w:hAnsi="Palatino Linotype" w:cs="Arial"/>
          <w:b/>
          <w:sz w:val="24"/>
          <w:szCs w:val="24"/>
        </w:rPr>
        <w:t>Secretaría de Finanzas</w:t>
      </w:r>
      <w:r w:rsidRPr="00224181">
        <w:rPr>
          <w:rFonts w:ascii="Palatino Linotype" w:hAnsi="Palatino Linotype" w:cs="Arial"/>
          <w:sz w:val="28"/>
          <w:szCs w:val="24"/>
        </w:rPr>
        <w:t xml:space="preserve">, </w:t>
      </w:r>
      <w:r w:rsidRPr="00224181">
        <w:rPr>
          <w:rFonts w:ascii="Palatino Linotype" w:hAnsi="Palatino Linotype" w:cs="Arial"/>
          <w:sz w:val="24"/>
          <w:szCs w:val="24"/>
        </w:rPr>
        <w:t>en lo subsecuente</w:t>
      </w:r>
      <w:r w:rsidRPr="00224181">
        <w:rPr>
          <w:rFonts w:ascii="Palatino Linotype" w:hAnsi="Palatino Linotype" w:cs="Arial"/>
          <w:b/>
          <w:sz w:val="24"/>
          <w:szCs w:val="24"/>
        </w:rPr>
        <w:t xml:space="preserve"> El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E15E85" w:rsidRDefault="00E15E85" w:rsidP="00E15E85">
      <w:pPr>
        <w:tabs>
          <w:tab w:val="left" w:pos="1701"/>
        </w:tabs>
        <w:spacing w:before="240" w:line="360" w:lineRule="auto"/>
        <w:jc w:val="both"/>
        <w:rPr>
          <w:rFonts w:ascii="Palatino Linotype" w:hAnsi="Palatino Linotype" w:cs="Arial"/>
          <w:sz w:val="24"/>
        </w:rPr>
      </w:pPr>
    </w:p>
    <w:p w:rsidR="006200A2" w:rsidRDefault="00E15E85" w:rsidP="006200A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rsidR="00E15E85" w:rsidRDefault="00E15E85" w:rsidP="00E15E85">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rsidR="00E15E85" w:rsidRDefault="00E15E85" w:rsidP="00E15E85">
      <w:pPr>
        <w:spacing w:before="240" w:line="360" w:lineRule="auto"/>
        <w:jc w:val="both"/>
        <w:rPr>
          <w:rFonts w:ascii="Palatino Linotype" w:hAnsi="Palatino Linotype" w:cs="Arial"/>
          <w:sz w:val="24"/>
        </w:rPr>
      </w:pPr>
      <w:r>
        <w:rPr>
          <w:rFonts w:ascii="Palatino Linotype" w:hAnsi="Palatino Linotype" w:cs="Arial"/>
          <w:sz w:val="24"/>
        </w:rPr>
        <w:t>Con fecha</w:t>
      </w:r>
      <w:r w:rsidR="005F32D2">
        <w:rPr>
          <w:rFonts w:ascii="Palatino Linotype" w:hAnsi="Palatino Linotype" w:cs="Arial"/>
          <w:sz w:val="24"/>
        </w:rPr>
        <w:t xml:space="preserve"> </w:t>
      </w:r>
      <w:r w:rsidR="005B1DF4">
        <w:rPr>
          <w:rFonts w:ascii="Palatino Linotype" w:hAnsi="Palatino Linotype" w:cs="Arial"/>
          <w:sz w:val="24"/>
        </w:rPr>
        <w:t>veintiséis de marzo</w:t>
      </w:r>
      <w:r w:rsidR="00D41F41">
        <w:rPr>
          <w:rFonts w:ascii="Palatino Linotype" w:hAnsi="Palatino Linotype" w:cs="Arial"/>
          <w:sz w:val="24"/>
        </w:rPr>
        <w:t xml:space="preserve"> de dos mil diecinueve</w:t>
      </w:r>
      <w:r>
        <w:rPr>
          <w:rFonts w:ascii="Palatino Linotype" w:hAnsi="Palatino Linotype" w:cs="Arial"/>
          <w:sz w:val="24"/>
        </w:rPr>
        <w:t xml:space="preserve">, </w:t>
      </w:r>
      <w:r w:rsidR="00D41F41">
        <w:rPr>
          <w:rFonts w:ascii="Palatino Linotype" w:hAnsi="Palatino Linotype" w:cs="Arial"/>
          <w:b/>
          <w:sz w:val="24"/>
        </w:rPr>
        <w:t>la</w:t>
      </w:r>
      <w:r>
        <w:rPr>
          <w:rFonts w:ascii="Palatino Linotype" w:hAnsi="Palatino Linotype" w:cs="Arial"/>
          <w:b/>
          <w:sz w:val="24"/>
        </w:rPr>
        <w:t xml:space="preserve"> Recurrente</w:t>
      </w:r>
      <w:r>
        <w:rPr>
          <w:rFonts w:ascii="Palatino Linotype" w:hAnsi="Palatino Linotype" w:cs="Arial"/>
          <w:sz w:val="24"/>
        </w:rPr>
        <w:t>,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solicitud de acceso a la información pública, registrada bajo el número de expediente</w:t>
      </w:r>
      <w:r>
        <w:rPr>
          <w:rFonts w:ascii="Palatino Linotype" w:hAnsi="Palatino Linotype" w:cs="Arial"/>
          <w:b/>
          <w:sz w:val="24"/>
        </w:rPr>
        <w:t xml:space="preserve"> </w:t>
      </w:r>
      <w:r w:rsidR="005B1DF4" w:rsidRPr="005B1DF4">
        <w:rPr>
          <w:rFonts w:ascii="Palatino Linotype" w:hAnsi="Palatino Linotype" w:cs="Arial"/>
          <w:b/>
          <w:sz w:val="24"/>
        </w:rPr>
        <w:t>00232/SF/IP/2019</w:t>
      </w:r>
      <w:r>
        <w:rPr>
          <w:rFonts w:ascii="Palatino Linotype" w:hAnsi="Palatino Linotype" w:cs="Arial"/>
          <w:b/>
          <w:sz w:val="24"/>
          <w:lang w:eastAsia="es-MX"/>
        </w:rPr>
        <w:t xml:space="preserve">, </w:t>
      </w:r>
      <w:r>
        <w:rPr>
          <w:rFonts w:ascii="Palatino Linotype" w:hAnsi="Palatino Linotype" w:cs="Arial"/>
          <w:sz w:val="24"/>
        </w:rPr>
        <w:t>mediante la cual solicitó información en el tenor siguiente:</w:t>
      </w:r>
    </w:p>
    <w:p w:rsidR="00E15E85" w:rsidRPr="00DE246E" w:rsidRDefault="00E15E85" w:rsidP="00E15E85">
      <w:pPr>
        <w:ind w:left="851" w:right="850"/>
        <w:jc w:val="both"/>
        <w:rPr>
          <w:rFonts w:ascii="Palatino Linotype" w:eastAsia="Times New Roman" w:hAnsi="Palatino Linotype" w:cs="Times New Roman"/>
          <w:i/>
          <w:lang w:val="es-ES_tradnl" w:eastAsia="es-ES"/>
        </w:rPr>
      </w:pPr>
      <w:r w:rsidRPr="00DE246E">
        <w:rPr>
          <w:rFonts w:ascii="Palatino Linotype" w:eastAsia="Times New Roman" w:hAnsi="Palatino Linotype" w:cs="Times New Roman"/>
          <w:i/>
          <w:lang w:val="es-ES_tradnl" w:eastAsia="es-ES"/>
        </w:rPr>
        <w:t>“</w:t>
      </w:r>
      <w:r w:rsidR="005B1DF4" w:rsidRPr="005B1DF4">
        <w:rPr>
          <w:rFonts w:ascii="Palatino Linotype" w:hAnsi="Palatino Linotype"/>
          <w:i/>
          <w:color w:val="000000"/>
        </w:rPr>
        <w:t xml:space="preserve">Deseo saber por que la plaza 207101683 ( sedagro), que quedo desierta por que la participante 998166966 no aprobo el examen, no salio en el concurso escalafonario gem-48-2019, asi mismo deseo saber si dar la plaza al candidato que no aprobo la evaluacion escalafonaria viola los principios rectores del servicio público: la legalidad, objetividad, profesionalismo, honradez, lealtad, imparcialidad, eficiencia, </w:t>
      </w:r>
      <w:r w:rsidR="005B1DF4" w:rsidRPr="005B1DF4">
        <w:rPr>
          <w:rFonts w:ascii="Palatino Linotype" w:hAnsi="Palatino Linotype"/>
          <w:i/>
          <w:color w:val="000000"/>
        </w:rPr>
        <w:lastRenderedPageBreak/>
        <w:t>eficacia, equidad, transparencia, economía, integridad, competencia por mérito y rendición de cuentas, en los términos de las disposiciones legales aplicables. Los entes públicos están, obligados a crear y mantener condiciones estructurales y normativas que permitan el adecuado funcionamiento del Estado en su conjunto y la actuación ética y responsable de cada servidor público; de la LEY DEL SISTEMA ANTICORRUPCIÓN DEL ESTADO DE MÉXICO Y MUNICIPIOS. cabe destacar que ustedes pueden consultar el el sistema de fump electronico que esa plaza ya esta ocupda.</w:t>
      </w:r>
      <w:r w:rsidR="00DC12D8" w:rsidRPr="00DC12D8">
        <w:rPr>
          <w:rFonts w:ascii="Palatino Linotype" w:hAnsi="Palatino Linotype"/>
          <w:i/>
          <w:color w:val="000000"/>
        </w:rPr>
        <w:t>.</w:t>
      </w:r>
      <w:r w:rsidRPr="00DE246E">
        <w:rPr>
          <w:rFonts w:ascii="Palatino Linotype" w:eastAsia="Times New Roman" w:hAnsi="Palatino Linotype" w:cs="Times New Roman"/>
          <w:i/>
          <w:lang w:val="es-ES_tradnl" w:eastAsia="es-ES"/>
        </w:rPr>
        <w:t>” [Sic]</w:t>
      </w:r>
    </w:p>
    <w:p w:rsidR="00E15E85" w:rsidRDefault="00E15E85" w:rsidP="00E15E85">
      <w:pPr>
        <w:spacing w:before="240" w:line="240" w:lineRule="auto"/>
        <w:ind w:right="850"/>
        <w:jc w:val="both"/>
        <w:rPr>
          <w:rFonts w:ascii="Palatino Linotype" w:eastAsia="Times New Roman" w:hAnsi="Palatino Linotype" w:cs="Times New Roman"/>
          <w:sz w:val="24"/>
          <w:szCs w:val="24"/>
          <w:lang w:val="es-ES_tradnl" w:eastAsia="es-ES"/>
        </w:rPr>
      </w:pPr>
      <w:r w:rsidRPr="00CA1161">
        <w:rPr>
          <w:rFonts w:ascii="Palatino Linotype" w:eastAsia="Times New Roman" w:hAnsi="Palatino Linotype" w:cs="Times New Roman"/>
          <w:sz w:val="24"/>
          <w:szCs w:val="24"/>
          <w:lang w:val="es-ES_tradnl" w:eastAsia="es-ES"/>
        </w:rPr>
        <w:t xml:space="preserve">Modalidad de entrega: </w:t>
      </w:r>
      <w:r>
        <w:rPr>
          <w:rFonts w:ascii="Palatino Linotype" w:eastAsia="Times New Roman" w:hAnsi="Palatino Linotype" w:cs="Times New Roman"/>
          <w:sz w:val="24"/>
          <w:szCs w:val="24"/>
          <w:lang w:val="es-ES_tradnl" w:eastAsia="es-ES"/>
        </w:rPr>
        <w:t>a través del SAIMEX.</w:t>
      </w:r>
    </w:p>
    <w:p w:rsidR="005B1DF4" w:rsidRDefault="005B1DF4" w:rsidP="005B1DF4">
      <w:pPr>
        <w:spacing w:before="240" w:line="360" w:lineRule="auto"/>
        <w:ind w:right="850"/>
        <w:jc w:val="both"/>
        <w:rPr>
          <w:rFonts w:ascii="Palatino Linotype" w:eastAsia="Times New Roman" w:hAnsi="Palatino Linotype" w:cs="Times New Roman"/>
          <w:sz w:val="24"/>
          <w:szCs w:val="24"/>
          <w:lang w:val="es-ES_tradnl" w:eastAsia="es-ES"/>
        </w:rPr>
      </w:pPr>
      <w:r>
        <w:rPr>
          <w:rFonts w:ascii="Palatino Linotype" w:eastAsia="Times New Roman" w:hAnsi="Palatino Linotype" w:cs="Times New Roman"/>
          <w:sz w:val="24"/>
          <w:szCs w:val="24"/>
          <w:lang w:val="es-ES_tradnl" w:eastAsia="es-ES"/>
        </w:rPr>
        <w:t xml:space="preserve">Asimismo, se aprecia que el hoy recurrente adjunto un documento denominado </w:t>
      </w:r>
      <w:r w:rsidRPr="005B1DF4">
        <w:rPr>
          <w:rFonts w:ascii="Palatino Linotype" w:eastAsia="Times New Roman" w:hAnsi="Palatino Linotype" w:cs="Times New Roman"/>
          <w:sz w:val="24"/>
          <w:szCs w:val="24"/>
          <w:u w:val="single"/>
          <w:lang w:val="es-ES_tradnl" w:eastAsia="es-ES"/>
        </w:rPr>
        <w:t>“saimex1.pdf</w:t>
      </w:r>
      <w:r>
        <w:rPr>
          <w:rFonts w:ascii="Palatino Linotype" w:eastAsia="Times New Roman" w:hAnsi="Palatino Linotype" w:cs="Times New Roman"/>
          <w:sz w:val="24"/>
          <w:szCs w:val="24"/>
          <w:u w:val="single"/>
          <w:lang w:val="es-ES_tradnl" w:eastAsia="es-ES"/>
        </w:rPr>
        <w:t>”</w:t>
      </w:r>
      <w:r>
        <w:rPr>
          <w:rFonts w:ascii="Palatino Linotype" w:eastAsia="Times New Roman" w:hAnsi="Palatino Linotype" w:cs="Times New Roman"/>
          <w:sz w:val="24"/>
          <w:szCs w:val="24"/>
          <w:lang w:val="es-ES_tradnl" w:eastAsia="es-ES"/>
        </w:rPr>
        <w:t xml:space="preserve"> el cual contiene los </w:t>
      </w:r>
      <w:r w:rsidRPr="005B1DF4">
        <w:rPr>
          <w:rFonts w:ascii="Palatino Linotype" w:eastAsia="Times New Roman" w:hAnsi="Palatino Linotype" w:cs="Times New Roman"/>
          <w:sz w:val="24"/>
          <w:szCs w:val="24"/>
          <w:lang w:val="es-ES_tradnl" w:eastAsia="es-ES"/>
        </w:rPr>
        <w:t>Resultados del concurso escalafonario No. SEDAGRO-056-19</w:t>
      </w:r>
      <w:r>
        <w:rPr>
          <w:rFonts w:ascii="Palatino Linotype" w:eastAsia="Times New Roman" w:hAnsi="Palatino Linotype" w:cs="Times New Roman"/>
          <w:sz w:val="24"/>
          <w:szCs w:val="24"/>
          <w:lang w:val="es-ES_tradnl" w:eastAsia="es-ES"/>
        </w:rPr>
        <w:t>.</w:t>
      </w:r>
    </w:p>
    <w:p w:rsidR="00E15E85" w:rsidRDefault="00E15E85" w:rsidP="00E15E85">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rsidR="00D41F41" w:rsidRDefault="00E15E85" w:rsidP="005B1DF4">
      <w:pPr>
        <w:spacing w:before="240" w:line="360" w:lineRule="auto"/>
        <w:jc w:val="both"/>
        <w:rPr>
          <w:rFonts w:ascii="Palatino Linotype" w:hAnsi="Palatino Linotype" w:cs="Arial"/>
          <w:sz w:val="24"/>
        </w:rPr>
      </w:pPr>
      <w:r w:rsidRPr="00A77BF1">
        <w:rPr>
          <w:rFonts w:ascii="Palatino Linotype" w:hAnsi="Palatino Linotype" w:cs="Arial"/>
          <w:sz w:val="24"/>
        </w:rPr>
        <w:t xml:space="preserve">En el expediente electrónico </w:t>
      </w:r>
      <w:r w:rsidRPr="00A77BF1">
        <w:rPr>
          <w:rFonts w:ascii="Palatino Linotype" w:hAnsi="Palatino Linotype" w:cs="Arial"/>
          <w:b/>
          <w:sz w:val="24"/>
        </w:rPr>
        <w:t>SAIMEX</w:t>
      </w:r>
      <w:r w:rsidR="003341B0">
        <w:rPr>
          <w:rFonts w:ascii="Palatino Linotype" w:hAnsi="Palatino Linotype" w:cs="Arial"/>
          <w:sz w:val="24"/>
        </w:rPr>
        <w:t xml:space="preserve">, se aprecia que </w:t>
      </w:r>
      <w:r w:rsidRPr="00A77BF1">
        <w:rPr>
          <w:rFonts w:ascii="Palatino Linotype" w:hAnsi="Palatino Linotype" w:cs="Arial"/>
          <w:b/>
          <w:sz w:val="24"/>
        </w:rPr>
        <w:t>El Sujeto Obligado</w:t>
      </w:r>
      <w:r w:rsidR="00D41F41">
        <w:rPr>
          <w:rFonts w:ascii="Palatino Linotype" w:hAnsi="Palatino Linotype" w:cs="Arial"/>
          <w:b/>
          <w:sz w:val="24"/>
        </w:rPr>
        <w:t xml:space="preserve"> </w:t>
      </w:r>
      <w:r w:rsidR="00D41F41" w:rsidRPr="00D41F41">
        <w:rPr>
          <w:rFonts w:ascii="Palatino Linotype" w:hAnsi="Palatino Linotype" w:cs="Arial"/>
          <w:sz w:val="24"/>
        </w:rPr>
        <w:t xml:space="preserve">en fecha </w:t>
      </w:r>
      <w:r w:rsidR="001501D2">
        <w:rPr>
          <w:rFonts w:ascii="Palatino Linotype" w:hAnsi="Palatino Linotype" w:cs="Arial"/>
          <w:sz w:val="24"/>
        </w:rPr>
        <w:t>veintitrés</w:t>
      </w:r>
      <w:r w:rsidR="006200A2">
        <w:rPr>
          <w:rFonts w:ascii="Palatino Linotype" w:hAnsi="Palatino Linotype" w:cs="Arial"/>
          <w:sz w:val="24"/>
        </w:rPr>
        <w:t xml:space="preserve"> de abril</w:t>
      </w:r>
      <w:r w:rsidR="00DA598F">
        <w:rPr>
          <w:rFonts w:ascii="Palatino Linotype" w:hAnsi="Palatino Linotype" w:cs="Arial"/>
          <w:sz w:val="24"/>
        </w:rPr>
        <w:t xml:space="preserve"> de los corrientes dio respuesta a la solicitud de información adjuntando para tal efecto </w:t>
      </w:r>
      <w:r w:rsidR="006200A2">
        <w:rPr>
          <w:rFonts w:ascii="Palatino Linotype" w:hAnsi="Palatino Linotype" w:cs="Arial"/>
          <w:sz w:val="24"/>
        </w:rPr>
        <w:t>los documentos denominados</w:t>
      </w:r>
      <w:r w:rsidR="0050780F">
        <w:rPr>
          <w:rFonts w:ascii="Palatino Linotype" w:hAnsi="Palatino Linotype" w:cs="Arial"/>
          <w:sz w:val="24"/>
        </w:rPr>
        <w:t xml:space="preserve"> </w:t>
      </w:r>
      <w:r w:rsidR="006200A2" w:rsidRPr="006200A2">
        <w:rPr>
          <w:rFonts w:ascii="Palatino Linotype" w:hAnsi="Palatino Linotype" w:cs="Arial"/>
          <w:sz w:val="24"/>
          <w:u w:val="single"/>
        </w:rPr>
        <w:t>“</w:t>
      </w:r>
      <w:r w:rsidR="005B1DF4" w:rsidRPr="005B1DF4">
        <w:rPr>
          <w:rFonts w:ascii="Palatino Linotype" w:hAnsi="Palatino Linotype" w:cs="Arial"/>
          <w:sz w:val="24"/>
          <w:u w:val="single"/>
        </w:rPr>
        <w:t>00232 DIRECC. GRAL. PERSONAL.pdf</w:t>
      </w:r>
      <w:r w:rsidR="005B1DF4">
        <w:rPr>
          <w:rFonts w:ascii="Palatino Linotype" w:hAnsi="Palatino Linotype" w:cs="Arial"/>
          <w:sz w:val="24"/>
          <w:u w:val="single"/>
        </w:rPr>
        <w:t xml:space="preserve"> y </w:t>
      </w:r>
      <w:r w:rsidR="005B1DF4" w:rsidRPr="005B1DF4">
        <w:rPr>
          <w:rFonts w:ascii="Palatino Linotype" w:hAnsi="Palatino Linotype" w:cs="Arial"/>
          <w:sz w:val="24"/>
          <w:u w:val="single"/>
        </w:rPr>
        <w:t>UIPPE 232.pdf</w:t>
      </w:r>
      <w:r w:rsidR="006200A2" w:rsidRPr="006200A2">
        <w:rPr>
          <w:rFonts w:ascii="Palatino Linotype" w:hAnsi="Palatino Linotype" w:cs="Arial"/>
          <w:sz w:val="24"/>
          <w:u w:val="single"/>
        </w:rPr>
        <w:t>”</w:t>
      </w:r>
      <w:r w:rsidR="00DA598F">
        <w:rPr>
          <w:rFonts w:ascii="Palatino Linotype" w:hAnsi="Palatino Linotype" w:cs="Arial"/>
          <w:sz w:val="24"/>
        </w:rPr>
        <w:t xml:space="preserve">, </w:t>
      </w:r>
      <w:r w:rsidR="00940EBE">
        <w:rPr>
          <w:rFonts w:ascii="Palatino Linotype" w:hAnsi="Palatino Linotype" w:cs="Arial"/>
          <w:sz w:val="24"/>
        </w:rPr>
        <w:t>el cual se tiene por reproducido</w:t>
      </w:r>
      <w:r w:rsidR="00DA598F">
        <w:rPr>
          <w:rFonts w:ascii="Palatino Linotype" w:hAnsi="Palatino Linotype" w:cs="Arial"/>
          <w:sz w:val="24"/>
        </w:rPr>
        <w:t xml:space="preserve"> al ser del conocimiento de las partes y en obvio de reproducciones ociosas.</w:t>
      </w:r>
    </w:p>
    <w:p w:rsidR="001501D2" w:rsidRPr="001501D2" w:rsidRDefault="001501D2" w:rsidP="001501D2">
      <w:pPr>
        <w:spacing w:before="240" w:line="360" w:lineRule="auto"/>
        <w:ind w:left="708"/>
        <w:jc w:val="both"/>
        <w:rPr>
          <w:rFonts w:ascii="Palatino Linotype" w:hAnsi="Palatino Linotype" w:cs="Arial"/>
          <w:i/>
          <w:sz w:val="24"/>
        </w:rPr>
      </w:pPr>
      <w:r w:rsidRPr="001501D2">
        <w:rPr>
          <w:rFonts w:ascii="Palatino Linotype" w:hAnsi="Palatino Linotype" w:cs="Arial"/>
          <w:i/>
          <w:sz w:val="24"/>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501D2" w:rsidRPr="001501D2" w:rsidRDefault="001501D2" w:rsidP="001501D2">
      <w:pPr>
        <w:spacing w:before="240" w:line="360" w:lineRule="auto"/>
        <w:ind w:left="708"/>
        <w:jc w:val="both"/>
        <w:rPr>
          <w:rFonts w:ascii="Palatino Linotype" w:hAnsi="Palatino Linotype" w:cs="Arial"/>
          <w:i/>
          <w:sz w:val="24"/>
        </w:rPr>
      </w:pPr>
      <w:r w:rsidRPr="001501D2">
        <w:rPr>
          <w:rFonts w:ascii="Palatino Linotype" w:hAnsi="Palatino Linotype" w:cs="Arial"/>
          <w:i/>
          <w:sz w:val="24"/>
        </w:rPr>
        <w:t>Sobre el particular, sírvase encontrar en archivo adjunto copia del oficio de notificación número 20700004S/UT-0918/2019 mediante el cual se detalla lo referente a su solicitud.</w:t>
      </w:r>
    </w:p>
    <w:p w:rsidR="001501D2" w:rsidRPr="001501D2" w:rsidRDefault="001501D2" w:rsidP="001501D2">
      <w:pPr>
        <w:spacing w:before="240" w:line="360" w:lineRule="auto"/>
        <w:ind w:left="708"/>
        <w:jc w:val="both"/>
        <w:rPr>
          <w:rFonts w:ascii="Palatino Linotype" w:hAnsi="Palatino Linotype" w:cs="Arial"/>
          <w:i/>
          <w:sz w:val="24"/>
        </w:rPr>
      </w:pPr>
      <w:r w:rsidRPr="001501D2">
        <w:rPr>
          <w:rFonts w:ascii="Palatino Linotype" w:hAnsi="Palatino Linotype" w:cs="Arial"/>
          <w:i/>
          <w:sz w:val="24"/>
        </w:rPr>
        <w:t>ATENTAMENTE</w:t>
      </w:r>
    </w:p>
    <w:p w:rsidR="006200A2" w:rsidRDefault="001501D2" w:rsidP="001501D2">
      <w:pPr>
        <w:spacing w:before="240" w:line="360" w:lineRule="auto"/>
        <w:ind w:left="708"/>
        <w:jc w:val="both"/>
        <w:rPr>
          <w:rFonts w:ascii="Palatino Linotype" w:hAnsi="Palatino Linotype" w:cs="Arial"/>
          <w:i/>
          <w:sz w:val="24"/>
        </w:rPr>
      </w:pPr>
      <w:r w:rsidRPr="001501D2">
        <w:rPr>
          <w:rFonts w:ascii="Palatino Linotype" w:hAnsi="Palatino Linotype" w:cs="Arial"/>
          <w:i/>
          <w:sz w:val="24"/>
        </w:rPr>
        <w:lastRenderedPageBreak/>
        <w:t>Lic. Rodolfo Esteban Rivadeneyra Hernández</w:t>
      </w:r>
    </w:p>
    <w:p w:rsidR="00E15E85" w:rsidRPr="00441A94" w:rsidRDefault="00E15E85" w:rsidP="006200A2">
      <w:pPr>
        <w:spacing w:before="240" w:line="360" w:lineRule="auto"/>
        <w:jc w:val="both"/>
        <w:rPr>
          <w:rFonts w:ascii="Palatino Linotype" w:hAnsi="Palatino Linotype" w:cs="Arial"/>
          <w:b/>
          <w:sz w:val="28"/>
        </w:rPr>
      </w:pPr>
      <w:r w:rsidRPr="00441A94">
        <w:rPr>
          <w:rFonts w:ascii="Palatino Linotype" w:hAnsi="Palatino Linotype" w:cs="Arial"/>
          <w:b/>
          <w:sz w:val="28"/>
        </w:rPr>
        <w:t xml:space="preserve">TERCERO. </w:t>
      </w:r>
      <w:r w:rsidRPr="00441A94">
        <w:rPr>
          <w:rFonts w:ascii="Palatino Linotype" w:hAnsi="Palatino Linotype"/>
          <w:b/>
          <w:sz w:val="28"/>
        </w:rPr>
        <w:t>Del recurso de revisión.</w:t>
      </w:r>
    </w:p>
    <w:p w:rsidR="00E15E85" w:rsidRDefault="00E15E85" w:rsidP="00E15E85">
      <w:pPr>
        <w:spacing w:before="240" w:line="360" w:lineRule="auto"/>
        <w:jc w:val="both"/>
        <w:rPr>
          <w:rFonts w:ascii="Palatino Linotype" w:hAnsi="Palatino Linotype" w:cs="Arial"/>
          <w:sz w:val="24"/>
        </w:rPr>
      </w:pPr>
      <w:r w:rsidRPr="00441A94">
        <w:rPr>
          <w:rFonts w:ascii="Palatino Linotype" w:hAnsi="Palatino Linotype" w:cs="Arial"/>
          <w:sz w:val="24"/>
          <w:szCs w:val="24"/>
        </w:rPr>
        <w:t>Inconforme con la respuesta</w:t>
      </w:r>
      <w:r w:rsidR="00217E99">
        <w:rPr>
          <w:rFonts w:ascii="Palatino Linotype" w:hAnsi="Palatino Linotype" w:cs="Arial"/>
          <w:sz w:val="24"/>
          <w:szCs w:val="24"/>
        </w:rPr>
        <w:t xml:space="preserve"> </w:t>
      </w:r>
      <w:r w:rsidR="00E372DA">
        <w:rPr>
          <w:rFonts w:ascii="Palatino Linotype" w:hAnsi="Palatino Linotype" w:cs="Arial"/>
          <w:sz w:val="24"/>
          <w:szCs w:val="24"/>
        </w:rPr>
        <w:t>d</w:t>
      </w:r>
      <w:r w:rsidRPr="00441A94">
        <w:rPr>
          <w:rFonts w:ascii="Palatino Linotype" w:hAnsi="Palatino Linotype" w:cs="Arial"/>
          <w:sz w:val="24"/>
          <w:szCs w:val="24"/>
        </w:rPr>
        <w:t xml:space="preserve">el sujeto obligado, </w:t>
      </w:r>
      <w:r w:rsidR="009F7948">
        <w:rPr>
          <w:rFonts w:ascii="Palatino Linotype" w:hAnsi="Palatino Linotype" w:cs="Arial"/>
          <w:b/>
          <w:sz w:val="24"/>
          <w:szCs w:val="24"/>
        </w:rPr>
        <w:t>El</w:t>
      </w:r>
      <w:r w:rsidRPr="00997030">
        <w:rPr>
          <w:rFonts w:ascii="Palatino Linotype" w:hAnsi="Palatino Linotype" w:cs="Arial"/>
          <w:b/>
          <w:sz w:val="24"/>
          <w:szCs w:val="24"/>
        </w:rPr>
        <w:t xml:space="preserve"> Recurrente</w:t>
      </w:r>
      <w:r w:rsidRPr="00441A94">
        <w:rPr>
          <w:rFonts w:ascii="Palatino Linotype" w:hAnsi="Palatino Linotype" w:cs="Arial"/>
          <w:b/>
          <w:sz w:val="24"/>
          <w:szCs w:val="24"/>
        </w:rPr>
        <w:t xml:space="preserve"> </w:t>
      </w:r>
      <w:r w:rsidRPr="00441A94">
        <w:rPr>
          <w:rFonts w:ascii="Palatino Linotype" w:hAnsi="Palatino Linotype" w:cs="Arial"/>
          <w:sz w:val="24"/>
          <w:szCs w:val="24"/>
        </w:rPr>
        <w:t xml:space="preserve">interpuso el recurso de revisión, en </w:t>
      </w:r>
      <w:r w:rsidR="00D41F41">
        <w:rPr>
          <w:rFonts w:ascii="Palatino Linotype" w:hAnsi="Palatino Linotype" w:cs="Arial"/>
          <w:sz w:val="24"/>
          <w:szCs w:val="24"/>
        </w:rPr>
        <w:t xml:space="preserve">fecha </w:t>
      </w:r>
      <w:r w:rsidR="001501D2">
        <w:rPr>
          <w:rFonts w:ascii="Palatino Linotype" w:hAnsi="Palatino Linotype" w:cs="Arial"/>
          <w:sz w:val="24"/>
          <w:szCs w:val="24"/>
        </w:rPr>
        <w:t>veinticuatro</w:t>
      </w:r>
      <w:r w:rsidR="006200A2">
        <w:rPr>
          <w:rFonts w:ascii="Palatino Linotype" w:hAnsi="Palatino Linotype" w:cs="Arial"/>
          <w:sz w:val="24"/>
          <w:szCs w:val="24"/>
        </w:rPr>
        <w:t xml:space="preserve"> de abril</w:t>
      </w:r>
      <w:r w:rsidR="00D41F41">
        <w:rPr>
          <w:rFonts w:ascii="Palatino Linotype" w:hAnsi="Palatino Linotype" w:cs="Arial"/>
          <w:sz w:val="24"/>
          <w:szCs w:val="24"/>
        </w:rPr>
        <w:t xml:space="preserve"> de dos mil diecinueve</w:t>
      </w:r>
      <w:r w:rsidRPr="00441A94">
        <w:rPr>
          <w:rFonts w:ascii="Palatino Linotype" w:hAnsi="Palatino Linotype" w:cs="Arial"/>
          <w:sz w:val="24"/>
          <w:szCs w:val="24"/>
        </w:rPr>
        <w:t>, el cual fue</w:t>
      </w:r>
      <w:r w:rsidRPr="0096643B">
        <w:rPr>
          <w:rFonts w:ascii="Palatino Linotype" w:hAnsi="Palatino Linotype" w:cs="Arial"/>
          <w:sz w:val="24"/>
          <w:szCs w:val="24"/>
        </w:rPr>
        <w:t xml:space="preserve"> registrado</w:t>
      </w:r>
      <w:r w:rsidRPr="0096643B">
        <w:rPr>
          <w:rFonts w:ascii="Palatino Linotype" w:hAnsi="Palatino Linotype" w:cs="Arial"/>
          <w:b/>
          <w:sz w:val="24"/>
          <w:szCs w:val="24"/>
        </w:rPr>
        <w:t xml:space="preserve"> </w:t>
      </w:r>
      <w:r w:rsidRPr="0096643B">
        <w:rPr>
          <w:rFonts w:ascii="Palatino Linotype" w:hAnsi="Palatino Linotype" w:cs="Arial"/>
          <w:sz w:val="24"/>
          <w:szCs w:val="24"/>
        </w:rPr>
        <w:t xml:space="preserve">en el sistema electrónico con el expediente número </w:t>
      </w:r>
      <w:r w:rsidR="006200A2">
        <w:rPr>
          <w:rFonts w:ascii="Palatino Linotype" w:hAnsi="Palatino Linotype" w:cs="Arial"/>
          <w:b/>
          <w:bCs/>
          <w:sz w:val="24"/>
          <w:szCs w:val="24"/>
          <w:lang w:eastAsia="es-MX"/>
        </w:rPr>
        <w:t>0</w:t>
      </w:r>
      <w:r w:rsidR="001501D2">
        <w:rPr>
          <w:rFonts w:ascii="Palatino Linotype" w:hAnsi="Palatino Linotype" w:cs="Arial"/>
          <w:b/>
          <w:bCs/>
          <w:sz w:val="24"/>
          <w:szCs w:val="24"/>
          <w:lang w:eastAsia="es-MX"/>
        </w:rPr>
        <w:t>3040</w:t>
      </w:r>
      <w:r w:rsidR="00D41F41">
        <w:rPr>
          <w:rFonts w:ascii="Palatino Linotype" w:hAnsi="Palatino Linotype" w:cs="Arial"/>
          <w:b/>
          <w:bCs/>
          <w:sz w:val="24"/>
          <w:szCs w:val="24"/>
          <w:lang w:eastAsia="es-MX"/>
        </w:rPr>
        <w:t>/INFOEM/IP/RR/2019</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E15E85" w:rsidRDefault="00E15E85" w:rsidP="00E15E85">
      <w:pPr>
        <w:spacing w:before="240"/>
        <w:jc w:val="both"/>
        <w:rPr>
          <w:rFonts w:ascii="Palatino Linotype" w:hAnsi="Palatino Linotype" w:cs="Arial"/>
          <w:b/>
          <w:sz w:val="24"/>
        </w:rPr>
      </w:pPr>
      <w:r>
        <w:rPr>
          <w:rFonts w:ascii="Palatino Linotype" w:hAnsi="Palatino Linotype" w:cs="Arial"/>
          <w:b/>
          <w:sz w:val="24"/>
        </w:rPr>
        <w:t>Acto Impugnado:</w:t>
      </w:r>
    </w:p>
    <w:p w:rsidR="00E15E85" w:rsidRPr="00A435E2" w:rsidRDefault="00E15E85" w:rsidP="00E15E85">
      <w:pPr>
        <w:ind w:left="851" w:right="850"/>
        <w:jc w:val="both"/>
        <w:rPr>
          <w:rFonts w:ascii="Palatino Linotype" w:hAnsi="Palatino Linotype"/>
          <w:i/>
          <w:color w:val="000000"/>
        </w:rPr>
      </w:pPr>
      <w:r w:rsidRPr="00A435E2">
        <w:rPr>
          <w:rFonts w:ascii="Palatino Linotype" w:hAnsi="Palatino Linotype"/>
          <w:i/>
          <w:color w:val="000000"/>
        </w:rPr>
        <w:t>“</w:t>
      </w:r>
      <w:r w:rsidR="001501D2" w:rsidRPr="001501D2">
        <w:rPr>
          <w:rFonts w:ascii="Palatino Linotype" w:hAnsi="Palatino Linotype"/>
          <w:i/>
          <w:color w:val="000000"/>
        </w:rPr>
        <w:t>La falta de respuesta, total evasión a la pregunta de la solicitud de transparencia.</w:t>
      </w:r>
      <w:r w:rsidR="00875499" w:rsidRPr="00875499">
        <w:rPr>
          <w:rFonts w:ascii="Palatino Linotype" w:hAnsi="Palatino Linotype"/>
          <w:i/>
          <w:color w:val="000000"/>
        </w:rPr>
        <w:t>"</w:t>
      </w:r>
      <w:r w:rsidR="003474F2">
        <w:rPr>
          <w:rFonts w:ascii="Palatino Linotype" w:hAnsi="Palatino Linotype"/>
          <w:i/>
          <w:color w:val="000000"/>
        </w:rPr>
        <w:t>[S</w:t>
      </w:r>
      <w:r w:rsidRPr="00A435E2">
        <w:rPr>
          <w:rFonts w:ascii="Palatino Linotype" w:hAnsi="Palatino Linotype"/>
          <w:i/>
          <w:color w:val="000000"/>
        </w:rPr>
        <w:t>ic]</w:t>
      </w:r>
    </w:p>
    <w:p w:rsidR="00E15E85" w:rsidRDefault="00E15E85" w:rsidP="00E15E85">
      <w:pPr>
        <w:spacing w:before="240"/>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rsidR="00E15E85" w:rsidRDefault="00E15E85" w:rsidP="00E15E85">
      <w:pPr>
        <w:ind w:left="851" w:right="850"/>
        <w:jc w:val="both"/>
        <w:rPr>
          <w:rFonts w:ascii="Palatino Linotype" w:hAnsi="Palatino Linotype" w:cs="Arial"/>
          <w:i/>
        </w:rPr>
      </w:pPr>
      <w:r w:rsidRPr="004469D5">
        <w:rPr>
          <w:rFonts w:ascii="Palatino Linotype" w:hAnsi="Palatino Linotype" w:cs="Arial"/>
          <w:i/>
        </w:rPr>
        <w:t>“</w:t>
      </w:r>
      <w:r w:rsidR="001501D2" w:rsidRPr="001501D2">
        <w:rPr>
          <w:rFonts w:ascii="Palatino Linotype" w:hAnsi="Palatino Linotype" w:cs="Arial"/>
          <w:i/>
        </w:rPr>
        <w:t>Como lo estipula el manual general de organización de la secretaria de Finanzas del Gobierno del Estado de México, esta organiza los concursos escalafonarios de los servidores público generales a través de la Subdirección de Escalafón, claro que tienen la información solicitada. Tengo derecho a conocer por que la plaza 207101683 que salio desierta en la comvocatoria SEDAGRO-056-19 (np 7, pag. 2) por que la candidata 998166966 MONROY CASASOLA STEPHANIE NO APROBÓ el examen, no salio publicada en la convocatoria general GEM-048-19, La SECRRTARÍA DE FINANZAS edomex tiene lo medios a través de la Direccion General de Personal utilizando el SIIP, Sistema que tambien administran, para que vean quien ocupa la plaza en mension Y LA OBLIGACION DE DAR UNA RESPUESTA CONTUNDENTE</w:t>
      </w:r>
      <w:r w:rsidR="00940EBE" w:rsidRPr="00940EBE">
        <w:rPr>
          <w:rFonts w:ascii="Palatino Linotype" w:hAnsi="Palatino Linotype" w:cs="Arial"/>
          <w:i/>
        </w:rPr>
        <w:t>.</w:t>
      </w:r>
      <w:r w:rsidRPr="004469D5">
        <w:rPr>
          <w:rFonts w:ascii="Palatino Linotype" w:hAnsi="Palatino Linotype" w:cs="Arial"/>
          <w:i/>
        </w:rPr>
        <w:t>”</w:t>
      </w:r>
      <w:r w:rsidR="00527856" w:rsidRPr="004469D5">
        <w:rPr>
          <w:rFonts w:ascii="Palatino Linotype" w:hAnsi="Palatino Linotype" w:cs="Arial"/>
          <w:i/>
        </w:rPr>
        <w:t xml:space="preserve"> [</w:t>
      </w:r>
      <w:r w:rsidR="003474F2">
        <w:rPr>
          <w:rFonts w:ascii="Palatino Linotype" w:hAnsi="Palatino Linotype" w:cs="Arial"/>
          <w:i/>
        </w:rPr>
        <w:t>S</w:t>
      </w:r>
      <w:r w:rsidRPr="004469D5">
        <w:rPr>
          <w:rFonts w:ascii="Palatino Linotype" w:hAnsi="Palatino Linotype" w:cs="Arial"/>
          <w:i/>
        </w:rPr>
        <w:t>ic]</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rsidR="00E15E85" w:rsidRDefault="00E15E85" w:rsidP="00E15E85">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 la Comisionada </w:t>
      </w:r>
      <w:r>
        <w:rPr>
          <w:rFonts w:ascii="Palatino Linotype" w:hAnsi="Palatino Linotype" w:cs="Arial"/>
          <w:b/>
          <w:sz w:val="24"/>
          <w:szCs w:val="24"/>
        </w:rPr>
        <w:t>Zulema Martínez Sánchez</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w:t>
      </w:r>
      <w:r>
        <w:rPr>
          <w:rFonts w:ascii="Palatino Linotype" w:hAnsi="Palatino Linotype" w:cs="Arial"/>
          <w:sz w:val="24"/>
          <w:szCs w:val="24"/>
        </w:rPr>
        <w:lastRenderedPageBreak/>
        <w:t>Municipios, del cual reca</w:t>
      </w:r>
      <w:r w:rsidR="002902D7">
        <w:rPr>
          <w:rFonts w:ascii="Palatino Linotype" w:hAnsi="Palatino Linotype" w:cs="Arial"/>
          <w:sz w:val="24"/>
          <w:szCs w:val="24"/>
        </w:rPr>
        <w:t xml:space="preserve">yó acuerdo de admisión en fecha </w:t>
      </w:r>
      <w:r w:rsidR="001501D2">
        <w:rPr>
          <w:rFonts w:ascii="Palatino Linotype" w:hAnsi="Palatino Linotype" w:cs="Arial"/>
          <w:sz w:val="24"/>
          <w:szCs w:val="24"/>
        </w:rPr>
        <w:t>treinta de abril</w:t>
      </w:r>
      <w:r w:rsidR="00D41F41">
        <w:rPr>
          <w:rFonts w:ascii="Palatino Linotype" w:hAnsi="Palatino Linotype" w:cs="Arial"/>
          <w:sz w:val="24"/>
          <w:szCs w:val="24"/>
        </w:rPr>
        <w:t xml:space="preserve"> </w:t>
      </w:r>
      <w:r>
        <w:rPr>
          <w:rFonts w:ascii="Palatino Linotype" w:hAnsi="Palatino Linotype" w:cs="Arial"/>
          <w:sz w:val="24"/>
          <w:szCs w:val="24"/>
        </w:rPr>
        <w:t>de la presente anualidad, determinándose en él, un plazo de siete días para que las partes manifestaran lo que a su derecho corresponda en términos del numeral ya citado.</w:t>
      </w:r>
    </w:p>
    <w:p w:rsidR="00E15E85" w:rsidRDefault="00E15E85" w:rsidP="00E15E85">
      <w:pPr>
        <w:spacing w:before="240" w:line="360" w:lineRule="auto"/>
        <w:jc w:val="both"/>
        <w:rPr>
          <w:rFonts w:ascii="Palatino Linotype" w:hAnsi="Palatino Linotype" w:cs="Arial"/>
          <w:b/>
          <w:sz w:val="24"/>
          <w:szCs w:val="24"/>
        </w:rPr>
      </w:pPr>
      <w:r>
        <w:rPr>
          <w:rFonts w:ascii="Palatino Linotype" w:hAnsi="Palatino Linotype" w:cs="Arial"/>
          <w:b/>
          <w:sz w:val="28"/>
        </w:rPr>
        <w:t>QUINTO</w:t>
      </w:r>
      <w:r w:rsidRPr="008551ED">
        <w:rPr>
          <w:rFonts w:ascii="Palatino Linotype" w:hAnsi="Palatino Linotype" w:cs="Arial"/>
          <w:b/>
          <w:sz w:val="24"/>
          <w:szCs w:val="24"/>
        </w:rPr>
        <w:t>.</w:t>
      </w:r>
      <w:r>
        <w:rPr>
          <w:rFonts w:ascii="Palatino Linotype" w:hAnsi="Palatino Linotype" w:cs="Arial"/>
          <w:b/>
          <w:sz w:val="24"/>
          <w:szCs w:val="24"/>
        </w:rPr>
        <w:t xml:space="preserve"> </w:t>
      </w:r>
      <w:r w:rsidRPr="0087163A">
        <w:rPr>
          <w:rFonts w:ascii="Palatino Linotype" w:hAnsi="Palatino Linotype" w:cs="Arial"/>
          <w:b/>
          <w:sz w:val="28"/>
          <w:szCs w:val="28"/>
        </w:rPr>
        <w:t>De la etapa de instrucción.</w:t>
      </w:r>
    </w:p>
    <w:p w:rsidR="002606F0" w:rsidRDefault="00E15E85" w:rsidP="00E15E85">
      <w:pPr>
        <w:spacing w:before="240" w:line="360" w:lineRule="auto"/>
        <w:jc w:val="both"/>
        <w:rPr>
          <w:rFonts w:ascii="Palatino Linotype" w:hAnsi="Palatino Linotype" w:cs="Arial"/>
          <w:sz w:val="24"/>
          <w:szCs w:val="24"/>
        </w:rPr>
      </w:pPr>
      <w:r w:rsidRPr="00A4009B">
        <w:rPr>
          <w:rFonts w:ascii="Palatino Linotype" w:hAnsi="Palatino Linotype" w:cs="Arial"/>
          <w:sz w:val="24"/>
          <w:szCs w:val="24"/>
        </w:rPr>
        <w:t xml:space="preserve">Así, </w:t>
      </w:r>
      <w:r>
        <w:rPr>
          <w:rFonts w:ascii="Palatino Linotype" w:hAnsi="Palatino Linotype" w:cs="Arial"/>
          <w:sz w:val="24"/>
          <w:szCs w:val="24"/>
        </w:rPr>
        <w:t>una vez abierta la etapa de instrucción</w:t>
      </w:r>
      <w:r w:rsidRPr="003E076B">
        <w:rPr>
          <w:rFonts w:ascii="Palatino Linotype" w:hAnsi="Palatino Linotype" w:cs="Arial"/>
          <w:sz w:val="24"/>
          <w:szCs w:val="24"/>
        </w:rPr>
        <w:t>,</w:t>
      </w:r>
      <w:r>
        <w:rPr>
          <w:rFonts w:ascii="Palatino Linotype" w:hAnsi="Palatino Linotype" w:cs="Arial"/>
          <w:sz w:val="24"/>
          <w:szCs w:val="24"/>
        </w:rPr>
        <w:t xml:space="preserve"> en el sumario </w:t>
      </w:r>
      <w:r w:rsidR="00130D58">
        <w:rPr>
          <w:rFonts w:ascii="Palatino Linotype" w:hAnsi="Palatino Linotype" w:cs="Arial"/>
          <w:sz w:val="24"/>
          <w:szCs w:val="24"/>
        </w:rPr>
        <w:t xml:space="preserve">se observa que el Sujeto Obligado </w:t>
      </w:r>
      <w:r w:rsidR="006200A2">
        <w:rPr>
          <w:rFonts w:ascii="Palatino Linotype" w:hAnsi="Palatino Linotype" w:cs="Arial"/>
          <w:sz w:val="24"/>
          <w:szCs w:val="24"/>
        </w:rPr>
        <w:t xml:space="preserve">en fecha </w:t>
      </w:r>
      <w:r w:rsidR="001501D2">
        <w:rPr>
          <w:rFonts w:ascii="Palatino Linotype" w:hAnsi="Palatino Linotype" w:cs="Arial"/>
          <w:sz w:val="24"/>
          <w:szCs w:val="24"/>
        </w:rPr>
        <w:t>diez</w:t>
      </w:r>
      <w:r w:rsidR="006200A2">
        <w:rPr>
          <w:rFonts w:ascii="Palatino Linotype" w:hAnsi="Palatino Linotype" w:cs="Arial"/>
          <w:sz w:val="24"/>
          <w:szCs w:val="24"/>
        </w:rPr>
        <w:t xml:space="preserve"> de mayo presentó su informe justificado</w:t>
      </w:r>
      <w:r w:rsidR="00DA598F">
        <w:rPr>
          <w:rFonts w:ascii="Palatino Linotype" w:hAnsi="Palatino Linotype" w:cs="Arial"/>
          <w:sz w:val="24"/>
          <w:szCs w:val="24"/>
        </w:rPr>
        <w:t>; a</w:t>
      </w:r>
      <w:r w:rsidR="002606F0">
        <w:rPr>
          <w:rFonts w:ascii="Palatino Linotype" w:hAnsi="Palatino Linotype" w:cs="Arial"/>
          <w:sz w:val="24"/>
          <w:szCs w:val="24"/>
        </w:rPr>
        <w:t>simismo</w:t>
      </w:r>
      <w:r w:rsidR="00673CFD">
        <w:rPr>
          <w:rFonts w:ascii="Palatino Linotype" w:hAnsi="Palatino Linotype" w:cs="Arial"/>
          <w:sz w:val="24"/>
          <w:szCs w:val="24"/>
        </w:rPr>
        <w:t>,</w:t>
      </w:r>
      <w:r w:rsidR="00527856">
        <w:rPr>
          <w:rFonts w:ascii="Palatino Linotype" w:hAnsi="Palatino Linotype" w:cs="Arial"/>
          <w:sz w:val="24"/>
          <w:szCs w:val="24"/>
        </w:rPr>
        <w:t xml:space="preserve"> </w:t>
      </w:r>
      <w:r w:rsidR="009838CD">
        <w:rPr>
          <w:rFonts w:ascii="Palatino Linotype" w:hAnsi="Palatino Linotype" w:cs="Arial"/>
          <w:sz w:val="24"/>
          <w:szCs w:val="24"/>
        </w:rPr>
        <w:t>habiendo tra</w:t>
      </w:r>
      <w:r w:rsidR="0057576D">
        <w:rPr>
          <w:rFonts w:ascii="Palatino Linotype" w:hAnsi="Palatino Linotype" w:cs="Arial"/>
          <w:sz w:val="24"/>
          <w:szCs w:val="24"/>
        </w:rPr>
        <w:t>n</w:t>
      </w:r>
      <w:r w:rsidR="009838CD">
        <w:rPr>
          <w:rFonts w:ascii="Palatino Linotype" w:hAnsi="Palatino Linotype" w:cs="Arial"/>
          <w:sz w:val="24"/>
          <w:szCs w:val="24"/>
        </w:rPr>
        <w:t>scurrido</w:t>
      </w:r>
      <w:r w:rsidR="00755099">
        <w:rPr>
          <w:rFonts w:ascii="Palatino Linotype" w:hAnsi="Palatino Linotype" w:cs="Arial"/>
          <w:sz w:val="24"/>
          <w:szCs w:val="24"/>
        </w:rPr>
        <w:t xml:space="preserve"> el plazo establecido no se presentó manifestación alguna por parte del recurrente por lo cual en fecha </w:t>
      </w:r>
      <w:r w:rsidR="001501D2">
        <w:rPr>
          <w:rFonts w:ascii="Palatino Linotype" w:hAnsi="Palatino Linotype" w:cs="Arial"/>
          <w:sz w:val="24"/>
          <w:szCs w:val="24"/>
        </w:rPr>
        <w:t>veintiuno</w:t>
      </w:r>
      <w:r w:rsidR="006200A2">
        <w:rPr>
          <w:rFonts w:ascii="Palatino Linotype" w:hAnsi="Palatino Linotype" w:cs="Arial"/>
          <w:sz w:val="24"/>
          <w:szCs w:val="24"/>
        </w:rPr>
        <w:t xml:space="preserve"> de mayo</w:t>
      </w:r>
      <w:r w:rsidR="001C7069">
        <w:rPr>
          <w:rFonts w:ascii="Palatino Linotype" w:hAnsi="Palatino Linotype" w:cs="Arial"/>
          <w:sz w:val="24"/>
          <w:szCs w:val="24"/>
        </w:rPr>
        <w:t xml:space="preserve"> de los corrientes</w:t>
      </w:r>
      <w:r w:rsidR="00755099">
        <w:rPr>
          <w:rFonts w:ascii="Palatino Linotype" w:hAnsi="Palatino Linotype" w:cs="Arial"/>
          <w:sz w:val="24"/>
          <w:szCs w:val="24"/>
        </w:rPr>
        <w:t xml:space="preserve"> se decretó el cierre de instrucción</w:t>
      </w:r>
      <w:r w:rsidRPr="00441A94">
        <w:rPr>
          <w:rFonts w:ascii="Palatino Linotype" w:hAnsi="Palatino Linotype" w:cs="Arial"/>
          <w:sz w:val="24"/>
          <w:szCs w:val="24"/>
        </w:rPr>
        <w:t xml:space="preserve"> en</w:t>
      </w:r>
      <w:r w:rsidRPr="003E076B">
        <w:rPr>
          <w:rFonts w:ascii="Palatino Linotype" w:hAnsi="Palatino Linotype" w:cs="Arial"/>
          <w:sz w:val="24"/>
          <w:szCs w:val="24"/>
        </w:rPr>
        <w:t xml:space="preserve"> términos del artículo 185 </w:t>
      </w:r>
      <w:r>
        <w:rPr>
          <w:rFonts w:ascii="Palatino Linotype" w:hAnsi="Palatino Linotype" w:cs="Arial"/>
          <w:sz w:val="24"/>
          <w:szCs w:val="24"/>
        </w:rPr>
        <w:t>f</w:t>
      </w:r>
      <w:r w:rsidRPr="003E076B">
        <w:rPr>
          <w:rFonts w:ascii="Palatino Linotype" w:hAnsi="Palatino Linotype" w:cs="Arial"/>
          <w:sz w:val="24"/>
          <w:szCs w:val="24"/>
        </w:rPr>
        <w:t>racción VI de la Ley de Transparencia y Acceso a la Información Pública del Estado de México y Municipios, iniciando el término legal para dictar resolución definitiva del asunto.</w:t>
      </w:r>
    </w:p>
    <w:p w:rsidR="00AE2701" w:rsidRDefault="00AE2701" w:rsidP="00AE2701">
      <w:pPr>
        <w:spacing w:before="240" w:after="240" w:line="360" w:lineRule="auto"/>
        <w:jc w:val="both"/>
        <w:rPr>
          <w:rFonts w:ascii="Palatino Linotype" w:hAnsi="Palatino Linotype" w:cs="Arial"/>
          <w:sz w:val="24"/>
          <w:szCs w:val="24"/>
        </w:rPr>
      </w:pPr>
      <w:r w:rsidRPr="00992035">
        <w:rPr>
          <w:rFonts w:ascii="Palatino Linotype" w:hAnsi="Palatino Linotype" w:cs="Arial"/>
          <w:sz w:val="24"/>
          <w:szCs w:val="24"/>
        </w:rPr>
        <w:t xml:space="preserve">Así también, en fecha </w:t>
      </w:r>
      <w:r w:rsidR="001501D2">
        <w:rPr>
          <w:rFonts w:ascii="Palatino Linotype" w:hAnsi="Palatino Linotype" w:cs="Arial"/>
          <w:sz w:val="24"/>
          <w:szCs w:val="24"/>
        </w:rPr>
        <w:t>trece</w:t>
      </w:r>
      <w:r w:rsidR="006200A2">
        <w:rPr>
          <w:rFonts w:ascii="Palatino Linotype" w:hAnsi="Palatino Linotype" w:cs="Arial"/>
          <w:sz w:val="24"/>
          <w:szCs w:val="24"/>
        </w:rPr>
        <w:t xml:space="preserve"> de junio</w:t>
      </w:r>
      <w:r w:rsidRPr="00992035">
        <w:rPr>
          <w:rFonts w:ascii="Palatino Linotype" w:hAnsi="Palatino Linotype" w:cs="Arial"/>
          <w:sz w:val="24"/>
          <w:szCs w:val="24"/>
        </w:rPr>
        <w:t xml:space="preserve"> de dos mil diecinueve este órgano garante con fundamento en el artículo 181 párrafo tercero de la Ley de Transparencia de la entidad, declaro la ampliación de término para resolver el recurso de revisión por un plazo de quince días hábiles.</w:t>
      </w:r>
    </w:p>
    <w:p w:rsidR="00940EBE" w:rsidRDefault="00940EBE" w:rsidP="00E15E85">
      <w:pPr>
        <w:spacing w:before="240" w:line="360" w:lineRule="auto"/>
        <w:jc w:val="both"/>
        <w:rPr>
          <w:rFonts w:ascii="Palatino Linotype" w:hAnsi="Palatino Linotype" w:cs="Arial"/>
          <w:sz w:val="24"/>
          <w:szCs w:val="24"/>
        </w:rPr>
      </w:pPr>
    </w:p>
    <w:p w:rsidR="00E15E85" w:rsidRDefault="00E15E85" w:rsidP="00E15E85">
      <w:pPr>
        <w:spacing w:before="240" w:line="360" w:lineRule="auto"/>
        <w:jc w:val="center"/>
        <w:rPr>
          <w:rFonts w:ascii="Palatino Linotype" w:hAnsi="Palatino Linotype" w:cs="Arial"/>
          <w:b/>
          <w:sz w:val="24"/>
        </w:rPr>
      </w:pPr>
      <w:r w:rsidRPr="00A60134">
        <w:rPr>
          <w:rFonts w:ascii="Palatino Linotype" w:hAnsi="Palatino Linotype" w:cs="Arial"/>
          <w:b/>
          <w:sz w:val="24"/>
        </w:rPr>
        <w:t>C O N S I D E R A N D O</w:t>
      </w:r>
      <w:r w:rsidRPr="00311A15">
        <w:rPr>
          <w:rFonts w:ascii="Palatino Linotype" w:hAnsi="Palatino Linotype" w:cs="Arial"/>
          <w:b/>
          <w:sz w:val="24"/>
        </w:rPr>
        <w:t xml:space="preserve"> </w:t>
      </w:r>
    </w:p>
    <w:p w:rsidR="00E15E85" w:rsidRPr="00911081"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b/>
          <w:sz w:val="28"/>
        </w:rPr>
        <w:t>PRIMERO.</w:t>
      </w:r>
      <w:r w:rsidRPr="00911081">
        <w:rPr>
          <w:rFonts w:ascii="Palatino Linotype" w:hAnsi="Palatino Linotype" w:cs="Arial"/>
          <w:b/>
        </w:rPr>
        <w:t xml:space="preserve"> </w:t>
      </w:r>
      <w:r w:rsidRPr="00911081">
        <w:rPr>
          <w:rFonts w:ascii="Palatino Linotype" w:hAnsi="Palatino Linotype" w:cs="Arial"/>
          <w:b/>
          <w:sz w:val="28"/>
          <w:szCs w:val="28"/>
        </w:rPr>
        <w:t>De la competencia</w:t>
      </w:r>
      <w:r w:rsidRPr="00911081">
        <w:rPr>
          <w:rFonts w:ascii="Palatino Linotype" w:hAnsi="Palatino Linotype" w:cs="Arial"/>
          <w:sz w:val="28"/>
          <w:szCs w:val="28"/>
        </w:rPr>
        <w:t>.</w:t>
      </w:r>
    </w:p>
    <w:p w:rsidR="00E15E85" w:rsidRDefault="00E15E85" w:rsidP="00E15E85">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w:t>
      </w:r>
      <w:r w:rsidRPr="00911081">
        <w:rPr>
          <w:rFonts w:ascii="Palatino Linotype" w:hAnsi="Palatino Linotype" w:cs="Arial"/>
          <w:sz w:val="24"/>
        </w:rPr>
        <w:lastRenderedPageBreak/>
        <w:t xml:space="preserve">recurso de revisión interpuesto por </w:t>
      </w:r>
      <w:r w:rsidR="00D41F41">
        <w:rPr>
          <w:rFonts w:ascii="Palatino Linotype" w:hAnsi="Palatino Linotype" w:cs="Arial"/>
          <w:b/>
          <w:sz w:val="24"/>
        </w:rPr>
        <w:t>la</w:t>
      </w:r>
      <w:r>
        <w:rPr>
          <w:rFonts w:ascii="Palatino Linotype" w:hAnsi="Palatino Linotype" w:cs="Arial"/>
          <w:b/>
          <w:sz w:val="24"/>
        </w:rPr>
        <w:t xml:space="preserve"> 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w:t>
      </w:r>
      <w:r w:rsidR="00AA2CB1">
        <w:rPr>
          <w:rFonts w:ascii="Palatino Linotype" w:hAnsi="Palatino Linotype" w:cs="Arial"/>
          <w:sz w:val="24"/>
        </w:rPr>
        <w:t xml:space="preserve">1, párrafos segundo y tercero, </w:t>
      </w:r>
      <w:r w:rsidRPr="00025A37">
        <w:rPr>
          <w:rFonts w:ascii="Palatino Linotype" w:hAnsi="Palatino Linotype" w:cs="Arial"/>
          <w:sz w:val="24"/>
        </w:rPr>
        <w:t xml:space="preserve">6, apartado A, </w:t>
      </w:r>
      <w:r w:rsidR="00AA2CB1" w:rsidRPr="00025A37">
        <w:rPr>
          <w:rFonts w:ascii="Palatino Linotype" w:hAnsi="Palatino Linotype" w:cs="Arial"/>
          <w:sz w:val="24"/>
        </w:rPr>
        <w:t>fraccion</w:t>
      </w:r>
      <w:r w:rsidR="00AA2CB1">
        <w:rPr>
          <w:rFonts w:ascii="Palatino Linotype" w:hAnsi="Palatino Linotype" w:cs="Arial"/>
          <w:sz w:val="24"/>
        </w:rPr>
        <w:t>es I, III y</w:t>
      </w:r>
      <w:r w:rsidRPr="00025A37">
        <w:rPr>
          <w:rFonts w:ascii="Palatino Linotype" w:hAnsi="Palatino Linotype" w:cs="Arial"/>
          <w:sz w:val="24"/>
        </w:rPr>
        <w:t xml:space="preserve"> IV de la Constitución Política de los Estados Unidos Mexicanos, 5, párrafos </w:t>
      </w:r>
      <w:r w:rsidR="004C3693">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 xml:space="preserve">36 fracciones II y III, 176, 178, </w:t>
      </w:r>
      <w:r w:rsidRPr="0077680C">
        <w:rPr>
          <w:rFonts w:ascii="Palatino Linotype" w:hAnsi="Palatino Linotype" w:cs="Arial"/>
          <w:sz w:val="24"/>
          <w:szCs w:val="24"/>
        </w:rPr>
        <w:t xml:space="preserve">179 fracción </w:t>
      </w:r>
      <w:r w:rsidR="0077680C" w:rsidRPr="0077680C">
        <w:rPr>
          <w:rFonts w:ascii="Palatino Linotype" w:hAnsi="Palatino Linotype" w:cs="Arial"/>
          <w:sz w:val="24"/>
          <w:szCs w:val="24"/>
        </w:rPr>
        <w:t>V</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E15E85" w:rsidRDefault="00E15E85" w:rsidP="00E15E8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En el procedimiento de acceso a la información y de los medios de impugnación de la materia, se advierten diversos supuestos de procedibilidad que deben estudiarse con la finalidad de dar cumplimiento a los principios de legalidad y objetividad inmersos </w:t>
      </w:r>
      <w:r>
        <w:rPr>
          <w:rFonts w:ascii="Palatino Linotype" w:hAnsi="Palatino Linotype" w:cs="Arial"/>
        </w:rPr>
        <w:lastRenderedPageBreak/>
        <w:t xml:space="preserve">en el artículo 9 de </w:t>
      </w:r>
      <w:r w:rsidRPr="00025A37">
        <w:rPr>
          <w:rFonts w:ascii="Palatino Linotype" w:hAnsi="Palatino Linotype" w:cs="Arial"/>
        </w:rPr>
        <w:t>Ley de Transparencia y Acceso a la Información Pública del Estado de México y Municipios</w:t>
      </w:r>
      <w:r>
        <w:rPr>
          <w:rFonts w:ascii="Palatino Linotype" w:hAnsi="Palatino Linotype" w:cs="Arial"/>
        </w:rPr>
        <w:t>, en correlación con la seguridad jurídica que debe generar lo actuado ante este Organismo garante.</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Siendo una facultad legal entrar al estudio de las causas de improcedencia que hagan valer las partes o que se adviertan de oficio por este Resolutor y por ende objeto de análisis previo al estudio de fondo del asunto; presupuestos procesales de inicio o trámite de un proceso, dotando de seguridad jurídica las resoluciones, máxime que se trata de una figura procesal adoptada en la ley de la materia, la cual permite dilucidar alguna causal que impida el estudio y resolución, cuando una vez admitido el recurso de revisión se advierta una causa de improcedencia que permita sobreseerlo, sin estudiar el fondo del asunto.</w:t>
      </w:r>
    </w:p>
    <w:p w:rsidR="00653B08" w:rsidRDefault="00653B08" w:rsidP="006200A2">
      <w:pPr>
        <w:pStyle w:val="Prrafodelista"/>
        <w:autoSpaceDE w:val="0"/>
        <w:autoSpaceDN w:val="0"/>
        <w:adjustRightInd w:val="0"/>
        <w:spacing w:before="240" w:after="240" w:line="360" w:lineRule="auto"/>
        <w:ind w:left="0"/>
        <w:jc w:val="both"/>
        <w:rPr>
          <w:rFonts w:ascii="Palatino Linotype" w:hAnsi="Palatino Linotype" w:cs="Arial"/>
        </w:rPr>
      </w:pPr>
      <w:r>
        <w:rPr>
          <w:rFonts w:ascii="Palatino Linotype" w:hAnsi="Palatino Linotype" w:cs="Arial"/>
        </w:rPr>
        <w:t>Estudio oficioso o a petición de parte que no son incompatibles con el derecho de acceso a la justicia, ya que éste no se coarta por regular causas de improcedencia y sobreseimiento con tales fines</w:t>
      </w:r>
      <w:r>
        <w:rPr>
          <w:rStyle w:val="Refdenotaalpie"/>
          <w:rFonts w:ascii="Palatino Linotype" w:hAnsi="Palatino Linotype" w:cs="Arial"/>
        </w:rPr>
        <w:footnoteReference w:id="1"/>
      </w:r>
      <w:r>
        <w:rPr>
          <w:rFonts w:ascii="Palatino Linotype" w:hAnsi="Palatino Linotype" w:cs="Arial"/>
        </w:rPr>
        <w:t>.</w:t>
      </w:r>
    </w:p>
    <w:p w:rsidR="00653B08" w:rsidRDefault="00653B08" w:rsidP="00653B0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w:t>
      </w:r>
      <w:r w:rsidR="006200A2">
        <w:rPr>
          <w:rFonts w:ascii="Palatino Linotype" w:hAnsi="Palatino Linotype" w:cs="Arial"/>
        </w:rPr>
        <w:t>inos del considerando posterior</w:t>
      </w:r>
      <w:r w:rsidR="00AC5FA1">
        <w:rPr>
          <w:rFonts w:ascii="Palatino Linotype" w:hAnsi="Palatino Linotype" w:cs="Arial"/>
        </w:rPr>
        <w:t>.</w:t>
      </w:r>
    </w:p>
    <w:p w:rsidR="00653B08" w:rsidRPr="008C3CD8" w:rsidRDefault="00653B08" w:rsidP="00653B08">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653B08" w:rsidRPr="009572B3" w:rsidRDefault="00653B08" w:rsidP="00BC1A3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análisis</w:t>
      </w:r>
      <w:r w:rsidRPr="00E42C3F">
        <w:rPr>
          <w:rFonts w:ascii="Palatino Linotype" w:hAnsi="Palatino Linotype" w:cs="Arial"/>
        </w:rPr>
        <w:t xml:space="preserve"> del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y demás leyes aplicables en la materia, así como en los tratados internacionales en los que el Estado Mexicano sea parte, en concordancia con el párrafo tercero del artículo 1 de la Constitución Federal y el diverso 8 de la Ley de Transparencia local.</w:t>
      </w:r>
    </w:p>
    <w:p w:rsidR="00D15363" w:rsidRPr="00985E6C" w:rsidRDefault="00985E6C" w:rsidP="00D22632">
      <w:pPr>
        <w:spacing w:before="240" w:line="360" w:lineRule="auto"/>
        <w:jc w:val="both"/>
        <w:rPr>
          <w:rFonts w:ascii="Palatino Linotype" w:hAnsi="Palatino Linotype" w:cs="Arial"/>
          <w:color w:val="000000" w:themeColor="text1"/>
          <w:sz w:val="24"/>
          <w:szCs w:val="24"/>
        </w:rPr>
      </w:pPr>
      <w:r w:rsidRPr="00985E6C">
        <w:rPr>
          <w:rFonts w:ascii="Palatino Linotype" w:hAnsi="Palatino Linotype" w:cs="Arial"/>
          <w:color w:val="000000" w:themeColor="text1"/>
          <w:sz w:val="24"/>
          <w:szCs w:val="24"/>
        </w:rPr>
        <w:t>Así pues</w:t>
      </w:r>
      <w:r>
        <w:rPr>
          <w:rFonts w:ascii="Palatino Linotype" w:hAnsi="Palatino Linotype" w:cs="Arial"/>
          <w:color w:val="000000" w:themeColor="text1"/>
          <w:sz w:val="24"/>
          <w:szCs w:val="24"/>
        </w:rPr>
        <w:t xml:space="preserve">, en primer </w:t>
      </w:r>
      <w:r w:rsidR="0035101A">
        <w:rPr>
          <w:rFonts w:ascii="Palatino Linotype" w:hAnsi="Palatino Linotype" w:cs="Arial"/>
          <w:color w:val="000000" w:themeColor="text1"/>
          <w:sz w:val="24"/>
          <w:szCs w:val="24"/>
        </w:rPr>
        <w:t>término,</w:t>
      </w:r>
      <w:r>
        <w:rPr>
          <w:rFonts w:ascii="Palatino Linotype" w:hAnsi="Palatino Linotype" w:cs="Arial"/>
          <w:color w:val="000000" w:themeColor="text1"/>
          <w:sz w:val="24"/>
          <w:szCs w:val="24"/>
        </w:rPr>
        <w:t xml:space="preserve"> es de mencionar que el hoy recurrente tuvo a bien solicitar información en el tenor siguiente:</w:t>
      </w:r>
    </w:p>
    <w:p w:rsidR="006200A2" w:rsidRDefault="00DD0F9F" w:rsidP="006200A2">
      <w:pPr>
        <w:pStyle w:val="Prrafodelista"/>
        <w:numPr>
          <w:ilvl w:val="0"/>
          <w:numId w:val="31"/>
        </w:numPr>
        <w:spacing w:before="240" w:after="240" w:line="360" w:lineRule="auto"/>
        <w:jc w:val="both"/>
        <w:rPr>
          <w:rFonts w:ascii="Palatino Linotype" w:hAnsi="Palatino Linotype"/>
          <w:color w:val="000000"/>
        </w:rPr>
      </w:pPr>
      <w:r>
        <w:rPr>
          <w:rFonts w:ascii="Palatino Linotype" w:hAnsi="Palatino Linotype"/>
          <w:color w:val="000000"/>
        </w:rPr>
        <w:t>S</w:t>
      </w:r>
      <w:r w:rsidR="00E738B6" w:rsidRPr="00E738B6">
        <w:rPr>
          <w:rFonts w:ascii="Palatino Linotype" w:hAnsi="Palatino Linotype"/>
          <w:color w:val="000000"/>
        </w:rPr>
        <w:t>aber por qué la plaza 207101683 (</w:t>
      </w:r>
      <w:r w:rsidR="00E738B6">
        <w:rPr>
          <w:rFonts w:ascii="Palatino Linotype" w:hAnsi="Palatino Linotype"/>
          <w:color w:val="000000"/>
        </w:rPr>
        <w:t>s</w:t>
      </w:r>
      <w:r w:rsidR="00E738B6" w:rsidRPr="00E738B6">
        <w:rPr>
          <w:rFonts w:ascii="Palatino Linotype" w:hAnsi="Palatino Linotype"/>
          <w:color w:val="000000"/>
        </w:rPr>
        <w:t xml:space="preserve">edagro), que quedó desierta por que la participante 998166966 no aprobó el examen, no </w:t>
      </w:r>
      <w:r w:rsidRPr="00E738B6">
        <w:rPr>
          <w:rFonts w:ascii="Palatino Linotype" w:hAnsi="Palatino Linotype"/>
          <w:color w:val="000000"/>
        </w:rPr>
        <w:t>salió</w:t>
      </w:r>
      <w:r w:rsidR="00E738B6" w:rsidRPr="00E738B6">
        <w:rPr>
          <w:rFonts w:ascii="Palatino Linotype" w:hAnsi="Palatino Linotype"/>
          <w:color w:val="000000"/>
        </w:rPr>
        <w:t xml:space="preserve"> en el concurso escalafonario gem-48-2019</w:t>
      </w:r>
      <w:r w:rsidR="006200A2">
        <w:rPr>
          <w:rFonts w:ascii="Palatino Linotype" w:hAnsi="Palatino Linotype"/>
          <w:color w:val="000000"/>
        </w:rPr>
        <w:t>.</w:t>
      </w:r>
    </w:p>
    <w:p w:rsidR="006200A2" w:rsidRPr="006200A2" w:rsidRDefault="00DD0F9F" w:rsidP="006200A2">
      <w:pPr>
        <w:pStyle w:val="Prrafodelista"/>
        <w:numPr>
          <w:ilvl w:val="0"/>
          <w:numId w:val="31"/>
        </w:numPr>
        <w:spacing w:before="240" w:after="240" w:line="360" w:lineRule="auto"/>
        <w:jc w:val="both"/>
        <w:rPr>
          <w:rFonts w:ascii="Palatino Linotype" w:hAnsi="Palatino Linotype"/>
          <w:color w:val="000000"/>
        </w:rPr>
      </w:pPr>
      <w:r>
        <w:rPr>
          <w:rFonts w:ascii="Palatino Linotype" w:hAnsi="Palatino Linotype"/>
          <w:color w:val="000000"/>
        </w:rPr>
        <w:t>S</w:t>
      </w:r>
      <w:r w:rsidRPr="00DD0F9F">
        <w:rPr>
          <w:rFonts w:ascii="Palatino Linotype" w:hAnsi="Palatino Linotype"/>
          <w:color w:val="000000"/>
        </w:rPr>
        <w:t xml:space="preserve">aber si dar la plaza al candidato que no aprobó la evaluación escalafonaria viola los principios rectores del servicio público: la legalidad, objetividad, </w:t>
      </w:r>
      <w:r w:rsidRPr="00DD0F9F">
        <w:rPr>
          <w:rFonts w:ascii="Palatino Linotype" w:hAnsi="Palatino Linotype"/>
          <w:color w:val="000000"/>
        </w:rPr>
        <w:lastRenderedPageBreak/>
        <w:t>profesionalismo, honradez, lealtad, imparcialidad, eficiencia, eficacia, equidad, transparencia, economía, integridad, competencia por mérito y rendición de cuentas, en los términos de las disposiciones legales aplicables. Los entes públicos están, obligados a crear y mantener condiciones estructurales y normativas que permitan el adecuado funcionamiento del Estado en su conjunto y la actuación ética y responsable de cada servidor público; de la LEY DEL SISTEMA ANTICORRUPCIÓN DEL ESTADO DE MÉXICO Y MUNICIPIOS. cabe destacar que ustedes pueden consultar en el sistema de fump electrónico que esa plaza ya está ocupada</w:t>
      </w:r>
      <w:r w:rsidR="006200A2">
        <w:rPr>
          <w:rFonts w:ascii="Palatino Linotype" w:hAnsi="Palatino Linotype"/>
          <w:color w:val="000000"/>
        </w:rPr>
        <w:t>.</w:t>
      </w:r>
    </w:p>
    <w:p w:rsidR="00DD0F9F" w:rsidRDefault="00DD0F9F" w:rsidP="00AE1180">
      <w:pPr>
        <w:spacing w:line="360" w:lineRule="auto"/>
        <w:jc w:val="both"/>
        <w:rPr>
          <w:rFonts w:ascii="Palatino Linotype" w:hAnsi="Palatino Linotype" w:cs="Arial"/>
          <w:sz w:val="24"/>
        </w:rPr>
      </w:pPr>
      <w:r>
        <w:rPr>
          <w:rFonts w:ascii="Palatino Linotype" w:hAnsi="Palatino Linotype" w:cs="Arial"/>
          <w:sz w:val="24"/>
        </w:rPr>
        <w:t xml:space="preserve">En ese sentido, debemos recordar que el sujeto obligado  mediante oficio 20706004000100S-158/2019, dio respuesta a la solicitud de información </w:t>
      </w:r>
      <w:r w:rsidR="00343929">
        <w:rPr>
          <w:rFonts w:ascii="Palatino Linotype" w:hAnsi="Palatino Linotype" w:cs="Arial"/>
          <w:sz w:val="24"/>
        </w:rPr>
        <w:t xml:space="preserve">aludiendo que de acuerdo con el criterio emitido por este Instituto el 1 de marzo de 2017, dentro del recurso de revisión 00150/INFOEM/IP/RR/2017, el derecho de acceso a la información consiste en la prerrogativa encaminada, primordialmente, a permitir a toda persona el acceso a datos, registros y a todo tipo de información </w:t>
      </w:r>
      <w:r w:rsidR="00D34EB2">
        <w:rPr>
          <w:rFonts w:ascii="Palatino Linotype" w:hAnsi="Palatino Linotype" w:cs="Arial"/>
          <w:sz w:val="24"/>
        </w:rPr>
        <w:t>pública</w:t>
      </w:r>
      <w:r w:rsidR="00343929">
        <w:rPr>
          <w:rFonts w:ascii="Palatino Linotype" w:hAnsi="Palatino Linotype" w:cs="Arial"/>
          <w:sz w:val="24"/>
        </w:rPr>
        <w:t xml:space="preserve"> que conste en documentos, ya sea generada o poseída por el sujeto obligado; por lo que los cuestionamientos formulados por el solicitante no encuadran en la materia de acceso a la información, pues por la forma de plantearlos, pretende obligar a generar un documento específico, lo cual se ubica fuera del marco normativo correspondiente al derecho de acceso a la información pública, no pasando desapercibido este órgano garante que mediante informe justificado el sujeto obligado ratifico su respuesta en todos sus términos.</w:t>
      </w:r>
    </w:p>
    <w:p w:rsidR="00AE1180" w:rsidRPr="008A5D92" w:rsidRDefault="00343929" w:rsidP="00AE1180">
      <w:pPr>
        <w:spacing w:line="360" w:lineRule="auto"/>
        <w:jc w:val="both"/>
        <w:rPr>
          <w:rFonts w:ascii="Palatino Linotype" w:hAnsi="Palatino Linotype" w:cs="Arial"/>
          <w:sz w:val="24"/>
        </w:rPr>
      </w:pPr>
      <w:r>
        <w:rPr>
          <w:rFonts w:ascii="Palatino Linotype" w:hAnsi="Palatino Linotype" w:cs="Arial"/>
          <w:sz w:val="24"/>
        </w:rPr>
        <w:lastRenderedPageBreak/>
        <w:t>Bajo esa premisa, e</w:t>
      </w:r>
      <w:r w:rsidR="00171798">
        <w:rPr>
          <w:rFonts w:ascii="Palatino Linotype" w:hAnsi="Palatino Linotype" w:cs="Arial"/>
          <w:sz w:val="24"/>
        </w:rPr>
        <w:t>n primer lugar</w:t>
      </w:r>
      <w:r w:rsidR="00AE1180" w:rsidRPr="008A5D92">
        <w:rPr>
          <w:rFonts w:ascii="Palatino Linotype" w:hAnsi="Palatino Linotype" w:cs="Arial"/>
          <w:sz w:val="24"/>
        </w:rPr>
        <w:t xml:space="preserv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AE1180" w:rsidRPr="008A5D92" w:rsidRDefault="00AE1180" w:rsidP="00AE1180">
      <w:pPr>
        <w:ind w:left="567" w:right="567"/>
        <w:jc w:val="both"/>
        <w:rPr>
          <w:rFonts w:ascii="Palatino Linotype" w:hAnsi="Palatino Linotype" w:cs="Arial"/>
          <w:i/>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rsidR="00AE1180" w:rsidRPr="008A5D92" w:rsidRDefault="00AE1180" w:rsidP="00AE1180">
      <w:pPr>
        <w:ind w:left="567" w:right="567"/>
        <w:jc w:val="both"/>
        <w:rPr>
          <w:rFonts w:ascii="Palatino Linotype" w:hAnsi="Palatino Linotype" w:cs="Arial"/>
          <w:i/>
          <w:color w:val="000000"/>
          <w:sz w:val="2"/>
        </w:rPr>
      </w:pPr>
    </w:p>
    <w:p w:rsidR="00AE1180" w:rsidRPr="008A5D92" w:rsidRDefault="00AE1180" w:rsidP="00AE1180">
      <w:pPr>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rsidR="00AE1180" w:rsidRPr="00AE1180" w:rsidRDefault="00AE1180" w:rsidP="00AE1180">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rsidR="00AE1180" w:rsidRPr="008A5D92" w:rsidRDefault="00AE1180" w:rsidP="00AE1180">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rsidR="00AE1180" w:rsidRPr="008A5D92" w:rsidRDefault="00AE1180" w:rsidP="00AE1180">
      <w:pPr>
        <w:ind w:left="851" w:right="850"/>
        <w:jc w:val="both"/>
        <w:rPr>
          <w:rFonts w:ascii="Palatino Linotype" w:hAnsi="Palatino Linotype" w:cs="Arial"/>
          <w:color w:val="000000"/>
          <w:sz w:val="2"/>
        </w:rPr>
      </w:pPr>
    </w:p>
    <w:p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w:t>
      </w:r>
      <w:r w:rsidRPr="008A5D92">
        <w:rPr>
          <w:rFonts w:ascii="Palatino Linotype" w:hAnsi="Palatino Linotype" w:cs="Arial"/>
          <w:i/>
          <w:color w:val="000000"/>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AE1180" w:rsidRPr="008A5D92" w:rsidRDefault="00AE1180" w:rsidP="00AE1180">
      <w:pPr>
        <w:ind w:left="567" w:right="567"/>
        <w:jc w:val="both"/>
        <w:rPr>
          <w:rFonts w:ascii="Palatino Linotype" w:hAnsi="Palatino Linotype" w:cs="Arial"/>
          <w:i/>
          <w:color w:val="000000"/>
          <w:sz w:val="2"/>
        </w:rPr>
      </w:pPr>
    </w:p>
    <w:p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rsidR="00AE1180" w:rsidRPr="008A5D92" w:rsidRDefault="00AE1180" w:rsidP="00AE1180">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rsidR="00AE1180" w:rsidRPr="008A5D92" w:rsidRDefault="00AE1180" w:rsidP="00AE1180">
      <w:pPr>
        <w:jc w:val="both"/>
        <w:rPr>
          <w:rFonts w:ascii="Palatino Linotype" w:hAnsi="Palatino Linotype" w:cs="Arial"/>
          <w:sz w:val="16"/>
        </w:rPr>
      </w:pPr>
    </w:p>
    <w:p w:rsidR="00AE1180" w:rsidRPr="008A5D92" w:rsidRDefault="00AE1180" w:rsidP="00AE1180">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AE1180" w:rsidRPr="008A5D92" w:rsidRDefault="00AE1180" w:rsidP="00AE1180">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 xml:space="preserve">podrán estar en cualquier medio, sea escrito, impreso, sonoro, </w:t>
      </w:r>
      <w:r w:rsidRPr="008A5D92">
        <w:rPr>
          <w:rFonts w:ascii="Palatino Linotype" w:hAnsi="Palatino Linotype" w:cs="Arial"/>
          <w:sz w:val="24"/>
        </w:rPr>
        <w:lastRenderedPageBreak/>
        <w:t>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rsidR="00AE1180" w:rsidRPr="008A5D92" w:rsidRDefault="00AE1180" w:rsidP="00AE1180">
      <w:pPr>
        <w:ind w:left="851" w:right="902"/>
        <w:jc w:val="both"/>
        <w:rPr>
          <w:rFonts w:ascii="Palatino Linotype" w:hAnsi="Palatino Linotype" w:cs="Arial"/>
          <w:i/>
          <w:color w:val="000000"/>
          <w:sz w:val="6"/>
        </w:rPr>
      </w:pPr>
    </w:p>
    <w:p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p>
    <w:p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E1180" w:rsidRPr="008A5D92" w:rsidRDefault="00AE1180" w:rsidP="00AE1180">
      <w:pPr>
        <w:ind w:left="567" w:right="567"/>
        <w:jc w:val="both"/>
        <w:rPr>
          <w:rFonts w:ascii="Palatino Linotype" w:hAnsi="Palatino Linotype" w:cs="Arial"/>
          <w:i/>
          <w:color w:val="000000"/>
        </w:rPr>
      </w:pPr>
      <w:r w:rsidRPr="008A5D92">
        <w:rPr>
          <w:rFonts w:ascii="Palatino Linotype" w:hAnsi="Palatino Linotype" w:cs="Arial"/>
          <w:i/>
          <w:color w:val="000000"/>
        </w:rPr>
        <w:t>(…)”</w:t>
      </w:r>
    </w:p>
    <w:p w:rsidR="00AE1180" w:rsidRPr="008A5D92" w:rsidRDefault="00AE1180" w:rsidP="00AE1180">
      <w:pPr>
        <w:ind w:left="851" w:right="902"/>
        <w:jc w:val="both"/>
        <w:rPr>
          <w:rFonts w:ascii="Palatino Linotype" w:hAnsi="Palatino Linotype" w:cs="Arial"/>
          <w:sz w:val="10"/>
        </w:rPr>
      </w:pPr>
    </w:p>
    <w:p w:rsidR="00AE1180" w:rsidRDefault="00AE1180" w:rsidP="00AE1180">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rsidR="00AE1180" w:rsidRPr="008A5D92" w:rsidRDefault="00AE1180" w:rsidP="00AE1180">
      <w:pPr>
        <w:ind w:left="567" w:right="567"/>
        <w:jc w:val="both"/>
        <w:rPr>
          <w:rFonts w:ascii="Palatino Linotype" w:hAnsi="Palatino Linotype" w:cs="Arial"/>
          <w:sz w:val="2"/>
        </w:rPr>
      </w:pPr>
    </w:p>
    <w:p w:rsidR="00AE1180" w:rsidRPr="008A5D92" w:rsidRDefault="00AE1180" w:rsidP="00AE1180">
      <w:pPr>
        <w:ind w:left="567" w:right="567"/>
        <w:jc w:val="both"/>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rsidR="00AE1180" w:rsidRPr="008A5D92" w:rsidRDefault="00AE1180" w:rsidP="00AE1180">
      <w:pPr>
        <w:ind w:left="567" w:right="567"/>
        <w:jc w:val="both"/>
        <w:rPr>
          <w:rFonts w:ascii="Palatino Linotype" w:hAnsi="Palatino Linotype" w:cs="Arial"/>
          <w:b/>
          <w:i/>
          <w:lang w:eastAsia="es-MX"/>
        </w:rPr>
      </w:pPr>
      <w:r w:rsidRPr="008A5D92">
        <w:rPr>
          <w:rFonts w:ascii="Palatino Linotype" w:hAnsi="Palatino Linotype" w:cs="Arial"/>
          <w:b/>
          <w:i/>
          <w:lang w:eastAsia="es-MX"/>
        </w:rPr>
        <w:lastRenderedPageBreak/>
        <w:t>1) Que se trate de información registrada en cualquier soporte documental, que en ejercicio de las atribuciones conferidas, sea generada por los Sujetos Obligados;</w:t>
      </w:r>
    </w:p>
    <w:p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rsidR="00AE1180" w:rsidRPr="008A5D92" w:rsidRDefault="00AE1180" w:rsidP="00AE1180">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rsidR="00AE1180" w:rsidRDefault="00AE1180" w:rsidP="0095157B">
      <w:pPr>
        <w:tabs>
          <w:tab w:val="left" w:pos="851"/>
        </w:tabs>
        <w:spacing w:before="240"/>
        <w:ind w:left="567" w:right="567"/>
        <w:jc w:val="right"/>
        <w:rPr>
          <w:rFonts w:ascii="Palatino Linotype" w:hAnsi="Palatino Linotype" w:cs="Arial"/>
          <w:i/>
          <w:sz w:val="20"/>
          <w:lang w:eastAsia="es-MX"/>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rsidR="00E20DFF" w:rsidRDefault="00E20DFF" w:rsidP="00E20DFF">
      <w:pPr>
        <w:tabs>
          <w:tab w:val="left" w:pos="8931"/>
        </w:tabs>
        <w:spacing w:before="240" w:line="360" w:lineRule="auto"/>
        <w:ind w:right="51"/>
        <w:jc w:val="both"/>
        <w:rPr>
          <w:rFonts w:ascii="Palatino Linotype" w:hAnsi="Palatino Linotype"/>
          <w:sz w:val="24"/>
          <w:szCs w:val="24"/>
        </w:rPr>
      </w:pPr>
      <w:r>
        <w:rPr>
          <w:rFonts w:ascii="Palatino Linotype" w:hAnsi="Palatino Linotype"/>
          <w:sz w:val="24"/>
          <w:szCs w:val="24"/>
        </w:rPr>
        <w:t>Ahora bien, previo al estudio de la naturaleza jurídica, sobre la información solicitada por el hoy recurrente, resulta conveniente referir que</w:t>
      </w:r>
      <w:r w:rsidR="00BF1F57">
        <w:rPr>
          <w:rFonts w:ascii="Palatino Linotype" w:hAnsi="Palatino Linotype"/>
          <w:sz w:val="24"/>
          <w:szCs w:val="24"/>
        </w:rPr>
        <w:t xml:space="preserve"> no </w:t>
      </w:r>
      <w:r>
        <w:rPr>
          <w:rFonts w:ascii="Palatino Linotype" w:hAnsi="Palatino Linotype"/>
          <w:sz w:val="24"/>
          <w:szCs w:val="24"/>
        </w:rPr>
        <w:t xml:space="preserve">se pretende acceder a documento alguno, sino a que se realice un pronunciamiento sobre cuestionamientos planteados por el recurrente. </w:t>
      </w:r>
    </w:p>
    <w:p w:rsidR="00E20DFF" w:rsidRDefault="00E20DFF" w:rsidP="00BF1F57">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Así las cosas, este Órgano Colegiado, en ejercicio de las atribuciones conferidas en la Ley de Transparencia y Acceso a la Información Pública del Estado de México y Municipios y de los principios rectores de la función garante en términos de lo dispuesto en las fracciones IV y VI del artículo 9 del mismo ordenamiento legal, se conmina a este Resolutor a apegarse a los principios de imparcialidad y legalidad, el primero de ellos consistente en una cualidad de ésta Autoridad para que sus actuaciones sean ajenas o extrañas a los intereses de las partes en la controversia resolviendo sin favorecer a ninguna de ellas y el segundo de ellos la obligación de ajustar su actuación fundando y motivando las resoluciones y actos en las normas aplicables.</w:t>
      </w:r>
    </w:p>
    <w:p w:rsidR="00E20DFF" w:rsidRDefault="00E20DFF" w:rsidP="00BF1F57">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De lo anterior, este Resolutor, en aras de tutelar el derecho de acceso a la información de los particulares, tiene la obligación de apegarse en todo momento a lo que dispone la Ley de Transparencia y Acceso a la Información Pública del Estado de México y </w:t>
      </w:r>
      <w:r>
        <w:rPr>
          <w:rFonts w:ascii="Palatino Linotype" w:eastAsia="Times New Roman" w:hAnsi="Palatino Linotype" w:cs="Arial"/>
          <w:sz w:val="24"/>
          <w:szCs w:val="24"/>
          <w:lang w:val="es-ES" w:eastAsia="es-ES"/>
        </w:rPr>
        <w:lastRenderedPageBreak/>
        <w:t xml:space="preserve">Municipios garantizando los principios de imparcialidad y legalidad en el procedimiento de impugnación y resolución del recurso planteado, por lo que es menester precisar que la naturaleza del derecho de acceso a la información impide que se dé contestación a requerimientos </w:t>
      </w:r>
      <w:r w:rsidRPr="00BF1F57">
        <w:rPr>
          <w:rFonts w:ascii="Palatino Linotype" w:eastAsia="Times New Roman" w:hAnsi="Palatino Linotype" w:cs="Arial"/>
          <w:sz w:val="24"/>
          <w:szCs w:val="24"/>
          <w:lang w:val="es-ES" w:eastAsia="es-ES"/>
        </w:rPr>
        <w:t>que conllevan al pronunciamiento específico de interrogantes sobre varios temas, se brinde una asesoría legal o se requiera una consulta específica mediante el SAIMEX, r</w:t>
      </w:r>
      <w:r>
        <w:rPr>
          <w:rFonts w:ascii="Palatino Linotype" w:eastAsia="Times New Roman" w:hAnsi="Palatino Linotype" w:cs="Arial"/>
          <w:sz w:val="24"/>
          <w:szCs w:val="24"/>
          <w:lang w:val="es-ES" w:eastAsia="es-ES"/>
        </w:rPr>
        <w:t>esultando evidente que su solicitud de información es improcedente porque los requerimientos señalados consisten en un pronunciamiento sobre cuestionamientos derivados de juicios subjetivos por parte del Recurrente, sin que se requiriera específicamente un documento al cual deseara acceder que permitiera al Sujeto Obligado localizarlo y en su caso ponerlo a disposición del particular.</w:t>
      </w:r>
    </w:p>
    <w:p w:rsidR="00E20DFF" w:rsidRDefault="00E20DFF" w:rsidP="00E20DFF">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Pr>
          <w:rFonts w:ascii="Palatino Linotype" w:eastAsia="Times New Roman" w:hAnsi="Palatino Linotype" w:cs="Arial"/>
          <w:sz w:val="24"/>
          <w:szCs w:val="24"/>
          <w:lang w:val="es-ES" w:eastAsia="es-ES"/>
        </w:rPr>
        <w:t>En sustento a lo anterior, cobra aplicación lo establecido por el artículo 6 apartado A fracciones I, II y III de la Constitución Política de los Estados Unidos Mexicanos que a la letra señalan:</w:t>
      </w:r>
    </w:p>
    <w:p w:rsidR="00E20DFF" w:rsidRDefault="00E20DFF" w:rsidP="00E91B25">
      <w:pPr>
        <w:spacing w:before="240" w:line="360" w:lineRule="auto"/>
        <w:ind w:left="708" w:right="567"/>
        <w:jc w:val="both"/>
        <w:rPr>
          <w:rFonts w:ascii="Palatino Linotype" w:hAnsi="Palatino Linotype" w:cs="Arial"/>
          <w:i/>
        </w:rPr>
      </w:pPr>
      <w:r>
        <w:rPr>
          <w:rFonts w:ascii="Palatino Linotype" w:hAnsi="Palatino Linotype" w:cs="Arial"/>
          <w:b/>
          <w:i/>
        </w:rPr>
        <w:t>“Artículo 6o.</w:t>
      </w:r>
    </w:p>
    <w:p w:rsidR="00E20DFF" w:rsidRDefault="00E20DFF" w:rsidP="00E91B25">
      <w:pPr>
        <w:spacing w:before="240" w:line="360" w:lineRule="auto"/>
        <w:ind w:left="708" w:right="567"/>
        <w:jc w:val="both"/>
        <w:rPr>
          <w:rFonts w:ascii="Palatino Linotype" w:hAnsi="Palatino Linotype" w:cs="Arial"/>
          <w:i/>
        </w:rPr>
      </w:pPr>
      <w:r>
        <w:rPr>
          <w:rFonts w:ascii="Palatino Linotype" w:hAnsi="Palatino Linotype" w:cs="Arial"/>
          <w:i/>
        </w:rPr>
        <w:t>[...]</w:t>
      </w:r>
    </w:p>
    <w:p w:rsidR="00E20DFF" w:rsidRDefault="00E20DFF" w:rsidP="00E91B25">
      <w:pPr>
        <w:spacing w:before="240" w:line="360" w:lineRule="auto"/>
        <w:ind w:left="708" w:right="567"/>
        <w:jc w:val="both"/>
        <w:rPr>
          <w:rFonts w:ascii="Palatino Linotype" w:eastAsia="Times New Roman" w:hAnsi="Palatino Linotype" w:cs="Arial"/>
          <w:i/>
          <w:color w:val="000000"/>
          <w:lang w:eastAsia="es-MX"/>
        </w:rPr>
      </w:pPr>
      <w:r>
        <w:rPr>
          <w:rFonts w:ascii="Palatino Linotype" w:eastAsia="Times New Roman" w:hAnsi="Palatino Linotype" w:cs="Arial"/>
          <w:b/>
          <w:bCs/>
          <w:i/>
          <w:color w:val="000000"/>
          <w:lang w:val="es-ES_tradnl" w:eastAsia="es-MX"/>
        </w:rPr>
        <w:t xml:space="preserve">A. </w:t>
      </w:r>
      <w:r>
        <w:rPr>
          <w:rFonts w:ascii="Palatino Linotype" w:hAnsi="Palatino Linotype"/>
          <w:b/>
          <w:i/>
        </w:rPr>
        <w:t xml:space="preserve">Para el ejercicio del derecho de acceso a la información, la Federación y </w:t>
      </w:r>
      <w:r>
        <w:rPr>
          <w:rFonts w:ascii="Palatino Linotype" w:hAnsi="Palatino Linotype"/>
          <w:b/>
          <w:i/>
          <w:u w:val="single"/>
        </w:rPr>
        <w:t>las entidades federativas</w:t>
      </w:r>
      <w:r>
        <w:rPr>
          <w:rFonts w:ascii="Palatino Linotype" w:hAnsi="Palatino Linotype"/>
          <w:b/>
          <w:i/>
        </w:rPr>
        <w:t>,</w:t>
      </w:r>
      <w:r>
        <w:rPr>
          <w:rFonts w:ascii="Palatino Linotype" w:hAnsi="Palatino Linotype"/>
          <w:i/>
        </w:rPr>
        <w:t xml:space="preserve"> en el ámbito de sus respectivas competencias, se regirán por los siguientes principios y bases:</w:t>
      </w:r>
      <w:r>
        <w:rPr>
          <w:rFonts w:ascii="Palatino Linotype" w:eastAsia="Times New Roman" w:hAnsi="Palatino Linotype" w:cs="Arial"/>
          <w:i/>
          <w:color w:val="000000"/>
          <w:lang w:eastAsia="es-MX"/>
        </w:rPr>
        <w:t> </w:t>
      </w:r>
    </w:p>
    <w:p w:rsidR="00E20DFF" w:rsidRDefault="00E20DFF" w:rsidP="00E91B25">
      <w:pPr>
        <w:spacing w:before="240" w:line="360" w:lineRule="auto"/>
        <w:ind w:left="708" w:right="567"/>
        <w:jc w:val="both"/>
        <w:rPr>
          <w:rFonts w:ascii="Palatino Linotype" w:eastAsia="Times New Roman" w:hAnsi="Palatino Linotype" w:cs="Arial"/>
          <w:i/>
          <w:color w:val="000000"/>
          <w:lang w:eastAsia="es-MX"/>
        </w:rPr>
      </w:pPr>
      <w:r>
        <w:rPr>
          <w:rFonts w:ascii="Palatino Linotype" w:eastAsia="Times New Roman" w:hAnsi="Palatino Linotype" w:cs="Arial"/>
          <w:b/>
          <w:bCs/>
          <w:i/>
          <w:color w:val="000000"/>
          <w:lang w:eastAsia="es-MX"/>
        </w:rPr>
        <w:t xml:space="preserve">I. </w:t>
      </w:r>
      <w:r>
        <w:rPr>
          <w:rFonts w:ascii="Palatino Linotype" w:eastAsia="Times New Roman" w:hAnsi="Palatino Linotype" w:cs="Arial"/>
          <w:b/>
          <w:i/>
          <w:color w:val="000000"/>
          <w:u w:val="single"/>
          <w:lang w:eastAsia="es-MX"/>
        </w:rPr>
        <w:t>Toda la información en posesión de cualquier autoridad, entidad, órgano y organismo de los Poderes</w:t>
      </w:r>
      <w:r>
        <w:rPr>
          <w:rFonts w:ascii="Palatino Linotype" w:eastAsia="Times New Roman" w:hAnsi="Palatino Linotype" w:cs="Arial"/>
          <w:i/>
          <w:color w:val="000000"/>
          <w:lang w:eastAsia="es-MX"/>
        </w:rPr>
        <w:t xml:space="preserve"> Ejecutivo, Legislativo y Judicial, </w:t>
      </w:r>
      <w:r>
        <w:rPr>
          <w:rFonts w:ascii="Palatino Linotype" w:eastAsia="Times New Roman" w:hAnsi="Palatino Linotype" w:cs="Arial"/>
          <w:b/>
          <w:i/>
          <w:color w:val="000000"/>
          <w:u w:val="single"/>
          <w:lang w:eastAsia="es-MX"/>
        </w:rPr>
        <w:t>órganos autónomos</w:t>
      </w:r>
      <w:r>
        <w:rPr>
          <w:rFonts w:ascii="Palatino Linotype" w:eastAsia="Times New Roman" w:hAnsi="Palatino Linotype" w:cs="Arial"/>
          <w:i/>
          <w:color w:val="000000"/>
          <w:lang w:eastAsia="es-MX"/>
        </w:rPr>
        <w:t xml:space="preserve">, partidos políticos, fideicomisos y fondos públicos, así como de cualquier persona física, moral o sindicato que reciba y ejerza recursos públicos o realice actos de autoridad en el </w:t>
      </w:r>
      <w:r>
        <w:rPr>
          <w:rFonts w:ascii="Palatino Linotype" w:eastAsia="Times New Roman" w:hAnsi="Palatino Linotype" w:cs="Arial"/>
          <w:i/>
          <w:color w:val="000000"/>
          <w:lang w:eastAsia="es-MX"/>
        </w:rPr>
        <w:lastRenderedPageBreak/>
        <w:t xml:space="preserve">ámbito federal, estatal y municipal, </w:t>
      </w:r>
      <w:r>
        <w:rPr>
          <w:rFonts w:ascii="Palatino Linotype" w:eastAsia="Times New Roman" w:hAnsi="Palatino Linotype" w:cs="Arial"/>
          <w:b/>
          <w:i/>
          <w:color w:val="000000"/>
          <w:lang w:eastAsia="es-MX"/>
        </w:rPr>
        <w:t>es pública y sólo podrá ser reservada temporalmente por razones de interés público y seguridad nacional,</w:t>
      </w:r>
      <w:r>
        <w:rPr>
          <w:rFonts w:ascii="Palatino Linotype" w:eastAsia="Times New Roman" w:hAnsi="Palatino Linotype" w:cs="Arial"/>
          <w:i/>
          <w:color w:val="000000"/>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00D874D8">
        <w:rPr>
          <w:rFonts w:ascii="Palatino Linotype" w:eastAsia="Times New Roman" w:hAnsi="Palatino Linotype" w:cs="Arial"/>
          <w:i/>
          <w:color w:val="000000"/>
          <w:lang w:eastAsia="es-MX"/>
        </w:rPr>
        <w:t>.” (</w:t>
      </w:r>
      <w:r>
        <w:rPr>
          <w:rFonts w:ascii="Palatino Linotype" w:eastAsia="Times New Roman" w:hAnsi="Palatino Linotype" w:cs="Arial"/>
          <w:i/>
          <w:color w:val="000000"/>
          <w:lang w:eastAsia="es-MX"/>
        </w:rPr>
        <w:t>sic)</w:t>
      </w:r>
    </w:p>
    <w:p w:rsidR="00E20DFF" w:rsidRDefault="00E20DFF" w:rsidP="00D874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rsidR="00E20DFF" w:rsidRDefault="00E20DFF" w:rsidP="00D874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Lo anterior se concatena con lo establecido en los artículos 4 y 12 de la Ley de Transparencia y Acceso a la Información Pública del Estado de México y Municipios, los cuales esgrimen: </w:t>
      </w:r>
    </w:p>
    <w:p w:rsidR="00E20DFF" w:rsidRDefault="00E20DFF" w:rsidP="00E20DFF">
      <w:pPr>
        <w:autoSpaceDE w:val="0"/>
        <w:autoSpaceDN w:val="0"/>
        <w:adjustRightInd w:val="0"/>
        <w:spacing w:after="0" w:line="360" w:lineRule="auto"/>
        <w:jc w:val="both"/>
        <w:rPr>
          <w:rFonts w:ascii="Palatino Linotype" w:hAnsi="Palatino Linotype" w:cs="Arial"/>
          <w:sz w:val="24"/>
          <w:szCs w:val="24"/>
        </w:rPr>
      </w:pPr>
    </w:p>
    <w:p w:rsidR="00E20DFF" w:rsidRDefault="00E20DFF" w:rsidP="00E20DFF">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b/>
          <w:i/>
        </w:rPr>
        <w:t>Artículo 4.</w:t>
      </w:r>
      <w:r>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E20DFF" w:rsidRDefault="00E20DFF" w:rsidP="00E20DFF">
      <w:pPr>
        <w:autoSpaceDE w:val="0"/>
        <w:autoSpaceDN w:val="0"/>
        <w:adjustRightInd w:val="0"/>
        <w:spacing w:after="0" w:line="240" w:lineRule="auto"/>
        <w:ind w:left="567" w:right="567"/>
        <w:jc w:val="both"/>
        <w:rPr>
          <w:rFonts w:ascii="Palatino Linotype" w:hAnsi="Palatino Linotype" w:cs="Arial"/>
          <w:i/>
        </w:rPr>
      </w:pPr>
    </w:p>
    <w:p w:rsidR="00E20DFF" w:rsidRDefault="00E20DFF" w:rsidP="00E20DFF">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b/>
          <w:i/>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Pr>
          <w:rFonts w:ascii="Palatino Linotype" w:hAnsi="Palatino Linotype"/>
          <w:i/>
          <w:u w:val="single"/>
        </w:rPr>
        <w:t>.</w:t>
      </w:r>
      <w:r>
        <w:rPr>
          <w:rFonts w:ascii="Palatino Linotype" w:hAnsi="Palatino Linotype"/>
          <w:i/>
        </w:rPr>
        <w:t xml:space="preserve"> Solo podrá ser clasificada excepcionalmente como reservada temporalmente por razones de interés público, en los términos de las causas legítimas y estrictamente necesarias previstas por esta Ley.</w:t>
      </w:r>
    </w:p>
    <w:p w:rsidR="00E20DFF" w:rsidRDefault="00E20DFF" w:rsidP="00E20DFF">
      <w:pPr>
        <w:autoSpaceDE w:val="0"/>
        <w:autoSpaceDN w:val="0"/>
        <w:adjustRightInd w:val="0"/>
        <w:spacing w:after="0" w:line="240" w:lineRule="auto"/>
        <w:ind w:left="567" w:right="567"/>
        <w:jc w:val="both"/>
        <w:rPr>
          <w:rFonts w:ascii="Palatino Linotype" w:hAnsi="Palatino Linotype" w:cs="Arial"/>
          <w:i/>
        </w:rPr>
      </w:pPr>
      <w:r>
        <w:rPr>
          <w:rFonts w:ascii="Palatino Linotype" w:hAnsi="Palatino Linotype" w:cs="Arial"/>
          <w:i/>
        </w:rPr>
        <w:lastRenderedPageBreak/>
        <w:t>[…]</w:t>
      </w:r>
    </w:p>
    <w:p w:rsidR="00E20DFF" w:rsidRDefault="00E20DFF" w:rsidP="00E20DFF">
      <w:pPr>
        <w:autoSpaceDE w:val="0"/>
        <w:autoSpaceDN w:val="0"/>
        <w:adjustRightInd w:val="0"/>
        <w:spacing w:after="0" w:line="240" w:lineRule="auto"/>
        <w:ind w:left="567" w:right="567"/>
        <w:jc w:val="both"/>
        <w:rPr>
          <w:rFonts w:ascii="Palatino Linotype" w:hAnsi="Palatino Linotype"/>
          <w:i/>
        </w:rPr>
      </w:pPr>
      <w:r>
        <w:rPr>
          <w:rFonts w:ascii="Palatino Linotype" w:hAnsi="Palatino Linotype"/>
          <w:b/>
          <w:i/>
        </w:rPr>
        <w:t>Artículo 12.</w:t>
      </w:r>
      <w:r>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E20DFF" w:rsidRDefault="00E20DFF" w:rsidP="00E20DFF">
      <w:pPr>
        <w:autoSpaceDE w:val="0"/>
        <w:autoSpaceDN w:val="0"/>
        <w:adjustRightInd w:val="0"/>
        <w:spacing w:after="0" w:line="240" w:lineRule="auto"/>
        <w:ind w:left="567" w:right="567"/>
        <w:jc w:val="both"/>
        <w:rPr>
          <w:rFonts w:ascii="Palatino Linotype" w:hAnsi="Palatino Linotype" w:cs="Arial"/>
          <w:i/>
        </w:rPr>
      </w:pPr>
    </w:p>
    <w:p w:rsidR="00E20DFF" w:rsidRDefault="00E20DFF" w:rsidP="00E20DFF">
      <w:pPr>
        <w:autoSpaceDE w:val="0"/>
        <w:autoSpaceDN w:val="0"/>
        <w:adjustRightInd w:val="0"/>
        <w:spacing w:after="0" w:line="240" w:lineRule="auto"/>
        <w:ind w:left="567" w:right="567"/>
        <w:jc w:val="both"/>
        <w:rPr>
          <w:rFonts w:ascii="Palatino Linotype" w:hAnsi="Palatino Linotype"/>
          <w:b/>
          <w:i/>
          <w:u w:val="single"/>
        </w:rPr>
      </w:pPr>
      <w:r>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E20DFF" w:rsidRDefault="00E20DFF" w:rsidP="00E20DFF">
      <w:pPr>
        <w:autoSpaceDE w:val="0"/>
        <w:autoSpaceDN w:val="0"/>
        <w:adjustRightInd w:val="0"/>
        <w:spacing w:after="0" w:line="360" w:lineRule="auto"/>
        <w:jc w:val="both"/>
        <w:rPr>
          <w:rFonts w:ascii="Palatino Linotype" w:hAnsi="Palatino Linotype" w:cs="Arial"/>
          <w:sz w:val="24"/>
          <w:szCs w:val="24"/>
        </w:rPr>
      </w:pPr>
    </w:p>
    <w:p w:rsidR="00E20DFF" w:rsidRPr="00D874D8" w:rsidRDefault="00E20DFF" w:rsidP="00D874D8">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w:t>
      </w:r>
      <w:r w:rsidRPr="00D874D8">
        <w:rPr>
          <w:rFonts w:ascii="Palatino Linotype" w:hAnsi="Palatino Linotype" w:cs="Arial"/>
          <w:sz w:val="24"/>
          <w:szCs w:val="24"/>
        </w:rPr>
        <w:t>,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rsidR="00E20DFF" w:rsidRDefault="00E20DFF" w:rsidP="00D874D8">
      <w:pPr>
        <w:pStyle w:val="Sinespaciado"/>
        <w:spacing w:before="240" w:after="160" w:line="360" w:lineRule="auto"/>
        <w:jc w:val="both"/>
        <w:rPr>
          <w:rFonts w:ascii="Palatino Linotype" w:hAnsi="Palatino Linotype"/>
        </w:rPr>
      </w:pPr>
      <w:r>
        <w:rPr>
          <w:rFonts w:ascii="Palatino Linotype" w:hAnsi="Palatino Linotype"/>
          <w:lang w:val="es-ES"/>
        </w:rPr>
        <w:t xml:space="preserve">En este sentido se observa que las peticiones de información fueron formuladas parcialmente a través de un cuestionamiento en donde </w:t>
      </w:r>
      <w:r>
        <w:rPr>
          <w:rFonts w:ascii="Palatino Linotype" w:hAnsi="Palatino Linotype"/>
          <w:bCs/>
          <w:iCs/>
          <w:lang w:val="es-ES"/>
        </w:rPr>
        <w:t>no se identifica un documento en específico</w:t>
      </w:r>
      <w:r>
        <w:rPr>
          <w:rFonts w:ascii="Palatino Linotype" w:hAnsi="Palatino Linotype"/>
          <w:lang w:val="es-ES"/>
        </w:rPr>
        <w:t>, por lo que no puede ser atendida mediante el Derecho de Acceso a la Información.</w:t>
      </w:r>
    </w:p>
    <w:p w:rsidR="00E20DFF" w:rsidRDefault="00E20DFF" w:rsidP="00E20DFF">
      <w:pPr>
        <w:pStyle w:val="Sinespaciado"/>
        <w:spacing w:line="360" w:lineRule="auto"/>
        <w:jc w:val="both"/>
        <w:rPr>
          <w:rFonts w:ascii="Palatino Linotype" w:hAnsi="Palatino Linotype"/>
          <w:lang w:val="es-ES"/>
        </w:rPr>
      </w:pPr>
      <w:r>
        <w:rPr>
          <w:rFonts w:ascii="Palatino Linotype" w:hAnsi="Palatino Linotype"/>
          <w:lang w:val="es-ES"/>
        </w:rPr>
        <w:t xml:space="preserve">Sirve de sustento a lo anterior, el Criterio 028-10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w:t>
      </w:r>
      <w:r>
        <w:rPr>
          <w:rFonts w:ascii="Palatino Linotype" w:hAnsi="Palatino Linotype"/>
          <w:lang w:val="es-ES"/>
        </w:rPr>
        <w:lastRenderedPageBreak/>
        <w:t>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Pr>
          <w:rFonts w:ascii="Palatino Linotype" w:hAnsi="Palatino Linotype"/>
          <w:i/>
          <w:iCs/>
          <w:lang w:val="es-ES"/>
        </w:rPr>
        <w:t xml:space="preserve"> </w:t>
      </w:r>
      <w:r>
        <w:rPr>
          <w:rFonts w:ascii="Palatino Linotype" w:hAnsi="Palatino Linotype"/>
          <w:lang w:val="es-ES"/>
        </w:rPr>
        <w:t>aunque el particular lleve a cabo una solicitud de información sin identificar de forma precisa la documentación, el Sujeto Obligado deberá hacer entrega del mismo al solicitante mismo que a continuación se cita:</w:t>
      </w:r>
    </w:p>
    <w:p w:rsidR="00E20DFF" w:rsidRDefault="00E20DFF" w:rsidP="00486FE1">
      <w:pPr>
        <w:pStyle w:val="Sinespaciado"/>
        <w:spacing w:before="240" w:after="240" w:line="360" w:lineRule="auto"/>
        <w:ind w:left="567" w:right="567"/>
        <w:jc w:val="both"/>
        <w:rPr>
          <w:rFonts w:ascii="Palatino Linotype" w:hAnsi="Palatino Linotype"/>
          <w:lang w:val="es-ES"/>
        </w:rPr>
      </w:pPr>
      <w:r>
        <w:rPr>
          <w:rFonts w:ascii="Palatino Linotype" w:hAnsi="Palatino Linotype"/>
          <w:b/>
          <w:bCs/>
          <w:i/>
          <w:iCs/>
          <w:lang w:val="es-ES_tradnl"/>
        </w:rPr>
        <w:t>“Cuando en una solicitud de información no se identifique un documento en específico, si ésta tiene una expresión documental, el sujeto obligado deberá entregar al particular el documento en específico.</w:t>
      </w:r>
      <w:r>
        <w:rPr>
          <w:rFonts w:ascii="Palatino Linotype" w:hAnsi="Palatino Linotype"/>
          <w:i/>
          <w:iCs/>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w:t>
      </w:r>
      <w:r>
        <w:rPr>
          <w:rFonts w:ascii="Palatino Linotype" w:hAnsi="Palatino Linotype"/>
          <w:i/>
          <w:iCs/>
          <w:lang w:val="es-ES_tradnl"/>
        </w:rPr>
        <w:lastRenderedPageBreak/>
        <w:t>particular no hace referencia específica a tal documento, se deberá hacer entrega del mismo al solicitante.”</w:t>
      </w:r>
    </w:p>
    <w:p w:rsidR="00E20DFF" w:rsidRPr="00D34EB2" w:rsidRDefault="00E20DFF" w:rsidP="00D34EB2">
      <w:pPr>
        <w:spacing w:before="240" w:line="360" w:lineRule="auto"/>
        <w:jc w:val="both"/>
        <w:rPr>
          <w:rFonts w:ascii="Palatino Linotype" w:eastAsia="MS Mincho" w:hAnsi="Palatino Linotype" w:cs="Arial"/>
          <w:sz w:val="24"/>
          <w:szCs w:val="24"/>
          <w:lang w:val="es-ES_tradnl" w:eastAsia="es-ES"/>
        </w:rPr>
      </w:pPr>
      <w:r w:rsidRPr="00D34EB2">
        <w:rPr>
          <w:rFonts w:ascii="Palatino Linotype" w:hAnsi="Palatino Linotype"/>
          <w:sz w:val="24"/>
          <w:szCs w:val="24"/>
        </w:rPr>
        <w:t xml:space="preserve">Por lo que al realizar las preguntas inmersas en los puntos </w:t>
      </w:r>
      <w:r w:rsidR="00486FE1" w:rsidRPr="00D34EB2">
        <w:rPr>
          <w:rFonts w:ascii="Palatino Linotype" w:hAnsi="Palatino Linotype"/>
          <w:sz w:val="24"/>
          <w:szCs w:val="24"/>
        </w:rPr>
        <w:t>1 y 2</w:t>
      </w:r>
      <w:r w:rsidRPr="00D34EB2">
        <w:rPr>
          <w:rFonts w:ascii="Palatino Linotype" w:hAnsi="Palatino Linotype"/>
          <w:sz w:val="24"/>
          <w:szCs w:val="24"/>
        </w:rPr>
        <w:t xml:space="preserve"> que anteceden, se advierte que dicho cuestionamiento difícilmente puede colmarse con documentos previamente generados</w:t>
      </w:r>
      <w:r w:rsidRPr="00D34EB2">
        <w:rPr>
          <w:rFonts w:ascii="Palatino Linotype" w:hAnsi="Palatino Linotype"/>
          <w:color w:val="000000" w:themeColor="text1"/>
          <w:sz w:val="24"/>
          <w:szCs w:val="24"/>
        </w:rPr>
        <w:t xml:space="preserve">, por lo que </w:t>
      </w:r>
      <w:r w:rsidRPr="00D34EB2">
        <w:rPr>
          <w:rFonts w:ascii="Palatino Linotype" w:hAnsi="Palatino Linotype" w:cs="Arial"/>
          <w:sz w:val="24"/>
          <w:szCs w:val="24"/>
        </w:rPr>
        <w:t>no al no colmarse con la entrega de documentos, se concluye que no se está en presencia del ejercicio del derecho de acceso a la información</w:t>
      </w:r>
      <w:r w:rsidRPr="00D34EB2">
        <w:rPr>
          <w:rFonts w:ascii="Palatino Linotype" w:eastAsia="MS Mincho" w:hAnsi="Palatino Linotype" w:cs="Arial"/>
          <w:sz w:val="24"/>
          <w:szCs w:val="24"/>
          <w:lang w:val="es-ES_tradnl" w:eastAsia="es-ES"/>
        </w:rPr>
        <w:t xml:space="preserve"> y por lo tanto no es atendible mediante una solicitud de Acceso a la Información, porque se tratan de manifestaciones subjetivas vertidas por el particular, interrogantes y declaraciones que no se colman con la entrega de documentos, situación que conlleva a afirmar que se está en presencia del ejercicio del derecho de petición.</w:t>
      </w:r>
    </w:p>
    <w:p w:rsidR="00E20DFF" w:rsidRPr="00D34EB2" w:rsidRDefault="00E20DFF" w:rsidP="00D34EB2">
      <w:pPr>
        <w:spacing w:before="240" w:line="360" w:lineRule="auto"/>
        <w:jc w:val="both"/>
        <w:rPr>
          <w:rFonts w:ascii="Palatino Linotype" w:eastAsia="MS Mincho" w:hAnsi="Palatino Linotype" w:cstheme="majorBidi"/>
          <w:sz w:val="24"/>
          <w:szCs w:val="24"/>
          <w:lang w:val="es-ES_tradnl" w:eastAsia="es-ES"/>
        </w:rPr>
      </w:pPr>
      <w:r w:rsidRPr="00D34EB2">
        <w:rPr>
          <w:rFonts w:ascii="Palatino Linotype" w:eastAsia="MS Mincho" w:hAnsi="Palatino Linotype" w:cstheme="majorBidi"/>
          <w:sz w:val="24"/>
          <w:szCs w:val="24"/>
          <w:lang w:val="es-ES_tradnl" w:eastAsia="es-ES"/>
        </w:rPr>
        <w:t xml:space="preserve">Por lo que 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rsidR="00E20DFF" w:rsidRPr="00D34EB2" w:rsidRDefault="00E20DFF" w:rsidP="00D34EB2">
      <w:pPr>
        <w:spacing w:before="240" w:line="360" w:lineRule="auto"/>
        <w:jc w:val="both"/>
        <w:rPr>
          <w:rFonts w:ascii="Palatino Linotype" w:eastAsia="MS Mincho" w:hAnsi="Palatino Linotype" w:cstheme="majorBidi"/>
          <w:sz w:val="24"/>
          <w:szCs w:val="24"/>
          <w:lang w:val="es-ES_tradnl" w:eastAsia="es-ES"/>
        </w:rPr>
      </w:pPr>
      <w:r w:rsidRPr="00D34EB2">
        <w:rPr>
          <w:rFonts w:ascii="Palatino Linotype" w:eastAsia="MS Mincho" w:hAnsi="Palatino Linotype" w:cstheme="majorBidi"/>
          <w:sz w:val="24"/>
          <w:szCs w:val="24"/>
          <w:lang w:val="es-ES_tradnl" w:eastAsia="es-ES"/>
        </w:rPr>
        <w:t>Luego entonces, es importante dejar en claro lo que debe entenderse por derecho de petición y por derecho de acceso a la información pública.</w:t>
      </w:r>
    </w:p>
    <w:p w:rsidR="00E20DFF" w:rsidRPr="00D34EB2" w:rsidRDefault="00E20DFF" w:rsidP="00D34EB2">
      <w:pPr>
        <w:spacing w:before="240" w:line="360" w:lineRule="auto"/>
        <w:jc w:val="both"/>
        <w:rPr>
          <w:rFonts w:ascii="Palatino Linotype" w:eastAsia="MS Mincho" w:hAnsi="Palatino Linotype" w:cstheme="majorBidi"/>
          <w:i/>
          <w:sz w:val="24"/>
          <w:szCs w:val="24"/>
          <w:lang w:val="es-ES_tradnl" w:eastAsia="es-ES"/>
        </w:rPr>
      </w:pPr>
      <w:r w:rsidRPr="00D34EB2">
        <w:rPr>
          <w:rFonts w:ascii="Palatino Linotype" w:eastAsia="MS Mincho" w:hAnsi="Palatino Linotype" w:cstheme="majorBidi"/>
          <w:sz w:val="24"/>
          <w:szCs w:val="24"/>
          <w:lang w:val="es-ES_tradnl" w:eastAsia="es-ES"/>
        </w:rPr>
        <w:t>Por lo que respecta a la definición de derecho de petición, el Maestro Ignacio Burgoa Orihuela refiere: “…</w:t>
      </w:r>
      <w:r w:rsidRPr="00D34EB2">
        <w:rPr>
          <w:rFonts w:ascii="Palatino Linotype" w:eastAsia="MS Mincho" w:hAnsi="Palatino Linotype" w:cstheme="majorBidi"/>
          <w:i/>
          <w:sz w:val="24"/>
          <w:szCs w:val="24"/>
          <w:lang w:val="es-ES_tradnl" w:eastAsia="es-ES"/>
        </w:rPr>
        <w:t xml:space="preserve">es un Derecho Público subjetivo individual de la Garantía Respectiva Consagrada en el Artículo 8 de la Ley Fundamental. En tal virtud, la persona tiene la facultad de acudir a cualquier autoridad, formulando una solicitud o instancia escrito de cualquier </w:t>
      </w:r>
      <w:r w:rsidRPr="00D34EB2">
        <w:rPr>
          <w:rFonts w:ascii="Palatino Linotype" w:eastAsia="MS Mincho" w:hAnsi="Palatino Linotype" w:cstheme="majorBidi"/>
          <w:i/>
          <w:sz w:val="24"/>
          <w:szCs w:val="24"/>
          <w:lang w:val="es-ES_tradnl" w:eastAsia="es-ES"/>
        </w:rPr>
        <w:lastRenderedPageBreak/>
        <w:t>índole, la cual adopta, específicamente, el carácter de simple petición administrativa, acción o recurso, etc.</w:t>
      </w:r>
      <w:r w:rsidRPr="00D34EB2">
        <w:rPr>
          <w:rFonts w:ascii="Palatino Linotype" w:eastAsia="MS Mincho" w:hAnsi="Palatino Linotype" w:cstheme="majorBidi"/>
          <w:i/>
          <w:sz w:val="24"/>
          <w:szCs w:val="24"/>
          <w:vertAlign w:val="superscript"/>
          <w:lang w:val="es-ES_tradnl" w:eastAsia="es-ES"/>
        </w:rPr>
        <w:footnoteReference w:id="2"/>
      </w:r>
      <w:r w:rsidRPr="00D34EB2">
        <w:rPr>
          <w:rFonts w:ascii="Palatino Linotype" w:eastAsia="MS Mincho" w:hAnsi="Palatino Linotype" w:cstheme="majorBidi"/>
          <w:i/>
          <w:sz w:val="24"/>
          <w:szCs w:val="24"/>
          <w:lang w:val="es-ES_tradnl" w:eastAsia="es-ES"/>
        </w:rPr>
        <w:t xml:space="preserve">  “ (Sic)</w:t>
      </w:r>
    </w:p>
    <w:p w:rsidR="00E20DFF" w:rsidRPr="00D34EB2" w:rsidRDefault="00E20DFF" w:rsidP="00D34EB2">
      <w:pPr>
        <w:spacing w:before="240" w:line="360" w:lineRule="auto"/>
        <w:jc w:val="both"/>
        <w:rPr>
          <w:rFonts w:ascii="Palatino Linotype" w:eastAsia="MS Mincho" w:hAnsi="Palatino Linotype" w:cstheme="majorBidi"/>
          <w:sz w:val="24"/>
          <w:szCs w:val="24"/>
          <w:lang w:val="es-ES_tradnl" w:eastAsia="es-ES"/>
        </w:rPr>
      </w:pPr>
      <w:r w:rsidRPr="00D34EB2">
        <w:rPr>
          <w:rFonts w:ascii="Palatino Linotype" w:eastAsia="MS Mincho" w:hAnsi="Palatino Linotype" w:cstheme="majorBidi"/>
          <w:sz w:val="24"/>
          <w:szCs w:val="24"/>
          <w:lang w:val="es-ES_tradnl" w:eastAsia="es-ES"/>
        </w:rPr>
        <w:t xml:space="preserve">Por su parte, David Cienfuegos Salgado, concibe al derecho de petición como </w:t>
      </w:r>
      <w:r w:rsidRPr="00D34EB2">
        <w:rPr>
          <w:rFonts w:ascii="Palatino Linotype" w:eastAsia="MS Mincho" w:hAnsi="Palatino Linotype" w:cstheme="majorBidi"/>
          <w:i/>
          <w:sz w:val="24"/>
          <w:szCs w:val="24"/>
          <w:lang w:val="es-ES_tradnl" w:eastAsia="es-ES"/>
        </w:rPr>
        <w:t xml:space="preserve">“el derecho de toda persona a ser escuchado por quienes ejercen el poder público. </w:t>
      </w:r>
      <w:r w:rsidRPr="00D34EB2">
        <w:rPr>
          <w:rFonts w:ascii="Palatino Linotype" w:eastAsia="MS Mincho" w:hAnsi="Palatino Linotype" w:cstheme="majorBidi"/>
          <w:i/>
          <w:sz w:val="24"/>
          <w:szCs w:val="24"/>
          <w:vertAlign w:val="superscript"/>
          <w:lang w:val="es-ES_tradnl" w:eastAsia="es-ES"/>
        </w:rPr>
        <w:footnoteReference w:id="3"/>
      </w:r>
      <w:r w:rsidRPr="00D34EB2">
        <w:rPr>
          <w:rFonts w:ascii="Palatino Linotype" w:eastAsia="MS Mincho" w:hAnsi="Palatino Linotype" w:cstheme="majorBidi"/>
          <w:i/>
          <w:sz w:val="24"/>
          <w:szCs w:val="24"/>
          <w:lang w:val="es-ES_tradnl" w:eastAsia="es-ES"/>
        </w:rPr>
        <w:t>” (Sic)</w:t>
      </w:r>
      <w:r w:rsidRPr="00D34EB2">
        <w:rPr>
          <w:rFonts w:ascii="Palatino Linotype" w:eastAsia="MS Mincho" w:hAnsi="Palatino Linotype" w:cstheme="majorBidi"/>
          <w:sz w:val="24"/>
          <w:szCs w:val="24"/>
          <w:lang w:val="es-ES_tradnl" w:eastAsia="es-ES"/>
        </w:rPr>
        <w:t xml:space="preserve"> </w:t>
      </w:r>
    </w:p>
    <w:p w:rsidR="00E20DFF" w:rsidRPr="00D34EB2" w:rsidRDefault="00E20DFF" w:rsidP="00D34EB2">
      <w:pPr>
        <w:spacing w:before="240" w:line="360" w:lineRule="auto"/>
        <w:jc w:val="both"/>
        <w:rPr>
          <w:rFonts w:ascii="Palatino Linotype" w:eastAsia="MS Mincho" w:hAnsi="Palatino Linotype" w:cstheme="majorBidi"/>
          <w:i/>
          <w:sz w:val="24"/>
          <w:szCs w:val="24"/>
          <w:lang w:val="es-ES_tradnl" w:eastAsia="es-ES"/>
        </w:rPr>
      </w:pPr>
      <w:r w:rsidRPr="00D34EB2">
        <w:rPr>
          <w:rFonts w:ascii="Palatino Linotype" w:eastAsia="MS Mincho" w:hAnsi="Palatino Linotype" w:cstheme="majorBidi"/>
          <w:sz w:val="24"/>
          <w:szCs w:val="24"/>
          <w:lang w:val="es-ES_tradnl" w:eastAsia="es-ES"/>
        </w:rPr>
        <w:t xml:space="preserve">A este respecto, y para diferenciar el derecho de petición al derecho de acceso a la información, resulta conducente señalar que José Guadalupe Robles, conceptualiza el derecho a la información como </w:t>
      </w:r>
      <w:r w:rsidRPr="00D34EB2">
        <w:rPr>
          <w:rFonts w:ascii="Palatino Linotype" w:eastAsia="MS Mincho" w:hAnsi="Palatino Linotype" w:cstheme="majorBidi"/>
          <w:i/>
          <w:sz w:val="24"/>
          <w:szCs w:val="24"/>
          <w:lang w:val="es-ES_tradnl" w:eastAsia="es-ES"/>
        </w:rPr>
        <w:t xml:space="preserve">“un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D34EB2">
        <w:rPr>
          <w:rFonts w:ascii="Palatino Linotype" w:eastAsia="MS Mincho" w:hAnsi="Palatino Linotype" w:cstheme="majorBidi"/>
          <w:i/>
          <w:sz w:val="24"/>
          <w:szCs w:val="24"/>
          <w:vertAlign w:val="superscript"/>
          <w:lang w:val="es-ES_tradnl" w:eastAsia="es-ES"/>
        </w:rPr>
        <w:footnoteReference w:id="4"/>
      </w:r>
      <w:r w:rsidRPr="00D34EB2">
        <w:rPr>
          <w:rFonts w:ascii="Palatino Linotype" w:eastAsia="MS Mincho" w:hAnsi="Palatino Linotype" w:cstheme="majorBidi"/>
          <w:i/>
          <w:sz w:val="24"/>
          <w:szCs w:val="24"/>
          <w:lang w:val="es-ES_tradnl" w:eastAsia="es-ES"/>
        </w:rPr>
        <w:t xml:space="preserve">“(Sic) </w:t>
      </w:r>
    </w:p>
    <w:p w:rsidR="00E20DFF" w:rsidRPr="00D34EB2" w:rsidRDefault="00E20DFF" w:rsidP="00D34EB2">
      <w:pPr>
        <w:spacing w:before="240" w:line="360" w:lineRule="auto"/>
        <w:jc w:val="both"/>
        <w:rPr>
          <w:rFonts w:ascii="Palatino Linotype" w:eastAsia="MS Mincho" w:hAnsi="Palatino Linotype" w:cstheme="majorBidi"/>
          <w:i/>
          <w:sz w:val="24"/>
          <w:szCs w:val="24"/>
          <w:lang w:val="es-ES_tradnl"/>
        </w:rPr>
      </w:pPr>
      <w:r w:rsidRPr="00D34EB2">
        <w:rPr>
          <w:rFonts w:ascii="Palatino Linotype" w:eastAsia="MS Mincho" w:hAnsi="Palatino Linotype" w:cstheme="majorBidi"/>
          <w:sz w:val="24"/>
          <w:szCs w:val="24"/>
          <w:lang w:val="es-ES_tradnl"/>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sidRPr="00D34EB2">
        <w:rPr>
          <w:rFonts w:ascii="Palatino Linotype" w:eastAsia="MS Mincho" w:hAnsi="Palatino Linotype" w:cstheme="majorBidi"/>
          <w:i/>
          <w:sz w:val="24"/>
          <w:szCs w:val="24"/>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D34EB2">
        <w:rPr>
          <w:rFonts w:ascii="Palatino Linotype" w:eastAsia="MS Mincho" w:hAnsi="Palatino Linotype" w:cstheme="majorBidi"/>
          <w:i/>
          <w:sz w:val="24"/>
          <w:szCs w:val="24"/>
          <w:vertAlign w:val="superscript"/>
          <w:lang w:val="es-ES_tradnl"/>
        </w:rPr>
        <w:footnoteReference w:id="5"/>
      </w:r>
      <w:r w:rsidRPr="00D34EB2">
        <w:rPr>
          <w:rFonts w:ascii="Palatino Linotype" w:eastAsia="MS Mincho" w:hAnsi="Palatino Linotype" w:cstheme="majorBidi"/>
          <w:i/>
          <w:sz w:val="24"/>
          <w:szCs w:val="24"/>
          <w:lang w:val="es-ES_tradnl"/>
        </w:rPr>
        <w:t>” (Sic)</w:t>
      </w:r>
    </w:p>
    <w:p w:rsidR="00E20DFF" w:rsidRPr="00D34EB2" w:rsidRDefault="00E20DFF" w:rsidP="00D34EB2">
      <w:pPr>
        <w:spacing w:before="240" w:line="360" w:lineRule="auto"/>
        <w:jc w:val="both"/>
        <w:rPr>
          <w:rFonts w:ascii="Palatino Linotype" w:hAnsi="Palatino Linotype" w:cs="Arial"/>
          <w:sz w:val="24"/>
          <w:szCs w:val="24"/>
        </w:rPr>
      </w:pPr>
      <w:r w:rsidRPr="00D34EB2">
        <w:rPr>
          <w:rFonts w:ascii="Palatino Linotype" w:hAnsi="Palatino Linotype" w:cs="Arial"/>
          <w:sz w:val="24"/>
          <w:szCs w:val="24"/>
        </w:rPr>
        <w:lastRenderedPageBreak/>
        <w:t xml:space="preserve">Ahora </w:t>
      </w:r>
      <w:r w:rsidR="00486FE1" w:rsidRPr="00D34EB2">
        <w:rPr>
          <w:rFonts w:ascii="Palatino Linotype" w:hAnsi="Palatino Linotype" w:cs="Arial"/>
          <w:sz w:val="24"/>
          <w:szCs w:val="24"/>
        </w:rPr>
        <w:t>bien,</w:t>
      </w:r>
      <w:r w:rsidRPr="00D34EB2">
        <w:rPr>
          <w:rFonts w:ascii="Palatino Linotype" w:hAnsi="Palatino Linotype" w:cs="Arial"/>
          <w:sz w:val="24"/>
          <w:szCs w:val="24"/>
        </w:rPr>
        <w:t xml:space="preserve"> para entender los alcances de la información pública se considera importante citar el criterio </w:t>
      </w:r>
      <w:r w:rsidRPr="00D34EB2">
        <w:rPr>
          <w:rFonts w:ascii="Palatino Linotype" w:hAnsi="Palatino Linotype" w:cs="Arial"/>
          <w:bCs/>
          <w:sz w:val="24"/>
          <w:szCs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D34EB2">
        <w:rPr>
          <w:rFonts w:ascii="Palatino Linotype" w:hAnsi="Palatino Linotype" w:cs="Arial"/>
          <w:sz w:val="24"/>
          <w:szCs w:val="24"/>
        </w:rPr>
        <w:t>cuyo rubro y texto dispone:</w:t>
      </w:r>
    </w:p>
    <w:p w:rsidR="00E20DFF" w:rsidRDefault="00E20DFF" w:rsidP="00E20DFF">
      <w:pPr>
        <w:autoSpaceDE w:val="0"/>
        <w:autoSpaceDN w:val="0"/>
        <w:adjustRightInd w:val="0"/>
        <w:spacing w:line="276" w:lineRule="auto"/>
        <w:ind w:left="567" w:right="567"/>
        <w:jc w:val="center"/>
        <w:rPr>
          <w:rFonts w:ascii="Palatino Linotype" w:hAnsi="Palatino Linotype" w:cs="Arial"/>
          <w:b/>
          <w:i/>
          <w:lang w:eastAsia="es-MX"/>
        </w:rPr>
      </w:pPr>
      <w:r>
        <w:rPr>
          <w:rFonts w:ascii="Palatino Linotype" w:hAnsi="Palatino Linotype" w:cs="Arial"/>
          <w:b/>
          <w:i/>
          <w:sz w:val="20"/>
          <w:szCs w:val="20"/>
          <w:lang w:eastAsia="es-MX"/>
        </w:rPr>
        <w:t>“</w:t>
      </w:r>
      <w:r>
        <w:rPr>
          <w:rFonts w:ascii="Palatino Linotype" w:hAnsi="Palatino Linotype" w:cs="Arial"/>
          <w:b/>
          <w:i/>
          <w:lang w:eastAsia="es-MX"/>
        </w:rPr>
        <w:t>CRITERIO 0002-11</w:t>
      </w:r>
    </w:p>
    <w:p w:rsidR="00E20DFF" w:rsidRDefault="00E20DFF" w:rsidP="00E20D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b/>
          <w:i/>
          <w:lang w:eastAsia="es-MX"/>
        </w:rPr>
        <w:t xml:space="preserve">INFORMACIÓN PÚBLICA, CONCEPTO DE, EN MATERIA DE TRANSPARENCIA. INTERPRETACIÓN TEMÁTICA DE LOS ARTÍCULOS 2, FRACCIÓN </w:t>
      </w:r>
      <w:r>
        <w:rPr>
          <w:rFonts w:ascii="Palatino Linotype" w:hAnsi="Palatino Linotype" w:cs="Arial"/>
          <w:b/>
          <w:bCs/>
          <w:i/>
          <w:lang w:eastAsia="es-MX"/>
        </w:rPr>
        <w:t xml:space="preserve">V, XV, Y XVI, </w:t>
      </w:r>
      <w:r>
        <w:rPr>
          <w:rFonts w:ascii="Palatino Linotype" w:hAnsi="Palatino Linotype" w:cs="Arial"/>
          <w:b/>
          <w:i/>
          <w:lang w:eastAsia="es-MX"/>
        </w:rPr>
        <w:t>32, 4,11 Y 41.</w:t>
      </w:r>
      <w:r>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E20DFF" w:rsidRDefault="00E20DFF" w:rsidP="00E20D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En consecuencia el acceso a la información se refiere a que se cumplan cualquiera de los siguientes tres supuestos:</w:t>
      </w:r>
    </w:p>
    <w:p w:rsidR="00E20DFF" w:rsidRDefault="00E20DFF" w:rsidP="00E20D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generada por los Sujetos Obligados;</w:t>
      </w:r>
    </w:p>
    <w:p w:rsidR="00E20DFF" w:rsidRDefault="00E20DFF" w:rsidP="00E20D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E20DFF" w:rsidRDefault="00E20DFF" w:rsidP="00E20DFF">
      <w:pPr>
        <w:autoSpaceDE w:val="0"/>
        <w:autoSpaceDN w:val="0"/>
        <w:adjustRightInd w:val="0"/>
        <w:spacing w:line="276" w:lineRule="auto"/>
        <w:ind w:left="567" w:right="567"/>
        <w:jc w:val="both"/>
        <w:rPr>
          <w:rFonts w:ascii="Palatino Linotype" w:hAnsi="Palatino Linotype" w:cs="Arial"/>
          <w:i/>
          <w:lang w:eastAsia="es-MX"/>
        </w:rPr>
      </w:pPr>
      <w:r>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E20DFF" w:rsidRDefault="00E20DFF" w:rsidP="00E20DFF">
      <w:pPr>
        <w:pStyle w:val="Prrafodelista"/>
        <w:autoSpaceDE w:val="0"/>
        <w:autoSpaceDN w:val="0"/>
        <w:adjustRightInd w:val="0"/>
        <w:spacing w:line="276" w:lineRule="auto"/>
        <w:ind w:left="0"/>
        <w:jc w:val="both"/>
        <w:rPr>
          <w:rFonts w:ascii="Palatino Linotype" w:hAnsi="Palatino Linotype" w:cs="Arial"/>
        </w:rPr>
      </w:pPr>
    </w:p>
    <w:p w:rsidR="00E20DFF" w:rsidRDefault="00E20DFF" w:rsidP="00E20DFF">
      <w:pPr>
        <w:pStyle w:val="Prrafodelista"/>
        <w:spacing w:before="240" w:after="360" w:line="360" w:lineRule="auto"/>
        <w:ind w:left="0"/>
        <w:contextualSpacing/>
        <w:jc w:val="both"/>
        <w:rPr>
          <w:rFonts w:ascii="Palatino Linotype" w:hAnsi="Palatino Linotype" w:cs="Arial"/>
          <w:i/>
          <w:lang w:eastAsia="es-MX"/>
        </w:rPr>
      </w:pPr>
      <w:r>
        <w:rPr>
          <w:rFonts w:ascii="Palatino Linotype" w:hAnsi="Palatino Linotype" w:cs="Arial"/>
          <w:lang w:eastAsia="es-MX"/>
        </w:rPr>
        <w:t>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Villanueva que dice: “</w:t>
      </w:r>
      <w:r>
        <w:rPr>
          <w:rFonts w:ascii="Palatino Linotype" w:hAnsi="Palatino Linotype" w:cs="Arial"/>
          <w:i/>
          <w:lang w:eastAsia="es-MX"/>
        </w:rPr>
        <w:t xml:space="preserve">la prerrogativa de la persona </w:t>
      </w:r>
      <w:r>
        <w:rPr>
          <w:rFonts w:ascii="Palatino Linotype" w:hAnsi="Palatino Linotype" w:cs="Arial"/>
          <w:i/>
          <w:lang w:eastAsia="es-MX"/>
        </w:rPr>
        <w:lastRenderedPageBreak/>
        <w:t xml:space="preserve">para acceder a datos, registros y todo tipo de informaciones en poder de entidades públicas y empresas privadas que ejercen gasto público o cumplen funciones de autoridad, con las excepciones taxativas que establezca la ley en una sociedad democrática.” </w:t>
      </w:r>
      <w:r>
        <w:rPr>
          <w:rStyle w:val="Refdenotaalpie"/>
          <w:rFonts w:ascii="Palatino Linotype" w:hAnsi="Palatino Linotype" w:cs="Arial"/>
          <w:i/>
          <w:lang w:eastAsia="es-MX"/>
        </w:rPr>
        <w:footnoteReference w:id="6"/>
      </w:r>
    </w:p>
    <w:p w:rsidR="00857F9A" w:rsidRDefault="00E20DFF" w:rsidP="00DF5AFA">
      <w:pPr>
        <w:autoSpaceDE w:val="0"/>
        <w:autoSpaceDN w:val="0"/>
        <w:adjustRightInd w:val="0"/>
        <w:spacing w:after="0" w:line="360" w:lineRule="auto"/>
        <w:jc w:val="both"/>
        <w:rPr>
          <w:rFonts w:ascii="Palatino Linotype" w:hAnsi="Palatino Linotype"/>
          <w:sz w:val="24"/>
          <w:szCs w:val="24"/>
        </w:rPr>
      </w:pPr>
      <w:r>
        <w:rPr>
          <w:rFonts w:ascii="Palatino Linotype" w:hAnsi="Palatino Linotype" w:cs="Arial"/>
          <w:sz w:val="24"/>
        </w:rPr>
        <w:t>Por lo anterior, al no constituirse dicho cuestionamiento como materia del derecho de acceso a la información, se considera que el Sujeto Obligado no está constreñido a emitir una respuesta al mismo, por lo que se estima</w:t>
      </w:r>
      <w:r w:rsidR="00DF5AFA">
        <w:rPr>
          <w:rFonts w:ascii="Palatino Linotype" w:hAnsi="Palatino Linotype" w:cs="Arial"/>
          <w:sz w:val="24"/>
        </w:rPr>
        <w:t>n</w:t>
      </w:r>
      <w:r>
        <w:rPr>
          <w:rFonts w:ascii="Palatino Linotype" w:hAnsi="Palatino Linotype" w:cs="Arial"/>
          <w:sz w:val="24"/>
        </w:rPr>
        <w:t xml:space="preserve"> </w:t>
      </w:r>
      <w:r w:rsidR="00DF5AFA">
        <w:rPr>
          <w:rFonts w:ascii="Palatino Linotype" w:hAnsi="Palatino Linotype" w:cs="Arial"/>
          <w:sz w:val="24"/>
        </w:rPr>
        <w:t>in</w:t>
      </w:r>
      <w:r>
        <w:rPr>
          <w:rFonts w:ascii="Palatino Linotype" w:hAnsi="Palatino Linotype" w:cs="Arial"/>
          <w:sz w:val="24"/>
        </w:rPr>
        <w:t>fundados los motivos de inconformidad del Recurrente</w:t>
      </w:r>
      <w:r w:rsidR="00DF5AFA">
        <w:rPr>
          <w:rFonts w:ascii="Palatino Linotype" w:hAnsi="Palatino Linotype" w:cs="Arial"/>
          <w:sz w:val="24"/>
        </w:rPr>
        <w:t>.</w:t>
      </w:r>
    </w:p>
    <w:p w:rsidR="00E20DFF" w:rsidRDefault="00E20DFF" w:rsidP="00E20DFF">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t>Por lo tanto, en consecuencia y en mérito</w:t>
      </w:r>
      <w:r w:rsidRPr="00410726">
        <w:rPr>
          <w:rFonts w:ascii="Palatino Linotype" w:hAnsi="Palatino Linotype"/>
          <w:sz w:val="24"/>
          <w:szCs w:val="24"/>
        </w:rPr>
        <w:t xml:space="preserve"> de lo expuesto en líneas anteriores, resultan </w:t>
      </w:r>
      <w:r>
        <w:rPr>
          <w:rFonts w:ascii="Palatino Linotype" w:hAnsi="Palatino Linotype"/>
          <w:sz w:val="24"/>
          <w:szCs w:val="24"/>
        </w:rPr>
        <w:t xml:space="preserve"> infundadas la</w:t>
      </w:r>
      <w:r w:rsidRPr="00410726">
        <w:rPr>
          <w:rFonts w:ascii="Palatino Linotype" w:hAnsi="Palatino Linotype"/>
          <w:sz w:val="24"/>
          <w:szCs w:val="24"/>
        </w:rPr>
        <w:t xml:space="preserve">s </w:t>
      </w:r>
      <w:r>
        <w:rPr>
          <w:rFonts w:ascii="Palatino Linotype" w:hAnsi="Palatino Linotype"/>
          <w:sz w:val="24"/>
          <w:szCs w:val="24"/>
        </w:rPr>
        <w:t xml:space="preserve">razones o </w:t>
      </w:r>
      <w:r w:rsidRPr="00410726">
        <w:rPr>
          <w:rFonts w:ascii="Palatino Linotype" w:hAnsi="Palatino Linotype"/>
          <w:sz w:val="24"/>
          <w:szCs w:val="24"/>
        </w:rPr>
        <w:t xml:space="preserve">motivos de inconformidad que arguye </w:t>
      </w:r>
      <w:r>
        <w:rPr>
          <w:rFonts w:ascii="Palatino Linotype" w:hAnsi="Palatino Linotype"/>
          <w:sz w:val="24"/>
          <w:szCs w:val="24"/>
        </w:rPr>
        <w:t>El Recurrente</w:t>
      </w:r>
      <w:r w:rsidRPr="00410726">
        <w:rPr>
          <w:rFonts w:ascii="Palatino Linotype" w:hAnsi="Palatino Linotype"/>
          <w:sz w:val="24"/>
          <w:szCs w:val="24"/>
        </w:rPr>
        <w:t xml:space="preserve"> en su medio de impugnación que fue materia de estudio, por ello </w:t>
      </w:r>
      <w:r>
        <w:rPr>
          <w:rFonts w:ascii="Palatino Linotype" w:hAnsi="Palatino Linotype" w:cs="Arial"/>
          <w:b/>
          <w:sz w:val="24"/>
        </w:rPr>
        <w:t>con fundamento en la fracción II del</w:t>
      </w:r>
      <w:r w:rsidRPr="00344BA4">
        <w:rPr>
          <w:rFonts w:ascii="Palatino Linotype" w:hAnsi="Palatino Linotype" w:cs="Arial"/>
          <w:b/>
          <w:sz w:val="24"/>
        </w:rPr>
        <w:t xml:space="preserve"> artículo 186, </w:t>
      </w:r>
      <w:r w:rsidRPr="00A34889">
        <w:rPr>
          <w:rFonts w:ascii="Palatino Linotype" w:hAnsi="Palatino Linotype" w:cs="Arial"/>
          <w:sz w:val="24"/>
        </w:rPr>
        <w:t xml:space="preserve">de la Ley de Transparencia y Acceso a la Información Pública del Estado de México y Municipios, se </w:t>
      </w:r>
      <w:r>
        <w:rPr>
          <w:rFonts w:ascii="Palatino Linotype" w:hAnsi="Palatino Linotype" w:cs="Arial"/>
          <w:b/>
          <w:sz w:val="24"/>
        </w:rPr>
        <w:t>CONFIRMA</w:t>
      </w:r>
      <w:r>
        <w:rPr>
          <w:rFonts w:ascii="Palatino Linotype" w:hAnsi="Palatino Linotype"/>
          <w:sz w:val="24"/>
          <w:szCs w:val="24"/>
        </w:rPr>
        <w:t xml:space="preserve">, la respuesta a la solicitud de información número </w:t>
      </w:r>
      <w:r w:rsidRPr="005B1DF4">
        <w:rPr>
          <w:rFonts w:ascii="Palatino Linotype" w:hAnsi="Palatino Linotype" w:cs="Arial"/>
          <w:b/>
          <w:sz w:val="24"/>
        </w:rPr>
        <w:t>00232/SF/IP/2019</w:t>
      </w:r>
      <w:r>
        <w:rPr>
          <w:rFonts w:ascii="Palatino Linotype" w:hAnsi="Palatino Linotype"/>
          <w:sz w:val="24"/>
          <w:szCs w:val="24"/>
        </w:rPr>
        <w:t xml:space="preserve">, </w:t>
      </w:r>
      <w:r w:rsidRPr="00410726">
        <w:rPr>
          <w:rFonts w:ascii="Palatino Linotype" w:hAnsi="Palatino Linotype"/>
          <w:sz w:val="24"/>
          <w:szCs w:val="24"/>
        </w:rPr>
        <w:t>que ha sido materia del presente fallo.</w:t>
      </w:r>
    </w:p>
    <w:p w:rsidR="00E20DFF" w:rsidRDefault="00E20DFF" w:rsidP="00E20DFF">
      <w:pPr>
        <w:tabs>
          <w:tab w:val="left" w:pos="8931"/>
        </w:tabs>
        <w:spacing w:before="240" w:line="360" w:lineRule="auto"/>
        <w:ind w:right="51"/>
        <w:jc w:val="both"/>
        <w:rPr>
          <w:rFonts w:ascii="Palatino Linotype" w:hAnsi="Palatino Linotype"/>
          <w:sz w:val="24"/>
          <w:szCs w:val="24"/>
        </w:rPr>
      </w:pPr>
      <w:r w:rsidRPr="00410726">
        <w:rPr>
          <w:rFonts w:ascii="Palatino Linotype" w:hAnsi="Palatino Linotype"/>
          <w:sz w:val="24"/>
          <w:szCs w:val="24"/>
        </w:rPr>
        <w:t>Por lo antes expuesto y fundado</w:t>
      </w:r>
      <w:r>
        <w:rPr>
          <w:rFonts w:ascii="Palatino Linotype" w:hAnsi="Palatino Linotype"/>
          <w:sz w:val="24"/>
          <w:szCs w:val="24"/>
        </w:rPr>
        <w:t xml:space="preserve"> es de resolverse y,</w:t>
      </w:r>
    </w:p>
    <w:p w:rsidR="00E20DFF" w:rsidRDefault="00E20DFF" w:rsidP="00E20DFF">
      <w:pPr>
        <w:spacing w:before="240" w:line="360" w:lineRule="auto"/>
        <w:jc w:val="center"/>
        <w:rPr>
          <w:rFonts w:ascii="Palatino Linotype" w:eastAsia="Times New Roman" w:hAnsi="Palatino Linotype"/>
          <w:b/>
          <w:bCs/>
          <w:spacing w:val="60"/>
          <w:sz w:val="28"/>
          <w:lang w:val="es-ES_tradnl"/>
        </w:rPr>
      </w:pPr>
      <w:r>
        <w:rPr>
          <w:rFonts w:ascii="Palatino Linotype" w:eastAsia="Times New Roman" w:hAnsi="Palatino Linotype"/>
          <w:b/>
          <w:bCs/>
          <w:spacing w:val="60"/>
          <w:sz w:val="28"/>
          <w:lang w:val="es-ES_tradnl"/>
        </w:rPr>
        <w:t xml:space="preserve">SE    </w:t>
      </w:r>
      <w:r w:rsidRPr="003F72C1">
        <w:rPr>
          <w:rFonts w:ascii="Palatino Linotype" w:eastAsia="Times New Roman" w:hAnsi="Palatino Linotype"/>
          <w:b/>
          <w:bCs/>
          <w:spacing w:val="60"/>
          <w:sz w:val="28"/>
          <w:lang w:val="es-ES_tradnl"/>
        </w:rPr>
        <w:t>RESUELVE</w:t>
      </w:r>
    </w:p>
    <w:p w:rsidR="00E20DFF" w:rsidRDefault="00E20DFF" w:rsidP="00E20DFF">
      <w:pPr>
        <w:spacing w:line="360" w:lineRule="auto"/>
        <w:jc w:val="both"/>
        <w:rPr>
          <w:rFonts w:ascii="Palatino Linotype" w:hAnsi="Palatino Linotype" w:cs="Arial"/>
          <w:sz w:val="24"/>
          <w:szCs w:val="24"/>
          <w:lang w:val="es-ES_tradnl"/>
        </w:rPr>
      </w:pPr>
      <w:r w:rsidRPr="00755A9B">
        <w:rPr>
          <w:rFonts w:ascii="Palatino Linotype" w:hAnsi="Palatino Linotype" w:cs="Arial"/>
          <w:b/>
          <w:sz w:val="28"/>
          <w:szCs w:val="24"/>
          <w:lang w:val="es-ES_tradnl"/>
        </w:rPr>
        <w:t>PRIMERO.</w:t>
      </w:r>
      <w:r w:rsidRPr="00755A9B">
        <w:rPr>
          <w:rFonts w:ascii="Palatino Linotype" w:hAnsi="Palatino Linotype" w:cs="Arial"/>
          <w:sz w:val="28"/>
          <w:szCs w:val="24"/>
          <w:lang w:val="es-ES_tradnl"/>
        </w:rPr>
        <w:t xml:space="preserve"> </w:t>
      </w:r>
      <w:r w:rsidRPr="00A92F82">
        <w:rPr>
          <w:rFonts w:ascii="Palatino Linotype" w:hAnsi="Palatino Linotype" w:cs="Arial"/>
          <w:sz w:val="24"/>
          <w:szCs w:val="24"/>
          <w:lang w:val="es-ES_tradnl"/>
        </w:rPr>
        <w:t xml:space="preserve">Se </w:t>
      </w:r>
      <w:r>
        <w:rPr>
          <w:rFonts w:ascii="Palatino Linotype" w:hAnsi="Palatino Linotype" w:cs="Arial"/>
          <w:b/>
          <w:sz w:val="24"/>
          <w:szCs w:val="24"/>
          <w:lang w:val="es-ES_tradnl"/>
        </w:rPr>
        <w:t>CONFIRMA</w:t>
      </w:r>
      <w:r w:rsidRPr="00A92F82">
        <w:rPr>
          <w:rFonts w:ascii="Palatino Linotype" w:hAnsi="Palatino Linotype" w:cs="Arial"/>
          <w:sz w:val="24"/>
          <w:szCs w:val="24"/>
          <w:lang w:val="es-ES_tradnl"/>
        </w:rPr>
        <w:t xml:space="preserve"> la respuesta entregada por </w:t>
      </w:r>
      <w:r w:rsidRPr="00B619DB">
        <w:rPr>
          <w:rFonts w:ascii="Palatino Linotype" w:hAnsi="Palatino Linotype" w:cs="Arial"/>
          <w:b/>
          <w:sz w:val="24"/>
          <w:szCs w:val="24"/>
          <w:lang w:val="es-ES_tradnl"/>
        </w:rPr>
        <w:t>El Sujeto Obligado</w:t>
      </w:r>
      <w:r w:rsidRPr="00A92F82">
        <w:rPr>
          <w:rFonts w:ascii="Palatino Linotype" w:hAnsi="Palatino Linotype" w:cs="Arial"/>
          <w:sz w:val="24"/>
          <w:szCs w:val="24"/>
          <w:lang w:val="es-ES_tradnl"/>
        </w:rPr>
        <w:t xml:space="preserve"> a la solicitud de información número </w:t>
      </w:r>
      <w:r w:rsidRPr="005B1DF4">
        <w:rPr>
          <w:rFonts w:ascii="Palatino Linotype" w:hAnsi="Palatino Linotype" w:cs="Arial"/>
          <w:b/>
          <w:sz w:val="24"/>
        </w:rPr>
        <w:t>00232/SF/IP/2019</w:t>
      </w:r>
      <w:r w:rsidRPr="00A92F82">
        <w:rPr>
          <w:rFonts w:ascii="Palatino Linotype" w:hAnsi="Palatino Linotype" w:cs="Arial"/>
          <w:sz w:val="24"/>
          <w:szCs w:val="24"/>
          <w:lang w:val="es-ES_tradnl"/>
        </w:rPr>
        <w:t>, por resultar</w:t>
      </w:r>
      <w:r>
        <w:rPr>
          <w:rFonts w:ascii="Palatino Linotype" w:hAnsi="Palatino Linotype" w:cs="Arial"/>
          <w:sz w:val="24"/>
          <w:szCs w:val="24"/>
          <w:lang w:val="es-ES_tradnl"/>
        </w:rPr>
        <w:t xml:space="preserve"> infundadas las razones o</w:t>
      </w:r>
      <w:r w:rsidRPr="00A92F82">
        <w:rPr>
          <w:rFonts w:ascii="Palatino Linotype" w:hAnsi="Palatino Linotype" w:cs="Arial"/>
          <w:sz w:val="24"/>
          <w:szCs w:val="24"/>
          <w:lang w:val="es-ES_tradnl"/>
        </w:rPr>
        <w:t xml:space="preserve"> motivos de inconformidad que arguye </w:t>
      </w:r>
      <w:r w:rsidRPr="00A92F82">
        <w:rPr>
          <w:rFonts w:ascii="Palatino Linotype" w:hAnsi="Palatino Linotype" w:cs="Arial"/>
          <w:b/>
          <w:sz w:val="24"/>
          <w:szCs w:val="24"/>
          <w:lang w:val="es-ES_tradnl"/>
        </w:rPr>
        <w:t>El Recurrente</w:t>
      </w:r>
      <w:r w:rsidRPr="00A92F82">
        <w:rPr>
          <w:rFonts w:ascii="Palatino Linotype" w:hAnsi="Palatino Linotype" w:cs="Arial"/>
          <w:sz w:val="24"/>
          <w:szCs w:val="24"/>
          <w:lang w:val="es-ES_tradnl"/>
        </w:rPr>
        <w:t xml:space="preserve">, en términos del Considerando </w:t>
      </w:r>
      <w:r w:rsidRPr="00A92F82">
        <w:rPr>
          <w:rFonts w:ascii="Palatino Linotype" w:hAnsi="Palatino Linotype" w:cs="Arial"/>
          <w:b/>
          <w:sz w:val="24"/>
          <w:szCs w:val="24"/>
          <w:lang w:val="es-ES_tradnl"/>
        </w:rPr>
        <w:t>CUARTO</w:t>
      </w:r>
      <w:r w:rsidRPr="00A92F82">
        <w:rPr>
          <w:rFonts w:ascii="Palatino Linotype" w:hAnsi="Palatino Linotype" w:cs="Arial"/>
          <w:sz w:val="24"/>
          <w:szCs w:val="24"/>
          <w:lang w:val="es-ES_tradnl"/>
        </w:rPr>
        <w:t xml:space="preserve"> de la presente resolución.</w:t>
      </w:r>
    </w:p>
    <w:p w:rsidR="00E20DFF" w:rsidRPr="00F127DB" w:rsidRDefault="00E20DFF" w:rsidP="00E20DFF">
      <w:pPr>
        <w:spacing w:line="360" w:lineRule="auto"/>
        <w:jc w:val="both"/>
        <w:rPr>
          <w:rFonts w:ascii="Palatino Linotype" w:hAnsi="Palatino Linotype" w:cs="Arial"/>
          <w:sz w:val="6"/>
          <w:szCs w:val="16"/>
          <w:lang w:val="es-ES_tradnl"/>
        </w:rPr>
      </w:pPr>
    </w:p>
    <w:p w:rsidR="00E20DFF" w:rsidRPr="00A92F82" w:rsidRDefault="00E20DFF" w:rsidP="00E20DFF">
      <w:pPr>
        <w:autoSpaceDE w:val="0"/>
        <w:autoSpaceDN w:val="0"/>
        <w:adjustRightInd w:val="0"/>
        <w:spacing w:after="0" w:line="360" w:lineRule="auto"/>
        <w:ind w:right="49"/>
        <w:jc w:val="both"/>
        <w:rPr>
          <w:rFonts w:ascii="Palatino Linotype" w:hAnsi="Palatino Linotype" w:cs="Arial"/>
        </w:rPr>
      </w:pPr>
      <w:r w:rsidRPr="00755A9B">
        <w:rPr>
          <w:rFonts w:ascii="Palatino Linotype" w:hAnsi="Palatino Linotype"/>
          <w:b/>
          <w:sz w:val="28"/>
          <w:szCs w:val="24"/>
        </w:rPr>
        <w:t>SEGUNDO.</w:t>
      </w:r>
      <w:r w:rsidRPr="00755A9B">
        <w:rPr>
          <w:rFonts w:ascii="Palatino Linotype" w:hAnsi="Palatino Linotype" w:cs="Arial"/>
          <w:sz w:val="28"/>
          <w:szCs w:val="24"/>
        </w:rPr>
        <w:t xml:space="preserve"> </w:t>
      </w:r>
      <w:r w:rsidRPr="00A92F82">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Pr>
          <w:rFonts w:ascii="Palatino Linotype" w:hAnsi="Palatino Linotype" w:cs="Arial"/>
          <w:bCs/>
          <w:sz w:val="24"/>
          <w:szCs w:val="24"/>
        </w:rPr>
        <w:t>Sujeto Obligado la presente resolución.</w:t>
      </w:r>
    </w:p>
    <w:p w:rsidR="00E20DFF" w:rsidRDefault="00E20DFF" w:rsidP="00E20DFF">
      <w:pPr>
        <w:spacing w:line="360" w:lineRule="auto"/>
        <w:jc w:val="both"/>
        <w:rPr>
          <w:rFonts w:ascii="Palatino Linotype" w:hAnsi="Palatino Linotype" w:cs="Arial"/>
          <w:sz w:val="12"/>
          <w:szCs w:val="16"/>
          <w:lang w:val="es-ES_tradnl"/>
        </w:rPr>
      </w:pPr>
    </w:p>
    <w:p w:rsidR="00E20DFF" w:rsidRPr="0076532E" w:rsidRDefault="00E20DFF" w:rsidP="00E20DFF">
      <w:pPr>
        <w:spacing w:after="0" w:line="360" w:lineRule="auto"/>
        <w:jc w:val="both"/>
        <w:rPr>
          <w:rFonts w:ascii="Palatino Linotype" w:hAnsi="Palatino Linotype" w:cs="Arial"/>
          <w:bCs/>
          <w:sz w:val="24"/>
          <w:szCs w:val="24"/>
        </w:rPr>
      </w:pPr>
      <w:r w:rsidRPr="0076532E">
        <w:rPr>
          <w:rFonts w:ascii="Palatino Linotype" w:hAnsi="Palatino Linotype" w:cs="Arial"/>
          <w:b/>
          <w:bCs/>
          <w:sz w:val="28"/>
          <w:szCs w:val="24"/>
        </w:rPr>
        <w:t>TERCERO</w:t>
      </w:r>
      <w:r w:rsidRPr="0076532E">
        <w:rPr>
          <w:rFonts w:ascii="Palatino Linotype" w:hAnsi="Palatino Linotype" w:cs="Arial"/>
          <w:bCs/>
          <w:sz w:val="24"/>
          <w:szCs w:val="24"/>
        </w:rPr>
        <w:t xml:space="preserve">. </w:t>
      </w:r>
      <w:r w:rsidRPr="007B623E">
        <w:rPr>
          <w:rFonts w:ascii="Palatino Linotype" w:hAnsi="Palatino Linotype" w:cs="Arial"/>
          <w:b/>
          <w:bCs/>
          <w:sz w:val="24"/>
          <w:szCs w:val="24"/>
        </w:rPr>
        <w:t>NOTIFÍQUESE</w:t>
      </w:r>
      <w:r w:rsidRPr="0076532E">
        <w:rPr>
          <w:rFonts w:ascii="Palatino Linotype" w:hAnsi="Palatino Linotype" w:cs="Arial"/>
          <w:bCs/>
          <w:sz w:val="24"/>
          <w:szCs w:val="24"/>
        </w:rPr>
        <w:t xml:space="preserve"> al </w:t>
      </w:r>
      <w:r w:rsidRPr="007B623E">
        <w:rPr>
          <w:rFonts w:ascii="Palatino Linotype" w:hAnsi="Palatino Linotype" w:cs="Arial"/>
          <w:b/>
          <w:bCs/>
          <w:sz w:val="24"/>
          <w:szCs w:val="24"/>
        </w:rPr>
        <w:t>Recurrente</w:t>
      </w:r>
      <w:r w:rsidRPr="0076532E">
        <w:rPr>
          <w:rFonts w:ascii="Palatino Linotype" w:hAnsi="Palatino Linotype" w:cs="Arial"/>
          <w:bCs/>
          <w:sz w:val="24"/>
          <w:szCs w:val="24"/>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rsidR="00E20DFF" w:rsidRPr="009902AF" w:rsidRDefault="00E20DFF" w:rsidP="00E20DFF">
      <w:pPr>
        <w:tabs>
          <w:tab w:val="left" w:pos="709"/>
        </w:tabs>
        <w:spacing w:before="240" w:line="360" w:lineRule="auto"/>
        <w:ind w:right="51"/>
        <w:jc w:val="both"/>
        <w:rPr>
          <w:rFonts w:ascii="Palatino Linotype" w:hAnsi="Palatino Linotype" w:cs="Arial"/>
          <w:b/>
          <w:sz w:val="18"/>
          <w:szCs w:val="18"/>
        </w:rPr>
      </w:pPr>
    </w:p>
    <w:p w:rsidR="00D34EB2" w:rsidRDefault="00D34EB2" w:rsidP="00D34EB2">
      <w:pPr>
        <w:spacing w:after="0" w:line="360" w:lineRule="auto"/>
        <w:jc w:val="both"/>
        <w:rPr>
          <w:rFonts w:ascii="Palatino Linotype" w:hAnsi="Palatino Linotype" w:cs="Arial"/>
          <w:sz w:val="24"/>
          <w:szCs w:val="24"/>
        </w:rPr>
      </w:pPr>
      <w:r>
        <w:rPr>
          <w:rFonts w:ascii="Palatino Linotype" w:hAnsi="Palatino Linotype" w:cs="Arial"/>
          <w:sz w:val="24"/>
          <w:szCs w:val="24"/>
        </w:rPr>
        <w:t>ASÍ LO RESUELVE, POR UNANIMIDAD DE VOTOS EL PLENO DEL</w:t>
      </w:r>
      <w:r>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Pr>
          <w:rFonts w:ascii="Palatino Linotype" w:hAnsi="Palatino Linotype" w:cs="Arial"/>
          <w:sz w:val="24"/>
          <w:szCs w:val="24"/>
        </w:rPr>
        <w:t>, CONFORMADO POR LOS COMISIONADOS ZULEMA MARTÍNEZ SÁNCHEZ, EVA ABAID YAPUR, JOSÉ GUADALUPE LUNA HERNÁNDEZ</w:t>
      </w:r>
      <w:r w:rsidRPr="00D34EB2">
        <w:rPr>
          <w:rFonts w:ascii="Palatino Linotype" w:hAnsi="Palatino Linotype" w:cs="Arial"/>
          <w:sz w:val="24"/>
          <w:szCs w:val="24"/>
        </w:rPr>
        <w:t xml:space="preserve"> </w:t>
      </w:r>
      <w:r>
        <w:rPr>
          <w:rFonts w:ascii="Palatino Linotype" w:hAnsi="Palatino Linotype" w:cs="Arial"/>
          <w:sz w:val="24"/>
          <w:szCs w:val="24"/>
        </w:rPr>
        <w:t>EMITIENDO VOTO PARTICULAR, JAVIER MARTÍNEZ CRUZ Y LUIS GUSTAVO PARRA NORIEGA, EN LA VIGÉSIMO QUINTA SESIÓN ORDINARIA CELEBRADA EL CUATRO DE JULIO DE DOS MIL DIECINUEVE, ANTE EL SECRETARIO TÉCNICO DEL PLENO, ALEXIS TAPIA RAMÍREZ.----------------------------------------------------------------------------------------------------------------------------------------------------------------------------------------------------------------------------------------------------------------------------------------------------------------------------------------------------------------------------------------------------------------------------------------------------------------------------------------------------------------------------------------------------------------------------------------------------------------------------------------------------------------------------------------------------------------------------------------------------------------------------------------------------------------------------------------------------------------------------------------------------</w:t>
      </w:r>
    </w:p>
    <w:p w:rsidR="00D34EB2" w:rsidRDefault="00D34EB2" w:rsidP="00D34EB2">
      <w:pPr>
        <w:spacing w:after="0" w:line="360" w:lineRule="auto"/>
        <w:jc w:val="both"/>
        <w:rPr>
          <w:rFonts w:ascii="Palatino Linotype" w:hAnsi="Palatino Linotype"/>
        </w:rPr>
      </w:pPr>
    </w:p>
    <w:p w:rsidR="00D34EB2" w:rsidRDefault="00D34EB2" w:rsidP="00D34EB2">
      <w:pPr>
        <w:spacing w:before="240"/>
        <w:jc w:val="both"/>
        <w:rPr>
          <w:rFonts w:ascii="Palatino Linotype" w:hAnsi="Palatino Linotype"/>
        </w:rPr>
      </w:pPr>
      <w:r w:rsidRPr="00D54B7D">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72C2DC2D" wp14:editId="3885AB9A">
                <wp:simplePos x="0" y="0"/>
                <wp:positionH relativeFrom="page">
                  <wp:align>center</wp:align>
                </wp:positionH>
                <wp:positionV relativeFrom="paragraph">
                  <wp:posOffset>162209</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rsidR="00D34EB2" w:rsidRPr="00EF2FC0" w:rsidRDefault="00D34EB2" w:rsidP="00D34EB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34EB2" w:rsidRDefault="00D34EB2" w:rsidP="00D34EB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Default="00D34EB2" w:rsidP="00D34EB2">
                            <w:pPr>
                              <w:spacing w:line="240" w:lineRule="auto"/>
                              <w:jc w:val="center"/>
                              <w:rPr>
                                <w:rFonts w:ascii="Palatino Linotype" w:hAnsi="Palatino Linotype"/>
                                <w:sz w:val="24"/>
                                <w:szCs w:val="24"/>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72C2DC2D" id="_x0000_t202" coordsize="21600,21600" o:spt="202" path="m,l,21600r21600,l21600,xe">
                <v:stroke joinstyle="miter"/>
                <v:path gradientshapeok="t" o:connecttype="rect"/>
              </v:shapetype>
              <v:shape id="Cuadro de texto 2" o:spid="_x0000_s1026" type="#_x0000_t202" style="position:absolute;left:0;text-align:left;margin-left:0;margin-top:12.75pt;width:185.9pt;height:1in;z-index:251663360;visibility:visible;mso-wrap-style:square;mso-width-percent:400;mso-height-percent:0;mso-wrap-distance-left:9pt;mso-wrap-distance-top:3.6pt;mso-wrap-distance-right:9pt;mso-wrap-distance-bottom:3.6pt;mso-position-horizontal:center;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" stroked="f">
                <v:textbox>
                  <w:txbxContent>
                    <w:p w:rsidR="00D34EB2" w:rsidRPr="00EF2FC0" w:rsidRDefault="00D34EB2" w:rsidP="00D34EB2">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rsidR="00D34EB2" w:rsidRDefault="00D34EB2" w:rsidP="00D34EB2">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Default="00D34EB2" w:rsidP="00D34EB2">
                      <w:pPr>
                        <w:spacing w:line="240" w:lineRule="auto"/>
                        <w:jc w:val="center"/>
                        <w:rPr>
                          <w:rFonts w:ascii="Palatino Linotype" w:hAnsi="Palatino Linotype"/>
                          <w:sz w:val="24"/>
                          <w:szCs w:val="24"/>
                        </w:rPr>
                      </w:pPr>
                    </w:p>
                  </w:txbxContent>
                </v:textbox>
                <w10:wrap type="square" anchorx="page"/>
              </v:shape>
            </w:pict>
          </mc:Fallback>
        </mc:AlternateContent>
      </w:r>
    </w:p>
    <w:p w:rsidR="00D34EB2" w:rsidRPr="00D54B7D" w:rsidRDefault="00D34EB2" w:rsidP="00D34EB2">
      <w:pPr>
        <w:spacing w:before="240"/>
        <w:jc w:val="both"/>
        <w:rPr>
          <w:rFonts w:ascii="Palatino Linotype" w:hAnsi="Palatino Linotype"/>
        </w:rPr>
      </w:pPr>
    </w:p>
    <w:p w:rsidR="00D34EB2" w:rsidRDefault="00D34EB2" w:rsidP="00D34EB2">
      <w:pPr>
        <w:spacing w:before="240"/>
        <w:rPr>
          <w:rFonts w:ascii="Palatino Linotype" w:hAnsi="Palatino Linotype"/>
          <w:b/>
        </w:rPr>
      </w:pPr>
    </w:p>
    <w:p w:rsidR="00D34EB2" w:rsidRDefault="00D34EB2" w:rsidP="00D34EB2">
      <w:pPr>
        <w:spacing w:before="240"/>
        <w:rPr>
          <w:rFonts w:ascii="Palatino Linotype" w:hAnsi="Palatino Linotype"/>
          <w:b/>
        </w:rPr>
      </w:pPr>
    </w:p>
    <w:p w:rsidR="00D34EB2" w:rsidRDefault="00D34EB2" w:rsidP="00D34EB2">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B14F328" wp14:editId="6DC138EB">
                <wp:simplePos x="0" y="0"/>
                <wp:positionH relativeFrom="margin">
                  <wp:align>right</wp:align>
                </wp:positionH>
                <wp:positionV relativeFrom="paragraph">
                  <wp:posOffset>66021</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34EB2" w:rsidRPr="00EF2FC0" w:rsidRDefault="00D34EB2" w:rsidP="00D34EB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34EB2" w:rsidRDefault="00D34EB2" w:rsidP="00D34E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Pr="00797B31" w:rsidRDefault="00D34EB2" w:rsidP="00D34EB2">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4F328" id="Cuadro de texto 35" o:spid="_x0000_s1027" type="#_x0000_t202" style="position:absolute;margin-left:149.05pt;margin-top:5.2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" fillcolor="white [3201]" strokecolor="white [3212]" strokeweight=".5pt">
                <v:textbox>
                  <w:txbxContent>
                    <w:p w:rsidR="00D34EB2" w:rsidRPr="00EF2FC0" w:rsidRDefault="00D34EB2" w:rsidP="00D34EB2">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rsidR="00D34EB2" w:rsidRDefault="00D34EB2" w:rsidP="00D34E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Pr="00797B31" w:rsidRDefault="00D34EB2" w:rsidP="00D34EB2">
                      <w:pPr>
                        <w:spacing w:line="240" w:lineRule="auto"/>
                        <w:jc w:val="center"/>
                        <w:rPr>
                          <w:rFonts w:ascii="Palatino Linotype" w:hAnsi="Palatino Linotype"/>
                          <w:sz w:val="24"/>
                          <w:szCs w:val="24"/>
                        </w:rPr>
                      </w:pPr>
                    </w:p>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28B18516" wp14:editId="3D4B5E41">
                <wp:simplePos x="0" y="0"/>
                <wp:positionH relativeFrom="margin">
                  <wp:align>left</wp:align>
                </wp:positionH>
                <wp:positionV relativeFrom="paragraph">
                  <wp:posOffset>61595</wp:posOffset>
                </wp:positionV>
                <wp:extent cx="1943100" cy="994410"/>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41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34EB2" w:rsidRPr="00EF2FC0" w:rsidRDefault="00D34EB2" w:rsidP="00D34EB2">
                            <w:pPr>
                              <w:jc w:val="center"/>
                              <w:rPr>
                                <w:rFonts w:ascii="Palatino Linotype" w:hAnsi="Palatino Linotype"/>
                                <w:b/>
                                <w:sz w:val="24"/>
                                <w:szCs w:val="24"/>
                              </w:rPr>
                            </w:pPr>
                            <w:r w:rsidRPr="00EF2FC0">
                              <w:rPr>
                                <w:rFonts w:ascii="Palatino Linotype" w:hAnsi="Palatino Linotype"/>
                                <w:b/>
                                <w:sz w:val="24"/>
                                <w:szCs w:val="24"/>
                              </w:rPr>
                              <w:t>Eva Abaid Yapur</w:t>
                            </w:r>
                          </w:p>
                          <w:p w:rsidR="00D34EB2" w:rsidRPr="00EF2FC0" w:rsidRDefault="00D34EB2" w:rsidP="00D34EB2">
                            <w:pPr>
                              <w:jc w:val="center"/>
                              <w:rPr>
                                <w:rFonts w:ascii="Palatino Linotype" w:hAnsi="Palatino Linotype"/>
                                <w:sz w:val="24"/>
                                <w:szCs w:val="24"/>
                              </w:rPr>
                            </w:pPr>
                            <w:r w:rsidRPr="00EF2FC0">
                              <w:rPr>
                                <w:rFonts w:ascii="Palatino Linotype" w:hAnsi="Palatino Linotype"/>
                                <w:sz w:val="24"/>
                                <w:szCs w:val="24"/>
                              </w:rPr>
                              <w:t>Comisionada</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Default="00D34EB2" w:rsidP="00D34EB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18516" id="Cuadro de texto 22" o:spid="_x0000_s1028" type="#_x0000_t202" style="position:absolute;margin-left:0;margin-top:4.85pt;width:153pt;height:78.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" fillcolor="white [3201]" strokecolor="white [3212]" strokeweight=".5pt">
                <v:textbox>
                  <w:txbxContent>
                    <w:p w:rsidR="00D34EB2" w:rsidRPr="00EF2FC0" w:rsidRDefault="00D34EB2" w:rsidP="00D34EB2">
                      <w:pPr>
                        <w:jc w:val="center"/>
                        <w:rPr>
                          <w:rFonts w:ascii="Palatino Linotype" w:hAnsi="Palatino Linotype"/>
                          <w:b/>
                          <w:sz w:val="24"/>
                          <w:szCs w:val="24"/>
                        </w:rPr>
                      </w:pPr>
                      <w:r w:rsidRPr="00EF2FC0">
                        <w:rPr>
                          <w:rFonts w:ascii="Palatino Linotype" w:hAnsi="Palatino Linotype"/>
                          <w:b/>
                          <w:sz w:val="24"/>
                          <w:szCs w:val="24"/>
                        </w:rPr>
                        <w:t>Eva Abaid Yapur</w:t>
                      </w:r>
                    </w:p>
                    <w:p w:rsidR="00D34EB2" w:rsidRPr="00EF2FC0" w:rsidRDefault="00D34EB2" w:rsidP="00D34EB2">
                      <w:pPr>
                        <w:jc w:val="center"/>
                        <w:rPr>
                          <w:rFonts w:ascii="Palatino Linotype" w:hAnsi="Palatino Linotype"/>
                          <w:sz w:val="24"/>
                          <w:szCs w:val="24"/>
                        </w:rPr>
                      </w:pPr>
                      <w:r w:rsidRPr="00EF2FC0">
                        <w:rPr>
                          <w:rFonts w:ascii="Palatino Linotype" w:hAnsi="Palatino Linotype"/>
                          <w:sz w:val="24"/>
                          <w:szCs w:val="24"/>
                        </w:rPr>
                        <w:t>Comisionada</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Default="00D34EB2" w:rsidP="00D34EB2">
                      <w:pPr>
                        <w:jc w:val="center"/>
                      </w:pPr>
                    </w:p>
                  </w:txbxContent>
                </v:textbox>
                <w10:wrap anchorx="margin"/>
              </v:shape>
            </w:pict>
          </mc:Fallback>
        </mc:AlternateContent>
      </w:r>
    </w:p>
    <w:p w:rsidR="00D34EB2" w:rsidRPr="00D54B7D" w:rsidRDefault="00D34EB2" w:rsidP="00D34EB2">
      <w:pPr>
        <w:spacing w:before="240"/>
        <w:rPr>
          <w:rFonts w:ascii="Palatino Linotype" w:hAnsi="Palatino Linotype"/>
          <w:b/>
        </w:rPr>
      </w:pPr>
    </w:p>
    <w:p w:rsidR="00D34EB2" w:rsidRPr="00D54B7D" w:rsidRDefault="00D34EB2" w:rsidP="00D34EB2">
      <w:pPr>
        <w:spacing w:before="240"/>
        <w:rPr>
          <w:rFonts w:ascii="Palatino Linotype" w:hAnsi="Palatino Linotype"/>
          <w:b/>
        </w:rPr>
      </w:pPr>
    </w:p>
    <w:p w:rsidR="00D34EB2" w:rsidRDefault="00D34EB2" w:rsidP="00D34EB2">
      <w:pPr>
        <w:spacing w:before="240"/>
        <w:rPr>
          <w:rFonts w:ascii="Palatino Linotype" w:hAnsi="Palatino Linotype"/>
          <w:b/>
        </w:rPr>
      </w:pPr>
    </w:p>
    <w:p w:rsidR="00D34EB2" w:rsidRPr="00B93570" w:rsidRDefault="00D34EB2" w:rsidP="00D34EB2">
      <w:pPr>
        <w:spacing w:before="240"/>
        <w:rPr>
          <w:rFonts w:ascii="Palatino Linotype" w:hAnsi="Palatino Linotype"/>
          <w:b/>
          <w:sz w:val="18"/>
          <w:szCs w:val="18"/>
        </w:rPr>
      </w:pPr>
    </w:p>
    <w:p w:rsidR="00D34EB2" w:rsidRPr="00B93570" w:rsidRDefault="00D34EB2" w:rsidP="00D34EB2">
      <w:pPr>
        <w:spacing w:before="240"/>
        <w:rPr>
          <w:rFonts w:ascii="Palatino Linotype" w:hAnsi="Palatino Linotype"/>
          <w:b/>
          <w:sz w:val="18"/>
          <w:szCs w:val="18"/>
        </w:rPr>
      </w:pPr>
    </w:p>
    <w:p w:rsidR="00D34EB2" w:rsidRDefault="00D34EB2" w:rsidP="00D34EB2">
      <w:pPr>
        <w:spacing w:before="240"/>
        <w:rPr>
          <w:rFonts w:ascii="Palatino Linotype" w:hAnsi="Palatino Linotype"/>
          <w:b/>
        </w:rPr>
      </w:pPr>
      <w:r w:rsidRPr="00D54B7D">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31453341" wp14:editId="46CC1490">
                <wp:simplePos x="0" y="0"/>
                <wp:positionH relativeFrom="margin">
                  <wp:align>left</wp:align>
                </wp:positionH>
                <wp:positionV relativeFrom="paragraph">
                  <wp:posOffset>63130</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34EB2" w:rsidRPr="00EF2FC0" w:rsidRDefault="00D34EB2" w:rsidP="00D34EB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34EB2" w:rsidRPr="00EF2FC0" w:rsidRDefault="00D34EB2" w:rsidP="00D34E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Default="00D34EB2" w:rsidP="00D34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453341" id="_x0000_s1029" type="#_x0000_t202" style="position:absolute;margin-left:0;margin-top:4.95pt;width:168pt;height:74.3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BiB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" fillcolor="white [3201]" strokecolor="white [3212]" strokeweight=".5pt">
                <v:textbox>
                  <w:txbxContent>
                    <w:p w:rsidR="00D34EB2" w:rsidRPr="00EF2FC0" w:rsidRDefault="00D34EB2" w:rsidP="00D34EB2">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rsidR="00D34EB2" w:rsidRPr="00EF2FC0" w:rsidRDefault="00D34EB2" w:rsidP="00D34E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Default="00D34EB2" w:rsidP="00D34EB2"/>
                  </w:txbxContent>
                </v:textbox>
                <w10:wrap anchorx="margin"/>
              </v:shape>
            </w:pict>
          </mc:Fallback>
        </mc:AlternateContent>
      </w:r>
      <w:r w:rsidRPr="00D54B7D">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0F6BC579" wp14:editId="34836EFA">
                <wp:simplePos x="0" y="0"/>
                <wp:positionH relativeFrom="page">
                  <wp:posOffset>4547235</wp:posOffset>
                </wp:positionH>
                <wp:positionV relativeFrom="paragraph">
                  <wp:posOffset>59643</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34EB2" w:rsidRPr="00EF2FC0" w:rsidRDefault="00D34EB2" w:rsidP="00D34EB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D34EB2" w:rsidRPr="00EF2FC0" w:rsidRDefault="00D34EB2" w:rsidP="00D34E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Default="00D34EB2" w:rsidP="00D34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BC579" id="Cuadro de texto 4" o:spid="_x0000_s1030" type="#_x0000_t202" style="position:absolute;margin-left:358.05pt;margin-top:4.7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aY3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" fillcolor="white [3201]" strokecolor="white [3212]" strokeweight=".5pt">
                <v:textbox>
                  <w:txbxContent>
                    <w:p w:rsidR="00D34EB2" w:rsidRPr="00EF2FC0" w:rsidRDefault="00D34EB2" w:rsidP="00D34EB2">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rsidR="00D34EB2" w:rsidRPr="00EF2FC0" w:rsidRDefault="00D34EB2" w:rsidP="00D34EB2">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(Rúbrica).</w:t>
                      </w:r>
                    </w:p>
                    <w:p w:rsidR="00D34EB2" w:rsidRDefault="00D34EB2" w:rsidP="00D34EB2"/>
                  </w:txbxContent>
                </v:textbox>
                <w10:wrap anchorx="page"/>
              </v:shape>
            </w:pict>
          </mc:Fallback>
        </mc:AlternateContent>
      </w:r>
    </w:p>
    <w:p w:rsidR="00D34EB2" w:rsidRDefault="00D34EB2" w:rsidP="00D34EB2">
      <w:pPr>
        <w:spacing w:before="240"/>
        <w:rPr>
          <w:rFonts w:ascii="Palatino Linotype" w:hAnsi="Palatino Linotype"/>
          <w:b/>
        </w:rPr>
      </w:pPr>
    </w:p>
    <w:p w:rsidR="00D34EB2" w:rsidRDefault="00D34EB2" w:rsidP="00D34EB2">
      <w:pPr>
        <w:spacing w:before="240"/>
        <w:rPr>
          <w:rFonts w:ascii="Palatino Linotype" w:hAnsi="Palatino Linotype" w:cs="Arial"/>
          <w:szCs w:val="20"/>
        </w:rPr>
      </w:pPr>
    </w:p>
    <w:p w:rsidR="00D34EB2" w:rsidRDefault="00D34EB2" w:rsidP="00D34EB2">
      <w:pPr>
        <w:spacing w:before="240"/>
        <w:rPr>
          <w:rFonts w:ascii="Palatino Linotype" w:hAnsi="Palatino Linotype" w:cs="Arial"/>
          <w:szCs w:val="20"/>
        </w:rPr>
      </w:pPr>
    </w:p>
    <w:p w:rsidR="00D34EB2" w:rsidRDefault="00D34EB2" w:rsidP="00D34EB2">
      <w:pPr>
        <w:spacing w:before="240"/>
        <w:rPr>
          <w:rFonts w:ascii="Palatino Linotype" w:hAnsi="Palatino Linotype" w:cs="Arial"/>
          <w:sz w:val="18"/>
          <w:szCs w:val="18"/>
        </w:rPr>
      </w:pPr>
    </w:p>
    <w:p w:rsidR="00D34EB2" w:rsidRDefault="00D34EB2" w:rsidP="00D34EB2">
      <w:pPr>
        <w:spacing w:before="240"/>
        <w:jc w:val="both"/>
        <w:rPr>
          <w:rFonts w:ascii="Palatino Linotype" w:hAnsi="Palatino Linotype" w:cs="Arial"/>
          <w:sz w:val="18"/>
          <w:szCs w:val="18"/>
        </w:rPr>
      </w:pPr>
      <w:r w:rsidRPr="00D54B7D">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1E3DAAE3" wp14:editId="3ED18063">
                <wp:simplePos x="0" y="0"/>
                <wp:positionH relativeFrom="page">
                  <wp:align>center</wp:align>
                </wp:positionH>
                <wp:positionV relativeFrom="paragraph">
                  <wp:posOffset>63680</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D34EB2" w:rsidRPr="007F6133" w:rsidRDefault="00D34EB2" w:rsidP="00D34EB2">
                            <w:pPr>
                              <w:jc w:val="center"/>
                              <w:rPr>
                                <w:rFonts w:ascii="Palatino Linotype" w:hAnsi="Palatino Linotype"/>
                                <w:b/>
                                <w:sz w:val="24"/>
                                <w:szCs w:val="24"/>
                              </w:rPr>
                            </w:pPr>
                            <w:r w:rsidRPr="00B86F1F">
                              <w:rPr>
                                <w:rFonts w:ascii="Palatino Linotype" w:hAnsi="Palatino Linotype"/>
                                <w:b/>
                                <w:sz w:val="24"/>
                                <w:szCs w:val="24"/>
                              </w:rPr>
                              <w:t>Alexis Tapia Ramírez</w:t>
                            </w:r>
                          </w:p>
                          <w:p w:rsidR="00D34EB2" w:rsidRDefault="00D34EB2" w:rsidP="00D34EB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D34EB2" w:rsidRDefault="00D34EB2" w:rsidP="00D34EB2">
                            <w:pPr>
                              <w:jc w:val="center"/>
                              <w:rPr>
                                <w:rFonts w:ascii="Palatino Linotype" w:hAnsi="Palatino Linotype"/>
                                <w:sz w:val="24"/>
                                <w:szCs w:val="24"/>
                              </w:rPr>
                            </w:pPr>
                          </w:p>
                          <w:p w:rsidR="00D34EB2" w:rsidRPr="00EF2FC0" w:rsidRDefault="00D34EB2" w:rsidP="00D34EB2">
                            <w:pPr>
                              <w:jc w:val="center"/>
                              <w:rPr>
                                <w:rFonts w:ascii="Palatino Linotype" w:hAnsi="Palatino Linotype"/>
                                <w:sz w:val="24"/>
                                <w:szCs w:val="24"/>
                              </w:rPr>
                            </w:pPr>
                          </w:p>
                          <w:p w:rsidR="00D34EB2" w:rsidRDefault="00D34EB2" w:rsidP="00D34EB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DAAE3" id="Cuadro de texto 24" o:spid="_x0000_s1031" type="#_x0000_t202" style="position:absolute;left:0;text-align:left;margin-left:0;margin-top:5pt;width:248.25pt;height:74.9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" fillcolor="white [3201]" strokecolor="white [3212]" strokeweight=".5pt">
                <v:textbox>
                  <w:txbxContent>
                    <w:p w:rsidR="00D34EB2" w:rsidRPr="007F6133" w:rsidRDefault="00D34EB2" w:rsidP="00D34EB2">
                      <w:pPr>
                        <w:jc w:val="center"/>
                        <w:rPr>
                          <w:rFonts w:ascii="Palatino Linotype" w:hAnsi="Palatino Linotype"/>
                          <w:b/>
                          <w:sz w:val="24"/>
                          <w:szCs w:val="24"/>
                        </w:rPr>
                      </w:pPr>
                      <w:r w:rsidRPr="00B86F1F">
                        <w:rPr>
                          <w:rFonts w:ascii="Palatino Linotype" w:hAnsi="Palatino Linotype"/>
                          <w:b/>
                          <w:sz w:val="24"/>
                          <w:szCs w:val="24"/>
                        </w:rPr>
                        <w:t>Alexis Tapia Ramírez</w:t>
                      </w:r>
                    </w:p>
                    <w:p w:rsidR="00D34EB2" w:rsidRDefault="00D34EB2" w:rsidP="00D34EB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rsidR="00D34EB2" w:rsidRDefault="00D34EB2" w:rsidP="00D34EB2">
                      <w:pPr>
                        <w:spacing w:line="240" w:lineRule="auto"/>
                        <w:jc w:val="center"/>
                        <w:rPr>
                          <w:rFonts w:ascii="Palatino Linotype" w:hAnsi="Palatino Linotype"/>
                          <w:b/>
                          <w:sz w:val="24"/>
                          <w:szCs w:val="24"/>
                        </w:rPr>
                      </w:pPr>
                      <w:r>
                        <w:rPr>
                          <w:rFonts w:ascii="Palatino Linotype" w:hAnsi="Palatino Linotype"/>
                          <w:b/>
                          <w:sz w:val="24"/>
                          <w:szCs w:val="24"/>
                        </w:rPr>
                        <w:t xml:space="preserve"> (Rúbrica).</w:t>
                      </w:r>
                    </w:p>
                    <w:p w:rsidR="00D34EB2" w:rsidRDefault="00D34EB2" w:rsidP="00D34EB2">
                      <w:pPr>
                        <w:jc w:val="center"/>
                        <w:rPr>
                          <w:rFonts w:ascii="Palatino Linotype" w:hAnsi="Palatino Linotype"/>
                          <w:sz w:val="24"/>
                          <w:szCs w:val="24"/>
                        </w:rPr>
                      </w:pPr>
                    </w:p>
                    <w:p w:rsidR="00D34EB2" w:rsidRPr="00EF2FC0" w:rsidRDefault="00D34EB2" w:rsidP="00D34EB2">
                      <w:pPr>
                        <w:jc w:val="center"/>
                        <w:rPr>
                          <w:rFonts w:ascii="Palatino Linotype" w:hAnsi="Palatino Linotype"/>
                          <w:sz w:val="24"/>
                          <w:szCs w:val="24"/>
                        </w:rPr>
                      </w:pPr>
                    </w:p>
                    <w:p w:rsidR="00D34EB2" w:rsidRDefault="00D34EB2" w:rsidP="00D34EB2"/>
                  </w:txbxContent>
                </v:textbox>
                <w10:wrap anchorx="page"/>
              </v:shape>
            </w:pict>
          </mc:Fallback>
        </mc:AlternateContent>
      </w:r>
    </w:p>
    <w:p w:rsidR="00D34EB2" w:rsidRDefault="00D34EB2" w:rsidP="00D34EB2">
      <w:pPr>
        <w:spacing w:before="240" w:line="240" w:lineRule="auto"/>
        <w:jc w:val="both"/>
        <w:rPr>
          <w:rFonts w:ascii="Palatino Linotype" w:hAnsi="Palatino Linotype" w:cs="Arial"/>
          <w:sz w:val="14"/>
          <w:szCs w:val="14"/>
        </w:rPr>
      </w:pPr>
    </w:p>
    <w:p w:rsidR="00D34EB2" w:rsidRDefault="00D34EB2" w:rsidP="00D34EB2">
      <w:pPr>
        <w:spacing w:before="240" w:line="240" w:lineRule="auto"/>
        <w:jc w:val="both"/>
        <w:rPr>
          <w:rFonts w:ascii="Palatino Linotype" w:hAnsi="Palatino Linotype" w:cs="Arial"/>
          <w:sz w:val="14"/>
          <w:szCs w:val="14"/>
        </w:rPr>
      </w:pPr>
    </w:p>
    <w:p w:rsidR="00D34EB2" w:rsidRDefault="00D34EB2" w:rsidP="00D34EB2">
      <w:pPr>
        <w:spacing w:before="240" w:line="240" w:lineRule="auto"/>
        <w:jc w:val="both"/>
        <w:rPr>
          <w:rFonts w:ascii="Palatino Linotype" w:hAnsi="Palatino Linotype" w:cs="Arial"/>
          <w:sz w:val="14"/>
          <w:szCs w:val="14"/>
        </w:rPr>
      </w:pPr>
    </w:p>
    <w:p w:rsidR="00D34EB2" w:rsidRPr="002052F6" w:rsidRDefault="00D34EB2" w:rsidP="00D34EB2">
      <w:pPr>
        <w:spacing w:after="0" w:line="240" w:lineRule="auto"/>
        <w:jc w:val="both"/>
        <w:rPr>
          <w:rFonts w:ascii="Palatino Linotype" w:hAnsi="Palatino Linotype" w:cs="Arial"/>
          <w:sz w:val="16"/>
          <w:szCs w:val="16"/>
        </w:rPr>
      </w:pPr>
      <w:r w:rsidRPr="002052F6">
        <w:rPr>
          <w:rFonts w:ascii="Palatino Linotype" w:hAnsi="Palatino Linotype" w:cs="Arial"/>
          <w:sz w:val="16"/>
          <w:szCs w:val="16"/>
        </w:rPr>
        <w:t xml:space="preserve">Esta hoja corresponde a la resolución de fecha </w:t>
      </w:r>
      <w:r>
        <w:rPr>
          <w:rFonts w:ascii="Palatino Linotype" w:hAnsi="Palatino Linotype" w:cs="Arial"/>
          <w:sz w:val="16"/>
          <w:szCs w:val="16"/>
        </w:rPr>
        <w:t>cuatro de julio de dos mil diecinueve</w:t>
      </w:r>
      <w:r w:rsidRPr="002052F6">
        <w:rPr>
          <w:rFonts w:ascii="Palatino Linotype" w:hAnsi="Palatino Linotype" w:cs="Arial"/>
          <w:sz w:val="16"/>
          <w:szCs w:val="16"/>
        </w:rPr>
        <w:t xml:space="preserve">, emitida en el recurso de revisión </w:t>
      </w:r>
      <w:r>
        <w:rPr>
          <w:rFonts w:ascii="Palatino Linotype" w:hAnsi="Palatino Linotype" w:cs="Arial"/>
          <w:bCs/>
          <w:sz w:val="16"/>
          <w:szCs w:val="16"/>
          <w:lang w:eastAsia="es-MX"/>
        </w:rPr>
        <w:t>03040/INFOEM/IP/RR/2019</w:t>
      </w:r>
      <w:r w:rsidRPr="002052F6">
        <w:rPr>
          <w:rFonts w:ascii="Palatino Linotype" w:hAnsi="Palatino Linotype" w:cs="Arial"/>
          <w:sz w:val="16"/>
          <w:szCs w:val="16"/>
        </w:rPr>
        <w:t>.</w:t>
      </w:r>
    </w:p>
    <w:p w:rsidR="00D34EB2" w:rsidRDefault="00D34EB2" w:rsidP="00D34EB2">
      <w:pPr>
        <w:spacing w:after="0"/>
      </w:pPr>
      <w:r w:rsidRPr="002052F6">
        <w:t>ZMS/OSAM/MAEM</w:t>
      </w:r>
    </w:p>
    <w:p w:rsidR="00DD13E2" w:rsidRDefault="00DD13E2" w:rsidP="00A459D0">
      <w:pPr>
        <w:spacing w:after="0" w:line="360" w:lineRule="auto"/>
        <w:jc w:val="both"/>
      </w:pPr>
    </w:p>
    <w:sectPr w:rsidR="00DD13E2" w:rsidSect="00E15E85">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32E7" w:rsidRDefault="000332E7" w:rsidP="00E15E85">
      <w:pPr>
        <w:spacing w:after="0" w:line="240" w:lineRule="auto"/>
      </w:pPr>
      <w:r>
        <w:separator/>
      </w:r>
    </w:p>
  </w:endnote>
  <w:endnote w:type="continuationSeparator" w:id="0">
    <w:p w:rsidR="000332E7" w:rsidRDefault="000332E7"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35D8">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32E7" w:rsidRDefault="000332E7" w:rsidP="00E15E85">
      <w:pPr>
        <w:spacing w:after="0" w:line="240" w:lineRule="auto"/>
      </w:pPr>
      <w:r>
        <w:separator/>
      </w:r>
    </w:p>
  </w:footnote>
  <w:footnote w:type="continuationSeparator" w:id="0">
    <w:p w:rsidR="000332E7" w:rsidRDefault="000332E7" w:rsidP="00E15E85">
      <w:pPr>
        <w:spacing w:after="0" w:line="240" w:lineRule="auto"/>
      </w:pPr>
      <w:r>
        <w:continuationSeparator/>
      </w:r>
    </w:p>
  </w:footnote>
  <w:footnote w:id="1">
    <w:p w:rsidR="00653B08" w:rsidRPr="00911081" w:rsidRDefault="00653B08" w:rsidP="00653B08">
      <w:pPr>
        <w:jc w:val="both"/>
        <w:rPr>
          <w:rFonts w:ascii="Palatino Linotype" w:eastAsia="Times New Roman" w:hAnsi="Palatino Linotype"/>
          <w:b/>
          <w:bCs/>
          <w:i/>
          <w:sz w:val="16"/>
          <w:szCs w:val="16"/>
          <w:lang w:eastAsia="es-MX"/>
        </w:rPr>
      </w:pPr>
      <w:r>
        <w:rPr>
          <w:rStyle w:val="Refdenotaalpie"/>
        </w:rPr>
        <w:footnoteRef/>
      </w:r>
      <w:r>
        <w:t xml:space="preserve"> </w:t>
      </w:r>
      <w:r w:rsidRPr="00911081">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653B08" w:rsidRPr="00911081" w:rsidRDefault="00653B08" w:rsidP="00653B08">
      <w:pPr>
        <w:jc w:val="both"/>
        <w:rPr>
          <w:rFonts w:ascii="Palatino Linotype" w:hAnsi="Palatino Linotype"/>
          <w:i/>
          <w:sz w:val="16"/>
          <w:szCs w:val="16"/>
        </w:rPr>
      </w:pPr>
      <w:r w:rsidRPr="00911081">
        <w:rPr>
          <w:rFonts w:ascii="Palatino Linotype" w:hAnsi="Palatino Linotype"/>
          <w:i/>
          <w:sz w:val="16"/>
          <w:szCs w:val="16"/>
        </w:rPr>
        <w:t>Del examen de compatibilidad de los artículos</w:t>
      </w:r>
      <w:r w:rsidRPr="00911081">
        <w:rPr>
          <w:rStyle w:val="apple-converted-space"/>
          <w:rFonts w:ascii="Palatino Linotype" w:hAnsi="Palatino Linotype"/>
          <w:i/>
          <w:sz w:val="16"/>
          <w:szCs w:val="16"/>
        </w:rPr>
        <w:t> </w:t>
      </w:r>
      <w:hyperlink r:id="rId1" w:history="1">
        <w:r w:rsidRPr="00911081">
          <w:rPr>
            <w:rStyle w:val="Hipervnculo"/>
            <w:rFonts w:ascii="Palatino Linotype" w:hAnsi="Palatino Linotype"/>
            <w:i/>
            <w:sz w:val="16"/>
            <w:szCs w:val="16"/>
          </w:rPr>
          <w:t>73 y 74 de la Ley de Amparo</w:t>
        </w:r>
      </w:hyperlink>
      <w:r w:rsidRPr="00911081">
        <w:rPr>
          <w:rStyle w:val="apple-converted-space"/>
          <w:rFonts w:ascii="Palatino Linotype" w:hAnsi="Palatino Linotype"/>
          <w:i/>
          <w:sz w:val="16"/>
          <w:szCs w:val="16"/>
        </w:rPr>
        <w:t> </w:t>
      </w:r>
      <w:r w:rsidRPr="00911081">
        <w:rPr>
          <w:rFonts w:ascii="Palatino Linotype" w:hAnsi="Palatino Linotype"/>
          <w:i/>
          <w:sz w:val="16"/>
          <w:szCs w:val="16"/>
        </w:rPr>
        <w:t>con el artículo</w:t>
      </w:r>
      <w:r w:rsidRPr="00911081">
        <w:rPr>
          <w:rStyle w:val="apple-converted-space"/>
          <w:rFonts w:ascii="Palatino Linotype" w:hAnsi="Palatino Linotype"/>
          <w:i/>
          <w:sz w:val="16"/>
          <w:szCs w:val="16"/>
        </w:rPr>
        <w:t> </w:t>
      </w:r>
      <w:hyperlink r:id="rId2" w:history="1">
        <w:r w:rsidRPr="00911081">
          <w:rPr>
            <w:rStyle w:val="Hipervnculo"/>
            <w:rFonts w:ascii="Palatino Linotype" w:hAnsi="Palatino Linotype"/>
            <w:i/>
            <w:sz w:val="16"/>
            <w:szCs w:val="16"/>
          </w:rPr>
          <w:t>25.1 de la Convención Americana sobre Derechos Humanos</w:t>
        </w:r>
      </w:hyperlink>
      <w:r w:rsidRPr="00911081">
        <w:rPr>
          <w:rStyle w:val="apple-converted-space"/>
          <w:rFonts w:ascii="Palatino Linotype" w:hAnsi="Palatino Linotype"/>
          <w:i/>
          <w:sz w:val="16"/>
          <w:szCs w:val="16"/>
        </w:rPr>
        <w:t> </w:t>
      </w:r>
      <w:r w:rsidRPr="00911081">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11081">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E20DFF" w:rsidRDefault="00E20DFF" w:rsidP="00E20DFF">
      <w:pPr>
        <w:pStyle w:val="Textonotapie"/>
      </w:pPr>
      <w:r>
        <w:rPr>
          <w:rStyle w:val="Refdenotaalpie"/>
        </w:rPr>
        <w:footnoteRef/>
      </w:r>
      <w:r>
        <w:t xml:space="preserve"> </w:t>
      </w:r>
      <w:r>
        <w:rPr>
          <w:rFonts w:ascii="Palatino Linotype" w:eastAsia="MS Mincho" w:hAnsi="Palatino Linotype" w:cs="Arial"/>
          <w:sz w:val="16"/>
          <w:szCs w:val="16"/>
          <w:lang w:eastAsia="es-MX"/>
        </w:rPr>
        <w:t xml:space="preserve">BURGOA ORIHUELA Ignacio. </w:t>
      </w:r>
      <w:r>
        <w:rPr>
          <w:rFonts w:ascii="Palatino Linotype" w:eastAsia="MS Mincho" w:hAnsi="Palatino Linotype" w:cs="Arial"/>
          <w:i/>
          <w:sz w:val="16"/>
          <w:szCs w:val="16"/>
          <w:lang w:eastAsia="es-MX"/>
        </w:rPr>
        <w:t>Diccionario De Derecho Constitucional, Garantías y Amparo</w:t>
      </w:r>
      <w:r>
        <w:rPr>
          <w:rFonts w:ascii="Palatino Linotype" w:eastAsia="MS Mincho" w:hAnsi="Palatino Linotype" w:cs="Arial"/>
          <w:sz w:val="16"/>
          <w:szCs w:val="16"/>
          <w:lang w:eastAsia="es-MX"/>
        </w:rPr>
        <w:t>. Ed. Porrúa, S.A., México. 1992. p. 115.</w:t>
      </w:r>
    </w:p>
  </w:footnote>
  <w:footnote w:id="3">
    <w:p w:rsidR="00E20DFF" w:rsidRDefault="00E20DFF" w:rsidP="00E20DFF">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4">
    <w:p w:rsidR="00E20DFF" w:rsidRDefault="00E20DFF" w:rsidP="00E20DFF">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5">
    <w:p w:rsidR="00E20DFF" w:rsidRDefault="00E20DFF" w:rsidP="00E20DFF">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lang w:eastAsia="es-MX"/>
        </w:rPr>
        <w:t>S.A., México. 2006. p. 270</w:t>
      </w:r>
    </w:p>
  </w:footnote>
  <w:footnote w:id="6">
    <w:p w:rsidR="00E20DFF" w:rsidRDefault="00E20DFF" w:rsidP="00E20DFF">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VILLANUEVA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rsidR="00E20DFF" w:rsidRDefault="00E20DFF" w:rsidP="00E20DFF">
      <w:pPr>
        <w:pStyle w:val="Textonotapie"/>
        <w:jc w:val="both"/>
        <w:rPr>
          <w:rFonts w:ascii="Arial" w:hAnsi="Arial" w:cs="Arial"/>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E85" w:rsidRDefault="00E15E85">
    <w:pPr>
      <w:pStyle w:val="Encabezado"/>
    </w:pP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5B1DF4">
            <w:rPr>
              <w:rFonts w:ascii="Palatino Linotype" w:hAnsi="Palatino Linotype" w:cs="Arial"/>
              <w:bCs/>
              <w:sz w:val="24"/>
              <w:lang w:eastAsia="es-MX"/>
            </w:rPr>
            <w:t>3040</w:t>
          </w:r>
          <w:r w:rsidR="00D41F41">
            <w:rPr>
              <w:rFonts w:ascii="Palatino Linotype" w:hAnsi="Palatino Linotype" w:cs="Arial"/>
              <w:bCs/>
              <w:sz w:val="24"/>
              <w:lang w:eastAsia="es-MX"/>
            </w:rPr>
            <w:t>/INFOEM/IP/RR/2019</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5B1DF4" w:rsidP="00E15E85">
          <w:pPr>
            <w:spacing w:after="120" w:line="256" w:lineRule="auto"/>
            <w:ind w:left="-486" w:right="214" w:firstLine="284"/>
            <w:jc w:val="right"/>
            <w:rPr>
              <w:rFonts w:ascii="Palatino Linotype" w:hAnsi="Palatino Linotype" w:cs="Arial"/>
              <w:szCs w:val="20"/>
            </w:rPr>
          </w:pPr>
          <w:r w:rsidRPr="005B1DF4">
            <w:rPr>
              <w:rFonts w:ascii="Palatino Linotype" w:hAnsi="Palatino Linotype" w:cs="Arial"/>
              <w:szCs w:val="20"/>
            </w:rPr>
            <w:t>Secretaría de Finanzas</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rsidTr="005F32D2">
      <w:trPr>
        <w:trHeight w:val="227"/>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5B1DF4">
            <w:rPr>
              <w:rFonts w:ascii="Palatino Linotype" w:hAnsi="Palatino Linotype" w:cs="Arial"/>
              <w:bCs/>
              <w:sz w:val="24"/>
              <w:lang w:eastAsia="es-MX"/>
            </w:rPr>
            <w:t>3040</w:t>
          </w:r>
          <w:r w:rsidR="00D41F41">
            <w:rPr>
              <w:rFonts w:ascii="Palatino Linotype" w:hAnsi="Palatino Linotype" w:cs="Arial"/>
              <w:bCs/>
              <w:sz w:val="24"/>
              <w:lang w:eastAsia="es-MX"/>
            </w:rPr>
            <w:t>/INFOEM/IP/RR/2019</w:t>
          </w:r>
        </w:p>
      </w:tc>
    </w:tr>
    <w:tr w:rsidR="00E15E85" w:rsidTr="005F32D2">
      <w:trPr>
        <w:trHeight w:val="196"/>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rsidR="00E15E85" w:rsidRPr="00F06FED" w:rsidRDefault="002A76FD" w:rsidP="00E15E85">
          <w:pPr>
            <w:spacing w:after="120" w:line="256" w:lineRule="auto"/>
            <w:ind w:left="-486" w:right="214" w:firstLine="567"/>
            <w:jc w:val="right"/>
            <w:rPr>
              <w:rFonts w:ascii="Palatino Linotype" w:hAnsi="Palatino Linotype" w:cs="Arial"/>
            </w:rPr>
          </w:pPr>
          <w:r>
            <w:rPr>
              <w:rFonts w:ascii="Palatino Linotype" w:hAnsi="Palatino Linotype" w:cs="Arial"/>
            </w:rPr>
            <w:t>XXXXXXXXXXXXXXX</w:t>
          </w:r>
        </w:p>
      </w:tc>
    </w:tr>
    <w:tr w:rsidR="00E15E85" w:rsidTr="005F32D2">
      <w:trPr>
        <w:trHeight w:val="242"/>
      </w:trPr>
      <w:tc>
        <w:tcPr>
          <w:tcW w:w="4679" w:type="dxa"/>
          <w:hideMark/>
        </w:tcPr>
        <w:p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rsidR="00E15E85" w:rsidRDefault="005B1DF4" w:rsidP="0015550A">
          <w:pPr>
            <w:spacing w:after="120" w:line="256" w:lineRule="auto"/>
            <w:ind w:left="-495" w:right="214" w:firstLine="567"/>
            <w:jc w:val="right"/>
            <w:rPr>
              <w:rFonts w:ascii="Palatino Linotype" w:hAnsi="Palatino Linotype" w:cs="Arial"/>
              <w:szCs w:val="20"/>
            </w:rPr>
          </w:pPr>
          <w:r w:rsidRPr="005B1DF4">
            <w:rPr>
              <w:rFonts w:ascii="Palatino Linotype" w:hAnsi="Palatino Linotype" w:cs="Arial"/>
              <w:szCs w:val="20"/>
            </w:rPr>
            <w:t>Secretaría de Finanzas</w:t>
          </w:r>
        </w:p>
      </w:tc>
    </w:tr>
    <w:tr w:rsidR="00E15E85" w:rsidTr="005F32D2">
      <w:trPr>
        <w:trHeight w:val="342"/>
      </w:trPr>
      <w:tc>
        <w:tcPr>
          <w:tcW w:w="4679" w:type="dxa"/>
          <w:hideMark/>
        </w:tcPr>
        <w:p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E15E85" w:rsidRDefault="00E15E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F14A0"/>
    <w:multiLevelType w:val="hybridMultilevel"/>
    <w:tmpl w:val="F1C0DB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EC374A0"/>
    <w:multiLevelType w:val="hybridMultilevel"/>
    <w:tmpl w:val="D2F24C8C"/>
    <w:lvl w:ilvl="0" w:tplc="62A24FB4">
      <w:start w:val="4"/>
      <w:numFmt w:val="upperRoman"/>
      <w:lvlText w:val="%1."/>
      <w:lvlJc w:val="righ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0F915A9C"/>
    <w:multiLevelType w:val="hybridMultilevel"/>
    <w:tmpl w:val="B4F0D7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 w15:restartNumberingAfterBreak="0">
    <w:nsid w:val="13D21891"/>
    <w:multiLevelType w:val="hybridMultilevel"/>
    <w:tmpl w:val="1DE08A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A04EDE"/>
    <w:multiLevelType w:val="hybridMultilevel"/>
    <w:tmpl w:val="421EF8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8147E6A"/>
    <w:multiLevelType w:val="hybridMultilevel"/>
    <w:tmpl w:val="DB76ED1E"/>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18191F58"/>
    <w:multiLevelType w:val="hybridMultilevel"/>
    <w:tmpl w:val="22126660"/>
    <w:lvl w:ilvl="0" w:tplc="0C72EAD6">
      <w:start w:val="1"/>
      <w:numFmt w:val="lowerLetter"/>
      <w:lvlText w:val="%1)"/>
      <w:lvlJc w:val="left"/>
      <w:pPr>
        <w:ind w:left="1003" w:hanging="360"/>
      </w:pPr>
      <w:rPr>
        <w:rFonts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1E7B0204"/>
    <w:multiLevelType w:val="hybridMultilevel"/>
    <w:tmpl w:val="ECA40B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327E0B"/>
    <w:multiLevelType w:val="hybridMultilevel"/>
    <w:tmpl w:val="624A4E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430F4B"/>
    <w:multiLevelType w:val="hybridMultilevel"/>
    <w:tmpl w:val="C30062C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F9E21C6"/>
    <w:multiLevelType w:val="hybridMultilevel"/>
    <w:tmpl w:val="1F1E16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FD90611"/>
    <w:multiLevelType w:val="hybridMultilevel"/>
    <w:tmpl w:val="AFD866F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7C27017"/>
    <w:multiLevelType w:val="hybridMultilevel"/>
    <w:tmpl w:val="F80EBAEE"/>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29CE0F5B"/>
    <w:multiLevelType w:val="hybridMultilevel"/>
    <w:tmpl w:val="739A800A"/>
    <w:lvl w:ilvl="0" w:tplc="E8B63936">
      <w:start w:val="21"/>
      <w:numFmt w:val="upperRoman"/>
      <w:lvlText w:val="%1."/>
      <w:lvlJc w:val="right"/>
      <w:pPr>
        <w:ind w:left="177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C03D60"/>
    <w:multiLevelType w:val="hybridMultilevel"/>
    <w:tmpl w:val="BA3CFDC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ABF5054"/>
    <w:multiLevelType w:val="hybridMultilevel"/>
    <w:tmpl w:val="DAC41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C7469F"/>
    <w:multiLevelType w:val="hybridMultilevel"/>
    <w:tmpl w:val="F326A260"/>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A44333E"/>
    <w:multiLevelType w:val="hybridMultilevel"/>
    <w:tmpl w:val="047E925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B157DB9"/>
    <w:multiLevelType w:val="hybridMultilevel"/>
    <w:tmpl w:val="18640776"/>
    <w:numStyleLink w:val="Estiloimportado2"/>
  </w:abstractNum>
  <w:abstractNum w:abstractNumId="26" w15:restartNumberingAfterBreak="0">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27" w15:restartNumberingAfterBreak="0">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9" w15:restartNumberingAfterBreak="0">
    <w:nsid w:val="790F7A4C"/>
    <w:multiLevelType w:val="hybridMultilevel"/>
    <w:tmpl w:val="17C2E264"/>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6"/>
  </w:num>
  <w:num w:numId="2">
    <w:abstractNumId w:val="8"/>
  </w:num>
  <w:num w:numId="3">
    <w:abstractNumId w:val="23"/>
  </w:num>
  <w:num w:numId="4">
    <w:abstractNumId w:val="19"/>
  </w:num>
  <w:num w:numId="5">
    <w:abstractNumId w:val="25"/>
  </w:num>
  <w:num w:numId="6">
    <w:abstractNumId w:val="9"/>
  </w:num>
  <w:num w:numId="7">
    <w:abstractNumId w:val="28"/>
  </w:num>
  <w:num w:numId="8">
    <w:abstractNumId w:val="20"/>
  </w:num>
  <w:num w:numId="9">
    <w:abstractNumId w:val="15"/>
  </w:num>
  <w:num w:numId="10">
    <w:abstractNumId w:val="27"/>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
  </w:num>
  <w:num w:numId="15">
    <w:abstractNumId w:val="11"/>
  </w:num>
  <w:num w:numId="16">
    <w:abstractNumId w:val="13"/>
  </w:num>
  <w:num w:numId="17">
    <w:abstractNumId w:val="16"/>
  </w:num>
  <w:num w:numId="18">
    <w:abstractNumId w:val="1"/>
  </w:num>
  <w:num w:numId="19">
    <w:abstractNumId w:val="22"/>
  </w:num>
  <w:num w:numId="20">
    <w:abstractNumId w:val="17"/>
  </w:num>
  <w:num w:numId="21">
    <w:abstractNumId w:val="12"/>
  </w:num>
  <w:num w:numId="22">
    <w:abstractNumId w:val="10"/>
  </w:num>
  <w:num w:numId="23">
    <w:abstractNumId w:val="4"/>
  </w:num>
  <w:num w:numId="24">
    <w:abstractNumId w:val="6"/>
  </w:num>
  <w:num w:numId="25">
    <w:abstractNumId w:val="29"/>
  </w:num>
  <w:num w:numId="26">
    <w:abstractNumId w:val="18"/>
  </w:num>
  <w:num w:numId="27">
    <w:abstractNumId w:val="0"/>
  </w:num>
  <w:num w:numId="28">
    <w:abstractNumId w:val="24"/>
  </w:num>
  <w:num w:numId="29">
    <w:abstractNumId w:val="2"/>
  </w:num>
  <w:num w:numId="30">
    <w:abstractNumId w:val="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E85"/>
    <w:rsid w:val="00005309"/>
    <w:rsid w:val="00013BCB"/>
    <w:rsid w:val="00020EE0"/>
    <w:rsid w:val="000222F7"/>
    <w:rsid w:val="0003050E"/>
    <w:rsid w:val="00032CF7"/>
    <w:rsid w:val="000332E7"/>
    <w:rsid w:val="00035EDB"/>
    <w:rsid w:val="00035F8F"/>
    <w:rsid w:val="00041425"/>
    <w:rsid w:val="0004795A"/>
    <w:rsid w:val="00050DB5"/>
    <w:rsid w:val="00052D4F"/>
    <w:rsid w:val="00053ED1"/>
    <w:rsid w:val="00062CBD"/>
    <w:rsid w:val="00073973"/>
    <w:rsid w:val="00074A99"/>
    <w:rsid w:val="000751FB"/>
    <w:rsid w:val="00076643"/>
    <w:rsid w:val="00082DF3"/>
    <w:rsid w:val="000B00E1"/>
    <w:rsid w:val="000B3319"/>
    <w:rsid w:val="000B5CA4"/>
    <w:rsid w:val="000C4D36"/>
    <w:rsid w:val="000C59EE"/>
    <w:rsid w:val="000D23C7"/>
    <w:rsid w:val="000D5294"/>
    <w:rsid w:val="000D7FDC"/>
    <w:rsid w:val="000E2FED"/>
    <w:rsid w:val="000F019E"/>
    <w:rsid w:val="000F0611"/>
    <w:rsid w:val="0011750A"/>
    <w:rsid w:val="0012266D"/>
    <w:rsid w:val="00125254"/>
    <w:rsid w:val="00130D58"/>
    <w:rsid w:val="001501D2"/>
    <w:rsid w:val="0015550A"/>
    <w:rsid w:val="00171798"/>
    <w:rsid w:val="00171BD5"/>
    <w:rsid w:val="0018251E"/>
    <w:rsid w:val="00183623"/>
    <w:rsid w:val="001A32DE"/>
    <w:rsid w:val="001B066D"/>
    <w:rsid w:val="001B3E5E"/>
    <w:rsid w:val="001C28D0"/>
    <w:rsid w:val="001C3E01"/>
    <w:rsid w:val="001C3F41"/>
    <w:rsid w:val="001C7069"/>
    <w:rsid w:val="001E5993"/>
    <w:rsid w:val="002052F6"/>
    <w:rsid w:val="00207283"/>
    <w:rsid w:val="00217E99"/>
    <w:rsid w:val="00223C2F"/>
    <w:rsid w:val="00224181"/>
    <w:rsid w:val="00233D51"/>
    <w:rsid w:val="0024055C"/>
    <w:rsid w:val="0025319F"/>
    <w:rsid w:val="00253C58"/>
    <w:rsid w:val="00260563"/>
    <w:rsid w:val="002606F0"/>
    <w:rsid w:val="0026534C"/>
    <w:rsid w:val="002677ED"/>
    <w:rsid w:val="00272144"/>
    <w:rsid w:val="00287512"/>
    <w:rsid w:val="002902D7"/>
    <w:rsid w:val="00294D34"/>
    <w:rsid w:val="002A1820"/>
    <w:rsid w:val="002A30B2"/>
    <w:rsid w:val="002A6F17"/>
    <w:rsid w:val="002A76FD"/>
    <w:rsid w:val="002B144D"/>
    <w:rsid w:val="002B1A4F"/>
    <w:rsid w:val="002C42B8"/>
    <w:rsid w:val="002C5AC2"/>
    <w:rsid w:val="002C6BFF"/>
    <w:rsid w:val="003011A8"/>
    <w:rsid w:val="003034F4"/>
    <w:rsid w:val="00307CD9"/>
    <w:rsid w:val="00313FE3"/>
    <w:rsid w:val="003160E8"/>
    <w:rsid w:val="00317B8A"/>
    <w:rsid w:val="00330A95"/>
    <w:rsid w:val="003341B0"/>
    <w:rsid w:val="00334E11"/>
    <w:rsid w:val="00337B49"/>
    <w:rsid w:val="00342A59"/>
    <w:rsid w:val="00343929"/>
    <w:rsid w:val="00345C5E"/>
    <w:rsid w:val="0034696E"/>
    <w:rsid w:val="003470B1"/>
    <w:rsid w:val="003474F2"/>
    <w:rsid w:val="0035101A"/>
    <w:rsid w:val="00357BFC"/>
    <w:rsid w:val="00385299"/>
    <w:rsid w:val="0039084D"/>
    <w:rsid w:val="00394CC7"/>
    <w:rsid w:val="003B465B"/>
    <w:rsid w:val="003B5697"/>
    <w:rsid w:val="003C5897"/>
    <w:rsid w:val="003E2AE6"/>
    <w:rsid w:val="00411827"/>
    <w:rsid w:val="00415ED7"/>
    <w:rsid w:val="0041722B"/>
    <w:rsid w:val="0042378C"/>
    <w:rsid w:val="004254FE"/>
    <w:rsid w:val="00437C82"/>
    <w:rsid w:val="00437E85"/>
    <w:rsid w:val="004867DE"/>
    <w:rsid w:val="00486FE1"/>
    <w:rsid w:val="00492244"/>
    <w:rsid w:val="004A2BFB"/>
    <w:rsid w:val="004A4E4D"/>
    <w:rsid w:val="004C0C26"/>
    <w:rsid w:val="004C3693"/>
    <w:rsid w:val="004D2991"/>
    <w:rsid w:val="004E271B"/>
    <w:rsid w:val="004E6DB3"/>
    <w:rsid w:val="004F05B2"/>
    <w:rsid w:val="0050780F"/>
    <w:rsid w:val="00511AC9"/>
    <w:rsid w:val="0051435E"/>
    <w:rsid w:val="00527856"/>
    <w:rsid w:val="00527C6A"/>
    <w:rsid w:val="005329E8"/>
    <w:rsid w:val="005733EB"/>
    <w:rsid w:val="0057576D"/>
    <w:rsid w:val="0058641D"/>
    <w:rsid w:val="005A7D62"/>
    <w:rsid w:val="005B1DF4"/>
    <w:rsid w:val="005D17CF"/>
    <w:rsid w:val="005E601C"/>
    <w:rsid w:val="005F014F"/>
    <w:rsid w:val="005F27DF"/>
    <w:rsid w:val="005F32D2"/>
    <w:rsid w:val="00611799"/>
    <w:rsid w:val="00614FDD"/>
    <w:rsid w:val="00616784"/>
    <w:rsid w:val="006200A2"/>
    <w:rsid w:val="00624C9F"/>
    <w:rsid w:val="00631B59"/>
    <w:rsid w:val="00634239"/>
    <w:rsid w:val="00653B08"/>
    <w:rsid w:val="00654533"/>
    <w:rsid w:val="00654B56"/>
    <w:rsid w:val="00664CA7"/>
    <w:rsid w:val="00673CFD"/>
    <w:rsid w:val="00680423"/>
    <w:rsid w:val="006B2E10"/>
    <w:rsid w:val="006C1A4F"/>
    <w:rsid w:val="006D27AC"/>
    <w:rsid w:val="006F2EA8"/>
    <w:rsid w:val="006F46D5"/>
    <w:rsid w:val="00702AB3"/>
    <w:rsid w:val="00707CD8"/>
    <w:rsid w:val="00712DB8"/>
    <w:rsid w:val="0071620F"/>
    <w:rsid w:val="007222CB"/>
    <w:rsid w:val="00732C05"/>
    <w:rsid w:val="00755099"/>
    <w:rsid w:val="0077680C"/>
    <w:rsid w:val="0079194D"/>
    <w:rsid w:val="00793344"/>
    <w:rsid w:val="00793FB4"/>
    <w:rsid w:val="007A0267"/>
    <w:rsid w:val="007A1EFA"/>
    <w:rsid w:val="007C1445"/>
    <w:rsid w:val="007D276C"/>
    <w:rsid w:val="007D48FA"/>
    <w:rsid w:val="007E2959"/>
    <w:rsid w:val="00834F4B"/>
    <w:rsid w:val="0084425F"/>
    <w:rsid w:val="00845C1C"/>
    <w:rsid w:val="00857F9A"/>
    <w:rsid w:val="00860F0A"/>
    <w:rsid w:val="00871B5D"/>
    <w:rsid w:val="00872278"/>
    <w:rsid w:val="00873EF8"/>
    <w:rsid w:val="00875499"/>
    <w:rsid w:val="00881D0D"/>
    <w:rsid w:val="008904FC"/>
    <w:rsid w:val="008A12F6"/>
    <w:rsid w:val="008B34EC"/>
    <w:rsid w:val="008C2D55"/>
    <w:rsid w:val="008C4F72"/>
    <w:rsid w:val="008D33FE"/>
    <w:rsid w:val="008E0DD2"/>
    <w:rsid w:val="008E0E21"/>
    <w:rsid w:val="008E5141"/>
    <w:rsid w:val="008F7A52"/>
    <w:rsid w:val="009050B2"/>
    <w:rsid w:val="00925375"/>
    <w:rsid w:val="00940EBE"/>
    <w:rsid w:val="00943223"/>
    <w:rsid w:val="00944134"/>
    <w:rsid w:val="0094613F"/>
    <w:rsid w:val="0095157B"/>
    <w:rsid w:val="00956134"/>
    <w:rsid w:val="00963155"/>
    <w:rsid w:val="0097286C"/>
    <w:rsid w:val="00976A80"/>
    <w:rsid w:val="00980401"/>
    <w:rsid w:val="009838CD"/>
    <w:rsid w:val="00985E6C"/>
    <w:rsid w:val="009877A2"/>
    <w:rsid w:val="00991CC2"/>
    <w:rsid w:val="00992273"/>
    <w:rsid w:val="00994336"/>
    <w:rsid w:val="00997030"/>
    <w:rsid w:val="009A0459"/>
    <w:rsid w:val="009B76BF"/>
    <w:rsid w:val="009C75A5"/>
    <w:rsid w:val="009D4C08"/>
    <w:rsid w:val="009E3B36"/>
    <w:rsid w:val="009E5649"/>
    <w:rsid w:val="009F30E4"/>
    <w:rsid w:val="009F6268"/>
    <w:rsid w:val="009F7948"/>
    <w:rsid w:val="00A21B83"/>
    <w:rsid w:val="00A253C5"/>
    <w:rsid w:val="00A401A6"/>
    <w:rsid w:val="00A447F3"/>
    <w:rsid w:val="00A459D0"/>
    <w:rsid w:val="00A70873"/>
    <w:rsid w:val="00A70BE5"/>
    <w:rsid w:val="00A75D74"/>
    <w:rsid w:val="00A77CBE"/>
    <w:rsid w:val="00A863D6"/>
    <w:rsid w:val="00A92C85"/>
    <w:rsid w:val="00A948EF"/>
    <w:rsid w:val="00AA2CB1"/>
    <w:rsid w:val="00AA4538"/>
    <w:rsid w:val="00AA5258"/>
    <w:rsid w:val="00AC1215"/>
    <w:rsid w:val="00AC1D50"/>
    <w:rsid w:val="00AC4880"/>
    <w:rsid w:val="00AC5FA1"/>
    <w:rsid w:val="00AE1180"/>
    <w:rsid w:val="00AE2701"/>
    <w:rsid w:val="00AE6C3B"/>
    <w:rsid w:val="00B020D7"/>
    <w:rsid w:val="00B052B4"/>
    <w:rsid w:val="00B10B28"/>
    <w:rsid w:val="00B11FA7"/>
    <w:rsid w:val="00B12DA8"/>
    <w:rsid w:val="00B13C8E"/>
    <w:rsid w:val="00B17A1D"/>
    <w:rsid w:val="00B20422"/>
    <w:rsid w:val="00B252F9"/>
    <w:rsid w:val="00B258A2"/>
    <w:rsid w:val="00B34A6D"/>
    <w:rsid w:val="00B355AB"/>
    <w:rsid w:val="00B43530"/>
    <w:rsid w:val="00B44BB1"/>
    <w:rsid w:val="00B50BD7"/>
    <w:rsid w:val="00B51395"/>
    <w:rsid w:val="00B51AF4"/>
    <w:rsid w:val="00B54578"/>
    <w:rsid w:val="00B553D5"/>
    <w:rsid w:val="00B57A54"/>
    <w:rsid w:val="00B67466"/>
    <w:rsid w:val="00B74369"/>
    <w:rsid w:val="00B86E3B"/>
    <w:rsid w:val="00B90BC9"/>
    <w:rsid w:val="00BA225C"/>
    <w:rsid w:val="00BA2458"/>
    <w:rsid w:val="00BA2908"/>
    <w:rsid w:val="00BA68FA"/>
    <w:rsid w:val="00BC1280"/>
    <w:rsid w:val="00BC1A30"/>
    <w:rsid w:val="00BC1C0A"/>
    <w:rsid w:val="00BC4EF7"/>
    <w:rsid w:val="00BD5907"/>
    <w:rsid w:val="00BD652F"/>
    <w:rsid w:val="00BE35D8"/>
    <w:rsid w:val="00BF1F57"/>
    <w:rsid w:val="00BF2F26"/>
    <w:rsid w:val="00C06006"/>
    <w:rsid w:val="00C13508"/>
    <w:rsid w:val="00C16071"/>
    <w:rsid w:val="00C203E8"/>
    <w:rsid w:val="00C25BA8"/>
    <w:rsid w:val="00C546B6"/>
    <w:rsid w:val="00C56A1E"/>
    <w:rsid w:val="00C56C4E"/>
    <w:rsid w:val="00C6478B"/>
    <w:rsid w:val="00C64C22"/>
    <w:rsid w:val="00C66E70"/>
    <w:rsid w:val="00C80AEF"/>
    <w:rsid w:val="00CA3C0C"/>
    <w:rsid w:val="00CD55BD"/>
    <w:rsid w:val="00CF53DF"/>
    <w:rsid w:val="00D120B9"/>
    <w:rsid w:val="00D12C9D"/>
    <w:rsid w:val="00D15363"/>
    <w:rsid w:val="00D22632"/>
    <w:rsid w:val="00D24D84"/>
    <w:rsid w:val="00D27526"/>
    <w:rsid w:val="00D34EB2"/>
    <w:rsid w:val="00D405E6"/>
    <w:rsid w:val="00D41F41"/>
    <w:rsid w:val="00D55CE4"/>
    <w:rsid w:val="00D56BC3"/>
    <w:rsid w:val="00D67629"/>
    <w:rsid w:val="00D70FE3"/>
    <w:rsid w:val="00D8485C"/>
    <w:rsid w:val="00D86447"/>
    <w:rsid w:val="00D874D8"/>
    <w:rsid w:val="00D9010D"/>
    <w:rsid w:val="00D95936"/>
    <w:rsid w:val="00D96638"/>
    <w:rsid w:val="00D97375"/>
    <w:rsid w:val="00DA598F"/>
    <w:rsid w:val="00DB584E"/>
    <w:rsid w:val="00DB731A"/>
    <w:rsid w:val="00DC12D8"/>
    <w:rsid w:val="00DC3B85"/>
    <w:rsid w:val="00DC4C5B"/>
    <w:rsid w:val="00DC6685"/>
    <w:rsid w:val="00DD06D5"/>
    <w:rsid w:val="00DD0F9F"/>
    <w:rsid w:val="00DD13E2"/>
    <w:rsid w:val="00DE6EF1"/>
    <w:rsid w:val="00DF5AFA"/>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738B6"/>
    <w:rsid w:val="00E819A2"/>
    <w:rsid w:val="00E8593B"/>
    <w:rsid w:val="00E85DB7"/>
    <w:rsid w:val="00E87E34"/>
    <w:rsid w:val="00E91B25"/>
    <w:rsid w:val="00E92E34"/>
    <w:rsid w:val="00E94BA2"/>
    <w:rsid w:val="00E95D7C"/>
    <w:rsid w:val="00EA0D06"/>
    <w:rsid w:val="00EA4B96"/>
    <w:rsid w:val="00EB1C9E"/>
    <w:rsid w:val="00EB2D51"/>
    <w:rsid w:val="00EB551F"/>
    <w:rsid w:val="00EC601F"/>
    <w:rsid w:val="00EC7EDE"/>
    <w:rsid w:val="00ED007C"/>
    <w:rsid w:val="00ED3DC4"/>
    <w:rsid w:val="00ED466F"/>
    <w:rsid w:val="00ED6532"/>
    <w:rsid w:val="00EE109E"/>
    <w:rsid w:val="00EE3C39"/>
    <w:rsid w:val="00EE5CB5"/>
    <w:rsid w:val="00EF2AE9"/>
    <w:rsid w:val="00F07156"/>
    <w:rsid w:val="00F342A1"/>
    <w:rsid w:val="00F433DC"/>
    <w:rsid w:val="00F72E4A"/>
    <w:rsid w:val="00F812A0"/>
    <w:rsid w:val="00F9756D"/>
    <w:rsid w:val="00FA1E45"/>
    <w:rsid w:val="00FC2F6B"/>
    <w:rsid w:val="00FD04A9"/>
    <w:rsid w:val="00FD2984"/>
    <w:rsid w:val="00FE0916"/>
    <w:rsid w:val="00FE2CEA"/>
    <w:rsid w:val="00FE51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3C72F8"/>
  <w15:chartTrackingRefBased/>
  <w15:docId w15:val="{C55D6924-6120-47B8-8FC2-21C1BD50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E15E85"/>
    <w:rPr>
      <w:vertAlign w:val="superscript"/>
    </w:rPr>
  </w:style>
  <w:style w:type="character" w:styleId="Hipervnculo">
    <w:name w:val="Hyperlink"/>
    <w:basedOn w:val="Fuentedeprrafopredeter"/>
    <w:uiPriority w:val="99"/>
    <w:unhideWhenUsed/>
    <w:rsid w:val="00E15E85"/>
    <w:rPr>
      <w:color w:val="0563C1" w:themeColor="hyperlink"/>
      <w:u w:val="single"/>
    </w:rPr>
  </w:style>
  <w:style w:type="paragraph" w:styleId="Sinespaciado">
    <w:name w:val="No Spacing"/>
    <w:aliases w:val="Francesa"/>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A7D4-0441-4768-869C-B2091E9B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4891</TotalTime>
  <Pages>22</Pages>
  <Words>5431</Words>
  <Characters>29873</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Markuz Escobar Modragon</cp:lastModifiedBy>
  <cp:revision>44</cp:revision>
  <cp:lastPrinted>2019-07-04T16:02:00Z</cp:lastPrinted>
  <dcterms:created xsi:type="dcterms:W3CDTF">2018-11-30T01:49:00Z</dcterms:created>
  <dcterms:modified xsi:type="dcterms:W3CDTF">2019-08-21T16:38:00Z</dcterms:modified>
</cp:coreProperties>
</file>