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893EAF" w14:textId="76438CD1" w:rsidR="0000092F" w:rsidRPr="00C7354D" w:rsidRDefault="001B26AA" w:rsidP="00B15153">
      <w:pPr>
        <w:tabs>
          <w:tab w:val="left" w:pos="567"/>
        </w:tabs>
        <w:spacing w:line="360" w:lineRule="auto"/>
        <w:jc w:val="center"/>
        <w:rPr>
          <w:rFonts w:ascii="Palatino Linotype" w:eastAsia="Times New Roman" w:hAnsi="Palatino Linotype" w:cs="Times New Roman"/>
          <w:b/>
        </w:rPr>
      </w:pPr>
      <w:bookmarkStart w:id="0" w:name="_GoBack"/>
      <w:bookmarkEnd w:id="0"/>
      <w:r w:rsidRPr="00C7354D">
        <w:rPr>
          <w:rFonts w:ascii="Palatino Linotype" w:eastAsia="Times New Roman" w:hAnsi="Palatino Linotype" w:cs="Times New Roman"/>
          <w:b/>
        </w:rPr>
        <w:t>LÍNEAS ARGUMENTATIVAS</w:t>
      </w:r>
    </w:p>
    <w:p w14:paraId="07BBD664" w14:textId="77777777" w:rsidR="00AF317E" w:rsidRDefault="00AF317E" w:rsidP="00AF317E">
      <w:pPr>
        <w:tabs>
          <w:tab w:val="left" w:pos="567"/>
        </w:tabs>
        <w:spacing w:line="360" w:lineRule="auto"/>
        <w:jc w:val="both"/>
        <w:rPr>
          <w:rFonts w:ascii="Palatino Linotype" w:hAnsi="Palatino Linotype"/>
          <w:lang w:eastAsia="es-MX"/>
        </w:rPr>
      </w:pPr>
      <w:r w:rsidRPr="00C7354D">
        <w:rPr>
          <w:rFonts w:ascii="Palatino Linotype" w:hAnsi="Palatino Linotype"/>
          <w:b/>
        </w:rPr>
        <w:t xml:space="preserve">RESPUESTAS IMPRECISAS O INCOMPLETAS, DEBER DE REPARACIÓN. </w:t>
      </w:r>
      <w:r w:rsidRPr="00C7354D">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5ED4ED92" w14:textId="77777777" w:rsidR="00AF317E" w:rsidRPr="00C7354D" w:rsidRDefault="00AF317E" w:rsidP="00AF317E">
      <w:pPr>
        <w:tabs>
          <w:tab w:val="left" w:pos="567"/>
        </w:tabs>
        <w:spacing w:line="360" w:lineRule="auto"/>
        <w:jc w:val="both"/>
        <w:rPr>
          <w:rFonts w:ascii="Palatino Linotype" w:hAnsi="Palatino Linotype"/>
          <w:lang w:eastAsia="es-MX"/>
        </w:rPr>
      </w:pPr>
    </w:p>
    <w:p w14:paraId="5F9AE855" w14:textId="77777777" w:rsidR="00AF317E" w:rsidRDefault="00AF317E" w:rsidP="00AF317E">
      <w:pPr>
        <w:spacing w:line="360" w:lineRule="auto"/>
        <w:jc w:val="both"/>
        <w:rPr>
          <w:rFonts w:ascii="Palatino Linotype" w:eastAsia="Arial Unicode MS" w:hAnsi="Palatino Linotype" w:cs="Arial"/>
        </w:rPr>
      </w:pPr>
      <w:r>
        <w:rPr>
          <w:rFonts w:ascii="Palatino Linotype" w:hAnsi="Palatino Linotype"/>
          <w:b/>
        </w:rPr>
        <w:t>DEBER DE EXPLICAR LA INEXISTENCIA DE INFORMACIÓN</w:t>
      </w:r>
      <w:r>
        <w:rPr>
          <w:rFonts w:ascii="Palatino Linotype" w:hAnsi="Palatino Linotype"/>
        </w:rPr>
        <w:t>.</w:t>
      </w:r>
      <w:r>
        <w:rPr>
          <w:rFonts w:ascii="Palatino Linotype" w:eastAsia="Arial Unicode MS" w:hAnsi="Palatino Linotype" w:cs="Arial"/>
        </w:rPr>
        <w:t xml:space="preserve"> Hablar de información inexistente implica la alta responsabilidad de explicar a la ciudadanía por qué un ente público que tiene la facultad y el deber de generar, poseer o administrar su información pública no la tiene.</w:t>
      </w:r>
    </w:p>
    <w:p w14:paraId="34E2B841" w14:textId="77777777" w:rsidR="00AF317E" w:rsidRPr="003D599D" w:rsidRDefault="00AF317E" w:rsidP="00AF317E">
      <w:pPr>
        <w:tabs>
          <w:tab w:val="left" w:pos="567"/>
        </w:tabs>
        <w:spacing w:line="360" w:lineRule="auto"/>
        <w:jc w:val="both"/>
        <w:rPr>
          <w:rFonts w:ascii="Palatino Linotype" w:eastAsia="Times New Roman" w:hAnsi="Palatino Linotype" w:cs="Times New Roman"/>
          <w:b/>
          <w:color w:val="000000" w:themeColor="text1"/>
        </w:rPr>
      </w:pPr>
    </w:p>
    <w:p w14:paraId="78C35915" w14:textId="77777777" w:rsidR="00AF317E" w:rsidRDefault="00AF317E" w:rsidP="00AF317E">
      <w:pPr>
        <w:spacing w:line="360" w:lineRule="auto"/>
        <w:jc w:val="both"/>
        <w:rPr>
          <w:rFonts w:ascii="Palatino Linotype" w:eastAsia="MS Mincho" w:hAnsi="Palatino Linotype" w:cs="Arial"/>
        </w:rPr>
      </w:pPr>
      <w:r w:rsidRPr="006F474C">
        <w:rPr>
          <w:rFonts w:ascii="Palatino Linotype" w:eastAsia="MS Mincho" w:hAnsi="Palatino Linotype" w:cs="Arial"/>
          <w:b/>
        </w:rPr>
        <w:t xml:space="preserve">VERSIÓN PÚBLICA. </w:t>
      </w:r>
      <w:r w:rsidRPr="006F474C">
        <w:rPr>
          <w:rFonts w:ascii="Palatino Linotype" w:eastAsia="MS Mincho" w:hAnsi="Palatino Linotype" w:cs="Arial"/>
        </w:rPr>
        <w:t>Para generar la versión pública de un documento es necesario que el Comité de Transparencia emita el Acuerdo de Clasificación correspondiente que la sustente, explicando las razones que la motivan y los datos que se protegen.</w:t>
      </w:r>
    </w:p>
    <w:p w14:paraId="793D7D6A" w14:textId="77777777" w:rsidR="00AF317E" w:rsidRPr="006F474C" w:rsidRDefault="00AF317E" w:rsidP="00AF317E">
      <w:pPr>
        <w:spacing w:line="360" w:lineRule="auto"/>
        <w:jc w:val="both"/>
        <w:rPr>
          <w:rFonts w:ascii="Palatino Linotype" w:hAnsi="Palatino Linotype"/>
          <w:b/>
        </w:rPr>
      </w:pPr>
    </w:p>
    <w:p w14:paraId="3ADF23C5" w14:textId="65C9DF5D" w:rsidR="00B15153" w:rsidRPr="00B15153" w:rsidRDefault="00AF317E" w:rsidP="00B15153">
      <w:pPr>
        <w:spacing w:line="360" w:lineRule="auto"/>
        <w:jc w:val="both"/>
        <w:rPr>
          <w:rFonts w:ascii="Palatino Linotype" w:hAnsi="Palatino Linotype"/>
          <w:b/>
        </w:rPr>
      </w:pPr>
      <w:r w:rsidRPr="006F474C">
        <w:rPr>
          <w:rFonts w:ascii="Palatino Linotype" w:hAnsi="Palatino Linotype"/>
          <w:b/>
        </w:rPr>
        <w:t xml:space="preserve">INFORMACIÓN CONFIDENCIAL, CLASIFICACIÓN DE LA. </w:t>
      </w:r>
      <w:r w:rsidRPr="006F474C">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62FB4572" w:rsidR="0011338C" w:rsidRPr="00F45CE4" w:rsidRDefault="0011338C" w:rsidP="00B15153">
          <w:pPr>
            <w:pStyle w:val="TtulodeTDC"/>
            <w:jc w:val="center"/>
            <w:rPr>
              <w:szCs w:val="24"/>
              <w:lang w:val="es-ES"/>
            </w:rPr>
          </w:pPr>
          <w:r w:rsidRPr="00F45CE4">
            <w:rPr>
              <w:szCs w:val="24"/>
              <w:lang w:val="es-ES"/>
            </w:rPr>
            <w:t>ÍNDICE</w:t>
          </w:r>
        </w:p>
        <w:p w14:paraId="54D7BD84" w14:textId="77777777" w:rsidR="008826F4" w:rsidRPr="00F45CE4" w:rsidRDefault="008826F4" w:rsidP="008826F4">
          <w:pPr>
            <w:rPr>
              <w:rFonts w:ascii="Palatino Linotype" w:hAnsi="Palatino Linotype"/>
              <w:lang w:val="es-ES" w:eastAsia="es-MX"/>
            </w:rPr>
          </w:pPr>
        </w:p>
        <w:p w14:paraId="6136262C" w14:textId="77777777" w:rsidR="00AF317E" w:rsidRDefault="0011338C">
          <w:pPr>
            <w:pStyle w:val="TDC1"/>
            <w:rPr>
              <w:noProof/>
              <w:sz w:val="22"/>
              <w:szCs w:val="22"/>
              <w:lang w:val="es-MX" w:eastAsia="es-MX"/>
            </w:rPr>
          </w:pPr>
          <w:r w:rsidRPr="00F45CE4">
            <w:fldChar w:fldCharType="begin"/>
          </w:r>
          <w:r w:rsidRPr="00F45CE4">
            <w:instrText xml:space="preserve"> TOC \o "1-3" \h \z \u </w:instrText>
          </w:r>
          <w:r w:rsidRPr="00F45CE4">
            <w:fldChar w:fldCharType="separate"/>
          </w:r>
          <w:hyperlink w:anchor="_Toc24928434" w:history="1">
            <w:r w:rsidR="00AF317E" w:rsidRPr="0023361C">
              <w:rPr>
                <w:rStyle w:val="Hipervnculo"/>
                <w:noProof/>
              </w:rPr>
              <w:t>ANTECEDENTES</w:t>
            </w:r>
            <w:r w:rsidR="00AF317E">
              <w:rPr>
                <w:noProof/>
                <w:webHidden/>
              </w:rPr>
              <w:tab/>
            </w:r>
            <w:r w:rsidR="00AF317E">
              <w:rPr>
                <w:noProof/>
                <w:webHidden/>
              </w:rPr>
              <w:fldChar w:fldCharType="begin"/>
            </w:r>
            <w:r w:rsidR="00AF317E">
              <w:rPr>
                <w:noProof/>
                <w:webHidden/>
              </w:rPr>
              <w:instrText xml:space="preserve"> PAGEREF _Toc24928434 \h </w:instrText>
            </w:r>
            <w:r w:rsidR="00AF317E">
              <w:rPr>
                <w:noProof/>
                <w:webHidden/>
              </w:rPr>
            </w:r>
            <w:r w:rsidR="00AF317E">
              <w:rPr>
                <w:noProof/>
                <w:webHidden/>
              </w:rPr>
              <w:fldChar w:fldCharType="separate"/>
            </w:r>
            <w:r w:rsidR="004E5B33">
              <w:rPr>
                <w:noProof/>
                <w:webHidden/>
              </w:rPr>
              <w:t>3</w:t>
            </w:r>
            <w:r w:rsidR="00AF317E">
              <w:rPr>
                <w:noProof/>
                <w:webHidden/>
              </w:rPr>
              <w:fldChar w:fldCharType="end"/>
            </w:r>
          </w:hyperlink>
        </w:p>
        <w:p w14:paraId="7563400C" w14:textId="77777777" w:rsidR="00AF317E" w:rsidRDefault="002F7FC3">
          <w:pPr>
            <w:pStyle w:val="TDC2"/>
            <w:rPr>
              <w:noProof/>
              <w:sz w:val="22"/>
              <w:szCs w:val="22"/>
              <w:lang w:val="es-MX" w:eastAsia="es-MX"/>
            </w:rPr>
          </w:pPr>
          <w:hyperlink w:anchor="_Toc24928435" w:history="1">
            <w:r w:rsidR="00AF317E" w:rsidRPr="0023361C">
              <w:rPr>
                <w:rStyle w:val="Hipervnculo"/>
                <w:noProof/>
                <w:lang w:val="es-ES"/>
              </w:rPr>
              <w:t>a) Acto impugnado:</w:t>
            </w:r>
            <w:r w:rsidR="00AF317E">
              <w:rPr>
                <w:noProof/>
                <w:webHidden/>
              </w:rPr>
              <w:tab/>
            </w:r>
            <w:r w:rsidR="00AF317E">
              <w:rPr>
                <w:noProof/>
                <w:webHidden/>
              </w:rPr>
              <w:fldChar w:fldCharType="begin"/>
            </w:r>
            <w:r w:rsidR="00AF317E">
              <w:rPr>
                <w:noProof/>
                <w:webHidden/>
              </w:rPr>
              <w:instrText xml:space="preserve"> PAGEREF _Toc24928435 \h </w:instrText>
            </w:r>
            <w:r w:rsidR="00AF317E">
              <w:rPr>
                <w:noProof/>
                <w:webHidden/>
              </w:rPr>
            </w:r>
            <w:r w:rsidR="00AF317E">
              <w:rPr>
                <w:noProof/>
                <w:webHidden/>
              </w:rPr>
              <w:fldChar w:fldCharType="separate"/>
            </w:r>
            <w:r w:rsidR="004E5B33">
              <w:rPr>
                <w:noProof/>
                <w:webHidden/>
              </w:rPr>
              <w:t>5</w:t>
            </w:r>
            <w:r w:rsidR="00AF317E">
              <w:rPr>
                <w:noProof/>
                <w:webHidden/>
              </w:rPr>
              <w:fldChar w:fldCharType="end"/>
            </w:r>
          </w:hyperlink>
        </w:p>
        <w:p w14:paraId="7B9CF2EF" w14:textId="77777777" w:rsidR="00AF317E" w:rsidRDefault="002F7FC3">
          <w:pPr>
            <w:pStyle w:val="TDC2"/>
            <w:rPr>
              <w:noProof/>
              <w:sz w:val="22"/>
              <w:szCs w:val="22"/>
              <w:lang w:val="es-MX" w:eastAsia="es-MX"/>
            </w:rPr>
          </w:pPr>
          <w:hyperlink w:anchor="_Toc24928436" w:history="1">
            <w:r w:rsidR="00AF317E" w:rsidRPr="0023361C">
              <w:rPr>
                <w:rStyle w:val="Hipervnculo"/>
                <w:noProof/>
                <w:lang w:val="es-ES"/>
              </w:rPr>
              <w:t>b) Razones o Motivos de inconformidad:</w:t>
            </w:r>
            <w:r w:rsidR="00AF317E">
              <w:rPr>
                <w:noProof/>
                <w:webHidden/>
              </w:rPr>
              <w:tab/>
            </w:r>
            <w:r w:rsidR="00AF317E">
              <w:rPr>
                <w:noProof/>
                <w:webHidden/>
              </w:rPr>
              <w:fldChar w:fldCharType="begin"/>
            </w:r>
            <w:r w:rsidR="00AF317E">
              <w:rPr>
                <w:noProof/>
                <w:webHidden/>
              </w:rPr>
              <w:instrText xml:space="preserve"> PAGEREF _Toc24928436 \h </w:instrText>
            </w:r>
            <w:r w:rsidR="00AF317E">
              <w:rPr>
                <w:noProof/>
                <w:webHidden/>
              </w:rPr>
            </w:r>
            <w:r w:rsidR="00AF317E">
              <w:rPr>
                <w:noProof/>
                <w:webHidden/>
              </w:rPr>
              <w:fldChar w:fldCharType="separate"/>
            </w:r>
            <w:r w:rsidR="004E5B33">
              <w:rPr>
                <w:noProof/>
                <w:webHidden/>
              </w:rPr>
              <w:t>6</w:t>
            </w:r>
            <w:r w:rsidR="00AF317E">
              <w:rPr>
                <w:noProof/>
                <w:webHidden/>
              </w:rPr>
              <w:fldChar w:fldCharType="end"/>
            </w:r>
          </w:hyperlink>
        </w:p>
        <w:p w14:paraId="4F20AE4A" w14:textId="77777777" w:rsidR="00AF317E" w:rsidRDefault="002F7FC3">
          <w:pPr>
            <w:pStyle w:val="TDC1"/>
            <w:rPr>
              <w:noProof/>
              <w:sz w:val="22"/>
              <w:szCs w:val="22"/>
              <w:lang w:val="es-MX" w:eastAsia="es-MX"/>
            </w:rPr>
          </w:pPr>
          <w:hyperlink w:anchor="_Toc24928437" w:history="1">
            <w:r w:rsidR="00AF317E" w:rsidRPr="0023361C">
              <w:rPr>
                <w:rStyle w:val="Hipervnculo"/>
                <w:noProof/>
              </w:rPr>
              <w:t>CONSIDERANDO</w:t>
            </w:r>
            <w:r w:rsidR="00AF317E">
              <w:rPr>
                <w:noProof/>
                <w:webHidden/>
              </w:rPr>
              <w:tab/>
            </w:r>
            <w:r w:rsidR="00AF317E">
              <w:rPr>
                <w:noProof/>
                <w:webHidden/>
              </w:rPr>
              <w:fldChar w:fldCharType="begin"/>
            </w:r>
            <w:r w:rsidR="00AF317E">
              <w:rPr>
                <w:noProof/>
                <w:webHidden/>
              </w:rPr>
              <w:instrText xml:space="preserve"> PAGEREF _Toc24928437 \h </w:instrText>
            </w:r>
            <w:r w:rsidR="00AF317E">
              <w:rPr>
                <w:noProof/>
                <w:webHidden/>
              </w:rPr>
            </w:r>
            <w:r w:rsidR="00AF317E">
              <w:rPr>
                <w:noProof/>
                <w:webHidden/>
              </w:rPr>
              <w:fldChar w:fldCharType="separate"/>
            </w:r>
            <w:r w:rsidR="004E5B33">
              <w:rPr>
                <w:noProof/>
                <w:webHidden/>
              </w:rPr>
              <w:t>9</w:t>
            </w:r>
            <w:r w:rsidR="00AF317E">
              <w:rPr>
                <w:noProof/>
                <w:webHidden/>
              </w:rPr>
              <w:fldChar w:fldCharType="end"/>
            </w:r>
          </w:hyperlink>
        </w:p>
        <w:p w14:paraId="33CB2347" w14:textId="77777777" w:rsidR="00AF317E" w:rsidRDefault="002F7FC3">
          <w:pPr>
            <w:pStyle w:val="TDC1"/>
            <w:rPr>
              <w:noProof/>
              <w:sz w:val="22"/>
              <w:szCs w:val="22"/>
              <w:lang w:val="es-MX" w:eastAsia="es-MX"/>
            </w:rPr>
          </w:pPr>
          <w:hyperlink w:anchor="_Toc24928438" w:history="1">
            <w:r w:rsidR="00AF317E" w:rsidRPr="0023361C">
              <w:rPr>
                <w:rStyle w:val="Hipervnculo"/>
                <w:noProof/>
              </w:rPr>
              <w:t>PRIMERO. De la competencia</w:t>
            </w:r>
            <w:r w:rsidR="00AF317E">
              <w:rPr>
                <w:noProof/>
                <w:webHidden/>
              </w:rPr>
              <w:tab/>
            </w:r>
            <w:r w:rsidR="00AF317E">
              <w:rPr>
                <w:noProof/>
                <w:webHidden/>
              </w:rPr>
              <w:fldChar w:fldCharType="begin"/>
            </w:r>
            <w:r w:rsidR="00AF317E">
              <w:rPr>
                <w:noProof/>
                <w:webHidden/>
              </w:rPr>
              <w:instrText xml:space="preserve"> PAGEREF _Toc24928438 \h </w:instrText>
            </w:r>
            <w:r w:rsidR="00AF317E">
              <w:rPr>
                <w:noProof/>
                <w:webHidden/>
              </w:rPr>
            </w:r>
            <w:r w:rsidR="00AF317E">
              <w:rPr>
                <w:noProof/>
                <w:webHidden/>
              </w:rPr>
              <w:fldChar w:fldCharType="separate"/>
            </w:r>
            <w:r w:rsidR="004E5B33">
              <w:rPr>
                <w:noProof/>
                <w:webHidden/>
              </w:rPr>
              <w:t>9</w:t>
            </w:r>
            <w:r w:rsidR="00AF317E">
              <w:rPr>
                <w:noProof/>
                <w:webHidden/>
              </w:rPr>
              <w:fldChar w:fldCharType="end"/>
            </w:r>
          </w:hyperlink>
        </w:p>
        <w:p w14:paraId="13151ED5" w14:textId="77777777" w:rsidR="00AF317E" w:rsidRDefault="002F7FC3">
          <w:pPr>
            <w:pStyle w:val="TDC1"/>
            <w:rPr>
              <w:noProof/>
              <w:sz w:val="22"/>
              <w:szCs w:val="22"/>
              <w:lang w:val="es-MX" w:eastAsia="es-MX"/>
            </w:rPr>
          </w:pPr>
          <w:hyperlink w:anchor="_Toc24928439" w:history="1">
            <w:r w:rsidR="00AF317E" w:rsidRPr="0023361C">
              <w:rPr>
                <w:rStyle w:val="Hipervnculo"/>
                <w:noProof/>
              </w:rPr>
              <w:t>SEGUNDO. De la oportunidad y procedencia.</w:t>
            </w:r>
            <w:r w:rsidR="00AF317E">
              <w:rPr>
                <w:noProof/>
                <w:webHidden/>
              </w:rPr>
              <w:tab/>
            </w:r>
            <w:r w:rsidR="00AF317E">
              <w:rPr>
                <w:noProof/>
                <w:webHidden/>
              </w:rPr>
              <w:fldChar w:fldCharType="begin"/>
            </w:r>
            <w:r w:rsidR="00AF317E">
              <w:rPr>
                <w:noProof/>
                <w:webHidden/>
              </w:rPr>
              <w:instrText xml:space="preserve"> PAGEREF _Toc24928439 \h </w:instrText>
            </w:r>
            <w:r w:rsidR="00AF317E">
              <w:rPr>
                <w:noProof/>
                <w:webHidden/>
              </w:rPr>
            </w:r>
            <w:r w:rsidR="00AF317E">
              <w:rPr>
                <w:noProof/>
                <w:webHidden/>
              </w:rPr>
              <w:fldChar w:fldCharType="separate"/>
            </w:r>
            <w:r w:rsidR="004E5B33">
              <w:rPr>
                <w:noProof/>
                <w:webHidden/>
              </w:rPr>
              <w:t>10</w:t>
            </w:r>
            <w:r w:rsidR="00AF317E">
              <w:rPr>
                <w:noProof/>
                <w:webHidden/>
              </w:rPr>
              <w:fldChar w:fldCharType="end"/>
            </w:r>
          </w:hyperlink>
        </w:p>
        <w:p w14:paraId="2C4C8229" w14:textId="77777777" w:rsidR="00AF317E" w:rsidRDefault="002F7FC3">
          <w:pPr>
            <w:pStyle w:val="TDC2"/>
            <w:rPr>
              <w:noProof/>
              <w:sz w:val="22"/>
              <w:szCs w:val="22"/>
              <w:lang w:val="es-MX" w:eastAsia="es-MX"/>
            </w:rPr>
          </w:pPr>
          <w:hyperlink w:anchor="_Toc24928440" w:history="1">
            <w:r w:rsidR="00AF317E" w:rsidRPr="0023361C">
              <w:rPr>
                <w:rStyle w:val="Hipervnculo"/>
                <w:noProof/>
              </w:rPr>
              <w:t>TERCERO. Del planteamiento de la litis.</w:t>
            </w:r>
            <w:r w:rsidR="00AF317E">
              <w:rPr>
                <w:noProof/>
                <w:webHidden/>
              </w:rPr>
              <w:tab/>
            </w:r>
            <w:r w:rsidR="00AF317E">
              <w:rPr>
                <w:noProof/>
                <w:webHidden/>
              </w:rPr>
              <w:fldChar w:fldCharType="begin"/>
            </w:r>
            <w:r w:rsidR="00AF317E">
              <w:rPr>
                <w:noProof/>
                <w:webHidden/>
              </w:rPr>
              <w:instrText xml:space="preserve"> PAGEREF _Toc24928440 \h </w:instrText>
            </w:r>
            <w:r w:rsidR="00AF317E">
              <w:rPr>
                <w:noProof/>
                <w:webHidden/>
              </w:rPr>
            </w:r>
            <w:r w:rsidR="00AF317E">
              <w:rPr>
                <w:noProof/>
                <w:webHidden/>
              </w:rPr>
              <w:fldChar w:fldCharType="separate"/>
            </w:r>
            <w:r w:rsidR="004E5B33">
              <w:rPr>
                <w:noProof/>
                <w:webHidden/>
              </w:rPr>
              <w:t>10</w:t>
            </w:r>
            <w:r w:rsidR="00AF317E">
              <w:rPr>
                <w:noProof/>
                <w:webHidden/>
              </w:rPr>
              <w:fldChar w:fldCharType="end"/>
            </w:r>
          </w:hyperlink>
        </w:p>
        <w:p w14:paraId="0E2A1BE4" w14:textId="77777777" w:rsidR="00AF317E" w:rsidRDefault="002F7FC3">
          <w:pPr>
            <w:pStyle w:val="TDC1"/>
            <w:rPr>
              <w:noProof/>
              <w:sz w:val="22"/>
              <w:szCs w:val="22"/>
              <w:lang w:val="es-MX" w:eastAsia="es-MX"/>
            </w:rPr>
          </w:pPr>
          <w:hyperlink w:anchor="_Toc24928441" w:history="1">
            <w:r w:rsidR="00AF317E" w:rsidRPr="0023361C">
              <w:rPr>
                <w:rStyle w:val="Hipervnculo"/>
                <w:noProof/>
              </w:rPr>
              <w:t>CUARTO. Del estudio y resolución del asunto.</w:t>
            </w:r>
            <w:r w:rsidR="00AF317E">
              <w:rPr>
                <w:noProof/>
                <w:webHidden/>
              </w:rPr>
              <w:tab/>
            </w:r>
            <w:r w:rsidR="00AF317E">
              <w:rPr>
                <w:noProof/>
                <w:webHidden/>
              </w:rPr>
              <w:fldChar w:fldCharType="begin"/>
            </w:r>
            <w:r w:rsidR="00AF317E">
              <w:rPr>
                <w:noProof/>
                <w:webHidden/>
              </w:rPr>
              <w:instrText xml:space="preserve"> PAGEREF _Toc24928441 \h </w:instrText>
            </w:r>
            <w:r w:rsidR="00AF317E">
              <w:rPr>
                <w:noProof/>
                <w:webHidden/>
              </w:rPr>
            </w:r>
            <w:r w:rsidR="00AF317E">
              <w:rPr>
                <w:noProof/>
                <w:webHidden/>
              </w:rPr>
              <w:fldChar w:fldCharType="separate"/>
            </w:r>
            <w:r w:rsidR="004E5B33">
              <w:rPr>
                <w:noProof/>
                <w:webHidden/>
              </w:rPr>
              <w:t>11</w:t>
            </w:r>
            <w:r w:rsidR="00AF317E">
              <w:rPr>
                <w:noProof/>
                <w:webHidden/>
              </w:rPr>
              <w:fldChar w:fldCharType="end"/>
            </w:r>
          </w:hyperlink>
        </w:p>
        <w:p w14:paraId="007CA7C3" w14:textId="77777777" w:rsidR="00AF317E" w:rsidRDefault="002F7FC3">
          <w:pPr>
            <w:pStyle w:val="TDC2"/>
            <w:rPr>
              <w:noProof/>
              <w:sz w:val="22"/>
              <w:szCs w:val="22"/>
              <w:lang w:val="es-MX" w:eastAsia="es-MX"/>
            </w:rPr>
          </w:pPr>
          <w:hyperlink w:anchor="_Toc24928442" w:history="1">
            <w:r w:rsidR="00AF317E" w:rsidRPr="0023361C">
              <w:rPr>
                <w:rStyle w:val="Hipervnculo"/>
                <w:noProof/>
              </w:rPr>
              <w:t>I. De la respuesta y el informe justificado enviados por el SUJETO OBLIGADO.</w:t>
            </w:r>
            <w:r w:rsidR="00AF317E">
              <w:rPr>
                <w:noProof/>
                <w:webHidden/>
              </w:rPr>
              <w:tab/>
            </w:r>
            <w:r w:rsidR="00AF317E">
              <w:rPr>
                <w:noProof/>
                <w:webHidden/>
              </w:rPr>
              <w:fldChar w:fldCharType="begin"/>
            </w:r>
            <w:r w:rsidR="00AF317E">
              <w:rPr>
                <w:noProof/>
                <w:webHidden/>
              </w:rPr>
              <w:instrText xml:space="preserve"> PAGEREF _Toc24928442 \h </w:instrText>
            </w:r>
            <w:r w:rsidR="00AF317E">
              <w:rPr>
                <w:noProof/>
                <w:webHidden/>
              </w:rPr>
            </w:r>
            <w:r w:rsidR="00AF317E">
              <w:rPr>
                <w:noProof/>
                <w:webHidden/>
              </w:rPr>
              <w:fldChar w:fldCharType="separate"/>
            </w:r>
            <w:r w:rsidR="004E5B33">
              <w:rPr>
                <w:noProof/>
                <w:webHidden/>
              </w:rPr>
              <w:t>11</w:t>
            </w:r>
            <w:r w:rsidR="00AF317E">
              <w:rPr>
                <w:noProof/>
                <w:webHidden/>
              </w:rPr>
              <w:fldChar w:fldCharType="end"/>
            </w:r>
          </w:hyperlink>
        </w:p>
        <w:p w14:paraId="493CA494" w14:textId="77777777" w:rsidR="00AF317E" w:rsidRDefault="002F7FC3">
          <w:pPr>
            <w:pStyle w:val="TDC2"/>
            <w:rPr>
              <w:noProof/>
              <w:sz w:val="22"/>
              <w:szCs w:val="22"/>
              <w:lang w:val="es-MX" w:eastAsia="es-MX"/>
            </w:rPr>
          </w:pPr>
          <w:hyperlink w:anchor="_Toc24928443" w:history="1">
            <w:r w:rsidR="00AF317E" w:rsidRPr="0023361C">
              <w:rPr>
                <w:rStyle w:val="Hipervnculo"/>
                <w:noProof/>
              </w:rPr>
              <w:t>II. De la fuente de atribuciones del SUJETO OBLIGADO.</w:t>
            </w:r>
            <w:r w:rsidR="00AF317E">
              <w:rPr>
                <w:noProof/>
                <w:webHidden/>
              </w:rPr>
              <w:tab/>
            </w:r>
            <w:r w:rsidR="00AF317E">
              <w:rPr>
                <w:noProof/>
                <w:webHidden/>
              </w:rPr>
              <w:fldChar w:fldCharType="begin"/>
            </w:r>
            <w:r w:rsidR="00AF317E">
              <w:rPr>
                <w:noProof/>
                <w:webHidden/>
              </w:rPr>
              <w:instrText xml:space="preserve"> PAGEREF _Toc24928443 \h </w:instrText>
            </w:r>
            <w:r w:rsidR="00AF317E">
              <w:rPr>
                <w:noProof/>
                <w:webHidden/>
              </w:rPr>
            </w:r>
            <w:r w:rsidR="00AF317E">
              <w:rPr>
                <w:noProof/>
                <w:webHidden/>
              </w:rPr>
              <w:fldChar w:fldCharType="separate"/>
            </w:r>
            <w:r w:rsidR="004E5B33">
              <w:rPr>
                <w:noProof/>
                <w:webHidden/>
              </w:rPr>
              <w:t>26</w:t>
            </w:r>
            <w:r w:rsidR="00AF317E">
              <w:rPr>
                <w:noProof/>
                <w:webHidden/>
              </w:rPr>
              <w:fldChar w:fldCharType="end"/>
            </w:r>
          </w:hyperlink>
        </w:p>
        <w:p w14:paraId="36829936" w14:textId="77777777" w:rsidR="00AF317E" w:rsidRDefault="002F7FC3">
          <w:pPr>
            <w:pStyle w:val="TDC2"/>
            <w:tabs>
              <w:tab w:val="left" w:pos="880"/>
            </w:tabs>
            <w:rPr>
              <w:noProof/>
              <w:sz w:val="22"/>
              <w:szCs w:val="22"/>
              <w:lang w:val="es-MX" w:eastAsia="es-MX"/>
            </w:rPr>
          </w:pPr>
          <w:hyperlink w:anchor="_Toc24928444" w:history="1">
            <w:r w:rsidR="00AF317E" w:rsidRPr="0023361C">
              <w:rPr>
                <w:rStyle w:val="Hipervnculo"/>
                <w:noProof/>
              </w:rPr>
              <w:t>A)</w:t>
            </w:r>
            <w:r w:rsidR="00AF317E">
              <w:rPr>
                <w:noProof/>
                <w:sz w:val="22"/>
                <w:szCs w:val="22"/>
                <w:lang w:val="es-MX" w:eastAsia="es-MX"/>
              </w:rPr>
              <w:tab/>
            </w:r>
            <w:r w:rsidR="00AF317E" w:rsidRPr="0023361C">
              <w:rPr>
                <w:rStyle w:val="Hipervnculo"/>
                <w:noProof/>
              </w:rPr>
              <w:t>De la Inexistencia.</w:t>
            </w:r>
            <w:r w:rsidR="00AF317E">
              <w:rPr>
                <w:noProof/>
                <w:webHidden/>
              </w:rPr>
              <w:tab/>
            </w:r>
            <w:r w:rsidR="00AF317E">
              <w:rPr>
                <w:noProof/>
                <w:webHidden/>
              </w:rPr>
              <w:fldChar w:fldCharType="begin"/>
            </w:r>
            <w:r w:rsidR="00AF317E">
              <w:rPr>
                <w:noProof/>
                <w:webHidden/>
              </w:rPr>
              <w:instrText xml:space="preserve"> PAGEREF _Toc24928444 \h </w:instrText>
            </w:r>
            <w:r w:rsidR="00AF317E">
              <w:rPr>
                <w:noProof/>
                <w:webHidden/>
              </w:rPr>
            </w:r>
            <w:r w:rsidR="00AF317E">
              <w:rPr>
                <w:noProof/>
                <w:webHidden/>
              </w:rPr>
              <w:fldChar w:fldCharType="separate"/>
            </w:r>
            <w:r w:rsidR="004E5B33">
              <w:rPr>
                <w:noProof/>
                <w:webHidden/>
              </w:rPr>
              <w:t>51</w:t>
            </w:r>
            <w:r w:rsidR="00AF317E">
              <w:rPr>
                <w:noProof/>
                <w:webHidden/>
              </w:rPr>
              <w:fldChar w:fldCharType="end"/>
            </w:r>
          </w:hyperlink>
        </w:p>
        <w:p w14:paraId="4B3C6A95" w14:textId="77777777" w:rsidR="00AF317E" w:rsidRDefault="002F7FC3">
          <w:pPr>
            <w:pStyle w:val="TDC2"/>
            <w:rPr>
              <w:noProof/>
              <w:sz w:val="22"/>
              <w:szCs w:val="22"/>
              <w:lang w:val="es-MX" w:eastAsia="es-MX"/>
            </w:rPr>
          </w:pPr>
          <w:hyperlink w:anchor="_Toc24928445" w:history="1">
            <w:r w:rsidR="00AF317E" w:rsidRPr="0023361C">
              <w:rPr>
                <w:rStyle w:val="Hipervnculo"/>
                <w:noProof/>
              </w:rPr>
              <w:t>QUINTO. De la versión pública.</w:t>
            </w:r>
            <w:r w:rsidR="00AF317E">
              <w:rPr>
                <w:noProof/>
                <w:webHidden/>
              </w:rPr>
              <w:tab/>
            </w:r>
            <w:r w:rsidR="00AF317E">
              <w:rPr>
                <w:noProof/>
                <w:webHidden/>
              </w:rPr>
              <w:fldChar w:fldCharType="begin"/>
            </w:r>
            <w:r w:rsidR="00AF317E">
              <w:rPr>
                <w:noProof/>
                <w:webHidden/>
              </w:rPr>
              <w:instrText xml:space="preserve"> PAGEREF _Toc24928445 \h </w:instrText>
            </w:r>
            <w:r w:rsidR="00AF317E">
              <w:rPr>
                <w:noProof/>
                <w:webHidden/>
              </w:rPr>
            </w:r>
            <w:r w:rsidR="00AF317E">
              <w:rPr>
                <w:noProof/>
                <w:webHidden/>
              </w:rPr>
              <w:fldChar w:fldCharType="separate"/>
            </w:r>
            <w:r w:rsidR="004E5B33">
              <w:rPr>
                <w:noProof/>
                <w:webHidden/>
              </w:rPr>
              <w:t>59</w:t>
            </w:r>
            <w:r w:rsidR="00AF317E">
              <w:rPr>
                <w:noProof/>
                <w:webHidden/>
              </w:rPr>
              <w:fldChar w:fldCharType="end"/>
            </w:r>
          </w:hyperlink>
        </w:p>
        <w:p w14:paraId="67D1B848" w14:textId="77777777" w:rsidR="00AF317E" w:rsidRDefault="002F7FC3">
          <w:pPr>
            <w:pStyle w:val="TDC2"/>
            <w:tabs>
              <w:tab w:val="left" w:pos="880"/>
            </w:tabs>
            <w:rPr>
              <w:noProof/>
              <w:sz w:val="22"/>
              <w:szCs w:val="22"/>
              <w:lang w:val="es-MX" w:eastAsia="es-MX"/>
            </w:rPr>
          </w:pPr>
          <w:hyperlink w:anchor="_Toc24928446" w:history="1">
            <w:r w:rsidR="00AF317E" w:rsidRPr="0023361C">
              <w:rPr>
                <w:rStyle w:val="Hipervnculo"/>
                <w:noProof/>
              </w:rPr>
              <w:t>A.</w:t>
            </w:r>
            <w:r w:rsidR="00AF317E">
              <w:rPr>
                <w:noProof/>
                <w:sz w:val="22"/>
                <w:szCs w:val="22"/>
                <w:lang w:val="es-MX" w:eastAsia="es-MX"/>
              </w:rPr>
              <w:tab/>
            </w:r>
            <w:r w:rsidR="00AF317E" w:rsidRPr="0023361C">
              <w:rPr>
                <w:rStyle w:val="Hipervnculo"/>
                <w:noProof/>
              </w:rPr>
              <w:t>Requisitos de fondo del acuerdo de clasificación.</w:t>
            </w:r>
            <w:r w:rsidR="00AF317E">
              <w:rPr>
                <w:noProof/>
                <w:webHidden/>
              </w:rPr>
              <w:tab/>
            </w:r>
            <w:r w:rsidR="00AF317E">
              <w:rPr>
                <w:noProof/>
                <w:webHidden/>
              </w:rPr>
              <w:fldChar w:fldCharType="begin"/>
            </w:r>
            <w:r w:rsidR="00AF317E">
              <w:rPr>
                <w:noProof/>
                <w:webHidden/>
              </w:rPr>
              <w:instrText xml:space="preserve"> PAGEREF _Toc24928446 \h </w:instrText>
            </w:r>
            <w:r w:rsidR="00AF317E">
              <w:rPr>
                <w:noProof/>
                <w:webHidden/>
              </w:rPr>
            </w:r>
            <w:r w:rsidR="00AF317E">
              <w:rPr>
                <w:noProof/>
                <w:webHidden/>
              </w:rPr>
              <w:fldChar w:fldCharType="separate"/>
            </w:r>
            <w:r w:rsidR="004E5B33">
              <w:rPr>
                <w:noProof/>
                <w:webHidden/>
              </w:rPr>
              <w:t>61</w:t>
            </w:r>
            <w:r w:rsidR="00AF317E">
              <w:rPr>
                <w:noProof/>
                <w:webHidden/>
              </w:rPr>
              <w:fldChar w:fldCharType="end"/>
            </w:r>
          </w:hyperlink>
        </w:p>
        <w:p w14:paraId="7397A068" w14:textId="77777777" w:rsidR="00AF317E" w:rsidRDefault="002F7FC3">
          <w:pPr>
            <w:pStyle w:val="TDC1"/>
            <w:rPr>
              <w:noProof/>
              <w:sz w:val="22"/>
              <w:szCs w:val="22"/>
              <w:lang w:val="es-MX" w:eastAsia="es-MX"/>
            </w:rPr>
          </w:pPr>
          <w:hyperlink w:anchor="_Toc24928447" w:history="1">
            <w:r w:rsidR="00AF317E" w:rsidRPr="0023361C">
              <w:rPr>
                <w:rStyle w:val="Hipervnculo"/>
                <w:noProof/>
              </w:rPr>
              <w:t>B) De la disociación.</w:t>
            </w:r>
            <w:r w:rsidR="00AF317E">
              <w:rPr>
                <w:noProof/>
                <w:webHidden/>
              </w:rPr>
              <w:tab/>
            </w:r>
            <w:r w:rsidR="00AF317E">
              <w:rPr>
                <w:noProof/>
                <w:webHidden/>
              </w:rPr>
              <w:fldChar w:fldCharType="begin"/>
            </w:r>
            <w:r w:rsidR="00AF317E">
              <w:rPr>
                <w:noProof/>
                <w:webHidden/>
              </w:rPr>
              <w:instrText xml:space="preserve"> PAGEREF _Toc24928447 \h </w:instrText>
            </w:r>
            <w:r w:rsidR="00AF317E">
              <w:rPr>
                <w:noProof/>
                <w:webHidden/>
              </w:rPr>
            </w:r>
            <w:r w:rsidR="00AF317E">
              <w:rPr>
                <w:noProof/>
                <w:webHidden/>
              </w:rPr>
              <w:fldChar w:fldCharType="separate"/>
            </w:r>
            <w:r w:rsidR="004E5B33">
              <w:rPr>
                <w:noProof/>
                <w:webHidden/>
              </w:rPr>
              <w:t>69</w:t>
            </w:r>
            <w:r w:rsidR="00AF317E">
              <w:rPr>
                <w:noProof/>
                <w:webHidden/>
              </w:rPr>
              <w:fldChar w:fldCharType="end"/>
            </w:r>
          </w:hyperlink>
        </w:p>
        <w:p w14:paraId="1AF1B875" w14:textId="7CF52769" w:rsidR="00AF317E" w:rsidRDefault="00B15153">
          <w:pPr>
            <w:pStyle w:val="TDC1"/>
            <w:rPr>
              <w:noProof/>
              <w:sz w:val="22"/>
              <w:szCs w:val="22"/>
              <w:lang w:val="es-MX" w:eastAsia="es-MX"/>
            </w:rPr>
          </w:pPr>
          <w:r>
            <w:rPr>
              <w:rFonts w:eastAsia="Calibri"/>
              <w:noProof/>
              <w:color w:val="0000FF" w:themeColor="hyperlink"/>
              <w:u w:val="single"/>
              <w:lang w:val="es-MX" w:eastAsia="es-MX"/>
            </w:rPr>
            <mc:AlternateContent>
              <mc:Choice Requires="wps">
                <w:drawing>
                  <wp:anchor distT="0" distB="0" distL="114300" distR="114300" simplePos="0" relativeHeight="251667456" behindDoc="0" locked="0" layoutInCell="1" allowOverlap="1" wp14:anchorId="63F5F55B" wp14:editId="06E94FCD">
                    <wp:simplePos x="0" y="0"/>
                    <wp:positionH relativeFrom="column">
                      <wp:posOffset>4445</wp:posOffset>
                    </wp:positionH>
                    <wp:positionV relativeFrom="paragraph">
                      <wp:posOffset>245110</wp:posOffset>
                    </wp:positionV>
                    <wp:extent cx="5915025" cy="2171700"/>
                    <wp:effectExtent l="76200" t="57150" r="47625" b="95250"/>
                    <wp:wrapNone/>
                    <wp:docPr id="1" name="Conector recto 1"/>
                    <wp:cNvGraphicFramePr/>
                    <a:graphic xmlns:a="http://schemas.openxmlformats.org/drawingml/2006/main">
                      <a:graphicData uri="http://schemas.microsoft.com/office/word/2010/wordprocessingShape">
                        <wps:wsp>
                          <wps:cNvCnPr/>
                          <wps:spPr>
                            <a:xfrm flipH="1" flipV="1">
                              <a:off x="0" y="0"/>
                              <a:ext cx="5915025" cy="217170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23D3E2C" id="Conector recto 1" o:spid="_x0000_s1026" style="position:absolute;flip:x y;z-index:251667456;visibility:visible;mso-wrap-style:square;mso-wrap-distance-left:9pt;mso-wrap-distance-top:0;mso-wrap-distance-right:9pt;mso-wrap-distance-bottom:0;mso-position-horizontal:absolute;mso-position-horizontal-relative:text;mso-position-vertical:absolute;mso-position-vertical-relative:text" from=".35pt,19.3pt" to="466.1pt,1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" strokecolor="#4f81bd [3204]" strokeweight="3pt">
                    <v:shadow on="t" color="black" opacity="24903f" origin=",.5" offset="0,.55556mm"/>
                  </v:line>
                </w:pict>
              </mc:Fallback>
            </mc:AlternateContent>
          </w:r>
          <w:hyperlink w:anchor="_Toc24928448" w:history="1">
            <w:r w:rsidR="00AF317E" w:rsidRPr="0023361C">
              <w:rPr>
                <w:rStyle w:val="Hipervnculo"/>
                <w:rFonts w:eastAsia="Calibri"/>
                <w:noProof/>
                <w:lang w:val="es-ES"/>
              </w:rPr>
              <w:t>R E S O L U T I V O S</w:t>
            </w:r>
            <w:r w:rsidR="00AF317E">
              <w:rPr>
                <w:noProof/>
                <w:webHidden/>
              </w:rPr>
              <w:tab/>
            </w:r>
            <w:r w:rsidR="00AF317E">
              <w:rPr>
                <w:noProof/>
                <w:webHidden/>
              </w:rPr>
              <w:fldChar w:fldCharType="begin"/>
            </w:r>
            <w:r w:rsidR="00AF317E">
              <w:rPr>
                <w:noProof/>
                <w:webHidden/>
              </w:rPr>
              <w:instrText xml:space="preserve"> PAGEREF _Toc24928448 \h </w:instrText>
            </w:r>
            <w:r w:rsidR="00AF317E">
              <w:rPr>
                <w:noProof/>
                <w:webHidden/>
              </w:rPr>
            </w:r>
            <w:r w:rsidR="00AF317E">
              <w:rPr>
                <w:noProof/>
                <w:webHidden/>
              </w:rPr>
              <w:fldChar w:fldCharType="separate"/>
            </w:r>
            <w:r w:rsidR="004E5B33">
              <w:rPr>
                <w:noProof/>
                <w:webHidden/>
              </w:rPr>
              <w:t>73</w:t>
            </w:r>
            <w:r w:rsidR="00AF317E">
              <w:rPr>
                <w:noProof/>
                <w:webHidden/>
              </w:rPr>
              <w:fldChar w:fldCharType="end"/>
            </w:r>
          </w:hyperlink>
        </w:p>
        <w:p w14:paraId="549EF214" w14:textId="77777777" w:rsidR="00F45CE4" w:rsidRDefault="0011338C" w:rsidP="00AC19BA">
          <w:pPr>
            <w:rPr>
              <w:rFonts w:ascii="Palatino Linotype" w:hAnsi="Palatino Linotype"/>
              <w:bCs/>
              <w:sz w:val="22"/>
              <w:szCs w:val="22"/>
              <w:lang w:val="es-ES"/>
            </w:rPr>
          </w:pPr>
          <w:r w:rsidRPr="00F45CE4">
            <w:rPr>
              <w:rFonts w:ascii="Palatino Linotype" w:hAnsi="Palatino Linotype"/>
              <w:bCs/>
              <w:lang w:val="es-ES"/>
            </w:rPr>
            <w:fldChar w:fldCharType="end"/>
          </w:r>
        </w:p>
        <w:p w14:paraId="2413D6BD" w14:textId="77777777" w:rsidR="00F45CE4" w:rsidRDefault="00F45CE4" w:rsidP="00AC19BA">
          <w:pPr>
            <w:rPr>
              <w:rFonts w:ascii="Palatino Linotype" w:hAnsi="Palatino Linotype"/>
              <w:bCs/>
              <w:sz w:val="22"/>
              <w:szCs w:val="22"/>
              <w:lang w:val="es-ES"/>
            </w:rPr>
          </w:pPr>
        </w:p>
        <w:p w14:paraId="2821CEED" w14:textId="77777777" w:rsidR="00F45CE4" w:rsidRDefault="00F45CE4" w:rsidP="00AC19BA">
          <w:pPr>
            <w:rPr>
              <w:rFonts w:ascii="Palatino Linotype" w:hAnsi="Palatino Linotype"/>
              <w:bCs/>
              <w:sz w:val="22"/>
              <w:szCs w:val="22"/>
              <w:lang w:val="es-ES"/>
            </w:rPr>
          </w:pPr>
        </w:p>
        <w:p w14:paraId="340C31C4" w14:textId="77777777" w:rsidR="00F45CE4" w:rsidRDefault="00F45CE4" w:rsidP="00AC19BA">
          <w:pPr>
            <w:rPr>
              <w:rFonts w:ascii="Palatino Linotype" w:hAnsi="Palatino Linotype"/>
              <w:bCs/>
              <w:sz w:val="22"/>
              <w:szCs w:val="22"/>
              <w:lang w:val="es-ES"/>
            </w:rPr>
          </w:pPr>
        </w:p>
        <w:p w14:paraId="52DDF39C" w14:textId="77777777" w:rsidR="00F45CE4" w:rsidRDefault="00F45CE4" w:rsidP="00AC19BA">
          <w:pPr>
            <w:rPr>
              <w:rFonts w:ascii="Palatino Linotype" w:hAnsi="Palatino Linotype"/>
              <w:bCs/>
              <w:sz w:val="22"/>
              <w:szCs w:val="22"/>
              <w:lang w:val="es-ES"/>
            </w:rPr>
          </w:pPr>
        </w:p>
        <w:p w14:paraId="27D7857C" w14:textId="77777777" w:rsidR="00F45CE4" w:rsidRDefault="00F45CE4" w:rsidP="00AC19BA">
          <w:pPr>
            <w:rPr>
              <w:rFonts w:ascii="Palatino Linotype" w:hAnsi="Palatino Linotype"/>
              <w:bCs/>
              <w:sz w:val="22"/>
              <w:szCs w:val="22"/>
              <w:lang w:val="es-ES"/>
            </w:rPr>
          </w:pPr>
        </w:p>
        <w:p w14:paraId="1228A969" w14:textId="77777777" w:rsidR="00F45CE4" w:rsidRDefault="00F45CE4" w:rsidP="00AC19BA">
          <w:pPr>
            <w:rPr>
              <w:rFonts w:ascii="Palatino Linotype" w:hAnsi="Palatino Linotype"/>
              <w:bCs/>
              <w:sz w:val="22"/>
              <w:szCs w:val="22"/>
              <w:lang w:val="es-ES"/>
            </w:rPr>
          </w:pPr>
        </w:p>
        <w:p w14:paraId="3CF7DFEF" w14:textId="77777777" w:rsidR="00F45CE4" w:rsidRDefault="00F45CE4" w:rsidP="00AC19BA">
          <w:pPr>
            <w:rPr>
              <w:rFonts w:ascii="Palatino Linotype" w:hAnsi="Palatino Linotype"/>
              <w:bCs/>
              <w:sz w:val="22"/>
              <w:szCs w:val="22"/>
              <w:lang w:val="es-ES"/>
            </w:rPr>
          </w:pPr>
        </w:p>
        <w:p w14:paraId="0C56B5E9" w14:textId="77777777" w:rsidR="00F45CE4" w:rsidRDefault="00F45CE4" w:rsidP="00AC19BA">
          <w:pPr>
            <w:rPr>
              <w:rFonts w:ascii="Palatino Linotype" w:hAnsi="Palatino Linotype"/>
              <w:bCs/>
              <w:sz w:val="22"/>
              <w:szCs w:val="22"/>
              <w:lang w:val="es-ES"/>
            </w:rPr>
          </w:pPr>
        </w:p>
        <w:p w14:paraId="758D5633" w14:textId="77777777" w:rsidR="00F45CE4" w:rsidRDefault="00F45CE4" w:rsidP="00AC19BA">
          <w:pPr>
            <w:rPr>
              <w:rFonts w:ascii="Palatino Linotype" w:hAnsi="Palatino Linotype"/>
              <w:bCs/>
              <w:sz w:val="22"/>
              <w:szCs w:val="22"/>
              <w:lang w:val="es-ES"/>
            </w:rPr>
          </w:pPr>
        </w:p>
        <w:p w14:paraId="32D2BD27" w14:textId="70B9D456" w:rsidR="00F41E88" w:rsidRPr="00C7354D" w:rsidRDefault="002F7FC3" w:rsidP="00AC19BA">
          <w:pPr>
            <w:rPr>
              <w:rFonts w:ascii="Palatino Linotype" w:hAnsi="Palatino Linotype"/>
              <w:bCs/>
              <w:lang w:val="es-ES"/>
            </w:rPr>
          </w:pPr>
        </w:p>
      </w:sdtContent>
    </w:sdt>
    <w:p w14:paraId="7BA9DE57" w14:textId="63215B17" w:rsidR="00EB4847" w:rsidRPr="00C7354D" w:rsidRDefault="001B26AA" w:rsidP="004E1461">
      <w:pPr>
        <w:tabs>
          <w:tab w:val="left" w:pos="567"/>
        </w:tabs>
        <w:spacing w:before="240" w:after="240" w:line="360" w:lineRule="auto"/>
        <w:jc w:val="both"/>
        <w:rPr>
          <w:rFonts w:ascii="Palatino Linotype" w:hAnsi="Palatino Linotype"/>
          <w:lang w:val="es-MX"/>
        </w:rPr>
      </w:pPr>
      <w:r w:rsidRPr="00C7354D">
        <w:rPr>
          <w:rFonts w:ascii="Palatino Linotype" w:hAnsi="Palatino Linotype"/>
        </w:rPr>
        <w:lastRenderedPageBreak/>
        <w:t>R</w:t>
      </w:r>
      <w:r w:rsidR="00662C69" w:rsidRPr="00C7354D">
        <w:rPr>
          <w:rFonts w:ascii="Palatino Linotype" w:hAnsi="Palatino Linotype"/>
          <w:lang w:val="es-MX"/>
        </w:rPr>
        <w:t xml:space="preserve">esolución del Pleno del Instituto de Transparencia, Acceso a la Información Pública y Protección de Datos </w:t>
      </w:r>
      <w:r w:rsidR="00662C69" w:rsidRPr="00B15153">
        <w:rPr>
          <w:rFonts w:ascii="Palatino Linotype" w:hAnsi="Palatino Linotype"/>
          <w:lang w:val="es-MX"/>
        </w:rPr>
        <w:t xml:space="preserve">Personales del Estado de México y Municipios, con domicilio en Metepec, Estado de México; de </w:t>
      </w:r>
      <w:r w:rsidR="00084FD5" w:rsidRPr="00B15153">
        <w:rPr>
          <w:rFonts w:ascii="Palatino Linotype" w:hAnsi="Palatino Linotype"/>
          <w:lang w:val="es-MX"/>
        </w:rPr>
        <w:t xml:space="preserve">fecha </w:t>
      </w:r>
      <w:r w:rsidR="00A3606F" w:rsidRPr="00B15153">
        <w:rPr>
          <w:rFonts w:ascii="Palatino Linotype" w:hAnsi="Palatino Linotype"/>
          <w:lang w:val="es-MX"/>
        </w:rPr>
        <w:t xml:space="preserve">veintisiete </w:t>
      </w:r>
      <w:r w:rsidR="000E6945" w:rsidRPr="00B15153">
        <w:rPr>
          <w:rFonts w:ascii="Palatino Linotype" w:hAnsi="Palatino Linotype"/>
          <w:lang w:val="es-MX"/>
        </w:rPr>
        <w:t>(</w:t>
      </w:r>
      <w:r w:rsidR="00A3606F" w:rsidRPr="00B15153">
        <w:rPr>
          <w:rFonts w:ascii="Palatino Linotype" w:hAnsi="Palatino Linotype"/>
          <w:lang w:val="es-MX"/>
        </w:rPr>
        <w:t>27</w:t>
      </w:r>
      <w:r w:rsidR="000E6945" w:rsidRPr="00B15153">
        <w:rPr>
          <w:rFonts w:ascii="Palatino Linotype" w:hAnsi="Palatino Linotype"/>
          <w:lang w:val="es-MX"/>
        </w:rPr>
        <w:t>)</w:t>
      </w:r>
      <w:r w:rsidR="007E14CE" w:rsidRPr="00B15153">
        <w:rPr>
          <w:rFonts w:ascii="Palatino Linotype" w:hAnsi="Palatino Linotype"/>
          <w:lang w:val="es-MX"/>
        </w:rPr>
        <w:t xml:space="preserve"> </w:t>
      </w:r>
      <w:r w:rsidR="00D755D6" w:rsidRPr="00B15153">
        <w:rPr>
          <w:rFonts w:ascii="Palatino Linotype" w:hAnsi="Palatino Linotype"/>
          <w:lang w:val="es-MX"/>
        </w:rPr>
        <w:t xml:space="preserve">de </w:t>
      </w:r>
      <w:r w:rsidR="00D53931" w:rsidRPr="00B15153">
        <w:rPr>
          <w:rFonts w:ascii="Palatino Linotype" w:hAnsi="Palatino Linotype"/>
          <w:lang w:val="es-MX"/>
        </w:rPr>
        <w:t>noviembre</w:t>
      </w:r>
      <w:r w:rsidR="008A334C" w:rsidRPr="00B15153">
        <w:rPr>
          <w:rFonts w:ascii="Palatino Linotype" w:hAnsi="Palatino Linotype"/>
          <w:lang w:val="es-MX"/>
        </w:rPr>
        <w:t xml:space="preserve"> </w:t>
      </w:r>
      <w:r w:rsidR="00662C69" w:rsidRPr="00B15153">
        <w:rPr>
          <w:rFonts w:ascii="Palatino Linotype" w:hAnsi="Palatino Linotype"/>
          <w:lang w:val="es-MX"/>
        </w:rPr>
        <w:t xml:space="preserve">de dos mil </w:t>
      </w:r>
      <w:r w:rsidR="00B10987" w:rsidRPr="00B15153">
        <w:rPr>
          <w:rFonts w:ascii="Palatino Linotype" w:hAnsi="Palatino Linotype"/>
          <w:lang w:val="es-MX"/>
        </w:rPr>
        <w:t>dieci</w:t>
      </w:r>
      <w:r w:rsidR="008A334C" w:rsidRPr="00B15153">
        <w:rPr>
          <w:rFonts w:ascii="Palatino Linotype" w:hAnsi="Palatino Linotype"/>
          <w:lang w:val="es-MX"/>
        </w:rPr>
        <w:t>nueve</w:t>
      </w:r>
      <w:r w:rsidR="00662C69" w:rsidRPr="00B15153">
        <w:rPr>
          <w:rFonts w:ascii="Palatino Linotype" w:hAnsi="Palatino Linotype"/>
          <w:lang w:val="es-MX"/>
        </w:rPr>
        <w:t>.</w:t>
      </w:r>
    </w:p>
    <w:p w14:paraId="678D20AB" w14:textId="15778102" w:rsidR="009B359D" w:rsidRPr="00C7354D" w:rsidRDefault="00924CEA" w:rsidP="008D6C8D">
      <w:pPr>
        <w:pStyle w:val="Encabezado"/>
        <w:spacing w:line="360" w:lineRule="auto"/>
        <w:jc w:val="both"/>
        <w:rPr>
          <w:rFonts w:ascii="Palatino Linotype" w:eastAsia="Times New Roman" w:hAnsi="Palatino Linotype" w:cs="Times New Roman"/>
          <w:b/>
        </w:rPr>
      </w:pPr>
      <w:r w:rsidRPr="00C7354D">
        <w:rPr>
          <w:rFonts w:ascii="Palatino Linotype" w:eastAsia="Times New Roman" w:hAnsi="Palatino Linotype" w:cs="Times New Roman"/>
          <w:b/>
        </w:rPr>
        <w:t>VISTO</w:t>
      </w:r>
      <w:r w:rsidR="003122CE" w:rsidRPr="00C7354D">
        <w:rPr>
          <w:rFonts w:ascii="Palatino Linotype" w:eastAsia="Times New Roman" w:hAnsi="Palatino Linotype" w:cs="Times New Roman"/>
        </w:rPr>
        <w:t xml:space="preserve"> </w:t>
      </w:r>
      <w:r w:rsidRPr="00C7354D">
        <w:rPr>
          <w:rFonts w:ascii="Palatino Linotype" w:eastAsia="Times New Roman" w:hAnsi="Palatino Linotype" w:cs="Times New Roman"/>
        </w:rPr>
        <w:t>el expediente</w:t>
      </w:r>
      <w:r w:rsidR="003122CE" w:rsidRPr="00C7354D">
        <w:rPr>
          <w:rFonts w:ascii="Palatino Linotype" w:eastAsia="Times New Roman" w:hAnsi="Palatino Linotype" w:cs="Times New Roman"/>
        </w:rPr>
        <w:t xml:space="preserve"> electrón</w:t>
      </w:r>
      <w:r w:rsidRPr="00C7354D">
        <w:rPr>
          <w:rFonts w:ascii="Palatino Linotype" w:eastAsia="Times New Roman" w:hAnsi="Palatino Linotype" w:cs="Times New Roman"/>
        </w:rPr>
        <w:t>ico formado</w:t>
      </w:r>
      <w:r w:rsidR="00417E0F" w:rsidRPr="00C7354D">
        <w:rPr>
          <w:rFonts w:ascii="Palatino Linotype" w:eastAsia="Times New Roman" w:hAnsi="Palatino Linotype" w:cs="Times New Roman"/>
        </w:rPr>
        <w:t xml:space="preserve"> con motivo del recurso de revisión número</w:t>
      </w:r>
      <w:r w:rsidRPr="00C7354D">
        <w:rPr>
          <w:rFonts w:ascii="Palatino Linotype" w:eastAsia="Times New Roman" w:hAnsi="Palatino Linotype" w:cs="Times New Roman"/>
        </w:rPr>
        <w:t xml:space="preserve"> </w:t>
      </w:r>
      <w:r w:rsidR="000A1421">
        <w:rPr>
          <w:rFonts w:ascii="Palatino Linotype" w:hAnsi="Palatino Linotype" w:cs="Arial"/>
          <w:b/>
          <w:bCs/>
          <w:lang w:eastAsia="es-MX"/>
        </w:rPr>
        <w:t>07468/INFOEM/IP/RR/2019</w:t>
      </w:r>
      <w:r w:rsidR="003122CE" w:rsidRPr="00C7354D">
        <w:rPr>
          <w:rFonts w:ascii="Palatino Linotype" w:eastAsia="Times New Roman" w:hAnsi="Palatino Linotype" w:cs="Arial"/>
          <w:bCs/>
        </w:rPr>
        <w:t xml:space="preserve">, </w:t>
      </w:r>
      <w:r w:rsidR="00417E0F" w:rsidRPr="00C7354D">
        <w:rPr>
          <w:rFonts w:ascii="Palatino Linotype" w:eastAsia="Times New Roman" w:hAnsi="Palatino Linotype" w:cs="Times New Roman"/>
        </w:rPr>
        <w:t>promovido</w:t>
      </w:r>
      <w:r w:rsidR="003122CE" w:rsidRPr="00C7354D">
        <w:rPr>
          <w:rFonts w:ascii="Palatino Linotype" w:eastAsia="Times New Roman" w:hAnsi="Palatino Linotype" w:cs="Times New Roman"/>
        </w:rPr>
        <w:t xml:space="preserve"> por</w:t>
      </w:r>
      <w:r w:rsidR="00F354BA">
        <w:rPr>
          <w:rFonts w:ascii="Palatino Linotype" w:eastAsia="Times New Roman" w:hAnsi="Palatino Linotype" w:cs="Times New Roman"/>
          <w:b/>
        </w:rPr>
        <w:t xml:space="preserve"> </w:t>
      </w:r>
      <w:r w:rsidR="00ED6EE1" w:rsidRPr="00ED6EE1">
        <w:rPr>
          <w:rFonts w:ascii="Palatino Linotype" w:eastAsia="Times New Roman" w:hAnsi="Palatino Linotype" w:cs="Times New Roman"/>
          <w:b/>
          <w:highlight w:val="black"/>
        </w:rPr>
        <w:t>--------------------------------</w:t>
      </w:r>
      <w:r w:rsidR="00F354BA" w:rsidRPr="00F354BA">
        <w:rPr>
          <w:rFonts w:ascii="Palatino Linotype" w:eastAsia="Times New Roman" w:hAnsi="Palatino Linotype" w:cs="Times New Roman"/>
        </w:rPr>
        <w:t xml:space="preserve"> </w:t>
      </w:r>
      <w:r w:rsidR="003122CE" w:rsidRPr="00C7354D">
        <w:rPr>
          <w:rFonts w:ascii="Palatino Linotype" w:eastAsia="Times New Roman" w:hAnsi="Palatino Linotype" w:cs="Arial"/>
        </w:rPr>
        <w:t xml:space="preserve">en su calidad de </w:t>
      </w:r>
      <w:r w:rsidR="003122CE" w:rsidRPr="00C7354D">
        <w:rPr>
          <w:rFonts w:ascii="Palatino Linotype" w:eastAsia="Times New Roman" w:hAnsi="Palatino Linotype" w:cs="Arial"/>
          <w:b/>
        </w:rPr>
        <w:t>RECURRENTE</w:t>
      </w:r>
      <w:r w:rsidR="003122CE" w:rsidRPr="00C7354D">
        <w:rPr>
          <w:rFonts w:ascii="Palatino Linotype" w:eastAsia="Times New Roman" w:hAnsi="Palatino Linotype" w:cs="Arial"/>
        </w:rPr>
        <w:t>, en contra de la respuesta</w:t>
      </w:r>
      <w:r w:rsidRPr="00C7354D">
        <w:rPr>
          <w:rFonts w:ascii="Palatino Linotype" w:eastAsia="Times New Roman" w:hAnsi="Palatino Linotype" w:cs="Arial"/>
        </w:rPr>
        <w:t xml:space="preserve"> </w:t>
      </w:r>
      <w:r w:rsidR="002C30ED" w:rsidRPr="00C7354D">
        <w:rPr>
          <w:rFonts w:ascii="Palatino Linotype" w:eastAsia="Times New Roman" w:hAnsi="Palatino Linotype" w:cs="Arial"/>
        </w:rPr>
        <w:t>de</w:t>
      </w:r>
      <w:r w:rsidR="004A4862">
        <w:rPr>
          <w:rFonts w:ascii="Palatino Linotype" w:eastAsia="Times New Roman" w:hAnsi="Palatino Linotype" w:cs="Arial"/>
        </w:rPr>
        <w:t xml:space="preserve"> </w:t>
      </w:r>
      <w:r w:rsidR="00C92AD2">
        <w:rPr>
          <w:rFonts w:ascii="Palatino Linotype" w:eastAsia="Times New Roman" w:hAnsi="Palatino Linotype" w:cs="Arial"/>
        </w:rPr>
        <w:t xml:space="preserve">la </w:t>
      </w:r>
      <w:r w:rsidR="00D53931">
        <w:rPr>
          <w:rFonts w:ascii="Palatino Linotype" w:hAnsi="Palatino Linotype"/>
          <w:b/>
          <w:bCs/>
          <w:color w:val="000000"/>
        </w:rPr>
        <w:t>Fiscalía General de Justicia</w:t>
      </w:r>
      <w:r w:rsidR="00F354BA">
        <w:rPr>
          <w:rFonts w:ascii="Palatino Linotype" w:hAnsi="Palatino Linotype"/>
          <w:b/>
          <w:bCs/>
          <w:color w:val="000000"/>
        </w:rPr>
        <w:t xml:space="preserve"> del Estado de México</w:t>
      </w:r>
      <w:r w:rsidR="003122CE" w:rsidRPr="00C7354D">
        <w:rPr>
          <w:rFonts w:ascii="Palatino Linotype" w:eastAsia="Calibri" w:hAnsi="Palatino Linotype" w:cs="Arial"/>
          <w:lang w:val="es-ES"/>
        </w:rPr>
        <w:t xml:space="preserve">, </w:t>
      </w:r>
      <w:r w:rsidR="003122CE" w:rsidRPr="00C7354D">
        <w:rPr>
          <w:rFonts w:ascii="Palatino Linotype" w:eastAsia="Times New Roman" w:hAnsi="Palatino Linotype" w:cs="Times New Roman"/>
        </w:rPr>
        <w:t>en lo sucesivo el</w:t>
      </w:r>
      <w:r w:rsidR="003122CE" w:rsidRPr="00C7354D">
        <w:rPr>
          <w:rFonts w:ascii="Palatino Linotype" w:eastAsia="Times New Roman" w:hAnsi="Palatino Linotype" w:cs="Times New Roman"/>
          <w:b/>
        </w:rPr>
        <w:t xml:space="preserve"> SUJETO OBLIGADO, </w:t>
      </w:r>
      <w:r w:rsidR="003122CE" w:rsidRPr="00C7354D">
        <w:rPr>
          <w:rFonts w:ascii="Palatino Linotype" w:eastAsia="Times New Roman" w:hAnsi="Palatino Linotype" w:cs="Times New Roman"/>
        </w:rPr>
        <w:t>se procede a dictar la presente resolución, con base en los siguientes:</w:t>
      </w:r>
      <w:bookmarkStart w:id="1" w:name="_Toc466418172"/>
      <w:bookmarkStart w:id="2" w:name="_Toc462402153"/>
    </w:p>
    <w:p w14:paraId="02320B65" w14:textId="77777777" w:rsidR="00F34201" w:rsidRPr="00C7354D" w:rsidRDefault="00F34201" w:rsidP="004E1461">
      <w:pPr>
        <w:pStyle w:val="Ttulo1"/>
        <w:tabs>
          <w:tab w:val="left" w:pos="567"/>
        </w:tabs>
        <w:jc w:val="center"/>
        <w:rPr>
          <w:b w:val="0"/>
          <w:color w:val="auto"/>
        </w:rPr>
      </w:pPr>
      <w:bookmarkStart w:id="3" w:name="_Toc473812222"/>
      <w:bookmarkStart w:id="4" w:name="_Toc495430765"/>
      <w:bookmarkStart w:id="5" w:name="_Toc24928434"/>
      <w:r w:rsidRPr="00C7354D">
        <w:rPr>
          <w:color w:val="auto"/>
        </w:rPr>
        <w:t>ANTECEDENTES</w:t>
      </w:r>
      <w:bookmarkEnd w:id="3"/>
      <w:bookmarkEnd w:id="4"/>
      <w:bookmarkEnd w:id="5"/>
    </w:p>
    <w:p w14:paraId="54EBC941" w14:textId="77777777" w:rsidR="00F34201" w:rsidRPr="00C7354D" w:rsidRDefault="00F34201" w:rsidP="004E1461">
      <w:pPr>
        <w:tabs>
          <w:tab w:val="left" w:pos="567"/>
        </w:tabs>
        <w:rPr>
          <w:rFonts w:ascii="Palatino Linotype" w:hAnsi="Palatino Linotype"/>
          <w:lang w:val="es-MX" w:eastAsia="en-US"/>
        </w:rPr>
      </w:pPr>
    </w:p>
    <w:p w14:paraId="749498DB" w14:textId="0317E583" w:rsidR="00F34201" w:rsidRPr="00C7354D"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7354D">
        <w:rPr>
          <w:rFonts w:ascii="Palatino Linotype" w:eastAsia="Calibri" w:hAnsi="Palatino Linotype" w:cs="Arial"/>
          <w:color w:val="000000" w:themeColor="text1"/>
          <w:lang w:val="es-ES"/>
        </w:rPr>
        <w:t xml:space="preserve">El día </w:t>
      </w:r>
      <w:r w:rsidR="00AA0C32">
        <w:rPr>
          <w:rFonts w:ascii="Palatino Linotype" w:eastAsia="Calibri" w:hAnsi="Palatino Linotype" w:cs="Arial"/>
          <w:color w:val="000000" w:themeColor="text1"/>
          <w:lang w:val="es-ES"/>
        </w:rPr>
        <w:t>veinti</w:t>
      </w:r>
      <w:r w:rsidR="00D53931">
        <w:rPr>
          <w:rFonts w:ascii="Palatino Linotype" w:eastAsia="Calibri" w:hAnsi="Palatino Linotype" w:cs="Arial"/>
          <w:color w:val="000000" w:themeColor="text1"/>
          <w:lang w:val="es-ES"/>
        </w:rPr>
        <w:t xml:space="preserve">uno </w:t>
      </w:r>
      <w:r w:rsidRPr="00C7354D">
        <w:rPr>
          <w:rFonts w:ascii="Palatino Linotype" w:eastAsia="Calibri" w:hAnsi="Palatino Linotype" w:cs="Arial"/>
          <w:color w:val="000000" w:themeColor="text1"/>
          <w:lang w:val="es-ES"/>
        </w:rPr>
        <w:t>(</w:t>
      </w:r>
      <w:r w:rsidR="00571235">
        <w:rPr>
          <w:rFonts w:ascii="Palatino Linotype" w:eastAsia="Calibri" w:hAnsi="Palatino Linotype" w:cs="Arial"/>
          <w:color w:val="000000" w:themeColor="text1"/>
          <w:lang w:val="es-ES"/>
        </w:rPr>
        <w:t>2</w:t>
      </w:r>
      <w:r w:rsidR="00D53931">
        <w:rPr>
          <w:rFonts w:ascii="Palatino Linotype" w:eastAsia="Calibri" w:hAnsi="Palatino Linotype" w:cs="Arial"/>
          <w:color w:val="000000" w:themeColor="text1"/>
          <w:lang w:val="es-ES"/>
        </w:rPr>
        <w:t>1</w:t>
      </w:r>
      <w:r w:rsidRPr="00C7354D">
        <w:rPr>
          <w:rFonts w:ascii="Palatino Linotype" w:eastAsia="Calibri" w:hAnsi="Palatino Linotype" w:cs="Arial"/>
          <w:color w:val="000000" w:themeColor="text1"/>
          <w:lang w:val="es-ES"/>
        </w:rPr>
        <w:t xml:space="preserve">) de </w:t>
      </w:r>
      <w:r w:rsidR="009A6DF4">
        <w:rPr>
          <w:rFonts w:ascii="Palatino Linotype" w:eastAsia="Calibri" w:hAnsi="Palatino Linotype" w:cs="Arial"/>
          <w:color w:val="000000" w:themeColor="text1"/>
          <w:lang w:val="es-ES"/>
        </w:rPr>
        <w:t>agosto</w:t>
      </w:r>
      <w:r w:rsidRPr="00C7354D">
        <w:rPr>
          <w:rFonts w:ascii="Palatino Linotype" w:eastAsia="Calibri" w:hAnsi="Palatino Linotype" w:cs="Arial"/>
          <w:color w:val="000000" w:themeColor="text1"/>
          <w:lang w:val="es-ES"/>
        </w:rPr>
        <w:t xml:space="preserve"> de </w:t>
      </w:r>
      <w:r w:rsidR="00E91B4E" w:rsidRPr="00C7354D">
        <w:rPr>
          <w:rFonts w:ascii="Palatino Linotype" w:eastAsia="Calibri" w:hAnsi="Palatino Linotype" w:cs="Arial"/>
          <w:color w:val="000000" w:themeColor="text1"/>
          <w:lang w:val="es-ES"/>
        </w:rPr>
        <w:t>dos mil diecinueve</w:t>
      </w:r>
      <w:r w:rsidRPr="00C7354D">
        <w:rPr>
          <w:rFonts w:ascii="Palatino Linotype" w:eastAsia="Calibri" w:hAnsi="Palatino Linotype" w:cs="Arial"/>
          <w:color w:val="000000" w:themeColor="text1"/>
          <w:lang w:val="es-ES"/>
        </w:rPr>
        <w:t>,</w:t>
      </w:r>
      <w:r w:rsidRPr="00C7354D">
        <w:rPr>
          <w:rFonts w:ascii="Palatino Linotype" w:eastAsia="Calibri" w:hAnsi="Palatino Linotype" w:cs="Times New Roman"/>
          <w:color w:val="000000" w:themeColor="text1"/>
          <w:lang w:val="es-ES"/>
        </w:rPr>
        <w:t xml:space="preserve"> </w:t>
      </w:r>
      <w:r w:rsidR="00F523D6" w:rsidRPr="00C7354D">
        <w:rPr>
          <w:rFonts w:ascii="Palatino Linotype" w:eastAsia="Calibri" w:hAnsi="Palatino Linotype" w:cs="Arial"/>
          <w:lang w:val="es-ES"/>
        </w:rPr>
        <w:t>se</w:t>
      </w:r>
      <w:r w:rsidR="002F768F" w:rsidRPr="00C7354D">
        <w:rPr>
          <w:rFonts w:ascii="Palatino Linotype" w:eastAsia="Calibri" w:hAnsi="Palatino Linotype" w:cs="Arial"/>
          <w:b/>
          <w:lang w:val="es-ES"/>
        </w:rPr>
        <w:t xml:space="preserve"> </w:t>
      </w:r>
      <w:r w:rsidRPr="00C7354D">
        <w:rPr>
          <w:rFonts w:ascii="Palatino Linotype" w:hAnsi="Palatino Linotype"/>
          <w:color w:val="000000" w:themeColor="text1"/>
        </w:rPr>
        <w:t>presentó</w:t>
      </w:r>
      <w:r w:rsidRPr="00C7354D">
        <w:rPr>
          <w:rFonts w:ascii="Palatino Linotype" w:hAnsi="Palatino Linotype"/>
          <w:b/>
          <w:color w:val="000000" w:themeColor="text1"/>
        </w:rPr>
        <w:t xml:space="preserve"> </w:t>
      </w:r>
      <w:r w:rsidRPr="00C7354D">
        <w:rPr>
          <w:rFonts w:ascii="Palatino Linotype" w:eastAsia="Calibri" w:hAnsi="Palatino Linotype" w:cs="Arial"/>
          <w:color w:val="000000" w:themeColor="text1"/>
        </w:rPr>
        <w:t xml:space="preserve">vía </w:t>
      </w:r>
      <w:r w:rsidRPr="00C7354D">
        <w:rPr>
          <w:rFonts w:ascii="Palatino Linotype" w:eastAsia="Calibri" w:hAnsi="Palatino Linotype" w:cs="Arial"/>
          <w:color w:val="000000" w:themeColor="text1"/>
          <w:lang w:val="es-ES"/>
        </w:rPr>
        <w:t xml:space="preserve">Sistema de Acceso a la Información Mexiquense </w:t>
      </w:r>
      <w:r w:rsidRPr="00C7354D">
        <w:rPr>
          <w:rFonts w:ascii="Palatino Linotype" w:eastAsia="Calibri" w:hAnsi="Palatino Linotype" w:cs="Arial"/>
          <w:b/>
          <w:color w:val="000000" w:themeColor="text1"/>
          <w:lang w:val="es-ES"/>
        </w:rPr>
        <w:t>(SAIMEX)</w:t>
      </w:r>
      <w:r w:rsidRPr="00C7354D">
        <w:rPr>
          <w:rFonts w:ascii="Palatino Linotype" w:eastAsia="Calibri" w:hAnsi="Palatino Linotype" w:cs="Arial"/>
          <w:color w:val="000000" w:themeColor="text1"/>
          <w:lang w:val="es-ES"/>
        </w:rPr>
        <w:t>, la solicitud de información p</w:t>
      </w:r>
      <w:r w:rsidR="00924CEA" w:rsidRPr="00C7354D">
        <w:rPr>
          <w:rFonts w:ascii="Palatino Linotype" w:eastAsia="Calibri" w:hAnsi="Palatino Linotype" w:cs="Arial"/>
          <w:color w:val="000000" w:themeColor="text1"/>
          <w:lang w:val="es-ES"/>
        </w:rPr>
        <w:t>ública registrada con el número</w:t>
      </w:r>
      <w:r w:rsidR="00C92AD2">
        <w:rPr>
          <w:rFonts w:ascii="Palatino Linotype" w:eastAsia="Calibri" w:hAnsi="Palatino Linotype" w:cs="Arial"/>
          <w:b/>
          <w:color w:val="000000" w:themeColor="text1"/>
          <w:lang w:val="es-ES"/>
        </w:rPr>
        <w:t xml:space="preserve"> </w:t>
      </w:r>
      <w:r w:rsidR="00D53931">
        <w:rPr>
          <w:rFonts w:ascii="Palatino Linotype" w:eastAsia="Calibri" w:hAnsi="Palatino Linotype" w:cs="Arial"/>
          <w:b/>
          <w:color w:val="000000" w:themeColor="text1"/>
          <w:lang w:val="es-ES"/>
        </w:rPr>
        <w:t>00818/FGJ/IP/2019</w:t>
      </w:r>
      <w:r w:rsidRPr="00C7354D">
        <w:rPr>
          <w:rFonts w:ascii="Palatino Linotype" w:hAnsi="Palatino Linotype"/>
          <w:b/>
          <w:bCs/>
          <w:color w:val="000000" w:themeColor="text1"/>
        </w:rPr>
        <w:t>,</w:t>
      </w:r>
      <w:r w:rsidRPr="00C7354D">
        <w:rPr>
          <w:rFonts w:ascii="Palatino Linotype" w:eastAsia="Calibri" w:hAnsi="Palatino Linotype" w:cs="Arial"/>
          <w:color w:val="000000" w:themeColor="text1"/>
          <w:lang w:val="es-ES"/>
        </w:rPr>
        <w:t xml:space="preserve"> mediante la cual </w:t>
      </w:r>
      <w:r w:rsidR="00097D8A" w:rsidRPr="00C7354D">
        <w:rPr>
          <w:rFonts w:ascii="Palatino Linotype" w:eastAsia="Calibri" w:hAnsi="Palatino Linotype" w:cs="Arial"/>
          <w:color w:val="000000" w:themeColor="text1"/>
          <w:lang w:val="es-ES"/>
        </w:rPr>
        <w:t xml:space="preserve">se </w:t>
      </w:r>
      <w:r w:rsidR="00924CEA" w:rsidRPr="00C7354D">
        <w:rPr>
          <w:rFonts w:ascii="Palatino Linotype" w:eastAsia="Calibri" w:hAnsi="Palatino Linotype" w:cs="Arial"/>
          <w:color w:val="000000" w:themeColor="text1"/>
          <w:lang w:val="es-ES"/>
        </w:rPr>
        <w:t>requirió</w:t>
      </w:r>
      <w:r w:rsidRPr="00C7354D">
        <w:rPr>
          <w:rFonts w:ascii="Palatino Linotype" w:eastAsia="Calibri" w:hAnsi="Palatino Linotype" w:cs="Arial"/>
          <w:color w:val="000000" w:themeColor="text1"/>
          <w:lang w:val="es-ES"/>
        </w:rPr>
        <w:t>:</w:t>
      </w:r>
    </w:p>
    <w:p w14:paraId="1102FAA0" w14:textId="77777777" w:rsidR="006F7AF2" w:rsidRPr="00AA0C32" w:rsidRDefault="006F7AF2" w:rsidP="00AA0C32">
      <w:pPr>
        <w:tabs>
          <w:tab w:val="left" w:pos="567"/>
        </w:tabs>
        <w:rPr>
          <w:rFonts w:ascii="Palatino Linotype" w:hAnsi="Palatino Linotype"/>
          <w:lang w:val="es-MX" w:eastAsia="en-US"/>
        </w:rPr>
      </w:pPr>
    </w:p>
    <w:p w14:paraId="7F27FE85" w14:textId="63D88263" w:rsidR="00800647" w:rsidRPr="00D53931" w:rsidRDefault="00252C4D" w:rsidP="00AE32E5">
      <w:pPr>
        <w:spacing w:line="360" w:lineRule="auto"/>
        <w:ind w:left="567" w:right="567"/>
        <w:jc w:val="both"/>
        <w:rPr>
          <w:rFonts w:ascii="Palatino Linotype" w:eastAsia="Times New Roman" w:hAnsi="Palatino Linotype" w:cs="Times New Roman"/>
          <w:i/>
          <w:sz w:val="22"/>
          <w:szCs w:val="22"/>
          <w:lang w:val="es-MX" w:eastAsia="es-MX"/>
        </w:rPr>
      </w:pPr>
      <w:r w:rsidRPr="00D53931">
        <w:rPr>
          <w:rFonts w:ascii="Palatino Linotype" w:hAnsi="Palatino Linotype"/>
          <w:i/>
          <w:color w:val="000000"/>
          <w:sz w:val="22"/>
          <w:szCs w:val="22"/>
        </w:rPr>
        <w:t>“</w:t>
      </w:r>
      <w:r w:rsidR="00D53931" w:rsidRPr="00D53931">
        <w:rPr>
          <w:rFonts w:ascii="Palatino Linotype" w:hAnsi="Palatino Linotype"/>
          <w:i/>
          <w:color w:val="000000"/>
          <w:sz w:val="22"/>
          <w:szCs w:val="22"/>
        </w:rPr>
        <w:t>Quiero saber el detalle de sueldos salarios estipendios, bonos y todas las demás remuneraciones que perciben todos los servidores públicos desde el Fiscal General hasta el personal de limpieza de toda la fiscalía del estado de México, desde que era Procuraduría, es decir desde el año 2000 hasta 2019</w:t>
      </w:r>
      <w:r w:rsidRPr="00D53931">
        <w:rPr>
          <w:rFonts w:ascii="Palatino Linotype" w:hAnsi="Palatino Linotype"/>
          <w:i/>
          <w:color w:val="000000"/>
          <w:sz w:val="22"/>
          <w:szCs w:val="22"/>
        </w:rPr>
        <w:t>”</w:t>
      </w:r>
      <w:r w:rsidR="00F34201" w:rsidRPr="00D53931">
        <w:rPr>
          <w:rFonts w:ascii="Palatino Linotype" w:hAnsi="Palatino Linotype"/>
          <w:i/>
          <w:color w:val="000000"/>
          <w:sz w:val="22"/>
          <w:szCs w:val="22"/>
        </w:rPr>
        <w:t xml:space="preserve"> (Sic)</w:t>
      </w:r>
    </w:p>
    <w:p w14:paraId="7410E090" w14:textId="77777777" w:rsidR="007E14CE" w:rsidRPr="00AE32E5" w:rsidRDefault="007E14CE" w:rsidP="00AE32E5">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53EAD726" w14:textId="77777777" w:rsidR="00916840" w:rsidRPr="001C04DF" w:rsidRDefault="00916840" w:rsidP="001E495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C7354D">
        <w:rPr>
          <w:rFonts w:ascii="Palatino Linotype" w:hAnsi="Palatino Linotype" w:cs="Arial"/>
          <w:color w:val="000000" w:themeColor="text1"/>
        </w:rPr>
        <w:t xml:space="preserve">Se hace constar que </w:t>
      </w:r>
      <w:r w:rsidRPr="00C7354D">
        <w:rPr>
          <w:rFonts w:ascii="Palatino Linotype" w:eastAsia="Times New Roman" w:hAnsi="Palatino Linotype" w:cs="Arial"/>
          <w:color w:val="000000" w:themeColor="text1"/>
          <w:lang w:val="es-ES"/>
        </w:rPr>
        <w:t>se señaló como modalidad de entrega de la información</w:t>
      </w:r>
      <w:r w:rsidRPr="00C7354D">
        <w:rPr>
          <w:rFonts w:ascii="Palatino Linotype" w:eastAsia="Times New Roman" w:hAnsi="Palatino Linotype" w:cs="Arial"/>
          <w:b/>
          <w:color w:val="000000" w:themeColor="text1"/>
          <w:lang w:val="es-ES"/>
        </w:rPr>
        <w:t>:</w:t>
      </w:r>
      <w:r w:rsidRPr="00C7354D">
        <w:rPr>
          <w:rFonts w:ascii="Palatino Linotype" w:eastAsia="Times New Roman" w:hAnsi="Palatino Linotype" w:cs="Arial"/>
          <w:color w:val="000000" w:themeColor="text1"/>
          <w:lang w:val="es-ES"/>
        </w:rPr>
        <w:t xml:space="preserve"> a través </w:t>
      </w:r>
      <w:r w:rsidRPr="00C7354D">
        <w:rPr>
          <w:rFonts w:ascii="Palatino Linotype" w:hAnsi="Palatino Linotype"/>
          <w:color w:val="000000" w:themeColor="text1"/>
        </w:rPr>
        <w:t xml:space="preserve">del </w:t>
      </w:r>
      <w:r w:rsidRPr="00C7354D">
        <w:rPr>
          <w:rFonts w:ascii="Palatino Linotype" w:eastAsia="Calibri" w:hAnsi="Palatino Linotype" w:cs="Arial"/>
          <w:color w:val="000000" w:themeColor="text1"/>
          <w:lang w:val="es-ES"/>
        </w:rPr>
        <w:t xml:space="preserve">Sistema de Acceso a la Información Mexiquense </w:t>
      </w:r>
      <w:r w:rsidRPr="00C7354D">
        <w:rPr>
          <w:rFonts w:ascii="Palatino Linotype" w:eastAsia="Calibri" w:hAnsi="Palatino Linotype" w:cs="Arial"/>
          <w:b/>
          <w:color w:val="000000" w:themeColor="text1"/>
          <w:lang w:val="es-ES"/>
        </w:rPr>
        <w:t>(SAIMEX).</w:t>
      </w:r>
    </w:p>
    <w:p w14:paraId="41B5F479" w14:textId="77777777" w:rsidR="001C04DF" w:rsidRPr="001C04DF" w:rsidRDefault="001C04DF" w:rsidP="001C04DF">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16E30CF1" w14:textId="7F9DEA17" w:rsidR="008455F9" w:rsidRPr="00CE6F59" w:rsidRDefault="00770B33" w:rsidP="005C6CE3">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AE32E5">
        <w:rPr>
          <w:rFonts w:ascii="Palatino Linotype" w:eastAsia="Calibri" w:hAnsi="Palatino Linotype" w:cs="Arial"/>
          <w:lang w:val="es-AR"/>
        </w:rPr>
        <w:t xml:space="preserve">El día </w:t>
      </w:r>
      <w:r w:rsidR="00D53931">
        <w:rPr>
          <w:rFonts w:ascii="Palatino Linotype" w:eastAsia="Calibri" w:hAnsi="Palatino Linotype" w:cs="Arial"/>
          <w:lang w:val="es-AR"/>
        </w:rPr>
        <w:t>once</w:t>
      </w:r>
      <w:r w:rsidR="00A34054" w:rsidRPr="00AE32E5">
        <w:rPr>
          <w:rFonts w:ascii="Palatino Linotype" w:eastAsia="Calibri" w:hAnsi="Palatino Linotype" w:cs="Arial"/>
          <w:lang w:val="es-AR"/>
        </w:rPr>
        <w:t xml:space="preserve"> </w:t>
      </w:r>
      <w:r w:rsidRPr="00AE32E5">
        <w:rPr>
          <w:rFonts w:ascii="Palatino Linotype" w:eastAsia="Calibri" w:hAnsi="Palatino Linotype" w:cs="Arial"/>
          <w:lang w:val="es-AR"/>
        </w:rPr>
        <w:t>(</w:t>
      </w:r>
      <w:r w:rsidR="00D53931">
        <w:rPr>
          <w:rFonts w:ascii="Palatino Linotype" w:eastAsia="Calibri" w:hAnsi="Palatino Linotype" w:cs="Arial"/>
          <w:lang w:val="es-AR"/>
        </w:rPr>
        <w:t>11</w:t>
      </w:r>
      <w:r w:rsidRPr="00AE32E5">
        <w:rPr>
          <w:rFonts w:ascii="Palatino Linotype" w:hAnsi="Palatino Linotype"/>
          <w:i/>
        </w:rPr>
        <w:t xml:space="preserve">) </w:t>
      </w:r>
      <w:r w:rsidRPr="00AE32E5">
        <w:rPr>
          <w:rFonts w:ascii="Palatino Linotype" w:hAnsi="Palatino Linotype"/>
        </w:rPr>
        <w:t xml:space="preserve">de </w:t>
      </w:r>
      <w:r w:rsidR="00D53931">
        <w:rPr>
          <w:rFonts w:ascii="Palatino Linotype" w:hAnsi="Palatino Linotype"/>
        </w:rPr>
        <w:t>septiembre</w:t>
      </w:r>
      <w:r w:rsidRPr="00AE32E5">
        <w:rPr>
          <w:rFonts w:ascii="Palatino Linotype" w:hAnsi="Palatino Linotype"/>
        </w:rPr>
        <w:t xml:space="preserve"> de </w:t>
      </w:r>
      <w:r w:rsidR="00E91B4E" w:rsidRPr="00AE32E5">
        <w:rPr>
          <w:rFonts w:ascii="Palatino Linotype" w:hAnsi="Palatino Linotype"/>
        </w:rPr>
        <w:t>dos mil diecinueve</w:t>
      </w:r>
      <w:r w:rsidRPr="00AE32E5">
        <w:rPr>
          <w:rFonts w:ascii="Palatino Linotype" w:eastAsia="Times New Roman" w:hAnsi="Palatino Linotype" w:cs="Arial"/>
          <w:lang w:val="es-ES"/>
        </w:rPr>
        <w:t xml:space="preserve">, el </w:t>
      </w:r>
      <w:r w:rsidRPr="00AE32E5">
        <w:rPr>
          <w:rFonts w:ascii="Palatino Linotype" w:eastAsia="Times New Roman" w:hAnsi="Palatino Linotype" w:cs="Arial"/>
          <w:b/>
          <w:lang w:val="es-ES"/>
        </w:rPr>
        <w:t xml:space="preserve">SUJETO OBLIGADO </w:t>
      </w:r>
      <w:r w:rsidR="00B90D3C" w:rsidRPr="00AE32E5">
        <w:rPr>
          <w:rFonts w:ascii="Palatino Linotype" w:eastAsia="Times New Roman" w:hAnsi="Palatino Linotype" w:cs="Arial"/>
          <w:color w:val="000000" w:themeColor="text1"/>
          <w:lang w:val="es-ES"/>
        </w:rPr>
        <w:t>respondi</w:t>
      </w:r>
      <w:r w:rsidR="00EB1460" w:rsidRPr="00AE32E5">
        <w:rPr>
          <w:rFonts w:ascii="Palatino Linotype" w:eastAsia="Times New Roman" w:hAnsi="Palatino Linotype" w:cs="Arial"/>
          <w:color w:val="000000" w:themeColor="text1"/>
          <w:lang w:val="es-ES"/>
        </w:rPr>
        <w:t>ó a la solic</w:t>
      </w:r>
      <w:r w:rsidR="001C04DF" w:rsidRPr="00AE32E5">
        <w:rPr>
          <w:rFonts w:ascii="Palatino Linotype" w:eastAsia="Times New Roman" w:hAnsi="Palatino Linotype" w:cs="Arial"/>
          <w:color w:val="000000" w:themeColor="text1"/>
          <w:lang w:val="es-ES"/>
        </w:rPr>
        <w:t xml:space="preserve">itud de información </w:t>
      </w:r>
      <w:r w:rsidR="00CE6F59">
        <w:rPr>
          <w:rFonts w:ascii="Palatino Linotype" w:eastAsia="Times New Roman" w:hAnsi="Palatino Linotype" w:cs="Arial"/>
          <w:color w:val="000000" w:themeColor="text1"/>
          <w:lang w:val="es-ES"/>
        </w:rPr>
        <w:t>esencialmente en los términos siguientes</w:t>
      </w:r>
      <w:r w:rsidR="00AE32E5">
        <w:rPr>
          <w:rFonts w:ascii="Palatino Linotype" w:eastAsia="Times New Roman" w:hAnsi="Palatino Linotype" w:cs="Arial"/>
          <w:color w:val="000000" w:themeColor="text1"/>
          <w:lang w:val="es-ES"/>
        </w:rPr>
        <w:t>:</w:t>
      </w:r>
    </w:p>
    <w:p w14:paraId="18F3D98D" w14:textId="1B9ECE6F" w:rsidR="00AE32E5" w:rsidRPr="00AA0C32" w:rsidRDefault="00AE32E5" w:rsidP="00AA0C32">
      <w:pPr>
        <w:autoSpaceDE w:val="0"/>
        <w:autoSpaceDN w:val="0"/>
        <w:adjustRightInd w:val="0"/>
        <w:spacing w:line="360" w:lineRule="auto"/>
        <w:ind w:left="567" w:right="567"/>
        <w:jc w:val="both"/>
        <w:rPr>
          <w:rFonts w:ascii="Arial" w:hAnsi="Arial" w:cs="Arial"/>
          <w:sz w:val="23"/>
          <w:szCs w:val="23"/>
          <w:lang w:val="es-MX"/>
        </w:rPr>
      </w:pPr>
      <w:r>
        <w:rPr>
          <w:rFonts w:ascii="Palatino Linotype" w:hAnsi="Palatino Linotype"/>
          <w:i/>
          <w:color w:val="000000"/>
          <w:sz w:val="22"/>
          <w:szCs w:val="22"/>
        </w:rPr>
        <w:lastRenderedPageBreak/>
        <w:t>“</w:t>
      </w:r>
      <w:r w:rsidR="00D53931" w:rsidRPr="00D53931">
        <w:rPr>
          <w:rFonts w:ascii="Palatino Linotype" w:hAnsi="Palatino Linotype"/>
          <w:i/>
          <w:color w:val="000000"/>
          <w:sz w:val="22"/>
          <w:szCs w:val="22"/>
        </w:rPr>
        <w:t xml:space="preserve">Toluca de Lerdo, Estado de México; a 11 de septiembre de 2019. Número de oficio: 1661/MAIP/FGJ/2019. </w:t>
      </w:r>
      <w:r w:rsidR="00ED6EE1" w:rsidRPr="00ED6EE1">
        <w:rPr>
          <w:rFonts w:ascii="Palatino Linotype" w:hAnsi="Palatino Linotype"/>
          <w:i/>
          <w:color w:val="000000"/>
          <w:sz w:val="22"/>
          <w:szCs w:val="22"/>
          <w:highlight w:val="black"/>
        </w:rPr>
        <w:t>--------------------------------------</w:t>
      </w:r>
      <w:r w:rsidR="00D53931" w:rsidRPr="00D53931">
        <w:rPr>
          <w:rFonts w:ascii="Palatino Linotype" w:hAnsi="Palatino Linotype"/>
          <w:i/>
          <w:color w:val="000000"/>
          <w:sz w:val="22"/>
          <w:szCs w:val="22"/>
        </w:rPr>
        <w:t xml:space="preserve"> Hago referencia al contenido de su solicitud de información pública, presentada el 21 de agosto del año 2019, ante la Unidad de Transparencia y Acceso a la Información Pública de la Fiscalía General de Justicia del Estado de México, misma que fue registrada en el Sistema de Acceso a la Información Mexiquense (SAIMEX), bajo el folio 00818/FGJ/IP/2019, en la que pide lo siguiente: “Quiero saber el detalle de sueldos salarios estipendios, bonos y todas las demás remuneraciones que perciben todos los servidores públicos desde el Fiscal General hasta el personal de limpieza de toda la fiscalía del estado de México, desde que era Procuraduría, es decir desde el año 2000 hasta 2019?” (sic). Al respecto, esta Fiscalía General de Justicia del Estado de México, con fundamento en los artículos 1, 4 y 163 de la Ley de Transparencia y Acceso a la Información Pública del Estado de México y Municipios, hace de su conocimiento que de acuerdo a lo informado por la Directora de Administración de Personal y Nómina, Servidora Pública Habilitada, las remuneraciones de mandos medios y superiores, es información pública la cual puede consultarse en la Plataforma de Información Pública de Oficio Mexiquense (IPOMEX) apartado de remuneraciones, en el siguiente link: https://www.ipomex.org.mx/ipo3/lgt/indice/fgjem.web Asimismo, es de señalar que los servidores públicos que no ocupan cargos de mandos medios y superiores, tienen nivele del 05 al 23, con rangos del 01 al 04, por lo que su sueldo y demás prestaciones que reciben los mismos, es pública y puede consultarse en el Periódico Oficial Gaceta del Gobierno del Estado de México, particularmente en los siguientes decretos y acuerdos: Decreto 44, del 5 de marzo de 2010, Decreto 65 del 5 de abril de 2011, Decreto 81 del 3 de mayo de 2012, Decreto 46 del 7 de marzo de 2013, Decreto 79 del 30 de abril 2014, Decreto 111 del 18 de junio de 2015; Acuerdo 2017 y Acuerdo A: 202/3/001/02, del 15 de diciembre 2017, aplicable al 2018 y Acuerdo A: 202/3/001/02 de 31 de diciembre 2018, vigente al 2019. Sin otro particular, le reitero la </w:t>
      </w:r>
      <w:r w:rsidR="00D53931" w:rsidRPr="00D53931">
        <w:rPr>
          <w:rFonts w:ascii="Palatino Linotype" w:hAnsi="Palatino Linotype"/>
          <w:i/>
          <w:color w:val="000000"/>
          <w:sz w:val="22"/>
          <w:szCs w:val="22"/>
        </w:rPr>
        <w:lastRenderedPageBreak/>
        <w:t>seguridad de mi distinguida consideración. A T E N T A M E N T E YAMILIT LEYVA GUTIÉRREZ TITULAR DE LA UNIDAD DE TRANSPARENCIA YLG/LGCG</w:t>
      </w:r>
      <w:r w:rsidR="00D53931">
        <w:rPr>
          <w:rFonts w:ascii="Verdana" w:hAnsi="Verdana"/>
          <w:color w:val="000000"/>
          <w:sz w:val="18"/>
          <w:szCs w:val="18"/>
        </w:rPr>
        <w:t>.</w:t>
      </w:r>
      <w:r w:rsidR="00AA0C32" w:rsidRPr="00AA0C32">
        <w:rPr>
          <w:rFonts w:ascii="Arial" w:hAnsi="Arial" w:cs="Arial"/>
          <w:sz w:val="23"/>
          <w:szCs w:val="23"/>
          <w:lang w:val="es-MX"/>
        </w:rPr>
        <w:t>…</w:t>
      </w:r>
      <w:r w:rsidRPr="00AA0C32">
        <w:rPr>
          <w:rFonts w:ascii="Palatino Linotype" w:hAnsi="Palatino Linotype"/>
          <w:i/>
          <w:color w:val="000000"/>
          <w:sz w:val="22"/>
          <w:szCs w:val="22"/>
        </w:rPr>
        <w:t>”</w:t>
      </w:r>
    </w:p>
    <w:p w14:paraId="56668149" w14:textId="77777777" w:rsidR="00ED1307" w:rsidRPr="00AA0C32" w:rsidRDefault="00ED1307" w:rsidP="00CE6F59">
      <w:pPr>
        <w:pStyle w:val="Prrafodelista"/>
        <w:tabs>
          <w:tab w:val="left" w:pos="426"/>
          <w:tab w:val="left" w:pos="567"/>
        </w:tabs>
        <w:spacing w:line="360" w:lineRule="auto"/>
        <w:ind w:left="0"/>
        <w:jc w:val="both"/>
        <w:rPr>
          <w:rFonts w:ascii="Palatino Linotype" w:hAnsi="Palatino Linotype" w:cs="Arial"/>
          <w:color w:val="000000" w:themeColor="text1"/>
        </w:rPr>
      </w:pPr>
    </w:p>
    <w:p w14:paraId="507E86AF" w14:textId="01069DF3" w:rsidR="00F34201" w:rsidRPr="00C7354D" w:rsidRDefault="00F3420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C7354D">
        <w:rPr>
          <w:rFonts w:ascii="Palatino Linotype" w:eastAsia="Times New Roman" w:hAnsi="Palatino Linotype" w:cs="Arial"/>
          <w:lang w:val="es-ES"/>
        </w:rPr>
        <w:t xml:space="preserve">El día </w:t>
      </w:r>
      <w:r w:rsidR="00EB474F">
        <w:rPr>
          <w:rFonts w:ascii="Palatino Linotype" w:eastAsia="Calibri" w:hAnsi="Palatino Linotype" w:cs="Arial"/>
          <w:lang w:val="es-AR"/>
        </w:rPr>
        <w:t>diecinueve</w:t>
      </w:r>
      <w:r w:rsidR="008455F9" w:rsidRPr="001C04DF">
        <w:rPr>
          <w:rFonts w:ascii="Palatino Linotype" w:eastAsia="Calibri" w:hAnsi="Palatino Linotype" w:cs="Arial"/>
          <w:lang w:val="es-AR"/>
        </w:rPr>
        <w:t xml:space="preserve"> (</w:t>
      </w:r>
      <w:r w:rsidR="00EB474F">
        <w:rPr>
          <w:rFonts w:ascii="Palatino Linotype" w:eastAsia="Calibri" w:hAnsi="Palatino Linotype" w:cs="Arial"/>
          <w:lang w:val="es-AR"/>
        </w:rPr>
        <w:t>19</w:t>
      </w:r>
      <w:r w:rsidR="008455F9" w:rsidRPr="001C04DF">
        <w:rPr>
          <w:rFonts w:ascii="Palatino Linotype" w:hAnsi="Palatino Linotype"/>
          <w:i/>
        </w:rPr>
        <w:t xml:space="preserve">) </w:t>
      </w:r>
      <w:r w:rsidR="008455F9" w:rsidRPr="001C04DF">
        <w:rPr>
          <w:rFonts w:ascii="Palatino Linotype" w:hAnsi="Palatino Linotype"/>
        </w:rPr>
        <w:t xml:space="preserve">de </w:t>
      </w:r>
      <w:r w:rsidR="00EB474F">
        <w:rPr>
          <w:rFonts w:ascii="Palatino Linotype" w:hAnsi="Palatino Linotype"/>
        </w:rPr>
        <w:t>septiembre</w:t>
      </w:r>
      <w:r w:rsidR="008455F9" w:rsidRPr="001C04DF">
        <w:rPr>
          <w:rFonts w:ascii="Palatino Linotype" w:hAnsi="Palatino Linotype"/>
        </w:rPr>
        <w:t xml:space="preserve"> de dos mil diecinueve</w:t>
      </w:r>
      <w:r w:rsidRPr="00C7354D">
        <w:rPr>
          <w:rFonts w:ascii="Palatino Linotype" w:eastAsia="Times New Roman" w:hAnsi="Palatino Linotype" w:cs="Arial"/>
          <w:lang w:val="es-ES"/>
        </w:rPr>
        <w:t xml:space="preserve">, </w:t>
      </w:r>
      <w:r w:rsidR="00797148" w:rsidRPr="00C7354D">
        <w:rPr>
          <w:rFonts w:ascii="Palatino Linotype" w:hAnsi="Palatino Linotype"/>
          <w:color w:val="000000"/>
        </w:rPr>
        <w:t>se</w:t>
      </w:r>
      <w:r w:rsidR="00C15336" w:rsidRPr="00C7354D">
        <w:rPr>
          <w:rFonts w:ascii="Palatino Linotype" w:hAnsi="Palatino Linotype"/>
          <w:color w:val="000000"/>
        </w:rPr>
        <w:t xml:space="preserve"> </w:t>
      </w:r>
      <w:r w:rsidRPr="00C7354D">
        <w:rPr>
          <w:rFonts w:ascii="Palatino Linotype" w:eastAsia="Times New Roman" w:hAnsi="Palatino Linotype" w:cs="Arial"/>
          <w:lang w:val="es-ES"/>
        </w:rPr>
        <w:t xml:space="preserve">interpuso el recurso de revisión, en contra de la respuesta </w:t>
      </w:r>
      <w:r w:rsidR="00826130">
        <w:rPr>
          <w:rFonts w:ascii="Palatino Linotype" w:eastAsia="Times New Roman" w:hAnsi="Palatino Linotype" w:cs="Arial"/>
          <w:lang w:val="es-ES"/>
        </w:rPr>
        <w:t xml:space="preserve">emitida por el </w:t>
      </w:r>
      <w:r w:rsidR="00826130" w:rsidRPr="00826130">
        <w:rPr>
          <w:rFonts w:ascii="Palatino Linotype" w:eastAsia="Times New Roman" w:hAnsi="Palatino Linotype" w:cs="Arial"/>
          <w:b/>
          <w:lang w:val="es-ES"/>
        </w:rPr>
        <w:t>SUJETO OBLIGADO</w:t>
      </w:r>
      <w:r w:rsidRPr="00C7354D">
        <w:rPr>
          <w:rFonts w:ascii="Palatino Linotype" w:eastAsia="Times New Roman" w:hAnsi="Palatino Linotype" w:cs="Arial"/>
          <w:lang w:val="es-ES"/>
        </w:rPr>
        <w:t>, señalando como:</w:t>
      </w:r>
    </w:p>
    <w:p w14:paraId="5D195D9E" w14:textId="77777777" w:rsidR="00C15336" w:rsidRPr="00C7354D" w:rsidRDefault="00C15336" w:rsidP="004E1461">
      <w:pPr>
        <w:pStyle w:val="Prrafodelista"/>
        <w:tabs>
          <w:tab w:val="left" w:pos="567"/>
        </w:tabs>
        <w:spacing w:line="360" w:lineRule="auto"/>
        <w:ind w:left="0"/>
        <w:jc w:val="both"/>
        <w:rPr>
          <w:rFonts w:ascii="Palatino Linotype" w:hAnsi="Palatino Linotype"/>
        </w:rPr>
      </w:pPr>
    </w:p>
    <w:p w14:paraId="0B48BA36" w14:textId="77777777" w:rsidR="000D1FBF" w:rsidRDefault="006711DB" w:rsidP="008455F9">
      <w:pPr>
        <w:tabs>
          <w:tab w:val="left" w:pos="5454"/>
        </w:tabs>
        <w:spacing w:line="360" w:lineRule="auto"/>
        <w:ind w:left="567" w:right="567"/>
        <w:jc w:val="both"/>
        <w:rPr>
          <w:rStyle w:val="Ttulo2Car"/>
          <w:color w:val="auto"/>
          <w:sz w:val="22"/>
          <w:szCs w:val="22"/>
          <w:lang w:val="es-ES"/>
        </w:rPr>
      </w:pPr>
      <w:bookmarkStart w:id="6" w:name="_Toc24928435"/>
      <w:r w:rsidRPr="00D773C6">
        <w:rPr>
          <w:rStyle w:val="Ttulo2Car"/>
          <w:color w:val="auto"/>
          <w:sz w:val="22"/>
          <w:szCs w:val="22"/>
          <w:lang w:val="es-ES"/>
        </w:rPr>
        <w:t xml:space="preserve">a) </w:t>
      </w:r>
      <w:bookmarkStart w:id="7" w:name="_Toc464139197"/>
      <w:bookmarkStart w:id="8" w:name="_Toc471981162"/>
      <w:bookmarkStart w:id="9" w:name="_Toc471981317"/>
      <w:bookmarkStart w:id="10" w:name="_Toc472780344"/>
      <w:bookmarkStart w:id="11" w:name="_Toc473229705"/>
      <w:bookmarkStart w:id="12" w:name="_Toc473651751"/>
      <w:bookmarkStart w:id="13" w:name="_Toc476135272"/>
      <w:bookmarkStart w:id="14" w:name="_Toc476135581"/>
      <w:bookmarkStart w:id="15" w:name="_Toc476765027"/>
      <w:bookmarkStart w:id="16" w:name="_Toc476766283"/>
      <w:bookmarkStart w:id="17" w:name="_Toc476766378"/>
      <w:bookmarkStart w:id="18" w:name="_Toc478584831"/>
      <w:bookmarkStart w:id="19" w:name="_Toc481092627"/>
      <w:bookmarkStart w:id="20" w:name="_Toc487053684"/>
      <w:bookmarkStart w:id="21" w:name="_Toc487053879"/>
      <w:bookmarkStart w:id="22" w:name="_Toc494915459"/>
      <w:bookmarkStart w:id="23" w:name="_Toc494920818"/>
      <w:bookmarkStart w:id="24" w:name="_Toc494920990"/>
      <w:bookmarkStart w:id="25" w:name="_Toc473812223"/>
      <w:bookmarkStart w:id="26" w:name="_Toc477277064"/>
      <w:bookmarkStart w:id="27" w:name="_Toc477279481"/>
      <w:bookmarkStart w:id="28" w:name="_Toc479274980"/>
      <w:bookmarkStart w:id="29" w:name="_Toc479275048"/>
      <w:bookmarkStart w:id="30" w:name="_Toc479275094"/>
      <w:bookmarkStart w:id="31" w:name="_Toc494998348"/>
      <w:bookmarkStart w:id="32" w:name="_Toc495430766"/>
      <w:r w:rsidR="00F34201" w:rsidRPr="00D773C6">
        <w:rPr>
          <w:rStyle w:val="Ttulo2Car"/>
          <w:color w:val="auto"/>
          <w:sz w:val="22"/>
          <w:szCs w:val="22"/>
          <w:lang w:val="es-ES"/>
        </w:rPr>
        <w:t>Acto impugnado:</w:t>
      </w:r>
      <w:bookmarkStart w:id="33" w:name="_Toc464139198"/>
      <w:bookmarkStart w:id="34" w:name="_Toc471981163"/>
      <w:bookmarkStart w:id="35" w:name="_Toc471981318"/>
      <w:bookmarkStart w:id="36" w:name="_Toc472780345"/>
      <w:bookmarkStart w:id="37" w:name="_Toc473229706"/>
      <w:bookmarkStart w:id="38" w:name="_Toc473651752"/>
      <w:bookmarkStart w:id="39" w:name="_Toc476135273"/>
      <w:bookmarkStart w:id="40" w:name="_Toc476135582"/>
      <w:bookmarkStart w:id="41" w:name="_Toc476765028"/>
      <w:bookmarkStart w:id="42" w:name="_Toc476766284"/>
      <w:bookmarkStart w:id="43" w:name="_Toc476766379"/>
      <w:bookmarkStart w:id="44" w:name="_Toc47858483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38315E" w:rsidRPr="00D773C6">
        <w:rPr>
          <w:rStyle w:val="Ttulo2Car"/>
          <w:color w:val="auto"/>
          <w:sz w:val="22"/>
          <w:szCs w:val="22"/>
          <w:lang w:val="es-ES"/>
        </w:rPr>
        <w:t xml:space="preserve">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59970600" w14:textId="78644802" w:rsidR="00F34201" w:rsidRPr="00D773C6" w:rsidRDefault="003B0860" w:rsidP="008455F9">
      <w:pPr>
        <w:tabs>
          <w:tab w:val="left" w:pos="5454"/>
        </w:tabs>
        <w:spacing w:line="360" w:lineRule="auto"/>
        <w:ind w:left="567" w:right="567"/>
        <w:jc w:val="both"/>
        <w:rPr>
          <w:rFonts w:ascii="Palatino Linotype" w:hAnsi="Palatino Linotype"/>
          <w:i/>
          <w:color w:val="000000"/>
          <w:sz w:val="22"/>
          <w:szCs w:val="22"/>
        </w:rPr>
      </w:pPr>
      <w:r w:rsidRPr="00EB474F">
        <w:rPr>
          <w:rFonts w:ascii="Palatino Linotype" w:hAnsi="Palatino Linotype"/>
          <w:i/>
          <w:sz w:val="22"/>
          <w:szCs w:val="22"/>
        </w:rPr>
        <w:t>“</w:t>
      </w:r>
      <w:r w:rsidR="00EB474F" w:rsidRPr="00EB474F">
        <w:rPr>
          <w:rFonts w:ascii="Palatino Linotype" w:hAnsi="Palatino Linotype"/>
          <w:i/>
          <w:color w:val="000000"/>
          <w:sz w:val="22"/>
          <w:szCs w:val="22"/>
        </w:rPr>
        <w:t xml:space="preserve">LA RESPUESTA CONSISTENTE EN: Metepec, México a 11 de Septiembre de 2019 Nombre del solicitante: </w:t>
      </w:r>
      <w:r w:rsidR="00ED6EE1" w:rsidRPr="00ED6EE1">
        <w:rPr>
          <w:rFonts w:ascii="Palatino Linotype" w:hAnsi="Palatino Linotype"/>
          <w:i/>
          <w:color w:val="000000"/>
          <w:sz w:val="22"/>
          <w:szCs w:val="22"/>
          <w:highlight w:val="black"/>
        </w:rPr>
        <w:t>--------------------------------------</w:t>
      </w:r>
      <w:r w:rsidR="00EB474F" w:rsidRPr="00EB474F">
        <w:rPr>
          <w:rFonts w:ascii="Palatino Linotype" w:hAnsi="Palatino Linotype"/>
          <w:i/>
          <w:color w:val="000000"/>
          <w:sz w:val="22"/>
          <w:szCs w:val="22"/>
        </w:rPr>
        <w:t xml:space="preserve"> Folio de la solicitud: 00818/FGJ/IP/2019 En respuesta a la solicitud recibida, nos permitimos hacer de su conocimiento que con fundamento en el artículo 53, Fracciones: II, V y VI de la Ley de Transparencia y Acceso a la Información Pública del Estado de México y Municipios, le contestamos que: Toluca de Lerdo, Estado de México; a 11 de septiembre de 2019. Número de oficio: 1661/MAIP/FGJ/2019. </w:t>
      </w:r>
      <w:r w:rsidR="00ED6EE1" w:rsidRPr="00ED6EE1">
        <w:rPr>
          <w:rFonts w:ascii="Palatino Linotype" w:hAnsi="Palatino Linotype"/>
          <w:i/>
          <w:color w:val="000000"/>
          <w:sz w:val="22"/>
          <w:szCs w:val="22"/>
          <w:highlight w:val="black"/>
        </w:rPr>
        <w:t>----------------------------------------</w:t>
      </w:r>
      <w:r w:rsidR="00EB474F" w:rsidRPr="00EB474F">
        <w:rPr>
          <w:rFonts w:ascii="Palatino Linotype" w:hAnsi="Palatino Linotype"/>
          <w:i/>
          <w:color w:val="000000"/>
          <w:sz w:val="22"/>
          <w:szCs w:val="22"/>
        </w:rPr>
        <w:t xml:space="preserve"> Hago referencia al contenido de su solicitud de información pública, presentada el 21 de agosto del año 2019, ante la Unidad de Transparencia y Acceso a la Información Pública de la Fiscalía General de Justicia del Estado de México, misma que fue registrada en el Sistema de Acceso a la Información Mexiquense (SAIMEX), bajo el folio 00818/FGJ/IP/2019, en la que pide lo siguiente: “Quiero saber el detalle de sueldos salarios estipendios, bonos y todas las demás remuneraciones que perciben todos los servidores públicos desde el Fiscal General hasta el personal de limpieza de toda la fiscalía del estado de México, desde que era Procuraduría, es decir desde el año 2000 hasta 2019?” (sic). Al respecto, esta Fiscalía General de Justicia del Estado de México, con fundamento en los artículos 1, 4 y 163 de la Ley de Transparencia y Acceso a la Información Pública del Estado de México y Municipios, hace de su conocimiento que de acuerdo a lo informado por la Directora de Administración de Personal y Nómina, Servidora Pública </w:t>
      </w:r>
      <w:r w:rsidR="00EB474F" w:rsidRPr="00EB474F">
        <w:rPr>
          <w:rFonts w:ascii="Palatino Linotype" w:hAnsi="Palatino Linotype"/>
          <w:i/>
          <w:color w:val="000000"/>
          <w:sz w:val="22"/>
          <w:szCs w:val="22"/>
        </w:rPr>
        <w:lastRenderedPageBreak/>
        <w:t>Habilitada, las remuneraciones de mandos medios y superiores, es información pública la cual puede consultarse en la Plataforma de Información Pública de Oficio Mexiquense (IPOMEX) apartado de remuneraciones, en el siguiente link: https://www.ipomex.org.mx/ipo3/lgt/indice/fgjem.web Asimismo, es de señalar que los servidores públicos que no ocupan cargos de mandos medios y superiores, tienen nivele del 05 al 23, con rangos del 01 al 04, por lo que su sueldo y demás prestaciones que reciben los mismos, es pública y puede consultarse en el Periódico Oficial Gaceta del Gobierno del Estado de México, particularmente en los siguientes decretos y acuerdos: Decreto 44, del 5 de marzo de 2010, Decreto 65 del 5 de abril de 2011, Decreto 81 del 3 de mayo de 2012, Decreto 46 del 7 de marzo de 2013, Decreto 79 del 30 de abril 2014, Decreto 111 del 18 de junio de 2015; Acuerdo 2017 y Acuerdo A: 202/3/001/02, del 15 de diciembre 2017, aplicable al 2018 y Acuerdo A: 202/3/001/02 de 31 de diciembre 2018, vigente al 2019. Sin otro particular, le reitero la seguridad de mi distinguida consideración. A T E N T A M E N T E YAMILIT LEYVA GUTIÉRREZ TITULAR DE LA UNIDAD DE TRANSPARENCIA YLG/LGCG. ATENTAMENTE YAMILIT LEYVA GUTIÉRREZ</w:t>
      </w:r>
      <w:r w:rsidR="00451EB6" w:rsidRPr="00BA5DD6">
        <w:rPr>
          <w:rFonts w:ascii="Palatino Linotype" w:eastAsia="Times New Roman" w:hAnsi="Palatino Linotype" w:cs="Times New Roman"/>
          <w:i/>
          <w:sz w:val="22"/>
          <w:szCs w:val="22"/>
          <w:lang w:val="es-MX" w:eastAsia="es-MX"/>
        </w:rPr>
        <w:t>"</w:t>
      </w:r>
      <w:r w:rsidR="00451EB6" w:rsidRPr="00D773C6">
        <w:rPr>
          <w:rFonts w:ascii="Palatino Linotype" w:eastAsia="Calibri" w:hAnsi="Palatino Linotype" w:cs="Arial"/>
          <w:i/>
          <w:sz w:val="22"/>
          <w:szCs w:val="22"/>
          <w:lang w:val="es-ES"/>
        </w:rPr>
        <w:t xml:space="preserve"> </w:t>
      </w:r>
      <w:r w:rsidR="00AC6585" w:rsidRPr="00D773C6">
        <w:rPr>
          <w:rFonts w:ascii="Palatino Linotype" w:eastAsia="Calibri" w:hAnsi="Palatino Linotype" w:cs="Arial"/>
          <w:i/>
          <w:sz w:val="22"/>
          <w:szCs w:val="22"/>
          <w:lang w:val="es-ES"/>
        </w:rPr>
        <w:t>(Sic)</w:t>
      </w:r>
    </w:p>
    <w:p w14:paraId="49011773" w14:textId="77777777" w:rsidR="009F65DD" w:rsidRPr="00D773C6" w:rsidRDefault="009F65DD" w:rsidP="00AF317E">
      <w:pPr>
        <w:pStyle w:val="Prrafodelista"/>
        <w:tabs>
          <w:tab w:val="left" w:pos="567"/>
        </w:tabs>
        <w:spacing w:after="240" w:line="360" w:lineRule="auto"/>
        <w:ind w:left="0"/>
        <w:jc w:val="both"/>
        <w:rPr>
          <w:rFonts w:ascii="Palatino Linotype" w:hAnsi="Palatino Linotype"/>
          <w:sz w:val="22"/>
          <w:szCs w:val="22"/>
        </w:rPr>
      </w:pPr>
    </w:p>
    <w:p w14:paraId="490E62FA" w14:textId="77777777" w:rsidR="000D1FBF" w:rsidRDefault="006711DB" w:rsidP="00F17FF1">
      <w:pPr>
        <w:spacing w:line="360" w:lineRule="auto"/>
        <w:ind w:left="567" w:right="567"/>
        <w:jc w:val="both"/>
        <w:rPr>
          <w:rFonts w:ascii="Palatino Linotype" w:hAnsi="Palatino Linotype"/>
          <w:i/>
          <w:sz w:val="22"/>
          <w:szCs w:val="22"/>
        </w:rPr>
      </w:pPr>
      <w:bookmarkStart w:id="45" w:name="_Toc478584833"/>
      <w:bookmarkStart w:id="46" w:name="_Toc479274981"/>
      <w:bookmarkStart w:id="47" w:name="_Toc479275049"/>
      <w:bookmarkStart w:id="48" w:name="_Toc479275095"/>
      <w:bookmarkStart w:id="49" w:name="_Toc481092629"/>
      <w:bookmarkStart w:id="50" w:name="_Toc487053686"/>
      <w:bookmarkStart w:id="51" w:name="_Toc487053881"/>
      <w:bookmarkStart w:id="52" w:name="_Toc494915461"/>
      <w:bookmarkStart w:id="53" w:name="_Toc494920992"/>
      <w:bookmarkStart w:id="54" w:name="_Toc494998349"/>
      <w:bookmarkStart w:id="55" w:name="_Toc495430767"/>
      <w:bookmarkStart w:id="56" w:name="_Toc24928436"/>
      <w:r w:rsidRPr="00D773C6">
        <w:rPr>
          <w:rStyle w:val="Ttulo2Car"/>
          <w:color w:val="auto"/>
          <w:sz w:val="22"/>
          <w:szCs w:val="22"/>
          <w:lang w:val="es-ES"/>
        </w:rPr>
        <w:t xml:space="preserve">b) </w:t>
      </w:r>
      <w:r w:rsidR="00F34201" w:rsidRPr="00D773C6">
        <w:rPr>
          <w:rStyle w:val="Ttulo2Car"/>
          <w:color w:val="auto"/>
          <w:sz w:val="22"/>
          <w:szCs w:val="22"/>
          <w:lang w:val="es-ES"/>
        </w:rPr>
        <w:t>Razones o Motivos de inconformidad:</w:t>
      </w:r>
      <w:bookmarkEnd w:id="45"/>
      <w:bookmarkEnd w:id="46"/>
      <w:bookmarkEnd w:id="47"/>
      <w:bookmarkEnd w:id="48"/>
      <w:bookmarkEnd w:id="49"/>
      <w:bookmarkEnd w:id="50"/>
      <w:bookmarkEnd w:id="51"/>
      <w:bookmarkEnd w:id="52"/>
      <w:bookmarkEnd w:id="53"/>
      <w:bookmarkEnd w:id="54"/>
      <w:bookmarkEnd w:id="55"/>
      <w:bookmarkEnd w:id="56"/>
      <w:r w:rsidR="00F34201" w:rsidRPr="00D773C6">
        <w:rPr>
          <w:rFonts w:ascii="Palatino Linotype" w:hAnsi="Palatino Linotype"/>
          <w:i/>
          <w:sz w:val="22"/>
          <w:szCs w:val="22"/>
        </w:rPr>
        <w:t xml:space="preserve"> </w:t>
      </w:r>
    </w:p>
    <w:p w14:paraId="5DF021EB" w14:textId="47F7DF92" w:rsidR="00B33884" w:rsidRDefault="00F34201" w:rsidP="00F17FF1">
      <w:pPr>
        <w:spacing w:line="360" w:lineRule="auto"/>
        <w:ind w:left="567" w:right="567"/>
        <w:jc w:val="both"/>
        <w:rPr>
          <w:rFonts w:ascii="Palatino Linotype" w:hAnsi="Palatino Linotype"/>
          <w:i/>
          <w:color w:val="000000"/>
          <w:sz w:val="22"/>
          <w:szCs w:val="22"/>
        </w:rPr>
      </w:pPr>
      <w:r w:rsidRPr="00EB474F">
        <w:rPr>
          <w:rFonts w:ascii="Palatino Linotype" w:hAnsi="Palatino Linotype"/>
          <w:i/>
          <w:sz w:val="22"/>
          <w:szCs w:val="22"/>
        </w:rPr>
        <w:t>“</w:t>
      </w:r>
      <w:r w:rsidR="00EB474F" w:rsidRPr="00EB474F">
        <w:rPr>
          <w:rFonts w:ascii="Palatino Linotype" w:hAnsi="Palatino Linotype"/>
          <w:i/>
          <w:color w:val="000000"/>
          <w:sz w:val="22"/>
          <w:szCs w:val="22"/>
        </w:rPr>
        <w:t xml:space="preserve">La respuesta proporcionada transgrede en mi perjuicio el artículo 6 de la Constitución Política de los Estados Unidos Mexicanos toda vez que la información señalada como: "Los servidores públicos que no ocupan cargos de mandos medios y superiores, tienen nivele del 05 al 23, con rangos del 01 al 04, por lo que su sueldo y demás prestaciones que reciben los mismos, es pública y puede consultarse en el Periódico Oficial Gaceta del Gobierno del Estado de México, particularmente en los siguientes decretos y acuerdos: Decreto 44, del 5 de marzo de 2010, Decreto 65 del 5 de abril de 2011, Decreto 81 del 3 de mayo de 2012, Decreto 46 del 7 de marzo de 2013". Corresponden al Magisterio Estatal, no así al sector central o a la entonces </w:t>
      </w:r>
      <w:r w:rsidR="00EB474F" w:rsidRPr="00EB474F">
        <w:rPr>
          <w:rFonts w:ascii="Palatino Linotype" w:hAnsi="Palatino Linotype"/>
          <w:i/>
          <w:color w:val="000000"/>
          <w:sz w:val="22"/>
          <w:szCs w:val="22"/>
        </w:rPr>
        <w:lastRenderedPageBreak/>
        <w:t>Procuraduría de Justicia, además en caso de que le sean aplicables dichos decretos no lo precisa en la respuesta. Por otro lado, los "Acuerdos 2017 y Acuerdo A: 202/3/001/02, del 15 de diciembre 2017, aplicable al 2018 y Acuerdo A: 202/3/001/02 de 31 de diciembre 2018, vigente al 2019", no fueron entregados vía SAIMEX, no existen en su portal de IPOMEX, ni tampoco fueron publicados en la página de LEGISTEL, lo cual implica que no proporcionó la información solicitada. Con lo que se transgrede mi derecho humano de acceso a la información pública.</w:t>
      </w:r>
      <w:r w:rsidRPr="00EB474F">
        <w:rPr>
          <w:rFonts w:ascii="Palatino Linotype" w:hAnsi="Palatino Linotype"/>
          <w:i/>
          <w:color w:val="000000"/>
          <w:sz w:val="22"/>
          <w:szCs w:val="22"/>
        </w:rPr>
        <w:t>” (Sic)</w:t>
      </w:r>
    </w:p>
    <w:p w14:paraId="0D072B41" w14:textId="77777777" w:rsidR="000D1FBF" w:rsidRPr="00AA359E" w:rsidRDefault="000D1FBF" w:rsidP="00F17FF1">
      <w:pPr>
        <w:spacing w:line="360" w:lineRule="auto"/>
        <w:ind w:left="567" w:right="567"/>
        <w:jc w:val="both"/>
        <w:rPr>
          <w:rFonts w:ascii="Palatino Linotype" w:eastAsia="Times New Roman" w:hAnsi="Palatino Linotype" w:cs="Times New Roman"/>
          <w:sz w:val="22"/>
          <w:szCs w:val="22"/>
          <w:lang w:val="es-MX" w:eastAsia="es-MX"/>
        </w:rPr>
      </w:pPr>
    </w:p>
    <w:p w14:paraId="6EAD69D3" w14:textId="0EC2B52E" w:rsidR="00F34201" w:rsidRPr="001406EA"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C7354D">
        <w:rPr>
          <w:rFonts w:ascii="Palatino Linotype" w:eastAsia="Times New Roman" w:hAnsi="Palatino Linotype" w:cs="Arial"/>
          <w:lang w:val="es-ES"/>
        </w:rPr>
        <w:t xml:space="preserve">Se registró el recurso de revisión bajo el número de expediente </w:t>
      </w:r>
      <w:r w:rsidRPr="00C7354D">
        <w:rPr>
          <w:rFonts w:ascii="Palatino Linotype" w:hAnsi="Palatino Linotype" w:cs="Arial"/>
          <w:bCs/>
        </w:rPr>
        <w:t xml:space="preserve">al rubro indicado, así mismo con fundamento en lo dispuesto por el </w:t>
      </w:r>
      <w:r w:rsidRPr="00C7354D">
        <w:rPr>
          <w:rFonts w:ascii="Palatino Linotype" w:eastAsia="Calibri" w:hAnsi="Palatino Linotype" w:cs="Arial"/>
          <w:lang w:val="es-ES"/>
        </w:rPr>
        <w:t xml:space="preserve">artículo 185 fracción I de la </w:t>
      </w:r>
      <w:r w:rsidRPr="00C7354D">
        <w:rPr>
          <w:rFonts w:ascii="Palatino Linotype" w:eastAsia="Calibri" w:hAnsi="Palatino Linotype" w:cs="Arial"/>
          <w:b/>
          <w:lang w:val="es-ES"/>
        </w:rPr>
        <w:t xml:space="preserve">Ley de Transparencia y Acceso a la Información Pública del Estado de México y Municipios </w:t>
      </w:r>
      <w:r w:rsidRPr="00C7354D">
        <w:rPr>
          <w:rFonts w:ascii="Palatino Linotype" w:eastAsia="Times New Roman" w:hAnsi="Palatino Linotype" w:cs="Arial"/>
          <w:lang w:val="es-ES"/>
        </w:rPr>
        <w:t xml:space="preserve">se turnó al </w:t>
      </w:r>
      <w:r w:rsidRPr="00C7354D">
        <w:rPr>
          <w:rFonts w:ascii="Palatino Linotype" w:eastAsia="Times New Roman" w:hAnsi="Palatino Linotype" w:cs="Arial"/>
          <w:b/>
          <w:lang w:val="es-ES"/>
        </w:rPr>
        <w:t xml:space="preserve">Comisionado José Guadalupe Luna Hernández, </w:t>
      </w:r>
      <w:r w:rsidRPr="00C7354D">
        <w:rPr>
          <w:rFonts w:ascii="Palatino Linotype" w:eastAsia="Times New Roman" w:hAnsi="Palatino Linotype" w:cs="Arial"/>
          <w:lang w:val="es-ES"/>
        </w:rPr>
        <w:t xml:space="preserve">con el objeto de </w:t>
      </w:r>
      <w:r w:rsidRPr="00C7354D">
        <w:rPr>
          <w:rFonts w:ascii="Palatino Linotype" w:eastAsia="Times New Roman" w:hAnsi="Palatino Linotype" w:cs="Arial"/>
          <w:lang w:val="es-MX"/>
        </w:rPr>
        <w:t>su análisis.</w:t>
      </w:r>
    </w:p>
    <w:p w14:paraId="24F98EAD" w14:textId="77777777" w:rsidR="001406EA" w:rsidRPr="001406EA" w:rsidRDefault="001406EA" w:rsidP="001406EA">
      <w:pPr>
        <w:pStyle w:val="Prrafodelista"/>
        <w:tabs>
          <w:tab w:val="left" w:pos="426"/>
          <w:tab w:val="left" w:pos="567"/>
        </w:tabs>
        <w:spacing w:before="240" w:after="240" w:line="360" w:lineRule="auto"/>
        <w:ind w:left="0"/>
        <w:jc w:val="both"/>
        <w:rPr>
          <w:rFonts w:ascii="Palatino Linotype" w:hAnsi="Palatino Linotype"/>
          <w:b/>
          <w:i/>
          <w:color w:val="000000" w:themeColor="text1"/>
        </w:rPr>
      </w:pPr>
    </w:p>
    <w:p w14:paraId="27645CCA" w14:textId="6BACAACC" w:rsidR="003B187B" w:rsidRPr="001406EA" w:rsidRDefault="00F34201" w:rsidP="00BE1028">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1406EA">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EB474F" w:rsidRPr="001406EA">
        <w:rPr>
          <w:rFonts w:ascii="Palatino Linotype" w:eastAsia="Calibri" w:hAnsi="Palatino Linotype" w:cs="Arial"/>
          <w:lang w:val="es-ES"/>
        </w:rPr>
        <w:t>veinti</w:t>
      </w:r>
      <w:r w:rsidR="00BA5DD6" w:rsidRPr="001406EA">
        <w:rPr>
          <w:rFonts w:ascii="Palatino Linotype" w:eastAsia="Calibri" w:hAnsi="Palatino Linotype" w:cs="Arial"/>
          <w:lang w:val="es-ES"/>
        </w:rPr>
        <w:t>cinc</w:t>
      </w:r>
      <w:r w:rsidR="00AE32E5" w:rsidRPr="001406EA">
        <w:rPr>
          <w:rFonts w:ascii="Palatino Linotype" w:eastAsia="Calibri" w:hAnsi="Palatino Linotype" w:cs="Arial"/>
          <w:lang w:val="es-ES"/>
        </w:rPr>
        <w:t>o</w:t>
      </w:r>
      <w:r w:rsidR="00030C43" w:rsidRPr="001406EA">
        <w:rPr>
          <w:rFonts w:ascii="Palatino Linotype" w:eastAsia="Calibri" w:hAnsi="Palatino Linotype" w:cs="Arial"/>
          <w:lang w:val="es-ES"/>
        </w:rPr>
        <w:t xml:space="preserve"> </w:t>
      </w:r>
      <w:r w:rsidRPr="001406EA">
        <w:rPr>
          <w:rFonts w:ascii="Palatino Linotype" w:eastAsia="Calibri" w:hAnsi="Palatino Linotype" w:cs="Arial"/>
          <w:lang w:val="es-ES"/>
        </w:rPr>
        <w:t>(</w:t>
      </w:r>
      <w:r w:rsidR="00EB474F" w:rsidRPr="001406EA">
        <w:rPr>
          <w:rFonts w:ascii="Palatino Linotype" w:eastAsia="Calibri" w:hAnsi="Palatino Linotype" w:cs="Arial"/>
          <w:lang w:val="es-ES"/>
        </w:rPr>
        <w:t>2</w:t>
      </w:r>
      <w:r w:rsidR="00BA5DD6" w:rsidRPr="001406EA">
        <w:rPr>
          <w:rFonts w:ascii="Palatino Linotype" w:eastAsia="Calibri" w:hAnsi="Palatino Linotype" w:cs="Arial"/>
          <w:lang w:val="es-ES"/>
        </w:rPr>
        <w:t>5</w:t>
      </w:r>
      <w:r w:rsidRPr="001406EA">
        <w:rPr>
          <w:rFonts w:ascii="Palatino Linotype" w:eastAsia="Calibri" w:hAnsi="Palatino Linotype" w:cs="Arial"/>
          <w:lang w:val="es-ES"/>
        </w:rPr>
        <w:t xml:space="preserve">) </w:t>
      </w:r>
      <w:r w:rsidR="008455F9" w:rsidRPr="001406EA">
        <w:rPr>
          <w:rFonts w:ascii="Palatino Linotype" w:eastAsia="Times New Roman" w:hAnsi="Palatino Linotype" w:cs="Arial"/>
          <w:lang w:val="es-ES"/>
        </w:rPr>
        <w:t xml:space="preserve">de </w:t>
      </w:r>
      <w:r w:rsidR="00BA5DD6" w:rsidRPr="001406EA">
        <w:rPr>
          <w:rFonts w:ascii="Palatino Linotype" w:eastAsia="Times New Roman" w:hAnsi="Palatino Linotype" w:cs="Arial"/>
          <w:lang w:val="es-ES"/>
        </w:rPr>
        <w:t>septiembre</w:t>
      </w:r>
      <w:r w:rsidR="008455F9" w:rsidRPr="001406EA">
        <w:rPr>
          <w:rFonts w:ascii="Palatino Linotype" w:eastAsia="Times New Roman" w:hAnsi="Palatino Linotype" w:cs="Arial"/>
          <w:lang w:val="es-ES"/>
        </w:rPr>
        <w:t xml:space="preserve"> </w:t>
      </w:r>
      <w:r w:rsidR="005508E5" w:rsidRPr="001406EA">
        <w:rPr>
          <w:rFonts w:ascii="Palatino Linotype" w:eastAsia="Times New Roman" w:hAnsi="Palatino Linotype" w:cs="Arial"/>
          <w:lang w:val="es-ES"/>
        </w:rPr>
        <w:t>de dos mil diecinueve</w:t>
      </w:r>
      <w:r w:rsidRPr="001406EA">
        <w:rPr>
          <w:rFonts w:ascii="Palatino Linotype" w:eastAsia="Calibri" w:hAnsi="Palatino Linotype" w:cs="Arial"/>
          <w:lang w:val="es-ES"/>
        </w:rPr>
        <w:t xml:space="preserve">, puso a disposición de las partes el expediente electrónico </w:t>
      </w:r>
      <w:r w:rsidRPr="001406EA">
        <w:rPr>
          <w:rFonts w:ascii="Palatino Linotype" w:eastAsia="Calibri" w:hAnsi="Palatino Linotype" w:cs="Arial"/>
        </w:rPr>
        <w:t xml:space="preserve">vía </w:t>
      </w:r>
      <w:r w:rsidRPr="001406EA">
        <w:rPr>
          <w:rFonts w:ascii="Palatino Linotype" w:eastAsia="Calibri" w:hAnsi="Palatino Linotype" w:cs="Arial"/>
          <w:lang w:val="es-ES"/>
        </w:rPr>
        <w:t xml:space="preserve">Sistema de Acceso a la Información Mexiquense </w:t>
      </w:r>
      <w:r w:rsidRPr="001406EA">
        <w:rPr>
          <w:rFonts w:ascii="Palatino Linotype" w:eastAsia="Calibri" w:hAnsi="Palatino Linotype" w:cs="Arial"/>
          <w:b/>
          <w:lang w:val="es-ES"/>
        </w:rPr>
        <w:t xml:space="preserve">(SAIMEX) </w:t>
      </w:r>
      <w:r w:rsidRPr="001406EA">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1406EA">
        <w:rPr>
          <w:rFonts w:ascii="Palatino Linotype" w:eastAsia="Calibri" w:hAnsi="Palatino Linotype" w:cs="Arial"/>
          <w:lang w:val="es-ES"/>
        </w:rPr>
        <w:t>.</w:t>
      </w:r>
    </w:p>
    <w:p w14:paraId="0AB574B8" w14:textId="77777777" w:rsidR="00F210FE" w:rsidRPr="00F210FE" w:rsidRDefault="00F210FE" w:rsidP="00F210FE">
      <w:pPr>
        <w:pStyle w:val="Prrafodelista"/>
        <w:tabs>
          <w:tab w:val="left" w:pos="426"/>
          <w:tab w:val="left" w:pos="567"/>
        </w:tabs>
        <w:spacing w:line="360" w:lineRule="auto"/>
        <w:ind w:left="0"/>
        <w:jc w:val="both"/>
        <w:rPr>
          <w:rFonts w:ascii="Palatino Linotype" w:hAnsi="Palatino Linotype"/>
          <w:color w:val="000000"/>
        </w:rPr>
      </w:pPr>
    </w:p>
    <w:p w14:paraId="773D7C06" w14:textId="7DA1139B" w:rsidR="00444CFD" w:rsidRPr="000D1FBF" w:rsidRDefault="003B7B65" w:rsidP="00577327">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olor w:val="000000"/>
        </w:rPr>
      </w:pPr>
      <w:r w:rsidRPr="00F210FE">
        <w:rPr>
          <w:rFonts w:ascii="Palatino Linotype" w:eastAsia="Calibri" w:hAnsi="Palatino Linotype" w:cs="Arial"/>
          <w:lang w:val="es-ES"/>
        </w:rPr>
        <w:t xml:space="preserve">El día </w:t>
      </w:r>
      <w:r w:rsidR="00052570">
        <w:rPr>
          <w:rFonts w:ascii="Palatino Linotype" w:eastAsia="Calibri" w:hAnsi="Palatino Linotype" w:cs="Arial"/>
          <w:lang w:val="es-ES"/>
        </w:rPr>
        <w:t>tres</w:t>
      </w:r>
      <w:r w:rsidR="008455F9" w:rsidRPr="00F210FE">
        <w:rPr>
          <w:rFonts w:ascii="Palatino Linotype" w:eastAsia="Calibri" w:hAnsi="Palatino Linotype" w:cs="Arial"/>
          <w:lang w:val="es-ES"/>
        </w:rPr>
        <w:t xml:space="preserve"> (</w:t>
      </w:r>
      <w:r w:rsidR="00AE32E5">
        <w:rPr>
          <w:rFonts w:ascii="Palatino Linotype" w:eastAsia="Calibri" w:hAnsi="Palatino Linotype" w:cs="Arial"/>
          <w:lang w:val="es-ES"/>
        </w:rPr>
        <w:t>0</w:t>
      </w:r>
      <w:r w:rsidR="00052570">
        <w:rPr>
          <w:rFonts w:ascii="Palatino Linotype" w:eastAsia="Calibri" w:hAnsi="Palatino Linotype" w:cs="Arial"/>
          <w:lang w:val="es-ES"/>
        </w:rPr>
        <w:t>3</w:t>
      </w:r>
      <w:r w:rsidR="00AE32E5">
        <w:rPr>
          <w:rFonts w:ascii="Palatino Linotype" w:eastAsia="Calibri" w:hAnsi="Palatino Linotype" w:cs="Arial"/>
          <w:lang w:val="es-ES"/>
        </w:rPr>
        <w:t>)</w:t>
      </w:r>
      <w:r w:rsidR="008455F9" w:rsidRPr="00F210FE">
        <w:rPr>
          <w:rFonts w:ascii="Palatino Linotype" w:eastAsia="Calibri" w:hAnsi="Palatino Linotype" w:cs="Arial"/>
          <w:lang w:val="es-ES"/>
        </w:rPr>
        <w:t xml:space="preserve"> </w:t>
      </w:r>
      <w:r w:rsidR="008455F9" w:rsidRPr="00F210FE">
        <w:rPr>
          <w:rFonts w:ascii="Palatino Linotype" w:eastAsia="Times New Roman" w:hAnsi="Palatino Linotype" w:cs="Arial"/>
          <w:lang w:val="es-ES"/>
        </w:rPr>
        <w:t xml:space="preserve">de </w:t>
      </w:r>
      <w:r w:rsidR="00052570">
        <w:rPr>
          <w:rFonts w:ascii="Palatino Linotype" w:eastAsia="Times New Roman" w:hAnsi="Palatino Linotype" w:cs="Arial"/>
          <w:lang w:val="es-ES"/>
        </w:rPr>
        <w:t>octubre</w:t>
      </w:r>
      <w:r w:rsidR="008455F9" w:rsidRPr="00F210FE">
        <w:rPr>
          <w:rFonts w:ascii="Palatino Linotype" w:eastAsia="Times New Roman" w:hAnsi="Palatino Linotype" w:cs="Arial"/>
          <w:lang w:val="es-ES"/>
        </w:rPr>
        <w:t xml:space="preserve"> de dos mil diecinueve</w:t>
      </w:r>
      <w:r w:rsidR="00CD3580" w:rsidRPr="00F210FE">
        <w:rPr>
          <w:rFonts w:ascii="Palatino Linotype" w:eastAsia="Calibri" w:hAnsi="Palatino Linotype" w:cs="Arial"/>
          <w:lang w:val="es-ES"/>
        </w:rPr>
        <w:t xml:space="preserve">, el </w:t>
      </w:r>
      <w:r w:rsidR="00CD3580" w:rsidRPr="00F210FE">
        <w:rPr>
          <w:rFonts w:ascii="Palatino Linotype" w:eastAsia="Calibri" w:hAnsi="Palatino Linotype" w:cs="Arial"/>
          <w:b/>
          <w:lang w:val="es-ES"/>
        </w:rPr>
        <w:t xml:space="preserve">SUJETO OBLIGADO </w:t>
      </w:r>
      <w:r w:rsidR="00CD3580" w:rsidRPr="00F210FE">
        <w:rPr>
          <w:rFonts w:ascii="Palatino Linotype" w:eastAsia="Calibri" w:hAnsi="Palatino Linotype" w:cs="Arial"/>
          <w:lang w:val="es-ES"/>
        </w:rPr>
        <w:t>rindió su informe justificado para manifestar lo que a su derecho le asistiera y</w:t>
      </w:r>
      <w:r w:rsidR="00BE5F02" w:rsidRPr="00F210FE">
        <w:rPr>
          <w:rFonts w:ascii="Palatino Linotype" w:eastAsia="Calibri" w:hAnsi="Palatino Linotype" w:cs="Arial"/>
          <w:lang w:val="es-ES"/>
        </w:rPr>
        <w:t xml:space="preserve"> </w:t>
      </w:r>
      <w:r w:rsidR="00CD3580" w:rsidRPr="00F210FE">
        <w:rPr>
          <w:rFonts w:ascii="Palatino Linotype" w:eastAsia="Calibri" w:hAnsi="Palatino Linotype" w:cs="Arial"/>
          <w:lang w:val="es-ES"/>
        </w:rPr>
        <w:t xml:space="preserve">conviniera mediante </w:t>
      </w:r>
      <w:r w:rsidR="00052570">
        <w:rPr>
          <w:rFonts w:ascii="Palatino Linotype" w:eastAsia="Calibri" w:hAnsi="Palatino Linotype" w:cs="Arial"/>
          <w:lang w:val="es-ES"/>
        </w:rPr>
        <w:t>los</w:t>
      </w:r>
      <w:r w:rsidR="00B85B1C" w:rsidRPr="00F210FE">
        <w:rPr>
          <w:rFonts w:ascii="Palatino Linotype" w:eastAsia="Calibri" w:hAnsi="Palatino Linotype" w:cs="Arial"/>
          <w:lang w:val="es-ES"/>
        </w:rPr>
        <w:t xml:space="preserve"> </w:t>
      </w:r>
      <w:r w:rsidR="00CD3580" w:rsidRPr="00F210FE">
        <w:rPr>
          <w:rFonts w:ascii="Palatino Linotype" w:eastAsia="Calibri" w:hAnsi="Palatino Linotype" w:cs="Arial"/>
          <w:lang w:val="es-ES"/>
        </w:rPr>
        <w:t>archivo</w:t>
      </w:r>
      <w:r w:rsidR="00052570">
        <w:rPr>
          <w:rFonts w:ascii="Palatino Linotype" w:eastAsia="Calibri" w:hAnsi="Palatino Linotype" w:cs="Arial"/>
          <w:lang w:val="es-ES"/>
        </w:rPr>
        <w:t>s</w:t>
      </w:r>
      <w:r w:rsidR="007F5F5B" w:rsidRPr="00F210FE">
        <w:rPr>
          <w:rFonts w:ascii="Palatino Linotype" w:eastAsia="Calibri" w:hAnsi="Palatino Linotype" w:cs="Arial"/>
          <w:lang w:val="es-ES"/>
        </w:rPr>
        <w:t xml:space="preserve"> electrónico</w:t>
      </w:r>
      <w:r w:rsidR="00052570">
        <w:rPr>
          <w:rFonts w:ascii="Palatino Linotype" w:eastAsia="Calibri" w:hAnsi="Palatino Linotype" w:cs="Arial"/>
          <w:lang w:val="es-ES"/>
        </w:rPr>
        <w:t>s</w:t>
      </w:r>
      <w:r w:rsidR="007F5F5B" w:rsidRPr="00F210FE">
        <w:rPr>
          <w:rFonts w:ascii="Palatino Linotype" w:eastAsia="Calibri" w:hAnsi="Palatino Linotype" w:cs="Arial"/>
          <w:lang w:val="es-ES"/>
        </w:rPr>
        <w:t xml:space="preserve"> </w:t>
      </w:r>
      <w:r w:rsidR="00052570">
        <w:rPr>
          <w:rFonts w:ascii="Palatino Linotype" w:eastAsia="Calibri" w:hAnsi="Palatino Linotype" w:cs="Arial"/>
          <w:lang w:val="es-ES"/>
        </w:rPr>
        <w:t>“</w:t>
      </w:r>
      <w:hyperlink r:id="rId8" w:history="1">
        <w:r w:rsidR="00052570" w:rsidRPr="00052570">
          <w:rPr>
            <w:rStyle w:val="Hipervnculo"/>
            <w:rFonts w:ascii="Palatino Linotype" w:hAnsi="Palatino Linotype" w:cs="Arial"/>
            <w:b/>
            <w:bCs/>
            <w:i/>
            <w:color w:val="000000" w:themeColor="text1"/>
            <w:u w:val="none"/>
          </w:rPr>
          <w:t xml:space="preserve">Informe de justificación </w:t>
        </w:r>
        <w:r w:rsidR="006E7935" w:rsidRPr="006E7935">
          <w:rPr>
            <w:rStyle w:val="Hipervnculo"/>
            <w:rFonts w:ascii="Palatino Linotype" w:hAnsi="Palatino Linotype" w:cs="Arial"/>
            <w:b/>
            <w:bCs/>
            <w:i/>
            <w:color w:val="000000" w:themeColor="text1"/>
            <w:highlight w:val="black"/>
            <w:u w:val="none"/>
          </w:rPr>
          <w:t>------------------------------</w:t>
        </w:r>
        <w:r w:rsidR="00052570" w:rsidRPr="00052570">
          <w:rPr>
            <w:rStyle w:val="Hipervnculo"/>
            <w:rFonts w:ascii="Palatino Linotype" w:hAnsi="Palatino Linotype" w:cs="Arial"/>
            <w:b/>
            <w:bCs/>
            <w:i/>
            <w:color w:val="000000" w:themeColor="text1"/>
            <w:u w:val="none"/>
          </w:rPr>
          <w:t>RR07468.pdf</w:t>
        </w:r>
      </w:hyperlink>
      <w:r w:rsidR="00052570">
        <w:rPr>
          <w:rStyle w:val="Hipervnculo"/>
          <w:rFonts w:ascii="Palatino Linotype" w:hAnsi="Palatino Linotype"/>
          <w:b/>
          <w:bCs/>
          <w:i/>
          <w:color w:val="000000" w:themeColor="text1"/>
          <w:u w:val="none"/>
        </w:rPr>
        <w:t xml:space="preserve">” </w:t>
      </w:r>
      <w:r w:rsidR="00052570" w:rsidRPr="00E060DD">
        <w:rPr>
          <w:rStyle w:val="Hipervnculo"/>
          <w:rFonts w:ascii="Palatino Linotype" w:hAnsi="Palatino Linotype"/>
          <w:bCs/>
          <w:color w:val="000000" w:themeColor="text1"/>
          <w:u w:val="none"/>
        </w:rPr>
        <w:t>constante en</w:t>
      </w:r>
      <w:r w:rsidR="00E060DD">
        <w:rPr>
          <w:rStyle w:val="Hipervnculo"/>
          <w:rFonts w:ascii="Palatino Linotype" w:hAnsi="Palatino Linotype"/>
          <w:b/>
          <w:bCs/>
          <w:i/>
          <w:color w:val="000000" w:themeColor="text1"/>
          <w:u w:val="none"/>
        </w:rPr>
        <w:t xml:space="preserve"> </w:t>
      </w:r>
      <w:r w:rsidR="00E060DD" w:rsidRPr="00E060DD">
        <w:rPr>
          <w:rStyle w:val="Hipervnculo"/>
          <w:rFonts w:ascii="Palatino Linotype" w:hAnsi="Palatino Linotype"/>
          <w:bCs/>
          <w:color w:val="000000" w:themeColor="text1"/>
          <w:u w:val="none"/>
        </w:rPr>
        <w:t>cinco hojas</w:t>
      </w:r>
      <w:r w:rsidR="00E060DD">
        <w:rPr>
          <w:rStyle w:val="Hipervnculo"/>
          <w:rFonts w:ascii="Palatino Linotype" w:hAnsi="Palatino Linotype"/>
          <w:b/>
          <w:bCs/>
          <w:i/>
          <w:color w:val="000000" w:themeColor="text1"/>
          <w:u w:val="none"/>
        </w:rPr>
        <w:t xml:space="preserve"> </w:t>
      </w:r>
      <w:r w:rsidR="00E060DD" w:rsidRPr="00AE32E5">
        <w:rPr>
          <w:rStyle w:val="Hipervnculo"/>
          <w:rFonts w:ascii="Palatino Linotype" w:hAnsi="Palatino Linotype"/>
          <w:bCs/>
          <w:color w:val="000000" w:themeColor="text1"/>
          <w:u w:val="none"/>
        </w:rPr>
        <w:t xml:space="preserve">en cuyo contenido se advierte el informe </w:t>
      </w:r>
      <w:r w:rsidR="00E060DD" w:rsidRPr="00AE32E5">
        <w:rPr>
          <w:rStyle w:val="Hipervnculo"/>
          <w:rFonts w:ascii="Palatino Linotype" w:hAnsi="Palatino Linotype"/>
          <w:bCs/>
          <w:color w:val="000000" w:themeColor="text1"/>
          <w:u w:val="none"/>
        </w:rPr>
        <w:lastRenderedPageBreak/>
        <w:t xml:space="preserve">justificado signado por </w:t>
      </w:r>
      <w:r w:rsidR="00E060DD">
        <w:rPr>
          <w:rStyle w:val="Hipervnculo"/>
          <w:rFonts w:ascii="Palatino Linotype" w:hAnsi="Palatino Linotype"/>
          <w:bCs/>
          <w:color w:val="000000" w:themeColor="text1"/>
          <w:u w:val="none"/>
        </w:rPr>
        <w:t>la Titular</w:t>
      </w:r>
      <w:r w:rsidR="00E060DD" w:rsidRPr="00AE32E5">
        <w:rPr>
          <w:rStyle w:val="Hipervnculo"/>
          <w:rFonts w:ascii="Palatino Linotype" w:hAnsi="Palatino Linotype"/>
          <w:bCs/>
          <w:color w:val="000000" w:themeColor="text1"/>
          <w:u w:val="none"/>
        </w:rPr>
        <w:t xml:space="preserve"> de la Unidad de Transparencia de la </w:t>
      </w:r>
      <w:r w:rsidR="00E060DD" w:rsidRPr="00E060DD">
        <w:rPr>
          <w:rStyle w:val="Hipervnculo"/>
          <w:rFonts w:ascii="Palatino Linotype" w:hAnsi="Palatino Linotype"/>
          <w:bCs/>
          <w:color w:val="000000" w:themeColor="text1"/>
          <w:u w:val="none"/>
        </w:rPr>
        <w:t>Fiscalía General de Justicia del Estado de México</w:t>
      </w:r>
      <w:r w:rsidR="00E060DD" w:rsidRPr="00E060DD">
        <w:rPr>
          <w:rFonts w:ascii="Palatino Linotype" w:eastAsia="Calibri" w:hAnsi="Palatino Linotype" w:cs="Arial"/>
          <w:lang w:val="es-ES"/>
        </w:rPr>
        <w:t xml:space="preserve"> en el que se manifiesta expresamente que “</w:t>
      </w:r>
      <w:r w:rsidR="00E060DD" w:rsidRPr="00E060DD">
        <w:rPr>
          <w:rFonts w:ascii="Palatino Linotype" w:hAnsi="Palatino Linotype"/>
          <w:i/>
        </w:rPr>
        <w:t>de acuerda a las atribuciones y funciones que tiene encomendada esta Fiscalía, no se encuentra contemplar el pago de salarios a sus servidores públicos, ya que dicha función pertenece a la Secretaría de Finanzas del Gobierno del Estado de México, en virtud de que esta Fiscalía General de Justicia del Estado de México, aún se encuentra en etapa de transición y el tema de pagos de sueldos de sus servidores públicos lo sigue realizando dicha Secretaría, motivo por el cual esta Institución no se encuentra obligada a contar en su plataforma de IPOMEX, con dicha publicación</w:t>
      </w:r>
      <w:r w:rsidR="00E060DD" w:rsidRPr="00E060DD">
        <w:rPr>
          <w:rFonts w:ascii="Palatino Linotype" w:eastAsia="Calibri" w:hAnsi="Palatino Linotype" w:cs="Arial"/>
          <w:lang w:val="es-ES"/>
        </w:rPr>
        <w:t xml:space="preserve">” y además </w:t>
      </w:r>
      <w:r w:rsidR="00E060DD" w:rsidRPr="00E060DD">
        <w:rPr>
          <w:rFonts w:ascii="Palatino Linotype" w:hAnsi="Palatino Linotype"/>
        </w:rPr>
        <w:t>se proporcionan los sueldos, salarios y demás remuneraciones que perciben los servidores públicos con los niveles 05 al 23 y rango del 01 al 04</w:t>
      </w:r>
      <w:r w:rsidR="00E060DD" w:rsidRPr="00E060DD">
        <w:rPr>
          <w:rStyle w:val="Hipervnculo"/>
          <w:rFonts w:ascii="Palatino Linotype" w:hAnsi="Palatino Linotype"/>
          <w:b/>
          <w:bCs/>
          <w:i/>
          <w:color w:val="000000" w:themeColor="text1"/>
          <w:u w:val="none"/>
        </w:rPr>
        <w:t xml:space="preserve">, </w:t>
      </w:r>
      <w:r w:rsidR="00E060DD" w:rsidRPr="00E060DD">
        <w:rPr>
          <w:rStyle w:val="Hipervnculo"/>
          <w:rFonts w:ascii="Palatino Linotype" w:hAnsi="Palatino Linotype"/>
          <w:bCs/>
          <w:color w:val="000000" w:themeColor="text1"/>
          <w:u w:val="none"/>
        </w:rPr>
        <w:t xml:space="preserve">y </w:t>
      </w:r>
      <w:r w:rsidR="00052570" w:rsidRPr="00E060DD">
        <w:rPr>
          <w:rStyle w:val="Hipervnculo"/>
          <w:rFonts w:ascii="Palatino Linotype" w:hAnsi="Palatino Linotype"/>
          <w:b/>
          <w:bCs/>
          <w:i/>
          <w:color w:val="000000" w:themeColor="text1"/>
          <w:u w:val="none"/>
        </w:rPr>
        <w:t>“</w:t>
      </w:r>
      <w:hyperlink r:id="rId9" w:history="1">
        <w:r w:rsidR="00052570" w:rsidRPr="00E060DD">
          <w:rPr>
            <w:rStyle w:val="Hipervnculo"/>
            <w:rFonts w:ascii="Palatino Linotype" w:hAnsi="Palatino Linotype" w:cs="Arial"/>
            <w:b/>
            <w:bCs/>
            <w:i/>
            <w:color w:val="000000" w:themeColor="text1"/>
            <w:u w:val="none"/>
          </w:rPr>
          <w:t>OFICIO DE INF DE JUSTIF</w:t>
        </w:r>
        <w:r w:rsidR="006E7935">
          <w:rPr>
            <w:rStyle w:val="Hipervnculo"/>
            <w:rFonts w:ascii="Palatino Linotype" w:hAnsi="Palatino Linotype" w:cs="Arial"/>
            <w:b/>
            <w:bCs/>
            <w:i/>
            <w:color w:val="000000" w:themeColor="text1"/>
            <w:u w:val="none"/>
          </w:rPr>
          <w:t xml:space="preserve">              </w:t>
        </w:r>
        <w:r w:rsidR="00052570" w:rsidRPr="00E060DD">
          <w:rPr>
            <w:rStyle w:val="Hipervnculo"/>
            <w:rFonts w:ascii="Palatino Linotype" w:hAnsi="Palatino Linotype" w:cs="Arial"/>
            <w:b/>
            <w:bCs/>
            <w:i/>
            <w:color w:val="000000" w:themeColor="text1"/>
            <w:u w:val="none"/>
          </w:rPr>
          <w:t xml:space="preserve"> </w:t>
        </w:r>
        <w:r w:rsidR="006E7935" w:rsidRPr="006E7935">
          <w:rPr>
            <w:rStyle w:val="Hipervnculo"/>
            <w:rFonts w:ascii="Palatino Linotype" w:hAnsi="Palatino Linotype" w:cs="Arial"/>
            <w:b/>
            <w:bCs/>
            <w:i/>
            <w:color w:val="000000" w:themeColor="text1"/>
            <w:highlight w:val="black"/>
            <w:u w:val="none"/>
          </w:rPr>
          <w:t>------------------------------------------</w:t>
        </w:r>
        <w:r w:rsidR="00052570" w:rsidRPr="00E060DD">
          <w:rPr>
            <w:rStyle w:val="Hipervnculo"/>
            <w:rFonts w:ascii="Palatino Linotype" w:hAnsi="Palatino Linotype" w:cs="Arial"/>
            <w:b/>
            <w:bCs/>
            <w:i/>
            <w:color w:val="000000" w:themeColor="text1"/>
            <w:u w:val="none"/>
          </w:rPr>
          <w:t xml:space="preserve"> 818 RR 7468.pdf</w:t>
        </w:r>
      </w:hyperlink>
      <w:r w:rsidR="00052570" w:rsidRPr="00E060DD">
        <w:rPr>
          <w:rStyle w:val="Hipervnculo"/>
          <w:rFonts w:ascii="Palatino Linotype" w:hAnsi="Palatino Linotype"/>
          <w:b/>
          <w:bCs/>
          <w:i/>
          <w:color w:val="000000" w:themeColor="text1"/>
          <w:u w:val="none"/>
        </w:rPr>
        <w:t>”</w:t>
      </w:r>
      <w:r w:rsidR="00E060DD" w:rsidRPr="00E060DD">
        <w:rPr>
          <w:rStyle w:val="Hipervnculo"/>
          <w:rFonts w:ascii="Palatino Linotype" w:hAnsi="Palatino Linotype"/>
          <w:b/>
          <w:bCs/>
          <w:i/>
          <w:color w:val="000000" w:themeColor="text1"/>
          <w:u w:val="none"/>
        </w:rPr>
        <w:t xml:space="preserve"> </w:t>
      </w:r>
      <w:r w:rsidR="00E060DD" w:rsidRPr="00E060DD">
        <w:rPr>
          <w:rStyle w:val="Hipervnculo"/>
          <w:rFonts w:ascii="Palatino Linotype" w:hAnsi="Palatino Linotype"/>
          <w:bCs/>
          <w:color w:val="000000" w:themeColor="text1"/>
          <w:u w:val="none"/>
        </w:rPr>
        <w:t xml:space="preserve">constante en una hoja en cuyo contenido se advierte el </w:t>
      </w:r>
      <w:r w:rsidR="00E060DD">
        <w:rPr>
          <w:rFonts w:ascii="Palatino Linotype" w:hAnsi="Palatino Linotype"/>
        </w:rPr>
        <w:t xml:space="preserve">oficio número </w:t>
      </w:r>
      <w:r w:rsidR="00E060DD" w:rsidRPr="00E060DD">
        <w:rPr>
          <w:rFonts w:ascii="Palatino Linotype" w:hAnsi="Palatino Linotype"/>
        </w:rPr>
        <w:t xml:space="preserve">1752/MAIP/FGJ/2018 </w:t>
      </w:r>
      <w:r w:rsidR="00E060DD" w:rsidRPr="00E060DD">
        <w:rPr>
          <w:rStyle w:val="Hipervnculo"/>
          <w:rFonts w:ascii="Palatino Linotype" w:hAnsi="Palatino Linotype"/>
          <w:bCs/>
          <w:color w:val="000000" w:themeColor="text1"/>
          <w:u w:val="none"/>
        </w:rPr>
        <w:t>signado por la Titular de la Unidad de Transparencia de la Fiscalía General de Justicia del Estado de México</w:t>
      </w:r>
      <w:r w:rsidR="00E060DD" w:rsidRPr="00E060DD">
        <w:rPr>
          <w:rFonts w:ascii="Palatino Linotype" w:eastAsia="Calibri" w:hAnsi="Palatino Linotype" w:cs="Arial"/>
          <w:lang w:val="es-ES"/>
        </w:rPr>
        <w:t xml:space="preserve"> en el que</w:t>
      </w:r>
      <w:r w:rsidR="00E060DD">
        <w:rPr>
          <w:rFonts w:ascii="Palatino Linotype" w:eastAsia="Calibri" w:hAnsi="Palatino Linotype" w:cs="Arial"/>
          <w:lang w:val="es-ES"/>
        </w:rPr>
        <w:t xml:space="preserve"> </w:t>
      </w:r>
      <w:r w:rsidR="00577327">
        <w:rPr>
          <w:rFonts w:ascii="Palatino Linotype" w:eastAsia="Calibri" w:hAnsi="Palatino Linotype" w:cs="Arial"/>
          <w:lang w:val="es-ES"/>
        </w:rPr>
        <w:t>se informa remitir el informe justificado antes señalado, mismos que no se insertan en este apartado en obviedad de repeticiones innecesarias toda vez que ya son del conocimiento de las partes, y serán motivo de análisis en el cuerpo de la presente resolución.</w:t>
      </w:r>
    </w:p>
    <w:p w14:paraId="031ECD76" w14:textId="77777777" w:rsidR="000D1FBF" w:rsidRPr="000D1FBF" w:rsidRDefault="000D1FBF" w:rsidP="000D1FBF">
      <w:pPr>
        <w:pStyle w:val="Prrafodelista"/>
        <w:tabs>
          <w:tab w:val="left" w:pos="426"/>
          <w:tab w:val="left" w:pos="567"/>
        </w:tabs>
        <w:spacing w:line="360" w:lineRule="auto"/>
        <w:ind w:left="0"/>
        <w:jc w:val="both"/>
        <w:rPr>
          <w:rFonts w:ascii="Palatino Linotype" w:hAnsi="Palatino Linotype"/>
          <w:color w:val="000000"/>
        </w:rPr>
      </w:pPr>
    </w:p>
    <w:p w14:paraId="1DF21C12" w14:textId="28FFC2C8" w:rsidR="000D1FBF" w:rsidRPr="00577327" w:rsidRDefault="000D1FBF" w:rsidP="00577327">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olor w:val="000000"/>
        </w:rPr>
      </w:pPr>
      <w:r w:rsidRPr="00F210FE">
        <w:rPr>
          <w:rFonts w:ascii="Palatino Linotype" w:eastAsia="Calibri" w:hAnsi="Palatino Linotype" w:cs="Arial"/>
          <w:lang w:val="es-ES"/>
        </w:rPr>
        <w:t xml:space="preserve">El día </w:t>
      </w:r>
      <w:r>
        <w:rPr>
          <w:rFonts w:ascii="Palatino Linotype" w:eastAsia="Calibri" w:hAnsi="Palatino Linotype" w:cs="Arial"/>
          <w:lang w:val="es-ES"/>
        </w:rPr>
        <w:t>seis</w:t>
      </w:r>
      <w:r w:rsidRPr="00F210FE">
        <w:rPr>
          <w:rFonts w:ascii="Palatino Linotype" w:eastAsia="Calibri" w:hAnsi="Palatino Linotype" w:cs="Arial"/>
          <w:lang w:val="es-ES"/>
        </w:rPr>
        <w:t xml:space="preserve"> (</w:t>
      </w:r>
      <w:r>
        <w:rPr>
          <w:rFonts w:ascii="Palatino Linotype" w:eastAsia="Calibri" w:hAnsi="Palatino Linotype" w:cs="Arial"/>
          <w:lang w:val="es-ES"/>
        </w:rPr>
        <w:t>06)</w:t>
      </w:r>
      <w:r w:rsidRPr="00F210FE">
        <w:rPr>
          <w:rFonts w:ascii="Palatino Linotype" w:eastAsia="Calibri" w:hAnsi="Palatino Linotype" w:cs="Arial"/>
          <w:lang w:val="es-ES"/>
        </w:rPr>
        <w:t xml:space="preserve"> </w:t>
      </w:r>
      <w:r w:rsidRPr="00F210FE">
        <w:rPr>
          <w:rFonts w:ascii="Palatino Linotype" w:eastAsia="Times New Roman" w:hAnsi="Palatino Linotype" w:cs="Arial"/>
          <w:lang w:val="es-ES"/>
        </w:rPr>
        <w:t xml:space="preserve">de </w:t>
      </w:r>
      <w:r>
        <w:rPr>
          <w:rFonts w:ascii="Palatino Linotype" w:eastAsia="Times New Roman" w:hAnsi="Palatino Linotype" w:cs="Arial"/>
          <w:lang w:val="es-ES"/>
        </w:rPr>
        <w:t>noviembre</w:t>
      </w:r>
      <w:r w:rsidRPr="00F210FE">
        <w:rPr>
          <w:rFonts w:ascii="Palatino Linotype" w:eastAsia="Times New Roman" w:hAnsi="Palatino Linotype" w:cs="Arial"/>
          <w:lang w:val="es-ES"/>
        </w:rPr>
        <w:t xml:space="preserve"> de dos mil diecinueve</w:t>
      </w:r>
      <w:r>
        <w:rPr>
          <w:rFonts w:ascii="Palatino Linotype" w:eastAsia="Times New Roman" w:hAnsi="Palatino Linotype" w:cs="Arial"/>
          <w:lang w:val="es-ES"/>
        </w:rPr>
        <w:t xml:space="preserve">, este Instituto puso a disposición del particular el informe justificado rendido por el </w:t>
      </w:r>
      <w:r w:rsidRPr="000D1FBF">
        <w:rPr>
          <w:rFonts w:ascii="Palatino Linotype" w:eastAsia="Times New Roman" w:hAnsi="Palatino Linotype" w:cs="Arial"/>
          <w:b/>
          <w:lang w:val="es-ES"/>
        </w:rPr>
        <w:t>SUJETO OBLIGADO</w:t>
      </w:r>
      <w:r>
        <w:rPr>
          <w:rFonts w:ascii="Palatino Linotype" w:eastAsia="Times New Roman" w:hAnsi="Palatino Linotype" w:cs="Arial"/>
          <w:lang w:val="es-ES"/>
        </w:rPr>
        <w:t xml:space="preserve"> a efecto de que en un plazo no mayor de tres días manifestara lo que a su derecho asistiera y conviniera, sin que hubiera pronunciamiento alguno al respecto.</w:t>
      </w:r>
    </w:p>
    <w:p w14:paraId="4ACF22D6" w14:textId="77777777" w:rsidR="00577327" w:rsidRPr="00CD7A36" w:rsidRDefault="00577327" w:rsidP="000D1FBF">
      <w:pPr>
        <w:pStyle w:val="Prrafodelista"/>
        <w:tabs>
          <w:tab w:val="left" w:pos="426"/>
          <w:tab w:val="left" w:pos="567"/>
        </w:tabs>
        <w:spacing w:before="240" w:after="240" w:line="360" w:lineRule="auto"/>
        <w:ind w:left="0"/>
        <w:jc w:val="both"/>
        <w:rPr>
          <w:rFonts w:ascii="Palatino Linotype" w:hAnsi="Palatino Linotype"/>
          <w:color w:val="000000"/>
        </w:rPr>
      </w:pPr>
    </w:p>
    <w:p w14:paraId="024ECCC4" w14:textId="3612CD6E" w:rsidR="00892449" w:rsidRDefault="005C0175" w:rsidP="00892449">
      <w:pPr>
        <w:pStyle w:val="Prrafodelista"/>
        <w:numPr>
          <w:ilvl w:val="0"/>
          <w:numId w:val="1"/>
        </w:numPr>
        <w:tabs>
          <w:tab w:val="left" w:pos="426"/>
        </w:tabs>
        <w:spacing w:line="360" w:lineRule="auto"/>
        <w:ind w:left="0" w:hanging="11"/>
        <w:jc w:val="both"/>
        <w:rPr>
          <w:rFonts w:ascii="Palatino Linotype" w:hAnsi="Palatino Linotype"/>
        </w:rPr>
      </w:pPr>
      <w:r w:rsidRPr="00C7354D">
        <w:rPr>
          <w:rFonts w:ascii="Palatino Linotype" w:hAnsi="Palatino Linotype"/>
        </w:rPr>
        <w:lastRenderedPageBreak/>
        <w:t xml:space="preserve">El día </w:t>
      </w:r>
      <w:r w:rsidR="000D1FBF">
        <w:rPr>
          <w:rFonts w:ascii="Palatino Linotype" w:hAnsi="Palatino Linotype"/>
        </w:rPr>
        <w:t>catorce</w:t>
      </w:r>
      <w:r w:rsidR="006F639B" w:rsidRPr="00F62E76">
        <w:rPr>
          <w:rFonts w:ascii="Palatino Linotype" w:hAnsi="Palatino Linotype"/>
        </w:rPr>
        <w:t xml:space="preserve"> </w:t>
      </w:r>
      <w:r w:rsidRPr="00F62E76">
        <w:rPr>
          <w:rFonts w:ascii="Palatino Linotype" w:hAnsi="Palatino Linotype"/>
        </w:rPr>
        <w:t>(</w:t>
      </w:r>
      <w:r w:rsidR="000D1FBF">
        <w:rPr>
          <w:rFonts w:ascii="Palatino Linotype" w:hAnsi="Palatino Linotype"/>
        </w:rPr>
        <w:t>1</w:t>
      </w:r>
      <w:r w:rsidR="0003090F">
        <w:rPr>
          <w:rFonts w:ascii="Palatino Linotype" w:hAnsi="Palatino Linotype"/>
        </w:rPr>
        <w:t>4</w:t>
      </w:r>
      <w:r w:rsidRPr="00F62E76">
        <w:rPr>
          <w:rFonts w:ascii="Palatino Linotype" w:hAnsi="Palatino Linotype"/>
        </w:rPr>
        <w:t xml:space="preserve">) de </w:t>
      </w:r>
      <w:r w:rsidR="000D1FBF">
        <w:rPr>
          <w:rFonts w:ascii="Palatino Linotype" w:hAnsi="Palatino Linotype"/>
        </w:rPr>
        <w:t>noviembre</w:t>
      </w:r>
      <w:r w:rsidRPr="00F62E76">
        <w:rPr>
          <w:rFonts w:ascii="Palatino Linotype" w:hAnsi="Palatino Linotype"/>
        </w:rPr>
        <w:t xml:space="preserve"> </w:t>
      </w:r>
      <w:r w:rsidRPr="00F62E76">
        <w:rPr>
          <w:rFonts w:ascii="Palatino Linotype" w:eastAsia="Calibri" w:hAnsi="Palatino Linotype" w:cs="Arial"/>
          <w:lang w:val="es-ES"/>
        </w:rPr>
        <w:t xml:space="preserve">de dos mil diecinueve, </w:t>
      </w:r>
      <w:r w:rsidRPr="00F62E76">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4A504680" w14:textId="77777777" w:rsidR="00D26979" w:rsidRPr="00D26979" w:rsidRDefault="00D26979" w:rsidP="000D1FBF">
      <w:pPr>
        <w:pStyle w:val="Prrafodelista"/>
        <w:tabs>
          <w:tab w:val="left" w:pos="426"/>
        </w:tabs>
        <w:spacing w:before="240" w:after="240" w:line="360" w:lineRule="auto"/>
        <w:ind w:left="0"/>
        <w:jc w:val="both"/>
        <w:rPr>
          <w:rFonts w:ascii="Palatino Linotype" w:hAnsi="Palatino Linotype"/>
        </w:rPr>
      </w:pPr>
    </w:p>
    <w:p w14:paraId="6C8DB400" w14:textId="38A1726F" w:rsidR="00892449" w:rsidRPr="0003090F" w:rsidRDefault="00892449" w:rsidP="00892449">
      <w:pPr>
        <w:pStyle w:val="Prrafodelista"/>
        <w:numPr>
          <w:ilvl w:val="0"/>
          <w:numId w:val="1"/>
        </w:numPr>
        <w:tabs>
          <w:tab w:val="left" w:pos="426"/>
        </w:tabs>
        <w:spacing w:line="360" w:lineRule="auto"/>
        <w:ind w:left="0" w:hanging="11"/>
        <w:jc w:val="both"/>
        <w:rPr>
          <w:rFonts w:ascii="Palatino Linotype" w:hAnsi="Palatino Linotype"/>
        </w:rPr>
      </w:pPr>
      <w:r w:rsidRPr="00892449">
        <w:rPr>
          <w:rFonts w:ascii="Palatino Linotype" w:hAnsi="Palatino Linotype"/>
        </w:rPr>
        <w:t>El Comisionado Ponente decretó el cierre de instrucción</w:t>
      </w:r>
      <w:r w:rsidRPr="00892449">
        <w:rPr>
          <w:rFonts w:ascii="Palatino Linotype" w:hAnsi="Palatino Linotype" w:cs="Arial"/>
        </w:rPr>
        <w:t xml:space="preserve"> </w:t>
      </w:r>
      <w:r w:rsidRPr="00892449">
        <w:rPr>
          <w:rFonts w:ascii="Palatino Linotype" w:hAnsi="Palatino Linotype"/>
        </w:rPr>
        <w:t xml:space="preserve">mediante acuerdo de fecha </w:t>
      </w:r>
      <w:r w:rsidR="000D1FBF">
        <w:rPr>
          <w:rFonts w:ascii="Palatino Linotype" w:hAnsi="Palatino Linotype"/>
        </w:rPr>
        <w:t>catorce</w:t>
      </w:r>
      <w:r w:rsidR="000D1FBF" w:rsidRPr="00F62E76">
        <w:rPr>
          <w:rFonts w:ascii="Palatino Linotype" w:hAnsi="Palatino Linotype"/>
        </w:rPr>
        <w:t xml:space="preserve"> (</w:t>
      </w:r>
      <w:r w:rsidR="000D1FBF">
        <w:rPr>
          <w:rFonts w:ascii="Palatino Linotype" w:hAnsi="Palatino Linotype"/>
        </w:rPr>
        <w:t>14</w:t>
      </w:r>
      <w:r w:rsidR="000D1FBF" w:rsidRPr="00F62E76">
        <w:rPr>
          <w:rFonts w:ascii="Palatino Linotype" w:hAnsi="Palatino Linotype"/>
        </w:rPr>
        <w:t xml:space="preserve">) de </w:t>
      </w:r>
      <w:r w:rsidR="000D1FBF">
        <w:rPr>
          <w:rFonts w:ascii="Palatino Linotype" w:hAnsi="Palatino Linotype"/>
        </w:rPr>
        <w:t>noviembre</w:t>
      </w:r>
      <w:r w:rsidR="000D1FBF" w:rsidRPr="00F62E76">
        <w:rPr>
          <w:rFonts w:ascii="Palatino Linotype" w:hAnsi="Palatino Linotype"/>
        </w:rPr>
        <w:t xml:space="preserve"> </w:t>
      </w:r>
      <w:r w:rsidR="000D1FBF" w:rsidRPr="00F62E76">
        <w:rPr>
          <w:rFonts w:ascii="Palatino Linotype" w:eastAsia="Calibri" w:hAnsi="Palatino Linotype" w:cs="Arial"/>
          <w:lang w:val="es-ES"/>
        </w:rPr>
        <w:t>de dos mil diecinueve</w:t>
      </w:r>
      <w:r w:rsidRPr="00892449">
        <w:rPr>
          <w:rFonts w:ascii="Palatino Linotype" w:hAnsi="Palatino Linotype"/>
        </w:rPr>
        <w:t xml:space="preserve">, </w:t>
      </w:r>
      <w:r w:rsidRPr="00892449">
        <w:rPr>
          <w:rFonts w:ascii="Palatino Linotype" w:hAnsi="Palatino Linotype" w:cs="Arial"/>
        </w:rPr>
        <w:t>por lo que ordenó turnar el expediente a resolución</w:t>
      </w:r>
      <w:r w:rsidR="00D26979">
        <w:rPr>
          <w:rFonts w:ascii="Palatino Linotype" w:hAnsi="Palatino Linotype" w:cs="Arial"/>
        </w:rPr>
        <w:t>, misma que ahora se pronuncia.</w:t>
      </w:r>
    </w:p>
    <w:p w14:paraId="5E7015F4" w14:textId="77777777" w:rsidR="000D1FBF" w:rsidRPr="0003090F" w:rsidRDefault="000D1FBF" w:rsidP="000D1FBF">
      <w:pPr>
        <w:pStyle w:val="Prrafodelista"/>
        <w:ind w:left="0"/>
        <w:rPr>
          <w:rFonts w:ascii="Palatino Linotype" w:hAnsi="Palatino Linotype"/>
        </w:rPr>
      </w:pPr>
    </w:p>
    <w:p w14:paraId="216E385F" w14:textId="1291F9EE" w:rsidR="00962E79" w:rsidRPr="00C7354D" w:rsidRDefault="00962E79" w:rsidP="004E1461">
      <w:pPr>
        <w:pStyle w:val="Ttulo1"/>
        <w:tabs>
          <w:tab w:val="left" w:pos="567"/>
        </w:tabs>
        <w:jc w:val="center"/>
        <w:rPr>
          <w:b w:val="0"/>
          <w:szCs w:val="24"/>
        </w:rPr>
      </w:pPr>
      <w:bookmarkStart w:id="57" w:name="_Toc495430768"/>
      <w:bookmarkStart w:id="58" w:name="_Toc24928437"/>
      <w:r w:rsidRPr="00C7354D">
        <w:rPr>
          <w:szCs w:val="24"/>
        </w:rPr>
        <w:t>CONSIDERANDO</w:t>
      </w:r>
      <w:bookmarkEnd w:id="57"/>
      <w:bookmarkEnd w:id="58"/>
    </w:p>
    <w:p w14:paraId="1C754B23" w14:textId="77777777" w:rsidR="00962E79" w:rsidRPr="00C7354D" w:rsidRDefault="00962E79" w:rsidP="004E1461">
      <w:pPr>
        <w:pStyle w:val="Ttulo1"/>
        <w:tabs>
          <w:tab w:val="left" w:pos="567"/>
        </w:tabs>
        <w:rPr>
          <w:b w:val="0"/>
          <w:bCs/>
          <w:spacing w:val="60"/>
        </w:rPr>
      </w:pPr>
      <w:bookmarkStart w:id="59" w:name="_Toc473812224"/>
      <w:bookmarkStart w:id="60" w:name="_Toc495430769"/>
      <w:bookmarkStart w:id="61" w:name="_Toc24928438"/>
      <w:r w:rsidRPr="00C7354D">
        <w:t>PRIMERO. De la competencia</w:t>
      </w:r>
      <w:bookmarkEnd w:id="59"/>
      <w:bookmarkEnd w:id="60"/>
      <w:bookmarkEnd w:id="61"/>
    </w:p>
    <w:p w14:paraId="5DFB4714" w14:textId="77777777" w:rsidR="00962E79" w:rsidRPr="00C7354D" w:rsidRDefault="00962E79" w:rsidP="004E1461">
      <w:pPr>
        <w:pStyle w:val="Prrafodelista"/>
        <w:tabs>
          <w:tab w:val="left" w:pos="567"/>
        </w:tabs>
        <w:spacing w:line="360" w:lineRule="auto"/>
        <w:ind w:left="0"/>
        <w:jc w:val="both"/>
        <w:rPr>
          <w:rFonts w:ascii="Palatino Linotype" w:hAnsi="Palatino Linotype"/>
          <w:color w:val="000000"/>
        </w:rPr>
      </w:pPr>
    </w:p>
    <w:p w14:paraId="0873CBF9" w14:textId="4CE72826" w:rsidR="00DA59C7" w:rsidRPr="00C7354D" w:rsidRDefault="00F34201" w:rsidP="00D26979">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C7354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7354D">
        <w:rPr>
          <w:rFonts w:ascii="Palatino Linotype" w:eastAsia="Calibri" w:hAnsi="Palatino Linotype" w:cs="Times New Roman"/>
          <w:b/>
          <w:lang w:val="es-ES"/>
        </w:rPr>
        <w:t>Constitución Política de los Estados Unidos Mexicanos</w:t>
      </w:r>
      <w:r w:rsidRPr="00C7354D">
        <w:rPr>
          <w:rFonts w:ascii="Palatino Linotype" w:eastAsia="Calibri" w:hAnsi="Palatino Linotype" w:cs="Times New Roman"/>
          <w:lang w:val="es-ES"/>
        </w:rPr>
        <w:t xml:space="preserve">; 5, </w:t>
      </w:r>
      <w:r w:rsidRPr="00217B09">
        <w:rPr>
          <w:rFonts w:ascii="Palatino Linotype" w:eastAsia="Calibri" w:hAnsi="Palatino Linotype" w:cs="Times New Roman"/>
          <w:lang w:val="es-ES"/>
        </w:rPr>
        <w:t xml:space="preserve">párrafos </w:t>
      </w:r>
      <w:r w:rsidR="00217B09" w:rsidRPr="00CB0348">
        <w:rPr>
          <w:rFonts w:ascii="Palatino Linotype" w:eastAsia="Calibri" w:hAnsi="Palatino Linotype" w:cs="Times New Roman"/>
          <w:color w:val="000000" w:themeColor="text1"/>
          <w:lang w:val="es-ES"/>
        </w:rPr>
        <w:t>vigésimo segundo</w:t>
      </w:r>
      <w:r w:rsidR="00217B09">
        <w:rPr>
          <w:rFonts w:ascii="Palatino Linotype" w:eastAsia="Calibri" w:hAnsi="Palatino Linotype" w:cs="Times New Roman"/>
          <w:color w:val="000000" w:themeColor="text1"/>
          <w:lang w:val="es-ES"/>
        </w:rPr>
        <w:t xml:space="preserve">, </w:t>
      </w:r>
      <w:r w:rsidR="00217B09" w:rsidRPr="00CB0348">
        <w:rPr>
          <w:rFonts w:ascii="Palatino Linotype" w:eastAsia="Calibri" w:hAnsi="Palatino Linotype" w:cs="Times New Roman"/>
          <w:color w:val="000000" w:themeColor="text1"/>
          <w:lang w:val="es-ES"/>
        </w:rPr>
        <w:t xml:space="preserve">vigésimo </w:t>
      </w:r>
      <w:r w:rsidR="00217B09">
        <w:rPr>
          <w:rFonts w:ascii="Palatino Linotype" w:eastAsia="Calibri" w:hAnsi="Palatino Linotype" w:cs="Times New Roman"/>
          <w:color w:val="000000" w:themeColor="text1"/>
          <w:lang w:val="es-ES"/>
        </w:rPr>
        <w:t>tercero y vigésimo cuarto</w:t>
      </w:r>
      <w:r w:rsidR="00217B09" w:rsidRPr="00CB0348">
        <w:rPr>
          <w:rFonts w:ascii="Palatino Linotype" w:eastAsia="Calibri" w:hAnsi="Palatino Linotype" w:cs="Times New Roman"/>
          <w:color w:val="000000" w:themeColor="text1"/>
          <w:lang w:val="es-ES"/>
        </w:rPr>
        <w:t xml:space="preserve"> </w:t>
      </w:r>
      <w:r w:rsidRPr="00C7354D">
        <w:rPr>
          <w:rFonts w:ascii="Palatino Linotype" w:eastAsia="Calibri" w:hAnsi="Palatino Linotype" w:cs="Times New Roman"/>
          <w:lang w:val="es-ES"/>
        </w:rPr>
        <w:t xml:space="preserve">fracciones IV y V de la </w:t>
      </w:r>
      <w:r w:rsidRPr="00C7354D">
        <w:rPr>
          <w:rFonts w:ascii="Palatino Linotype" w:eastAsia="Calibri" w:hAnsi="Palatino Linotype" w:cs="Times New Roman"/>
          <w:b/>
          <w:lang w:val="es-ES"/>
        </w:rPr>
        <w:t>Constitución Política del Estado Libre y Soberano de México</w:t>
      </w:r>
      <w:r w:rsidRPr="00C7354D">
        <w:rPr>
          <w:rFonts w:ascii="Palatino Linotype" w:eastAsia="Calibri" w:hAnsi="Palatino Linotype" w:cs="Times New Roman"/>
          <w:lang w:val="es-ES"/>
        </w:rPr>
        <w:t xml:space="preserve">; artículos 1, 2 fracción II, 13, 29, 36 fracciones I y II, 176, 178, 179, 181 párrafo tercero y 185 </w:t>
      </w:r>
      <w:r w:rsidRPr="00C7354D">
        <w:rPr>
          <w:rFonts w:ascii="Palatino Linotype" w:eastAsia="Calibri" w:hAnsi="Palatino Linotype" w:cs="Arial"/>
          <w:lang w:val="es-ES"/>
        </w:rPr>
        <w:t xml:space="preserve">de la </w:t>
      </w:r>
      <w:r w:rsidRPr="00C7354D">
        <w:rPr>
          <w:rFonts w:ascii="Palatino Linotype" w:eastAsia="Calibri" w:hAnsi="Palatino Linotype" w:cs="Arial"/>
          <w:b/>
          <w:lang w:val="es-ES"/>
        </w:rPr>
        <w:t>Ley de Transparencia y Acceso a la Información Pública del Estado de México y Municipios</w:t>
      </w:r>
      <w:r w:rsidRPr="00C7354D">
        <w:rPr>
          <w:rFonts w:ascii="Palatino Linotype" w:eastAsia="Calibri" w:hAnsi="Palatino Linotype" w:cs="Arial"/>
          <w:lang w:val="es-ES"/>
        </w:rPr>
        <w:t xml:space="preserve">; y </w:t>
      </w:r>
      <w:r w:rsidR="00011036" w:rsidRPr="00C7354D">
        <w:rPr>
          <w:rFonts w:ascii="Palatino Linotype" w:eastAsia="Calibri" w:hAnsi="Palatino Linotype" w:cs="Arial"/>
          <w:lang w:val="es-ES"/>
        </w:rPr>
        <w:t xml:space="preserve">10, </w:t>
      </w:r>
      <w:r w:rsidRPr="00C7354D">
        <w:rPr>
          <w:rFonts w:ascii="Palatino Linotype" w:eastAsia="Calibri" w:hAnsi="Palatino Linotype" w:cs="Arial"/>
          <w:lang w:val="es-ES"/>
        </w:rPr>
        <w:t xml:space="preserve">7, 9 fracciones I y XXIV, y 11 del </w:t>
      </w:r>
      <w:r w:rsidRPr="00C7354D">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C7354D">
        <w:rPr>
          <w:rFonts w:ascii="Palatino Linotype" w:hAnsi="Palatino Linotype"/>
        </w:rPr>
        <w:t>.</w:t>
      </w:r>
    </w:p>
    <w:p w14:paraId="522CEB67" w14:textId="77777777" w:rsidR="002E4871" w:rsidRPr="00C7354D" w:rsidRDefault="002E4871" w:rsidP="002E4871">
      <w:pPr>
        <w:pStyle w:val="Prrafodelista"/>
        <w:tabs>
          <w:tab w:val="left" w:pos="426"/>
          <w:tab w:val="left" w:pos="567"/>
        </w:tabs>
        <w:spacing w:line="360" w:lineRule="auto"/>
        <w:ind w:left="0"/>
        <w:jc w:val="both"/>
        <w:rPr>
          <w:rFonts w:ascii="Palatino Linotype" w:hAnsi="Palatino Linotype"/>
          <w:color w:val="000000"/>
          <w:sz w:val="22"/>
          <w:szCs w:val="22"/>
        </w:rPr>
      </w:pPr>
    </w:p>
    <w:p w14:paraId="59367621" w14:textId="20425F7F" w:rsidR="00F34201" w:rsidRPr="00C7354D" w:rsidRDefault="00F34201" w:rsidP="00CF0074">
      <w:pPr>
        <w:pStyle w:val="Ttulo1"/>
        <w:tabs>
          <w:tab w:val="left" w:pos="567"/>
        </w:tabs>
        <w:spacing w:before="0"/>
      </w:pPr>
      <w:bookmarkStart w:id="62" w:name="_Toc471845444"/>
      <w:bookmarkStart w:id="63" w:name="_Toc473812225"/>
      <w:bookmarkStart w:id="64" w:name="_Toc495430770"/>
      <w:bookmarkStart w:id="65" w:name="_Toc24928439"/>
      <w:r w:rsidRPr="00C7354D">
        <w:t>SEGUNDO. De la oportunidad y proced</w:t>
      </w:r>
      <w:r w:rsidR="00903242" w:rsidRPr="00C7354D">
        <w:t>encia</w:t>
      </w:r>
      <w:r w:rsidRPr="00C7354D">
        <w:t>.</w:t>
      </w:r>
      <w:bookmarkEnd w:id="62"/>
      <w:bookmarkEnd w:id="63"/>
      <w:bookmarkEnd w:id="64"/>
      <w:bookmarkEnd w:id="65"/>
    </w:p>
    <w:p w14:paraId="195EC81A" w14:textId="2891151F" w:rsidR="00F34201" w:rsidRPr="00C7354D" w:rsidRDefault="00F34201" w:rsidP="00CF0074">
      <w:pPr>
        <w:pStyle w:val="Prrafodelista"/>
        <w:tabs>
          <w:tab w:val="left" w:pos="567"/>
        </w:tabs>
        <w:spacing w:line="360" w:lineRule="auto"/>
        <w:ind w:left="0"/>
        <w:jc w:val="both"/>
        <w:rPr>
          <w:rFonts w:ascii="Palatino Linotype" w:hAnsi="Palatino Linotype"/>
          <w:b/>
          <w:color w:val="000000" w:themeColor="text1"/>
        </w:rPr>
      </w:pPr>
    </w:p>
    <w:p w14:paraId="3D6DAEFD" w14:textId="7788947B" w:rsidR="00EE4D5C" w:rsidRPr="00D85C47" w:rsidRDefault="00F34201" w:rsidP="00EE4D5C">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6" w:name="_Toc463524052"/>
      <w:r w:rsidRPr="00157464">
        <w:rPr>
          <w:rFonts w:ascii="Palatino Linotype" w:eastAsia="Calibri" w:hAnsi="Palatino Linotype" w:cs="Arial"/>
        </w:rPr>
        <w:t>El medio de impugnación fue presentado a través del Sistema de Acceso a la Información Mexiquense (SAIMEX)</w:t>
      </w:r>
      <w:r w:rsidRPr="00157464">
        <w:rPr>
          <w:rFonts w:ascii="Palatino Linotype" w:eastAsia="Calibri" w:hAnsi="Palatino Linotype" w:cs="Arial"/>
          <w:b/>
        </w:rPr>
        <w:t>,</w:t>
      </w:r>
      <w:r w:rsidRPr="00157464">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157464">
        <w:rPr>
          <w:rFonts w:ascii="Palatino Linotype" w:eastAsia="Calibri" w:hAnsi="Palatino Linotype" w:cs="Arial"/>
          <w:b/>
        </w:rPr>
        <w:t>SUJETO OBLIGADO</w:t>
      </w:r>
      <w:r w:rsidRPr="00157464">
        <w:rPr>
          <w:rFonts w:ascii="Palatino Linotype" w:eastAsia="Calibri" w:hAnsi="Palatino Linotype" w:cs="Arial"/>
        </w:rPr>
        <w:t xml:space="preserve"> entregó respuesta el </w:t>
      </w:r>
      <w:bookmarkStart w:id="67" w:name="_Toc468394898"/>
      <w:r w:rsidR="002E22A4" w:rsidRPr="00157464">
        <w:rPr>
          <w:rFonts w:ascii="Palatino Linotype" w:eastAsia="Calibri" w:hAnsi="Palatino Linotype" w:cs="Arial"/>
        </w:rPr>
        <w:t xml:space="preserve">día </w:t>
      </w:r>
      <w:r w:rsidR="000D1FBF">
        <w:rPr>
          <w:rFonts w:ascii="Palatino Linotype" w:eastAsia="Calibri" w:hAnsi="Palatino Linotype" w:cs="Arial"/>
          <w:lang w:val="es-AR"/>
        </w:rPr>
        <w:t>once</w:t>
      </w:r>
      <w:r w:rsidR="00656FD8">
        <w:rPr>
          <w:rFonts w:ascii="Palatino Linotype" w:eastAsia="Calibri" w:hAnsi="Palatino Linotype" w:cs="Arial"/>
          <w:lang w:val="es-AR"/>
        </w:rPr>
        <w:t xml:space="preserve"> </w:t>
      </w:r>
      <w:r w:rsidR="00807ED7" w:rsidRPr="00157464">
        <w:rPr>
          <w:rFonts w:ascii="Palatino Linotype" w:eastAsia="Calibri" w:hAnsi="Palatino Linotype" w:cs="Arial"/>
          <w:lang w:val="es-AR"/>
        </w:rPr>
        <w:t>(</w:t>
      </w:r>
      <w:r w:rsidR="000D1FBF">
        <w:rPr>
          <w:rFonts w:ascii="Palatino Linotype" w:eastAsia="Calibri" w:hAnsi="Palatino Linotype" w:cs="Arial"/>
          <w:lang w:val="es-AR"/>
        </w:rPr>
        <w:t>11</w:t>
      </w:r>
      <w:r w:rsidR="00807ED7" w:rsidRPr="00157464">
        <w:rPr>
          <w:rFonts w:ascii="Palatino Linotype" w:hAnsi="Palatino Linotype"/>
          <w:i/>
        </w:rPr>
        <w:t xml:space="preserve">) </w:t>
      </w:r>
      <w:r w:rsidR="00807ED7" w:rsidRPr="00157464">
        <w:rPr>
          <w:rFonts w:ascii="Palatino Linotype" w:hAnsi="Palatino Linotype"/>
        </w:rPr>
        <w:t xml:space="preserve">de </w:t>
      </w:r>
      <w:r w:rsidR="000D1FBF">
        <w:rPr>
          <w:rFonts w:ascii="Palatino Linotype" w:hAnsi="Palatino Linotype"/>
        </w:rPr>
        <w:t>septiembre</w:t>
      </w:r>
      <w:r w:rsidR="00807ED7" w:rsidRPr="00157464">
        <w:rPr>
          <w:rFonts w:ascii="Palatino Linotype" w:hAnsi="Palatino Linotype"/>
        </w:rPr>
        <w:t xml:space="preserve"> de </w:t>
      </w:r>
      <w:r w:rsidR="00E91B4E" w:rsidRPr="00157464">
        <w:rPr>
          <w:rFonts w:ascii="Palatino Linotype" w:hAnsi="Palatino Linotype"/>
        </w:rPr>
        <w:t>dos mil diecinueve</w:t>
      </w:r>
      <w:r w:rsidR="00807ED7" w:rsidRPr="00157464">
        <w:rPr>
          <w:rFonts w:ascii="Palatino Linotype" w:eastAsia="Calibri" w:hAnsi="Palatino Linotype" w:cs="Arial"/>
        </w:rPr>
        <w:t xml:space="preserve">, </w:t>
      </w:r>
      <w:r w:rsidR="00807ED7" w:rsidRPr="00157464">
        <w:rPr>
          <w:rFonts w:ascii="Palatino Linotype" w:hAnsi="Palatino Linotype" w:cs="Arial"/>
        </w:rPr>
        <w:t xml:space="preserve">de tal forma que el plazo para interponer el recurso de revisión transcurrió del día </w:t>
      </w:r>
      <w:r w:rsidR="000D1FBF">
        <w:rPr>
          <w:rFonts w:ascii="Palatino Linotype" w:eastAsia="Calibri" w:hAnsi="Palatino Linotype" w:cs="Arial"/>
          <w:lang w:val="es-AR"/>
        </w:rPr>
        <w:t>doce</w:t>
      </w:r>
      <w:r w:rsidR="006F639B">
        <w:rPr>
          <w:rFonts w:ascii="Palatino Linotype" w:eastAsia="Calibri" w:hAnsi="Palatino Linotype" w:cs="Arial"/>
          <w:lang w:val="es-AR"/>
        </w:rPr>
        <w:t xml:space="preserve"> </w:t>
      </w:r>
      <w:r w:rsidR="006F7C33" w:rsidRPr="00157464">
        <w:rPr>
          <w:rFonts w:ascii="Palatino Linotype" w:eastAsia="Calibri" w:hAnsi="Palatino Linotype" w:cs="Arial"/>
          <w:lang w:val="es-AR"/>
        </w:rPr>
        <w:t>(</w:t>
      </w:r>
      <w:r w:rsidR="000D1FBF">
        <w:rPr>
          <w:rFonts w:ascii="Palatino Linotype" w:eastAsia="Calibri" w:hAnsi="Palatino Linotype" w:cs="Arial"/>
          <w:lang w:val="es-AR"/>
        </w:rPr>
        <w:t>12</w:t>
      </w:r>
      <w:r w:rsidR="006F7C33" w:rsidRPr="00157464">
        <w:rPr>
          <w:rFonts w:ascii="Palatino Linotype" w:hAnsi="Palatino Linotype"/>
          <w:i/>
        </w:rPr>
        <w:t xml:space="preserve">) </w:t>
      </w:r>
      <w:r w:rsidR="00807ED7" w:rsidRPr="00157464">
        <w:rPr>
          <w:rFonts w:ascii="Palatino Linotype" w:hAnsi="Palatino Linotype" w:cs="Arial"/>
        </w:rPr>
        <w:t xml:space="preserve">al </w:t>
      </w:r>
      <w:r w:rsidR="000D1FBF">
        <w:rPr>
          <w:rFonts w:ascii="Palatino Linotype" w:hAnsi="Palatino Linotype" w:cs="Arial"/>
        </w:rPr>
        <w:t xml:space="preserve">tres </w:t>
      </w:r>
      <w:r w:rsidR="00807ED7" w:rsidRPr="00157464">
        <w:rPr>
          <w:rFonts w:ascii="Palatino Linotype" w:hAnsi="Palatino Linotype" w:cs="Arial"/>
        </w:rPr>
        <w:t>(</w:t>
      </w:r>
      <w:r w:rsidR="000D1FBF">
        <w:rPr>
          <w:rFonts w:ascii="Palatino Linotype" w:hAnsi="Palatino Linotype" w:cs="Arial"/>
        </w:rPr>
        <w:t>03</w:t>
      </w:r>
      <w:r w:rsidR="00807ED7" w:rsidRPr="00157464">
        <w:rPr>
          <w:rFonts w:ascii="Palatino Linotype" w:hAnsi="Palatino Linotype" w:cs="Arial"/>
        </w:rPr>
        <w:t xml:space="preserve">) </w:t>
      </w:r>
      <w:r w:rsidR="00101FC0" w:rsidRPr="00157464">
        <w:rPr>
          <w:rFonts w:ascii="Palatino Linotype" w:hAnsi="Palatino Linotype"/>
        </w:rPr>
        <w:t xml:space="preserve">de </w:t>
      </w:r>
      <w:r w:rsidR="000D1FBF">
        <w:rPr>
          <w:rFonts w:ascii="Palatino Linotype" w:hAnsi="Palatino Linotype"/>
        </w:rPr>
        <w:t>octu</w:t>
      </w:r>
      <w:r w:rsidR="0082247A">
        <w:rPr>
          <w:rFonts w:ascii="Palatino Linotype" w:hAnsi="Palatino Linotype"/>
        </w:rPr>
        <w:t>bre</w:t>
      </w:r>
      <w:r w:rsidR="00101FC0" w:rsidRPr="00157464">
        <w:rPr>
          <w:rFonts w:ascii="Palatino Linotype" w:hAnsi="Palatino Linotype"/>
        </w:rPr>
        <w:t xml:space="preserve"> </w:t>
      </w:r>
      <w:r w:rsidR="00807ED7" w:rsidRPr="00157464">
        <w:rPr>
          <w:rFonts w:ascii="Palatino Linotype" w:hAnsi="Palatino Linotype" w:cs="Arial"/>
        </w:rPr>
        <w:t>de dos mil diecinueve;</w:t>
      </w:r>
      <w:r w:rsidR="00807ED7" w:rsidRPr="00157464">
        <w:rPr>
          <w:rFonts w:ascii="Palatino Linotype" w:eastAsia="Calibri" w:hAnsi="Palatino Linotype" w:cs="Arial"/>
        </w:rPr>
        <w:t xml:space="preserve"> </w:t>
      </w:r>
      <w:r w:rsidR="00807ED7" w:rsidRPr="00157464">
        <w:rPr>
          <w:rFonts w:ascii="Palatino Linotype" w:hAnsi="Palatino Linotype" w:cs="Arial"/>
        </w:rPr>
        <w:t xml:space="preserve">por lo que si presentó su inconformidad el día </w:t>
      </w:r>
      <w:r w:rsidR="000D1FBF">
        <w:rPr>
          <w:rFonts w:ascii="Palatino Linotype" w:eastAsia="Calibri" w:hAnsi="Palatino Linotype" w:cs="Arial"/>
          <w:lang w:val="es-AR"/>
        </w:rPr>
        <w:t>diecinueve</w:t>
      </w:r>
      <w:r w:rsidR="000D6DCB">
        <w:rPr>
          <w:rFonts w:ascii="Palatino Linotype" w:eastAsia="Calibri" w:hAnsi="Palatino Linotype" w:cs="Arial"/>
          <w:lang w:val="es-AR"/>
        </w:rPr>
        <w:t xml:space="preserve"> </w:t>
      </w:r>
      <w:r w:rsidR="00101FC0" w:rsidRPr="00157464">
        <w:rPr>
          <w:rFonts w:ascii="Palatino Linotype" w:eastAsia="Calibri" w:hAnsi="Palatino Linotype" w:cs="Arial"/>
          <w:lang w:val="es-AR"/>
        </w:rPr>
        <w:t>(</w:t>
      </w:r>
      <w:r w:rsidR="000D1FBF">
        <w:rPr>
          <w:rFonts w:ascii="Palatino Linotype" w:eastAsia="Calibri" w:hAnsi="Palatino Linotype" w:cs="Arial"/>
          <w:lang w:val="es-AR"/>
        </w:rPr>
        <w:t>19</w:t>
      </w:r>
      <w:r w:rsidR="00101FC0" w:rsidRPr="00157464">
        <w:rPr>
          <w:rFonts w:ascii="Palatino Linotype" w:hAnsi="Palatino Linotype"/>
          <w:i/>
        </w:rPr>
        <w:t xml:space="preserve">) </w:t>
      </w:r>
      <w:r w:rsidR="00101FC0" w:rsidRPr="00157464">
        <w:rPr>
          <w:rFonts w:ascii="Palatino Linotype" w:hAnsi="Palatino Linotype"/>
        </w:rPr>
        <w:t xml:space="preserve">de </w:t>
      </w:r>
      <w:r w:rsidR="000D1FBF">
        <w:rPr>
          <w:rFonts w:ascii="Palatino Linotype" w:hAnsi="Palatino Linotype"/>
        </w:rPr>
        <w:t>septiembre</w:t>
      </w:r>
      <w:r w:rsidR="00101FC0" w:rsidRPr="00157464">
        <w:rPr>
          <w:rFonts w:ascii="Palatino Linotype" w:hAnsi="Palatino Linotype"/>
        </w:rPr>
        <w:t xml:space="preserve"> de dos mil diecinueve</w:t>
      </w:r>
      <w:r w:rsidR="00807ED7" w:rsidRPr="00157464">
        <w:rPr>
          <w:rFonts w:ascii="Palatino Linotype" w:hAnsi="Palatino Linotype" w:cs="Arial"/>
        </w:rPr>
        <w:t>,</w:t>
      </w:r>
      <w:bookmarkStart w:id="68" w:name="_Toc495430771"/>
      <w:bookmarkStart w:id="69" w:name="_Toc517976096"/>
      <w:bookmarkStart w:id="70" w:name="_Toc458528990"/>
      <w:bookmarkStart w:id="71" w:name="_Toc473812227"/>
      <w:bookmarkEnd w:id="66"/>
      <w:bookmarkEnd w:id="67"/>
      <w:r w:rsidR="00EE4D5C" w:rsidRPr="00EE4D5C">
        <w:rPr>
          <w:rFonts w:ascii="Palatino Linotype" w:hAnsi="Palatino Linotype" w:cs="Arial"/>
          <w:color w:val="000000" w:themeColor="text1"/>
        </w:rPr>
        <w:t xml:space="preserve"> </w:t>
      </w:r>
      <w:r w:rsidR="00EE4D5C" w:rsidRPr="00C7354D">
        <w:rPr>
          <w:rFonts w:ascii="Palatino Linotype" w:hAnsi="Palatino Linotype" w:cs="Arial"/>
          <w:color w:val="000000" w:themeColor="text1"/>
        </w:rPr>
        <w:t xml:space="preserve">éste se encuentra dentro de los márgenes temporales previstos en el artículo 178 de la </w:t>
      </w:r>
      <w:r w:rsidR="00EE4D5C" w:rsidRPr="00C7354D">
        <w:rPr>
          <w:rFonts w:ascii="Palatino Linotype" w:hAnsi="Palatino Linotype" w:cs="Arial"/>
          <w:b/>
          <w:color w:val="000000" w:themeColor="text1"/>
        </w:rPr>
        <w:t>Ley de Transparencia y Acceso a la Información Pública del Estado de México y Municipios.</w:t>
      </w:r>
    </w:p>
    <w:p w14:paraId="0A1322A7" w14:textId="77777777" w:rsidR="00D85C47" w:rsidRPr="0082247A" w:rsidRDefault="00D85C47" w:rsidP="00D85C47">
      <w:pPr>
        <w:pStyle w:val="Prrafodelista"/>
        <w:tabs>
          <w:tab w:val="left" w:pos="567"/>
        </w:tabs>
        <w:spacing w:before="240" w:after="240" w:line="360" w:lineRule="auto"/>
        <w:ind w:left="0"/>
        <w:jc w:val="both"/>
        <w:rPr>
          <w:rFonts w:ascii="Palatino Linotype" w:hAnsi="Palatino Linotype"/>
          <w:b/>
          <w:color w:val="000000" w:themeColor="text1"/>
        </w:rPr>
      </w:pPr>
    </w:p>
    <w:p w14:paraId="349CE013" w14:textId="77777777" w:rsidR="000D1FBF" w:rsidRPr="009D3C35" w:rsidRDefault="000D1FBF" w:rsidP="000D1FBF">
      <w:pPr>
        <w:pStyle w:val="Prrafodelista"/>
        <w:numPr>
          <w:ilvl w:val="0"/>
          <w:numId w:val="1"/>
        </w:numPr>
        <w:spacing w:before="240" w:line="360" w:lineRule="auto"/>
        <w:ind w:left="0" w:firstLine="0"/>
        <w:jc w:val="both"/>
        <w:rPr>
          <w:rFonts w:ascii="Palatino Linotype" w:eastAsia="Times New Roman" w:hAnsi="Palatino Linotype" w:cs="Arial"/>
          <w:color w:val="000000" w:themeColor="text1"/>
          <w:lang w:val="es-ES" w:eastAsia="es-MX"/>
        </w:rPr>
      </w:pPr>
      <w:bookmarkStart w:id="72" w:name="_Toc473812226"/>
      <w:bookmarkStart w:id="73" w:name="_Toc482887019"/>
      <w:bookmarkStart w:id="74" w:name="_Toc490734319"/>
      <w:bookmarkStart w:id="75" w:name="_Toc492468078"/>
      <w:bookmarkStart w:id="76" w:name="_Toc2878591"/>
      <w:bookmarkStart w:id="77" w:name="_Toc3453767"/>
      <w:bookmarkEnd w:id="68"/>
      <w:bookmarkEnd w:id="69"/>
      <w:r w:rsidRPr="009D3C35">
        <w:rPr>
          <w:rFonts w:ascii="Palatino Linotype" w:eastAsia="Calibri" w:hAnsi="Palatino Linotype" w:cs="Arial"/>
          <w:color w:val="000000" w:themeColor="text1"/>
        </w:rPr>
        <w:t xml:space="preserve">Por otro lado, el escrito contiene las formalidades previstas por el artículo 180 último párrafo de la </w:t>
      </w:r>
      <w:r w:rsidRPr="009D3C35">
        <w:rPr>
          <w:rFonts w:ascii="Palatino Linotype" w:hAnsi="Palatino Linotype" w:cs="Arial"/>
          <w:b/>
          <w:color w:val="000000" w:themeColor="text1"/>
        </w:rPr>
        <w:t>Ley de Transparencia y Acceso a la Información Pública del Estado de México y Municipios</w:t>
      </w:r>
      <w:r w:rsidRPr="009D3C35">
        <w:rPr>
          <w:rFonts w:ascii="Palatino Linotype" w:eastAsia="Calibri" w:hAnsi="Palatino Linotype" w:cs="Arial"/>
          <w:color w:val="000000" w:themeColor="text1"/>
        </w:rPr>
        <w:t>, por lo que es procedente que este Instituto de Transparencia, Acceso a la Información Pública y Protección de Datos Personales del Estado de México y Municipios, conozca y resuelva el presente recurso.</w:t>
      </w:r>
    </w:p>
    <w:p w14:paraId="26F693CD" w14:textId="77777777" w:rsidR="00D85C47" w:rsidRPr="0082247A" w:rsidRDefault="00D85C47" w:rsidP="00FD1BC4">
      <w:pPr>
        <w:pStyle w:val="Prrafodelista"/>
        <w:tabs>
          <w:tab w:val="left" w:pos="567"/>
        </w:tabs>
        <w:spacing w:before="240" w:after="240" w:line="360" w:lineRule="auto"/>
        <w:ind w:left="0"/>
        <w:jc w:val="both"/>
        <w:rPr>
          <w:rFonts w:ascii="Palatino Linotype" w:hAnsi="Palatino Linotype"/>
          <w:b/>
          <w:color w:val="000000" w:themeColor="text1"/>
        </w:rPr>
      </w:pPr>
    </w:p>
    <w:p w14:paraId="756DF57D" w14:textId="48F2EBE7" w:rsidR="00CE5FF9" w:rsidRDefault="0082247A" w:rsidP="0082247A">
      <w:pPr>
        <w:pStyle w:val="Ttulo2"/>
        <w:spacing w:before="0"/>
        <w:rPr>
          <w:szCs w:val="24"/>
        </w:rPr>
      </w:pPr>
      <w:r w:rsidRPr="003024D4">
        <w:rPr>
          <w:szCs w:val="24"/>
        </w:rPr>
        <w:t xml:space="preserve"> </w:t>
      </w:r>
      <w:bookmarkStart w:id="78" w:name="_Toc24928440"/>
      <w:r w:rsidR="00CE5FF9" w:rsidRPr="003024D4">
        <w:rPr>
          <w:szCs w:val="24"/>
        </w:rPr>
        <w:t>TERCERO. Del planteamiento de la litis.</w:t>
      </w:r>
      <w:bookmarkEnd w:id="72"/>
      <w:bookmarkEnd w:id="73"/>
      <w:bookmarkEnd w:id="74"/>
      <w:bookmarkEnd w:id="75"/>
      <w:bookmarkEnd w:id="76"/>
      <w:bookmarkEnd w:id="77"/>
      <w:bookmarkEnd w:id="78"/>
    </w:p>
    <w:p w14:paraId="48D29C61" w14:textId="77777777" w:rsidR="00983972" w:rsidRPr="00983972" w:rsidRDefault="00983972" w:rsidP="00983972">
      <w:pPr>
        <w:rPr>
          <w:lang w:val="es-MX" w:eastAsia="en-US"/>
        </w:rPr>
      </w:pPr>
    </w:p>
    <w:p w14:paraId="28DE6665" w14:textId="35865277" w:rsidR="00AA359E" w:rsidRPr="00983972" w:rsidRDefault="004E78AF" w:rsidP="00983972">
      <w:pPr>
        <w:pStyle w:val="Prrafodelista"/>
        <w:numPr>
          <w:ilvl w:val="0"/>
          <w:numId w:val="1"/>
        </w:numPr>
        <w:tabs>
          <w:tab w:val="left" w:pos="567"/>
        </w:tabs>
        <w:spacing w:before="240" w:after="240" w:line="360" w:lineRule="auto"/>
        <w:ind w:left="0" w:firstLine="0"/>
        <w:jc w:val="both"/>
        <w:rPr>
          <w:rFonts w:ascii="Palatino Linotype" w:hAnsi="Palatino Linotype"/>
          <w:i/>
          <w:color w:val="000000"/>
          <w:sz w:val="22"/>
          <w:szCs w:val="22"/>
        </w:rPr>
      </w:pPr>
      <w:r w:rsidRPr="00C7354D">
        <w:rPr>
          <w:rFonts w:ascii="Palatino Linotype" w:hAnsi="Palatino Linotype"/>
          <w:color w:val="000000" w:themeColor="text1"/>
        </w:rPr>
        <w:t>En términos generales se manifestó la inconformidad</w:t>
      </w:r>
      <w:r w:rsidRPr="00C7354D">
        <w:rPr>
          <w:rFonts w:ascii="Palatino Linotype" w:hAnsi="Palatino Linotype"/>
          <w:b/>
          <w:color w:val="000000" w:themeColor="text1"/>
        </w:rPr>
        <w:t xml:space="preserve"> </w:t>
      </w:r>
      <w:r w:rsidRPr="00C7354D">
        <w:rPr>
          <w:rFonts w:ascii="Palatino Linotype" w:hAnsi="Palatino Linotype"/>
          <w:color w:val="000000" w:themeColor="text1"/>
        </w:rPr>
        <w:t xml:space="preserve">porque </w:t>
      </w:r>
      <w:r w:rsidR="00A6461E">
        <w:rPr>
          <w:rFonts w:ascii="Palatino Linotype" w:hAnsi="Palatino Linotype"/>
          <w:color w:val="000000" w:themeColor="text1"/>
        </w:rPr>
        <w:t xml:space="preserve">el SUJETO OBLIGADO </w:t>
      </w:r>
      <w:r w:rsidR="00983972" w:rsidRPr="006F7C33">
        <w:rPr>
          <w:rFonts w:ascii="Palatino Linotype" w:hAnsi="Palatino Linotype" w:cs="Arial"/>
        </w:rPr>
        <w:t xml:space="preserve">no omite responder la solicitud; empero al hacerlo </w:t>
      </w:r>
      <w:r w:rsidR="00983972">
        <w:rPr>
          <w:rFonts w:ascii="Palatino Linotype" w:hAnsi="Palatino Linotype"/>
          <w:color w:val="000000" w:themeColor="text1"/>
        </w:rPr>
        <w:t xml:space="preserve">no entregó la información </w:t>
      </w:r>
      <w:r w:rsidR="00983972">
        <w:rPr>
          <w:rFonts w:ascii="Palatino Linotype" w:hAnsi="Palatino Linotype"/>
          <w:color w:val="000000" w:themeColor="text1"/>
        </w:rPr>
        <w:lastRenderedPageBreak/>
        <w:t>solicitada, señaló una liga electrónica que no cuenta con la información requerida de forma completa y entregó información que no corresponde con lo solicitado</w:t>
      </w:r>
      <w:r w:rsidR="00983972">
        <w:rPr>
          <w:rFonts w:ascii="Palatino Linotype" w:hAnsi="Palatino Linotype" w:cs="Arial"/>
        </w:rPr>
        <w:t xml:space="preserve">, </w:t>
      </w:r>
      <w:r w:rsidR="00AA359E" w:rsidRPr="00983972">
        <w:rPr>
          <w:rFonts w:ascii="Palatino Linotype" w:hAnsi="Palatino Linotype" w:cs="Arial"/>
          <w:color w:val="000000" w:themeColor="text1"/>
        </w:rPr>
        <w:t xml:space="preserve">de este modo, se actualiza la causa de procedencia del recurso de revisión establecida en el artículo 179 </w:t>
      </w:r>
      <w:r w:rsidR="00983972" w:rsidRPr="00983972">
        <w:rPr>
          <w:rFonts w:ascii="Palatino Linotype" w:hAnsi="Palatino Linotype" w:cs="Arial"/>
        </w:rPr>
        <w:t>fracciones I, V y VI</w:t>
      </w:r>
      <w:r w:rsidR="00AA359E" w:rsidRPr="00983972">
        <w:rPr>
          <w:rFonts w:ascii="Palatino Linotype" w:hAnsi="Palatino Linotype" w:cs="Arial"/>
          <w:color w:val="000000" w:themeColor="text1"/>
        </w:rPr>
        <w:t xml:space="preserve"> de la </w:t>
      </w:r>
      <w:r w:rsidR="00AA359E" w:rsidRPr="00983972">
        <w:rPr>
          <w:rFonts w:ascii="Palatino Linotype" w:hAnsi="Palatino Linotype" w:cs="Arial"/>
          <w:b/>
          <w:color w:val="000000" w:themeColor="text1"/>
        </w:rPr>
        <w:t>Ley de Transparencia y Acceso a la Información Pública del Estado de México y Municipios.</w:t>
      </w:r>
    </w:p>
    <w:p w14:paraId="7D16674F" w14:textId="77777777" w:rsidR="00983972" w:rsidRPr="001406EA" w:rsidRDefault="00983972" w:rsidP="00983972">
      <w:pPr>
        <w:pStyle w:val="Prrafodelista"/>
        <w:tabs>
          <w:tab w:val="left" w:pos="567"/>
        </w:tabs>
        <w:spacing w:before="240" w:after="240" w:line="360" w:lineRule="auto"/>
        <w:ind w:left="0"/>
        <w:jc w:val="both"/>
        <w:rPr>
          <w:rFonts w:ascii="Palatino Linotype" w:hAnsi="Palatino Linotype"/>
          <w:color w:val="000000"/>
          <w:sz w:val="22"/>
          <w:szCs w:val="22"/>
        </w:rPr>
      </w:pPr>
    </w:p>
    <w:p w14:paraId="4ED5374B" w14:textId="77403030" w:rsidR="00CE5FF9" w:rsidRDefault="00CE5FF9" w:rsidP="006F7C33">
      <w:pPr>
        <w:pStyle w:val="Prrafodelista"/>
        <w:numPr>
          <w:ilvl w:val="0"/>
          <w:numId w:val="1"/>
        </w:numPr>
        <w:tabs>
          <w:tab w:val="left" w:pos="567"/>
        </w:tabs>
        <w:spacing w:before="240" w:after="240" w:line="360" w:lineRule="auto"/>
        <w:ind w:left="0" w:firstLine="0"/>
        <w:jc w:val="both"/>
        <w:rPr>
          <w:rFonts w:ascii="Palatino Linotype" w:hAnsi="Palatino Linotype"/>
        </w:rPr>
      </w:pPr>
      <w:r w:rsidRPr="006F7C33">
        <w:rPr>
          <w:rFonts w:ascii="Palatino Linotype" w:eastAsia="Calibri" w:hAnsi="Palatino Linotype" w:cs="Arial"/>
        </w:rPr>
        <w:t xml:space="preserve">Cabe señalar </w:t>
      </w:r>
      <w:r w:rsidRPr="006F7C33">
        <w:rPr>
          <w:rFonts w:ascii="Palatino Linotype" w:hAnsi="Palatino Linotype" w:cs="Arial"/>
        </w:rPr>
        <w:t xml:space="preserve">que </w:t>
      </w:r>
      <w:r w:rsidRPr="006F7C33">
        <w:rPr>
          <w:rFonts w:ascii="Palatino Linotype" w:eastAsia="Times New Roman" w:hAnsi="Palatino Linotype" w:cs="Arial"/>
          <w:lang w:val="es-ES"/>
        </w:rPr>
        <w:t>e</w:t>
      </w:r>
      <w:r w:rsidRPr="006F7C33">
        <w:rPr>
          <w:rFonts w:ascii="Palatino Linotype" w:eastAsia="Calibri" w:hAnsi="Palatino Linotype" w:cs="Arial"/>
          <w:lang w:val="es-ES"/>
        </w:rPr>
        <w:t xml:space="preserve">l </w:t>
      </w:r>
      <w:r w:rsidRPr="006F7C33">
        <w:rPr>
          <w:rFonts w:ascii="Palatino Linotype" w:hAnsi="Palatino Linotype" w:cs="Arial"/>
          <w:b/>
        </w:rPr>
        <w:t>SUJETO OBLIGADO</w:t>
      </w:r>
      <w:r w:rsidRPr="006F7C33">
        <w:rPr>
          <w:rFonts w:ascii="Palatino Linotype" w:hAnsi="Palatino Linotype" w:cs="Arial"/>
        </w:rPr>
        <w:t xml:space="preserve"> rindió su Informe Justificado </w:t>
      </w:r>
      <w:r w:rsidRPr="006F7C33">
        <w:rPr>
          <w:rFonts w:ascii="Palatino Linotype" w:hAnsi="Palatino Linotype"/>
        </w:rPr>
        <w:t xml:space="preserve">para manifestar lo que a su derecho asistiera y conviniera, </w:t>
      </w:r>
      <w:r w:rsidR="00983972">
        <w:rPr>
          <w:rFonts w:ascii="Palatino Linotype" w:hAnsi="Palatino Linotype"/>
        </w:rPr>
        <w:t>pero en el mismo únicamente entrega tabuladores de sueldos</w:t>
      </w:r>
      <w:r w:rsidRPr="006F7C33">
        <w:rPr>
          <w:rFonts w:ascii="Palatino Linotype" w:hAnsi="Palatino Linotype"/>
        </w:rPr>
        <w:t>.</w:t>
      </w:r>
    </w:p>
    <w:p w14:paraId="223FA1CF" w14:textId="77777777" w:rsidR="006F7C33" w:rsidRDefault="006F7C33" w:rsidP="006F7C33">
      <w:pPr>
        <w:pStyle w:val="Prrafodelista"/>
        <w:tabs>
          <w:tab w:val="left" w:pos="567"/>
        </w:tabs>
        <w:spacing w:before="240" w:after="240" w:line="360" w:lineRule="auto"/>
        <w:ind w:left="0"/>
        <w:jc w:val="both"/>
        <w:rPr>
          <w:rFonts w:ascii="Palatino Linotype" w:hAnsi="Palatino Linotype"/>
        </w:rPr>
      </w:pPr>
    </w:p>
    <w:p w14:paraId="2F57A107" w14:textId="50352202" w:rsidR="00CE5FF9" w:rsidRPr="00983972" w:rsidRDefault="00CE5FF9" w:rsidP="00DB1DAA">
      <w:pPr>
        <w:pStyle w:val="Prrafodelista"/>
        <w:numPr>
          <w:ilvl w:val="0"/>
          <w:numId w:val="1"/>
        </w:numPr>
        <w:tabs>
          <w:tab w:val="left" w:pos="567"/>
        </w:tabs>
        <w:spacing w:before="240" w:after="240" w:line="360" w:lineRule="auto"/>
        <w:ind w:left="0" w:right="49" w:firstLine="0"/>
        <w:jc w:val="both"/>
        <w:rPr>
          <w:rFonts w:ascii="Palatino Linotype" w:hAnsi="Palatino Linotype"/>
          <w:b/>
          <w:color w:val="000000" w:themeColor="text1"/>
        </w:rPr>
      </w:pPr>
      <w:r w:rsidRPr="00983972">
        <w:rPr>
          <w:rFonts w:ascii="Palatino Linotype" w:eastAsia="Times New Roman" w:hAnsi="Palatino Linotype" w:cs="Arial"/>
          <w:color w:val="000000" w:themeColor="text1"/>
        </w:rPr>
        <w:t xml:space="preserve">En dichas condiciones, la </w:t>
      </w:r>
      <w:r w:rsidRPr="00983972">
        <w:rPr>
          <w:rFonts w:ascii="Palatino Linotype" w:eastAsia="Times New Roman" w:hAnsi="Palatino Linotype" w:cs="Arial"/>
          <w:i/>
          <w:color w:val="000000" w:themeColor="text1"/>
        </w:rPr>
        <w:t>litis</w:t>
      </w:r>
      <w:r w:rsidRPr="00983972">
        <w:rPr>
          <w:rFonts w:ascii="Palatino Linotype" w:eastAsia="Times New Roman" w:hAnsi="Palatino Linotype" w:cs="Arial"/>
          <w:color w:val="000000" w:themeColor="text1"/>
        </w:rPr>
        <w:t xml:space="preserve"> a resolver en este recurso se circunscribe a determinar si la respuesta </w:t>
      </w:r>
      <w:r w:rsidR="00983972" w:rsidRPr="00983972">
        <w:rPr>
          <w:rFonts w:ascii="Palatino Linotype" w:eastAsia="Times New Roman" w:hAnsi="Palatino Linotype" w:cs="Arial"/>
          <w:color w:val="000000" w:themeColor="text1"/>
        </w:rPr>
        <w:t xml:space="preserve">o el informe justificado enviados </w:t>
      </w:r>
      <w:r w:rsidRPr="00983972">
        <w:rPr>
          <w:rFonts w:ascii="Palatino Linotype" w:eastAsia="Times New Roman" w:hAnsi="Palatino Linotype" w:cs="Arial"/>
          <w:color w:val="000000" w:themeColor="text1"/>
        </w:rPr>
        <w:t>satisface</w:t>
      </w:r>
      <w:r w:rsidR="00983972" w:rsidRPr="00983972">
        <w:rPr>
          <w:rFonts w:ascii="Palatino Linotype" w:eastAsia="Times New Roman" w:hAnsi="Palatino Linotype" w:cs="Arial"/>
          <w:color w:val="000000" w:themeColor="text1"/>
        </w:rPr>
        <w:t>n</w:t>
      </w:r>
      <w:r w:rsidRPr="00983972">
        <w:rPr>
          <w:rFonts w:ascii="Palatino Linotype" w:eastAsia="Times New Roman" w:hAnsi="Palatino Linotype" w:cs="Arial"/>
          <w:color w:val="000000" w:themeColor="text1"/>
        </w:rPr>
        <w:t xml:space="preserve"> el derecho de acceso a la información pública y si </w:t>
      </w:r>
      <w:r w:rsidR="00983972">
        <w:rPr>
          <w:rFonts w:ascii="Palatino Linotype" w:eastAsia="Times New Roman" w:hAnsi="Palatino Linotype" w:cs="Arial"/>
          <w:color w:val="000000" w:themeColor="text1"/>
        </w:rPr>
        <w:t>son procedentes las razones o motivos de inconformidad.</w:t>
      </w:r>
    </w:p>
    <w:p w14:paraId="4FC95E5C" w14:textId="77777777" w:rsidR="00CE5FF9" w:rsidRDefault="00CE5FF9" w:rsidP="00CE5FF9">
      <w:pPr>
        <w:pStyle w:val="Ttulo1"/>
        <w:rPr>
          <w:szCs w:val="24"/>
        </w:rPr>
      </w:pPr>
      <w:bookmarkStart w:id="79" w:name="_Toc492468079"/>
      <w:bookmarkStart w:id="80" w:name="_Toc2878592"/>
      <w:bookmarkStart w:id="81" w:name="_Toc3453768"/>
      <w:bookmarkStart w:id="82" w:name="_Toc24928441"/>
      <w:r w:rsidRPr="003024D4">
        <w:rPr>
          <w:szCs w:val="24"/>
        </w:rPr>
        <w:t>CUARTO. Del estudio y resolución del asunto.</w:t>
      </w:r>
      <w:bookmarkEnd w:id="79"/>
      <w:bookmarkEnd w:id="80"/>
      <w:bookmarkEnd w:id="81"/>
      <w:bookmarkEnd w:id="82"/>
    </w:p>
    <w:p w14:paraId="7B35E0EF" w14:textId="77777777" w:rsidR="00CE5FF9" w:rsidRPr="00CE5FF9" w:rsidRDefault="00CE5FF9" w:rsidP="00CE5FF9">
      <w:pPr>
        <w:pStyle w:val="Prrafodelista"/>
        <w:tabs>
          <w:tab w:val="left" w:pos="567"/>
        </w:tabs>
        <w:spacing w:line="360" w:lineRule="auto"/>
        <w:ind w:left="0"/>
        <w:jc w:val="both"/>
        <w:rPr>
          <w:rFonts w:ascii="Palatino Linotype" w:hAnsi="Palatino Linotype"/>
        </w:rPr>
      </w:pPr>
    </w:p>
    <w:p w14:paraId="5D033825" w14:textId="043574D3" w:rsidR="00CE5FF9" w:rsidRDefault="00CE5FF9" w:rsidP="00CE5FF9">
      <w:pPr>
        <w:pStyle w:val="Ttulo2"/>
      </w:pPr>
      <w:bookmarkStart w:id="83" w:name="_Toc495430773"/>
      <w:bookmarkStart w:id="84" w:name="_Toc521488600"/>
      <w:bookmarkStart w:id="85" w:name="_Toc3453769"/>
      <w:bookmarkStart w:id="86" w:name="_Toc24928442"/>
      <w:r w:rsidRPr="00964322">
        <w:t xml:space="preserve">I. </w:t>
      </w:r>
      <w:bookmarkEnd w:id="83"/>
      <w:r>
        <w:t xml:space="preserve">De la respuesta </w:t>
      </w:r>
      <w:r w:rsidR="0037271B">
        <w:t xml:space="preserve">y el informe justificado enviados por </w:t>
      </w:r>
      <w:r>
        <w:t>el SUJETO OBLIGADO.</w:t>
      </w:r>
      <w:bookmarkEnd w:id="84"/>
      <w:bookmarkEnd w:id="85"/>
      <w:bookmarkEnd w:id="86"/>
    </w:p>
    <w:p w14:paraId="03B75625" w14:textId="77777777" w:rsidR="005250C9" w:rsidRPr="005250C9" w:rsidRDefault="005250C9" w:rsidP="00CE5FF9">
      <w:pPr>
        <w:pStyle w:val="Prrafodelista"/>
        <w:tabs>
          <w:tab w:val="left" w:pos="567"/>
        </w:tabs>
        <w:spacing w:line="360" w:lineRule="auto"/>
        <w:ind w:left="0"/>
        <w:jc w:val="both"/>
        <w:rPr>
          <w:rFonts w:ascii="Palatino Linotype" w:hAnsi="Palatino Linotype"/>
        </w:rPr>
      </w:pPr>
    </w:p>
    <w:p w14:paraId="0B486178" w14:textId="3C1DC0C3" w:rsidR="00FD365C" w:rsidRDefault="00CE5FF9" w:rsidP="00B21FEA">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Pr>
          <w:rFonts w:ascii="Palatino Linotype" w:hAnsi="Palatino Linotype" w:cs="Arial"/>
        </w:rPr>
        <w:t>En</w:t>
      </w:r>
      <w:r w:rsidR="004E78AF" w:rsidRPr="001C04DF">
        <w:rPr>
          <w:rFonts w:ascii="Palatino Linotype" w:hAnsi="Palatino Linotype" w:cs="Arial"/>
        </w:rPr>
        <w:t xml:space="preserve"> primer término es necesario reiterar que </w:t>
      </w:r>
      <w:r w:rsidR="00101FC0">
        <w:rPr>
          <w:rFonts w:ascii="Palatino Linotype" w:hAnsi="Palatino Linotype" w:cs="Arial"/>
        </w:rPr>
        <w:t xml:space="preserve">medularmente </w:t>
      </w:r>
      <w:r w:rsidR="005250C9" w:rsidRPr="001C04DF">
        <w:rPr>
          <w:rFonts w:ascii="Palatino Linotype" w:hAnsi="Palatino Linotype" w:cs="Arial"/>
        </w:rPr>
        <w:t xml:space="preserve">se requirió </w:t>
      </w:r>
      <w:r w:rsidR="004E78AF" w:rsidRPr="001C04DF">
        <w:rPr>
          <w:rFonts w:ascii="Palatino Linotype" w:hAnsi="Palatino Linotype" w:cs="Arial"/>
        </w:rPr>
        <w:t xml:space="preserve">información </w:t>
      </w:r>
      <w:r w:rsidR="005250C9" w:rsidRPr="001C04DF">
        <w:rPr>
          <w:rFonts w:ascii="Palatino Linotype" w:hAnsi="Palatino Linotype" w:cs="Arial"/>
        </w:rPr>
        <w:t>relativa a</w:t>
      </w:r>
      <w:r w:rsidR="00FD365C">
        <w:rPr>
          <w:rFonts w:ascii="Palatino Linotype" w:hAnsi="Palatino Linotype" w:cs="Arial"/>
        </w:rPr>
        <w:t>:</w:t>
      </w:r>
    </w:p>
    <w:p w14:paraId="4E7B5A12" w14:textId="77777777" w:rsidR="00FD365C" w:rsidRDefault="00FD365C" w:rsidP="00FD365C">
      <w:pPr>
        <w:pStyle w:val="Prrafodelista"/>
        <w:tabs>
          <w:tab w:val="left" w:pos="567"/>
        </w:tabs>
        <w:spacing w:line="360" w:lineRule="auto"/>
        <w:ind w:left="0"/>
        <w:jc w:val="both"/>
        <w:rPr>
          <w:rFonts w:ascii="Palatino Linotype" w:hAnsi="Palatino Linotype" w:cs="Arial"/>
        </w:rPr>
      </w:pPr>
    </w:p>
    <w:p w14:paraId="1D39F132" w14:textId="31E75145" w:rsidR="00F958F9" w:rsidRPr="00B15153" w:rsidRDefault="00F958F9" w:rsidP="00B15153">
      <w:pPr>
        <w:pStyle w:val="Prrafodelista"/>
        <w:numPr>
          <w:ilvl w:val="3"/>
          <w:numId w:val="1"/>
        </w:numPr>
        <w:tabs>
          <w:tab w:val="left" w:pos="567"/>
        </w:tabs>
        <w:spacing w:before="240" w:after="240" w:line="360" w:lineRule="auto"/>
        <w:ind w:left="567" w:right="567" w:firstLine="0"/>
        <w:jc w:val="both"/>
        <w:rPr>
          <w:rFonts w:ascii="Palatino Linotype" w:hAnsi="Palatino Linotype"/>
          <w:color w:val="000000"/>
        </w:rPr>
      </w:pPr>
      <w:r>
        <w:rPr>
          <w:rFonts w:ascii="Palatino Linotype" w:hAnsi="Palatino Linotype"/>
          <w:color w:val="000000"/>
          <w:sz w:val="22"/>
          <w:szCs w:val="22"/>
        </w:rPr>
        <w:t>E</w:t>
      </w:r>
      <w:r w:rsidRPr="00F958F9">
        <w:rPr>
          <w:rFonts w:ascii="Palatino Linotype" w:hAnsi="Palatino Linotype"/>
          <w:color w:val="000000"/>
          <w:sz w:val="22"/>
          <w:szCs w:val="22"/>
        </w:rPr>
        <w:t>l detalle de sueldos</w:t>
      </w:r>
      <w:r>
        <w:rPr>
          <w:rFonts w:ascii="Palatino Linotype" w:hAnsi="Palatino Linotype"/>
          <w:color w:val="000000"/>
          <w:sz w:val="22"/>
          <w:szCs w:val="22"/>
        </w:rPr>
        <w:t>,</w:t>
      </w:r>
      <w:r w:rsidRPr="00F958F9">
        <w:rPr>
          <w:rFonts w:ascii="Palatino Linotype" w:hAnsi="Palatino Linotype"/>
          <w:color w:val="000000"/>
          <w:sz w:val="22"/>
          <w:szCs w:val="22"/>
        </w:rPr>
        <w:t xml:space="preserve"> salarios</w:t>
      </w:r>
      <w:r>
        <w:rPr>
          <w:rFonts w:ascii="Palatino Linotype" w:hAnsi="Palatino Linotype"/>
          <w:color w:val="000000"/>
          <w:sz w:val="22"/>
          <w:szCs w:val="22"/>
        </w:rPr>
        <w:t>,</w:t>
      </w:r>
      <w:r w:rsidRPr="00F958F9">
        <w:rPr>
          <w:rFonts w:ascii="Palatino Linotype" w:hAnsi="Palatino Linotype"/>
          <w:color w:val="000000"/>
          <w:sz w:val="22"/>
          <w:szCs w:val="22"/>
        </w:rPr>
        <w:t xml:space="preserve"> estipendios</w:t>
      </w:r>
      <w:r>
        <w:rPr>
          <w:rFonts w:ascii="Palatino Linotype" w:hAnsi="Palatino Linotype"/>
          <w:color w:val="000000"/>
          <w:sz w:val="22"/>
          <w:szCs w:val="22"/>
        </w:rPr>
        <w:t xml:space="preserve">, </w:t>
      </w:r>
      <w:r w:rsidRPr="00F958F9">
        <w:rPr>
          <w:rFonts w:ascii="Palatino Linotype" w:hAnsi="Palatino Linotype"/>
          <w:color w:val="000000"/>
          <w:sz w:val="22"/>
          <w:szCs w:val="22"/>
        </w:rPr>
        <w:t>bonos y todas las demás remuneraciones que perciben todos los servidores públicos desde el Fiscal General hasta el personal de limpieza de toda la fiscalía del estado de México, desde que era Procuraduría, es dec</w:t>
      </w:r>
      <w:r w:rsidR="00B15153">
        <w:rPr>
          <w:rFonts w:ascii="Palatino Linotype" w:hAnsi="Palatino Linotype"/>
          <w:color w:val="000000"/>
          <w:sz w:val="22"/>
          <w:szCs w:val="22"/>
        </w:rPr>
        <w:t>ir desde el año 2000 hasta 2019.</w:t>
      </w:r>
    </w:p>
    <w:p w14:paraId="37C06AE5" w14:textId="0AEDC332" w:rsidR="00FD1BC4" w:rsidRPr="00B0382A" w:rsidRDefault="00FD1BC4" w:rsidP="00FD1BC4">
      <w:pPr>
        <w:pStyle w:val="Prrafodelista"/>
        <w:numPr>
          <w:ilvl w:val="0"/>
          <w:numId w:val="1"/>
        </w:numPr>
        <w:tabs>
          <w:tab w:val="left" w:pos="567"/>
        </w:tabs>
        <w:spacing w:before="240" w:after="240" w:line="360" w:lineRule="auto"/>
        <w:ind w:left="0" w:firstLine="0"/>
        <w:jc w:val="both"/>
        <w:rPr>
          <w:rFonts w:ascii="Palatino Linotype" w:hAnsi="Palatino Linotype"/>
          <w:i/>
        </w:rPr>
      </w:pPr>
      <w:r>
        <w:rPr>
          <w:rFonts w:ascii="Palatino Linotype" w:hAnsi="Palatino Linotype" w:cs="Arial"/>
        </w:rPr>
        <w:lastRenderedPageBreak/>
        <w:t xml:space="preserve">Por lo que </w:t>
      </w:r>
      <w:r w:rsidR="00F958F9">
        <w:rPr>
          <w:rFonts w:ascii="Palatino Linotype" w:hAnsi="Palatino Linotype" w:cs="Arial"/>
        </w:rPr>
        <w:t>para efectos p</w:t>
      </w:r>
      <w:r w:rsidR="00ED7EBA">
        <w:rPr>
          <w:rFonts w:ascii="Palatino Linotype" w:hAnsi="Palatino Linotype" w:cs="Arial"/>
        </w:rPr>
        <w:t xml:space="preserve">rácticos </w:t>
      </w:r>
      <w:r w:rsidRPr="002F5F94">
        <w:rPr>
          <w:rFonts w:ascii="Palatino Linotype" w:hAnsi="Palatino Linotype" w:cs="Arial"/>
        </w:rPr>
        <w:t xml:space="preserve">en </w:t>
      </w:r>
      <w:r w:rsidR="00ED7EBA">
        <w:rPr>
          <w:rFonts w:ascii="Palatino Linotype" w:hAnsi="Palatino Linotype" w:cs="Arial"/>
        </w:rPr>
        <w:t xml:space="preserve">el presente asunto, en </w:t>
      </w:r>
      <w:r w:rsidRPr="002F5F94">
        <w:rPr>
          <w:rFonts w:ascii="Palatino Linotype" w:hAnsi="Palatino Linotype" w:cs="Arial"/>
        </w:rPr>
        <w:t xml:space="preserve">primer término es necesario </w:t>
      </w:r>
      <w:r w:rsidR="00ED7EBA">
        <w:rPr>
          <w:rFonts w:ascii="Palatino Linotype" w:hAnsi="Palatino Linotype" w:cs="Arial"/>
        </w:rPr>
        <w:t xml:space="preserve">señalar que </w:t>
      </w:r>
      <w:r w:rsidR="00F958F9">
        <w:rPr>
          <w:rFonts w:ascii="Palatino Linotype" w:hAnsi="Palatino Linotype" w:cs="Arial"/>
        </w:rPr>
        <w:t xml:space="preserve">el Diccionario de la </w:t>
      </w:r>
      <w:r w:rsidR="00ED7EBA">
        <w:rPr>
          <w:rFonts w:ascii="Palatino Linotype" w:hAnsi="Palatino Linotype" w:cs="Arial"/>
        </w:rPr>
        <w:t>Lengua Española 2019 define al estipendio como una paga o remuneración que se da a alguien por algún servicio</w:t>
      </w:r>
      <w:r w:rsidR="00ED7EBA">
        <w:rPr>
          <w:rStyle w:val="Refdenotaalpie"/>
          <w:rFonts w:ascii="Palatino Linotype" w:hAnsi="Palatino Linotype" w:cs="Arial"/>
        </w:rPr>
        <w:footnoteReference w:id="1"/>
      </w:r>
      <w:r w:rsidR="00ED7EBA">
        <w:rPr>
          <w:rFonts w:ascii="Palatino Linotype" w:hAnsi="Palatino Linotype" w:cs="Arial"/>
        </w:rPr>
        <w:t>.</w:t>
      </w:r>
    </w:p>
    <w:p w14:paraId="6E8AB8A3" w14:textId="77777777" w:rsidR="00B0382A" w:rsidRPr="00F958F9" w:rsidRDefault="00B0382A" w:rsidP="00B0382A">
      <w:pPr>
        <w:pStyle w:val="Prrafodelista"/>
        <w:tabs>
          <w:tab w:val="left" w:pos="567"/>
        </w:tabs>
        <w:spacing w:before="240" w:after="240" w:line="360" w:lineRule="auto"/>
        <w:ind w:left="0"/>
        <w:jc w:val="both"/>
        <w:rPr>
          <w:rFonts w:ascii="Palatino Linotype" w:hAnsi="Palatino Linotype"/>
          <w:i/>
        </w:rPr>
      </w:pPr>
    </w:p>
    <w:p w14:paraId="4B4E75BA" w14:textId="3D030242" w:rsidR="005C4EBC" w:rsidRPr="00DB6089" w:rsidRDefault="004E78AF" w:rsidP="00AB4F6A">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5C4EBC">
        <w:rPr>
          <w:rFonts w:ascii="Palatino Linotype" w:eastAsia="Arial Unicode MS" w:hAnsi="Palatino Linotype" w:cs="Arial"/>
          <w:color w:val="000000" w:themeColor="text1"/>
        </w:rPr>
        <w:t xml:space="preserve">En consecuencia el </w:t>
      </w:r>
      <w:r w:rsidRPr="005C4EBC">
        <w:rPr>
          <w:rFonts w:ascii="Palatino Linotype" w:eastAsia="Arial Unicode MS" w:hAnsi="Palatino Linotype" w:cs="Arial"/>
          <w:b/>
          <w:color w:val="000000" w:themeColor="text1"/>
        </w:rPr>
        <w:t>SUJETO OBLIGADO</w:t>
      </w:r>
      <w:r w:rsidRPr="005C4EBC">
        <w:rPr>
          <w:rFonts w:ascii="Palatino Linotype" w:eastAsia="Arial Unicode MS" w:hAnsi="Palatino Linotype" w:cs="Arial"/>
          <w:color w:val="000000" w:themeColor="text1"/>
        </w:rPr>
        <w:t xml:space="preserve"> respondió </w:t>
      </w:r>
      <w:r w:rsidR="00FD365C" w:rsidRPr="005C4EBC">
        <w:rPr>
          <w:rFonts w:ascii="Palatino Linotype" w:eastAsia="Times New Roman" w:hAnsi="Palatino Linotype" w:cs="Arial"/>
          <w:color w:val="000000" w:themeColor="text1"/>
          <w:lang w:val="es-ES"/>
        </w:rPr>
        <w:t xml:space="preserve">a la solicitud de información </w:t>
      </w:r>
      <w:r w:rsidR="00094279" w:rsidRPr="005C4EBC">
        <w:rPr>
          <w:rFonts w:ascii="Palatino Linotype" w:hAnsi="Palatino Linotype" w:cs="Arial"/>
          <w:color w:val="000000" w:themeColor="text1"/>
        </w:rPr>
        <w:t>hac</w:t>
      </w:r>
      <w:r w:rsidR="0082247A" w:rsidRPr="005C4EBC">
        <w:rPr>
          <w:rFonts w:ascii="Palatino Linotype" w:hAnsi="Palatino Linotype" w:cs="Arial"/>
          <w:color w:val="000000" w:themeColor="text1"/>
        </w:rPr>
        <w:t>iendo</w:t>
      </w:r>
      <w:r w:rsidR="00094279" w:rsidRPr="005C4EBC">
        <w:rPr>
          <w:rFonts w:ascii="Palatino Linotype" w:hAnsi="Palatino Linotype" w:cs="Arial"/>
          <w:color w:val="000000" w:themeColor="text1"/>
        </w:rPr>
        <w:t xml:space="preserve"> del conocimiento del particular </w:t>
      </w:r>
      <w:r w:rsidR="002F5F94" w:rsidRPr="005C4EBC">
        <w:rPr>
          <w:rFonts w:ascii="Palatino Linotype" w:hAnsi="Palatino Linotype" w:cs="Arial"/>
          <w:color w:val="000000" w:themeColor="text1"/>
        </w:rPr>
        <w:t xml:space="preserve">medularmente </w:t>
      </w:r>
      <w:r w:rsidR="00094279" w:rsidRPr="005C4EBC">
        <w:rPr>
          <w:rFonts w:ascii="Palatino Linotype" w:hAnsi="Palatino Linotype" w:cs="Arial"/>
          <w:color w:val="000000" w:themeColor="text1"/>
        </w:rPr>
        <w:t>que “</w:t>
      </w:r>
      <w:r w:rsidR="00AB4F6A" w:rsidRPr="00AB4F6A">
        <w:rPr>
          <w:rFonts w:ascii="Palatino Linotype" w:hAnsi="Palatino Linotype"/>
          <w:i/>
          <w:color w:val="000000"/>
          <w:sz w:val="22"/>
          <w:szCs w:val="22"/>
        </w:rPr>
        <w:t xml:space="preserve">de acuerdo a lo informado por la Directora de Administración de Personal y Nómina, Servidora Pública Habilitada, las remuneraciones de mandos medios y superiores, es información pública la cual puede consultarse en la Plataforma de Información Pública de Oficio Mexiquense (IPOMEX) apartado de remuneraciones, en el siguiente link: </w:t>
      </w:r>
      <w:hyperlink r:id="rId10" w:history="1">
        <w:r w:rsidR="00AB4F6A" w:rsidRPr="00CC2F90">
          <w:rPr>
            <w:rStyle w:val="Hipervnculo"/>
            <w:rFonts w:ascii="Palatino Linotype" w:hAnsi="Palatino Linotype"/>
            <w:i/>
            <w:sz w:val="22"/>
            <w:szCs w:val="22"/>
          </w:rPr>
          <w:t>https://www.ipomex.org.mx/ipo3/lgt/indice/fgjem.web</w:t>
        </w:r>
      </w:hyperlink>
      <w:r w:rsidR="00AB4F6A">
        <w:rPr>
          <w:rFonts w:ascii="Palatino Linotype" w:hAnsi="Palatino Linotype"/>
          <w:i/>
        </w:rPr>
        <w:t>.</w:t>
      </w:r>
      <w:r w:rsidR="00AB4F6A">
        <w:rPr>
          <w:rFonts w:ascii="Palatino Linotype" w:hAnsi="Palatino Linotype"/>
          <w:i/>
          <w:color w:val="000000"/>
          <w:sz w:val="22"/>
          <w:szCs w:val="22"/>
        </w:rPr>
        <w:t xml:space="preserve"> </w:t>
      </w:r>
      <w:r w:rsidR="00AB4F6A" w:rsidRPr="00AB4F6A">
        <w:rPr>
          <w:rFonts w:ascii="Palatino Linotype" w:hAnsi="Palatino Linotype"/>
          <w:i/>
          <w:color w:val="000000"/>
          <w:sz w:val="22"/>
          <w:szCs w:val="22"/>
        </w:rPr>
        <w:t>Asimismo, es de señalar que los servidores públicos que no ocupan cargos de mandos medios y superiores, tienen nivele del 05 al 23, con rangos del 01 al 04, por lo que su sueldo y demás prestaciones que reciben los mismos, es pública y puede consultarse en el Periódico Oficial Gaceta del Gobierno del Estado de México, particularmente en los siguientes decretos y acuerdos: Decreto 44, del 5 de marzo de 2010, Decreto 65 del 5 de abril de 2011, Decreto 81 del 3 de mayo de 2012, Decreto 46 del 7 de marzo de 2013, Decreto 79 del 30 de abril 2014, Decreto 111 del 18 de junio de 2015; Acuerdo 2017 y Acuerdo A: 202/3/001/02, del 15 de diciembre 2017, aplicable al 2018 y Acuerdo A: 202/3/001/02 de 31 de diciembre 2018, vigente al 2019</w:t>
      </w:r>
      <w:r w:rsidR="006035C3" w:rsidRPr="00AB4F6A">
        <w:rPr>
          <w:rFonts w:ascii="Palatino Linotype" w:hAnsi="Palatino Linotype" w:cs="Arial"/>
          <w:lang w:val="es-MX"/>
        </w:rPr>
        <w:t>…”</w:t>
      </w:r>
    </w:p>
    <w:p w14:paraId="0A1085BA" w14:textId="77777777" w:rsidR="00DB6089" w:rsidRPr="00DB6089" w:rsidRDefault="00DB6089" w:rsidP="00DB6089">
      <w:pPr>
        <w:pStyle w:val="Prrafodelista"/>
        <w:tabs>
          <w:tab w:val="left" w:pos="567"/>
        </w:tabs>
        <w:spacing w:before="240" w:after="240" w:line="360" w:lineRule="auto"/>
        <w:ind w:left="0"/>
        <w:jc w:val="both"/>
        <w:rPr>
          <w:rFonts w:ascii="Palatino Linotype" w:hAnsi="Palatino Linotype"/>
        </w:rPr>
      </w:pPr>
    </w:p>
    <w:p w14:paraId="6CABDC85" w14:textId="6A0E10C2" w:rsidR="00DB6089" w:rsidRPr="006F5F8A" w:rsidRDefault="00DB6089" w:rsidP="00DB1DAA">
      <w:pPr>
        <w:pStyle w:val="Prrafodelista"/>
        <w:numPr>
          <w:ilvl w:val="0"/>
          <w:numId w:val="1"/>
        </w:numPr>
        <w:autoSpaceDE w:val="0"/>
        <w:autoSpaceDN w:val="0"/>
        <w:adjustRightInd w:val="0"/>
        <w:spacing w:before="240" w:after="240" w:line="360" w:lineRule="auto"/>
        <w:ind w:left="0" w:firstLine="0"/>
        <w:jc w:val="both"/>
        <w:rPr>
          <w:rFonts w:ascii="Palatino Linotype" w:hAnsi="Palatino Linotype"/>
        </w:rPr>
      </w:pPr>
      <w:r w:rsidRPr="006F5F8A">
        <w:rPr>
          <w:rFonts w:ascii="Palatino Linotype" w:hAnsi="Palatino Linotype"/>
        </w:rPr>
        <w:t xml:space="preserve">No se soslaya que </w:t>
      </w:r>
      <w:r w:rsidRPr="006F5F8A">
        <w:rPr>
          <w:rFonts w:ascii="Palatino Linotype" w:hAnsi="Palatino Linotype" w:cs="Arial"/>
          <w:color w:val="000000" w:themeColor="text1"/>
        </w:rPr>
        <w:t xml:space="preserve">bajo los principios de objetividad y eficacia que rigen éste Instituto de conformidad con el artículo 9 fracciones II y VIII de la </w:t>
      </w:r>
      <w:r w:rsidRPr="006F5F8A">
        <w:rPr>
          <w:rFonts w:ascii="Palatino Linotype" w:hAnsi="Palatino Linotype" w:cs="Arial"/>
          <w:b/>
          <w:color w:val="000000" w:themeColor="text1"/>
        </w:rPr>
        <w:t>Ley de Transparencia y Acceso a la Información Pública del Estado de México y Municipios</w:t>
      </w:r>
      <w:r w:rsidRPr="006F5F8A">
        <w:rPr>
          <w:rFonts w:ascii="Palatino Linotype" w:hAnsi="Palatino Linotype" w:cs="Arial"/>
          <w:color w:val="000000" w:themeColor="text1"/>
        </w:rPr>
        <w:t xml:space="preserve">, se consideró </w:t>
      </w:r>
      <w:r w:rsidRPr="006F5F8A">
        <w:rPr>
          <w:rFonts w:ascii="Palatino Linotype" w:hAnsi="Palatino Linotype" w:cs="Arial"/>
          <w:color w:val="000000" w:themeColor="text1"/>
        </w:rPr>
        <w:lastRenderedPageBreak/>
        <w:t xml:space="preserve">pertinente realizar una búsqueda virtual respecto de la información requerida en el portal de Información Pública de Oficio Mexiquense proporcionada por la Fiscalía General de Justicia del Estado de México y como consecuencia se advirtió que en la página electrónica </w:t>
      </w:r>
      <w:hyperlink r:id="rId11" w:history="1">
        <w:r w:rsidR="006F5F8A" w:rsidRPr="006F5F8A">
          <w:rPr>
            <w:rStyle w:val="Hipervnculo"/>
            <w:rFonts w:ascii="Palatino Linotype" w:hAnsi="Palatino Linotype"/>
          </w:rPr>
          <w:t>https://www.ipomex.org.mx/ipo3/lgt/indice/fgjem.web</w:t>
        </w:r>
      </w:hyperlink>
      <w:r w:rsidRPr="006F5F8A">
        <w:rPr>
          <w:rFonts w:ascii="Palatino Linotype" w:hAnsi="Palatino Linotype"/>
        </w:rPr>
        <w:t xml:space="preserve"> se encuentra</w:t>
      </w:r>
      <w:r w:rsidR="006F5F8A" w:rsidRPr="006F5F8A">
        <w:rPr>
          <w:rFonts w:ascii="Palatino Linotype" w:hAnsi="Palatino Linotype"/>
        </w:rPr>
        <w:t>n</w:t>
      </w:r>
      <w:r w:rsidRPr="006F5F8A">
        <w:rPr>
          <w:rFonts w:ascii="Palatino Linotype" w:hAnsi="Palatino Linotype"/>
        </w:rPr>
        <w:t xml:space="preserve"> </w:t>
      </w:r>
      <w:r w:rsidR="006F5F8A" w:rsidRPr="006F5F8A">
        <w:rPr>
          <w:rFonts w:ascii="Palatino Linotype" w:hAnsi="Palatino Linotype"/>
        </w:rPr>
        <w:t xml:space="preserve">90 rubros correspondientes a las obligaciones de Transparencia establecidas en los artículos 92, 93 y 103 de la </w:t>
      </w:r>
      <w:r w:rsidR="006F5F8A" w:rsidRPr="006F5F8A">
        <w:rPr>
          <w:rFonts w:ascii="Palatino Linotype" w:hAnsi="Palatino Linotype" w:cs="Arial"/>
          <w:color w:val="000000" w:themeColor="text1"/>
        </w:rPr>
        <w:t>Ley de Transparencia citada en líneas anteriores.</w:t>
      </w:r>
    </w:p>
    <w:p w14:paraId="38A5CE00" w14:textId="77777777" w:rsidR="006F5F8A" w:rsidRPr="006F5F8A" w:rsidRDefault="006F5F8A" w:rsidP="006F5F8A">
      <w:pPr>
        <w:pStyle w:val="Prrafodelista"/>
        <w:rPr>
          <w:rFonts w:ascii="Palatino Linotype" w:hAnsi="Palatino Linotype"/>
        </w:rPr>
      </w:pPr>
    </w:p>
    <w:p w14:paraId="01A31FF8" w14:textId="0C04DC01" w:rsidR="006F5F8A" w:rsidRDefault="006F5F8A" w:rsidP="00DB1DAA">
      <w:pPr>
        <w:pStyle w:val="Prrafodelista"/>
        <w:numPr>
          <w:ilvl w:val="0"/>
          <w:numId w:val="1"/>
        </w:numPr>
        <w:autoSpaceDE w:val="0"/>
        <w:autoSpaceDN w:val="0"/>
        <w:adjustRightInd w:val="0"/>
        <w:spacing w:before="240" w:after="240" w:line="360" w:lineRule="auto"/>
        <w:ind w:left="0" w:firstLine="0"/>
        <w:jc w:val="both"/>
        <w:rPr>
          <w:rFonts w:ascii="Palatino Linotype" w:hAnsi="Palatino Linotype"/>
        </w:rPr>
      </w:pPr>
      <w:r>
        <w:rPr>
          <w:rFonts w:ascii="Palatino Linotype" w:hAnsi="Palatino Linotype"/>
        </w:rPr>
        <w:t>Aunado a ello se procedió a realizar la búsqueda de la información correspondiente a l</w:t>
      </w:r>
      <w:r w:rsidR="00CC3AED">
        <w:rPr>
          <w:rFonts w:ascii="Palatino Linotype" w:hAnsi="Palatino Linotype"/>
        </w:rPr>
        <w:t>as remuneraciones establecidas para cada servidor público en los decretos</w:t>
      </w:r>
      <w:r w:rsidR="00DB1DAA">
        <w:rPr>
          <w:rFonts w:ascii="Palatino Linotype" w:hAnsi="Palatino Linotype"/>
        </w:rPr>
        <w:t xml:space="preserve"> indicados por el </w:t>
      </w:r>
      <w:r w:rsidR="00DB1DAA" w:rsidRPr="009B63E9">
        <w:rPr>
          <w:rFonts w:ascii="Palatino Linotype" w:hAnsi="Palatino Linotype"/>
          <w:b/>
        </w:rPr>
        <w:t>SUJETO OBLIGADO</w:t>
      </w:r>
      <w:r w:rsidR="00DB1DAA">
        <w:rPr>
          <w:rFonts w:ascii="Palatino Linotype" w:hAnsi="Palatino Linotype"/>
        </w:rPr>
        <w:t xml:space="preserve"> encontrándose los siguiente:</w:t>
      </w:r>
    </w:p>
    <w:p w14:paraId="00A6C227" w14:textId="77777777" w:rsidR="00DB1DAA" w:rsidRPr="00DB1DAA" w:rsidRDefault="00DB1DAA" w:rsidP="00DB1DAA">
      <w:pPr>
        <w:pStyle w:val="Prrafodelista"/>
        <w:rPr>
          <w:rFonts w:ascii="Palatino Linotype" w:hAnsi="Palatino Linotype"/>
        </w:rPr>
      </w:pPr>
    </w:p>
    <w:p w14:paraId="112851E3" w14:textId="77777777" w:rsidR="00DB1DAA" w:rsidRPr="00DB1DAA" w:rsidRDefault="00DB1DAA" w:rsidP="00DB1DAA">
      <w:pPr>
        <w:numPr>
          <w:ilvl w:val="0"/>
          <w:numId w:val="7"/>
        </w:numPr>
        <w:spacing w:before="100" w:beforeAutospacing="1" w:after="100" w:afterAutospacing="1" w:line="360" w:lineRule="auto"/>
        <w:ind w:left="567" w:right="567" w:firstLine="0"/>
        <w:jc w:val="both"/>
        <w:rPr>
          <w:rFonts w:ascii="Palatino Linotype" w:eastAsia="Times New Roman" w:hAnsi="Palatino Linotype" w:cs="Arial"/>
          <w:color w:val="333333"/>
          <w:lang w:eastAsia="es-MX"/>
        </w:rPr>
      </w:pPr>
      <w:r w:rsidRPr="00DB1DAA">
        <w:rPr>
          <w:rFonts w:ascii="Palatino Linotype" w:hAnsi="Palatino Linotype"/>
          <w:b/>
          <w:color w:val="000000"/>
        </w:rPr>
        <w:t xml:space="preserve">Decreto 44, del 5 de marzo de 2010, </w:t>
      </w:r>
      <w:r w:rsidRPr="00DB1DAA">
        <w:rPr>
          <w:rFonts w:ascii="Palatino Linotype" w:hAnsi="Palatino Linotype"/>
        </w:rPr>
        <w:t>ACUERDO DEL SECRETARIO DE FINANZAS POR EL QUE SE DAN A CONOCER LOS TABULADORES DE SUELDOS DE LOS SERVIDORES PUBLICOS DE MANDOS SUPERIORES, MANDOS MEDIOS DE ESTRUCTURA, DE ENLACE Y APOYO TECNICO, GENERALES Y DE CONFIANZA Y DEL MAGISTERIO ESTATAL PARA 2010</w:t>
      </w:r>
    </w:p>
    <w:p w14:paraId="52DA3EDD" w14:textId="77777777" w:rsidR="00DB1DAA" w:rsidRPr="00DB1DAA" w:rsidRDefault="00DB1DAA" w:rsidP="005840D6">
      <w:pPr>
        <w:spacing w:line="360" w:lineRule="auto"/>
        <w:ind w:left="567" w:right="567"/>
        <w:jc w:val="both"/>
        <w:rPr>
          <w:rFonts w:ascii="Palatino Linotype" w:hAnsi="Palatino Linotype"/>
          <w:b/>
          <w:color w:val="000000"/>
        </w:rPr>
      </w:pPr>
    </w:p>
    <w:p w14:paraId="19AA967B" w14:textId="77777777" w:rsidR="00DB1DAA" w:rsidRPr="00DB1DAA" w:rsidRDefault="00DB1DAA" w:rsidP="00DB1DAA">
      <w:pPr>
        <w:pStyle w:val="Prrafodelista"/>
        <w:numPr>
          <w:ilvl w:val="0"/>
          <w:numId w:val="7"/>
        </w:numPr>
        <w:spacing w:after="160" w:line="360" w:lineRule="auto"/>
        <w:ind w:left="567" w:right="567" w:firstLine="0"/>
        <w:jc w:val="both"/>
        <w:rPr>
          <w:rFonts w:ascii="Palatino Linotype" w:eastAsiaTheme="minorHAnsi" w:hAnsi="Palatino Linotype"/>
          <w:color w:val="000000"/>
          <w:lang w:eastAsia="en-US"/>
        </w:rPr>
      </w:pPr>
      <w:r w:rsidRPr="00DB1DAA">
        <w:rPr>
          <w:rFonts w:ascii="Palatino Linotype" w:hAnsi="Palatino Linotype"/>
          <w:b/>
          <w:color w:val="000000"/>
        </w:rPr>
        <w:t xml:space="preserve">Decreto 65 del 5 de abril de 2011, </w:t>
      </w:r>
      <w:r w:rsidRPr="00DB1DAA">
        <w:rPr>
          <w:rFonts w:ascii="Palatino Linotype" w:hAnsi="Palatino Linotype"/>
        </w:rPr>
        <w:t>ACUERDO DEL SECRETARIO DE FINANZAS POR EL QUE SE DAN A CONOCER LOS TABULADORES DE SUELDOS DE LOS SERVIDORES PUBLICOS DE MANDO SUPERIORES, MANDOS MEDIOS DE ESTRUCTURA DE ENLACE Y APOYO TECNICO GENERALES Y DE CONFIANZA Y DEL MAGISTERIO ESTATAL PARA EL 2011.</w:t>
      </w:r>
    </w:p>
    <w:p w14:paraId="405B9944" w14:textId="77777777" w:rsidR="00DB1DAA" w:rsidRPr="00DB1DAA" w:rsidRDefault="00DB1DAA" w:rsidP="00DB1DAA">
      <w:pPr>
        <w:spacing w:line="360" w:lineRule="auto"/>
        <w:ind w:left="567" w:right="567"/>
        <w:jc w:val="both"/>
        <w:rPr>
          <w:rFonts w:ascii="Palatino Linotype" w:hAnsi="Palatino Linotype"/>
          <w:b/>
          <w:color w:val="000000"/>
        </w:rPr>
      </w:pPr>
    </w:p>
    <w:p w14:paraId="1513A278" w14:textId="0A6452A8" w:rsidR="00DB1DAA" w:rsidRPr="00DB1DAA" w:rsidRDefault="00DB1DAA" w:rsidP="00DB1DAA">
      <w:pPr>
        <w:pStyle w:val="Prrafodelista"/>
        <w:numPr>
          <w:ilvl w:val="0"/>
          <w:numId w:val="7"/>
        </w:numPr>
        <w:spacing w:line="360" w:lineRule="auto"/>
        <w:ind w:left="567" w:right="567" w:firstLine="0"/>
        <w:jc w:val="both"/>
        <w:rPr>
          <w:rFonts w:ascii="Palatino Linotype" w:hAnsi="Palatino Linotype"/>
        </w:rPr>
      </w:pPr>
      <w:r w:rsidRPr="00DB1DAA">
        <w:rPr>
          <w:rFonts w:ascii="Palatino Linotype" w:hAnsi="Palatino Linotype"/>
          <w:b/>
          <w:color w:val="000000"/>
        </w:rPr>
        <w:t>Decreto 81 del 3 de mayo de 2012</w:t>
      </w:r>
      <w:r>
        <w:rPr>
          <w:rFonts w:ascii="Palatino Linotype" w:hAnsi="Palatino Linotype"/>
          <w:color w:val="000000"/>
        </w:rPr>
        <w:t xml:space="preserve">: </w:t>
      </w:r>
      <w:r w:rsidRPr="00DB1DAA">
        <w:rPr>
          <w:rFonts w:ascii="Palatino Linotype" w:hAnsi="Palatino Linotype"/>
        </w:rPr>
        <w:t>ACUERDO DEL SECRETARIO DE FINANZAS POR EL QUE SE DAN A CONOCER LOS TABULADORES DE SUELDOS DE LOS SERVIDORES PUBLICOS DE MANDO SUPERIORES, MANDOS MEDIOS DE ESTRUCTURA DE ENLACE Y APOYO TECNICO GENERALES Y DE CONFIANZA Y DEL MAGISTERIO ESTATAL PARA EL 2012.</w:t>
      </w:r>
    </w:p>
    <w:p w14:paraId="6E5783CC" w14:textId="77777777" w:rsidR="00DB1DAA" w:rsidRPr="00DB1DAA" w:rsidRDefault="00DB1DAA" w:rsidP="00DB1DAA">
      <w:pPr>
        <w:spacing w:line="360" w:lineRule="auto"/>
        <w:ind w:left="567" w:right="567"/>
        <w:jc w:val="both"/>
        <w:rPr>
          <w:rFonts w:ascii="Palatino Linotype" w:hAnsi="Palatino Linotype"/>
          <w:color w:val="000000"/>
        </w:rPr>
      </w:pPr>
    </w:p>
    <w:p w14:paraId="2D4C8420" w14:textId="00B894A6" w:rsidR="00DB1DAA" w:rsidRPr="00DB1DAA" w:rsidRDefault="00DB1DAA" w:rsidP="00DB1DAA">
      <w:pPr>
        <w:pStyle w:val="Prrafodelista"/>
        <w:numPr>
          <w:ilvl w:val="0"/>
          <w:numId w:val="7"/>
        </w:numPr>
        <w:spacing w:line="360" w:lineRule="auto"/>
        <w:ind w:left="567" w:right="567" w:firstLine="0"/>
        <w:jc w:val="both"/>
        <w:rPr>
          <w:rFonts w:ascii="Palatino Linotype" w:hAnsi="Palatino Linotype"/>
        </w:rPr>
      </w:pPr>
      <w:r w:rsidRPr="00DB1DAA">
        <w:rPr>
          <w:rFonts w:ascii="Palatino Linotype" w:hAnsi="Palatino Linotype"/>
          <w:b/>
          <w:color w:val="000000"/>
        </w:rPr>
        <w:t>Decreto 46 del 7 de marzo de 2013</w:t>
      </w:r>
      <w:r>
        <w:rPr>
          <w:rFonts w:ascii="Palatino Linotype" w:hAnsi="Palatino Linotype"/>
          <w:color w:val="000000"/>
        </w:rPr>
        <w:t>:</w:t>
      </w:r>
      <w:r w:rsidRPr="00DB1DAA">
        <w:rPr>
          <w:rFonts w:ascii="Palatino Linotype" w:hAnsi="Palatino Linotype"/>
          <w:color w:val="000000"/>
        </w:rPr>
        <w:t xml:space="preserve"> </w:t>
      </w:r>
      <w:r w:rsidRPr="00DB1DAA">
        <w:rPr>
          <w:rFonts w:ascii="Palatino Linotype" w:hAnsi="Palatino Linotype"/>
        </w:rPr>
        <w:t>ACUERDO DEL SECRETARIO DE FINANZAS POR EL QUE SE DAN A CONOCER LOS TABULADORES DE SUELDOS DE LOS SERVIDORES PUBLICOS DE MANDOS SUPERIORES, MANDOS MEDIOS DE ESTRUCTURA, DE ENLACE Y APOYO TECN1CO, GENERALES Y DE CONFIANZA Y DEL MAGISTERIO ESTATAL PARA EL 2013.</w:t>
      </w:r>
    </w:p>
    <w:p w14:paraId="2E682784" w14:textId="77777777" w:rsidR="00DB1DAA" w:rsidRPr="00DB1DAA" w:rsidRDefault="00DB1DAA" w:rsidP="00DB1DAA">
      <w:pPr>
        <w:spacing w:line="360" w:lineRule="auto"/>
        <w:ind w:left="567" w:right="567"/>
        <w:jc w:val="both"/>
        <w:rPr>
          <w:rFonts w:ascii="Palatino Linotype" w:hAnsi="Palatino Linotype"/>
          <w:color w:val="000000"/>
        </w:rPr>
      </w:pPr>
    </w:p>
    <w:p w14:paraId="6B7591BE" w14:textId="75E32193" w:rsidR="00DB1DAA" w:rsidRPr="00DB1DAA" w:rsidRDefault="00DB1DAA" w:rsidP="00DB1DAA">
      <w:pPr>
        <w:pStyle w:val="Prrafodelista"/>
        <w:numPr>
          <w:ilvl w:val="0"/>
          <w:numId w:val="7"/>
        </w:numPr>
        <w:spacing w:line="360" w:lineRule="auto"/>
        <w:ind w:left="567" w:right="567" w:firstLine="0"/>
        <w:jc w:val="both"/>
        <w:rPr>
          <w:rFonts w:ascii="Palatino Linotype" w:hAnsi="Palatino Linotype"/>
        </w:rPr>
      </w:pPr>
      <w:r w:rsidRPr="00DB1DAA">
        <w:rPr>
          <w:rFonts w:ascii="Palatino Linotype" w:hAnsi="Palatino Linotype"/>
          <w:b/>
          <w:color w:val="000000"/>
        </w:rPr>
        <w:t>D</w:t>
      </w:r>
      <w:r>
        <w:rPr>
          <w:rFonts w:ascii="Palatino Linotype" w:hAnsi="Palatino Linotype"/>
          <w:b/>
          <w:color w:val="000000"/>
        </w:rPr>
        <w:t xml:space="preserve">ecreto 79 del 30 de abril 2014: </w:t>
      </w:r>
      <w:r w:rsidRPr="00DB1DAA">
        <w:rPr>
          <w:rFonts w:ascii="Palatino Linotype" w:hAnsi="Palatino Linotype"/>
        </w:rPr>
        <w:t>ACUERDO DEL SECRETARIO DE FINANZAS POR EL QUE SE DAN A CONOCER LOS TABULADORES DE SUELDOS DE LOS SERVIDORES PÚBLICOS DEL SECTOR CENTRAL DEL PODER EJECUTIVO PARA EL AÑO 2014.</w:t>
      </w:r>
    </w:p>
    <w:p w14:paraId="6CC0B6E9" w14:textId="77777777" w:rsidR="00DB1DAA" w:rsidRPr="00DB1DAA" w:rsidRDefault="00DB1DAA" w:rsidP="00DB1DAA">
      <w:pPr>
        <w:spacing w:line="360" w:lineRule="auto"/>
        <w:ind w:left="567" w:right="567"/>
        <w:jc w:val="both"/>
        <w:rPr>
          <w:rFonts w:ascii="Palatino Linotype" w:hAnsi="Palatino Linotype"/>
          <w:b/>
          <w:color w:val="000000"/>
        </w:rPr>
      </w:pPr>
    </w:p>
    <w:p w14:paraId="1865293A" w14:textId="35AB513D" w:rsidR="00DB1DAA" w:rsidRPr="00DB1DAA" w:rsidRDefault="00DB1DAA" w:rsidP="00DB1DAA">
      <w:pPr>
        <w:pStyle w:val="Prrafodelista"/>
        <w:numPr>
          <w:ilvl w:val="0"/>
          <w:numId w:val="7"/>
        </w:numPr>
        <w:spacing w:line="360" w:lineRule="auto"/>
        <w:ind w:left="567" w:right="567" w:firstLine="0"/>
        <w:jc w:val="both"/>
        <w:rPr>
          <w:rFonts w:ascii="Palatino Linotype" w:hAnsi="Palatino Linotype"/>
          <w:b/>
          <w:color w:val="000000"/>
        </w:rPr>
      </w:pPr>
      <w:r w:rsidRPr="00DB1DAA">
        <w:rPr>
          <w:rFonts w:ascii="Palatino Linotype" w:hAnsi="Palatino Linotype"/>
          <w:b/>
          <w:color w:val="000000"/>
        </w:rPr>
        <w:t>Decre</w:t>
      </w:r>
      <w:r>
        <w:rPr>
          <w:rFonts w:ascii="Palatino Linotype" w:hAnsi="Palatino Linotype"/>
          <w:b/>
          <w:color w:val="000000"/>
        </w:rPr>
        <w:t xml:space="preserve">to 111 del 18 de junio de 2015: </w:t>
      </w:r>
      <w:r w:rsidRPr="00DB1DAA">
        <w:rPr>
          <w:rFonts w:ascii="Palatino Linotype" w:hAnsi="Palatino Linotype"/>
        </w:rPr>
        <w:t xml:space="preserve">ACUERDO DEL ENCARGADO DEL DESPACHO DE LA SECRETARÍA DE FINANZAS POR EL QUE SE DAN A CONOCER LOS TABULADORES DE SUELDOS DE LOS SERVIDORES </w:t>
      </w:r>
      <w:r w:rsidRPr="00DB1DAA">
        <w:rPr>
          <w:rFonts w:ascii="Palatino Linotype" w:hAnsi="Palatino Linotype"/>
        </w:rPr>
        <w:lastRenderedPageBreak/>
        <w:t>PÚBLICOS DEL SECTOR CENTRAL DEL PODER EJECUTIVO PARA EL AÑO 2015.</w:t>
      </w:r>
    </w:p>
    <w:p w14:paraId="7BEB4BA4" w14:textId="77777777" w:rsidR="00DB1DAA" w:rsidRPr="00DB1DAA" w:rsidRDefault="00DB1DAA" w:rsidP="00DB1DAA">
      <w:pPr>
        <w:spacing w:line="360" w:lineRule="auto"/>
        <w:ind w:left="567" w:right="567"/>
        <w:jc w:val="both"/>
        <w:rPr>
          <w:rFonts w:ascii="Palatino Linotype" w:hAnsi="Palatino Linotype"/>
          <w:b/>
          <w:color w:val="000000"/>
        </w:rPr>
      </w:pPr>
    </w:p>
    <w:p w14:paraId="1063A94F" w14:textId="58D1A29B" w:rsidR="00CC3AED" w:rsidRDefault="008737E9" w:rsidP="00C41C75">
      <w:pPr>
        <w:pStyle w:val="Prrafodelista"/>
        <w:numPr>
          <w:ilvl w:val="0"/>
          <w:numId w:val="7"/>
        </w:numPr>
        <w:autoSpaceDE w:val="0"/>
        <w:autoSpaceDN w:val="0"/>
        <w:adjustRightInd w:val="0"/>
        <w:spacing w:before="240" w:after="240" w:line="360" w:lineRule="auto"/>
        <w:ind w:left="567" w:right="567" w:firstLine="0"/>
        <w:jc w:val="both"/>
        <w:rPr>
          <w:rFonts w:ascii="Palatino Linotype" w:hAnsi="Palatino Linotype"/>
          <w:color w:val="000000"/>
        </w:rPr>
      </w:pPr>
      <w:r>
        <w:rPr>
          <w:rFonts w:ascii="Palatino Linotype" w:hAnsi="Palatino Linotype"/>
          <w:color w:val="000000"/>
        </w:rPr>
        <w:t>L</w:t>
      </w:r>
      <w:r w:rsidRPr="008737E9">
        <w:rPr>
          <w:rFonts w:ascii="Palatino Linotype" w:hAnsi="Palatino Linotype"/>
          <w:color w:val="000000"/>
        </w:rPr>
        <w:t>os "Acuerdos 2017 y Acuerdo A: 202/3/001/02, del 15 de diciembre 2017, aplicable al 2018 y Acuerdo A: 202/3/001/02 de 31 de diciembre 2018, vigente al 2019</w:t>
      </w:r>
      <w:r w:rsidR="00C41C75">
        <w:rPr>
          <w:rFonts w:ascii="Palatino Linotype" w:hAnsi="Palatino Linotype"/>
          <w:color w:val="000000"/>
        </w:rPr>
        <w:t xml:space="preserve">: </w:t>
      </w:r>
      <w:r w:rsidR="00C41C75" w:rsidRPr="00C41C75">
        <w:rPr>
          <w:rFonts w:ascii="Palatino Linotype" w:hAnsi="Palatino Linotype"/>
          <w:b/>
          <w:color w:val="000000"/>
        </w:rPr>
        <w:t>NO E</w:t>
      </w:r>
      <w:r w:rsidR="00C41C75">
        <w:rPr>
          <w:rFonts w:ascii="Palatino Linotype" w:hAnsi="Palatino Linotype"/>
          <w:b/>
          <w:color w:val="000000"/>
        </w:rPr>
        <w:t>STAN PUBLICADOS.</w:t>
      </w:r>
    </w:p>
    <w:p w14:paraId="66411C79" w14:textId="77777777" w:rsidR="00C41C75" w:rsidRPr="006F5F8A" w:rsidRDefault="00C41C75" w:rsidP="00CC3AED">
      <w:pPr>
        <w:pStyle w:val="Prrafodelista"/>
        <w:autoSpaceDE w:val="0"/>
        <w:autoSpaceDN w:val="0"/>
        <w:adjustRightInd w:val="0"/>
        <w:spacing w:before="240" w:after="240" w:line="360" w:lineRule="auto"/>
        <w:ind w:left="0"/>
        <w:jc w:val="both"/>
        <w:rPr>
          <w:rFonts w:ascii="Palatino Linotype" w:hAnsi="Palatino Linotype"/>
        </w:rPr>
      </w:pPr>
    </w:p>
    <w:p w14:paraId="6E196E19" w14:textId="15515EBC" w:rsidR="005840D6" w:rsidRDefault="005840D6" w:rsidP="00DB6089">
      <w:pPr>
        <w:pStyle w:val="Prrafodelista"/>
        <w:numPr>
          <w:ilvl w:val="0"/>
          <w:numId w:val="1"/>
        </w:numPr>
        <w:spacing w:before="240" w:after="240" w:line="360" w:lineRule="auto"/>
        <w:ind w:left="0" w:firstLine="0"/>
        <w:jc w:val="both"/>
        <w:rPr>
          <w:rFonts w:ascii="Palatino Linotype" w:hAnsi="Palatino Linotype"/>
        </w:rPr>
      </w:pPr>
      <w:r>
        <w:rPr>
          <w:rFonts w:ascii="Palatino Linotype" w:hAnsi="Palatino Linotype"/>
        </w:rPr>
        <w:t xml:space="preserve">En ese sentido se aprecia que el </w:t>
      </w:r>
      <w:r w:rsidRPr="005840D6">
        <w:rPr>
          <w:rFonts w:ascii="Palatino Linotype" w:hAnsi="Palatino Linotype"/>
          <w:b/>
        </w:rPr>
        <w:t>SUJETO OBLIGADO</w:t>
      </w:r>
      <w:r>
        <w:rPr>
          <w:rFonts w:ascii="Palatino Linotype" w:hAnsi="Palatino Linotype"/>
        </w:rPr>
        <w:t xml:space="preserve"> a todas luces trasgredió el Derecho de Acceso a la información, en un primer momento al no indicar de manera </w:t>
      </w:r>
      <w:r w:rsidRPr="005840D6">
        <w:rPr>
          <w:rFonts w:ascii="Palatino Linotype" w:hAnsi="Palatino Linotype"/>
          <w:b/>
          <w:u w:val="single"/>
        </w:rPr>
        <w:t>precisa</w:t>
      </w:r>
      <w:r w:rsidRPr="005840D6">
        <w:rPr>
          <w:rFonts w:ascii="Palatino Linotype" w:hAnsi="Palatino Linotype"/>
        </w:rPr>
        <w:t xml:space="preserve"> el rubro </w:t>
      </w:r>
      <w:r>
        <w:rPr>
          <w:rFonts w:ascii="Palatino Linotype" w:hAnsi="Palatino Linotype"/>
        </w:rPr>
        <w:t xml:space="preserve">para acceder a la información requerida y posteriormente al indicar </w:t>
      </w:r>
      <w:r w:rsidR="009B63E9">
        <w:rPr>
          <w:rFonts w:ascii="Palatino Linotype" w:hAnsi="Palatino Linotype"/>
        </w:rPr>
        <w:t xml:space="preserve">decretos </w:t>
      </w:r>
      <w:r>
        <w:rPr>
          <w:rFonts w:ascii="Palatino Linotype" w:hAnsi="Palatino Linotype"/>
        </w:rPr>
        <w:t xml:space="preserve">que no corresponden con los solicitado </w:t>
      </w:r>
      <w:r w:rsidR="009B63E9">
        <w:rPr>
          <w:rFonts w:ascii="Palatino Linotype" w:hAnsi="Palatino Linotype"/>
        </w:rPr>
        <w:t xml:space="preserve">y </w:t>
      </w:r>
      <w:r w:rsidR="00BF36A7">
        <w:rPr>
          <w:rFonts w:ascii="Palatino Linotype" w:hAnsi="Palatino Linotype"/>
        </w:rPr>
        <w:t>acuerdos</w:t>
      </w:r>
      <w:r w:rsidR="009B63E9">
        <w:rPr>
          <w:rFonts w:ascii="Palatino Linotype" w:hAnsi="Palatino Linotype"/>
        </w:rPr>
        <w:t xml:space="preserve"> que no se encuentran publicados y peor aún que no exhibió en soporte documental</w:t>
      </w:r>
      <w:r>
        <w:rPr>
          <w:rFonts w:ascii="Palatino Linotype" w:hAnsi="Palatino Linotype"/>
        </w:rPr>
        <w:t>.</w:t>
      </w:r>
    </w:p>
    <w:p w14:paraId="44B696B5" w14:textId="77777777" w:rsidR="005840D6" w:rsidRPr="005840D6" w:rsidRDefault="005840D6" w:rsidP="005840D6">
      <w:pPr>
        <w:pStyle w:val="Prrafodelista"/>
        <w:spacing w:before="240" w:after="240" w:line="360" w:lineRule="auto"/>
        <w:ind w:left="0"/>
        <w:jc w:val="both"/>
        <w:rPr>
          <w:rFonts w:ascii="Palatino Linotype" w:hAnsi="Palatino Linotype"/>
        </w:rPr>
      </w:pPr>
    </w:p>
    <w:p w14:paraId="1837DD98" w14:textId="4030A04B" w:rsidR="00DB6089" w:rsidRPr="00E54E43" w:rsidRDefault="0037271B" w:rsidP="00DB6089">
      <w:pPr>
        <w:pStyle w:val="Prrafodelista"/>
        <w:numPr>
          <w:ilvl w:val="0"/>
          <w:numId w:val="1"/>
        </w:numPr>
        <w:spacing w:before="240" w:after="240" w:line="360" w:lineRule="auto"/>
        <w:ind w:left="0" w:firstLine="0"/>
        <w:jc w:val="both"/>
        <w:rPr>
          <w:rFonts w:ascii="Palatino Linotype" w:hAnsi="Palatino Linotype"/>
        </w:rPr>
      </w:pPr>
      <w:r>
        <w:rPr>
          <w:rFonts w:ascii="Palatino Linotype" w:hAnsi="Palatino Linotype" w:cs="Arial"/>
          <w:lang w:val="es-MX"/>
        </w:rPr>
        <w:t>Aunado a lo anterior,</w:t>
      </w:r>
      <w:r w:rsidR="00DB6089" w:rsidRPr="00E54E43">
        <w:rPr>
          <w:rFonts w:ascii="Palatino Linotype" w:hAnsi="Palatino Linotype" w:cs="Arial"/>
          <w:lang w:val="es-MX"/>
        </w:rPr>
        <w:t xml:space="preserve"> cabe destacar que el Derecho Humano de Acceso a la Información se colma una vez que se hace entrega del </w:t>
      </w:r>
      <w:r w:rsidR="00DB6089" w:rsidRPr="00E54E43">
        <w:rPr>
          <w:rFonts w:ascii="Palatino Linotype" w:hAnsi="Palatino Linotype" w:cs="Arial"/>
          <w:b/>
          <w:u w:val="single"/>
          <w:lang w:val="es-MX"/>
        </w:rPr>
        <w:t>soporte documental</w:t>
      </w:r>
      <w:r w:rsidR="00DB6089" w:rsidRPr="00E54E43">
        <w:rPr>
          <w:rFonts w:ascii="Palatino Linotype" w:hAnsi="Palatino Linotype" w:cs="Arial"/>
          <w:lang w:val="es-MX"/>
        </w:rPr>
        <w:t xml:space="preserve"> que el </w:t>
      </w:r>
      <w:r w:rsidR="00DB6089" w:rsidRPr="00E54E43">
        <w:rPr>
          <w:rFonts w:ascii="Palatino Linotype" w:hAnsi="Palatino Linotype" w:cs="Arial"/>
          <w:b/>
          <w:lang w:val="es-MX"/>
        </w:rPr>
        <w:t>SUJETO OBLIGADO</w:t>
      </w:r>
      <w:r w:rsidR="00DB6089" w:rsidRPr="00E54E43">
        <w:rPr>
          <w:rFonts w:ascii="Palatino Linotype" w:hAnsi="Palatino Linotype" w:cs="Arial"/>
          <w:lang w:val="es-MX"/>
        </w:rPr>
        <w:t xml:space="preserve"> posee, genera o administra en el ejercicio de sus atribuciones, es decir, una solicitud de acceso a la información pública </w:t>
      </w:r>
      <w:r w:rsidR="00DB6089" w:rsidRPr="00E54E43">
        <w:rPr>
          <w:rFonts w:ascii="Palatino Linotype" w:hAnsi="Palatino Linotype" w:cs="Arial"/>
          <w:b/>
          <w:u w:val="single"/>
          <w:lang w:val="es-MX"/>
        </w:rPr>
        <w:t>no se colma con hacer referencia a un sitio electrónico</w:t>
      </w:r>
      <w:r w:rsidR="00DB6089" w:rsidRPr="00E54E43">
        <w:rPr>
          <w:rFonts w:ascii="Palatino Linotype" w:hAnsi="Palatino Linotype" w:cs="Arial"/>
          <w:lang w:val="es-MX"/>
        </w:rPr>
        <w:t xml:space="preserve">, para respetar adecuadamente el derecho se necesita que el </w:t>
      </w:r>
      <w:r w:rsidR="00DB6089" w:rsidRPr="00E54E43">
        <w:rPr>
          <w:rFonts w:ascii="Palatino Linotype" w:hAnsi="Palatino Linotype" w:cs="Arial"/>
          <w:b/>
          <w:lang w:val="es-MX"/>
        </w:rPr>
        <w:t>SUJETO OBLIGADO</w:t>
      </w:r>
      <w:r w:rsidR="00DB6089" w:rsidRPr="00E54E43">
        <w:rPr>
          <w:rFonts w:ascii="Palatino Linotype" w:hAnsi="Palatino Linotype" w:cs="Arial"/>
          <w:lang w:val="es-MX"/>
        </w:rPr>
        <w:t xml:space="preserve"> haga entrega de la información requerida </w:t>
      </w:r>
      <w:r w:rsidR="00DB6089" w:rsidRPr="00E54E43">
        <w:rPr>
          <w:rFonts w:ascii="Palatino Linotype" w:hAnsi="Palatino Linotype" w:cs="Arial"/>
          <w:u w:val="single"/>
          <w:lang w:val="es-MX"/>
        </w:rPr>
        <w:t>o explique el procedimiento preciso que debe realizar la persona para acceder a la información en cuestión</w:t>
      </w:r>
      <w:r w:rsidR="00DB6089" w:rsidRPr="00E54E43">
        <w:rPr>
          <w:rFonts w:ascii="Palatino Linotype" w:hAnsi="Palatino Linotype" w:cs="Arial"/>
          <w:lang w:val="es-MX"/>
        </w:rPr>
        <w:t>.</w:t>
      </w:r>
    </w:p>
    <w:p w14:paraId="323CCCB0" w14:textId="77777777" w:rsidR="00DB6089" w:rsidRDefault="00DB6089" w:rsidP="00DB6089">
      <w:pPr>
        <w:pStyle w:val="Prrafodelista"/>
        <w:spacing w:before="240" w:after="360"/>
        <w:ind w:left="0"/>
        <w:jc w:val="both"/>
        <w:rPr>
          <w:rFonts w:cs="Arial"/>
          <w:lang w:val="es-MX"/>
        </w:rPr>
      </w:pPr>
    </w:p>
    <w:p w14:paraId="7F4FACEA" w14:textId="77777777" w:rsidR="00D9353C" w:rsidRPr="00211649" w:rsidRDefault="00D9353C" w:rsidP="00D9353C">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966EC1">
        <w:rPr>
          <w:rFonts w:ascii="Palatino Linotype" w:eastAsia="Times New Roman" w:hAnsi="Palatino Linotype"/>
        </w:rPr>
        <w:lastRenderedPageBreak/>
        <w:t xml:space="preserve">Ahora bien, el Derecho de Acceso a la Información Pública se define como: </w:t>
      </w:r>
      <w:r w:rsidRPr="00966EC1">
        <w:rPr>
          <w:rFonts w:ascii="Palatino Linotype" w:hAnsi="Palatino Linotype"/>
          <w:i/>
          <w:color w:val="000000"/>
        </w:rPr>
        <w:t>La igualdad de oportunidades para recibir, buscar e impartir información</w:t>
      </w:r>
      <w:r>
        <w:rPr>
          <w:rStyle w:val="Refdenotaalpie"/>
          <w:rFonts w:ascii="Palatino Linotype" w:hAnsi="Palatino Linotype"/>
          <w:i/>
          <w:color w:val="000000"/>
        </w:rPr>
        <w:footnoteReference w:id="2"/>
      </w:r>
      <w:r w:rsidRPr="00966EC1">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Style w:val="Refdenotaalpie"/>
          <w:rFonts w:ascii="Palatino Linotype" w:hAnsi="Palatino Linotype"/>
          <w:i/>
          <w:color w:val="000000"/>
        </w:rPr>
        <w:footnoteReference w:id="3"/>
      </w:r>
      <w:r w:rsidRPr="00966EC1">
        <w:rPr>
          <w:rFonts w:ascii="Palatino Linotype" w:hAnsi="Palatino Linotype"/>
          <w:color w:val="000000"/>
        </w:rPr>
        <w:t>que se constituye como una herramienta fundamental para ejercer</w:t>
      </w:r>
      <w:r w:rsidRPr="00966EC1">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Pr>
          <w:rStyle w:val="Refdenotaalpie"/>
          <w:rFonts w:ascii="Palatino Linotype" w:hAnsi="Palatino Linotype"/>
          <w:i/>
          <w:color w:val="000000"/>
        </w:rPr>
        <w:footnoteReference w:id="4"/>
      </w:r>
      <w:r w:rsidRPr="00966EC1">
        <w:rPr>
          <w:rFonts w:ascii="Palatino Linotype" w:hAnsi="Palatino Linotype"/>
          <w:color w:val="000000"/>
        </w:rPr>
        <w:t>fomentando</w:t>
      </w:r>
      <w:r w:rsidRPr="00966EC1">
        <w:rPr>
          <w:rFonts w:ascii="Palatino Linotype" w:hAnsi="Palatino Linotype"/>
          <w:i/>
          <w:color w:val="000000"/>
        </w:rPr>
        <w:t xml:space="preserve"> la transparencia de las actividades estatales y </w:t>
      </w:r>
      <w:r w:rsidRPr="00966EC1">
        <w:rPr>
          <w:rFonts w:ascii="Palatino Linotype" w:hAnsi="Palatino Linotype"/>
          <w:color w:val="000000"/>
        </w:rPr>
        <w:t>promoviendo</w:t>
      </w:r>
      <w:r w:rsidRPr="00966EC1">
        <w:rPr>
          <w:rFonts w:ascii="Palatino Linotype" w:hAnsi="Palatino Linotype"/>
          <w:i/>
          <w:color w:val="000000"/>
        </w:rPr>
        <w:t xml:space="preserve"> la responsabilidad de los funcionarios sobre su gestión pública,</w:t>
      </w:r>
      <w:r>
        <w:rPr>
          <w:rStyle w:val="Refdenotaalpie"/>
          <w:rFonts w:ascii="Palatino Linotype" w:hAnsi="Palatino Linotype"/>
          <w:i/>
          <w:color w:val="000000"/>
        </w:rPr>
        <w:footnoteReference w:id="5"/>
      </w:r>
      <w:r w:rsidRPr="00966EC1">
        <w:rPr>
          <w:rFonts w:ascii="Palatino Linotype" w:hAnsi="Palatino Linotype"/>
          <w:color w:val="000000"/>
        </w:rPr>
        <w:t>que permite</w:t>
      </w:r>
      <w:r w:rsidRPr="00966EC1">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33F78683" w14:textId="77777777" w:rsidR="00211649" w:rsidRPr="00966EC1" w:rsidRDefault="00211649" w:rsidP="00211649">
      <w:pPr>
        <w:pStyle w:val="Prrafodelista"/>
        <w:tabs>
          <w:tab w:val="left" w:pos="0"/>
        </w:tabs>
        <w:spacing w:line="360" w:lineRule="auto"/>
        <w:ind w:left="0" w:right="49"/>
        <w:jc w:val="both"/>
        <w:rPr>
          <w:rFonts w:ascii="Palatino Linotype" w:eastAsia="MS Mincho" w:hAnsi="Palatino Linotype" w:cs="Times New Roman"/>
          <w:color w:val="000000"/>
        </w:rPr>
      </w:pPr>
    </w:p>
    <w:p w14:paraId="044EB3CA" w14:textId="77777777" w:rsidR="00211649" w:rsidRPr="00D9353C" w:rsidRDefault="00211649" w:rsidP="00211649">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4D5AE8">
        <w:rPr>
          <w:rFonts w:ascii="Palatino Linotype" w:hAnsi="Palatino Linotype"/>
          <w:color w:val="000000" w:themeColor="text1"/>
        </w:rPr>
        <w:t>En ese sentido, el derecho a la información constituye una prerrogativa a acceder a documentación en poder de los Sujetos Obligados. Sirve de apoyo a lo anterior la definición de derecho a la información de Ernesto Villanueva Villanueva que dice: “</w:t>
      </w:r>
      <w:r w:rsidRPr="004D5AE8">
        <w:rPr>
          <w:rFonts w:ascii="Palatino Linotype" w:hAnsi="Palatino Linotype"/>
          <w:i/>
          <w:iCs/>
          <w:color w:val="000000" w:themeColor="text1"/>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w:t>
      </w:r>
      <w:r w:rsidRPr="004D5AE8">
        <w:rPr>
          <w:rStyle w:val="Refdenotaalpie"/>
          <w:rFonts w:ascii="Palatino Linotype" w:hAnsi="Palatino Linotype"/>
          <w:i/>
          <w:iCs/>
          <w:color w:val="000000" w:themeColor="text1"/>
        </w:rPr>
        <w:footnoteReference w:id="6"/>
      </w:r>
      <w:r w:rsidRPr="004D5AE8">
        <w:rPr>
          <w:rFonts w:ascii="Palatino Linotype" w:hAnsi="Palatino Linotype"/>
          <w:i/>
          <w:iCs/>
          <w:color w:val="000000" w:themeColor="text1"/>
        </w:rPr>
        <w:t>.</w:t>
      </w:r>
    </w:p>
    <w:p w14:paraId="50D44083" w14:textId="77777777" w:rsidR="00DB6089" w:rsidRPr="00974197" w:rsidRDefault="00DB6089" w:rsidP="00DB6089">
      <w:pPr>
        <w:pStyle w:val="Prrafodelista"/>
        <w:tabs>
          <w:tab w:val="left" w:pos="0"/>
        </w:tabs>
        <w:spacing w:line="360" w:lineRule="auto"/>
        <w:ind w:left="0"/>
        <w:jc w:val="both"/>
        <w:rPr>
          <w:rFonts w:ascii="Palatino Linotype" w:eastAsia="Times New Roman" w:hAnsi="Palatino Linotype" w:cs="Arial"/>
          <w:color w:val="000000" w:themeColor="text1"/>
        </w:rPr>
      </w:pPr>
    </w:p>
    <w:p w14:paraId="79BBB668" w14:textId="77777777" w:rsidR="00DB6089" w:rsidRPr="004D5AE8" w:rsidRDefault="00DB6089" w:rsidP="00DB6089">
      <w:pPr>
        <w:pStyle w:val="Prrafodelista"/>
        <w:numPr>
          <w:ilvl w:val="0"/>
          <w:numId w:val="1"/>
        </w:numPr>
        <w:spacing w:before="240" w:after="360" w:line="360" w:lineRule="auto"/>
        <w:ind w:left="0" w:firstLine="0"/>
        <w:jc w:val="both"/>
        <w:rPr>
          <w:rFonts w:ascii="Palatino Linotype" w:hAnsi="Palatino Linotype" w:cs="Arial"/>
          <w:lang w:val="es-MX"/>
        </w:rPr>
      </w:pPr>
      <w:r w:rsidRPr="004D5AE8">
        <w:rPr>
          <w:rFonts w:ascii="Palatino Linotype" w:hAnsi="Palatino Linotype"/>
          <w:color w:val="000000" w:themeColor="text1"/>
        </w:rPr>
        <w:t>En esa virtud, -se reitera-el</w:t>
      </w:r>
      <w:r w:rsidRPr="004D5AE8">
        <w:rPr>
          <w:rStyle w:val="apple-converted-space"/>
          <w:rFonts w:ascii="Palatino Linotype" w:hAnsi="Palatino Linotype"/>
          <w:color w:val="000000" w:themeColor="text1"/>
        </w:rPr>
        <w:t xml:space="preserve"> </w:t>
      </w:r>
      <w:r w:rsidRPr="004D5AE8">
        <w:rPr>
          <w:rFonts w:ascii="Palatino Linotype" w:hAnsi="Palatino Linotype"/>
          <w:b/>
          <w:bCs/>
          <w:color w:val="000000" w:themeColor="text1"/>
        </w:rPr>
        <w:t>SUJETO OBLIGADO</w:t>
      </w:r>
      <w:r w:rsidRPr="004D5AE8">
        <w:rPr>
          <w:rStyle w:val="apple-converted-space"/>
          <w:rFonts w:ascii="Palatino Linotype" w:hAnsi="Palatino Linotype"/>
          <w:color w:val="000000" w:themeColor="text1"/>
        </w:rPr>
        <w:t xml:space="preserve"> </w:t>
      </w:r>
      <w:r w:rsidRPr="004D5AE8">
        <w:rPr>
          <w:rFonts w:ascii="Palatino Linotype" w:hAnsi="Palatino Linotype"/>
          <w:color w:val="000000" w:themeColor="text1"/>
        </w:rPr>
        <w:t>está constreñido a entregar los documentos en los que conste la información que sea generada, poseída o administrada en el ejercicio de sus atribuciones.</w:t>
      </w:r>
    </w:p>
    <w:p w14:paraId="3151A54D" w14:textId="77777777" w:rsidR="00DB6089" w:rsidRPr="004D5AE8" w:rsidRDefault="00DB6089" w:rsidP="00DB6089">
      <w:pPr>
        <w:pStyle w:val="Prrafodelista"/>
        <w:spacing w:before="240" w:after="360"/>
        <w:ind w:left="0"/>
        <w:jc w:val="both"/>
        <w:rPr>
          <w:rFonts w:ascii="Palatino Linotype" w:hAnsi="Palatino Linotype" w:cs="Arial"/>
          <w:lang w:val="es-MX"/>
        </w:rPr>
      </w:pPr>
    </w:p>
    <w:p w14:paraId="243F35A5" w14:textId="77777777" w:rsidR="00DB6089" w:rsidRPr="004D5AE8" w:rsidRDefault="00DB6089" w:rsidP="00DB6089">
      <w:pPr>
        <w:pStyle w:val="Prrafodelista"/>
        <w:numPr>
          <w:ilvl w:val="0"/>
          <w:numId w:val="1"/>
        </w:numPr>
        <w:spacing w:line="360" w:lineRule="auto"/>
        <w:ind w:left="0" w:right="49" w:firstLine="0"/>
        <w:jc w:val="both"/>
        <w:rPr>
          <w:rFonts w:ascii="Palatino Linotype" w:eastAsia="Calibri" w:hAnsi="Palatino Linotype" w:cs="Arial"/>
          <w:lang w:val="es-ES"/>
        </w:rPr>
      </w:pPr>
      <w:r w:rsidRPr="004D5AE8">
        <w:rPr>
          <w:rFonts w:ascii="Palatino Linotype" w:hAnsi="Palatino Linotype"/>
          <w:color w:val="000000" w:themeColor="text1"/>
        </w:rPr>
        <w:t xml:space="preserve">Robustece lo anterior expuesto el primer párrafo del artículo 160 de la </w:t>
      </w:r>
      <w:r w:rsidRPr="004D5AE8">
        <w:rPr>
          <w:rFonts w:ascii="Palatino Linotype" w:hAnsi="Palatino Linotype"/>
          <w:b/>
        </w:rPr>
        <w:t xml:space="preserve">Ley de Transparencia y Acceso a la Información Pública del Estado de México y Municipios, </w:t>
      </w:r>
      <w:r w:rsidRPr="004D5AE8">
        <w:rPr>
          <w:rFonts w:ascii="Palatino Linotype" w:hAnsi="Palatino Linotype" w:cs="Tahoma"/>
        </w:rPr>
        <w:t>que a la letra dispone:</w:t>
      </w:r>
    </w:p>
    <w:p w14:paraId="27F9B709" w14:textId="77777777" w:rsidR="00DB6089" w:rsidRPr="004D5AE8" w:rsidRDefault="00DB6089" w:rsidP="00DB6089">
      <w:pPr>
        <w:pStyle w:val="Prrafodelista"/>
        <w:spacing w:before="240" w:after="360"/>
        <w:ind w:left="0"/>
        <w:jc w:val="both"/>
        <w:rPr>
          <w:rFonts w:ascii="Palatino Linotype" w:hAnsi="Palatino Linotype" w:cs="Arial"/>
          <w:lang w:val="es-MX"/>
        </w:rPr>
      </w:pPr>
    </w:p>
    <w:p w14:paraId="31EFA1AC" w14:textId="77777777" w:rsidR="00DB6089" w:rsidRPr="004D5AE8" w:rsidRDefault="00DB6089" w:rsidP="00DB6089">
      <w:pPr>
        <w:pStyle w:val="Prrafodelista"/>
        <w:spacing w:before="240" w:after="360" w:line="360" w:lineRule="auto"/>
        <w:ind w:left="567" w:right="567"/>
        <w:jc w:val="both"/>
        <w:rPr>
          <w:rFonts w:ascii="Palatino Linotype" w:hAnsi="Palatino Linotype" w:cs="Arial"/>
          <w:i/>
          <w:sz w:val="22"/>
          <w:szCs w:val="22"/>
          <w:lang w:val="es-MX"/>
        </w:rPr>
      </w:pPr>
      <w:r w:rsidRPr="004D5AE8">
        <w:rPr>
          <w:rFonts w:ascii="Palatino Linotype" w:hAnsi="Palatino Linotype"/>
          <w:b/>
          <w:i/>
          <w:sz w:val="22"/>
          <w:szCs w:val="22"/>
        </w:rPr>
        <w:t>Artículo 160.</w:t>
      </w:r>
      <w:r w:rsidRPr="004D5AE8">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11A0F50" w14:textId="77777777" w:rsidR="00DB6089" w:rsidRPr="004D5AE8" w:rsidRDefault="00DB6089" w:rsidP="00DB6089">
      <w:pPr>
        <w:pStyle w:val="Prrafodelista"/>
        <w:spacing w:before="240" w:after="360"/>
        <w:ind w:left="0"/>
        <w:jc w:val="both"/>
        <w:rPr>
          <w:rFonts w:ascii="Palatino Linotype" w:hAnsi="Palatino Linotype" w:cs="Arial"/>
          <w:lang w:val="es-MX"/>
        </w:rPr>
      </w:pPr>
    </w:p>
    <w:p w14:paraId="6FCA4301" w14:textId="5AB815EA" w:rsidR="00DB6089" w:rsidRPr="00CD1EE8" w:rsidRDefault="00DB6089" w:rsidP="00DB6089">
      <w:pPr>
        <w:pStyle w:val="Prrafodelista"/>
        <w:numPr>
          <w:ilvl w:val="0"/>
          <w:numId w:val="1"/>
        </w:numPr>
        <w:spacing w:line="360" w:lineRule="auto"/>
        <w:ind w:left="0" w:firstLine="0"/>
        <w:jc w:val="both"/>
        <w:rPr>
          <w:rFonts w:ascii="Palatino Linotype" w:hAnsi="Palatino Linotype"/>
          <w:lang w:eastAsia="es-MX"/>
        </w:rPr>
      </w:pPr>
      <w:r w:rsidRPr="004D5AE8">
        <w:rPr>
          <w:rFonts w:ascii="Palatino Linotype" w:hAnsi="Palatino Linotype" w:cs="Arial"/>
          <w:lang w:val="es-MX"/>
        </w:rPr>
        <w:t xml:space="preserve">Así mismo cabe resaltar que si bien es cierto que el artículo 161 de la </w:t>
      </w:r>
      <w:r w:rsidRPr="004D5AE8">
        <w:rPr>
          <w:rFonts w:ascii="Palatino Linotype" w:hAnsi="Palatino Linotype"/>
          <w:b/>
        </w:rPr>
        <w:t>Ley de Transparencia y Acceso a la Información Pública del Estado de México y Municipios</w:t>
      </w:r>
      <w:r w:rsidRPr="004D5AE8">
        <w:rPr>
          <w:rFonts w:ascii="Palatino Linotype" w:hAnsi="Palatino Linotype"/>
        </w:rPr>
        <w:t xml:space="preserve"> señala que “</w:t>
      </w:r>
      <w:r w:rsidRPr="004D5AE8">
        <w:rPr>
          <w:rFonts w:ascii="Palatino Linotype" w:hAnsi="Palatino Linotype"/>
          <w:i/>
        </w:rPr>
        <w:t>cuando la información requerida por el solicitante ya esté disponible al público en medios impresos, tales como libros, compendios, trípticos, registros públicos</w:t>
      </w:r>
      <w:r w:rsidRPr="004D5AE8">
        <w:rPr>
          <w:rFonts w:ascii="Palatino Linotype" w:hAnsi="Palatino Linotype"/>
          <w:i/>
          <w:u w:val="single"/>
        </w:rPr>
        <w:t>, en formatos electrónicos disponibles en Internet</w:t>
      </w:r>
      <w:r w:rsidRPr="004D5AE8">
        <w:rPr>
          <w:rFonts w:ascii="Palatino Linotype" w:hAnsi="Palatino Linotype"/>
          <w:i/>
        </w:rPr>
        <w:t xml:space="preserve"> o en cualquier otro medio, se le hará saber por el medio requerido por el solicitante la fuente, el lugar y la forma en que puede consultar, reproducir o adquirir dicha información </w:t>
      </w:r>
      <w:r w:rsidRPr="00B17A3F">
        <w:rPr>
          <w:rFonts w:ascii="Palatino Linotype" w:hAnsi="Palatino Linotype"/>
          <w:b/>
          <w:i/>
          <w:u w:val="single"/>
        </w:rPr>
        <w:t>en un plazo no mayor a cinco días</w:t>
      </w:r>
      <w:r w:rsidRPr="004D5AE8">
        <w:rPr>
          <w:rFonts w:ascii="Palatino Linotype" w:hAnsi="Palatino Linotype"/>
          <w:i/>
        </w:rPr>
        <w:t xml:space="preserve"> hábiles”</w:t>
      </w:r>
      <w:r w:rsidRPr="004D5AE8">
        <w:rPr>
          <w:rFonts w:ascii="Palatino Linotype" w:hAnsi="Palatino Linotype"/>
        </w:rPr>
        <w:t xml:space="preserve"> </w:t>
      </w:r>
      <w:r w:rsidRPr="004D5AE8">
        <w:rPr>
          <w:rFonts w:ascii="Palatino Linotype" w:hAnsi="Palatino Linotype"/>
          <w:b/>
          <w:u w:val="single"/>
        </w:rPr>
        <w:t>también lo es</w:t>
      </w:r>
      <w:r w:rsidRPr="004D5AE8">
        <w:rPr>
          <w:rFonts w:ascii="Palatino Linotype" w:hAnsi="Palatino Linotype"/>
        </w:rPr>
        <w:t xml:space="preserve"> que de la misma forma dispone que “</w:t>
      </w:r>
      <w:r w:rsidRPr="004D5AE8">
        <w:rPr>
          <w:rFonts w:ascii="Palatino Linotype" w:hAnsi="Palatino Linotype"/>
          <w:b/>
          <w:i/>
          <w:u w:val="single"/>
        </w:rPr>
        <w:t>la fuente deberá ser precisa y concreta y no debe implicar que el solicitante realice una búsqueda en toda la información que se encuentre disponible</w:t>
      </w:r>
      <w:r w:rsidRPr="004D5AE8">
        <w:rPr>
          <w:rFonts w:ascii="Palatino Linotype" w:hAnsi="Palatino Linotype"/>
        </w:rPr>
        <w:t>” situación que n</w:t>
      </w:r>
      <w:r>
        <w:rPr>
          <w:rFonts w:ascii="Palatino Linotype" w:hAnsi="Palatino Linotype"/>
        </w:rPr>
        <w:t xml:space="preserve">o ocurrió en el presente asunto, </w:t>
      </w:r>
      <w:r w:rsidRPr="006F1F52">
        <w:rPr>
          <w:rFonts w:ascii="Palatino Linotype" w:eastAsia="MS Mincho" w:hAnsi="Palatino Linotype" w:cs="Times New Roman"/>
        </w:rPr>
        <w:t xml:space="preserve">lo que implica la transgresión </w:t>
      </w:r>
      <w:r w:rsidRPr="006F1F52">
        <w:rPr>
          <w:rFonts w:ascii="Palatino Linotype" w:eastAsia="MS Mincho" w:hAnsi="Palatino Linotype" w:cs="Times New Roman"/>
        </w:rPr>
        <w:lastRenderedPageBreak/>
        <w:t>al der</w:t>
      </w:r>
      <w:r>
        <w:rPr>
          <w:rFonts w:ascii="Palatino Linotype" w:eastAsia="MS Mincho" w:hAnsi="Palatino Linotype" w:cs="Times New Roman"/>
        </w:rPr>
        <w:t>echo de acceso a la información, por lo que es procedente ordenar la entrega del documento donde conste</w:t>
      </w:r>
      <w:r w:rsidR="00BF36A7">
        <w:rPr>
          <w:rFonts w:ascii="Palatino Linotype" w:eastAsia="MS Mincho" w:hAnsi="Palatino Linotype" w:cs="Times New Roman"/>
        </w:rPr>
        <w:t>n</w:t>
      </w:r>
      <w:r>
        <w:rPr>
          <w:rFonts w:ascii="Palatino Linotype" w:eastAsia="MS Mincho" w:hAnsi="Palatino Linotype" w:cs="Times New Roman"/>
        </w:rPr>
        <w:t xml:space="preserve"> </w:t>
      </w:r>
      <w:r w:rsidR="00BF36A7">
        <w:rPr>
          <w:rFonts w:ascii="Palatino Linotype" w:eastAsia="MS Mincho" w:hAnsi="Palatino Linotype" w:cs="Times New Roman"/>
        </w:rPr>
        <w:t xml:space="preserve">las remuneraciones brutas y netas de todos los servidores públicos que integran la </w:t>
      </w:r>
      <w:r w:rsidR="00BF36A7" w:rsidRPr="00BF36A7">
        <w:rPr>
          <w:rFonts w:ascii="Palatino Linotype" w:eastAsia="MS Mincho" w:hAnsi="Palatino Linotype" w:cs="Times New Roman"/>
          <w:b/>
        </w:rPr>
        <w:t>Fiscalía General de Justicia del Estado de México</w:t>
      </w:r>
      <w:r>
        <w:rPr>
          <w:rFonts w:ascii="Palatino Linotype" w:hAnsi="Palatino Linotype"/>
          <w:color w:val="000000"/>
        </w:rPr>
        <w:t>.</w:t>
      </w:r>
    </w:p>
    <w:p w14:paraId="3D79807D" w14:textId="77777777" w:rsidR="00DB6089" w:rsidRPr="00CD1EE8" w:rsidRDefault="00DB6089" w:rsidP="00DB6089">
      <w:pPr>
        <w:pStyle w:val="Prrafodelista"/>
        <w:spacing w:line="360" w:lineRule="auto"/>
        <w:ind w:left="0"/>
        <w:jc w:val="both"/>
        <w:rPr>
          <w:rFonts w:ascii="Palatino Linotype" w:hAnsi="Palatino Linotype"/>
          <w:lang w:eastAsia="es-MX"/>
        </w:rPr>
      </w:pPr>
    </w:p>
    <w:p w14:paraId="79431073" w14:textId="77777777" w:rsidR="00DB6089" w:rsidRPr="006F1F52" w:rsidRDefault="00DB6089" w:rsidP="00DB6089">
      <w:pPr>
        <w:pStyle w:val="Prrafodelista"/>
        <w:numPr>
          <w:ilvl w:val="0"/>
          <w:numId w:val="1"/>
        </w:numPr>
        <w:spacing w:line="360" w:lineRule="auto"/>
        <w:ind w:left="0" w:firstLine="0"/>
        <w:jc w:val="both"/>
        <w:rPr>
          <w:rFonts w:ascii="Palatino Linotype" w:hAnsi="Palatino Linotype"/>
          <w:lang w:eastAsia="es-MX"/>
        </w:rPr>
      </w:pPr>
      <w:r w:rsidRPr="006F1F52">
        <w:rPr>
          <w:rFonts w:ascii="Palatino Linotype" w:eastAsia="MS Mincho" w:hAnsi="Palatino Linotype" w:cs="Times New Roman"/>
        </w:rPr>
        <w:t>En atención a lo anterior expuesto es pertinente señalar que el párrafo primero del artículo 11 de la</w:t>
      </w:r>
      <w:r w:rsidRPr="006F1F52">
        <w:rPr>
          <w:rFonts w:ascii="Palatino Linotype" w:hAnsi="Palatino Linotype"/>
        </w:rPr>
        <w:t xml:space="preserve"> </w:t>
      </w:r>
      <w:r w:rsidRPr="006F1F52">
        <w:rPr>
          <w:rFonts w:ascii="Palatino Linotype" w:hAnsi="Palatino Linotype"/>
          <w:b/>
        </w:rPr>
        <w:t>Ley de Transparencia y Acceso a la Información Pública del Estado de México y Municipios</w:t>
      </w:r>
      <w:r w:rsidRPr="006F1F52">
        <w:rPr>
          <w:rFonts w:ascii="Palatino Linotype" w:hAnsi="Palatino Linotype"/>
        </w:rPr>
        <w:t xml:space="preserve"> , misma que dispone las formas en que se habrá de generar, publicar y hacer entrega de la información al señalar que </w:t>
      </w:r>
      <w:r w:rsidRPr="006F1F52">
        <w:rPr>
          <w:rFonts w:ascii="Palatino Linotype" w:eastAsia="Calibri" w:hAnsi="Palatino Linotype" w:cs="Arial"/>
          <w:lang w:val="es-ES"/>
        </w:rPr>
        <w:t>“</w:t>
      </w:r>
      <w:r w:rsidRPr="006F1F52">
        <w:rPr>
          <w:rFonts w:ascii="Palatino Linotype" w:hAnsi="Palatino Linotype"/>
          <w:i/>
        </w:rPr>
        <w:t xml:space="preserve">En la generación, publicación y </w:t>
      </w:r>
      <w:r w:rsidRPr="006F1F52">
        <w:rPr>
          <w:rFonts w:ascii="Palatino Linotype" w:hAnsi="Palatino Linotype"/>
          <w:b/>
          <w:i/>
          <w:u w:val="single"/>
        </w:rPr>
        <w:t>entrega de información</w:t>
      </w:r>
      <w:r w:rsidRPr="006F1F52">
        <w:rPr>
          <w:rFonts w:ascii="Palatino Linotype" w:hAnsi="Palatino Linotype"/>
          <w:i/>
        </w:rPr>
        <w:t xml:space="preserve"> se deberá garantizar que ésta sea accesible, actualizada, </w:t>
      </w:r>
      <w:r w:rsidRPr="00BF36A7">
        <w:rPr>
          <w:rFonts w:ascii="Palatino Linotype" w:hAnsi="Palatino Linotype"/>
          <w:i/>
        </w:rPr>
        <w:t>completa,</w:t>
      </w:r>
      <w:r w:rsidRPr="006F1F52">
        <w:rPr>
          <w:rFonts w:ascii="Palatino Linotype" w:hAnsi="Palatino Linotype"/>
          <w:i/>
        </w:rPr>
        <w:t xml:space="preserve"> </w:t>
      </w:r>
      <w:r w:rsidRPr="00BF36A7">
        <w:rPr>
          <w:rFonts w:ascii="Palatino Linotype" w:hAnsi="Palatino Linotype"/>
          <w:b/>
          <w:i/>
          <w:u w:val="single"/>
        </w:rPr>
        <w:t>congruente, confiable, verificable</w:t>
      </w:r>
      <w:r w:rsidRPr="006F1F52">
        <w:rPr>
          <w:rFonts w:ascii="Palatino Linotype" w:hAnsi="Palatino Linotype"/>
          <w:i/>
        </w:rPr>
        <w:t xml:space="preserve">, veraz, </w:t>
      </w:r>
      <w:r w:rsidRPr="00BF36A7">
        <w:rPr>
          <w:rFonts w:ascii="Palatino Linotype" w:hAnsi="Palatino Linotype"/>
          <w:i/>
        </w:rPr>
        <w:t>integral</w:t>
      </w:r>
      <w:r w:rsidRPr="006F1F52">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1CDB1234" w14:textId="77777777" w:rsidR="00DB6089" w:rsidRDefault="00DB6089" w:rsidP="00DB6089">
      <w:pPr>
        <w:pStyle w:val="Prrafodelista"/>
        <w:spacing w:before="240" w:line="360" w:lineRule="auto"/>
        <w:ind w:left="0" w:right="49"/>
        <w:jc w:val="both"/>
        <w:rPr>
          <w:rFonts w:ascii="Palatino Linotype" w:eastAsia="Calibri" w:hAnsi="Palatino Linotype" w:cs="Arial"/>
          <w:lang w:val="es-ES"/>
        </w:rPr>
      </w:pPr>
    </w:p>
    <w:p w14:paraId="1B560346" w14:textId="77777777" w:rsidR="00DB6089" w:rsidRPr="006F1F52" w:rsidRDefault="00DB6089" w:rsidP="00DB6089">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Pr>
          <w:rFonts w:ascii="Palatino Linotype" w:eastAsia="MS Mincho" w:hAnsi="Palatino Linotype" w:cs="Times New Roman"/>
        </w:rPr>
        <w:t xml:space="preserve">De ello se advierte que la respuesta de todos los Sujetos Obligados a una solicitud de Acceso a la Información Pública debe ser completa </w:t>
      </w:r>
      <w:r>
        <w:rPr>
          <w:rFonts w:ascii="Palatino Linotype" w:hAnsi="Palatino Linotype"/>
        </w:rPr>
        <w:t>confiable, accesible, verificable, veraz, integral</w:t>
      </w:r>
      <w:r>
        <w:rPr>
          <w:rFonts w:ascii="Palatino Linotype" w:eastAsia="MS Mincho" w:hAnsi="Palatino Linotype" w:cs="Times New Roman"/>
        </w:rPr>
        <w:t xml:space="preserve"> y congruente con lo requerido, de lo contrario se contravendría el artículo 11 de la Ley de Transparencia Local.</w:t>
      </w:r>
    </w:p>
    <w:p w14:paraId="4DC8589D" w14:textId="77777777" w:rsidR="00DB6089" w:rsidRPr="006F1F52" w:rsidRDefault="00DB6089" w:rsidP="00DB6089">
      <w:pPr>
        <w:pStyle w:val="Prrafodelista"/>
        <w:spacing w:before="240" w:after="240" w:line="360" w:lineRule="auto"/>
        <w:ind w:left="0" w:right="49"/>
        <w:jc w:val="both"/>
        <w:rPr>
          <w:rFonts w:ascii="Palatino Linotype" w:eastAsia="Calibri" w:hAnsi="Palatino Linotype" w:cs="Arial"/>
          <w:u w:val="single"/>
          <w:lang w:val="es-ES"/>
        </w:rPr>
      </w:pPr>
    </w:p>
    <w:p w14:paraId="19FC641E" w14:textId="77777777" w:rsidR="00DB6089" w:rsidRPr="004D5AE8" w:rsidRDefault="00DB6089" w:rsidP="00DB6089">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6F1F52">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w:t>
      </w:r>
      <w:r w:rsidRPr="006F1F52">
        <w:rPr>
          <w:rFonts w:ascii="Palatino Linotype" w:hAnsi="Palatino Linotype"/>
          <w:b/>
          <w:u w:val="single"/>
          <w:lang w:eastAsia="es-MX"/>
        </w:rPr>
        <w:t>las respuestas imprecisas</w:t>
      </w:r>
      <w:r w:rsidRPr="006F1F52">
        <w:rPr>
          <w:rFonts w:ascii="Palatino Linotype" w:hAnsi="Palatino Linotype"/>
          <w:lang w:eastAsia="es-MX"/>
        </w:rPr>
        <w:t xml:space="preserve">, incompletas, o que </w:t>
      </w:r>
      <w:r w:rsidRPr="006F1F52">
        <w:rPr>
          <w:rFonts w:ascii="Palatino Linotype" w:hAnsi="Palatino Linotype"/>
          <w:lang w:eastAsia="es-MX"/>
        </w:rPr>
        <w:lastRenderedPageBreak/>
        <w:t xml:space="preserve">no corresponden a lo solicitado </w:t>
      </w:r>
      <w:r w:rsidRPr="006F1F52">
        <w:rPr>
          <w:rFonts w:ascii="Palatino Linotype" w:hAnsi="Palatino Linotype"/>
          <w:b/>
          <w:u w:val="single"/>
          <w:lang w:eastAsia="es-MX"/>
        </w:rPr>
        <w:t>generan una afectación inicial susceptible de ser reparada mediante el recurso de revisión</w:t>
      </w:r>
      <w:r w:rsidRPr="006F1F52">
        <w:rPr>
          <w:rFonts w:ascii="Palatino Linotype" w:hAnsi="Palatino Linotype"/>
          <w:lang w:eastAsia="es-MX"/>
        </w:rPr>
        <w:t>.</w:t>
      </w:r>
    </w:p>
    <w:p w14:paraId="0B26ECE5" w14:textId="77777777" w:rsidR="00DB6089" w:rsidRPr="008737E9" w:rsidRDefault="00DB6089" w:rsidP="00DB6089">
      <w:pPr>
        <w:pStyle w:val="Prrafodelista"/>
        <w:rPr>
          <w:rFonts w:ascii="Palatino Linotype" w:hAnsi="Palatino Linotype"/>
        </w:rPr>
      </w:pPr>
    </w:p>
    <w:p w14:paraId="6D4D8B55" w14:textId="3EFDF97C" w:rsidR="00DB6089" w:rsidRDefault="0037271B" w:rsidP="00AB4F6A">
      <w:pPr>
        <w:pStyle w:val="Prrafodelista"/>
        <w:numPr>
          <w:ilvl w:val="0"/>
          <w:numId w:val="1"/>
        </w:numPr>
        <w:tabs>
          <w:tab w:val="left" w:pos="567"/>
        </w:tabs>
        <w:spacing w:before="240" w:after="240" w:line="360" w:lineRule="auto"/>
        <w:ind w:left="0" w:firstLine="0"/>
        <w:jc w:val="both"/>
        <w:rPr>
          <w:rFonts w:ascii="Palatino Linotype" w:hAnsi="Palatino Linotype"/>
        </w:rPr>
      </w:pPr>
      <w:r>
        <w:rPr>
          <w:rFonts w:ascii="Palatino Linotype" w:hAnsi="Palatino Linotype"/>
        </w:rPr>
        <w:t>Una vez expuesto lo anterior,</w:t>
      </w:r>
      <w:r w:rsidRPr="0037271B">
        <w:rPr>
          <w:rFonts w:ascii="Palatino Linotype" w:hAnsi="Palatino Linotype"/>
        </w:rPr>
        <w:t xml:space="preserve"> </w:t>
      </w:r>
      <w:r>
        <w:rPr>
          <w:rFonts w:ascii="Palatino Linotype" w:hAnsi="Palatino Linotype"/>
        </w:rPr>
        <w:t xml:space="preserve">es de advertirse que el </w:t>
      </w:r>
      <w:r w:rsidRPr="00CF116C">
        <w:rPr>
          <w:rFonts w:ascii="Palatino Linotype" w:hAnsi="Palatino Linotype"/>
          <w:b/>
        </w:rPr>
        <w:t>SUJETO OBLIGADO</w:t>
      </w:r>
      <w:r>
        <w:rPr>
          <w:rFonts w:ascii="Palatino Linotype" w:hAnsi="Palatino Linotype"/>
        </w:rPr>
        <w:t xml:space="preserve"> hace nugatorio el Derecho de Acceso a la Información Pública, pues los </w:t>
      </w:r>
      <w:r w:rsidR="00C41C75">
        <w:rPr>
          <w:rFonts w:ascii="Palatino Linotype" w:hAnsi="Palatino Linotype"/>
        </w:rPr>
        <w:t>Acuerdos</w:t>
      </w:r>
      <w:r>
        <w:rPr>
          <w:rFonts w:ascii="Palatino Linotype" w:hAnsi="Palatino Linotype"/>
        </w:rPr>
        <w:t xml:space="preserve"> señalados </w:t>
      </w:r>
      <w:r w:rsidR="00BF36A7">
        <w:rPr>
          <w:rFonts w:ascii="Palatino Linotype" w:hAnsi="Palatino Linotype"/>
        </w:rPr>
        <w:t xml:space="preserve">en respuesta </w:t>
      </w:r>
      <w:r w:rsidR="00C41C75">
        <w:rPr>
          <w:rFonts w:ascii="Palatino Linotype" w:hAnsi="Palatino Linotype"/>
        </w:rPr>
        <w:t>en efecto no se encuentran publicados</w:t>
      </w:r>
      <w:r>
        <w:rPr>
          <w:rFonts w:ascii="Palatino Linotype" w:hAnsi="Palatino Linotype"/>
        </w:rPr>
        <w:t xml:space="preserve">, y delegar la tarea </w:t>
      </w:r>
      <w:r w:rsidR="00CF116C">
        <w:rPr>
          <w:rFonts w:ascii="Palatino Linotype" w:hAnsi="Palatino Linotype"/>
        </w:rPr>
        <w:t xml:space="preserve">a los particulares </w:t>
      </w:r>
      <w:r>
        <w:rPr>
          <w:rFonts w:ascii="Palatino Linotype" w:hAnsi="Palatino Linotype"/>
        </w:rPr>
        <w:t xml:space="preserve">de buscar cada uno de ellos en los motores de búsqueda electrónicos, propicia una doble afectación a dicho Derecho Humano, bajo esa tesitura si bien se sabe que las publicaciones </w:t>
      </w:r>
      <w:r w:rsidR="00CF116C">
        <w:rPr>
          <w:rFonts w:ascii="Palatino Linotype" w:hAnsi="Palatino Linotype"/>
        </w:rPr>
        <w:t xml:space="preserve">realizadas en el Periódico Oficial “Gaceta del Gobierno” son esfera de competencia de la Secretaría de Justicia y Derechos Humanos y resulta plausible que </w:t>
      </w:r>
      <w:r w:rsidR="008737E9">
        <w:rPr>
          <w:rFonts w:ascii="Palatino Linotype" w:hAnsi="Palatino Linotype"/>
        </w:rPr>
        <w:t>la Titular de la Unidad de Transparencia cuente</w:t>
      </w:r>
      <w:r w:rsidR="00CF116C">
        <w:rPr>
          <w:rFonts w:ascii="Palatino Linotype" w:hAnsi="Palatino Linotype"/>
        </w:rPr>
        <w:t xml:space="preserve"> con dichos conocimientos básicos de Derecho, también lo es que no es procedente que se realice éste tipo de orientación </w:t>
      </w:r>
      <w:r w:rsidR="00BF36A7">
        <w:rPr>
          <w:rFonts w:ascii="Palatino Linotype" w:hAnsi="Palatino Linotype"/>
        </w:rPr>
        <w:t xml:space="preserve">en el informe justificado </w:t>
      </w:r>
      <w:r w:rsidR="00CF116C">
        <w:rPr>
          <w:rFonts w:ascii="Palatino Linotype" w:hAnsi="Palatino Linotype"/>
        </w:rPr>
        <w:t xml:space="preserve">cuando </w:t>
      </w:r>
      <w:r w:rsidR="00BF36A7">
        <w:rPr>
          <w:rFonts w:ascii="Palatino Linotype" w:hAnsi="Palatino Linotype"/>
        </w:rPr>
        <w:t>–se insiste-</w:t>
      </w:r>
      <w:r w:rsidR="00CF116C">
        <w:rPr>
          <w:rFonts w:ascii="Palatino Linotype" w:hAnsi="Palatino Linotype"/>
        </w:rPr>
        <w:t xml:space="preserve">el propio servidor público indicó en su respuesta la fecha y número de los decretos sin haberlos entregado y peor aún sin que ellos </w:t>
      </w:r>
      <w:r w:rsidR="00BF36A7">
        <w:rPr>
          <w:rFonts w:ascii="Palatino Linotype" w:hAnsi="Palatino Linotype"/>
        </w:rPr>
        <w:t>se encuentren publicados a la ciudadanía</w:t>
      </w:r>
      <w:r w:rsidR="00CF116C">
        <w:rPr>
          <w:rFonts w:ascii="Palatino Linotype" w:hAnsi="Palatino Linotype"/>
        </w:rPr>
        <w:t>.</w:t>
      </w:r>
    </w:p>
    <w:p w14:paraId="334FA57E" w14:textId="77777777" w:rsidR="00395C5C" w:rsidRPr="00BE1028" w:rsidRDefault="00395C5C" w:rsidP="00BE1028">
      <w:pPr>
        <w:pStyle w:val="Prrafodelista"/>
        <w:tabs>
          <w:tab w:val="left" w:pos="0"/>
        </w:tabs>
        <w:spacing w:line="360" w:lineRule="auto"/>
        <w:ind w:left="0" w:right="49"/>
        <w:jc w:val="both"/>
        <w:rPr>
          <w:rFonts w:ascii="Palatino Linotype" w:eastAsia="MS Mincho" w:hAnsi="Palatino Linotype" w:cs="Times New Roman"/>
          <w:color w:val="000000"/>
        </w:rPr>
      </w:pPr>
    </w:p>
    <w:p w14:paraId="63A798BE" w14:textId="3E4B97DB" w:rsidR="00D9353C" w:rsidRPr="00211649" w:rsidRDefault="00D9353C" w:rsidP="00D9353C">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Pr>
          <w:rFonts w:ascii="Palatino Linotype" w:hAnsi="Palatino Linotype"/>
        </w:rPr>
        <w:t xml:space="preserve">En atención a ello, es menester precisar que </w:t>
      </w:r>
      <w:r w:rsidRPr="00E47780">
        <w:rPr>
          <w:rFonts w:ascii="Palatino Linotype" w:hAnsi="Palatino Linotype"/>
        </w:rPr>
        <w:t>este</w:t>
      </w:r>
      <w:r>
        <w:rPr>
          <w:rFonts w:ascii="Palatino Linotype" w:hAnsi="Palatino Linotype"/>
        </w:rPr>
        <w:t xml:space="preserve"> </w:t>
      </w:r>
      <w:r w:rsidRPr="00134788">
        <w:rPr>
          <w:rFonts w:ascii="Palatino Linotype" w:eastAsia="MS Mincho" w:hAnsi="Palatino Linotype" w:cs="Times New Roman"/>
          <w:color w:val="000000"/>
        </w:rPr>
        <w:t>Órgano Garante</w:t>
      </w:r>
      <w:r>
        <w:rPr>
          <w:rFonts w:ascii="Palatino Linotype" w:eastAsia="MS Mincho" w:hAnsi="Palatino Linotype" w:cs="Times New Roman"/>
          <w:color w:val="000000"/>
        </w:rPr>
        <w:t xml:space="preserve"> parte de </w:t>
      </w:r>
      <w:r w:rsidRPr="00134788">
        <w:rPr>
          <w:rFonts w:ascii="Palatino Linotype" w:eastAsia="MS Mincho" w:hAnsi="Palatino Linotype" w:cs="Times New Roman"/>
          <w:color w:val="000000"/>
        </w:rPr>
        <w:t xml:space="preserve">que </w:t>
      </w:r>
      <w:r w:rsidRPr="00134788">
        <w:rPr>
          <w:rFonts w:ascii="Palatino Linotype" w:eastAsia="Times New Roman" w:hAnsi="Palatino Linotype" w:cs="Arial"/>
          <w:color w:val="000000"/>
          <w:lang w:eastAsia="es-MX"/>
        </w:rPr>
        <w:t>el Derecho de Acceso a la Información Pública, es un derecho humano reconocido en el Pacto de Derechos Civiles</w:t>
      </w:r>
      <w:r>
        <w:rPr>
          <w:rFonts w:ascii="Palatino Linotype" w:eastAsia="Times New Roman" w:hAnsi="Palatino Linotype" w:cs="Arial"/>
          <w:color w:val="000000"/>
          <w:lang w:eastAsia="es-MX"/>
        </w:rPr>
        <w:t xml:space="preserve"> y Políticos en su artículo 19, numeral 2</w:t>
      </w:r>
      <w:r w:rsidRPr="00134788">
        <w:rPr>
          <w:rFonts w:ascii="Palatino Linotype" w:eastAsia="Times New Roman" w:hAnsi="Palatino Linotype" w:cs="Arial"/>
          <w:color w:val="000000"/>
          <w:lang w:eastAsia="es-MX"/>
        </w:rPr>
        <w:t>; en la Convención Americana sobre Derechos Humanos en s</w:t>
      </w:r>
      <w:r>
        <w:rPr>
          <w:rFonts w:ascii="Palatino Linotype" w:eastAsia="Times New Roman" w:hAnsi="Palatino Linotype" w:cs="Arial"/>
          <w:color w:val="000000"/>
          <w:lang w:eastAsia="es-MX"/>
        </w:rPr>
        <w:t>u artículo 13, numeral 1</w:t>
      </w:r>
      <w:r w:rsidRPr="00134788">
        <w:rPr>
          <w:rFonts w:ascii="Palatino Linotype" w:eastAsia="Times New Roman" w:hAnsi="Palatino Linotype" w:cs="Arial"/>
          <w:color w:val="000000"/>
          <w:lang w:eastAsia="es-MX"/>
        </w:rPr>
        <w:t>; en el artículo sexto de la Constitución Política de los Estados Unidos M</w:t>
      </w:r>
      <w:r>
        <w:rPr>
          <w:rFonts w:ascii="Palatino Linotype" w:eastAsia="Times New Roman" w:hAnsi="Palatino Linotype" w:cs="Arial"/>
          <w:color w:val="000000"/>
          <w:lang w:eastAsia="es-MX"/>
        </w:rPr>
        <w:t>exicanos y en el artículo 5°</w:t>
      </w:r>
      <w:r w:rsidRPr="00134788">
        <w:rPr>
          <w:rFonts w:ascii="Palatino Linotype" w:eastAsia="Times New Roman" w:hAnsi="Palatino Linotype" w:cs="Arial"/>
          <w:color w:val="000000"/>
          <w:lang w:eastAsia="es-MX"/>
        </w:rPr>
        <w:t xml:space="preserve"> de la Particular del Estado de México, por lo que al respecto el</w:t>
      </w:r>
      <w:r w:rsidRPr="00134788">
        <w:rPr>
          <w:rFonts w:ascii="Palatino Linotype" w:eastAsia="Times New Roman" w:hAnsi="Palatino Linotype" w:cs="Arial"/>
          <w:color w:val="000000"/>
        </w:rPr>
        <w:t xml:space="preserve"> </w:t>
      </w:r>
      <w:r w:rsidRPr="00134788">
        <w:rPr>
          <w:rFonts w:ascii="Palatino Linotype" w:eastAsia="Times New Roman" w:hAnsi="Palatino Linotype" w:cs="Arial"/>
          <w:b/>
          <w:color w:val="000000"/>
        </w:rPr>
        <w:t>SUJETO OBLIGADO</w:t>
      </w:r>
      <w:r w:rsidRPr="00134788">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w:t>
      </w:r>
      <w:r w:rsidRPr="00134788">
        <w:rPr>
          <w:rFonts w:ascii="Palatino Linotype" w:eastAsia="Times New Roman" w:hAnsi="Palatino Linotype" w:cs="Arial"/>
          <w:color w:val="000000"/>
        </w:rPr>
        <w:lastRenderedPageBreak/>
        <w:t xml:space="preserve">lo dispone el tercer párrafo del artículo primero de la </w:t>
      </w:r>
      <w:r w:rsidRPr="00134788">
        <w:rPr>
          <w:rFonts w:ascii="Palatino Linotype" w:eastAsia="Times New Roman" w:hAnsi="Palatino Linotype" w:cs="Arial"/>
          <w:b/>
          <w:color w:val="000000"/>
        </w:rPr>
        <w:t xml:space="preserve">Constitución Política de los Estados Unidos Mexicanos </w:t>
      </w:r>
      <w:r w:rsidRPr="00134788">
        <w:rPr>
          <w:rFonts w:ascii="Palatino Linotype" w:eastAsia="Times New Roman" w:hAnsi="Palatino Linotype" w:cs="Arial"/>
          <w:color w:val="000000"/>
        </w:rPr>
        <w:t xml:space="preserve">al señalar la obligación de “promover, </w:t>
      </w:r>
      <w:r w:rsidRPr="00134788">
        <w:rPr>
          <w:rFonts w:ascii="Palatino Linotype" w:eastAsia="Times New Roman" w:hAnsi="Palatino Linotype" w:cs="Arial"/>
          <w:b/>
          <w:color w:val="000000"/>
        </w:rPr>
        <w:t>respetar</w:t>
      </w:r>
      <w:r w:rsidRPr="00134788">
        <w:rPr>
          <w:rFonts w:ascii="Palatino Linotype" w:eastAsia="Times New Roman" w:hAnsi="Palatino Linotype" w:cs="Arial"/>
          <w:color w:val="000000"/>
        </w:rPr>
        <w:t xml:space="preserve">, proteger y </w:t>
      </w:r>
      <w:r w:rsidRPr="00134788">
        <w:rPr>
          <w:rFonts w:ascii="Palatino Linotype" w:eastAsia="Times New Roman" w:hAnsi="Palatino Linotype" w:cs="Arial"/>
          <w:b/>
          <w:color w:val="000000"/>
        </w:rPr>
        <w:t>garantizar</w:t>
      </w:r>
      <w:r w:rsidRPr="00134788">
        <w:rPr>
          <w:rFonts w:ascii="Palatino Linotype" w:eastAsia="Times New Roman" w:hAnsi="Palatino Linotype" w:cs="Arial"/>
          <w:color w:val="000000"/>
        </w:rPr>
        <w:t xml:space="preserve"> los derechos humanos”, entre los cua</w:t>
      </w:r>
      <w:r>
        <w:rPr>
          <w:rFonts w:ascii="Palatino Linotype" w:eastAsia="Times New Roman" w:hAnsi="Palatino Linotype" w:cs="Arial"/>
          <w:color w:val="000000"/>
        </w:rPr>
        <w:t>les se encuentra dicho derecho.</w:t>
      </w:r>
    </w:p>
    <w:p w14:paraId="70B19FD6" w14:textId="77777777" w:rsidR="00211649" w:rsidRPr="00211649" w:rsidRDefault="00211649" w:rsidP="00211649">
      <w:pPr>
        <w:pStyle w:val="Prrafodelista"/>
        <w:tabs>
          <w:tab w:val="left" w:pos="0"/>
        </w:tabs>
        <w:spacing w:line="360" w:lineRule="auto"/>
        <w:ind w:left="0" w:right="49"/>
        <w:jc w:val="both"/>
        <w:rPr>
          <w:rFonts w:ascii="Palatino Linotype" w:eastAsia="MS Mincho" w:hAnsi="Palatino Linotype" w:cs="Times New Roman"/>
          <w:color w:val="000000"/>
        </w:rPr>
      </w:pPr>
    </w:p>
    <w:p w14:paraId="1EF9EC1C" w14:textId="77777777" w:rsidR="00D9353C" w:rsidRPr="00362D40" w:rsidRDefault="00D9353C" w:rsidP="00D9353C">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966EC1">
        <w:rPr>
          <w:rFonts w:ascii="Palatino Linotype" w:eastAsia="Times New Roman" w:hAnsi="Palatino Linotype"/>
        </w:rPr>
        <w:t xml:space="preserve">En este orden de ideas, la </w:t>
      </w:r>
      <w:r w:rsidRPr="00966EC1">
        <w:rPr>
          <w:rFonts w:ascii="Palatino Linotype" w:eastAsia="Times New Roman" w:hAnsi="Palatino Linotype"/>
          <w:b/>
        </w:rPr>
        <w:t xml:space="preserve">Ley de Transparencia y Acceso a la Información Pública del Estado de México y Municipios, </w:t>
      </w:r>
      <w:r w:rsidRPr="00966EC1">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966EC1">
        <w:rPr>
          <w:rFonts w:ascii="Palatino Linotype" w:eastAsia="Times New Roman" w:hAnsi="Palatino Linotype"/>
          <w:b/>
        </w:rPr>
        <w:t xml:space="preserve"> </w:t>
      </w:r>
      <w:r w:rsidRPr="00966EC1">
        <w:rPr>
          <w:rFonts w:ascii="Palatino Linotype" w:eastAsia="Times New Roman" w:hAnsi="Palatino Linotype"/>
        </w:rPr>
        <w:t xml:space="preserve">establece que </w:t>
      </w:r>
      <w:r w:rsidRPr="00966EC1">
        <w:rPr>
          <w:rFonts w:ascii="Palatino Linotype" w:eastAsia="Times New Roman" w:hAnsi="Palatino Linotype"/>
          <w:i/>
        </w:rPr>
        <w:t xml:space="preserve">el </w:t>
      </w:r>
      <w:r w:rsidRPr="00966EC1">
        <w:rPr>
          <w:rFonts w:ascii="Palatino Linotype" w:eastAsia="Times New Roman" w:hAnsi="Palatino Linotype"/>
          <w:i/>
          <w:u w:val="single"/>
        </w:rPr>
        <w:t>recurso de revisión</w:t>
      </w:r>
      <w:r w:rsidRPr="00966EC1">
        <w:rPr>
          <w:rFonts w:ascii="Palatino Linotype" w:eastAsia="Times New Roman" w:hAnsi="Palatino Linotype"/>
          <w:i/>
        </w:rPr>
        <w:t xml:space="preserve"> es la garantía secundaria mediante la cual se pretende reparar cualquier posible afectación al derecho de acceso a la información pública</w:t>
      </w:r>
      <w:r w:rsidRPr="00966EC1">
        <w:rPr>
          <w:rFonts w:ascii="Palatino Linotype" w:eastAsia="Times New Roman" w:hAnsi="Palatino Linotype"/>
        </w:rPr>
        <w:t>, siendo éste el medio a través del cual, este Órgano Garante después de realizar el análisis al procedimiento de acceso a la información, podrá determinar la posible afectación y, de ser el caso, ordenar la reparación a la vio</w:t>
      </w:r>
      <w:r>
        <w:rPr>
          <w:rFonts w:ascii="Palatino Linotype" w:eastAsia="Times New Roman" w:hAnsi="Palatino Linotype"/>
        </w:rPr>
        <w:t>lación del derecho en cuestión.</w:t>
      </w:r>
    </w:p>
    <w:p w14:paraId="59F1B022" w14:textId="77777777" w:rsidR="00401B8A" w:rsidRPr="00211649" w:rsidRDefault="00401B8A" w:rsidP="00211649">
      <w:pPr>
        <w:pStyle w:val="Prrafodelista"/>
        <w:tabs>
          <w:tab w:val="left" w:pos="567"/>
        </w:tabs>
        <w:spacing w:before="240" w:after="240" w:line="360" w:lineRule="auto"/>
        <w:ind w:left="0"/>
        <w:jc w:val="both"/>
        <w:rPr>
          <w:rFonts w:ascii="Palatino Linotype" w:hAnsi="Palatino Linotype"/>
        </w:rPr>
      </w:pPr>
    </w:p>
    <w:p w14:paraId="27FEE2A4" w14:textId="5BB9D368" w:rsidR="00401B8A" w:rsidRDefault="00B15153" w:rsidP="00401B8A">
      <w:pPr>
        <w:pStyle w:val="Prrafodelista"/>
        <w:numPr>
          <w:ilvl w:val="0"/>
          <w:numId w:val="1"/>
        </w:numPr>
        <w:spacing w:before="240" w:after="240" w:line="360" w:lineRule="auto"/>
        <w:ind w:left="0" w:firstLine="0"/>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14:anchorId="02F019FF" wp14:editId="492CD194">
                <wp:simplePos x="0" y="0"/>
                <wp:positionH relativeFrom="column">
                  <wp:posOffset>23494</wp:posOffset>
                </wp:positionH>
                <wp:positionV relativeFrom="paragraph">
                  <wp:posOffset>553085</wp:posOffset>
                </wp:positionV>
                <wp:extent cx="5943600" cy="2381250"/>
                <wp:effectExtent l="76200" t="57150" r="57150" b="95250"/>
                <wp:wrapNone/>
                <wp:docPr id="11" name="Conector recto 11"/>
                <wp:cNvGraphicFramePr/>
                <a:graphic xmlns:a="http://schemas.openxmlformats.org/drawingml/2006/main">
                  <a:graphicData uri="http://schemas.microsoft.com/office/word/2010/wordprocessingShape">
                    <wps:wsp>
                      <wps:cNvCnPr/>
                      <wps:spPr>
                        <a:xfrm flipH="1" flipV="1">
                          <a:off x="0" y="0"/>
                          <a:ext cx="5943600" cy="238125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EA3AF" id="Conector recto 11"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43.55pt" to="469.85pt,2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" strokecolor="#4f81bd [3204]" strokeweight="3pt">
                <v:shadow on="t" color="black" opacity="24903f" origin=",.5" offset="0,.55556mm"/>
              </v:line>
            </w:pict>
          </mc:Fallback>
        </mc:AlternateContent>
      </w:r>
      <w:r w:rsidR="001406EA">
        <w:rPr>
          <w:rFonts w:ascii="Palatino Linotype" w:hAnsi="Palatino Linotype"/>
        </w:rPr>
        <w:t>N</w:t>
      </w:r>
      <w:r w:rsidR="00401B8A" w:rsidRPr="00EC6B26">
        <w:rPr>
          <w:rFonts w:ascii="Palatino Linotype" w:hAnsi="Palatino Linotype"/>
        </w:rPr>
        <w:t xml:space="preserve">o se soslaya destacar que el </w:t>
      </w:r>
      <w:r w:rsidR="00401B8A" w:rsidRPr="00EC6B26">
        <w:rPr>
          <w:rFonts w:ascii="Palatino Linotype" w:hAnsi="Palatino Linotype"/>
          <w:b/>
        </w:rPr>
        <w:t>SUJETO OBLIGADO</w:t>
      </w:r>
      <w:r w:rsidR="00401B8A" w:rsidRPr="00EC6B26">
        <w:rPr>
          <w:rFonts w:ascii="Palatino Linotype" w:hAnsi="Palatino Linotype"/>
        </w:rPr>
        <w:t xml:space="preserve"> </w:t>
      </w:r>
      <w:r w:rsidR="006035C3">
        <w:rPr>
          <w:rFonts w:ascii="Palatino Linotype" w:hAnsi="Palatino Linotype"/>
        </w:rPr>
        <w:t>rindió</w:t>
      </w:r>
      <w:r w:rsidR="00401B8A" w:rsidRPr="00EC6B26">
        <w:rPr>
          <w:rFonts w:ascii="Palatino Linotype" w:hAnsi="Palatino Linotype"/>
        </w:rPr>
        <w:t xml:space="preserve"> su informe justificado, </w:t>
      </w:r>
      <w:r w:rsidR="00AB4F6A">
        <w:rPr>
          <w:rFonts w:ascii="Palatino Linotype" w:hAnsi="Palatino Linotype"/>
        </w:rPr>
        <w:t>medularmente en los siguientes términos</w:t>
      </w:r>
      <w:r w:rsidR="00401B8A">
        <w:rPr>
          <w:rFonts w:ascii="Palatino Linotype" w:hAnsi="Palatino Linotype"/>
        </w:rPr>
        <w:t>:</w:t>
      </w:r>
    </w:p>
    <w:p w14:paraId="3FB323C6" w14:textId="77777777" w:rsidR="008737E9" w:rsidRPr="008737E9" w:rsidRDefault="008737E9" w:rsidP="008737E9">
      <w:pPr>
        <w:pStyle w:val="Prrafodelista"/>
        <w:rPr>
          <w:rFonts w:ascii="Palatino Linotype" w:hAnsi="Palatino Linotype"/>
        </w:rPr>
      </w:pPr>
    </w:p>
    <w:p w14:paraId="58368C59" w14:textId="65F77CF0" w:rsidR="008737E9" w:rsidRDefault="008737E9" w:rsidP="008737E9">
      <w:pPr>
        <w:pStyle w:val="Prrafodelista"/>
        <w:spacing w:before="240" w:after="240" w:line="360" w:lineRule="auto"/>
        <w:ind w:left="567"/>
        <w:jc w:val="both"/>
        <w:rPr>
          <w:rFonts w:ascii="Palatino Linotype" w:hAnsi="Palatino Linotype"/>
        </w:rPr>
      </w:pPr>
      <w:r w:rsidRPr="008737E9">
        <w:rPr>
          <w:rFonts w:ascii="Palatino Linotype" w:hAnsi="Palatino Linotype"/>
          <w:noProof/>
          <w:lang w:val="es-MX" w:eastAsia="es-MX"/>
        </w:rPr>
        <w:lastRenderedPageBreak/>
        <w:drawing>
          <wp:inline distT="0" distB="0" distL="0" distR="0" wp14:anchorId="2A1DFFEB" wp14:editId="15FA3AA8">
            <wp:extent cx="4867275" cy="67818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b="2780"/>
                    <a:stretch/>
                  </pic:blipFill>
                  <pic:spPr bwMode="auto">
                    <a:xfrm>
                      <a:off x="0" y="0"/>
                      <a:ext cx="4867354" cy="6781910"/>
                    </a:xfrm>
                    <a:prstGeom prst="rect">
                      <a:avLst/>
                    </a:prstGeom>
                    <a:noFill/>
                    <a:ln>
                      <a:noFill/>
                    </a:ln>
                    <a:extLst>
                      <a:ext uri="{53640926-AAD7-44D8-BBD7-CCE9431645EC}">
                        <a14:shadowObscured xmlns:a14="http://schemas.microsoft.com/office/drawing/2010/main"/>
                      </a:ext>
                    </a:extLst>
                  </pic:spPr>
                </pic:pic>
              </a:graphicData>
            </a:graphic>
          </wp:inline>
        </w:drawing>
      </w:r>
    </w:p>
    <w:p w14:paraId="784982B2" w14:textId="06431173" w:rsidR="00401B8A" w:rsidRDefault="00401B8A" w:rsidP="00DB6089">
      <w:pPr>
        <w:pStyle w:val="Prrafodelista"/>
        <w:spacing w:before="240" w:after="240" w:line="360" w:lineRule="auto"/>
        <w:ind w:left="567"/>
        <w:jc w:val="both"/>
        <w:rPr>
          <w:rFonts w:ascii="Palatino Linotype" w:hAnsi="Palatino Linotype"/>
        </w:rPr>
      </w:pPr>
    </w:p>
    <w:p w14:paraId="6C9CE45D" w14:textId="0053DBA5" w:rsidR="00401B8A" w:rsidRDefault="00DB6089" w:rsidP="00DB6089">
      <w:pPr>
        <w:pStyle w:val="Prrafodelista"/>
        <w:spacing w:before="240" w:after="240" w:line="360" w:lineRule="auto"/>
        <w:ind w:left="567"/>
        <w:jc w:val="both"/>
        <w:rPr>
          <w:rFonts w:ascii="Palatino Linotype" w:hAnsi="Palatino Linotype"/>
        </w:rPr>
      </w:pPr>
      <w:r w:rsidRPr="00DB6089">
        <w:rPr>
          <w:rFonts w:ascii="Palatino Linotype" w:hAnsi="Palatino Linotype"/>
          <w:noProof/>
          <w:lang w:val="es-MX" w:eastAsia="es-MX"/>
        </w:rPr>
        <w:lastRenderedPageBreak/>
        <w:drawing>
          <wp:inline distT="0" distB="0" distL="0" distR="0" wp14:anchorId="0B68C74E" wp14:editId="422220B3">
            <wp:extent cx="4857750" cy="7048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860" cy="7048660"/>
                    </a:xfrm>
                    <a:prstGeom prst="rect">
                      <a:avLst/>
                    </a:prstGeom>
                    <a:noFill/>
                    <a:ln>
                      <a:noFill/>
                    </a:ln>
                  </pic:spPr>
                </pic:pic>
              </a:graphicData>
            </a:graphic>
          </wp:inline>
        </w:drawing>
      </w:r>
    </w:p>
    <w:p w14:paraId="3C0629E9" w14:textId="726FB5AE" w:rsidR="00B21FEA" w:rsidRDefault="00DB6089" w:rsidP="00DB6089">
      <w:pPr>
        <w:pStyle w:val="Prrafodelista"/>
        <w:spacing w:before="240" w:after="240" w:line="360" w:lineRule="auto"/>
        <w:ind w:left="567"/>
        <w:jc w:val="both"/>
        <w:rPr>
          <w:rFonts w:ascii="Palatino Linotype" w:hAnsi="Palatino Linotype"/>
        </w:rPr>
      </w:pPr>
      <w:r w:rsidRPr="00DB6089">
        <w:rPr>
          <w:rFonts w:ascii="Palatino Linotype" w:hAnsi="Palatino Linotype"/>
          <w:noProof/>
          <w:lang w:val="es-MX" w:eastAsia="es-MX"/>
        </w:rPr>
        <w:lastRenderedPageBreak/>
        <w:drawing>
          <wp:inline distT="0" distB="0" distL="0" distR="0" wp14:anchorId="3D3E5939" wp14:editId="20D6FB34">
            <wp:extent cx="4819650" cy="25914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0574" cy="2591932"/>
                    </a:xfrm>
                    <a:prstGeom prst="rect">
                      <a:avLst/>
                    </a:prstGeom>
                    <a:noFill/>
                    <a:ln>
                      <a:noFill/>
                    </a:ln>
                  </pic:spPr>
                </pic:pic>
              </a:graphicData>
            </a:graphic>
          </wp:inline>
        </w:drawing>
      </w:r>
    </w:p>
    <w:p w14:paraId="222BFB9F" w14:textId="6D97CFD8" w:rsidR="00DB6089" w:rsidRPr="00C41C75" w:rsidRDefault="00DB6089" w:rsidP="00C41C75">
      <w:pPr>
        <w:pStyle w:val="Prrafodelista"/>
        <w:tabs>
          <w:tab w:val="left" w:pos="567"/>
        </w:tabs>
        <w:spacing w:before="240" w:after="240" w:line="360" w:lineRule="auto"/>
        <w:ind w:left="0"/>
        <w:jc w:val="both"/>
        <w:rPr>
          <w:rFonts w:ascii="Palatino Linotype" w:hAnsi="Palatino Linotype"/>
        </w:rPr>
      </w:pPr>
    </w:p>
    <w:p w14:paraId="323B61CB" w14:textId="321DED32" w:rsidR="00A754AF" w:rsidRDefault="00A754AF" w:rsidP="00CD27BB">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rPr>
      </w:pPr>
      <w:r>
        <w:rPr>
          <w:rFonts w:ascii="Palatino Linotype" w:eastAsia="Times New Roman" w:hAnsi="Palatino Linotype" w:cs="Arial"/>
          <w:color w:val="000000" w:themeColor="text1"/>
        </w:rPr>
        <w:t xml:space="preserve">No pasa </w:t>
      </w:r>
      <w:r w:rsidR="00BE1028">
        <w:rPr>
          <w:rFonts w:ascii="Palatino Linotype" w:eastAsia="Times New Roman" w:hAnsi="Palatino Linotype" w:cs="Arial"/>
          <w:color w:val="000000" w:themeColor="text1"/>
        </w:rPr>
        <w:t>desapercibido</w:t>
      </w:r>
      <w:r>
        <w:rPr>
          <w:rFonts w:ascii="Palatino Linotype" w:eastAsia="Times New Roman" w:hAnsi="Palatino Linotype" w:cs="Arial"/>
          <w:color w:val="000000" w:themeColor="text1"/>
        </w:rPr>
        <w:t xml:space="preserve"> para éste Órgano Garante que </w:t>
      </w:r>
      <w:r w:rsidRPr="00A754AF">
        <w:rPr>
          <w:rFonts w:ascii="Palatino Linotype" w:eastAsia="Times New Roman" w:hAnsi="Palatino Linotype" w:cs="Arial"/>
          <w:b/>
          <w:color w:val="000000" w:themeColor="text1"/>
        </w:rPr>
        <w:t>NO</w:t>
      </w:r>
      <w:r>
        <w:rPr>
          <w:rFonts w:ascii="Palatino Linotype" w:eastAsia="Times New Roman" w:hAnsi="Palatino Linotype" w:cs="Arial"/>
          <w:color w:val="000000" w:themeColor="text1"/>
        </w:rPr>
        <w:t xml:space="preserve"> resulta procedente argumentar </w:t>
      </w:r>
      <w:r w:rsidR="006E0D75">
        <w:rPr>
          <w:rFonts w:ascii="Palatino Linotype" w:eastAsia="Times New Roman" w:hAnsi="Palatino Linotype" w:cs="Arial"/>
          <w:color w:val="000000" w:themeColor="text1"/>
        </w:rPr>
        <w:t>que “</w:t>
      </w:r>
      <w:r w:rsidR="006E0D75" w:rsidRPr="00E060DD">
        <w:rPr>
          <w:rFonts w:ascii="Palatino Linotype" w:hAnsi="Palatino Linotype"/>
          <w:i/>
        </w:rPr>
        <w:t>de acuerda a las atribuciones y funciones que tiene encomendada esta Fiscalía, no se encuentra contemplar el pago de salarios a sus servidores públicos, ya que dicha función pertenece a la Secretaría de Finanzas del Gobierno del Estado de México, en virtud de que esta Fiscalía General de Justicia del Estado de México, aún se encuentra en etapa de transición y el tema de pagos de sueldos de sus servidores públicos lo sigue realizando dicha Secretaría, motivo por el cual esta Institución no se encuentra obligada a contar en su plataforma de IPOMEX, con dicha publicación</w:t>
      </w:r>
      <w:r w:rsidR="006E0D75">
        <w:rPr>
          <w:rFonts w:ascii="Palatino Linotype" w:eastAsia="Times New Roman" w:hAnsi="Palatino Linotype" w:cs="Arial"/>
          <w:color w:val="000000" w:themeColor="text1"/>
        </w:rPr>
        <w:t>” pues el proceso de transición que se arguye no es óbice para conservar los archivos de los pagos de sus servidores públicos y menos aún que se encuentren actualizados en el Portal de Información Pública de Oficio Mexiquense.</w:t>
      </w:r>
    </w:p>
    <w:p w14:paraId="0DE37569" w14:textId="77777777" w:rsidR="00A754AF" w:rsidRPr="00A754AF" w:rsidRDefault="00A754AF" w:rsidP="00A754AF">
      <w:pPr>
        <w:pStyle w:val="Prrafodelista"/>
        <w:spacing w:before="240" w:after="240" w:line="360" w:lineRule="auto"/>
        <w:ind w:left="0"/>
        <w:jc w:val="both"/>
        <w:rPr>
          <w:rFonts w:ascii="Palatino Linotype" w:eastAsia="Times New Roman" w:hAnsi="Palatino Linotype" w:cs="Arial"/>
          <w:color w:val="000000" w:themeColor="text1"/>
        </w:rPr>
      </w:pPr>
    </w:p>
    <w:p w14:paraId="642E78EF" w14:textId="17850EDD" w:rsidR="00CD27BB" w:rsidRPr="00CD27BB" w:rsidRDefault="00C41C75" w:rsidP="00CD27BB">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rPr>
      </w:pPr>
      <w:r w:rsidRPr="00CD27BB">
        <w:rPr>
          <w:rFonts w:ascii="Palatino Linotype" w:hAnsi="Palatino Linotype" w:cs="Arial"/>
          <w:color w:val="000000" w:themeColor="text1"/>
        </w:rPr>
        <w:t xml:space="preserve">Es así que ante </w:t>
      </w:r>
      <w:r w:rsidR="00CE5FF9" w:rsidRPr="00CD27BB">
        <w:rPr>
          <w:rFonts w:ascii="Palatino Linotype" w:hAnsi="Palatino Linotype" w:cs="Arial"/>
          <w:color w:val="000000" w:themeColor="text1"/>
        </w:rPr>
        <w:t xml:space="preserve">dichos argumentos, se consideró pertinente precisar </w:t>
      </w:r>
      <w:r w:rsidR="00454EF0" w:rsidRPr="00CD27BB">
        <w:rPr>
          <w:rFonts w:ascii="Palatino Linotype" w:hAnsi="Palatino Linotype" w:cs="Arial"/>
          <w:color w:val="000000" w:themeColor="text1"/>
        </w:rPr>
        <w:t xml:space="preserve">que la </w:t>
      </w:r>
      <w:r w:rsidR="00CD27BB" w:rsidRPr="00CD27BB">
        <w:rPr>
          <w:rFonts w:ascii="Palatino Linotype" w:hAnsi="Palatino Linotype" w:cs="Arial"/>
          <w:color w:val="000000" w:themeColor="text1"/>
        </w:rPr>
        <w:t xml:space="preserve">información correspondiente a la remuneración </w:t>
      </w:r>
      <w:r w:rsidR="00CD27BB" w:rsidRPr="00CD27BB">
        <w:rPr>
          <w:rFonts w:ascii="Palatino Linotype" w:eastAsia="Times New Roman" w:hAnsi="Palatino Linotype" w:cs="Arial"/>
          <w:color w:val="000000" w:themeColor="text1"/>
          <w:lang w:val="es-ES"/>
        </w:rPr>
        <w:t xml:space="preserve">bruta y neta </w:t>
      </w:r>
      <w:r w:rsidR="00CD27BB" w:rsidRPr="00CD27BB">
        <w:rPr>
          <w:rFonts w:ascii="Palatino Linotype" w:eastAsia="Times New Roman" w:hAnsi="Palatino Linotype" w:cs="Arial"/>
          <w:b/>
          <w:color w:val="000000" w:themeColor="text1"/>
          <w:u w:val="single"/>
          <w:lang w:val="es-ES"/>
        </w:rPr>
        <w:t>de todos los Servidores Públicos de base o de confianza,</w:t>
      </w:r>
      <w:r w:rsidR="00CD27BB" w:rsidRPr="00CD27BB">
        <w:rPr>
          <w:rFonts w:ascii="Palatino Linotype" w:eastAsia="Times New Roman" w:hAnsi="Palatino Linotype" w:cs="Arial"/>
          <w:color w:val="000000" w:themeColor="text1"/>
          <w:u w:val="single"/>
          <w:lang w:val="es-ES"/>
        </w:rPr>
        <w:t xml:space="preserve"> </w:t>
      </w:r>
      <w:r w:rsidR="00CD27BB" w:rsidRPr="00CD27BB">
        <w:rPr>
          <w:rFonts w:ascii="Palatino Linotype" w:eastAsia="Times New Roman" w:hAnsi="Palatino Linotype" w:cs="Arial"/>
          <w:color w:val="000000" w:themeColor="text1"/>
          <w:lang w:val="es-ES"/>
        </w:rPr>
        <w:t xml:space="preserve">de todas las percepciones, incluyendo sueldos, </w:t>
      </w:r>
      <w:r w:rsidR="00CD27BB" w:rsidRPr="00CD27BB">
        <w:rPr>
          <w:rFonts w:ascii="Palatino Linotype" w:eastAsia="Times New Roman" w:hAnsi="Palatino Linotype" w:cs="Arial"/>
          <w:color w:val="000000" w:themeColor="text1"/>
          <w:lang w:val="es-ES"/>
        </w:rPr>
        <w:lastRenderedPageBreak/>
        <w:t>prestaciones, gratificaciones, primas, comisiones, dietas, bonos, estímulos, ingresos y sistemas de compensación</w:t>
      </w:r>
      <w:r w:rsidR="00CD27BB" w:rsidRPr="00CD27BB">
        <w:rPr>
          <w:rFonts w:ascii="Palatino Linotype" w:hAnsi="Palatino Linotype" w:cs="Arial"/>
          <w:color w:val="000000" w:themeColor="text1"/>
        </w:rPr>
        <w:t xml:space="preserve">, es información que ya se debería encontrar publicada en la Información Pública de Oficio (IPOMEX) </w:t>
      </w:r>
      <w:r w:rsidR="00CD27BB">
        <w:rPr>
          <w:rFonts w:ascii="Palatino Linotype" w:hAnsi="Palatino Linotype" w:cs="Arial"/>
          <w:color w:val="000000" w:themeColor="text1"/>
        </w:rPr>
        <w:t xml:space="preserve">y no únicamente la correspondiente a los mandos medios y superiores, </w:t>
      </w:r>
      <w:r w:rsidR="00CD27BB" w:rsidRPr="00CD27BB">
        <w:rPr>
          <w:rFonts w:ascii="Palatino Linotype" w:hAnsi="Palatino Linotype" w:cs="Arial"/>
          <w:color w:val="000000" w:themeColor="text1"/>
        </w:rPr>
        <w:t xml:space="preserve">pues </w:t>
      </w:r>
      <w:r w:rsidR="00CD27BB" w:rsidRPr="00CD27BB">
        <w:rPr>
          <w:rFonts w:ascii="Palatino Linotype" w:eastAsia="MS Mincho" w:hAnsi="Palatino Linotype" w:cs="Arial"/>
          <w:color w:val="000000" w:themeColor="text1"/>
        </w:rPr>
        <w:t xml:space="preserve">el artículo 70 de la </w:t>
      </w:r>
      <w:r w:rsidR="00CD27BB" w:rsidRPr="00CD27BB">
        <w:rPr>
          <w:rFonts w:ascii="Palatino Linotype" w:eastAsia="MS Mincho" w:hAnsi="Palatino Linotype" w:cs="Arial"/>
          <w:b/>
          <w:color w:val="000000" w:themeColor="text1"/>
        </w:rPr>
        <w:t>Ley General de Transparencia y Acceso a la Información Pública</w:t>
      </w:r>
      <w:r w:rsidR="00CD27BB" w:rsidRPr="00CD27BB">
        <w:rPr>
          <w:rFonts w:ascii="Palatino Linotype" w:eastAsia="MS Mincho" w:hAnsi="Palatino Linotype" w:cs="Arial"/>
          <w:color w:val="000000" w:themeColor="text1"/>
        </w:rPr>
        <w:t xml:space="preserve"> es muy claro al disponer lo siguiente:</w:t>
      </w:r>
    </w:p>
    <w:p w14:paraId="65E25279" w14:textId="77777777" w:rsidR="00CD27BB" w:rsidRPr="00593B58" w:rsidRDefault="00CD27BB" w:rsidP="00CD27BB">
      <w:pPr>
        <w:spacing w:line="360" w:lineRule="auto"/>
        <w:ind w:left="567" w:right="616"/>
        <w:jc w:val="both"/>
        <w:rPr>
          <w:rFonts w:ascii="Palatino Linotype" w:eastAsia="Times New Roman" w:hAnsi="Palatino Linotype" w:cs="Arial"/>
          <w:i/>
          <w:color w:val="000000" w:themeColor="text1"/>
          <w:sz w:val="22"/>
          <w:szCs w:val="22"/>
          <w:lang w:val="es-ES"/>
        </w:rPr>
      </w:pPr>
      <w:r w:rsidRPr="00593B58">
        <w:rPr>
          <w:rFonts w:ascii="Palatino Linotype" w:eastAsia="Times New Roman" w:hAnsi="Palatino Linotype" w:cs="Arial"/>
          <w:i/>
          <w:color w:val="000000" w:themeColor="text1"/>
          <w:sz w:val="22"/>
          <w:szCs w:val="22"/>
          <w:lang w:val="es-ES"/>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3682CA25" w14:textId="77777777" w:rsidR="00CD27BB" w:rsidRPr="00A42E3E" w:rsidRDefault="00CD27BB" w:rsidP="00CD27BB">
      <w:pPr>
        <w:spacing w:line="360" w:lineRule="auto"/>
        <w:ind w:left="567" w:right="616"/>
        <w:jc w:val="both"/>
        <w:rPr>
          <w:rFonts w:ascii="Palatino Linotype" w:eastAsia="Times New Roman" w:hAnsi="Palatino Linotype" w:cs="Arial"/>
          <w:i/>
          <w:color w:val="000000" w:themeColor="text1"/>
          <w:sz w:val="22"/>
          <w:szCs w:val="22"/>
          <w:lang w:val="es-ES"/>
        </w:rPr>
      </w:pPr>
    </w:p>
    <w:p w14:paraId="5291AD48" w14:textId="77777777" w:rsidR="00CD27BB" w:rsidRPr="00A42E3E" w:rsidRDefault="00CD27BB" w:rsidP="00CD27BB">
      <w:pPr>
        <w:spacing w:line="360" w:lineRule="auto"/>
        <w:ind w:left="567" w:right="616"/>
        <w:jc w:val="both"/>
        <w:rPr>
          <w:rFonts w:ascii="Palatino Linotype" w:eastAsia="Times New Roman" w:hAnsi="Palatino Linotype" w:cs="Arial"/>
          <w:i/>
          <w:color w:val="000000" w:themeColor="text1"/>
          <w:sz w:val="22"/>
          <w:szCs w:val="22"/>
          <w:lang w:val="es-ES"/>
        </w:rPr>
      </w:pPr>
      <w:r w:rsidRPr="00A42E3E">
        <w:rPr>
          <w:rFonts w:ascii="Palatino Linotype" w:eastAsia="Times New Roman" w:hAnsi="Palatino Linotype" w:cs="Arial"/>
          <w:i/>
          <w:color w:val="000000" w:themeColor="text1"/>
          <w:sz w:val="22"/>
          <w:szCs w:val="22"/>
          <w:lang w:val="es-ES"/>
        </w:rPr>
        <w:t>VIII.</w:t>
      </w:r>
      <w:r w:rsidRPr="00A42E3E">
        <w:rPr>
          <w:rFonts w:ascii="Palatino Linotype" w:eastAsia="Times New Roman" w:hAnsi="Palatino Linotype" w:cs="Arial"/>
          <w:i/>
          <w:color w:val="000000" w:themeColor="text1"/>
          <w:sz w:val="22"/>
          <w:szCs w:val="22"/>
          <w:lang w:val="es-ES"/>
        </w:rPr>
        <w:tab/>
        <w:t xml:space="preserve">La remuneración bruta y neta </w:t>
      </w:r>
      <w:r w:rsidRPr="00A42E3E">
        <w:rPr>
          <w:rFonts w:ascii="Palatino Linotype" w:eastAsia="Times New Roman" w:hAnsi="Palatino Linotype" w:cs="Arial"/>
          <w:b/>
          <w:i/>
          <w:color w:val="000000" w:themeColor="text1"/>
          <w:sz w:val="22"/>
          <w:szCs w:val="22"/>
          <w:u w:val="single"/>
          <w:lang w:val="es-ES"/>
        </w:rPr>
        <w:t>de todos los Servidores Públicos de base o de confianza,</w:t>
      </w:r>
      <w:r w:rsidRPr="00A42E3E">
        <w:rPr>
          <w:rFonts w:ascii="Palatino Linotype" w:eastAsia="Times New Roman" w:hAnsi="Palatino Linotype" w:cs="Arial"/>
          <w:i/>
          <w:color w:val="000000" w:themeColor="text1"/>
          <w:sz w:val="22"/>
          <w:szCs w:val="22"/>
          <w:u w:val="single"/>
          <w:lang w:val="es-ES"/>
        </w:rPr>
        <w:t xml:space="preserve"> </w:t>
      </w:r>
      <w:r w:rsidRPr="00A42E3E">
        <w:rPr>
          <w:rFonts w:ascii="Palatino Linotype" w:eastAsia="Times New Roman" w:hAnsi="Palatino Linotype" w:cs="Arial"/>
          <w:i/>
          <w:color w:val="000000" w:themeColor="text1"/>
          <w:sz w:val="22"/>
          <w:szCs w:val="22"/>
          <w:lang w:val="es-ES"/>
        </w:rPr>
        <w:t>de todas las percepciones, incluyendo sueldos, prestaciones, gratificaciones, primas, comisiones, dietas, bonos, estímulos, ingresos y sistemas de compensación, señalando la periodicidad de dicha remuneración;</w:t>
      </w:r>
    </w:p>
    <w:p w14:paraId="39B173B4" w14:textId="77777777" w:rsidR="00CD27BB" w:rsidRPr="00A42E3E" w:rsidRDefault="00CD27BB" w:rsidP="00CD27BB">
      <w:pPr>
        <w:spacing w:line="360" w:lineRule="auto"/>
        <w:ind w:left="567" w:right="616"/>
        <w:jc w:val="both"/>
        <w:rPr>
          <w:rFonts w:ascii="Palatino Linotype" w:eastAsia="Times New Roman" w:hAnsi="Palatino Linotype" w:cs="Arial"/>
          <w:color w:val="000000" w:themeColor="text1"/>
          <w:sz w:val="22"/>
          <w:szCs w:val="22"/>
          <w:lang w:val="es-ES"/>
        </w:rPr>
      </w:pPr>
      <w:r w:rsidRPr="00A42E3E">
        <w:rPr>
          <w:rFonts w:ascii="Palatino Linotype" w:eastAsia="Times New Roman" w:hAnsi="Palatino Linotype" w:cs="Arial"/>
          <w:color w:val="000000" w:themeColor="text1"/>
          <w:sz w:val="22"/>
          <w:szCs w:val="22"/>
          <w:lang w:val="es-ES"/>
        </w:rPr>
        <w:t>…</w:t>
      </w:r>
    </w:p>
    <w:p w14:paraId="67B0A458" w14:textId="77777777" w:rsidR="00CD27BB" w:rsidRPr="00EB61D4" w:rsidRDefault="00CD27BB" w:rsidP="00CD27BB">
      <w:pPr>
        <w:pStyle w:val="Prrafodelista"/>
        <w:numPr>
          <w:ilvl w:val="0"/>
          <w:numId w:val="1"/>
        </w:numPr>
        <w:spacing w:before="240" w:after="240" w:line="360" w:lineRule="auto"/>
        <w:ind w:left="0" w:firstLine="0"/>
        <w:jc w:val="both"/>
        <w:rPr>
          <w:rFonts w:ascii="Palatino Linotype" w:eastAsia="MS Mincho" w:hAnsi="Palatino Linotype" w:cs="Arial"/>
          <w:color w:val="000000" w:themeColor="text1"/>
        </w:rPr>
      </w:pPr>
      <w:r w:rsidRPr="00EB61D4">
        <w:rPr>
          <w:rFonts w:ascii="Palatino Linotype" w:eastAsia="MS Mincho" w:hAnsi="Palatino Linotype" w:cs="Arial"/>
          <w:color w:val="000000" w:themeColor="text1"/>
        </w:rPr>
        <w:t xml:space="preserve">Robustece lo anterior, el artículo 92, fracción </w:t>
      </w:r>
      <w:r>
        <w:rPr>
          <w:rFonts w:ascii="Palatino Linotype" w:eastAsia="MS Mincho" w:hAnsi="Palatino Linotype" w:cs="Arial"/>
          <w:color w:val="000000" w:themeColor="text1"/>
        </w:rPr>
        <w:t>VI</w:t>
      </w:r>
      <w:r w:rsidRPr="00EB61D4">
        <w:rPr>
          <w:rFonts w:ascii="Palatino Linotype" w:eastAsia="MS Mincho" w:hAnsi="Palatino Linotype" w:cs="Arial"/>
          <w:color w:val="000000" w:themeColor="text1"/>
        </w:rPr>
        <w:t xml:space="preserve">II de la </w:t>
      </w:r>
      <w:r w:rsidRPr="00EB61D4">
        <w:rPr>
          <w:rFonts w:ascii="Palatino Linotype" w:eastAsia="MS Mincho" w:hAnsi="Palatino Linotype" w:cs="Arial"/>
          <w:b/>
          <w:color w:val="000000" w:themeColor="text1"/>
        </w:rPr>
        <w:t>Ley de Transparencia y Acceso a la Información Pública del Estado de México y Municipios</w:t>
      </w:r>
      <w:r w:rsidRPr="00EB61D4">
        <w:rPr>
          <w:rFonts w:ascii="Palatino Linotype" w:eastAsia="MS Mincho" w:hAnsi="Palatino Linotype" w:cs="Arial"/>
          <w:color w:val="000000" w:themeColor="text1"/>
        </w:rPr>
        <w:t>, señala:</w:t>
      </w:r>
    </w:p>
    <w:p w14:paraId="7E9DA9A5" w14:textId="77777777" w:rsidR="00CD27BB" w:rsidRDefault="00CD27BB" w:rsidP="00CD27BB">
      <w:pPr>
        <w:spacing w:line="360" w:lineRule="auto"/>
        <w:contextualSpacing/>
        <w:jc w:val="both"/>
        <w:rPr>
          <w:rFonts w:ascii="Palatino Linotype" w:eastAsia="MS Mincho" w:hAnsi="Palatino Linotype" w:cs="Arial"/>
          <w:color w:val="000000" w:themeColor="text1"/>
        </w:rPr>
      </w:pPr>
    </w:p>
    <w:p w14:paraId="01820B71" w14:textId="77777777" w:rsidR="00CD27BB" w:rsidRPr="00EB61D4" w:rsidRDefault="00CD27BB" w:rsidP="00CD27BB">
      <w:pPr>
        <w:spacing w:line="360" w:lineRule="auto"/>
        <w:ind w:left="567" w:right="567"/>
        <w:contextualSpacing/>
        <w:jc w:val="both"/>
        <w:rPr>
          <w:rFonts w:ascii="Palatino Linotype" w:eastAsia="MS Mincho" w:hAnsi="Palatino Linotype" w:cs="Arial"/>
          <w:i/>
          <w:color w:val="000000" w:themeColor="text1"/>
          <w:sz w:val="22"/>
          <w:szCs w:val="22"/>
        </w:rPr>
      </w:pPr>
      <w:r w:rsidRPr="00EB61D4">
        <w:rPr>
          <w:rFonts w:ascii="Palatino Linotype" w:hAnsi="Palatino Linotype"/>
          <w:b/>
          <w:i/>
          <w:sz w:val="22"/>
          <w:szCs w:val="22"/>
        </w:rPr>
        <w:t>Artículo 92.</w:t>
      </w:r>
      <w:r w:rsidRPr="00EB61D4">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w:t>
      </w:r>
      <w:r w:rsidRPr="00EB61D4">
        <w:rPr>
          <w:rFonts w:ascii="Palatino Linotype" w:hAnsi="Palatino Linotype"/>
          <w:i/>
          <w:sz w:val="22"/>
          <w:szCs w:val="22"/>
        </w:rPr>
        <w:lastRenderedPageBreak/>
        <w:t>corresponda, la información, por lo menos, de los temas, documentos y políticas que a continuación se señalan:</w:t>
      </w:r>
    </w:p>
    <w:p w14:paraId="74FDA21F" w14:textId="77777777" w:rsidR="00CD27BB" w:rsidRPr="00EB61D4" w:rsidRDefault="00CD27BB" w:rsidP="00CD27BB">
      <w:pPr>
        <w:spacing w:line="360" w:lineRule="auto"/>
        <w:ind w:left="567" w:right="567"/>
        <w:jc w:val="both"/>
        <w:rPr>
          <w:rFonts w:ascii="Palatino Linotype" w:eastAsia="MS Mincho" w:hAnsi="Palatino Linotype" w:cs="Times New Roman"/>
          <w:i/>
          <w:color w:val="000000" w:themeColor="text1"/>
          <w:sz w:val="22"/>
          <w:szCs w:val="22"/>
        </w:rPr>
      </w:pPr>
      <w:r w:rsidRPr="00EB61D4">
        <w:rPr>
          <w:rFonts w:ascii="Palatino Linotype" w:eastAsia="MS Mincho" w:hAnsi="Palatino Linotype" w:cs="Times New Roman"/>
          <w:i/>
          <w:color w:val="000000" w:themeColor="text1"/>
          <w:sz w:val="22"/>
          <w:szCs w:val="22"/>
        </w:rPr>
        <w:t>…</w:t>
      </w:r>
    </w:p>
    <w:p w14:paraId="5724ED07" w14:textId="77777777" w:rsidR="00CD27BB" w:rsidRDefault="00CD27BB" w:rsidP="00CD27BB">
      <w:pPr>
        <w:pStyle w:val="Prrafodelista"/>
        <w:spacing w:before="240" w:after="240" w:line="360" w:lineRule="auto"/>
        <w:ind w:left="567" w:right="567"/>
        <w:jc w:val="both"/>
        <w:rPr>
          <w:rFonts w:ascii="Palatino Linotype" w:hAnsi="Palatino Linotype"/>
          <w:i/>
          <w:sz w:val="22"/>
          <w:szCs w:val="22"/>
        </w:rPr>
      </w:pPr>
      <w:r w:rsidRPr="00A42E3E">
        <w:rPr>
          <w:rFonts w:ascii="Palatino Linotype" w:hAnsi="Palatino Linotype"/>
          <w:i/>
          <w:sz w:val="22"/>
          <w:szCs w:val="22"/>
        </w:rPr>
        <w:t xml:space="preserve">VIII. La remuneración bruta y neta </w:t>
      </w:r>
      <w:r w:rsidRPr="00A42E3E">
        <w:rPr>
          <w:rFonts w:ascii="Palatino Linotype" w:hAnsi="Palatino Linotype"/>
          <w:b/>
          <w:i/>
          <w:sz w:val="22"/>
          <w:szCs w:val="22"/>
          <w:u w:val="single"/>
        </w:rPr>
        <w:t>de todos los servidores públicos</w:t>
      </w:r>
      <w:r w:rsidRPr="00A42E3E">
        <w:rPr>
          <w:rFonts w:ascii="Palatino Linotype" w:hAnsi="Palatino Linotype"/>
          <w:i/>
          <w:sz w:val="22"/>
          <w:szCs w:val="22"/>
        </w:rPr>
        <w:t xml:space="preserve"> de base o de confianza, de todas las percepciones, incluyendo sueldos, prestaciones, gratificaciones, primas, comisiones, dietas, bonos, estímulos, ingresos y sistemas de compensación, señalando la periodicidad de dicha remuneración; </w:t>
      </w:r>
    </w:p>
    <w:p w14:paraId="637FE6BE" w14:textId="77777777" w:rsidR="00CD27BB" w:rsidRPr="00CD27BB" w:rsidRDefault="00CD27BB" w:rsidP="00CD27BB">
      <w:pPr>
        <w:pStyle w:val="Prrafodelista"/>
        <w:spacing w:before="240" w:after="240" w:line="360" w:lineRule="auto"/>
        <w:ind w:left="0"/>
        <w:jc w:val="both"/>
        <w:rPr>
          <w:rFonts w:ascii="Palatino Linotype" w:hAnsi="Palatino Linotype"/>
          <w:color w:val="000000" w:themeColor="text1"/>
          <w:lang w:val="es-MX"/>
        </w:rPr>
      </w:pPr>
    </w:p>
    <w:p w14:paraId="3CC3F5D8" w14:textId="51CC7D5D" w:rsidR="00CD27BB" w:rsidRPr="00C10A29" w:rsidRDefault="002E4A02" w:rsidP="00953646">
      <w:pPr>
        <w:pStyle w:val="Prrafodelista"/>
        <w:numPr>
          <w:ilvl w:val="0"/>
          <w:numId w:val="1"/>
        </w:numPr>
        <w:spacing w:before="240" w:after="240" w:line="360" w:lineRule="auto"/>
        <w:ind w:left="0" w:firstLine="0"/>
        <w:jc w:val="both"/>
        <w:rPr>
          <w:rFonts w:ascii="Palatino Linotype" w:hAnsi="Palatino Linotype"/>
          <w:color w:val="000000" w:themeColor="text1"/>
          <w:lang w:val="es-MX"/>
        </w:rPr>
      </w:pPr>
      <w:r>
        <w:rPr>
          <w:rFonts w:ascii="Palatino Linotype" w:hAnsi="Palatino Linotype"/>
          <w:color w:val="000000"/>
        </w:rPr>
        <w:t xml:space="preserve">En atención a lo anterior, </w:t>
      </w:r>
      <w:r w:rsidR="006035C3" w:rsidRPr="006035C3">
        <w:rPr>
          <w:rFonts w:ascii="Palatino Linotype" w:hAnsi="Palatino Linotype"/>
          <w:color w:val="000000"/>
        </w:rPr>
        <w:t xml:space="preserve">es necesario señalar </w:t>
      </w:r>
      <w:r w:rsidR="00CD27BB">
        <w:rPr>
          <w:rStyle w:val="apple-style-span"/>
          <w:rFonts w:ascii="Palatino Linotype" w:hAnsi="Palatino Linotype" w:cs="Arial"/>
          <w:color w:val="000000"/>
        </w:rPr>
        <w:t xml:space="preserve">que </w:t>
      </w:r>
      <w:r w:rsidR="00F04399">
        <w:rPr>
          <w:rStyle w:val="apple-style-span"/>
          <w:rFonts w:ascii="Palatino Linotype" w:hAnsi="Palatino Linotype" w:cs="Arial"/>
          <w:color w:val="000000"/>
        </w:rPr>
        <w:t xml:space="preserve">de conformidad con </w:t>
      </w:r>
      <w:r w:rsidR="00F04399" w:rsidRPr="00F04399">
        <w:rPr>
          <w:rFonts w:ascii="Palatino Linotype" w:hAnsi="Palatino Linotype"/>
        </w:rPr>
        <w:t>LAS TABLAS DE APLICABILIDAD DE LAS OBLIGACIONES DE TRANSPARENCIA COMUNES Y ESPECÍFICAS DE LOS SUJETOS OBLIGADOS EN MATERIA DE TRANSPARENCIA Y ACCESO A LA INFORMACIÓN PÚBLICA DE</w:t>
      </w:r>
      <w:r w:rsidR="00F04399">
        <w:rPr>
          <w:rFonts w:ascii="Palatino Linotype" w:hAnsi="Palatino Linotype"/>
        </w:rPr>
        <w:t>L ESTADO DE MÉXICO Y MUNICIPIOS</w:t>
      </w:r>
      <w:r w:rsidR="00C10A29">
        <w:rPr>
          <w:rFonts w:ascii="Palatino Linotype" w:hAnsi="Palatino Linotype"/>
        </w:rPr>
        <w:t xml:space="preserve"> consultables en la página electrónica </w:t>
      </w:r>
      <w:hyperlink r:id="rId15" w:history="1">
        <w:r w:rsidR="00C10A29" w:rsidRPr="00C10A29">
          <w:rPr>
            <w:rStyle w:val="Hipervnculo"/>
            <w:rFonts w:ascii="Palatino Linotype" w:hAnsi="Palatino Linotype"/>
          </w:rPr>
          <w:t>https://www.infoem.org.mx/src/htm/organosAutonomos_ta2019.html</w:t>
        </w:r>
      </w:hyperlink>
      <w:r w:rsidR="00F04399" w:rsidRPr="00C10A29">
        <w:rPr>
          <w:rFonts w:ascii="Palatino Linotype" w:hAnsi="Palatino Linotype"/>
        </w:rPr>
        <w:t xml:space="preserve">, </w:t>
      </w:r>
      <w:r w:rsidR="00F04399">
        <w:rPr>
          <w:rFonts w:ascii="Palatino Linotype" w:hAnsi="Palatino Linotype"/>
        </w:rPr>
        <w:t xml:space="preserve">es una obligación de transparencia aplicable a la </w:t>
      </w:r>
      <w:r w:rsidR="00F04399" w:rsidRPr="00C10A29">
        <w:rPr>
          <w:rFonts w:ascii="Palatino Linotype" w:hAnsi="Palatino Linotype"/>
          <w:b/>
        </w:rPr>
        <w:t>Fiscalía General de Justicia</w:t>
      </w:r>
      <w:r w:rsidR="00F04399">
        <w:rPr>
          <w:rFonts w:ascii="Palatino Linotype" w:hAnsi="Palatino Linotype"/>
        </w:rPr>
        <w:t xml:space="preserve"> </w:t>
      </w:r>
      <w:r w:rsidR="00C10A29" w:rsidRPr="00C10A29">
        <w:rPr>
          <w:rFonts w:ascii="Palatino Linotype" w:hAnsi="Palatino Linotype"/>
          <w:b/>
        </w:rPr>
        <w:t>del Estado de México</w:t>
      </w:r>
      <w:r w:rsidR="00C10A29">
        <w:rPr>
          <w:rFonts w:ascii="Palatino Linotype" w:hAnsi="Palatino Linotype"/>
        </w:rPr>
        <w:t xml:space="preserve"> (entre otras) </w:t>
      </w:r>
      <w:r w:rsidR="00C10A29" w:rsidRPr="00C10A29">
        <w:rPr>
          <w:rFonts w:ascii="Palatino Linotype" w:hAnsi="Palatino Linotype"/>
        </w:rPr>
        <w:t xml:space="preserve">contar con la información relativa a la remuneración bruta y neta </w:t>
      </w:r>
      <w:r w:rsidR="00C10A29" w:rsidRPr="00C10A29">
        <w:rPr>
          <w:rFonts w:ascii="Palatino Linotype" w:hAnsi="Palatino Linotype"/>
          <w:b/>
          <w:u w:val="single"/>
        </w:rPr>
        <w:t>de todos los servidores públicos</w:t>
      </w:r>
      <w:r w:rsidR="00C10A29" w:rsidRPr="00C10A29">
        <w:rPr>
          <w:rFonts w:ascii="Palatino Linotype" w:hAnsi="Palatino Linotype"/>
        </w:rPr>
        <w:t xml:space="preserve"> de base o de confianza permanente y actualizada de forma sencilla, precisa y entendible, en los respectivos medios electrónicos; por lo que no pasa inadvertido </w:t>
      </w:r>
      <w:r w:rsidR="00211649">
        <w:rPr>
          <w:rFonts w:ascii="Palatino Linotype" w:hAnsi="Palatino Linotype"/>
        </w:rPr>
        <w:t xml:space="preserve">para éste Instituto </w:t>
      </w:r>
      <w:r w:rsidR="00C10A29" w:rsidRPr="00C10A29">
        <w:rPr>
          <w:rFonts w:ascii="Palatino Linotype" w:hAnsi="Palatino Linotype"/>
        </w:rPr>
        <w:t>que no se está cumpliendo con dichos ordenamientos:</w:t>
      </w:r>
    </w:p>
    <w:p w14:paraId="73C5D10A" w14:textId="77777777" w:rsidR="00F04399" w:rsidRPr="00F04399" w:rsidRDefault="00F04399" w:rsidP="00F04399">
      <w:pPr>
        <w:pStyle w:val="Prrafodelista"/>
        <w:spacing w:before="240" w:after="240" w:line="360" w:lineRule="auto"/>
        <w:ind w:left="0"/>
        <w:jc w:val="both"/>
        <w:rPr>
          <w:rFonts w:ascii="Palatino Linotype" w:hAnsi="Palatino Linotype"/>
          <w:color w:val="000000" w:themeColor="text1"/>
          <w:lang w:val="es-MX"/>
        </w:rPr>
      </w:pPr>
    </w:p>
    <w:p w14:paraId="2F961B11" w14:textId="32D3F4F8" w:rsidR="00F04399" w:rsidRPr="00F04399" w:rsidRDefault="00F04399" w:rsidP="00F04399">
      <w:pPr>
        <w:pStyle w:val="Prrafodelista"/>
        <w:spacing w:before="240" w:after="240" w:line="360" w:lineRule="auto"/>
        <w:ind w:left="567"/>
        <w:jc w:val="both"/>
        <w:rPr>
          <w:rFonts w:ascii="Palatino Linotype" w:hAnsi="Palatino Linotype"/>
          <w:color w:val="000000" w:themeColor="text1"/>
          <w:lang w:val="es-MX"/>
        </w:rPr>
      </w:pPr>
      <w:r>
        <w:rPr>
          <w:noProof/>
          <w:lang w:val="es-MX" w:eastAsia="es-MX"/>
        </w:rPr>
        <w:lastRenderedPageBreak/>
        <mc:AlternateContent>
          <mc:Choice Requires="wps">
            <w:drawing>
              <wp:anchor distT="0" distB="0" distL="114300" distR="114300" simplePos="0" relativeHeight="251665408" behindDoc="0" locked="0" layoutInCell="1" allowOverlap="1" wp14:anchorId="08698F5C" wp14:editId="03B038F6">
                <wp:simplePos x="0" y="0"/>
                <wp:positionH relativeFrom="page">
                  <wp:posOffset>1552575</wp:posOffset>
                </wp:positionH>
                <wp:positionV relativeFrom="paragraph">
                  <wp:posOffset>1424940</wp:posOffset>
                </wp:positionV>
                <wp:extent cx="3876675" cy="285750"/>
                <wp:effectExtent l="76200" t="38100" r="85725" b="114300"/>
                <wp:wrapNone/>
                <wp:docPr id="15" name="Rectángulo 15"/>
                <wp:cNvGraphicFramePr/>
                <a:graphic xmlns:a="http://schemas.openxmlformats.org/drawingml/2006/main">
                  <a:graphicData uri="http://schemas.microsoft.com/office/word/2010/wordprocessingShape">
                    <wps:wsp>
                      <wps:cNvSpPr/>
                      <wps:spPr>
                        <a:xfrm>
                          <a:off x="0" y="0"/>
                          <a:ext cx="3876675" cy="28575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E0B59" id="Rectángulo 15" o:spid="_x0000_s1026" style="position:absolute;margin-left:122.25pt;margin-top:112.2pt;width:305.25pt;height:2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" filled="f" strokecolor="red" strokeweight="4.5pt">
                <v:shadow on="t" color="black" opacity="22937f" origin=",.5" offset="0,.63889mm"/>
                <w10:wrap anchorx="page"/>
              </v:rect>
            </w:pict>
          </mc:Fallback>
        </mc:AlternateContent>
      </w:r>
      <w:r>
        <w:rPr>
          <w:noProof/>
          <w:lang w:val="es-MX" w:eastAsia="es-MX"/>
        </w:rPr>
        <w:drawing>
          <wp:inline distT="0" distB="0" distL="0" distR="0" wp14:anchorId="5F7A3574" wp14:editId="0F549E20">
            <wp:extent cx="4772025" cy="36099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427" r="64842" b="46936"/>
                    <a:stretch/>
                  </pic:blipFill>
                  <pic:spPr bwMode="auto">
                    <a:xfrm>
                      <a:off x="0" y="0"/>
                      <a:ext cx="4772025" cy="3609975"/>
                    </a:xfrm>
                    <a:prstGeom prst="rect">
                      <a:avLst/>
                    </a:prstGeom>
                    <a:ln>
                      <a:noFill/>
                    </a:ln>
                    <a:extLst>
                      <a:ext uri="{53640926-AAD7-44D8-BBD7-CCE9431645EC}">
                        <a14:shadowObscured xmlns:a14="http://schemas.microsoft.com/office/drawing/2010/main"/>
                      </a:ext>
                    </a:extLst>
                  </pic:spPr>
                </pic:pic>
              </a:graphicData>
            </a:graphic>
          </wp:inline>
        </w:drawing>
      </w:r>
    </w:p>
    <w:p w14:paraId="0161254B" w14:textId="568744D2" w:rsidR="00A754AF" w:rsidRPr="00A754AF" w:rsidRDefault="00A754AF" w:rsidP="006E0D75">
      <w:pPr>
        <w:pStyle w:val="Prrafodelista"/>
        <w:spacing w:before="240" w:after="240" w:line="360" w:lineRule="auto"/>
        <w:ind w:left="0"/>
        <w:jc w:val="both"/>
        <w:rPr>
          <w:rStyle w:val="apple-style-span"/>
          <w:rFonts w:ascii="Palatino Linotype" w:hAnsi="Palatino Linotype"/>
          <w:color w:val="000000" w:themeColor="text1"/>
          <w:lang w:val="es-MX"/>
        </w:rPr>
      </w:pPr>
    </w:p>
    <w:p w14:paraId="108B81D7" w14:textId="0D7A91E3" w:rsidR="00CD27BB" w:rsidRPr="006E0D75" w:rsidRDefault="00A754AF" w:rsidP="00953646">
      <w:pPr>
        <w:pStyle w:val="Prrafodelista"/>
        <w:numPr>
          <w:ilvl w:val="0"/>
          <w:numId w:val="1"/>
        </w:numPr>
        <w:spacing w:before="240" w:after="240" w:line="360" w:lineRule="auto"/>
        <w:ind w:left="0" w:firstLine="0"/>
        <w:jc w:val="both"/>
        <w:rPr>
          <w:rFonts w:ascii="Palatino Linotype" w:hAnsi="Palatino Linotype"/>
          <w:color w:val="000000" w:themeColor="text1"/>
          <w:lang w:val="es-MX"/>
        </w:rPr>
      </w:pPr>
      <w:r>
        <w:rPr>
          <w:rStyle w:val="apple-style-span"/>
          <w:rFonts w:ascii="Palatino Linotype" w:hAnsi="Palatino Linotype" w:cs="Arial"/>
          <w:color w:val="000000"/>
          <w:lang w:val="es-MX"/>
        </w:rPr>
        <w:t xml:space="preserve">Bajo esa tesitura, </w:t>
      </w:r>
      <w:r w:rsidR="00CD27BB">
        <w:rPr>
          <w:rStyle w:val="apple-style-span"/>
          <w:rFonts w:ascii="Palatino Linotype" w:hAnsi="Palatino Linotype" w:cs="Arial"/>
          <w:color w:val="000000"/>
        </w:rPr>
        <w:t xml:space="preserve">éste órgano Garante también consideró importante </w:t>
      </w:r>
      <w:r w:rsidR="00C10A29">
        <w:rPr>
          <w:rStyle w:val="apple-style-span"/>
          <w:rFonts w:ascii="Palatino Linotype" w:hAnsi="Palatino Linotype" w:cs="Arial"/>
          <w:color w:val="000000"/>
        </w:rPr>
        <w:t xml:space="preserve">realizar un estudio a la fuente de atribuciones del </w:t>
      </w:r>
      <w:r w:rsidR="00C10A29" w:rsidRPr="00211649">
        <w:rPr>
          <w:rStyle w:val="apple-style-span"/>
          <w:rFonts w:ascii="Palatino Linotype" w:hAnsi="Palatino Linotype" w:cs="Arial"/>
          <w:b/>
          <w:color w:val="000000"/>
        </w:rPr>
        <w:t>SUJETO OBLIGADO</w:t>
      </w:r>
      <w:r w:rsidR="00C10A29">
        <w:rPr>
          <w:rStyle w:val="apple-style-span"/>
          <w:rFonts w:ascii="Palatino Linotype" w:hAnsi="Palatino Linotype" w:cs="Arial"/>
          <w:color w:val="000000"/>
        </w:rPr>
        <w:t xml:space="preserve"> a efecto de determinar si genera, administra </w:t>
      </w:r>
      <w:r w:rsidR="00C10A29" w:rsidRPr="00C10A29">
        <w:rPr>
          <w:rStyle w:val="apple-style-span"/>
          <w:rFonts w:ascii="Palatino Linotype" w:hAnsi="Palatino Linotype" w:cs="Arial"/>
          <w:color w:val="000000"/>
          <w:u w:val="single"/>
        </w:rPr>
        <w:t>o posee</w:t>
      </w:r>
      <w:r w:rsidR="00C10A29">
        <w:rPr>
          <w:rStyle w:val="apple-style-span"/>
          <w:rFonts w:ascii="Palatino Linotype" w:hAnsi="Palatino Linotype" w:cs="Arial"/>
          <w:color w:val="000000"/>
        </w:rPr>
        <w:t xml:space="preserve"> la información relativa </w:t>
      </w:r>
      <w:r w:rsidR="00C10A29" w:rsidRPr="00C10A29">
        <w:rPr>
          <w:rStyle w:val="apple-style-span"/>
          <w:rFonts w:ascii="Palatino Linotype" w:hAnsi="Palatino Linotype" w:cs="Arial"/>
          <w:color w:val="000000"/>
        </w:rPr>
        <w:t xml:space="preserve">a </w:t>
      </w:r>
      <w:r w:rsidR="00C10A29" w:rsidRPr="00C10A29">
        <w:rPr>
          <w:rFonts w:ascii="Palatino Linotype" w:hAnsi="Palatino Linotype"/>
          <w:sz w:val="22"/>
          <w:szCs w:val="22"/>
        </w:rPr>
        <w:t xml:space="preserve">la remuneración bruta y neta </w:t>
      </w:r>
      <w:r w:rsidR="00C10A29" w:rsidRPr="00C10A29">
        <w:rPr>
          <w:rFonts w:ascii="Palatino Linotype" w:hAnsi="Palatino Linotype"/>
          <w:sz w:val="22"/>
          <w:szCs w:val="22"/>
          <w:u w:val="single"/>
        </w:rPr>
        <w:t>de todos los servidores públicos</w:t>
      </w:r>
      <w:r w:rsidR="00C10A29" w:rsidRPr="00C10A29">
        <w:rPr>
          <w:rFonts w:ascii="Palatino Linotype" w:hAnsi="Palatino Linotype"/>
          <w:sz w:val="22"/>
          <w:szCs w:val="22"/>
        </w:rPr>
        <w:t xml:space="preserve"> de base o de confianza, de todas las percepciones, incluyendo sueldos, prestaciones, gratificaciones, primas, comisiones, dietas, bonos, estímulos, ingresos y sistemas de compensación</w:t>
      </w:r>
      <w:r w:rsidR="00C10A29">
        <w:rPr>
          <w:rFonts w:ascii="Palatino Linotype" w:hAnsi="Palatino Linotype"/>
          <w:sz w:val="22"/>
          <w:szCs w:val="22"/>
        </w:rPr>
        <w:t>.</w:t>
      </w:r>
    </w:p>
    <w:p w14:paraId="1E681903" w14:textId="77777777" w:rsidR="006E0D75" w:rsidRPr="00C10A29" w:rsidRDefault="006E0D75" w:rsidP="006E0D75">
      <w:pPr>
        <w:pStyle w:val="Prrafodelista"/>
        <w:spacing w:before="240" w:after="240" w:line="360" w:lineRule="auto"/>
        <w:ind w:left="0"/>
        <w:jc w:val="both"/>
        <w:rPr>
          <w:rFonts w:ascii="Palatino Linotype" w:hAnsi="Palatino Linotype"/>
          <w:color w:val="000000" w:themeColor="text1"/>
          <w:lang w:val="es-MX"/>
        </w:rPr>
      </w:pPr>
    </w:p>
    <w:p w14:paraId="505A0C5B" w14:textId="1AA8B080" w:rsidR="00C10A29" w:rsidRDefault="00AF317E" w:rsidP="00C10A29">
      <w:pPr>
        <w:pStyle w:val="Ttulo2"/>
        <w:rPr>
          <w:rStyle w:val="apple-style-span"/>
          <w:rFonts w:cstheme="minorBidi"/>
        </w:rPr>
      </w:pPr>
      <w:bookmarkStart w:id="87" w:name="_Toc24928443"/>
      <w:r>
        <w:rPr>
          <w:rStyle w:val="apple-style-span"/>
          <w:rFonts w:cstheme="minorBidi"/>
        </w:rPr>
        <w:t xml:space="preserve">II. </w:t>
      </w:r>
      <w:r w:rsidR="00C10A29">
        <w:rPr>
          <w:rStyle w:val="apple-style-span"/>
          <w:rFonts w:cstheme="minorBidi"/>
        </w:rPr>
        <w:t>De la fuente de atribuciones del SUJETO OBLIGADO.</w:t>
      </w:r>
      <w:bookmarkEnd w:id="87"/>
    </w:p>
    <w:p w14:paraId="6F771C96" w14:textId="77777777" w:rsidR="00C10A29" w:rsidRPr="00C10A29" w:rsidRDefault="00C10A29" w:rsidP="00C10A29">
      <w:pPr>
        <w:rPr>
          <w:lang w:val="es-MX" w:eastAsia="en-US"/>
        </w:rPr>
      </w:pPr>
    </w:p>
    <w:p w14:paraId="471262F9" w14:textId="5300DF35" w:rsidR="00953646" w:rsidRPr="006E637B" w:rsidRDefault="006035C3" w:rsidP="00953646">
      <w:pPr>
        <w:pStyle w:val="Prrafodelista"/>
        <w:numPr>
          <w:ilvl w:val="0"/>
          <w:numId w:val="1"/>
        </w:numPr>
        <w:spacing w:before="240" w:after="240" w:line="360" w:lineRule="auto"/>
        <w:ind w:left="0" w:firstLine="0"/>
        <w:jc w:val="both"/>
        <w:rPr>
          <w:rFonts w:ascii="Palatino Linotype" w:hAnsi="Palatino Linotype"/>
          <w:color w:val="000000" w:themeColor="text1"/>
          <w:lang w:val="es-MX"/>
        </w:rPr>
      </w:pPr>
      <w:r w:rsidRPr="006035C3">
        <w:rPr>
          <w:rStyle w:val="apple-style-span"/>
          <w:rFonts w:ascii="Palatino Linotype" w:hAnsi="Palatino Linotype" w:cs="Arial"/>
          <w:color w:val="000000"/>
        </w:rPr>
        <w:lastRenderedPageBreak/>
        <w:t xml:space="preserve"> </w:t>
      </w:r>
      <w:r w:rsidR="00953646" w:rsidRPr="006E637B">
        <w:rPr>
          <w:rFonts w:ascii="Palatino Linotype" w:eastAsia="Times New Roman" w:hAnsi="Palatino Linotype" w:cs="Arial"/>
        </w:rPr>
        <w:t>L</w:t>
      </w:r>
      <w:r w:rsidR="00953646" w:rsidRPr="006E637B">
        <w:rPr>
          <w:rFonts w:ascii="Palatino Linotype" w:hAnsi="Palatino Linotype" w:cs="Arial"/>
          <w:lang w:val="es-MX" w:eastAsia="en-US"/>
        </w:rPr>
        <w:t xml:space="preserve">a </w:t>
      </w:r>
      <w:r w:rsidR="00953646" w:rsidRPr="006E637B">
        <w:rPr>
          <w:rFonts w:ascii="Palatino Linotype" w:hAnsi="Palatino Linotype" w:cs="Arial"/>
          <w:b/>
          <w:lang w:val="es-MX" w:eastAsia="en-US"/>
        </w:rPr>
        <w:t>Constitución Política de los Estados Unidos Mexicanos</w:t>
      </w:r>
      <w:r w:rsidR="00953646" w:rsidRPr="006E637B">
        <w:rPr>
          <w:rFonts w:ascii="Palatino Linotype" w:hAnsi="Palatino Linotype" w:cs="Arial"/>
          <w:lang w:val="es-MX" w:eastAsia="en-US"/>
        </w:rPr>
        <w:t xml:space="preserve"> en su artículo 123 contempla las prerrogativas de los trabajadores entre las que se encuentra percibir un salario conforme al trabajo realizado. </w:t>
      </w:r>
    </w:p>
    <w:p w14:paraId="01A7BA41" w14:textId="77777777" w:rsidR="002504D6" w:rsidRPr="00C41C75" w:rsidRDefault="002504D6" w:rsidP="00C41C75">
      <w:pPr>
        <w:pStyle w:val="Prrafodelista"/>
        <w:tabs>
          <w:tab w:val="left" w:pos="567"/>
        </w:tabs>
        <w:spacing w:before="240" w:after="240" w:line="360" w:lineRule="auto"/>
        <w:ind w:left="0"/>
        <w:jc w:val="both"/>
      </w:pPr>
    </w:p>
    <w:p w14:paraId="45E3A46C" w14:textId="77777777" w:rsidR="002504D6" w:rsidRPr="001C06F3" w:rsidRDefault="002504D6" w:rsidP="002504D6">
      <w:pPr>
        <w:pStyle w:val="Prrafodelista"/>
        <w:numPr>
          <w:ilvl w:val="0"/>
          <w:numId w:val="1"/>
        </w:numPr>
        <w:spacing w:before="240" w:after="240" w:line="360" w:lineRule="auto"/>
        <w:ind w:left="0" w:firstLine="0"/>
        <w:jc w:val="both"/>
        <w:rPr>
          <w:rFonts w:ascii="Palatino Linotype" w:hAnsi="Palatino Linotype" w:cs="Arial"/>
        </w:rPr>
      </w:pPr>
      <w:r>
        <w:rPr>
          <w:rFonts w:ascii="Palatino Linotype" w:eastAsia="Times New Roman" w:hAnsi="Palatino Linotype" w:cs="Arial"/>
          <w:lang w:eastAsia="es-MX"/>
        </w:rPr>
        <w:t>Ahora bien</w:t>
      </w:r>
      <w:r w:rsidRPr="006E637B">
        <w:rPr>
          <w:rFonts w:ascii="Palatino Linotype" w:eastAsia="Times New Roman" w:hAnsi="Palatino Linotype" w:cs="Arial"/>
          <w:lang w:eastAsia="es-MX"/>
        </w:rPr>
        <w:t xml:space="preserve">, </w:t>
      </w:r>
      <w:r>
        <w:rPr>
          <w:rFonts w:ascii="Palatino Linotype" w:eastAsia="Times New Roman" w:hAnsi="Palatino Linotype" w:cs="Arial"/>
          <w:lang w:eastAsia="es-MX"/>
        </w:rPr>
        <w:t>los</w:t>
      </w:r>
      <w:r w:rsidRPr="006E637B">
        <w:rPr>
          <w:rFonts w:ascii="Palatino Linotype" w:eastAsia="Times New Roman" w:hAnsi="Palatino Linotype" w:cs="Arial"/>
        </w:rPr>
        <w:t xml:space="preserve"> artículo</w:t>
      </w:r>
      <w:r>
        <w:rPr>
          <w:rFonts w:ascii="Palatino Linotype" w:eastAsia="Times New Roman" w:hAnsi="Palatino Linotype" w:cs="Arial"/>
        </w:rPr>
        <w:t>s</w:t>
      </w:r>
      <w:r w:rsidRPr="006E637B">
        <w:rPr>
          <w:rFonts w:ascii="Palatino Linotype" w:eastAsia="Times New Roman" w:hAnsi="Palatino Linotype" w:cs="Arial"/>
        </w:rPr>
        <w:t xml:space="preserve"> </w:t>
      </w:r>
      <w:r>
        <w:rPr>
          <w:rFonts w:ascii="Palatino Linotype" w:eastAsia="Times New Roman" w:hAnsi="Palatino Linotype" w:cs="Arial"/>
        </w:rPr>
        <w:t xml:space="preserve">82, 83 y 84 </w:t>
      </w:r>
      <w:r w:rsidRPr="006E637B">
        <w:rPr>
          <w:rFonts w:ascii="Palatino Linotype" w:eastAsia="Times New Roman" w:hAnsi="Palatino Linotype" w:cs="Arial"/>
        </w:rPr>
        <w:t xml:space="preserve">de la </w:t>
      </w:r>
      <w:r w:rsidRPr="006E637B">
        <w:rPr>
          <w:rFonts w:ascii="Palatino Linotype" w:eastAsia="Times New Roman" w:hAnsi="Palatino Linotype" w:cs="Arial"/>
          <w:b/>
        </w:rPr>
        <w:t>Constitución Política de los Estados Unidos Mexicanos</w:t>
      </w:r>
      <w:r w:rsidRPr="006E637B">
        <w:rPr>
          <w:rFonts w:ascii="Palatino Linotype" w:eastAsia="Times New Roman" w:hAnsi="Palatino Linotype" w:cs="Arial"/>
        </w:rPr>
        <w:t xml:space="preserve"> establece</w:t>
      </w:r>
      <w:r>
        <w:rPr>
          <w:rFonts w:ascii="Palatino Linotype" w:eastAsia="Times New Roman" w:hAnsi="Palatino Linotype" w:cs="Arial"/>
        </w:rPr>
        <w:t>n</w:t>
      </w:r>
      <w:r w:rsidRPr="006E637B">
        <w:rPr>
          <w:rFonts w:ascii="Palatino Linotype" w:eastAsia="Times New Roman" w:hAnsi="Palatino Linotype" w:cs="Arial"/>
        </w:rPr>
        <w:t xml:space="preserve"> al respecto:</w:t>
      </w:r>
    </w:p>
    <w:p w14:paraId="4927A684" w14:textId="77777777" w:rsidR="002504D6" w:rsidRPr="0066771D" w:rsidRDefault="002504D6" w:rsidP="002504D6">
      <w:pPr>
        <w:pStyle w:val="Textosinformato"/>
        <w:spacing w:line="360" w:lineRule="auto"/>
        <w:ind w:left="567" w:right="567"/>
        <w:jc w:val="both"/>
        <w:rPr>
          <w:rFonts w:ascii="Palatino Linotype" w:eastAsia="MS Mincho" w:hAnsi="Palatino Linotype" w:cs="Arial"/>
          <w:i/>
          <w:sz w:val="22"/>
          <w:szCs w:val="22"/>
        </w:rPr>
      </w:pPr>
      <w:bookmarkStart w:id="88" w:name="Artículo_82"/>
      <w:r w:rsidRPr="0066771D">
        <w:rPr>
          <w:rFonts w:ascii="Palatino Linotype" w:eastAsia="MS Mincho" w:hAnsi="Palatino Linotype" w:cs="Arial"/>
          <w:b/>
          <w:bCs/>
          <w:i/>
          <w:sz w:val="22"/>
          <w:szCs w:val="22"/>
          <w:lang w:val="es-MX"/>
        </w:rPr>
        <w:t>Artículo 82</w:t>
      </w:r>
      <w:bookmarkEnd w:id="88"/>
      <w:r w:rsidRPr="0066771D">
        <w:rPr>
          <w:rFonts w:ascii="Palatino Linotype" w:eastAsia="MS Mincho" w:hAnsi="Palatino Linotype" w:cs="Arial"/>
          <w:b/>
          <w:bCs/>
          <w:i/>
          <w:sz w:val="22"/>
          <w:szCs w:val="22"/>
          <w:lang w:val="es-MX"/>
        </w:rPr>
        <w:t xml:space="preserve">.- </w:t>
      </w:r>
      <w:r w:rsidRPr="00870B20">
        <w:rPr>
          <w:rFonts w:ascii="Palatino Linotype" w:eastAsia="MS Mincho" w:hAnsi="Palatino Linotype" w:cs="Arial"/>
          <w:b/>
          <w:i/>
          <w:sz w:val="22"/>
          <w:szCs w:val="22"/>
          <w:u w:val="single"/>
          <w:lang w:val="es-MX"/>
        </w:rPr>
        <w:t xml:space="preserve">Salario es </w:t>
      </w:r>
      <w:r w:rsidRPr="00870B20">
        <w:rPr>
          <w:rFonts w:ascii="Palatino Linotype" w:eastAsia="MS Mincho" w:hAnsi="Palatino Linotype" w:cs="Arial"/>
          <w:i/>
          <w:sz w:val="22"/>
          <w:szCs w:val="22"/>
          <w:lang w:val="es-MX"/>
        </w:rPr>
        <w:t>la retribución</w:t>
      </w:r>
      <w:r w:rsidRPr="0066771D">
        <w:rPr>
          <w:rFonts w:ascii="Palatino Linotype" w:eastAsia="MS Mincho" w:hAnsi="Palatino Linotype" w:cs="Arial"/>
          <w:i/>
          <w:sz w:val="22"/>
          <w:szCs w:val="22"/>
          <w:lang w:val="es-MX"/>
        </w:rPr>
        <w:t xml:space="preserve"> que debe pagar el patrón al trabajador por su trabajo.</w:t>
      </w:r>
    </w:p>
    <w:p w14:paraId="112BE348" w14:textId="77777777" w:rsidR="002504D6" w:rsidRPr="0066771D" w:rsidRDefault="002504D6" w:rsidP="002504D6">
      <w:pPr>
        <w:pStyle w:val="Textosinformato"/>
        <w:spacing w:line="360" w:lineRule="auto"/>
        <w:ind w:left="567" w:right="567"/>
        <w:jc w:val="both"/>
        <w:rPr>
          <w:rFonts w:ascii="Palatino Linotype" w:eastAsia="MS Mincho" w:hAnsi="Palatino Linotype" w:cs="Arial"/>
          <w:i/>
          <w:sz w:val="22"/>
          <w:szCs w:val="22"/>
        </w:rPr>
      </w:pPr>
    </w:p>
    <w:p w14:paraId="5BBB0604" w14:textId="77777777" w:rsidR="002504D6" w:rsidRPr="0066771D" w:rsidRDefault="002504D6" w:rsidP="002504D6">
      <w:pPr>
        <w:pStyle w:val="Textosinformato"/>
        <w:spacing w:line="360" w:lineRule="auto"/>
        <w:ind w:left="567" w:right="567"/>
        <w:jc w:val="both"/>
        <w:rPr>
          <w:rFonts w:ascii="Palatino Linotype" w:eastAsia="MS Mincho" w:hAnsi="Palatino Linotype" w:cs="Arial"/>
          <w:i/>
          <w:sz w:val="22"/>
          <w:szCs w:val="22"/>
        </w:rPr>
      </w:pPr>
      <w:bookmarkStart w:id="89" w:name="Artículo_83"/>
      <w:r w:rsidRPr="0066771D">
        <w:rPr>
          <w:rFonts w:ascii="Palatino Linotype" w:eastAsia="MS Mincho" w:hAnsi="Palatino Linotype" w:cs="Arial"/>
          <w:b/>
          <w:bCs/>
          <w:i/>
          <w:sz w:val="22"/>
          <w:szCs w:val="22"/>
          <w:lang w:val="es-MX"/>
        </w:rPr>
        <w:t>Artículo 83</w:t>
      </w:r>
      <w:bookmarkEnd w:id="89"/>
      <w:r w:rsidRPr="0066771D">
        <w:rPr>
          <w:rFonts w:ascii="Palatino Linotype" w:eastAsia="MS Mincho" w:hAnsi="Palatino Linotype" w:cs="Arial"/>
          <w:b/>
          <w:bCs/>
          <w:i/>
          <w:sz w:val="22"/>
          <w:szCs w:val="22"/>
          <w:lang w:val="es-MX"/>
        </w:rPr>
        <w:t xml:space="preserve">.- </w:t>
      </w:r>
      <w:r w:rsidRPr="0066771D">
        <w:rPr>
          <w:rFonts w:ascii="Palatino Linotype" w:eastAsia="MS Mincho" w:hAnsi="Palatino Linotype" w:cs="Arial"/>
          <w:i/>
          <w:sz w:val="22"/>
          <w:szCs w:val="22"/>
          <w:lang w:val="es-MX"/>
        </w:rPr>
        <w:t>El salario puede fijarse por unidad de tiempo, por unidad de obra, por comisión, a precio alzado o de cualquier otra manera.</w:t>
      </w:r>
    </w:p>
    <w:p w14:paraId="30E29E85" w14:textId="77777777" w:rsidR="002504D6" w:rsidRPr="0066771D" w:rsidRDefault="002504D6" w:rsidP="002504D6">
      <w:pPr>
        <w:pStyle w:val="Textosinformato"/>
        <w:spacing w:line="360" w:lineRule="auto"/>
        <w:ind w:left="567" w:right="567"/>
        <w:jc w:val="both"/>
        <w:rPr>
          <w:rFonts w:ascii="Palatino Linotype" w:eastAsia="MS Mincho" w:hAnsi="Palatino Linotype" w:cs="Arial"/>
          <w:i/>
          <w:sz w:val="22"/>
          <w:szCs w:val="22"/>
        </w:rPr>
      </w:pPr>
    </w:p>
    <w:p w14:paraId="00E830B5" w14:textId="77777777" w:rsidR="002504D6" w:rsidRPr="0066771D" w:rsidRDefault="002504D6" w:rsidP="002504D6">
      <w:pPr>
        <w:pStyle w:val="Texto"/>
        <w:spacing w:after="0" w:line="360" w:lineRule="auto"/>
        <w:ind w:left="567" w:right="567" w:firstLine="0"/>
        <w:rPr>
          <w:rFonts w:ascii="Palatino Linotype" w:hAnsi="Palatino Linotype"/>
          <w:i/>
          <w:sz w:val="22"/>
          <w:szCs w:val="22"/>
          <w:lang w:val="es-MX"/>
        </w:rPr>
      </w:pPr>
      <w:r w:rsidRPr="0066771D">
        <w:rPr>
          <w:rFonts w:ascii="Palatino Linotype" w:hAnsi="Palatino Linotype"/>
          <w:i/>
          <w:sz w:val="22"/>
          <w:szCs w:val="22"/>
          <w:lang w:val="es-MX"/>
        </w:rPr>
        <w:t>Tratándose de salario por unidad de tiempo, se establecerá específicamente esa naturaleza. El trabajador y el patrón podrán convenir el monto, siempre que se trate de un salario remunerador, así como el pago por cada hora de prestación de servicio, siempre y cuando no se exceda la jornada máxima legal y se respeten los derechos laborales y de seguridad social que correspondan a la plaza de que se trate. El ingreso que perciban los trabajadores por esta modalidad, en ningún caso será inferior al que corresponda a una jornada diaria.</w:t>
      </w:r>
    </w:p>
    <w:p w14:paraId="66A141CE" w14:textId="77777777" w:rsidR="002504D6" w:rsidRPr="0066771D" w:rsidRDefault="002504D6" w:rsidP="002504D6">
      <w:pPr>
        <w:pStyle w:val="Textosinformato"/>
        <w:spacing w:line="360" w:lineRule="auto"/>
        <w:ind w:left="567" w:right="567"/>
        <w:jc w:val="both"/>
        <w:rPr>
          <w:rFonts w:ascii="Palatino Linotype" w:eastAsia="MS Mincho" w:hAnsi="Palatino Linotype" w:cs="Arial"/>
          <w:i/>
          <w:sz w:val="22"/>
          <w:szCs w:val="22"/>
        </w:rPr>
      </w:pPr>
    </w:p>
    <w:p w14:paraId="53666290" w14:textId="77777777" w:rsidR="002504D6" w:rsidRPr="0066771D" w:rsidRDefault="002504D6" w:rsidP="002504D6">
      <w:pPr>
        <w:pStyle w:val="Textosinformato"/>
        <w:spacing w:line="360" w:lineRule="auto"/>
        <w:ind w:left="567" w:right="567"/>
        <w:jc w:val="both"/>
        <w:rPr>
          <w:rFonts w:ascii="Palatino Linotype" w:eastAsia="MS Mincho" w:hAnsi="Palatino Linotype" w:cs="Arial"/>
          <w:i/>
          <w:sz w:val="22"/>
          <w:szCs w:val="22"/>
        </w:rPr>
      </w:pPr>
      <w:r w:rsidRPr="0066771D">
        <w:rPr>
          <w:rFonts w:ascii="Palatino Linotype" w:eastAsia="MS Mincho" w:hAnsi="Palatino Linotype" w:cs="Arial"/>
          <w:i/>
          <w:sz w:val="22"/>
          <w:szCs w:val="22"/>
          <w:lang w:val="es-MX"/>
        </w:rPr>
        <w:t>Cuando el salario se fije por unidad de obra, además de especificarse la naturaleza de ésta, se hará constar la cantidad y calidad del material, el estado de la herramienta y útiles que el patrón, en su caso, proporcione para ejecutar la obra, y el tiempo por el que los pondrá a disposición del trabajador, sin que pueda exigir cantidad alguna por concepto del desgaste natural que sufra la herramienta como consecuencia del trabajo.</w:t>
      </w:r>
    </w:p>
    <w:p w14:paraId="19E014BE" w14:textId="77777777" w:rsidR="002504D6" w:rsidRPr="0066771D" w:rsidRDefault="002504D6" w:rsidP="002504D6">
      <w:pPr>
        <w:pStyle w:val="Textosinformato"/>
        <w:spacing w:line="360" w:lineRule="auto"/>
        <w:ind w:left="567" w:right="567"/>
        <w:jc w:val="both"/>
        <w:rPr>
          <w:rFonts w:ascii="Palatino Linotype" w:eastAsia="MS Mincho" w:hAnsi="Palatino Linotype" w:cs="Arial"/>
          <w:i/>
          <w:sz w:val="22"/>
          <w:szCs w:val="22"/>
        </w:rPr>
      </w:pPr>
    </w:p>
    <w:p w14:paraId="44887C1D" w14:textId="77777777" w:rsidR="002504D6" w:rsidRPr="00870B20" w:rsidRDefault="002504D6" w:rsidP="002504D6">
      <w:pPr>
        <w:pStyle w:val="Textosinformato"/>
        <w:spacing w:line="360" w:lineRule="auto"/>
        <w:ind w:left="567" w:right="567"/>
        <w:jc w:val="both"/>
        <w:rPr>
          <w:rFonts w:ascii="Palatino Linotype" w:eastAsia="MS Mincho" w:hAnsi="Palatino Linotype" w:cs="Arial"/>
          <w:i/>
          <w:sz w:val="22"/>
          <w:szCs w:val="22"/>
        </w:rPr>
      </w:pPr>
      <w:bookmarkStart w:id="90" w:name="Artículo_84"/>
      <w:r w:rsidRPr="006D2F6E">
        <w:rPr>
          <w:rFonts w:ascii="Palatino Linotype" w:eastAsia="MS Mincho" w:hAnsi="Palatino Linotype" w:cs="Arial"/>
          <w:b/>
          <w:bCs/>
          <w:i/>
          <w:sz w:val="22"/>
          <w:szCs w:val="22"/>
          <w:u w:val="single"/>
          <w:lang w:val="es-MX"/>
        </w:rPr>
        <w:lastRenderedPageBreak/>
        <w:t>Artículo 84</w:t>
      </w:r>
      <w:bookmarkEnd w:id="90"/>
      <w:r w:rsidRPr="006D2F6E">
        <w:rPr>
          <w:rFonts w:ascii="Palatino Linotype" w:eastAsia="MS Mincho" w:hAnsi="Palatino Linotype" w:cs="Arial"/>
          <w:b/>
          <w:bCs/>
          <w:i/>
          <w:sz w:val="22"/>
          <w:szCs w:val="22"/>
          <w:u w:val="single"/>
          <w:lang w:val="es-MX"/>
        </w:rPr>
        <w:t xml:space="preserve">.- </w:t>
      </w:r>
      <w:r w:rsidRPr="006D2F6E">
        <w:rPr>
          <w:rFonts w:ascii="Palatino Linotype" w:eastAsia="MS Mincho" w:hAnsi="Palatino Linotype" w:cs="Arial"/>
          <w:b/>
          <w:i/>
          <w:sz w:val="22"/>
          <w:szCs w:val="22"/>
          <w:u w:val="single"/>
          <w:lang w:val="es-MX"/>
        </w:rPr>
        <w:t xml:space="preserve">El salario </w:t>
      </w:r>
      <w:r w:rsidRPr="00870B20">
        <w:rPr>
          <w:rFonts w:ascii="Palatino Linotype" w:eastAsia="MS Mincho" w:hAnsi="Palatino Linotype" w:cs="Arial"/>
          <w:i/>
          <w:sz w:val="22"/>
          <w:szCs w:val="22"/>
          <w:lang w:val="es-MX"/>
        </w:rPr>
        <w:t>se integra con los pagos hechos en efectivo por cuota diaria, gratificaciones, percepciones, habitación, primas, comisiones, prestaciones en especie y cualquiera otra cantidad o prestación que se entregue al trabajador por su trabajo.</w:t>
      </w:r>
    </w:p>
    <w:p w14:paraId="430E3C20" w14:textId="77777777" w:rsidR="002504D6" w:rsidRPr="006E637B" w:rsidRDefault="002504D6" w:rsidP="002504D6">
      <w:pPr>
        <w:pStyle w:val="Prrafodelista"/>
        <w:spacing w:before="240" w:after="240" w:line="360" w:lineRule="auto"/>
        <w:ind w:left="0"/>
        <w:jc w:val="both"/>
        <w:rPr>
          <w:rFonts w:ascii="Palatino Linotype" w:hAnsi="Palatino Linotype" w:cs="Arial"/>
        </w:rPr>
      </w:pPr>
    </w:p>
    <w:p w14:paraId="14257E6E" w14:textId="77777777" w:rsidR="002504D6" w:rsidRDefault="002504D6" w:rsidP="002504D6">
      <w:pPr>
        <w:pStyle w:val="Prrafodelista"/>
        <w:numPr>
          <w:ilvl w:val="0"/>
          <w:numId w:val="1"/>
        </w:numPr>
        <w:spacing w:before="240" w:after="240" w:line="360" w:lineRule="auto"/>
        <w:ind w:left="0" w:firstLine="0"/>
        <w:jc w:val="both"/>
        <w:rPr>
          <w:rFonts w:ascii="Palatino Linotype" w:hAnsi="Palatino Linotype" w:cs="Arial"/>
        </w:rPr>
      </w:pPr>
      <w:r w:rsidRPr="006E637B">
        <w:rPr>
          <w:rFonts w:ascii="Palatino Linotype" w:hAnsi="Palatino Linotype" w:cs="Arial"/>
        </w:rPr>
        <w:t xml:space="preserve">Por su parte, el artículo </w:t>
      </w:r>
      <w:r>
        <w:rPr>
          <w:rFonts w:ascii="Palatino Linotype" w:hAnsi="Palatino Linotype" w:cs="Arial"/>
        </w:rPr>
        <w:t>71</w:t>
      </w:r>
      <w:r w:rsidRPr="006E637B">
        <w:rPr>
          <w:rFonts w:ascii="Palatino Linotype" w:hAnsi="Palatino Linotype" w:cs="Arial"/>
        </w:rPr>
        <w:t xml:space="preserve"> de la </w:t>
      </w:r>
      <w:r w:rsidRPr="006E637B">
        <w:rPr>
          <w:rFonts w:ascii="Palatino Linotype" w:hAnsi="Palatino Linotype" w:cs="Arial"/>
          <w:b/>
        </w:rPr>
        <w:t>Constitución Política del Estado Libre y Soberano de México</w:t>
      </w:r>
      <w:r w:rsidRPr="006E637B">
        <w:rPr>
          <w:rFonts w:ascii="Palatino Linotype" w:hAnsi="Palatino Linotype" w:cs="Arial"/>
        </w:rPr>
        <w:t xml:space="preserve"> dispone en lo relativo a</w:t>
      </w:r>
      <w:r>
        <w:rPr>
          <w:rFonts w:ascii="Palatino Linotype" w:hAnsi="Palatino Linotype" w:cs="Arial"/>
        </w:rPr>
        <w:t>l</w:t>
      </w:r>
      <w:r w:rsidRPr="006E637B">
        <w:rPr>
          <w:rFonts w:ascii="Palatino Linotype" w:hAnsi="Palatino Linotype" w:cs="Arial"/>
        </w:rPr>
        <w:t xml:space="preserve"> </w:t>
      </w:r>
      <w:r>
        <w:rPr>
          <w:rFonts w:ascii="Palatino Linotype" w:hAnsi="Palatino Linotype" w:cs="Arial"/>
        </w:rPr>
        <w:t>sueldo</w:t>
      </w:r>
      <w:r w:rsidRPr="006E637B">
        <w:rPr>
          <w:rFonts w:ascii="Palatino Linotype" w:hAnsi="Palatino Linotype" w:cs="Arial"/>
        </w:rPr>
        <w:t xml:space="preserve"> de los servidores públicos lo siguiente:</w:t>
      </w:r>
    </w:p>
    <w:p w14:paraId="7D6FFD87" w14:textId="77777777" w:rsidR="002504D6" w:rsidRPr="006E637B" w:rsidRDefault="002504D6" w:rsidP="002504D6">
      <w:pPr>
        <w:pStyle w:val="Prrafodelista"/>
        <w:spacing w:before="240" w:after="240" w:line="360" w:lineRule="auto"/>
        <w:ind w:left="0"/>
        <w:jc w:val="both"/>
        <w:rPr>
          <w:rFonts w:ascii="Palatino Linotype" w:hAnsi="Palatino Linotype" w:cs="Arial"/>
        </w:rPr>
      </w:pPr>
    </w:p>
    <w:p w14:paraId="4C5E0D64" w14:textId="77777777" w:rsidR="002504D6" w:rsidRPr="006D2F6E" w:rsidRDefault="002504D6" w:rsidP="002504D6">
      <w:pPr>
        <w:pStyle w:val="Prrafodelista"/>
        <w:spacing w:before="240" w:after="240" w:line="360" w:lineRule="auto"/>
        <w:ind w:left="567" w:right="567"/>
        <w:jc w:val="both"/>
        <w:rPr>
          <w:rFonts w:ascii="Palatino Linotype" w:hAnsi="Palatino Linotype" w:cs="Arial"/>
          <w:i/>
          <w:sz w:val="22"/>
          <w:szCs w:val="22"/>
        </w:rPr>
      </w:pPr>
      <w:r w:rsidRPr="006D2F6E">
        <w:rPr>
          <w:rFonts w:ascii="Palatino Linotype" w:hAnsi="Palatino Linotype"/>
          <w:i/>
          <w:sz w:val="22"/>
          <w:szCs w:val="22"/>
        </w:rPr>
        <w:t xml:space="preserve">ARTÍCULO 71. </w:t>
      </w:r>
      <w:r w:rsidRPr="00870B20">
        <w:rPr>
          <w:rFonts w:ascii="Palatino Linotype" w:hAnsi="Palatino Linotype"/>
          <w:b/>
          <w:i/>
          <w:sz w:val="22"/>
          <w:szCs w:val="22"/>
          <w:u w:val="single"/>
        </w:rPr>
        <w:t>El sueldo es</w:t>
      </w:r>
      <w:r w:rsidRPr="006D2F6E">
        <w:rPr>
          <w:rFonts w:ascii="Palatino Linotype" w:hAnsi="Palatino Linotype"/>
          <w:i/>
          <w:sz w:val="22"/>
          <w:szCs w:val="22"/>
        </w:rPr>
        <w:t xml:space="preserve"> la retribución que la institución pública debe pagar al servidor público por los servicios prestados.</w:t>
      </w:r>
    </w:p>
    <w:p w14:paraId="4F349E27" w14:textId="77777777" w:rsidR="002504D6" w:rsidRPr="006D2F6E" w:rsidRDefault="002504D6" w:rsidP="002504D6">
      <w:pPr>
        <w:pStyle w:val="Prrafodelista"/>
        <w:spacing w:after="240"/>
        <w:ind w:left="0"/>
        <w:rPr>
          <w:rFonts w:ascii="Palatino Linotype" w:eastAsia="Times New Roman" w:hAnsi="Palatino Linotype" w:cs="Arial"/>
          <w:bCs/>
        </w:rPr>
      </w:pPr>
    </w:p>
    <w:p w14:paraId="053555FF" w14:textId="77777777" w:rsidR="007617F3" w:rsidRDefault="007617F3" w:rsidP="007617F3">
      <w:pPr>
        <w:pStyle w:val="Prrafodelista"/>
        <w:numPr>
          <w:ilvl w:val="0"/>
          <w:numId w:val="1"/>
        </w:numPr>
        <w:spacing w:before="240" w:after="240" w:line="360" w:lineRule="auto"/>
        <w:ind w:left="0" w:firstLine="0"/>
        <w:jc w:val="both"/>
        <w:rPr>
          <w:rFonts w:ascii="Palatino Linotype" w:hAnsi="Palatino Linotype" w:cs="Arial"/>
        </w:rPr>
      </w:pPr>
      <w:r w:rsidRPr="006E637B">
        <w:rPr>
          <w:rFonts w:ascii="Palatino Linotype" w:hAnsi="Palatino Linotype" w:cs="Arial"/>
        </w:rPr>
        <w:t>De lo anterior,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683CF2A3" w14:textId="77777777" w:rsidR="007617F3" w:rsidRPr="007617F3" w:rsidRDefault="007617F3" w:rsidP="007617F3">
      <w:pPr>
        <w:pStyle w:val="Prrafodelista"/>
        <w:spacing w:before="240" w:after="240" w:line="360" w:lineRule="auto"/>
        <w:ind w:left="0"/>
        <w:jc w:val="both"/>
        <w:rPr>
          <w:rFonts w:ascii="Palatino Linotype" w:hAnsi="Palatino Linotype" w:cs="Arial"/>
        </w:rPr>
      </w:pPr>
    </w:p>
    <w:p w14:paraId="30A41C6E" w14:textId="77777777" w:rsidR="002504D6" w:rsidRPr="006E637B" w:rsidRDefault="002504D6" w:rsidP="002504D6">
      <w:pPr>
        <w:pStyle w:val="Prrafodelista"/>
        <w:numPr>
          <w:ilvl w:val="0"/>
          <w:numId w:val="1"/>
        </w:numPr>
        <w:spacing w:before="240" w:after="240" w:line="360" w:lineRule="auto"/>
        <w:ind w:left="0" w:firstLine="0"/>
        <w:jc w:val="both"/>
        <w:rPr>
          <w:rFonts w:ascii="Palatino Linotype" w:hAnsi="Palatino Linotype" w:cs="Arial"/>
        </w:rPr>
      </w:pPr>
      <w:r w:rsidRPr="006E637B">
        <w:rPr>
          <w:rFonts w:ascii="Palatino Linotype" w:eastAsia="Times New Roman" w:hAnsi="Palatino Linotype" w:cs="Arial"/>
          <w:bCs/>
        </w:rPr>
        <w:t xml:space="preserve">Al respecto, el </w:t>
      </w:r>
      <w:r w:rsidRPr="006E637B">
        <w:rPr>
          <w:rFonts w:ascii="Palatino Linotype" w:hAnsi="Palatino Linotype" w:cs="Arial"/>
        </w:rPr>
        <w:t xml:space="preserve">artículo 3, fracción XXXII del </w:t>
      </w:r>
      <w:r w:rsidRPr="006E637B">
        <w:rPr>
          <w:rFonts w:ascii="Palatino Linotype" w:hAnsi="Palatino Linotype" w:cs="Arial"/>
          <w:b/>
        </w:rPr>
        <w:t xml:space="preserve">Código Financiero del Estado de México y Municipios </w:t>
      </w:r>
      <w:r w:rsidRPr="006E637B">
        <w:rPr>
          <w:rFonts w:ascii="Palatino Linotype" w:hAnsi="Palatino Linotype" w:cs="Arial"/>
        </w:rPr>
        <w:t>establece lo siguiente:</w:t>
      </w:r>
    </w:p>
    <w:p w14:paraId="22E36EC5" w14:textId="77777777" w:rsidR="002504D6" w:rsidRPr="006E637B" w:rsidRDefault="002504D6" w:rsidP="002504D6">
      <w:pPr>
        <w:pStyle w:val="Prrafodelista"/>
        <w:spacing w:before="240" w:after="240" w:line="360" w:lineRule="auto"/>
        <w:ind w:left="0" w:right="567"/>
        <w:jc w:val="both"/>
        <w:rPr>
          <w:rFonts w:ascii="Palatino Linotype" w:hAnsi="Palatino Linotype" w:cs="Arial"/>
        </w:rPr>
      </w:pPr>
    </w:p>
    <w:p w14:paraId="0A1D47FF" w14:textId="77777777" w:rsidR="002504D6" w:rsidRPr="006D2F6E" w:rsidRDefault="002504D6" w:rsidP="002504D6">
      <w:pPr>
        <w:pStyle w:val="Prrafodelista"/>
        <w:tabs>
          <w:tab w:val="left" w:pos="567"/>
        </w:tabs>
        <w:spacing w:before="240" w:after="240" w:line="360" w:lineRule="auto"/>
        <w:ind w:left="567" w:right="567"/>
        <w:jc w:val="both"/>
        <w:rPr>
          <w:rFonts w:ascii="Palatino Linotype" w:hAnsi="Palatino Linotype"/>
          <w:i/>
          <w:sz w:val="22"/>
          <w:szCs w:val="22"/>
        </w:rPr>
      </w:pPr>
      <w:r w:rsidRPr="006D2F6E">
        <w:rPr>
          <w:rFonts w:ascii="Palatino Linotype" w:hAnsi="Palatino Linotype"/>
          <w:i/>
          <w:sz w:val="22"/>
          <w:szCs w:val="22"/>
        </w:rPr>
        <w:t>Artículo 3.- Para efectos de este Código, Ley de Ingresos del Estado y del Presupuesto de Egresos se entenderá por:</w:t>
      </w:r>
    </w:p>
    <w:p w14:paraId="205FBF9B" w14:textId="77777777" w:rsidR="002504D6" w:rsidRPr="006D2F6E" w:rsidRDefault="002504D6" w:rsidP="002504D6">
      <w:pPr>
        <w:pStyle w:val="Prrafodelista"/>
        <w:tabs>
          <w:tab w:val="left" w:pos="567"/>
        </w:tabs>
        <w:spacing w:before="240" w:after="240" w:line="360" w:lineRule="auto"/>
        <w:ind w:left="567" w:right="567"/>
        <w:jc w:val="both"/>
        <w:rPr>
          <w:rFonts w:ascii="Palatino Linotype" w:eastAsia="Times New Roman" w:hAnsi="Palatino Linotype" w:cs="Arial"/>
          <w:bCs/>
          <w:i/>
          <w:sz w:val="22"/>
          <w:szCs w:val="22"/>
        </w:rPr>
      </w:pPr>
      <w:r w:rsidRPr="006D2F6E">
        <w:rPr>
          <w:rFonts w:ascii="Palatino Linotype" w:eastAsia="Times New Roman" w:hAnsi="Palatino Linotype" w:cs="Arial"/>
          <w:bCs/>
          <w:i/>
          <w:sz w:val="22"/>
          <w:szCs w:val="22"/>
        </w:rPr>
        <w:t>…</w:t>
      </w:r>
    </w:p>
    <w:p w14:paraId="1446591B" w14:textId="77777777" w:rsidR="002504D6" w:rsidRPr="006D2F6E" w:rsidRDefault="002504D6" w:rsidP="002504D6">
      <w:pPr>
        <w:pStyle w:val="Prrafodelista"/>
        <w:tabs>
          <w:tab w:val="left" w:pos="567"/>
        </w:tabs>
        <w:spacing w:before="240" w:after="240" w:line="360" w:lineRule="auto"/>
        <w:ind w:left="567" w:right="567"/>
        <w:jc w:val="both"/>
        <w:rPr>
          <w:rFonts w:ascii="Palatino Linotype" w:hAnsi="Palatino Linotype"/>
          <w:i/>
          <w:sz w:val="22"/>
          <w:szCs w:val="22"/>
        </w:rPr>
      </w:pPr>
      <w:r w:rsidRPr="00870B20">
        <w:rPr>
          <w:rFonts w:ascii="Palatino Linotype" w:hAnsi="Palatino Linotype"/>
          <w:b/>
          <w:i/>
          <w:sz w:val="22"/>
          <w:szCs w:val="22"/>
          <w:u w:val="single"/>
        </w:rPr>
        <w:lastRenderedPageBreak/>
        <w:t>XXXII. Remuneración</w:t>
      </w:r>
      <w:r w:rsidRPr="006D2F6E">
        <w:rPr>
          <w:rFonts w:ascii="Palatino Linotype" w:hAnsi="Palatino Linotype"/>
          <w:i/>
          <w:sz w:val="22"/>
          <w:szCs w:val="22"/>
        </w:rPr>
        <w:t xml:space="preserve">: </w:t>
      </w:r>
      <w:r w:rsidRPr="00870B20">
        <w:rPr>
          <w:rFonts w:ascii="Palatino Linotype" w:hAnsi="Palatino Linotype"/>
          <w:i/>
          <w:sz w:val="22"/>
          <w:szCs w:val="22"/>
        </w:rPr>
        <w:t xml:space="preserve">A los pagos hechos por concepto de sueldo, compensaciones, gratificaciones, habitación, primas, comisiones, prestaciones en especie y cualquier otra percepción o prestación que se entregue al servidor público por su trabajo. </w:t>
      </w:r>
      <w:r w:rsidRPr="006D2F6E">
        <w:rPr>
          <w:rFonts w:ascii="Palatino Linotype" w:hAnsi="Palatino Linotype"/>
          <w:i/>
          <w:sz w:val="22"/>
          <w:szCs w:val="22"/>
        </w:rPr>
        <w:t>Esta definición no será aplicable para los efectos del Impuesto sobre Erogaciones por Remuneraciones al Trabajo Personal;</w:t>
      </w:r>
    </w:p>
    <w:p w14:paraId="69D51255" w14:textId="77777777" w:rsidR="002504D6" w:rsidRPr="006E637B" w:rsidRDefault="002504D6" w:rsidP="002504D6">
      <w:pPr>
        <w:pStyle w:val="Prrafodelista"/>
        <w:spacing w:before="240" w:after="240" w:line="360" w:lineRule="auto"/>
        <w:ind w:left="0"/>
        <w:jc w:val="both"/>
        <w:rPr>
          <w:rFonts w:ascii="Palatino Linotype" w:hAnsi="Palatino Linotype" w:cs="Arial"/>
        </w:rPr>
      </w:pPr>
    </w:p>
    <w:p w14:paraId="16AB5079" w14:textId="77777777" w:rsidR="002F7950" w:rsidRPr="006F474C" w:rsidRDefault="002F7950" w:rsidP="002F7950">
      <w:pPr>
        <w:pStyle w:val="Prrafodelista"/>
        <w:numPr>
          <w:ilvl w:val="0"/>
          <w:numId w:val="1"/>
        </w:numPr>
        <w:spacing w:before="240" w:after="360" w:line="360" w:lineRule="auto"/>
        <w:ind w:left="0" w:firstLine="0"/>
        <w:jc w:val="both"/>
        <w:rPr>
          <w:rFonts w:ascii="Palatino Linotype" w:eastAsia="Arial Unicode MS" w:hAnsi="Palatino Linotype" w:cs="Arial"/>
        </w:rPr>
      </w:pPr>
      <w:r w:rsidRPr="006F474C">
        <w:rPr>
          <w:rFonts w:ascii="Palatino Linotype" w:hAnsi="Palatino Linotype" w:cs="Arial"/>
        </w:rPr>
        <w:t>De igual manera el</w:t>
      </w:r>
      <w:r w:rsidRPr="006F474C">
        <w:rPr>
          <w:rFonts w:ascii="Palatino Linotype" w:eastAsia="Arial Unicode MS" w:hAnsi="Palatino Linotype" w:cs="Arial"/>
        </w:rPr>
        <w:t xml:space="preserve"> artículo 350 del </w:t>
      </w:r>
      <w:r w:rsidRPr="006F474C">
        <w:rPr>
          <w:rFonts w:ascii="Palatino Linotype" w:eastAsia="Arial Unicode MS" w:hAnsi="Palatino Linotype" w:cs="Arial"/>
          <w:b/>
        </w:rPr>
        <w:t>Código Financiero del Estado de México y Municipios</w:t>
      </w:r>
      <w:r w:rsidRPr="006F474C">
        <w:rPr>
          <w:rFonts w:ascii="Palatino Linotype" w:eastAsia="Arial Unicode MS" w:hAnsi="Palatino Linotype" w:cs="Arial"/>
        </w:rPr>
        <w:t>, señala que existe la obligación a cargo de las entidades fiscalizables, -como lo es el Sujeto Obligado-, de informar al Órgano Superior de Fiscalización del Estado de México, todo lo relacionado con la información contable, presupuestal y financiera, en los términos siguientes:</w:t>
      </w:r>
    </w:p>
    <w:p w14:paraId="453AE728" w14:textId="77777777" w:rsidR="002F7950" w:rsidRPr="006F474C" w:rsidRDefault="002F7950" w:rsidP="002F7950">
      <w:pPr>
        <w:spacing w:line="360" w:lineRule="auto"/>
        <w:ind w:left="567" w:right="567"/>
        <w:jc w:val="both"/>
        <w:rPr>
          <w:rFonts w:ascii="Palatino Linotype" w:eastAsia="Calibri" w:hAnsi="Palatino Linotype" w:cs="Arial"/>
          <w:i/>
          <w:sz w:val="22"/>
          <w:szCs w:val="22"/>
        </w:rPr>
      </w:pPr>
      <w:r w:rsidRPr="006F474C">
        <w:rPr>
          <w:rFonts w:ascii="Palatino Linotype" w:eastAsia="Calibri" w:hAnsi="Palatino Linotype" w:cs="Arial"/>
          <w:b/>
          <w:i/>
          <w:sz w:val="22"/>
          <w:szCs w:val="22"/>
        </w:rPr>
        <w:t>Artículo 350.-</w:t>
      </w:r>
      <w:r w:rsidRPr="006F474C">
        <w:rPr>
          <w:rFonts w:ascii="Palatino Linotype" w:eastAsia="Calibri" w:hAnsi="Palatino Linotype" w:cs="Arial"/>
          <w:i/>
          <w:sz w:val="22"/>
          <w:szCs w:val="22"/>
        </w:rPr>
        <w:t xml:space="preserve"> Mensualmente dentro de los primeros veinte días hábiles, la Secretaría y </w:t>
      </w:r>
      <w:r w:rsidRPr="006F474C">
        <w:rPr>
          <w:rFonts w:ascii="Palatino Linotype" w:eastAsia="Calibri" w:hAnsi="Palatino Linotype" w:cs="Arial"/>
          <w:b/>
          <w:i/>
          <w:sz w:val="22"/>
          <w:szCs w:val="22"/>
        </w:rPr>
        <w:t>las Tesorerías, enviarán para su análisis y evaluación</w:t>
      </w:r>
      <w:r w:rsidRPr="006F474C">
        <w:rPr>
          <w:rFonts w:ascii="Palatino Linotype" w:eastAsia="Calibri" w:hAnsi="Palatino Linotype" w:cs="Arial"/>
          <w:i/>
          <w:sz w:val="22"/>
          <w:szCs w:val="22"/>
        </w:rPr>
        <w:t xml:space="preserve"> </w:t>
      </w:r>
      <w:r w:rsidRPr="006F474C">
        <w:rPr>
          <w:rFonts w:ascii="Palatino Linotype" w:eastAsia="Calibri" w:hAnsi="Palatino Linotype" w:cs="Arial"/>
          <w:b/>
          <w:i/>
          <w:sz w:val="22"/>
          <w:szCs w:val="22"/>
        </w:rPr>
        <w:t>al Órgano Superior de Fiscalización del Estado de México</w:t>
      </w:r>
      <w:r w:rsidRPr="006F474C">
        <w:rPr>
          <w:rFonts w:ascii="Palatino Linotype" w:eastAsia="Calibri" w:hAnsi="Palatino Linotype" w:cs="Arial"/>
          <w:i/>
          <w:sz w:val="22"/>
          <w:szCs w:val="22"/>
        </w:rPr>
        <w:t>, la siguiente información:</w:t>
      </w:r>
    </w:p>
    <w:p w14:paraId="7FC2C205" w14:textId="77777777" w:rsidR="002F7950" w:rsidRPr="006F474C" w:rsidRDefault="002F7950" w:rsidP="002F7950">
      <w:pPr>
        <w:spacing w:line="360" w:lineRule="auto"/>
        <w:ind w:left="567" w:right="567"/>
        <w:jc w:val="both"/>
        <w:rPr>
          <w:rFonts w:ascii="Palatino Linotype" w:eastAsia="Calibri" w:hAnsi="Palatino Linotype" w:cs="Arial"/>
          <w:i/>
          <w:sz w:val="22"/>
          <w:szCs w:val="22"/>
        </w:rPr>
      </w:pPr>
    </w:p>
    <w:p w14:paraId="6D9A2782" w14:textId="77777777" w:rsidR="002F7950" w:rsidRPr="006F474C" w:rsidRDefault="002F7950" w:rsidP="002F7950">
      <w:pPr>
        <w:spacing w:line="360" w:lineRule="auto"/>
        <w:ind w:left="567" w:right="567"/>
        <w:jc w:val="both"/>
        <w:rPr>
          <w:rFonts w:ascii="Palatino Linotype" w:eastAsia="Calibri" w:hAnsi="Palatino Linotype" w:cs="Arial"/>
          <w:i/>
          <w:sz w:val="22"/>
          <w:szCs w:val="22"/>
        </w:rPr>
      </w:pPr>
      <w:r w:rsidRPr="006F474C">
        <w:rPr>
          <w:rFonts w:ascii="Palatino Linotype" w:eastAsia="Calibri" w:hAnsi="Palatino Linotype" w:cs="Arial"/>
          <w:i/>
          <w:sz w:val="22"/>
          <w:szCs w:val="22"/>
        </w:rPr>
        <w:t>I. Información patrimonial.</w:t>
      </w:r>
    </w:p>
    <w:p w14:paraId="4DEAA36E" w14:textId="77777777" w:rsidR="002F7950" w:rsidRPr="006F474C" w:rsidRDefault="002F7950" w:rsidP="002F7950">
      <w:pPr>
        <w:spacing w:line="360" w:lineRule="auto"/>
        <w:ind w:left="567" w:right="567"/>
        <w:jc w:val="both"/>
        <w:rPr>
          <w:rFonts w:ascii="Palatino Linotype" w:eastAsia="Calibri" w:hAnsi="Palatino Linotype" w:cs="Arial"/>
          <w:i/>
          <w:sz w:val="22"/>
          <w:szCs w:val="22"/>
        </w:rPr>
      </w:pPr>
      <w:r w:rsidRPr="006F474C">
        <w:rPr>
          <w:rFonts w:ascii="Palatino Linotype" w:eastAsia="Calibri" w:hAnsi="Palatino Linotype" w:cs="Arial"/>
          <w:i/>
          <w:sz w:val="22"/>
          <w:szCs w:val="22"/>
        </w:rPr>
        <w:t>II. Información presupuestal.</w:t>
      </w:r>
    </w:p>
    <w:p w14:paraId="3D8CA0E2" w14:textId="77777777" w:rsidR="002F7950" w:rsidRPr="006F474C" w:rsidRDefault="002F7950" w:rsidP="002F7950">
      <w:pPr>
        <w:spacing w:line="360" w:lineRule="auto"/>
        <w:ind w:left="567" w:right="567"/>
        <w:jc w:val="both"/>
        <w:rPr>
          <w:rFonts w:ascii="Palatino Linotype" w:eastAsia="Calibri" w:hAnsi="Palatino Linotype" w:cs="Arial"/>
          <w:i/>
          <w:sz w:val="22"/>
          <w:szCs w:val="22"/>
        </w:rPr>
      </w:pPr>
      <w:r w:rsidRPr="006F474C">
        <w:rPr>
          <w:rFonts w:ascii="Palatino Linotype" w:eastAsia="Calibri" w:hAnsi="Palatino Linotype" w:cs="Arial"/>
          <w:i/>
          <w:sz w:val="22"/>
          <w:szCs w:val="22"/>
        </w:rPr>
        <w:t>III. Información de la obra pública.</w:t>
      </w:r>
    </w:p>
    <w:p w14:paraId="5704C37C" w14:textId="77777777" w:rsidR="002F7950" w:rsidRPr="006F474C" w:rsidRDefault="002F7950" w:rsidP="002F7950">
      <w:pPr>
        <w:spacing w:line="360" w:lineRule="auto"/>
        <w:ind w:left="567" w:right="567"/>
        <w:jc w:val="both"/>
        <w:rPr>
          <w:rFonts w:ascii="Palatino Linotype" w:eastAsia="Calibri" w:hAnsi="Palatino Linotype" w:cs="Arial"/>
          <w:b/>
          <w:i/>
          <w:sz w:val="22"/>
          <w:szCs w:val="22"/>
          <w:u w:val="single"/>
        </w:rPr>
      </w:pPr>
      <w:r w:rsidRPr="006F474C">
        <w:rPr>
          <w:rFonts w:ascii="Palatino Linotype" w:eastAsia="Calibri" w:hAnsi="Palatino Linotype" w:cs="Arial"/>
          <w:b/>
          <w:i/>
          <w:sz w:val="22"/>
          <w:szCs w:val="22"/>
          <w:u w:val="single"/>
        </w:rPr>
        <w:t>IV. Información de nómina.</w:t>
      </w:r>
    </w:p>
    <w:p w14:paraId="1EF7417E" w14:textId="4F37D4A8" w:rsidR="002F7950" w:rsidRPr="002F7950" w:rsidRDefault="002F7950" w:rsidP="002F7950">
      <w:pPr>
        <w:pStyle w:val="Prrafodelista"/>
        <w:numPr>
          <w:ilvl w:val="0"/>
          <w:numId w:val="1"/>
        </w:numPr>
        <w:spacing w:before="240" w:line="360" w:lineRule="auto"/>
        <w:ind w:left="0" w:right="49" w:firstLine="0"/>
        <w:jc w:val="both"/>
        <w:rPr>
          <w:rFonts w:ascii="Palatino Linotype" w:eastAsia="Calibri" w:hAnsi="Palatino Linotype" w:cs="Arial"/>
        </w:rPr>
      </w:pPr>
      <w:r w:rsidRPr="002F7950">
        <w:rPr>
          <w:rFonts w:ascii="Palatino Linotype" w:hAnsi="Palatino Linotype"/>
        </w:rPr>
        <w:t>Asimismo, en el artículo 32 de la Ley de Fiscalización Superior del Estado de México en su segundo párrafo establece que: “…presentarán (…) los informes mensuales (…) dentro de los veinte días posteriores al término del mes correspondiente.”</w:t>
      </w:r>
    </w:p>
    <w:p w14:paraId="7C5111B9" w14:textId="77777777" w:rsidR="002F7950" w:rsidRPr="002F7950" w:rsidRDefault="002F7950" w:rsidP="002F7950">
      <w:pPr>
        <w:pStyle w:val="Prrafodelista"/>
        <w:spacing w:before="240" w:line="360" w:lineRule="auto"/>
        <w:ind w:left="0" w:right="49"/>
        <w:jc w:val="both"/>
        <w:rPr>
          <w:rFonts w:ascii="Palatino Linotype" w:eastAsia="Calibri" w:hAnsi="Palatino Linotype" w:cs="Arial"/>
        </w:rPr>
      </w:pPr>
    </w:p>
    <w:p w14:paraId="6CCC4D87" w14:textId="2459AAB9" w:rsidR="002F7950" w:rsidRDefault="002F7950" w:rsidP="002F7950">
      <w:pPr>
        <w:pStyle w:val="Prrafodelista"/>
        <w:numPr>
          <w:ilvl w:val="0"/>
          <w:numId w:val="1"/>
        </w:numPr>
        <w:spacing w:before="240" w:line="360" w:lineRule="auto"/>
        <w:ind w:left="0" w:right="49" w:firstLine="0"/>
        <w:jc w:val="both"/>
        <w:rPr>
          <w:rFonts w:ascii="Palatino Linotype" w:eastAsia="Calibri" w:hAnsi="Palatino Linotype" w:cs="Arial"/>
        </w:rPr>
      </w:pPr>
      <w:r w:rsidRPr="002F7950">
        <w:rPr>
          <w:rFonts w:ascii="Palatino Linotype" w:eastAsia="Calibri" w:hAnsi="Palatino Linotype" w:cs="Arial"/>
        </w:rPr>
        <w:lastRenderedPageBreak/>
        <w:t xml:space="preserve">Es así que la Información correspondiente a la nómina, debe presentarse conforme a lo dispuesto por los </w:t>
      </w:r>
      <w:r w:rsidRPr="002F7950">
        <w:rPr>
          <w:rFonts w:ascii="Palatino Linotype" w:hAnsi="Palatino Linotype"/>
          <w:b/>
        </w:rPr>
        <w:t>Lineamientos para la entrega del Informe Mensual de los Poderes Públicos, Organismos Auxiliares y Organismos Autónomos del Estado de México 2019</w:t>
      </w:r>
      <w:r w:rsidRPr="002F7950">
        <w:rPr>
          <w:rFonts w:ascii="Palatino Linotype" w:eastAsia="Calibri" w:hAnsi="Palatino Linotype" w:cs="Arial"/>
        </w:rPr>
        <w:t xml:space="preserve">, emitidos por OSFEM en cada ejercicio fiscal y que se encuentran disponibles en su sitio de internet, con la finalidad de </w:t>
      </w:r>
      <w:r w:rsidRPr="002F7950">
        <w:rPr>
          <w:rFonts w:ascii="Palatino Linotype" w:hAnsi="Palatino Linotype"/>
        </w:rPr>
        <w:t xml:space="preserve">los formatos y la documentación necesaria para presentar los Informes Mensuales de los Poderes Públicos, Organismos Auxiliares y Autónomos del Estado de México, que deben ser entregados dentro de los veinte días posteriores al término del mes correspondiente, </w:t>
      </w:r>
      <w:r w:rsidRPr="002F7950">
        <w:rPr>
          <w:rFonts w:ascii="Palatino Linotype" w:eastAsia="Calibri" w:hAnsi="Palatino Linotype" w:cs="Arial"/>
        </w:rPr>
        <w:t>que contienen la siguiente información:</w:t>
      </w:r>
    </w:p>
    <w:p w14:paraId="3A90FA8C" w14:textId="77777777" w:rsidR="002F7950" w:rsidRPr="002F7950" w:rsidRDefault="002F7950" w:rsidP="002F7950">
      <w:pPr>
        <w:pStyle w:val="Prrafodelista"/>
        <w:rPr>
          <w:rFonts w:ascii="Palatino Linotype" w:eastAsia="Calibri" w:hAnsi="Palatino Linotype" w:cs="Arial"/>
        </w:rPr>
      </w:pPr>
    </w:p>
    <w:p w14:paraId="2451B608" w14:textId="137AFFEE" w:rsidR="002F7950" w:rsidRPr="002F7950" w:rsidRDefault="002F7950" w:rsidP="002F7950">
      <w:pPr>
        <w:pStyle w:val="Prrafodelista"/>
        <w:numPr>
          <w:ilvl w:val="0"/>
          <w:numId w:val="1"/>
        </w:numPr>
        <w:spacing w:before="240" w:line="360" w:lineRule="auto"/>
        <w:ind w:left="0" w:right="49" w:firstLine="0"/>
        <w:jc w:val="both"/>
        <w:rPr>
          <w:rFonts w:ascii="Palatino Linotype" w:eastAsia="Calibri" w:hAnsi="Palatino Linotype" w:cs="Arial"/>
        </w:rPr>
      </w:pPr>
      <w:r w:rsidRPr="002F7950">
        <w:rPr>
          <w:rFonts w:ascii="Palatino Linotype" w:hAnsi="Palatino Linotype"/>
        </w:rPr>
        <w:t>La Información en archivos electrónicos comprende documentos digitalizados y documentos en formatos PDF, Excel (XLS), así como archivos en texto plano TXT, dicha información deberá integrarse en un sólo CD, que contendr</w:t>
      </w:r>
      <w:r>
        <w:rPr>
          <w:rFonts w:ascii="Palatino Linotype" w:hAnsi="Palatino Linotype"/>
        </w:rPr>
        <w:t>án las carpetas que se indican:</w:t>
      </w:r>
    </w:p>
    <w:p w14:paraId="3F329B42" w14:textId="77777777" w:rsidR="002F7950" w:rsidRPr="002F7950" w:rsidRDefault="002F7950" w:rsidP="002F7950">
      <w:pPr>
        <w:pStyle w:val="Prrafodelista"/>
        <w:spacing w:before="240" w:line="360" w:lineRule="auto"/>
        <w:ind w:left="0" w:right="49"/>
        <w:jc w:val="both"/>
        <w:rPr>
          <w:rFonts w:ascii="Palatino Linotype" w:eastAsia="Calibri" w:hAnsi="Palatino Linotype" w:cs="Arial"/>
        </w:rPr>
      </w:pPr>
    </w:p>
    <w:p w14:paraId="3E5E9B7E" w14:textId="77777777" w:rsidR="002F7950" w:rsidRPr="00E256F1" w:rsidRDefault="002F7950" w:rsidP="002F7950">
      <w:pPr>
        <w:pStyle w:val="Prrafodelista"/>
        <w:spacing w:before="240" w:line="360" w:lineRule="auto"/>
        <w:ind w:left="567" w:right="49"/>
        <w:jc w:val="both"/>
        <w:rPr>
          <w:rFonts w:ascii="Palatino Linotype" w:hAnsi="Palatino Linotype"/>
        </w:rPr>
      </w:pPr>
      <w:r w:rsidRPr="00E256F1">
        <w:rPr>
          <w:rFonts w:ascii="Palatino Linotype" w:hAnsi="Palatino Linotype"/>
        </w:rPr>
        <w:t xml:space="preserve">Carpeta 1. Información Patrimonial y Presupuestal </w:t>
      </w:r>
    </w:p>
    <w:p w14:paraId="231DE3F3" w14:textId="77777777" w:rsidR="002F7950" w:rsidRDefault="002F7950" w:rsidP="002F7950">
      <w:pPr>
        <w:pStyle w:val="Prrafodelista"/>
        <w:spacing w:before="240" w:line="360" w:lineRule="auto"/>
        <w:ind w:left="567" w:right="49"/>
        <w:jc w:val="both"/>
        <w:rPr>
          <w:rFonts w:ascii="Palatino Linotype" w:hAnsi="Palatino Linotype"/>
        </w:rPr>
      </w:pPr>
      <w:r w:rsidRPr="002F7950">
        <w:rPr>
          <w:rFonts w:ascii="Palatino Linotype" w:hAnsi="Palatino Linotype"/>
        </w:rPr>
        <w:t xml:space="preserve">Carpeta 2. Conciliaciones Bancarias y Estados de Cuenta </w:t>
      </w:r>
    </w:p>
    <w:p w14:paraId="005AE85D" w14:textId="4CBE97E6" w:rsidR="002F7950" w:rsidRPr="00E256F1" w:rsidRDefault="002F7950" w:rsidP="002F7950">
      <w:pPr>
        <w:pStyle w:val="Prrafodelista"/>
        <w:spacing w:before="240" w:line="360" w:lineRule="auto"/>
        <w:ind w:left="567" w:right="49"/>
        <w:jc w:val="both"/>
        <w:rPr>
          <w:rFonts w:ascii="Palatino Linotype" w:eastAsia="Calibri" w:hAnsi="Palatino Linotype" w:cs="Arial"/>
          <w:b/>
        </w:rPr>
      </w:pPr>
      <w:r w:rsidRPr="00E256F1">
        <w:rPr>
          <w:rFonts w:ascii="Palatino Linotype" w:hAnsi="Palatino Linotype"/>
          <w:b/>
        </w:rPr>
        <w:t>Carpeta 3. Información Complementaria</w:t>
      </w:r>
    </w:p>
    <w:p w14:paraId="3331C04E" w14:textId="77777777" w:rsidR="002F7950" w:rsidRPr="002F7950" w:rsidRDefault="002F7950" w:rsidP="002F7950">
      <w:pPr>
        <w:pStyle w:val="Prrafodelista"/>
        <w:spacing w:line="360" w:lineRule="auto"/>
        <w:ind w:left="0" w:right="51"/>
        <w:jc w:val="both"/>
        <w:rPr>
          <w:rFonts w:ascii="Palatino Linotype" w:hAnsi="Palatino Linotype" w:cs="Arial"/>
        </w:rPr>
      </w:pPr>
    </w:p>
    <w:p w14:paraId="65956225" w14:textId="034B00D9" w:rsidR="002F7950" w:rsidRDefault="00E256F1" w:rsidP="00E256F1">
      <w:pPr>
        <w:pStyle w:val="Prrafodelista"/>
        <w:numPr>
          <w:ilvl w:val="0"/>
          <w:numId w:val="1"/>
        </w:numPr>
        <w:spacing w:line="360" w:lineRule="auto"/>
        <w:ind w:left="0" w:right="51" w:firstLine="0"/>
        <w:jc w:val="both"/>
        <w:rPr>
          <w:rFonts w:ascii="Palatino Linotype" w:hAnsi="Palatino Linotype" w:cs="Arial"/>
        </w:rPr>
      </w:pPr>
      <w:r w:rsidRPr="00E256F1">
        <w:rPr>
          <w:rFonts w:ascii="Palatino Linotype" w:hAnsi="Palatino Linotype" w:cs="Arial"/>
        </w:rPr>
        <w:t>De la información patrimonial y presupuestal, deberán proporcionar la información complementaria requerida por el Órgano Superior de Fiscalización del Estado de México para el análisi</w:t>
      </w:r>
      <w:r>
        <w:rPr>
          <w:rFonts w:ascii="Palatino Linotype" w:hAnsi="Palatino Linotype" w:cs="Arial"/>
        </w:rPr>
        <w:t xml:space="preserve">s  y verificación de la debida </w:t>
      </w:r>
      <w:r w:rsidR="001406EA">
        <w:rPr>
          <w:rFonts w:ascii="Palatino Linotype" w:hAnsi="Palatino Linotype" w:cs="Arial"/>
        </w:rPr>
        <w:t>aplicación de los recursos</w:t>
      </w:r>
      <w:r w:rsidRPr="00E256F1">
        <w:rPr>
          <w:rFonts w:ascii="Palatino Linotype" w:hAnsi="Palatino Linotype" w:cs="Arial"/>
        </w:rPr>
        <w:t xml:space="preserve"> y que estos se apeguen a las</w:t>
      </w:r>
      <w:r>
        <w:rPr>
          <w:rFonts w:ascii="Palatino Linotype" w:hAnsi="Palatino Linotype" w:cs="Arial"/>
        </w:rPr>
        <w:t xml:space="preserve"> </w:t>
      </w:r>
      <w:r w:rsidRPr="00E256F1">
        <w:rPr>
          <w:rFonts w:ascii="Palatino Linotype" w:hAnsi="Palatino Linotype" w:cs="Arial"/>
        </w:rPr>
        <w:t>disposiciones legales, administrativas, presupuestales y financieras.</w:t>
      </w:r>
    </w:p>
    <w:p w14:paraId="3BACDC56" w14:textId="77777777" w:rsidR="00E256F1" w:rsidRDefault="00E256F1" w:rsidP="00E256F1">
      <w:pPr>
        <w:pStyle w:val="Prrafodelista"/>
        <w:spacing w:line="360" w:lineRule="auto"/>
        <w:ind w:left="0" w:right="51"/>
        <w:jc w:val="both"/>
        <w:rPr>
          <w:rFonts w:ascii="Palatino Linotype" w:hAnsi="Palatino Linotype" w:cs="Arial"/>
        </w:rPr>
      </w:pPr>
    </w:p>
    <w:p w14:paraId="04B2A044" w14:textId="69A0A840" w:rsidR="00E256F1" w:rsidRDefault="00B15153" w:rsidP="00E256F1">
      <w:pPr>
        <w:pStyle w:val="Prrafodelista"/>
        <w:spacing w:line="360" w:lineRule="auto"/>
        <w:ind w:left="567" w:right="51"/>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69504" behindDoc="0" locked="0" layoutInCell="1" allowOverlap="1" wp14:anchorId="5363865A" wp14:editId="4BC26209">
                <wp:simplePos x="0" y="0"/>
                <wp:positionH relativeFrom="column">
                  <wp:posOffset>147320</wp:posOffset>
                </wp:positionH>
                <wp:positionV relativeFrom="paragraph">
                  <wp:posOffset>5594350</wp:posOffset>
                </wp:positionV>
                <wp:extent cx="5781675" cy="1733550"/>
                <wp:effectExtent l="57150" t="57150" r="47625" b="95250"/>
                <wp:wrapNone/>
                <wp:docPr id="12" name="Conector recto 12"/>
                <wp:cNvGraphicFramePr/>
                <a:graphic xmlns:a="http://schemas.openxmlformats.org/drawingml/2006/main">
                  <a:graphicData uri="http://schemas.microsoft.com/office/word/2010/wordprocessingShape">
                    <wps:wsp>
                      <wps:cNvCnPr/>
                      <wps:spPr>
                        <a:xfrm flipH="1" flipV="1">
                          <a:off x="0" y="0"/>
                          <a:ext cx="5781675" cy="173355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5CD28DF" id="Conector recto 12" o:spid="_x0000_s1026" style="position:absolute;flip:x y;z-index:251669504;visibility:visible;mso-wrap-style:square;mso-wrap-distance-left:9pt;mso-wrap-distance-top:0;mso-wrap-distance-right:9pt;mso-wrap-distance-bottom:0;mso-position-horizontal:absolute;mso-position-horizontal-relative:text;mso-position-vertical:absolute;mso-position-vertical-relative:text" from="11.6pt,440.5pt" to="466.8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" strokecolor="#4f81bd [3204]" strokeweight="3pt">
                <v:shadow on="t" color="black" opacity="24903f" origin=",.5" offset="0,.55556mm"/>
              </v:line>
            </w:pict>
          </mc:Fallback>
        </mc:AlternateContent>
      </w:r>
      <w:r w:rsidR="00E256F1">
        <w:rPr>
          <w:noProof/>
          <w:lang w:val="es-MX" w:eastAsia="es-MX"/>
        </w:rPr>
        <mc:AlternateContent>
          <mc:Choice Requires="wps">
            <w:drawing>
              <wp:anchor distT="0" distB="0" distL="114300" distR="114300" simplePos="0" relativeHeight="251666432" behindDoc="0" locked="0" layoutInCell="1" allowOverlap="1" wp14:anchorId="5D749BE4" wp14:editId="733A7895">
                <wp:simplePos x="0" y="0"/>
                <wp:positionH relativeFrom="column">
                  <wp:posOffset>548640</wp:posOffset>
                </wp:positionH>
                <wp:positionV relativeFrom="paragraph">
                  <wp:posOffset>5075555</wp:posOffset>
                </wp:positionV>
                <wp:extent cx="4552950" cy="323850"/>
                <wp:effectExtent l="57150" t="38100" r="76200" b="95250"/>
                <wp:wrapNone/>
                <wp:docPr id="4" name="Rectángulo 4"/>
                <wp:cNvGraphicFramePr/>
                <a:graphic xmlns:a="http://schemas.openxmlformats.org/drawingml/2006/main">
                  <a:graphicData uri="http://schemas.microsoft.com/office/word/2010/wordprocessingShape">
                    <wps:wsp>
                      <wps:cNvSpPr/>
                      <wps:spPr>
                        <a:xfrm>
                          <a:off x="0" y="0"/>
                          <a:ext cx="4552950" cy="3238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0E18BE" id="Rectángulo 4" o:spid="_x0000_s1026" style="position:absolute;margin-left:43.2pt;margin-top:399.65pt;width:358.5pt;height:2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" filled="f" strokecolor="red" strokeweight="3pt">
                <v:shadow on="t" color="black" opacity="22937f" origin=",.5" offset="0,.63889mm"/>
              </v:rect>
            </w:pict>
          </mc:Fallback>
        </mc:AlternateContent>
      </w:r>
      <w:r w:rsidR="00E256F1">
        <w:rPr>
          <w:noProof/>
          <w:lang w:val="es-MX" w:eastAsia="es-MX"/>
        </w:rPr>
        <w:drawing>
          <wp:inline distT="0" distB="0" distL="0" distR="0" wp14:anchorId="33693ABA" wp14:editId="4C1B430C">
            <wp:extent cx="4895850" cy="55340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824" t="17597" r="30538" b="5037"/>
                    <a:stretch/>
                  </pic:blipFill>
                  <pic:spPr bwMode="auto">
                    <a:xfrm>
                      <a:off x="0" y="0"/>
                      <a:ext cx="4895850" cy="5534025"/>
                    </a:xfrm>
                    <a:prstGeom prst="rect">
                      <a:avLst/>
                    </a:prstGeom>
                    <a:ln>
                      <a:noFill/>
                    </a:ln>
                    <a:extLst>
                      <a:ext uri="{53640926-AAD7-44D8-BBD7-CCE9431645EC}">
                        <a14:shadowObscured xmlns:a14="http://schemas.microsoft.com/office/drawing/2010/main"/>
                      </a:ext>
                    </a:extLst>
                  </pic:spPr>
                </pic:pic>
              </a:graphicData>
            </a:graphic>
          </wp:inline>
        </w:drawing>
      </w:r>
    </w:p>
    <w:p w14:paraId="6EF5EE79" w14:textId="24CFD471" w:rsidR="00E256F1" w:rsidRDefault="00E256F1" w:rsidP="00E256F1">
      <w:pPr>
        <w:pStyle w:val="Prrafodelista"/>
        <w:spacing w:line="360" w:lineRule="auto"/>
        <w:ind w:left="567" w:right="51"/>
        <w:jc w:val="both"/>
        <w:rPr>
          <w:rFonts w:ascii="Palatino Linotype" w:hAnsi="Palatino Linotype" w:cs="Arial"/>
        </w:rPr>
      </w:pPr>
      <w:r w:rsidRPr="00E256F1">
        <w:rPr>
          <w:rFonts w:ascii="Palatino Linotype" w:hAnsi="Palatino Linotype" w:cs="Arial"/>
          <w:noProof/>
          <w:lang w:val="es-MX" w:eastAsia="es-MX"/>
        </w:rPr>
        <w:lastRenderedPageBreak/>
        <w:drawing>
          <wp:inline distT="0" distB="0" distL="0" distR="0" wp14:anchorId="7DB44541" wp14:editId="7E2E42ED">
            <wp:extent cx="5581015" cy="6933486"/>
            <wp:effectExtent l="0" t="0" r="63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015" cy="6933486"/>
                    </a:xfrm>
                    <a:prstGeom prst="rect">
                      <a:avLst/>
                    </a:prstGeom>
                    <a:noFill/>
                    <a:ln>
                      <a:noFill/>
                    </a:ln>
                  </pic:spPr>
                </pic:pic>
              </a:graphicData>
            </a:graphic>
          </wp:inline>
        </w:drawing>
      </w:r>
    </w:p>
    <w:p w14:paraId="6084FE2C" w14:textId="77777777" w:rsidR="00E256F1" w:rsidRPr="002F7950" w:rsidRDefault="00E256F1" w:rsidP="00E256F1">
      <w:pPr>
        <w:pStyle w:val="Prrafodelista"/>
        <w:spacing w:line="360" w:lineRule="auto"/>
        <w:ind w:left="0" w:right="51"/>
        <w:jc w:val="both"/>
        <w:rPr>
          <w:rFonts w:ascii="Palatino Linotype" w:hAnsi="Palatino Linotype" w:cs="Arial"/>
        </w:rPr>
      </w:pPr>
    </w:p>
    <w:p w14:paraId="3C2B94BD" w14:textId="30104045" w:rsidR="00E256F1" w:rsidRDefault="00E256F1" w:rsidP="00E256F1">
      <w:pPr>
        <w:pStyle w:val="Prrafodelista"/>
        <w:spacing w:line="360" w:lineRule="auto"/>
        <w:ind w:left="567" w:right="51"/>
        <w:jc w:val="both"/>
        <w:rPr>
          <w:rFonts w:ascii="Palatino Linotype" w:hAnsi="Palatino Linotype" w:cs="Arial"/>
        </w:rPr>
      </w:pPr>
      <w:r w:rsidRPr="00E256F1">
        <w:rPr>
          <w:rFonts w:ascii="Palatino Linotype" w:hAnsi="Palatino Linotype" w:cs="Arial"/>
          <w:noProof/>
          <w:lang w:val="es-MX" w:eastAsia="es-MX"/>
        </w:rPr>
        <w:lastRenderedPageBreak/>
        <w:drawing>
          <wp:inline distT="0" distB="0" distL="0" distR="0" wp14:anchorId="6978CD3C" wp14:editId="681DEF21">
            <wp:extent cx="4886325" cy="409702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6904" cy="4097505"/>
                    </a:xfrm>
                    <a:prstGeom prst="rect">
                      <a:avLst/>
                    </a:prstGeom>
                    <a:noFill/>
                    <a:ln>
                      <a:noFill/>
                    </a:ln>
                  </pic:spPr>
                </pic:pic>
              </a:graphicData>
            </a:graphic>
          </wp:inline>
        </w:drawing>
      </w:r>
    </w:p>
    <w:p w14:paraId="5F6BA798" w14:textId="77777777" w:rsidR="00E256F1" w:rsidRPr="00E256F1" w:rsidRDefault="00E256F1" w:rsidP="00E256F1">
      <w:pPr>
        <w:pStyle w:val="Prrafodelista"/>
        <w:spacing w:line="360" w:lineRule="auto"/>
        <w:ind w:left="567" w:right="51"/>
        <w:jc w:val="both"/>
        <w:rPr>
          <w:rFonts w:ascii="Palatino Linotype" w:hAnsi="Palatino Linotype" w:cs="Arial"/>
        </w:rPr>
      </w:pPr>
    </w:p>
    <w:p w14:paraId="684973AD" w14:textId="2CF227D6" w:rsidR="00936FCD" w:rsidRPr="008344BA" w:rsidRDefault="00936FCD" w:rsidP="00936FCD">
      <w:pPr>
        <w:pStyle w:val="Prrafodelista"/>
        <w:numPr>
          <w:ilvl w:val="0"/>
          <w:numId w:val="1"/>
        </w:numPr>
        <w:spacing w:line="360" w:lineRule="auto"/>
        <w:ind w:left="0" w:right="51" w:firstLine="0"/>
        <w:jc w:val="both"/>
        <w:rPr>
          <w:rFonts w:ascii="Palatino Linotype" w:hAnsi="Palatino Linotype" w:cs="Arial"/>
        </w:rPr>
      </w:pPr>
      <w:r>
        <w:rPr>
          <w:rFonts w:ascii="Palatino Linotype" w:eastAsia="Times New Roman" w:hAnsi="Palatino Linotype" w:cs="Arial"/>
        </w:rPr>
        <w:t>No se omite</w:t>
      </w:r>
      <w:r w:rsidRPr="00C538A7">
        <w:rPr>
          <w:rFonts w:ascii="Palatino Linotype" w:eastAsia="Times New Roman" w:hAnsi="Palatino Linotype" w:cs="Arial"/>
        </w:rPr>
        <w:t xml:space="preserve"> </w:t>
      </w:r>
      <w:r>
        <w:rPr>
          <w:rFonts w:ascii="Palatino Linotype" w:eastAsia="Times New Roman" w:hAnsi="Palatino Linotype" w:cs="Arial"/>
        </w:rPr>
        <w:t>l</w:t>
      </w:r>
      <w:r w:rsidRPr="00C538A7">
        <w:rPr>
          <w:rFonts w:ascii="Palatino Linotype" w:eastAsia="Times New Roman" w:hAnsi="Palatino Linotype" w:cs="Arial"/>
        </w:rPr>
        <w:t>a definición de “nómina”</w:t>
      </w:r>
      <w:r>
        <w:rPr>
          <w:rFonts w:ascii="Palatino Linotype" w:eastAsia="Times New Roman" w:hAnsi="Palatino Linotype" w:cs="Arial"/>
        </w:rPr>
        <w:t xml:space="preserve"> </w:t>
      </w:r>
      <w:r>
        <w:rPr>
          <w:rFonts w:ascii="Palatino Linotype" w:hAnsi="Palatino Linotype"/>
        </w:rPr>
        <w:t>de conformidad con</w:t>
      </w:r>
      <w:r w:rsidRPr="007F45B9">
        <w:rPr>
          <w:rFonts w:ascii="Palatino Linotype" w:hAnsi="Palatino Linotype" w:cs="Arial"/>
        </w:rPr>
        <w:t xml:space="preserv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w:t>
      </w:r>
      <w:r>
        <w:rPr>
          <w:rFonts w:ascii="Palatino Linotype" w:hAnsi="Palatino Linotype" w:cs="Arial"/>
        </w:rPr>
        <w:t>, que a la letra señala:</w:t>
      </w:r>
    </w:p>
    <w:p w14:paraId="64E79EC5" w14:textId="77777777" w:rsidR="00936FCD" w:rsidRPr="00EB2B32" w:rsidRDefault="00936FCD" w:rsidP="00211649">
      <w:pPr>
        <w:pStyle w:val="Prrafodelista"/>
        <w:spacing w:before="240" w:after="240" w:line="360" w:lineRule="auto"/>
        <w:ind w:left="0"/>
        <w:jc w:val="both"/>
        <w:rPr>
          <w:rFonts w:ascii="Palatino Linotype" w:hAnsi="Palatino Linotype" w:cs="Arial"/>
        </w:rPr>
      </w:pPr>
    </w:p>
    <w:p w14:paraId="24C2CD20" w14:textId="77777777" w:rsidR="00936FCD" w:rsidRDefault="00936FCD" w:rsidP="00936FCD">
      <w:pPr>
        <w:pStyle w:val="Prrafodelista"/>
        <w:tabs>
          <w:tab w:val="left" w:pos="8222"/>
        </w:tabs>
        <w:autoSpaceDE w:val="0"/>
        <w:autoSpaceDN w:val="0"/>
        <w:adjustRightInd w:val="0"/>
        <w:spacing w:before="240" w:after="360" w:line="360" w:lineRule="auto"/>
        <w:ind w:left="567" w:right="567"/>
        <w:jc w:val="both"/>
        <w:rPr>
          <w:rFonts w:ascii="Palatino Linotype" w:hAnsi="Palatino Linotype" w:cs="Arial"/>
          <w:i/>
          <w:sz w:val="22"/>
          <w:szCs w:val="22"/>
          <w:lang w:val="es-MX" w:eastAsia="es-MX"/>
        </w:rPr>
      </w:pPr>
      <w:r w:rsidRPr="0043631E">
        <w:rPr>
          <w:rFonts w:ascii="Palatino Linotype" w:hAnsi="Palatino Linotype" w:cs="Arial"/>
          <w:b/>
          <w:bCs/>
          <w:i/>
          <w:sz w:val="22"/>
          <w:szCs w:val="22"/>
          <w:lang w:val="es-MX" w:eastAsia="es-MX"/>
        </w:rPr>
        <w:t xml:space="preserve">NÓMINA. </w:t>
      </w:r>
      <w:r w:rsidRPr="0043631E">
        <w:rPr>
          <w:rFonts w:ascii="Palatino Linotype" w:hAnsi="Palatino Linotype" w:cs="Arial"/>
          <w:i/>
          <w:sz w:val="22"/>
          <w:szCs w:val="22"/>
          <w:lang w:val="es-MX" w:eastAsia="es-MX"/>
        </w:rPr>
        <w:t>Listado general de los trabajadores de una institución, en</w:t>
      </w:r>
      <w:r w:rsidRPr="0043631E">
        <w:rPr>
          <w:rFonts w:ascii="Palatino Linotype" w:hAnsi="Palatino Linotype" w:cs="Arial"/>
          <w:b/>
          <w:bCs/>
          <w:i/>
          <w:sz w:val="22"/>
          <w:szCs w:val="22"/>
          <w:lang w:val="es-MX" w:eastAsia="es-MX"/>
        </w:rPr>
        <w:t xml:space="preserve"> </w:t>
      </w:r>
      <w:r w:rsidRPr="0043631E">
        <w:rPr>
          <w:rFonts w:ascii="Palatino Linotype" w:hAnsi="Palatino Linotype" w:cs="Arial"/>
          <w:i/>
          <w:sz w:val="22"/>
          <w:szCs w:val="22"/>
          <w:lang w:val="es-MX" w:eastAsia="es-MX"/>
        </w:rPr>
        <w:t>el cual se asientan las percepciones brutas, deducciones y</w:t>
      </w:r>
      <w:r w:rsidRPr="0043631E">
        <w:rPr>
          <w:rFonts w:ascii="Palatino Linotype" w:hAnsi="Palatino Linotype" w:cs="Arial"/>
          <w:b/>
          <w:bCs/>
          <w:i/>
          <w:sz w:val="22"/>
          <w:szCs w:val="22"/>
          <w:lang w:val="es-MX" w:eastAsia="es-MX"/>
        </w:rPr>
        <w:t xml:space="preserve"> </w:t>
      </w:r>
      <w:r w:rsidRPr="0043631E">
        <w:rPr>
          <w:rFonts w:ascii="Palatino Linotype" w:hAnsi="Palatino Linotype" w:cs="Arial"/>
          <w:i/>
          <w:sz w:val="22"/>
          <w:szCs w:val="22"/>
          <w:lang w:val="es-MX" w:eastAsia="es-MX"/>
        </w:rPr>
        <w:t>alcance neto de las mismas; la nómina es utilizada para</w:t>
      </w:r>
      <w:r w:rsidRPr="0043631E">
        <w:rPr>
          <w:rFonts w:ascii="Palatino Linotype" w:hAnsi="Palatino Linotype" w:cs="Arial"/>
          <w:b/>
          <w:bCs/>
          <w:i/>
          <w:sz w:val="22"/>
          <w:szCs w:val="22"/>
          <w:lang w:val="es-MX" w:eastAsia="es-MX"/>
        </w:rPr>
        <w:t xml:space="preserve"> </w:t>
      </w:r>
      <w:r w:rsidRPr="0043631E">
        <w:rPr>
          <w:rFonts w:ascii="Palatino Linotype" w:hAnsi="Palatino Linotype" w:cs="Arial"/>
          <w:i/>
          <w:sz w:val="22"/>
          <w:szCs w:val="22"/>
          <w:lang w:val="es-MX" w:eastAsia="es-MX"/>
        </w:rPr>
        <w:lastRenderedPageBreak/>
        <w:t>efectuar los pagos periódicos (semanales, quincenales o</w:t>
      </w:r>
      <w:r w:rsidRPr="0043631E">
        <w:rPr>
          <w:rFonts w:ascii="Palatino Linotype" w:hAnsi="Palatino Linotype" w:cs="Arial"/>
          <w:b/>
          <w:bCs/>
          <w:i/>
          <w:sz w:val="22"/>
          <w:szCs w:val="22"/>
          <w:lang w:val="es-MX" w:eastAsia="es-MX"/>
        </w:rPr>
        <w:t xml:space="preserve"> </w:t>
      </w:r>
      <w:r w:rsidRPr="0043631E">
        <w:rPr>
          <w:rFonts w:ascii="Palatino Linotype" w:hAnsi="Palatino Linotype" w:cs="Arial"/>
          <w:i/>
          <w:sz w:val="22"/>
          <w:szCs w:val="22"/>
          <w:lang w:val="es-MX" w:eastAsia="es-MX"/>
        </w:rPr>
        <w:t xml:space="preserve">mensuales) a los trabajadores por concepto de </w:t>
      </w:r>
      <w:r w:rsidRPr="00A86B22">
        <w:rPr>
          <w:rFonts w:ascii="Palatino Linotype" w:hAnsi="Palatino Linotype" w:cs="Arial"/>
          <w:b/>
          <w:i/>
          <w:sz w:val="22"/>
          <w:szCs w:val="22"/>
          <w:u w:val="single"/>
          <w:lang w:val="es-MX" w:eastAsia="es-MX"/>
        </w:rPr>
        <w:t>sueldos y</w:t>
      </w:r>
      <w:r w:rsidRPr="001A7F70">
        <w:rPr>
          <w:rFonts w:ascii="Palatino Linotype" w:hAnsi="Palatino Linotype" w:cs="Arial"/>
          <w:b/>
          <w:bCs/>
          <w:i/>
          <w:sz w:val="22"/>
          <w:szCs w:val="22"/>
          <w:u w:val="single"/>
          <w:lang w:val="es-MX" w:eastAsia="es-MX"/>
        </w:rPr>
        <w:t xml:space="preserve"> </w:t>
      </w:r>
      <w:r w:rsidRPr="001A7F70">
        <w:rPr>
          <w:rFonts w:ascii="Palatino Linotype" w:hAnsi="Palatino Linotype" w:cs="Arial"/>
          <w:b/>
          <w:i/>
          <w:sz w:val="22"/>
          <w:szCs w:val="22"/>
          <w:u w:val="single"/>
          <w:lang w:val="es-MX" w:eastAsia="es-MX"/>
        </w:rPr>
        <w:t>salarios</w:t>
      </w:r>
      <w:r>
        <w:rPr>
          <w:rFonts w:ascii="Palatino Linotype" w:hAnsi="Palatino Linotype" w:cs="Arial"/>
          <w:i/>
          <w:sz w:val="22"/>
          <w:szCs w:val="22"/>
          <w:lang w:val="es-MX" w:eastAsia="es-MX"/>
        </w:rPr>
        <w:t>.</w:t>
      </w:r>
    </w:p>
    <w:p w14:paraId="1D192266" w14:textId="77777777" w:rsidR="00936FCD" w:rsidRDefault="00936FCD" w:rsidP="00936FCD">
      <w:pPr>
        <w:pStyle w:val="Prrafodelista"/>
        <w:spacing w:before="240" w:after="240" w:line="360" w:lineRule="auto"/>
        <w:ind w:left="0"/>
        <w:jc w:val="both"/>
        <w:rPr>
          <w:rFonts w:ascii="Palatino Linotype" w:hAnsi="Palatino Linotype" w:cs="Arial"/>
        </w:rPr>
      </w:pPr>
    </w:p>
    <w:p w14:paraId="3185E015" w14:textId="77777777" w:rsidR="00395C5C" w:rsidRPr="00B109BA" w:rsidRDefault="00395C5C" w:rsidP="00395C5C">
      <w:pPr>
        <w:pStyle w:val="Prrafodelista"/>
        <w:numPr>
          <w:ilvl w:val="0"/>
          <w:numId w:val="1"/>
        </w:numPr>
        <w:spacing w:before="240" w:after="240" w:line="360" w:lineRule="auto"/>
        <w:ind w:left="0" w:right="49" w:firstLine="0"/>
        <w:jc w:val="both"/>
        <w:rPr>
          <w:rFonts w:ascii="Palatino Linotype" w:hAnsi="Palatino Linotype"/>
        </w:rPr>
      </w:pPr>
      <w:r w:rsidRPr="00B109BA">
        <w:rPr>
          <w:rFonts w:ascii="Palatino Linotype" w:hAnsi="Palatino Linotype"/>
        </w:rPr>
        <w:t>A efecto de robustecer lo anterior</w:t>
      </w:r>
      <w:r w:rsidRPr="00B109BA">
        <w:rPr>
          <w:rFonts w:ascii="Palatino Linotype" w:hAnsi="Palatino Linotype"/>
          <w:szCs w:val="22"/>
        </w:rPr>
        <w:t xml:space="preserve">, es preciso hacer </w:t>
      </w:r>
      <w:r>
        <w:rPr>
          <w:rFonts w:ascii="Palatino Linotype" w:hAnsi="Palatino Linotype"/>
          <w:szCs w:val="22"/>
        </w:rPr>
        <w:t>alusión, en primera instancia, a</w:t>
      </w:r>
      <w:r w:rsidRPr="00B109BA">
        <w:rPr>
          <w:rFonts w:ascii="Palatino Linotype" w:hAnsi="Palatino Linotype"/>
          <w:szCs w:val="22"/>
        </w:rPr>
        <w:t xml:space="preserve"> lo establecido en las normas de carácter general del </w:t>
      </w:r>
      <w:r w:rsidRPr="009E56CF">
        <w:rPr>
          <w:rFonts w:ascii="Palatino Linotype" w:hAnsi="Palatino Linotype"/>
          <w:b/>
        </w:rPr>
        <w:t>Manual Único de Contabilidad Gubernamental para las Dependencias y Entidades Públicas del Gobierno y Municipios del Estado de México</w:t>
      </w:r>
      <w:r w:rsidRPr="009E56CF">
        <w:rPr>
          <w:rStyle w:val="Refdenotaalpie"/>
          <w:rFonts w:ascii="Palatino Linotype" w:hAnsi="Palatino Linotype"/>
          <w:b/>
        </w:rPr>
        <w:footnoteReference w:id="7"/>
      </w:r>
      <w:r w:rsidRPr="00B109BA">
        <w:rPr>
          <w:rFonts w:ascii="Palatino Linotype" w:hAnsi="Palatino Linotype"/>
          <w:i/>
        </w:rPr>
        <w:t xml:space="preserve">,  </w:t>
      </w:r>
      <w:r w:rsidRPr="00B109BA">
        <w:rPr>
          <w:rFonts w:ascii="Palatino Linotype" w:hAnsi="Palatino Linotype"/>
        </w:rPr>
        <w:t xml:space="preserve">en donde se señala que el Régimen Fiscal para las entidades públicas es el correspondiente a </w:t>
      </w:r>
      <w:r w:rsidRPr="00B109BA">
        <w:rPr>
          <w:rFonts w:ascii="Palatino Linotype" w:hAnsi="Palatino Linotype"/>
          <w:i/>
        </w:rPr>
        <w:t xml:space="preserve">personas morales con fines no lucrativos, </w:t>
      </w:r>
      <w:r w:rsidRPr="00B109BA">
        <w:rPr>
          <w:rFonts w:ascii="Palatino Linotype" w:hAnsi="Palatino Linotype"/>
        </w:rPr>
        <w:t xml:space="preserve">y en segundo lugar remitirnos al párrafo séptimo del artículo 86 del Título III </w:t>
      </w:r>
      <w:r>
        <w:rPr>
          <w:rFonts w:ascii="Palatino Linotype" w:hAnsi="Palatino Linotype"/>
        </w:rPr>
        <w:t xml:space="preserve"> </w:t>
      </w:r>
      <w:r w:rsidRPr="00B109BA">
        <w:rPr>
          <w:rFonts w:ascii="Palatino Linotype" w:hAnsi="Palatino Linotype"/>
        </w:rPr>
        <w:t xml:space="preserve">Del Régimen de las Personas Morales con fines no lucrativos, de la </w:t>
      </w:r>
      <w:r w:rsidRPr="00017F4B">
        <w:rPr>
          <w:rFonts w:ascii="Palatino Linotype" w:hAnsi="Palatino Linotype"/>
          <w:b/>
        </w:rPr>
        <w:t>Ley del Impuesto Sobre la Renta</w:t>
      </w:r>
      <w:r w:rsidRPr="00B109BA">
        <w:rPr>
          <w:rFonts w:ascii="Palatino Linotype" w:hAnsi="Palatino Linotype"/>
          <w:i/>
        </w:rPr>
        <w:t xml:space="preserve">, </w:t>
      </w:r>
      <w:r w:rsidRPr="00B109BA">
        <w:rPr>
          <w:rFonts w:ascii="Palatino Linotype" w:hAnsi="Palatino Linotype"/>
        </w:rPr>
        <w:t>que a la letra señala lo siguiente:</w:t>
      </w:r>
    </w:p>
    <w:p w14:paraId="77F263A9" w14:textId="77777777" w:rsidR="00395C5C" w:rsidRPr="00805BB5" w:rsidRDefault="00395C5C" w:rsidP="00395C5C">
      <w:pPr>
        <w:spacing w:before="240" w:after="240" w:line="360" w:lineRule="auto"/>
        <w:ind w:left="851" w:right="900"/>
        <w:jc w:val="both"/>
        <w:rPr>
          <w:rFonts w:ascii="Palatino Linotype" w:hAnsi="Palatino Linotype"/>
          <w:i/>
          <w:sz w:val="22"/>
          <w:szCs w:val="22"/>
        </w:rPr>
      </w:pPr>
      <w:r w:rsidRPr="00805BB5">
        <w:rPr>
          <w:rFonts w:ascii="Palatino Linotype" w:hAnsi="Palatino Linotype"/>
          <w:b/>
          <w:i/>
          <w:sz w:val="22"/>
          <w:szCs w:val="22"/>
        </w:rPr>
        <w:t>Artículo 86</w:t>
      </w:r>
      <w:r w:rsidRPr="00805BB5">
        <w:rPr>
          <w:rFonts w:ascii="Palatino Linotype" w:hAnsi="Palatino Linotype"/>
          <w:i/>
          <w:sz w:val="22"/>
          <w:szCs w:val="22"/>
        </w:rPr>
        <w:t>…</w:t>
      </w:r>
    </w:p>
    <w:p w14:paraId="28E64906" w14:textId="77777777" w:rsidR="00395C5C" w:rsidRPr="00805BB5" w:rsidRDefault="00395C5C" w:rsidP="00395C5C">
      <w:pPr>
        <w:spacing w:before="240" w:after="240" w:line="360" w:lineRule="auto"/>
        <w:ind w:left="851" w:right="900"/>
        <w:jc w:val="both"/>
        <w:rPr>
          <w:rFonts w:ascii="Palatino Linotype" w:hAnsi="Palatino Linotype"/>
          <w:i/>
          <w:sz w:val="22"/>
          <w:szCs w:val="22"/>
        </w:rPr>
      </w:pPr>
      <w:r w:rsidRPr="00805BB5">
        <w:rPr>
          <w:rFonts w:ascii="Palatino Linotype" w:hAnsi="Palatino Linotype"/>
          <w:i/>
          <w:sz w:val="22"/>
          <w:szCs w:val="22"/>
        </w:rPr>
        <w:t xml:space="preserve">Los partidos y asociaciones políticas, legalmente reconocidos, la Federación, </w:t>
      </w:r>
      <w:r w:rsidRPr="00051EDD">
        <w:rPr>
          <w:rFonts w:ascii="Palatino Linotype" w:hAnsi="Palatino Linotype"/>
          <w:b/>
          <w:i/>
          <w:sz w:val="22"/>
          <w:szCs w:val="22"/>
          <w:u w:val="single"/>
        </w:rPr>
        <w:t>las entidades federativas</w:t>
      </w:r>
      <w:r w:rsidRPr="00805BB5">
        <w:rPr>
          <w:rFonts w:ascii="Palatino Linotype" w:hAnsi="Palatino Linotype"/>
          <w:i/>
          <w:sz w:val="22"/>
          <w:szCs w:val="22"/>
        </w:rPr>
        <w:t xml:space="preserve">, </w:t>
      </w:r>
      <w:r w:rsidRPr="006A21E6">
        <w:rPr>
          <w:rFonts w:ascii="Palatino Linotype" w:hAnsi="Palatino Linotype"/>
          <w:i/>
          <w:sz w:val="22"/>
          <w:szCs w:val="22"/>
        </w:rPr>
        <w:t>los municipios</w:t>
      </w:r>
      <w:r w:rsidRPr="00805BB5">
        <w:rPr>
          <w:rFonts w:ascii="Palatino Linotype" w:hAnsi="Palatino Linotype"/>
          <w:i/>
          <w:sz w:val="22"/>
          <w:szCs w:val="22"/>
        </w:rPr>
        <w:t xml:space="preserve"> y las instituciones que por Ley estén obligadas a entregar al Gobierno Federal el importe íntegro de su remanente de operación y los organismos descentralizados que no tributen conforme al Título II de esta Ley </w:t>
      </w:r>
      <w:r w:rsidRPr="00805BB5">
        <w:rPr>
          <w:rFonts w:ascii="Palatino Linotype" w:hAnsi="Palatino Linotype"/>
          <w:b/>
          <w:i/>
          <w:sz w:val="22"/>
          <w:szCs w:val="22"/>
        </w:rPr>
        <w:t xml:space="preserve">están obligados a </w:t>
      </w:r>
      <w:r w:rsidRPr="00805BB5">
        <w:rPr>
          <w:rFonts w:ascii="Palatino Linotype" w:hAnsi="Palatino Linotype"/>
          <w:b/>
          <w:i/>
          <w:sz w:val="22"/>
          <w:szCs w:val="22"/>
          <w:u w:val="single"/>
        </w:rPr>
        <w:t>expedir y entregar comprobantes fiscales</w:t>
      </w:r>
      <w:r w:rsidRPr="00805BB5">
        <w:rPr>
          <w:rFonts w:ascii="Palatino Linotype" w:hAnsi="Palatino Linotype"/>
          <w:b/>
          <w:i/>
          <w:sz w:val="22"/>
          <w:szCs w:val="22"/>
        </w:rPr>
        <w:t xml:space="preserve"> a las personas que reciban pagos por concepto de salarios y, en general, por la prestación de un servicio personal subordinado, en la fecha en que se realice la erogación correspondiente, los cuales </w:t>
      </w:r>
      <w:r w:rsidRPr="00805BB5">
        <w:rPr>
          <w:rFonts w:ascii="Palatino Linotype" w:hAnsi="Palatino Linotype"/>
          <w:b/>
          <w:i/>
          <w:sz w:val="22"/>
          <w:szCs w:val="22"/>
          <w:u w:val="single"/>
        </w:rPr>
        <w:t>podrán utilizarse como constancia o recibo de pago</w:t>
      </w:r>
      <w:r w:rsidRPr="00805BB5">
        <w:rPr>
          <w:rFonts w:ascii="Palatino Linotype" w:hAnsi="Palatino Linotype"/>
          <w:i/>
          <w:sz w:val="22"/>
          <w:szCs w:val="22"/>
        </w:rPr>
        <w:t xml:space="preserve"> </w:t>
      </w:r>
      <w:r w:rsidRPr="00805BB5">
        <w:rPr>
          <w:rFonts w:ascii="Palatino Linotype" w:hAnsi="Palatino Linotype"/>
          <w:i/>
          <w:sz w:val="22"/>
          <w:szCs w:val="22"/>
        </w:rPr>
        <w:lastRenderedPageBreak/>
        <w:t>para efectos de la legislación laboral a que se refieren los artículos 132 fracciones VII y VIII, y 804 primer párrafo fracciones II y IV de la Ley Federal del Tra</w:t>
      </w:r>
      <w:r>
        <w:rPr>
          <w:rFonts w:ascii="Palatino Linotype" w:hAnsi="Palatino Linotype"/>
          <w:i/>
          <w:sz w:val="22"/>
          <w:szCs w:val="22"/>
        </w:rPr>
        <w:t>bajo…</w:t>
      </w:r>
    </w:p>
    <w:p w14:paraId="258C441F" w14:textId="77777777" w:rsidR="00395C5C" w:rsidRDefault="00395C5C" w:rsidP="00395C5C">
      <w:pPr>
        <w:pStyle w:val="Prrafodelista"/>
        <w:spacing w:before="240" w:after="240" w:line="360" w:lineRule="auto"/>
        <w:ind w:left="0" w:right="49"/>
        <w:jc w:val="both"/>
        <w:rPr>
          <w:rFonts w:ascii="Palatino Linotype" w:hAnsi="Palatino Linotype"/>
          <w:szCs w:val="22"/>
        </w:rPr>
      </w:pPr>
    </w:p>
    <w:p w14:paraId="111E240B" w14:textId="77777777" w:rsidR="00395C5C" w:rsidRPr="009E56CF" w:rsidRDefault="00395C5C" w:rsidP="00395C5C">
      <w:pPr>
        <w:pStyle w:val="Prrafodelista"/>
        <w:numPr>
          <w:ilvl w:val="0"/>
          <w:numId w:val="1"/>
        </w:numPr>
        <w:spacing w:before="240" w:after="240" w:line="360" w:lineRule="auto"/>
        <w:ind w:left="0" w:right="49" w:firstLine="0"/>
        <w:jc w:val="both"/>
        <w:rPr>
          <w:rFonts w:ascii="Palatino Linotype" w:hAnsi="Palatino Linotype"/>
          <w:szCs w:val="22"/>
        </w:rPr>
      </w:pPr>
      <w:r w:rsidRPr="009E56CF">
        <w:rPr>
          <w:rFonts w:ascii="Palatino Linotype" w:hAnsi="Palatino Linotype"/>
          <w:szCs w:val="22"/>
        </w:rPr>
        <w:t xml:space="preserve">Del precepto citado, se advierte que los municipios al ser entes públicos se encuentran constreñidos a expedir y entregar los comprobantes fiscales correspondientes a las personas que reciban pagos por conceptos de salarios, mismos que pueden ser utilizados como constancia o </w:t>
      </w:r>
      <w:r w:rsidRPr="009E56CF">
        <w:rPr>
          <w:rFonts w:ascii="Palatino Linotype" w:hAnsi="Palatino Linotype"/>
          <w:i/>
          <w:szCs w:val="22"/>
        </w:rPr>
        <w:t>recibo de pago</w:t>
      </w:r>
      <w:r w:rsidRPr="009E56CF">
        <w:rPr>
          <w:rFonts w:ascii="Palatino Linotype" w:hAnsi="Palatino Linotype"/>
          <w:szCs w:val="22"/>
        </w:rPr>
        <w:t xml:space="preserve">, de conformidad con los artículos 132 fracciones VII y VIII y 804 primer párrafo, </w:t>
      </w:r>
      <w:r>
        <w:rPr>
          <w:rFonts w:ascii="Palatino Linotype" w:hAnsi="Palatino Linotype"/>
        </w:rPr>
        <w:t>fracció</w:t>
      </w:r>
      <w:r w:rsidRPr="009E56CF">
        <w:rPr>
          <w:rFonts w:ascii="Palatino Linotype" w:hAnsi="Palatino Linotype"/>
        </w:rPr>
        <w:t>n</w:t>
      </w:r>
      <w:r>
        <w:rPr>
          <w:rFonts w:ascii="Palatino Linotype" w:hAnsi="Palatino Linotype"/>
        </w:rPr>
        <w:t xml:space="preserve"> </w:t>
      </w:r>
      <w:r w:rsidRPr="009E56CF">
        <w:rPr>
          <w:rFonts w:ascii="Palatino Linotype" w:hAnsi="Palatino Linotype"/>
        </w:rPr>
        <w:t xml:space="preserve">II </w:t>
      </w:r>
      <w:r w:rsidRPr="009E56CF">
        <w:rPr>
          <w:rFonts w:ascii="Palatino Linotype" w:hAnsi="Palatino Linotype"/>
          <w:szCs w:val="22"/>
        </w:rPr>
        <w:t xml:space="preserve">de la </w:t>
      </w:r>
      <w:r w:rsidRPr="009E56CF">
        <w:rPr>
          <w:rFonts w:ascii="Palatino Linotype" w:hAnsi="Palatino Linotype"/>
          <w:b/>
          <w:szCs w:val="22"/>
        </w:rPr>
        <w:t>Ley Federal del Trabajo</w:t>
      </w:r>
      <w:r>
        <w:rPr>
          <w:rFonts w:ascii="Palatino Linotype" w:hAnsi="Palatino Linotype"/>
          <w:szCs w:val="22"/>
        </w:rPr>
        <w:t xml:space="preserve">, </w:t>
      </w:r>
      <w:r w:rsidRPr="009E56CF">
        <w:rPr>
          <w:rFonts w:ascii="Palatino Linotype" w:hAnsi="Palatino Linotype"/>
          <w:szCs w:val="22"/>
        </w:rPr>
        <w:t>que a la letra señalan lo siguiente:</w:t>
      </w:r>
    </w:p>
    <w:p w14:paraId="4C59781C" w14:textId="77777777" w:rsidR="00395C5C" w:rsidRPr="00805BB5" w:rsidRDefault="00395C5C" w:rsidP="00395C5C">
      <w:pPr>
        <w:spacing w:before="120" w:after="120" w:line="360" w:lineRule="auto"/>
        <w:ind w:left="567" w:right="567"/>
        <w:jc w:val="both"/>
        <w:rPr>
          <w:rFonts w:ascii="Palatino Linotype" w:hAnsi="Palatino Linotype"/>
          <w:i/>
          <w:sz w:val="22"/>
          <w:szCs w:val="22"/>
        </w:rPr>
      </w:pPr>
      <w:r w:rsidRPr="00805BB5">
        <w:rPr>
          <w:rFonts w:ascii="Palatino Linotype" w:hAnsi="Palatino Linotype"/>
          <w:b/>
          <w:i/>
          <w:sz w:val="22"/>
          <w:szCs w:val="22"/>
        </w:rPr>
        <w:t>Artículo 132</w:t>
      </w:r>
      <w:r w:rsidRPr="00805BB5">
        <w:rPr>
          <w:rFonts w:ascii="Palatino Linotype" w:hAnsi="Palatino Linotype"/>
          <w:i/>
          <w:sz w:val="22"/>
          <w:szCs w:val="22"/>
        </w:rPr>
        <w:t xml:space="preserve">.- Son </w:t>
      </w:r>
      <w:r w:rsidRPr="00805BB5">
        <w:rPr>
          <w:rFonts w:ascii="Palatino Linotype" w:hAnsi="Palatino Linotype"/>
          <w:b/>
          <w:i/>
          <w:sz w:val="22"/>
          <w:szCs w:val="22"/>
        </w:rPr>
        <w:t>obligaciones de los patrones</w:t>
      </w:r>
      <w:r w:rsidRPr="00805BB5">
        <w:rPr>
          <w:rFonts w:ascii="Palatino Linotype" w:hAnsi="Palatino Linotype"/>
          <w:i/>
          <w:sz w:val="22"/>
          <w:szCs w:val="22"/>
        </w:rPr>
        <w:t>:</w:t>
      </w:r>
    </w:p>
    <w:p w14:paraId="1F61BA44" w14:textId="77777777" w:rsidR="00395C5C" w:rsidRPr="00805BB5" w:rsidRDefault="00395C5C" w:rsidP="00395C5C">
      <w:pPr>
        <w:spacing w:before="120" w:after="120" w:line="360" w:lineRule="auto"/>
        <w:ind w:left="567" w:right="567"/>
        <w:jc w:val="both"/>
        <w:rPr>
          <w:rFonts w:ascii="Palatino Linotype" w:hAnsi="Palatino Linotype"/>
          <w:i/>
          <w:sz w:val="22"/>
          <w:szCs w:val="22"/>
        </w:rPr>
      </w:pPr>
      <w:r w:rsidRPr="00805BB5">
        <w:rPr>
          <w:rFonts w:ascii="Palatino Linotype" w:hAnsi="Palatino Linotype"/>
          <w:i/>
          <w:sz w:val="22"/>
          <w:szCs w:val="22"/>
        </w:rPr>
        <w:t>…</w:t>
      </w:r>
    </w:p>
    <w:p w14:paraId="0333925B" w14:textId="77777777" w:rsidR="00395C5C" w:rsidRPr="00805BB5" w:rsidRDefault="00395C5C" w:rsidP="00395C5C">
      <w:pPr>
        <w:spacing w:before="120" w:after="120" w:line="360" w:lineRule="auto"/>
        <w:ind w:left="567" w:right="567"/>
        <w:jc w:val="both"/>
        <w:rPr>
          <w:rFonts w:ascii="Palatino Linotype" w:hAnsi="Palatino Linotype"/>
          <w:i/>
          <w:sz w:val="22"/>
          <w:szCs w:val="22"/>
        </w:rPr>
      </w:pPr>
      <w:r w:rsidRPr="00805BB5">
        <w:rPr>
          <w:rFonts w:ascii="Palatino Linotype" w:hAnsi="Palatino Linotype"/>
          <w:i/>
          <w:sz w:val="22"/>
          <w:szCs w:val="22"/>
        </w:rPr>
        <w:t xml:space="preserve">VII.- </w:t>
      </w:r>
      <w:r w:rsidRPr="00805BB5">
        <w:rPr>
          <w:rFonts w:ascii="Palatino Linotype" w:hAnsi="Palatino Linotype"/>
          <w:b/>
          <w:i/>
          <w:sz w:val="22"/>
          <w:szCs w:val="22"/>
        </w:rPr>
        <w:t>Expedir</w:t>
      </w:r>
      <w:r w:rsidRPr="00805BB5">
        <w:rPr>
          <w:rFonts w:ascii="Palatino Linotype" w:hAnsi="Palatino Linotype"/>
          <w:i/>
          <w:sz w:val="22"/>
          <w:szCs w:val="22"/>
        </w:rPr>
        <w:t xml:space="preserve"> cada quince días, a solicitud de los trabajadores, una </w:t>
      </w:r>
      <w:r w:rsidRPr="00805BB5">
        <w:rPr>
          <w:rFonts w:ascii="Palatino Linotype" w:hAnsi="Palatino Linotype"/>
          <w:b/>
          <w:i/>
          <w:sz w:val="22"/>
          <w:szCs w:val="22"/>
        </w:rPr>
        <w:t>constancia</w:t>
      </w:r>
      <w:r w:rsidRPr="00805BB5">
        <w:rPr>
          <w:rFonts w:ascii="Palatino Linotype" w:hAnsi="Palatino Linotype"/>
          <w:i/>
          <w:sz w:val="22"/>
          <w:szCs w:val="22"/>
        </w:rPr>
        <w:t xml:space="preserve"> escrita del número de días trabajados y </w:t>
      </w:r>
      <w:r w:rsidRPr="00805BB5">
        <w:rPr>
          <w:rFonts w:ascii="Palatino Linotype" w:hAnsi="Palatino Linotype"/>
          <w:b/>
          <w:i/>
          <w:sz w:val="22"/>
          <w:szCs w:val="22"/>
        </w:rPr>
        <w:t>del salario percibido</w:t>
      </w:r>
      <w:r w:rsidRPr="00805BB5">
        <w:rPr>
          <w:rFonts w:ascii="Palatino Linotype" w:hAnsi="Palatino Linotype"/>
          <w:i/>
          <w:sz w:val="22"/>
          <w:szCs w:val="22"/>
        </w:rPr>
        <w:t xml:space="preserve">; </w:t>
      </w:r>
    </w:p>
    <w:p w14:paraId="6C8263C1" w14:textId="77777777" w:rsidR="00395C5C" w:rsidRPr="00805BB5" w:rsidRDefault="00395C5C" w:rsidP="00395C5C">
      <w:pPr>
        <w:spacing w:before="120" w:after="120" w:line="360" w:lineRule="auto"/>
        <w:ind w:left="567" w:right="567"/>
        <w:jc w:val="both"/>
        <w:rPr>
          <w:rFonts w:ascii="Palatino Linotype" w:hAnsi="Palatino Linotype"/>
          <w:i/>
          <w:sz w:val="22"/>
          <w:szCs w:val="22"/>
        </w:rPr>
      </w:pPr>
      <w:r w:rsidRPr="00805BB5">
        <w:rPr>
          <w:rFonts w:ascii="Palatino Linotype" w:hAnsi="Palatino Linotype"/>
          <w:i/>
          <w:sz w:val="22"/>
          <w:szCs w:val="22"/>
        </w:rPr>
        <w:t>VIII.- Expedir al trabajador que lo solicite o se separe de la empresa, dentro del término de tres días, una constancia escrita relativa a sus servicios;</w:t>
      </w:r>
    </w:p>
    <w:p w14:paraId="6139D3E2" w14:textId="77777777" w:rsidR="00395C5C" w:rsidRPr="00805BB5" w:rsidRDefault="00395C5C" w:rsidP="00395C5C">
      <w:pPr>
        <w:spacing w:before="120" w:after="120" w:line="360" w:lineRule="auto"/>
        <w:ind w:left="567" w:right="567"/>
        <w:jc w:val="both"/>
        <w:rPr>
          <w:rFonts w:ascii="Palatino Linotype" w:hAnsi="Palatino Linotype"/>
          <w:i/>
          <w:sz w:val="22"/>
          <w:szCs w:val="22"/>
        </w:rPr>
      </w:pPr>
      <w:r w:rsidRPr="00805BB5">
        <w:rPr>
          <w:rFonts w:ascii="Palatino Linotype" w:hAnsi="Palatino Linotype"/>
          <w:i/>
          <w:sz w:val="22"/>
          <w:szCs w:val="22"/>
        </w:rPr>
        <w:t>(…)</w:t>
      </w:r>
    </w:p>
    <w:p w14:paraId="02825DBF" w14:textId="77777777" w:rsidR="00395C5C" w:rsidRPr="00805BB5" w:rsidRDefault="00395C5C" w:rsidP="00395C5C">
      <w:pPr>
        <w:spacing w:before="120" w:after="120" w:line="360" w:lineRule="auto"/>
        <w:ind w:left="567" w:right="567"/>
        <w:jc w:val="both"/>
        <w:rPr>
          <w:rFonts w:ascii="Palatino Linotype" w:hAnsi="Palatino Linotype"/>
          <w:i/>
          <w:sz w:val="22"/>
          <w:szCs w:val="22"/>
        </w:rPr>
      </w:pPr>
      <w:r w:rsidRPr="00805BB5">
        <w:rPr>
          <w:rFonts w:ascii="Palatino Linotype" w:hAnsi="Palatino Linotype"/>
          <w:b/>
          <w:i/>
          <w:sz w:val="22"/>
          <w:szCs w:val="22"/>
        </w:rPr>
        <w:t>Artículo 804</w:t>
      </w:r>
      <w:r w:rsidRPr="00805BB5">
        <w:rPr>
          <w:rFonts w:ascii="Palatino Linotype" w:hAnsi="Palatino Linotype"/>
          <w:i/>
          <w:sz w:val="22"/>
          <w:szCs w:val="22"/>
        </w:rPr>
        <w:t xml:space="preserve">.- </w:t>
      </w:r>
      <w:r w:rsidRPr="00805BB5">
        <w:rPr>
          <w:rFonts w:ascii="Palatino Linotype" w:hAnsi="Palatino Linotype"/>
          <w:b/>
          <w:i/>
          <w:sz w:val="22"/>
          <w:szCs w:val="22"/>
        </w:rPr>
        <w:t>El patrón tiene obligación de conservar</w:t>
      </w:r>
      <w:r w:rsidRPr="00805BB5">
        <w:rPr>
          <w:rFonts w:ascii="Palatino Linotype" w:hAnsi="Palatino Linotype"/>
          <w:i/>
          <w:sz w:val="22"/>
          <w:szCs w:val="22"/>
        </w:rPr>
        <w:t xml:space="preserve"> y exhibir en juicio los documentos que a continuación se precisan:</w:t>
      </w:r>
    </w:p>
    <w:p w14:paraId="5E53174A" w14:textId="77777777" w:rsidR="00395C5C" w:rsidRPr="00395C5C" w:rsidRDefault="00395C5C" w:rsidP="00395C5C">
      <w:pPr>
        <w:spacing w:before="120" w:after="120" w:line="360" w:lineRule="auto"/>
        <w:ind w:left="567" w:right="567"/>
        <w:jc w:val="both"/>
        <w:rPr>
          <w:rFonts w:ascii="Palatino Linotype" w:hAnsi="Palatino Linotype"/>
          <w:i/>
          <w:sz w:val="22"/>
          <w:szCs w:val="22"/>
        </w:rPr>
      </w:pPr>
      <w:r w:rsidRPr="00805BB5">
        <w:rPr>
          <w:rFonts w:ascii="Palatino Linotype" w:hAnsi="Palatino Linotype"/>
          <w:i/>
          <w:sz w:val="22"/>
          <w:szCs w:val="22"/>
        </w:rPr>
        <w:t xml:space="preserve">II. Listas de raya o </w:t>
      </w:r>
      <w:r w:rsidRPr="00805BB5">
        <w:rPr>
          <w:rFonts w:ascii="Palatino Linotype" w:hAnsi="Palatino Linotype"/>
          <w:b/>
          <w:i/>
          <w:sz w:val="22"/>
          <w:szCs w:val="22"/>
        </w:rPr>
        <w:t>nómina de personal</w:t>
      </w:r>
      <w:r w:rsidRPr="00805BB5">
        <w:rPr>
          <w:rFonts w:ascii="Palatino Linotype" w:hAnsi="Palatino Linotype"/>
          <w:i/>
          <w:sz w:val="22"/>
          <w:szCs w:val="22"/>
        </w:rPr>
        <w:t xml:space="preserve">, cuando se lleven en el centro de trabajo; o </w:t>
      </w:r>
      <w:r w:rsidRPr="00395C5C">
        <w:rPr>
          <w:rFonts w:ascii="Palatino Linotype" w:hAnsi="Palatino Linotype"/>
          <w:b/>
          <w:i/>
          <w:sz w:val="22"/>
          <w:szCs w:val="22"/>
        </w:rPr>
        <w:t>recibos de pagos de salarios</w:t>
      </w:r>
      <w:r w:rsidRPr="00395C5C">
        <w:rPr>
          <w:rFonts w:ascii="Palatino Linotype" w:hAnsi="Palatino Linotype"/>
          <w:i/>
          <w:sz w:val="22"/>
          <w:szCs w:val="22"/>
        </w:rPr>
        <w:t>;</w:t>
      </w:r>
    </w:p>
    <w:p w14:paraId="6F06061A" w14:textId="77777777" w:rsidR="00936FCD" w:rsidRPr="001C06F3" w:rsidRDefault="00936FCD" w:rsidP="00936FCD">
      <w:pPr>
        <w:pStyle w:val="Textosinformato"/>
        <w:tabs>
          <w:tab w:val="right" w:leader="dot" w:pos="567"/>
        </w:tabs>
        <w:spacing w:line="360" w:lineRule="auto"/>
        <w:ind w:left="567" w:right="567"/>
        <w:jc w:val="both"/>
        <w:rPr>
          <w:rFonts w:ascii="Palatino Linotype" w:eastAsia="MS Mincho" w:hAnsi="Palatino Linotype" w:cs="Arial"/>
          <w:i/>
          <w:sz w:val="22"/>
          <w:szCs w:val="22"/>
        </w:rPr>
      </w:pPr>
      <w:r w:rsidRPr="001C06F3">
        <w:rPr>
          <w:rFonts w:ascii="Palatino Linotype" w:eastAsia="MS Mincho" w:hAnsi="Palatino Linotype" w:cs="Arial"/>
          <w:b/>
          <w:i/>
          <w:sz w:val="22"/>
          <w:szCs w:val="22"/>
          <w:lang w:val="es-MX"/>
        </w:rPr>
        <w:lastRenderedPageBreak/>
        <w:t>IV.</w:t>
      </w:r>
      <w:r w:rsidRPr="001C06F3">
        <w:rPr>
          <w:rFonts w:ascii="Palatino Linotype" w:eastAsia="MS Mincho" w:hAnsi="Palatino Linotype" w:cs="Arial"/>
          <w:i/>
          <w:sz w:val="22"/>
          <w:szCs w:val="22"/>
          <w:lang w:val="es-MX"/>
        </w:rPr>
        <w:t xml:space="preserve"> </w:t>
      </w:r>
      <w:r w:rsidRPr="001C06F3">
        <w:rPr>
          <w:rFonts w:ascii="Palatino Linotype" w:eastAsia="MS Mincho" w:hAnsi="Palatino Linotype" w:cs="Arial"/>
          <w:i/>
          <w:sz w:val="22"/>
          <w:szCs w:val="22"/>
          <w:lang w:val="es-MX"/>
        </w:rPr>
        <w:tab/>
      </w:r>
      <w:r w:rsidRPr="00936FCD">
        <w:rPr>
          <w:rFonts w:ascii="Palatino Linotype" w:eastAsia="MS Mincho" w:hAnsi="Palatino Linotype" w:cs="Arial"/>
          <w:b/>
          <w:i/>
          <w:sz w:val="22"/>
          <w:szCs w:val="22"/>
          <w:u w:val="single"/>
          <w:lang w:val="es-MX"/>
        </w:rPr>
        <w:t>Comprobantes de pago de participación de utilidades, de vacaciones y de aguinaldos, así como las primas a que se refiere esta Ley, y pagos, aportaciones y cuotas de seguridad social</w:t>
      </w:r>
      <w:r w:rsidRPr="001C06F3">
        <w:rPr>
          <w:rFonts w:ascii="Palatino Linotype" w:eastAsia="MS Mincho" w:hAnsi="Palatino Linotype" w:cs="Arial"/>
          <w:i/>
          <w:sz w:val="22"/>
          <w:szCs w:val="22"/>
          <w:lang w:val="es-MX"/>
        </w:rPr>
        <w:t>; y</w:t>
      </w:r>
    </w:p>
    <w:p w14:paraId="55250B8E" w14:textId="77777777" w:rsidR="00936FCD" w:rsidRPr="001C06F3" w:rsidRDefault="00936FCD" w:rsidP="00936FCD">
      <w:pPr>
        <w:pStyle w:val="Textosinformato"/>
        <w:tabs>
          <w:tab w:val="right" w:leader="dot" w:pos="567"/>
        </w:tabs>
        <w:spacing w:line="360" w:lineRule="auto"/>
        <w:ind w:left="567" w:right="567"/>
        <w:jc w:val="both"/>
        <w:rPr>
          <w:rFonts w:ascii="Palatino Linotype" w:eastAsia="MS Mincho" w:hAnsi="Palatino Linotype" w:cs="Arial"/>
          <w:i/>
          <w:sz w:val="22"/>
          <w:szCs w:val="22"/>
        </w:rPr>
      </w:pPr>
    </w:p>
    <w:p w14:paraId="09392706" w14:textId="77777777" w:rsidR="00936FCD" w:rsidRPr="001C06F3" w:rsidRDefault="00936FCD" w:rsidP="00936FCD">
      <w:pPr>
        <w:pStyle w:val="Textosinformato"/>
        <w:tabs>
          <w:tab w:val="right" w:leader="dot" w:pos="567"/>
        </w:tabs>
        <w:spacing w:line="360" w:lineRule="auto"/>
        <w:ind w:left="567" w:right="567"/>
        <w:jc w:val="both"/>
        <w:rPr>
          <w:rFonts w:ascii="Palatino Linotype" w:eastAsia="MS Mincho" w:hAnsi="Palatino Linotype" w:cs="Arial"/>
          <w:i/>
          <w:sz w:val="22"/>
          <w:szCs w:val="22"/>
        </w:rPr>
      </w:pPr>
      <w:r w:rsidRPr="001C06F3">
        <w:rPr>
          <w:rFonts w:ascii="Palatino Linotype" w:eastAsia="MS Mincho" w:hAnsi="Palatino Linotype" w:cs="Arial"/>
          <w:b/>
          <w:i/>
          <w:sz w:val="22"/>
          <w:szCs w:val="22"/>
          <w:lang w:val="es-MX"/>
        </w:rPr>
        <w:t>V.</w:t>
      </w:r>
      <w:r w:rsidRPr="001C06F3">
        <w:rPr>
          <w:rFonts w:ascii="Palatino Linotype" w:eastAsia="MS Mincho" w:hAnsi="Palatino Linotype" w:cs="Arial"/>
          <w:i/>
          <w:sz w:val="22"/>
          <w:szCs w:val="22"/>
          <w:lang w:val="es-MX"/>
        </w:rPr>
        <w:t xml:space="preserve"> </w:t>
      </w:r>
      <w:r w:rsidRPr="001C06F3">
        <w:rPr>
          <w:rFonts w:ascii="Palatino Linotype" w:eastAsia="MS Mincho" w:hAnsi="Palatino Linotype" w:cs="Arial"/>
          <w:i/>
          <w:sz w:val="22"/>
          <w:szCs w:val="22"/>
          <w:lang w:val="es-MX"/>
        </w:rPr>
        <w:tab/>
        <w:t>Los demás que señalen las leyes.</w:t>
      </w:r>
    </w:p>
    <w:p w14:paraId="709ABBE3" w14:textId="77777777" w:rsidR="00936FCD" w:rsidRPr="001C06F3" w:rsidRDefault="00936FCD" w:rsidP="00936FCD">
      <w:pPr>
        <w:pStyle w:val="Textosinformato"/>
        <w:tabs>
          <w:tab w:val="right" w:leader="dot" w:pos="567"/>
        </w:tabs>
        <w:spacing w:line="360" w:lineRule="auto"/>
        <w:ind w:left="567" w:right="567"/>
        <w:jc w:val="both"/>
        <w:rPr>
          <w:rFonts w:ascii="Palatino Linotype" w:eastAsia="MS Mincho" w:hAnsi="Palatino Linotype" w:cs="Arial"/>
          <w:i/>
          <w:sz w:val="22"/>
          <w:szCs w:val="22"/>
        </w:rPr>
      </w:pPr>
    </w:p>
    <w:p w14:paraId="7B26E1D5" w14:textId="77777777" w:rsidR="00936FCD" w:rsidRPr="001C06F3" w:rsidRDefault="00936FCD" w:rsidP="00936FCD">
      <w:pPr>
        <w:pStyle w:val="Texto"/>
        <w:tabs>
          <w:tab w:val="right" w:leader="dot" w:pos="567"/>
        </w:tabs>
        <w:spacing w:after="0" w:line="360" w:lineRule="auto"/>
        <w:ind w:left="567" w:right="567" w:firstLine="0"/>
        <w:rPr>
          <w:rFonts w:ascii="Palatino Linotype" w:hAnsi="Palatino Linotype"/>
          <w:i/>
          <w:sz w:val="22"/>
          <w:szCs w:val="22"/>
          <w:lang w:val="es-MX"/>
        </w:rPr>
      </w:pPr>
      <w:r w:rsidRPr="001C06F3">
        <w:rPr>
          <w:rFonts w:ascii="Palatino Linotype" w:hAnsi="Palatino Linotype"/>
          <w:i/>
          <w:sz w:val="22"/>
          <w:szCs w:val="22"/>
          <w:lang w:val="es-MX"/>
        </w:rPr>
        <w:t xml:space="preserve">Los documentos señalados en la fracción I deberán conservarse mientras dure la relación laboral y hasta un año después; los señalados en las fracciones II, III y IV, </w:t>
      </w:r>
      <w:r w:rsidRPr="00936FCD">
        <w:rPr>
          <w:rFonts w:ascii="Palatino Linotype" w:hAnsi="Palatino Linotype"/>
          <w:b/>
          <w:i/>
          <w:sz w:val="22"/>
          <w:szCs w:val="22"/>
          <w:u w:val="single"/>
          <w:lang w:val="es-MX"/>
        </w:rPr>
        <w:t>durante el último año y un año después de que se extinga la relación laboral</w:t>
      </w:r>
      <w:r w:rsidRPr="001C06F3">
        <w:rPr>
          <w:rFonts w:ascii="Palatino Linotype" w:hAnsi="Palatino Linotype"/>
          <w:i/>
          <w:sz w:val="22"/>
          <w:szCs w:val="22"/>
          <w:lang w:val="es-MX"/>
        </w:rPr>
        <w:t>; y los mencionados en la fracción V, conforme lo señalen las Leyes que los rijan.</w:t>
      </w:r>
    </w:p>
    <w:p w14:paraId="76A4B37A" w14:textId="77777777" w:rsidR="00936FCD" w:rsidRDefault="00936FCD" w:rsidP="00870B20">
      <w:pPr>
        <w:pStyle w:val="Prrafodelista"/>
        <w:spacing w:before="240" w:after="240" w:line="360" w:lineRule="auto"/>
        <w:ind w:left="0"/>
        <w:jc w:val="both"/>
        <w:rPr>
          <w:rFonts w:ascii="Palatino Linotype" w:hAnsi="Palatino Linotype" w:cs="Arial"/>
        </w:rPr>
      </w:pPr>
    </w:p>
    <w:p w14:paraId="08E77B99" w14:textId="77777777" w:rsidR="00AE2328" w:rsidRPr="006E637B" w:rsidRDefault="00AE2328" w:rsidP="00AE2328">
      <w:pPr>
        <w:pStyle w:val="Prrafodelista"/>
        <w:numPr>
          <w:ilvl w:val="0"/>
          <w:numId w:val="1"/>
        </w:numPr>
        <w:spacing w:before="240" w:after="240" w:line="360" w:lineRule="auto"/>
        <w:ind w:left="0" w:firstLine="0"/>
        <w:jc w:val="both"/>
        <w:rPr>
          <w:rFonts w:ascii="Palatino Linotype" w:hAnsi="Palatino Linotype" w:cs="Arial"/>
        </w:rPr>
      </w:pPr>
      <w:r w:rsidRPr="006E637B">
        <w:rPr>
          <w:rFonts w:ascii="Palatino Linotype" w:eastAsia="Times New Roman" w:hAnsi="Palatino Linotype" w:cs="Arial"/>
          <w:lang w:eastAsia="es-MX"/>
        </w:rPr>
        <w:t xml:space="preserve">De lo establecido en el precepto legal anteriormente citado, se puede llegar a la conclusión de que tanto la nómina como la lista de raya consisten en registros conformados por el conjunto de trabajadores a los cuales se les remunerará por los </w:t>
      </w:r>
      <w:hyperlink r:id="rId20" w:history="1">
        <w:r w:rsidRPr="006E637B">
          <w:rPr>
            <w:rFonts w:ascii="Palatino Linotype" w:eastAsia="Times New Roman" w:hAnsi="Palatino Linotype" w:cs="Arial"/>
            <w:lang w:eastAsia="es-MX"/>
          </w:rPr>
          <w:t>servicios</w:t>
        </w:r>
      </w:hyperlink>
      <w:r w:rsidRPr="006E637B">
        <w:rPr>
          <w:rFonts w:ascii="Palatino Linotype" w:eastAsia="Times New Roman" w:hAnsi="Palatino Linotype" w:cs="Arial"/>
          <w:lang w:eastAsia="es-MX"/>
        </w:rPr>
        <w:t xml:space="preserve"> que éstos le prestan al patrón, en el cual se asientan las percepciones brutas, deducciones y el neto a recibir de dichos trabajadores, con la única diferencia de que la lista de raya se refiere únicamente a los trabajadores temporales.</w:t>
      </w:r>
    </w:p>
    <w:p w14:paraId="367385F9" w14:textId="77777777" w:rsidR="00AE2328" w:rsidRDefault="00AE2328" w:rsidP="00AE2328">
      <w:pPr>
        <w:pStyle w:val="Prrafodelista"/>
        <w:tabs>
          <w:tab w:val="left" w:pos="0"/>
        </w:tabs>
        <w:spacing w:line="360" w:lineRule="auto"/>
        <w:ind w:left="0" w:right="49"/>
        <w:jc w:val="both"/>
        <w:rPr>
          <w:rFonts w:ascii="Palatino Linotype" w:hAnsi="Palatino Linotype" w:cs="Arial"/>
        </w:rPr>
      </w:pPr>
    </w:p>
    <w:p w14:paraId="34F7B50C" w14:textId="30BDA806" w:rsidR="00AE2DB3" w:rsidRDefault="00AE2DB3" w:rsidP="00AE2DB3">
      <w:pPr>
        <w:pStyle w:val="Prrafodelista"/>
        <w:numPr>
          <w:ilvl w:val="0"/>
          <w:numId w:val="1"/>
        </w:numPr>
        <w:tabs>
          <w:tab w:val="left" w:pos="0"/>
        </w:tabs>
        <w:spacing w:line="360" w:lineRule="auto"/>
        <w:ind w:left="0" w:right="49" w:firstLine="0"/>
        <w:jc w:val="both"/>
        <w:rPr>
          <w:rFonts w:ascii="Palatino Linotype" w:hAnsi="Palatino Linotype" w:cs="Arial"/>
        </w:rPr>
      </w:pPr>
      <w:r>
        <w:rPr>
          <w:rFonts w:ascii="Palatino Linotype" w:hAnsi="Palatino Linotype" w:cs="Arial"/>
        </w:rPr>
        <w:t>Finalmente,</w:t>
      </w:r>
      <w:r w:rsidRPr="00B6256D">
        <w:rPr>
          <w:rFonts w:ascii="Palatino Linotype" w:hAnsi="Palatino Linotype" w:cs="Arial"/>
        </w:rPr>
        <w:t xml:space="preserve"> la Ley del Trabajo de los Servidores Públicos del Estado y Municipios, en su artículo 220-K, establece lo siguiente:</w:t>
      </w:r>
    </w:p>
    <w:p w14:paraId="709A0266" w14:textId="77777777" w:rsidR="00211649" w:rsidRPr="00211649" w:rsidRDefault="00211649" w:rsidP="00AE2DB3">
      <w:pPr>
        <w:pStyle w:val="Prrafodelista"/>
        <w:spacing w:line="360" w:lineRule="auto"/>
        <w:ind w:left="0"/>
        <w:jc w:val="both"/>
        <w:rPr>
          <w:rFonts w:ascii="Palatino Linotype" w:hAnsi="Palatino Linotype" w:cs="Arial"/>
          <w:color w:val="000000"/>
        </w:rPr>
      </w:pPr>
    </w:p>
    <w:p w14:paraId="60330047" w14:textId="77777777" w:rsidR="00A35E16" w:rsidRPr="00AE2DB3" w:rsidRDefault="00A35E16" w:rsidP="00AE2DB3">
      <w:pPr>
        <w:pStyle w:val="Prrafodelista"/>
        <w:spacing w:line="360" w:lineRule="auto"/>
        <w:ind w:left="567" w:right="567"/>
        <w:jc w:val="both"/>
        <w:rPr>
          <w:rFonts w:ascii="Palatino Linotype" w:hAnsi="Palatino Linotype" w:cs="Arial"/>
          <w:i/>
          <w:color w:val="000000"/>
        </w:rPr>
      </w:pPr>
      <w:r w:rsidRPr="001406EA">
        <w:rPr>
          <w:rFonts w:ascii="Palatino Linotype" w:hAnsi="Palatino Linotype"/>
          <w:b/>
          <w:i/>
        </w:rPr>
        <w:t>ARTÍCULO 220 K.</w:t>
      </w:r>
      <w:r w:rsidRPr="00AE2DB3">
        <w:rPr>
          <w:rFonts w:ascii="Palatino Linotype" w:hAnsi="Palatino Linotype"/>
          <w:i/>
        </w:rPr>
        <w:t xml:space="preserve">- La institución o dependencia pública tiene la obligación de conservar y exhibir en el proceso los documentos que a continuación se precisan: </w:t>
      </w:r>
    </w:p>
    <w:p w14:paraId="1F9E9FF4" w14:textId="77777777" w:rsidR="00A35E16" w:rsidRPr="00AE2DB3" w:rsidRDefault="00A35E16" w:rsidP="00AE2DB3">
      <w:pPr>
        <w:pStyle w:val="Prrafodelista"/>
        <w:spacing w:line="360" w:lineRule="auto"/>
        <w:ind w:left="567" w:right="567"/>
        <w:jc w:val="both"/>
        <w:rPr>
          <w:rFonts w:ascii="Palatino Linotype" w:hAnsi="Palatino Linotype"/>
          <w:i/>
        </w:rPr>
      </w:pPr>
      <w:r w:rsidRPr="00AE2DB3">
        <w:rPr>
          <w:rFonts w:ascii="Palatino Linotype" w:hAnsi="Palatino Linotype"/>
          <w:i/>
        </w:rPr>
        <w:t>…</w:t>
      </w:r>
    </w:p>
    <w:p w14:paraId="236B064B" w14:textId="77777777" w:rsidR="00A35E16" w:rsidRPr="00AE2DB3" w:rsidRDefault="00A35E16" w:rsidP="00AE2DB3">
      <w:pPr>
        <w:pStyle w:val="Prrafodelista"/>
        <w:spacing w:line="360" w:lineRule="auto"/>
        <w:ind w:left="567" w:right="567"/>
        <w:jc w:val="both"/>
        <w:rPr>
          <w:rFonts w:ascii="Palatino Linotype" w:hAnsi="Palatino Linotype"/>
          <w:i/>
        </w:rPr>
      </w:pPr>
      <w:r w:rsidRPr="00AE2DB3">
        <w:rPr>
          <w:rFonts w:ascii="Palatino Linotype" w:hAnsi="Palatino Linotype"/>
          <w:i/>
        </w:rPr>
        <w:lastRenderedPageBreak/>
        <w:t xml:space="preserve"> II. Recibos de pagos de salarios </w:t>
      </w:r>
      <w:r w:rsidRPr="00AE2DB3">
        <w:rPr>
          <w:rFonts w:ascii="Palatino Linotype" w:hAnsi="Palatino Linotype"/>
          <w:b/>
          <w:i/>
        </w:rPr>
        <w:t>o las constancias documentales del pago de salario cuando sea por depósito o mediante información electrónica</w:t>
      </w:r>
      <w:r w:rsidRPr="00AE2DB3">
        <w:rPr>
          <w:rFonts w:ascii="Palatino Linotype" w:hAnsi="Palatino Linotype"/>
          <w:i/>
        </w:rPr>
        <w:t xml:space="preserve">; </w:t>
      </w:r>
    </w:p>
    <w:p w14:paraId="5BDD3CFE" w14:textId="77777777" w:rsidR="00A35E16" w:rsidRPr="00AE2DB3" w:rsidRDefault="00A35E16" w:rsidP="00AE2DB3">
      <w:pPr>
        <w:pStyle w:val="Prrafodelista"/>
        <w:spacing w:line="360" w:lineRule="auto"/>
        <w:ind w:left="567" w:right="567"/>
        <w:jc w:val="both"/>
        <w:rPr>
          <w:rFonts w:ascii="Palatino Linotype" w:hAnsi="Palatino Linotype"/>
          <w:i/>
        </w:rPr>
      </w:pPr>
      <w:r w:rsidRPr="00AE2DB3">
        <w:rPr>
          <w:rFonts w:ascii="Palatino Linotype" w:hAnsi="Palatino Linotype"/>
          <w:i/>
        </w:rPr>
        <w:t>…</w:t>
      </w:r>
    </w:p>
    <w:p w14:paraId="5179BCA1" w14:textId="77777777" w:rsidR="00A35E16" w:rsidRPr="00AE2DB3" w:rsidRDefault="00A35E16" w:rsidP="00AE2DB3">
      <w:pPr>
        <w:pStyle w:val="Prrafodelista"/>
        <w:spacing w:line="360" w:lineRule="auto"/>
        <w:ind w:left="567" w:right="567"/>
        <w:jc w:val="both"/>
        <w:rPr>
          <w:rFonts w:ascii="Palatino Linotype" w:hAnsi="Palatino Linotype"/>
          <w:i/>
        </w:rPr>
      </w:pPr>
      <w:r w:rsidRPr="00AE2DB3">
        <w:rPr>
          <w:rFonts w:ascii="Palatino Linotype" w:hAnsi="Palatino Linotype"/>
          <w:i/>
        </w:rPr>
        <w:t xml:space="preserve">IV. </w:t>
      </w:r>
      <w:r w:rsidRPr="00AE2DB3">
        <w:rPr>
          <w:rFonts w:ascii="Palatino Linotype" w:hAnsi="Palatino Linotype"/>
          <w:b/>
          <w:i/>
          <w:u w:val="single"/>
        </w:rPr>
        <w:t>Recibos o las constancias de deposito</w:t>
      </w:r>
      <w:r w:rsidRPr="00AE2DB3">
        <w:rPr>
          <w:rFonts w:ascii="Palatino Linotype" w:hAnsi="Palatino Linotype"/>
          <w:i/>
        </w:rPr>
        <w:t xml:space="preserve"> o del medio de información magnética o electrónica que sean utilizadas </w:t>
      </w:r>
      <w:r w:rsidRPr="00AE2DB3">
        <w:rPr>
          <w:rFonts w:ascii="Palatino Linotype" w:hAnsi="Palatino Linotype"/>
          <w:b/>
          <w:i/>
          <w:u w:val="single"/>
        </w:rPr>
        <w:t>para el pago de salarios, prima vacacional, aguinaldo y demás prestaciones establecidas en la presente ley</w:t>
      </w:r>
      <w:r w:rsidRPr="00AE2DB3">
        <w:rPr>
          <w:rFonts w:ascii="Palatino Linotype" w:hAnsi="Palatino Linotype"/>
          <w:i/>
        </w:rPr>
        <w:t>; y</w:t>
      </w:r>
    </w:p>
    <w:p w14:paraId="46465CF5" w14:textId="77777777" w:rsidR="00A35E16" w:rsidRDefault="00A35E16" w:rsidP="00AE2DB3">
      <w:pPr>
        <w:pStyle w:val="Prrafodelista"/>
        <w:tabs>
          <w:tab w:val="left" w:pos="0"/>
        </w:tabs>
        <w:spacing w:line="360" w:lineRule="auto"/>
        <w:ind w:left="0" w:right="49"/>
        <w:jc w:val="both"/>
        <w:rPr>
          <w:rFonts w:ascii="Palatino Linotype" w:hAnsi="Palatino Linotype" w:cs="Arial"/>
        </w:rPr>
      </w:pPr>
    </w:p>
    <w:p w14:paraId="5D0C26BE" w14:textId="77777777" w:rsidR="00F119D6" w:rsidRDefault="00A35E16" w:rsidP="00AE2DB3">
      <w:pPr>
        <w:pStyle w:val="Prrafodelista"/>
        <w:spacing w:line="360" w:lineRule="auto"/>
        <w:ind w:left="567" w:right="567"/>
        <w:jc w:val="both"/>
        <w:rPr>
          <w:rFonts w:ascii="Palatino Linotype" w:hAnsi="Palatino Linotype"/>
          <w:i/>
        </w:rPr>
      </w:pPr>
      <w:r w:rsidRPr="00F119D6">
        <w:rPr>
          <w:rFonts w:ascii="Palatino Linotype" w:hAnsi="Palatino Linotype"/>
          <w:i/>
        </w:rPr>
        <w:t xml:space="preserve">Los documentos señalados en la fracción I de este artículo, deberán conservarse mientras dure la relación laboral y hasta un año después; los señalados por las fracciones II, III, IV </w:t>
      </w:r>
      <w:r w:rsidRPr="00F119D6">
        <w:rPr>
          <w:rFonts w:ascii="Palatino Linotype" w:hAnsi="Palatino Linotype"/>
          <w:b/>
          <w:i/>
        </w:rPr>
        <w:t>durante el último año y un año después de que se extinga la relación laboral,</w:t>
      </w:r>
      <w:r w:rsidRPr="00F119D6">
        <w:rPr>
          <w:rFonts w:ascii="Palatino Linotype" w:hAnsi="Palatino Linotype"/>
          <w:i/>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1468EF22" w14:textId="47DEA83B" w:rsidR="00A35E16" w:rsidRPr="00F119D6" w:rsidRDefault="00F119D6" w:rsidP="00AE2DB3">
      <w:pPr>
        <w:pStyle w:val="Prrafodelista"/>
        <w:spacing w:line="360" w:lineRule="auto"/>
        <w:ind w:left="567" w:right="567"/>
        <w:jc w:val="both"/>
        <w:rPr>
          <w:rFonts w:ascii="Palatino Linotype" w:hAnsi="Palatino Linotype" w:cs="Arial"/>
          <w:i/>
          <w:color w:val="000000"/>
        </w:rPr>
      </w:pPr>
      <w:r>
        <w:rPr>
          <w:rFonts w:ascii="Palatino Linotype" w:hAnsi="Palatino Linotype"/>
          <w:i/>
        </w:rPr>
        <w:t>…</w:t>
      </w:r>
    </w:p>
    <w:p w14:paraId="1DB297A6" w14:textId="77777777" w:rsidR="00936FCD" w:rsidRDefault="00936FCD" w:rsidP="00936FCD">
      <w:pPr>
        <w:pStyle w:val="Prrafodelista"/>
        <w:spacing w:before="240" w:after="240" w:line="360" w:lineRule="auto"/>
        <w:ind w:left="0"/>
        <w:jc w:val="both"/>
        <w:rPr>
          <w:rFonts w:ascii="Palatino Linotype" w:hAnsi="Palatino Linotype" w:cs="Arial"/>
        </w:rPr>
      </w:pPr>
    </w:p>
    <w:p w14:paraId="6F0A94D6" w14:textId="77777777" w:rsidR="007617F3" w:rsidRDefault="007617F3" w:rsidP="007617F3">
      <w:pPr>
        <w:pStyle w:val="Prrafodelista"/>
        <w:numPr>
          <w:ilvl w:val="0"/>
          <w:numId w:val="1"/>
        </w:numPr>
        <w:tabs>
          <w:tab w:val="left" w:pos="0"/>
        </w:tabs>
        <w:spacing w:line="360" w:lineRule="auto"/>
        <w:ind w:left="0" w:right="49" w:firstLine="0"/>
        <w:jc w:val="both"/>
        <w:rPr>
          <w:rFonts w:ascii="Palatino Linotype" w:hAnsi="Palatino Linotype" w:cs="Arial"/>
        </w:rPr>
      </w:pPr>
      <w:r w:rsidRPr="00B6256D">
        <w:rPr>
          <w:rFonts w:ascii="Palatino Linotype" w:hAnsi="Palatino Linotype" w:cs="Arial"/>
        </w:rPr>
        <w:t xml:space="preserve">Precepto legal, </w:t>
      </w:r>
      <w:r>
        <w:rPr>
          <w:rFonts w:ascii="Palatino Linotype" w:hAnsi="Palatino Linotype" w:cs="Arial"/>
        </w:rPr>
        <w:t>en el que se observa</w:t>
      </w:r>
      <w:r w:rsidRPr="00B6256D">
        <w:rPr>
          <w:rFonts w:ascii="Palatino Linotype" w:hAnsi="Palatino Linotype" w:cs="Arial"/>
        </w:rPr>
        <w:t xml:space="preserve"> que toda institución o dependencia pública del Estado de México debe conservar las constancias documentales del pago de salario cuando sea por depósito </w:t>
      </w:r>
      <w:r w:rsidRPr="00B6256D">
        <w:rPr>
          <w:rFonts w:ascii="Palatino Linotype" w:hAnsi="Palatino Linotype" w:cs="Arial"/>
          <w:b/>
        </w:rPr>
        <w:t>o mediante información electrónica</w:t>
      </w:r>
      <w:r w:rsidRPr="00B6256D">
        <w:rPr>
          <w:rFonts w:ascii="Palatino Linotype" w:hAnsi="Palatino Linotype" w:cs="Arial"/>
        </w:rPr>
        <w:t xml:space="preserve">, debiendo conservar dicha documentación </w:t>
      </w:r>
      <w:r w:rsidRPr="00B6256D">
        <w:rPr>
          <w:rFonts w:ascii="Palatino Linotype" w:hAnsi="Palatino Linotype" w:cs="Arial"/>
          <w:b/>
        </w:rPr>
        <w:t xml:space="preserve">durante el último año y un año después de que se extinga la relación </w:t>
      </w:r>
      <w:r w:rsidRPr="00B6256D">
        <w:rPr>
          <w:rFonts w:ascii="Palatino Linotype" w:hAnsi="Palatino Linotype" w:cs="Arial"/>
          <w:b/>
        </w:rPr>
        <w:lastRenderedPageBreak/>
        <w:t>laboral</w:t>
      </w:r>
      <w:r w:rsidRPr="00B6256D">
        <w:rPr>
          <w:rFonts w:ascii="Palatino Linotype" w:hAnsi="Palatino Linotype" w:cs="Arial"/>
        </w:rPr>
        <w:t xml:space="preserve"> a través de los sistemas de digitalización o de información magnética o electrónica.</w:t>
      </w:r>
    </w:p>
    <w:p w14:paraId="4A942034" w14:textId="77777777" w:rsidR="007617F3" w:rsidRDefault="007617F3" w:rsidP="007617F3">
      <w:pPr>
        <w:pStyle w:val="Prrafodelista"/>
        <w:tabs>
          <w:tab w:val="left" w:pos="0"/>
        </w:tabs>
        <w:spacing w:line="360" w:lineRule="auto"/>
        <w:ind w:left="0" w:right="49"/>
        <w:jc w:val="both"/>
        <w:rPr>
          <w:rFonts w:ascii="Palatino Linotype" w:hAnsi="Palatino Linotype" w:cs="Arial"/>
        </w:rPr>
      </w:pPr>
    </w:p>
    <w:p w14:paraId="753342BC" w14:textId="12D49A1F" w:rsidR="007617F3" w:rsidRDefault="007617F3" w:rsidP="007617F3">
      <w:pPr>
        <w:pStyle w:val="Prrafodelista"/>
        <w:numPr>
          <w:ilvl w:val="0"/>
          <w:numId w:val="1"/>
        </w:numPr>
        <w:tabs>
          <w:tab w:val="left" w:pos="0"/>
        </w:tabs>
        <w:spacing w:line="360" w:lineRule="auto"/>
        <w:ind w:left="0" w:right="49" w:firstLine="0"/>
        <w:jc w:val="both"/>
        <w:rPr>
          <w:rFonts w:ascii="Palatino Linotype" w:hAnsi="Palatino Linotype"/>
        </w:rPr>
      </w:pPr>
      <w:r w:rsidRPr="00CC0CC7">
        <w:rPr>
          <w:rFonts w:ascii="Palatino Linotype" w:hAnsi="Palatino Linotype" w:cs="Arial"/>
        </w:rPr>
        <w:t xml:space="preserve">Finalmente para el caso que nos ocupa </w:t>
      </w:r>
      <w:r w:rsidR="00CC0CC7" w:rsidRPr="00CC0CC7">
        <w:rPr>
          <w:rFonts w:ascii="Palatino Linotype" w:hAnsi="Palatino Linotype"/>
          <w:b/>
        </w:rPr>
        <w:t>Ley de la Fiscalía General de Justicia del Estado de México</w:t>
      </w:r>
      <w:r w:rsidR="00CC0CC7">
        <w:rPr>
          <w:rFonts w:ascii="Palatino Linotype" w:hAnsi="Palatino Linotype"/>
          <w:b/>
        </w:rPr>
        <w:t xml:space="preserve"> </w:t>
      </w:r>
      <w:r w:rsidR="00CC0CC7" w:rsidRPr="00CC0CC7">
        <w:rPr>
          <w:rFonts w:ascii="Palatino Linotype" w:hAnsi="Palatino Linotype"/>
        </w:rPr>
        <w:t>dispone que sus servidores públicos</w:t>
      </w:r>
      <w:r w:rsidR="00CC0CC7">
        <w:rPr>
          <w:rFonts w:ascii="Palatino Linotype" w:hAnsi="Palatino Linotype"/>
          <w:b/>
        </w:rPr>
        <w:t xml:space="preserve"> </w:t>
      </w:r>
      <w:r w:rsidR="00CC0CC7" w:rsidRPr="00CC0CC7">
        <w:rPr>
          <w:rFonts w:ascii="Palatino Linotype" w:hAnsi="Palatino Linotype"/>
        </w:rPr>
        <w:t xml:space="preserve">tendrán entre otros derechos </w:t>
      </w:r>
      <w:r w:rsidR="00CC0CC7">
        <w:rPr>
          <w:rFonts w:ascii="Palatino Linotype" w:hAnsi="Palatino Linotype"/>
        </w:rPr>
        <w:t>p</w:t>
      </w:r>
      <w:r w:rsidR="00CC0CC7" w:rsidRPr="00CC0CC7">
        <w:rPr>
          <w:rFonts w:ascii="Palatino Linotype" w:hAnsi="Palatino Linotype"/>
        </w:rPr>
        <w:t>ercibir prestaciones acordes a las características del servicio y acceder al sistema de estímulos económicos y sociales cuando su conducta y desempeño así lo amerite</w:t>
      </w:r>
      <w:r w:rsidR="00CC0CC7">
        <w:rPr>
          <w:rFonts w:ascii="Palatino Linotype" w:hAnsi="Palatino Linotype"/>
        </w:rPr>
        <w:t>:</w:t>
      </w:r>
    </w:p>
    <w:p w14:paraId="16493DCD" w14:textId="77777777" w:rsidR="00CC0CC7" w:rsidRPr="00CC0CC7" w:rsidRDefault="00CC0CC7" w:rsidP="00CC0CC7">
      <w:pPr>
        <w:pStyle w:val="Prrafodelista"/>
        <w:tabs>
          <w:tab w:val="left" w:pos="0"/>
        </w:tabs>
        <w:spacing w:line="360" w:lineRule="auto"/>
        <w:ind w:left="0" w:right="49"/>
        <w:jc w:val="both"/>
        <w:rPr>
          <w:rFonts w:ascii="Palatino Linotype" w:hAnsi="Palatino Linotype"/>
        </w:rPr>
      </w:pPr>
    </w:p>
    <w:p w14:paraId="36F52D4C" w14:textId="77777777" w:rsidR="007617F3" w:rsidRPr="00CC0CC7" w:rsidRDefault="007617F3" w:rsidP="00CC0CC7">
      <w:pPr>
        <w:tabs>
          <w:tab w:val="right" w:leader="dot" w:pos="426"/>
        </w:tabs>
        <w:spacing w:line="360" w:lineRule="auto"/>
        <w:ind w:left="567" w:right="567"/>
        <w:jc w:val="both"/>
        <w:rPr>
          <w:rFonts w:ascii="Palatino Linotype" w:hAnsi="Palatino Linotype" w:cs="Arial"/>
          <w:i/>
          <w:sz w:val="22"/>
          <w:szCs w:val="22"/>
        </w:rPr>
      </w:pPr>
      <w:r w:rsidRPr="00CC0CC7">
        <w:rPr>
          <w:rFonts w:ascii="Palatino Linotype" w:hAnsi="Palatino Linotype"/>
          <w:i/>
          <w:sz w:val="22"/>
          <w:szCs w:val="22"/>
        </w:rPr>
        <w:t xml:space="preserve">Artículo 60. Las y los servidores públicos de la Fiscalía tendrán los derechos siguientes: </w:t>
      </w:r>
    </w:p>
    <w:p w14:paraId="76D78E5A" w14:textId="77777777" w:rsidR="007617F3" w:rsidRPr="00CC0CC7" w:rsidRDefault="007617F3" w:rsidP="00CC0CC7">
      <w:pPr>
        <w:tabs>
          <w:tab w:val="right" w:leader="dot" w:pos="426"/>
        </w:tabs>
        <w:spacing w:line="360" w:lineRule="auto"/>
        <w:ind w:left="567" w:right="567"/>
        <w:jc w:val="both"/>
        <w:rPr>
          <w:rFonts w:ascii="Palatino Linotype" w:hAnsi="Palatino Linotype" w:cs="Arial"/>
          <w:i/>
          <w:sz w:val="22"/>
          <w:szCs w:val="22"/>
        </w:rPr>
      </w:pPr>
      <w:r w:rsidRPr="00CC0CC7">
        <w:rPr>
          <w:rFonts w:ascii="Palatino Linotype" w:hAnsi="Palatino Linotype"/>
          <w:i/>
          <w:sz w:val="22"/>
          <w:szCs w:val="22"/>
        </w:rPr>
        <w:t xml:space="preserve">I. Participar en los cursos de capacitación, actualización y especialización que al efecto se establezcan, así como en aquellos que se acuerden con instituciones académicas que guarden relación con sus funciones, siempre que se cumplan con los requisitos que al efecto se establezcan en la convocatoria y no se afecte el servicio. </w:t>
      </w:r>
    </w:p>
    <w:p w14:paraId="4FD97578" w14:textId="77777777" w:rsidR="00CC0CC7" w:rsidRPr="00BD30EA" w:rsidRDefault="007617F3" w:rsidP="00CC0CC7">
      <w:pPr>
        <w:tabs>
          <w:tab w:val="right" w:leader="dot" w:pos="426"/>
        </w:tabs>
        <w:spacing w:line="360" w:lineRule="auto"/>
        <w:ind w:left="567" w:right="567"/>
        <w:jc w:val="both"/>
        <w:rPr>
          <w:rFonts w:ascii="Palatino Linotype" w:hAnsi="Palatino Linotype"/>
          <w:i/>
          <w:sz w:val="22"/>
          <w:szCs w:val="22"/>
        </w:rPr>
      </w:pPr>
      <w:r w:rsidRPr="00BD30EA">
        <w:rPr>
          <w:rFonts w:ascii="Palatino Linotype" w:hAnsi="Palatino Linotype"/>
          <w:i/>
          <w:sz w:val="22"/>
          <w:szCs w:val="22"/>
        </w:rPr>
        <w:t xml:space="preserve">II. </w:t>
      </w:r>
      <w:r w:rsidRPr="00BD30EA">
        <w:rPr>
          <w:rFonts w:ascii="Palatino Linotype" w:hAnsi="Palatino Linotype"/>
          <w:b/>
          <w:i/>
          <w:sz w:val="22"/>
          <w:szCs w:val="22"/>
          <w:u w:val="single"/>
        </w:rPr>
        <w:t>Percibir prestaciones</w:t>
      </w:r>
      <w:r w:rsidRPr="00BD30EA">
        <w:rPr>
          <w:rFonts w:ascii="Palatino Linotype" w:hAnsi="Palatino Linotype"/>
          <w:i/>
          <w:sz w:val="22"/>
          <w:szCs w:val="22"/>
        </w:rPr>
        <w:t xml:space="preserve"> acordes a las características del servicio conforme al presupuesto de la Fiscalía y demás normas e instrumentos organizacionales aplicables.</w:t>
      </w:r>
    </w:p>
    <w:p w14:paraId="467D196B" w14:textId="10ED136C" w:rsidR="007617F3" w:rsidRPr="00BD30EA" w:rsidRDefault="007617F3" w:rsidP="00CC0CC7">
      <w:pPr>
        <w:tabs>
          <w:tab w:val="right" w:leader="dot" w:pos="426"/>
        </w:tabs>
        <w:spacing w:line="360" w:lineRule="auto"/>
        <w:ind w:left="567" w:right="567"/>
        <w:jc w:val="both"/>
        <w:rPr>
          <w:rFonts w:ascii="Palatino Linotype" w:hAnsi="Palatino Linotype" w:cs="Arial"/>
          <w:i/>
          <w:sz w:val="22"/>
          <w:szCs w:val="22"/>
        </w:rPr>
      </w:pPr>
      <w:r w:rsidRPr="00BD30EA">
        <w:rPr>
          <w:rFonts w:ascii="Palatino Linotype" w:hAnsi="Palatino Linotype"/>
          <w:i/>
          <w:sz w:val="22"/>
          <w:szCs w:val="22"/>
        </w:rPr>
        <w:t xml:space="preserve">III. </w:t>
      </w:r>
      <w:r w:rsidRPr="00BD30EA">
        <w:rPr>
          <w:rFonts w:ascii="Palatino Linotype" w:hAnsi="Palatino Linotype"/>
          <w:b/>
          <w:i/>
          <w:sz w:val="22"/>
          <w:szCs w:val="22"/>
          <w:u w:val="single"/>
        </w:rPr>
        <w:t>Acceder al sistema de estímulos económicos y sociales</w:t>
      </w:r>
      <w:r w:rsidRPr="00BD30EA">
        <w:rPr>
          <w:rFonts w:ascii="Palatino Linotype" w:hAnsi="Palatino Linotype"/>
          <w:i/>
          <w:sz w:val="22"/>
          <w:szCs w:val="22"/>
        </w:rPr>
        <w:t xml:space="preserve"> cuando su conducta y desempeño así lo amerite, conforme a las normas aplicables y la disponibilidad presupuestal.</w:t>
      </w:r>
    </w:p>
    <w:p w14:paraId="03D65957" w14:textId="77777777" w:rsidR="006D0D97" w:rsidRDefault="006D0D97" w:rsidP="006D0D97">
      <w:pPr>
        <w:pStyle w:val="Prrafodelista"/>
        <w:tabs>
          <w:tab w:val="left" w:pos="0"/>
        </w:tabs>
        <w:spacing w:line="360" w:lineRule="auto"/>
        <w:ind w:left="0" w:right="49"/>
        <w:jc w:val="both"/>
        <w:rPr>
          <w:rFonts w:ascii="Palatino Linotype" w:hAnsi="Palatino Linotype" w:cs="Arial"/>
        </w:rPr>
      </w:pPr>
    </w:p>
    <w:p w14:paraId="1184157B" w14:textId="10A139E6" w:rsidR="00A2547F" w:rsidRPr="009B43E7" w:rsidRDefault="00CC0CC7" w:rsidP="00A2547F">
      <w:pPr>
        <w:pStyle w:val="Prrafodelista"/>
        <w:numPr>
          <w:ilvl w:val="0"/>
          <w:numId w:val="1"/>
        </w:numPr>
        <w:tabs>
          <w:tab w:val="left" w:pos="0"/>
        </w:tabs>
        <w:spacing w:line="360" w:lineRule="auto"/>
        <w:ind w:left="0" w:right="49" w:firstLine="0"/>
        <w:jc w:val="both"/>
        <w:rPr>
          <w:rFonts w:ascii="Palatino Linotype" w:hAnsi="Palatino Linotype" w:cs="Arial"/>
        </w:rPr>
      </w:pPr>
      <w:r>
        <w:rPr>
          <w:rFonts w:ascii="Palatino Linotype" w:hAnsi="Palatino Linotype" w:cs="Arial"/>
        </w:rPr>
        <w:t xml:space="preserve">Por ello es necesario puntualizar </w:t>
      </w:r>
      <w:r w:rsidR="00A2547F">
        <w:rPr>
          <w:rFonts w:ascii="Palatino Linotype" w:hAnsi="Palatino Linotype" w:cs="Arial"/>
        </w:rPr>
        <w:t>que entre</w:t>
      </w:r>
      <w:r>
        <w:rPr>
          <w:rFonts w:ascii="Palatino Linotype" w:hAnsi="Palatino Linotype" w:cs="Arial"/>
        </w:rPr>
        <w:t xml:space="preserve"> las áreas que de conformidad con la </w:t>
      </w:r>
      <w:r w:rsidRPr="00CC0CC7">
        <w:rPr>
          <w:rFonts w:ascii="Palatino Linotype" w:hAnsi="Palatino Linotype"/>
          <w:b/>
        </w:rPr>
        <w:t>Ley de la Fiscalía General de Justicia del Estado de México</w:t>
      </w:r>
      <w:r>
        <w:rPr>
          <w:rFonts w:ascii="Palatino Linotype" w:hAnsi="Palatino Linotype" w:cs="Arial"/>
        </w:rPr>
        <w:t xml:space="preserve"> auxiliarán a la Fiscal</w:t>
      </w:r>
      <w:r w:rsidR="00A2547F">
        <w:rPr>
          <w:rFonts w:ascii="Palatino Linotype" w:hAnsi="Palatino Linotype" w:cs="Arial"/>
        </w:rPr>
        <w:t xml:space="preserve">ía se encontrarán las de </w:t>
      </w:r>
      <w:r w:rsidR="00BA2A89" w:rsidRPr="00A2547F">
        <w:rPr>
          <w:rFonts w:ascii="Palatino Linotype" w:hAnsi="Palatino Linotype"/>
        </w:rPr>
        <w:t>gestión y administración de recursos humanos y materiales.</w:t>
      </w:r>
    </w:p>
    <w:p w14:paraId="2F063E06" w14:textId="77777777" w:rsidR="009B43E7" w:rsidRPr="00A2547F" w:rsidRDefault="009B43E7" w:rsidP="009B43E7">
      <w:pPr>
        <w:pStyle w:val="Prrafodelista"/>
        <w:tabs>
          <w:tab w:val="left" w:pos="0"/>
        </w:tabs>
        <w:spacing w:line="360" w:lineRule="auto"/>
        <w:ind w:left="0" w:right="51"/>
        <w:jc w:val="both"/>
        <w:rPr>
          <w:rFonts w:ascii="Palatino Linotype" w:hAnsi="Palatino Linotype" w:cs="Arial"/>
        </w:rPr>
      </w:pPr>
    </w:p>
    <w:p w14:paraId="4DF2983A" w14:textId="5309DAFE" w:rsidR="006D0D97" w:rsidRPr="00A2547F" w:rsidRDefault="006D0D97" w:rsidP="009B43E7">
      <w:pPr>
        <w:pStyle w:val="j"/>
        <w:numPr>
          <w:ilvl w:val="0"/>
          <w:numId w:val="1"/>
        </w:numPr>
        <w:shd w:val="clear" w:color="auto" w:fill="FFFFFF"/>
        <w:spacing w:before="0" w:beforeAutospacing="0" w:line="360" w:lineRule="auto"/>
        <w:ind w:left="0" w:firstLine="0"/>
        <w:contextualSpacing/>
        <w:jc w:val="both"/>
        <w:textAlignment w:val="baseline"/>
        <w:rPr>
          <w:rFonts w:ascii="Palatino Linotype" w:hAnsi="Palatino Linotype"/>
          <w:color w:val="000000" w:themeColor="text1"/>
          <w:szCs w:val="20"/>
        </w:rPr>
      </w:pPr>
      <w:r w:rsidRPr="006D0D97">
        <w:rPr>
          <w:rFonts w:ascii="Palatino Linotype" w:hAnsi="Palatino Linotype"/>
        </w:rPr>
        <w:t xml:space="preserve">Bajo ese tenor entre las facultades genéricas de los titulares de las unidades administrativas anterior, así como de los titulares de las Fiscalías y unidades </w:t>
      </w:r>
      <w:r w:rsidRPr="006D0D97">
        <w:rPr>
          <w:rFonts w:ascii="Palatino Linotype" w:hAnsi="Palatino Linotype"/>
        </w:rPr>
        <w:lastRenderedPageBreak/>
        <w:t xml:space="preserve">administrativas que sean creadas por el Procurador se encuentra la de administrar los recursos humanos, financieros y materiales que le sean asignados, lo anterior de conformidad con el artículo 15 fracción XVI del </w:t>
      </w:r>
      <w:r w:rsidRPr="006D0D97">
        <w:rPr>
          <w:rFonts w:ascii="Palatino Linotype" w:hAnsi="Palatino Linotype"/>
          <w:b/>
        </w:rPr>
        <w:t>Reglamento de la</w:t>
      </w:r>
      <w:r w:rsidRPr="006D0D97">
        <w:rPr>
          <w:rFonts w:ascii="Palatino Linotype" w:hAnsi="Palatino Linotype"/>
        </w:rPr>
        <w:t xml:space="preserve"> </w:t>
      </w:r>
      <w:r w:rsidRPr="006D0D97">
        <w:rPr>
          <w:rFonts w:ascii="Palatino Linotype" w:hAnsi="Palatino Linotype"/>
          <w:b/>
        </w:rPr>
        <w:t>Ley de la Fiscalía General de Justicia del Estado de México.</w:t>
      </w:r>
    </w:p>
    <w:p w14:paraId="497E7280" w14:textId="77777777" w:rsidR="00A2547F" w:rsidRPr="00A2547F" w:rsidRDefault="00A2547F" w:rsidP="009B43E7">
      <w:pPr>
        <w:pStyle w:val="j"/>
        <w:shd w:val="clear" w:color="auto" w:fill="FFFFFF"/>
        <w:spacing w:line="360" w:lineRule="auto"/>
        <w:contextualSpacing/>
        <w:jc w:val="both"/>
        <w:textAlignment w:val="baseline"/>
        <w:rPr>
          <w:rFonts w:ascii="Palatino Linotype" w:hAnsi="Palatino Linotype"/>
          <w:color w:val="000000" w:themeColor="text1"/>
          <w:szCs w:val="20"/>
        </w:rPr>
      </w:pPr>
    </w:p>
    <w:p w14:paraId="12FB6827" w14:textId="1EA43FB2" w:rsidR="00A2547F" w:rsidRPr="00A2547F" w:rsidRDefault="00A2547F" w:rsidP="006D0D97">
      <w:pPr>
        <w:pStyle w:val="j"/>
        <w:numPr>
          <w:ilvl w:val="0"/>
          <w:numId w:val="1"/>
        </w:numPr>
        <w:shd w:val="clear" w:color="auto" w:fill="FFFFFF"/>
        <w:spacing w:before="0" w:after="0" w:line="360" w:lineRule="auto"/>
        <w:ind w:left="0" w:firstLine="0"/>
        <w:jc w:val="both"/>
        <w:textAlignment w:val="baseline"/>
        <w:rPr>
          <w:rFonts w:ascii="Palatino Linotype" w:hAnsi="Palatino Linotype"/>
          <w:color w:val="000000" w:themeColor="text1"/>
          <w:szCs w:val="20"/>
        </w:rPr>
      </w:pPr>
      <w:r>
        <w:rPr>
          <w:rFonts w:ascii="Palatino Linotype" w:hAnsi="Palatino Linotype"/>
          <w:color w:val="000000" w:themeColor="text1"/>
          <w:szCs w:val="20"/>
        </w:rPr>
        <w:t xml:space="preserve">Así mismo es preciso indicar cuáles son las unidades administrativas que integran al </w:t>
      </w:r>
      <w:r w:rsidRPr="00A2547F">
        <w:rPr>
          <w:rFonts w:ascii="Palatino Linotype" w:hAnsi="Palatino Linotype"/>
          <w:b/>
          <w:color w:val="000000" w:themeColor="text1"/>
          <w:szCs w:val="20"/>
        </w:rPr>
        <w:t>SUJETO OBLIGADO</w:t>
      </w:r>
      <w:r>
        <w:rPr>
          <w:rFonts w:ascii="Palatino Linotype" w:hAnsi="Palatino Linotype"/>
          <w:color w:val="000000" w:themeColor="text1"/>
          <w:szCs w:val="20"/>
        </w:rPr>
        <w:t xml:space="preserve"> de acuerdo al </w:t>
      </w:r>
      <w:r w:rsidR="009B43E7" w:rsidRPr="006D0D97">
        <w:rPr>
          <w:rFonts w:ascii="Palatino Linotype" w:hAnsi="Palatino Linotype"/>
          <w:b/>
        </w:rPr>
        <w:t>Reglamento de la</w:t>
      </w:r>
      <w:r w:rsidR="009B43E7" w:rsidRPr="006D0D97">
        <w:rPr>
          <w:rFonts w:ascii="Palatino Linotype" w:hAnsi="Palatino Linotype"/>
        </w:rPr>
        <w:t xml:space="preserve"> </w:t>
      </w:r>
      <w:r w:rsidR="009B43E7" w:rsidRPr="006D0D97">
        <w:rPr>
          <w:rFonts w:ascii="Palatino Linotype" w:hAnsi="Palatino Linotype"/>
          <w:b/>
        </w:rPr>
        <w:t>Ley de la Fiscalía General de Justicia del Estado de México</w:t>
      </w:r>
      <w:r w:rsidR="009B43E7">
        <w:rPr>
          <w:rFonts w:ascii="Palatino Linotype" w:hAnsi="Palatino Linotype"/>
          <w:b/>
        </w:rPr>
        <w:t xml:space="preserve"> </w:t>
      </w:r>
      <w:r w:rsidR="009B43E7" w:rsidRPr="009B43E7">
        <w:rPr>
          <w:rFonts w:ascii="Palatino Linotype" w:hAnsi="Palatino Linotype"/>
        </w:rPr>
        <w:t>antes citado</w:t>
      </w:r>
      <w:r w:rsidR="009B43E7">
        <w:rPr>
          <w:rFonts w:ascii="Palatino Linotype" w:hAnsi="Palatino Linotype"/>
        </w:rPr>
        <w:t>:</w:t>
      </w:r>
    </w:p>
    <w:p w14:paraId="48D96470" w14:textId="77777777" w:rsidR="009B43E7" w:rsidRDefault="00A2547F" w:rsidP="00BF02F7">
      <w:pPr>
        <w:pStyle w:val="j"/>
        <w:shd w:val="clear" w:color="auto" w:fill="FFFFFF"/>
        <w:spacing w:after="0" w:afterAutospacing="0" w:line="360" w:lineRule="auto"/>
        <w:ind w:left="567" w:right="567"/>
        <w:jc w:val="both"/>
        <w:textAlignment w:val="baseline"/>
        <w:rPr>
          <w:rFonts w:ascii="Palatino Linotype" w:hAnsi="Palatino Linotype"/>
          <w:i/>
          <w:sz w:val="22"/>
          <w:szCs w:val="22"/>
        </w:rPr>
      </w:pPr>
      <w:r w:rsidRPr="009B43E7">
        <w:rPr>
          <w:rFonts w:ascii="Palatino Linotype" w:hAnsi="Palatino Linotype"/>
          <w:i/>
          <w:sz w:val="22"/>
          <w:szCs w:val="22"/>
        </w:rPr>
        <w:t>Artículo 14. La Procuraduría, para el despacho de los asuntos de su competencia; el cumplimiento y ejercicio de sus facultades y atribuciones constitucionales, legales y reglamentarias; el desarrollo de los sistemas de especialización y de organización territorial y demás sistemas; la investigación y persecución de los delitos; el ejercicio de sus funciones de control y evaluación, así como de representación social, cuenta con un Procurador, quien se auxilia</w:t>
      </w:r>
      <w:r w:rsidR="009B43E7">
        <w:rPr>
          <w:rFonts w:ascii="Palatino Linotype" w:hAnsi="Palatino Linotype"/>
          <w:i/>
          <w:sz w:val="22"/>
          <w:szCs w:val="22"/>
        </w:rPr>
        <w:t>rá de las unidades administrati</w:t>
      </w:r>
      <w:r w:rsidRPr="009B43E7">
        <w:rPr>
          <w:rFonts w:ascii="Palatino Linotype" w:hAnsi="Palatino Linotype"/>
          <w:i/>
          <w:sz w:val="22"/>
          <w:szCs w:val="22"/>
        </w:rPr>
        <w:t xml:space="preserve">vas básicas siguientes: </w:t>
      </w:r>
    </w:p>
    <w:p w14:paraId="2A34D68B" w14:textId="40334D7A" w:rsidR="009B43E7" w:rsidRDefault="009B43E7" w:rsidP="00BF02F7">
      <w:pPr>
        <w:pStyle w:val="j"/>
        <w:shd w:val="clear" w:color="auto" w:fill="FFFFFF"/>
        <w:spacing w:line="360" w:lineRule="auto"/>
        <w:ind w:left="567" w:right="567"/>
        <w:contextualSpacing/>
        <w:jc w:val="both"/>
        <w:textAlignment w:val="baseline"/>
        <w:rPr>
          <w:rFonts w:ascii="Palatino Linotype" w:hAnsi="Palatino Linotype"/>
          <w:i/>
          <w:sz w:val="22"/>
          <w:szCs w:val="22"/>
        </w:rPr>
      </w:pPr>
      <w:r w:rsidRPr="009B43E7">
        <w:rPr>
          <w:rFonts w:ascii="Palatino Linotype" w:hAnsi="Palatino Linotype"/>
          <w:i/>
          <w:sz w:val="22"/>
          <w:szCs w:val="22"/>
        </w:rPr>
        <w:t>I.</w:t>
      </w:r>
      <w:r>
        <w:rPr>
          <w:rFonts w:ascii="Palatino Linotype" w:hAnsi="Palatino Linotype"/>
          <w:i/>
          <w:sz w:val="22"/>
          <w:szCs w:val="22"/>
        </w:rPr>
        <w:t xml:space="preserve"> </w:t>
      </w:r>
      <w:r w:rsidR="00A2547F" w:rsidRPr="009B43E7">
        <w:rPr>
          <w:rFonts w:ascii="Palatino Linotype" w:hAnsi="Palatino Linotype"/>
          <w:i/>
          <w:sz w:val="22"/>
          <w:szCs w:val="22"/>
        </w:rPr>
        <w:t xml:space="preserve">Subprocuraduría General; </w:t>
      </w:r>
    </w:p>
    <w:p w14:paraId="4AB41964" w14:textId="0B300F79" w:rsidR="009B43E7" w:rsidRPr="009B43E7" w:rsidRDefault="009B43E7" w:rsidP="00BF02F7">
      <w:pPr>
        <w:pStyle w:val="j"/>
        <w:shd w:val="clear" w:color="auto" w:fill="FFFFFF"/>
        <w:spacing w:line="360" w:lineRule="auto"/>
        <w:ind w:left="567" w:right="567"/>
        <w:contextualSpacing/>
        <w:jc w:val="both"/>
        <w:textAlignment w:val="baseline"/>
        <w:rPr>
          <w:rFonts w:ascii="Palatino Linotype" w:hAnsi="Palatino Linotype"/>
          <w:i/>
          <w:color w:val="000000" w:themeColor="text1"/>
          <w:sz w:val="22"/>
          <w:szCs w:val="22"/>
        </w:rPr>
      </w:pPr>
      <w:r>
        <w:rPr>
          <w:rFonts w:ascii="Palatino Linotype" w:hAnsi="Palatino Linotype"/>
          <w:i/>
          <w:sz w:val="22"/>
          <w:szCs w:val="22"/>
        </w:rPr>
        <w:t xml:space="preserve">II. </w:t>
      </w:r>
      <w:r w:rsidR="00A2547F" w:rsidRPr="009B43E7">
        <w:rPr>
          <w:rFonts w:ascii="Palatino Linotype" w:hAnsi="Palatino Linotype"/>
          <w:i/>
          <w:sz w:val="22"/>
          <w:szCs w:val="22"/>
        </w:rPr>
        <w:t xml:space="preserve">Subprocuraduría de Atención Especializada; </w:t>
      </w:r>
    </w:p>
    <w:p w14:paraId="20E0BFCA" w14:textId="4DCE59BE" w:rsidR="009B43E7" w:rsidRPr="009B43E7" w:rsidRDefault="009B43E7" w:rsidP="00E256F1">
      <w:pPr>
        <w:pStyle w:val="j"/>
        <w:shd w:val="clear" w:color="auto" w:fill="FFFFFF"/>
        <w:spacing w:line="360" w:lineRule="auto"/>
        <w:ind w:left="567" w:right="567"/>
        <w:contextualSpacing/>
        <w:jc w:val="both"/>
        <w:textAlignment w:val="baseline"/>
        <w:rPr>
          <w:rFonts w:ascii="Palatino Linotype" w:hAnsi="Palatino Linotype"/>
          <w:i/>
          <w:color w:val="000000" w:themeColor="text1"/>
          <w:sz w:val="22"/>
          <w:szCs w:val="22"/>
        </w:rPr>
      </w:pPr>
      <w:r>
        <w:rPr>
          <w:rFonts w:ascii="Palatino Linotype" w:hAnsi="Palatino Linotype"/>
          <w:i/>
          <w:sz w:val="22"/>
          <w:szCs w:val="22"/>
        </w:rPr>
        <w:t xml:space="preserve">III. </w:t>
      </w:r>
      <w:r w:rsidR="00A2547F" w:rsidRPr="009B43E7">
        <w:rPr>
          <w:rFonts w:ascii="Palatino Linotype" w:hAnsi="Palatino Linotype"/>
          <w:i/>
          <w:sz w:val="22"/>
          <w:szCs w:val="22"/>
        </w:rPr>
        <w:t xml:space="preserve">Subprocuraduría para la Atención de Delitos Vinculados a la Violencia de Género; </w:t>
      </w:r>
    </w:p>
    <w:p w14:paraId="27CA975C" w14:textId="00559E20" w:rsidR="009B43E7" w:rsidRPr="009B43E7" w:rsidRDefault="009B43E7" w:rsidP="00E256F1">
      <w:pPr>
        <w:pStyle w:val="j"/>
        <w:shd w:val="clear" w:color="auto" w:fill="FFFFFF"/>
        <w:spacing w:line="360" w:lineRule="auto"/>
        <w:ind w:left="567" w:right="567"/>
        <w:contextualSpacing/>
        <w:jc w:val="both"/>
        <w:textAlignment w:val="baseline"/>
        <w:rPr>
          <w:rFonts w:ascii="Palatino Linotype" w:hAnsi="Palatino Linotype"/>
          <w:i/>
          <w:color w:val="000000" w:themeColor="text1"/>
          <w:sz w:val="22"/>
          <w:szCs w:val="22"/>
        </w:rPr>
      </w:pPr>
      <w:r>
        <w:rPr>
          <w:rFonts w:ascii="Palatino Linotype" w:hAnsi="Palatino Linotype"/>
          <w:i/>
          <w:sz w:val="22"/>
          <w:szCs w:val="22"/>
        </w:rPr>
        <w:t xml:space="preserve">IV. </w:t>
      </w:r>
      <w:r w:rsidR="00A2547F" w:rsidRPr="009B43E7">
        <w:rPr>
          <w:rFonts w:ascii="Palatino Linotype" w:hAnsi="Palatino Linotype"/>
          <w:i/>
          <w:sz w:val="22"/>
          <w:szCs w:val="22"/>
        </w:rPr>
        <w:t>Subprocuraduría Jurídica;</w:t>
      </w:r>
    </w:p>
    <w:p w14:paraId="27F86317" w14:textId="6F9FEBC4" w:rsidR="009B43E7" w:rsidRPr="009B43E7" w:rsidRDefault="009B43E7" w:rsidP="00E256F1">
      <w:pPr>
        <w:pStyle w:val="j"/>
        <w:shd w:val="clear" w:color="auto" w:fill="FFFFFF"/>
        <w:spacing w:line="360" w:lineRule="auto"/>
        <w:ind w:left="567" w:right="567"/>
        <w:contextualSpacing/>
        <w:jc w:val="both"/>
        <w:textAlignment w:val="baseline"/>
        <w:rPr>
          <w:rFonts w:ascii="Palatino Linotype" w:hAnsi="Palatino Linotype"/>
          <w:i/>
          <w:color w:val="000000" w:themeColor="text1"/>
          <w:sz w:val="22"/>
          <w:szCs w:val="22"/>
        </w:rPr>
      </w:pPr>
      <w:r>
        <w:rPr>
          <w:rFonts w:ascii="Palatino Linotype" w:hAnsi="Palatino Linotype"/>
          <w:i/>
          <w:sz w:val="22"/>
          <w:szCs w:val="22"/>
        </w:rPr>
        <w:t xml:space="preserve">V. </w:t>
      </w:r>
      <w:r w:rsidR="00A2547F" w:rsidRPr="009B43E7">
        <w:rPr>
          <w:rFonts w:ascii="Palatino Linotype" w:hAnsi="Palatino Linotype"/>
          <w:i/>
          <w:sz w:val="22"/>
          <w:szCs w:val="22"/>
        </w:rPr>
        <w:t xml:space="preserve">Comisaría General de la Policía Ministerial; </w:t>
      </w:r>
    </w:p>
    <w:p w14:paraId="0CF26B48" w14:textId="6524BC9B" w:rsidR="009B43E7" w:rsidRPr="009B43E7" w:rsidRDefault="009B43E7" w:rsidP="00E256F1">
      <w:pPr>
        <w:pStyle w:val="j"/>
        <w:shd w:val="clear" w:color="auto" w:fill="FFFFFF"/>
        <w:spacing w:line="360" w:lineRule="auto"/>
        <w:ind w:left="567" w:right="567"/>
        <w:contextualSpacing/>
        <w:jc w:val="both"/>
        <w:textAlignment w:val="baseline"/>
        <w:rPr>
          <w:rFonts w:ascii="Palatino Linotype" w:hAnsi="Palatino Linotype"/>
          <w:i/>
          <w:color w:val="000000" w:themeColor="text1"/>
          <w:sz w:val="22"/>
          <w:szCs w:val="22"/>
        </w:rPr>
      </w:pPr>
      <w:r>
        <w:rPr>
          <w:rFonts w:ascii="Palatino Linotype" w:hAnsi="Palatino Linotype"/>
          <w:i/>
          <w:sz w:val="22"/>
          <w:szCs w:val="22"/>
        </w:rPr>
        <w:t xml:space="preserve">VI. </w:t>
      </w:r>
      <w:r w:rsidR="00A2547F" w:rsidRPr="009B43E7">
        <w:rPr>
          <w:rFonts w:ascii="Palatino Linotype" w:hAnsi="Palatino Linotype"/>
          <w:i/>
          <w:sz w:val="22"/>
          <w:szCs w:val="22"/>
        </w:rPr>
        <w:t xml:space="preserve">Coordinación de Investigación y Análisis; </w:t>
      </w:r>
    </w:p>
    <w:p w14:paraId="4D647F04" w14:textId="77777777" w:rsidR="009B43E7" w:rsidRDefault="00A2547F" w:rsidP="00E256F1">
      <w:pPr>
        <w:pStyle w:val="j"/>
        <w:shd w:val="clear" w:color="auto" w:fill="FFFFFF"/>
        <w:spacing w:line="360" w:lineRule="auto"/>
        <w:ind w:left="567" w:right="567"/>
        <w:contextualSpacing/>
        <w:jc w:val="both"/>
        <w:textAlignment w:val="baseline"/>
        <w:rPr>
          <w:rFonts w:ascii="Palatino Linotype" w:hAnsi="Palatino Linotype"/>
          <w:i/>
          <w:sz w:val="22"/>
          <w:szCs w:val="22"/>
        </w:rPr>
      </w:pPr>
      <w:r w:rsidRPr="009B43E7">
        <w:rPr>
          <w:rFonts w:ascii="Palatino Linotype" w:hAnsi="Palatino Linotype"/>
          <w:i/>
          <w:sz w:val="22"/>
          <w:szCs w:val="22"/>
        </w:rPr>
        <w:t xml:space="preserve">VII. Coordinación de Planeación y Administración; </w:t>
      </w:r>
    </w:p>
    <w:p w14:paraId="284C83AA" w14:textId="77777777" w:rsidR="009B43E7" w:rsidRDefault="00A2547F" w:rsidP="00E256F1">
      <w:pPr>
        <w:pStyle w:val="j"/>
        <w:shd w:val="clear" w:color="auto" w:fill="FFFFFF"/>
        <w:spacing w:line="360" w:lineRule="auto"/>
        <w:ind w:left="567" w:right="567"/>
        <w:contextualSpacing/>
        <w:jc w:val="both"/>
        <w:textAlignment w:val="baseline"/>
        <w:rPr>
          <w:rFonts w:ascii="Palatino Linotype" w:hAnsi="Palatino Linotype"/>
          <w:i/>
          <w:sz w:val="22"/>
          <w:szCs w:val="22"/>
        </w:rPr>
      </w:pPr>
      <w:r w:rsidRPr="009B43E7">
        <w:rPr>
          <w:rFonts w:ascii="Palatino Linotype" w:hAnsi="Palatino Linotype"/>
          <w:i/>
          <w:sz w:val="22"/>
          <w:szCs w:val="22"/>
        </w:rPr>
        <w:t xml:space="preserve">VIII. Fiscalías Regionales; </w:t>
      </w:r>
    </w:p>
    <w:p w14:paraId="0490B3C0" w14:textId="77777777" w:rsidR="009B43E7" w:rsidRDefault="00A2547F" w:rsidP="00E256F1">
      <w:pPr>
        <w:pStyle w:val="j"/>
        <w:shd w:val="clear" w:color="auto" w:fill="FFFFFF"/>
        <w:spacing w:line="360" w:lineRule="auto"/>
        <w:ind w:left="567" w:right="567"/>
        <w:contextualSpacing/>
        <w:jc w:val="both"/>
        <w:textAlignment w:val="baseline"/>
        <w:rPr>
          <w:rFonts w:ascii="Palatino Linotype" w:hAnsi="Palatino Linotype"/>
          <w:i/>
          <w:sz w:val="22"/>
          <w:szCs w:val="22"/>
        </w:rPr>
      </w:pPr>
      <w:r w:rsidRPr="009B43E7">
        <w:rPr>
          <w:rFonts w:ascii="Palatino Linotype" w:hAnsi="Palatino Linotype"/>
          <w:i/>
          <w:sz w:val="22"/>
          <w:szCs w:val="22"/>
        </w:rPr>
        <w:t xml:space="preserve">IX. Fiscalías Especializadas; </w:t>
      </w:r>
    </w:p>
    <w:p w14:paraId="19E28B98" w14:textId="77777777" w:rsidR="009B43E7" w:rsidRDefault="00A2547F" w:rsidP="00E256F1">
      <w:pPr>
        <w:pStyle w:val="j"/>
        <w:shd w:val="clear" w:color="auto" w:fill="FFFFFF"/>
        <w:spacing w:line="360" w:lineRule="auto"/>
        <w:ind w:left="567" w:right="567"/>
        <w:contextualSpacing/>
        <w:jc w:val="both"/>
        <w:textAlignment w:val="baseline"/>
        <w:rPr>
          <w:rFonts w:ascii="Palatino Linotype" w:hAnsi="Palatino Linotype"/>
          <w:i/>
          <w:sz w:val="22"/>
          <w:szCs w:val="22"/>
        </w:rPr>
      </w:pPr>
      <w:r w:rsidRPr="009B43E7">
        <w:rPr>
          <w:rFonts w:ascii="Palatino Linotype" w:hAnsi="Palatino Linotype"/>
          <w:i/>
          <w:sz w:val="22"/>
          <w:szCs w:val="22"/>
        </w:rPr>
        <w:t xml:space="preserve">X. Fiscalía de Asuntos Especiales </w:t>
      </w:r>
    </w:p>
    <w:p w14:paraId="08032108" w14:textId="77777777" w:rsidR="009B43E7" w:rsidRDefault="00A2547F" w:rsidP="00E256F1">
      <w:pPr>
        <w:pStyle w:val="j"/>
        <w:shd w:val="clear" w:color="auto" w:fill="FFFFFF"/>
        <w:spacing w:line="360" w:lineRule="auto"/>
        <w:ind w:left="567" w:right="567"/>
        <w:contextualSpacing/>
        <w:jc w:val="both"/>
        <w:textAlignment w:val="baseline"/>
        <w:rPr>
          <w:rFonts w:ascii="Palatino Linotype" w:hAnsi="Palatino Linotype"/>
          <w:i/>
          <w:sz w:val="22"/>
          <w:szCs w:val="22"/>
        </w:rPr>
      </w:pPr>
      <w:r w:rsidRPr="009B43E7">
        <w:rPr>
          <w:rFonts w:ascii="Palatino Linotype" w:hAnsi="Palatino Linotype"/>
          <w:i/>
          <w:sz w:val="22"/>
          <w:szCs w:val="22"/>
        </w:rPr>
        <w:lastRenderedPageBreak/>
        <w:t xml:space="preserve">XI. Dirección General de Análisis; </w:t>
      </w:r>
    </w:p>
    <w:p w14:paraId="39460AF4" w14:textId="77777777" w:rsidR="009B43E7" w:rsidRDefault="00A2547F" w:rsidP="00E256F1">
      <w:pPr>
        <w:pStyle w:val="j"/>
        <w:shd w:val="clear" w:color="auto" w:fill="FFFFFF"/>
        <w:spacing w:line="360" w:lineRule="auto"/>
        <w:ind w:left="567" w:right="567"/>
        <w:contextualSpacing/>
        <w:jc w:val="both"/>
        <w:textAlignment w:val="baseline"/>
        <w:rPr>
          <w:rFonts w:ascii="Palatino Linotype" w:hAnsi="Palatino Linotype"/>
          <w:i/>
          <w:sz w:val="22"/>
          <w:szCs w:val="22"/>
        </w:rPr>
      </w:pPr>
      <w:r w:rsidRPr="009B43E7">
        <w:rPr>
          <w:rFonts w:ascii="Palatino Linotype" w:hAnsi="Palatino Linotype"/>
          <w:i/>
          <w:sz w:val="22"/>
          <w:szCs w:val="22"/>
        </w:rPr>
        <w:t xml:space="preserve">XII. Dirección General de Investigación; </w:t>
      </w:r>
    </w:p>
    <w:p w14:paraId="74C16144" w14:textId="77777777" w:rsidR="009B43E7" w:rsidRDefault="00A2547F" w:rsidP="00E256F1">
      <w:pPr>
        <w:pStyle w:val="j"/>
        <w:shd w:val="clear" w:color="auto" w:fill="FFFFFF"/>
        <w:spacing w:line="360" w:lineRule="auto"/>
        <w:ind w:left="567" w:right="567"/>
        <w:contextualSpacing/>
        <w:jc w:val="both"/>
        <w:textAlignment w:val="baseline"/>
        <w:rPr>
          <w:rFonts w:ascii="Palatino Linotype" w:hAnsi="Palatino Linotype"/>
          <w:i/>
          <w:sz w:val="22"/>
          <w:szCs w:val="22"/>
        </w:rPr>
      </w:pPr>
      <w:r w:rsidRPr="009B43E7">
        <w:rPr>
          <w:rFonts w:ascii="Palatino Linotype" w:hAnsi="Palatino Linotype"/>
          <w:i/>
          <w:sz w:val="22"/>
          <w:szCs w:val="22"/>
        </w:rPr>
        <w:t xml:space="preserve">XIII. Dirección General de Litigación; </w:t>
      </w:r>
    </w:p>
    <w:p w14:paraId="3395AA60" w14:textId="77777777" w:rsidR="009B43E7" w:rsidRDefault="00A2547F" w:rsidP="00E256F1">
      <w:pPr>
        <w:pStyle w:val="j"/>
        <w:shd w:val="clear" w:color="auto" w:fill="FFFFFF"/>
        <w:spacing w:line="360" w:lineRule="auto"/>
        <w:ind w:left="567" w:right="567"/>
        <w:contextualSpacing/>
        <w:jc w:val="both"/>
        <w:textAlignment w:val="baseline"/>
        <w:rPr>
          <w:rFonts w:ascii="Palatino Linotype" w:hAnsi="Palatino Linotype"/>
          <w:i/>
          <w:sz w:val="22"/>
          <w:szCs w:val="22"/>
        </w:rPr>
      </w:pPr>
      <w:r w:rsidRPr="009B43E7">
        <w:rPr>
          <w:rFonts w:ascii="Palatino Linotype" w:hAnsi="Palatino Linotype"/>
          <w:i/>
          <w:sz w:val="22"/>
          <w:szCs w:val="22"/>
        </w:rPr>
        <w:t xml:space="preserve">XIV. Dirección General Jurídica y Consultiva; </w:t>
      </w:r>
    </w:p>
    <w:p w14:paraId="4FF75252" w14:textId="77777777" w:rsidR="009B43E7" w:rsidRDefault="00A2547F" w:rsidP="00E256F1">
      <w:pPr>
        <w:pStyle w:val="j"/>
        <w:shd w:val="clear" w:color="auto" w:fill="FFFFFF"/>
        <w:spacing w:line="360" w:lineRule="auto"/>
        <w:ind w:left="567" w:right="567"/>
        <w:contextualSpacing/>
        <w:jc w:val="both"/>
        <w:textAlignment w:val="baseline"/>
        <w:rPr>
          <w:rFonts w:ascii="Palatino Linotype" w:hAnsi="Palatino Linotype"/>
          <w:i/>
          <w:sz w:val="22"/>
          <w:szCs w:val="22"/>
        </w:rPr>
      </w:pPr>
      <w:r w:rsidRPr="009B43E7">
        <w:rPr>
          <w:rFonts w:ascii="Palatino Linotype" w:hAnsi="Palatino Linotype"/>
          <w:i/>
          <w:sz w:val="22"/>
          <w:szCs w:val="22"/>
        </w:rPr>
        <w:t xml:space="preserve">XV. Dirección General de Visitaduría; </w:t>
      </w:r>
    </w:p>
    <w:p w14:paraId="3F2354CA" w14:textId="77777777" w:rsidR="009B43E7" w:rsidRDefault="00A2547F" w:rsidP="00E256F1">
      <w:pPr>
        <w:pStyle w:val="j"/>
        <w:shd w:val="clear" w:color="auto" w:fill="FFFFFF"/>
        <w:spacing w:line="360" w:lineRule="auto"/>
        <w:ind w:left="567" w:right="567"/>
        <w:contextualSpacing/>
        <w:jc w:val="both"/>
        <w:textAlignment w:val="baseline"/>
        <w:rPr>
          <w:rFonts w:ascii="Palatino Linotype" w:hAnsi="Palatino Linotype"/>
          <w:i/>
          <w:sz w:val="22"/>
          <w:szCs w:val="22"/>
        </w:rPr>
      </w:pPr>
      <w:r w:rsidRPr="009B43E7">
        <w:rPr>
          <w:rFonts w:ascii="Palatino Linotype" w:hAnsi="Palatino Linotype"/>
          <w:i/>
          <w:sz w:val="22"/>
          <w:szCs w:val="22"/>
        </w:rPr>
        <w:t xml:space="preserve">XVI. Dirección General de Información, Planeación, Programación y Evaluación; </w:t>
      </w:r>
    </w:p>
    <w:p w14:paraId="30ADDAD3" w14:textId="77777777" w:rsidR="009B43E7" w:rsidRDefault="00A2547F" w:rsidP="00E256F1">
      <w:pPr>
        <w:pStyle w:val="j"/>
        <w:shd w:val="clear" w:color="auto" w:fill="FFFFFF"/>
        <w:spacing w:line="360" w:lineRule="auto"/>
        <w:ind w:left="567" w:right="567"/>
        <w:contextualSpacing/>
        <w:jc w:val="both"/>
        <w:textAlignment w:val="baseline"/>
        <w:rPr>
          <w:rFonts w:ascii="Palatino Linotype" w:hAnsi="Palatino Linotype"/>
          <w:i/>
          <w:sz w:val="22"/>
          <w:szCs w:val="22"/>
        </w:rPr>
      </w:pPr>
      <w:r w:rsidRPr="009B43E7">
        <w:rPr>
          <w:rFonts w:ascii="Palatino Linotype" w:hAnsi="Palatino Linotype"/>
          <w:i/>
          <w:sz w:val="22"/>
          <w:szCs w:val="22"/>
        </w:rPr>
        <w:t xml:space="preserve">XVII. Dirección General de Administración; </w:t>
      </w:r>
    </w:p>
    <w:p w14:paraId="4B1C65DF" w14:textId="77777777" w:rsidR="009B43E7" w:rsidRDefault="00A2547F" w:rsidP="00E256F1">
      <w:pPr>
        <w:pStyle w:val="j"/>
        <w:shd w:val="clear" w:color="auto" w:fill="FFFFFF"/>
        <w:spacing w:line="360" w:lineRule="auto"/>
        <w:ind w:left="567" w:right="567"/>
        <w:contextualSpacing/>
        <w:jc w:val="both"/>
        <w:textAlignment w:val="baseline"/>
        <w:rPr>
          <w:rFonts w:ascii="Palatino Linotype" w:hAnsi="Palatino Linotype"/>
          <w:i/>
          <w:sz w:val="22"/>
          <w:szCs w:val="22"/>
        </w:rPr>
      </w:pPr>
      <w:r w:rsidRPr="009B43E7">
        <w:rPr>
          <w:rFonts w:ascii="Palatino Linotype" w:hAnsi="Palatino Linotype"/>
          <w:i/>
          <w:sz w:val="22"/>
          <w:szCs w:val="22"/>
        </w:rPr>
        <w:t xml:space="preserve">XVIII. Dirección General de Enlace Interinstitucional; </w:t>
      </w:r>
    </w:p>
    <w:p w14:paraId="21D13650" w14:textId="77777777" w:rsidR="009B43E7" w:rsidRDefault="00A2547F" w:rsidP="00E256F1">
      <w:pPr>
        <w:pStyle w:val="j"/>
        <w:shd w:val="clear" w:color="auto" w:fill="FFFFFF"/>
        <w:spacing w:line="360" w:lineRule="auto"/>
        <w:ind w:left="567" w:right="567"/>
        <w:contextualSpacing/>
        <w:jc w:val="both"/>
        <w:textAlignment w:val="baseline"/>
        <w:rPr>
          <w:rFonts w:ascii="Palatino Linotype" w:hAnsi="Palatino Linotype"/>
          <w:i/>
          <w:sz w:val="22"/>
          <w:szCs w:val="22"/>
        </w:rPr>
      </w:pPr>
      <w:r w:rsidRPr="009B43E7">
        <w:rPr>
          <w:rFonts w:ascii="Palatino Linotype" w:hAnsi="Palatino Linotype"/>
          <w:i/>
          <w:sz w:val="22"/>
          <w:szCs w:val="22"/>
        </w:rPr>
        <w:t xml:space="preserve">XIX. Coordinación de Vinculación; </w:t>
      </w:r>
    </w:p>
    <w:p w14:paraId="6B072288" w14:textId="77777777" w:rsidR="009B43E7" w:rsidRDefault="00A2547F" w:rsidP="00E256F1">
      <w:pPr>
        <w:pStyle w:val="j"/>
        <w:shd w:val="clear" w:color="auto" w:fill="FFFFFF"/>
        <w:spacing w:line="360" w:lineRule="auto"/>
        <w:ind w:left="567" w:right="567"/>
        <w:contextualSpacing/>
        <w:jc w:val="both"/>
        <w:textAlignment w:val="baseline"/>
        <w:rPr>
          <w:rFonts w:ascii="Palatino Linotype" w:hAnsi="Palatino Linotype"/>
          <w:i/>
          <w:sz w:val="22"/>
          <w:szCs w:val="22"/>
        </w:rPr>
      </w:pPr>
      <w:r w:rsidRPr="009B43E7">
        <w:rPr>
          <w:rFonts w:ascii="Palatino Linotype" w:hAnsi="Palatino Linotype"/>
          <w:i/>
          <w:sz w:val="22"/>
          <w:szCs w:val="22"/>
        </w:rPr>
        <w:t xml:space="preserve">XX. Unidad de Derechos Humanos; </w:t>
      </w:r>
    </w:p>
    <w:p w14:paraId="15472275" w14:textId="77777777" w:rsidR="009B43E7" w:rsidRDefault="00A2547F" w:rsidP="00E256F1">
      <w:pPr>
        <w:pStyle w:val="j"/>
        <w:shd w:val="clear" w:color="auto" w:fill="FFFFFF"/>
        <w:spacing w:line="360" w:lineRule="auto"/>
        <w:ind w:left="567" w:right="567"/>
        <w:contextualSpacing/>
        <w:jc w:val="both"/>
        <w:textAlignment w:val="baseline"/>
        <w:rPr>
          <w:rFonts w:ascii="Palatino Linotype" w:hAnsi="Palatino Linotype"/>
          <w:i/>
          <w:sz w:val="22"/>
          <w:szCs w:val="22"/>
        </w:rPr>
      </w:pPr>
      <w:r w:rsidRPr="009B43E7">
        <w:rPr>
          <w:rFonts w:ascii="Palatino Linotype" w:hAnsi="Palatino Linotype"/>
          <w:i/>
          <w:sz w:val="22"/>
          <w:szCs w:val="22"/>
        </w:rPr>
        <w:t xml:space="preserve">XXI. Contraloría Interna, y </w:t>
      </w:r>
    </w:p>
    <w:p w14:paraId="090EADEB" w14:textId="77777777" w:rsidR="009B43E7" w:rsidRDefault="00A2547F" w:rsidP="00E256F1">
      <w:pPr>
        <w:pStyle w:val="j"/>
        <w:shd w:val="clear" w:color="auto" w:fill="FFFFFF"/>
        <w:spacing w:line="360" w:lineRule="auto"/>
        <w:ind w:left="567" w:right="567"/>
        <w:contextualSpacing/>
        <w:jc w:val="both"/>
        <w:textAlignment w:val="baseline"/>
        <w:rPr>
          <w:rFonts w:ascii="Palatino Linotype" w:hAnsi="Palatino Linotype"/>
          <w:i/>
          <w:sz w:val="22"/>
          <w:szCs w:val="22"/>
        </w:rPr>
      </w:pPr>
      <w:r w:rsidRPr="009B43E7">
        <w:rPr>
          <w:rFonts w:ascii="Palatino Linotype" w:hAnsi="Palatino Linotype"/>
          <w:i/>
          <w:sz w:val="22"/>
          <w:szCs w:val="22"/>
        </w:rPr>
        <w:t xml:space="preserve">XXII. Las demás unidades administrativas que establezcan las disposiciones administrativas y presupuestarias aplicables, así como el Manual General de Organización de la Procuraduría. </w:t>
      </w:r>
    </w:p>
    <w:p w14:paraId="1FBAF48C" w14:textId="77777777" w:rsidR="009B43E7" w:rsidRPr="009B43E7" w:rsidRDefault="00A2547F" w:rsidP="00E256F1">
      <w:pPr>
        <w:pStyle w:val="j"/>
        <w:shd w:val="clear" w:color="auto" w:fill="FFFFFF"/>
        <w:spacing w:line="360" w:lineRule="auto"/>
        <w:ind w:left="567" w:right="567"/>
        <w:contextualSpacing/>
        <w:jc w:val="both"/>
        <w:textAlignment w:val="baseline"/>
        <w:rPr>
          <w:rFonts w:ascii="Palatino Linotype" w:hAnsi="Palatino Linotype"/>
          <w:b/>
          <w:i/>
          <w:sz w:val="22"/>
          <w:szCs w:val="22"/>
          <w:u w:val="single"/>
        </w:rPr>
      </w:pPr>
      <w:r w:rsidRPr="009B43E7">
        <w:rPr>
          <w:rFonts w:ascii="Palatino Linotype" w:hAnsi="Palatino Linotype"/>
          <w:b/>
          <w:i/>
          <w:sz w:val="22"/>
          <w:szCs w:val="22"/>
          <w:u w:val="single"/>
        </w:rPr>
        <w:t xml:space="preserve">La Procuraduría se auxiliará de los coordinadores, directores de área, subdirectores, jefes de departamento y demás servidores públicos necesarios para el cumplimiento de sus atribuciones, de acuerdo con el presupuesto, estructura orgánica y normatividad aplicables. </w:t>
      </w:r>
    </w:p>
    <w:p w14:paraId="73900DF8" w14:textId="77777777" w:rsidR="009B43E7" w:rsidRDefault="00A2547F" w:rsidP="00E256F1">
      <w:pPr>
        <w:pStyle w:val="j"/>
        <w:shd w:val="clear" w:color="auto" w:fill="FFFFFF"/>
        <w:spacing w:line="360" w:lineRule="auto"/>
        <w:ind w:left="567" w:right="567"/>
        <w:contextualSpacing/>
        <w:jc w:val="both"/>
        <w:textAlignment w:val="baseline"/>
        <w:rPr>
          <w:rFonts w:ascii="Palatino Linotype" w:hAnsi="Palatino Linotype"/>
          <w:i/>
          <w:sz w:val="22"/>
          <w:szCs w:val="22"/>
        </w:rPr>
      </w:pPr>
      <w:r w:rsidRPr="009B43E7">
        <w:rPr>
          <w:rFonts w:ascii="Palatino Linotype" w:hAnsi="Palatino Linotype"/>
          <w:i/>
          <w:sz w:val="22"/>
          <w:szCs w:val="22"/>
        </w:rPr>
        <w:t xml:space="preserve">El Procurador, con base en sus atribuciones, determinará las modificaciones sobre el funcionamiento y organización de la Procuraduría, la adscripción de sus áreas y unidades administrativas, sus órganos desconcentrados y sus órganos sustantivos y técnicos, que propicien el mejoramiento y solventen los requerimientos del servicio. </w:t>
      </w:r>
    </w:p>
    <w:p w14:paraId="36C511D8" w14:textId="77777777" w:rsidR="009B43E7" w:rsidRDefault="00A2547F" w:rsidP="00E256F1">
      <w:pPr>
        <w:pStyle w:val="j"/>
        <w:shd w:val="clear" w:color="auto" w:fill="FFFFFF"/>
        <w:spacing w:line="360" w:lineRule="auto"/>
        <w:ind w:left="567" w:right="567"/>
        <w:contextualSpacing/>
        <w:jc w:val="both"/>
        <w:textAlignment w:val="baseline"/>
        <w:rPr>
          <w:rFonts w:ascii="Palatino Linotype" w:hAnsi="Palatino Linotype"/>
          <w:i/>
          <w:sz w:val="22"/>
          <w:szCs w:val="22"/>
        </w:rPr>
      </w:pPr>
      <w:r w:rsidRPr="009B43E7">
        <w:rPr>
          <w:rFonts w:ascii="Palatino Linotype" w:hAnsi="Palatino Linotype"/>
          <w:i/>
          <w:sz w:val="22"/>
          <w:szCs w:val="22"/>
        </w:rPr>
        <w:t xml:space="preserve">El Procurador podrá fijar, determinar, establecer o delegar facultades a los servidores públicos subalternos, según sea el caso, mediante disposiciones de carácter general o especial, sin perder por ello la posibilidad de su ejercicio directo. </w:t>
      </w:r>
    </w:p>
    <w:p w14:paraId="337EC99B" w14:textId="291A382E" w:rsidR="00A2547F" w:rsidRDefault="00A2547F" w:rsidP="00E256F1">
      <w:pPr>
        <w:pStyle w:val="j"/>
        <w:shd w:val="clear" w:color="auto" w:fill="FFFFFF"/>
        <w:spacing w:line="360" w:lineRule="auto"/>
        <w:ind w:left="567" w:right="567"/>
        <w:contextualSpacing/>
        <w:jc w:val="both"/>
        <w:textAlignment w:val="baseline"/>
        <w:rPr>
          <w:rFonts w:ascii="Palatino Linotype" w:hAnsi="Palatino Linotype"/>
          <w:i/>
          <w:sz w:val="22"/>
          <w:szCs w:val="22"/>
        </w:rPr>
      </w:pPr>
      <w:r w:rsidRPr="009B43E7">
        <w:rPr>
          <w:rFonts w:ascii="Palatino Linotype" w:hAnsi="Palatino Linotype"/>
          <w:i/>
          <w:sz w:val="22"/>
          <w:szCs w:val="22"/>
        </w:rPr>
        <w:t xml:space="preserve">El Procurador podrá expedir acuerdos, circulares, oficios, instructivos, manuales de organización, de procedimientos y de servicios al público y demás ordenamientos e </w:t>
      </w:r>
      <w:r w:rsidRPr="009B43E7">
        <w:rPr>
          <w:rFonts w:ascii="Palatino Linotype" w:hAnsi="Palatino Linotype"/>
          <w:i/>
          <w:sz w:val="22"/>
          <w:szCs w:val="22"/>
        </w:rPr>
        <w:lastRenderedPageBreak/>
        <w:t>instrumentos normativos de índole competencial y de establecimient</w:t>
      </w:r>
      <w:r w:rsidR="009B43E7">
        <w:rPr>
          <w:rFonts w:ascii="Palatino Linotype" w:hAnsi="Palatino Linotype"/>
          <w:i/>
          <w:sz w:val="22"/>
          <w:szCs w:val="22"/>
        </w:rPr>
        <w:t>o de obligaciones y facultades</w:t>
      </w:r>
      <w:r w:rsidR="009B43E7" w:rsidRPr="009B43E7">
        <w:t xml:space="preserve"> </w:t>
      </w:r>
      <w:r w:rsidR="009B43E7" w:rsidRPr="009B43E7">
        <w:rPr>
          <w:rFonts w:ascii="Palatino Linotype" w:hAnsi="Palatino Linotype"/>
          <w:i/>
          <w:sz w:val="22"/>
          <w:szCs w:val="22"/>
        </w:rPr>
        <w:t>necesarias para el mejor funcionamiento de la Procuraduría y, en su caso, ordenar su publicación.</w:t>
      </w:r>
    </w:p>
    <w:p w14:paraId="1567DCAC" w14:textId="77777777" w:rsidR="00BF02F7" w:rsidRPr="00BF02F7" w:rsidRDefault="00BF02F7" w:rsidP="00BF02F7">
      <w:pPr>
        <w:pStyle w:val="j"/>
        <w:shd w:val="clear" w:color="auto" w:fill="FFFFFF"/>
        <w:spacing w:before="0" w:after="0" w:line="360" w:lineRule="auto"/>
        <w:jc w:val="both"/>
        <w:textAlignment w:val="baseline"/>
        <w:rPr>
          <w:rFonts w:ascii="Palatino Linotype" w:hAnsi="Palatino Linotype"/>
          <w:color w:val="000000" w:themeColor="text1"/>
          <w:szCs w:val="20"/>
        </w:rPr>
      </w:pPr>
    </w:p>
    <w:p w14:paraId="4232F184" w14:textId="6F6C2F64" w:rsidR="00BF02F7" w:rsidRDefault="00BF02F7" w:rsidP="00BF02F7">
      <w:pPr>
        <w:pStyle w:val="Prrafodelista"/>
        <w:numPr>
          <w:ilvl w:val="0"/>
          <w:numId w:val="1"/>
        </w:numPr>
        <w:spacing w:before="240" w:after="240" w:line="360" w:lineRule="auto"/>
        <w:ind w:left="0" w:right="51" w:firstLine="0"/>
        <w:jc w:val="both"/>
        <w:rPr>
          <w:rFonts w:ascii="Palatino Linotype" w:hAnsi="Palatino Linotype"/>
        </w:rPr>
      </w:pPr>
      <w:r w:rsidRPr="006F474C">
        <w:rPr>
          <w:rFonts w:ascii="Palatino Linotype" w:hAnsi="Palatino Linotype"/>
        </w:rPr>
        <w:t xml:space="preserve">En este sentido, se </w:t>
      </w:r>
      <w:r w:rsidR="00677899">
        <w:rPr>
          <w:rFonts w:ascii="Palatino Linotype" w:hAnsi="Palatino Linotype"/>
        </w:rPr>
        <w:t>tiene la convicción de</w:t>
      </w:r>
      <w:r w:rsidRPr="006F474C">
        <w:rPr>
          <w:rFonts w:ascii="Palatino Linotype" w:hAnsi="Palatino Linotype"/>
        </w:rPr>
        <w:t xml:space="preserve"> que el </w:t>
      </w:r>
      <w:r w:rsidRPr="006F474C">
        <w:rPr>
          <w:rFonts w:ascii="Palatino Linotype" w:hAnsi="Palatino Linotype"/>
          <w:b/>
        </w:rPr>
        <w:t>SUJETO OBLIGADO</w:t>
      </w:r>
      <w:r w:rsidRPr="006F474C">
        <w:rPr>
          <w:rFonts w:ascii="Palatino Linotype" w:hAnsi="Palatino Linotype"/>
        </w:rPr>
        <w:t xml:space="preserve"> </w:t>
      </w:r>
      <w:r w:rsidR="00677899">
        <w:rPr>
          <w:rFonts w:ascii="Palatino Linotype" w:hAnsi="Palatino Linotype"/>
        </w:rPr>
        <w:t xml:space="preserve">indubitablemente </w:t>
      </w:r>
      <w:r w:rsidRPr="006F474C">
        <w:rPr>
          <w:rFonts w:ascii="Palatino Linotype" w:hAnsi="Palatino Linotype"/>
        </w:rPr>
        <w:t>cuenta con la</w:t>
      </w:r>
      <w:r>
        <w:rPr>
          <w:rFonts w:ascii="Palatino Linotype" w:hAnsi="Palatino Linotype"/>
        </w:rPr>
        <w:t>s atribuciones suficientes para</w:t>
      </w:r>
      <w:r w:rsidRPr="006F474C">
        <w:rPr>
          <w:rFonts w:ascii="Palatino Linotype" w:hAnsi="Palatino Linotype"/>
        </w:rPr>
        <w:t xml:space="preserve"> que en el ejercicio de las mismas hubiere generado los documentos mediante los cuales el derecho de acceso a la información de la parte recurrente pueda atenderse, concretamente mediante </w:t>
      </w:r>
      <w:r>
        <w:rPr>
          <w:rFonts w:ascii="Palatino Linotype" w:hAnsi="Palatino Linotype"/>
        </w:rPr>
        <w:t>la nómina</w:t>
      </w:r>
      <w:r w:rsidR="001406EA">
        <w:rPr>
          <w:rFonts w:ascii="Palatino Linotype" w:hAnsi="Palatino Linotype"/>
        </w:rPr>
        <w:t xml:space="preserve"> detallada</w:t>
      </w:r>
      <w:r w:rsidRPr="006F474C">
        <w:rPr>
          <w:rFonts w:ascii="Palatino Linotype" w:hAnsi="Palatino Linotype"/>
        </w:rPr>
        <w:t>, que debe generar como parte del cumplimiento de sus obligaciones fiscales.</w:t>
      </w:r>
    </w:p>
    <w:p w14:paraId="5A1BD553" w14:textId="77777777" w:rsidR="00677899" w:rsidRDefault="00677899" w:rsidP="00677899">
      <w:pPr>
        <w:pStyle w:val="Prrafodelista"/>
        <w:spacing w:before="240" w:after="240" w:line="360" w:lineRule="auto"/>
        <w:ind w:left="0" w:right="51"/>
        <w:jc w:val="both"/>
        <w:rPr>
          <w:rFonts w:ascii="Palatino Linotype" w:hAnsi="Palatino Linotype"/>
        </w:rPr>
      </w:pPr>
    </w:p>
    <w:p w14:paraId="504E38FA" w14:textId="614E8C17" w:rsidR="00BF02F7" w:rsidRPr="001406EA" w:rsidRDefault="007906DD" w:rsidP="001406EA">
      <w:pPr>
        <w:pStyle w:val="Prrafodelista"/>
        <w:numPr>
          <w:ilvl w:val="0"/>
          <w:numId w:val="1"/>
        </w:numPr>
        <w:spacing w:before="240" w:after="240" w:line="360" w:lineRule="auto"/>
        <w:ind w:left="0" w:right="51" w:firstLine="0"/>
        <w:jc w:val="both"/>
        <w:rPr>
          <w:rFonts w:ascii="Palatino Linotype" w:hAnsi="Palatino Linotype"/>
        </w:rPr>
      </w:pPr>
      <w:r w:rsidRPr="00677899">
        <w:rPr>
          <w:rFonts w:ascii="Palatino Linotype" w:hAnsi="Palatino Linotype"/>
          <w:lang w:val="es-MX" w:eastAsia="en-US"/>
        </w:rPr>
        <w:t xml:space="preserve">No se debe perder de vista </w:t>
      </w:r>
      <w:r w:rsidR="00677899" w:rsidRPr="00677899">
        <w:rPr>
          <w:rFonts w:ascii="Palatino Linotype" w:hAnsi="Palatino Linotype"/>
          <w:lang w:val="es-MX" w:eastAsia="en-US"/>
        </w:rPr>
        <w:t xml:space="preserve">que </w:t>
      </w:r>
      <w:r w:rsidR="00677899" w:rsidRPr="00677899">
        <w:rPr>
          <w:rFonts w:ascii="Palatino Linotype" w:hAnsi="Palatino Linotype"/>
          <w:lang w:eastAsia="en-US"/>
        </w:rPr>
        <w:t xml:space="preserve">el SUJETO OBLIGADO </w:t>
      </w:r>
      <w:r w:rsidR="00677899" w:rsidRPr="00677899">
        <w:rPr>
          <w:rFonts w:ascii="Palatino Linotype" w:hAnsi="Palatino Linotype"/>
          <w:lang w:val="es-MX" w:eastAsia="en-US"/>
        </w:rPr>
        <w:t>argumenta que</w:t>
      </w:r>
      <w:r w:rsidRPr="00677899">
        <w:rPr>
          <w:rFonts w:ascii="Palatino Linotype" w:hAnsi="Palatino Linotype"/>
          <w:lang w:val="es-MX" w:eastAsia="en-US"/>
        </w:rPr>
        <w:t xml:space="preserve"> </w:t>
      </w:r>
      <w:r w:rsidR="00677899">
        <w:rPr>
          <w:rFonts w:ascii="Palatino Linotype" w:hAnsi="Palatino Linotype"/>
          <w:i/>
        </w:rPr>
        <w:t>“</w:t>
      </w:r>
      <w:r w:rsidR="00677899" w:rsidRPr="00E060DD">
        <w:rPr>
          <w:rFonts w:ascii="Palatino Linotype" w:hAnsi="Palatino Linotype"/>
          <w:i/>
        </w:rPr>
        <w:t xml:space="preserve">en virtud de que esta Fiscalía General de Justicia del Estado de México, </w:t>
      </w:r>
      <w:r w:rsidR="00677899" w:rsidRPr="00677899">
        <w:rPr>
          <w:rFonts w:ascii="Palatino Linotype" w:hAnsi="Palatino Linotype"/>
          <w:b/>
          <w:i/>
          <w:u w:val="single"/>
        </w:rPr>
        <w:t>aún se encuentra en etapa de transición</w:t>
      </w:r>
      <w:r w:rsidR="00677899" w:rsidRPr="00E060DD">
        <w:rPr>
          <w:rFonts w:ascii="Palatino Linotype" w:hAnsi="Palatino Linotype"/>
          <w:i/>
        </w:rPr>
        <w:t xml:space="preserve"> y el tema de pagos de sueldos de sus servidores públicos lo sigue realizando dicha Secretaría</w:t>
      </w:r>
      <w:r w:rsidR="00677899">
        <w:rPr>
          <w:rFonts w:ascii="Palatino Linotype" w:hAnsi="Palatino Linotype"/>
          <w:i/>
        </w:rPr>
        <w:t xml:space="preserve">”, </w:t>
      </w:r>
      <w:r w:rsidR="00677899" w:rsidRPr="00BA1BA2">
        <w:rPr>
          <w:rFonts w:ascii="Palatino Linotype" w:hAnsi="Palatino Linotype"/>
        </w:rPr>
        <w:t xml:space="preserve">en ese contexto </w:t>
      </w:r>
      <w:r w:rsidR="00677899" w:rsidRPr="00BA1BA2">
        <w:rPr>
          <w:rFonts w:ascii="Palatino Linotype" w:hAnsi="Palatino Linotype"/>
          <w:lang w:val="es-MX" w:eastAsia="en-US"/>
        </w:rPr>
        <w:t>es menester destacar que la denominación</w:t>
      </w:r>
      <w:r w:rsidR="00677899" w:rsidRPr="00677899">
        <w:rPr>
          <w:rFonts w:ascii="Palatino Linotype" w:hAnsi="Palatino Linotype"/>
          <w:lang w:val="es-MX" w:eastAsia="en-US"/>
        </w:rPr>
        <w:t xml:space="preserve"> de la Procuraduría General de Justicia fue reformado a Fiscalía General de Justicia del Estado de México mediante el artículo OCTAVO transitorio del Decreto Número 167 por el que se expide la Ley de la Fiscalía General de Justicia del Estado de México y se emite la Declaratoria de la entrada en vigor de la Autonomía Constitucional de la Fiscalía General de Justicia del Estado de México publicado en el Periódico Oficial del Gobierno del Estado de México publicada en la “Gaceta del Gobierno” en fecha </w:t>
      </w:r>
      <w:r w:rsidR="00677899" w:rsidRPr="00BA1BA2">
        <w:rPr>
          <w:rFonts w:ascii="Palatino Linotype" w:hAnsi="Palatino Linotype"/>
          <w:b/>
          <w:u w:val="single"/>
          <w:lang w:val="es-MX" w:eastAsia="en-US"/>
        </w:rPr>
        <w:t>nueve de diciembre de dos mil dieciséis</w:t>
      </w:r>
      <w:r w:rsidR="00BA1BA2">
        <w:rPr>
          <w:rFonts w:ascii="Palatino Linotype" w:hAnsi="Palatino Linotype"/>
          <w:lang w:val="es-MX" w:eastAsia="en-US"/>
        </w:rPr>
        <w:t xml:space="preserve">, y toda vez que ya transcurrieron tres años cabe hacer unas cuestiones ¿Aún se encuentran en transición? ¿Hasta cuándo se convertirán entonces en un órgano </w:t>
      </w:r>
      <w:r w:rsidR="00BA1BA2">
        <w:rPr>
          <w:rFonts w:ascii="Palatino Linotype" w:hAnsi="Palatino Linotype"/>
          <w:lang w:val="es-MX" w:eastAsia="en-US"/>
        </w:rPr>
        <w:lastRenderedPageBreak/>
        <w:t>Autónomo como lo mandata la Ley? ¿Se están violando Leyes laborales?</w:t>
      </w:r>
      <w:r w:rsidR="001406EA">
        <w:rPr>
          <w:rFonts w:ascii="Palatino Linotype" w:hAnsi="Palatino Linotype"/>
          <w:lang w:val="es-MX" w:eastAsia="en-US"/>
        </w:rPr>
        <w:t xml:space="preserve"> O ¿Solo fue que no se realizó una búsqueda exhaustiva y razonable en sus archivos?</w:t>
      </w:r>
    </w:p>
    <w:p w14:paraId="784C57C6" w14:textId="075D2099" w:rsidR="007906DD" w:rsidRPr="001406EA" w:rsidRDefault="00BF02F7" w:rsidP="00D33747">
      <w:pPr>
        <w:pStyle w:val="j"/>
        <w:numPr>
          <w:ilvl w:val="0"/>
          <w:numId w:val="1"/>
        </w:numPr>
        <w:shd w:val="clear" w:color="auto" w:fill="FFFFFF"/>
        <w:spacing w:line="360" w:lineRule="auto"/>
        <w:ind w:left="0" w:firstLine="0"/>
        <w:contextualSpacing/>
        <w:jc w:val="both"/>
        <w:textAlignment w:val="baseline"/>
        <w:rPr>
          <w:rFonts w:ascii="Palatino Linotype" w:hAnsi="Palatino Linotype"/>
          <w:color w:val="000000" w:themeColor="text1"/>
          <w:szCs w:val="20"/>
        </w:rPr>
      </w:pPr>
      <w:r>
        <w:rPr>
          <w:rFonts w:ascii="Palatino Linotype" w:hAnsi="Palatino Linotype"/>
          <w:lang w:eastAsia="en-US"/>
        </w:rPr>
        <w:t xml:space="preserve">Ante ello </w:t>
      </w:r>
      <w:r w:rsidR="007906DD" w:rsidRPr="00BF02F7">
        <w:rPr>
          <w:rFonts w:ascii="Palatino Linotype" w:hAnsi="Palatino Linotype"/>
          <w:lang w:eastAsia="en-US"/>
        </w:rPr>
        <w:t xml:space="preserve">resulta necesario </w:t>
      </w:r>
      <w:r w:rsidR="007906DD" w:rsidRPr="00BF02F7">
        <w:rPr>
          <w:rFonts w:ascii="Palatino Linotype" w:hAnsi="Palatino Linotype"/>
          <w:lang w:val="es-ES"/>
        </w:rPr>
        <w:t xml:space="preserve">señalar que en la Ley de Documentos Administrativos e Históricos del Estado de México se establecen los </w:t>
      </w:r>
      <w:r w:rsidR="007906DD" w:rsidRPr="00BF02F7">
        <w:rPr>
          <w:rFonts w:ascii="Palatino Linotype" w:hAnsi="Palatino Linotype"/>
          <w:b/>
          <w:lang w:val="es-ES"/>
        </w:rPr>
        <w:t>sistemas de control y apoyo técnico para la clasificación, catalogación, conservación, reproducción, resguardo y depuración de los documentos con valor histórico</w:t>
      </w:r>
      <w:r w:rsidR="007906DD" w:rsidRPr="00BF02F7">
        <w:rPr>
          <w:rFonts w:ascii="Palatino Linotype" w:hAnsi="Palatino Linotype"/>
          <w:lang w:val="es-ES"/>
        </w:rPr>
        <w:t xml:space="preserve">, tan es así que en el artículo 8 de la Ley en cito, establece que los documentos de contenido administrativo de importancia, serán conservados hasta por 20 años, y el mismo artículo señala </w:t>
      </w:r>
      <w:r w:rsidR="007906DD" w:rsidRPr="00BF02F7">
        <w:rPr>
          <w:rFonts w:ascii="Palatino Linotype" w:hAnsi="Palatino Linotype"/>
          <w:i/>
          <w:lang w:val="es-ES"/>
        </w:rPr>
        <w:t>que ningún documento podrá ser destruido, a menos que, por escrito, lo determine la instancia facultada para ese efecto, en términos de la presente ley.</w:t>
      </w:r>
    </w:p>
    <w:p w14:paraId="1D612EA4" w14:textId="65530603" w:rsidR="001406EA" w:rsidRDefault="001406EA" w:rsidP="001406EA">
      <w:pPr>
        <w:pStyle w:val="j"/>
        <w:shd w:val="clear" w:color="auto" w:fill="FFFFFF"/>
        <w:spacing w:line="360" w:lineRule="auto"/>
        <w:contextualSpacing/>
        <w:jc w:val="both"/>
        <w:textAlignment w:val="baseline"/>
        <w:rPr>
          <w:rFonts w:ascii="Palatino Linotype" w:hAnsi="Palatino Linotype"/>
          <w:color w:val="000000" w:themeColor="text1"/>
          <w:szCs w:val="20"/>
        </w:rPr>
      </w:pPr>
    </w:p>
    <w:p w14:paraId="2FBCA38A" w14:textId="69FFCBD6" w:rsidR="00D33747" w:rsidRPr="00D33747" w:rsidRDefault="007906DD" w:rsidP="00D33747">
      <w:pPr>
        <w:pStyle w:val="j"/>
        <w:numPr>
          <w:ilvl w:val="0"/>
          <w:numId w:val="1"/>
        </w:numPr>
        <w:shd w:val="clear" w:color="auto" w:fill="FFFFFF"/>
        <w:spacing w:line="360" w:lineRule="auto"/>
        <w:ind w:left="0" w:firstLine="0"/>
        <w:contextualSpacing/>
        <w:jc w:val="both"/>
        <w:textAlignment w:val="baseline"/>
        <w:rPr>
          <w:rFonts w:ascii="Palatino Linotype" w:hAnsi="Palatino Linotype"/>
          <w:color w:val="000000" w:themeColor="text1"/>
          <w:szCs w:val="20"/>
        </w:rPr>
      </w:pPr>
      <w:r w:rsidRPr="00D33747">
        <w:rPr>
          <w:rFonts w:ascii="Palatino Linotype" w:hAnsi="Palatino Linotype"/>
        </w:rPr>
        <w:t xml:space="preserve">Siendo importante señalar que, conforme lo establecido por el artículo 6 de los </w:t>
      </w:r>
      <w:r w:rsidRPr="00D33747">
        <w:rPr>
          <w:rFonts w:ascii="Palatino Linotype" w:hAnsi="Palatino Linotype"/>
          <w:b/>
        </w:rPr>
        <w:t>Lineamientos por los que se establecen las Políticas y Criterios para realizar la Selección de los Documentos y Expedientes de Trámite Concluido existentes en los Archivos de las Unidades Administrativas de los Poderes del Estado y de los Municipios</w:t>
      </w:r>
      <w:r w:rsidRPr="00934674">
        <w:rPr>
          <w:rStyle w:val="Refdenotaalpie"/>
          <w:rFonts w:ascii="Palatino Linotype" w:hAnsi="Palatino Linotype"/>
        </w:rPr>
        <w:footnoteReference w:id="8"/>
      </w:r>
      <w:r w:rsidRPr="00D33747">
        <w:rPr>
          <w:rFonts w:ascii="Palatino Linotype" w:hAnsi="Palatino Linotype"/>
        </w:rPr>
        <w:t xml:space="preserve">, las unidades administrativas implementarán las acciones necesarias para administrar y conservar los documentos de archivo, generados o recibidos en el ejercicio de sus funciones, a fin de asegurar su integridad y la disponibilidad de la </w:t>
      </w:r>
      <w:r w:rsidR="00D33747">
        <w:rPr>
          <w:rFonts w:ascii="Palatino Linotype" w:hAnsi="Palatino Linotype"/>
        </w:rPr>
        <w:t>información en ellos contenida.</w:t>
      </w:r>
    </w:p>
    <w:p w14:paraId="153BD0F3" w14:textId="77777777" w:rsidR="00D33747" w:rsidRPr="00D33747" w:rsidRDefault="00D33747" w:rsidP="00D33747">
      <w:pPr>
        <w:pStyle w:val="j"/>
        <w:shd w:val="clear" w:color="auto" w:fill="FFFFFF"/>
        <w:spacing w:line="360" w:lineRule="auto"/>
        <w:contextualSpacing/>
        <w:jc w:val="both"/>
        <w:textAlignment w:val="baseline"/>
        <w:rPr>
          <w:rFonts w:ascii="Palatino Linotype" w:hAnsi="Palatino Linotype"/>
          <w:color w:val="000000" w:themeColor="text1"/>
          <w:szCs w:val="20"/>
        </w:rPr>
      </w:pPr>
    </w:p>
    <w:p w14:paraId="0AAF9C54" w14:textId="78A5913E" w:rsidR="007906DD" w:rsidRPr="00D33747" w:rsidRDefault="00DD653E" w:rsidP="00D33747">
      <w:pPr>
        <w:pStyle w:val="j"/>
        <w:numPr>
          <w:ilvl w:val="0"/>
          <w:numId w:val="1"/>
        </w:numPr>
        <w:shd w:val="clear" w:color="auto" w:fill="FFFFFF"/>
        <w:spacing w:before="0" w:after="0" w:line="360" w:lineRule="auto"/>
        <w:ind w:left="0" w:firstLine="0"/>
        <w:jc w:val="both"/>
        <w:textAlignment w:val="baseline"/>
        <w:rPr>
          <w:rFonts w:ascii="Palatino Linotype" w:hAnsi="Palatino Linotype"/>
          <w:color w:val="000000" w:themeColor="text1"/>
          <w:szCs w:val="20"/>
        </w:rPr>
      </w:pPr>
      <w:r>
        <w:rPr>
          <w:rFonts w:ascii="Palatino Linotype" w:hAnsi="Palatino Linotype" w:cs="Arial"/>
        </w:rPr>
        <w:lastRenderedPageBreak/>
        <w:t>En esa tesitura</w:t>
      </w:r>
      <w:r w:rsidR="007906DD" w:rsidRPr="00D33747">
        <w:rPr>
          <w:rFonts w:ascii="Palatino Linotype" w:hAnsi="Palatino Linotype" w:cs="Arial"/>
        </w:rPr>
        <w:t xml:space="preserve">, la Ley de Transparencia y Acceso a la Información Pública del Estado de México y Municipios y los </w:t>
      </w:r>
      <w:r w:rsidR="007906DD" w:rsidRPr="00D33747">
        <w:rPr>
          <w:rFonts w:ascii="Palatino Linotype" w:hAnsi="Palatino Linotype" w:cs="Arial"/>
          <w:b/>
        </w:rPr>
        <w:t>Lineamientos para la Administración de Documentos en el Estado de México</w:t>
      </w:r>
      <w:r w:rsidR="007906DD" w:rsidRPr="00934674">
        <w:rPr>
          <w:rStyle w:val="Refdenotaalpie"/>
          <w:rFonts w:ascii="Palatino Linotype" w:hAnsi="Palatino Linotype" w:cs="Arial"/>
        </w:rPr>
        <w:footnoteReference w:id="9"/>
      </w:r>
      <w:r w:rsidR="007906DD" w:rsidRPr="00D33747">
        <w:rPr>
          <w:rFonts w:ascii="Palatino Linotype" w:hAnsi="Palatino Linotype" w:cs="Arial"/>
        </w:rPr>
        <w:t>, en sus artículo 3, fracción XI, y 4, fracciones XXXII, XXXIII, XXXVI, XXXVII y LXXIV, respectivamente, establecen de manera literal lo siguiente:</w:t>
      </w:r>
    </w:p>
    <w:p w14:paraId="0E0CFCF7" w14:textId="77777777" w:rsidR="007906DD" w:rsidRPr="007B69B1" w:rsidRDefault="007906DD" w:rsidP="00DD653E">
      <w:pPr>
        <w:spacing w:before="240" w:after="240" w:line="360" w:lineRule="auto"/>
        <w:ind w:left="567" w:right="567"/>
        <w:jc w:val="both"/>
        <w:rPr>
          <w:rFonts w:ascii="Palatino Linotype" w:hAnsi="Palatino Linotype" w:cs="Arial"/>
          <w:b/>
          <w:i/>
          <w:sz w:val="22"/>
          <w:szCs w:val="20"/>
        </w:rPr>
      </w:pPr>
      <w:r w:rsidRPr="007B69B1">
        <w:rPr>
          <w:rFonts w:ascii="Palatino Linotype" w:hAnsi="Palatino Linotype" w:cs="Arial"/>
          <w:b/>
          <w:i/>
          <w:sz w:val="22"/>
          <w:szCs w:val="20"/>
        </w:rPr>
        <w:t>Ley de Transparencia y Acceso a la Información Pública del Estado de México y Municipios</w:t>
      </w:r>
    </w:p>
    <w:p w14:paraId="235136EC" w14:textId="77777777" w:rsidR="007906DD" w:rsidRPr="007B69B1" w:rsidRDefault="007906DD" w:rsidP="00DD653E">
      <w:pPr>
        <w:spacing w:before="240" w:after="240" w:line="360" w:lineRule="auto"/>
        <w:ind w:left="567" w:right="567"/>
        <w:jc w:val="both"/>
        <w:rPr>
          <w:rFonts w:ascii="Palatino Linotype" w:hAnsi="Palatino Linotype" w:cs="Arial"/>
          <w:i/>
          <w:sz w:val="22"/>
          <w:szCs w:val="20"/>
        </w:rPr>
      </w:pPr>
      <w:r w:rsidRPr="007B69B1">
        <w:rPr>
          <w:rFonts w:ascii="Palatino Linotype" w:hAnsi="Palatino Linotype" w:cs="Arial"/>
          <w:b/>
          <w:i/>
          <w:sz w:val="22"/>
          <w:szCs w:val="20"/>
        </w:rPr>
        <w:t>Artículo 3.</w:t>
      </w:r>
      <w:r w:rsidRPr="007B69B1">
        <w:rPr>
          <w:rFonts w:ascii="Palatino Linotype" w:hAnsi="Palatino Linotype" w:cs="Arial"/>
          <w:i/>
          <w:sz w:val="22"/>
          <w:szCs w:val="20"/>
        </w:rPr>
        <w:t xml:space="preserve"> Para los efectos de la presente Ley se entenderá por:</w:t>
      </w:r>
    </w:p>
    <w:p w14:paraId="7DB4AF22" w14:textId="77777777" w:rsidR="007906DD" w:rsidRPr="007B69B1" w:rsidRDefault="007906DD" w:rsidP="00DD653E">
      <w:pPr>
        <w:spacing w:before="240" w:after="240" w:line="360" w:lineRule="auto"/>
        <w:ind w:left="567" w:right="567"/>
        <w:jc w:val="both"/>
        <w:rPr>
          <w:rFonts w:ascii="Palatino Linotype" w:hAnsi="Palatino Linotype" w:cs="Arial"/>
          <w:i/>
          <w:sz w:val="22"/>
          <w:szCs w:val="20"/>
        </w:rPr>
      </w:pPr>
      <w:r w:rsidRPr="007B69B1">
        <w:rPr>
          <w:rFonts w:ascii="Palatino Linotype" w:hAnsi="Palatino Linotype" w:cs="Arial"/>
          <w:i/>
          <w:sz w:val="22"/>
          <w:szCs w:val="20"/>
        </w:rPr>
        <w:t>…</w:t>
      </w:r>
    </w:p>
    <w:p w14:paraId="17AF9C6C" w14:textId="77777777" w:rsidR="007906DD" w:rsidRDefault="007906DD" w:rsidP="00DD653E">
      <w:pPr>
        <w:spacing w:before="240" w:after="240" w:line="360" w:lineRule="auto"/>
        <w:ind w:left="567" w:right="567"/>
        <w:jc w:val="both"/>
        <w:rPr>
          <w:rFonts w:ascii="Palatino Linotype" w:hAnsi="Palatino Linotype" w:cs="Arial"/>
          <w:i/>
          <w:sz w:val="22"/>
          <w:szCs w:val="22"/>
        </w:rPr>
      </w:pPr>
      <w:r w:rsidRPr="007B69B1">
        <w:rPr>
          <w:rFonts w:ascii="Palatino Linotype" w:hAnsi="Palatino Linotype" w:cs="Arial"/>
          <w:b/>
          <w:i/>
          <w:sz w:val="22"/>
          <w:szCs w:val="20"/>
        </w:rPr>
        <w:t>XI.</w:t>
      </w:r>
      <w:r w:rsidRPr="007B69B1">
        <w:rPr>
          <w:rFonts w:ascii="Palatino Linotype" w:hAnsi="Palatino Linotype" w:cs="Arial"/>
          <w:i/>
          <w:sz w:val="22"/>
          <w:szCs w:val="20"/>
        </w:rPr>
        <w:t xml:space="preserve"> </w:t>
      </w:r>
      <w:r w:rsidRPr="007B69B1">
        <w:rPr>
          <w:rFonts w:ascii="Palatino Linotype" w:hAnsi="Palatino Linotype" w:cs="Arial"/>
          <w:b/>
          <w:i/>
          <w:sz w:val="22"/>
          <w:szCs w:val="20"/>
        </w:rPr>
        <w:t>Documento:</w:t>
      </w:r>
      <w:r w:rsidRPr="007B69B1">
        <w:rPr>
          <w:rFonts w:ascii="Palatino Linotype" w:hAnsi="Palatino Linotype" w:cs="Arial"/>
          <w:i/>
          <w:sz w:val="22"/>
          <w:szCs w:val="20"/>
        </w:rPr>
        <w:t xml:space="preserve"> Los expedientes, reportes, estudios, actas, resoluciones, oficios, correspondencia, acuerdos, directivas, directrices, circulares, contratos, convenios, instructivos, notas, memorandos, estadísticas o bien, cualquier otro registro que </w:t>
      </w:r>
      <w:r w:rsidRPr="00DD653E">
        <w:rPr>
          <w:rFonts w:ascii="Palatino Linotype" w:hAnsi="Palatino Linotype" w:cs="Arial"/>
          <w:i/>
          <w:sz w:val="22"/>
          <w:szCs w:val="22"/>
        </w:rPr>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516CD94" w14:textId="0B711D2D" w:rsidR="00DD653E" w:rsidRDefault="00DD653E" w:rsidP="00D33747">
      <w:pPr>
        <w:spacing w:before="240" w:after="240" w:line="276" w:lineRule="auto"/>
        <w:ind w:left="567" w:right="567"/>
        <w:jc w:val="both"/>
        <w:rPr>
          <w:rFonts w:ascii="Palatino Linotype" w:hAnsi="Palatino Linotype" w:cs="Arial"/>
          <w:i/>
          <w:sz w:val="22"/>
          <w:szCs w:val="22"/>
        </w:rPr>
      </w:pPr>
      <w:r>
        <w:rPr>
          <w:rFonts w:ascii="Palatino Linotype" w:hAnsi="Palatino Linotype" w:cs="Arial"/>
          <w:b/>
          <w:i/>
          <w:sz w:val="22"/>
          <w:szCs w:val="20"/>
        </w:rPr>
        <w:t>…</w:t>
      </w:r>
    </w:p>
    <w:p w14:paraId="0D79070A" w14:textId="49BEF82E" w:rsidR="00DD653E" w:rsidRPr="00DD653E" w:rsidRDefault="00DD653E" w:rsidP="00DD653E">
      <w:pPr>
        <w:spacing w:before="240" w:after="240" w:line="360" w:lineRule="auto"/>
        <w:ind w:left="567" w:right="567"/>
        <w:jc w:val="both"/>
        <w:rPr>
          <w:rFonts w:ascii="Palatino Linotype" w:hAnsi="Palatino Linotype" w:cs="Arial"/>
          <w:i/>
          <w:sz w:val="22"/>
          <w:szCs w:val="22"/>
        </w:rPr>
      </w:pPr>
      <w:r w:rsidRPr="00DD653E">
        <w:rPr>
          <w:rFonts w:ascii="Palatino Linotype" w:hAnsi="Palatino Linotype" w:cs="Arial"/>
          <w:i/>
          <w:sz w:val="22"/>
          <w:szCs w:val="22"/>
        </w:rPr>
        <w:t>Artículo 4. Para los efectos de interpretación y aplicación de los Lineamientos se entenderá por:</w:t>
      </w:r>
    </w:p>
    <w:p w14:paraId="71522061" w14:textId="2A879B78" w:rsidR="00DD653E" w:rsidRPr="00DD653E" w:rsidRDefault="00DD653E" w:rsidP="00DD653E">
      <w:pPr>
        <w:spacing w:before="240" w:after="240" w:line="360" w:lineRule="auto"/>
        <w:ind w:left="567" w:right="567"/>
        <w:jc w:val="both"/>
        <w:rPr>
          <w:rFonts w:ascii="Palatino Linotype" w:hAnsi="Palatino Linotype" w:cs="Arial"/>
          <w:i/>
          <w:sz w:val="22"/>
          <w:szCs w:val="22"/>
        </w:rPr>
      </w:pPr>
      <w:r w:rsidRPr="00DD653E">
        <w:rPr>
          <w:rFonts w:ascii="Palatino Linotype" w:hAnsi="Palatino Linotype" w:cs="Arial"/>
          <w:i/>
          <w:sz w:val="22"/>
          <w:szCs w:val="22"/>
        </w:rPr>
        <w:lastRenderedPageBreak/>
        <w:t>…</w:t>
      </w:r>
    </w:p>
    <w:p w14:paraId="3C4982B1" w14:textId="77777777" w:rsidR="00DD653E" w:rsidRPr="00DD653E" w:rsidRDefault="00DD653E" w:rsidP="00DD653E">
      <w:pPr>
        <w:spacing w:before="240" w:after="240" w:line="360" w:lineRule="auto"/>
        <w:ind w:left="567" w:right="567"/>
        <w:jc w:val="both"/>
        <w:rPr>
          <w:rFonts w:ascii="Palatino Linotype" w:hAnsi="Palatino Linotype"/>
          <w:i/>
          <w:sz w:val="22"/>
          <w:szCs w:val="22"/>
        </w:rPr>
      </w:pPr>
      <w:r w:rsidRPr="00DD653E">
        <w:rPr>
          <w:rFonts w:ascii="Palatino Linotype" w:hAnsi="Palatino Linotype"/>
          <w:i/>
          <w:sz w:val="22"/>
          <w:szCs w:val="22"/>
        </w:rPr>
        <w:t xml:space="preserve">VI. Archivo de Trámite: Conjunto organizado de expedientes de asuntos en gestión, ordenados conforme a un método y cuya consulta es frecuente y necesaria para una adecuada toma de decisiones y el despacho oportuno de los asuntos propios de una Unidad Administrativa, así como la unidad responsable de la gestión de documentos de uso cotidiano y necesario para el ejercicio de las atribuciones de una Unidad Administrativa. </w:t>
      </w:r>
    </w:p>
    <w:p w14:paraId="64AE4257" w14:textId="6B278695" w:rsidR="00DD653E" w:rsidRPr="00DD653E" w:rsidRDefault="00DD653E" w:rsidP="00DD653E">
      <w:pPr>
        <w:spacing w:before="240" w:after="240" w:line="360" w:lineRule="auto"/>
        <w:ind w:left="567" w:right="567"/>
        <w:jc w:val="both"/>
        <w:rPr>
          <w:rFonts w:ascii="Palatino Linotype" w:hAnsi="Palatino Linotype"/>
          <w:i/>
          <w:sz w:val="22"/>
          <w:szCs w:val="22"/>
        </w:rPr>
      </w:pPr>
      <w:r w:rsidRPr="00DD653E">
        <w:rPr>
          <w:rFonts w:ascii="Palatino Linotype" w:hAnsi="Palatino Linotype"/>
          <w:i/>
          <w:sz w:val="22"/>
          <w:szCs w:val="22"/>
        </w:rPr>
        <w:t>VII. Archivo de Concentración: Conjunto organizado de expedientes de trámite concluido y cuya consulta es esporádica, los cuales han sido transferidos por un Archivo de Trámite para su conservación precaucional mientras concluye su utilidad administrativa, contable, legal o fiscal. Unidad responsable de la gestión de documentos cuya consulta es ocasional por parte de las Unidades Administrativas, y que permanecen en él hasta su destino final.</w:t>
      </w:r>
    </w:p>
    <w:p w14:paraId="6662EA81" w14:textId="2F705FC5" w:rsidR="00DD653E" w:rsidRPr="00DD653E" w:rsidRDefault="00DD653E" w:rsidP="00DD653E">
      <w:pPr>
        <w:spacing w:before="240" w:after="240" w:line="360" w:lineRule="auto"/>
        <w:ind w:left="567" w:right="567"/>
        <w:jc w:val="both"/>
        <w:rPr>
          <w:rFonts w:ascii="Palatino Linotype" w:hAnsi="Palatino Linotype" w:cs="Arial"/>
          <w:i/>
          <w:sz w:val="22"/>
          <w:szCs w:val="22"/>
        </w:rPr>
      </w:pPr>
      <w:r w:rsidRPr="00DD653E">
        <w:rPr>
          <w:rFonts w:ascii="Palatino Linotype" w:hAnsi="Palatino Linotype"/>
          <w:i/>
          <w:sz w:val="22"/>
          <w:szCs w:val="22"/>
        </w:rPr>
        <w:t>VIII. Archivo Histórico: Conjunto organizado de expedientes conservados en forma permanente por el valor científico-cultural de su información y que constituyen parte del Patrimonio Documental del Estado. Unidad responsable de recibir, administrar, organizar, describir, conservar y divulgar la memoria documental institucional, así como la integrada por documentos o colecciones documentales facticias de relevancia para la historia del Estado de México.</w:t>
      </w:r>
    </w:p>
    <w:p w14:paraId="58F35B10" w14:textId="77777777" w:rsidR="00DD653E" w:rsidRPr="00DD653E" w:rsidRDefault="00DD653E" w:rsidP="00DD653E">
      <w:pPr>
        <w:spacing w:before="240" w:after="240" w:line="360" w:lineRule="auto"/>
        <w:ind w:left="567" w:right="567"/>
        <w:jc w:val="both"/>
        <w:rPr>
          <w:rFonts w:ascii="Palatino Linotype" w:hAnsi="Palatino Linotype"/>
          <w:i/>
          <w:sz w:val="22"/>
          <w:szCs w:val="22"/>
        </w:rPr>
      </w:pPr>
      <w:r w:rsidRPr="00DD653E">
        <w:rPr>
          <w:rFonts w:ascii="Palatino Linotype" w:hAnsi="Palatino Linotype"/>
          <w:i/>
          <w:sz w:val="22"/>
          <w:szCs w:val="22"/>
        </w:rPr>
        <w:t xml:space="preserve">XXXII. Documento: Soporte material que registra un hecho o acto, con información textual, en lenguaje natural o convencional o cualquier otra expresión grafica, sonora, en imagen o electrónica, producido o recibido por instituciones o personas físicas o jurídico colectivas, públicas o privadas, en el ejercicio de sus funciones o actividades, para el cumplimiento de sus fine y conservado como prueba e información. </w:t>
      </w:r>
    </w:p>
    <w:p w14:paraId="7FA2D7FA" w14:textId="0AF94FA1" w:rsidR="00D33747" w:rsidRPr="00DD653E" w:rsidRDefault="00DD653E" w:rsidP="00DD653E">
      <w:pPr>
        <w:spacing w:before="240" w:after="240" w:line="360" w:lineRule="auto"/>
        <w:ind w:left="567" w:right="567"/>
        <w:jc w:val="both"/>
        <w:rPr>
          <w:rFonts w:ascii="Palatino Linotype" w:hAnsi="Palatino Linotype"/>
          <w:i/>
          <w:sz w:val="22"/>
          <w:szCs w:val="22"/>
        </w:rPr>
      </w:pPr>
      <w:r w:rsidRPr="00DD653E">
        <w:rPr>
          <w:rFonts w:ascii="Palatino Linotype" w:hAnsi="Palatino Linotype"/>
          <w:i/>
          <w:sz w:val="22"/>
          <w:szCs w:val="22"/>
        </w:rPr>
        <w:lastRenderedPageBreak/>
        <w:t>XXXIII. Documento de Archivo: Soporte que registra un acto administrativo, jurídico, fiscal o contable, creado, recibido, manejado y usado en el ejercicio de las facultades y actividades de los ujetos Obligados, independientemente soporte en el que se encuentre.</w:t>
      </w:r>
    </w:p>
    <w:p w14:paraId="19708CA9" w14:textId="7CF8CEE5" w:rsidR="00DD653E" w:rsidRPr="00DD653E" w:rsidRDefault="00DD653E" w:rsidP="00DD653E">
      <w:pPr>
        <w:spacing w:before="240" w:after="240" w:line="360" w:lineRule="auto"/>
        <w:ind w:left="567" w:right="567"/>
        <w:jc w:val="both"/>
        <w:rPr>
          <w:rFonts w:ascii="Palatino Linotype" w:hAnsi="Palatino Linotype"/>
          <w:i/>
          <w:sz w:val="22"/>
          <w:szCs w:val="22"/>
        </w:rPr>
      </w:pPr>
      <w:r w:rsidRPr="00DD653E">
        <w:rPr>
          <w:rFonts w:ascii="Palatino Linotype" w:hAnsi="Palatino Linotype"/>
          <w:i/>
          <w:sz w:val="22"/>
          <w:szCs w:val="22"/>
        </w:rPr>
        <w:t>XXXVI. Expediente: Unidad documental constituida por uno o varios documentos de Archivo, ordenados y relacionados con un mismo asunto, actividad o trámite o por ser resultado de un mismo proceso de gestión y de acumulación de los documentos que los constituyen.</w:t>
      </w:r>
    </w:p>
    <w:p w14:paraId="70262644" w14:textId="0D053335" w:rsidR="00DD653E" w:rsidRPr="00DD653E" w:rsidRDefault="00DD653E" w:rsidP="00DD653E">
      <w:pPr>
        <w:spacing w:before="240" w:after="240" w:line="360" w:lineRule="auto"/>
        <w:ind w:left="567" w:right="567"/>
        <w:jc w:val="both"/>
        <w:rPr>
          <w:rFonts w:ascii="Palatino Linotype" w:hAnsi="Palatino Linotype"/>
          <w:i/>
          <w:sz w:val="22"/>
          <w:szCs w:val="22"/>
        </w:rPr>
      </w:pPr>
      <w:r w:rsidRPr="00DD653E">
        <w:rPr>
          <w:rFonts w:ascii="Palatino Linotype" w:hAnsi="Palatino Linotype"/>
          <w:i/>
          <w:sz w:val="22"/>
          <w:szCs w:val="22"/>
        </w:rPr>
        <w:t>XXXVII. Fondos documentales: Conjunto de documentos de archivo generados o acumulados por una institución o una persona física o jurídico colectiva, como resultado natural de su función o actividad y conservados en el Archivo de la propia institución o de otra diferente a ella.</w:t>
      </w:r>
    </w:p>
    <w:p w14:paraId="1B8A29C9" w14:textId="70ACE8BE" w:rsidR="00DD653E" w:rsidRPr="00DD653E" w:rsidRDefault="00DD653E" w:rsidP="00DD653E">
      <w:pPr>
        <w:spacing w:before="240" w:after="240" w:line="360" w:lineRule="auto"/>
        <w:ind w:left="567" w:right="567"/>
        <w:jc w:val="both"/>
        <w:rPr>
          <w:rFonts w:ascii="Palatino Linotype" w:hAnsi="Palatino Linotype"/>
          <w:i/>
          <w:sz w:val="22"/>
          <w:szCs w:val="22"/>
        </w:rPr>
      </w:pPr>
      <w:r w:rsidRPr="00DD653E">
        <w:rPr>
          <w:rFonts w:ascii="Palatino Linotype" w:hAnsi="Palatino Linotype"/>
          <w:i/>
          <w:sz w:val="22"/>
          <w:szCs w:val="22"/>
        </w:rPr>
        <w:t>LXXIV. Vigencia Documental: Periodo durante el cual un documento de archivo mantiene sus valores administrativos, legales, fiscales o contables, de conformidad con las disposiciones jurídicas vigentes y aplicables.</w:t>
      </w:r>
    </w:p>
    <w:p w14:paraId="3469B64A" w14:textId="77777777" w:rsidR="00DD653E" w:rsidRPr="007B69B1" w:rsidRDefault="00DD653E" w:rsidP="00D33747">
      <w:pPr>
        <w:spacing w:before="240" w:after="240" w:line="276" w:lineRule="auto"/>
        <w:ind w:left="567" w:right="567"/>
        <w:jc w:val="both"/>
        <w:rPr>
          <w:rFonts w:ascii="Palatino Linotype" w:hAnsi="Palatino Linotype" w:cs="Arial"/>
          <w:i/>
          <w:sz w:val="22"/>
          <w:szCs w:val="20"/>
        </w:rPr>
      </w:pPr>
    </w:p>
    <w:p w14:paraId="47109275" w14:textId="309524B7" w:rsidR="007906DD" w:rsidRPr="0001633D" w:rsidRDefault="007906DD" w:rsidP="00D33747">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957B2F">
        <w:rPr>
          <w:rFonts w:ascii="Palatino Linotype" w:eastAsia="Times New Roman" w:hAnsi="Palatino Linotype" w:cs="Arial"/>
          <w:color w:val="000000"/>
        </w:rPr>
        <w:t>Ahora bien, es necesario señalar las siguientes</w:t>
      </w:r>
      <w:r w:rsidR="00DD653E">
        <w:rPr>
          <w:rFonts w:ascii="Palatino Linotype" w:eastAsia="Times New Roman" w:hAnsi="Palatino Linotype" w:cs="Arial"/>
          <w:color w:val="000000"/>
        </w:rPr>
        <w:t xml:space="preserve"> definiciones de acuerdo a los </w:t>
      </w:r>
      <w:r w:rsidR="00DD653E" w:rsidRPr="00DD653E">
        <w:rPr>
          <w:rFonts w:ascii="Palatino Linotype" w:eastAsia="Times New Roman" w:hAnsi="Palatino Linotype" w:cs="Arial"/>
          <w:b/>
          <w:color w:val="000000"/>
        </w:rPr>
        <w:t>L</w:t>
      </w:r>
      <w:r w:rsidRPr="00DD653E">
        <w:rPr>
          <w:rFonts w:ascii="Palatino Linotype" w:eastAsia="Times New Roman" w:hAnsi="Palatino Linotype" w:cs="Arial"/>
          <w:b/>
          <w:color w:val="000000"/>
        </w:rPr>
        <w:t>ineamientos para la Organización y Conservación de Archivos</w:t>
      </w:r>
      <w:r w:rsidRPr="00957B2F">
        <w:rPr>
          <w:rFonts w:ascii="Palatino Linotype" w:eastAsia="Times New Roman" w:hAnsi="Palatino Linotype" w:cs="Arial"/>
          <w:color w:val="000000"/>
        </w:rPr>
        <w:t xml:space="preserve"> emitidos por el Instituto Nacional de Acceso a la Información  (INAI), los cuales tienen por objeto </w:t>
      </w:r>
      <w:r w:rsidRPr="00957B2F">
        <w:rPr>
          <w:rFonts w:ascii="Palatino Linotype" w:hAnsi="Palatino Linotype" w:cs="CIDFont+F3"/>
          <w:i/>
          <w:sz w:val="22"/>
          <w:szCs w:val="18"/>
          <w:lang w:val="es-MX"/>
        </w:rPr>
        <w:t xml:space="preserve">establecer las políticas y criterios para la sistematización y digitalización, así como para la custodia y conservación de los archivos en posesión de los sujetos obligados, con la finalidad de garantizar la </w:t>
      </w:r>
      <w:r w:rsidRPr="00957B2F">
        <w:rPr>
          <w:rFonts w:ascii="Palatino Linotype" w:hAnsi="Palatino Linotype" w:cs="CIDFont+F3"/>
          <w:i/>
          <w:sz w:val="22"/>
          <w:szCs w:val="18"/>
          <w:lang w:val="es-MX"/>
        </w:rPr>
        <w:lastRenderedPageBreak/>
        <w:t>disponibilidad, la localización eficiente de la información generada, obtenida, adquirida, transformada y contar con sistemas de información, ágiles y eficientes.</w:t>
      </w:r>
      <w:r w:rsidRPr="00957B2F">
        <w:rPr>
          <w:rStyle w:val="Refdenotaalpie"/>
          <w:rFonts w:ascii="Palatino Linotype" w:hAnsi="Palatino Linotype" w:cs="CIDFont+F3"/>
          <w:i/>
          <w:sz w:val="22"/>
          <w:szCs w:val="18"/>
          <w:lang w:val="es-MX"/>
        </w:rPr>
        <w:footnoteReference w:id="10"/>
      </w:r>
    </w:p>
    <w:p w14:paraId="1FDBCFD3" w14:textId="77777777" w:rsidR="0001633D" w:rsidRPr="00957B2F" w:rsidRDefault="0001633D" w:rsidP="0001633D">
      <w:pPr>
        <w:pStyle w:val="Prrafodelista"/>
        <w:spacing w:line="360" w:lineRule="auto"/>
        <w:ind w:left="0" w:right="49"/>
        <w:jc w:val="both"/>
        <w:rPr>
          <w:rFonts w:ascii="Palatino Linotype" w:eastAsia="Times New Roman" w:hAnsi="Palatino Linotype" w:cs="Arial"/>
          <w:color w:val="000000"/>
        </w:rPr>
      </w:pPr>
    </w:p>
    <w:p w14:paraId="61CF6752" w14:textId="77777777" w:rsidR="007906DD" w:rsidRPr="00957B2F" w:rsidRDefault="007906DD" w:rsidP="007906DD">
      <w:pPr>
        <w:pStyle w:val="Prrafodelista"/>
        <w:spacing w:line="360" w:lineRule="auto"/>
        <w:ind w:left="567" w:right="567"/>
        <w:jc w:val="both"/>
        <w:rPr>
          <w:rFonts w:ascii="Palatino Linotype" w:hAnsi="Palatino Linotype" w:cs="Arial"/>
          <w:b/>
          <w:bCs/>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t>Cuarto. …</w:t>
      </w:r>
    </w:p>
    <w:p w14:paraId="6CBBA64E" w14:textId="77777777" w:rsidR="007906DD" w:rsidRPr="00957B2F" w:rsidRDefault="007906DD" w:rsidP="007906DD">
      <w:pPr>
        <w:pStyle w:val="Prrafodelista"/>
        <w:spacing w:line="360" w:lineRule="auto"/>
        <w:ind w:left="567" w:right="567"/>
        <w:jc w:val="both"/>
        <w:rPr>
          <w:rFonts w:ascii="Palatino Linotype" w:hAnsi="Palatino Linotype" w:cs="Arial"/>
          <w:b/>
          <w:bCs/>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t>…</w:t>
      </w:r>
    </w:p>
    <w:p w14:paraId="75E7DF4A" w14:textId="22532776" w:rsidR="007906DD" w:rsidRDefault="007906DD" w:rsidP="007906DD">
      <w:pPr>
        <w:pStyle w:val="Prrafodelista"/>
        <w:spacing w:line="360" w:lineRule="auto"/>
        <w:ind w:left="567" w:right="567"/>
        <w:jc w:val="both"/>
        <w:rPr>
          <w:rFonts w:ascii="Palatino Linotype" w:hAnsi="Palatino Linotype" w:cs="Arial"/>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t>II. Archivo:</w:t>
      </w:r>
      <w:r w:rsidR="0001633D">
        <w:rPr>
          <w:rFonts w:ascii="Palatino Linotype" w:hAnsi="Palatino Linotype" w:cs="Arial"/>
          <w:i/>
          <w:color w:val="2F2F2F"/>
          <w:sz w:val="22"/>
          <w:szCs w:val="18"/>
          <w:shd w:val="clear" w:color="auto" w:fill="FFFFFF"/>
        </w:rPr>
        <w:t xml:space="preserve"> </w:t>
      </w:r>
      <w:r w:rsidRPr="00957B2F">
        <w:rPr>
          <w:rFonts w:ascii="Palatino Linotype" w:hAnsi="Palatino Linotype" w:cs="Arial"/>
          <w:i/>
          <w:color w:val="2F2F2F"/>
          <w:sz w:val="22"/>
          <w:szCs w:val="18"/>
          <w:shd w:val="clear" w:color="auto" w:fill="FFFFFF"/>
        </w:rPr>
        <w:t>El conjunto orgánico de documentos en cualquie</w:t>
      </w:r>
      <w:r w:rsidR="0001633D">
        <w:rPr>
          <w:rFonts w:ascii="Palatino Linotype" w:hAnsi="Palatino Linotype" w:cs="Arial"/>
          <w:i/>
          <w:color w:val="2F2F2F"/>
          <w:sz w:val="22"/>
          <w:szCs w:val="18"/>
          <w:shd w:val="clear" w:color="auto" w:fill="FFFFFF"/>
        </w:rPr>
        <w:t xml:space="preserve">r soporte, que son producidos o </w:t>
      </w:r>
      <w:r w:rsidRPr="00957B2F">
        <w:rPr>
          <w:rFonts w:ascii="Palatino Linotype" w:hAnsi="Palatino Linotype" w:cs="Arial"/>
          <w:i/>
          <w:color w:val="2F2F2F"/>
          <w:sz w:val="22"/>
          <w:szCs w:val="18"/>
          <w:shd w:val="clear" w:color="auto" w:fill="FFFFFF"/>
        </w:rPr>
        <w:t>recibidos por los sujetos obligados o los particulares en el ejercicio de sus atribucione</w:t>
      </w:r>
      <w:r w:rsidR="0001633D">
        <w:rPr>
          <w:rFonts w:ascii="Palatino Linotype" w:hAnsi="Palatino Linotype" w:cs="Arial"/>
          <w:i/>
          <w:color w:val="2F2F2F"/>
          <w:sz w:val="22"/>
          <w:szCs w:val="18"/>
          <w:shd w:val="clear" w:color="auto" w:fill="FFFFFF"/>
        </w:rPr>
        <w:t xml:space="preserve">s o en el </w:t>
      </w:r>
      <w:r w:rsidRPr="00957B2F">
        <w:rPr>
          <w:rFonts w:ascii="Palatino Linotype" w:hAnsi="Palatino Linotype" w:cs="Arial"/>
          <w:i/>
          <w:color w:val="2F2F2F"/>
          <w:sz w:val="22"/>
          <w:szCs w:val="18"/>
          <w:shd w:val="clear" w:color="auto" w:fill="FFFFFF"/>
        </w:rPr>
        <w:t>desarrollo de sus actividades;</w:t>
      </w:r>
    </w:p>
    <w:p w14:paraId="5B6E1BE2" w14:textId="77777777" w:rsidR="007906DD" w:rsidRPr="00957B2F" w:rsidRDefault="007906DD" w:rsidP="007906DD">
      <w:pPr>
        <w:pStyle w:val="Prrafodelista"/>
        <w:spacing w:line="360" w:lineRule="auto"/>
        <w:ind w:left="567" w:right="567"/>
        <w:jc w:val="both"/>
        <w:rPr>
          <w:rFonts w:ascii="Palatino Linotype" w:hAnsi="Palatino Linotype" w:cs="Arial"/>
          <w:i/>
          <w:color w:val="2F2F2F"/>
          <w:sz w:val="22"/>
          <w:szCs w:val="18"/>
          <w:shd w:val="clear" w:color="auto" w:fill="FFFFFF"/>
        </w:rPr>
      </w:pPr>
    </w:p>
    <w:p w14:paraId="2A308CA3" w14:textId="13D9DADC" w:rsidR="007906DD" w:rsidRPr="00957B2F" w:rsidRDefault="00B26661" w:rsidP="007906DD">
      <w:pPr>
        <w:pStyle w:val="Prrafodelista"/>
        <w:spacing w:line="360" w:lineRule="auto"/>
        <w:ind w:left="567" w:right="567"/>
        <w:jc w:val="both"/>
        <w:rPr>
          <w:rFonts w:ascii="Palatino Linotype" w:hAnsi="Palatino Linotype" w:cs="Arial"/>
          <w:i/>
          <w:color w:val="2F2F2F"/>
          <w:sz w:val="22"/>
          <w:szCs w:val="18"/>
          <w:shd w:val="clear" w:color="auto" w:fill="FFFFFF"/>
        </w:rPr>
      </w:pPr>
      <w:r>
        <w:rPr>
          <w:rFonts w:ascii="Palatino Linotype" w:hAnsi="Palatino Linotype" w:cs="Arial"/>
          <w:b/>
          <w:bCs/>
          <w:i/>
          <w:color w:val="2F2F2F"/>
          <w:sz w:val="22"/>
          <w:szCs w:val="18"/>
          <w:shd w:val="clear" w:color="auto" w:fill="FFFFFF"/>
        </w:rPr>
        <w:t xml:space="preserve">III. Archivo de concentración: </w:t>
      </w:r>
      <w:r w:rsidR="007906DD" w:rsidRPr="00957B2F">
        <w:rPr>
          <w:rFonts w:ascii="Palatino Linotype" w:hAnsi="Palatino Linotype" w:cs="Arial"/>
          <w:i/>
          <w:color w:val="2F2F2F"/>
          <w:sz w:val="22"/>
          <w:szCs w:val="18"/>
          <w:shd w:val="clear" w:color="auto" w:fill="FFFFFF"/>
        </w:rPr>
        <w:t>La unidad responsable de la ad</w:t>
      </w:r>
      <w:r w:rsidR="0001633D">
        <w:rPr>
          <w:rFonts w:ascii="Palatino Linotype" w:hAnsi="Palatino Linotype" w:cs="Arial"/>
          <w:i/>
          <w:color w:val="2F2F2F"/>
          <w:sz w:val="22"/>
          <w:szCs w:val="18"/>
          <w:shd w:val="clear" w:color="auto" w:fill="FFFFFF"/>
        </w:rPr>
        <w:t xml:space="preserve">ministración de documentos cuya </w:t>
      </w:r>
      <w:r w:rsidR="007906DD" w:rsidRPr="00957B2F">
        <w:rPr>
          <w:rFonts w:ascii="Palatino Linotype" w:hAnsi="Palatino Linotype" w:cs="Arial"/>
          <w:i/>
          <w:color w:val="2F2F2F"/>
          <w:sz w:val="22"/>
          <w:szCs w:val="18"/>
          <w:shd w:val="clear" w:color="auto" w:fill="FFFFFF"/>
        </w:rPr>
        <w:t xml:space="preserve">consulta es esporádica y que permanecen en ella hasta su </w:t>
      </w:r>
      <w:r w:rsidR="0001633D">
        <w:rPr>
          <w:rFonts w:ascii="Palatino Linotype" w:hAnsi="Palatino Linotype" w:cs="Arial"/>
          <w:i/>
          <w:color w:val="2F2F2F"/>
          <w:sz w:val="22"/>
          <w:szCs w:val="18"/>
          <w:shd w:val="clear" w:color="auto" w:fill="FFFFFF"/>
        </w:rPr>
        <w:t xml:space="preserve">transferencia secundaria o baja </w:t>
      </w:r>
      <w:r w:rsidR="007906DD" w:rsidRPr="00957B2F">
        <w:rPr>
          <w:rFonts w:ascii="Palatino Linotype" w:hAnsi="Palatino Linotype" w:cs="Arial"/>
          <w:i/>
          <w:color w:val="2F2F2F"/>
          <w:sz w:val="22"/>
          <w:szCs w:val="18"/>
          <w:shd w:val="clear" w:color="auto" w:fill="FFFFFF"/>
        </w:rPr>
        <w:t>documental;</w:t>
      </w:r>
    </w:p>
    <w:p w14:paraId="23901365" w14:textId="77777777" w:rsidR="007906DD" w:rsidRPr="00957B2F" w:rsidRDefault="007906DD" w:rsidP="007906DD">
      <w:pPr>
        <w:pStyle w:val="Prrafodelista"/>
        <w:spacing w:line="360" w:lineRule="auto"/>
        <w:ind w:left="567" w:right="567"/>
        <w:jc w:val="both"/>
        <w:rPr>
          <w:rFonts w:ascii="Palatino Linotype" w:hAnsi="Palatino Linotype" w:cs="Arial"/>
          <w:b/>
          <w:bCs/>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t>…</w:t>
      </w:r>
    </w:p>
    <w:p w14:paraId="6944DCC9" w14:textId="4F4E2921" w:rsidR="007906DD" w:rsidRPr="00957B2F" w:rsidRDefault="007906DD" w:rsidP="007906DD">
      <w:pPr>
        <w:pStyle w:val="Prrafodelista"/>
        <w:spacing w:line="360" w:lineRule="auto"/>
        <w:ind w:left="567" w:right="567"/>
        <w:jc w:val="both"/>
        <w:rPr>
          <w:rFonts w:ascii="Palatino Linotype" w:hAnsi="Palatino Linotype" w:cs="Arial"/>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t>V. Archivo de trám</w:t>
      </w:r>
      <w:r w:rsidR="00B26661">
        <w:rPr>
          <w:rFonts w:ascii="Palatino Linotype" w:hAnsi="Palatino Linotype" w:cs="Arial"/>
          <w:b/>
          <w:bCs/>
          <w:i/>
          <w:color w:val="2F2F2F"/>
          <w:sz w:val="22"/>
          <w:szCs w:val="18"/>
          <w:shd w:val="clear" w:color="auto" w:fill="FFFFFF"/>
        </w:rPr>
        <w:t xml:space="preserve">ite: </w:t>
      </w:r>
      <w:r w:rsidRPr="00957B2F">
        <w:rPr>
          <w:rFonts w:ascii="Palatino Linotype" w:hAnsi="Palatino Linotype" w:cs="Arial"/>
          <w:i/>
          <w:color w:val="2F2F2F"/>
          <w:sz w:val="22"/>
          <w:szCs w:val="18"/>
          <w:shd w:val="clear" w:color="auto" w:fill="FFFFFF"/>
        </w:rPr>
        <w:t>La unidad responsable de la administración</w:t>
      </w:r>
      <w:r w:rsidR="0001633D">
        <w:rPr>
          <w:rFonts w:ascii="Palatino Linotype" w:hAnsi="Palatino Linotype" w:cs="Arial"/>
          <w:i/>
          <w:color w:val="2F2F2F"/>
          <w:sz w:val="22"/>
          <w:szCs w:val="18"/>
          <w:shd w:val="clear" w:color="auto" w:fill="FFFFFF"/>
        </w:rPr>
        <w:t xml:space="preserve"> de documentos de uso cotidiano </w:t>
      </w:r>
      <w:r w:rsidRPr="00957B2F">
        <w:rPr>
          <w:rFonts w:ascii="Palatino Linotype" w:hAnsi="Palatino Linotype" w:cs="Arial"/>
          <w:i/>
          <w:color w:val="2F2F2F"/>
          <w:sz w:val="22"/>
          <w:szCs w:val="18"/>
          <w:shd w:val="clear" w:color="auto" w:fill="FFFFFF"/>
        </w:rPr>
        <w:t>y necesario para el ejercicio de las atribuciones de una un</w:t>
      </w:r>
      <w:r w:rsidR="0001633D">
        <w:rPr>
          <w:rFonts w:ascii="Palatino Linotype" w:hAnsi="Palatino Linotype" w:cs="Arial"/>
          <w:i/>
          <w:color w:val="2F2F2F"/>
          <w:sz w:val="22"/>
          <w:szCs w:val="18"/>
          <w:shd w:val="clear" w:color="auto" w:fill="FFFFFF"/>
        </w:rPr>
        <w:t xml:space="preserve">idad administrativa, los cuales </w:t>
      </w:r>
      <w:r w:rsidRPr="00957B2F">
        <w:rPr>
          <w:rFonts w:ascii="Palatino Linotype" w:hAnsi="Palatino Linotype" w:cs="Arial"/>
          <w:i/>
          <w:color w:val="2F2F2F"/>
          <w:sz w:val="22"/>
          <w:szCs w:val="18"/>
          <w:shd w:val="clear" w:color="auto" w:fill="FFFFFF"/>
        </w:rPr>
        <w:t>permanecen en ella hasta su transferencia primaria;</w:t>
      </w:r>
    </w:p>
    <w:p w14:paraId="11D6F5B8" w14:textId="77777777" w:rsidR="007906DD" w:rsidRPr="00957B2F" w:rsidRDefault="007906DD" w:rsidP="007906DD">
      <w:pPr>
        <w:pStyle w:val="Prrafodelista"/>
        <w:spacing w:line="360" w:lineRule="auto"/>
        <w:ind w:left="567" w:right="567"/>
        <w:jc w:val="both"/>
        <w:rPr>
          <w:rFonts w:ascii="Palatino Linotype" w:hAnsi="Palatino Linotype" w:cs="Arial"/>
          <w:b/>
          <w:bCs/>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t>…</w:t>
      </w:r>
    </w:p>
    <w:p w14:paraId="7E9D607E" w14:textId="669875E8" w:rsidR="007906DD" w:rsidRPr="00957B2F" w:rsidRDefault="007906DD" w:rsidP="007906DD">
      <w:pPr>
        <w:pStyle w:val="Prrafodelista"/>
        <w:spacing w:line="360" w:lineRule="auto"/>
        <w:ind w:left="567" w:right="567"/>
        <w:jc w:val="both"/>
        <w:rPr>
          <w:rFonts w:ascii="Palatino Linotype" w:hAnsi="Palatino Linotype" w:cs="Arial"/>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t>X. Ciclo vital del documento:</w:t>
      </w:r>
      <w:r w:rsidR="0001633D">
        <w:rPr>
          <w:rFonts w:ascii="Palatino Linotype" w:hAnsi="Palatino Linotype" w:cs="Arial"/>
          <w:i/>
          <w:color w:val="2F2F2F"/>
          <w:sz w:val="22"/>
          <w:szCs w:val="18"/>
          <w:shd w:val="clear" w:color="auto" w:fill="FFFFFF"/>
        </w:rPr>
        <w:t xml:space="preserve"> </w:t>
      </w:r>
      <w:r w:rsidRPr="00957B2F">
        <w:rPr>
          <w:rFonts w:ascii="Palatino Linotype" w:hAnsi="Palatino Linotype" w:cs="Arial"/>
          <w:i/>
          <w:color w:val="2F2F2F"/>
          <w:sz w:val="22"/>
          <w:szCs w:val="18"/>
          <w:shd w:val="clear" w:color="auto" w:fill="FFFFFF"/>
        </w:rPr>
        <w:t xml:space="preserve">Las etapas de los documentos </w:t>
      </w:r>
      <w:r w:rsidR="0001633D">
        <w:rPr>
          <w:rFonts w:ascii="Palatino Linotype" w:hAnsi="Palatino Linotype" w:cs="Arial"/>
          <w:i/>
          <w:color w:val="2F2F2F"/>
          <w:sz w:val="22"/>
          <w:szCs w:val="18"/>
          <w:shd w:val="clear" w:color="auto" w:fill="FFFFFF"/>
        </w:rPr>
        <w:t xml:space="preserve">desde su producción o recepción </w:t>
      </w:r>
      <w:r w:rsidRPr="00957B2F">
        <w:rPr>
          <w:rFonts w:ascii="Palatino Linotype" w:hAnsi="Palatino Linotype" w:cs="Arial"/>
          <w:i/>
          <w:color w:val="2F2F2F"/>
          <w:sz w:val="22"/>
          <w:szCs w:val="18"/>
          <w:shd w:val="clear" w:color="auto" w:fill="FFFFFF"/>
        </w:rPr>
        <w:t>hasta su baja o transferencia a un archivo histórico;</w:t>
      </w:r>
    </w:p>
    <w:p w14:paraId="768BBB01" w14:textId="77777777" w:rsidR="007906DD" w:rsidRPr="00957B2F" w:rsidRDefault="007906DD" w:rsidP="007906DD">
      <w:pPr>
        <w:pStyle w:val="Prrafodelista"/>
        <w:spacing w:line="360" w:lineRule="auto"/>
        <w:ind w:left="567" w:right="567"/>
        <w:jc w:val="both"/>
        <w:rPr>
          <w:rFonts w:ascii="Palatino Linotype" w:hAnsi="Palatino Linotype" w:cs="Arial"/>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t>…</w:t>
      </w:r>
    </w:p>
    <w:p w14:paraId="699211AB" w14:textId="4082A664" w:rsidR="007906DD" w:rsidRPr="00957B2F" w:rsidRDefault="007906DD" w:rsidP="007906DD">
      <w:pPr>
        <w:pStyle w:val="Prrafodelista"/>
        <w:spacing w:line="360" w:lineRule="auto"/>
        <w:ind w:left="567" w:right="567"/>
        <w:jc w:val="both"/>
        <w:rPr>
          <w:rFonts w:ascii="Palatino Linotype" w:hAnsi="Palatino Linotype" w:cs="Arial"/>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lastRenderedPageBreak/>
        <w:t>XLVIII. Transferencia documental:</w:t>
      </w:r>
      <w:r w:rsidR="0001633D">
        <w:rPr>
          <w:rFonts w:ascii="Palatino Linotype" w:hAnsi="Palatino Linotype" w:cs="Arial"/>
          <w:i/>
          <w:color w:val="2F2F2F"/>
          <w:sz w:val="22"/>
          <w:szCs w:val="18"/>
          <w:shd w:val="clear" w:color="auto" w:fill="FFFFFF"/>
        </w:rPr>
        <w:t xml:space="preserve"> </w:t>
      </w:r>
      <w:r w:rsidRPr="00957B2F">
        <w:rPr>
          <w:rFonts w:ascii="Palatino Linotype" w:hAnsi="Palatino Linotype" w:cs="Arial"/>
          <w:i/>
          <w:color w:val="2F2F2F"/>
          <w:sz w:val="22"/>
          <w:szCs w:val="18"/>
          <w:shd w:val="clear" w:color="auto" w:fill="FFFFFF"/>
        </w:rPr>
        <w:t>El traslado controlado y sistemá</w:t>
      </w:r>
      <w:r w:rsidR="0001633D">
        <w:rPr>
          <w:rFonts w:ascii="Palatino Linotype" w:hAnsi="Palatino Linotype" w:cs="Arial"/>
          <w:i/>
          <w:color w:val="2F2F2F"/>
          <w:sz w:val="22"/>
          <w:szCs w:val="18"/>
          <w:shd w:val="clear" w:color="auto" w:fill="FFFFFF"/>
        </w:rPr>
        <w:t xml:space="preserve">tico de expedientes de consulta </w:t>
      </w:r>
      <w:r w:rsidRPr="00957B2F">
        <w:rPr>
          <w:rFonts w:ascii="Palatino Linotype" w:hAnsi="Palatino Linotype" w:cs="Arial"/>
          <w:i/>
          <w:color w:val="2F2F2F"/>
          <w:sz w:val="22"/>
          <w:szCs w:val="18"/>
          <w:shd w:val="clear" w:color="auto" w:fill="FFFFFF"/>
        </w:rPr>
        <w:t>esporádica de un archivo de trámite al archivo de concentració</w:t>
      </w:r>
      <w:r w:rsidR="0001633D">
        <w:rPr>
          <w:rFonts w:ascii="Palatino Linotype" w:hAnsi="Palatino Linotype" w:cs="Arial"/>
          <w:i/>
          <w:color w:val="2F2F2F"/>
          <w:sz w:val="22"/>
          <w:szCs w:val="18"/>
          <w:shd w:val="clear" w:color="auto" w:fill="FFFFFF"/>
        </w:rPr>
        <w:t xml:space="preserve">n (transferencia primaria) y de </w:t>
      </w:r>
      <w:r w:rsidRPr="00957B2F">
        <w:rPr>
          <w:rFonts w:ascii="Palatino Linotype" w:hAnsi="Palatino Linotype" w:cs="Arial"/>
          <w:i/>
          <w:color w:val="2F2F2F"/>
          <w:sz w:val="22"/>
          <w:szCs w:val="18"/>
          <w:shd w:val="clear" w:color="auto" w:fill="FFFFFF"/>
        </w:rPr>
        <w:t>expedientes que deben conservarse de manera permanente, del archivo de concentración al archivo histórico (transferencia secundaria);</w:t>
      </w:r>
    </w:p>
    <w:p w14:paraId="23BCB426" w14:textId="77777777" w:rsidR="007906DD" w:rsidRPr="00957B2F" w:rsidRDefault="007906DD" w:rsidP="007906DD">
      <w:pPr>
        <w:spacing w:line="360" w:lineRule="auto"/>
        <w:ind w:right="567"/>
        <w:jc w:val="both"/>
        <w:rPr>
          <w:rFonts w:ascii="Palatino Linotype" w:hAnsi="Palatino Linotype" w:cs="Arial"/>
          <w:i/>
          <w:color w:val="2F2F2F"/>
          <w:sz w:val="22"/>
          <w:szCs w:val="18"/>
          <w:shd w:val="clear" w:color="auto" w:fill="FFFFFF"/>
        </w:rPr>
      </w:pPr>
    </w:p>
    <w:p w14:paraId="1957E648" w14:textId="77777777" w:rsidR="007906DD" w:rsidRPr="00957B2F" w:rsidRDefault="007906DD" w:rsidP="006A1716">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957B2F">
        <w:rPr>
          <w:rFonts w:ascii="Palatino Linotype" w:eastAsia="Times New Roman" w:hAnsi="Palatino Linotype" w:cs="Arial"/>
          <w:color w:val="000000"/>
        </w:rPr>
        <w:t xml:space="preserve">De lo anterior, se entiende que los documentos cuentan con un ciclo vital, dicho de otra manera, son etapas a las que son sometidos desde su producción o recepción hasta su baja o transferencia a un archivo histórico, la primer etapa es el Archivo de Trámite, ahí se depositan todos los archivos de uso cotidiano y que son necesarios para el ejercicio de las atribuciones de una entidad administrativa, y permanecen ahí hasta su transferencia primaria, al Archivo de Concentración, en esta área se mantienen los archivos cuya consulta es esporádica y permanecen ahí hasta su transferencia secundaria (Archivo Histórico) o baja documental. En ese sentido, el artículo 24 de </w:t>
      </w:r>
      <w:r w:rsidRPr="00957B2F">
        <w:rPr>
          <w:rFonts w:ascii="Palatino Linotype" w:eastAsia="Times New Roman" w:hAnsi="Palatino Linotype"/>
          <w:lang w:val="es-MX" w:eastAsia="es-MX"/>
        </w:rPr>
        <w:t>los Lineamientos por los que se establecen las Políticas y Criterios para realizar la Selección de los Documentos y Expedientes de Trámite Concluido existentes en los Archivos de las Unidades Administrativas de los Poderes del Estado y de los Municipios</w:t>
      </w:r>
      <w:r w:rsidRPr="00957B2F">
        <w:rPr>
          <w:rStyle w:val="Refdenotaalpie"/>
          <w:rFonts w:ascii="Palatino Linotype" w:eastAsia="Times New Roman" w:hAnsi="Palatino Linotype"/>
          <w:lang w:val="es-MX" w:eastAsia="es-MX"/>
        </w:rPr>
        <w:footnoteReference w:id="11"/>
      </w:r>
      <w:r w:rsidRPr="00957B2F">
        <w:rPr>
          <w:rFonts w:ascii="Palatino Linotype" w:eastAsia="Times New Roman" w:hAnsi="Palatino Linotype"/>
          <w:lang w:val="es-MX" w:eastAsia="es-MX"/>
        </w:rPr>
        <w:t>,</w:t>
      </w:r>
    </w:p>
    <w:p w14:paraId="5C2A0EC7" w14:textId="77777777" w:rsidR="007906DD" w:rsidRPr="00957B2F" w:rsidRDefault="007906DD" w:rsidP="007906DD">
      <w:pPr>
        <w:pStyle w:val="Prrafodelista"/>
        <w:spacing w:line="360" w:lineRule="auto"/>
        <w:ind w:left="0" w:right="49"/>
        <w:jc w:val="both"/>
        <w:rPr>
          <w:rFonts w:ascii="Palatino Linotype" w:eastAsia="Times New Roman" w:hAnsi="Palatino Linotype" w:cs="Arial"/>
          <w:color w:val="000000"/>
        </w:rPr>
      </w:pPr>
    </w:p>
    <w:p w14:paraId="5485D217" w14:textId="77777777" w:rsidR="007906DD" w:rsidRPr="00957B2F" w:rsidRDefault="007906DD" w:rsidP="007906DD">
      <w:pPr>
        <w:spacing w:after="360" w:line="360" w:lineRule="auto"/>
        <w:ind w:left="567"/>
        <w:jc w:val="both"/>
        <w:rPr>
          <w:rFonts w:ascii="Palatino Linotype" w:eastAsia="Times New Roman" w:hAnsi="Palatino Linotype"/>
          <w:sz w:val="22"/>
          <w:szCs w:val="22"/>
          <w:lang w:val="es-MX" w:eastAsia="es-MX"/>
        </w:rPr>
      </w:pPr>
      <w:r w:rsidRPr="00957B2F">
        <w:rPr>
          <w:rFonts w:ascii="Palatino Linotype" w:eastAsia="Times New Roman" w:hAnsi="Palatino Linotype"/>
          <w:b/>
          <w:bCs/>
          <w:i/>
          <w:iCs/>
          <w:sz w:val="22"/>
          <w:szCs w:val="22"/>
          <w:lang w:val="es-MX" w:eastAsia="es-MX"/>
        </w:rPr>
        <w:t>Artículo 24.-</w:t>
      </w:r>
      <w:r w:rsidRPr="00957B2F">
        <w:rPr>
          <w:rFonts w:ascii="Palatino Linotype" w:eastAsia="Times New Roman" w:hAnsi="Palatino Linotype"/>
          <w:i/>
          <w:iCs/>
          <w:sz w:val="22"/>
          <w:szCs w:val="22"/>
          <w:lang w:val="es-MX" w:eastAsia="es-MX"/>
        </w:rPr>
        <w:t xml:space="preserve"> Las unidades administrativas al realizar la transferencia de los expedientes de trámite concluido, señalaran en el “Inventario” los plazos de conservación precaucional de éstos en el Archivo </w:t>
      </w:r>
      <w:r w:rsidRPr="00957B2F">
        <w:rPr>
          <w:rFonts w:ascii="Palatino Linotype" w:eastAsia="Times New Roman" w:hAnsi="Palatino Linotype"/>
          <w:i/>
          <w:iCs/>
          <w:sz w:val="22"/>
          <w:szCs w:val="22"/>
          <w:lang w:val="es-MX" w:eastAsia="es-MX"/>
        </w:rPr>
        <w:lastRenderedPageBreak/>
        <w:t>de Concentración. Para determinar el plazo de conservación precaucional deberán considerar el marco legal o administrativo bajo el cual se produjeron o recibieron los documentos y los siguientes períodos:</w:t>
      </w:r>
    </w:p>
    <w:p w14:paraId="2CD9A87A" w14:textId="77777777" w:rsidR="007906DD" w:rsidRPr="00957B2F" w:rsidRDefault="007906DD" w:rsidP="007906DD">
      <w:pPr>
        <w:spacing w:line="360" w:lineRule="auto"/>
        <w:ind w:left="567"/>
        <w:jc w:val="both"/>
        <w:rPr>
          <w:rFonts w:ascii="Palatino Linotype" w:eastAsia="Times New Roman" w:hAnsi="Palatino Linotype"/>
          <w:bCs/>
          <w:i/>
          <w:iCs/>
          <w:sz w:val="22"/>
          <w:szCs w:val="22"/>
          <w:u w:val="single"/>
          <w:lang w:val="es-MX" w:eastAsia="es-MX"/>
        </w:rPr>
      </w:pPr>
      <w:r w:rsidRPr="00957B2F">
        <w:rPr>
          <w:rFonts w:ascii="Palatino Linotype" w:eastAsia="Times New Roman" w:hAnsi="Palatino Linotype"/>
          <w:b/>
          <w:bCs/>
          <w:i/>
          <w:iCs/>
          <w:sz w:val="22"/>
          <w:szCs w:val="22"/>
          <w:lang w:val="es-MX" w:eastAsia="es-MX"/>
        </w:rPr>
        <w:t xml:space="preserve">I. </w:t>
      </w:r>
      <w:r w:rsidRPr="00957B2F">
        <w:rPr>
          <w:rFonts w:ascii="Palatino Linotype" w:eastAsia="Times New Roman" w:hAnsi="Palatino Linotype"/>
          <w:bCs/>
          <w:i/>
          <w:iCs/>
          <w:sz w:val="22"/>
          <w:szCs w:val="22"/>
          <w:u w:val="single"/>
          <w:lang w:val="es-MX" w:eastAsia="es-MX"/>
        </w:rPr>
        <w:t>6 años para expedientes con información administrativa;</w:t>
      </w:r>
    </w:p>
    <w:p w14:paraId="35212E48" w14:textId="77777777" w:rsidR="007906DD" w:rsidRPr="00957B2F" w:rsidRDefault="007906DD" w:rsidP="007906DD">
      <w:pPr>
        <w:spacing w:line="360" w:lineRule="auto"/>
        <w:ind w:left="567"/>
        <w:jc w:val="both"/>
        <w:rPr>
          <w:rFonts w:ascii="Palatino Linotype" w:eastAsia="Times New Roman" w:hAnsi="Palatino Linotype"/>
          <w:sz w:val="22"/>
          <w:szCs w:val="22"/>
          <w:lang w:val="es-MX" w:eastAsia="es-MX"/>
        </w:rPr>
      </w:pPr>
      <w:r w:rsidRPr="00957B2F">
        <w:rPr>
          <w:rFonts w:ascii="Palatino Linotype" w:eastAsia="Times New Roman" w:hAnsi="Palatino Linotype"/>
          <w:bCs/>
          <w:i/>
          <w:iCs/>
          <w:sz w:val="22"/>
          <w:szCs w:val="22"/>
          <w:lang w:val="es-MX" w:eastAsia="es-MX"/>
        </w:rPr>
        <w:t>…</w:t>
      </w:r>
    </w:p>
    <w:p w14:paraId="54F95174" w14:textId="77777777" w:rsidR="007906DD" w:rsidRPr="00957B2F" w:rsidRDefault="007906DD" w:rsidP="007906DD">
      <w:pPr>
        <w:pStyle w:val="Prrafodelista"/>
        <w:spacing w:line="360" w:lineRule="auto"/>
        <w:ind w:left="0" w:right="49"/>
        <w:jc w:val="both"/>
        <w:rPr>
          <w:rFonts w:ascii="Palatino Linotype" w:hAnsi="Palatino Linotype" w:cs="Arial"/>
        </w:rPr>
      </w:pPr>
    </w:p>
    <w:p w14:paraId="7BB6AC0C" w14:textId="77777777" w:rsidR="007906DD" w:rsidRPr="00957B2F" w:rsidRDefault="007906DD" w:rsidP="006A1716">
      <w:pPr>
        <w:pStyle w:val="Prrafodelista"/>
        <w:numPr>
          <w:ilvl w:val="0"/>
          <w:numId w:val="1"/>
        </w:numPr>
        <w:spacing w:line="360" w:lineRule="auto"/>
        <w:ind w:left="0" w:right="49" w:firstLine="0"/>
        <w:jc w:val="both"/>
        <w:rPr>
          <w:rFonts w:ascii="Palatino Linotype" w:hAnsi="Palatino Linotype" w:cs="Arial"/>
        </w:rPr>
      </w:pPr>
      <w:r w:rsidRPr="00957B2F">
        <w:rPr>
          <w:rFonts w:ascii="Palatino Linotype" w:hAnsi="Palatino Linotype" w:cs="Arial"/>
        </w:rPr>
        <w:t xml:space="preserve">Los archivos permanecerán en Archivo de Trámite hasta que sean transferidos al Archivo de Concentración, en donde su plazo de conservación precaucional de acuerdo a los lineamientos en cito, será de 6 años para los expedientes con información administrativa, sin embargo, el artículo 8 de la Ley de Documentos Administrativos e Históricos del Estado de México establece que </w:t>
      </w:r>
      <w:r w:rsidRPr="00957B2F">
        <w:rPr>
          <w:rFonts w:ascii="Palatino Linotype" w:hAnsi="Palatino Linotype" w:cs="Arial"/>
          <w:b/>
        </w:rPr>
        <w:t>los documentos de contenido administrativo de importancia</w:t>
      </w:r>
      <w:r w:rsidRPr="00957B2F">
        <w:rPr>
          <w:rFonts w:ascii="Palatino Linotype" w:hAnsi="Palatino Linotype" w:cs="Arial"/>
        </w:rPr>
        <w:t xml:space="preserve">, </w:t>
      </w:r>
      <w:r w:rsidRPr="00957B2F">
        <w:rPr>
          <w:rFonts w:ascii="Palatino Linotype" w:hAnsi="Palatino Linotype" w:cs="Arial"/>
          <w:b/>
        </w:rPr>
        <w:t>serán conservados por 20 años</w:t>
      </w:r>
      <w:r w:rsidRPr="00957B2F">
        <w:rPr>
          <w:rFonts w:ascii="Palatino Linotype" w:hAnsi="Palatino Linotype" w:cs="Arial"/>
        </w:rPr>
        <w:t xml:space="preserve">. </w:t>
      </w:r>
    </w:p>
    <w:p w14:paraId="29F3518E" w14:textId="77777777" w:rsidR="007906DD" w:rsidRPr="00957B2F" w:rsidRDefault="007906DD" w:rsidP="007906DD">
      <w:pPr>
        <w:pStyle w:val="Prrafodelista"/>
        <w:spacing w:line="360" w:lineRule="auto"/>
        <w:ind w:left="0" w:right="49"/>
        <w:jc w:val="both"/>
        <w:rPr>
          <w:rFonts w:ascii="Palatino Linotype" w:hAnsi="Palatino Linotype" w:cs="Arial"/>
          <w:b/>
          <w:i/>
          <w:sz w:val="22"/>
          <w:szCs w:val="22"/>
          <w:lang w:val="es-ES"/>
        </w:rPr>
      </w:pPr>
    </w:p>
    <w:p w14:paraId="768C7E8A" w14:textId="77777777" w:rsidR="007906DD" w:rsidRPr="00957B2F" w:rsidRDefault="007906DD" w:rsidP="007906DD">
      <w:pPr>
        <w:pStyle w:val="Prrafodelista"/>
        <w:spacing w:line="360" w:lineRule="auto"/>
        <w:ind w:left="567" w:right="567"/>
        <w:jc w:val="both"/>
        <w:rPr>
          <w:rFonts w:ascii="Palatino Linotype" w:eastAsia="Times New Roman" w:hAnsi="Palatino Linotype" w:cs="Arial"/>
          <w:color w:val="000000"/>
        </w:rPr>
      </w:pPr>
      <w:r w:rsidRPr="00957B2F">
        <w:rPr>
          <w:rFonts w:ascii="Palatino Linotype" w:hAnsi="Palatino Linotype" w:cs="Arial"/>
          <w:b/>
          <w:i/>
          <w:sz w:val="22"/>
          <w:szCs w:val="22"/>
          <w:lang w:val="es-ES"/>
        </w:rPr>
        <w:t>Artículo 8.-</w:t>
      </w:r>
      <w:r w:rsidRPr="00957B2F">
        <w:rPr>
          <w:rFonts w:ascii="Palatino Linotype" w:hAnsi="Palatino Linotype" w:cs="Arial"/>
          <w:i/>
          <w:sz w:val="22"/>
          <w:szCs w:val="22"/>
          <w:lang w:val="es-ES"/>
        </w:rPr>
        <w:t xml:space="preserve"> Los documentos de </w:t>
      </w:r>
      <w:r w:rsidRPr="00957B2F">
        <w:rPr>
          <w:rFonts w:ascii="Palatino Linotype" w:hAnsi="Palatino Linotype" w:cs="Arial"/>
          <w:b/>
          <w:i/>
          <w:sz w:val="22"/>
          <w:szCs w:val="22"/>
          <w:lang w:val="es-ES"/>
        </w:rPr>
        <w:t>contenido administrativo de importancia,</w:t>
      </w:r>
      <w:r w:rsidRPr="00957B2F">
        <w:rPr>
          <w:rFonts w:ascii="Palatino Linotype" w:hAnsi="Palatino Linotype" w:cs="Arial"/>
          <w:i/>
          <w:sz w:val="22"/>
          <w:szCs w:val="22"/>
          <w:lang w:val="es-ES"/>
        </w:rPr>
        <w:t xml:space="preserve"> </w:t>
      </w:r>
      <w:r w:rsidRPr="00957B2F">
        <w:rPr>
          <w:rFonts w:ascii="Palatino Linotype" w:hAnsi="Palatino Linotype" w:cs="Arial"/>
          <w:b/>
          <w:i/>
          <w:sz w:val="22"/>
          <w:szCs w:val="22"/>
          <w:lang w:val="es-ES"/>
        </w:rPr>
        <w:t>serán conservados por 20 año</w:t>
      </w:r>
      <w:r w:rsidRPr="00957B2F">
        <w:rPr>
          <w:rFonts w:ascii="Palatino Linotype" w:hAnsi="Palatino Linotype" w:cs="Arial"/>
          <w:i/>
          <w:sz w:val="22"/>
          <w:szCs w:val="22"/>
          <w:lang w:val="es-ES"/>
        </w:rPr>
        <w:t>s, y si el documento se vincula con las funciones de 2 ó más sujetos públicos, deberá transmitirse la información correspondiente, para el efecto, del proceso o vaciado en otros documentos.</w:t>
      </w:r>
    </w:p>
    <w:p w14:paraId="06DF58B1" w14:textId="77777777" w:rsidR="007906DD" w:rsidRPr="00957B2F" w:rsidRDefault="007906DD" w:rsidP="007906DD">
      <w:pPr>
        <w:pStyle w:val="Prrafodelista"/>
        <w:spacing w:line="360" w:lineRule="auto"/>
        <w:ind w:left="0" w:right="49"/>
        <w:jc w:val="both"/>
        <w:rPr>
          <w:rFonts w:ascii="Palatino Linotype" w:eastAsia="Times New Roman" w:hAnsi="Palatino Linotype" w:cs="Arial"/>
          <w:color w:val="000000"/>
        </w:rPr>
      </w:pPr>
    </w:p>
    <w:p w14:paraId="778CB51B" w14:textId="004BE6F8" w:rsidR="006A1716" w:rsidRDefault="001A2002" w:rsidP="006A1716">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Se debe enfatizar que bajo el principio de </w:t>
      </w:r>
      <w:r w:rsidR="00847B6D">
        <w:rPr>
          <w:rFonts w:ascii="Palatino Linotype" w:hAnsi="Palatino Linotype"/>
          <w:lang w:val="es-ES"/>
        </w:rPr>
        <w:t xml:space="preserve">certeza se procedió a consultar el </w:t>
      </w:r>
      <w:r w:rsidR="00847B6D" w:rsidRPr="00711512">
        <w:rPr>
          <w:rFonts w:ascii="Palatino Linotype" w:hAnsi="Palatino Linotype"/>
          <w:b/>
          <w:lang w:val="es-ES"/>
        </w:rPr>
        <w:t>Cuadro General de Clasificación Archivística y Catálogo de Disposición Documental de la Fiscalía General de Justicia del Estado de México</w:t>
      </w:r>
      <w:r w:rsidR="00847B6D">
        <w:rPr>
          <w:rFonts w:ascii="Palatino Linotype" w:hAnsi="Palatino Linotype"/>
          <w:lang w:val="es-ES"/>
        </w:rPr>
        <w:t>:</w:t>
      </w:r>
    </w:p>
    <w:p w14:paraId="11A258E2" w14:textId="77777777" w:rsidR="00847B6D" w:rsidRDefault="00847B6D" w:rsidP="00847B6D">
      <w:pPr>
        <w:pStyle w:val="Prrafodelista"/>
        <w:tabs>
          <w:tab w:val="left" w:pos="851"/>
        </w:tabs>
        <w:spacing w:before="240" w:after="240" w:line="360" w:lineRule="auto"/>
        <w:ind w:left="0" w:right="49"/>
        <w:jc w:val="both"/>
        <w:rPr>
          <w:rFonts w:ascii="Palatino Linotype" w:hAnsi="Palatino Linotype"/>
          <w:lang w:val="es-ES"/>
        </w:rPr>
      </w:pPr>
    </w:p>
    <w:p w14:paraId="7A7906A9" w14:textId="228E1682" w:rsidR="001A2002" w:rsidRPr="006A1716" w:rsidRDefault="001A2002" w:rsidP="00847B6D">
      <w:pPr>
        <w:pStyle w:val="Prrafodelista"/>
        <w:tabs>
          <w:tab w:val="left" w:pos="851"/>
        </w:tabs>
        <w:spacing w:before="240" w:after="240" w:line="360" w:lineRule="auto"/>
        <w:ind w:left="0" w:right="49"/>
        <w:jc w:val="both"/>
        <w:rPr>
          <w:rFonts w:ascii="Palatino Linotype" w:hAnsi="Palatino Linotype"/>
          <w:lang w:val="es-ES"/>
        </w:rPr>
      </w:pPr>
      <w:r>
        <w:rPr>
          <w:noProof/>
          <w:lang w:val="es-MX" w:eastAsia="es-MX"/>
        </w:rPr>
        <w:lastRenderedPageBreak/>
        <w:drawing>
          <wp:inline distT="0" distB="0" distL="0" distR="0" wp14:anchorId="40024B33" wp14:editId="30246BE4">
            <wp:extent cx="5524500" cy="4552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686" t="8197" r="15200" b="4068"/>
                    <a:stretch/>
                  </pic:blipFill>
                  <pic:spPr bwMode="auto">
                    <a:xfrm>
                      <a:off x="0" y="0"/>
                      <a:ext cx="5524500" cy="4552950"/>
                    </a:xfrm>
                    <a:prstGeom prst="rect">
                      <a:avLst/>
                    </a:prstGeom>
                    <a:ln>
                      <a:noFill/>
                    </a:ln>
                    <a:extLst>
                      <a:ext uri="{53640926-AAD7-44D8-BBD7-CCE9431645EC}">
                        <a14:shadowObscured xmlns:a14="http://schemas.microsoft.com/office/drawing/2010/main"/>
                      </a:ext>
                    </a:extLst>
                  </pic:spPr>
                </pic:pic>
              </a:graphicData>
            </a:graphic>
          </wp:inline>
        </w:drawing>
      </w:r>
    </w:p>
    <w:p w14:paraId="4FF8537A" w14:textId="1BA84BDA" w:rsidR="00711512" w:rsidRPr="00B15153" w:rsidRDefault="00711512" w:rsidP="00711512">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26661">
        <w:rPr>
          <w:rFonts w:ascii="Palatino Linotype" w:hAnsi="Palatino Linotype"/>
          <w:lang w:val="es-ES"/>
        </w:rPr>
        <w:t xml:space="preserve">Fue así como se observó en el </w:t>
      </w:r>
      <w:r w:rsidRPr="00B26661">
        <w:rPr>
          <w:rFonts w:ascii="Palatino Linotype" w:hAnsi="Palatino Linotype"/>
          <w:b/>
          <w:lang w:val="es-ES"/>
        </w:rPr>
        <w:t xml:space="preserve">Cuadro General de Clasificación Archivística y Catálogo de Disposición Documental de la Fiscalía General de Justicia del Estado de México </w:t>
      </w:r>
      <w:r w:rsidRPr="00B26661">
        <w:rPr>
          <w:rFonts w:ascii="Palatino Linotype" w:hAnsi="Palatino Linotype"/>
          <w:lang w:val="es-ES"/>
        </w:rPr>
        <w:t xml:space="preserve">que la información relativa a la nómina es la </w:t>
      </w:r>
      <w:r w:rsidRPr="00B26661">
        <w:rPr>
          <w:rFonts w:ascii="Palatino Linotype" w:hAnsi="Palatino Linotype"/>
        </w:rPr>
        <w:t xml:space="preserve">documentación que se genera con los movimientos quincenales en el Sistema Integral de Información de Personal, recepción de pre-nómina vía correo electrónico, por parte del Sistema Estatal de Informática (SEI), misma que se envía a la Dirección de Recursos Financieros y Control Presupuestal para continuar </w:t>
      </w:r>
      <w:r w:rsidR="00B26661">
        <w:rPr>
          <w:rFonts w:ascii="Palatino Linotype" w:hAnsi="Palatino Linotype"/>
        </w:rPr>
        <w:t>con el proceso de comprobación, y dicho archivo se encuentra integrado por un o</w:t>
      </w:r>
      <w:r w:rsidRPr="00B26661">
        <w:rPr>
          <w:rFonts w:ascii="Palatino Linotype" w:hAnsi="Palatino Linotype"/>
        </w:rPr>
        <w:t xml:space="preserve">ficio de envío de archivos electrónicos e impreso de acuerdo </w:t>
      </w:r>
      <w:r w:rsidRPr="00B26661">
        <w:rPr>
          <w:rFonts w:ascii="Palatino Linotype" w:hAnsi="Palatino Linotype"/>
        </w:rPr>
        <w:lastRenderedPageBreak/>
        <w:t>a formatos solicitados por el Órgano Superior de Fiscalización</w:t>
      </w:r>
      <w:r w:rsidR="00B26661">
        <w:rPr>
          <w:rFonts w:ascii="Palatino Linotype" w:hAnsi="Palatino Linotype"/>
        </w:rPr>
        <w:t xml:space="preserve"> del Estado de México (OSFEM) para su comprobación, t</w:t>
      </w:r>
      <w:r w:rsidRPr="00B26661">
        <w:rPr>
          <w:rFonts w:ascii="Palatino Linotype" w:hAnsi="Palatino Linotype"/>
        </w:rPr>
        <w:t>ítulo</w:t>
      </w:r>
      <w:r w:rsidR="00B26661">
        <w:rPr>
          <w:rFonts w:ascii="Palatino Linotype" w:hAnsi="Palatino Linotype"/>
        </w:rPr>
        <w:t>s</w:t>
      </w:r>
      <w:r w:rsidRPr="00B26661">
        <w:rPr>
          <w:rFonts w:ascii="Palatino Linotype" w:hAnsi="Palatino Linotype"/>
        </w:rPr>
        <w:t xml:space="preserve"> de crédito</w:t>
      </w:r>
      <w:r w:rsidR="00B26661">
        <w:rPr>
          <w:rFonts w:ascii="Palatino Linotype" w:hAnsi="Palatino Linotype"/>
        </w:rPr>
        <w:t xml:space="preserve"> y el l</w:t>
      </w:r>
      <w:r w:rsidRPr="00B26661">
        <w:rPr>
          <w:rFonts w:ascii="Palatino Linotype" w:hAnsi="Palatino Linotype"/>
        </w:rPr>
        <w:t>istado de nómina de los que cobran por título de crédito</w:t>
      </w:r>
      <w:r w:rsidR="00B26661">
        <w:rPr>
          <w:rFonts w:ascii="Palatino Linotype" w:hAnsi="Palatino Linotype"/>
        </w:rPr>
        <w:t xml:space="preserve"> y que ésta Información se envía</w:t>
      </w:r>
      <w:r w:rsidRPr="00B26661">
        <w:rPr>
          <w:rFonts w:ascii="Palatino Linotype" w:hAnsi="Palatino Linotype"/>
        </w:rPr>
        <w:t xml:space="preserve"> a la Dirección de Recursos Financieros y Control Presupuestal en medio electrónico e impreso para su trámite ante el (OSFEM)</w:t>
      </w:r>
      <w:r w:rsidR="00B26661">
        <w:rPr>
          <w:rFonts w:ascii="Palatino Linotype" w:hAnsi="Palatino Linotype"/>
        </w:rPr>
        <w:t xml:space="preserve">enviándose a su vez el </w:t>
      </w:r>
      <w:r w:rsidRPr="00B26661">
        <w:rPr>
          <w:rFonts w:ascii="Palatino Linotype" w:hAnsi="Palatino Linotype"/>
        </w:rPr>
        <w:t>listado de nómina de los que cobran por título de crédito a la Subdirección de Control de Pagos de la Secretaría de Finanzas.</w:t>
      </w:r>
    </w:p>
    <w:p w14:paraId="7B37C35D" w14:textId="77777777" w:rsidR="00B15153" w:rsidRPr="00B26661" w:rsidRDefault="00B15153" w:rsidP="00B15153">
      <w:pPr>
        <w:pStyle w:val="Prrafodelista"/>
        <w:tabs>
          <w:tab w:val="left" w:pos="851"/>
        </w:tabs>
        <w:spacing w:before="240" w:after="240" w:line="360" w:lineRule="auto"/>
        <w:ind w:left="0" w:right="49"/>
        <w:jc w:val="both"/>
        <w:rPr>
          <w:rFonts w:ascii="Palatino Linotype" w:hAnsi="Palatino Linotype"/>
          <w:lang w:val="es-ES"/>
        </w:rPr>
      </w:pPr>
    </w:p>
    <w:p w14:paraId="415A28C9" w14:textId="494120E2" w:rsidR="007906DD" w:rsidRPr="00B26661" w:rsidRDefault="00B26661" w:rsidP="00B26661">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rPr>
        <w:t xml:space="preserve">Así mismo el cuadro a que hacemos referencia en párrafos anteriores dispone que dicha información solo será conservada hasta por diez años, </w:t>
      </w:r>
      <w:r>
        <w:rPr>
          <w:rFonts w:ascii="Palatino Linotype" w:eastAsia="Times New Roman" w:hAnsi="Palatino Linotype" w:cs="Arial"/>
          <w:color w:val="000000"/>
        </w:rPr>
        <w:t>e</w:t>
      </w:r>
      <w:r w:rsidR="007906DD" w:rsidRPr="00B26661">
        <w:rPr>
          <w:rFonts w:ascii="Palatino Linotype" w:eastAsia="Times New Roman" w:hAnsi="Palatino Linotype" w:cs="Arial"/>
          <w:color w:val="000000"/>
        </w:rPr>
        <w:t>n consecuencia, dado que el particular solicitó información relativa al año 200</w:t>
      </w:r>
      <w:r w:rsidR="006A1716" w:rsidRPr="00B26661">
        <w:rPr>
          <w:rFonts w:ascii="Palatino Linotype" w:eastAsia="Times New Roman" w:hAnsi="Palatino Linotype" w:cs="Arial"/>
          <w:color w:val="000000"/>
        </w:rPr>
        <w:t>0</w:t>
      </w:r>
      <w:r w:rsidR="007906DD" w:rsidRPr="00B26661">
        <w:rPr>
          <w:rFonts w:ascii="Palatino Linotype" w:eastAsia="Times New Roman" w:hAnsi="Palatino Linotype" w:cs="Arial"/>
          <w:color w:val="000000"/>
        </w:rPr>
        <w:t>, el plazo de conservación en el archivo de trámite</w:t>
      </w:r>
      <w:r>
        <w:rPr>
          <w:rFonts w:ascii="Palatino Linotype" w:eastAsia="Times New Roman" w:hAnsi="Palatino Linotype" w:cs="Arial"/>
          <w:color w:val="000000"/>
        </w:rPr>
        <w:t xml:space="preserve"> y de concentración</w:t>
      </w:r>
      <w:r w:rsidR="007906DD" w:rsidRPr="00B26661">
        <w:rPr>
          <w:rFonts w:ascii="Palatino Linotype" w:eastAsia="Times New Roman" w:hAnsi="Palatino Linotype" w:cs="Arial"/>
          <w:color w:val="000000"/>
        </w:rPr>
        <w:t xml:space="preserve"> ya feneció, por lo que pudiera ser que se haya procedido a su baja documental, de acuerdo a la normatividad y para tal efecto debe de contarse con dicho documento que dé certeza de que la información existió pero debido a la temporalidad se procedió a su baja, para mejor entendimiento se inserta la siguiente definición:</w:t>
      </w:r>
    </w:p>
    <w:p w14:paraId="3ADB807C" w14:textId="77777777" w:rsidR="007906DD" w:rsidRPr="005703BB" w:rsidRDefault="007906DD" w:rsidP="007906DD">
      <w:pPr>
        <w:autoSpaceDE w:val="0"/>
        <w:autoSpaceDN w:val="0"/>
        <w:adjustRightInd w:val="0"/>
        <w:spacing w:line="360" w:lineRule="auto"/>
        <w:ind w:left="567" w:right="567"/>
        <w:jc w:val="both"/>
        <w:rPr>
          <w:rFonts w:ascii="Palatino Linotype" w:hAnsi="Palatino Linotype" w:cs="CIDFont+F3"/>
          <w:i/>
          <w:sz w:val="22"/>
          <w:szCs w:val="22"/>
          <w:lang w:val="es-MX"/>
        </w:rPr>
      </w:pPr>
      <w:r w:rsidRPr="005703BB">
        <w:rPr>
          <w:rFonts w:ascii="Palatino Linotype" w:hAnsi="Palatino Linotype" w:cs="CIDFont+F1"/>
          <w:i/>
          <w:sz w:val="22"/>
          <w:szCs w:val="22"/>
          <w:lang w:val="es-MX"/>
        </w:rPr>
        <w:t xml:space="preserve">“Baja documental: </w:t>
      </w:r>
      <w:r w:rsidRPr="005703BB">
        <w:rPr>
          <w:rFonts w:ascii="Palatino Linotype" w:hAnsi="Palatino Linotype" w:cs="CIDFont+F3"/>
          <w:i/>
          <w:sz w:val="22"/>
          <w:szCs w:val="22"/>
          <w:lang w:val="es-MX"/>
        </w:rPr>
        <w:t>La eliminación de aquella documentación que haya prescrito en sus valores administrativos, legales, fiscales o contables, y que no contenga valores históricos.”</w:t>
      </w:r>
      <w:r>
        <w:rPr>
          <w:rStyle w:val="Refdenotaalpie"/>
          <w:rFonts w:ascii="Palatino Linotype" w:hAnsi="Palatino Linotype" w:cs="CIDFont+F3"/>
          <w:i/>
          <w:sz w:val="22"/>
          <w:szCs w:val="22"/>
          <w:lang w:val="es-MX"/>
        </w:rPr>
        <w:footnoteReference w:id="12"/>
      </w:r>
    </w:p>
    <w:p w14:paraId="11DCEA3E" w14:textId="5A512F34" w:rsidR="007906DD" w:rsidRPr="005750AA" w:rsidRDefault="007906DD" w:rsidP="006A1716">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eastAsia="Times New Roman" w:hAnsi="Palatino Linotype" w:cs="Arial"/>
          <w:color w:val="000000"/>
        </w:rPr>
        <w:t>Luego entonces, derivado de la falta de motivación acerca de las circunstancias por las cuales no se cuenta con la información del año 200</w:t>
      </w:r>
      <w:r w:rsidR="006A1716">
        <w:rPr>
          <w:rFonts w:ascii="Palatino Linotype" w:eastAsia="Times New Roman" w:hAnsi="Palatino Linotype" w:cs="Arial"/>
          <w:color w:val="000000"/>
        </w:rPr>
        <w:t>0</w:t>
      </w:r>
      <w:r>
        <w:rPr>
          <w:rFonts w:ascii="Palatino Linotype" w:eastAsia="Times New Roman" w:hAnsi="Palatino Linotype" w:cs="Arial"/>
          <w:color w:val="000000"/>
        </w:rPr>
        <w:t xml:space="preserve">, se ordena hacer una nueva búsqueda de la información a efecto de localizar y ponerla a disposición del particular, y </w:t>
      </w:r>
      <w:r>
        <w:rPr>
          <w:rFonts w:ascii="Palatino Linotype" w:eastAsia="Times New Roman" w:hAnsi="Palatino Linotype" w:cs="Arial"/>
          <w:color w:val="000000"/>
        </w:rPr>
        <w:lastRenderedPageBreak/>
        <w:t>sólo de ser el caso de que no se localice la información y que no se haya expedido la baja documental, el Sujeto Obligado deberá estar a lo dispuesto en el siguiente apartado.</w:t>
      </w:r>
    </w:p>
    <w:p w14:paraId="63131427" w14:textId="77777777" w:rsidR="007906DD" w:rsidRPr="006C084A" w:rsidRDefault="007906DD" w:rsidP="007906DD">
      <w:pPr>
        <w:pStyle w:val="Ttulo2"/>
        <w:numPr>
          <w:ilvl w:val="0"/>
          <w:numId w:val="10"/>
        </w:numPr>
        <w:rPr>
          <w:b w:val="0"/>
          <w:color w:val="auto"/>
        </w:rPr>
      </w:pPr>
      <w:bookmarkStart w:id="91" w:name="_Toc528081977"/>
      <w:bookmarkStart w:id="92" w:name="_Toc24928444"/>
      <w:r>
        <w:rPr>
          <w:color w:val="auto"/>
        </w:rPr>
        <w:t>De la Inexistencia.</w:t>
      </w:r>
      <w:bookmarkEnd w:id="91"/>
      <w:bookmarkEnd w:id="92"/>
    </w:p>
    <w:p w14:paraId="6DF90EE1" w14:textId="77777777" w:rsidR="007906DD" w:rsidRPr="002C13D5" w:rsidRDefault="007906DD" w:rsidP="007906DD">
      <w:pPr>
        <w:pStyle w:val="Prrafodelista"/>
        <w:autoSpaceDE w:val="0"/>
        <w:autoSpaceDN w:val="0"/>
        <w:adjustRightInd w:val="0"/>
        <w:spacing w:line="360" w:lineRule="auto"/>
        <w:ind w:left="0" w:right="567"/>
        <w:jc w:val="both"/>
        <w:rPr>
          <w:rFonts w:ascii="Palatino Linotype" w:hAnsi="Palatino Linotype"/>
          <w:iCs/>
        </w:rPr>
      </w:pPr>
    </w:p>
    <w:p w14:paraId="06BCD177" w14:textId="79FD90B5" w:rsidR="007906DD" w:rsidRPr="00B26661" w:rsidRDefault="007906DD" w:rsidP="00B26661">
      <w:pPr>
        <w:pStyle w:val="Prrafodelista"/>
        <w:numPr>
          <w:ilvl w:val="0"/>
          <w:numId w:val="1"/>
        </w:numPr>
        <w:spacing w:before="100" w:beforeAutospacing="1" w:after="100" w:afterAutospacing="1" w:line="360" w:lineRule="auto"/>
        <w:ind w:left="0" w:firstLine="0"/>
        <w:jc w:val="both"/>
        <w:rPr>
          <w:rFonts w:ascii="Palatino Linotype" w:hAnsi="Palatino Linotype" w:cs="Segoe UI"/>
        </w:rPr>
      </w:pPr>
      <w:r w:rsidRPr="00B26661">
        <w:rPr>
          <w:rFonts w:ascii="Palatino Linotype" w:hAnsi="Palatino Linotype"/>
          <w:color w:val="222222"/>
        </w:rPr>
        <w:t>Observando que el Sujeto Obligado tanto en respuesta como en informe justificado refiere no cuenta con la información del año 2007, es necesario trae</w:t>
      </w:r>
      <w:r w:rsidR="00B26661" w:rsidRPr="00B26661">
        <w:rPr>
          <w:rFonts w:ascii="Palatino Linotype" w:hAnsi="Palatino Linotype"/>
          <w:color w:val="222222"/>
        </w:rPr>
        <w:t xml:space="preserve">r a contexto lo que dispone la </w:t>
      </w:r>
      <w:r w:rsidRPr="00B26661">
        <w:rPr>
          <w:rFonts w:ascii="Palatino Linotype" w:hAnsi="Palatino Linotype"/>
          <w:b/>
          <w:bCs/>
          <w:color w:val="222222"/>
        </w:rPr>
        <w:t>Ley General de Transparencia y Acceso a la Información Pública</w:t>
      </w:r>
      <w:r w:rsidRPr="00B26661">
        <w:rPr>
          <w:rFonts w:ascii="Palatino Linotype" w:hAnsi="Palatino Linotype"/>
          <w:color w:val="222222"/>
        </w:rPr>
        <w:t>, en específico en su artículo 65 fracción III:</w:t>
      </w:r>
    </w:p>
    <w:p w14:paraId="14BC824C" w14:textId="71A2ECF3" w:rsidR="007906DD" w:rsidRPr="00B26661" w:rsidRDefault="00B26661" w:rsidP="007906DD">
      <w:pPr>
        <w:pStyle w:val="m-698976158124685028gmail-default"/>
        <w:shd w:val="clear" w:color="auto" w:fill="FFFFFF"/>
        <w:spacing w:before="0" w:beforeAutospacing="0" w:after="0" w:afterAutospacing="0" w:line="360" w:lineRule="auto"/>
        <w:ind w:left="567" w:right="567"/>
        <w:jc w:val="both"/>
        <w:rPr>
          <w:rFonts w:ascii="Palatino Linotype" w:hAnsi="Palatino Linotype"/>
          <w:color w:val="000000"/>
          <w:sz w:val="22"/>
        </w:rPr>
      </w:pPr>
      <w:r w:rsidRPr="00B26661">
        <w:rPr>
          <w:rFonts w:ascii="Palatino Linotype" w:hAnsi="Palatino Linotype"/>
          <w:b/>
          <w:bCs/>
          <w:i/>
          <w:iCs/>
          <w:color w:val="000000"/>
          <w:sz w:val="22"/>
        </w:rPr>
        <w:t xml:space="preserve">Artículo 65. </w:t>
      </w:r>
      <w:r w:rsidR="007906DD" w:rsidRPr="00B26661">
        <w:rPr>
          <w:rFonts w:ascii="Palatino Linotype" w:hAnsi="Palatino Linotype"/>
          <w:b/>
          <w:bCs/>
          <w:i/>
          <w:iCs/>
          <w:color w:val="000000"/>
          <w:sz w:val="22"/>
        </w:rPr>
        <w:t>Los Comités de Transparencia tendrán las facultades y atribuciones siguientes:</w:t>
      </w:r>
    </w:p>
    <w:p w14:paraId="1EDF5CB4" w14:textId="77777777" w:rsidR="007906DD" w:rsidRPr="00B26661" w:rsidRDefault="007906DD" w:rsidP="007906DD">
      <w:pPr>
        <w:pStyle w:val="m-698976158124685028gmail-default"/>
        <w:shd w:val="clear" w:color="auto" w:fill="FFFFFF"/>
        <w:spacing w:before="0" w:beforeAutospacing="0" w:after="0" w:afterAutospacing="0" w:line="360" w:lineRule="auto"/>
        <w:ind w:left="567" w:right="567"/>
        <w:jc w:val="both"/>
        <w:rPr>
          <w:rFonts w:ascii="Palatino Linotype" w:hAnsi="Palatino Linotype"/>
          <w:color w:val="000000"/>
          <w:sz w:val="22"/>
        </w:rPr>
      </w:pPr>
      <w:r w:rsidRPr="00B26661">
        <w:rPr>
          <w:rFonts w:ascii="Palatino Linotype" w:hAnsi="Palatino Linotype"/>
          <w:b/>
          <w:bCs/>
          <w:i/>
          <w:iCs/>
          <w:color w:val="000000"/>
          <w:sz w:val="22"/>
        </w:rPr>
        <w:t>…</w:t>
      </w:r>
    </w:p>
    <w:p w14:paraId="24149234" w14:textId="22C8D2C5" w:rsidR="007906DD" w:rsidRPr="00C23F11" w:rsidRDefault="0001633D" w:rsidP="00C23F11">
      <w:pPr>
        <w:shd w:val="clear" w:color="auto" w:fill="FFFFFF"/>
        <w:spacing w:before="240" w:after="240" w:line="360" w:lineRule="auto"/>
        <w:ind w:left="567" w:right="567"/>
        <w:jc w:val="both"/>
        <w:rPr>
          <w:rFonts w:ascii="Palatino Linotype" w:hAnsi="Palatino Linotype"/>
          <w:color w:val="222222"/>
          <w:sz w:val="22"/>
        </w:rPr>
      </w:pPr>
      <w:r>
        <w:rPr>
          <w:rFonts w:ascii="Palatino Linotype" w:hAnsi="Palatino Linotype"/>
          <w:b/>
          <w:bCs/>
          <w:i/>
          <w:iCs/>
          <w:color w:val="222222"/>
          <w:sz w:val="22"/>
          <w:u w:val="single"/>
        </w:rPr>
        <w:t xml:space="preserve">III. </w:t>
      </w:r>
      <w:r w:rsidR="007906DD" w:rsidRPr="00B26661">
        <w:rPr>
          <w:rFonts w:ascii="Palatino Linotype" w:hAnsi="Palatino Linotype"/>
          <w:b/>
          <w:bCs/>
          <w:i/>
          <w:iCs/>
          <w:color w:val="222222"/>
          <w:sz w:val="22"/>
          <w:u w:val="single"/>
        </w:rPr>
        <w:t>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14:paraId="44399075" w14:textId="09546620" w:rsidR="007906DD" w:rsidRPr="00B26661" w:rsidRDefault="0001633D" w:rsidP="00B26661">
      <w:pPr>
        <w:pStyle w:val="Prrafodelista"/>
        <w:numPr>
          <w:ilvl w:val="0"/>
          <w:numId w:val="1"/>
        </w:numPr>
        <w:spacing w:before="100" w:beforeAutospacing="1" w:after="100" w:afterAutospacing="1" w:line="360" w:lineRule="auto"/>
        <w:ind w:left="0" w:firstLine="0"/>
        <w:jc w:val="both"/>
        <w:rPr>
          <w:rFonts w:ascii="Palatino Linotype" w:hAnsi="Palatino Linotype"/>
          <w:color w:val="222222"/>
        </w:rPr>
      </w:pPr>
      <w:r>
        <w:rPr>
          <w:rFonts w:ascii="Palatino Linotype" w:hAnsi="Palatino Linotype"/>
          <w:color w:val="222222"/>
        </w:rPr>
        <w:t xml:space="preserve">Así mismo, la </w:t>
      </w:r>
      <w:r w:rsidR="007906DD" w:rsidRPr="00B26661">
        <w:rPr>
          <w:rFonts w:ascii="Palatino Linotype" w:hAnsi="Palatino Linotype"/>
          <w:b/>
          <w:bCs/>
          <w:color w:val="222222"/>
        </w:rPr>
        <w:t>Ley de Trasparencia y Acceso a la Información Pública del Estado de México y Municipios</w:t>
      </w:r>
      <w:r>
        <w:rPr>
          <w:rFonts w:ascii="Palatino Linotype" w:hAnsi="Palatino Linotype"/>
          <w:color w:val="222222"/>
        </w:rPr>
        <w:t xml:space="preserve"> </w:t>
      </w:r>
      <w:r w:rsidR="007906DD" w:rsidRPr="00B26661">
        <w:rPr>
          <w:rFonts w:ascii="Palatino Linotype" w:hAnsi="Palatino Linotype"/>
          <w:color w:val="222222"/>
        </w:rPr>
        <w:t>en su 169, fracción III, señala:</w:t>
      </w:r>
    </w:p>
    <w:p w14:paraId="6F67C1DA" w14:textId="3E9AB553" w:rsidR="007906DD" w:rsidRPr="00B26661" w:rsidRDefault="0001633D" w:rsidP="007906DD">
      <w:pPr>
        <w:pStyle w:val="m-698976158124685028gmail-msolistparagraph"/>
        <w:shd w:val="clear" w:color="auto" w:fill="FFFFFF"/>
        <w:spacing w:before="240" w:beforeAutospacing="0" w:after="240" w:afterAutospacing="0" w:line="360" w:lineRule="auto"/>
        <w:ind w:left="567" w:right="567"/>
        <w:jc w:val="both"/>
        <w:rPr>
          <w:rFonts w:ascii="Palatino Linotype" w:hAnsi="Palatino Linotype" w:cs="Bookman Old Style"/>
          <w:i/>
          <w:sz w:val="22"/>
          <w:szCs w:val="20"/>
        </w:rPr>
      </w:pPr>
      <w:r>
        <w:rPr>
          <w:rFonts w:ascii="Palatino Linotype" w:hAnsi="Palatino Linotype"/>
          <w:color w:val="222222"/>
          <w:lang w:val="es-ES_tradnl"/>
        </w:rPr>
        <w:t xml:space="preserve"> </w:t>
      </w:r>
      <w:r w:rsidR="007906DD" w:rsidRPr="00B26661">
        <w:rPr>
          <w:rFonts w:ascii="Palatino Linotype" w:hAnsi="Palatino Linotype" w:cs="Bookman Old Style,Bold"/>
          <w:b/>
          <w:bCs/>
          <w:i/>
          <w:sz w:val="22"/>
          <w:szCs w:val="20"/>
        </w:rPr>
        <w:t xml:space="preserve">Artículo 169. </w:t>
      </w:r>
      <w:r w:rsidR="007906DD" w:rsidRPr="00B26661">
        <w:rPr>
          <w:rFonts w:ascii="Palatino Linotype" w:hAnsi="Palatino Linotype" w:cs="Bookman Old Style"/>
          <w:i/>
          <w:sz w:val="22"/>
          <w:szCs w:val="20"/>
        </w:rPr>
        <w:t>Cuando la información no se encuentre en los archivos del sujeto obligado, el Comité de Transparencia:</w:t>
      </w:r>
    </w:p>
    <w:p w14:paraId="7A84B0DE" w14:textId="77777777" w:rsidR="007906DD" w:rsidRPr="00B26661" w:rsidRDefault="007906DD" w:rsidP="007906DD">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B26661">
        <w:rPr>
          <w:rFonts w:ascii="Palatino Linotype" w:hAnsi="Palatino Linotype" w:cs="Bookman Old Style,Bold"/>
          <w:b/>
          <w:bCs/>
          <w:i/>
          <w:sz w:val="22"/>
          <w:szCs w:val="20"/>
          <w:lang w:val="es-MX"/>
        </w:rPr>
        <w:t xml:space="preserve">I. </w:t>
      </w:r>
      <w:r w:rsidRPr="00B26661">
        <w:rPr>
          <w:rFonts w:ascii="Palatino Linotype" w:hAnsi="Palatino Linotype" w:cs="Bookman Old Style"/>
          <w:i/>
          <w:sz w:val="22"/>
          <w:szCs w:val="20"/>
          <w:lang w:val="es-MX"/>
        </w:rPr>
        <w:t>Analizará el caso y tomará las medidas necesarias para localizar la información;</w:t>
      </w:r>
    </w:p>
    <w:p w14:paraId="4F822B69" w14:textId="77777777" w:rsidR="007906DD" w:rsidRPr="00B26661" w:rsidRDefault="007906DD" w:rsidP="007906DD">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B26661">
        <w:rPr>
          <w:rFonts w:ascii="Palatino Linotype" w:hAnsi="Palatino Linotype" w:cs="Bookman Old Style,Bold"/>
          <w:b/>
          <w:bCs/>
          <w:i/>
          <w:sz w:val="22"/>
          <w:szCs w:val="20"/>
          <w:lang w:val="es-MX"/>
        </w:rPr>
        <w:lastRenderedPageBreak/>
        <w:t xml:space="preserve">II. </w:t>
      </w:r>
      <w:r w:rsidRPr="00B26661">
        <w:rPr>
          <w:rFonts w:ascii="Palatino Linotype" w:hAnsi="Palatino Linotype" w:cs="Bookman Old Style"/>
          <w:i/>
          <w:sz w:val="22"/>
          <w:szCs w:val="20"/>
          <w:lang w:val="es-MX"/>
        </w:rPr>
        <w:t>Expedirá una resolución que confirme la inexistencia del documento;</w:t>
      </w:r>
    </w:p>
    <w:p w14:paraId="4FC8313D" w14:textId="77777777" w:rsidR="007906DD" w:rsidRPr="00B26661" w:rsidRDefault="007906DD" w:rsidP="007906DD">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B26661">
        <w:rPr>
          <w:rFonts w:ascii="Palatino Linotype" w:hAnsi="Palatino Linotype" w:cs="Bookman Old Style,Bold"/>
          <w:b/>
          <w:bCs/>
          <w:i/>
          <w:sz w:val="22"/>
          <w:szCs w:val="20"/>
          <w:lang w:val="es-MX"/>
        </w:rPr>
        <w:t xml:space="preserve">III. </w:t>
      </w:r>
      <w:r w:rsidRPr="00B26661">
        <w:rPr>
          <w:rFonts w:ascii="Palatino Linotype" w:hAnsi="Palatino Linotype" w:cs="Bookman Old Style"/>
          <w:i/>
          <w:sz w:val="22"/>
          <w:szCs w:val="20"/>
          <w:lang w:val="es-MX"/>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4E15BFAF" w14:textId="77777777" w:rsidR="007906DD" w:rsidRPr="00B26661" w:rsidRDefault="007906DD" w:rsidP="007906DD">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B26661">
        <w:rPr>
          <w:rFonts w:ascii="Palatino Linotype" w:hAnsi="Palatino Linotype" w:cs="Bookman Old Style,Bold"/>
          <w:b/>
          <w:bCs/>
          <w:i/>
          <w:sz w:val="22"/>
          <w:szCs w:val="20"/>
          <w:lang w:val="es-MX"/>
        </w:rPr>
        <w:t xml:space="preserve">IV. </w:t>
      </w:r>
      <w:r w:rsidRPr="00B26661">
        <w:rPr>
          <w:rFonts w:ascii="Palatino Linotype" w:hAnsi="Palatino Linotype" w:cs="Bookman Old Style"/>
          <w:i/>
          <w:sz w:val="22"/>
          <w:szCs w:val="20"/>
          <w:lang w:val="es-MX"/>
        </w:rPr>
        <w:t>Notificará al órgano interno de control o equivalente del sujeto obligado quien, en su caso, deberá iniciar el procedimiento de responsabilidad administrativa que corresponda.</w:t>
      </w:r>
    </w:p>
    <w:p w14:paraId="33678433" w14:textId="77777777" w:rsidR="007906DD" w:rsidRPr="00B26661" w:rsidRDefault="007906DD" w:rsidP="007906DD">
      <w:pPr>
        <w:autoSpaceDE w:val="0"/>
        <w:autoSpaceDN w:val="0"/>
        <w:adjustRightInd w:val="0"/>
        <w:spacing w:line="360" w:lineRule="auto"/>
        <w:ind w:left="567" w:right="567"/>
        <w:jc w:val="both"/>
        <w:rPr>
          <w:rFonts w:ascii="Palatino Linotype" w:hAnsi="Palatino Linotype" w:cs="Bookman Old Style"/>
          <w:i/>
          <w:sz w:val="20"/>
          <w:szCs w:val="20"/>
          <w:lang w:val="es-MX"/>
        </w:rPr>
      </w:pPr>
    </w:p>
    <w:p w14:paraId="25477A63" w14:textId="77777777" w:rsidR="007906DD" w:rsidRPr="00B26661" w:rsidRDefault="007906DD" w:rsidP="007906DD">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B26661">
        <w:rPr>
          <w:rFonts w:ascii="Palatino Linotype" w:hAnsi="Palatino Linotype" w:cs="Bookman Old Style"/>
          <w:i/>
          <w:sz w:val="22"/>
          <w:szCs w:val="20"/>
          <w:lang w:val="es-MX"/>
        </w:rPr>
        <w:t>La Unidad de Transparencia deberá notificarlo al solicitante por escrito, en un plazo que no exceda de quince días hábiles contados a partir del día siguiente a la presentación de la solicitud.</w:t>
      </w:r>
    </w:p>
    <w:p w14:paraId="422EE3FC" w14:textId="77777777" w:rsidR="007906DD" w:rsidRPr="00B26661" w:rsidRDefault="007906DD" w:rsidP="007906DD">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1BED00FB" w14:textId="77777777" w:rsidR="007906DD" w:rsidRPr="00B26661" w:rsidRDefault="007906DD" w:rsidP="007906DD">
      <w:pPr>
        <w:autoSpaceDE w:val="0"/>
        <w:autoSpaceDN w:val="0"/>
        <w:adjustRightInd w:val="0"/>
        <w:spacing w:line="360" w:lineRule="auto"/>
        <w:ind w:left="567" w:right="567"/>
        <w:jc w:val="both"/>
        <w:rPr>
          <w:rFonts w:ascii="Palatino Linotype" w:hAnsi="Palatino Linotype"/>
          <w:i/>
          <w:iCs/>
          <w:color w:val="222222"/>
          <w:sz w:val="28"/>
        </w:rPr>
      </w:pPr>
      <w:r w:rsidRPr="00B26661">
        <w:rPr>
          <w:rFonts w:ascii="Palatino Linotype" w:hAnsi="Palatino Linotype" w:cs="Bookman Old Style"/>
          <w:i/>
          <w:sz w:val="22"/>
          <w:szCs w:val="20"/>
          <w:lang w:val="es-MX"/>
        </w:rPr>
        <w:t>Este plazo podrá ampliarse hasta por otros siete días hábiles, siempre que existan razones para ello, debiendo notificarse por escrito al solicitante.</w:t>
      </w:r>
    </w:p>
    <w:p w14:paraId="6E4B6D21" w14:textId="77777777" w:rsidR="007906DD" w:rsidRPr="00B26661" w:rsidRDefault="007906DD" w:rsidP="007906DD">
      <w:pPr>
        <w:shd w:val="clear" w:color="auto" w:fill="FFFFFF"/>
        <w:spacing w:line="360" w:lineRule="auto"/>
        <w:ind w:left="567" w:right="567"/>
        <w:jc w:val="both"/>
        <w:rPr>
          <w:rFonts w:ascii="Palatino Linotype" w:hAnsi="Palatino Linotype"/>
          <w:color w:val="222222"/>
        </w:rPr>
      </w:pPr>
    </w:p>
    <w:p w14:paraId="5EA683EC" w14:textId="3E97EE9A" w:rsidR="007906DD" w:rsidRPr="00B26661" w:rsidRDefault="007906DD" w:rsidP="00B26661">
      <w:pPr>
        <w:pStyle w:val="m-698976158124685028gmail-msolistparagraph"/>
        <w:numPr>
          <w:ilvl w:val="0"/>
          <w:numId w:val="1"/>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B26661">
        <w:rPr>
          <w:rFonts w:ascii="Palatino Linotype" w:hAnsi="Palatino Linotype"/>
          <w:color w:val="222222"/>
          <w:lang w:val="es-ES_tradnl"/>
        </w:rPr>
        <w:t>De los preceptos antes transcr</w:t>
      </w:r>
      <w:r w:rsidR="0001633D">
        <w:rPr>
          <w:rFonts w:ascii="Palatino Linotype" w:hAnsi="Palatino Linotype"/>
          <w:color w:val="222222"/>
          <w:lang w:val="es-ES_tradnl"/>
        </w:rPr>
        <w:t xml:space="preserve">itos se advierte claramente que </w:t>
      </w:r>
      <w:r w:rsidRPr="00B26661">
        <w:rPr>
          <w:rFonts w:ascii="Palatino Linotype" w:hAnsi="Palatino Linotype"/>
          <w:color w:val="222222"/>
        </w:rPr>
        <w:t xml:space="preserve">cuando la información no se encuentre en los archivos del Sujeto Obligado, el Comité </w:t>
      </w:r>
      <w:r w:rsidR="0001633D">
        <w:rPr>
          <w:rFonts w:ascii="Palatino Linotype" w:hAnsi="Palatino Linotype"/>
          <w:color w:val="222222"/>
        </w:rPr>
        <w:t xml:space="preserve">de Transparencia deberá ordenar </w:t>
      </w:r>
      <w:r w:rsidRPr="00B26661">
        <w:rPr>
          <w:rFonts w:ascii="Palatino Linotype" w:hAnsi="Palatino Linotype"/>
          <w:color w:val="222222"/>
          <w:u w:val="single"/>
        </w:rPr>
        <w:t>que se genere la información en caso de que ésta tuviera que existir en la medida que deriva del ejercicio de sus facultades, competencias o funciones</w:t>
      </w:r>
      <w:r w:rsidRPr="00B26661">
        <w:rPr>
          <w:rFonts w:ascii="Palatino Linotype" w:hAnsi="Palatino Linotype"/>
          <w:color w:val="222222"/>
        </w:rPr>
        <w:t>.</w:t>
      </w:r>
    </w:p>
    <w:p w14:paraId="351FD52B" w14:textId="1902214B" w:rsidR="007906DD" w:rsidRPr="00B26661" w:rsidRDefault="007906DD" w:rsidP="00B26661">
      <w:pPr>
        <w:pStyle w:val="m-698976158124685028gmail-msolistparagraph"/>
        <w:numPr>
          <w:ilvl w:val="0"/>
          <w:numId w:val="1"/>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B26661">
        <w:rPr>
          <w:rFonts w:ascii="Palatino Linotype" w:hAnsi="Palatino Linotype"/>
          <w:color w:val="222222"/>
          <w:lang w:val="es-ES_tradnl"/>
        </w:rPr>
        <w:t>Ahora bien, es importante señalar que en el caso de que no s</w:t>
      </w:r>
      <w:r w:rsidR="0001633D">
        <w:rPr>
          <w:rFonts w:ascii="Palatino Linotype" w:hAnsi="Palatino Linotype"/>
          <w:color w:val="222222"/>
          <w:lang w:val="es-ES_tradnl"/>
        </w:rPr>
        <w:t xml:space="preserve">e pueda generar la información, </w:t>
      </w:r>
      <w:r w:rsidRPr="00B26661">
        <w:rPr>
          <w:rFonts w:ascii="Palatino Linotype" w:hAnsi="Palatino Linotype"/>
          <w:b/>
          <w:bCs/>
          <w:color w:val="222222"/>
          <w:lang w:val="es-ES_tradnl"/>
        </w:rPr>
        <w:t xml:space="preserve">SE ORDENA </w:t>
      </w:r>
      <w:r w:rsidRPr="00B26661">
        <w:rPr>
          <w:rFonts w:ascii="Palatino Linotype" w:hAnsi="Palatino Linotype"/>
          <w:bCs/>
          <w:color w:val="222222"/>
          <w:lang w:val="es-ES_tradnl"/>
        </w:rPr>
        <w:t>al</w:t>
      </w:r>
      <w:r w:rsidR="0001633D">
        <w:rPr>
          <w:rFonts w:ascii="Palatino Linotype" w:hAnsi="Palatino Linotype"/>
          <w:b/>
          <w:bCs/>
          <w:color w:val="222222"/>
          <w:lang w:val="es-ES_tradnl"/>
        </w:rPr>
        <w:t xml:space="preserve"> SUJETO OBLIGADO </w:t>
      </w:r>
      <w:r w:rsidRPr="00B26661">
        <w:rPr>
          <w:rFonts w:ascii="Palatino Linotype" w:hAnsi="Palatino Linotype"/>
          <w:color w:val="222222"/>
          <w:lang w:val="es-ES_tradnl"/>
        </w:rPr>
        <w:t xml:space="preserve">hacer entrega de un Acuerdo de su </w:t>
      </w:r>
      <w:r w:rsidRPr="00B26661">
        <w:rPr>
          <w:rFonts w:ascii="Palatino Linotype" w:hAnsi="Palatino Linotype"/>
          <w:color w:val="222222"/>
          <w:lang w:val="es-ES_tradnl"/>
        </w:rPr>
        <w:lastRenderedPageBreak/>
        <w:t>Comité de Transparencia en donde conste la declaratoria de inexistencia de la información.</w:t>
      </w:r>
    </w:p>
    <w:p w14:paraId="2141A3B2" w14:textId="6CAFD026" w:rsidR="007906DD" w:rsidRPr="00B26661" w:rsidRDefault="007906DD" w:rsidP="00B26661">
      <w:pPr>
        <w:pStyle w:val="m-698976158124685028gmail-msolistparagraph"/>
        <w:numPr>
          <w:ilvl w:val="0"/>
          <w:numId w:val="1"/>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B26661">
        <w:rPr>
          <w:rFonts w:ascii="Palatino Linotype" w:hAnsi="Palatino Linotype"/>
          <w:color w:val="222222"/>
          <w:lang w:val="es-ES_tradnl"/>
        </w:rPr>
        <w:t xml:space="preserve">Previo a observar las formalidades que han de observarse en dicho acuerdo y para mayor entendimiento sobre el concepto de inexistencia en materia de acceso a la información pública, es necesario </w:t>
      </w:r>
      <w:r w:rsidR="0001633D">
        <w:rPr>
          <w:rFonts w:ascii="Palatino Linotype" w:hAnsi="Palatino Linotype"/>
          <w:color w:val="222222"/>
          <w:lang w:val="es-ES_tradnl"/>
        </w:rPr>
        <w:t xml:space="preserve">señalar que el </w:t>
      </w:r>
      <w:r w:rsidRPr="00B26661">
        <w:rPr>
          <w:rFonts w:ascii="Palatino Linotype" w:hAnsi="Palatino Linotype"/>
          <w:color w:val="222222"/>
          <w:shd w:val="clear" w:color="auto" w:fill="FFFFFF"/>
          <w:lang w:val="es-ES_tradnl"/>
        </w:rPr>
        <w:t>Instituto Nacional de Transparencia, Acceso a la Información y</w:t>
      </w:r>
      <w:r w:rsidR="0001633D">
        <w:rPr>
          <w:rFonts w:ascii="Palatino Linotype" w:hAnsi="Palatino Linotype"/>
          <w:color w:val="222222"/>
          <w:shd w:val="clear" w:color="auto" w:fill="FFFFFF"/>
          <w:lang w:val="es-ES_tradnl"/>
        </w:rPr>
        <w:t xml:space="preserve"> Protección de Datos Personales </w:t>
      </w:r>
      <w:r w:rsidRPr="00B26661">
        <w:rPr>
          <w:rFonts w:ascii="Palatino Linotype" w:hAnsi="Palatino Linotype"/>
          <w:color w:val="222222"/>
          <w:lang w:val="es-ES_tradnl"/>
        </w:rPr>
        <w:t>emitió el criterio número 14-17, que es de la literalidad siguiente:</w:t>
      </w:r>
    </w:p>
    <w:p w14:paraId="6E31ABAB" w14:textId="77777777" w:rsidR="007906DD" w:rsidRPr="00B26661" w:rsidRDefault="007906DD" w:rsidP="007906DD">
      <w:pPr>
        <w:pStyle w:val="m-698976158124685028gmail-msolistparagraph"/>
        <w:shd w:val="clear" w:color="auto" w:fill="FFFFFF"/>
        <w:spacing w:before="0" w:beforeAutospacing="0" w:after="0" w:afterAutospacing="0" w:line="360" w:lineRule="auto"/>
        <w:ind w:left="567"/>
        <w:jc w:val="both"/>
        <w:rPr>
          <w:rFonts w:ascii="Palatino Linotype" w:hAnsi="Palatino Linotype"/>
          <w:color w:val="222222"/>
          <w:sz w:val="22"/>
        </w:rPr>
      </w:pPr>
      <w:r w:rsidRPr="00B26661">
        <w:rPr>
          <w:rFonts w:ascii="Palatino Linotype" w:hAnsi="Palatino Linotype"/>
          <w:b/>
          <w:bCs/>
          <w:i/>
          <w:iCs/>
          <w:color w:val="222222"/>
          <w:sz w:val="22"/>
          <w:lang w:val="es-ES_tradnl"/>
        </w:rPr>
        <w:t>Criterio 14/17</w:t>
      </w:r>
    </w:p>
    <w:p w14:paraId="0293AE52" w14:textId="579A761B" w:rsidR="007906DD" w:rsidRPr="00B26661" w:rsidRDefault="007906DD" w:rsidP="007906DD">
      <w:pPr>
        <w:shd w:val="clear" w:color="auto" w:fill="FFFFFF"/>
        <w:spacing w:line="360" w:lineRule="auto"/>
        <w:ind w:left="567" w:right="567"/>
        <w:jc w:val="both"/>
        <w:rPr>
          <w:rFonts w:ascii="Palatino Linotype" w:hAnsi="Palatino Linotype"/>
          <w:color w:val="222222"/>
          <w:sz w:val="22"/>
        </w:rPr>
      </w:pPr>
      <w:r w:rsidRPr="00B26661">
        <w:rPr>
          <w:rFonts w:ascii="Palatino Linotype" w:hAnsi="Palatino Linotype"/>
          <w:i/>
          <w:iCs/>
          <w:color w:val="222222"/>
          <w:sz w:val="22"/>
        </w:rPr>
        <w:t>Inexistencia. La inexistencia es una cuestión de hecho que se atribuye a la informació</w:t>
      </w:r>
      <w:r w:rsidR="0001633D">
        <w:rPr>
          <w:rFonts w:ascii="Palatino Linotype" w:hAnsi="Palatino Linotype"/>
          <w:i/>
          <w:iCs/>
          <w:color w:val="222222"/>
          <w:sz w:val="22"/>
        </w:rPr>
        <w:t xml:space="preserve">n solicitada e implica que ésta </w:t>
      </w:r>
      <w:r w:rsidRPr="00B26661">
        <w:rPr>
          <w:rFonts w:ascii="Palatino Linotype" w:hAnsi="Palatino Linotype"/>
          <w:b/>
          <w:bCs/>
          <w:i/>
          <w:iCs/>
          <w:color w:val="222222"/>
          <w:sz w:val="22"/>
          <w:u w:val="single"/>
        </w:rPr>
        <w:t>no se encuentra en los archivos del sujeto obligado, no obstante que cuenta con facultades para poseerla</w:t>
      </w:r>
      <w:r w:rsidRPr="00B26661">
        <w:rPr>
          <w:rFonts w:ascii="Palatino Linotype" w:hAnsi="Palatino Linotype"/>
          <w:i/>
          <w:iCs/>
          <w:color w:val="222222"/>
          <w:sz w:val="22"/>
        </w:rPr>
        <w:t>.</w:t>
      </w:r>
    </w:p>
    <w:p w14:paraId="7693222E" w14:textId="77777777" w:rsidR="007906DD" w:rsidRPr="00B26661" w:rsidRDefault="007906DD" w:rsidP="007906DD">
      <w:pPr>
        <w:shd w:val="clear" w:color="auto" w:fill="FFFFFF"/>
        <w:spacing w:line="360" w:lineRule="auto"/>
        <w:ind w:left="567" w:right="567"/>
        <w:jc w:val="both"/>
        <w:rPr>
          <w:rFonts w:ascii="Palatino Linotype" w:hAnsi="Palatino Linotype"/>
          <w:color w:val="222222"/>
          <w:sz w:val="22"/>
        </w:rPr>
      </w:pPr>
      <w:r w:rsidRPr="00B26661">
        <w:rPr>
          <w:rFonts w:ascii="Palatino Linotype" w:hAnsi="Palatino Linotype"/>
          <w:i/>
          <w:iCs/>
          <w:color w:val="222222"/>
          <w:sz w:val="22"/>
        </w:rPr>
        <w:t> </w:t>
      </w:r>
    </w:p>
    <w:p w14:paraId="059326DE" w14:textId="11AA5643" w:rsidR="007906DD" w:rsidRPr="00B26661" w:rsidRDefault="0001633D" w:rsidP="007906DD">
      <w:pPr>
        <w:shd w:val="clear" w:color="auto" w:fill="FFFFFF"/>
        <w:spacing w:line="360" w:lineRule="auto"/>
        <w:ind w:left="567" w:right="567"/>
        <w:jc w:val="both"/>
        <w:rPr>
          <w:rFonts w:ascii="Palatino Linotype" w:hAnsi="Palatino Linotype"/>
          <w:color w:val="222222"/>
          <w:sz w:val="22"/>
        </w:rPr>
      </w:pPr>
      <w:r>
        <w:rPr>
          <w:rFonts w:ascii="Palatino Linotype" w:hAnsi="Palatino Linotype"/>
          <w:i/>
          <w:iCs/>
          <w:color w:val="222222"/>
          <w:sz w:val="22"/>
        </w:rPr>
        <w:t xml:space="preserve">Resoluciones: </w:t>
      </w:r>
      <w:r w:rsidR="007906DD" w:rsidRPr="00B26661">
        <w:rPr>
          <w:rFonts w:ascii="Palatino Linotype" w:hAnsi="Palatino Linotype"/>
          <w:i/>
          <w:iCs/>
          <w:color w:val="222222"/>
          <w:sz w:val="22"/>
        </w:rPr>
        <w:t>RRA 4669/16. Instituto Nacional Electoral. 18 de enero de 2017. Por unanimidad. Comisio</w:t>
      </w:r>
      <w:r>
        <w:rPr>
          <w:rFonts w:ascii="Palatino Linotype" w:hAnsi="Palatino Linotype"/>
          <w:i/>
          <w:iCs/>
          <w:color w:val="222222"/>
          <w:sz w:val="22"/>
        </w:rPr>
        <w:t xml:space="preserve">nado Ponente Joel Salas Suárez. </w:t>
      </w:r>
      <w:r w:rsidR="007906DD" w:rsidRPr="00B26661">
        <w:rPr>
          <w:rFonts w:ascii="Palatino Linotype" w:hAnsi="Palatino Linotype"/>
          <w:i/>
          <w:iCs/>
          <w:color w:val="222222"/>
          <w:sz w:val="22"/>
        </w:rPr>
        <w:t>RRA 0183/17. Nueva Alianza. 01 de febrero de 2017. Por unanimidad. Comisionado Ponente</w:t>
      </w:r>
      <w:r>
        <w:rPr>
          <w:rFonts w:ascii="Palatino Linotype" w:hAnsi="Palatino Linotype"/>
          <w:i/>
          <w:iCs/>
          <w:color w:val="222222"/>
          <w:sz w:val="22"/>
        </w:rPr>
        <w:t xml:space="preserve"> Francisco Javier Acuña Llamas. </w:t>
      </w:r>
      <w:r w:rsidR="007906DD" w:rsidRPr="00B26661">
        <w:rPr>
          <w:rFonts w:ascii="Palatino Linotype" w:hAnsi="Palatino Linotype"/>
          <w:i/>
          <w:iCs/>
          <w:color w:val="222222"/>
          <w:sz w:val="22"/>
        </w:rPr>
        <w:t>RRA 4484/16. Instituto Nacional de Migración. 16 de febrero de 2017. Por mayoría de seis votos a favor y uno en contra de la Comisionada Areli Cano Guadiana. Comisionada Ponente María Patricia Kurczyn Villalobos.</w:t>
      </w:r>
    </w:p>
    <w:p w14:paraId="7946C945" w14:textId="77777777" w:rsidR="007906DD" w:rsidRPr="00B26661" w:rsidRDefault="007906DD" w:rsidP="007906DD">
      <w:pPr>
        <w:pStyle w:val="m-698976158124685028gmail-m483811427706604298gmail-msolistparagraph"/>
        <w:shd w:val="clear" w:color="auto" w:fill="FFFFFF"/>
        <w:spacing w:before="0" w:beforeAutospacing="0" w:after="0" w:afterAutospacing="0" w:line="360" w:lineRule="auto"/>
        <w:jc w:val="both"/>
        <w:rPr>
          <w:rFonts w:ascii="Palatino Linotype" w:hAnsi="Palatino Linotype"/>
          <w:color w:val="222222"/>
        </w:rPr>
      </w:pPr>
      <w:r w:rsidRPr="00B26661">
        <w:rPr>
          <w:rFonts w:ascii="Palatino Linotype" w:hAnsi="Palatino Linotype"/>
          <w:color w:val="000000"/>
        </w:rPr>
        <w:t> </w:t>
      </w:r>
    </w:p>
    <w:p w14:paraId="2BA445DE" w14:textId="139EE2A8" w:rsidR="007906DD" w:rsidRPr="00B26661" w:rsidRDefault="007906DD" w:rsidP="00B26661">
      <w:pPr>
        <w:pStyle w:val="m-698976158124685028gmail-m483811427706604298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olor w:val="222222"/>
        </w:rPr>
      </w:pPr>
      <w:r w:rsidRPr="00B26661">
        <w:rPr>
          <w:rFonts w:ascii="Palatino Linotype" w:hAnsi="Palatino Linotype"/>
          <w:color w:val="000000"/>
        </w:rPr>
        <w:t>Además como consecuencia de las disposiciones legales contenidas en la </w:t>
      </w:r>
      <w:r w:rsidRPr="00B26661">
        <w:rPr>
          <w:rFonts w:ascii="Palatino Linotype" w:hAnsi="Palatino Linotype"/>
          <w:b/>
          <w:bCs/>
          <w:color w:val="000000"/>
        </w:rPr>
        <w:t>Ley General de Transparencia y Acceso a la Información Pública</w:t>
      </w:r>
      <w:r w:rsidRPr="00B26661">
        <w:rPr>
          <w:rFonts w:ascii="Palatino Linotype" w:hAnsi="Palatino Linotype"/>
          <w:color w:val="000000"/>
        </w:rPr>
        <w:t>, es que existe el manda</w:t>
      </w:r>
      <w:r w:rsidR="0001633D">
        <w:rPr>
          <w:rFonts w:ascii="Palatino Linotype" w:hAnsi="Palatino Linotype"/>
          <w:color w:val="000000"/>
        </w:rPr>
        <w:t xml:space="preserve">to expreso de que en caso de no </w:t>
      </w:r>
      <w:r w:rsidRPr="00B26661">
        <w:rPr>
          <w:rFonts w:ascii="Palatino Linotype" w:hAnsi="Palatino Linotype"/>
          <w:color w:val="000000"/>
          <w:u w:val="single"/>
        </w:rPr>
        <w:t>existir la documentación que debió, por mandato de ley, generarse, administrarse o poseerse,</w:t>
      </w:r>
      <w:r w:rsidR="0001633D">
        <w:rPr>
          <w:rFonts w:ascii="Palatino Linotype" w:hAnsi="Palatino Linotype"/>
          <w:color w:val="000000"/>
        </w:rPr>
        <w:t xml:space="preserve"> </w:t>
      </w:r>
      <w:r w:rsidRPr="00B26661">
        <w:rPr>
          <w:rFonts w:ascii="Palatino Linotype" w:hAnsi="Palatino Linotype"/>
          <w:color w:val="000000"/>
        </w:rPr>
        <w:t xml:space="preserve">es obligación de la autoridad emitir una declaratoria </w:t>
      </w:r>
      <w:r w:rsidRPr="00B26661">
        <w:rPr>
          <w:rFonts w:ascii="Palatino Linotype" w:hAnsi="Palatino Linotype"/>
          <w:color w:val="000000"/>
        </w:rPr>
        <w:lastRenderedPageBreak/>
        <w:t>formal que debe reunir los requisitos señalados en la propia norma jurídica,</w:t>
      </w:r>
      <w:r w:rsidRPr="00B26661">
        <w:rPr>
          <w:rStyle w:val="Refdenotaalpie"/>
          <w:rFonts w:ascii="Palatino Linotype" w:hAnsi="Palatino Linotype"/>
          <w:color w:val="000000"/>
        </w:rPr>
        <w:footnoteReference w:id="13"/>
      </w:r>
      <w:r w:rsidRPr="00B26661">
        <w:rPr>
          <w:rFonts w:ascii="Palatino Linotype" w:hAnsi="Palatino Linotype"/>
          <w:color w:val="000000"/>
        </w:rPr>
        <w:t>según puede apreciarse a continuación:</w:t>
      </w:r>
    </w:p>
    <w:p w14:paraId="58191B68" w14:textId="77777777" w:rsidR="007906DD" w:rsidRPr="00B26661" w:rsidRDefault="007906DD" w:rsidP="007906DD">
      <w:pPr>
        <w:pStyle w:val="m-698976158124685028gmail-m483811427706604298gmail-msolistparagraph"/>
        <w:shd w:val="clear" w:color="auto" w:fill="FFFFFF"/>
        <w:spacing w:before="240" w:beforeAutospacing="0" w:after="360" w:afterAutospacing="0" w:line="360" w:lineRule="auto"/>
        <w:ind w:left="567" w:right="567"/>
        <w:jc w:val="both"/>
        <w:rPr>
          <w:rFonts w:ascii="Palatino Linotype" w:hAnsi="Palatino Linotype"/>
          <w:color w:val="222222"/>
          <w:sz w:val="22"/>
        </w:rPr>
      </w:pPr>
      <w:r w:rsidRPr="00B26661">
        <w:rPr>
          <w:rFonts w:ascii="Palatino Linotype" w:hAnsi="Palatino Linotype"/>
          <w:b/>
          <w:bCs/>
          <w:i/>
          <w:iCs/>
          <w:color w:val="000000"/>
          <w:sz w:val="22"/>
        </w:rPr>
        <w:t>Artículo 19.</w:t>
      </w:r>
      <w:r w:rsidRPr="00B26661">
        <w:rPr>
          <w:rFonts w:ascii="Palatino Linotype" w:hAnsi="Palatino Linotype"/>
          <w:i/>
          <w:iCs/>
          <w:color w:val="000000"/>
          <w:sz w:val="22"/>
        </w:rPr>
        <w:t> Se presume que la información debe existir si se refiere a las facultades, competencias y funciones que los ordenamientos jurídicos aplicables otorgan a los sujetos obligados.</w:t>
      </w:r>
    </w:p>
    <w:p w14:paraId="563D42BE" w14:textId="77777777" w:rsidR="007906DD" w:rsidRPr="00B26661" w:rsidRDefault="007906DD" w:rsidP="007906DD">
      <w:pPr>
        <w:shd w:val="clear" w:color="auto" w:fill="FFFFFF"/>
        <w:spacing w:before="240" w:after="240" w:line="360" w:lineRule="auto"/>
        <w:ind w:left="567" w:right="567"/>
        <w:jc w:val="both"/>
        <w:rPr>
          <w:rFonts w:ascii="Palatino Linotype" w:hAnsi="Palatino Linotype"/>
          <w:color w:val="222222"/>
          <w:sz w:val="22"/>
        </w:rPr>
      </w:pPr>
      <w:r w:rsidRPr="00B26661">
        <w:rPr>
          <w:rFonts w:ascii="Palatino Linotype" w:hAnsi="Palatino Linotype"/>
          <w:i/>
          <w:iCs/>
          <w:color w:val="000000"/>
          <w:sz w:val="22"/>
        </w:rPr>
        <w:t>En los casos en que ciertas facultades, competencias o funciones no se hayan ejercido, se debe motivar la respuesta en función de las causas que motiven la inexistencia.</w:t>
      </w:r>
    </w:p>
    <w:p w14:paraId="07364453" w14:textId="69492412" w:rsidR="007906DD" w:rsidRPr="00B26661" w:rsidRDefault="007906DD" w:rsidP="007906DD">
      <w:pPr>
        <w:shd w:val="clear" w:color="auto" w:fill="FFFFFF"/>
        <w:spacing w:before="240" w:after="240" w:line="360" w:lineRule="auto"/>
        <w:ind w:left="567" w:right="567"/>
        <w:jc w:val="both"/>
        <w:rPr>
          <w:rFonts w:ascii="Palatino Linotype" w:hAnsi="Palatino Linotype"/>
          <w:color w:val="222222"/>
          <w:sz w:val="22"/>
        </w:rPr>
      </w:pPr>
      <w:r w:rsidRPr="00B26661">
        <w:rPr>
          <w:rFonts w:ascii="Palatino Linotype" w:hAnsi="Palatino Linotype"/>
          <w:b/>
          <w:bCs/>
          <w:i/>
          <w:iCs/>
          <w:color w:val="000000"/>
          <w:sz w:val="22"/>
        </w:rPr>
        <w:t>Artículo 20.</w:t>
      </w:r>
      <w:r w:rsidR="0001633D">
        <w:rPr>
          <w:rFonts w:ascii="Palatino Linotype" w:hAnsi="Palatino Linotype"/>
          <w:i/>
          <w:iCs/>
          <w:color w:val="000000"/>
          <w:sz w:val="22"/>
        </w:rPr>
        <w:t xml:space="preserve"> </w:t>
      </w:r>
      <w:r w:rsidRPr="00B26661">
        <w:rPr>
          <w:rFonts w:ascii="Palatino Linotype" w:hAnsi="Palatino Linotype"/>
          <w:i/>
          <w:iCs/>
          <w:color w:val="000000"/>
          <w:sz w:val="22"/>
        </w:rPr>
        <w:t>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47E7DAB3" w14:textId="77777777" w:rsidR="007906DD" w:rsidRPr="00B26661" w:rsidRDefault="007906DD" w:rsidP="00B26661">
      <w:pPr>
        <w:pStyle w:val="m-698976158124685028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olor w:val="222222"/>
        </w:rPr>
      </w:pPr>
      <w:r w:rsidRPr="00B26661">
        <w:rPr>
          <w:rFonts w:ascii="Palatino Linotype" w:hAnsi="Palatino Linotype"/>
          <w:color w:val="000000"/>
          <w:lang w:val="es-ES_tradnl"/>
        </w:rPr>
        <w:t xml:space="preserve">Y por cuanto hace a la normatividad local debe aplicarse lo establecido en los </w:t>
      </w:r>
      <w:r w:rsidRPr="0001633D">
        <w:rPr>
          <w:rFonts w:ascii="Palatino Linotype" w:hAnsi="Palatino Linotype"/>
          <w:b/>
          <w:color w:val="000000"/>
          <w:lang w:val="es-ES_tradnl"/>
        </w:rPr>
        <w:t>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w:t>
      </w:r>
      <w:r w:rsidRPr="00B26661">
        <w:rPr>
          <w:rFonts w:ascii="Palatino Linotype" w:hAnsi="Palatino Linotype"/>
          <w:color w:val="000000"/>
          <w:lang w:val="es-ES_tradnl"/>
        </w:rPr>
        <w:t xml:space="preserve">, en su numeral CUARENTA Y CUATRO, así como, CUARENTA Y CINCO, y los criterios 0003-11 y 0004-11 aprobados por el Pleno de este </w:t>
      </w:r>
      <w:r w:rsidRPr="00B26661">
        <w:rPr>
          <w:rFonts w:ascii="Palatino Linotype" w:hAnsi="Palatino Linotype"/>
          <w:color w:val="000000"/>
          <w:lang w:val="es-ES_tradnl"/>
        </w:rPr>
        <w:lastRenderedPageBreak/>
        <w:t>Órgano Garante, en la sesión ordinaria de fecha 25 de agosto del año 2011, que demuestran claramente el concepto de inexistencia, y en qué circunstancias debe emitirse la declaratoria respectiva:</w:t>
      </w:r>
    </w:p>
    <w:p w14:paraId="24BDE7DC" w14:textId="77777777" w:rsidR="007906DD" w:rsidRPr="00B26661" w:rsidRDefault="007906DD" w:rsidP="007906DD">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14:paraId="2474ACCE" w14:textId="77777777" w:rsidR="007906DD" w:rsidRPr="00B26661" w:rsidRDefault="007906DD" w:rsidP="007906DD">
      <w:pPr>
        <w:shd w:val="clear" w:color="auto" w:fill="FFFFFF"/>
        <w:spacing w:line="360" w:lineRule="auto"/>
        <w:ind w:left="567" w:right="567"/>
        <w:jc w:val="both"/>
        <w:rPr>
          <w:rFonts w:ascii="Palatino Linotype" w:hAnsi="Palatino Linotype"/>
          <w:color w:val="222222"/>
          <w:sz w:val="22"/>
        </w:rPr>
      </w:pPr>
      <w:r w:rsidRPr="00B26661">
        <w:rPr>
          <w:rFonts w:ascii="Palatino Linotype" w:hAnsi="Palatino Linotype"/>
          <w:b/>
          <w:bCs/>
          <w:i/>
          <w:iCs/>
          <w:color w:val="000000"/>
          <w:sz w:val="22"/>
        </w:rPr>
        <w:t>“CRITERIO 0003-11</w:t>
      </w:r>
    </w:p>
    <w:p w14:paraId="2B16120F" w14:textId="77777777" w:rsidR="007906DD" w:rsidRPr="00B26661" w:rsidRDefault="007906DD" w:rsidP="007906DD">
      <w:pPr>
        <w:shd w:val="clear" w:color="auto" w:fill="FFFFFF"/>
        <w:spacing w:line="360" w:lineRule="auto"/>
        <w:ind w:left="567" w:right="567"/>
        <w:jc w:val="both"/>
        <w:rPr>
          <w:rFonts w:ascii="Palatino Linotype" w:hAnsi="Palatino Linotype"/>
          <w:color w:val="222222"/>
          <w:sz w:val="22"/>
        </w:rPr>
      </w:pPr>
      <w:r w:rsidRPr="00B26661">
        <w:rPr>
          <w:rFonts w:ascii="Palatino Linotype" w:hAnsi="Palatino Linotype"/>
          <w:b/>
          <w:bCs/>
          <w:i/>
          <w:iCs/>
          <w:color w:val="000000"/>
          <w:sz w:val="22"/>
        </w:rPr>
        <w:t>INEXISTENCIA, CONCEPTO DE, EN MATERIA DE TRANSPARENCIA</w:t>
      </w:r>
      <w:r w:rsidRPr="00B26661">
        <w:rPr>
          <w:rFonts w:ascii="Palatino Linotype" w:hAnsi="Palatino Linotype"/>
          <w:i/>
          <w:iCs/>
          <w:color w:val="000000"/>
          <w:sz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08BF9E46" w14:textId="77777777" w:rsidR="007906DD" w:rsidRPr="00B26661" w:rsidRDefault="007906DD" w:rsidP="007906DD">
      <w:pPr>
        <w:shd w:val="clear" w:color="auto" w:fill="FFFFFF"/>
        <w:spacing w:line="360" w:lineRule="auto"/>
        <w:ind w:left="567" w:right="567"/>
        <w:jc w:val="both"/>
        <w:rPr>
          <w:rFonts w:ascii="Palatino Linotype" w:hAnsi="Palatino Linotype"/>
          <w:color w:val="222222"/>
          <w:sz w:val="22"/>
        </w:rPr>
      </w:pPr>
      <w:r w:rsidRPr="00B26661">
        <w:rPr>
          <w:rFonts w:ascii="Palatino Linotype" w:hAnsi="Palatino Linotype"/>
          <w:i/>
          <w:iCs/>
          <w:color w:val="000000"/>
          <w:sz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3A278838" w14:textId="77777777" w:rsidR="007906DD" w:rsidRPr="00B26661" w:rsidRDefault="007906DD" w:rsidP="007906DD">
      <w:pPr>
        <w:shd w:val="clear" w:color="auto" w:fill="FFFFFF"/>
        <w:spacing w:line="360" w:lineRule="auto"/>
        <w:ind w:left="567" w:right="567"/>
        <w:jc w:val="both"/>
        <w:rPr>
          <w:rFonts w:ascii="Palatino Linotype" w:hAnsi="Palatino Linotype"/>
          <w:color w:val="222222"/>
          <w:sz w:val="22"/>
        </w:rPr>
      </w:pPr>
      <w:r w:rsidRPr="00B26661">
        <w:rPr>
          <w:rFonts w:ascii="Palatino Linotype" w:hAnsi="Palatino Linotype"/>
          <w:i/>
          <w:iCs/>
          <w:color w:val="000000"/>
          <w:sz w:val="22"/>
        </w:rPr>
        <w:t>b) En los casos en que por las atribuciones conferidas al Sujeto Obligado éste debió generar, administrar o poseer la información, pero en incumplimiento a la normatividad respectiva no llevó a cabo ninguna de esas acciones.</w:t>
      </w:r>
    </w:p>
    <w:p w14:paraId="19A1AD4E" w14:textId="77777777" w:rsidR="007906DD" w:rsidRPr="00B26661" w:rsidRDefault="007906DD" w:rsidP="007906DD">
      <w:pPr>
        <w:shd w:val="clear" w:color="auto" w:fill="FFFFFF"/>
        <w:spacing w:line="360" w:lineRule="auto"/>
        <w:ind w:left="567" w:right="567"/>
        <w:jc w:val="both"/>
        <w:rPr>
          <w:rFonts w:ascii="Palatino Linotype" w:hAnsi="Palatino Linotype"/>
          <w:color w:val="222222"/>
          <w:sz w:val="22"/>
        </w:rPr>
      </w:pPr>
      <w:r w:rsidRPr="00B26661">
        <w:rPr>
          <w:rFonts w:ascii="Palatino Linotype" w:hAnsi="Palatino Linotype"/>
          <w:i/>
          <w:iCs/>
          <w:color w:val="000000"/>
          <w:sz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6A823E75" w14:textId="77777777" w:rsidR="007906DD" w:rsidRPr="00B26661" w:rsidRDefault="007906DD" w:rsidP="007906DD">
      <w:pPr>
        <w:shd w:val="clear" w:color="auto" w:fill="FFFFFF"/>
        <w:spacing w:line="360" w:lineRule="auto"/>
        <w:ind w:left="567" w:right="567"/>
        <w:jc w:val="both"/>
        <w:rPr>
          <w:rFonts w:ascii="Palatino Linotype" w:hAnsi="Palatino Linotype"/>
          <w:color w:val="222222"/>
          <w:sz w:val="22"/>
        </w:rPr>
      </w:pPr>
      <w:r w:rsidRPr="00B26661">
        <w:rPr>
          <w:rFonts w:ascii="Palatino Linotype" w:hAnsi="Palatino Linotype"/>
          <w:i/>
          <w:iCs/>
          <w:color w:val="000000"/>
          <w:sz w:val="22"/>
        </w:rPr>
        <w:t> </w:t>
      </w:r>
    </w:p>
    <w:p w14:paraId="21A30664" w14:textId="77777777" w:rsidR="007906DD" w:rsidRPr="00B26661" w:rsidRDefault="007906DD" w:rsidP="007906DD">
      <w:pPr>
        <w:shd w:val="clear" w:color="auto" w:fill="FFFFFF"/>
        <w:spacing w:line="360" w:lineRule="auto"/>
        <w:ind w:left="567" w:right="567"/>
        <w:jc w:val="both"/>
        <w:rPr>
          <w:rFonts w:ascii="Palatino Linotype" w:hAnsi="Palatino Linotype"/>
          <w:color w:val="222222"/>
          <w:sz w:val="22"/>
        </w:rPr>
      </w:pPr>
      <w:r w:rsidRPr="00B26661">
        <w:rPr>
          <w:rFonts w:ascii="Palatino Linotype" w:hAnsi="Palatino Linotype"/>
          <w:b/>
          <w:bCs/>
          <w:i/>
          <w:iCs/>
          <w:color w:val="000000"/>
          <w:sz w:val="22"/>
        </w:rPr>
        <w:t>CRITERIO 0004-11</w:t>
      </w:r>
    </w:p>
    <w:p w14:paraId="0638F5C9" w14:textId="77777777" w:rsidR="007906DD" w:rsidRPr="00B26661" w:rsidRDefault="007906DD" w:rsidP="007906DD">
      <w:pPr>
        <w:shd w:val="clear" w:color="auto" w:fill="FFFFFF"/>
        <w:spacing w:line="360" w:lineRule="auto"/>
        <w:ind w:left="567" w:right="567"/>
        <w:jc w:val="both"/>
        <w:rPr>
          <w:rFonts w:ascii="Palatino Linotype" w:hAnsi="Palatino Linotype"/>
          <w:color w:val="222222"/>
          <w:sz w:val="22"/>
        </w:rPr>
      </w:pPr>
      <w:r w:rsidRPr="00B26661">
        <w:rPr>
          <w:rFonts w:ascii="Palatino Linotype" w:hAnsi="Palatino Linotype"/>
          <w:b/>
          <w:bCs/>
          <w:i/>
          <w:iCs/>
          <w:color w:val="000000"/>
          <w:sz w:val="22"/>
        </w:rPr>
        <w:t>INEXISTENCIA. DECLARATORIA DE LA. ALCANCES Y PROCEDIMIENTOS</w:t>
      </w:r>
      <w:r w:rsidRPr="00B26661">
        <w:rPr>
          <w:rFonts w:ascii="Palatino Linotype" w:hAnsi="Palatino Linotype"/>
          <w:i/>
          <w:iCs/>
          <w:color w:val="000000"/>
          <w:sz w:val="22"/>
        </w:rPr>
        <w:t xml:space="preserve">. De la interpretación de los artículos 29 y 30, fracción VIII, de la Ley de Transparencia y Acceso a </w:t>
      </w:r>
      <w:r w:rsidRPr="00B26661">
        <w:rPr>
          <w:rFonts w:ascii="Palatino Linotype" w:hAnsi="Palatino Linotype"/>
          <w:i/>
          <w:iCs/>
          <w:color w:val="000000"/>
          <w:sz w:val="22"/>
        </w:rPr>
        <w:lastRenderedPageBreak/>
        <w:t>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5239D01F" w14:textId="77777777" w:rsidR="007906DD" w:rsidRPr="00B26661" w:rsidRDefault="007906DD" w:rsidP="007906DD">
      <w:pPr>
        <w:shd w:val="clear" w:color="auto" w:fill="FFFFFF"/>
        <w:spacing w:line="360" w:lineRule="auto"/>
        <w:ind w:left="567" w:right="567"/>
        <w:jc w:val="both"/>
        <w:rPr>
          <w:rFonts w:ascii="Palatino Linotype" w:hAnsi="Palatino Linotype"/>
          <w:color w:val="222222"/>
          <w:sz w:val="22"/>
        </w:rPr>
      </w:pPr>
      <w:r w:rsidRPr="00B26661">
        <w:rPr>
          <w:rFonts w:ascii="Palatino Linotype" w:hAnsi="Palatino Linotype"/>
          <w:i/>
          <w:iCs/>
          <w:color w:val="000000"/>
          <w:sz w:val="22"/>
        </w:rPr>
        <w:t>Bajo el entendido de que dicha búsqueda exhaustiva permitirá dos determinaciones:</w:t>
      </w:r>
    </w:p>
    <w:p w14:paraId="0EF226A2" w14:textId="77777777" w:rsidR="007906DD" w:rsidRPr="00B26661" w:rsidRDefault="007906DD" w:rsidP="007906DD">
      <w:pPr>
        <w:shd w:val="clear" w:color="auto" w:fill="FFFFFF"/>
        <w:spacing w:line="360" w:lineRule="auto"/>
        <w:ind w:left="567" w:right="567"/>
        <w:jc w:val="both"/>
        <w:rPr>
          <w:rFonts w:ascii="Palatino Linotype" w:hAnsi="Palatino Linotype"/>
          <w:color w:val="222222"/>
          <w:sz w:val="22"/>
        </w:rPr>
      </w:pPr>
      <w:r w:rsidRPr="00B26661">
        <w:rPr>
          <w:rFonts w:ascii="Palatino Linotype" w:hAnsi="Palatino Linotype"/>
          <w:i/>
          <w:iCs/>
          <w:color w:val="000000"/>
          <w:sz w:val="22"/>
        </w:rPr>
        <w:t>1ª) Que se localice la documentación que contenga la información solicitada y de ser así la información pueda entregarse al solicitante en la forma en que se encuentra disponible, o</w:t>
      </w:r>
    </w:p>
    <w:p w14:paraId="7AC0C181" w14:textId="77777777" w:rsidR="007906DD" w:rsidRPr="00B26661" w:rsidRDefault="007906DD" w:rsidP="007906DD">
      <w:pPr>
        <w:shd w:val="clear" w:color="auto" w:fill="FFFFFF"/>
        <w:spacing w:line="360" w:lineRule="auto"/>
        <w:ind w:left="567" w:right="567"/>
        <w:jc w:val="both"/>
        <w:rPr>
          <w:rFonts w:ascii="Palatino Linotype" w:hAnsi="Palatino Linotype"/>
          <w:color w:val="222222"/>
          <w:sz w:val="22"/>
        </w:rPr>
      </w:pPr>
      <w:r w:rsidRPr="00B26661">
        <w:rPr>
          <w:rFonts w:ascii="Palatino Linotype" w:hAnsi="Palatino Linotype"/>
          <w:i/>
          <w:iCs/>
          <w:color w:val="000000"/>
          <w:sz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4FCC7BF5" w14:textId="77777777" w:rsidR="007906DD" w:rsidRPr="00B26661" w:rsidRDefault="007906DD" w:rsidP="007906DD">
      <w:pPr>
        <w:shd w:val="clear" w:color="auto" w:fill="FFFFFF"/>
        <w:spacing w:line="360" w:lineRule="auto"/>
        <w:ind w:left="567" w:right="567"/>
        <w:jc w:val="both"/>
        <w:rPr>
          <w:rFonts w:ascii="Palatino Linotype" w:hAnsi="Palatino Linotype"/>
          <w:color w:val="222222"/>
          <w:sz w:val="22"/>
        </w:rPr>
      </w:pPr>
      <w:r w:rsidRPr="00B26661">
        <w:rPr>
          <w:rFonts w:ascii="Palatino Linotype" w:hAnsi="Palatino Linotype"/>
          <w:i/>
          <w:iCs/>
          <w:color w:val="000000"/>
          <w:sz w:val="22"/>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w:t>
      </w:r>
      <w:r w:rsidRPr="00B26661">
        <w:rPr>
          <w:rFonts w:ascii="Palatino Linotype" w:hAnsi="Palatino Linotype"/>
          <w:i/>
          <w:iCs/>
          <w:color w:val="000000"/>
          <w:sz w:val="22"/>
        </w:rPr>
        <w:lastRenderedPageBreak/>
        <w:t>general, todas aquéllas circunstancias que se tomaron en cuenta para llegar a determinar que la información requerida no obra en los archivos a cargo.</w:t>
      </w:r>
    </w:p>
    <w:p w14:paraId="72BC36D9" w14:textId="5EF1838A" w:rsidR="007906DD" w:rsidRPr="00B26661" w:rsidRDefault="007906DD" w:rsidP="00B26661">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B26661">
        <w:rPr>
          <w:rFonts w:ascii="Palatino Linotype" w:hAnsi="Palatino Linotype"/>
          <w:color w:val="000000"/>
          <w:lang w:val="es-ES_tradnl"/>
        </w:rPr>
        <w:t xml:space="preserve">Bajo éste tenor se debe destacar que para que se declare la inexistencia de la información, debió haber existencia previa de la documentación y la falta posterior </w:t>
      </w:r>
      <w:r w:rsidR="0001633D">
        <w:rPr>
          <w:rFonts w:ascii="Palatino Linotype" w:hAnsi="Palatino Linotype"/>
          <w:color w:val="000000"/>
          <w:lang w:val="es-ES_tradnl"/>
        </w:rPr>
        <w:t xml:space="preserve">de la misma en los archivos del </w:t>
      </w:r>
      <w:r w:rsidRPr="00B26661">
        <w:rPr>
          <w:rFonts w:ascii="Palatino Linotype" w:hAnsi="Palatino Linotype"/>
          <w:b/>
          <w:bCs/>
          <w:color w:val="000000"/>
          <w:lang w:val="es-ES_tradnl"/>
        </w:rPr>
        <w:t>SUJETO OBLIGADO</w:t>
      </w:r>
      <w:r w:rsidRPr="00B26661">
        <w:rPr>
          <w:rFonts w:ascii="Palatino Linotype" w:hAnsi="Palatino Linotype"/>
          <w:color w:val="000000"/>
          <w:lang w:val="es-ES_tradnl"/>
        </w:rPr>
        <w:t>, esto es que la información se generó, poseyó o administró en el marco de las atribuciones c</w:t>
      </w:r>
      <w:r w:rsidR="0001633D">
        <w:rPr>
          <w:rFonts w:ascii="Palatino Linotype" w:hAnsi="Palatino Linotype"/>
          <w:color w:val="000000"/>
          <w:lang w:val="es-ES_tradnl"/>
        </w:rPr>
        <w:t xml:space="preserve">onferidas a al Sujeto Obligado, </w:t>
      </w:r>
      <w:r w:rsidRPr="00B26661">
        <w:rPr>
          <w:rFonts w:ascii="Palatino Linotype" w:hAnsi="Palatino Linotype"/>
          <w:color w:val="000000"/>
          <w:u w:val="single"/>
          <w:lang w:val="es-ES_tradnl"/>
        </w:rPr>
        <w:t>pero no la conserva</w:t>
      </w:r>
      <w:r w:rsidR="0001633D">
        <w:rPr>
          <w:rFonts w:ascii="Palatino Linotype" w:hAnsi="Palatino Linotype"/>
          <w:color w:val="000000"/>
          <w:lang w:val="es-ES_tradnl"/>
        </w:rPr>
        <w:t xml:space="preserve"> </w:t>
      </w:r>
      <w:r w:rsidRPr="00B26661">
        <w:rPr>
          <w:rFonts w:ascii="Palatino Linotype" w:hAnsi="Palatino Linotype"/>
          <w:color w:val="000000"/>
          <w:lang w:val="es-ES_tradnl"/>
        </w:rPr>
        <w:t>por diversas razones (destrucción física, desaparición física, sustracción ilícita, baja documental, etcétera).</w:t>
      </w:r>
    </w:p>
    <w:p w14:paraId="399122A9" w14:textId="7800D21A" w:rsidR="007906DD" w:rsidRPr="00B26661" w:rsidRDefault="0001633D" w:rsidP="00B26661">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Pr>
          <w:rFonts w:ascii="Palatino Linotype" w:hAnsi="Palatino Linotype"/>
          <w:color w:val="000000"/>
          <w:lang w:val="es-ES_tradnl"/>
        </w:rPr>
        <w:t xml:space="preserve">En consecuencia, </w:t>
      </w:r>
      <w:r>
        <w:rPr>
          <w:rFonts w:ascii="Palatino Linotype" w:hAnsi="Palatino Linotype"/>
          <w:b/>
          <w:bCs/>
          <w:color w:val="000000"/>
          <w:lang w:val="es-ES_tradnl"/>
        </w:rPr>
        <w:t xml:space="preserve">el SUJETO OBLIGADO </w:t>
      </w:r>
      <w:r w:rsidR="007906DD" w:rsidRPr="00B26661">
        <w:rPr>
          <w:rFonts w:ascii="Palatino Linotype" w:hAnsi="Palatino Linotype"/>
          <w:color w:val="000000"/>
          <w:lang w:val="es-ES_tradnl"/>
        </w:rPr>
        <w:t>en todo tiempo debió cumplir con las formalidades exigidas por el marco jurídico implicando fundar y motivar su respuesta, por lo que deberá </w:t>
      </w:r>
      <w:r w:rsidR="007906DD" w:rsidRPr="00B26661">
        <w:rPr>
          <w:rFonts w:ascii="Palatino Linotype" w:hAnsi="Palatino Linotype"/>
          <w:color w:val="000000"/>
          <w:u w:val="single"/>
          <w:lang w:val="es-ES_tradnl"/>
        </w:rPr>
        <w:t>emitir un nuevo</w:t>
      </w:r>
      <w:r>
        <w:rPr>
          <w:rFonts w:ascii="Palatino Linotype" w:hAnsi="Palatino Linotype"/>
          <w:color w:val="000000"/>
          <w:lang w:val="es-ES_tradnl"/>
        </w:rPr>
        <w:t xml:space="preserve"> </w:t>
      </w:r>
      <w:r w:rsidR="007906DD" w:rsidRPr="00B26661">
        <w:rPr>
          <w:rFonts w:ascii="Palatino Linotype" w:hAnsi="Palatino Linotype"/>
          <w:color w:val="000000"/>
          <w:lang w:val="es-ES_tradnl"/>
        </w:rPr>
        <w:t>Acuerdo del Comité de Transparencia, que se hará del conocimiento del particular pero, en los siguientes términos:</w:t>
      </w:r>
    </w:p>
    <w:p w14:paraId="0FEB82BE" w14:textId="7A811BDF" w:rsidR="007906DD" w:rsidRPr="00B26661" w:rsidRDefault="007906DD" w:rsidP="007906DD">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B26661">
        <w:rPr>
          <w:rFonts w:ascii="Palatino Linotype" w:hAnsi="Palatino Linotype" w:cs="Arial"/>
          <w:color w:val="000000"/>
          <w:lang w:val="es-ES"/>
        </w:rPr>
        <w:t>Deberá emitir el acuerdo de inexistencia respectivo, en el entendido, que el a</w:t>
      </w:r>
      <w:r w:rsidR="0001633D">
        <w:rPr>
          <w:rFonts w:ascii="Palatino Linotype" w:hAnsi="Palatino Linotype" w:cs="Arial"/>
          <w:color w:val="000000"/>
          <w:lang w:val="es-ES"/>
        </w:rPr>
        <w:t xml:space="preserve">cto de autoridad debe estar </w:t>
      </w:r>
      <w:r w:rsidRPr="00B26661">
        <w:rPr>
          <w:rFonts w:ascii="Palatino Linotype" w:hAnsi="Palatino Linotype" w:cs="Arial"/>
          <w:b/>
          <w:bCs/>
          <w:color w:val="000000"/>
          <w:u w:val="single"/>
          <w:lang w:val="es-ES"/>
        </w:rPr>
        <w:t>debidamente fundado y motivado.</w:t>
      </w:r>
    </w:p>
    <w:p w14:paraId="5903623A" w14:textId="77777777" w:rsidR="007906DD" w:rsidRPr="00B26661" w:rsidRDefault="007906DD" w:rsidP="007906DD">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B26661">
        <w:rPr>
          <w:rFonts w:ascii="Palatino Linotype" w:hAnsi="Palatino Linotype" w:cs="Arial"/>
          <w:color w:val="000000"/>
          <w:lang w:val="es-ES"/>
        </w:rPr>
        <w:t> </w:t>
      </w:r>
    </w:p>
    <w:p w14:paraId="71DC358A" w14:textId="00DF873C" w:rsidR="007906DD" w:rsidRPr="00B26661" w:rsidRDefault="007906DD" w:rsidP="007906DD">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B26661">
        <w:rPr>
          <w:rFonts w:ascii="Palatino Linotype" w:hAnsi="Palatino Linotype" w:cs="Arial"/>
          <w:color w:val="000000"/>
          <w:lang w:val="es-ES"/>
        </w:rPr>
        <w:t>Señalando el lugar y fecha de la resolución, el nombre del solicitante, la información solicitada, </w:t>
      </w:r>
      <w:r w:rsidRPr="00B26661">
        <w:rPr>
          <w:rFonts w:ascii="Palatino Linotype" w:hAnsi="Palatino Linotype" w:cs="Arial"/>
          <w:b/>
          <w:bCs/>
          <w:color w:val="000000"/>
          <w:u w:val="single"/>
          <w:lang w:val="es-ES"/>
        </w:rPr>
        <w:t>el fundamento y motivo por el cual se determina que la información solicitada no obra en sus archivos</w:t>
      </w:r>
      <w:r w:rsidRPr="00B26661">
        <w:rPr>
          <w:rFonts w:ascii="Palatino Linotype" w:hAnsi="Palatino Linotype" w:cs="Arial"/>
          <w:color w:val="000000"/>
          <w:lang w:val="es-ES"/>
        </w:rPr>
        <w:t>, los nombres y firmas autógrafas de los integrantes del Comité de Información.</w:t>
      </w:r>
    </w:p>
    <w:p w14:paraId="27FEF39C" w14:textId="38E9DF7E" w:rsidR="007906DD" w:rsidRPr="00B26661" w:rsidRDefault="007906DD" w:rsidP="00B26661">
      <w:pPr>
        <w:pStyle w:val="m-698976158124685028gmail-msonormal"/>
        <w:numPr>
          <w:ilvl w:val="0"/>
          <w:numId w:val="1"/>
        </w:numPr>
        <w:shd w:val="clear" w:color="auto" w:fill="FFFFFF"/>
        <w:spacing w:line="360" w:lineRule="auto"/>
        <w:ind w:left="0" w:firstLine="0"/>
        <w:jc w:val="both"/>
        <w:rPr>
          <w:rFonts w:ascii="Palatino Linotype" w:hAnsi="Palatino Linotype"/>
          <w:color w:val="222222"/>
        </w:rPr>
      </w:pPr>
      <w:r w:rsidRPr="00B26661">
        <w:rPr>
          <w:rFonts w:ascii="Palatino Linotype" w:hAnsi="Palatino Linotype"/>
          <w:color w:val="000000"/>
          <w:lang w:val="es-ES_tradnl"/>
        </w:rPr>
        <w:t>L</w:t>
      </w:r>
      <w:r w:rsidR="0001633D">
        <w:rPr>
          <w:rFonts w:ascii="Palatino Linotype" w:hAnsi="Palatino Linotype"/>
          <w:color w:val="000000"/>
          <w:lang w:val="es-ES_tradnl"/>
        </w:rPr>
        <w:t xml:space="preserve">o anterior es así, toda vez que </w:t>
      </w:r>
      <w:r w:rsidRPr="00B26661">
        <w:rPr>
          <w:rFonts w:ascii="Palatino Linotype" w:hAnsi="Palatino Linotype"/>
          <w:b/>
          <w:bCs/>
          <w:color w:val="000000"/>
          <w:u w:val="single"/>
          <w:lang w:val="es-ES_tradnl"/>
        </w:rPr>
        <w:t>es necesaria</w:t>
      </w:r>
      <w:r w:rsidR="0001633D">
        <w:rPr>
          <w:rFonts w:ascii="Palatino Linotype" w:hAnsi="Palatino Linotype"/>
          <w:color w:val="000000"/>
          <w:lang w:val="es-ES_tradnl"/>
        </w:rPr>
        <w:t xml:space="preserve"> </w:t>
      </w:r>
      <w:r w:rsidRPr="00B26661">
        <w:rPr>
          <w:rFonts w:ascii="Palatino Linotype" w:hAnsi="Palatino Linotype"/>
          <w:color w:val="000000"/>
          <w:lang w:val="es-ES_tradnl"/>
        </w:rPr>
        <w:t>la emisión del acuerdo de inexis</w:t>
      </w:r>
      <w:r w:rsidR="0001633D">
        <w:rPr>
          <w:rFonts w:ascii="Palatino Linotype" w:hAnsi="Palatino Linotype"/>
          <w:color w:val="000000"/>
          <w:lang w:val="es-ES_tradnl"/>
        </w:rPr>
        <w:t xml:space="preserve">tencia en aquellos casos en que el </w:t>
      </w:r>
      <w:r w:rsidR="0001633D">
        <w:rPr>
          <w:rFonts w:ascii="Palatino Linotype" w:hAnsi="Palatino Linotype"/>
          <w:b/>
          <w:bCs/>
          <w:color w:val="000000"/>
          <w:lang w:val="es-ES_tradnl"/>
        </w:rPr>
        <w:t xml:space="preserve">SUJETO OBLIGADO </w:t>
      </w:r>
      <w:r w:rsidRPr="00B26661">
        <w:rPr>
          <w:rFonts w:ascii="Palatino Linotype" w:hAnsi="Palatino Linotype"/>
          <w:b/>
          <w:bCs/>
          <w:color w:val="000000"/>
          <w:u w:val="single"/>
          <w:lang w:val="es-ES_tradnl"/>
        </w:rPr>
        <w:t>generó, administró o poseyó</w:t>
      </w:r>
      <w:r w:rsidR="0001633D">
        <w:rPr>
          <w:rFonts w:ascii="Palatino Linotype" w:hAnsi="Palatino Linotype"/>
          <w:b/>
          <w:bCs/>
          <w:color w:val="000000"/>
          <w:lang w:val="es-ES_tradnl"/>
        </w:rPr>
        <w:t xml:space="preserve"> </w:t>
      </w:r>
      <w:r w:rsidRPr="00B26661">
        <w:rPr>
          <w:rFonts w:ascii="Palatino Linotype" w:hAnsi="Palatino Linotype"/>
          <w:color w:val="000000"/>
          <w:lang w:val="es-ES_tradnl"/>
        </w:rPr>
        <w:t xml:space="preserve">la </w:t>
      </w:r>
      <w:r w:rsidRPr="00B26661">
        <w:rPr>
          <w:rFonts w:ascii="Palatino Linotype" w:hAnsi="Palatino Linotype"/>
          <w:color w:val="000000"/>
          <w:lang w:val="es-ES_tradnl"/>
        </w:rPr>
        <w:lastRenderedPageBreak/>
        <w:t>informac</w:t>
      </w:r>
      <w:r w:rsidR="0001633D">
        <w:rPr>
          <w:rFonts w:ascii="Palatino Linotype" w:hAnsi="Palatino Linotype"/>
          <w:color w:val="000000"/>
          <w:lang w:val="es-ES_tradnl"/>
        </w:rPr>
        <w:t xml:space="preserve">ión solicitada empero </w:t>
      </w:r>
      <w:r w:rsidRPr="00B26661">
        <w:rPr>
          <w:rFonts w:ascii="Palatino Linotype" w:hAnsi="Palatino Linotype"/>
          <w:color w:val="000000"/>
          <w:lang w:val="es-ES_tradnl"/>
        </w:rPr>
        <w:t>previa búsqueda exhaustiva y minuciosa de la misma, no localiza la información requerida.</w:t>
      </w:r>
    </w:p>
    <w:p w14:paraId="7AD4608A" w14:textId="44C997C1" w:rsidR="007906DD" w:rsidRPr="00B26661" w:rsidRDefault="007906DD" w:rsidP="00B26661">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B26661">
        <w:rPr>
          <w:rFonts w:ascii="Palatino Linotype" w:hAnsi="Palatino Linotype"/>
          <w:b/>
          <w:bCs/>
          <w:color w:val="000000"/>
          <w:u w:val="single"/>
          <w:lang w:val="es-ES_tradnl"/>
        </w:rPr>
        <w:t>En ese caso</w:t>
      </w:r>
      <w:r w:rsidR="0001633D">
        <w:rPr>
          <w:rFonts w:ascii="Palatino Linotype" w:hAnsi="Palatino Linotype"/>
          <w:color w:val="000000"/>
          <w:lang w:val="es-ES_tradnl"/>
        </w:rPr>
        <w:t xml:space="preserve"> </w:t>
      </w:r>
      <w:r w:rsidRPr="00B26661">
        <w:rPr>
          <w:rFonts w:ascii="Palatino Linotype" w:hAnsi="Palatino Linotype"/>
          <w:color w:val="000000"/>
          <w:lang w:val="es-ES_tradnl"/>
        </w:rPr>
        <w:t>su Comité de Transparencia tiene el deber de emitir un acuerdo de inexistencia, el cual -se insiste-, se dicta en aquellos supuestos en los que si bien la información solicitada l</w:t>
      </w:r>
      <w:r w:rsidR="0001633D">
        <w:rPr>
          <w:rFonts w:ascii="Palatino Linotype" w:hAnsi="Palatino Linotype"/>
          <w:color w:val="000000"/>
          <w:lang w:val="es-ES_tradnl"/>
        </w:rPr>
        <w:t xml:space="preserve">a genera, posee o administra el </w:t>
      </w:r>
      <w:r w:rsidRPr="00B26661">
        <w:rPr>
          <w:rFonts w:ascii="Palatino Linotype" w:hAnsi="Palatino Linotype"/>
          <w:b/>
          <w:bCs/>
          <w:color w:val="000000"/>
          <w:lang w:val="es-ES_tradnl"/>
        </w:rPr>
        <w:t>SUJETO OBLIGADO</w:t>
      </w:r>
      <w:r w:rsidR="0001633D">
        <w:rPr>
          <w:rFonts w:ascii="Palatino Linotype" w:hAnsi="Palatino Linotype"/>
          <w:color w:val="000000"/>
          <w:lang w:val="es-ES_tradnl"/>
        </w:rPr>
        <w:t xml:space="preserve"> </w:t>
      </w:r>
      <w:r w:rsidRPr="00B26661">
        <w:rPr>
          <w:rFonts w:ascii="Palatino Linotype" w:hAnsi="Palatino Linotype"/>
          <w:color w:val="000000"/>
          <w:lang w:val="es-ES_tradnl"/>
        </w:rPr>
        <w:t>en el marco de las funciones de derecho público; sin embargo, éste no lo posee por l</w:t>
      </w:r>
      <w:r w:rsidR="0001633D">
        <w:rPr>
          <w:rFonts w:ascii="Palatino Linotype" w:hAnsi="Palatino Linotype"/>
          <w:color w:val="000000"/>
          <w:lang w:val="es-ES_tradnl"/>
        </w:rPr>
        <w:t xml:space="preserve">a razones que se deben expresar </w:t>
      </w:r>
      <w:r w:rsidRPr="00B26661">
        <w:rPr>
          <w:rFonts w:ascii="Palatino Linotype" w:hAnsi="Palatino Linotype"/>
          <w:b/>
          <w:bCs/>
          <w:color w:val="000000"/>
          <w:u w:val="single"/>
          <w:lang w:val="es-ES_tradnl"/>
        </w:rPr>
        <w:t xml:space="preserve">a través de un acuerdo debidamente fundado y </w:t>
      </w:r>
      <w:r w:rsidR="0001633D">
        <w:rPr>
          <w:rFonts w:ascii="Palatino Linotype" w:hAnsi="Palatino Linotype"/>
          <w:b/>
          <w:bCs/>
          <w:color w:val="000000"/>
          <w:u w:val="single"/>
          <w:lang w:val="es-ES_tradnl"/>
        </w:rPr>
        <w:t xml:space="preserve">motivado </w:t>
      </w:r>
      <w:r w:rsidRPr="00B26661">
        <w:rPr>
          <w:rFonts w:ascii="Palatino Linotype" w:hAnsi="Palatino Linotype"/>
          <w:color w:val="000000"/>
          <w:lang w:val="es-ES_tradnl"/>
        </w:rPr>
        <w:t>esto en estricto apego a lo establecido en los artículos 169 y 170 de la ley de la materia situación que no ocurrió.</w:t>
      </w:r>
    </w:p>
    <w:p w14:paraId="4088892A" w14:textId="77777777" w:rsidR="007906DD" w:rsidRPr="00B26661" w:rsidRDefault="007906DD" w:rsidP="00B26661">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B26661">
        <w:rPr>
          <w:rFonts w:ascii="Palatino Linotype" w:hAnsi="Palatino Linotype"/>
          <w:color w:val="000000"/>
          <w:lang w:val="es-ES_tradnl"/>
        </w:rPr>
        <w:t>En otras palabras, hablar de información inexistente implica la alta responsabilidad de explicar a la ciudadanía por qué un ente público que tiene la facultad y el deber de generar, poseer o administrar su información pública no la tiene.</w:t>
      </w:r>
    </w:p>
    <w:p w14:paraId="5102F3FD" w14:textId="77777777" w:rsidR="007906DD" w:rsidRPr="00B26661" w:rsidRDefault="007906DD" w:rsidP="00B26661">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B26661">
        <w:rPr>
          <w:rFonts w:ascii="Palatino Linotype" w:hAnsi="Palatino Linotype"/>
          <w:color w:val="000000"/>
          <w:lang w:val="es-ES_tradnl"/>
        </w:rPr>
        <w:t>Además, materialmente se trata de una negativa de la información válida con independencia de las responsabilidades administrativas que pudieran ser procedentes.</w:t>
      </w:r>
    </w:p>
    <w:p w14:paraId="795701AE" w14:textId="5F76430D" w:rsidR="007906DD" w:rsidRPr="00B26661" w:rsidRDefault="007906DD" w:rsidP="00B26661">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B26661">
        <w:rPr>
          <w:rFonts w:ascii="Palatino Linotype" w:hAnsi="Palatino Linotype"/>
          <w:color w:val="000000"/>
          <w:shd w:val="clear" w:color="auto" w:fill="FFFFFF"/>
          <w:lang w:val="es-ES_tradnl"/>
        </w:rPr>
        <w:t>Es menester señalar que la manifestación hecha por el</w:t>
      </w:r>
      <w:r w:rsidR="0001633D">
        <w:rPr>
          <w:rStyle w:val="m-698976158124685028gmail-apple-converted-space"/>
          <w:rFonts w:ascii="Palatino Linotype" w:hAnsi="Palatino Linotype"/>
          <w:color w:val="000000"/>
          <w:shd w:val="clear" w:color="auto" w:fill="FFFFFF"/>
          <w:lang w:val="es-ES_tradnl"/>
        </w:rPr>
        <w:t xml:space="preserve"> </w:t>
      </w:r>
      <w:r w:rsidRPr="00B26661">
        <w:rPr>
          <w:rFonts w:ascii="Palatino Linotype" w:hAnsi="Palatino Linotype"/>
          <w:b/>
          <w:bCs/>
          <w:color w:val="000000"/>
          <w:shd w:val="clear" w:color="auto" w:fill="FFFFFF"/>
          <w:lang w:val="es-ES_tradnl"/>
        </w:rPr>
        <w:t>Sujeto Obligado</w:t>
      </w:r>
      <w:r w:rsidR="0001633D">
        <w:rPr>
          <w:rStyle w:val="m-698976158124685028gmail-apple-converted-space"/>
          <w:rFonts w:ascii="Palatino Linotype" w:hAnsi="Palatino Linotype"/>
          <w:b/>
          <w:bCs/>
          <w:color w:val="000000"/>
          <w:shd w:val="clear" w:color="auto" w:fill="FFFFFF"/>
          <w:lang w:val="es-ES_tradnl"/>
        </w:rPr>
        <w:t xml:space="preserve"> </w:t>
      </w:r>
      <w:r w:rsidRPr="00B26661">
        <w:rPr>
          <w:rFonts w:ascii="Palatino Linotype" w:hAnsi="Palatino Linotype"/>
          <w:color w:val="000000"/>
          <w:shd w:val="clear" w:color="auto" w:fill="FFFFFF"/>
          <w:lang w:val="es-ES_tradnl"/>
        </w:rPr>
        <w:t>tanto en la respuesta inicial</w:t>
      </w:r>
      <w:r w:rsidR="0001633D">
        <w:rPr>
          <w:rStyle w:val="m-698976158124685028gmail-apple-converted-space"/>
          <w:rFonts w:ascii="Palatino Linotype" w:hAnsi="Palatino Linotype"/>
          <w:color w:val="000000"/>
          <w:shd w:val="clear" w:color="auto" w:fill="FFFFFF"/>
          <w:lang w:val="es-ES_tradnl"/>
        </w:rPr>
        <w:t xml:space="preserve"> </w:t>
      </w:r>
      <w:r w:rsidRPr="00B26661">
        <w:rPr>
          <w:rStyle w:val="m-698976158124685028gmail-apple-converted-space"/>
          <w:rFonts w:ascii="Palatino Linotype" w:hAnsi="Palatino Linotype"/>
          <w:color w:val="000000"/>
          <w:shd w:val="clear" w:color="auto" w:fill="FFFFFF"/>
          <w:lang w:val="es-ES_tradnl"/>
        </w:rPr>
        <w:t>com</w:t>
      </w:r>
      <w:r w:rsidR="0001633D">
        <w:rPr>
          <w:rStyle w:val="m-698976158124685028gmail-apple-converted-space"/>
          <w:rFonts w:ascii="Palatino Linotype" w:hAnsi="Palatino Linotype"/>
          <w:color w:val="000000"/>
          <w:shd w:val="clear" w:color="auto" w:fill="FFFFFF"/>
          <w:lang w:val="es-ES_tradnl"/>
        </w:rPr>
        <w:t>o en el acuerdo de inexistencia</w:t>
      </w:r>
      <w:r w:rsidR="003200B6">
        <w:rPr>
          <w:rStyle w:val="m-698976158124685028gmail-apple-converted-space"/>
          <w:rFonts w:ascii="Palatino Linotype" w:hAnsi="Palatino Linotype"/>
          <w:color w:val="000000"/>
          <w:shd w:val="clear" w:color="auto" w:fill="FFFFFF"/>
          <w:lang w:val="es-ES_tradnl"/>
        </w:rPr>
        <w:t xml:space="preserve"> que será generado</w:t>
      </w:r>
      <w:r w:rsidR="0001633D">
        <w:rPr>
          <w:rStyle w:val="m-698976158124685028gmail-apple-converted-space"/>
          <w:rFonts w:ascii="Palatino Linotype" w:hAnsi="Palatino Linotype"/>
          <w:color w:val="000000"/>
          <w:shd w:val="clear" w:color="auto" w:fill="FFFFFF"/>
          <w:lang w:val="es-ES_tradnl"/>
        </w:rPr>
        <w:t xml:space="preserve"> </w:t>
      </w:r>
      <w:r w:rsidRPr="00B26661">
        <w:rPr>
          <w:rFonts w:ascii="Palatino Linotype" w:hAnsi="Palatino Linotype"/>
          <w:color w:val="000000"/>
          <w:shd w:val="clear" w:color="auto" w:fill="FFFFFF"/>
          <w:lang w:val="es-ES_tradnl"/>
        </w:rPr>
        <w:t>constituye</w:t>
      </w:r>
      <w:r w:rsidR="003200B6">
        <w:rPr>
          <w:rFonts w:ascii="Palatino Linotype" w:hAnsi="Palatino Linotype"/>
          <w:color w:val="000000"/>
          <w:shd w:val="clear" w:color="auto" w:fill="FFFFFF"/>
          <w:lang w:val="es-ES_tradnl"/>
        </w:rPr>
        <w:t>n</w:t>
      </w:r>
      <w:r w:rsidRPr="00B26661">
        <w:rPr>
          <w:rFonts w:ascii="Palatino Linotype" w:hAnsi="Palatino Linotype"/>
          <w:color w:val="000000"/>
          <w:shd w:val="clear" w:color="auto" w:fill="FFFFFF"/>
          <w:lang w:val="es-ES_tradnl"/>
        </w:rPr>
        <w:t xml:space="preserve"> una confesión expresa en virtud de que concurren las circunstancia dispuestas en el numeral 97 d</w:t>
      </w:r>
      <w:r w:rsidR="0001633D">
        <w:rPr>
          <w:rFonts w:ascii="Palatino Linotype" w:hAnsi="Palatino Linotype"/>
          <w:color w:val="000000"/>
          <w:shd w:val="clear" w:color="auto" w:fill="FFFFFF"/>
          <w:lang w:val="es-ES_tradnl"/>
        </w:rPr>
        <w:t xml:space="preserve">el </w:t>
      </w:r>
      <w:r w:rsidRPr="00B26661">
        <w:rPr>
          <w:rFonts w:ascii="Palatino Linotype" w:hAnsi="Palatino Linotype"/>
          <w:b/>
          <w:bCs/>
          <w:color w:val="000000"/>
          <w:shd w:val="clear" w:color="auto" w:fill="FFFFFF"/>
          <w:lang w:val="es-ES_tradnl"/>
        </w:rPr>
        <w:t>Código de Procedimientos Administrativos del Estado de México</w:t>
      </w:r>
      <w:r w:rsidRPr="00B26661">
        <w:rPr>
          <w:rFonts w:ascii="Palatino Linotype" w:hAnsi="Palatino Linotype"/>
          <w:color w:val="000000"/>
          <w:shd w:val="clear" w:color="auto" w:fill="FFFFFF"/>
          <w:lang w:val="es-ES_tradnl"/>
        </w:rPr>
        <w:t>, consistentes en que fue realizada por persona capacitada para obligarse, con pleno conocimiento, sin coacción ni violencia y respecto de un hecho propio.</w:t>
      </w:r>
    </w:p>
    <w:p w14:paraId="3B7D8B88" w14:textId="77777777" w:rsidR="003200B6" w:rsidRDefault="003200B6" w:rsidP="003200B6">
      <w:pPr>
        <w:pStyle w:val="Ttulo2"/>
        <w:rPr>
          <w:szCs w:val="24"/>
        </w:rPr>
      </w:pPr>
      <w:bookmarkStart w:id="93" w:name="_Toc465246434"/>
      <w:bookmarkStart w:id="94" w:name="_Toc15552803"/>
      <w:bookmarkStart w:id="95" w:name="_Toc22922730"/>
      <w:bookmarkStart w:id="96" w:name="_Toc24928445"/>
      <w:r>
        <w:rPr>
          <w:szCs w:val="24"/>
        </w:rPr>
        <w:lastRenderedPageBreak/>
        <w:t xml:space="preserve">QUINTO. </w:t>
      </w:r>
      <w:r w:rsidRPr="003C6044">
        <w:rPr>
          <w:szCs w:val="24"/>
        </w:rPr>
        <w:t>De la versión pública.</w:t>
      </w:r>
      <w:bookmarkEnd w:id="93"/>
      <w:bookmarkEnd w:id="94"/>
      <w:bookmarkEnd w:id="95"/>
      <w:bookmarkEnd w:id="96"/>
    </w:p>
    <w:p w14:paraId="5A5EB5C0" w14:textId="77777777" w:rsidR="003200B6" w:rsidRPr="00AF6D11" w:rsidRDefault="003200B6" w:rsidP="003200B6">
      <w:pPr>
        <w:spacing w:after="240"/>
        <w:rPr>
          <w:rFonts w:ascii="Palatino Linotype" w:hAnsi="Palatino Linotype"/>
          <w:color w:val="000000" w:themeColor="text1"/>
          <w:lang w:val="es-MX" w:eastAsia="en-US"/>
        </w:rPr>
      </w:pPr>
    </w:p>
    <w:p w14:paraId="7E6F5C51" w14:textId="77777777" w:rsidR="003200B6" w:rsidRPr="00AF6D11" w:rsidRDefault="003200B6" w:rsidP="003200B6">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AF6D11">
        <w:rPr>
          <w:rFonts w:ascii="Palatino Linotype" w:hAnsi="Palatino Linotype" w:cs="Arial"/>
          <w:color w:val="000000" w:themeColor="text1"/>
        </w:rPr>
        <w:t xml:space="preserve">Debe destacarse que debido a la naturaleza de </w:t>
      </w:r>
      <w:r w:rsidRPr="00AF6D11">
        <w:rPr>
          <w:rFonts w:ascii="Palatino Linotype" w:hAnsi="Palatino Linotype"/>
          <w:color w:val="000000" w:themeColor="text1"/>
        </w:rPr>
        <w:t xml:space="preserve">la información que se ordena entregar, </w:t>
      </w:r>
      <w:r w:rsidRPr="00AF6D11">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tanto </w:t>
      </w:r>
      <w:r w:rsidRPr="00AF6D11">
        <w:rPr>
          <w:rFonts w:ascii="Palatino Linotype" w:eastAsia="Times New Roman" w:hAnsi="Palatino Linotype" w:cs="Times New Roman"/>
          <w:color w:val="000000" w:themeColor="text1"/>
          <w:lang w:val="es-ES"/>
        </w:rPr>
        <w:t>la información solicitada se deberá entregar en versión pública.</w:t>
      </w:r>
    </w:p>
    <w:p w14:paraId="113579E7" w14:textId="77777777" w:rsidR="003200B6" w:rsidRPr="00AF6D11" w:rsidRDefault="003200B6" w:rsidP="003200B6">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4B924ABD" w14:textId="77777777" w:rsidR="003200B6" w:rsidRPr="00AF6D11" w:rsidRDefault="003200B6" w:rsidP="003200B6">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AF6D11">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AF6D11">
        <w:rPr>
          <w:rFonts w:ascii="Palatino Linotype" w:eastAsia="Times New Roman" w:hAnsi="Palatino Linotype" w:cs="Arial"/>
          <w:b/>
          <w:color w:val="000000" w:themeColor="text1"/>
        </w:rPr>
        <w:t xml:space="preserve">SUJETOS OBLIGADOS </w:t>
      </w:r>
      <w:r w:rsidRPr="00AF6D11">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464A1ADD" w14:textId="77777777" w:rsidR="003200B6" w:rsidRPr="00AF6D11" w:rsidRDefault="003200B6" w:rsidP="003200B6">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highlight w:val="cyan"/>
          <w:lang w:val="es-ES" w:eastAsia="es-MX"/>
        </w:rPr>
      </w:pPr>
    </w:p>
    <w:p w14:paraId="23F560D6" w14:textId="77777777" w:rsidR="003200B6" w:rsidRPr="00AF6D11" w:rsidRDefault="003200B6" w:rsidP="003200B6">
      <w:pPr>
        <w:pStyle w:val="Prrafodelista"/>
        <w:numPr>
          <w:ilvl w:val="0"/>
          <w:numId w:val="1"/>
        </w:numPr>
        <w:spacing w:after="160" w:line="360" w:lineRule="auto"/>
        <w:ind w:left="0" w:firstLine="0"/>
        <w:jc w:val="both"/>
        <w:rPr>
          <w:rFonts w:ascii="Palatino Linotype" w:hAnsi="Palatino Linotype" w:cs="Arial"/>
          <w:color w:val="000000" w:themeColor="text1"/>
        </w:rPr>
      </w:pPr>
      <w:r w:rsidRPr="00AF6D11">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1790AF56" w14:textId="77777777" w:rsidR="003200B6" w:rsidRPr="00AF6D11" w:rsidRDefault="003200B6" w:rsidP="003200B6">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F6D11">
        <w:rPr>
          <w:rFonts w:ascii="Palatino Linotype" w:hAnsi="Palatino Linotype" w:cs="Bookman Old Style"/>
          <w:bCs/>
          <w:color w:val="000000" w:themeColor="text1"/>
        </w:rPr>
        <w:t xml:space="preserve">I. </w:t>
      </w:r>
      <w:r w:rsidRPr="00AF6D11">
        <w:rPr>
          <w:rFonts w:ascii="Palatino Linotype" w:hAnsi="Palatino Linotype" w:cs="Bookman Old Style"/>
          <w:color w:val="000000" w:themeColor="text1"/>
        </w:rPr>
        <w:t xml:space="preserve">Se refiera a la información privada y los datos personales concernientes a una persona física o jurídico colectiva identificada o identificable; </w:t>
      </w:r>
    </w:p>
    <w:p w14:paraId="24A3358F" w14:textId="77777777" w:rsidR="003200B6" w:rsidRPr="00AF6D11" w:rsidRDefault="003200B6" w:rsidP="003200B6">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F6D11">
        <w:rPr>
          <w:rFonts w:ascii="Palatino Linotype" w:hAnsi="Palatino Linotype" w:cs="Bookman Old Style"/>
          <w:bCs/>
          <w:color w:val="000000" w:themeColor="text1"/>
        </w:rPr>
        <w:t xml:space="preserve">II. </w:t>
      </w:r>
      <w:r w:rsidRPr="00AF6D11">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w:t>
      </w:r>
      <w:r w:rsidRPr="00AF6D11">
        <w:rPr>
          <w:rFonts w:ascii="Palatino Linotype" w:hAnsi="Palatino Linotype" w:cs="Bookman Old Style"/>
          <w:color w:val="000000" w:themeColor="text1"/>
        </w:rPr>
        <w:lastRenderedPageBreak/>
        <w:t xml:space="preserve">recursos públicos; y </w:t>
      </w:r>
    </w:p>
    <w:p w14:paraId="244A7516" w14:textId="77777777" w:rsidR="003200B6" w:rsidRPr="00AF6D11" w:rsidRDefault="003200B6" w:rsidP="003200B6">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F6D11">
        <w:rPr>
          <w:rFonts w:ascii="Palatino Linotype" w:hAnsi="Palatino Linotype" w:cs="Bookman Old Style"/>
          <w:bCs/>
          <w:color w:val="000000" w:themeColor="text1"/>
        </w:rPr>
        <w:t xml:space="preserve">III. </w:t>
      </w:r>
      <w:r w:rsidRPr="00AF6D11">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577A8111" w14:textId="77777777" w:rsidR="003200B6" w:rsidRPr="00AF6D11" w:rsidRDefault="003200B6" w:rsidP="003200B6">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F6D11">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11B64C3C" w14:textId="77777777" w:rsidR="003200B6" w:rsidRPr="00AF6D11" w:rsidRDefault="003200B6" w:rsidP="003200B6">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AF6D11">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19975238" w14:textId="77777777" w:rsidR="003200B6" w:rsidRPr="00AF6D11" w:rsidRDefault="003200B6" w:rsidP="003200B6">
      <w:pPr>
        <w:pStyle w:val="Prrafodelista"/>
        <w:spacing w:line="360" w:lineRule="auto"/>
        <w:ind w:left="0"/>
        <w:jc w:val="both"/>
        <w:rPr>
          <w:rFonts w:ascii="Palatino Linotype" w:hAnsi="Palatino Linotype" w:cs="Arial"/>
          <w:color w:val="000000" w:themeColor="text1"/>
          <w:highlight w:val="cyan"/>
        </w:rPr>
      </w:pPr>
    </w:p>
    <w:p w14:paraId="5D39FF91" w14:textId="77777777" w:rsidR="003200B6" w:rsidRPr="00AF6D11" w:rsidRDefault="003200B6" w:rsidP="003200B6">
      <w:pPr>
        <w:pStyle w:val="Prrafodelista"/>
        <w:numPr>
          <w:ilvl w:val="0"/>
          <w:numId w:val="1"/>
        </w:numPr>
        <w:spacing w:after="160" w:line="360" w:lineRule="auto"/>
        <w:ind w:left="0" w:firstLine="0"/>
        <w:jc w:val="both"/>
        <w:rPr>
          <w:rFonts w:ascii="Palatino Linotype" w:hAnsi="Palatino Linotype" w:cs="Arial"/>
          <w:color w:val="000000" w:themeColor="text1"/>
        </w:rPr>
      </w:pPr>
      <w:r w:rsidRPr="00AF6D11">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50E339F" w14:textId="77777777" w:rsidR="003200B6" w:rsidRPr="00AF6D11" w:rsidRDefault="003200B6" w:rsidP="003200B6">
      <w:pPr>
        <w:pStyle w:val="Prrafodelista"/>
        <w:spacing w:after="160" w:line="360" w:lineRule="auto"/>
        <w:ind w:left="0"/>
        <w:jc w:val="both"/>
        <w:rPr>
          <w:rFonts w:ascii="Palatino Linotype" w:hAnsi="Palatino Linotype" w:cs="Arial"/>
          <w:color w:val="000000" w:themeColor="text1"/>
          <w:highlight w:val="cyan"/>
        </w:rPr>
      </w:pPr>
    </w:p>
    <w:p w14:paraId="5CDF1B59" w14:textId="77777777" w:rsidR="003200B6" w:rsidRPr="00AF6D11" w:rsidRDefault="003200B6" w:rsidP="003200B6">
      <w:pPr>
        <w:pStyle w:val="Prrafodelista"/>
        <w:numPr>
          <w:ilvl w:val="0"/>
          <w:numId w:val="1"/>
        </w:numPr>
        <w:spacing w:after="160" w:line="360" w:lineRule="auto"/>
        <w:ind w:left="0" w:firstLine="0"/>
        <w:jc w:val="both"/>
        <w:rPr>
          <w:rFonts w:ascii="Palatino Linotype" w:hAnsi="Palatino Linotype" w:cs="Arial"/>
          <w:color w:val="000000" w:themeColor="text1"/>
        </w:rPr>
      </w:pPr>
      <w:r w:rsidRPr="00AF6D11">
        <w:rPr>
          <w:rFonts w:ascii="Palatino Linotype" w:hAnsi="Palatino Linotype" w:cs="Arial"/>
          <w:color w:val="000000" w:themeColor="text1"/>
        </w:rPr>
        <w:t xml:space="preserve">Como consecuencia de lo anterior, el </w:t>
      </w:r>
      <w:r w:rsidRPr="00AF6D11">
        <w:rPr>
          <w:rFonts w:ascii="Palatino Linotype" w:hAnsi="Palatino Linotype" w:cs="Arial"/>
          <w:b/>
          <w:color w:val="000000" w:themeColor="text1"/>
        </w:rPr>
        <w:t>SUJETO OBLIGADO</w:t>
      </w:r>
      <w:r w:rsidRPr="00AF6D11">
        <w:rPr>
          <w:rFonts w:ascii="Palatino Linotype" w:hAnsi="Palatino Linotype" w:cs="Arial"/>
          <w:color w:val="000000" w:themeColor="text1"/>
        </w:rPr>
        <w:t xml:space="preserve"> debe identificar claramente el tipo de información y hacer un juicio de subsunción o encaje</w:t>
      </w:r>
      <w:r w:rsidRPr="00AF6D11">
        <w:rPr>
          <w:rStyle w:val="Refdenotaalpie"/>
          <w:rFonts w:ascii="Palatino Linotype" w:hAnsi="Palatino Linotype" w:cs="Arial"/>
          <w:color w:val="000000" w:themeColor="text1"/>
        </w:rPr>
        <w:footnoteReference w:id="14"/>
      </w:r>
      <w:r w:rsidRPr="00AF6D11">
        <w:rPr>
          <w:rFonts w:ascii="Palatino Linotype" w:hAnsi="Palatino Linotype" w:cs="Arial"/>
          <w:color w:val="000000" w:themeColor="text1"/>
        </w:rPr>
        <w:t xml:space="preserve"> para acreditar </w:t>
      </w:r>
      <w:r w:rsidRPr="00AF6D11">
        <w:rPr>
          <w:rFonts w:ascii="Palatino Linotype" w:hAnsi="Palatino Linotype" w:cs="Arial"/>
          <w:color w:val="000000" w:themeColor="text1"/>
        </w:rPr>
        <w:lastRenderedPageBreak/>
        <w:t>que el supuesto de hecho corresponde estrictamente con la hipótesis jurídica. Esto también lo debe de realizar el servidor público habilitado y el titular del área que administra la información.</w:t>
      </w:r>
    </w:p>
    <w:p w14:paraId="76291532" w14:textId="77777777" w:rsidR="003200B6" w:rsidRPr="00AF6D11" w:rsidRDefault="003200B6" w:rsidP="003200B6">
      <w:pPr>
        <w:pStyle w:val="Prrafodelista"/>
        <w:spacing w:line="360" w:lineRule="auto"/>
        <w:ind w:left="0"/>
        <w:jc w:val="both"/>
        <w:rPr>
          <w:rFonts w:ascii="Palatino Linotype" w:hAnsi="Palatino Linotype" w:cs="Arial"/>
          <w:color w:val="000000" w:themeColor="text1"/>
        </w:rPr>
      </w:pPr>
    </w:p>
    <w:p w14:paraId="211F26A3" w14:textId="77777777" w:rsidR="003200B6" w:rsidRPr="00AF6D11" w:rsidRDefault="003200B6" w:rsidP="003200B6">
      <w:pPr>
        <w:pStyle w:val="Prrafodelista"/>
        <w:numPr>
          <w:ilvl w:val="0"/>
          <w:numId w:val="1"/>
        </w:numPr>
        <w:spacing w:line="360" w:lineRule="auto"/>
        <w:ind w:left="0" w:firstLine="0"/>
        <w:jc w:val="both"/>
        <w:rPr>
          <w:rFonts w:ascii="Palatino Linotype" w:hAnsi="Palatino Linotype" w:cs="Arial"/>
          <w:color w:val="000000" w:themeColor="text1"/>
        </w:rPr>
      </w:pPr>
      <w:r w:rsidRPr="00AF6D11">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4319FE47" w14:textId="77777777" w:rsidR="003200B6" w:rsidRPr="00AF6D11" w:rsidRDefault="003200B6" w:rsidP="003200B6">
      <w:pPr>
        <w:pStyle w:val="Prrafodelista"/>
        <w:spacing w:line="360" w:lineRule="auto"/>
        <w:ind w:left="0"/>
        <w:jc w:val="both"/>
        <w:rPr>
          <w:rFonts w:ascii="Palatino Linotype" w:eastAsia="Times New Roman" w:hAnsi="Palatino Linotype"/>
          <w:color w:val="000000" w:themeColor="text1"/>
          <w:lang w:eastAsia="es-ES_tradnl"/>
        </w:rPr>
      </w:pPr>
    </w:p>
    <w:p w14:paraId="573CB312" w14:textId="77777777" w:rsidR="003200B6" w:rsidRPr="00AF6D11" w:rsidRDefault="003200B6" w:rsidP="003200B6">
      <w:pPr>
        <w:pStyle w:val="Ttulo2"/>
        <w:numPr>
          <w:ilvl w:val="0"/>
          <w:numId w:val="2"/>
        </w:numPr>
        <w:pBdr>
          <w:top w:val="nil"/>
          <w:left w:val="nil"/>
          <w:bottom w:val="nil"/>
          <w:right w:val="nil"/>
          <w:between w:val="nil"/>
          <w:bar w:val="nil"/>
        </w:pBdr>
        <w:spacing w:before="0" w:line="240" w:lineRule="auto"/>
        <w:ind w:left="0" w:firstLine="0"/>
        <w:rPr>
          <w:b w:val="0"/>
          <w:szCs w:val="24"/>
        </w:rPr>
      </w:pPr>
      <w:bookmarkStart w:id="97" w:name="_Toc485631705"/>
      <w:bookmarkStart w:id="98" w:name="_Toc485733666"/>
      <w:bookmarkStart w:id="99" w:name="_Toc487139037"/>
      <w:bookmarkStart w:id="100" w:name="_Toc490060412"/>
      <w:bookmarkStart w:id="101" w:name="_Toc492468081"/>
      <w:bookmarkStart w:id="102" w:name="_Toc2878596"/>
      <w:bookmarkStart w:id="103" w:name="_Toc10711864"/>
      <w:bookmarkStart w:id="104" w:name="_Toc15552804"/>
      <w:bookmarkStart w:id="105" w:name="_Toc22922731"/>
      <w:bookmarkStart w:id="106" w:name="_Toc24928446"/>
      <w:r w:rsidRPr="00AF6D11">
        <w:rPr>
          <w:szCs w:val="24"/>
        </w:rPr>
        <w:t>Requisitos de fondo del acuerdo de clasificación.</w:t>
      </w:r>
      <w:bookmarkEnd w:id="97"/>
      <w:bookmarkEnd w:id="98"/>
      <w:bookmarkEnd w:id="99"/>
      <w:bookmarkEnd w:id="100"/>
      <w:bookmarkEnd w:id="101"/>
      <w:bookmarkEnd w:id="102"/>
      <w:bookmarkEnd w:id="103"/>
      <w:bookmarkEnd w:id="104"/>
      <w:bookmarkEnd w:id="105"/>
      <w:bookmarkEnd w:id="106"/>
    </w:p>
    <w:p w14:paraId="4EAEAC1B" w14:textId="77777777" w:rsidR="003200B6" w:rsidRPr="00AF6D11" w:rsidRDefault="003200B6" w:rsidP="003200B6">
      <w:pPr>
        <w:pStyle w:val="Prrafodelista"/>
        <w:spacing w:line="360" w:lineRule="auto"/>
        <w:ind w:left="0"/>
        <w:jc w:val="both"/>
        <w:rPr>
          <w:rFonts w:ascii="Palatino Linotype" w:hAnsi="Palatino Linotype" w:cs="Arial"/>
          <w:color w:val="000000" w:themeColor="text1"/>
        </w:rPr>
      </w:pPr>
    </w:p>
    <w:p w14:paraId="1E0D573C" w14:textId="77777777" w:rsidR="003200B6" w:rsidRPr="00AF6D11" w:rsidRDefault="003200B6" w:rsidP="003200B6">
      <w:pPr>
        <w:pStyle w:val="Prrafodelista"/>
        <w:numPr>
          <w:ilvl w:val="0"/>
          <w:numId w:val="1"/>
        </w:numPr>
        <w:spacing w:line="360" w:lineRule="auto"/>
        <w:ind w:left="0" w:firstLine="0"/>
        <w:jc w:val="both"/>
        <w:rPr>
          <w:rFonts w:ascii="Palatino Linotype" w:hAnsi="Palatino Linotype" w:cs="Arial"/>
          <w:color w:val="000000" w:themeColor="text1"/>
        </w:rPr>
      </w:pPr>
      <w:r w:rsidRPr="00AF6D11">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w:t>
      </w:r>
      <w:r w:rsidRPr="00AF6D11">
        <w:rPr>
          <w:rFonts w:ascii="Palatino Linotype" w:hAnsi="Palatino Linotype" w:cs="Arial"/>
          <w:color w:val="000000" w:themeColor="text1"/>
        </w:rPr>
        <w:lastRenderedPageBreak/>
        <w:t>corresponde a los sujetos obligados, por lo que deberán fundar y motivar debidamente la clasificación.</w:t>
      </w:r>
    </w:p>
    <w:p w14:paraId="00D860F5" w14:textId="77777777" w:rsidR="003200B6" w:rsidRPr="00AF6D11" w:rsidRDefault="003200B6" w:rsidP="003200B6">
      <w:pPr>
        <w:pStyle w:val="Prrafodelista"/>
        <w:spacing w:after="160" w:line="360" w:lineRule="auto"/>
        <w:ind w:left="0"/>
        <w:jc w:val="both"/>
        <w:rPr>
          <w:rFonts w:ascii="Palatino Linotype" w:hAnsi="Palatino Linotype" w:cs="Arial"/>
          <w:color w:val="000000" w:themeColor="text1"/>
        </w:rPr>
      </w:pPr>
    </w:p>
    <w:p w14:paraId="080C4769" w14:textId="77777777" w:rsidR="003200B6" w:rsidRPr="00AF6D11" w:rsidRDefault="003200B6" w:rsidP="003200B6">
      <w:pPr>
        <w:pStyle w:val="Prrafodelista"/>
        <w:numPr>
          <w:ilvl w:val="0"/>
          <w:numId w:val="1"/>
        </w:numPr>
        <w:spacing w:after="160" w:line="360" w:lineRule="auto"/>
        <w:ind w:left="0" w:firstLine="0"/>
        <w:jc w:val="both"/>
        <w:rPr>
          <w:rFonts w:ascii="Palatino Linotype" w:hAnsi="Palatino Linotype" w:cs="Arial"/>
          <w:color w:val="000000" w:themeColor="text1"/>
        </w:rPr>
      </w:pPr>
      <w:r w:rsidRPr="00AF6D11">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A1C47A8" w14:textId="77777777" w:rsidR="003200B6" w:rsidRPr="00AF6D11" w:rsidRDefault="003200B6" w:rsidP="003200B6">
      <w:pPr>
        <w:pStyle w:val="Prrafodelista"/>
        <w:spacing w:after="160" w:line="360" w:lineRule="auto"/>
        <w:ind w:left="0"/>
        <w:jc w:val="both"/>
        <w:rPr>
          <w:rFonts w:ascii="Palatino Linotype" w:hAnsi="Palatino Linotype" w:cs="Arial"/>
          <w:color w:val="000000" w:themeColor="text1"/>
        </w:rPr>
      </w:pPr>
    </w:p>
    <w:p w14:paraId="09F5EC70" w14:textId="77777777" w:rsidR="003200B6" w:rsidRPr="00AF6D11" w:rsidRDefault="003200B6" w:rsidP="003200B6">
      <w:pPr>
        <w:pStyle w:val="Prrafodelista"/>
        <w:numPr>
          <w:ilvl w:val="0"/>
          <w:numId w:val="1"/>
        </w:numPr>
        <w:spacing w:after="160" w:line="360" w:lineRule="auto"/>
        <w:ind w:left="0" w:firstLine="0"/>
        <w:jc w:val="both"/>
        <w:rPr>
          <w:rFonts w:ascii="Palatino Linotype" w:hAnsi="Palatino Linotype" w:cs="Arial"/>
          <w:color w:val="000000" w:themeColor="text1"/>
        </w:rPr>
      </w:pPr>
      <w:r w:rsidRPr="00AF6D11">
        <w:rPr>
          <w:rFonts w:ascii="Palatino Linotype" w:eastAsia="Times New Roman" w:hAnsi="Palatino Linotype" w:cs="Arial"/>
          <w:color w:val="000000" w:themeColor="text1"/>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F6D11">
        <w:rPr>
          <w:rStyle w:val="Refdenotaalpie"/>
          <w:rFonts w:ascii="Palatino Linotype" w:eastAsia="Times New Roman" w:hAnsi="Palatino Linotype" w:cs="Arial"/>
          <w:color w:val="000000" w:themeColor="text1"/>
          <w:lang w:eastAsia="es-MX"/>
        </w:rPr>
        <w:footnoteReference w:id="15"/>
      </w:r>
    </w:p>
    <w:p w14:paraId="3A7C2BCD" w14:textId="77777777" w:rsidR="003200B6" w:rsidRPr="00AF6D11" w:rsidRDefault="003200B6" w:rsidP="003200B6">
      <w:pPr>
        <w:pStyle w:val="Prrafodelista"/>
        <w:spacing w:after="160" w:line="360" w:lineRule="auto"/>
        <w:ind w:left="0"/>
        <w:jc w:val="both"/>
        <w:rPr>
          <w:rFonts w:ascii="Palatino Linotype" w:hAnsi="Palatino Linotype" w:cs="Arial"/>
          <w:color w:val="000000" w:themeColor="text1"/>
        </w:rPr>
      </w:pPr>
    </w:p>
    <w:p w14:paraId="48A92A45" w14:textId="77777777" w:rsidR="003200B6" w:rsidRPr="00AF6D11" w:rsidRDefault="003200B6" w:rsidP="003200B6">
      <w:pPr>
        <w:pStyle w:val="Prrafodelista"/>
        <w:numPr>
          <w:ilvl w:val="0"/>
          <w:numId w:val="1"/>
        </w:numPr>
        <w:spacing w:line="360" w:lineRule="auto"/>
        <w:ind w:left="0" w:firstLine="0"/>
        <w:jc w:val="both"/>
        <w:rPr>
          <w:rFonts w:ascii="Palatino Linotype" w:hAnsi="Palatino Linotype" w:cs="Arial"/>
          <w:color w:val="000000" w:themeColor="text1"/>
        </w:rPr>
      </w:pPr>
      <w:r w:rsidRPr="00AF6D11">
        <w:rPr>
          <w:rFonts w:ascii="Palatino Linotype" w:eastAsia="Times New Roman" w:hAnsi="Palatino Linotype" w:cs="Arial"/>
          <w:color w:val="000000" w:themeColor="text1"/>
          <w:lang w:eastAsia="es-MX"/>
        </w:rPr>
        <w:lastRenderedPageBreak/>
        <w:t>Por su parte, el intérprete judicial del país ha establecido una jurisprudencia respecto a qué debe entenderse por fundamentación y motivación, en los siguientes términos:</w:t>
      </w:r>
    </w:p>
    <w:p w14:paraId="1CC767E5" w14:textId="77777777" w:rsidR="003200B6" w:rsidRPr="00AF6D11" w:rsidRDefault="003200B6" w:rsidP="003200B6">
      <w:pPr>
        <w:spacing w:line="360" w:lineRule="auto"/>
        <w:ind w:right="618"/>
        <w:contextualSpacing/>
        <w:jc w:val="both"/>
        <w:rPr>
          <w:rFonts w:ascii="Palatino Linotype" w:hAnsi="Palatino Linotype" w:cs="Arial"/>
          <w:color w:val="000000" w:themeColor="text1"/>
        </w:rPr>
      </w:pPr>
    </w:p>
    <w:p w14:paraId="28E972F7" w14:textId="77777777" w:rsidR="003200B6" w:rsidRPr="00AF6D11" w:rsidRDefault="003200B6" w:rsidP="003200B6">
      <w:pPr>
        <w:spacing w:line="360" w:lineRule="auto"/>
        <w:ind w:left="567" w:right="618"/>
        <w:contextualSpacing/>
        <w:jc w:val="both"/>
        <w:rPr>
          <w:rFonts w:ascii="Palatino Linotype" w:hAnsi="Palatino Linotype" w:cs="Arial"/>
          <w:i/>
          <w:color w:val="000000" w:themeColor="text1"/>
          <w:sz w:val="22"/>
          <w:szCs w:val="22"/>
        </w:rPr>
      </w:pPr>
      <w:r w:rsidRPr="00AF6D11">
        <w:rPr>
          <w:rFonts w:ascii="Palatino Linotype" w:hAnsi="Palatino Linotype" w:cs="Arial"/>
          <w:b/>
          <w:i/>
          <w:color w:val="000000" w:themeColor="text1"/>
          <w:sz w:val="22"/>
          <w:szCs w:val="22"/>
        </w:rPr>
        <w:t>FUNDAMENTACIÓN Y MOTIVACIÓN.</w:t>
      </w:r>
      <w:r w:rsidRPr="00AF6D11">
        <w:rPr>
          <w:rFonts w:ascii="Palatino Linotype" w:hAnsi="Palatino Linotype" w:cs="Arial"/>
          <w:i/>
          <w:color w:val="000000" w:themeColor="text1"/>
          <w:sz w:val="22"/>
          <w:szCs w:val="22"/>
        </w:rPr>
        <w:t xml:space="preserve"> La </w:t>
      </w:r>
      <w:r w:rsidRPr="00AF6D11">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F6D11">
        <w:rPr>
          <w:rFonts w:ascii="Palatino Linotype" w:hAnsi="Palatino Linotype" w:cs="Arial"/>
          <w:i/>
          <w:color w:val="000000" w:themeColor="text1"/>
          <w:sz w:val="22"/>
          <w:szCs w:val="22"/>
        </w:rPr>
        <w:t>.</w:t>
      </w:r>
    </w:p>
    <w:p w14:paraId="1EEC3F1B" w14:textId="77777777" w:rsidR="003200B6" w:rsidRPr="00AF6D11" w:rsidRDefault="003200B6" w:rsidP="003200B6">
      <w:pPr>
        <w:spacing w:line="360" w:lineRule="auto"/>
        <w:ind w:left="567" w:right="618"/>
        <w:contextualSpacing/>
        <w:jc w:val="both"/>
        <w:rPr>
          <w:rFonts w:ascii="Palatino Linotype" w:hAnsi="Palatino Linotype" w:cs="Arial"/>
          <w:i/>
          <w:color w:val="000000" w:themeColor="text1"/>
          <w:sz w:val="22"/>
          <w:szCs w:val="22"/>
        </w:rPr>
      </w:pPr>
      <w:r w:rsidRPr="00AF6D11">
        <w:rPr>
          <w:rFonts w:ascii="Palatino Linotype" w:hAnsi="Palatino Linotype" w:cs="Arial"/>
          <w:i/>
          <w:color w:val="000000" w:themeColor="text1"/>
          <w:sz w:val="22"/>
          <w:szCs w:val="22"/>
        </w:rPr>
        <w:t>SEGUNDO TRIBUNAL COLEGIADO DEL SEXTO CIRCUITO.</w:t>
      </w:r>
    </w:p>
    <w:p w14:paraId="683DAC53" w14:textId="77777777" w:rsidR="003200B6" w:rsidRPr="00AF6D11" w:rsidRDefault="003200B6" w:rsidP="003200B6">
      <w:pPr>
        <w:spacing w:line="360" w:lineRule="auto"/>
        <w:ind w:left="567" w:right="618"/>
        <w:contextualSpacing/>
        <w:jc w:val="both"/>
        <w:rPr>
          <w:rFonts w:ascii="Palatino Linotype" w:hAnsi="Palatino Linotype" w:cs="Arial"/>
          <w:i/>
          <w:color w:val="000000" w:themeColor="text1"/>
          <w:sz w:val="22"/>
          <w:szCs w:val="22"/>
        </w:rPr>
      </w:pPr>
      <w:r w:rsidRPr="00AF6D11">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2108CADD" w14:textId="77777777" w:rsidR="003200B6" w:rsidRPr="00AF6D11" w:rsidRDefault="003200B6" w:rsidP="003200B6">
      <w:pPr>
        <w:spacing w:line="360" w:lineRule="auto"/>
        <w:ind w:left="567" w:right="618"/>
        <w:contextualSpacing/>
        <w:jc w:val="both"/>
        <w:rPr>
          <w:rFonts w:ascii="Palatino Linotype" w:hAnsi="Palatino Linotype" w:cs="Arial"/>
          <w:i/>
          <w:color w:val="000000" w:themeColor="text1"/>
          <w:sz w:val="22"/>
          <w:szCs w:val="22"/>
        </w:rPr>
      </w:pPr>
      <w:r w:rsidRPr="00AF6D11">
        <w:rPr>
          <w:rFonts w:ascii="Palatino Linotype" w:hAnsi="Palatino Linotype" w:cs="Arial"/>
          <w:i/>
          <w:color w:val="000000" w:themeColor="text1"/>
          <w:sz w:val="22"/>
          <w:szCs w:val="22"/>
        </w:rPr>
        <w:t>Revisión fiscal 103/88. Instituto Mexicano del Seguro Social. 18 de octubre de 1988. Unanimidad de votos. Ponente: Arnoldo Nájera Virgen. Secretario: Alejandro Esponda Rincón.</w:t>
      </w:r>
    </w:p>
    <w:p w14:paraId="695B4A89" w14:textId="77777777" w:rsidR="003200B6" w:rsidRPr="00AF6D11" w:rsidRDefault="003200B6" w:rsidP="003200B6">
      <w:pPr>
        <w:spacing w:line="360" w:lineRule="auto"/>
        <w:ind w:left="567" w:right="618"/>
        <w:contextualSpacing/>
        <w:jc w:val="both"/>
        <w:rPr>
          <w:rFonts w:ascii="Palatino Linotype" w:hAnsi="Palatino Linotype" w:cs="Arial"/>
          <w:i/>
          <w:color w:val="000000" w:themeColor="text1"/>
          <w:sz w:val="22"/>
          <w:szCs w:val="22"/>
        </w:rPr>
      </w:pPr>
      <w:r w:rsidRPr="00AF6D11">
        <w:rPr>
          <w:rFonts w:ascii="Palatino Linotype" w:hAnsi="Palatino Linotype" w:cs="Arial"/>
          <w:i/>
          <w:color w:val="000000" w:themeColor="text1"/>
          <w:sz w:val="22"/>
          <w:szCs w:val="22"/>
        </w:rPr>
        <w:t>Amparo en revisión 333/88. Adilia Romero. 26 de octubre de 1988. Unanimidad de votos. Ponente: Arnoldo Nájera Virgen. Secretario: Enrique Crispín Campos Ramírez.</w:t>
      </w:r>
    </w:p>
    <w:p w14:paraId="6E476A32" w14:textId="77777777" w:rsidR="003200B6" w:rsidRPr="00AF6D11" w:rsidRDefault="003200B6" w:rsidP="003200B6">
      <w:pPr>
        <w:spacing w:line="360" w:lineRule="auto"/>
        <w:ind w:left="567" w:right="618"/>
        <w:contextualSpacing/>
        <w:jc w:val="both"/>
        <w:rPr>
          <w:rFonts w:ascii="Palatino Linotype" w:hAnsi="Palatino Linotype" w:cs="Arial"/>
          <w:i/>
          <w:color w:val="000000" w:themeColor="text1"/>
          <w:sz w:val="22"/>
          <w:szCs w:val="22"/>
        </w:rPr>
      </w:pPr>
      <w:r w:rsidRPr="00AF6D11">
        <w:rPr>
          <w:rFonts w:ascii="Palatino Linotype" w:hAnsi="Palatino Linotype" w:cs="Arial"/>
          <w:i/>
          <w:color w:val="000000" w:themeColor="text1"/>
          <w:sz w:val="22"/>
          <w:szCs w:val="22"/>
        </w:rPr>
        <w:t>Amparo en revisión 597/95. Emilio Maurer Bretón. 15 de noviembre de 1995. Unanimidad de votos. Ponente: Clementina Ramírez Moguel Goyzueta. Secretario: Gonzalo Carrera Molina.</w:t>
      </w:r>
    </w:p>
    <w:p w14:paraId="44C1E6BE" w14:textId="77777777" w:rsidR="003200B6" w:rsidRPr="00AF6D11" w:rsidRDefault="003200B6" w:rsidP="003200B6">
      <w:pPr>
        <w:spacing w:line="360" w:lineRule="auto"/>
        <w:ind w:left="567" w:right="618"/>
        <w:contextualSpacing/>
        <w:jc w:val="both"/>
        <w:rPr>
          <w:rFonts w:ascii="Palatino Linotype" w:hAnsi="Palatino Linotype" w:cs="Arial"/>
          <w:i/>
          <w:color w:val="000000" w:themeColor="text1"/>
          <w:sz w:val="22"/>
          <w:szCs w:val="22"/>
        </w:rPr>
      </w:pPr>
      <w:r w:rsidRPr="00AF6D11">
        <w:rPr>
          <w:rFonts w:ascii="Palatino Linotype" w:hAnsi="Palatino Linotype" w:cs="Arial"/>
          <w:i/>
          <w:color w:val="000000" w:themeColor="text1"/>
          <w:sz w:val="22"/>
          <w:szCs w:val="22"/>
        </w:rPr>
        <w:t>Amparo directo 7/96. Pedro Vicente López Miro. 21 de febrero de 1996. Unanimidad de votos. Ponente: María Eugenia Estela Martínez Cardiel. Secretario: Enrique Baigts Muñoz.</w:t>
      </w:r>
      <w:r w:rsidRPr="00AF6D11">
        <w:rPr>
          <w:rStyle w:val="Refdenotaalpie"/>
          <w:rFonts w:ascii="Palatino Linotype" w:hAnsi="Palatino Linotype" w:cs="Arial"/>
          <w:i/>
          <w:color w:val="000000" w:themeColor="text1"/>
          <w:sz w:val="22"/>
          <w:szCs w:val="22"/>
        </w:rPr>
        <w:footnoteReference w:id="16"/>
      </w:r>
    </w:p>
    <w:p w14:paraId="5DBDD420" w14:textId="77777777" w:rsidR="003200B6" w:rsidRPr="00AF6D11" w:rsidRDefault="003200B6" w:rsidP="003200B6">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567FA5F1" w14:textId="77777777" w:rsidR="003200B6" w:rsidRPr="00AF6D11" w:rsidRDefault="003200B6" w:rsidP="003200B6">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AF6D11">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A0DF1FA" w14:textId="77777777" w:rsidR="003200B6" w:rsidRPr="00AF6D11" w:rsidRDefault="003200B6" w:rsidP="003200B6">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04090573" w14:textId="77777777" w:rsidR="003200B6" w:rsidRPr="00AF6D11" w:rsidRDefault="003200B6" w:rsidP="003200B6">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AF6D11">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922C98B" w14:textId="77777777" w:rsidR="003200B6" w:rsidRPr="00AF6D11" w:rsidRDefault="003200B6" w:rsidP="003200B6">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69ABF3F" w14:textId="77777777" w:rsidR="003200B6" w:rsidRPr="00AF6D11" w:rsidRDefault="003200B6" w:rsidP="003200B6">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AF6D11">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29A7C75A" w14:textId="77777777" w:rsidR="003200B6" w:rsidRPr="00AF6D11" w:rsidRDefault="003200B6" w:rsidP="003200B6">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24979E17" w14:textId="77777777" w:rsidR="003200B6" w:rsidRPr="00AF6D11" w:rsidRDefault="003200B6" w:rsidP="003200B6">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lang w:eastAsia="es-MX"/>
        </w:rPr>
      </w:pPr>
      <w:r w:rsidRPr="00AF6D11">
        <w:rPr>
          <w:rFonts w:ascii="Palatino Linotype" w:eastAsia="Times New Roman" w:hAnsi="Palatino Linotype" w:cs="Arial"/>
          <w:color w:val="000000" w:themeColor="text1"/>
          <w:lang w:eastAsia="es-MX"/>
        </w:rPr>
        <w:t>Ahora bien, para cada caso además de fundar y motivar, se debe identificar con claridad que datos contenidos en las documentales que son susceptibles de suprimirse, porque no todos los datos contenidos en los documentos ordenados son</w:t>
      </w:r>
      <w:r w:rsidRPr="00AF6D11">
        <w:rPr>
          <w:rFonts w:ascii="Palatino Linotype" w:hAnsi="Palatino Linotype"/>
          <w:color w:val="000000" w:themeColor="text1"/>
        </w:rPr>
        <w:t xml:space="preserve"> </w:t>
      </w:r>
      <w:r w:rsidRPr="00AF6D11">
        <w:rPr>
          <w:rFonts w:ascii="Palatino Linotype" w:eastAsia="Times New Roman" w:hAnsi="Palatino Linotype" w:cs="Arial"/>
          <w:color w:val="000000" w:themeColor="text1"/>
          <w:lang w:eastAsia="es-MX"/>
        </w:rPr>
        <w:t>datos personales</w:t>
      </w:r>
      <w:r w:rsidRPr="00AF6D11">
        <w:rPr>
          <w:rStyle w:val="Refdenotaalpie"/>
          <w:rFonts w:ascii="Palatino Linotype" w:eastAsia="Times New Roman" w:hAnsi="Palatino Linotype" w:cs="Arial"/>
          <w:color w:val="000000" w:themeColor="text1"/>
          <w:lang w:eastAsia="es-MX"/>
        </w:rPr>
        <w:footnoteReference w:id="17"/>
      </w:r>
      <w:r w:rsidRPr="00AF6D11">
        <w:rPr>
          <w:rFonts w:ascii="Palatino Linotype" w:eastAsia="Times New Roman" w:hAnsi="Palatino Linotype" w:cs="Arial"/>
          <w:color w:val="000000" w:themeColor="text1"/>
          <w:lang w:eastAsia="es-MX"/>
        </w:rPr>
        <w:t xml:space="preserve"> del servidor público toda vez que no tienen ninguna injerencia en el tema de </w:t>
      </w:r>
      <w:r w:rsidRPr="00AF6D11">
        <w:rPr>
          <w:rFonts w:ascii="Palatino Linotype" w:eastAsia="Times New Roman" w:hAnsi="Palatino Linotype" w:cs="Arial"/>
          <w:color w:val="000000" w:themeColor="text1"/>
          <w:lang w:eastAsia="es-MX"/>
        </w:rPr>
        <w:lastRenderedPageBreak/>
        <w:t xml:space="preserve">la transparencia y la rendición de cuentas, como son </w:t>
      </w:r>
      <w:r w:rsidRPr="00AF6D11">
        <w:rPr>
          <w:rFonts w:ascii="Palatino Linotype" w:eastAsia="Calibri" w:hAnsi="Palatino Linotype" w:cs="Arial"/>
          <w:color w:val="000000" w:themeColor="text1"/>
          <w:lang w:val="es-ES" w:eastAsia="es-MX"/>
        </w:rPr>
        <w:t xml:space="preserve">Registro Federal de Contribuyentes (R.F.C.) de las personas físicas, número de cuenta, y los Códigos Bidimensionales, también denominados Códigos QR, estos son datos  susceptibles de clasificarse como confidenciales mediante una versión pública que deje a la vista los datos que ofrezcan la información requerida. </w:t>
      </w:r>
    </w:p>
    <w:p w14:paraId="67989C63" w14:textId="77777777" w:rsidR="003200B6" w:rsidRPr="00AF6D11" w:rsidRDefault="003200B6" w:rsidP="003200B6">
      <w:pPr>
        <w:pStyle w:val="Prrafodelista"/>
        <w:spacing w:after="120" w:line="360" w:lineRule="auto"/>
        <w:ind w:left="0"/>
        <w:jc w:val="both"/>
        <w:rPr>
          <w:rFonts w:ascii="Palatino Linotype" w:hAnsi="Palatino Linotype" w:cs="Arial"/>
          <w:color w:val="000000" w:themeColor="text1"/>
        </w:rPr>
      </w:pPr>
    </w:p>
    <w:p w14:paraId="64B47F78" w14:textId="77777777" w:rsidR="003200B6" w:rsidRPr="00AF6D11" w:rsidRDefault="003200B6" w:rsidP="003200B6">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AF6D11">
        <w:rPr>
          <w:rFonts w:ascii="Palatino Linotype" w:hAnsi="Palatino Linotype" w:cs="Arial"/>
          <w:color w:val="000000" w:themeColor="text1"/>
        </w:rPr>
        <w:t xml:space="preserve">Finalmente respecto de los </w:t>
      </w:r>
      <w:r w:rsidRPr="00AF6D11">
        <w:rPr>
          <w:rFonts w:ascii="Palatino Linotype" w:hAnsi="Palatino Linotype" w:cs="Arial"/>
          <w:b/>
          <w:color w:val="000000" w:themeColor="text1"/>
        </w:rPr>
        <w:t>Códigos Bidimensionales</w:t>
      </w:r>
      <w:r w:rsidRPr="00AF6D11">
        <w:rPr>
          <w:rFonts w:ascii="Palatino Linotype" w:hAnsi="Palatino Linotype" w:cs="Arial"/>
          <w:color w:val="000000" w:themeColor="text1"/>
        </w:rPr>
        <w:t xml:space="preserve">, también denominados </w:t>
      </w:r>
      <w:r w:rsidRPr="00AF6D11">
        <w:rPr>
          <w:rFonts w:ascii="Palatino Linotype" w:hAnsi="Palatino Linotype" w:cs="Arial"/>
          <w:b/>
          <w:color w:val="000000" w:themeColor="text1"/>
        </w:rPr>
        <w:t>Códigos QR</w:t>
      </w:r>
      <w:r w:rsidRPr="00AF6D11">
        <w:rPr>
          <w:rFonts w:ascii="Palatino Linotype" w:hAnsi="Palatino Linotype" w:cs="Arial"/>
          <w:color w:val="000000" w:themeColor="text1"/>
        </w:rPr>
        <w:t xml:space="preserve">, se trata de barras en dos dimensiones que al igual a los códigos de barras o códigos unidimensionales, </w:t>
      </w:r>
      <w:r w:rsidRPr="00AF6D11">
        <w:rPr>
          <w:rFonts w:ascii="Palatino Linotype" w:hAnsi="Palatino Linotype" w:cs="Arial"/>
          <w:color w:val="000000" w:themeColor="text1"/>
          <w:lang w:eastAsia="es-MX"/>
        </w:rPr>
        <w:t>son</w:t>
      </w:r>
      <w:r w:rsidRPr="00AF6D11">
        <w:rPr>
          <w:rFonts w:ascii="Palatino Linotype" w:hAnsi="Palatino Linotype" w:cs="Arial"/>
          <w:color w:val="000000" w:themeColor="text1"/>
        </w:rPr>
        <w:t xml:space="preserve"> utilizados para almacenar diversos tipos datos de manera codificada, los cuales a través de lectores que pueden ser obtenidos por cualquier persona, pueden obtener datos personales.</w:t>
      </w:r>
    </w:p>
    <w:p w14:paraId="7B8B01F2" w14:textId="77777777" w:rsidR="003200B6" w:rsidRPr="00AF6D11" w:rsidRDefault="003200B6" w:rsidP="003200B6">
      <w:pPr>
        <w:pStyle w:val="Prrafodelista"/>
        <w:spacing w:before="120" w:after="120" w:line="360" w:lineRule="auto"/>
        <w:ind w:left="0"/>
        <w:jc w:val="both"/>
        <w:rPr>
          <w:rFonts w:ascii="Palatino Linotype" w:hAnsi="Palatino Linotype" w:cs="Arial"/>
          <w:color w:val="000000" w:themeColor="text1"/>
        </w:rPr>
      </w:pPr>
    </w:p>
    <w:p w14:paraId="1ED69B93" w14:textId="77777777" w:rsidR="003200B6" w:rsidRPr="00AF6D11" w:rsidRDefault="003200B6" w:rsidP="003200B6">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AF6D11">
        <w:rPr>
          <w:rFonts w:ascii="Palatino Linotype" w:hAnsi="Palatino Linotype" w:cs="Arial"/>
          <w:color w:val="000000" w:themeColor="text1"/>
        </w:rPr>
        <w:t>En relación al RFC,</w:t>
      </w:r>
      <w:r w:rsidRPr="00AF6D11">
        <w:rPr>
          <w:rFonts w:ascii="Palatino Linotype" w:eastAsia="Calibri" w:hAnsi="Palatino Linotype" w:cs="Tahoma"/>
          <w:bCs/>
          <w:color w:val="000000" w:themeColor="text1"/>
          <w:sz w:val="22"/>
          <w:szCs w:val="22"/>
          <w:lang w:eastAsia="en-US"/>
        </w:rPr>
        <w:t xml:space="preserve"> cabe traer a colación como hecho notorio en la presente Resolución, la respuesta que el Servicio de Administración Tributaria proporcionó a la solicitud de acceso a la información con número de folio 0610100135506, disponible para su consulta en la Plataforma Nacional de Transparencia; mediante la cual refiere el procedimiento para la generación de la Clave RFC.</w:t>
      </w:r>
    </w:p>
    <w:p w14:paraId="2A1B1738" w14:textId="77777777" w:rsidR="003200B6" w:rsidRPr="00AF6D11" w:rsidRDefault="003200B6" w:rsidP="003200B6">
      <w:pPr>
        <w:pStyle w:val="Prrafodelista"/>
        <w:spacing w:before="120" w:after="120" w:line="360" w:lineRule="auto"/>
        <w:ind w:left="0"/>
        <w:jc w:val="both"/>
        <w:rPr>
          <w:rFonts w:ascii="Palatino Linotype" w:hAnsi="Palatino Linotype" w:cs="Arial"/>
          <w:color w:val="000000" w:themeColor="text1"/>
        </w:rPr>
      </w:pPr>
    </w:p>
    <w:p w14:paraId="6C567763" w14:textId="77777777" w:rsidR="003200B6" w:rsidRPr="00AF6D11" w:rsidRDefault="003200B6" w:rsidP="003200B6">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AF6D11">
        <w:rPr>
          <w:rFonts w:ascii="Palatino Linotype" w:eastAsia="Calibri" w:hAnsi="Palatino Linotype" w:cs="Tahoma"/>
          <w:bCs/>
          <w:color w:val="000000" w:themeColor="text1"/>
          <w:sz w:val="22"/>
          <w:szCs w:val="22"/>
          <w:lang w:eastAsia="en-US"/>
        </w:rPr>
        <w:t>Así, del análisis a dicha se respuesta, se desprende que las fuentes de información para generar la Clave RFC de personas físicas son: Acta de Nacimiento, Cartilla, Pasaporte o Certificado de Estudios de Enseñanza Pública, de las cuales se obtiene lo siguiente:</w:t>
      </w:r>
    </w:p>
    <w:p w14:paraId="4C2F0C12" w14:textId="77777777" w:rsidR="003200B6" w:rsidRPr="00AF6D11" w:rsidRDefault="003200B6" w:rsidP="003200B6">
      <w:pPr>
        <w:spacing w:line="360" w:lineRule="auto"/>
        <w:jc w:val="both"/>
        <w:rPr>
          <w:rFonts w:ascii="Palatino Linotype" w:eastAsia="Calibri" w:hAnsi="Palatino Linotype" w:cs="Tahoma"/>
          <w:bCs/>
          <w:color w:val="000000" w:themeColor="text1"/>
          <w:sz w:val="22"/>
          <w:szCs w:val="22"/>
          <w:lang w:eastAsia="en-US"/>
        </w:rPr>
      </w:pPr>
    </w:p>
    <w:p w14:paraId="43EEF929" w14:textId="77777777" w:rsidR="003200B6" w:rsidRPr="00AF6D11" w:rsidRDefault="003200B6" w:rsidP="003200B6">
      <w:pPr>
        <w:numPr>
          <w:ilvl w:val="0"/>
          <w:numId w:val="13"/>
        </w:numPr>
        <w:spacing w:line="360" w:lineRule="auto"/>
        <w:jc w:val="both"/>
        <w:rPr>
          <w:rFonts w:ascii="Palatino Linotype" w:eastAsia="Calibri" w:hAnsi="Palatino Linotype" w:cs="Tahoma"/>
          <w:bCs/>
          <w:color w:val="000000" w:themeColor="text1"/>
          <w:sz w:val="22"/>
          <w:szCs w:val="22"/>
          <w:lang w:eastAsia="en-US"/>
        </w:rPr>
      </w:pPr>
      <w:r w:rsidRPr="00AF6D11">
        <w:rPr>
          <w:rFonts w:ascii="Palatino Linotype" w:eastAsia="Calibri" w:hAnsi="Palatino Linotype" w:cs="Tahoma"/>
          <w:bCs/>
          <w:color w:val="000000" w:themeColor="text1"/>
          <w:sz w:val="22"/>
          <w:szCs w:val="22"/>
          <w:lang w:eastAsia="en-US"/>
        </w:rPr>
        <w:t>La primera letra del apellido paterno y la siguiente primera vocal del mismo.</w:t>
      </w:r>
    </w:p>
    <w:p w14:paraId="41D985F1" w14:textId="77777777" w:rsidR="003200B6" w:rsidRPr="00AF6D11" w:rsidRDefault="003200B6" w:rsidP="003200B6">
      <w:pPr>
        <w:numPr>
          <w:ilvl w:val="0"/>
          <w:numId w:val="13"/>
        </w:numPr>
        <w:spacing w:line="360" w:lineRule="auto"/>
        <w:jc w:val="both"/>
        <w:rPr>
          <w:rFonts w:ascii="Palatino Linotype" w:eastAsia="Calibri" w:hAnsi="Palatino Linotype" w:cs="Tahoma"/>
          <w:bCs/>
          <w:color w:val="000000" w:themeColor="text1"/>
          <w:sz w:val="22"/>
          <w:szCs w:val="22"/>
          <w:lang w:eastAsia="en-US"/>
        </w:rPr>
      </w:pPr>
      <w:r w:rsidRPr="00AF6D11">
        <w:rPr>
          <w:rFonts w:ascii="Palatino Linotype" w:eastAsia="Calibri" w:hAnsi="Palatino Linotype" w:cs="Tahoma"/>
          <w:bCs/>
          <w:color w:val="000000" w:themeColor="text1"/>
          <w:sz w:val="22"/>
          <w:szCs w:val="22"/>
          <w:lang w:eastAsia="en-US"/>
        </w:rPr>
        <w:t>La primera letra del apellido materno.</w:t>
      </w:r>
    </w:p>
    <w:p w14:paraId="50F4458B" w14:textId="77777777" w:rsidR="003200B6" w:rsidRPr="00AF6D11" w:rsidRDefault="003200B6" w:rsidP="003200B6">
      <w:pPr>
        <w:numPr>
          <w:ilvl w:val="0"/>
          <w:numId w:val="13"/>
        </w:numPr>
        <w:spacing w:line="360" w:lineRule="auto"/>
        <w:jc w:val="both"/>
        <w:rPr>
          <w:rFonts w:ascii="Palatino Linotype" w:eastAsia="Calibri" w:hAnsi="Palatino Linotype" w:cs="Tahoma"/>
          <w:bCs/>
          <w:color w:val="000000" w:themeColor="text1"/>
          <w:sz w:val="22"/>
          <w:szCs w:val="22"/>
          <w:lang w:eastAsia="en-US"/>
        </w:rPr>
      </w:pPr>
      <w:r w:rsidRPr="00AF6D11">
        <w:rPr>
          <w:rFonts w:ascii="Palatino Linotype" w:eastAsia="Calibri" w:hAnsi="Palatino Linotype" w:cs="Tahoma"/>
          <w:bCs/>
          <w:color w:val="000000" w:themeColor="text1"/>
          <w:sz w:val="22"/>
          <w:szCs w:val="22"/>
          <w:lang w:eastAsia="en-US"/>
        </w:rPr>
        <w:lastRenderedPageBreak/>
        <w:t>La primera letra del nombre.</w:t>
      </w:r>
    </w:p>
    <w:p w14:paraId="461CBAEA" w14:textId="77777777" w:rsidR="003200B6" w:rsidRPr="00AF6D11" w:rsidRDefault="003200B6" w:rsidP="003200B6">
      <w:pPr>
        <w:numPr>
          <w:ilvl w:val="0"/>
          <w:numId w:val="13"/>
        </w:numPr>
        <w:spacing w:line="360" w:lineRule="auto"/>
        <w:jc w:val="both"/>
        <w:rPr>
          <w:rFonts w:ascii="Palatino Linotype" w:eastAsia="Calibri" w:hAnsi="Palatino Linotype" w:cs="Tahoma"/>
          <w:bCs/>
          <w:color w:val="000000" w:themeColor="text1"/>
          <w:sz w:val="22"/>
          <w:szCs w:val="22"/>
          <w:lang w:eastAsia="en-US"/>
        </w:rPr>
      </w:pPr>
      <w:r w:rsidRPr="00AF6D11">
        <w:rPr>
          <w:rFonts w:ascii="Palatino Linotype" w:eastAsia="Calibri" w:hAnsi="Palatino Linotype" w:cs="Tahoma"/>
          <w:bCs/>
          <w:color w:val="000000" w:themeColor="text1"/>
          <w:sz w:val="22"/>
          <w:szCs w:val="22"/>
          <w:lang w:eastAsia="en-US"/>
        </w:rPr>
        <w:t>la fecha de nacimiento del contribuyente (año, mes y día, a dos cifras)</w:t>
      </w:r>
    </w:p>
    <w:p w14:paraId="573B7F8B" w14:textId="77777777" w:rsidR="003200B6" w:rsidRPr="00AF6D11" w:rsidRDefault="003200B6" w:rsidP="003200B6">
      <w:pPr>
        <w:spacing w:line="360" w:lineRule="auto"/>
        <w:jc w:val="both"/>
        <w:rPr>
          <w:rFonts w:ascii="Palatino Linotype" w:eastAsia="Calibri" w:hAnsi="Palatino Linotype" w:cs="Tahoma"/>
          <w:bCs/>
          <w:color w:val="000000" w:themeColor="text1"/>
          <w:sz w:val="22"/>
          <w:szCs w:val="22"/>
          <w:lang w:eastAsia="en-US"/>
        </w:rPr>
      </w:pPr>
    </w:p>
    <w:p w14:paraId="2098DDDA" w14:textId="77777777" w:rsidR="003200B6" w:rsidRPr="00AF6D11" w:rsidRDefault="003200B6" w:rsidP="003200B6">
      <w:pPr>
        <w:pStyle w:val="Prrafodelista"/>
        <w:numPr>
          <w:ilvl w:val="0"/>
          <w:numId w:val="1"/>
        </w:numPr>
        <w:spacing w:line="360" w:lineRule="auto"/>
        <w:ind w:left="0" w:firstLine="0"/>
        <w:jc w:val="both"/>
        <w:rPr>
          <w:rFonts w:ascii="Palatino Linotype" w:eastAsia="Calibri" w:hAnsi="Palatino Linotype" w:cs="Tahoma"/>
          <w:bCs/>
          <w:color w:val="000000" w:themeColor="text1"/>
          <w:sz w:val="22"/>
          <w:szCs w:val="22"/>
          <w:lang w:eastAsia="en-US"/>
        </w:rPr>
      </w:pPr>
      <w:r w:rsidRPr="00AF6D11">
        <w:rPr>
          <w:rFonts w:ascii="Palatino Linotype" w:eastAsia="Calibri" w:hAnsi="Palatino Linotype" w:cs="Tahoma"/>
          <w:bCs/>
          <w:color w:val="000000" w:themeColor="text1"/>
          <w:sz w:val="22"/>
          <w:szCs w:val="22"/>
          <w:lang w:eastAsia="en-US"/>
        </w:rPr>
        <w:t>De lo anterior, se puede deducir que la Clave RFC está compuesta por datos personales, como lo es la fecha de nacimiento, en ese entendido, el Criterio 19/17, emitido por el Pleno del Instituto de Transparencia, Acceso a la Información Pública y Protección de Datos Personales, refiere que el RFC es una clave de carácter fiscal, única e irrepetible, que permite identificar al titular, su edad y fecha de nacimiento, por lo que es un dato personal de carácter confidencial.</w:t>
      </w:r>
    </w:p>
    <w:p w14:paraId="2383AC52" w14:textId="77777777" w:rsidR="003200B6" w:rsidRPr="00AF6D11" w:rsidRDefault="003200B6" w:rsidP="003200B6">
      <w:pPr>
        <w:pStyle w:val="Prrafodelista"/>
        <w:spacing w:line="360" w:lineRule="auto"/>
        <w:ind w:left="0"/>
        <w:jc w:val="both"/>
        <w:rPr>
          <w:rFonts w:ascii="Palatino Linotype" w:eastAsia="Calibri" w:hAnsi="Palatino Linotype" w:cs="Tahoma"/>
          <w:bCs/>
          <w:color w:val="000000" w:themeColor="text1"/>
          <w:sz w:val="22"/>
          <w:szCs w:val="22"/>
          <w:lang w:eastAsia="en-US"/>
        </w:rPr>
      </w:pPr>
    </w:p>
    <w:p w14:paraId="0D767B24" w14:textId="77777777" w:rsidR="003200B6" w:rsidRPr="00AF6D11" w:rsidRDefault="003200B6" w:rsidP="003200B6">
      <w:pPr>
        <w:pStyle w:val="Prrafodelista"/>
        <w:numPr>
          <w:ilvl w:val="0"/>
          <w:numId w:val="1"/>
        </w:numPr>
        <w:spacing w:line="360" w:lineRule="auto"/>
        <w:ind w:left="0" w:firstLine="0"/>
        <w:jc w:val="both"/>
        <w:rPr>
          <w:rFonts w:ascii="Palatino Linotype" w:eastAsia="Calibri" w:hAnsi="Palatino Linotype" w:cs="Tahoma"/>
          <w:bCs/>
          <w:color w:val="000000" w:themeColor="text1"/>
          <w:sz w:val="22"/>
          <w:szCs w:val="22"/>
          <w:lang w:eastAsia="en-US"/>
        </w:rPr>
      </w:pPr>
      <w:r w:rsidRPr="00AF6D11">
        <w:rPr>
          <w:rFonts w:ascii="Palatino Linotype" w:eastAsia="Calibri" w:hAnsi="Palatino Linotype" w:cs="Tahoma"/>
          <w:bCs/>
          <w:color w:val="000000" w:themeColor="text1"/>
          <w:sz w:val="22"/>
          <w:szCs w:val="22"/>
          <w:lang w:eastAsia="en-US"/>
        </w:rPr>
        <w:t xml:space="preserve">Por tanto, </w:t>
      </w:r>
      <w:r w:rsidRPr="00AF6D11">
        <w:rPr>
          <w:rFonts w:ascii="Palatino Linotype" w:eastAsia="Calibri" w:hAnsi="Palatino Linotype" w:cs="Tahoma"/>
          <w:b/>
          <w:bCs/>
          <w:color w:val="000000" w:themeColor="text1"/>
          <w:sz w:val="22"/>
          <w:szCs w:val="22"/>
          <w:lang w:eastAsia="en-US"/>
        </w:rPr>
        <w:t xml:space="preserve">el RFC </w:t>
      </w:r>
      <w:r w:rsidRPr="006E0D46">
        <w:rPr>
          <w:rFonts w:ascii="Palatino Linotype" w:eastAsia="Calibri" w:hAnsi="Palatino Linotype" w:cs="Tahoma"/>
          <w:bCs/>
          <w:color w:val="000000" w:themeColor="text1"/>
          <w:sz w:val="22"/>
          <w:szCs w:val="22"/>
          <w:lang w:eastAsia="en-US"/>
        </w:rPr>
        <w:t xml:space="preserve">es información susceptible de clasificarse como confidencial, en términos del artículo 143, fracción I, de la </w:t>
      </w:r>
      <w:r w:rsidRPr="00AF6D11">
        <w:rPr>
          <w:rFonts w:ascii="Palatino Linotype" w:eastAsia="Calibri" w:hAnsi="Palatino Linotype" w:cs="Tahoma"/>
          <w:b/>
          <w:bCs/>
          <w:color w:val="000000" w:themeColor="text1"/>
          <w:sz w:val="22"/>
          <w:szCs w:val="22"/>
          <w:lang w:eastAsia="en-US"/>
        </w:rPr>
        <w:t>Ley de Transparencia y Acceso a la Información Pública del Estado de México y Municipios</w:t>
      </w:r>
      <w:r w:rsidRPr="00AF6D11">
        <w:rPr>
          <w:rFonts w:ascii="Palatino Linotype" w:eastAsia="Calibri" w:hAnsi="Palatino Linotype" w:cs="Tahoma"/>
          <w:bCs/>
          <w:color w:val="000000" w:themeColor="text1"/>
          <w:sz w:val="22"/>
          <w:szCs w:val="22"/>
          <w:lang w:eastAsia="en-US"/>
        </w:rPr>
        <w:t>, ya que se refiere a la información privada y los datos personales concernientes a una persona física identificada o identificable.</w:t>
      </w:r>
    </w:p>
    <w:p w14:paraId="155ED425" w14:textId="77777777" w:rsidR="003200B6" w:rsidRPr="00AF6D11" w:rsidRDefault="003200B6" w:rsidP="003200B6">
      <w:pPr>
        <w:pStyle w:val="Prrafodelista"/>
        <w:spacing w:line="360" w:lineRule="auto"/>
        <w:ind w:left="0"/>
        <w:jc w:val="both"/>
        <w:rPr>
          <w:rFonts w:ascii="Palatino Linotype" w:hAnsi="Palatino Linotype"/>
          <w:color w:val="000000" w:themeColor="text1"/>
        </w:rPr>
      </w:pPr>
    </w:p>
    <w:p w14:paraId="71FD4E87" w14:textId="77777777" w:rsidR="003200B6" w:rsidRPr="00AF6D11" w:rsidRDefault="003200B6" w:rsidP="003200B6">
      <w:pPr>
        <w:pStyle w:val="Prrafodelista"/>
        <w:numPr>
          <w:ilvl w:val="0"/>
          <w:numId w:val="1"/>
        </w:numPr>
        <w:spacing w:line="360" w:lineRule="auto"/>
        <w:ind w:left="0" w:firstLine="0"/>
        <w:jc w:val="both"/>
        <w:rPr>
          <w:rFonts w:ascii="Palatino Linotype" w:hAnsi="Palatino Linotype"/>
          <w:color w:val="000000" w:themeColor="text1"/>
        </w:rPr>
      </w:pPr>
      <w:r w:rsidRPr="00AF6D11">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1DBA8F00" w14:textId="77777777" w:rsidR="003200B6" w:rsidRPr="00AF6D11" w:rsidRDefault="003200B6" w:rsidP="003200B6">
      <w:pPr>
        <w:spacing w:line="360" w:lineRule="auto"/>
        <w:jc w:val="both"/>
        <w:rPr>
          <w:rFonts w:ascii="Palatino Linotype" w:hAnsi="Palatino Linotype"/>
          <w:color w:val="000000" w:themeColor="text1"/>
        </w:rPr>
      </w:pPr>
    </w:p>
    <w:p w14:paraId="190CB384" w14:textId="77777777" w:rsidR="003200B6" w:rsidRPr="00AF6D11" w:rsidRDefault="003200B6" w:rsidP="003200B6">
      <w:pPr>
        <w:pStyle w:val="Prrafodelista"/>
        <w:numPr>
          <w:ilvl w:val="0"/>
          <w:numId w:val="1"/>
        </w:numPr>
        <w:spacing w:line="360" w:lineRule="auto"/>
        <w:ind w:left="0" w:firstLine="0"/>
        <w:jc w:val="both"/>
        <w:rPr>
          <w:rFonts w:ascii="Palatino Linotype" w:hAnsi="Palatino Linotype"/>
          <w:color w:val="000000" w:themeColor="text1"/>
        </w:rPr>
      </w:pPr>
      <w:r w:rsidRPr="00AF6D11">
        <w:rPr>
          <w:rFonts w:ascii="Palatino Linotype" w:eastAsia="Calibri" w:hAnsi="Palatino Linotype" w:cs="Arial"/>
          <w:color w:val="000000" w:themeColor="text1"/>
          <w:lang w:val="es-ES" w:eastAsia="es-MX"/>
        </w:rPr>
        <w:t xml:space="preserve">Es de señalar, que por lo que hace a las versiones públicas, el </w:t>
      </w:r>
      <w:r w:rsidRPr="00AF6D11">
        <w:rPr>
          <w:rFonts w:ascii="Palatino Linotype" w:eastAsia="Calibri" w:hAnsi="Palatino Linotype" w:cs="Arial"/>
          <w:b/>
          <w:color w:val="000000" w:themeColor="text1"/>
          <w:lang w:val="es-ES" w:eastAsia="es-MX"/>
        </w:rPr>
        <w:t>SUJETO OBLIGADO</w:t>
      </w:r>
      <w:r w:rsidRPr="00AF6D11">
        <w:rPr>
          <w:rFonts w:ascii="Palatino Linotype" w:eastAsia="Calibri" w:hAnsi="Palatino Linotype" w:cs="Arial"/>
          <w:color w:val="000000" w:themeColor="text1"/>
          <w:lang w:val="es-ES" w:eastAsia="es-MX"/>
        </w:rPr>
        <w:t xml:space="preserve"> debe cumplir con las formalidades exigidas en la Ley, por lo que </w:t>
      </w:r>
      <w:r w:rsidRPr="00AF6D11">
        <w:rPr>
          <w:rFonts w:ascii="Palatino Linotype" w:eastAsia="Times New Roman" w:hAnsi="Palatino Linotype" w:cs="Arial"/>
          <w:color w:val="000000" w:themeColor="text1"/>
          <w:lang w:eastAsia="es-MX"/>
        </w:rPr>
        <w:t xml:space="preserve">para tal efecto emitirá el </w:t>
      </w:r>
      <w:r w:rsidRPr="00AF6D11">
        <w:rPr>
          <w:rFonts w:ascii="Palatino Linotype" w:eastAsia="Calibri" w:hAnsi="Palatino Linotype" w:cs="Arial"/>
          <w:color w:val="000000" w:themeColor="text1"/>
          <w:lang w:val="es-ES" w:eastAsia="es-MX"/>
        </w:rPr>
        <w:lastRenderedPageBreak/>
        <w:t>Acuerdo del Comité de Transparencia en términos de los artículos 49 fracción</w:t>
      </w:r>
      <w:r w:rsidRPr="00AF6D11">
        <w:rPr>
          <w:rFonts w:ascii="Palatino Linotype" w:eastAsia="Calibri" w:hAnsi="Palatino Linotype" w:cs="Arial"/>
          <w:bCs/>
          <w:color w:val="000000" w:themeColor="text1"/>
        </w:rPr>
        <w:t xml:space="preserve"> VIII,</w:t>
      </w:r>
      <w:r w:rsidRPr="00AF6D11">
        <w:rPr>
          <w:rFonts w:ascii="Palatino Linotype" w:eastAsia="Calibri" w:hAnsi="Palatino Linotype" w:cs="Arial"/>
          <w:color w:val="000000" w:themeColor="text1"/>
          <w:lang w:val="es-ES" w:eastAsia="es-MX"/>
        </w:rPr>
        <w:t xml:space="preserve"> 122</w:t>
      </w:r>
      <w:r w:rsidRPr="00AF6D11">
        <w:rPr>
          <w:rFonts w:ascii="Palatino Linotype" w:hAnsi="Palatino Linotype" w:cs="Times New Roman"/>
          <w:color w:val="000000" w:themeColor="text1"/>
          <w:vertAlign w:val="superscript"/>
          <w:lang w:val="es-ES" w:eastAsia="es-MX"/>
        </w:rPr>
        <w:footnoteReference w:id="18"/>
      </w:r>
      <w:r w:rsidRPr="00AF6D11">
        <w:rPr>
          <w:rFonts w:ascii="Palatino Linotype" w:eastAsia="Calibri" w:hAnsi="Palatino Linotype" w:cs="Arial"/>
          <w:color w:val="000000" w:themeColor="text1"/>
          <w:lang w:val="es-ES" w:eastAsia="es-MX"/>
        </w:rPr>
        <w:t>, 135</w:t>
      </w:r>
      <w:r w:rsidRPr="00AF6D11">
        <w:rPr>
          <w:rFonts w:ascii="Palatino Linotype" w:hAnsi="Palatino Linotype" w:cs="Times New Roman"/>
          <w:color w:val="000000" w:themeColor="text1"/>
          <w:vertAlign w:val="superscript"/>
          <w:lang w:val="es-ES" w:eastAsia="es-MX"/>
        </w:rPr>
        <w:footnoteReference w:id="19"/>
      </w:r>
      <w:r w:rsidRPr="00AF6D11">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174F917E" w14:textId="77777777" w:rsidR="003200B6" w:rsidRPr="00AF6D11" w:rsidRDefault="003200B6" w:rsidP="003200B6">
      <w:pPr>
        <w:pStyle w:val="Prrafodelista"/>
        <w:spacing w:line="360" w:lineRule="auto"/>
        <w:ind w:left="0"/>
        <w:jc w:val="both"/>
        <w:rPr>
          <w:rFonts w:ascii="Palatino Linotype" w:hAnsi="Palatino Linotype"/>
          <w:color w:val="000000" w:themeColor="text1"/>
        </w:rPr>
      </w:pPr>
    </w:p>
    <w:p w14:paraId="628D4DA3" w14:textId="77777777" w:rsidR="003200B6" w:rsidRPr="00AF6D11" w:rsidRDefault="003200B6" w:rsidP="003200B6">
      <w:pPr>
        <w:pStyle w:val="Prrafodelista"/>
        <w:numPr>
          <w:ilvl w:val="0"/>
          <w:numId w:val="1"/>
        </w:numPr>
        <w:spacing w:line="360" w:lineRule="auto"/>
        <w:ind w:left="0" w:firstLine="0"/>
        <w:jc w:val="both"/>
        <w:rPr>
          <w:rFonts w:ascii="Palatino Linotype" w:hAnsi="Palatino Linotype"/>
          <w:color w:val="000000" w:themeColor="text1"/>
        </w:rPr>
      </w:pPr>
      <w:r w:rsidRPr="00AF6D11">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AF6D11">
        <w:rPr>
          <w:rFonts w:ascii="Palatino Linotype" w:eastAsia="Calibri" w:hAnsi="Palatino Linotype" w:cs="Arial"/>
          <w:b/>
          <w:color w:val="000000" w:themeColor="text1"/>
          <w:lang w:val="es-ES" w:eastAsia="es-CO"/>
        </w:rPr>
        <w:t>SUJETO OBLIGADO</w:t>
      </w:r>
      <w:r w:rsidRPr="00AF6D11">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1E84F43" w14:textId="77777777" w:rsidR="003200B6" w:rsidRPr="00AF6D11" w:rsidRDefault="003200B6" w:rsidP="003200B6">
      <w:pPr>
        <w:pStyle w:val="Prrafodelista"/>
        <w:spacing w:line="360" w:lineRule="auto"/>
        <w:ind w:left="0"/>
        <w:jc w:val="both"/>
        <w:rPr>
          <w:rFonts w:ascii="Palatino Linotype" w:hAnsi="Palatino Linotype"/>
          <w:color w:val="000000" w:themeColor="text1"/>
        </w:rPr>
      </w:pPr>
    </w:p>
    <w:p w14:paraId="2835B082" w14:textId="77777777" w:rsidR="003200B6" w:rsidRPr="00AF6D11" w:rsidRDefault="003200B6" w:rsidP="003200B6">
      <w:pPr>
        <w:pStyle w:val="Prrafodelista"/>
        <w:numPr>
          <w:ilvl w:val="0"/>
          <w:numId w:val="1"/>
        </w:numPr>
        <w:spacing w:line="360" w:lineRule="auto"/>
        <w:ind w:left="0" w:firstLine="0"/>
        <w:jc w:val="both"/>
        <w:rPr>
          <w:rFonts w:ascii="Palatino Linotype" w:hAnsi="Palatino Linotype"/>
          <w:color w:val="000000" w:themeColor="text1"/>
        </w:rPr>
      </w:pPr>
      <w:r w:rsidRPr="00AF6D11">
        <w:rPr>
          <w:rFonts w:ascii="Palatino Linotype" w:eastAsia="Times New Roman" w:hAnsi="Palatino Linotype" w:cs="Arial"/>
          <w:color w:val="000000" w:themeColor="text1"/>
          <w:lang w:eastAsia="es-MX"/>
        </w:rPr>
        <w:lastRenderedPageBreak/>
        <w:t xml:space="preserve">Siendo así que, </w:t>
      </w:r>
      <w:r w:rsidRPr="00AF6D11">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AF6D11">
        <w:rPr>
          <w:rFonts w:ascii="Palatino Linotype" w:hAnsi="Palatino Linotype"/>
          <w:b/>
          <w:color w:val="000000" w:themeColor="text1"/>
        </w:rPr>
        <w:t>SUJETO OBLIGADO</w:t>
      </w:r>
      <w:r w:rsidRPr="00AF6D11">
        <w:rPr>
          <w:rFonts w:ascii="Palatino Linotype" w:hAnsi="Palatino Linotype"/>
          <w:color w:val="000000" w:themeColor="text1"/>
        </w:rPr>
        <w:t xml:space="preserve">. Dicho acuerdo deberá de contener los </w:t>
      </w:r>
      <w:r w:rsidRPr="00AF6D11">
        <w:rPr>
          <w:rFonts w:ascii="Palatino Linotype" w:hAnsi="Palatino Linotype"/>
          <w:b/>
          <w:color w:val="000000" w:themeColor="text1"/>
        </w:rPr>
        <w:t>razonamientos lógicos</w:t>
      </w:r>
      <w:r w:rsidRPr="00AF6D11">
        <w:rPr>
          <w:rFonts w:ascii="Palatino Linotype" w:hAnsi="Palatino Linotype"/>
          <w:color w:val="000000" w:themeColor="text1"/>
        </w:rPr>
        <w:t xml:space="preserve"> mediante los cuales se </w:t>
      </w:r>
      <w:r w:rsidRPr="00AF6D11">
        <w:rPr>
          <w:rFonts w:ascii="Palatino Linotype" w:hAnsi="Palatino Linotype"/>
          <w:b/>
          <w:color w:val="000000" w:themeColor="text1"/>
        </w:rPr>
        <w:t xml:space="preserve">demuestre </w:t>
      </w:r>
      <w:r w:rsidRPr="00AF6D11">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2EC125AC" w14:textId="77777777" w:rsidR="003200B6" w:rsidRPr="00AF6D11" w:rsidRDefault="003200B6" w:rsidP="003200B6">
      <w:pPr>
        <w:pStyle w:val="Prrafodelista"/>
        <w:spacing w:line="360" w:lineRule="auto"/>
        <w:ind w:left="0"/>
        <w:jc w:val="both"/>
        <w:rPr>
          <w:rFonts w:ascii="Palatino Linotype" w:hAnsi="Palatino Linotype"/>
          <w:color w:val="000000" w:themeColor="text1"/>
        </w:rPr>
      </w:pPr>
    </w:p>
    <w:p w14:paraId="42CF0509" w14:textId="77777777" w:rsidR="003200B6" w:rsidRPr="00AF6D11" w:rsidRDefault="003200B6" w:rsidP="003200B6">
      <w:pPr>
        <w:pStyle w:val="Prrafodelista"/>
        <w:numPr>
          <w:ilvl w:val="0"/>
          <w:numId w:val="1"/>
        </w:numPr>
        <w:spacing w:line="360" w:lineRule="auto"/>
        <w:ind w:left="0" w:firstLine="0"/>
        <w:jc w:val="both"/>
        <w:rPr>
          <w:rFonts w:ascii="Palatino Linotype" w:hAnsi="Palatino Linotype"/>
          <w:color w:val="000000" w:themeColor="text1"/>
        </w:rPr>
      </w:pPr>
      <w:r w:rsidRPr="00AF6D11">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B010409" w14:textId="77777777" w:rsidR="003200B6" w:rsidRPr="00AF6D11" w:rsidRDefault="003200B6" w:rsidP="003200B6">
      <w:pPr>
        <w:pStyle w:val="Prrafodelista"/>
        <w:spacing w:line="360" w:lineRule="auto"/>
        <w:ind w:left="0"/>
        <w:jc w:val="both"/>
        <w:rPr>
          <w:rFonts w:ascii="Palatino Linotype" w:hAnsi="Palatino Linotype"/>
          <w:color w:val="000000" w:themeColor="text1"/>
        </w:rPr>
      </w:pPr>
    </w:p>
    <w:p w14:paraId="110497FA" w14:textId="77777777" w:rsidR="003200B6" w:rsidRPr="00AF6D11" w:rsidRDefault="003200B6" w:rsidP="003200B6">
      <w:pPr>
        <w:pStyle w:val="Prrafodelista"/>
        <w:numPr>
          <w:ilvl w:val="0"/>
          <w:numId w:val="1"/>
        </w:numPr>
        <w:spacing w:line="360" w:lineRule="auto"/>
        <w:ind w:left="0" w:firstLine="0"/>
        <w:jc w:val="both"/>
        <w:rPr>
          <w:rFonts w:ascii="Palatino Linotype" w:hAnsi="Palatino Linotype"/>
          <w:color w:val="000000" w:themeColor="text1"/>
        </w:rPr>
      </w:pPr>
      <w:r w:rsidRPr="00AF6D11">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84708F7" w14:textId="77777777" w:rsidR="003200B6" w:rsidRPr="00AF6D11" w:rsidRDefault="003200B6" w:rsidP="003200B6">
      <w:pPr>
        <w:pStyle w:val="Prrafodelista"/>
        <w:spacing w:line="360" w:lineRule="auto"/>
        <w:ind w:left="0"/>
        <w:jc w:val="both"/>
        <w:rPr>
          <w:rFonts w:ascii="Palatino Linotype" w:hAnsi="Palatino Linotype"/>
          <w:color w:val="000000" w:themeColor="text1"/>
        </w:rPr>
      </w:pPr>
    </w:p>
    <w:p w14:paraId="582FDFF1" w14:textId="77777777" w:rsidR="003200B6" w:rsidRPr="00490493" w:rsidRDefault="003200B6" w:rsidP="003200B6">
      <w:pPr>
        <w:pStyle w:val="Prrafodelista"/>
        <w:numPr>
          <w:ilvl w:val="0"/>
          <w:numId w:val="1"/>
        </w:numPr>
        <w:spacing w:line="360" w:lineRule="auto"/>
        <w:ind w:left="0" w:firstLine="0"/>
        <w:jc w:val="both"/>
        <w:rPr>
          <w:rFonts w:ascii="Palatino Linotype" w:hAnsi="Palatino Linotype"/>
          <w:color w:val="000000" w:themeColor="text1"/>
        </w:rPr>
      </w:pPr>
      <w:r w:rsidRPr="00AF6D11">
        <w:rPr>
          <w:rFonts w:ascii="Palatino Linotype" w:eastAsia="Times New Roman" w:hAnsi="Palatino Linotype" w:cs="Arial"/>
          <w:color w:val="000000" w:themeColor="text1"/>
          <w:lang w:val="es-ES"/>
        </w:rPr>
        <w:lastRenderedPageBreak/>
        <w:t>Es decir un documento público testado que no se acompañe del respectivo acuerdo de clasificación no es una versión pública sino un documento alterado.</w:t>
      </w:r>
    </w:p>
    <w:p w14:paraId="3FAF1643" w14:textId="77777777" w:rsidR="003200B6" w:rsidRPr="00490493" w:rsidRDefault="003200B6" w:rsidP="003200B6">
      <w:pPr>
        <w:pStyle w:val="Prrafodelista"/>
        <w:rPr>
          <w:rFonts w:ascii="Palatino Linotype" w:hAnsi="Palatino Linotype"/>
          <w:color w:val="000000" w:themeColor="text1"/>
        </w:rPr>
      </w:pPr>
    </w:p>
    <w:p w14:paraId="3AF5EFE4" w14:textId="77777777" w:rsidR="003200B6" w:rsidRPr="00017A61" w:rsidRDefault="003200B6" w:rsidP="003200B6">
      <w:pPr>
        <w:pStyle w:val="Ttulo1"/>
        <w:spacing w:before="0" w:line="360" w:lineRule="auto"/>
        <w:ind w:left="426" w:hanging="142"/>
      </w:pPr>
      <w:bookmarkStart w:id="107" w:name="_Toc8208625"/>
      <w:bookmarkStart w:id="108" w:name="_Toc10711860"/>
      <w:bookmarkStart w:id="109" w:name="_Toc15552805"/>
      <w:bookmarkStart w:id="110" w:name="_Toc22922732"/>
      <w:bookmarkStart w:id="111" w:name="_Toc24928447"/>
      <w:r>
        <w:t xml:space="preserve">B) </w:t>
      </w:r>
      <w:r w:rsidRPr="00017A61">
        <w:t>De la disociación.</w:t>
      </w:r>
      <w:bookmarkEnd w:id="107"/>
      <w:bookmarkEnd w:id="108"/>
      <w:bookmarkEnd w:id="109"/>
      <w:bookmarkEnd w:id="110"/>
      <w:bookmarkEnd w:id="111"/>
    </w:p>
    <w:p w14:paraId="0800D8B8" w14:textId="77777777" w:rsidR="003200B6" w:rsidRPr="00017A61" w:rsidRDefault="003200B6" w:rsidP="003200B6">
      <w:pPr>
        <w:spacing w:line="360" w:lineRule="auto"/>
      </w:pPr>
    </w:p>
    <w:p w14:paraId="0525EB9C" w14:textId="4D7B9ED4" w:rsidR="003200B6" w:rsidRDefault="003200B6" w:rsidP="008A7970">
      <w:pPr>
        <w:pStyle w:val="Prrafodelista"/>
        <w:numPr>
          <w:ilvl w:val="0"/>
          <w:numId w:val="1"/>
        </w:numPr>
        <w:pBdr>
          <w:top w:val="nil"/>
          <w:left w:val="nil"/>
          <w:bottom w:val="nil"/>
          <w:right w:val="nil"/>
          <w:between w:val="nil"/>
          <w:bar w:val="nil"/>
        </w:pBdr>
        <w:tabs>
          <w:tab w:val="left" w:pos="709"/>
        </w:tabs>
        <w:spacing w:line="360" w:lineRule="auto"/>
        <w:ind w:left="0" w:firstLine="0"/>
        <w:jc w:val="both"/>
        <w:rPr>
          <w:rFonts w:ascii="Palatino Linotype" w:hAnsi="Palatino Linotype"/>
        </w:rPr>
      </w:pPr>
      <w:r w:rsidRPr="00DC25D0">
        <w:rPr>
          <w:rFonts w:ascii="Palatino Linotype" w:hAnsi="Palatino Linotype"/>
        </w:rPr>
        <w:t xml:space="preserve">Derivado de </w:t>
      </w:r>
      <w:r>
        <w:rPr>
          <w:rFonts w:ascii="Palatino Linotype" w:hAnsi="Palatino Linotype"/>
        </w:rPr>
        <w:t xml:space="preserve">que en </w:t>
      </w:r>
      <w:r w:rsidRPr="00DC25D0">
        <w:rPr>
          <w:rFonts w:ascii="Palatino Linotype" w:hAnsi="Palatino Linotype"/>
        </w:rPr>
        <w:t>la información que se orden</w:t>
      </w:r>
      <w:r>
        <w:rPr>
          <w:rFonts w:ascii="Palatino Linotype" w:hAnsi="Palatino Linotype"/>
        </w:rPr>
        <w:t>ará</w:t>
      </w:r>
      <w:r w:rsidRPr="00DC25D0">
        <w:rPr>
          <w:rFonts w:ascii="Palatino Linotype" w:hAnsi="Palatino Linotype"/>
        </w:rPr>
        <w:t xml:space="preserve"> entregar</w:t>
      </w:r>
      <w:r>
        <w:rPr>
          <w:rFonts w:ascii="Palatino Linotype" w:hAnsi="Palatino Linotype"/>
        </w:rPr>
        <w:t xml:space="preserve"> en la presente resolución</w:t>
      </w:r>
      <w:r w:rsidRPr="00DC25D0">
        <w:rPr>
          <w:rFonts w:ascii="Palatino Linotype" w:hAnsi="Palatino Linotype"/>
        </w:rPr>
        <w:t xml:space="preserve"> se pudieran advertir los nombres de los elementos de seguridad pública con funciones operativas, y en virtud de que a este Órgano Garante; por un lado, le corresponde tutelar el derecho de acceso a la información; y, por el otro, la protección de datos personales, más </w:t>
      </w:r>
      <w:r>
        <w:rPr>
          <w:rFonts w:ascii="Palatino Linotype" w:hAnsi="Palatino Linotype"/>
        </w:rPr>
        <w:t xml:space="preserve">aún </w:t>
      </w:r>
      <w:r w:rsidRPr="00DC25D0">
        <w:rPr>
          <w:rFonts w:ascii="Palatino Linotype" w:hAnsi="Palatino Linotype"/>
        </w:rPr>
        <w:t xml:space="preserve">cuando se trata de servidores públicos dedicados a realizar funciones operativas en materia de seguridad pública, </w:t>
      </w:r>
      <w:r>
        <w:rPr>
          <w:rFonts w:ascii="Palatino Linotype" w:hAnsi="Palatino Linotype"/>
        </w:rPr>
        <w:t xml:space="preserve">ésta se debe entregar </w:t>
      </w:r>
      <w:r w:rsidRPr="00DC25D0">
        <w:rPr>
          <w:rFonts w:ascii="Palatino Linotype" w:hAnsi="Palatino Linotype"/>
        </w:rPr>
        <w:t>de manera disocia</w:t>
      </w:r>
      <w:r>
        <w:rPr>
          <w:rFonts w:ascii="Palatino Linotype" w:hAnsi="Palatino Linotype"/>
        </w:rPr>
        <w:t xml:space="preserve">da, de tal manera que </w:t>
      </w:r>
      <w:r w:rsidRPr="00DC25D0">
        <w:rPr>
          <w:rFonts w:ascii="Palatino Linotype" w:hAnsi="Palatino Linotype"/>
        </w:rPr>
        <w:t xml:space="preserve">los datos personales de los policías no pueden asociarse a sus titulares, ni permitir </w:t>
      </w:r>
      <w:r>
        <w:rPr>
          <w:rFonts w:ascii="Palatino Linotype" w:hAnsi="Palatino Linotype"/>
        </w:rPr>
        <w:t xml:space="preserve">que </w:t>
      </w:r>
      <w:r w:rsidRPr="00DC25D0">
        <w:rPr>
          <w:rFonts w:ascii="Palatino Linotype" w:hAnsi="Palatino Linotype"/>
        </w:rPr>
        <w:t xml:space="preserve">por su estructura, contenido o grado de desagregación, </w:t>
      </w:r>
      <w:r>
        <w:rPr>
          <w:rFonts w:ascii="Palatino Linotype" w:hAnsi="Palatino Linotype"/>
        </w:rPr>
        <w:t xml:space="preserve">se pueda hacer </w:t>
      </w:r>
      <w:r w:rsidRPr="00DC25D0">
        <w:rPr>
          <w:rFonts w:ascii="Palatino Linotype" w:hAnsi="Palatino Linotype"/>
        </w:rPr>
        <w:t>la identifi</w:t>
      </w:r>
      <w:r>
        <w:rPr>
          <w:rFonts w:ascii="Palatino Linotype" w:hAnsi="Palatino Linotype"/>
        </w:rPr>
        <w:t xml:space="preserve">cación individual de los mismos, logrando con ello un balance entre el derecho de acceso a la información y la protección de datos personales, </w:t>
      </w:r>
      <w:r w:rsidRPr="00DC25D0">
        <w:rPr>
          <w:rFonts w:ascii="Palatino Linotype" w:hAnsi="Palatino Linotype"/>
        </w:rPr>
        <w:t xml:space="preserve">tal y como lo establece el artículo 4 fracción XVI de la </w:t>
      </w:r>
      <w:r w:rsidRPr="00DC25D0">
        <w:rPr>
          <w:rFonts w:ascii="Palatino Linotype" w:hAnsi="Palatino Linotype"/>
          <w:b/>
        </w:rPr>
        <w:t>Ley de Protección de Datos Personales en Posesión de Sujetos Obligados  del Estado de México y Municipios</w:t>
      </w:r>
      <w:r w:rsidRPr="00DC25D0">
        <w:rPr>
          <w:rFonts w:ascii="Palatino Linotype" w:hAnsi="Palatino Linotype"/>
        </w:rPr>
        <w:t>, que refiere:</w:t>
      </w:r>
    </w:p>
    <w:p w14:paraId="1A88FBB7" w14:textId="77777777" w:rsidR="003200B6" w:rsidRPr="003200B6" w:rsidRDefault="003200B6" w:rsidP="003200B6">
      <w:pPr>
        <w:pStyle w:val="Prrafodelista"/>
        <w:pBdr>
          <w:top w:val="nil"/>
          <w:left w:val="nil"/>
          <w:bottom w:val="nil"/>
          <w:right w:val="nil"/>
          <w:between w:val="nil"/>
          <w:bar w:val="nil"/>
        </w:pBdr>
        <w:tabs>
          <w:tab w:val="left" w:pos="426"/>
        </w:tabs>
        <w:spacing w:line="360" w:lineRule="auto"/>
        <w:ind w:left="0"/>
        <w:jc w:val="both"/>
        <w:rPr>
          <w:rFonts w:ascii="Palatino Linotype" w:hAnsi="Palatino Linotype"/>
        </w:rPr>
      </w:pPr>
    </w:p>
    <w:p w14:paraId="1ACC6CC8" w14:textId="77777777" w:rsidR="003200B6" w:rsidRPr="00DC25D0" w:rsidRDefault="003200B6" w:rsidP="003200B6">
      <w:pPr>
        <w:pStyle w:val="Prrafodelista"/>
        <w:tabs>
          <w:tab w:val="left" w:pos="7938"/>
        </w:tabs>
        <w:spacing w:line="360" w:lineRule="auto"/>
        <w:ind w:left="567" w:right="616"/>
        <w:jc w:val="both"/>
        <w:rPr>
          <w:rFonts w:ascii="Palatino Linotype" w:hAnsi="Palatino Linotype"/>
          <w:i/>
          <w:sz w:val="22"/>
        </w:rPr>
      </w:pPr>
      <w:r w:rsidRPr="00DC25D0">
        <w:rPr>
          <w:rFonts w:ascii="Palatino Linotype" w:hAnsi="Palatino Linotype"/>
          <w:i/>
          <w:sz w:val="22"/>
        </w:rPr>
        <w:t>“</w:t>
      </w:r>
      <w:r w:rsidRPr="00DC25D0">
        <w:rPr>
          <w:rFonts w:ascii="Palatino Linotype" w:hAnsi="Palatino Linotype"/>
          <w:b/>
          <w:i/>
          <w:sz w:val="22"/>
        </w:rPr>
        <w:t>Artículo 4</w:t>
      </w:r>
      <w:r w:rsidRPr="00DC25D0">
        <w:rPr>
          <w:rFonts w:ascii="Palatino Linotype" w:hAnsi="Palatino Linotype"/>
          <w:i/>
          <w:sz w:val="22"/>
        </w:rPr>
        <w:t>.- Para los efectos de esta Ley se entenderá por:</w:t>
      </w:r>
    </w:p>
    <w:p w14:paraId="2F75F578" w14:textId="77777777" w:rsidR="003200B6" w:rsidRPr="00DC25D0" w:rsidRDefault="003200B6" w:rsidP="003200B6">
      <w:pPr>
        <w:pStyle w:val="Prrafodelista"/>
        <w:tabs>
          <w:tab w:val="left" w:pos="7938"/>
        </w:tabs>
        <w:spacing w:line="360" w:lineRule="auto"/>
        <w:ind w:left="567" w:right="616"/>
        <w:jc w:val="both"/>
        <w:rPr>
          <w:rFonts w:ascii="Palatino Linotype" w:hAnsi="Palatino Linotype"/>
          <w:i/>
          <w:sz w:val="22"/>
        </w:rPr>
      </w:pPr>
      <w:r>
        <w:rPr>
          <w:rFonts w:ascii="Palatino Linotype" w:hAnsi="Palatino Linotype"/>
          <w:i/>
          <w:sz w:val="22"/>
        </w:rPr>
        <w:t>(</w:t>
      </w:r>
      <w:r w:rsidRPr="00DC25D0">
        <w:rPr>
          <w:rFonts w:ascii="Palatino Linotype" w:hAnsi="Palatino Linotype"/>
          <w:i/>
          <w:sz w:val="22"/>
        </w:rPr>
        <w:t>…</w:t>
      </w:r>
      <w:r>
        <w:rPr>
          <w:rFonts w:ascii="Palatino Linotype" w:hAnsi="Palatino Linotype"/>
          <w:i/>
          <w:sz w:val="22"/>
        </w:rPr>
        <w:t>)</w:t>
      </w:r>
    </w:p>
    <w:p w14:paraId="5B56DB01" w14:textId="77777777" w:rsidR="003200B6" w:rsidRDefault="003200B6" w:rsidP="003200B6">
      <w:pPr>
        <w:pStyle w:val="Prrafodelista"/>
        <w:tabs>
          <w:tab w:val="left" w:pos="7938"/>
        </w:tabs>
        <w:spacing w:line="360" w:lineRule="auto"/>
        <w:ind w:left="567" w:right="616"/>
        <w:jc w:val="both"/>
        <w:rPr>
          <w:rFonts w:ascii="Palatino Linotype" w:hAnsi="Palatino Linotype"/>
          <w:i/>
          <w:sz w:val="22"/>
        </w:rPr>
      </w:pPr>
      <w:r w:rsidRPr="00DC25D0">
        <w:rPr>
          <w:rFonts w:ascii="Palatino Linotype" w:hAnsi="Palatino Linotype"/>
          <w:b/>
          <w:i/>
          <w:sz w:val="22"/>
        </w:rPr>
        <w:t>XVI. Disociación</w:t>
      </w:r>
      <w:r w:rsidRPr="00DC25D0">
        <w:rPr>
          <w:rFonts w:ascii="Palatino Linotype" w:hAnsi="Palatino Linotype"/>
          <w:i/>
          <w:sz w:val="22"/>
        </w:rPr>
        <w:t>: al procedimiento por el que los datos personales no pueden asociarse a la o el titular, ni permitir por su estructura, contenido o grado de desagregación, la identificación individual del mismo;</w:t>
      </w:r>
    </w:p>
    <w:p w14:paraId="2E1C8A1C" w14:textId="77777777" w:rsidR="003200B6" w:rsidRDefault="003200B6" w:rsidP="003200B6">
      <w:pPr>
        <w:pStyle w:val="Prrafodelista"/>
        <w:tabs>
          <w:tab w:val="left" w:pos="7938"/>
        </w:tabs>
        <w:spacing w:line="360" w:lineRule="auto"/>
        <w:ind w:left="567" w:right="616"/>
        <w:jc w:val="both"/>
        <w:rPr>
          <w:rFonts w:ascii="Palatino Linotype" w:hAnsi="Palatino Linotype"/>
          <w:i/>
          <w:sz w:val="22"/>
        </w:rPr>
      </w:pPr>
      <w:r>
        <w:rPr>
          <w:rFonts w:ascii="Palatino Linotype" w:hAnsi="Palatino Linotype"/>
          <w:i/>
          <w:sz w:val="22"/>
        </w:rPr>
        <w:t>(…)</w:t>
      </w:r>
      <w:r w:rsidRPr="00DC25D0">
        <w:rPr>
          <w:rFonts w:ascii="Palatino Linotype" w:hAnsi="Palatino Linotype"/>
          <w:i/>
          <w:sz w:val="22"/>
        </w:rPr>
        <w:t>”</w:t>
      </w:r>
    </w:p>
    <w:p w14:paraId="17EB185C" w14:textId="77777777" w:rsidR="003200B6" w:rsidRPr="00967499" w:rsidRDefault="003200B6" w:rsidP="003200B6">
      <w:pPr>
        <w:pStyle w:val="Prrafodelista"/>
        <w:tabs>
          <w:tab w:val="left" w:pos="7938"/>
        </w:tabs>
        <w:spacing w:line="360" w:lineRule="auto"/>
        <w:ind w:left="567" w:right="616"/>
        <w:jc w:val="both"/>
        <w:rPr>
          <w:rFonts w:ascii="Palatino Linotype" w:hAnsi="Palatino Linotype"/>
          <w:sz w:val="22"/>
        </w:rPr>
      </w:pPr>
      <w:r>
        <w:rPr>
          <w:rFonts w:ascii="Palatino Linotype" w:hAnsi="Palatino Linotype"/>
          <w:sz w:val="22"/>
        </w:rPr>
        <w:lastRenderedPageBreak/>
        <w:t>(Énfasis añadido)</w:t>
      </w:r>
    </w:p>
    <w:p w14:paraId="31124023" w14:textId="77777777" w:rsidR="003200B6" w:rsidRPr="003200B6" w:rsidRDefault="003200B6" w:rsidP="008A7970">
      <w:pPr>
        <w:pStyle w:val="j"/>
        <w:shd w:val="clear" w:color="auto" w:fill="FFFFFF"/>
        <w:spacing w:line="360" w:lineRule="auto"/>
        <w:contextualSpacing/>
        <w:jc w:val="both"/>
        <w:textAlignment w:val="baseline"/>
        <w:rPr>
          <w:rFonts w:ascii="Palatino Linotype" w:hAnsi="Palatino Linotype"/>
          <w:color w:val="000000" w:themeColor="text1"/>
          <w:szCs w:val="20"/>
        </w:rPr>
      </w:pPr>
    </w:p>
    <w:p w14:paraId="243359D4" w14:textId="77777777" w:rsidR="003200B6" w:rsidRPr="004E5B33" w:rsidRDefault="003200B6" w:rsidP="003200B6">
      <w:pPr>
        <w:pStyle w:val="Prrafodelista"/>
        <w:numPr>
          <w:ilvl w:val="0"/>
          <w:numId w:val="1"/>
        </w:numPr>
        <w:tabs>
          <w:tab w:val="left" w:pos="709"/>
        </w:tabs>
        <w:spacing w:line="360" w:lineRule="auto"/>
        <w:ind w:left="0" w:right="49" w:firstLine="0"/>
        <w:jc w:val="both"/>
        <w:rPr>
          <w:rFonts w:ascii="Palatino Linotype" w:eastAsiaTheme="minorHAnsi" w:hAnsi="Palatino Linotype"/>
        </w:rPr>
      </w:pPr>
      <w:r>
        <w:rPr>
          <w:rFonts w:ascii="Palatino Linotype" w:hAnsi="Palatino Linotype" w:cs="Arial"/>
        </w:rPr>
        <w:t xml:space="preserve">En atención a lo anterior expuesto-se insiste- es dable ordenar la información con los datos disociados, por ejemplo, elaborar </w:t>
      </w:r>
      <w:r>
        <w:rPr>
          <w:rFonts w:ascii="Palatino Linotype" w:eastAsia="MS Mincho" w:hAnsi="Palatino Linotype"/>
        </w:rPr>
        <w:t>en una lista de por orden alfabético sin especificar sus cargos, para con ello garantizar tanto el derechos de acceso a la información de la particular, como la protección de los datos personales de los titulares d</w:t>
      </w:r>
      <w:r w:rsidRPr="004E5B33">
        <w:rPr>
          <w:rFonts w:ascii="Palatino Linotype" w:eastAsia="MS Mincho" w:hAnsi="Palatino Linotype"/>
        </w:rPr>
        <w:t>e la información dada la naturaleza de sus funciones.</w:t>
      </w:r>
    </w:p>
    <w:p w14:paraId="5A3CD856" w14:textId="77777777" w:rsidR="00C90F7B" w:rsidRPr="004E5B33" w:rsidRDefault="00C90F7B" w:rsidP="00C90F7B">
      <w:pPr>
        <w:pStyle w:val="Prrafodelista"/>
        <w:tabs>
          <w:tab w:val="left" w:pos="709"/>
        </w:tabs>
        <w:spacing w:line="360" w:lineRule="auto"/>
        <w:ind w:left="0" w:right="49"/>
        <w:jc w:val="both"/>
        <w:rPr>
          <w:rFonts w:ascii="Palatino Linotype" w:eastAsiaTheme="minorHAnsi" w:hAnsi="Palatino Linotype"/>
        </w:rPr>
      </w:pPr>
    </w:p>
    <w:p w14:paraId="7EFD485D" w14:textId="0F42D3BD" w:rsidR="00C90F7B" w:rsidRPr="004E5B33" w:rsidRDefault="00C90F7B" w:rsidP="00C90F7B">
      <w:pPr>
        <w:pStyle w:val="Prrafodelista"/>
        <w:numPr>
          <w:ilvl w:val="0"/>
          <w:numId w:val="1"/>
        </w:numPr>
        <w:tabs>
          <w:tab w:val="left" w:pos="709"/>
        </w:tabs>
        <w:spacing w:line="360" w:lineRule="auto"/>
        <w:ind w:left="0" w:right="49" w:firstLine="0"/>
        <w:jc w:val="both"/>
        <w:rPr>
          <w:rFonts w:ascii="Palatino Linotype" w:eastAsiaTheme="minorHAnsi" w:hAnsi="Palatino Linotype"/>
        </w:rPr>
      </w:pPr>
      <w:r w:rsidRPr="004E5B33">
        <w:rPr>
          <w:rFonts w:ascii="Palatino Linotype" w:eastAsia="Calibri" w:hAnsi="Palatino Linotype" w:cs="Tahoma"/>
          <w:bCs/>
          <w:sz w:val="22"/>
          <w:szCs w:val="22"/>
          <w:lang w:eastAsia="en-US"/>
        </w:rPr>
        <w:t xml:space="preserve">En ese contexto, cabe señalar que este Instituto </w:t>
      </w:r>
      <w:r w:rsidRPr="004E5B33">
        <w:rPr>
          <w:rFonts w:ascii="Palatino Linotype" w:hAnsi="Palatino Linotype"/>
          <w:sz w:val="22"/>
          <w:szCs w:val="22"/>
          <w:lang w:val="es-ES"/>
        </w:rPr>
        <w:t xml:space="preserve">ha sostenido el criterio de no dar a conocer aquellos servidores públicos que realizan funciones operativas en materia de seguridad pública, tal como es, el caso de los policías, pues </w:t>
      </w:r>
      <w:r w:rsidRPr="004E5B33">
        <w:rPr>
          <w:rFonts w:ascii="Palatino Linotype" w:hAnsi="Palatino Linotype"/>
          <w:bCs/>
          <w:sz w:val="22"/>
          <w:szCs w:val="22"/>
        </w:rPr>
        <w:t xml:space="preserve">los vuelve identificables y posiblemente reconocibles para grupos delictivos, que pudieran relacionarlos directamente con actividades u operativos pasados, presentes, o ubicarlos simplemente por el hecho de pertenecer o haber pertenecido a una organización que lleve a cabo actividades de prevención y salvaguarda de la integridad de las personas en el combate a la delincuencia; así, dicha información puede ser utilizada para </w:t>
      </w:r>
      <w:r w:rsidRPr="004E5B33">
        <w:rPr>
          <w:rFonts w:ascii="Palatino Linotype" w:hAnsi="Palatino Linotype"/>
          <w:b/>
          <w:bCs/>
          <w:sz w:val="22"/>
          <w:szCs w:val="22"/>
        </w:rPr>
        <w:t>vulnerar la vida, seguridad o salud de dichos elementos, incluso la de sus familias o entorno social.</w:t>
      </w:r>
      <w:r w:rsidRPr="004E5B33">
        <w:rPr>
          <w:rFonts w:ascii="Palatino Linotype" w:hAnsi="Palatino Linotype"/>
          <w:bCs/>
          <w:sz w:val="22"/>
          <w:szCs w:val="22"/>
        </w:rPr>
        <w:t xml:space="preserve"> Además, que aumenta el riesgo de que personas ajenas a los intereses institucionales que persiguen, intenten realizar actos tendientes a inhibir o entrometerse en las funciones de los policías, lo cual causaría una vulneración a la seguridad.</w:t>
      </w:r>
    </w:p>
    <w:p w14:paraId="4F4F7B8C" w14:textId="77777777" w:rsidR="00C90F7B" w:rsidRPr="004E5B33" w:rsidRDefault="00C90F7B" w:rsidP="00C90F7B">
      <w:pPr>
        <w:pStyle w:val="Prrafodelista"/>
        <w:rPr>
          <w:rFonts w:ascii="Palatino Linotype" w:eastAsiaTheme="minorHAnsi" w:hAnsi="Palatino Linotype"/>
        </w:rPr>
      </w:pPr>
    </w:p>
    <w:p w14:paraId="6038A2AF" w14:textId="77777777" w:rsidR="00C90F7B" w:rsidRPr="004E5B33" w:rsidRDefault="00C90F7B" w:rsidP="00C90F7B">
      <w:pPr>
        <w:pStyle w:val="Prrafodelista"/>
        <w:numPr>
          <w:ilvl w:val="0"/>
          <w:numId w:val="1"/>
        </w:numPr>
        <w:tabs>
          <w:tab w:val="left" w:pos="709"/>
        </w:tabs>
        <w:spacing w:line="360" w:lineRule="auto"/>
        <w:ind w:left="0" w:right="49" w:firstLine="0"/>
        <w:jc w:val="both"/>
        <w:rPr>
          <w:rFonts w:ascii="Palatino Linotype" w:eastAsiaTheme="minorHAnsi" w:hAnsi="Palatino Linotype"/>
        </w:rPr>
      </w:pPr>
      <w:r w:rsidRPr="004E5B33">
        <w:rPr>
          <w:rFonts w:ascii="Palatino Linotype" w:eastAsia="Calibri" w:hAnsi="Palatino Linotype" w:cs="Tahoma"/>
          <w:bCs/>
          <w:sz w:val="22"/>
          <w:szCs w:val="22"/>
          <w:lang w:eastAsia="en-US"/>
        </w:rPr>
        <w:t xml:space="preserve">Del mismo modo, </w:t>
      </w:r>
      <w:r w:rsidRPr="004E5B33">
        <w:rPr>
          <w:rFonts w:ascii="Palatino Linotype" w:hAnsi="Palatino Linotype"/>
          <w:sz w:val="22"/>
          <w:szCs w:val="22"/>
          <w:lang w:val="es-ES"/>
        </w:rPr>
        <w:t xml:space="preserve">el artículo 3°, fracción XIII de la </w:t>
      </w:r>
      <w:r w:rsidRPr="004E5B33">
        <w:rPr>
          <w:rFonts w:ascii="Palatino Linotype" w:hAnsi="Palatino Linotype"/>
          <w:b/>
          <w:sz w:val="22"/>
          <w:szCs w:val="22"/>
          <w:lang w:val="es-ES"/>
        </w:rPr>
        <w:t>Ley General de Protección de Datos Personales en Posesión de Sujetos Obligados</w:t>
      </w:r>
      <w:r w:rsidRPr="004E5B33">
        <w:rPr>
          <w:rFonts w:ascii="Palatino Linotype" w:hAnsi="Palatino Linotype"/>
          <w:sz w:val="22"/>
          <w:szCs w:val="22"/>
          <w:lang w:val="es-ES"/>
        </w:rPr>
        <w:t xml:space="preserve">, establece que la disociación es el procedimiento mediante el cual los datos personales no pueden asociarse al titular, ni permitir, por su estructura, contenido o grado de desagregación, la identificación del mismo. De la misma manera, lo </w:t>
      </w:r>
      <w:r w:rsidRPr="004E5B33">
        <w:rPr>
          <w:rFonts w:ascii="Palatino Linotype" w:hAnsi="Palatino Linotype"/>
          <w:sz w:val="22"/>
          <w:szCs w:val="22"/>
          <w:lang w:val="es-ES"/>
        </w:rPr>
        <w:lastRenderedPageBreak/>
        <w:t>establece el artículo 3°, fracción XVI de la Ley de Transparencia y Acceso a la Información Pública del Estado de México y Municipios.</w:t>
      </w:r>
    </w:p>
    <w:p w14:paraId="295CCEEF" w14:textId="77777777" w:rsidR="00C90F7B" w:rsidRPr="004E5B33" w:rsidRDefault="00C90F7B" w:rsidP="00C90F7B">
      <w:pPr>
        <w:pStyle w:val="Prrafodelista"/>
        <w:rPr>
          <w:rFonts w:ascii="Palatino Linotype" w:eastAsiaTheme="minorHAnsi" w:hAnsi="Palatino Linotype"/>
        </w:rPr>
      </w:pPr>
    </w:p>
    <w:p w14:paraId="0339BEC1" w14:textId="5ADE8915" w:rsidR="00C90F7B" w:rsidRPr="004E5B33" w:rsidRDefault="00C90F7B" w:rsidP="00C90F7B">
      <w:pPr>
        <w:pStyle w:val="Prrafodelista"/>
        <w:numPr>
          <w:ilvl w:val="0"/>
          <w:numId w:val="1"/>
        </w:numPr>
        <w:tabs>
          <w:tab w:val="left" w:pos="709"/>
        </w:tabs>
        <w:spacing w:line="360" w:lineRule="auto"/>
        <w:ind w:left="0" w:right="49" w:firstLine="0"/>
        <w:jc w:val="both"/>
        <w:rPr>
          <w:rFonts w:ascii="Palatino Linotype" w:eastAsiaTheme="minorHAnsi" w:hAnsi="Palatino Linotype"/>
        </w:rPr>
      </w:pPr>
      <w:r w:rsidRPr="004E5B33">
        <w:rPr>
          <w:rFonts w:ascii="Palatino Linotype" w:hAnsi="Palatino Linotype"/>
          <w:bCs/>
          <w:sz w:val="22"/>
          <w:szCs w:val="22"/>
        </w:rPr>
        <w:t>En ese contexto, según Solange, María (2018), en la “</w:t>
      </w:r>
      <w:r w:rsidRPr="004E5B33">
        <w:rPr>
          <w:rFonts w:ascii="Palatino Linotype" w:hAnsi="Palatino Linotype"/>
          <w:bCs/>
          <w:i/>
          <w:sz w:val="22"/>
          <w:szCs w:val="22"/>
        </w:rPr>
        <w:t>Ley General de Protección de Datos Personales en Posesión de Sujetos Obligados Comentada”</w:t>
      </w:r>
      <w:r w:rsidRPr="004E5B33">
        <w:rPr>
          <w:rFonts w:ascii="Palatino Linotype" w:hAnsi="Palatino Linotype"/>
          <w:bCs/>
          <w:sz w:val="22"/>
          <w:szCs w:val="22"/>
        </w:rPr>
        <w:t xml:space="preserve"> (p. 44), que la eficacia de la disociación depende de los resultados obtenidos, que deben ser similares o equivalentes a la eliminación o borrado de los datos, sin perder de vista los posibles riesgos residuales de la reidentificación an</w:t>
      </w:r>
      <w:r w:rsidR="00190090" w:rsidRPr="004E5B33">
        <w:rPr>
          <w:rFonts w:ascii="Palatino Linotype" w:hAnsi="Palatino Linotype"/>
          <w:bCs/>
          <w:sz w:val="22"/>
          <w:szCs w:val="22"/>
        </w:rPr>
        <w:t>te las tecnologías disponibles.</w:t>
      </w:r>
    </w:p>
    <w:p w14:paraId="2D0954EA" w14:textId="77777777" w:rsidR="00DD425F" w:rsidRPr="004E5B33" w:rsidRDefault="00DD425F" w:rsidP="00DD425F">
      <w:pPr>
        <w:pStyle w:val="Prrafodelista"/>
        <w:rPr>
          <w:rFonts w:ascii="Palatino Linotype" w:eastAsiaTheme="minorHAnsi" w:hAnsi="Palatino Linotype"/>
        </w:rPr>
      </w:pPr>
    </w:p>
    <w:p w14:paraId="14EB0757" w14:textId="77777777" w:rsidR="00C90F7B" w:rsidRPr="004E5B33" w:rsidRDefault="00C90F7B" w:rsidP="00DD425F">
      <w:pPr>
        <w:pStyle w:val="Prrafodelista"/>
        <w:numPr>
          <w:ilvl w:val="0"/>
          <w:numId w:val="1"/>
        </w:numPr>
        <w:tabs>
          <w:tab w:val="left" w:pos="709"/>
        </w:tabs>
        <w:spacing w:line="360" w:lineRule="auto"/>
        <w:ind w:left="0" w:right="49" w:firstLine="0"/>
        <w:jc w:val="both"/>
        <w:rPr>
          <w:rFonts w:ascii="Palatino Linotype" w:eastAsiaTheme="minorHAnsi" w:hAnsi="Palatino Linotype"/>
        </w:rPr>
      </w:pPr>
      <w:r w:rsidRPr="004E5B33">
        <w:rPr>
          <w:rFonts w:ascii="Palatino Linotype" w:eastAsia="Calibri" w:hAnsi="Palatino Linotype" w:cs="Tahoma"/>
          <w:bCs/>
          <w:sz w:val="22"/>
          <w:szCs w:val="22"/>
          <w:lang w:eastAsia="en-US"/>
        </w:rPr>
        <w:t>En ese orden de ideas, en el Informe Jurídico 283/2009, de la Agencia Española de Protección de Datos, traído a manera de referencia, se establece que para llevar a cabo de manera correcta un procedimiento de disociación, es necesario verificar que no se permita por ningún medio identificar el dato.</w:t>
      </w:r>
    </w:p>
    <w:p w14:paraId="47FF7D80" w14:textId="77777777" w:rsidR="00DD425F" w:rsidRPr="004E5B33" w:rsidRDefault="00DD425F" w:rsidP="00DD425F">
      <w:pPr>
        <w:pStyle w:val="Prrafodelista"/>
        <w:tabs>
          <w:tab w:val="left" w:pos="709"/>
        </w:tabs>
        <w:spacing w:line="360" w:lineRule="auto"/>
        <w:ind w:left="0" w:right="49"/>
        <w:jc w:val="both"/>
        <w:rPr>
          <w:rFonts w:ascii="Palatino Linotype" w:eastAsiaTheme="minorHAnsi" w:hAnsi="Palatino Linotype"/>
        </w:rPr>
      </w:pPr>
    </w:p>
    <w:p w14:paraId="7025340C" w14:textId="77777777" w:rsidR="00C90F7B" w:rsidRPr="004E5B33" w:rsidRDefault="00C90F7B" w:rsidP="00DD425F">
      <w:pPr>
        <w:pStyle w:val="Prrafodelista"/>
        <w:numPr>
          <w:ilvl w:val="0"/>
          <w:numId w:val="1"/>
        </w:numPr>
        <w:tabs>
          <w:tab w:val="left" w:pos="709"/>
        </w:tabs>
        <w:spacing w:line="360" w:lineRule="auto"/>
        <w:ind w:left="0" w:right="49" w:firstLine="0"/>
        <w:jc w:val="both"/>
        <w:rPr>
          <w:rFonts w:ascii="Palatino Linotype" w:eastAsiaTheme="minorHAnsi" w:hAnsi="Palatino Linotype"/>
        </w:rPr>
      </w:pPr>
      <w:r w:rsidRPr="004E5B33">
        <w:rPr>
          <w:rFonts w:ascii="Palatino Linotype" w:eastAsia="Calibri" w:hAnsi="Palatino Linotype" w:cs="Tahoma"/>
          <w:bCs/>
          <w:sz w:val="22"/>
          <w:szCs w:val="22"/>
          <w:lang w:eastAsia="en-US"/>
        </w:rPr>
        <w:t>En ese orden de ideas, según Solange, María (2019), en el “</w:t>
      </w:r>
      <w:r w:rsidRPr="004E5B33">
        <w:rPr>
          <w:rFonts w:ascii="Palatino Linotype" w:eastAsia="Calibri" w:hAnsi="Palatino Linotype" w:cs="Tahoma"/>
          <w:bCs/>
          <w:i/>
          <w:sz w:val="22"/>
          <w:szCs w:val="22"/>
          <w:lang w:eastAsia="en-US"/>
        </w:rPr>
        <w:t xml:space="preserve">Diccionario de Transparencia y Acceso a la Información Pública” </w:t>
      </w:r>
      <w:r w:rsidRPr="004E5B33">
        <w:rPr>
          <w:rFonts w:ascii="Palatino Linotype" w:eastAsia="Calibri" w:hAnsi="Palatino Linotype" w:cs="Tahoma"/>
          <w:bCs/>
          <w:sz w:val="22"/>
          <w:szCs w:val="22"/>
          <w:lang w:eastAsia="en-US"/>
        </w:rPr>
        <w:t xml:space="preserve">(p.65), establece que la </w:t>
      </w:r>
      <w:r w:rsidRPr="004E5B33">
        <w:rPr>
          <w:rFonts w:ascii="Palatino Linotype" w:eastAsia="Calibri" w:hAnsi="Palatino Linotype" w:cs="Tahoma"/>
          <w:b/>
          <w:bCs/>
          <w:sz w:val="22"/>
          <w:szCs w:val="22"/>
          <w:lang w:eastAsia="en-US"/>
        </w:rPr>
        <w:t xml:space="preserve">anonimización, </w:t>
      </w:r>
      <w:r w:rsidRPr="004E5B33">
        <w:rPr>
          <w:rFonts w:ascii="Palatino Linotype" w:eastAsia="Calibri" w:hAnsi="Palatino Linotype" w:cs="Tahoma"/>
          <w:bCs/>
          <w:sz w:val="22"/>
          <w:szCs w:val="22"/>
          <w:lang w:eastAsia="en-US"/>
        </w:rPr>
        <w:t xml:space="preserve">es una técnica que suponen el tratamiento de datos personales con el objeto de </w:t>
      </w:r>
      <w:r w:rsidRPr="004E5B33">
        <w:rPr>
          <w:rFonts w:ascii="Palatino Linotype" w:eastAsia="Calibri" w:hAnsi="Palatino Linotype" w:cs="Tahoma"/>
          <w:b/>
          <w:bCs/>
          <w:sz w:val="22"/>
          <w:szCs w:val="22"/>
          <w:lang w:eastAsia="en-US"/>
        </w:rPr>
        <w:t>disociar</w:t>
      </w:r>
      <w:r w:rsidRPr="004E5B33">
        <w:rPr>
          <w:rFonts w:ascii="Palatino Linotype" w:eastAsia="Calibri" w:hAnsi="Palatino Linotype" w:cs="Tahoma"/>
          <w:bCs/>
          <w:sz w:val="22"/>
          <w:szCs w:val="22"/>
          <w:lang w:eastAsia="en-US"/>
        </w:rPr>
        <w:t xml:space="preserve"> de </w:t>
      </w:r>
      <w:r w:rsidRPr="004E5B33">
        <w:rPr>
          <w:rFonts w:ascii="Palatino Linotype" w:eastAsia="Calibri" w:hAnsi="Palatino Linotype" w:cs="Tahoma"/>
          <w:b/>
          <w:bCs/>
          <w:sz w:val="22"/>
          <w:szCs w:val="22"/>
          <w:lang w:eastAsia="en-US"/>
        </w:rPr>
        <w:t xml:space="preserve">manera irreversible o definitiva la información personal de su titular con el fin de que no pueda asociarse con él, ni permitir su identificación por su estructura, contenido o grado de desagregación; </w:t>
      </w:r>
      <w:r w:rsidRPr="004E5B33">
        <w:rPr>
          <w:rFonts w:ascii="Palatino Linotype" w:eastAsia="Calibri" w:hAnsi="Palatino Linotype" w:cs="Tahoma"/>
          <w:bCs/>
          <w:sz w:val="22"/>
          <w:szCs w:val="22"/>
          <w:lang w:eastAsia="en-US"/>
        </w:rPr>
        <w:t>además, que la eficacia dependen de los resultados obtenidos, que deben ser similares o equivalentes a la eliminación o borrado de dichos datos, sin que se puedan re identificar con las tecnologías disponibles.</w:t>
      </w:r>
    </w:p>
    <w:p w14:paraId="22F2C964" w14:textId="290CE250" w:rsidR="00DD425F" w:rsidRPr="004E5B33" w:rsidRDefault="00DD425F" w:rsidP="00DD425F">
      <w:pPr>
        <w:pStyle w:val="Prrafodelista"/>
        <w:tabs>
          <w:tab w:val="left" w:pos="709"/>
        </w:tabs>
        <w:spacing w:line="360" w:lineRule="auto"/>
        <w:ind w:left="0" w:right="49"/>
        <w:jc w:val="both"/>
        <w:rPr>
          <w:rFonts w:ascii="Palatino Linotype" w:hAnsi="Palatino Linotype"/>
          <w:sz w:val="22"/>
          <w:szCs w:val="22"/>
          <w:lang w:val="es-ES"/>
        </w:rPr>
      </w:pPr>
    </w:p>
    <w:p w14:paraId="5724C4B0" w14:textId="77777777" w:rsidR="00DD425F" w:rsidRPr="004E5B33" w:rsidRDefault="00DD425F" w:rsidP="00DD425F">
      <w:pPr>
        <w:pStyle w:val="Prrafodelista"/>
        <w:numPr>
          <w:ilvl w:val="0"/>
          <w:numId w:val="1"/>
        </w:numPr>
        <w:tabs>
          <w:tab w:val="left" w:pos="709"/>
        </w:tabs>
        <w:spacing w:line="360" w:lineRule="auto"/>
        <w:ind w:left="0" w:right="49" w:firstLine="0"/>
        <w:jc w:val="both"/>
        <w:rPr>
          <w:rFonts w:ascii="Palatino Linotype" w:eastAsiaTheme="minorHAnsi" w:hAnsi="Palatino Linotype"/>
        </w:rPr>
      </w:pPr>
      <w:r w:rsidRPr="004E5B33">
        <w:rPr>
          <w:rFonts w:ascii="Palatino Linotype" w:hAnsi="Palatino Linotype"/>
        </w:rPr>
        <w:t xml:space="preserve">En esa misma tesitura de acuerdo a Velázquez Andrés </w:t>
      </w:r>
      <w:r w:rsidRPr="004E5B33">
        <w:rPr>
          <w:rFonts w:ascii="Palatino Linotype" w:hAnsi="Palatino Linotype"/>
          <w:bCs/>
        </w:rPr>
        <w:t>en la “</w:t>
      </w:r>
      <w:r w:rsidRPr="004E5B33">
        <w:rPr>
          <w:rFonts w:ascii="Palatino Linotype" w:hAnsi="Palatino Linotype"/>
          <w:bCs/>
          <w:i/>
        </w:rPr>
        <w:t>Ley General de Protección de Datos Personales en Posesión de Sujetos Obligados Comentada”</w:t>
      </w:r>
      <w:r w:rsidRPr="004E5B33">
        <w:rPr>
          <w:rFonts w:ascii="Palatino Linotype" w:hAnsi="Palatino Linotype"/>
          <w:bCs/>
        </w:rPr>
        <w:t xml:space="preserve"> (p. 102), </w:t>
      </w:r>
      <w:r w:rsidRPr="004E5B33">
        <w:rPr>
          <w:rFonts w:ascii="Palatino Linotype" w:hAnsi="Palatino Linotype"/>
        </w:rPr>
        <w:t xml:space="preserve">el anonimato es un factor prioritario que está determinado por el nivel de riesgo del tipo de </w:t>
      </w:r>
      <w:r w:rsidRPr="004E5B33">
        <w:rPr>
          <w:rFonts w:ascii="Palatino Linotype" w:hAnsi="Palatino Linotype"/>
        </w:rPr>
        <w:lastRenderedPageBreak/>
        <w:t>entorno desde el que se tiene acceso a los datos; esto reitera la importancia de una estrategia de seguridad.</w:t>
      </w:r>
    </w:p>
    <w:p w14:paraId="7B980620" w14:textId="77777777" w:rsidR="00DD425F" w:rsidRPr="004E5B33" w:rsidRDefault="00DD425F" w:rsidP="00DD425F">
      <w:pPr>
        <w:pStyle w:val="Prrafodelista"/>
        <w:rPr>
          <w:rFonts w:ascii="Palatino Linotype" w:eastAsiaTheme="minorHAnsi" w:hAnsi="Palatino Linotype"/>
        </w:rPr>
      </w:pPr>
    </w:p>
    <w:p w14:paraId="6E52DA92" w14:textId="01091691" w:rsidR="00DD425F" w:rsidRPr="004E5B33" w:rsidRDefault="00DD425F" w:rsidP="00DD425F">
      <w:pPr>
        <w:pStyle w:val="Prrafodelista"/>
        <w:numPr>
          <w:ilvl w:val="0"/>
          <w:numId w:val="1"/>
        </w:numPr>
        <w:tabs>
          <w:tab w:val="left" w:pos="709"/>
        </w:tabs>
        <w:spacing w:line="360" w:lineRule="auto"/>
        <w:ind w:left="0" w:right="49" w:firstLine="0"/>
        <w:jc w:val="both"/>
        <w:rPr>
          <w:rFonts w:ascii="Palatino Linotype" w:eastAsiaTheme="minorHAnsi" w:hAnsi="Palatino Linotype"/>
        </w:rPr>
      </w:pPr>
      <w:r w:rsidRPr="004E5B33">
        <w:rPr>
          <w:rFonts w:ascii="Palatino Linotype" w:eastAsiaTheme="minorHAnsi" w:hAnsi="Palatino Linotype"/>
        </w:rPr>
        <w:t xml:space="preserve">En ese sentido </w:t>
      </w:r>
      <w:r w:rsidR="008158AD" w:rsidRPr="004E5B33">
        <w:rPr>
          <w:rFonts w:ascii="Palatino Linotype" w:eastAsia="Calibri" w:hAnsi="Palatino Linotype" w:cs="Tahoma"/>
          <w:bCs/>
          <w:lang w:eastAsia="en-US"/>
        </w:rPr>
        <w:t>según Solange, María (2019), en el “</w:t>
      </w:r>
      <w:r w:rsidR="008158AD" w:rsidRPr="004E5B33">
        <w:rPr>
          <w:rFonts w:ascii="Palatino Linotype" w:eastAsia="Calibri" w:hAnsi="Palatino Linotype" w:cs="Tahoma"/>
          <w:bCs/>
          <w:i/>
          <w:lang w:eastAsia="en-US"/>
        </w:rPr>
        <w:t xml:space="preserve">Diccionario de Transparencia y Acceso a la Información Pública” </w:t>
      </w:r>
      <w:r w:rsidR="008158AD" w:rsidRPr="004E5B33">
        <w:rPr>
          <w:rFonts w:ascii="Palatino Linotype" w:eastAsia="Calibri" w:hAnsi="Palatino Linotype" w:cs="Tahoma"/>
          <w:bCs/>
          <w:lang w:eastAsia="en-US"/>
        </w:rPr>
        <w:t>(p.</w:t>
      </w:r>
      <w:r w:rsidR="00611CB3" w:rsidRPr="004E5B33">
        <w:rPr>
          <w:rFonts w:ascii="Palatino Linotype" w:eastAsia="Calibri" w:hAnsi="Palatino Linotype" w:cs="Tahoma"/>
          <w:bCs/>
          <w:lang w:eastAsia="en-US"/>
        </w:rPr>
        <w:t>107</w:t>
      </w:r>
      <w:r w:rsidR="008158AD" w:rsidRPr="004E5B33">
        <w:rPr>
          <w:rFonts w:ascii="Palatino Linotype" w:eastAsia="Calibri" w:hAnsi="Palatino Linotype" w:cs="Tahoma"/>
          <w:bCs/>
          <w:lang w:eastAsia="en-US"/>
        </w:rPr>
        <w:t xml:space="preserve">), establece que </w:t>
      </w:r>
      <w:r w:rsidR="008158AD" w:rsidRPr="004E5B33">
        <w:rPr>
          <w:rFonts w:ascii="Palatino Linotype" w:hAnsi="Palatino Linotype"/>
        </w:rPr>
        <w:t xml:space="preserve">la </w:t>
      </w:r>
      <w:r w:rsidR="008158AD" w:rsidRPr="004E5B33">
        <w:rPr>
          <w:rFonts w:ascii="Palatino Linotype" w:hAnsi="Palatino Linotype"/>
          <w:b/>
        </w:rPr>
        <w:t>seudonimización</w:t>
      </w:r>
      <w:r w:rsidR="008158AD" w:rsidRPr="004E5B33">
        <w:rPr>
          <w:rFonts w:ascii="Palatino Linotype" w:hAnsi="Palatino Linotype"/>
        </w:rPr>
        <w:t>, se concibe como una técnica para fortalecer el cumplimiento de los deberes de confidencialida</w:t>
      </w:r>
      <w:r w:rsidR="00611CB3" w:rsidRPr="004E5B33">
        <w:rPr>
          <w:rFonts w:ascii="Palatino Linotype" w:hAnsi="Palatino Linotype"/>
        </w:rPr>
        <w:t>d y seguridad de la información,</w:t>
      </w:r>
      <w:r w:rsidR="008158AD" w:rsidRPr="004E5B33">
        <w:rPr>
          <w:rFonts w:ascii="Palatino Linotype" w:hAnsi="Palatino Linotype"/>
        </w:rPr>
        <w:t xml:space="preserve"> </w:t>
      </w:r>
      <w:r w:rsidR="00611CB3" w:rsidRPr="004E5B33">
        <w:rPr>
          <w:rFonts w:ascii="Palatino Linotype" w:hAnsi="Palatino Linotype"/>
        </w:rPr>
        <w:t>y que e</w:t>
      </w:r>
      <w:r w:rsidR="008158AD" w:rsidRPr="004E5B33">
        <w:rPr>
          <w:rFonts w:ascii="Palatino Linotype" w:hAnsi="Palatino Linotype"/>
        </w:rPr>
        <w:t>n cualquier caso, la anonimización, reidentificación y seudonimización se consideran actualmente como “</w:t>
      </w:r>
      <w:r w:rsidR="008158AD" w:rsidRPr="004E5B33">
        <w:rPr>
          <w:rFonts w:ascii="Palatino Linotype" w:hAnsi="Palatino Linotype"/>
          <w:i/>
        </w:rPr>
        <w:t>campos de investigación activos en los que se publican con regularidad nuevos descubrimientos</w:t>
      </w:r>
      <w:r w:rsidR="008158AD" w:rsidRPr="004E5B33">
        <w:rPr>
          <w:rFonts w:ascii="Palatino Linotype" w:hAnsi="Palatino Linotype"/>
        </w:rPr>
        <w:t>”</w:t>
      </w:r>
      <w:r w:rsidR="00611CB3" w:rsidRPr="004E5B33">
        <w:rPr>
          <w:rFonts w:ascii="Palatino Linotype" w:hAnsi="Palatino Linotype"/>
        </w:rPr>
        <w:t>.</w:t>
      </w:r>
    </w:p>
    <w:p w14:paraId="02D5BF82" w14:textId="77777777" w:rsidR="00611CB3" w:rsidRPr="004E5B33" w:rsidRDefault="00611CB3" w:rsidP="00611CB3">
      <w:pPr>
        <w:pStyle w:val="Prrafodelista"/>
        <w:rPr>
          <w:rFonts w:ascii="Palatino Linotype" w:eastAsiaTheme="minorHAnsi" w:hAnsi="Palatino Linotype"/>
        </w:rPr>
      </w:pPr>
    </w:p>
    <w:p w14:paraId="54B36FD2" w14:textId="359EFC53" w:rsidR="00611CB3" w:rsidRPr="004E5B33" w:rsidRDefault="00611CB3" w:rsidP="00DD425F">
      <w:pPr>
        <w:pStyle w:val="Prrafodelista"/>
        <w:numPr>
          <w:ilvl w:val="0"/>
          <w:numId w:val="1"/>
        </w:numPr>
        <w:tabs>
          <w:tab w:val="left" w:pos="709"/>
        </w:tabs>
        <w:spacing w:line="360" w:lineRule="auto"/>
        <w:ind w:left="0" w:right="49" w:firstLine="0"/>
        <w:jc w:val="both"/>
        <w:rPr>
          <w:rFonts w:ascii="Palatino Linotype" w:eastAsiaTheme="minorHAnsi" w:hAnsi="Palatino Linotype"/>
        </w:rPr>
      </w:pPr>
      <w:r w:rsidRPr="004E5B33">
        <w:rPr>
          <w:rFonts w:ascii="Palatino Linotype" w:eastAsiaTheme="minorHAnsi" w:hAnsi="Palatino Linotype"/>
        </w:rPr>
        <w:t xml:space="preserve">En nuestra entidad, de conformidad con el artículo 4 fracción XLII de la </w:t>
      </w:r>
      <w:r w:rsidRPr="004E5B33">
        <w:rPr>
          <w:rFonts w:ascii="Palatino Linotype" w:hAnsi="Palatino Linotype"/>
          <w:b/>
        </w:rPr>
        <w:t>Ley de Protección de Datos Personales en Posesión de Sujetos Obligados del Estado de México y Municipios</w:t>
      </w:r>
      <w:r w:rsidRPr="004E5B33">
        <w:rPr>
          <w:rFonts w:ascii="Palatino Linotype" w:eastAsiaTheme="minorHAnsi" w:hAnsi="Palatino Linotype"/>
        </w:rPr>
        <w:t xml:space="preserve"> la </w:t>
      </w:r>
      <w:r w:rsidR="00CB2D8E" w:rsidRPr="004E5B33">
        <w:rPr>
          <w:rFonts w:ascii="Palatino Linotype" w:hAnsi="Palatino Linotype"/>
          <w:u w:val="single"/>
        </w:rPr>
        <w:t>s</w:t>
      </w:r>
      <w:r w:rsidRPr="004E5B33">
        <w:rPr>
          <w:rFonts w:ascii="Palatino Linotype" w:hAnsi="Palatino Linotype"/>
          <w:u w:val="single"/>
        </w:rPr>
        <w:t>eudonimización</w:t>
      </w:r>
      <w:r w:rsidRPr="004E5B33">
        <w:rPr>
          <w:rFonts w:ascii="Palatino Linotype" w:hAnsi="Palatino Linotype"/>
        </w:rPr>
        <w:t xml:space="preserve"> se concibe como el tratamiento de datos personales que no puedan atribuirse a un titular sin utilizar información adicional, cuando la información adicional figure por separado sujeta a medidas técnicas y organizativas destinadas a garantizar que los datos personales no se atribuyan a una persona física identificada o identificable.</w:t>
      </w:r>
    </w:p>
    <w:p w14:paraId="613D3332" w14:textId="77777777" w:rsidR="00DD425F" w:rsidRPr="004E5B33" w:rsidRDefault="00DD425F" w:rsidP="00611CB3">
      <w:pPr>
        <w:pStyle w:val="Prrafodelista"/>
        <w:tabs>
          <w:tab w:val="left" w:pos="709"/>
        </w:tabs>
        <w:spacing w:line="360" w:lineRule="auto"/>
        <w:ind w:left="0" w:right="49"/>
        <w:jc w:val="both"/>
        <w:rPr>
          <w:rFonts w:ascii="Palatino Linotype" w:hAnsi="Palatino Linotype"/>
          <w:sz w:val="22"/>
          <w:szCs w:val="22"/>
          <w:lang w:val="es-ES"/>
        </w:rPr>
      </w:pPr>
    </w:p>
    <w:p w14:paraId="3C23354A" w14:textId="12C5F315" w:rsidR="006D0D97" w:rsidRPr="004E5B33" w:rsidRDefault="00C90F7B" w:rsidP="00CB2D8E">
      <w:pPr>
        <w:pStyle w:val="Prrafodelista"/>
        <w:numPr>
          <w:ilvl w:val="0"/>
          <w:numId w:val="1"/>
        </w:numPr>
        <w:tabs>
          <w:tab w:val="left" w:pos="709"/>
        </w:tabs>
        <w:spacing w:line="360" w:lineRule="auto"/>
        <w:ind w:left="0" w:right="49" w:firstLine="0"/>
        <w:jc w:val="both"/>
        <w:rPr>
          <w:rFonts w:ascii="Palatino Linotype" w:eastAsiaTheme="minorHAnsi" w:hAnsi="Palatino Linotype"/>
        </w:rPr>
      </w:pPr>
      <w:r w:rsidRPr="004E5B33">
        <w:rPr>
          <w:rFonts w:ascii="Palatino Linotype" w:hAnsi="Palatino Linotype"/>
          <w:sz w:val="22"/>
          <w:szCs w:val="22"/>
          <w:lang w:val="es-ES"/>
        </w:rPr>
        <w:t>Conforme a lo anterior, se considera que</w:t>
      </w:r>
      <w:r w:rsidR="00611CB3" w:rsidRPr="004E5B33">
        <w:rPr>
          <w:rFonts w:ascii="Palatino Linotype" w:hAnsi="Palatino Linotype"/>
          <w:sz w:val="22"/>
          <w:szCs w:val="22"/>
          <w:lang w:val="es-ES"/>
        </w:rPr>
        <w:t xml:space="preserve"> para atender el requerimiento</w:t>
      </w:r>
      <w:r w:rsidRPr="004E5B33">
        <w:rPr>
          <w:rFonts w:ascii="Palatino Linotype" w:hAnsi="Palatino Linotype"/>
          <w:sz w:val="22"/>
          <w:szCs w:val="22"/>
          <w:lang w:val="es-ES"/>
        </w:rPr>
        <w:t xml:space="preserve">, el Sujeto Obligado deberá entregar la </w:t>
      </w:r>
      <w:r w:rsidR="00611CB3" w:rsidRPr="004E5B33">
        <w:rPr>
          <w:rFonts w:ascii="Palatino Linotype" w:hAnsi="Palatino Linotype"/>
          <w:sz w:val="22"/>
          <w:szCs w:val="22"/>
          <w:lang w:val="es-ES"/>
        </w:rPr>
        <w:t>información</w:t>
      </w:r>
      <w:r w:rsidRPr="004E5B33">
        <w:rPr>
          <w:rFonts w:ascii="Palatino Linotype" w:hAnsi="Palatino Linotype"/>
          <w:sz w:val="22"/>
          <w:szCs w:val="22"/>
          <w:lang w:val="es-ES"/>
        </w:rPr>
        <w:t xml:space="preserve"> </w:t>
      </w:r>
      <w:r w:rsidR="00611CB3" w:rsidRPr="004E5B33">
        <w:rPr>
          <w:rFonts w:ascii="Palatino Linotype" w:hAnsi="Palatino Linotype"/>
          <w:b/>
          <w:sz w:val="22"/>
          <w:szCs w:val="22"/>
          <w:lang w:val="es-ES"/>
        </w:rPr>
        <w:t>bajo el tratamiento enunciado</w:t>
      </w:r>
      <w:r w:rsidR="00611CB3" w:rsidRPr="004E5B33">
        <w:rPr>
          <w:rFonts w:ascii="Palatino Linotype" w:hAnsi="Palatino Linotype"/>
          <w:sz w:val="22"/>
          <w:szCs w:val="22"/>
          <w:lang w:val="es-ES"/>
        </w:rPr>
        <w:t xml:space="preserve"> </w:t>
      </w:r>
      <w:r w:rsidRPr="004E5B33">
        <w:rPr>
          <w:rFonts w:ascii="Palatino Linotype" w:hAnsi="Palatino Linotype"/>
          <w:sz w:val="22"/>
          <w:szCs w:val="22"/>
          <w:lang w:val="es-ES"/>
        </w:rPr>
        <w:t>con el fin de eliminar cualquier el vínculo que permita identificar que determinados servidores públicos, realicen funciones operativas en materia de seguridad pública y así no poner en riesgo su</w:t>
      </w:r>
      <w:r w:rsidRPr="004E5B33">
        <w:rPr>
          <w:rFonts w:ascii="Palatino Linotype" w:hAnsi="Palatino Linotype"/>
          <w:b/>
          <w:bCs/>
          <w:sz w:val="22"/>
          <w:szCs w:val="22"/>
        </w:rPr>
        <w:t xml:space="preserve"> vida, seguridad o salud, o bien, de sus familias o entorno social; </w:t>
      </w:r>
      <w:r w:rsidRPr="004E5B33">
        <w:rPr>
          <w:rFonts w:ascii="Palatino Linotype" w:hAnsi="Palatino Linotype"/>
          <w:bCs/>
          <w:sz w:val="22"/>
          <w:szCs w:val="22"/>
        </w:rPr>
        <w:t xml:space="preserve">además, de evitar que se menoscaben las actividades de prevención y persecución de delitos, que realiza la </w:t>
      </w:r>
      <w:r w:rsidR="00611CB3" w:rsidRPr="004E5B33">
        <w:rPr>
          <w:rFonts w:ascii="Palatino Linotype" w:hAnsi="Palatino Linotype"/>
          <w:bCs/>
          <w:sz w:val="22"/>
          <w:szCs w:val="22"/>
        </w:rPr>
        <w:t>Fiscalía</w:t>
      </w:r>
      <w:r w:rsidR="00CB2D8E" w:rsidRPr="004E5B33">
        <w:rPr>
          <w:rFonts w:ascii="Palatino Linotype" w:hAnsi="Palatino Linotype"/>
          <w:bCs/>
          <w:sz w:val="22"/>
          <w:szCs w:val="22"/>
        </w:rPr>
        <w:t xml:space="preserve"> General de Justicia del Estado de México.</w:t>
      </w:r>
    </w:p>
    <w:p w14:paraId="0F5023E2" w14:textId="77777777" w:rsidR="00CB2D8E" w:rsidRPr="00CB2D8E" w:rsidRDefault="00CB2D8E" w:rsidP="00CB2D8E">
      <w:pPr>
        <w:pStyle w:val="Prrafodelista"/>
        <w:tabs>
          <w:tab w:val="left" w:pos="709"/>
        </w:tabs>
        <w:spacing w:line="360" w:lineRule="auto"/>
        <w:ind w:left="0" w:right="49"/>
        <w:jc w:val="both"/>
        <w:rPr>
          <w:rFonts w:ascii="Palatino Linotype" w:eastAsiaTheme="minorHAnsi" w:hAnsi="Palatino Linotype"/>
          <w:highlight w:val="cyan"/>
        </w:rPr>
      </w:pPr>
    </w:p>
    <w:p w14:paraId="08B7E732" w14:textId="54C1B151" w:rsidR="003711F1" w:rsidRPr="004E5B33" w:rsidRDefault="00C66506" w:rsidP="004E5B33">
      <w:pPr>
        <w:pStyle w:val="j"/>
        <w:numPr>
          <w:ilvl w:val="0"/>
          <w:numId w:val="1"/>
        </w:numPr>
        <w:shd w:val="clear" w:color="auto" w:fill="FFFFFF"/>
        <w:spacing w:before="0" w:after="0" w:line="360" w:lineRule="auto"/>
        <w:ind w:left="0" w:firstLine="0"/>
        <w:jc w:val="both"/>
        <w:textAlignment w:val="baseline"/>
        <w:rPr>
          <w:rFonts w:ascii="Palatino Linotype" w:hAnsi="Palatino Linotype"/>
          <w:color w:val="000000" w:themeColor="text1"/>
          <w:szCs w:val="20"/>
        </w:rPr>
      </w:pPr>
      <w:r w:rsidRPr="0081184B">
        <w:rPr>
          <w:rFonts w:ascii="Palatino Linotype" w:hAnsi="Palatino Linotype"/>
          <w:lang w:val="es-ES"/>
        </w:rPr>
        <w:t xml:space="preserve">Por lo anteriormente expuesto y fundado, este </w:t>
      </w:r>
      <w:r w:rsidRPr="0081184B">
        <w:rPr>
          <w:rFonts w:ascii="Palatino Linotype" w:hAnsi="Palatino Linotype"/>
          <w:b/>
          <w:bCs/>
          <w:lang w:val="es-ES"/>
        </w:rPr>
        <w:t>ÓRGANO GARANTE</w:t>
      </w:r>
      <w:r w:rsidR="003200B6">
        <w:rPr>
          <w:rFonts w:ascii="Palatino Linotype" w:hAnsi="Palatino Linotype"/>
          <w:lang w:val="es-ES"/>
        </w:rPr>
        <w:t xml:space="preserve"> emite los siguientes:</w:t>
      </w:r>
    </w:p>
    <w:p w14:paraId="7A3F6344" w14:textId="77777777" w:rsidR="00D3541F" w:rsidRPr="003711F1" w:rsidRDefault="00D3541F" w:rsidP="00D3541F">
      <w:pPr>
        <w:pStyle w:val="Ttulo1"/>
        <w:spacing w:line="360" w:lineRule="auto"/>
        <w:ind w:left="2912"/>
        <w:rPr>
          <w:rFonts w:eastAsia="Calibri"/>
          <w:b w:val="0"/>
          <w:color w:val="auto"/>
          <w:szCs w:val="24"/>
          <w:lang w:val="es-ES" w:eastAsia="es-ES"/>
        </w:rPr>
      </w:pPr>
      <w:bookmarkStart w:id="112" w:name="_Toc475014715"/>
      <w:bookmarkStart w:id="113" w:name="_Toc475381194"/>
      <w:bookmarkStart w:id="114" w:name="_Toc490155969"/>
      <w:bookmarkStart w:id="115" w:name="_Toc490734332"/>
      <w:bookmarkStart w:id="116" w:name="_Toc491854740"/>
      <w:bookmarkStart w:id="117" w:name="_Toc494991893"/>
      <w:bookmarkStart w:id="118" w:name="_Toc513664628"/>
      <w:bookmarkStart w:id="119" w:name="_Toc7780682"/>
      <w:bookmarkStart w:id="120" w:name="_Toc16617448"/>
      <w:bookmarkStart w:id="121" w:name="_Toc24928448"/>
      <w:r w:rsidRPr="003711F1">
        <w:rPr>
          <w:rFonts w:eastAsia="Calibri"/>
          <w:color w:val="auto"/>
          <w:szCs w:val="24"/>
          <w:lang w:val="es-ES" w:eastAsia="es-ES"/>
        </w:rPr>
        <w:t>R E S O L U T I V O S</w:t>
      </w:r>
      <w:bookmarkEnd w:id="112"/>
      <w:bookmarkEnd w:id="113"/>
      <w:bookmarkEnd w:id="114"/>
      <w:bookmarkEnd w:id="115"/>
      <w:bookmarkEnd w:id="116"/>
      <w:bookmarkEnd w:id="117"/>
      <w:bookmarkEnd w:id="118"/>
      <w:bookmarkEnd w:id="119"/>
      <w:bookmarkEnd w:id="120"/>
      <w:bookmarkEnd w:id="121"/>
    </w:p>
    <w:bookmarkEnd w:id="1"/>
    <w:bookmarkEnd w:id="2"/>
    <w:bookmarkEnd w:id="70"/>
    <w:bookmarkEnd w:id="71"/>
    <w:p w14:paraId="7E0ED9A9" w14:textId="77777777" w:rsidR="00AF317E" w:rsidRPr="003711F1" w:rsidRDefault="00AF317E" w:rsidP="00AF317E">
      <w:pPr>
        <w:spacing w:line="360" w:lineRule="auto"/>
        <w:jc w:val="both"/>
        <w:rPr>
          <w:rFonts w:ascii="Palatino Linotype" w:hAnsi="Palatino Linotype" w:cs="Arial"/>
          <w:bCs/>
          <w:lang w:eastAsia="es-MX"/>
        </w:rPr>
      </w:pPr>
      <w:r w:rsidRPr="003711F1">
        <w:rPr>
          <w:rFonts w:ascii="Palatino Linotype" w:eastAsia="Times New Roman" w:hAnsi="Palatino Linotype" w:cs="Arial"/>
          <w:b/>
        </w:rPr>
        <w:t xml:space="preserve">PRIMERO. </w:t>
      </w:r>
      <w:r w:rsidRPr="003711F1">
        <w:rPr>
          <w:rFonts w:ascii="Palatino Linotype" w:eastAsia="Times New Roman" w:hAnsi="Palatino Linotype" w:cs="Arial"/>
        </w:rPr>
        <w:t>Resultan fundadas las</w:t>
      </w:r>
      <w:r w:rsidRPr="003711F1">
        <w:rPr>
          <w:rFonts w:ascii="Palatino Linotype" w:eastAsia="Times New Roman" w:hAnsi="Palatino Linotype" w:cs="Arial"/>
          <w:b/>
        </w:rPr>
        <w:t xml:space="preserve"> </w:t>
      </w:r>
      <w:r w:rsidRPr="003711F1">
        <w:rPr>
          <w:rFonts w:ascii="Palatino Linotype" w:eastAsia="Times New Roman" w:hAnsi="Palatino Linotype" w:cs="Arial"/>
          <w:lang w:val="es-ES"/>
        </w:rPr>
        <w:t xml:space="preserve">razones o motivos de inconformidad hechos valer </w:t>
      </w:r>
      <w:r w:rsidRPr="003711F1">
        <w:rPr>
          <w:rFonts w:ascii="Palatino Linotype" w:eastAsia="Calibri" w:hAnsi="Palatino Linotype" w:cs="Arial"/>
          <w:lang w:val="es-ES"/>
        </w:rPr>
        <w:t xml:space="preserve">en el recurso de revisión </w:t>
      </w:r>
      <w:r w:rsidRPr="003711F1">
        <w:rPr>
          <w:rFonts w:ascii="Palatino Linotype" w:hAnsi="Palatino Linotype" w:cs="Arial"/>
          <w:b/>
          <w:bCs/>
        </w:rPr>
        <w:t xml:space="preserve">07468/INFOEM/IP/RR/2019 </w:t>
      </w:r>
      <w:r w:rsidRPr="003711F1">
        <w:rPr>
          <w:rFonts w:ascii="Palatino Linotype" w:hAnsi="Palatino Linotype" w:cs="Arial"/>
          <w:bCs/>
          <w:lang w:eastAsia="es-MX"/>
        </w:rPr>
        <w:t xml:space="preserve">en términos de los </w:t>
      </w:r>
      <w:r w:rsidRPr="003711F1">
        <w:rPr>
          <w:rFonts w:ascii="Palatino Linotype" w:hAnsi="Palatino Linotype" w:cs="Arial"/>
          <w:b/>
          <w:bCs/>
          <w:lang w:eastAsia="es-MX"/>
        </w:rPr>
        <w:t xml:space="preserve">Considerandos CUARTO y QUINTO </w:t>
      </w:r>
      <w:r w:rsidRPr="003711F1">
        <w:rPr>
          <w:rFonts w:ascii="Palatino Linotype" w:hAnsi="Palatino Linotype" w:cs="Arial"/>
          <w:bCs/>
          <w:lang w:eastAsia="es-MX"/>
        </w:rPr>
        <w:t>de la presente resolución.</w:t>
      </w:r>
    </w:p>
    <w:p w14:paraId="1AC11E09" w14:textId="77777777" w:rsidR="00AF317E" w:rsidRPr="003711F1" w:rsidRDefault="00AF317E" w:rsidP="00AF317E">
      <w:pPr>
        <w:spacing w:before="240" w:after="240" w:line="360" w:lineRule="auto"/>
        <w:jc w:val="both"/>
        <w:rPr>
          <w:rFonts w:ascii="Palatino Linotype" w:eastAsia="Calibri" w:hAnsi="Palatino Linotype" w:cs="Arial"/>
          <w:lang w:val="es-ES"/>
        </w:rPr>
      </w:pPr>
      <w:r w:rsidRPr="003711F1">
        <w:rPr>
          <w:rFonts w:ascii="Palatino Linotype" w:hAnsi="Palatino Linotype"/>
          <w:b/>
        </w:rPr>
        <w:t>SEGUNDO.</w:t>
      </w:r>
      <w:r w:rsidRPr="003711F1">
        <w:rPr>
          <w:rStyle w:val="Ttulo2Car"/>
        </w:rPr>
        <w:t xml:space="preserve"> </w:t>
      </w:r>
      <w:r w:rsidRPr="003711F1">
        <w:rPr>
          <w:rFonts w:ascii="Palatino Linotype" w:eastAsia="Calibri" w:hAnsi="Palatino Linotype" w:cs="Arial"/>
          <w:lang w:val="es-ES"/>
        </w:rPr>
        <w:t>Se</w:t>
      </w:r>
      <w:r w:rsidRPr="003711F1">
        <w:rPr>
          <w:rFonts w:ascii="Palatino Linotype" w:eastAsia="Calibri" w:hAnsi="Palatino Linotype" w:cs="Arial"/>
          <w:b/>
          <w:lang w:val="es-ES"/>
        </w:rPr>
        <w:t xml:space="preserve"> REVOCA </w:t>
      </w:r>
      <w:r w:rsidRPr="003711F1">
        <w:rPr>
          <w:rFonts w:ascii="Palatino Linotype" w:eastAsia="Calibri" w:hAnsi="Palatino Linotype" w:cs="Arial"/>
          <w:lang w:val="es-ES"/>
        </w:rPr>
        <w:t xml:space="preserve">la respuesta emitida por la </w:t>
      </w:r>
      <w:r w:rsidRPr="003711F1">
        <w:rPr>
          <w:rFonts w:ascii="Palatino Linotype" w:hAnsi="Palatino Linotype" w:cs="Arial"/>
          <w:b/>
        </w:rPr>
        <w:t xml:space="preserve">Fiscalía General de Justicia del Estado de México </w:t>
      </w:r>
      <w:r w:rsidRPr="003711F1">
        <w:rPr>
          <w:rFonts w:ascii="Palatino Linotype" w:hAnsi="Palatino Linotype"/>
          <w:bCs/>
        </w:rPr>
        <w:t>y se</w:t>
      </w:r>
      <w:r w:rsidRPr="003711F1">
        <w:rPr>
          <w:rFonts w:ascii="Palatino Linotype" w:hAnsi="Palatino Linotype"/>
          <w:b/>
          <w:bCs/>
        </w:rPr>
        <w:t xml:space="preserve"> ORDENA</w:t>
      </w:r>
      <w:r w:rsidRPr="003711F1">
        <w:rPr>
          <w:rFonts w:ascii="Palatino Linotype" w:eastAsia="Times New Roman" w:hAnsi="Palatino Linotype" w:cs="Arial"/>
          <w:lang w:val="es-ES"/>
        </w:rPr>
        <w:t xml:space="preserve"> </w:t>
      </w:r>
      <w:r w:rsidRPr="003711F1">
        <w:rPr>
          <w:rFonts w:ascii="Palatino Linotype" w:eastAsia="Calibri" w:hAnsi="Palatino Linotype" w:cs="Arial"/>
          <w:lang w:val="es-ES"/>
        </w:rPr>
        <w:t xml:space="preserve">entregar vía Sistema de Acceso a la Información Mexiquense </w:t>
      </w:r>
      <w:r w:rsidRPr="003711F1">
        <w:rPr>
          <w:rFonts w:ascii="Palatino Linotype" w:eastAsia="Calibri" w:hAnsi="Palatino Linotype" w:cs="Arial"/>
          <w:b/>
          <w:lang w:val="es-ES"/>
        </w:rPr>
        <w:t xml:space="preserve">(SAIMEX), </w:t>
      </w:r>
      <w:r w:rsidRPr="003711F1">
        <w:rPr>
          <w:rFonts w:ascii="Palatino Linotype" w:hAnsi="Palatino Linotype" w:cs="Arial"/>
        </w:rPr>
        <w:t xml:space="preserve">en </w:t>
      </w:r>
      <w:r w:rsidRPr="003711F1">
        <w:rPr>
          <w:rFonts w:ascii="Palatino Linotype" w:hAnsi="Palatino Linotype" w:cs="Arial"/>
          <w:b/>
        </w:rPr>
        <w:t>versión pública</w:t>
      </w:r>
      <w:r w:rsidRPr="003711F1">
        <w:rPr>
          <w:rFonts w:ascii="Palatino Linotype" w:eastAsia="Calibri" w:hAnsi="Palatino Linotype" w:cs="Arial"/>
          <w:lang w:val="es-ES"/>
        </w:rPr>
        <w:t>, la siguiente información:</w:t>
      </w:r>
    </w:p>
    <w:p w14:paraId="7DA9F9A3" w14:textId="3B1F3F78" w:rsidR="00AF317E" w:rsidRPr="006A3FD1" w:rsidRDefault="00AF317E" w:rsidP="00AF317E">
      <w:pPr>
        <w:pStyle w:val="Prrafodelista"/>
        <w:numPr>
          <w:ilvl w:val="3"/>
          <w:numId w:val="14"/>
        </w:numPr>
        <w:tabs>
          <w:tab w:val="left" w:pos="567"/>
        </w:tabs>
        <w:spacing w:before="240" w:after="240" w:line="360" w:lineRule="auto"/>
        <w:ind w:left="567" w:right="567" w:firstLine="0"/>
        <w:jc w:val="both"/>
        <w:rPr>
          <w:rFonts w:ascii="Palatino Linotype" w:hAnsi="Palatino Linotype" w:cs="Arial"/>
          <w:b/>
        </w:rPr>
      </w:pPr>
      <w:r w:rsidRPr="006A3FD1">
        <w:rPr>
          <w:rFonts w:ascii="Palatino Linotype" w:hAnsi="Palatino Linotype" w:cs="Arial"/>
          <w:b/>
        </w:rPr>
        <w:t xml:space="preserve">Los documentos </w:t>
      </w:r>
      <w:r w:rsidR="00B01A94" w:rsidRPr="006A3FD1">
        <w:rPr>
          <w:rFonts w:ascii="Palatino Linotype" w:hAnsi="Palatino Linotype" w:cs="Arial"/>
          <w:b/>
        </w:rPr>
        <w:t xml:space="preserve">generados o poseídos </w:t>
      </w:r>
      <w:r w:rsidRPr="006A3FD1">
        <w:rPr>
          <w:rFonts w:ascii="Palatino Linotype" w:hAnsi="Palatino Linotype" w:cs="Arial"/>
          <w:b/>
        </w:rPr>
        <w:t>donde cons</w:t>
      </w:r>
      <w:r w:rsidR="00B01A94" w:rsidRPr="006A3FD1">
        <w:rPr>
          <w:rFonts w:ascii="Palatino Linotype" w:hAnsi="Palatino Linotype" w:cs="Arial"/>
          <w:b/>
        </w:rPr>
        <w:t xml:space="preserve">te la remuneración bruta y neta, así como todas las percepciones </w:t>
      </w:r>
      <w:r w:rsidRPr="006A3FD1">
        <w:rPr>
          <w:rFonts w:ascii="Palatino Linotype" w:hAnsi="Palatino Linotype" w:cs="Arial"/>
          <w:b/>
        </w:rPr>
        <w:t>incluyendo sueldos, prestaciones, gratificaciones, primas, comisiones, dietas, bonos, estímulos, ingresos y sistemas de compensación</w:t>
      </w:r>
      <w:r w:rsidR="00B01A94" w:rsidRPr="006A3FD1">
        <w:rPr>
          <w:rFonts w:ascii="Palatino Linotype" w:hAnsi="Palatino Linotype" w:cs="Arial"/>
          <w:b/>
        </w:rPr>
        <w:t xml:space="preserve"> de todos los </w:t>
      </w:r>
      <w:r w:rsidR="00CB2D8E">
        <w:rPr>
          <w:rFonts w:ascii="Palatino Linotype" w:hAnsi="Palatino Linotype" w:cs="Arial"/>
          <w:b/>
        </w:rPr>
        <w:t>mandos superiores</w:t>
      </w:r>
      <w:r w:rsidR="00B01A94" w:rsidRPr="006A3FD1">
        <w:rPr>
          <w:rFonts w:ascii="Palatino Linotype" w:hAnsi="Palatino Linotype" w:cs="Arial"/>
          <w:b/>
        </w:rPr>
        <w:t xml:space="preserve"> que integran la Fiscalía General de Justicia del Estado de México, </w:t>
      </w:r>
      <w:r w:rsidRPr="006A3FD1">
        <w:rPr>
          <w:rFonts w:ascii="Palatino Linotype" w:hAnsi="Palatino Linotype" w:cs="Arial"/>
          <w:b/>
        </w:rPr>
        <w:t>de</w:t>
      </w:r>
      <w:r w:rsidR="008A7970" w:rsidRPr="006A3FD1">
        <w:rPr>
          <w:rFonts w:ascii="Palatino Linotype" w:hAnsi="Palatino Linotype" w:cs="Arial"/>
          <w:b/>
        </w:rPr>
        <w:t xml:space="preserve">sde el uno de enero del año </w:t>
      </w:r>
      <w:r w:rsidR="00B01A94" w:rsidRPr="006A3FD1">
        <w:rPr>
          <w:rFonts w:ascii="Palatino Linotype" w:hAnsi="Palatino Linotype" w:cs="Arial"/>
          <w:b/>
        </w:rPr>
        <w:t>dos mil nueve</w:t>
      </w:r>
      <w:r w:rsidRPr="006A3FD1">
        <w:rPr>
          <w:rFonts w:ascii="Palatino Linotype" w:hAnsi="Palatino Linotype" w:cs="Arial"/>
          <w:b/>
        </w:rPr>
        <w:t xml:space="preserve"> al </w:t>
      </w:r>
      <w:r w:rsidRPr="006A3FD1">
        <w:rPr>
          <w:rFonts w:ascii="Palatino Linotype" w:eastAsia="Calibri" w:hAnsi="Palatino Linotype" w:cs="Arial"/>
          <w:b/>
          <w:color w:val="000000" w:themeColor="text1"/>
          <w:lang w:val="es-ES"/>
        </w:rPr>
        <w:t>veintiuno de agosto de dos mil diecinueve.</w:t>
      </w:r>
    </w:p>
    <w:p w14:paraId="2553EC23" w14:textId="77777777" w:rsidR="00B01A94" w:rsidRPr="006A3FD1" w:rsidRDefault="00B01A94" w:rsidP="00B01A94">
      <w:pPr>
        <w:pStyle w:val="Prrafodelista"/>
        <w:tabs>
          <w:tab w:val="left" w:pos="567"/>
        </w:tabs>
        <w:spacing w:before="240" w:after="240" w:line="360" w:lineRule="auto"/>
        <w:ind w:left="567" w:right="567"/>
        <w:jc w:val="both"/>
        <w:rPr>
          <w:rFonts w:ascii="Palatino Linotype" w:hAnsi="Palatino Linotype" w:cs="Arial"/>
          <w:b/>
        </w:rPr>
      </w:pPr>
    </w:p>
    <w:p w14:paraId="7BD81B14" w14:textId="4963A8D1" w:rsidR="00CB2D8E" w:rsidRPr="00CB2D8E" w:rsidRDefault="00B01A94" w:rsidP="00CB2D8E">
      <w:pPr>
        <w:pStyle w:val="Prrafodelista"/>
        <w:numPr>
          <w:ilvl w:val="3"/>
          <w:numId w:val="14"/>
        </w:numPr>
        <w:tabs>
          <w:tab w:val="left" w:pos="567"/>
        </w:tabs>
        <w:spacing w:before="240" w:after="240" w:line="360" w:lineRule="auto"/>
        <w:ind w:left="567" w:right="567" w:firstLine="0"/>
        <w:jc w:val="both"/>
        <w:rPr>
          <w:rFonts w:ascii="Palatino Linotype" w:hAnsi="Palatino Linotype" w:cs="Arial"/>
          <w:b/>
        </w:rPr>
      </w:pPr>
      <w:r w:rsidRPr="006A3FD1">
        <w:rPr>
          <w:rFonts w:ascii="Palatino Linotype" w:hAnsi="Palatino Linotype" w:cs="Arial"/>
          <w:b/>
        </w:rPr>
        <w:t xml:space="preserve">Los documentos generados o poseídos donde conste la remuneración bruta y neta, así como todas las percepciones incluyendo sueldos, prestaciones, gratificaciones, primas, comisiones, dietas, bonos, estímulos, ingresos y sistemas de compensación de todos los servidores públicos que </w:t>
      </w:r>
      <w:r w:rsidRPr="006A3FD1">
        <w:rPr>
          <w:rFonts w:ascii="Palatino Linotype" w:hAnsi="Palatino Linotype" w:cs="Arial"/>
          <w:b/>
        </w:rPr>
        <w:lastRenderedPageBreak/>
        <w:t>integran la Fiscalía General de Justicia del Estado de México</w:t>
      </w:r>
      <w:r w:rsidR="003711F1" w:rsidRPr="006A3FD1">
        <w:rPr>
          <w:rFonts w:ascii="Palatino Linotype" w:hAnsi="Palatino Linotype" w:cs="Arial"/>
          <w:b/>
        </w:rPr>
        <w:t xml:space="preserve"> (antes Procuraduría General de Justicia del Estado de México)</w:t>
      </w:r>
      <w:r w:rsidRPr="006A3FD1">
        <w:rPr>
          <w:rFonts w:ascii="Palatino Linotype" w:hAnsi="Palatino Linotype" w:cs="Arial"/>
          <w:b/>
        </w:rPr>
        <w:t xml:space="preserve">, </w:t>
      </w:r>
      <w:r w:rsidR="008A7970" w:rsidRPr="006A3FD1">
        <w:rPr>
          <w:rFonts w:ascii="Palatino Linotype" w:eastAsia="Calibri" w:hAnsi="Palatino Linotype" w:cs="Arial"/>
          <w:b/>
          <w:color w:val="000000" w:themeColor="text1"/>
          <w:lang w:val="es-ES"/>
        </w:rPr>
        <w:t>d</w:t>
      </w:r>
      <w:r w:rsidR="008A7970" w:rsidRPr="006A3FD1">
        <w:rPr>
          <w:rFonts w:ascii="Palatino Linotype" w:hAnsi="Palatino Linotype" w:cs="Arial"/>
          <w:b/>
        </w:rPr>
        <w:t xml:space="preserve">el uno de enero del año </w:t>
      </w:r>
      <w:r w:rsidRPr="006A3FD1">
        <w:rPr>
          <w:rFonts w:ascii="Palatino Linotype" w:hAnsi="Palatino Linotype" w:cs="Arial"/>
          <w:b/>
        </w:rPr>
        <w:t>dos mil</w:t>
      </w:r>
      <w:r w:rsidR="008A7970" w:rsidRPr="006A3FD1">
        <w:rPr>
          <w:rFonts w:ascii="Palatino Linotype" w:hAnsi="Palatino Linotype" w:cs="Arial"/>
          <w:b/>
        </w:rPr>
        <w:t xml:space="preserve"> al </w:t>
      </w:r>
      <w:r w:rsidR="008A7970" w:rsidRPr="006A3FD1">
        <w:rPr>
          <w:rFonts w:ascii="Palatino Linotype" w:eastAsia="Calibri" w:hAnsi="Palatino Linotype" w:cs="Arial"/>
          <w:b/>
          <w:color w:val="000000" w:themeColor="text1"/>
          <w:lang w:val="es-ES"/>
        </w:rPr>
        <w:t>treinta y u</w:t>
      </w:r>
      <w:r w:rsidR="00C532B0">
        <w:rPr>
          <w:rFonts w:ascii="Palatino Linotype" w:eastAsia="Calibri" w:hAnsi="Palatino Linotype" w:cs="Arial"/>
          <w:b/>
          <w:color w:val="000000" w:themeColor="text1"/>
          <w:lang w:val="es-ES"/>
        </w:rPr>
        <w:t>no de diciembre de dos mil ocho</w:t>
      </w:r>
      <w:r w:rsidR="00DF534D" w:rsidRPr="006A3FD1">
        <w:rPr>
          <w:rFonts w:ascii="Palatino Linotype" w:eastAsia="Calibri" w:hAnsi="Palatino Linotype" w:cs="Arial"/>
          <w:b/>
          <w:color w:val="000000" w:themeColor="text1"/>
          <w:lang w:val="es-ES"/>
        </w:rPr>
        <w:t>.</w:t>
      </w:r>
    </w:p>
    <w:p w14:paraId="7CDACF28" w14:textId="77777777" w:rsidR="00AF317E" w:rsidRPr="003711F1" w:rsidRDefault="00AF317E" w:rsidP="00AF317E">
      <w:pPr>
        <w:tabs>
          <w:tab w:val="left" w:pos="567"/>
        </w:tabs>
        <w:spacing w:before="240" w:line="276" w:lineRule="auto"/>
        <w:ind w:right="1134"/>
        <w:jc w:val="both"/>
        <w:rPr>
          <w:rFonts w:ascii="Palatino Linotype" w:eastAsia="Calibri" w:hAnsi="Palatino Linotype" w:cs="Arial"/>
          <w:b/>
          <w:lang w:val="es-ES"/>
        </w:rPr>
      </w:pPr>
    </w:p>
    <w:p w14:paraId="714A35ED" w14:textId="7815E55C" w:rsidR="00AF317E" w:rsidRPr="003711F1" w:rsidRDefault="00AF317E" w:rsidP="006A3FD1">
      <w:pPr>
        <w:spacing w:line="360" w:lineRule="auto"/>
        <w:jc w:val="both"/>
        <w:rPr>
          <w:rFonts w:ascii="Palatino Linotype" w:hAnsi="Palatino Linotype"/>
          <w:szCs w:val="22"/>
        </w:rPr>
      </w:pPr>
      <w:r w:rsidRPr="003711F1">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w:t>
      </w:r>
      <w:r w:rsidR="00B01A94" w:rsidRPr="003711F1">
        <w:rPr>
          <w:rFonts w:ascii="Palatino Linotype" w:eastAsia="Calibri" w:hAnsi="Palatino Linotype" w:cs="Arial"/>
        </w:rPr>
        <w:t>ulen y se ponga a disposición del recurrente</w:t>
      </w:r>
      <w:r w:rsidRPr="003711F1">
        <w:rPr>
          <w:rFonts w:ascii="Palatino Linotype" w:hAnsi="Palatino Linotype"/>
          <w:szCs w:val="22"/>
        </w:rPr>
        <w:t>.</w:t>
      </w:r>
    </w:p>
    <w:p w14:paraId="37E570B6" w14:textId="77777777" w:rsidR="008A7970" w:rsidRPr="003711F1" w:rsidRDefault="008A7970" w:rsidP="00AF317E">
      <w:pPr>
        <w:spacing w:line="360" w:lineRule="auto"/>
        <w:ind w:left="567" w:right="567"/>
        <w:jc w:val="both"/>
        <w:rPr>
          <w:rFonts w:ascii="Palatino Linotype" w:eastAsia="Calibri" w:hAnsi="Palatino Linotype" w:cs="Arial"/>
          <w:lang w:val="es-ES"/>
        </w:rPr>
      </w:pPr>
    </w:p>
    <w:p w14:paraId="03906CAE" w14:textId="1A00C39C" w:rsidR="00B01A94" w:rsidRPr="003711F1" w:rsidRDefault="00B01A94" w:rsidP="000C3D22">
      <w:pPr>
        <w:pStyle w:val="Textonotapie"/>
        <w:spacing w:line="360" w:lineRule="auto"/>
        <w:jc w:val="both"/>
        <w:rPr>
          <w:rFonts w:ascii="Palatino Linotype" w:eastAsia="Times New Roman" w:hAnsi="Palatino Linotype" w:cs="Times New Roman"/>
          <w:color w:val="222222"/>
          <w:sz w:val="24"/>
          <w:szCs w:val="24"/>
          <w:lang w:eastAsia="es-MX"/>
        </w:rPr>
      </w:pPr>
      <w:r w:rsidRPr="003711F1">
        <w:rPr>
          <w:rFonts w:ascii="Palatino Linotype" w:eastAsia="Times New Roman" w:hAnsi="Palatino Linotype" w:cs="Times New Roman"/>
          <w:color w:val="222222"/>
          <w:sz w:val="24"/>
          <w:szCs w:val="24"/>
          <w:lang w:eastAsia="es-MX"/>
        </w:rPr>
        <w:t xml:space="preserve">Para el caso de que el </w:t>
      </w:r>
      <w:r w:rsidRPr="006A3FD1">
        <w:rPr>
          <w:rFonts w:ascii="Palatino Linotype" w:eastAsia="Times New Roman" w:hAnsi="Palatino Linotype" w:cs="Times New Roman"/>
          <w:b/>
          <w:color w:val="222222"/>
          <w:sz w:val="24"/>
          <w:szCs w:val="24"/>
          <w:lang w:eastAsia="es-MX"/>
        </w:rPr>
        <w:t>SUJETO OBLIGADO</w:t>
      </w:r>
      <w:r w:rsidRPr="003711F1">
        <w:rPr>
          <w:rFonts w:ascii="Palatino Linotype" w:eastAsia="Times New Roman" w:hAnsi="Palatino Linotype" w:cs="Times New Roman"/>
          <w:color w:val="222222"/>
          <w:sz w:val="24"/>
          <w:szCs w:val="24"/>
          <w:lang w:eastAsia="es-MX"/>
        </w:rPr>
        <w:t xml:space="preserve">, no localice la información señalada en el inciso b), deberá entregar la baja documental </w:t>
      </w:r>
      <w:r w:rsidR="000C3D22" w:rsidRPr="003711F1">
        <w:rPr>
          <w:rFonts w:ascii="Palatino Linotype" w:eastAsia="Times New Roman" w:hAnsi="Palatino Linotype" w:cs="Times New Roman"/>
          <w:color w:val="222222"/>
          <w:sz w:val="24"/>
          <w:szCs w:val="24"/>
          <w:lang w:eastAsia="es-MX"/>
        </w:rPr>
        <w:t xml:space="preserve">en términos del numeral cuarto Fracción VIII de los Lineamientos para la organización y conservación de archivos </w:t>
      </w:r>
      <w:r w:rsidRPr="003711F1">
        <w:rPr>
          <w:rFonts w:ascii="Palatino Linotype" w:eastAsia="Times New Roman" w:hAnsi="Palatino Linotype" w:cs="Times New Roman"/>
          <w:color w:val="222222"/>
          <w:sz w:val="24"/>
          <w:szCs w:val="24"/>
          <w:lang w:eastAsia="es-MX"/>
        </w:rPr>
        <w:t>o en su caso el Acuerdo de Inexistencia en términos de los artículos 49, fracciones II y XIII, 169 y 170 de la Ley de Transparencia y Acceso a la Información Pública del Estado de México y Municipios que al respecto emita su Comité de Transparencia.</w:t>
      </w:r>
    </w:p>
    <w:p w14:paraId="4703C3CD" w14:textId="77777777" w:rsidR="00AF317E" w:rsidRDefault="00AF317E" w:rsidP="00AF317E">
      <w:pPr>
        <w:spacing w:line="360" w:lineRule="auto"/>
        <w:ind w:left="567" w:right="567" w:hanging="142"/>
        <w:jc w:val="both"/>
        <w:rPr>
          <w:rFonts w:ascii="Palatino Linotype" w:hAnsi="Palatino Linotype" w:cs="Arial"/>
          <w:lang w:eastAsia="es-MX"/>
        </w:rPr>
      </w:pPr>
    </w:p>
    <w:p w14:paraId="767B6F4E" w14:textId="77777777" w:rsidR="00AF317E" w:rsidRDefault="00AF317E" w:rsidP="00AF317E">
      <w:pPr>
        <w:tabs>
          <w:tab w:val="left" w:pos="8080"/>
        </w:tabs>
        <w:spacing w:line="360" w:lineRule="auto"/>
        <w:ind w:right="49"/>
        <w:contextualSpacing/>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Pr>
          <w:rFonts w:ascii="Palatino Linotype" w:hAnsi="Palatino Linotype"/>
          <w:color w:val="222222"/>
          <w:shd w:val="clear" w:color="auto" w:fill="FFFFFF"/>
        </w:rPr>
        <w:t xml:space="preserve">vigente, dé cumplimiento a lo ordenado dentro del plazo de diez días </w:t>
      </w:r>
      <w:r>
        <w:rPr>
          <w:rFonts w:ascii="Palatino Linotype" w:hAnsi="Palatino Linotype"/>
          <w:color w:val="222222"/>
          <w:shd w:val="clear" w:color="auto" w:fill="FFFFFF"/>
        </w:rPr>
        <w:lastRenderedPageBreak/>
        <w:t>hábiles, debiendo rendir a este Instituto el informe de cumplimiento de la resolución en un plazo de tres días hábiles posteriores.</w:t>
      </w:r>
    </w:p>
    <w:p w14:paraId="7869E963" w14:textId="77777777" w:rsidR="00AF317E" w:rsidRDefault="00AF317E" w:rsidP="00AF317E">
      <w:pPr>
        <w:shd w:val="clear" w:color="auto" w:fill="FFFFFF"/>
        <w:spacing w:line="360" w:lineRule="auto"/>
        <w:jc w:val="both"/>
        <w:rPr>
          <w:rFonts w:ascii="Palatino Linotype" w:eastAsia="Times New Roman" w:hAnsi="Palatino Linotype" w:cs="Arial"/>
          <w:b/>
        </w:rPr>
      </w:pPr>
    </w:p>
    <w:p w14:paraId="122B6418" w14:textId="264AE547" w:rsidR="00AF317E" w:rsidRDefault="00AF317E" w:rsidP="00AF317E">
      <w:pPr>
        <w:shd w:val="clear" w:color="auto" w:fill="FFFFFF"/>
        <w:spacing w:line="360" w:lineRule="auto"/>
        <w:jc w:val="both"/>
        <w:rPr>
          <w:rFonts w:ascii="Palatino Linotype" w:hAnsi="Palatino Linotype"/>
        </w:rPr>
      </w:pPr>
      <w:r>
        <w:rPr>
          <w:rFonts w:ascii="Palatino Linotype" w:eastAsia="Times New Roman" w:hAnsi="Palatino Linotype" w:cs="Arial"/>
          <w:b/>
        </w:rPr>
        <w:t xml:space="preserve">CUARTO. </w:t>
      </w:r>
      <w:r>
        <w:rPr>
          <w:rFonts w:ascii="Palatino Linotype" w:eastAsia="Times New Roman" w:hAnsi="Palatino Linotype" w:cs="Times New Roman"/>
          <w:b/>
          <w:bCs/>
          <w:color w:val="222222"/>
          <w:lang w:val="es-ES"/>
        </w:rPr>
        <w:t>Notifíquese a</w:t>
      </w:r>
      <w:r>
        <w:rPr>
          <w:rFonts w:ascii="Palatino Linotype" w:hAnsi="Palatino Linotype"/>
          <w:b/>
          <w:lang w:val="es-ES"/>
        </w:rPr>
        <w:t xml:space="preserve"> </w:t>
      </w:r>
      <w:r w:rsidR="00ED6EE1" w:rsidRPr="00ED6EE1">
        <w:rPr>
          <w:rFonts w:ascii="Palatino Linotype" w:eastAsia="Times New Roman" w:hAnsi="Palatino Linotype" w:cs="Times New Roman"/>
          <w:b/>
          <w:highlight w:val="black"/>
        </w:rPr>
        <w:t>--------------------------------------------</w:t>
      </w:r>
      <w:r w:rsidR="00827970">
        <w:rPr>
          <w:rFonts w:ascii="Palatino Linotype" w:eastAsia="Times New Roman" w:hAnsi="Palatino Linotype" w:cs="Times New Roman"/>
          <w:b/>
        </w:rPr>
        <w:t xml:space="preserve"> </w:t>
      </w:r>
      <w:r>
        <w:rPr>
          <w:rFonts w:ascii="Palatino Linotype" w:hAnsi="Palatino Linotype"/>
        </w:rPr>
        <w:t>la presente resolución.</w:t>
      </w:r>
    </w:p>
    <w:p w14:paraId="25AB9A34" w14:textId="58BCAC97" w:rsidR="00AF317E" w:rsidRDefault="00023A8F" w:rsidP="00023A8F">
      <w:pPr>
        <w:shd w:val="clear" w:color="auto" w:fill="FFFFFF"/>
        <w:tabs>
          <w:tab w:val="left" w:pos="1755"/>
        </w:tabs>
        <w:spacing w:line="360" w:lineRule="auto"/>
        <w:jc w:val="both"/>
        <w:rPr>
          <w:rFonts w:ascii="Palatino Linotype" w:hAnsi="Palatino Linotype"/>
        </w:rPr>
      </w:pPr>
      <w:r>
        <w:rPr>
          <w:rFonts w:ascii="Palatino Linotype" w:hAnsi="Palatino Linotype"/>
        </w:rPr>
        <w:tab/>
      </w:r>
    </w:p>
    <w:p w14:paraId="282726E1" w14:textId="42C4CC86" w:rsidR="00AF317E" w:rsidRPr="004E5B33" w:rsidRDefault="00AF317E" w:rsidP="004E5B33">
      <w:pPr>
        <w:shd w:val="clear" w:color="auto" w:fill="FFFFFF"/>
        <w:spacing w:line="360" w:lineRule="auto"/>
        <w:jc w:val="both"/>
        <w:rPr>
          <w:rFonts w:ascii="Palatino Linotype" w:eastAsia="MS Mincho" w:hAnsi="Palatino Linotype" w:cs="Times New Roman"/>
          <w:lang w:val="es-ES"/>
        </w:rPr>
      </w:pPr>
      <w:r>
        <w:rPr>
          <w:rFonts w:ascii="Palatino Linotype" w:eastAsia="MS Mincho" w:hAnsi="Palatino Linotype" w:cs="Times New Roman"/>
          <w:b/>
          <w:lang w:val="es-MX"/>
        </w:rPr>
        <w:t>QUINTO.</w:t>
      </w:r>
      <w:r>
        <w:rPr>
          <w:rFonts w:ascii="Palatino Linotype" w:eastAsia="MS Mincho" w:hAnsi="Palatino Linotype" w:cs="Times New Roman"/>
          <w:lang w:val="es-MX"/>
        </w:rPr>
        <w:t xml:space="preserve"> </w:t>
      </w:r>
      <w:r>
        <w:rPr>
          <w:rFonts w:ascii="Palatino Linotype" w:eastAsia="MS Mincho" w:hAnsi="Palatino Linotype" w:cs="Times New Roman"/>
          <w:lang w:val="es-ES"/>
        </w:rPr>
        <w:t xml:space="preserve">Se hace del conocimiento del recurrente que, de conformidad con lo establecido en el artículo 196 de la Ley de Transparencia y Acceso a la Información Pública del Estado de México y Municipios, en caso de que considere que la resolución le cause algún perjuicio podrá impugnarla </w:t>
      </w:r>
      <w:r>
        <w:rPr>
          <w:rFonts w:ascii="Palatino Linotype" w:eastAsia="MS Mincho" w:hAnsi="Palatino Linotype" w:cs="Times New Roman"/>
          <w:bCs/>
          <w:lang w:val="es-ES"/>
        </w:rPr>
        <w:t>vía juicio de amparo</w:t>
      </w:r>
      <w:r>
        <w:rPr>
          <w:rFonts w:ascii="Palatino Linotype" w:eastAsia="MS Mincho" w:hAnsi="Palatino Linotype" w:cs="Times New Roman"/>
          <w:lang w:val="es-ES"/>
        </w:rPr>
        <w:t xml:space="preserve"> en los térmi</w:t>
      </w:r>
      <w:r w:rsidR="004E5B33">
        <w:rPr>
          <w:rFonts w:ascii="Palatino Linotype" w:eastAsia="MS Mincho" w:hAnsi="Palatino Linotype" w:cs="Times New Roman"/>
          <w:lang w:val="es-ES"/>
        </w:rPr>
        <w:t>nos de las leyes aplicables.</w:t>
      </w:r>
    </w:p>
    <w:p w14:paraId="010B5C5C" w14:textId="77777777" w:rsidR="00AF317E" w:rsidRDefault="00AF317E" w:rsidP="00AF317E">
      <w:pPr>
        <w:shd w:val="clear" w:color="auto" w:fill="FFFFFF"/>
        <w:tabs>
          <w:tab w:val="left" w:pos="567"/>
        </w:tabs>
        <w:spacing w:line="360" w:lineRule="auto"/>
        <w:jc w:val="both"/>
        <w:rPr>
          <w:rFonts w:ascii="Palatino Linotype" w:eastAsia="Times New Roman" w:hAnsi="Palatino Linotype" w:cs="Arial"/>
          <w:color w:val="222222"/>
          <w:lang w:val="es-ES" w:eastAsia="es-MX"/>
        </w:rPr>
      </w:pPr>
    </w:p>
    <w:p w14:paraId="2BE2E800" w14:textId="028DBF20" w:rsidR="00AF317E" w:rsidRDefault="00AF317E" w:rsidP="00AF317E">
      <w:pPr>
        <w:spacing w:line="360" w:lineRule="auto"/>
        <w:jc w:val="both"/>
        <w:rPr>
          <w:rFonts w:ascii="Palatino Linotype" w:hAnsi="Palatino Linotype"/>
        </w:rPr>
      </w:pPr>
      <w:r w:rsidRPr="004E5B33">
        <w:rPr>
          <w:rFonts w:ascii="Palatino Linotype" w:hAnsi="Palatino Linotype" w:cs="Arial"/>
        </w:rPr>
        <w:t>ASÍ LO RESUELVE, POR UNANIMIDAD DE VOTOS, EL PLENO DEL</w:t>
      </w:r>
      <w:r w:rsidRPr="004E5B33">
        <w:rPr>
          <w:rFonts w:ascii="Palatino Linotype" w:eastAsia="Arial Unicode MS" w:hAnsi="Palatino Linotype" w:cs="Arial"/>
        </w:rPr>
        <w:t xml:space="preserve"> INSTITUTO DE TRANSPARENCIA, ACCESO A LA INFORMACIÓN PÚBLICA Y PROTECCIÓN DE DATOS PERSONALES DEL ESTADO DE MÉXICO Y MUNICIPIOS</w:t>
      </w:r>
      <w:r w:rsidRPr="004E5B33">
        <w:rPr>
          <w:rFonts w:ascii="Palatino Linotype" w:hAnsi="Palatino Linotype" w:cs="Arial"/>
        </w:rPr>
        <w:t>, CONFORMADO POR LOS COMISIONADOS ZULEMA MARTÍNEZ SÁNCHEZ, EVA ABAID YAPUR, JOSÉ GUADALUPE LUNA HERNÁNDEZ, JAVIER MARTÍNEZ CRUZ Y LUIS GUSTAVO PARRA NORIEGA</w:t>
      </w:r>
      <w:r w:rsidR="004E5B33">
        <w:rPr>
          <w:rFonts w:ascii="Palatino Linotype" w:hAnsi="Palatino Linotype" w:cs="Arial"/>
        </w:rPr>
        <w:t xml:space="preserve"> CON AUSENCIA JUSTIFICADA</w:t>
      </w:r>
      <w:r w:rsidRPr="004E5B33">
        <w:rPr>
          <w:rFonts w:ascii="Palatino Linotype" w:hAnsi="Palatino Linotype" w:cs="Arial"/>
        </w:rPr>
        <w:t>, EN LA CUADRAGÉSIMA</w:t>
      </w:r>
      <w:r w:rsidR="004E5B33">
        <w:rPr>
          <w:rFonts w:ascii="Palatino Linotype" w:hAnsi="Palatino Linotype" w:cs="Arial"/>
        </w:rPr>
        <w:t xml:space="preserve"> CUARTA SESIÓN ORDINARIA CELEBRADA EL VEINTISIETE</w:t>
      </w:r>
      <w:r w:rsidRPr="004E5B33">
        <w:rPr>
          <w:rFonts w:ascii="Palatino Linotype" w:eastAsia="Times New Roman" w:hAnsi="Palatino Linotype" w:cs="Arial"/>
          <w:color w:val="000000"/>
          <w:lang w:eastAsia="es-MX"/>
        </w:rPr>
        <w:t xml:space="preserve"> DE NOVIEMBRE DE</w:t>
      </w:r>
      <w:r w:rsidRPr="004E5B33">
        <w:rPr>
          <w:rFonts w:ascii="Palatino Linotype" w:hAnsi="Palatino Linotype" w:cs="Arial"/>
        </w:rPr>
        <w:t xml:space="preserve"> DOS MIL DIECINUEVE, ANTE EL SECRETARIO TÉCNICO DEL PLENO, ALEXIS TAPIA RAMÍREZ.</w:t>
      </w:r>
    </w:p>
    <w:p w14:paraId="44323424" w14:textId="280BF87A" w:rsidR="00273B0A" w:rsidRPr="00C7354D" w:rsidRDefault="00273B0A" w:rsidP="00273B0A">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273B0A" w:rsidRPr="00C7354D" w14:paraId="281526A4" w14:textId="77777777" w:rsidTr="00551D75">
        <w:trPr>
          <w:jc w:val="center"/>
        </w:trPr>
        <w:tc>
          <w:tcPr>
            <w:tcW w:w="10368" w:type="dxa"/>
            <w:gridSpan w:val="2"/>
          </w:tcPr>
          <w:p w14:paraId="550712F5" w14:textId="77777777" w:rsidR="00273B0A" w:rsidRPr="00C7354D" w:rsidRDefault="00273B0A" w:rsidP="00551D75">
            <w:pPr>
              <w:rPr>
                <w:rFonts w:ascii="Palatino Linotype" w:hAnsi="Palatino Linotype"/>
              </w:rPr>
            </w:pPr>
          </w:p>
          <w:tbl>
            <w:tblPr>
              <w:tblW w:w="10240" w:type="dxa"/>
              <w:jc w:val="center"/>
              <w:tblLayout w:type="fixed"/>
              <w:tblLook w:val="04A0" w:firstRow="1" w:lastRow="0" w:firstColumn="1" w:lastColumn="0" w:noHBand="0" w:noVBand="1"/>
            </w:tblPr>
            <w:tblGrid>
              <w:gridCol w:w="5182"/>
              <w:gridCol w:w="5058"/>
            </w:tblGrid>
            <w:tr w:rsidR="00273B0A" w:rsidRPr="00C7354D" w14:paraId="45B7804C" w14:textId="77777777" w:rsidTr="00273B0A">
              <w:trPr>
                <w:jc w:val="center"/>
              </w:trPr>
              <w:tc>
                <w:tcPr>
                  <w:tcW w:w="10240" w:type="dxa"/>
                  <w:gridSpan w:val="2"/>
                  <w:shd w:val="clear" w:color="auto" w:fill="auto"/>
                </w:tcPr>
                <w:p w14:paraId="0B6F1E98" w14:textId="77777777" w:rsidR="00273B0A" w:rsidRPr="00C7354D" w:rsidRDefault="00273B0A" w:rsidP="00551D75">
                  <w:pPr>
                    <w:spacing w:line="0" w:lineRule="atLeast"/>
                    <w:rPr>
                      <w:rFonts w:ascii="Palatino Linotype" w:hAnsi="Palatino Linotype" w:cs="Arial"/>
                      <w:b/>
                    </w:rPr>
                  </w:pPr>
                </w:p>
                <w:p w14:paraId="40F55BAD" w14:textId="77777777" w:rsidR="00273B0A" w:rsidRDefault="00273B0A" w:rsidP="00551D75">
                  <w:pPr>
                    <w:spacing w:line="0" w:lineRule="atLeast"/>
                    <w:jc w:val="center"/>
                    <w:rPr>
                      <w:rFonts w:ascii="Palatino Linotype" w:hAnsi="Palatino Linotype" w:cs="Arial"/>
                      <w:b/>
                    </w:rPr>
                  </w:pPr>
                </w:p>
                <w:p w14:paraId="12E70128" w14:textId="77777777" w:rsidR="004E5B33" w:rsidRDefault="004E5B33" w:rsidP="00551D75">
                  <w:pPr>
                    <w:spacing w:line="0" w:lineRule="atLeast"/>
                    <w:jc w:val="center"/>
                    <w:rPr>
                      <w:rFonts w:ascii="Palatino Linotype" w:hAnsi="Palatino Linotype" w:cs="Arial"/>
                      <w:b/>
                    </w:rPr>
                  </w:pPr>
                </w:p>
                <w:p w14:paraId="43241227" w14:textId="77777777" w:rsidR="004E5B33" w:rsidRDefault="004E5B33" w:rsidP="00551D75">
                  <w:pPr>
                    <w:spacing w:line="0" w:lineRule="atLeast"/>
                    <w:jc w:val="center"/>
                    <w:rPr>
                      <w:rFonts w:ascii="Palatino Linotype" w:hAnsi="Palatino Linotype" w:cs="Arial"/>
                      <w:b/>
                    </w:rPr>
                  </w:pPr>
                </w:p>
                <w:p w14:paraId="59D94BF7" w14:textId="77777777" w:rsidR="004E5B33" w:rsidRDefault="004E5B33" w:rsidP="00551D75">
                  <w:pPr>
                    <w:spacing w:line="0" w:lineRule="atLeast"/>
                    <w:jc w:val="center"/>
                    <w:rPr>
                      <w:rFonts w:ascii="Palatino Linotype" w:hAnsi="Palatino Linotype" w:cs="Arial"/>
                      <w:b/>
                    </w:rPr>
                  </w:pPr>
                </w:p>
                <w:p w14:paraId="00442EDB" w14:textId="77777777" w:rsidR="004E5B33" w:rsidRPr="00C7354D" w:rsidRDefault="004E5B33" w:rsidP="00551D75">
                  <w:pPr>
                    <w:spacing w:line="0" w:lineRule="atLeast"/>
                    <w:jc w:val="center"/>
                    <w:rPr>
                      <w:rFonts w:ascii="Palatino Linotype" w:hAnsi="Palatino Linotype" w:cs="Arial"/>
                      <w:b/>
                    </w:rPr>
                  </w:pPr>
                </w:p>
                <w:p w14:paraId="1FCAC701" w14:textId="77777777" w:rsidR="00273B0A" w:rsidRPr="00C7354D" w:rsidRDefault="00273B0A" w:rsidP="00551D75">
                  <w:pPr>
                    <w:spacing w:line="0" w:lineRule="atLeast"/>
                    <w:jc w:val="center"/>
                    <w:rPr>
                      <w:rFonts w:ascii="Palatino Linotype" w:hAnsi="Palatino Linotype" w:cs="Arial"/>
                      <w:b/>
                    </w:rPr>
                  </w:pPr>
                  <w:r w:rsidRPr="00C7354D">
                    <w:rPr>
                      <w:rFonts w:ascii="Palatino Linotype" w:hAnsi="Palatino Linotype" w:cs="Arial"/>
                      <w:b/>
                    </w:rPr>
                    <w:t>Zulema Martínez Sánchez</w:t>
                  </w:r>
                </w:p>
                <w:p w14:paraId="41412BF5" w14:textId="77777777" w:rsidR="00273B0A" w:rsidRPr="00C7354D" w:rsidRDefault="00273B0A" w:rsidP="00551D75">
                  <w:pPr>
                    <w:spacing w:line="0" w:lineRule="atLeast"/>
                    <w:jc w:val="center"/>
                    <w:rPr>
                      <w:rFonts w:ascii="Palatino Linotype" w:hAnsi="Palatino Linotype" w:cs="Arial"/>
                      <w:b/>
                    </w:rPr>
                  </w:pPr>
                  <w:r w:rsidRPr="00C7354D">
                    <w:rPr>
                      <w:rFonts w:ascii="Palatino Linotype" w:hAnsi="Palatino Linotype" w:cs="Arial"/>
                    </w:rPr>
                    <w:t>Comisionada Presidenta</w:t>
                  </w:r>
                </w:p>
                <w:p w14:paraId="7C40317D" w14:textId="77777777" w:rsidR="00273B0A" w:rsidRPr="00C7354D" w:rsidRDefault="00273B0A" w:rsidP="00551D75">
                  <w:pPr>
                    <w:spacing w:line="0" w:lineRule="atLeast"/>
                    <w:jc w:val="center"/>
                    <w:rPr>
                      <w:rFonts w:ascii="Palatino Linotype" w:hAnsi="Palatino Linotype" w:cs="Arial"/>
                      <w:b/>
                    </w:rPr>
                  </w:pPr>
                  <w:r w:rsidRPr="00C7354D">
                    <w:rPr>
                      <w:rFonts w:ascii="Palatino Linotype" w:hAnsi="Palatino Linotype" w:cs="Arial"/>
                      <w:b/>
                    </w:rPr>
                    <w:t xml:space="preserve">(RÚBRICA) </w:t>
                  </w:r>
                </w:p>
              </w:tc>
            </w:tr>
            <w:tr w:rsidR="00273B0A" w:rsidRPr="00C7354D" w14:paraId="0B6282FF" w14:textId="77777777" w:rsidTr="00273B0A">
              <w:trPr>
                <w:jc w:val="center"/>
              </w:trPr>
              <w:tc>
                <w:tcPr>
                  <w:tcW w:w="5182" w:type="dxa"/>
                  <w:shd w:val="clear" w:color="auto" w:fill="auto"/>
                </w:tcPr>
                <w:p w14:paraId="2BC1AF10" w14:textId="77777777" w:rsidR="00273B0A" w:rsidRPr="00C7354D" w:rsidRDefault="00273B0A" w:rsidP="00551D75">
                  <w:pPr>
                    <w:spacing w:line="0" w:lineRule="atLeast"/>
                    <w:jc w:val="center"/>
                    <w:rPr>
                      <w:rFonts w:ascii="Palatino Linotype" w:hAnsi="Palatino Linotype" w:cs="Arial"/>
                      <w:b/>
                    </w:rPr>
                  </w:pPr>
                </w:p>
                <w:p w14:paraId="4065CF48" w14:textId="77777777" w:rsidR="00273B0A" w:rsidRPr="00C7354D" w:rsidRDefault="00273B0A" w:rsidP="00551D75">
                  <w:pPr>
                    <w:spacing w:line="0" w:lineRule="atLeast"/>
                    <w:rPr>
                      <w:rFonts w:ascii="Palatino Linotype" w:hAnsi="Palatino Linotype" w:cs="Arial"/>
                      <w:b/>
                    </w:rPr>
                  </w:pPr>
                </w:p>
                <w:p w14:paraId="1CCDC829" w14:textId="77777777" w:rsidR="00273B0A" w:rsidRPr="00C7354D" w:rsidRDefault="00273B0A" w:rsidP="00551D75">
                  <w:pPr>
                    <w:spacing w:line="0" w:lineRule="atLeast"/>
                    <w:jc w:val="center"/>
                    <w:rPr>
                      <w:rFonts w:ascii="Palatino Linotype" w:hAnsi="Palatino Linotype" w:cs="Arial"/>
                      <w:b/>
                    </w:rPr>
                  </w:pPr>
                </w:p>
                <w:p w14:paraId="1D849FEB" w14:textId="77777777" w:rsidR="00273B0A" w:rsidRPr="00C7354D" w:rsidRDefault="00273B0A" w:rsidP="00551D75">
                  <w:pPr>
                    <w:spacing w:line="0" w:lineRule="atLeast"/>
                    <w:jc w:val="center"/>
                    <w:rPr>
                      <w:rFonts w:ascii="Palatino Linotype" w:hAnsi="Palatino Linotype" w:cs="Arial"/>
                      <w:b/>
                    </w:rPr>
                  </w:pPr>
                  <w:r w:rsidRPr="00C7354D">
                    <w:rPr>
                      <w:rFonts w:ascii="Palatino Linotype" w:hAnsi="Palatino Linotype" w:cs="Arial"/>
                      <w:b/>
                    </w:rPr>
                    <w:t>Eva Abaid Yapur</w:t>
                  </w:r>
                </w:p>
                <w:p w14:paraId="03F7B7BE" w14:textId="77777777" w:rsidR="00273B0A" w:rsidRPr="00C7354D" w:rsidRDefault="00273B0A" w:rsidP="00551D75">
                  <w:pPr>
                    <w:spacing w:line="0" w:lineRule="atLeast"/>
                    <w:jc w:val="center"/>
                    <w:rPr>
                      <w:rFonts w:ascii="Palatino Linotype" w:hAnsi="Palatino Linotype" w:cs="Arial"/>
                    </w:rPr>
                  </w:pPr>
                  <w:r w:rsidRPr="00C7354D">
                    <w:rPr>
                      <w:rFonts w:ascii="Palatino Linotype" w:hAnsi="Palatino Linotype" w:cs="Arial"/>
                    </w:rPr>
                    <w:t>Comisionada</w:t>
                  </w:r>
                </w:p>
                <w:p w14:paraId="51509E6F" w14:textId="77777777" w:rsidR="00273B0A" w:rsidRPr="00C7354D" w:rsidRDefault="00273B0A" w:rsidP="00551D75">
                  <w:pPr>
                    <w:spacing w:line="0" w:lineRule="atLeast"/>
                    <w:jc w:val="center"/>
                    <w:rPr>
                      <w:rFonts w:ascii="Palatino Linotype" w:hAnsi="Palatino Linotype" w:cs="Arial"/>
                      <w:b/>
                    </w:rPr>
                  </w:pPr>
                  <w:r w:rsidRPr="00C7354D">
                    <w:rPr>
                      <w:rFonts w:ascii="Palatino Linotype" w:hAnsi="Palatino Linotype" w:cs="Arial"/>
                      <w:b/>
                    </w:rPr>
                    <w:t>(RÚBRICA)</w:t>
                  </w:r>
                </w:p>
              </w:tc>
              <w:tc>
                <w:tcPr>
                  <w:tcW w:w="5058" w:type="dxa"/>
                  <w:shd w:val="clear" w:color="auto" w:fill="auto"/>
                </w:tcPr>
                <w:p w14:paraId="1CDADAD3" w14:textId="77777777" w:rsidR="00273B0A" w:rsidRPr="00C7354D" w:rsidRDefault="00273B0A" w:rsidP="00551D75">
                  <w:pPr>
                    <w:spacing w:line="0" w:lineRule="atLeast"/>
                    <w:jc w:val="center"/>
                    <w:rPr>
                      <w:rFonts w:ascii="Palatino Linotype" w:hAnsi="Palatino Linotype" w:cs="Arial"/>
                      <w:b/>
                    </w:rPr>
                  </w:pPr>
                </w:p>
                <w:p w14:paraId="1309839B" w14:textId="77777777" w:rsidR="00273B0A" w:rsidRPr="00C7354D" w:rsidRDefault="00273B0A" w:rsidP="00551D75">
                  <w:pPr>
                    <w:spacing w:line="0" w:lineRule="atLeast"/>
                    <w:rPr>
                      <w:rFonts w:ascii="Palatino Linotype" w:hAnsi="Palatino Linotype" w:cs="Arial"/>
                      <w:b/>
                    </w:rPr>
                  </w:pPr>
                </w:p>
                <w:p w14:paraId="6F0A9890" w14:textId="77777777" w:rsidR="00273B0A" w:rsidRPr="00C7354D" w:rsidRDefault="00273B0A" w:rsidP="00551D75">
                  <w:pPr>
                    <w:spacing w:line="0" w:lineRule="atLeast"/>
                    <w:jc w:val="center"/>
                    <w:rPr>
                      <w:rFonts w:ascii="Palatino Linotype" w:hAnsi="Palatino Linotype" w:cs="Arial"/>
                      <w:b/>
                    </w:rPr>
                  </w:pPr>
                </w:p>
                <w:p w14:paraId="048BC28E" w14:textId="77777777" w:rsidR="00273B0A" w:rsidRPr="00C7354D" w:rsidRDefault="00273B0A" w:rsidP="00551D75">
                  <w:pPr>
                    <w:spacing w:line="0" w:lineRule="atLeast"/>
                    <w:jc w:val="center"/>
                    <w:rPr>
                      <w:rFonts w:ascii="Palatino Linotype" w:hAnsi="Palatino Linotype" w:cs="Arial"/>
                      <w:b/>
                    </w:rPr>
                  </w:pPr>
                  <w:r w:rsidRPr="00C7354D">
                    <w:rPr>
                      <w:rFonts w:ascii="Palatino Linotype" w:hAnsi="Palatino Linotype" w:cs="Arial"/>
                      <w:b/>
                    </w:rPr>
                    <w:t>José Guadalupe Luna Hernández</w:t>
                  </w:r>
                </w:p>
                <w:p w14:paraId="00B366FB" w14:textId="77777777" w:rsidR="00273B0A" w:rsidRPr="00C7354D" w:rsidRDefault="00273B0A" w:rsidP="00551D75">
                  <w:pPr>
                    <w:spacing w:line="0" w:lineRule="atLeast"/>
                    <w:jc w:val="center"/>
                    <w:rPr>
                      <w:rFonts w:ascii="Palatino Linotype" w:hAnsi="Palatino Linotype" w:cs="Arial"/>
                    </w:rPr>
                  </w:pPr>
                  <w:r w:rsidRPr="00C7354D">
                    <w:rPr>
                      <w:rFonts w:ascii="Palatino Linotype" w:hAnsi="Palatino Linotype" w:cs="Arial"/>
                    </w:rPr>
                    <w:t>Comisionado</w:t>
                  </w:r>
                </w:p>
                <w:p w14:paraId="7D8250CB" w14:textId="77777777" w:rsidR="00273B0A" w:rsidRPr="00C7354D" w:rsidRDefault="00273B0A" w:rsidP="00551D75">
                  <w:pPr>
                    <w:spacing w:line="0" w:lineRule="atLeast"/>
                    <w:jc w:val="center"/>
                    <w:rPr>
                      <w:rFonts w:ascii="Palatino Linotype" w:hAnsi="Palatino Linotype" w:cs="Arial"/>
                      <w:b/>
                    </w:rPr>
                  </w:pPr>
                  <w:r w:rsidRPr="00C7354D">
                    <w:rPr>
                      <w:rFonts w:ascii="Palatino Linotype" w:hAnsi="Palatino Linotype" w:cs="Arial"/>
                      <w:b/>
                    </w:rPr>
                    <w:t>(RÚBRICA)</w:t>
                  </w:r>
                </w:p>
              </w:tc>
            </w:tr>
            <w:tr w:rsidR="00273B0A" w:rsidRPr="00C7354D" w14:paraId="79CD4A7F" w14:textId="77777777" w:rsidTr="00273B0A">
              <w:trPr>
                <w:jc w:val="center"/>
              </w:trPr>
              <w:tc>
                <w:tcPr>
                  <w:tcW w:w="5182" w:type="dxa"/>
                  <w:shd w:val="clear" w:color="auto" w:fill="auto"/>
                </w:tcPr>
                <w:p w14:paraId="5D482A68" w14:textId="77777777" w:rsidR="00273B0A" w:rsidRPr="00C7354D" w:rsidRDefault="00273B0A" w:rsidP="00551D75">
                  <w:pPr>
                    <w:spacing w:line="0" w:lineRule="atLeast"/>
                    <w:jc w:val="center"/>
                    <w:rPr>
                      <w:rFonts w:ascii="Palatino Linotype" w:hAnsi="Palatino Linotype" w:cs="Arial"/>
                      <w:b/>
                    </w:rPr>
                  </w:pPr>
                </w:p>
                <w:p w14:paraId="348FB358" w14:textId="77777777" w:rsidR="00273B0A" w:rsidRPr="00C7354D" w:rsidRDefault="00273B0A" w:rsidP="00273B0A">
                  <w:pPr>
                    <w:spacing w:line="0" w:lineRule="atLeast"/>
                    <w:ind w:left="635"/>
                    <w:rPr>
                      <w:rFonts w:ascii="Palatino Linotype" w:hAnsi="Palatino Linotype" w:cs="Arial"/>
                      <w:b/>
                    </w:rPr>
                  </w:pPr>
                </w:p>
                <w:p w14:paraId="07E00F76" w14:textId="77777777" w:rsidR="00273B0A" w:rsidRDefault="00273B0A" w:rsidP="00551D75">
                  <w:pPr>
                    <w:spacing w:line="0" w:lineRule="atLeast"/>
                    <w:jc w:val="center"/>
                    <w:rPr>
                      <w:rFonts w:ascii="Palatino Linotype" w:hAnsi="Palatino Linotype" w:cs="Arial"/>
                      <w:b/>
                    </w:rPr>
                  </w:pPr>
                </w:p>
                <w:p w14:paraId="672C109F" w14:textId="77777777" w:rsidR="004E5B33" w:rsidRPr="00C7354D" w:rsidRDefault="004E5B33" w:rsidP="00551D75">
                  <w:pPr>
                    <w:spacing w:line="0" w:lineRule="atLeast"/>
                    <w:jc w:val="center"/>
                    <w:rPr>
                      <w:rFonts w:ascii="Palatino Linotype" w:hAnsi="Palatino Linotype" w:cs="Arial"/>
                      <w:b/>
                    </w:rPr>
                  </w:pPr>
                </w:p>
                <w:p w14:paraId="39BDE933" w14:textId="77777777" w:rsidR="00273B0A" w:rsidRPr="00C7354D" w:rsidRDefault="00273B0A" w:rsidP="00551D75">
                  <w:pPr>
                    <w:spacing w:line="0" w:lineRule="atLeast"/>
                    <w:jc w:val="center"/>
                    <w:rPr>
                      <w:rFonts w:ascii="Palatino Linotype" w:hAnsi="Palatino Linotype" w:cs="Arial"/>
                      <w:b/>
                    </w:rPr>
                  </w:pPr>
                  <w:r w:rsidRPr="00C7354D">
                    <w:rPr>
                      <w:rFonts w:ascii="Palatino Linotype" w:hAnsi="Palatino Linotype" w:cs="Arial"/>
                      <w:b/>
                    </w:rPr>
                    <w:t>Javier Martínez Cruz</w:t>
                  </w:r>
                </w:p>
                <w:p w14:paraId="45A8205F" w14:textId="77777777" w:rsidR="00273B0A" w:rsidRPr="00C7354D" w:rsidRDefault="00273B0A" w:rsidP="00551D75">
                  <w:pPr>
                    <w:spacing w:line="0" w:lineRule="atLeast"/>
                    <w:jc w:val="center"/>
                    <w:rPr>
                      <w:rFonts w:ascii="Palatino Linotype" w:hAnsi="Palatino Linotype" w:cs="Arial"/>
                    </w:rPr>
                  </w:pPr>
                  <w:r w:rsidRPr="00C7354D">
                    <w:rPr>
                      <w:rFonts w:ascii="Palatino Linotype" w:hAnsi="Palatino Linotype" w:cs="Arial"/>
                    </w:rPr>
                    <w:t>Comisionado</w:t>
                  </w:r>
                </w:p>
                <w:p w14:paraId="5DEEA3FE" w14:textId="77777777" w:rsidR="00273B0A" w:rsidRPr="00C7354D" w:rsidRDefault="00273B0A" w:rsidP="00551D75">
                  <w:pPr>
                    <w:spacing w:line="0" w:lineRule="atLeast"/>
                    <w:jc w:val="center"/>
                    <w:rPr>
                      <w:rFonts w:ascii="Palatino Linotype" w:hAnsi="Palatino Linotype" w:cs="Arial"/>
                    </w:rPr>
                  </w:pPr>
                  <w:r w:rsidRPr="00C7354D">
                    <w:rPr>
                      <w:rFonts w:ascii="Palatino Linotype" w:hAnsi="Palatino Linotype" w:cs="Arial"/>
                      <w:b/>
                    </w:rPr>
                    <w:t>(RÚBRICA)</w:t>
                  </w:r>
                </w:p>
              </w:tc>
              <w:tc>
                <w:tcPr>
                  <w:tcW w:w="5058" w:type="dxa"/>
                  <w:shd w:val="clear" w:color="auto" w:fill="auto"/>
                </w:tcPr>
                <w:p w14:paraId="27162C0E" w14:textId="77777777" w:rsidR="00273B0A" w:rsidRPr="00C7354D" w:rsidRDefault="00273B0A" w:rsidP="00551D75">
                  <w:pPr>
                    <w:spacing w:line="0" w:lineRule="atLeast"/>
                    <w:jc w:val="center"/>
                    <w:rPr>
                      <w:rFonts w:ascii="Palatino Linotype" w:hAnsi="Palatino Linotype" w:cs="Arial"/>
                      <w:b/>
                    </w:rPr>
                  </w:pPr>
                </w:p>
                <w:p w14:paraId="18A4D454" w14:textId="77777777" w:rsidR="00273B0A" w:rsidRPr="00C7354D" w:rsidRDefault="00273B0A" w:rsidP="00551D75">
                  <w:pPr>
                    <w:spacing w:line="0" w:lineRule="atLeast"/>
                    <w:jc w:val="center"/>
                    <w:rPr>
                      <w:rFonts w:ascii="Palatino Linotype" w:hAnsi="Palatino Linotype" w:cs="Arial"/>
                      <w:b/>
                    </w:rPr>
                  </w:pPr>
                </w:p>
                <w:p w14:paraId="067259AF" w14:textId="77777777" w:rsidR="00273B0A" w:rsidRDefault="00273B0A" w:rsidP="00551D75">
                  <w:pPr>
                    <w:spacing w:line="0" w:lineRule="atLeast"/>
                    <w:rPr>
                      <w:rFonts w:ascii="Palatino Linotype" w:hAnsi="Palatino Linotype" w:cs="Arial"/>
                      <w:b/>
                    </w:rPr>
                  </w:pPr>
                </w:p>
                <w:p w14:paraId="32FB20F4" w14:textId="77777777" w:rsidR="004E5B33" w:rsidRPr="00C7354D" w:rsidRDefault="004E5B33" w:rsidP="00551D75">
                  <w:pPr>
                    <w:spacing w:line="0" w:lineRule="atLeast"/>
                    <w:rPr>
                      <w:rFonts w:ascii="Palatino Linotype" w:hAnsi="Palatino Linotype" w:cs="Arial"/>
                      <w:b/>
                    </w:rPr>
                  </w:pPr>
                </w:p>
                <w:p w14:paraId="6BE746C5" w14:textId="77777777" w:rsidR="00273B0A" w:rsidRPr="00C7354D" w:rsidRDefault="00273B0A" w:rsidP="00551D75">
                  <w:pPr>
                    <w:spacing w:line="0" w:lineRule="atLeast"/>
                    <w:jc w:val="center"/>
                    <w:rPr>
                      <w:rFonts w:ascii="Palatino Linotype" w:hAnsi="Palatino Linotype" w:cs="Arial"/>
                      <w:b/>
                    </w:rPr>
                  </w:pPr>
                  <w:r w:rsidRPr="00C7354D">
                    <w:rPr>
                      <w:rFonts w:ascii="Palatino Linotype" w:hAnsi="Palatino Linotype" w:cs="Arial"/>
                      <w:b/>
                    </w:rPr>
                    <w:t>Luis Gustavo Parra Noriega</w:t>
                  </w:r>
                </w:p>
                <w:p w14:paraId="2292D640" w14:textId="77777777" w:rsidR="00273B0A" w:rsidRPr="00C7354D" w:rsidRDefault="00273B0A" w:rsidP="00551D75">
                  <w:pPr>
                    <w:spacing w:line="0" w:lineRule="atLeast"/>
                    <w:jc w:val="center"/>
                    <w:rPr>
                      <w:rFonts w:ascii="Palatino Linotype" w:hAnsi="Palatino Linotype" w:cs="Arial"/>
                    </w:rPr>
                  </w:pPr>
                  <w:r w:rsidRPr="00C7354D">
                    <w:rPr>
                      <w:rFonts w:ascii="Palatino Linotype" w:hAnsi="Palatino Linotype" w:cs="Arial"/>
                    </w:rPr>
                    <w:t>Comisionado</w:t>
                  </w:r>
                </w:p>
                <w:p w14:paraId="76321144" w14:textId="634E6230" w:rsidR="00273B0A" w:rsidRPr="00C7354D" w:rsidRDefault="004E5B33" w:rsidP="00551D75">
                  <w:pPr>
                    <w:spacing w:line="0" w:lineRule="atLeast"/>
                    <w:jc w:val="center"/>
                    <w:rPr>
                      <w:rFonts w:ascii="Palatino Linotype" w:hAnsi="Palatino Linotype" w:cs="Arial"/>
                      <w:b/>
                    </w:rPr>
                  </w:pPr>
                  <w:r>
                    <w:rPr>
                      <w:rFonts w:ascii="Palatino Linotype" w:hAnsi="Palatino Linotype" w:cs="Arial"/>
                      <w:b/>
                    </w:rPr>
                    <w:t>(AUSENCIA JUSTIFICADA</w:t>
                  </w:r>
                  <w:r w:rsidR="00273B0A" w:rsidRPr="00C7354D">
                    <w:rPr>
                      <w:rFonts w:ascii="Palatino Linotype" w:hAnsi="Palatino Linotype" w:cs="Arial"/>
                      <w:b/>
                    </w:rPr>
                    <w:t>)</w:t>
                  </w:r>
                </w:p>
              </w:tc>
            </w:tr>
            <w:tr w:rsidR="00273B0A" w:rsidRPr="00C7354D" w14:paraId="2B4DC956" w14:textId="77777777" w:rsidTr="00273B0A">
              <w:trPr>
                <w:jc w:val="center"/>
              </w:trPr>
              <w:tc>
                <w:tcPr>
                  <w:tcW w:w="10240" w:type="dxa"/>
                  <w:gridSpan w:val="2"/>
                  <w:shd w:val="clear" w:color="auto" w:fill="auto"/>
                </w:tcPr>
                <w:p w14:paraId="53AFE073" w14:textId="77777777" w:rsidR="00273B0A" w:rsidRPr="00C7354D" w:rsidRDefault="00273B0A" w:rsidP="00551D75">
                  <w:pPr>
                    <w:tabs>
                      <w:tab w:val="left" w:pos="3720"/>
                    </w:tabs>
                    <w:spacing w:line="0" w:lineRule="atLeast"/>
                    <w:rPr>
                      <w:rFonts w:ascii="Palatino Linotype" w:hAnsi="Palatino Linotype" w:cs="Arial"/>
                      <w:b/>
                    </w:rPr>
                  </w:pPr>
                  <w:r w:rsidRPr="00C7354D">
                    <w:rPr>
                      <w:rFonts w:ascii="Palatino Linotype" w:hAnsi="Palatino Linotype" w:cs="Arial"/>
                      <w:b/>
                    </w:rPr>
                    <w:tab/>
                  </w:r>
                </w:p>
                <w:p w14:paraId="1D426E6D" w14:textId="77777777" w:rsidR="00273B0A" w:rsidRDefault="00273B0A" w:rsidP="00273B0A">
                  <w:pPr>
                    <w:spacing w:line="0" w:lineRule="atLeast"/>
                    <w:ind w:left="635"/>
                    <w:rPr>
                      <w:rFonts w:ascii="Palatino Linotype" w:hAnsi="Palatino Linotype" w:cs="Arial"/>
                      <w:b/>
                    </w:rPr>
                  </w:pPr>
                </w:p>
                <w:p w14:paraId="12E9EB78" w14:textId="77777777" w:rsidR="004E5B33" w:rsidRPr="00C7354D" w:rsidRDefault="004E5B33" w:rsidP="00273B0A">
                  <w:pPr>
                    <w:spacing w:line="0" w:lineRule="atLeast"/>
                    <w:ind w:left="635"/>
                    <w:rPr>
                      <w:rFonts w:ascii="Palatino Linotype" w:hAnsi="Palatino Linotype" w:cs="Arial"/>
                      <w:b/>
                    </w:rPr>
                  </w:pPr>
                </w:p>
                <w:p w14:paraId="18930C7D" w14:textId="77777777" w:rsidR="00273B0A" w:rsidRPr="00C7354D" w:rsidRDefault="00273B0A" w:rsidP="00551D75">
                  <w:pPr>
                    <w:spacing w:line="0" w:lineRule="atLeast"/>
                    <w:jc w:val="center"/>
                    <w:rPr>
                      <w:rFonts w:ascii="Palatino Linotype" w:hAnsi="Palatino Linotype" w:cs="Arial"/>
                      <w:b/>
                    </w:rPr>
                  </w:pPr>
                </w:p>
                <w:p w14:paraId="5C52D66C" w14:textId="77777777" w:rsidR="00273B0A" w:rsidRPr="00C7354D" w:rsidRDefault="00273B0A" w:rsidP="00551D75">
                  <w:pPr>
                    <w:spacing w:line="0" w:lineRule="atLeast"/>
                    <w:jc w:val="center"/>
                    <w:rPr>
                      <w:rFonts w:ascii="Palatino Linotype" w:hAnsi="Palatino Linotype" w:cs="Arial"/>
                      <w:b/>
                    </w:rPr>
                  </w:pPr>
                  <w:r w:rsidRPr="00C7354D">
                    <w:rPr>
                      <w:rFonts w:ascii="Palatino Linotype" w:hAnsi="Palatino Linotype" w:cs="Arial"/>
                      <w:b/>
                    </w:rPr>
                    <w:t>Alexis Tapia Ramírez</w:t>
                  </w:r>
                </w:p>
                <w:p w14:paraId="70F8E438" w14:textId="77777777" w:rsidR="00273B0A" w:rsidRPr="00C7354D" w:rsidRDefault="00273B0A" w:rsidP="00551D75">
                  <w:pPr>
                    <w:spacing w:line="0" w:lineRule="atLeast"/>
                    <w:jc w:val="center"/>
                    <w:rPr>
                      <w:rFonts w:ascii="Palatino Linotype" w:hAnsi="Palatino Linotype" w:cs="Arial"/>
                    </w:rPr>
                  </w:pPr>
                  <w:r w:rsidRPr="00C7354D">
                    <w:rPr>
                      <w:rFonts w:ascii="Palatino Linotype" w:hAnsi="Palatino Linotype" w:cs="Arial"/>
                    </w:rPr>
                    <w:t>Secretario Técnico del Pleno</w:t>
                  </w:r>
                </w:p>
                <w:p w14:paraId="17582345" w14:textId="77777777" w:rsidR="00273B0A" w:rsidRPr="00C7354D" w:rsidRDefault="00273B0A" w:rsidP="00551D75">
                  <w:pPr>
                    <w:spacing w:line="0" w:lineRule="atLeast"/>
                    <w:jc w:val="center"/>
                    <w:rPr>
                      <w:rFonts w:ascii="Palatino Linotype" w:hAnsi="Palatino Linotype" w:cs="Arial"/>
                    </w:rPr>
                  </w:pPr>
                  <w:r w:rsidRPr="00C7354D">
                    <w:rPr>
                      <w:rFonts w:ascii="Palatino Linotype" w:hAnsi="Palatino Linotype" w:cs="Arial"/>
                      <w:b/>
                    </w:rPr>
                    <w:t>(RÚBRICA)</w:t>
                  </w:r>
                  <w:r w:rsidRPr="00C7354D">
                    <w:rPr>
                      <w:rFonts w:ascii="Palatino Linotype" w:hAnsi="Palatino Linotype" w:cs="Arial"/>
                    </w:rPr>
                    <w:t xml:space="preserve"> </w:t>
                  </w:r>
                </w:p>
              </w:tc>
            </w:tr>
          </w:tbl>
          <w:p w14:paraId="6231B5B7" w14:textId="77777777" w:rsidR="00273B0A" w:rsidRPr="00C7354D" w:rsidRDefault="00273B0A" w:rsidP="00551D75">
            <w:pPr>
              <w:jc w:val="both"/>
              <w:rPr>
                <w:rFonts w:ascii="Palatino Linotype" w:hAnsi="Palatino Linotype" w:cs="Arial"/>
                <w:lang w:val="es-ES"/>
              </w:rPr>
            </w:pPr>
          </w:p>
        </w:tc>
      </w:tr>
      <w:tr w:rsidR="00273B0A" w:rsidRPr="00C7354D" w14:paraId="4F7F64F5" w14:textId="77777777" w:rsidTr="00551D75">
        <w:trPr>
          <w:jc w:val="center"/>
        </w:trPr>
        <w:tc>
          <w:tcPr>
            <w:tcW w:w="5184" w:type="dxa"/>
            <w:hideMark/>
          </w:tcPr>
          <w:p w14:paraId="4E783067" w14:textId="77777777" w:rsidR="00273B0A" w:rsidRPr="00C7354D" w:rsidRDefault="00273B0A" w:rsidP="00551D75">
            <w:pPr>
              <w:jc w:val="both"/>
              <w:rPr>
                <w:rFonts w:ascii="Palatino Linotype" w:hAnsi="Palatino Linotype" w:cs="Arial"/>
                <w:lang w:val="es-ES"/>
              </w:rPr>
            </w:pPr>
          </w:p>
        </w:tc>
        <w:tc>
          <w:tcPr>
            <w:tcW w:w="5184" w:type="dxa"/>
          </w:tcPr>
          <w:p w14:paraId="73E5BC8D" w14:textId="77777777" w:rsidR="00273B0A" w:rsidRPr="00C7354D" w:rsidRDefault="00273B0A" w:rsidP="00551D75">
            <w:pPr>
              <w:jc w:val="center"/>
              <w:rPr>
                <w:rFonts w:ascii="Palatino Linotype" w:hAnsi="Palatino Linotype" w:cs="Arial"/>
                <w:b/>
              </w:rPr>
            </w:pPr>
          </w:p>
        </w:tc>
      </w:tr>
    </w:tbl>
    <w:p w14:paraId="0CFE34E2" w14:textId="442F6B34" w:rsidR="007914E4" w:rsidRPr="00964322" w:rsidRDefault="00273B0A" w:rsidP="004E1461">
      <w:pPr>
        <w:tabs>
          <w:tab w:val="left" w:pos="567"/>
        </w:tabs>
        <w:spacing w:before="240" w:after="240" w:line="360" w:lineRule="auto"/>
        <w:jc w:val="both"/>
        <w:rPr>
          <w:rFonts w:ascii="Palatino Linotype" w:hAnsi="Palatino Linotype" w:cs="Arial"/>
          <w:sz w:val="22"/>
          <w:szCs w:val="22"/>
          <w:lang w:val="es-MX"/>
        </w:rPr>
      </w:pPr>
      <w:r w:rsidRPr="00C7354D">
        <w:rPr>
          <w:rFonts w:ascii="Palatino Linotype" w:eastAsia="Times New Roman" w:hAnsi="Palatino Linotype" w:cs="Arial"/>
          <w:sz w:val="22"/>
          <w:szCs w:val="22"/>
          <w:lang w:val="es-MX"/>
        </w:rPr>
        <w:t>Esta hoja corr</w:t>
      </w:r>
      <w:r w:rsidR="004E5B33">
        <w:rPr>
          <w:rFonts w:ascii="Palatino Linotype" w:eastAsia="Times New Roman" w:hAnsi="Palatino Linotype" w:cs="Arial"/>
          <w:sz w:val="22"/>
          <w:szCs w:val="22"/>
          <w:lang w:val="es-MX"/>
        </w:rPr>
        <w:t xml:space="preserve">esponde a la resolución de fecha veintisiete (27) de noviembre </w:t>
      </w:r>
      <w:r w:rsidRPr="00C7354D">
        <w:rPr>
          <w:rFonts w:ascii="Palatino Linotype" w:eastAsia="Times New Roman" w:hAnsi="Palatino Linotype" w:cs="Arial"/>
          <w:sz w:val="22"/>
          <w:szCs w:val="22"/>
          <w:lang w:val="es-MX"/>
        </w:rPr>
        <w:t xml:space="preserve"> de dos mil  diecinueve, emitida en el recurso de revisión </w:t>
      </w:r>
      <w:r w:rsidR="00882DE1" w:rsidRPr="00C7354D">
        <w:rPr>
          <w:rFonts w:ascii="Palatino Linotype" w:hAnsi="Palatino Linotype" w:cs="Arial"/>
          <w:b/>
          <w:bCs/>
          <w:sz w:val="22"/>
          <w:szCs w:val="22"/>
          <w:lang w:val="es-MX" w:eastAsia="es-MX"/>
        </w:rPr>
        <w:t>0</w:t>
      </w:r>
      <w:r w:rsidR="000A1421">
        <w:rPr>
          <w:rFonts w:ascii="Palatino Linotype" w:hAnsi="Palatino Linotype" w:cs="Arial"/>
          <w:b/>
          <w:bCs/>
          <w:sz w:val="22"/>
          <w:szCs w:val="22"/>
          <w:lang w:val="es-MX" w:eastAsia="es-MX"/>
        </w:rPr>
        <w:t>07468/INFOEM/IP/RR/2019</w:t>
      </w:r>
      <w:r w:rsidR="00417E0F" w:rsidRPr="00C7354D">
        <w:rPr>
          <w:rFonts w:ascii="Palatino Linotype" w:hAnsi="Palatino Linotype" w:cs="Arial"/>
          <w:b/>
          <w:bCs/>
          <w:sz w:val="22"/>
          <w:szCs w:val="22"/>
          <w:lang w:val="es-MX" w:eastAsia="es-MX"/>
        </w:rPr>
        <w:t>.</w:t>
      </w:r>
    </w:p>
    <w:sectPr w:rsidR="007914E4" w:rsidRPr="00964322" w:rsidSect="00B15153">
      <w:headerReference w:type="default" r:id="rId22"/>
      <w:footerReference w:type="default" r:id="rId23"/>
      <w:headerReference w:type="first" r:id="rId24"/>
      <w:footerReference w:type="first" r:id="rId25"/>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DCA8F9" w14:textId="77777777" w:rsidR="006E7935" w:rsidRDefault="006E7935" w:rsidP="00587366">
      <w:r>
        <w:separator/>
      </w:r>
    </w:p>
    <w:p w14:paraId="354B2B41" w14:textId="77777777" w:rsidR="006E7935" w:rsidRDefault="006E7935"/>
  </w:endnote>
  <w:endnote w:type="continuationSeparator" w:id="0">
    <w:p w14:paraId="36DA44D3" w14:textId="77777777" w:rsidR="006E7935" w:rsidRDefault="006E7935" w:rsidP="00587366">
      <w:r>
        <w:continuationSeparator/>
      </w:r>
    </w:p>
    <w:p w14:paraId="6E8F2406" w14:textId="77777777" w:rsidR="006E7935" w:rsidRDefault="006E79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IDFont+F3">
    <w:panose1 w:val="00000000000000000000"/>
    <w:charset w:val="00"/>
    <w:family w:val="auto"/>
    <w:notTrueType/>
    <w:pitch w:val="default"/>
    <w:sig w:usb0="00000003" w:usb1="00000000" w:usb2="00000000" w:usb3="00000000" w:csb0="00000001" w:csb1="00000000"/>
  </w:font>
  <w:font w:name="CIDFont+F1">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6E7935" w:rsidRDefault="006E7935" w:rsidP="00B15153">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F7FC3">
              <w:rPr>
                <w:rFonts w:ascii="Palatino Linotype" w:hAnsi="Palatino Linotype"/>
                <w:b/>
                <w:bCs/>
                <w:noProof/>
                <w:sz w:val="22"/>
                <w:szCs w:val="20"/>
              </w:rPr>
              <w:t>20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F7FC3">
              <w:rPr>
                <w:rFonts w:ascii="Palatino Linotype" w:hAnsi="Palatino Linotype"/>
                <w:b/>
                <w:bCs/>
                <w:noProof/>
                <w:sz w:val="22"/>
                <w:szCs w:val="20"/>
              </w:rPr>
              <w:t>76</w:t>
            </w:r>
            <w:r w:rsidRPr="00883450">
              <w:rPr>
                <w:rFonts w:ascii="Palatino Linotype" w:hAnsi="Palatino Linotype"/>
                <w:b/>
                <w:bCs/>
                <w:sz w:val="22"/>
                <w:szCs w:val="20"/>
              </w:rPr>
              <w:fldChar w:fldCharType="end"/>
            </w:r>
          </w:p>
          <w:p w14:paraId="187818B4" w14:textId="42E0FFCB" w:rsidR="006E7935" w:rsidRDefault="002F7FC3" w:rsidP="00985DA6">
            <w:pPr>
              <w:pStyle w:val="Piedepgina"/>
              <w:rPr>
                <w:rFonts w:ascii="Palatino Linotype" w:hAnsi="Palatino Linotype"/>
                <w:sz w:val="28"/>
              </w:rPr>
            </w:pPr>
          </w:p>
        </w:sdtContent>
      </w:sdt>
    </w:sdtContent>
  </w:sdt>
  <w:p w14:paraId="1AED78E8" w14:textId="77777777" w:rsidR="006E7935" w:rsidRDefault="006E793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6E7935" w:rsidRPr="00883450" w:rsidRDefault="006E793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F7FC3" w:rsidRPr="002F7FC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F7FC3" w:rsidRPr="002F7FC3">
      <w:rPr>
        <w:rFonts w:ascii="Palatino Linotype" w:hAnsi="Palatino Linotype"/>
        <w:noProof/>
        <w:sz w:val="22"/>
        <w:szCs w:val="22"/>
        <w:lang w:val="es-ES"/>
      </w:rPr>
      <w:t>76</w:t>
    </w:r>
    <w:r w:rsidRPr="00883450">
      <w:rPr>
        <w:rFonts w:ascii="Palatino Linotype" w:hAnsi="Palatino Linotype"/>
        <w:sz w:val="22"/>
        <w:szCs w:val="22"/>
      </w:rPr>
      <w:fldChar w:fldCharType="end"/>
    </w:r>
  </w:p>
  <w:p w14:paraId="5F5C4865" w14:textId="77777777" w:rsidR="006E7935" w:rsidRPr="00883450" w:rsidRDefault="006E7935">
    <w:pPr>
      <w:pStyle w:val="Piedepgina"/>
      <w:rPr>
        <w:rFonts w:ascii="Palatino Linotype" w:hAnsi="Palatino Linotype"/>
        <w:sz w:val="22"/>
        <w:szCs w:val="22"/>
      </w:rPr>
    </w:pPr>
  </w:p>
  <w:p w14:paraId="2E09EA83" w14:textId="77777777" w:rsidR="006E7935" w:rsidRDefault="006E79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8F717E" w14:textId="77777777" w:rsidR="006E7935" w:rsidRDefault="006E7935" w:rsidP="00587366">
      <w:r>
        <w:separator/>
      </w:r>
    </w:p>
    <w:p w14:paraId="4F01C684" w14:textId="77777777" w:rsidR="006E7935" w:rsidRDefault="006E7935"/>
  </w:footnote>
  <w:footnote w:type="continuationSeparator" w:id="0">
    <w:p w14:paraId="5DC66434" w14:textId="77777777" w:rsidR="006E7935" w:rsidRDefault="006E7935" w:rsidP="00587366">
      <w:r>
        <w:continuationSeparator/>
      </w:r>
    </w:p>
    <w:p w14:paraId="1EFF08FE" w14:textId="77777777" w:rsidR="006E7935" w:rsidRDefault="006E7935"/>
  </w:footnote>
  <w:footnote w:id="1">
    <w:p w14:paraId="674C9EF6" w14:textId="62F04FBE" w:rsidR="006E7935" w:rsidRDefault="006E7935" w:rsidP="00ED7EBA">
      <w:pPr>
        <w:pStyle w:val="Textonotapie"/>
        <w:jc w:val="both"/>
      </w:pPr>
      <w:r>
        <w:rPr>
          <w:rStyle w:val="Refdenotaalpie"/>
        </w:rPr>
        <w:footnoteRef/>
      </w:r>
      <w:r>
        <w:t xml:space="preserve"> Diccionario de la Lengua Española, Real Academia Española, vigesimotercera edición, Asociación de Academias de la Lengua Española, Madrid, 2019, Consultable en la página electrónica </w:t>
      </w:r>
      <w:hyperlink r:id="rId1" w:history="1">
        <w:r>
          <w:rPr>
            <w:rStyle w:val="Hipervnculo"/>
          </w:rPr>
          <w:t>https://dle.rae.es/estipendio</w:t>
        </w:r>
      </w:hyperlink>
      <w:r>
        <w:t>.</w:t>
      </w:r>
    </w:p>
  </w:footnote>
  <w:footnote w:id="2">
    <w:p w14:paraId="2EA97C0E" w14:textId="77777777" w:rsidR="006E7935" w:rsidRDefault="006E7935" w:rsidP="00D9353C">
      <w:pPr>
        <w:pStyle w:val="Textonotapie"/>
      </w:pPr>
      <w:r>
        <w:rPr>
          <w:rStyle w:val="Refdenotaalpie"/>
        </w:rPr>
        <w:footnoteRef/>
      </w:r>
      <w:r>
        <w:t xml:space="preserve"> Convención Americana sobre Derechos Humanos. Artículo 13.</w:t>
      </w:r>
    </w:p>
  </w:footnote>
  <w:footnote w:id="3">
    <w:p w14:paraId="3708E00E" w14:textId="77777777" w:rsidR="006E7935" w:rsidRDefault="006E7935" w:rsidP="00D9353C">
      <w:pPr>
        <w:pStyle w:val="Textonotapie"/>
      </w:pPr>
      <w:r>
        <w:rPr>
          <w:rStyle w:val="Refdenotaalpie"/>
        </w:rPr>
        <w:footnoteRef/>
      </w:r>
      <w:r>
        <w:t xml:space="preserve"> Constitución Política de los Estados Unidos Mexicanos. Artículo sexto, sección A, fracción I.</w:t>
      </w:r>
    </w:p>
  </w:footnote>
  <w:footnote w:id="4">
    <w:p w14:paraId="6A88510D" w14:textId="77777777" w:rsidR="006E7935" w:rsidRDefault="006E7935" w:rsidP="00D9353C">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0A9A4302" w14:textId="77777777" w:rsidR="006E7935" w:rsidRDefault="006E7935" w:rsidP="00D9353C">
      <w:pPr>
        <w:pStyle w:val="Textonotapie"/>
      </w:pPr>
      <w:r>
        <w:rPr>
          <w:rStyle w:val="Refdenotaalpie"/>
        </w:rPr>
        <w:footnoteRef/>
      </w:r>
      <w:r>
        <w:t xml:space="preserve"> Ibídem. Parr. 87.</w:t>
      </w:r>
    </w:p>
  </w:footnote>
  <w:footnote w:id="6">
    <w:p w14:paraId="62F03393" w14:textId="77777777" w:rsidR="006E7935" w:rsidRPr="001D5FB5" w:rsidRDefault="006E7935" w:rsidP="00211649">
      <w:pPr>
        <w:pStyle w:val="Textonotapie"/>
        <w:rPr>
          <w:lang w:val="es-ES"/>
        </w:rPr>
      </w:pPr>
      <w:r w:rsidRPr="001D5FB5">
        <w:rPr>
          <w:rStyle w:val="Refdenotaalpie"/>
          <w:color w:val="000000" w:themeColor="text1"/>
        </w:rPr>
        <w:footnoteRef/>
      </w:r>
      <w:r w:rsidRPr="001D5FB5">
        <w:rPr>
          <w:color w:val="000000" w:themeColor="text1"/>
        </w:rPr>
        <w:t xml:space="preserve"> </w:t>
      </w:r>
      <w:r w:rsidRPr="001D5FB5">
        <w:rPr>
          <w:color w:val="000000" w:themeColor="text1"/>
          <w:sz w:val="16"/>
          <w:szCs w:val="16"/>
          <w:shd w:val="clear" w:color="auto" w:fill="FFFFFF"/>
        </w:rPr>
        <w:t>VILLANUEVA VILLANUEVA Ernesto. Derecho de la Información, Ed. Porrúa.S.A., México. 2006. p. 270.</w:t>
      </w:r>
    </w:p>
  </w:footnote>
  <w:footnote w:id="7">
    <w:p w14:paraId="34B166D9" w14:textId="77777777" w:rsidR="006E7935" w:rsidRPr="00E76965" w:rsidRDefault="006E7935" w:rsidP="00395C5C">
      <w:pPr>
        <w:pStyle w:val="Textonotapie"/>
        <w:jc w:val="both"/>
        <w:rPr>
          <w:rFonts w:ascii="Palatino Linotype" w:hAnsi="Palatino Linotype"/>
          <w:sz w:val="16"/>
          <w:szCs w:val="16"/>
        </w:rPr>
      </w:pPr>
      <w:r w:rsidRPr="00E76965">
        <w:rPr>
          <w:rStyle w:val="Refdenotaalpie"/>
          <w:rFonts w:ascii="Palatino Linotype" w:hAnsi="Palatino Linotype"/>
          <w:sz w:val="16"/>
          <w:szCs w:val="16"/>
        </w:rPr>
        <w:footnoteRef/>
      </w:r>
      <w:r w:rsidRPr="00E76965">
        <w:rPr>
          <w:rFonts w:ascii="Palatino Linotype" w:hAnsi="Palatino Linotype"/>
          <w:sz w:val="16"/>
          <w:szCs w:val="16"/>
        </w:rPr>
        <w:t xml:space="preserve"> Décimo séptima edición, publicada en el Periódico Oficial “Gaceta del Gobierno del Estado de México” el 12 de marzo de 2018.</w:t>
      </w:r>
    </w:p>
  </w:footnote>
  <w:footnote w:id="8">
    <w:p w14:paraId="19E86913" w14:textId="40E72C7F" w:rsidR="006E7935" w:rsidRPr="002E1201" w:rsidRDefault="006E7935" w:rsidP="007906DD">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w:t>
      </w:r>
      <w:r>
        <w:rPr>
          <w:rFonts w:ascii="Palatino Linotype" w:hAnsi="Palatino Linotype"/>
          <w:sz w:val="18"/>
          <w:szCs w:val="18"/>
        </w:rPr>
        <w:t>s</w:t>
      </w:r>
      <w:r w:rsidRPr="002E1201">
        <w:rPr>
          <w:rFonts w:ascii="Palatino Linotype" w:hAnsi="Palatino Linotype"/>
          <w:sz w:val="18"/>
          <w:szCs w:val="18"/>
        </w:rPr>
        <w:t xml:space="preserv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 w:id="9">
    <w:p w14:paraId="0413B0EF" w14:textId="77777777" w:rsidR="006E7935" w:rsidRDefault="006E7935" w:rsidP="007906DD">
      <w:pPr>
        <w:pStyle w:val="Textonotapie"/>
      </w:pPr>
      <w:r>
        <w:rPr>
          <w:rStyle w:val="Refdenotaalpie"/>
        </w:rPr>
        <w:footnoteRef/>
      </w:r>
      <w:r>
        <w:t xml:space="preserve"> Consultable en: </w:t>
      </w:r>
      <w:r w:rsidRPr="00D52AC4">
        <w:t>http://edomex.gob.mx/sites/edomex.gob.mx/files/files/LINEAMIENTOS_ADMINISTRACION_DOCUMENTOS_2015.pdf</w:t>
      </w:r>
    </w:p>
  </w:footnote>
  <w:footnote w:id="10">
    <w:p w14:paraId="027768B1" w14:textId="77777777" w:rsidR="006E7935" w:rsidRDefault="006E7935" w:rsidP="007906DD">
      <w:pPr>
        <w:pStyle w:val="Textonotapie"/>
        <w:jc w:val="both"/>
        <w:rPr>
          <w:rFonts w:ascii="Arial" w:hAnsi="Arial" w:cs="Arial"/>
          <w:color w:val="2F2F2F"/>
          <w:sz w:val="18"/>
          <w:szCs w:val="18"/>
          <w:shd w:val="clear" w:color="auto" w:fill="FFFFFF"/>
        </w:rPr>
      </w:pPr>
      <w:r>
        <w:rPr>
          <w:rStyle w:val="Refdenotaalpie"/>
        </w:rPr>
        <w:footnoteRef/>
      </w:r>
      <w:r>
        <w:t>L</w:t>
      </w:r>
      <w:r>
        <w:rPr>
          <w:rFonts w:ascii="Palatino Linotype" w:eastAsia="Times New Roman" w:hAnsi="Palatino Linotype" w:cs="Arial"/>
          <w:color w:val="000000"/>
        </w:rPr>
        <w:t xml:space="preserve">ineamientos para la Organización y Conservación de Archivos. Numeral Primero. </w:t>
      </w:r>
      <w:r>
        <w:rPr>
          <w:rFonts w:ascii="Arial" w:hAnsi="Arial" w:cs="Arial"/>
          <w:b/>
          <w:bCs/>
          <w:color w:val="2F2F2F"/>
          <w:sz w:val="18"/>
          <w:szCs w:val="18"/>
          <w:shd w:val="clear" w:color="auto" w:fill="FFFFFF"/>
        </w:rPr>
        <w:t>Primero.</w:t>
      </w:r>
      <w:r>
        <w:rPr>
          <w:rFonts w:ascii="Arial" w:hAnsi="Arial" w:cs="Arial"/>
          <w:color w:val="2F2F2F"/>
          <w:sz w:val="18"/>
          <w:szCs w:val="18"/>
          <w:shd w:val="clear" w:color="auto" w:fill="FFFFFF"/>
        </w:rPr>
        <w:t> </w:t>
      </w:r>
      <w:r w:rsidRPr="00B57C26">
        <w:rPr>
          <w:rFonts w:cs="Arial"/>
          <w:color w:val="2F2F2F"/>
          <w:szCs w:val="18"/>
          <w:shd w:val="clear" w:color="auto" w:fill="FFFFFF"/>
        </w:rPr>
        <w:t xml:space="preserve">Los presentes lineamientos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w:t>
      </w:r>
      <w:r>
        <w:rPr>
          <w:rFonts w:ascii="Arial" w:hAnsi="Arial" w:cs="Arial"/>
          <w:color w:val="2F2F2F"/>
          <w:sz w:val="18"/>
          <w:szCs w:val="18"/>
          <w:shd w:val="clear" w:color="auto" w:fill="FFFFFF"/>
        </w:rPr>
        <w:t>adquirida, transformada y contar con sistemas de información, ágiles y eficientes.</w:t>
      </w:r>
    </w:p>
    <w:p w14:paraId="39F7F3B1" w14:textId="77777777" w:rsidR="006E7935" w:rsidRPr="00B57C26" w:rsidRDefault="006E7935" w:rsidP="007906DD">
      <w:pPr>
        <w:pStyle w:val="Textonotapie"/>
        <w:jc w:val="both"/>
        <w:rPr>
          <w:rFonts w:eastAsia="Times New Roman" w:cs="Arial"/>
          <w:color w:val="000000"/>
        </w:rPr>
      </w:pPr>
      <w:r w:rsidRPr="00B57C26">
        <w:rPr>
          <w:rFonts w:eastAsia="Times New Roman" w:cs="Arial"/>
          <w:color w:val="000000"/>
        </w:rPr>
        <w:t xml:space="preserve">Disponible en </w:t>
      </w:r>
      <w:hyperlink r:id="rId2" w:history="1">
        <w:r w:rsidRPr="00B57C26">
          <w:rPr>
            <w:rStyle w:val="Hipervnculo"/>
            <w:rFonts w:eastAsia="Times New Roman" w:cs="Arial"/>
          </w:rPr>
          <w:t>http://www.dof.gob.mx/nota_detalle.php?codigo=5436056&amp;fecha=04/05/2016</w:t>
        </w:r>
      </w:hyperlink>
    </w:p>
    <w:p w14:paraId="784C9947" w14:textId="77777777" w:rsidR="006E7935" w:rsidRDefault="006E7935" w:rsidP="007906DD">
      <w:pPr>
        <w:pStyle w:val="Textonotapie"/>
      </w:pPr>
    </w:p>
  </w:footnote>
  <w:footnote w:id="11">
    <w:p w14:paraId="2DA130AE" w14:textId="77777777" w:rsidR="006E7935" w:rsidRPr="002E1201" w:rsidRDefault="006E7935" w:rsidP="007906DD">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 w:id="12">
    <w:p w14:paraId="1BD54EAB" w14:textId="77777777" w:rsidR="006E7935" w:rsidRPr="005703BB" w:rsidRDefault="006E7935" w:rsidP="007906DD">
      <w:pPr>
        <w:pStyle w:val="Textonotapie"/>
      </w:pPr>
      <w:r>
        <w:rPr>
          <w:rStyle w:val="Refdenotaalpie"/>
        </w:rPr>
        <w:footnoteRef/>
      </w:r>
      <w:r>
        <w:t xml:space="preserve"> </w:t>
      </w:r>
      <w:r w:rsidRPr="005703BB">
        <w:rPr>
          <w:rFonts w:cs="Arial"/>
        </w:rPr>
        <w:t>Fracción VIII. numeral cuarto.</w:t>
      </w:r>
      <w:r w:rsidRPr="005703BB">
        <w:t xml:space="preserve"> L</w:t>
      </w:r>
      <w:r>
        <w:t>ine</w:t>
      </w:r>
      <w:r w:rsidRPr="005703BB">
        <w:t>amientos</w:t>
      </w:r>
      <w:r w:rsidRPr="005703BB">
        <w:rPr>
          <w:rFonts w:cs="Arial"/>
        </w:rPr>
        <w:t xml:space="preserve"> para la organización y conservación de archivos emitidos por el Sistema Nacional de Transparencia</w:t>
      </w:r>
      <w:r>
        <w:rPr>
          <w:rFonts w:cs="Arial"/>
        </w:rPr>
        <w:t>.</w:t>
      </w:r>
    </w:p>
  </w:footnote>
  <w:footnote w:id="13">
    <w:p w14:paraId="6137A639" w14:textId="77777777" w:rsidR="006E7935" w:rsidRDefault="006E7935" w:rsidP="007906DD">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 w:id="14">
    <w:p w14:paraId="5524F282" w14:textId="77777777" w:rsidR="006E7935" w:rsidRPr="009020DD" w:rsidRDefault="006E7935" w:rsidP="003200B6">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57839D3" w14:textId="77777777" w:rsidR="006E7935" w:rsidRPr="009020DD" w:rsidRDefault="006E7935" w:rsidP="003200B6">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04F09E6" w14:textId="77777777" w:rsidR="006E7935" w:rsidRPr="009020DD" w:rsidRDefault="006E7935" w:rsidP="003200B6">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5">
    <w:p w14:paraId="233BA9E1" w14:textId="77777777" w:rsidR="006E7935" w:rsidRPr="007F43A5" w:rsidRDefault="006E7935" w:rsidP="003200B6">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6">
    <w:p w14:paraId="42F0D0D0" w14:textId="77777777" w:rsidR="006E7935" w:rsidRPr="0037004E" w:rsidRDefault="006E7935" w:rsidP="003200B6">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2B879E9F" w14:textId="77777777" w:rsidR="006E7935" w:rsidRDefault="006E7935" w:rsidP="003200B6">
      <w:pPr>
        <w:pStyle w:val="Textonotapie"/>
      </w:pPr>
    </w:p>
  </w:footnote>
  <w:footnote w:id="17">
    <w:p w14:paraId="0CDCF230" w14:textId="77777777" w:rsidR="006E7935" w:rsidRDefault="006E7935" w:rsidP="003200B6">
      <w:pPr>
        <w:pStyle w:val="Textonotapie"/>
        <w:jc w:val="both"/>
      </w:pPr>
      <w:r>
        <w:rPr>
          <w:rStyle w:val="Refdenotaalpie"/>
        </w:rPr>
        <w:footnoteRef/>
      </w:r>
      <w:r>
        <w:t xml:space="preserve"> Artículo 3. Para los efectos de la presente Ley se entenderá por:</w:t>
      </w:r>
    </w:p>
    <w:p w14:paraId="1343C64D" w14:textId="77777777" w:rsidR="006E7935" w:rsidRDefault="006E7935" w:rsidP="003200B6">
      <w:pPr>
        <w:pStyle w:val="Textonotapie"/>
        <w:jc w:val="both"/>
      </w:pPr>
      <w:r>
        <w:t xml:space="preserve"> (…)</w:t>
      </w:r>
    </w:p>
    <w:p w14:paraId="2A1B278E" w14:textId="77777777" w:rsidR="006E7935" w:rsidRDefault="006E7935" w:rsidP="003200B6">
      <w:pPr>
        <w:pStyle w:val="Textonotapie"/>
        <w:jc w:val="both"/>
      </w:pPr>
      <w:r>
        <w:t>IX. Datos personales: La información concerniente a una persona, identificada o identificable según lo dispuesto por la Ley de Protección de Datos Personales del Estado de México;</w:t>
      </w:r>
    </w:p>
  </w:footnote>
  <w:footnote w:id="18">
    <w:p w14:paraId="6EC9332C" w14:textId="77777777" w:rsidR="006E7935" w:rsidRDefault="006E7935" w:rsidP="003200B6">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La clasificación es el proceso mediante el cual el sujeto obligado determina que la información en su poder actualiza alguno de los supuestos de reserva o confidencialidad, de conformidad con lo dispuesto en el presente título.</w:t>
      </w:r>
    </w:p>
    <w:p w14:paraId="37BD0EDA" w14:textId="77777777" w:rsidR="006E7935" w:rsidRDefault="006E7935" w:rsidP="003200B6">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6AEFA260" w14:textId="77777777" w:rsidR="006E7935" w:rsidRDefault="006E7935" w:rsidP="003200B6">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06352D45" w14:textId="77777777" w:rsidR="006E7935" w:rsidRDefault="006E7935" w:rsidP="003200B6">
      <w:pPr>
        <w:autoSpaceDE w:val="0"/>
        <w:autoSpaceDN w:val="0"/>
        <w:adjustRightInd w:val="0"/>
        <w:jc w:val="both"/>
      </w:pPr>
    </w:p>
  </w:footnote>
  <w:footnote w:id="19">
    <w:p w14:paraId="4116753A" w14:textId="77777777" w:rsidR="006E7935" w:rsidRDefault="006E7935" w:rsidP="003200B6">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6E7935" w:rsidRDefault="006E7935">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E7935" w:rsidRPr="00E84957" w14:paraId="07F2896E" w14:textId="77777777" w:rsidTr="003116A6">
      <w:trPr>
        <w:trHeight w:val="138"/>
        <w:jc w:val="right"/>
      </w:trPr>
      <w:tc>
        <w:tcPr>
          <w:tcW w:w="2552" w:type="dxa"/>
          <w:vAlign w:val="center"/>
        </w:tcPr>
        <w:p w14:paraId="4A5B1974" w14:textId="77777777" w:rsidR="006E7935" w:rsidRPr="00E84957" w:rsidRDefault="006E7935"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207681F9" w:rsidR="006E7935" w:rsidRPr="002D0ECC" w:rsidRDefault="006E7935" w:rsidP="000A1421">
          <w:pPr>
            <w:pStyle w:val="Encabezado"/>
            <w:jc w:val="right"/>
            <w:rPr>
              <w:rFonts w:ascii="Palatino Linotype" w:hAnsi="Palatino Linotype"/>
              <w:b/>
              <w:sz w:val="20"/>
              <w:szCs w:val="20"/>
            </w:rPr>
          </w:pPr>
          <w:r>
            <w:rPr>
              <w:rFonts w:ascii="Palatino Linotype" w:hAnsi="Palatino Linotype" w:cs="Arial"/>
              <w:b/>
              <w:bCs/>
              <w:sz w:val="20"/>
              <w:szCs w:val="20"/>
              <w:lang w:eastAsia="es-MX"/>
            </w:rPr>
            <w:t>07468/INFOEM/IP/RR/2019</w:t>
          </w:r>
        </w:p>
      </w:tc>
    </w:tr>
    <w:tr w:rsidR="006E7935" w:rsidRPr="00E84957" w14:paraId="095EB01B" w14:textId="77777777" w:rsidTr="003116A6">
      <w:trPr>
        <w:trHeight w:val="321"/>
        <w:jc w:val="right"/>
      </w:trPr>
      <w:tc>
        <w:tcPr>
          <w:tcW w:w="2552" w:type="dxa"/>
          <w:vAlign w:val="center"/>
        </w:tcPr>
        <w:p w14:paraId="6E000A51" w14:textId="4DA3E277" w:rsidR="006E7935" w:rsidRPr="00E84957" w:rsidRDefault="006E7935"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32255BF6" w14:textId="62E48B72" w:rsidR="006E7935" w:rsidRDefault="006E7935" w:rsidP="000A175B">
          <w:pPr>
            <w:pStyle w:val="Encabezado"/>
            <w:jc w:val="right"/>
            <w:rPr>
              <w:rFonts w:ascii="Palatino Linotype" w:hAnsi="Palatino Linotype"/>
              <w:b/>
              <w:sz w:val="20"/>
              <w:szCs w:val="20"/>
            </w:rPr>
          </w:pPr>
          <w:r>
            <w:rPr>
              <w:rFonts w:ascii="Palatino Linotype" w:hAnsi="Palatino Linotype"/>
              <w:b/>
              <w:sz w:val="20"/>
              <w:szCs w:val="20"/>
            </w:rPr>
            <w:t xml:space="preserve">Fiscalía General de Justicia </w:t>
          </w:r>
        </w:p>
        <w:p w14:paraId="07560085" w14:textId="5E45A7EF" w:rsidR="006E7935" w:rsidRPr="00740719" w:rsidRDefault="006E7935" w:rsidP="000A175B">
          <w:pPr>
            <w:pStyle w:val="Encabezado"/>
            <w:jc w:val="right"/>
            <w:rPr>
              <w:rFonts w:ascii="Palatino Linotype" w:hAnsi="Palatino Linotype"/>
              <w:b/>
              <w:sz w:val="18"/>
              <w:szCs w:val="18"/>
            </w:rPr>
          </w:pPr>
          <w:r>
            <w:rPr>
              <w:rFonts w:ascii="Palatino Linotype" w:hAnsi="Palatino Linotype"/>
              <w:b/>
              <w:sz w:val="20"/>
              <w:szCs w:val="20"/>
            </w:rPr>
            <w:t>del Estado de México</w:t>
          </w:r>
        </w:p>
      </w:tc>
    </w:tr>
    <w:tr w:rsidR="006E7935" w:rsidRPr="00E84957" w14:paraId="14F3CE0D" w14:textId="77777777" w:rsidTr="003116A6">
      <w:trPr>
        <w:trHeight w:val="321"/>
        <w:jc w:val="right"/>
      </w:trPr>
      <w:tc>
        <w:tcPr>
          <w:tcW w:w="2552" w:type="dxa"/>
          <w:vAlign w:val="center"/>
        </w:tcPr>
        <w:p w14:paraId="12248485" w14:textId="081B3348" w:rsidR="006E7935" w:rsidRPr="00E84957" w:rsidRDefault="006E7935"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6E7935" w:rsidRPr="002D0ECC" w:rsidRDefault="006E7935"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6E7935" w:rsidRDefault="006E7935" w:rsidP="00587366">
    <w:pPr>
      <w:pStyle w:val="Encabezado"/>
    </w:pPr>
  </w:p>
  <w:p w14:paraId="01FCACBC" w14:textId="77777777" w:rsidR="006E7935" w:rsidRDefault="006E793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6E7935" w:rsidRDefault="006E7935"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6E7935" w:rsidRPr="00182113" w14:paraId="665387B4" w14:textId="77777777" w:rsidTr="000B5D79">
      <w:trPr>
        <w:trHeight w:val="138"/>
      </w:trPr>
      <w:tc>
        <w:tcPr>
          <w:tcW w:w="2532" w:type="dxa"/>
          <w:vAlign w:val="center"/>
        </w:tcPr>
        <w:p w14:paraId="01509DD6" w14:textId="77777777" w:rsidR="006E7935" w:rsidRPr="00182113" w:rsidRDefault="006E7935"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6E7935" w:rsidRPr="00182113" w:rsidRDefault="006E7935" w:rsidP="000B5D79">
          <w:pPr>
            <w:pStyle w:val="Encabezado"/>
            <w:jc w:val="center"/>
            <w:rPr>
              <w:rFonts w:ascii="Palatino Linotype" w:hAnsi="Palatino Linotype"/>
              <w:b/>
              <w:sz w:val="22"/>
              <w:szCs w:val="22"/>
            </w:rPr>
          </w:pPr>
        </w:p>
      </w:tc>
      <w:tc>
        <w:tcPr>
          <w:tcW w:w="3261" w:type="dxa"/>
          <w:vAlign w:val="center"/>
        </w:tcPr>
        <w:p w14:paraId="4FAE21CD" w14:textId="34C8CC0C" w:rsidR="006E7935" w:rsidRPr="00182113" w:rsidRDefault="006E7935" w:rsidP="000A1421">
          <w:pPr>
            <w:pStyle w:val="Encabezado"/>
            <w:rPr>
              <w:rFonts w:ascii="Palatino Linotype" w:hAnsi="Palatino Linotype"/>
              <w:b/>
              <w:sz w:val="22"/>
              <w:szCs w:val="22"/>
            </w:rPr>
          </w:pPr>
          <w:r>
            <w:rPr>
              <w:rFonts w:ascii="Palatino Linotype" w:hAnsi="Palatino Linotype" w:cs="Arial"/>
              <w:b/>
              <w:bCs/>
              <w:sz w:val="20"/>
              <w:szCs w:val="20"/>
              <w:lang w:eastAsia="es-MX"/>
            </w:rPr>
            <w:t>07468/INFOEM/IP/RR/2019</w:t>
          </w:r>
        </w:p>
      </w:tc>
    </w:tr>
    <w:tr w:rsidR="006E7935" w:rsidRPr="00182113" w14:paraId="78C9F2F4" w14:textId="77777777" w:rsidTr="000B5D79">
      <w:trPr>
        <w:trHeight w:val="227"/>
      </w:trPr>
      <w:tc>
        <w:tcPr>
          <w:tcW w:w="2532" w:type="dxa"/>
          <w:vAlign w:val="center"/>
        </w:tcPr>
        <w:p w14:paraId="2D89FED3" w14:textId="77777777" w:rsidR="006E7935" w:rsidRPr="00182113" w:rsidRDefault="006E7935"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6E7935" w:rsidRPr="00182113" w:rsidRDefault="006E7935" w:rsidP="000B5D79">
          <w:pPr>
            <w:pStyle w:val="Encabezado"/>
            <w:jc w:val="center"/>
            <w:rPr>
              <w:rFonts w:ascii="Palatino Linotype" w:hAnsi="Palatino Linotype"/>
              <w:b/>
              <w:sz w:val="22"/>
              <w:szCs w:val="22"/>
            </w:rPr>
          </w:pPr>
        </w:p>
      </w:tc>
      <w:tc>
        <w:tcPr>
          <w:tcW w:w="3261" w:type="dxa"/>
          <w:vAlign w:val="center"/>
        </w:tcPr>
        <w:p w14:paraId="36D086A3" w14:textId="5F954EC0" w:rsidR="006E7935" w:rsidRPr="00F801DD" w:rsidRDefault="006E7935" w:rsidP="000B5D79">
          <w:pPr>
            <w:pStyle w:val="Encabezado"/>
            <w:rPr>
              <w:rFonts w:ascii="Palatino Linotype" w:hAnsi="Palatino Linotype"/>
              <w:b/>
              <w:sz w:val="20"/>
              <w:szCs w:val="20"/>
            </w:rPr>
          </w:pPr>
          <w:r w:rsidRPr="00ED6EE1">
            <w:rPr>
              <w:rFonts w:ascii="Palatino Linotype" w:hAnsi="Palatino Linotype"/>
              <w:b/>
              <w:sz w:val="20"/>
              <w:szCs w:val="20"/>
              <w:highlight w:val="black"/>
            </w:rPr>
            <w:t>-------------------------------------</w:t>
          </w:r>
        </w:p>
      </w:tc>
    </w:tr>
    <w:tr w:rsidR="006E7935" w:rsidRPr="00182113" w14:paraId="1A862673" w14:textId="77777777" w:rsidTr="000B5D79">
      <w:trPr>
        <w:trHeight w:val="232"/>
      </w:trPr>
      <w:tc>
        <w:tcPr>
          <w:tcW w:w="2532" w:type="dxa"/>
          <w:vAlign w:val="center"/>
        </w:tcPr>
        <w:p w14:paraId="767A6F60" w14:textId="77777777" w:rsidR="006E7935" w:rsidRPr="00182113" w:rsidRDefault="006E7935"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6E7935" w:rsidRPr="00182113" w:rsidRDefault="006E7935" w:rsidP="000B5D79">
          <w:pPr>
            <w:pStyle w:val="Encabezado"/>
            <w:jc w:val="center"/>
            <w:rPr>
              <w:rFonts w:ascii="Palatino Linotype" w:hAnsi="Palatino Linotype"/>
              <w:b/>
              <w:sz w:val="22"/>
              <w:szCs w:val="22"/>
            </w:rPr>
          </w:pPr>
        </w:p>
      </w:tc>
      <w:tc>
        <w:tcPr>
          <w:tcW w:w="3261" w:type="dxa"/>
          <w:vAlign w:val="center"/>
        </w:tcPr>
        <w:p w14:paraId="3FC8EF03" w14:textId="081E0FA0" w:rsidR="006E7935" w:rsidRPr="00114C6B" w:rsidRDefault="006E7935" w:rsidP="00F354BA">
          <w:pPr>
            <w:pStyle w:val="Encabezado"/>
            <w:rPr>
              <w:rFonts w:ascii="Palatino Linotype" w:hAnsi="Palatino Linotype"/>
              <w:b/>
              <w:sz w:val="20"/>
              <w:szCs w:val="20"/>
            </w:rPr>
          </w:pPr>
          <w:r>
            <w:rPr>
              <w:rFonts w:ascii="Palatino Linotype" w:hAnsi="Palatino Linotype"/>
              <w:b/>
              <w:sz w:val="20"/>
              <w:szCs w:val="20"/>
            </w:rPr>
            <w:t>Fiscalía General de Justicia del Estado de México</w:t>
          </w:r>
        </w:p>
      </w:tc>
    </w:tr>
    <w:tr w:rsidR="006E7935" w:rsidRPr="00182113" w14:paraId="4416531B" w14:textId="77777777" w:rsidTr="000B5D79">
      <w:trPr>
        <w:trHeight w:val="320"/>
      </w:trPr>
      <w:tc>
        <w:tcPr>
          <w:tcW w:w="2532" w:type="dxa"/>
          <w:vAlign w:val="center"/>
        </w:tcPr>
        <w:p w14:paraId="277DD3E2" w14:textId="4C90BB0A" w:rsidR="006E7935" w:rsidRPr="00182113" w:rsidRDefault="006E7935"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6E7935" w:rsidRPr="00182113" w:rsidRDefault="006E7935" w:rsidP="000B5D79">
          <w:pPr>
            <w:pStyle w:val="Encabezado"/>
            <w:jc w:val="center"/>
            <w:rPr>
              <w:rFonts w:ascii="Palatino Linotype" w:hAnsi="Palatino Linotype"/>
              <w:b/>
              <w:sz w:val="22"/>
              <w:szCs w:val="22"/>
            </w:rPr>
          </w:pPr>
        </w:p>
      </w:tc>
      <w:tc>
        <w:tcPr>
          <w:tcW w:w="3261" w:type="dxa"/>
          <w:vAlign w:val="center"/>
        </w:tcPr>
        <w:p w14:paraId="3BD70CE4" w14:textId="61A13249" w:rsidR="006E7935" w:rsidRPr="00182113" w:rsidRDefault="006E7935"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6E7935" w:rsidRDefault="006E7935">
    <w:pPr>
      <w:pStyle w:val="Encabezado"/>
    </w:pPr>
  </w:p>
  <w:p w14:paraId="2C496126" w14:textId="77777777" w:rsidR="006E7935" w:rsidRDefault="006E793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F7638A"/>
    <w:multiLevelType w:val="hybridMultilevel"/>
    <w:tmpl w:val="723A9BBE"/>
    <w:lvl w:ilvl="0" w:tplc="5CE2CB98">
      <w:start w:val="1"/>
      <w:numFmt w:val="decimal"/>
      <w:lvlText w:val="%1."/>
      <w:lvlJc w:val="left"/>
      <w:pPr>
        <w:ind w:left="9008"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317490"/>
    <w:multiLevelType w:val="hybridMultilevel"/>
    <w:tmpl w:val="EAB82A06"/>
    <w:lvl w:ilvl="0" w:tplc="92BE0B36">
      <w:start w:val="1"/>
      <w:numFmt w:val="decimal"/>
      <w:lvlText w:val="%1."/>
      <w:lvlJc w:val="left"/>
      <w:pPr>
        <w:ind w:left="786"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350A8B"/>
    <w:multiLevelType w:val="hybridMultilevel"/>
    <w:tmpl w:val="A476E00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E1813C0"/>
    <w:multiLevelType w:val="multilevel"/>
    <w:tmpl w:val="D37E3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0117F4A"/>
    <w:multiLevelType w:val="hybridMultilevel"/>
    <w:tmpl w:val="34C4D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70136A0"/>
    <w:multiLevelType w:val="hybridMultilevel"/>
    <w:tmpl w:val="996E7780"/>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7CFA457E"/>
    <w:multiLevelType w:val="hybridMultilevel"/>
    <w:tmpl w:val="5DC85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D9A4291"/>
    <w:multiLevelType w:val="hybridMultilevel"/>
    <w:tmpl w:val="DDACB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9"/>
  </w:num>
  <w:num w:numId="4">
    <w:abstractNumId w:val="6"/>
  </w:num>
  <w:num w:numId="5">
    <w:abstractNumId w:val="13"/>
  </w:num>
  <w:num w:numId="6">
    <w:abstractNumId w:val="7"/>
  </w:num>
  <w:num w:numId="7">
    <w:abstractNumId w:val="5"/>
  </w:num>
  <w:num w:numId="8">
    <w:abstractNumId w:val="0"/>
  </w:num>
  <w:num w:numId="9">
    <w:abstractNumId w:val="3"/>
  </w:num>
  <w:num w:numId="10">
    <w:abstractNumId w:val="1"/>
  </w:num>
  <w:num w:numId="11">
    <w:abstractNumId w:val="2"/>
  </w:num>
  <w:num w:numId="12">
    <w:abstractNumId w:val="10"/>
  </w:num>
  <w:num w:numId="13">
    <w:abstractNumId w:val="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057"/>
    <w:rsid w:val="00007A8A"/>
    <w:rsid w:val="00011036"/>
    <w:rsid w:val="00011251"/>
    <w:rsid w:val="00011719"/>
    <w:rsid w:val="00012472"/>
    <w:rsid w:val="000135F5"/>
    <w:rsid w:val="00014154"/>
    <w:rsid w:val="00015690"/>
    <w:rsid w:val="0001633D"/>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3A8F"/>
    <w:rsid w:val="000240A5"/>
    <w:rsid w:val="00024548"/>
    <w:rsid w:val="0002623B"/>
    <w:rsid w:val="00027153"/>
    <w:rsid w:val="0003063D"/>
    <w:rsid w:val="0003090F"/>
    <w:rsid w:val="00030C43"/>
    <w:rsid w:val="00031C89"/>
    <w:rsid w:val="00032493"/>
    <w:rsid w:val="00032B32"/>
    <w:rsid w:val="000342D7"/>
    <w:rsid w:val="00034578"/>
    <w:rsid w:val="000348AB"/>
    <w:rsid w:val="00034AEC"/>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EDD"/>
    <w:rsid w:val="00051F9D"/>
    <w:rsid w:val="00052007"/>
    <w:rsid w:val="000520C1"/>
    <w:rsid w:val="00052570"/>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B83"/>
    <w:rsid w:val="00084FD5"/>
    <w:rsid w:val="0008542A"/>
    <w:rsid w:val="00085FE0"/>
    <w:rsid w:val="00086A19"/>
    <w:rsid w:val="000877FD"/>
    <w:rsid w:val="00087F83"/>
    <w:rsid w:val="00090A31"/>
    <w:rsid w:val="00091EC6"/>
    <w:rsid w:val="00094279"/>
    <w:rsid w:val="000946B6"/>
    <w:rsid w:val="00094CAC"/>
    <w:rsid w:val="00095527"/>
    <w:rsid w:val="000957B1"/>
    <w:rsid w:val="0009723C"/>
    <w:rsid w:val="00097D8A"/>
    <w:rsid w:val="000A09F5"/>
    <w:rsid w:val="000A0D7B"/>
    <w:rsid w:val="000A13A2"/>
    <w:rsid w:val="000A1421"/>
    <w:rsid w:val="000A149C"/>
    <w:rsid w:val="000A175B"/>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3D22"/>
    <w:rsid w:val="000C4A8E"/>
    <w:rsid w:val="000C555C"/>
    <w:rsid w:val="000C5A04"/>
    <w:rsid w:val="000C7734"/>
    <w:rsid w:val="000C7957"/>
    <w:rsid w:val="000D020C"/>
    <w:rsid w:val="000D0C47"/>
    <w:rsid w:val="000D0CA8"/>
    <w:rsid w:val="000D151D"/>
    <w:rsid w:val="000D17AB"/>
    <w:rsid w:val="000D1FBF"/>
    <w:rsid w:val="000D466E"/>
    <w:rsid w:val="000D5248"/>
    <w:rsid w:val="000D5B08"/>
    <w:rsid w:val="000D5C91"/>
    <w:rsid w:val="000D5C96"/>
    <w:rsid w:val="000D5CC0"/>
    <w:rsid w:val="000D6DCB"/>
    <w:rsid w:val="000E2013"/>
    <w:rsid w:val="000E41A9"/>
    <w:rsid w:val="000E48E7"/>
    <w:rsid w:val="000E5A4F"/>
    <w:rsid w:val="000E6945"/>
    <w:rsid w:val="000E6BDE"/>
    <w:rsid w:val="000E7F64"/>
    <w:rsid w:val="000F1EFE"/>
    <w:rsid w:val="000F214D"/>
    <w:rsid w:val="000F2D38"/>
    <w:rsid w:val="000F366D"/>
    <w:rsid w:val="000F483B"/>
    <w:rsid w:val="000F6621"/>
    <w:rsid w:val="000F675E"/>
    <w:rsid w:val="000F760A"/>
    <w:rsid w:val="000F773F"/>
    <w:rsid w:val="00100767"/>
    <w:rsid w:val="00100A1D"/>
    <w:rsid w:val="001012FE"/>
    <w:rsid w:val="00101FC0"/>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3DF7"/>
    <w:rsid w:val="00114C6B"/>
    <w:rsid w:val="0011537F"/>
    <w:rsid w:val="0011644C"/>
    <w:rsid w:val="0011671E"/>
    <w:rsid w:val="001174EC"/>
    <w:rsid w:val="00117A22"/>
    <w:rsid w:val="00117C43"/>
    <w:rsid w:val="00117E42"/>
    <w:rsid w:val="0012006D"/>
    <w:rsid w:val="00121EBE"/>
    <w:rsid w:val="00122C7C"/>
    <w:rsid w:val="00122D83"/>
    <w:rsid w:val="00123BAB"/>
    <w:rsid w:val="00123DF6"/>
    <w:rsid w:val="001248A0"/>
    <w:rsid w:val="0012592B"/>
    <w:rsid w:val="0012670D"/>
    <w:rsid w:val="001267F8"/>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6EA"/>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65C9"/>
    <w:rsid w:val="00157464"/>
    <w:rsid w:val="0015798B"/>
    <w:rsid w:val="00157C5A"/>
    <w:rsid w:val="00162712"/>
    <w:rsid w:val="001628ED"/>
    <w:rsid w:val="001632E2"/>
    <w:rsid w:val="0016332D"/>
    <w:rsid w:val="00163D29"/>
    <w:rsid w:val="00164833"/>
    <w:rsid w:val="001648EE"/>
    <w:rsid w:val="00164B65"/>
    <w:rsid w:val="0016539F"/>
    <w:rsid w:val="00165C02"/>
    <w:rsid w:val="00166794"/>
    <w:rsid w:val="001669E6"/>
    <w:rsid w:val="00166E88"/>
    <w:rsid w:val="00167CCF"/>
    <w:rsid w:val="00170323"/>
    <w:rsid w:val="0017042B"/>
    <w:rsid w:val="0017146D"/>
    <w:rsid w:val="00171A32"/>
    <w:rsid w:val="00171A4E"/>
    <w:rsid w:val="001721C4"/>
    <w:rsid w:val="00172689"/>
    <w:rsid w:val="00172B01"/>
    <w:rsid w:val="00173B92"/>
    <w:rsid w:val="00174F63"/>
    <w:rsid w:val="00175585"/>
    <w:rsid w:val="00176DE7"/>
    <w:rsid w:val="001775DF"/>
    <w:rsid w:val="00181DC0"/>
    <w:rsid w:val="001850D6"/>
    <w:rsid w:val="00186391"/>
    <w:rsid w:val="00186971"/>
    <w:rsid w:val="0018788D"/>
    <w:rsid w:val="001878A8"/>
    <w:rsid w:val="00190090"/>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002"/>
    <w:rsid w:val="001A230D"/>
    <w:rsid w:val="001A339A"/>
    <w:rsid w:val="001A3C17"/>
    <w:rsid w:val="001A4753"/>
    <w:rsid w:val="001A4764"/>
    <w:rsid w:val="001A513D"/>
    <w:rsid w:val="001A5277"/>
    <w:rsid w:val="001A6360"/>
    <w:rsid w:val="001B008D"/>
    <w:rsid w:val="001B0EFF"/>
    <w:rsid w:val="001B26AA"/>
    <w:rsid w:val="001B53A0"/>
    <w:rsid w:val="001B57F2"/>
    <w:rsid w:val="001B5F70"/>
    <w:rsid w:val="001B6C18"/>
    <w:rsid w:val="001C04DF"/>
    <w:rsid w:val="001C0C2E"/>
    <w:rsid w:val="001C13B1"/>
    <w:rsid w:val="001C16B6"/>
    <w:rsid w:val="001C1C2A"/>
    <w:rsid w:val="001C1FFF"/>
    <w:rsid w:val="001C4087"/>
    <w:rsid w:val="001C53A0"/>
    <w:rsid w:val="001C572C"/>
    <w:rsid w:val="001C5D12"/>
    <w:rsid w:val="001C67B0"/>
    <w:rsid w:val="001C6FD7"/>
    <w:rsid w:val="001C79FA"/>
    <w:rsid w:val="001D2662"/>
    <w:rsid w:val="001D3EEA"/>
    <w:rsid w:val="001D64F6"/>
    <w:rsid w:val="001E0EE9"/>
    <w:rsid w:val="001E18B8"/>
    <w:rsid w:val="001E2813"/>
    <w:rsid w:val="001E2987"/>
    <w:rsid w:val="001E4951"/>
    <w:rsid w:val="001E69E2"/>
    <w:rsid w:val="001E6C2C"/>
    <w:rsid w:val="001E7B9E"/>
    <w:rsid w:val="001E7EE1"/>
    <w:rsid w:val="001F0B43"/>
    <w:rsid w:val="001F206F"/>
    <w:rsid w:val="001F2F13"/>
    <w:rsid w:val="001F3293"/>
    <w:rsid w:val="001F33D2"/>
    <w:rsid w:val="001F3453"/>
    <w:rsid w:val="001F39CE"/>
    <w:rsid w:val="001F3B5D"/>
    <w:rsid w:val="001F4083"/>
    <w:rsid w:val="001F4366"/>
    <w:rsid w:val="001F4EA5"/>
    <w:rsid w:val="001F5635"/>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649"/>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09"/>
    <w:rsid w:val="00217BF5"/>
    <w:rsid w:val="002210A4"/>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108"/>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504D6"/>
    <w:rsid w:val="00250DF8"/>
    <w:rsid w:val="002519B8"/>
    <w:rsid w:val="00252174"/>
    <w:rsid w:val="00252BD0"/>
    <w:rsid w:val="00252C2F"/>
    <w:rsid w:val="00252C4D"/>
    <w:rsid w:val="002545B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1389"/>
    <w:rsid w:val="002823A0"/>
    <w:rsid w:val="0028429B"/>
    <w:rsid w:val="00286BCA"/>
    <w:rsid w:val="0028727E"/>
    <w:rsid w:val="0029059C"/>
    <w:rsid w:val="00292CBE"/>
    <w:rsid w:val="00293DE8"/>
    <w:rsid w:val="00295595"/>
    <w:rsid w:val="00295CAC"/>
    <w:rsid w:val="002A00A2"/>
    <w:rsid w:val="002A0C6D"/>
    <w:rsid w:val="002A13C4"/>
    <w:rsid w:val="002A2FBF"/>
    <w:rsid w:val="002A48BE"/>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5424"/>
    <w:rsid w:val="002D59A8"/>
    <w:rsid w:val="002D6F04"/>
    <w:rsid w:val="002D7363"/>
    <w:rsid w:val="002D77C8"/>
    <w:rsid w:val="002E21E5"/>
    <w:rsid w:val="002E22A4"/>
    <w:rsid w:val="002E2E98"/>
    <w:rsid w:val="002E3C8D"/>
    <w:rsid w:val="002E41F0"/>
    <w:rsid w:val="002E4871"/>
    <w:rsid w:val="002E4A02"/>
    <w:rsid w:val="002E5B3F"/>
    <w:rsid w:val="002E6A53"/>
    <w:rsid w:val="002E6E73"/>
    <w:rsid w:val="002E74CE"/>
    <w:rsid w:val="002E7D78"/>
    <w:rsid w:val="002F0536"/>
    <w:rsid w:val="002F14DE"/>
    <w:rsid w:val="002F3672"/>
    <w:rsid w:val="002F3693"/>
    <w:rsid w:val="002F397F"/>
    <w:rsid w:val="002F5BD8"/>
    <w:rsid w:val="002F5F94"/>
    <w:rsid w:val="002F6123"/>
    <w:rsid w:val="002F62A4"/>
    <w:rsid w:val="002F6F9C"/>
    <w:rsid w:val="002F768F"/>
    <w:rsid w:val="002F7950"/>
    <w:rsid w:val="002F7E3E"/>
    <w:rsid w:val="002F7FC3"/>
    <w:rsid w:val="00300E89"/>
    <w:rsid w:val="00300FA7"/>
    <w:rsid w:val="0030150B"/>
    <w:rsid w:val="0030255D"/>
    <w:rsid w:val="00302998"/>
    <w:rsid w:val="0030302B"/>
    <w:rsid w:val="00303717"/>
    <w:rsid w:val="00305279"/>
    <w:rsid w:val="00305A88"/>
    <w:rsid w:val="003071F9"/>
    <w:rsid w:val="00307227"/>
    <w:rsid w:val="00307E34"/>
    <w:rsid w:val="003102A6"/>
    <w:rsid w:val="0031044F"/>
    <w:rsid w:val="0031056C"/>
    <w:rsid w:val="003105D0"/>
    <w:rsid w:val="00310962"/>
    <w:rsid w:val="003116A6"/>
    <w:rsid w:val="003118CB"/>
    <w:rsid w:val="003122CE"/>
    <w:rsid w:val="0031421F"/>
    <w:rsid w:val="00314295"/>
    <w:rsid w:val="00314AE4"/>
    <w:rsid w:val="00315002"/>
    <w:rsid w:val="00316FED"/>
    <w:rsid w:val="00317266"/>
    <w:rsid w:val="00317391"/>
    <w:rsid w:val="00317CE0"/>
    <w:rsid w:val="003200B6"/>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1F1"/>
    <w:rsid w:val="003713DA"/>
    <w:rsid w:val="003718D7"/>
    <w:rsid w:val="003721B2"/>
    <w:rsid w:val="0037271B"/>
    <w:rsid w:val="0037475B"/>
    <w:rsid w:val="00375C69"/>
    <w:rsid w:val="00375EF7"/>
    <w:rsid w:val="003773A4"/>
    <w:rsid w:val="00377556"/>
    <w:rsid w:val="00380950"/>
    <w:rsid w:val="003819B3"/>
    <w:rsid w:val="00381A79"/>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8D9"/>
    <w:rsid w:val="00395C0B"/>
    <w:rsid w:val="00395C5C"/>
    <w:rsid w:val="00395D7D"/>
    <w:rsid w:val="00396732"/>
    <w:rsid w:val="00396885"/>
    <w:rsid w:val="003A00C8"/>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B7B09"/>
    <w:rsid w:val="003B7B65"/>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BC4"/>
    <w:rsid w:val="003E1C5B"/>
    <w:rsid w:val="003E1DF9"/>
    <w:rsid w:val="003E2043"/>
    <w:rsid w:val="003E2871"/>
    <w:rsid w:val="003E3BCD"/>
    <w:rsid w:val="003E3DB3"/>
    <w:rsid w:val="003E466F"/>
    <w:rsid w:val="003E4742"/>
    <w:rsid w:val="003E562F"/>
    <w:rsid w:val="003E64F3"/>
    <w:rsid w:val="003E6C90"/>
    <w:rsid w:val="003E720E"/>
    <w:rsid w:val="003F1143"/>
    <w:rsid w:val="003F11BF"/>
    <w:rsid w:val="003F15DB"/>
    <w:rsid w:val="003F2702"/>
    <w:rsid w:val="003F3245"/>
    <w:rsid w:val="003F380A"/>
    <w:rsid w:val="003F3908"/>
    <w:rsid w:val="003F4B66"/>
    <w:rsid w:val="003F6762"/>
    <w:rsid w:val="003F70CA"/>
    <w:rsid w:val="00401147"/>
    <w:rsid w:val="00401963"/>
    <w:rsid w:val="00401B8A"/>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1A2B"/>
    <w:rsid w:val="00432621"/>
    <w:rsid w:val="00432B72"/>
    <w:rsid w:val="00433016"/>
    <w:rsid w:val="00433C27"/>
    <w:rsid w:val="004342F1"/>
    <w:rsid w:val="00434710"/>
    <w:rsid w:val="00434EB9"/>
    <w:rsid w:val="00435C67"/>
    <w:rsid w:val="00441015"/>
    <w:rsid w:val="00441468"/>
    <w:rsid w:val="0044162C"/>
    <w:rsid w:val="00441E3B"/>
    <w:rsid w:val="00442835"/>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4EF0"/>
    <w:rsid w:val="004554F7"/>
    <w:rsid w:val="004564AD"/>
    <w:rsid w:val="004567D6"/>
    <w:rsid w:val="00456A74"/>
    <w:rsid w:val="00456D61"/>
    <w:rsid w:val="00456F66"/>
    <w:rsid w:val="00457B29"/>
    <w:rsid w:val="00460E8A"/>
    <w:rsid w:val="004617F0"/>
    <w:rsid w:val="00461B98"/>
    <w:rsid w:val="00463308"/>
    <w:rsid w:val="00464131"/>
    <w:rsid w:val="00464ED0"/>
    <w:rsid w:val="004655C4"/>
    <w:rsid w:val="0046566E"/>
    <w:rsid w:val="004658E6"/>
    <w:rsid w:val="00466B5A"/>
    <w:rsid w:val="00466C21"/>
    <w:rsid w:val="0046701A"/>
    <w:rsid w:val="00467EB5"/>
    <w:rsid w:val="0047025A"/>
    <w:rsid w:val="0047055A"/>
    <w:rsid w:val="00471F17"/>
    <w:rsid w:val="0047344D"/>
    <w:rsid w:val="00473924"/>
    <w:rsid w:val="004739E8"/>
    <w:rsid w:val="00473D11"/>
    <w:rsid w:val="00477411"/>
    <w:rsid w:val="00477932"/>
    <w:rsid w:val="00480009"/>
    <w:rsid w:val="00480BA2"/>
    <w:rsid w:val="00481A7B"/>
    <w:rsid w:val="00481D42"/>
    <w:rsid w:val="0048344A"/>
    <w:rsid w:val="00483DB3"/>
    <w:rsid w:val="0048517E"/>
    <w:rsid w:val="00485348"/>
    <w:rsid w:val="00485C71"/>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4862"/>
    <w:rsid w:val="004A5B12"/>
    <w:rsid w:val="004A6B0A"/>
    <w:rsid w:val="004A7412"/>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24B"/>
    <w:rsid w:val="004C3779"/>
    <w:rsid w:val="004C3A91"/>
    <w:rsid w:val="004C3FBD"/>
    <w:rsid w:val="004C412C"/>
    <w:rsid w:val="004C494D"/>
    <w:rsid w:val="004C4A44"/>
    <w:rsid w:val="004C51CE"/>
    <w:rsid w:val="004C6780"/>
    <w:rsid w:val="004C6EFC"/>
    <w:rsid w:val="004C7579"/>
    <w:rsid w:val="004C75EE"/>
    <w:rsid w:val="004C78C3"/>
    <w:rsid w:val="004D00B3"/>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3E76"/>
    <w:rsid w:val="004E3E79"/>
    <w:rsid w:val="004E49CF"/>
    <w:rsid w:val="004E51D7"/>
    <w:rsid w:val="004E5482"/>
    <w:rsid w:val="004E5B33"/>
    <w:rsid w:val="004E6834"/>
    <w:rsid w:val="004E78AF"/>
    <w:rsid w:val="004E7AF3"/>
    <w:rsid w:val="004F19A6"/>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0AC"/>
    <w:rsid w:val="00504811"/>
    <w:rsid w:val="00504B5E"/>
    <w:rsid w:val="00505B93"/>
    <w:rsid w:val="00505CFF"/>
    <w:rsid w:val="0051069C"/>
    <w:rsid w:val="005114D1"/>
    <w:rsid w:val="00511BD2"/>
    <w:rsid w:val="00511DF4"/>
    <w:rsid w:val="00512F22"/>
    <w:rsid w:val="00513165"/>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75"/>
    <w:rsid w:val="005273EF"/>
    <w:rsid w:val="00530E3B"/>
    <w:rsid w:val="00531016"/>
    <w:rsid w:val="005311FA"/>
    <w:rsid w:val="00532551"/>
    <w:rsid w:val="0053513D"/>
    <w:rsid w:val="00540029"/>
    <w:rsid w:val="00540F3C"/>
    <w:rsid w:val="005419B4"/>
    <w:rsid w:val="00542B3A"/>
    <w:rsid w:val="00544EC9"/>
    <w:rsid w:val="00545E6A"/>
    <w:rsid w:val="005508E5"/>
    <w:rsid w:val="00550F81"/>
    <w:rsid w:val="00551714"/>
    <w:rsid w:val="00551D75"/>
    <w:rsid w:val="005520BF"/>
    <w:rsid w:val="005527B6"/>
    <w:rsid w:val="00554431"/>
    <w:rsid w:val="00555C32"/>
    <w:rsid w:val="00556814"/>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1235"/>
    <w:rsid w:val="005720DF"/>
    <w:rsid w:val="00572195"/>
    <w:rsid w:val="00572B55"/>
    <w:rsid w:val="00573665"/>
    <w:rsid w:val="0057438B"/>
    <w:rsid w:val="00574B70"/>
    <w:rsid w:val="00575BB2"/>
    <w:rsid w:val="00577327"/>
    <w:rsid w:val="005774AF"/>
    <w:rsid w:val="00577B42"/>
    <w:rsid w:val="00580FC0"/>
    <w:rsid w:val="00581C0F"/>
    <w:rsid w:val="00581D99"/>
    <w:rsid w:val="00582919"/>
    <w:rsid w:val="005833AC"/>
    <w:rsid w:val="005840D6"/>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711"/>
    <w:rsid w:val="005B4F63"/>
    <w:rsid w:val="005B5C5D"/>
    <w:rsid w:val="005B7C5D"/>
    <w:rsid w:val="005C0175"/>
    <w:rsid w:val="005C02E9"/>
    <w:rsid w:val="005C1A74"/>
    <w:rsid w:val="005C1BFB"/>
    <w:rsid w:val="005C1D14"/>
    <w:rsid w:val="005C22B5"/>
    <w:rsid w:val="005C2C8B"/>
    <w:rsid w:val="005C3294"/>
    <w:rsid w:val="005C4072"/>
    <w:rsid w:val="005C4817"/>
    <w:rsid w:val="005C4EBC"/>
    <w:rsid w:val="005C4EEC"/>
    <w:rsid w:val="005C540C"/>
    <w:rsid w:val="005C54EF"/>
    <w:rsid w:val="005C637A"/>
    <w:rsid w:val="005C6CE3"/>
    <w:rsid w:val="005C6F55"/>
    <w:rsid w:val="005C74E1"/>
    <w:rsid w:val="005C7B7B"/>
    <w:rsid w:val="005C7CFF"/>
    <w:rsid w:val="005C7FE0"/>
    <w:rsid w:val="005D0083"/>
    <w:rsid w:val="005D00C9"/>
    <w:rsid w:val="005D0487"/>
    <w:rsid w:val="005D06E1"/>
    <w:rsid w:val="005D08AC"/>
    <w:rsid w:val="005D115F"/>
    <w:rsid w:val="005D2757"/>
    <w:rsid w:val="005D27DD"/>
    <w:rsid w:val="005D3493"/>
    <w:rsid w:val="005D3845"/>
    <w:rsid w:val="005D3D76"/>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4710"/>
    <w:rsid w:val="005E4B46"/>
    <w:rsid w:val="005E6F79"/>
    <w:rsid w:val="005E7DF7"/>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5C3"/>
    <w:rsid w:val="006037DA"/>
    <w:rsid w:val="00604626"/>
    <w:rsid w:val="00604AC3"/>
    <w:rsid w:val="00605D3E"/>
    <w:rsid w:val="0060655B"/>
    <w:rsid w:val="00606DC7"/>
    <w:rsid w:val="00606FE5"/>
    <w:rsid w:val="006071D8"/>
    <w:rsid w:val="0060753C"/>
    <w:rsid w:val="00611107"/>
    <w:rsid w:val="006116DE"/>
    <w:rsid w:val="00611921"/>
    <w:rsid w:val="00611CB3"/>
    <w:rsid w:val="00611D6E"/>
    <w:rsid w:val="00611FB6"/>
    <w:rsid w:val="006127AB"/>
    <w:rsid w:val="0061287F"/>
    <w:rsid w:val="00612ADE"/>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C1"/>
    <w:rsid w:val="00651B1B"/>
    <w:rsid w:val="0065212B"/>
    <w:rsid w:val="00654AB8"/>
    <w:rsid w:val="00656B81"/>
    <w:rsid w:val="00656FD8"/>
    <w:rsid w:val="00657974"/>
    <w:rsid w:val="0066068C"/>
    <w:rsid w:val="00660ADD"/>
    <w:rsid w:val="00661C3C"/>
    <w:rsid w:val="006624DB"/>
    <w:rsid w:val="00662A48"/>
    <w:rsid w:val="00662C69"/>
    <w:rsid w:val="006635D8"/>
    <w:rsid w:val="006638FD"/>
    <w:rsid w:val="00664A70"/>
    <w:rsid w:val="00664F7B"/>
    <w:rsid w:val="006657E8"/>
    <w:rsid w:val="00667011"/>
    <w:rsid w:val="00670087"/>
    <w:rsid w:val="006711DB"/>
    <w:rsid w:val="0067245D"/>
    <w:rsid w:val="006751CA"/>
    <w:rsid w:val="00675AC5"/>
    <w:rsid w:val="00675D22"/>
    <w:rsid w:val="006770E9"/>
    <w:rsid w:val="00677556"/>
    <w:rsid w:val="00677899"/>
    <w:rsid w:val="006803E4"/>
    <w:rsid w:val="0068178C"/>
    <w:rsid w:val="00682B40"/>
    <w:rsid w:val="00684F0B"/>
    <w:rsid w:val="00685D21"/>
    <w:rsid w:val="00686CD7"/>
    <w:rsid w:val="006870BD"/>
    <w:rsid w:val="00692B64"/>
    <w:rsid w:val="0069302E"/>
    <w:rsid w:val="00693427"/>
    <w:rsid w:val="00693495"/>
    <w:rsid w:val="00693EF3"/>
    <w:rsid w:val="00694432"/>
    <w:rsid w:val="00694CAC"/>
    <w:rsid w:val="006950EE"/>
    <w:rsid w:val="0069518A"/>
    <w:rsid w:val="00696990"/>
    <w:rsid w:val="006969CA"/>
    <w:rsid w:val="00696EF8"/>
    <w:rsid w:val="006A1716"/>
    <w:rsid w:val="006A1EE9"/>
    <w:rsid w:val="006A1FD4"/>
    <w:rsid w:val="006A2B11"/>
    <w:rsid w:val="006A3A04"/>
    <w:rsid w:val="006A3FD1"/>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917"/>
    <w:rsid w:val="006B5BB9"/>
    <w:rsid w:val="006B6E7D"/>
    <w:rsid w:val="006B76FD"/>
    <w:rsid w:val="006C078E"/>
    <w:rsid w:val="006C2A0E"/>
    <w:rsid w:val="006C341B"/>
    <w:rsid w:val="006C34A4"/>
    <w:rsid w:val="006C3B64"/>
    <w:rsid w:val="006C49B4"/>
    <w:rsid w:val="006C50C2"/>
    <w:rsid w:val="006C563A"/>
    <w:rsid w:val="006C6868"/>
    <w:rsid w:val="006C7573"/>
    <w:rsid w:val="006C7A33"/>
    <w:rsid w:val="006C7BFE"/>
    <w:rsid w:val="006D0309"/>
    <w:rsid w:val="006D0D97"/>
    <w:rsid w:val="006D158E"/>
    <w:rsid w:val="006D223D"/>
    <w:rsid w:val="006D27EF"/>
    <w:rsid w:val="006D453F"/>
    <w:rsid w:val="006D45A3"/>
    <w:rsid w:val="006D473F"/>
    <w:rsid w:val="006D4B87"/>
    <w:rsid w:val="006D52D1"/>
    <w:rsid w:val="006E0D75"/>
    <w:rsid w:val="006E1056"/>
    <w:rsid w:val="006E21D4"/>
    <w:rsid w:val="006E27CA"/>
    <w:rsid w:val="006E4010"/>
    <w:rsid w:val="006E47E7"/>
    <w:rsid w:val="006E54D3"/>
    <w:rsid w:val="006E694E"/>
    <w:rsid w:val="006E7935"/>
    <w:rsid w:val="006F07F8"/>
    <w:rsid w:val="006F1CC5"/>
    <w:rsid w:val="006F24D3"/>
    <w:rsid w:val="006F27F3"/>
    <w:rsid w:val="006F2894"/>
    <w:rsid w:val="006F2AE2"/>
    <w:rsid w:val="006F2C12"/>
    <w:rsid w:val="006F2F92"/>
    <w:rsid w:val="006F5F8A"/>
    <w:rsid w:val="006F639B"/>
    <w:rsid w:val="006F648B"/>
    <w:rsid w:val="006F673D"/>
    <w:rsid w:val="006F6E1A"/>
    <w:rsid w:val="006F6FE0"/>
    <w:rsid w:val="006F7AF2"/>
    <w:rsid w:val="006F7C33"/>
    <w:rsid w:val="00700173"/>
    <w:rsid w:val="00701F2C"/>
    <w:rsid w:val="007025D1"/>
    <w:rsid w:val="00702F7F"/>
    <w:rsid w:val="00703783"/>
    <w:rsid w:val="00703B76"/>
    <w:rsid w:val="0070401B"/>
    <w:rsid w:val="0070525F"/>
    <w:rsid w:val="00705544"/>
    <w:rsid w:val="00706175"/>
    <w:rsid w:val="00707096"/>
    <w:rsid w:val="007073D4"/>
    <w:rsid w:val="007076FF"/>
    <w:rsid w:val="00707731"/>
    <w:rsid w:val="00707B6F"/>
    <w:rsid w:val="0071011B"/>
    <w:rsid w:val="007114F2"/>
    <w:rsid w:val="0071151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30D"/>
    <w:rsid w:val="007617AE"/>
    <w:rsid w:val="007617F3"/>
    <w:rsid w:val="00761A6A"/>
    <w:rsid w:val="00761FF2"/>
    <w:rsid w:val="00762E88"/>
    <w:rsid w:val="00765686"/>
    <w:rsid w:val="00765D83"/>
    <w:rsid w:val="00766A89"/>
    <w:rsid w:val="007671BB"/>
    <w:rsid w:val="007674CB"/>
    <w:rsid w:val="00767703"/>
    <w:rsid w:val="00770454"/>
    <w:rsid w:val="00770A64"/>
    <w:rsid w:val="00770B33"/>
    <w:rsid w:val="00771243"/>
    <w:rsid w:val="00771337"/>
    <w:rsid w:val="00771FED"/>
    <w:rsid w:val="00772095"/>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2D1"/>
    <w:rsid w:val="00787364"/>
    <w:rsid w:val="00790520"/>
    <w:rsid w:val="007906DD"/>
    <w:rsid w:val="00790804"/>
    <w:rsid w:val="007908A0"/>
    <w:rsid w:val="007910EB"/>
    <w:rsid w:val="007914E4"/>
    <w:rsid w:val="007918F9"/>
    <w:rsid w:val="0079378F"/>
    <w:rsid w:val="007940E8"/>
    <w:rsid w:val="00795745"/>
    <w:rsid w:val="00797148"/>
    <w:rsid w:val="007A1118"/>
    <w:rsid w:val="007A1303"/>
    <w:rsid w:val="007A1FD6"/>
    <w:rsid w:val="007A2C34"/>
    <w:rsid w:val="007A4CEA"/>
    <w:rsid w:val="007A52D0"/>
    <w:rsid w:val="007A6016"/>
    <w:rsid w:val="007A6979"/>
    <w:rsid w:val="007A77F5"/>
    <w:rsid w:val="007A7B06"/>
    <w:rsid w:val="007B0020"/>
    <w:rsid w:val="007B0864"/>
    <w:rsid w:val="007B173E"/>
    <w:rsid w:val="007B215C"/>
    <w:rsid w:val="007B2228"/>
    <w:rsid w:val="007B30F3"/>
    <w:rsid w:val="007B3846"/>
    <w:rsid w:val="007B3C8F"/>
    <w:rsid w:val="007B49BE"/>
    <w:rsid w:val="007C0013"/>
    <w:rsid w:val="007C23C4"/>
    <w:rsid w:val="007C37D2"/>
    <w:rsid w:val="007C393A"/>
    <w:rsid w:val="007C3B22"/>
    <w:rsid w:val="007C6C5A"/>
    <w:rsid w:val="007D2A1A"/>
    <w:rsid w:val="007D2E5F"/>
    <w:rsid w:val="007D4253"/>
    <w:rsid w:val="007D4DF3"/>
    <w:rsid w:val="007D572F"/>
    <w:rsid w:val="007D5DDE"/>
    <w:rsid w:val="007D6E86"/>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1D52"/>
    <w:rsid w:val="00804680"/>
    <w:rsid w:val="008053A5"/>
    <w:rsid w:val="00806236"/>
    <w:rsid w:val="0080776C"/>
    <w:rsid w:val="00807C99"/>
    <w:rsid w:val="00807ED7"/>
    <w:rsid w:val="00807FF3"/>
    <w:rsid w:val="0081045B"/>
    <w:rsid w:val="00810C87"/>
    <w:rsid w:val="0081173D"/>
    <w:rsid w:val="0081184B"/>
    <w:rsid w:val="00814548"/>
    <w:rsid w:val="008157CA"/>
    <w:rsid w:val="008158AD"/>
    <w:rsid w:val="00815CCC"/>
    <w:rsid w:val="008164E8"/>
    <w:rsid w:val="008167F5"/>
    <w:rsid w:val="00816819"/>
    <w:rsid w:val="008200A3"/>
    <w:rsid w:val="0082054B"/>
    <w:rsid w:val="0082247A"/>
    <w:rsid w:val="00822C7A"/>
    <w:rsid w:val="00822F85"/>
    <w:rsid w:val="008231BF"/>
    <w:rsid w:val="008231DD"/>
    <w:rsid w:val="008231F8"/>
    <w:rsid w:val="008251B8"/>
    <w:rsid w:val="00825EAD"/>
    <w:rsid w:val="00826130"/>
    <w:rsid w:val="0082653B"/>
    <w:rsid w:val="0082700E"/>
    <w:rsid w:val="00827015"/>
    <w:rsid w:val="00827970"/>
    <w:rsid w:val="00830431"/>
    <w:rsid w:val="0083049F"/>
    <w:rsid w:val="00830EF8"/>
    <w:rsid w:val="008314DC"/>
    <w:rsid w:val="0083273C"/>
    <w:rsid w:val="0083332B"/>
    <w:rsid w:val="008334FD"/>
    <w:rsid w:val="008346D3"/>
    <w:rsid w:val="00837056"/>
    <w:rsid w:val="00837EFE"/>
    <w:rsid w:val="008403BB"/>
    <w:rsid w:val="00840559"/>
    <w:rsid w:val="00840DFB"/>
    <w:rsid w:val="008422B8"/>
    <w:rsid w:val="008424CA"/>
    <w:rsid w:val="00843238"/>
    <w:rsid w:val="00843FEB"/>
    <w:rsid w:val="008440CB"/>
    <w:rsid w:val="008440D7"/>
    <w:rsid w:val="008442D9"/>
    <w:rsid w:val="008455F9"/>
    <w:rsid w:val="00846689"/>
    <w:rsid w:val="008467A4"/>
    <w:rsid w:val="00846EF6"/>
    <w:rsid w:val="008473FA"/>
    <w:rsid w:val="008478DB"/>
    <w:rsid w:val="00847AE4"/>
    <w:rsid w:val="00847B6D"/>
    <w:rsid w:val="008505AC"/>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6DE8"/>
    <w:rsid w:val="00866F1B"/>
    <w:rsid w:val="00867D0D"/>
    <w:rsid w:val="00867EF1"/>
    <w:rsid w:val="00870B20"/>
    <w:rsid w:val="00870C2F"/>
    <w:rsid w:val="00870D08"/>
    <w:rsid w:val="0087111F"/>
    <w:rsid w:val="00872A7B"/>
    <w:rsid w:val="0087356C"/>
    <w:rsid w:val="008737E9"/>
    <w:rsid w:val="00875167"/>
    <w:rsid w:val="00877472"/>
    <w:rsid w:val="00880095"/>
    <w:rsid w:val="00880236"/>
    <w:rsid w:val="00880BA5"/>
    <w:rsid w:val="00881753"/>
    <w:rsid w:val="008826F4"/>
    <w:rsid w:val="008827C1"/>
    <w:rsid w:val="00882DE1"/>
    <w:rsid w:val="00883450"/>
    <w:rsid w:val="008835C6"/>
    <w:rsid w:val="00883659"/>
    <w:rsid w:val="00884511"/>
    <w:rsid w:val="00891563"/>
    <w:rsid w:val="00892281"/>
    <w:rsid w:val="00892282"/>
    <w:rsid w:val="00892449"/>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70"/>
    <w:rsid w:val="008A79BE"/>
    <w:rsid w:val="008B012D"/>
    <w:rsid w:val="008B2F14"/>
    <w:rsid w:val="008B3B06"/>
    <w:rsid w:val="008B533D"/>
    <w:rsid w:val="008B6281"/>
    <w:rsid w:val="008B649A"/>
    <w:rsid w:val="008B6DE0"/>
    <w:rsid w:val="008C2B3C"/>
    <w:rsid w:val="008C41A7"/>
    <w:rsid w:val="008C46F3"/>
    <w:rsid w:val="008C48EB"/>
    <w:rsid w:val="008C52BE"/>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5D01"/>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7EC"/>
    <w:rsid w:val="00933835"/>
    <w:rsid w:val="00934F4D"/>
    <w:rsid w:val="00935B80"/>
    <w:rsid w:val="00935DA0"/>
    <w:rsid w:val="00936FCD"/>
    <w:rsid w:val="0093734D"/>
    <w:rsid w:val="00937767"/>
    <w:rsid w:val="00940F1B"/>
    <w:rsid w:val="00941637"/>
    <w:rsid w:val="009416A5"/>
    <w:rsid w:val="00941B55"/>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646"/>
    <w:rsid w:val="00953CDB"/>
    <w:rsid w:val="00953D92"/>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7E4"/>
    <w:rsid w:val="0097394F"/>
    <w:rsid w:val="00975AA1"/>
    <w:rsid w:val="00976FF9"/>
    <w:rsid w:val="0098098A"/>
    <w:rsid w:val="00981A0B"/>
    <w:rsid w:val="00981AAC"/>
    <w:rsid w:val="009824EC"/>
    <w:rsid w:val="00983972"/>
    <w:rsid w:val="00985DA6"/>
    <w:rsid w:val="00985FD8"/>
    <w:rsid w:val="00986102"/>
    <w:rsid w:val="00991076"/>
    <w:rsid w:val="009924D5"/>
    <w:rsid w:val="0099409F"/>
    <w:rsid w:val="0099482D"/>
    <w:rsid w:val="00994E5A"/>
    <w:rsid w:val="00995311"/>
    <w:rsid w:val="0099752D"/>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3E7"/>
    <w:rsid w:val="009B4864"/>
    <w:rsid w:val="009B5179"/>
    <w:rsid w:val="009B63CB"/>
    <w:rsid w:val="009B63E9"/>
    <w:rsid w:val="009B6BB6"/>
    <w:rsid w:val="009B6F16"/>
    <w:rsid w:val="009B6F43"/>
    <w:rsid w:val="009B7490"/>
    <w:rsid w:val="009B7E7A"/>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E4C"/>
    <w:rsid w:val="009F1F30"/>
    <w:rsid w:val="009F263F"/>
    <w:rsid w:val="009F50DE"/>
    <w:rsid w:val="009F5506"/>
    <w:rsid w:val="009F65DD"/>
    <w:rsid w:val="009F6F6A"/>
    <w:rsid w:val="009F7BB0"/>
    <w:rsid w:val="00A00BCF"/>
    <w:rsid w:val="00A02044"/>
    <w:rsid w:val="00A02593"/>
    <w:rsid w:val="00A02659"/>
    <w:rsid w:val="00A03005"/>
    <w:rsid w:val="00A03173"/>
    <w:rsid w:val="00A0415E"/>
    <w:rsid w:val="00A050C0"/>
    <w:rsid w:val="00A0510D"/>
    <w:rsid w:val="00A05DE8"/>
    <w:rsid w:val="00A05E8C"/>
    <w:rsid w:val="00A07D84"/>
    <w:rsid w:val="00A1023E"/>
    <w:rsid w:val="00A11773"/>
    <w:rsid w:val="00A13811"/>
    <w:rsid w:val="00A13BFD"/>
    <w:rsid w:val="00A14CAD"/>
    <w:rsid w:val="00A14F46"/>
    <w:rsid w:val="00A1734A"/>
    <w:rsid w:val="00A1758C"/>
    <w:rsid w:val="00A17BE8"/>
    <w:rsid w:val="00A218E5"/>
    <w:rsid w:val="00A219DA"/>
    <w:rsid w:val="00A22284"/>
    <w:rsid w:val="00A235D0"/>
    <w:rsid w:val="00A237F8"/>
    <w:rsid w:val="00A238F6"/>
    <w:rsid w:val="00A23AB7"/>
    <w:rsid w:val="00A23B93"/>
    <w:rsid w:val="00A2445C"/>
    <w:rsid w:val="00A24E9E"/>
    <w:rsid w:val="00A2547F"/>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5E16"/>
    <w:rsid w:val="00A3606F"/>
    <w:rsid w:val="00A3629E"/>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61E"/>
    <w:rsid w:val="00A64EB9"/>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4AF"/>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0D6B"/>
    <w:rsid w:val="00A91D16"/>
    <w:rsid w:val="00A92889"/>
    <w:rsid w:val="00A92D7D"/>
    <w:rsid w:val="00A941F5"/>
    <w:rsid w:val="00A94982"/>
    <w:rsid w:val="00A94D69"/>
    <w:rsid w:val="00A9576E"/>
    <w:rsid w:val="00A97BDA"/>
    <w:rsid w:val="00A97EE2"/>
    <w:rsid w:val="00AA0660"/>
    <w:rsid w:val="00AA0C1B"/>
    <w:rsid w:val="00AA0C32"/>
    <w:rsid w:val="00AA13C2"/>
    <w:rsid w:val="00AA218B"/>
    <w:rsid w:val="00AA223A"/>
    <w:rsid w:val="00AA22A7"/>
    <w:rsid w:val="00AA23F6"/>
    <w:rsid w:val="00AA2A0A"/>
    <w:rsid w:val="00AA359E"/>
    <w:rsid w:val="00AA384F"/>
    <w:rsid w:val="00AA41CF"/>
    <w:rsid w:val="00AA590E"/>
    <w:rsid w:val="00AA60EE"/>
    <w:rsid w:val="00AA6228"/>
    <w:rsid w:val="00AA69A4"/>
    <w:rsid w:val="00AA736D"/>
    <w:rsid w:val="00AB1761"/>
    <w:rsid w:val="00AB258C"/>
    <w:rsid w:val="00AB274F"/>
    <w:rsid w:val="00AB4F6A"/>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C7A6E"/>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328"/>
    <w:rsid w:val="00AE28FE"/>
    <w:rsid w:val="00AE2DB3"/>
    <w:rsid w:val="00AE32E5"/>
    <w:rsid w:val="00AF1048"/>
    <w:rsid w:val="00AF1979"/>
    <w:rsid w:val="00AF1F04"/>
    <w:rsid w:val="00AF1FE0"/>
    <w:rsid w:val="00AF21E7"/>
    <w:rsid w:val="00AF2E4E"/>
    <w:rsid w:val="00AF317E"/>
    <w:rsid w:val="00AF3778"/>
    <w:rsid w:val="00AF51AD"/>
    <w:rsid w:val="00AF5838"/>
    <w:rsid w:val="00AF5900"/>
    <w:rsid w:val="00AF62E8"/>
    <w:rsid w:val="00AF6A1C"/>
    <w:rsid w:val="00AF6D87"/>
    <w:rsid w:val="00AF71BA"/>
    <w:rsid w:val="00AF7720"/>
    <w:rsid w:val="00AF77BD"/>
    <w:rsid w:val="00AF78EA"/>
    <w:rsid w:val="00B00E7A"/>
    <w:rsid w:val="00B016F7"/>
    <w:rsid w:val="00B01A94"/>
    <w:rsid w:val="00B02514"/>
    <w:rsid w:val="00B030C5"/>
    <w:rsid w:val="00B0382A"/>
    <w:rsid w:val="00B03B3A"/>
    <w:rsid w:val="00B055B9"/>
    <w:rsid w:val="00B10987"/>
    <w:rsid w:val="00B10BAD"/>
    <w:rsid w:val="00B119B6"/>
    <w:rsid w:val="00B11A97"/>
    <w:rsid w:val="00B124B4"/>
    <w:rsid w:val="00B13D85"/>
    <w:rsid w:val="00B1481E"/>
    <w:rsid w:val="00B14CBB"/>
    <w:rsid w:val="00B14D80"/>
    <w:rsid w:val="00B14E74"/>
    <w:rsid w:val="00B15153"/>
    <w:rsid w:val="00B16108"/>
    <w:rsid w:val="00B1764D"/>
    <w:rsid w:val="00B1786A"/>
    <w:rsid w:val="00B206D8"/>
    <w:rsid w:val="00B20975"/>
    <w:rsid w:val="00B2133E"/>
    <w:rsid w:val="00B21FEA"/>
    <w:rsid w:val="00B235B5"/>
    <w:rsid w:val="00B23A7C"/>
    <w:rsid w:val="00B23CBF"/>
    <w:rsid w:val="00B242B3"/>
    <w:rsid w:val="00B2441C"/>
    <w:rsid w:val="00B25275"/>
    <w:rsid w:val="00B252A2"/>
    <w:rsid w:val="00B25407"/>
    <w:rsid w:val="00B263B2"/>
    <w:rsid w:val="00B26661"/>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49E4"/>
    <w:rsid w:val="00B54A5F"/>
    <w:rsid w:val="00B54D52"/>
    <w:rsid w:val="00B570AB"/>
    <w:rsid w:val="00B606B7"/>
    <w:rsid w:val="00B60E95"/>
    <w:rsid w:val="00B62B87"/>
    <w:rsid w:val="00B6322D"/>
    <w:rsid w:val="00B63502"/>
    <w:rsid w:val="00B63636"/>
    <w:rsid w:val="00B644C2"/>
    <w:rsid w:val="00B64D8A"/>
    <w:rsid w:val="00B64EF9"/>
    <w:rsid w:val="00B6580E"/>
    <w:rsid w:val="00B66075"/>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6E0"/>
    <w:rsid w:val="00B92825"/>
    <w:rsid w:val="00B941D0"/>
    <w:rsid w:val="00B9556A"/>
    <w:rsid w:val="00B95CD2"/>
    <w:rsid w:val="00B95D84"/>
    <w:rsid w:val="00B96464"/>
    <w:rsid w:val="00B96A20"/>
    <w:rsid w:val="00B96A5B"/>
    <w:rsid w:val="00B974B4"/>
    <w:rsid w:val="00B97C08"/>
    <w:rsid w:val="00BA0169"/>
    <w:rsid w:val="00BA069C"/>
    <w:rsid w:val="00BA0821"/>
    <w:rsid w:val="00BA0AD4"/>
    <w:rsid w:val="00BA10F4"/>
    <w:rsid w:val="00BA1666"/>
    <w:rsid w:val="00BA1BA2"/>
    <w:rsid w:val="00BA22E0"/>
    <w:rsid w:val="00BA2A89"/>
    <w:rsid w:val="00BA34F9"/>
    <w:rsid w:val="00BA3F66"/>
    <w:rsid w:val="00BA4537"/>
    <w:rsid w:val="00BA4A54"/>
    <w:rsid w:val="00BA56A8"/>
    <w:rsid w:val="00BA5DD6"/>
    <w:rsid w:val="00BA61BB"/>
    <w:rsid w:val="00BA62CB"/>
    <w:rsid w:val="00BA75C1"/>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4E4B"/>
    <w:rsid w:val="00BC5BA0"/>
    <w:rsid w:val="00BC69B7"/>
    <w:rsid w:val="00BC755B"/>
    <w:rsid w:val="00BD1B67"/>
    <w:rsid w:val="00BD30EA"/>
    <w:rsid w:val="00BD3BA2"/>
    <w:rsid w:val="00BD3FFB"/>
    <w:rsid w:val="00BD5ACF"/>
    <w:rsid w:val="00BD5FC4"/>
    <w:rsid w:val="00BE00FA"/>
    <w:rsid w:val="00BE0B1A"/>
    <w:rsid w:val="00BE0C95"/>
    <w:rsid w:val="00BE1028"/>
    <w:rsid w:val="00BE1152"/>
    <w:rsid w:val="00BE15C4"/>
    <w:rsid w:val="00BE203D"/>
    <w:rsid w:val="00BE26B9"/>
    <w:rsid w:val="00BE38BC"/>
    <w:rsid w:val="00BE430D"/>
    <w:rsid w:val="00BE5B14"/>
    <w:rsid w:val="00BE5F02"/>
    <w:rsid w:val="00BE63DC"/>
    <w:rsid w:val="00BE7363"/>
    <w:rsid w:val="00BF01CB"/>
    <w:rsid w:val="00BF02F7"/>
    <w:rsid w:val="00BF0438"/>
    <w:rsid w:val="00BF0848"/>
    <w:rsid w:val="00BF0D16"/>
    <w:rsid w:val="00BF2854"/>
    <w:rsid w:val="00BF2E2C"/>
    <w:rsid w:val="00BF310D"/>
    <w:rsid w:val="00BF36A7"/>
    <w:rsid w:val="00BF5B19"/>
    <w:rsid w:val="00BF5B55"/>
    <w:rsid w:val="00BF5CCC"/>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10372"/>
    <w:rsid w:val="00C10A29"/>
    <w:rsid w:val="00C126E3"/>
    <w:rsid w:val="00C12D36"/>
    <w:rsid w:val="00C13B9F"/>
    <w:rsid w:val="00C14291"/>
    <w:rsid w:val="00C14542"/>
    <w:rsid w:val="00C15336"/>
    <w:rsid w:val="00C1673F"/>
    <w:rsid w:val="00C16AA8"/>
    <w:rsid w:val="00C16BBA"/>
    <w:rsid w:val="00C201C1"/>
    <w:rsid w:val="00C20722"/>
    <w:rsid w:val="00C21141"/>
    <w:rsid w:val="00C2139F"/>
    <w:rsid w:val="00C2181B"/>
    <w:rsid w:val="00C22F9F"/>
    <w:rsid w:val="00C23941"/>
    <w:rsid w:val="00C23F1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1C75"/>
    <w:rsid w:val="00C43270"/>
    <w:rsid w:val="00C43B2C"/>
    <w:rsid w:val="00C440BE"/>
    <w:rsid w:val="00C44212"/>
    <w:rsid w:val="00C45BF0"/>
    <w:rsid w:val="00C45FA0"/>
    <w:rsid w:val="00C46026"/>
    <w:rsid w:val="00C46471"/>
    <w:rsid w:val="00C50D78"/>
    <w:rsid w:val="00C5279D"/>
    <w:rsid w:val="00C532B0"/>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506"/>
    <w:rsid w:val="00C66C67"/>
    <w:rsid w:val="00C67920"/>
    <w:rsid w:val="00C7024C"/>
    <w:rsid w:val="00C71E96"/>
    <w:rsid w:val="00C71FF4"/>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90BE5"/>
    <w:rsid w:val="00C90C75"/>
    <w:rsid w:val="00C90F7B"/>
    <w:rsid w:val="00C910AC"/>
    <w:rsid w:val="00C92AD2"/>
    <w:rsid w:val="00C9357D"/>
    <w:rsid w:val="00C9486B"/>
    <w:rsid w:val="00C9545D"/>
    <w:rsid w:val="00C978B2"/>
    <w:rsid w:val="00CA063C"/>
    <w:rsid w:val="00CA06D5"/>
    <w:rsid w:val="00CA18ED"/>
    <w:rsid w:val="00CA1D49"/>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2D8E"/>
    <w:rsid w:val="00CB3600"/>
    <w:rsid w:val="00CB44F3"/>
    <w:rsid w:val="00CB4A46"/>
    <w:rsid w:val="00CB4AB4"/>
    <w:rsid w:val="00CB4C1C"/>
    <w:rsid w:val="00CB55FC"/>
    <w:rsid w:val="00CB6AAB"/>
    <w:rsid w:val="00CB7A22"/>
    <w:rsid w:val="00CB7EB2"/>
    <w:rsid w:val="00CC0815"/>
    <w:rsid w:val="00CC0CC7"/>
    <w:rsid w:val="00CC0EA9"/>
    <w:rsid w:val="00CC360E"/>
    <w:rsid w:val="00CC3656"/>
    <w:rsid w:val="00CC3AED"/>
    <w:rsid w:val="00CC41A7"/>
    <w:rsid w:val="00CC5686"/>
    <w:rsid w:val="00CC5FB0"/>
    <w:rsid w:val="00CC6748"/>
    <w:rsid w:val="00CC75C5"/>
    <w:rsid w:val="00CC7863"/>
    <w:rsid w:val="00CD10E5"/>
    <w:rsid w:val="00CD1D4E"/>
    <w:rsid w:val="00CD27BB"/>
    <w:rsid w:val="00CD3360"/>
    <w:rsid w:val="00CD3580"/>
    <w:rsid w:val="00CD39B5"/>
    <w:rsid w:val="00CD4082"/>
    <w:rsid w:val="00CD5B84"/>
    <w:rsid w:val="00CD5C1E"/>
    <w:rsid w:val="00CD641E"/>
    <w:rsid w:val="00CD76D4"/>
    <w:rsid w:val="00CD7893"/>
    <w:rsid w:val="00CD79C0"/>
    <w:rsid w:val="00CD7A36"/>
    <w:rsid w:val="00CD7DDD"/>
    <w:rsid w:val="00CE270B"/>
    <w:rsid w:val="00CE3ACB"/>
    <w:rsid w:val="00CE57DE"/>
    <w:rsid w:val="00CE5FF9"/>
    <w:rsid w:val="00CE630A"/>
    <w:rsid w:val="00CE6F59"/>
    <w:rsid w:val="00CE7E6A"/>
    <w:rsid w:val="00CF0074"/>
    <w:rsid w:val="00CF116C"/>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62B8"/>
    <w:rsid w:val="00D0686D"/>
    <w:rsid w:val="00D06C36"/>
    <w:rsid w:val="00D10089"/>
    <w:rsid w:val="00D119C1"/>
    <w:rsid w:val="00D11B56"/>
    <w:rsid w:val="00D12A22"/>
    <w:rsid w:val="00D13690"/>
    <w:rsid w:val="00D13CD2"/>
    <w:rsid w:val="00D13D64"/>
    <w:rsid w:val="00D143D7"/>
    <w:rsid w:val="00D1644D"/>
    <w:rsid w:val="00D16490"/>
    <w:rsid w:val="00D16EEC"/>
    <w:rsid w:val="00D170A6"/>
    <w:rsid w:val="00D1727F"/>
    <w:rsid w:val="00D172C0"/>
    <w:rsid w:val="00D216FA"/>
    <w:rsid w:val="00D23509"/>
    <w:rsid w:val="00D24E56"/>
    <w:rsid w:val="00D250C4"/>
    <w:rsid w:val="00D25359"/>
    <w:rsid w:val="00D25FED"/>
    <w:rsid w:val="00D26979"/>
    <w:rsid w:val="00D26A4E"/>
    <w:rsid w:val="00D270E2"/>
    <w:rsid w:val="00D2734A"/>
    <w:rsid w:val="00D273F8"/>
    <w:rsid w:val="00D32A2E"/>
    <w:rsid w:val="00D33747"/>
    <w:rsid w:val="00D341E6"/>
    <w:rsid w:val="00D3451C"/>
    <w:rsid w:val="00D3541F"/>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8C3"/>
    <w:rsid w:val="00D46D9C"/>
    <w:rsid w:val="00D4793C"/>
    <w:rsid w:val="00D50842"/>
    <w:rsid w:val="00D521BF"/>
    <w:rsid w:val="00D524EB"/>
    <w:rsid w:val="00D5273B"/>
    <w:rsid w:val="00D53931"/>
    <w:rsid w:val="00D53A58"/>
    <w:rsid w:val="00D53DA0"/>
    <w:rsid w:val="00D547D2"/>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70D53"/>
    <w:rsid w:val="00D7234D"/>
    <w:rsid w:val="00D732AE"/>
    <w:rsid w:val="00D732D4"/>
    <w:rsid w:val="00D74208"/>
    <w:rsid w:val="00D74CC9"/>
    <w:rsid w:val="00D751F4"/>
    <w:rsid w:val="00D755D6"/>
    <w:rsid w:val="00D76A91"/>
    <w:rsid w:val="00D773C6"/>
    <w:rsid w:val="00D779DF"/>
    <w:rsid w:val="00D808C3"/>
    <w:rsid w:val="00D809C7"/>
    <w:rsid w:val="00D8144C"/>
    <w:rsid w:val="00D8246A"/>
    <w:rsid w:val="00D826A7"/>
    <w:rsid w:val="00D830A4"/>
    <w:rsid w:val="00D83C17"/>
    <w:rsid w:val="00D847AA"/>
    <w:rsid w:val="00D84CDE"/>
    <w:rsid w:val="00D85016"/>
    <w:rsid w:val="00D85797"/>
    <w:rsid w:val="00D85885"/>
    <w:rsid w:val="00D85C47"/>
    <w:rsid w:val="00D87652"/>
    <w:rsid w:val="00D9132D"/>
    <w:rsid w:val="00D91522"/>
    <w:rsid w:val="00D9298F"/>
    <w:rsid w:val="00D92AAF"/>
    <w:rsid w:val="00D9353C"/>
    <w:rsid w:val="00D954C6"/>
    <w:rsid w:val="00D9554E"/>
    <w:rsid w:val="00D9641E"/>
    <w:rsid w:val="00D96DB8"/>
    <w:rsid w:val="00D97019"/>
    <w:rsid w:val="00DA00B7"/>
    <w:rsid w:val="00DA13A4"/>
    <w:rsid w:val="00DA2BD5"/>
    <w:rsid w:val="00DA2F08"/>
    <w:rsid w:val="00DA342C"/>
    <w:rsid w:val="00DA3F70"/>
    <w:rsid w:val="00DA4776"/>
    <w:rsid w:val="00DA52E1"/>
    <w:rsid w:val="00DA5697"/>
    <w:rsid w:val="00DA59C7"/>
    <w:rsid w:val="00DA70CC"/>
    <w:rsid w:val="00DA7126"/>
    <w:rsid w:val="00DB1DAA"/>
    <w:rsid w:val="00DB22B7"/>
    <w:rsid w:val="00DB372E"/>
    <w:rsid w:val="00DB39BF"/>
    <w:rsid w:val="00DB4BEF"/>
    <w:rsid w:val="00DB6089"/>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25F"/>
    <w:rsid w:val="00DD45C1"/>
    <w:rsid w:val="00DD5EC6"/>
    <w:rsid w:val="00DD653E"/>
    <w:rsid w:val="00DD6E22"/>
    <w:rsid w:val="00DE00D7"/>
    <w:rsid w:val="00DE015A"/>
    <w:rsid w:val="00DE156E"/>
    <w:rsid w:val="00DE236C"/>
    <w:rsid w:val="00DE28A7"/>
    <w:rsid w:val="00DE329E"/>
    <w:rsid w:val="00DE3ABB"/>
    <w:rsid w:val="00DE3D8D"/>
    <w:rsid w:val="00DE5DB4"/>
    <w:rsid w:val="00DE70DC"/>
    <w:rsid w:val="00DE74C8"/>
    <w:rsid w:val="00DF2328"/>
    <w:rsid w:val="00DF241E"/>
    <w:rsid w:val="00DF2421"/>
    <w:rsid w:val="00DF265C"/>
    <w:rsid w:val="00DF32B0"/>
    <w:rsid w:val="00DF3FA2"/>
    <w:rsid w:val="00DF534D"/>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060DD"/>
    <w:rsid w:val="00E12D1C"/>
    <w:rsid w:val="00E140CC"/>
    <w:rsid w:val="00E15453"/>
    <w:rsid w:val="00E15875"/>
    <w:rsid w:val="00E15B5E"/>
    <w:rsid w:val="00E1688C"/>
    <w:rsid w:val="00E16A8F"/>
    <w:rsid w:val="00E16EE5"/>
    <w:rsid w:val="00E229C8"/>
    <w:rsid w:val="00E239DF"/>
    <w:rsid w:val="00E256F1"/>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3ABE"/>
    <w:rsid w:val="00E44129"/>
    <w:rsid w:val="00E44326"/>
    <w:rsid w:val="00E445BD"/>
    <w:rsid w:val="00E4485E"/>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3EE"/>
    <w:rsid w:val="00E609BA"/>
    <w:rsid w:val="00E6120E"/>
    <w:rsid w:val="00E61CB9"/>
    <w:rsid w:val="00E62066"/>
    <w:rsid w:val="00E627D0"/>
    <w:rsid w:val="00E62DAE"/>
    <w:rsid w:val="00E63062"/>
    <w:rsid w:val="00E63879"/>
    <w:rsid w:val="00E65E2E"/>
    <w:rsid w:val="00E67D5F"/>
    <w:rsid w:val="00E67EB7"/>
    <w:rsid w:val="00E70E9E"/>
    <w:rsid w:val="00E70F06"/>
    <w:rsid w:val="00E70FF1"/>
    <w:rsid w:val="00E727B7"/>
    <w:rsid w:val="00E730AA"/>
    <w:rsid w:val="00E74768"/>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3FDE"/>
    <w:rsid w:val="00EA4144"/>
    <w:rsid w:val="00EA5392"/>
    <w:rsid w:val="00EA5A2F"/>
    <w:rsid w:val="00EA5A8E"/>
    <w:rsid w:val="00EA6454"/>
    <w:rsid w:val="00EA6C23"/>
    <w:rsid w:val="00EA7936"/>
    <w:rsid w:val="00EA795F"/>
    <w:rsid w:val="00EB00DC"/>
    <w:rsid w:val="00EB10A3"/>
    <w:rsid w:val="00EB1460"/>
    <w:rsid w:val="00EB1559"/>
    <w:rsid w:val="00EB1B46"/>
    <w:rsid w:val="00EB1EF0"/>
    <w:rsid w:val="00EB249B"/>
    <w:rsid w:val="00EB291A"/>
    <w:rsid w:val="00EB407D"/>
    <w:rsid w:val="00EB40DC"/>
    <w:rsid w:val="00EB474F"/>
    <w:rsid w:val="00EB4847"/>
    <w:rsid w:val="00EC02B8"/>
    <w:rsid w:val="00EC1BBC"/>
    <w:rsid w:val="00EC2800"/>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C7553"/>
    <w:rsid w:val="00ED03B7"/>
    <w:rsid w:val="00ED1307"/>
    <w:rsid w:val="00ED188B"/>
    <w:rsid w:val="00ED1E03"/>
    <w:rsid w:val="00ED24E7"/>
    <w:rsid w:val="00ED25C2"/>
    <w:rsid w:val="00ED27E8"/>
    <w:rsid w:val="00ED3F83"/>
    <w:rsid w:val="00ED49B6"/>
    <w:rsid w:val="00ED6EE1"/>
    <w:rsid w:val="00ED7EBA"/>
    <w:rsid w:val="00EE107C"/>
    <w:rsid w:val="00EE272C"/>
    <w:rsid w:val="00EE36EB"/>
    <w:rsid w:val="00EE38DA"/>
    <w:rsid w:val="00EE3E9C"/>
    <w:rsid w:val="00EE42CA"/>
    <w:rsid w:val="00EE4760"/>
    <w:rsid w:val="00EE4D5C"/>
    <w:rsid w:val="00EE4F6A"/>
    <w:rsid w:val="00EE5A21"/>
    <w:rsid w:val="00EE6E2F"/>
    <w:rsid w:val="00EE73B4"/>
    <w:rsid w:val="00EE7F91"/>
    <w:rsid w:val="00EF026E"/>
    <w:rsid w:val="00EF13C1"/>
    <w:rsid w:val="00EF151B"/>
    <w:rsid w:val="00EF18EF"/>
    <w:rsid w:val="00EF1BA3"/>
    <w:rsid w:val="00EF285F"/>
    <w:rsid w:val="00EF58D4"/>
    <w:rsid w:val="00EF5E91"/>
    <w:rsid w:val="00EF6658"/>
    <w:rsid w:val="00EF740B"/>
    <w:rsid w:val="00EF74B6"/>
    <w:rsid w:val="00EF7758"/>
    <w:rsid w:val="00F00988"/>
    <w:rsid w:val="00F01C37"/>
    <w:rsid w:val="00F01EEC"/>
    <w:rsid w:val="00F03378"/>
    <w:rsid w:val="00F03EAB"/>
    <w:rsid w:val="00F04044"/>
    <w:rsid w:val="00F0417B"/>
    <w:rsid w:val="00F042F9"/>
    <w:rsid w:val="00F04399"/>
    <w:rsid w:val="00F046C8"/>
    <w:rsid w:val="00F05EAC"/>
    <w:rsid w:val="00F06AF6"/>
    <w:rsid w:val="00F0752D"/>
    <w:rsid w:val="00F076C4"/>
    <w:rsid w:val="00F0788E"/>
    <w:rsid w:val="00F079FA"/>
    <w:rsid w:val="00F07DFB"/>
    <w:rsid w:val="00F1111B"/>
    <w:rsid w:val="00F1131A"/>
    <w:rsid w:val="00F119D6"/>
    <w:rsid w:val="00F11BDE"/>
    <w:rsid w:val="00F147C6"/>
    <w:rsid w:val="00F16C21"/>
    <w:rsid w:val="00F17FF1"/>
    <w:rsid w:val="00F20251"/>
    <w:rsid w:val="00F202D6"/>
    <w:rsid w:val="00F2045B"/>
    <w:rsid w:val="00F210FE"/>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2666"/>
    <w:rsid w:val="00F336C8"/>
    <w:rsid w:val="00F34201"/>
    <w:rsid w:val="00F34622"/>
    <w:rsid w:val="00F34BB7"/>
    <w:rsid w:val="00F354BA"/>
    <w:rsid w:val="00F36247"/>
    <w:rsid w:val="00F366EA"/>
    <w:rsid w:val="00F3693F"/>
    <w:rsid w:val="00F36B6B"/>
    <w:rsid w:val="00F37C94"/>
    <w:rsid w:val="00F41CC3"/>
    <w:rsid w:val="00F41E88"/>
    <w:rsid w:val="00F42D31"/>
    <w:rsid w:val="00F42FB3"/>
    <w:rsid w:val="00F4427E"/>
    <w:rsid w:val="00F452A0"/>
    <w:rsid w:val="00F458B2"/>
    <w:rsid w:val="00F45CE4"/>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112"/>
    <w:rsid w:val="00F5759B"/>
    <w:rsid w:val="00F6079C"/>
    <w:rsid w:val="00F60C62"/>
    <w:rsid w:val="00F62B08"/>
    <w:rsid w:val="00F62E76"/>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464A"/>
    <w:rsid w:val="00F85205"/>
    <w:rsid w:val="00F85237"/>
    <w:rsid w:val="00F86951"/>
    <w:rsid w:val="00F8702D"/>
    <w:rsid w:val="00F876BB"/>
    <w:rsid w:val="00F878C9"/>
    <w:rsid w:val="00F9000A"/>
    <w:rsid w:val="00F936ED"/>
    <w:rsid w:val="00F93EBF"/>
    <w:rsid w:val="00F95826"/>
    <w:rsid w:val="00F958F9"/>
    <w:rsid w:val="00F959DA"/>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A20"/>
    <w:rsid w:val="00FC5DF8"/>
    <w:rsid w:val="00FC7E40"/>
    <w:rsid w:val="00FD0568"/>
    <w:rsid w:val="00FD09AE"/>
    <w:rsid w:val="00FD0F3D"/>
    <w:rsid w:val="00FD1BC4"/>
    <w:rsid w:val="00FD2612"/>
    <w:rsid w:val="00FD2EDF"/>
    <w:rsid w:val="00FD323A"/>
    <w:rsid w:val="00FD365C"/>
    <w:rsid w:val="00FD37D4"/>
    <w:rsid w:val="00FD42D6"/>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97EC1178-5CB6-4794-841F-ABAB597E8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7906DD"/>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7906DD"/>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7906DD"/>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7906DD"/>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7906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196549931">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23592349">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5939846">
      <w:bodyDiv w:val="1"/>
      <w:marLeft w:val="0"/>
      <w:marRight w:val="0"/>
      <w:marTop w:val="0"/>
      <w:marBottom w:val="0"/>
      <w:divBdr>
        <w:top w:val="none" w:sz="0" w:space="0" w:color="auto"/>
        <w:left w:val="none" w:sz="0" w:space="0" w:color="auto"/>
        <w:bottom w:val="none" w:sz="0" w:space="0" w:color="auto"/>
        <w:right w:val="none" w:sz="0" w:space="0" w:color="auto"/>
      </w:divBdr>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21998751">
      <w:bodyDiv w:val="1"/>
      <w:marLeft w:val="0"/>
      <w:marRight w:val="0"/>
      <w:marTop w:val="0"/>
      <w:marBottom w:val="0"/>
      <w:divBdr>
        <w:top w:val="none" w:sz="0" w:space="0" w:color="auto"/>
        <w:left w:val="none" w:sz="0" w:space="0" w:color="auto"/>
        <w:bottom w:val="none" w:sz="0" w:space="0" w:color="auto"/>
        <w:right w:val="none" w:sz="0" w:space="0" w:color="auto"/>
      </w:divBdr>
    </w:div>
    <w:div w:id="1149592768">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23458875">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64774792">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06198578">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00410.page" TargetMode="External"/><Relationship Id="rId13" Type="http://schemas.openxmlformats.org/officeDocument/2006/relationships/image" Target="media/image2.emf"/><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monografias.com/trabajos14/verific-servicios/verific-servicios.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fgjem.web"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infoem.org.mx/src/htm/organosAutonomos_ta2019.html" TargetMode="External"/><Relationship Id="rId23" Type="http://schemas.openxmlformats.org/officeDocument/2006/relationships/footer" Target="footer1.xml"/><Relationship Id="rId10" Type="http://schemas.openxmlformats.org/officeDocument/2006/relationships/hyperlink" Target="https://www.ipomex.org.mx/ipo3/lgt/indice/fgjem.web"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www.saimex.org.mx/saimex/solicitud/downloadAttach/800411.page" TargetMode="External"/><Relationship Id="rId14" Type="http://schemas.openxmlformats.org/officeDocument/2006/relationships/image" Target="media/image3.emf"/><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dof.gob.mx/nota_detalle.php?codigo=5436056&amp;fecha=04/05/2016" TargetMode="External"/><Relationship Id="rId1" Type="http://schemas.openxmlformats.org/officeDocument/2006/relationships/hyperlink" Target="https://dle.rae.es/estipendi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AD443-823F-4049-A043-9B3482810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76</Pages>
  <Words>15820</Words>
  <Characters>87014</Characters>
  <Application>Microsoft Office Word</Application>
  <DocSecurity>0</DocSecurity>
  <Lines>725</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Vero</cp:lastModifiedBy>
  <cp:revision>6</cp:revision>
  <cp:lastPrinted>2019-11-14T20:53:00Z</cp:lastPrinted>
  <dcterms:created xsi:type="dcterms:W3CDTF">2019-11-29T18:05:00Z</dcterms:created>
  <dcterms:modified xsi:type="dcterms:W3CDTF">2020-05-07T23:13:00Z</dcterms:modified>
</cp:coreProperties>
</file>