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spacing w:after="0" w:line="360" w:lineRule="auto"/>
        <w:ind w:right="49"/>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rtl w:val="0"/>
        </w:rPr>
        <w:t xml:space="preserve">VOTO PARTICULAR QUE FORMULA LA COMISIONADA EVA ABAID YAPUR, EN RELACIÓN CON LA RESOLUCIÓN DICTADA POR EL PLENO DEL INSTITUTO DE TRANSPARENCIA, ACCESO A LA INFORMACIÓN PÚBLICA Y PROTECCIÓN DE DATOS PERSONALES DEL ESTADO DE MÉXICO Y MUNICIPIOS, EN LA QUINTA SESIÓN ORDINARIA DE DOCE DE FEBRERO DE DOS MIL VEINTE, EN EL RECURSO DE REVISIÓN 08823/INFOEM/IP/RR/2019</w:t>
      </w:r>
      <w:r w:rsidDel="00000000" w:rsidR="00000000" w:rsidRPr="00000000">
        <w:rPr>
          <w:rFonts w:ascii="Palatino Linotype" w:cs="Palatino Linotype" w:eastAsia="Palatino Linotype" w:hAnsi="Palatino Linotype"/>
          <w:b w:val="1"/>
          <w:color w:val="000000"/>
          <w:rtl w:val="0"/>
        </w:rPr>
        <w:t xml:space="preserve">.</w:t>
      </w:r>
    </w:p>
    <w:p w:rsidR="00000000" w:rsidDel="00000000" w:rsidP="00000000" w:rsidRDefault="00000000" w:rsidRPr="00000000" w14:paraId="00000003">
      <w:pPr>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4">
      <w:pPr>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fundamento en lo dispuesto por el artículo 14, fracciones X y XI del Reglamento Interior del Instituto de Transparencia, Acceso a la Información Pública y Protección de Datos Personales del Estado de México y Municipios, la que suscribe</w:t>
      </w:r>
      <w:r w:rsidDel="00000000" w:rsidR="00000000" w:rsidRPr="00000000">
        <w:rPr>
          <w:rFonts w:ascii="Palatino Linotype" w:cs="Palatino Linotype" w:eastAsia="Palatino Linotype" w:hAnsi="Palatino Linotype"/>
          <w:b w:val="1"/>
          <w:rtl w:val="0"/>
        </w:rPr>
        <w:t xml:space="preserve"> EVA ABAID YAPUR </w:t>
      </w:r>
      <w:r w:rsidDel="00000000" w:rsidR="00000000" w:rsidRPr="00000000">
        <w:rPr>
          <w:rFonts w:ascii="Palatino Linotype" w:cs="Palatino Linotype" w:eastAsia="Palatino Linotype" w:hAnsi="Palatino Linotype"/>
          <w:rtl w:val="0"/>
        </w:rPr>
        <w:t xml:space="preserve">emite </w:t>
      </w:r>
      <w:r w:rsidDel="00000000" w:rsidR="00000000" w:rsidRPr="00000000">
        <w:rPr>
          <w:rFonts w:ascii="Palatino Linotype" w:cs="Palatino Linotype" w:eastAsia="Palatino Linotype" w:hAnsi="Palatino Linotype"/>
          <w:b w:val="1"/>
          <w:rtl w:val="0"/>
        </w:rPr>
        <w:t xml:space="preserve">VOTO PARTICULAR </w:t>
      </w:r>
      <w:r w:rsidDel="00000000" w:rsidR="00000000" w:rsidRPr="00000000">
        <w:rPr>
          <w:rFonts w:ascii="Palatino Linotype" w:cs="Palatino Linotype" w:eastAsia="Palatino Linotype" w:hAnsi="Palatino Linotype"/>
          <w:rtl w:val="0"/>
        </w:rPr>
        <w:t xml:space="preserve">respecto de la resolución dictada en el recurso de revisión </w:t>
      </w:r>
      <w:r w:rsidDel="00000000" w:rsidR="00000000" w:rsidRPr="00000000">
        <w:rPr>
          <w:rFonts w:ascii="Palatino Linotype" w:cs="Palatino Linotype" w:eastAsia="Palatino Linotype" w:hAnsi="Palatino Linotype"/>
          <w:b w:val="1"/>
          <w:rtl w:val="0"/>
        </w:rPr>
        <w:t xml:space="preserve">08823/INFOEM/IP/RR/2019</w:t>
      </w:r>
      <w:r w:rsidDel="00000000" w:rsidR="00000000" w:rsidRPr="00000000">
        <w:rPr>
          <w:rFonts w:ascii="Palatino Linotype" w:cs="Palatino Linotype" w:eastAsia="Palatino Linotype" w:hAnsi="Palatino Linotype"/>
          <w:b w:val="1"/>
          <w:color w:val="000000"/>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pronunciada por el Pleno de este Instituto ante el proyecto presentado por el Comisionado </w:t>
      </w:r>
      <w:r w:rsidDel="00000000" w:rsidR="00000000" w:rsidRPr="00000000">
        <w:rPr>
          <w:rFonts w:ascii="Palatino Linotype" w:cs="Palatino Linotype" w:eastAsia="Palatino Linotype" w:hAnsi="Palatino Linotype"/>
          <w:b w:val="1"/>
          <w:rtl w:val="0"/>
        </w:rPr>
        <w:t xml:space="preserve">JOSÉ GUADALUPE LUNA HERNÁNDEZ</w:t>
      </w:r>
      <w:r w:rsidDel="00000000" w:rsidR="00000000" w:rsidRPr="00000000">
        <w:rPr>
          <w:rFonts w:ascii="Palatino Linotype" w:cs="Palatino Linotype" w:eastAsia="Palatino Linotype" w:hAnsi="Palatino Linotype"/>
          <w:rtl w:val="0"/>
        </w:rPr>
        <w:t xml:space="preserve">, que es del tenor siguiente.</w:t>
      </w:r>
    </w:p>
    <w:p w:rsidR="00000000" w:rsidDel="00000000" w:rsidP="00000000" w:rsidRDefault="00000000" w:rsidRPr="00000000" w14:paraId="00000005">
      <w:pPr>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6">
      <w:pPr>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de destacar, que la suscrita comparte esencialmente el sentido de la resolución del recurso de revisión; empero, considero necesario precisar algunos puntos de hecho y de derecho, tocante al fundamento referido en el resolutivo CUARTO.</w:t>
      </w:r>
    </w:p>
    <w:p w:rsidR="00000000" w:rsidDel="00000000" w:rsidP="00000000" w:rsidRDefault="00000000" w:rsidRPr="00000000" w14:paraId="00000007">
      <w:pPr>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8">
      <w:pPr>
        <w:spacing w:after="28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tal y como quedó debidamente asentado en la resolución materia del presente voto, el particular requirió del </w:t>
      </w:r>
      <w:r w:rsidDel="00000000" w:rsidR="00000000" w:rsidRPr="00000000">
        <w:rPr>
          <w:rFonts w:ascii="Palatino Linotype" w:cs="Palatino Linotype" w:eastAsia="Palatino Linotype" w:hAnsi="Palatino Linotype"/>
          <w:b w:val="1"/>
          <w:rtl w:val="0"/>
        </w:rPr>
        <w:t xml:space="preserve">Ayuntamiento de Atenco</w:t>
      </w:r>
      <w:r w:rsidDel="00000000" w:rsidR="00000000" w:rsidRPr="00000000">
        <w:rPr>
          <w:rFonts w:ascii="Palatino Linotype" w:cs="Palatino Linotype" w:eastAsia="Palatino Linotype" w:hAnsi="Palatino Linotype"/>
          <w:rtl w:val="0"/>
        </w:rPr>
        <w:t xml:space="preserve">, en lo sucesivo </w:t>
      </w:r>
      <w:r w:rsidDel="00000000" w:rsidR="00000000" w:rsidRPr="00000000">
        <w:rPr>
          <w:rFonts w:ascii="Palatino Linotype" w:cs="Palatino Linotype" w:eastAsia="Palatino Linotype" w:hAnsi="Palatino Linotype"/>
          <w:b w:val="1"/>
          <w:rtl w:val="0"/>
        </w:rPr>
        <w:t xml:space="preserve">EL</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la siguiente información:</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4962"/>
        </w:tabs>
        <w:spacing w:after="0" w:before="28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“todos los servidores públicos que laboran en el Ayuntamiento de Atenco</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4962"/>
        </w:tabs>
        <w:spacing w:after="0" w:before="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 el nombre;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4962"/>
        </w:tabs>
        <w:spacing w:after="0" w:before="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b) cargo; y,</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4962"/>
        </w:tabs>
        <w:spacing w:after="280" w:before="0" w:line="240" w:lineRule="auto"/>
        <w:ind w:left="851"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 la edad”</w:t>
      </w:r>
    </w:p>
    <w:p w:rsidR="00000000" w:rsidDel="00000000" w:rsidP="00000000" w:rsidRDefault="00000000" w:rsidRPr="00000000" w14:paraId="0000000D">
      <w:pPr>
        <w:spacing w:after="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las constancias que obran en el Sistema de Acceso a la Información Mexiquense,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se advierte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emitió su respuesta en los siguientes términos:</w:t>
      </w:r>
    </w:p>
    <w:p w:rsidR="00000000" w:rsidDel="00000000" w:rsidP="00000000" w:rsidRDefault="00000000" w:rsidRPr="00000000" w14:paraId="0000000E">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F">
      <w:pPr>
        <w:spacing w:after="0" w:before="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i w:val="1"/>
          <w:color w:val="000000"/>
          <w:sz w:val="22"/>
          <w:szCs w:val="22"/>
          <w:rtl w:val="0"/>
        </w:rPr>
        <w:t xml:space="preserve">En atención a la Solicitud de Información registrada con el folio número 00116/ATENCO/IP/2019, me permito informar que la información solicitada ya se encuentra disponible al público y la podrá encontrar publicada en el siguiente link, respecto a la edad hago de su conocimiento que es un dato personal por lo que este H. ayuntamiento garantiza su protección: </w:t>
      </w:r>
      <w:r w:rsidDel="00000000" w:rsidR="00000000" w:rsidRPr="00000000">
        <w:rPr>
          <w:rFonts w:ascii="Palatino Linotype" w:cs="Palatino Linotype" w:eastAsia="Palatino Linotype" w:hAnsi="Palatino Linotype"/>
          <w:b w:val="1"/>
          <w:i w:val="1"/>
          <w:color w:val="000000"/>
          <w:sz w:val="22"/>
          <w:szCs w:val="22"/>
          <w:rtl w:val="0"/>
        </w:rPr>
        <w:t xml:space="preserve">https://www.ipomex.org.mx/ipo3/lgt/indice/ATENCO/art_92_viii.web</w:t>
      </w:r>
      <w:r w:rsidDel="00000000" w:rsidR="00000000" w:rsidRPr="00000000">
        <w:rPr>
          <w:rFonts w:ascii="Palatino Linotype" w:cs="Palatino Linotype" w:eastAsia="Palatino Linotype" w:hAnsi="Palatino Linotype"/>
          <w:i w:val="1"/>
          <w:color w:val="000000"/>
          <w:sz w:val="22"/>
          <w:szCs w:val="22"/>
          <w:rtl w:val="0"/>
        </w:rPr>
        <w:t xml:space="preserve"> Se hace de su conocimiento el término de quince días hábiles, contados a partir del día hábil siguiente del que haya surtido efectos la notificación del presente, para interponer el recurso de revisión que se señala en los artículos 176, 177, y 178 de la Ley de Transparencia y Acceso a la Información Pública del Estado de México y Municipios. Sin otro particular por el momento, reciba un cordial saludo.”</w:t>
      </w:r>
      <w:r w:rsidDel="00000000" w:rsidR="00000000" w:rsidRPr="00000000">
        <w:rPr>
          <w:rFonts w:ascii="Palatino Linotype" w:cs="Palatino Linotype" w:eastAsia="Palatino Linotype" w:hAnsi="Palatino Linotype"/>
          <w:i w:val="1"/>
          <w:sz w:val="22"/>
          <w:szCs w:val="22"/>
          <w:rtl w:val="0"/>
        </w:rPr>
        <w:t xml:space="preserve"> (Sic)</w:t>
      </w:r>
    </w:p>
    <w:p w:rsidR="00000000" w:rsidDel="00000000" w:rsidP="00000000" w:rsidRDefault="00000000" w:rsidRPr="00000000" w14:paraId="00000010">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1">
      <w:pPr>
        <w:spacing w:after="0" w:before="0" w:line="360" w:lineRule="auto"/>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rtl w:val="0"/>
        </w:rPr>
        <w:t xml:space="preserve">Inconforme con la respuesta,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interpuso el recurso de revisión de mérito, manifestando como acto impugnado:</w:t>
      </w:r>
      <w:r w:rsidDel="00000000" w:rsidR="00000000" w:rsidRPr="00000000">
        <w:rPr>
          <w:rtl w:val="0"/>
        </w:rPr>
      </w:r>
    </w:p>
    <w:p w:rsidR="00000000" w:rsidDel="00000000" w:rsidP="00000000" w:rsidRDefault="00000000" w:rsidRPr="00000000" w14:paraId="00000012">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3">
      <w:pPr>
        <w:spacing w:after="0" w:before="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color w:val="000000"/>
          <w:sz w:val="22"/>
          <w:szCs w:val="22"/>
          <w:rtl w:val="0"/>
        </w:rPr>
        <w:t xml:space="preserve">“La negativa y falta de pronunciamiento respecto a la totalidad de mi solicitud de información pública”</w:t>
      </w:r>
      <w:r w:rsidDel="00000000" w:rsidR="00000000" w:rsidRPr="00000000">
        <w:rPr>
          <w:rtl w:val="0"/>
        </w:rPr>
      </w:r>
    </w:p>
    <w:p w:rsidR="00000000" w:rsidDel="00000000" w:rsidP="00000000" w:rsidRDefault="00000000" w:rsidRPr="00000000" w14:paraId="00000014">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5">
      <w:pPr>
        <w:spacing w:after="0" w:before="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como razones o motivos de inconformidad:</w:t>
      </w:r>
    </w:p>
    <w:p w:rsidR="00000000" w:rsidDel="00000000" w:rsidP="00000000" w:rsidRDefault="00000000" w:rsidRPr="00000000" w14:paraId="00000016">
      <w:pPr>
        <w:spacing w:after="0" w:before="0" w:lineRule="auto"/>
        <w:ind w:left="851" w:right="902"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7">
      <w:pPr>
        <w:spacing w:after="0" w:before="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color w:val="000000"/>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El sujeto obligado se limitó a señalar una liga, sin embargo esta no da respuesta a mi solicitud, pues además de que el sitio no está actualizado, únicamente refiere el nombre y cargo de los servidores públicos, es decir que el sujeto obligado no hace mención a la edad de cada uno de los tal y como lo solicité, por ende dicha información proporcionada es incompleta con relación a lo solicitado </w:t>
      </w:r>
      <w:r w:rsidDel="00000000" w:rsidR="00000000" w:rsidRPr="00000000">
        <w:rPr>
          <w:rFonts w:ascii="Palatino Linotype" w:cs="Palatino Linotype" w:eastAsia="Palatino Linotype" w:hAnsi="Palatino Linotype"/>
          <w:i w:val="1"/>
          <w:color w:val="000000"/>
          <w:sz w:val="22"/>
          <w:szCs w:val="22"/>
          <w:rtl w:val="0"/>
        </w:rPr>
        <w:t xml:space="preserve">“(Sic)</w:t>
      </w:r>
      <w:r w:rsidDel="00000000" w:rsidR="00000000" w:rsidRPr="00000000">
        <w:rPr>
          <w:rtl w:val="0"/>
        </w:rPr>
      </w:r>
    </w:p>
    <w:p w:rsidR="00000000" w:rsidDel="00000000" w:rsidP="00000000" w:rsidRDefault="00000000" w:rsidRPr="00000000" w14:paraId="00000018">
      <w:pPr>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9">
      <w:pPr>
        <w:spacing w:after="0" w:before="0" w:line="360" w:lineRule="auto"/>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rtl w:val="0"/>
        </w:rPr>
        <w:t xml:space="preserve">Así, del estudio del expediente electrónico, la Ponencia Resolutora determinó </w:t>
      </w:r>
      <w:r w:rsidDel="00000000" w:rsidR="00000000" w:rsidRPr="00000000">
        <w:rPr>
          <w:rFonts w:ascii="Palatino Linotype" w:cs="Palatino Linotype" w:eastAsia="Palatino Linotype" w:hAnsi="Palatino Linotype"/>
          <w:b w:val="1"/>
          <w:rtl w:val="0"/>
        </w:rPr>
        <w:t xml:space="preserve">ORDENAR</w:t>
      </w:r>
      <w:r w:rsidDel="00000000" w:rsidR="00000000" w:rsidRPr="00000000">
        <w:rPr>
          <w:rFonts w:ascii="Palatino Linotype" w:cs="Palatino Linotype" w:eastAsia="Palatino Linotype" w:hAnsi="Palatino Linotype"/>
          <w:rtl w:val="0"/>
        </w:rPr>
        <w:t xml:space="preserve">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el documento siguiente:</w:t>
      </w:r>
      <w:r w:rsidDel="00000000" w:rsidR="00000000" w:rsidRPr="00000000">
        <w:rPr>
          <w:rtl w:val="0"/>
        </w:rPr>
      </w:r>
    </w:p>
    <w:p w:rsidR="00000000" w:rsidDel="00000000" w:rsidP="00000000" w:rsidRDefault="00000000" w:rsidRPr="00000000" w14:paraId="0000001A">
      <w:pPr>
        <w:spacing w:after="0" w:before="0" w:lineRule="auto"/>
        <w:ind w:left="720" w:right="708"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B">
      <w:pPr>
        <w:spacing w:after="0" w:before="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sz w:val="22"/>
          <w:szCs w:val="22"/>
          <w:rtl w:val="0"/>
        </w:rPr>
        <w:t xml:space="preserve">a) Acuerdo del Comité de Transparencia que clasifique como información confidencial los documentos donde conste la edad de los servidores públicos adscritos al Municipio de Atenco al trece (13) de noviembre de dos mil diecinueve.  </w:t>
      </w:r>
      <w:r w:rsidDel="00000000" w:rsidR="00000000" w:rsidRPr="00000000">
        <w:rPr>
          <w:rtl w:val="0"/>
        </w:rPr>
      </w:r>
    </w:p>
    <w:p w:rsidR="00000000" w:rsidDel="00000000" w:rsidP="00000000" w:rsidRDefault="00000000" w:rsidRPr="00000000" w14:paraId="0000001C">
      <w:pPr>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D">
      <w:pPr>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la que suscribe reitera, que si bien coincide en términos generales con el sentido de la resolución en comento, considero, que no se encuadra la hipótesis contenida en los artículos 159 y 160 de la Ley General de Transparencia y Acceso a la Información Pública citados por la Ponencia Resolutora en el resolutivo CUARTO de la resolución de mérito, a fin de interponer el recurso de inconformidad ante el  Instituto Nacional de Transparencia, Acceso a la Información y Protección de Datos Personales.</w:t>
      </w:r>
    </w:p>
    <w:p w:rsidR="00000000" w:rsidDel="00000000" w:rsidP="00000000" w:rsidRDefault="00000000" w:rsidRPr="00000000" w14:paraId="0000001E">
      <w:pPr>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F">
      <w:pPr>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obedece a que tanto en respuesta como en informe justificado no se advierte que</w:t>
      </w:r>
      <w:r w:rsidDel="00000000" w:rsidR="00000000" w:rsidRPr="00000000">
        <w:rPr>
          <w:rFonts w:ascii="Palatino Linotype" w:cs="Palatino Linotype" w:eastAsia="Palatino Linotype" w:hAnsi="Palatino Linotype"/>
          <w:b w:val="1"/>
          <w:rtl w:val="0"/>
        </w:rPr>
        <w:t xml:space="preserve"> EL SUJETO OBLIGADO</w:t>
      </w:r>
      <w:r w:rsidDel="00000000" w:rsidR="00000000" w:rsidRPr="00000000">
        <w:rPr>
          <w:rFonts w:ascii="Palatino Linotype" w:cs="Palatino Linotype" w:eastAsia="Palatino Linotype" w:hAnsi="Palatino Linotype"/>
          <w:rtl w:val="0"/>
        </w:rPr>
        <w:t xml:space="preserve"> haya proporcionado un Acuerdo de Clasificación de la información, de manera formal como lo establece la Ley de la materia.</w:t>
      </w:r>
    </w:p>
    <w:p w:rsidR="00000000" w:rsidDel="00000000" w:rsidP="00000000" w:rsidRDefault="00000000" w:rsidRPr="00000000" w14:paraId="00000020">
      <w:pPr>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1">
      <w:pPr>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000000" w:rsidDel="00000000" w:rsidP="00000000" w:rsidRDefault="00000000" w:rsidRPr="00000000" w14:paraId="00000022">
      <w:pPr>
        <w:spacing w:after="0" w:before="0" w:lineRule="auto"/>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3">
      <w:pPr>
        <w:spacing w:after="0" w:before="0" w:lineRule="auto"/>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159</w:t>
      </w:r>
      <w:r w:rsidDel="00000000" w:rsidR="00000000" w:rsidRPr="00000000">
        <w:rPr>
          <w:rFonts w:ascii="Palatino Linotype" w:cs="Palatino Linotype" w:eastAsia="Palatino Linotype" w:hAnsi="Palatino Linotype"/>
          <w:i w:val="1"/>
          <w:sz w:val="22"/>
          <w:szCs w:val="22"/>
          <w:rtl w:val="0"/>
        </w:rPr>
        <w:t xml:space="preserve">. Tratándose de las resoluciones a los recursos de revisión de los Organismos garantes de las Entidades Federativas, los particulares podrán optar por acudir ante el Instituto o ante el Poder Judicial de la Federación.</w:t>
      </w:r>
    </w:p>
    <w:p w:rsidR="00000000" w:rsidDel="00000000" w:rsidP="00000000" w:rsidRDefault="00000000" w:rsidRPr="00000000" w14:paraId="00000024">
      <w:pPr>
        <w:spacing w:after="0" w:before="0" w:lineRule="auto"/>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160</w:t>
      </w:r>
      <w:r w:rsidDel="00000000" w:rsidR="00000000" w:rsidRPr="00000000">
        <w:rPr>
          <w:rFonts w:ascii="Palatino Linotype" w:cs="Palatino Linotype" w:eastAsia="Palatino Linotype" w:hAnsi="Palatino Linotype"/>
          <w:i w:val="1"/>
          <w:sz w:val="22"/>
          <w:szCs w:val="22"/>
          <w:rtl w:val="0"/>
        </w:rPr>
        <w:t xml:space="preserve">. El recurso de inconformidad procede contra las resoluciones emitidas por los Organismos garantes de las Entidades Federativas que:</w:t>
      </w:r>
    </w:p>
    <w:p w:rsidR="00000000" w:rsidDel="00000000" w:rsidP="00000000" w:rsidRDefault="00000000" w:rsidRPr="00000000" w14:paraId="00000025">
      <w:pPr>
        <w:spacing w:after="0" w:before="0" w:lineRule="auto"/>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w:t>
        <w:tab/>
        <w:t xml:space="preserve">Confirmen o modifiquen la clasificación de la información, o</w:t>
      </w:r>
    </w:p>
    <w:p w:rsidR="00000000" w:rsidDel="00000000" w:rsidP="00000000" w:rsidRDefault="00000000" w:rsidRPr="00000000" w14:paraId="00000026">
      <w:pPr>
        <w:spacing w:after="0" w:before="0" w:lineRule="auto"/>
        <w:ind w:left="709" w:right="757" w:firstLine="0"/>
        <w:jc w:val="both"/>
        <w:rPr>
          <w:rFonts w:ascii="Palatino Linotype" w:cs="Palatino Linotype" w:eastAsia="Palatino Linotype" w:hAnsi="Palatino Linotype"/>
          <w:i w:val="1"/>
          <w:sz w:val="22"/>
          <w:szCs w:val="22"/>
          <w:u w:val="single"/>
        </w:rPr>
      </w:pPr>
      <w:r w:rsidDel="00000000" w:rsidR="00000000" w:rsidRPr="00000000">
        <w:rPr>
          <w:rFonts w:ascii="Palatino Linotype" w:cs="Palatino Linotype" w:eastAsia="Palatino Linotype" w:hAnsi="Palatino Linotype"/>
          <w:i w:val="1"/>
          <w:sz w:val="22"/>
          <w:szCs w:val="22"/>
          <w:rtl w:val="0"/>
        </w:rPr>
        <w:t xml:space="preserve">II.</w:t>
        <w:tab/>
        <w:t xml:space="preserve">Confirmen la inexistencia o negativa de información</w:t>
      </w:r>
      <w:r w:rsidDel="00000000" w:rsidR="00000000" w:rsidRPr="00000000">
        <w:rPr>
          <w:rFonts w:ascii="Palatino Linotype" w:cs="Palatino Linotype" w:eastAsia="Palatino Linotype" w:hAnsi="Palatino Linotype"/>
          <w:i w:val="1"/>
          <w:sz w:val="22"/>
          <w:szCs w:val="22"/>
          <w:u w:val="single"/>
          <w:rtl w:val="0"/>
        </w:rPr>
        <w:t xml:space="preserve">.</w:t>
      </w:r>
    </w:p>
    <w:p w:rsidR="00000000" w:rsidDel="00000000" w:rsidP="00000000" w:rsidRDefault="00000000" w:rsidRPr="00000000" w14:paraId="00000027">
      <w:pPr>
        <w:spacing w:after="0" w:before="0" w:lineRule="auto"/>
        <w:ind w:left="709" w:right="75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entenderá como negativa de acceso a la información la falta de resolución de los Organismos garantes de las Entidades Federativas dentro del plazo previsto para ello.”</w:t>
      </w:r>
    </w:p>
    <w:p w:rsidR="00000000" w:rsidDel="00000000" w:rsidP="00000000" w:rsidRDefault="00000000" w:rsidRPr="00000000" w14:paraId="00000028">
      <w:pPr>
        <w:spacing w:after="0" w:before="0" w:lineRule="auto"/>
        <w:ind w:left="709" w:right="75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9">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 lo anterior se advierte que el artículo en cita no resulta aplicable al asunto en concreto, toda vez que </w:t>
      </w:r>
      <w:r w:rsidDel="00000000" w:rsidR="00000000" w:rsidRPr="00000000">
        <w:rPr>
          <w:rFonts w:ascii="Palatino Linotype" w:cs="Palatino Linotype" w:eastAsia="Palatino Linotype" w:hAnsi="Palatino Linotype"/>
          <w:b w:val="1"/>
          <w:rtl w:val="0"/>
        </w:rPr>
        <w:t xml:space="preserve">EL</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clasificó formalmente la información requerida por el particular; aunado a que el recurso de revisión fue resuelto conforme al plazo señalado en el numeral 181 de la Ley de Transparencia y Acceso a la Información Pública del Estado de México y Municipios; por ende, no se actualizan alguno de los supuestos legales anteriormente citados.</w:t>
      </w:r>
    </w:p>
    <w:p w:rsidR="00000000" w:rsidDel="00000000" w:rsidP="00000000" w:rsidRDefault="00000000" w:rsidRPr="00000000" w14:paraId="0000002A">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B">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mayor claridad de lo aducido, se debe establecer que para confirmar o modificar la clasificación de la información; primero,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debió haber remitido un Acuerdo a través del Comité de Transparencia en virtud del cual se clasificara la información requerida de manera fundada y motivada, como confidencial y que derivado de la inconformidad del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la Ponencia Resolutora determinara que dicha clasificación es correcta o en su caso modificarla.</w:t>
      </w:r>
    </w:p>
    <w:p w:rsidR="00000000" w:rsidDel="00000000" w:rsidP="00000000" w:rsidRDefault="00000000" w:rsidRPr="00000000" w14:paraId="0000002C">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D">
      <w:pPr>
        <w:widowControl w:val="0"/>
        <w:spacing w:after="0" w:before="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conclusión, la que suscribe emite </w:t>
      </w:r>
      <w:r w:rsidDel="00000000" w:rsidR="00000000" w:rsidRPr="00000000">
        <w:rPr>
          <w:rFonts w:ascii="Palatino Linotype" w:cs="Palatino Linotype" w:eastAsia="Palatino Linotype" w:hAnsi="Palatino Linotype"/>
          <w:b w:val="1"/>
          <w:rtl w:val="0"/>
        </w:rPr>
        <w:t xml:space="preserve">VOTO PARTICULAR</w:t>
      </w:r>
      <w:r w:rsidDel="00000000" w:rsidR="00000000" w:rsidRPr="00000000">
        <w:rPr>
          <w:rFonts w:ascii="Palatino Linotype" w:cs="Palatino Linotype" w:eastAsia="Palatino Linotype" w:hAnsi="Palatino Linotype"/>
          <w:rtl w:val="0"/>
        </w:rPr>
        <w:t xml:space="preserve"> ya que considero que no se debieron invocar dichos artículos en el resolutivo CUARTO de la resolución de mérito; por lo que, se insiste, que de las constancias del expediente no se advierten actos que encuadren en los supuestos legales señalados en los numerales 159 y 160 de la Ley General de Transparencia y Acceso a la Información Pública.</w:t>
      </w:r>
    </w:p>
    <w:p w:rsidR="00000000" w:rsidDel="00000000" w:rsidP="00000000" w:rsidRDefault="00000000" w:rsidRPr="00000000" w14:paraId="0000002E">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tl w:val="0"/>
        </w:rPr>
      </w:r>
    </w:p>
    <w:p w:rsidR="00000000" w:rsidDel="00000000" w:rsidP="00000000" w:rsidRDefault="00000000" w:rsidRPr="00000000" w14:paraId="0000002F">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tl w:val="0"/>
        </w:rPr>
      </w:r>
    </w:p>
    <w:p w:rsidR="00000000" w:rsidDel="00000000" w:rsidP="00000000" w:rsidRDefault="00000000" w:rsidRPr="00000000" w14:paraId="00000030">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tl w:val="0"/>
        </w:rPr>
      </w:r>
    </w:p>
    <w:p w:rsidR="00000000" w:rsidDel="00000000" w:rsidP="00000000" w:rsidRDefault="00000000" w:rsidRPr="00000000" w14:paraId="00000031">
      <w:pPr>
        <w:spacing w:after="0" w:before="0" w:lineRule="auto"/>
        <w:ind w:right="49"/>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2">
      <w:pPr>
        <w:spacing w:after="0" w:before="0" w:lineRule="auto"/>
        <w:ind w:right="49"/>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3">
      <w:pPr>
        <w:spacing w:after="0" w:before="0" w:lineRule="auto"/>
        <w:ind w:right="49"/>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4">
      <w:pPr>
        <w:spacing w:after="0" w:before="0" w:lineRule="auto"/>
        <w:ind w:right="49"/>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5">
      <w:pPr>
        <w:spacing w:after="0" w:before="0" w:lineRule="auto"/>
        <w:ind w:right="49"/>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6">
      <w:pPr>
        <w:spacing w:after="0" w:before="0" w:lineRule="auto"/>
        <w:ind w:right="49"/>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7">
      <w:pPr>
        <w:spacing w:after="0" w:before="0" w:lineRule="auto"/>
        <w:ind w:right="49"/>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8">
      <w:pPr>
        <w:spacing w:after="0" w:before="0" w:lineRule="auto"/>
        <w:ind w:right="49"/>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EVA ABAID YAPUR</w:t>
      </w:r>
    </w:p>
    <w:p w:rsidR="00000000" w:rsidDel="00000000" w:rsidP="00000000" w:rsidRDefault="00000000" w:rsidRPr="00000000" w14:paraId="00000039">
      <w:pPr>
        <w:spacing w:after="0" w:before="0" w:lineRule="auto"/>
        <w:ind w:right="49"/>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COMISIONADA</w:t>
      </w:r>
    </w:p>
    <w:p w:rsidR="00000000" w:rsidDel="00000000" w:rsidP="00000000" w:rsidRDefault="00000000" w:rsidRPr="00000000" w14:paraId="0000003A">
      <w:pPr>
        <w:spacing w:after="0" w:before="0" w:lineRule="auto"/>
        <w:ind w:right="49"/>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(RÚBRICA)</w:t>
      </w:r>
    </w:p>
    <w:p w:rsidR="00000000" w:rsidDel="00000000" w:rsidP="00000000" w:rsidRDefault="00000000" w:rsidRPr="00000000" w14:paraId="0000003B">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tl w:val="0"/>
        </w:rPr>
      </w:r>
    </w:p>
    <w:p w:rsidR="00000000" w:rsidDel="00000000" w:rsidP="00000000" w:rsidRDefault="00000000" w:rsidRPr="00000000" w14:paraId="0000003C">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tl w:val="0"/>
        </w:rPr>
      </w:r>
    </w:p>
    <w:p w:rsidR="00000000" w:rsidDel="00000000" w:rsidP="00000000" w:rsidRDefault="00000000" w:rsidRPr="00000000" w14:paraId="0000003D">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tl w:val="0"/>
        </w:rPr>
      </w:r>
    </w:p>
    <w:p w:rsidR="00000000" w:rsidDel="00000000" w:rsidP="00000000" w:rsidRDefault="00000000" w:rsidRPr="00000000" w14:paraId="0000003E">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tl w:val="0"/>
        </w:rPr>
      </w:r>
    </w:p>
    <w:p w:rsidR="00000000" w:rsidDel="00000000" w:rsidP="00000000" w:rsidRDefault="00000000" w:rsidRPr="00000000" w14:paraId="0000003F">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tl w:val="0"/>
        </w:rPr>
      </w:r>
    </w:p>
    <w:p w:rsidR="00000000" w:rsidDel="00000000" w:rsidP="00000000" w:rsidRDefault="00000000" w:rsidRPr="00000000" w14:paraId="00000040">
      <w:pPr>
        <w:spacing w:after="0" w:before="0" w:lineRule="auto"/>
        <w:ind w:right="49"/>
        <w:jc w:val="both"/>
        <w:rPr>
          <w:rFonts w:ascii="Palatino Linotype" w:cs="Palatino Linotype" w:eastAsia="Palatino Linotype" w:hAnsi="Palatino Linotype"/>
          <w:color w:val="000000"/>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41">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tl w:val="0"/>
        </w:rPr>
      </w:r>
    </w:p>
    <w:p w:rsidR="00000000" w:rsidDel="00000000" w:rsidP="00000000" w:rsidRDefault="00000000" w:rsidRPr="00000000" w14:paraId="00000042">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tl w:val="0"/>
        </w:rPr>
      </w:r>
    </w:p>
    <w:p w:rsidR="00000000" w:rsidDel="00000000" w:rsidP="00000000" w:rsidRDefault="00000000" w:rsidRPr="00000000" w14:paraId="00000043">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tl w:val="0"/>
        </w:rPr>
      </w:r>
    </w:p>
    <w:p w:rsidR="00000000" w:rsidDel="00000000" w:rsidP="00000000" w:rsidRDefault="00000000" w:rsidRPr="00000000" w14:paraId="00000044">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tl w:val="0"/>
        </w:rPr>
      </w:r>
    </w:p>
    <w:p w:rsidR="00000000" w:rsidDel="00000000" w:rsidP="00000000" w:rsidRDefault="00000000" w:rsidRPr="00000000" w14:paraId="00000045">
      <w:pPr>
        <w:spacing w:after="0" w:before="0" w:lineRule="auto"/>
        <w:ind w:right="49"/>
        <w:jc w:val="both"/>
        <w:rPr>
          <w:rFonts w:ascii="Palatino Linotype" w:cs="Palatino Linotype" w:eastAsia="Palatino Linotype" w:hAnsi="Palatino Linotype"/>
          <w:color w:val="000000"/>
          <w:sz w:val="18"/>
          <w:szCs w:val="18"/>
        </w:rPr>
      </w:pPr>
      <w:r w:rsidDel="00000000" w:rsidR="00000000" w:rsidRPr="00000000">
        <w:rPr>
          <w:rFonts w:ascii="Palatino Linotype" w:cs="Palatino Linotype" w:eastAsia="Palatino Linotype" w:hAnsi="Palatino Linotype"/>
          <w:color w:val="000000"/>
          <w:sz w:val="20"/>
          <w:szCs w:val="20"/>
          <w:rtl w:val="0"/>
        </w:rPr>
        <w:t xml:space="preserve">Esta hoja corresponde al voto particular emitido en la resolución del recurso de revisión 08823/INFOEM/IP/RR/2019, aprobado el doce de febrero de dos mil veinte. </w:t>
      </w:r>
      <w:r w:rsidDel="00000000" w:rsidR="00000000" w:rsidRPr="00000000">
        <w:rPr>
          <w:rtl w:val="0"/>
        </w:rPr>
      </w:r>
    </w:p>
    <w:p w:rsidR="00000000" w:rsidDel="00000000" w:rsidP="00000000" w:rsidRDefault="00000000" w:rsidRPr="00000000" w14:paraId="00000046">
      <w:pPr>
        <w:spacing w:after="0" w:before="0" w:lineRule="auto"/>
        <w:ind w:right="49"/>
        <w:jc w:val="both"/>
        <w:rPr>
          <w:rFonts w:ascii="Palatino Linotype" w:cs="Palatino Linotype" w:eastAsia="Palatino Linotype" w:hAnsi="Palatino Linotype"/>
          <w:color w:val="000000"/>
          <w:sz w:val="8"/>
          <w:szCs w:val="8"/>
        </w:rPr>
      </w:pPr>
      <w:r w:rsidDel="00000000" w:rsidR="00000000" w:rsidRPr="00000000">
        <w:rPr>
          <w:rtl w:val="0"/>
        </w:rPr>
      </w:r>
    </w:p>
    <w:p w:rsidR="00000000" w:rsidDel="00000000" w:rsidP="00000000" w:rsidRDefault="00000000" w:rsidRPr="00000000" w14:paraId="00000047">
      <w:pPr>
        <w:spacing w:before="0" w:lineRule="auto"/>
        <w:ind w:right="49"/>
        <w:jc w:val="both"/>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color w:val="000000"/>
          <w:sz w:val="20"/>
          <w:szCs w:val="20"/>
          <w:rtl w:val="0"/>
        </w:rPr>
        <w:t xml:space="preserve">YSM/LGMJ</w:t>
      </w:r>
    </w:p>
    <w:sectPr>
      <w:headerReference r:id="rId7" w:type="default"/>
      <w:headerReference r:id="rId8" w:type="first"/>
      <w:headerReference r:id="rId9" w:type="even"/>
      <w:footerReference r:id="rId10" w:type="default"/>
      <w:pgSz w:h="15840" w:w="12240"/>
      <w:pgMar w:bottom="1418" w:top="1418" w:left="1701" w:right="1467" w:header="709" w:footer="5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Página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de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93" w:firstLine="0"/>
      <w:jc w:val="righ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93"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VOTO PARTICULAR</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2326"/>
      </w:tabs>
      <w:spacing w:after="24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RECURSO DE REVISIÓN 08823/INFOEM/IP/RR/2019</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80F8C"/>
    <w:rPr>
      <w:rFonts w:ascii="Times New Roman" w:cs="Times New Roman" w:eastAsia="Times New Roman" w:hAnsi="Times New Roman"/>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val="1"/>
    <w:rsid w:val="0058639E"/>
    <w:pPr>
      <w:ind w:left="720"/>
      <w:contextualSpacing w:val="1"/>
    </w:pPr>
  </w:style>
  <w:style w:type="paragraph" w:styleId="Default" w:customStyle="1">
    <w:name w:val="Default"/>
    <w:rsid w:val="0058639E"/>
    <w:pPr>
      <w:autoSpaceDE w:val="0"/>
      <w:autoSpaceDN w:val="0"/>
      <w:adjustRightInd w:val="0"/>
    </w:pPr>
    <w:rPr>
      <w:rFonts w:ascii="Arial" w:cs="Arial" w:hAnsi="Arial"/>
      <w:color w:val="000000"/>
      <w:lang w:val="es-MX"/>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val="1"/>
    <w:locked w:val="1"/>
    <w:rsid w:val="000E2B1A"/>
    <w:rPr>
      <w:rFonts w:ascii="Times New Roman" w:cs="Times New Roman" w:eastAsia="Times New Roman" w:hAnsi="Times New Roman"/>
      <w:lang w:val="es-ES"/>
    </w:rPr>
  </w:style>
  <w:style w:type="paragraph" w:styleId="Sinespaciado">
    <w:name w:val="No Spacing"/>
    <w:aliases w:val="Francesa"/>
    <w:link w:val="SinespaciadoCar"/>
    <w:uiPriority w:val="1"/>
    <w:qFormat w:val="1"/>
    <w:rsid w:val="008C0700"/>
    <w:rPr>
      <w:rFonts w:ascii="Times New Roman" w:cs="Times New Roman" w:eastAsia="Times New Roman" w:hAnsi="Times New Roman"/>
      <w:lang w:val="es-MX"/>
    </w:rPr>
  </w:style>
  <w:style w:type="character" w:styleId="SinespaciadoCar" w:customStyle="1">
    <w:name w:val="Sin espaciado Car"/>
    <w:aliases w:val="Francesa Car"/>
    <w:link w:val="Sinespaciado"/>
    <w:uiPriority w:val="1"/>
    <w:locked w:val="1"/>
    <w:rsid w:val="008C0700"/>
    <w:rPr>
      <w:rFonts w:ascii="Times New Roman" w:cs="Times New Roman" w:eastAsia="Times New Roman" w:hAnsi="Times New Roman"/>
      <w:lang w:val="es-MX"/>
    </w:rPr>
  </w:style>
  <w:style w:type="character" w:styleId="normaltextrun" w:customStyle="1">
    <w:name w:val="normaltextrun"/>
    <w:basedOn w:val="Fuentedeprrafopredeter"/>
    <w:rsid w:val="002D69E1"/>
  </w:style>
  <w:style w:type="paragraph" w:styleId="paragraph" w:customStyle="1">
    <w:name w:val="paragraph"/>
    <w:basedOn w:val="Normal"/>
    <w:rsid w:val="002D69E1"/>
    <w:pPr>
      <w:spacing w:after="100" w:afterAutospacing="1" w:before="100" w:beforeAutospacing="1"/>
    </w:pPr>
    <w:rPr>
      <w:lang w:eastAsia="es-MX" w:val="es-MX"/>
    </w:rPr>
  </w:style>
  <w:style w:type="table" w:styleId="Tablaconcuadrcula">
    <w:name w:val="Table Grid"/>
    <w:basedOn w:val="Tablanormal"/>
    <w:uiPriority w:val="59"/>
    <w:rsid w:val="00D93C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Fuentedeprrafopredeter"/>
    <w:rsid w:val="00D93CE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eFikD5dCS9pXOAWQzBwq30ckog==">AMUW2mV24uvNvnsaHFs/ffVREew8s3WmuDAVP0zeIH8qb4iuFVh9LDMUpV02Nx4jIoMCseD2zwYnoG/A3pQXJT+ZUtYSaw11hvI4tvJOFbnwva3NcpACRyUvZ2hCOxGlaIFV+FdRUr85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2020-02-17T15:54:00Z</dcterms:created>
  <dc:creator>iMac</dc:creator>
</cp:coreProperties>
</file>