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BD2" w:rsidRDefault="00782BD2"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087A45">
        <w:rPr>
          <w:rFonts w:ascii="Palatino Linotype" w:hAnsi="Palatino Linotype" w:cs="Arial"/>
          <w:color w:val="000000"/>
          <w:lang w:eastAsia="es-MX"/>
        </w:rPr>
        <w:t>seis</w:t>
      </w:r>
      <w:r w:rsidR="0067141E">
        <w:rPr>
          <w:rFonts w:ascii="Palatino Linotype" w:hAnsi="Palatino Linotype" w:cs="Arial"/>
          <w:color w:val="000000"/>
          <w:lang w:eastAsia="es-MX"/>
        </w:rPr>
        <w:t xml:space="preserve"> de </w:t>
      </w:r>
      <w:r w:rsidR="00087A45">
        <w:rPr>
          <w:rFonts w:ascii="Palatino Linotype" w:hAnsi="Palatino Linotype" w:cs="Arial"/>
          <w:color w:val="000000"/>
          <w:lang w:eastAsia="es-MX"/>
        </w:rPr>
        <w:t>noviembre</w:t>
      </w:r>
      <w:r w:rsidR="0067141E">
        <w:rPr>
          <w:rFonts w:ascii="Palatino Linotype" w:hAnsi="Palatino Linotype" w:cs="Arial"/>
          <w:color w:val="000000"/>
          <w:lang w:eastAsia="es-MX"/>
        </w:rPr>
        <w:t xml:space="preserve"> de dos mil diecinueve</w:t>
      </w:r>
      <w:r>
        <w:rPr>
          <w:rFonts w:ascii="Palatino Linotype" w:hAnsi="Palatino Linotype" w:cs="Arial"/>
        </w:rPr>
        <w:t xml:space="preserve">. </w:t>
      </w:r>
    </w:p>
    <w:p w:rsidR="00113E45" w:rsidRPr="000272B4" w:rsidRDefault="00113E45" w:rsidP="00113E45">
      <w:pPr>
        <w:spacing w:line="360" w:lineRule="auto"/>
        <w:jc w:val="both"/>
        <w:rPr>
          <w:rFonts w:ascii="Palatino Linotype" w:hAnsi="Palatino Linotype" w:cs="Arial"/>
        </w:rPr>
      </w:pPr>
    </w:p>
    <w:p w:rsidR="00113E45" w:rsidRPr="00EE5B44" w:rsidRDefault="00113E45" w:rsidP="00EE5B44">
      <w:pPr>
        <w:spacing w:line="360" w:lineRule="auto"/>
        <w:ind w:left="-45"/>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w:t>
      </w:r>
      <w:r w:rsidRPr="00EE5B44">
        <w:rPr>
          <w:rFonts w:ascii="Palatino Linotype" w:hAnsi="Palatino Linotype" w:cs="Arial"/>
        </w:rPr>
        <w:t xml:space="preserve">el expediente formado con motivo del recurso de revisión </w:t>
      </w:r>
      <w:r w:rsidRPr="00EE5B44">
        <w:rPr>
          <w:rFonts w:ascii="Palatino Linotype" w:hAnsi="Palatino Linotype" w:cs="Arial"/>
          <w:b/>
        </w:rPr>
        <w:t>0</w:t>
      </w:r>
      <w:r w:rsidR="00EE5B44" w:rsidRPr="00EE5B44">
        <w:rPr>
          <w:rFonts w:ascii="Palatino Linotype" w:hAnsi="Palatino Linotype" w:cs="Arial"/>
          <w:b/>
        </w:rPr>
        <w:t>7030</w:t>
      </w:r>
      <w:r w:rsidRPr="00EE5B44">
        <w:rPr>
          <w:rFonts w:ascii="Palatino Linotype" w:hAnsi="Palatino Linotype" w:cs="Arial"/>
          <w:b/>
        </w:rPr>
        <w:t>/INFOEM/</w:t>
      </w:r>
      <w:r w:rsidR="00EE5B44" w:rsidRPr="00EE5B44">
        <w:rPr>
          <w:rFonts w:ascii="Palatino Linotype" w:hAnsi="Palatino Linotype" w:cs="Arial"/>
          <w:b/>
        </w:rPr>
        <w:t>AD</w:t>
      </w:r>
      <w:r w:rsidRPr="00EE5B44">
        <w:rPr>
          <w:rFonts w:ascii="Palatino Linotype" w:hAnsi="Palatino Linotype" w:cs="Arial"/>
          <w:b/>
        </w:rPr>
        <w:t>/RR/2019</w:t>
      </w:r>
      <w:r w:rsidRPr="00EE5B44">
        <w:rPr>
          <w:rFonts w:ascii="Palatino Linotype" w:hAnsi="Palatino Linotype" w:cs="Arial"/>
        </w:rPr>
        <w:t>, interpuesto por</w:t>
      </w:r>
      <w:r w:rsidR="00835D9D" w:rsidRPr="00EE5B44">
        <w:rPr>
          <w:rFonts w:ascii="Palatino Linotype" w:hAnsi="Palatino Linotype" w:cs="Arial"/>
        </w:rPr>
        <w:t xml:space="preserve"> l</w:t>
      </w:r>
      <w:r w:rsidR="00EE5B44" w:rsidRPr="00EE5B44">
        <w:rPr>
          <w:rFonts w:ascii="Palatino Linotype" w:hAnsi="Palatino Linotype" w:cs="Arial"/>
        </w:rPr>
        <w:t>a</w:t>
      </w:r>
      <w:r w:rsidR="00835D9D" w:rsidRPr="00EE5B44">
        <w:rPr>
          <w:rFonts w:ascii="Palatino Linotype" w:hAnsi="Palatino Linotype" w:cs="Arial"/>
        </w:rPr>
        <w:t xml:space="preserve"> </w:t>
      </w:r>
      <w:r w:rsidR="00E40810" w:rsidRPr="00EE5B44">
        <w:rPr>
          <w:rFonts w:ascii="Palatino Linotype" w:hAnsi="Palatino Linotype"/>
          <w:b/>
          <w:lang w:val="es-ES_tradnl"/>
        </w:rPr>
        <w:t>C.</w:t>
      </w:r>
      <w:r w:rsidR="00835D9D" w:rsidRPr="00EE5B44">
        <w:rPr>
          <w:rFonts w:ascii="Palatino Linotype" w:hAnsi="Palatino Linotype"/>
          <w:b/>
          <w:lang w:val="es-ES_tradnl"/>
        </w:rPr>
        <w:t xml:space="preserve"> </w:t>
      </w:r>
      <w:r w:rsidR="009E3069">
        <w:rPr>
          <w:rFonts w:ascii="Palatino Linotype" w:hAnsi="Palatino Linotype"/>
          <w:b/>
          <w:lang w:val="es-ES_tradnl"/>
        </w:rPr>
        <w:t>xxxxxxxxxxxxxxxxxxxxxxxxx</w:t>
      </w:r>
      <w:r w:rsidR="00EE5B44" w:rsidRPr="00EE5B44">
        <w:rPr>
          <w:rFonts w:ascii="Palatino Linotype" w:hAnsi="Palatino Linotype"/>
          <w:b/>
          <w:lang w:val="es-ES_tradnl"/>
        </w:rPr>
        <w:t xml:space="preserve"> </w:t>
      </w:r>
      <w:r w:rsidR="009E3069">
        <w:rPr>
          <w:rFonts w:ascii="Palatino Linotype" w:hAnsi="Palatino Linotype"/>
          <w:b/>
          <w:lang w:val="es-ES_tradnl"/>
        </w:rPr>
        <w:t>xxxxxxxxxxxxxx</w:t>
      </w:r>
      <w:r w:rsidR="00835D9D" w:rsidRPr="00EE5B44">
        <w:rPr>
          <w:rFonts w:ascii="Palatino Linotype" w:hAnsi="Palatino Linotype"/>
          <w:b/>
          <w:lang w:val="es-ES_tradnl"/>
        </w:rPr>
        <w:t xml:space="preserve"> </w:t>
      </w:r>
      <w:r w:rsidRPr="00EE5B44">
        <w:rPr>
          <w:rFonts w:ascii="Palatino Linotype" w:hAnsi="Palatino Linotype" w:cs="Arial"/>
        </w:rPr>
        <w:t>en lo sucesivo</w:t>
      </w:r>
      <w:r w:rsidRPr="00EE5B44">
        <w:rPr>
          <w:rFonts w:ascii="Palatino Linotype" w:hAnsi="Palatino Linotype" w:cs="Arial"/>
          <w:b/>
        </w:rPr>
        <w:t xml:space="preserve"> </w:t>
      </w:r>
      <w:r w:rsidRPr="00EE5B44">
        <w:rPr>
          <w:rFonts w:ascii="Palatino Linotype" w:hAnsi="Palatino Linotype" w:cs="Arial"/>
        </w:rPr>
        <w:t xml:space="preserve">EL </w:t>
      </w:r>
      <w:r w:rsidRPr="00EE5B44">
        <w:rPr>
          <w:rFonts w:ascii="Palatino Linotype" w:hAnsi="Palatino Linotype" w:cs="Arial"/>
          <w:b/>
        </w:rPr>
        <w:t>RECURRENTE,</w:t>
      </w:r>
      <w:r w:rsidRPr="00EE5B44">
        <w:rPr>
          <w:rFonts w:ascii="Palatino Linotype" w:hAnsi="Palatino Linotype" w:cs="Arial"/>
        </w:rPr>
        <w:t xml:space="preserve"> en contra de la respuesta a su solicitud por parte de</w:t>
      </w:r>
      <w:r w:rsidR="00852257" w:rsidRPr="00EE5B44">
        <w:rPr>
          <w:rFonts w:ascii="Palatino Linotype" w:hAnsi="Palatino Linotype" w:cs="Arial"/>
        </w:rPr>
        <w:t>l</w:t>
      </w:r>
      <w:r w:rsidRPr="00EE5B44">
        <w:rPr>
          <w:rFonts w:ascii="Palatino Linotype" w:hAnsi="Palatino Linotype" w:cs="Arial"/>
        </w:rPr>
        <w:t xml:space="preserve"> </w:t>
      </w:r>
      <w:r w:rsidR="00EE5B44">
        <w:rPr>
          <w:rFonts w:ascii="Palatino Linotype" w:hAnsi="Palatino Linotype" w:cs="Arial"/>
          <w:b/>
        </w:rPr>
        <w:t>Poder Judicial</w:t>
      </w:r>
      <w:r w:rsidRPr="00EE5B44">
        <w:rPr>
          <w:rFonts w:ascii="Palatino Linotype" w:hAnsi="Palatino Linotype" w:cs="Arial"/>
        </w:rPr>
        <w:t xml:space="preserve">, en lo sucesivo el SUJETO OBLIGADO, se procede a dictar la presente resolución con base en los siguientes: </w:t>
      </w:r>
    </w:p>
    <w:p w:rsidR="00EE5B44" w:rsidRPr="00EE5B44" w:rsidRDefault="00EE5B44" w:rsidP="00EE5B44">
      <w:pPr>
        <w:spacing w:line="360" w:lineRule="auto"/>
        <w:jc w:val="both"/>
        <w:rPr>
          <w:rFonts w:ascii="Palatino Linotype" w:hAnsi="Palatino Linotype" w:cs="Arial"/>
        </w:rPr>
      </w:pPr>
    </w:p>
    <w:p w:rsidR="00113E45" w:rsidRPr="000272B4" w:rsidRDefault="00113E45" w:rsidP="00113E45">
      <w:pPr>
        <w:pStyle w:val="Prrafodelista"/>
        <w:numPr>
          <w:ilvl w:val="0"/>
          <w:numId w:val="1"/>
        </w:numPr>
        <w:spacing w:line="360" w:lineRule="auto"/>
        <w:jc w:val="center"/>
        <w:rPr>
          <w:rFonts w:ascii="Palatino Linotype" w:hAnsi="Palatino Linotype"/>
          <w:b/>
        </w:rPr>
      </w:pPr>
      <w:r w:rsidRPr="000272B4">
        <w:rPr>
          <w:rFonts w:ascii="Palatino Linotype" w:hAnsi="Palatino Linotype"/>
          <w:b/>
        </w:rPr>
        <w:t>A N T E C E D E N T E S</w:t>
      </w:r>
    </w:p>
    <w:p w:rsidR="00113E45" w:rsidRPr="000272B4" w:rsidRDefault="00113E45" w:rsidP="00113E45">
      <w:pPr>
        <w:spacing w:line="360" w:lineRule="auto"/>
        <w:rPr>
          <w:rFonts w:ascii="Palatino Linotype" w:hAnsi="Palatino Linotype" w:cs="Arial"/>
          <w:b/>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 xml:space="preserve">Primero. Solicitud de acceso a </w:t>
      </w:r>
      <w:r w:rsidR="00EE5B44">
        <w:rPr>
          <w:rFonts w:ascii="Palatino Linotype" w:hAnsi="Palatino Linotype" w:cs="Arial"/>
          <w:b/>
        </w:rPr>
        <w:t>datos personales</w:t>
      </w:r>
      <w:r w:rsidRPr="000272B4">
        <w:rPr>
          <w:rFonts w:ascii="Palatino Linotype" w:hAnsi="Palatino Linotype" w:cs="Arial"/>
        </w:rPr>
        <w:t xml:space="preserve"> </w:t>
      </w:r>
    </w:p>
    <w:p w:rsidR="00113E45" w:rsidRPr="000272B4" w:rsidRDefault="00113E45" w:rsidP="00EE5B44">
      <w:pPr>
        <w:spacing w:line="360" w:lineRule="auto"/>
        <w:jc w:val="both"/>
        <w:rPr>
          <w:rFonts w:ascii="Palatino Linotype" w:hAnsi="Palatino Linotype" w:cs="Arial"/>
        </w:rPr>
      </w:pPr>
      <w:r w:rsidRPr="000272B4">
        <w:rPr>
          <w:rFonts w:ascii="Palatino Linotype" w:hAnsi="Palatino Linotype" w:cs="Arial"/>
        </w:rPr>
        <w:t xml:space="preserve">Con fecha </w:t>
      </w:r>
      <w:r w:rsidR="00EE5B44">
        <w:rPr>
          <w:rFonts w:ascii="Palatino Linotype" w:hAnsi="Palatino Linotype" w:cs="Arial"/>
          <w:b/>
        </w:rPr>
        <w:t>ocho</w:t>
      </w:r>
      <w:r w:rsidR="006137E5">
        <w:rPr>
          <w:rFonts w:ascii="Palatino Linotype" w:hAnsi="Palatino Linotype" w:cs="Arial"/>
          <w:b/>
        </w:rPr>
        <w:t xml:space="preserve"> </w:t>
      </w:r>
      <w:r w:rsidRPr="000272B4">
        <w:rPr>
          <w:rFonts w:ascii="Palatino Linotype" w:hAnsi="Palatino Linotype" w:cs="Arial"/>
          <w:b/>
        </w:rPr>
        <w:t xml:space="preserve">de </w:t>
      </w:r>
      <w:r w:rsidR="00EE5B44">
        <w:rPr>
          <w:rFonts w:ascii="Palatino Linotype" w:hAnsi="Palatino Linotype" w:cs="Arial"/>
          <w:b/>
        </w:rPr>
        <w:t>agosto</w:t>
      </w:r>
      <w:r w:rsidRPr="000272B4">
        <w:rPr>
          <w:rFonts w:ascii="Palatino Linotype" w:hAnsi="Palatino Linotype" w:cs="Arial"/>
          <w:b/>
        </w:rPr>
        <w:t xml:space="preserve"> de dos mil diecinueve,</w:t>
      </w:r>
      <w:r w:rsidRPr="000272B4">
        <w:rPr>
          <w:rFonts w:ascii="Palatino Linotype" w:hAnsi="Palatino Linotype" w:cs="Arial"/>
        </w:rPr>
        <w:t xml:space="preserve"> </w:t>
      </w:r>
      <w:r w:rsidR="00EE5B44">
        <w:rPr>
          <w:rFonts w:ascii="Palatino Linotype" w:hAnsi="Palatino Linotype" w:cs="Arial"/>
        </w:rPr>
        <w:t xml:space="preserve">la </w:t>
      </w:r>
      <w:r w:rsidRPr="000272B4">
        <w:rPr>
          <w:rFonts w:ascii="Palatino Linotype" w:hAnsi="Palatino Linotype" w:cs="Arial"/>
        </w:rPr>
        <w:t xml:space="preserve">hoy </w:t>
      </w:r>
      <w:r w:rsidRPr="000272B4">
        <w:rPr>
          <w:rFonts w:ascii="Palatino Linotype" w:hAnsi="Palatino Linotype" w:cs="Arial"/>
          <w:b/>
        </w:rPr>
        <w:t xml:space="preserve">RECURRENTE </w:t>
      </w:r>
      <w:r w:rsidRPr="000272B4">
        <w:rPr>
          <w:rFonts w:ascii="Palatino Linotype" w:hAnsi="Palatino Linotype" w:cs="Arial"/>
        </w:rPr>
        <w:t xml:space="preserve">presentó a través del </w:t>
      </w:r>
      <w:r w:rsidR="00EE5B44" w:rsidRPr="00EE5B44">
        <w:rPr>
          <w:rFonts w:ascii="Palatino Linotype" w:hAnsi="Palatino Linotype" w:cs="Arial"/>
        </w:rPr>
        <w:t xml:space="preserve">Sistema de acceso, Rectificación, Cancelación </w:t>
      </w:r>
      <w:r w:rsidR="00EE5B44">
        <w:rPr>
          <w:rFonts w:ascii="Palatino Linotype" w:hAnsi="Palatino Linotype" w:cs="Arial"/>
        </w:rPr>
        <w:t>y</w:t>
      </w:r>
      <w:r w:rsidR="00EE5B44" w:rsidRPr="00EE5B44">
        <w:rPr>
          <w:rFonts w:ascii="Palatino Linotype" w:hAnsi="Palatino Linotype" w:cs="Arial"/>
        </w:rPr>
        <w:t xml:space="preserve"> Oposición de Datos Personales del Estado de México</w:t>
      </w:r>
      <w:r w:rsidRPr="000272B4">
        <w:rPr>
          <w:rFonts w:ascii="Palatino Linotype" w:hAnsi="Palatino Linotype" w:cs="Arial"/>
        </w:rPr>
        <w:t xml:space="preserve">, en lo subsecuente el </w:t>
      </w:r>
      <w:r w:rsidRPr="000272B4">
        <w:rPr>
          <w:rFonts w:ascii="Palatino Linotype" w:hAnsi="Palatino Linotype" w:cs="Arial"/>
          <w:b/>
        </w:rPr>
        <w:t>SA</w:t>
      </w:r>
      <w:r w:rsidR="00EE5B44">
        <w:rPr>
          <w:rFonts w:ascii="Palatino Linotype" w:hAnsi="Palatino Linotype" w:cs="Arial"/>
          <w:b/>
        </w:rPr>
        <w:t>RCOEM</w:t>
      </w:r>
      <w:r w:rsidRPr="000272B4">
        <w:rPr>
          <w:rFonts w:ascii="Palatino Linotype" w:hAnsi="Palatino Linotype" w:cs="Arial"/>
        </w:rPr>
        <w:t xml:space="preserve"> ante el </w:t>
      </w:r>
      <w:r w:rsidRPr="000272B4">
        <w:rPr>
          <w:rFonts w:ascii="Palatino Linotype" w:hAnsi="Palatino Linotype" w:cs="Arial"/>
          <w:b/>
        </w:rPr>
        <w:t>SUJETO OBLIGADO</w:t>
      </w:r>
      <w:r w:rsidRPr="000272B4">
        <w:rPr>
          <w:rFonts w:ascii="Palatino Linotype" w:hAnsi="Palatino Linotype" w:cs="Arial"/>
        </w:rPr>
        <w:t xml:space="preserve">, la solicitud de acceso a </w:t>
      </w:r>
      <w:r w:rsidR="0076274F">
        <w:rPr>
          <w:rFonts w:ascii="Palatino Linotype" w:hAnsi="Palatino Linotype" w:cs="Arial"/>
        </w:rPr>
        <w:t>datos personales</w:t>
      </w:r>
      <w:r w:rsidRPr="000272B4">
        <w:rPr>
          <w:rFonts w:ascii="Palatino Linotype" w:hAnsi="Palatino Linotype" w:cs="Arial"/>
        </w:rPr>
        <w:t xml:space="preserve">, a la que se le asignó el número </w:t>
      </w:r>
      <w:r w:rsidR="00E92A81" w:rsidRPr="00E92A81">
        <w:rPr>
          <w:rFonts w:ascii="Palatino Linotype" w:hAnsi="Palatino Linotype" w:cs="Arial"/>
          <w:b/>
        </w:rPr>
        <w:t>0</w:t>
      </w:r>
      <w:r w:rsidR="006137E5">
        <w:rPr>
          <w:rFonts w:ascii="Palatino Linotype" w:hAnsi="Palatino Linotype" w:cs="Arial"/>
          <w:b/>
        </w:rPr>
        <w:t>0</w:t>
      </w:r>
      <w:r w:rsidR="00E92A81" w:rsidRPr="00E92A81">
        <w:rPr>
          <w:rFonts w:ascii="Palatino Linotype" w:hAnsi="Palatino Linotype" w:cs="Arial"/>
          <w:b/>
        </w:rPr>
        <w:t>0</w:t>
      </w:r>
      <w:r w:rsidR="0076274F">
        <w:rPr>
          <w:rFonts w:ascii="Palatino Linotype" w:hAnsi="Palatino Linotype" w:cs="Arial"/>
          <w:b/>
        </w:rPr>
        <w:t>17</w:t>
      </w:r>
      <w:r w:rsidR="005F1AE1" w:rsidRPr="005F1AE1">
        <w:rPr>
          <w:rFonts w:ascii="Palatino Linotype" w:hAnsi="Palatino Linotype" w:cs="Arial"/>
          <w:b/>
        </w:rPr>
        <w:t>/</w:t>
      </w:r>
      <w:r w:rsidR="0076274F">
        <w:rPr>
          <w:rFonts w:ascii="Palatino Linotype" w:hAnsi="Palatino Linotype" w:cs="Arial"/>
          <w:b/>
        </w:rPr>
        <w:t>PJUDICI</w:t>
      </w:r>
      <w:r w:rsidR="005F1AE1" w:rsidRPr="005F1AE1">
        <w:rPr>
          <w:rFonts w:ascii="Palatino Linotype" w:hAnsi="Palatino Linotype" w:cs="Arial"/>
          <w:b/>
        </w:rPr>
        <w:t>/</w:t>
      </w:r>
      <w:r w:rsidR="0076274F">
        <w:rPr>
          <w:rFonts w:ascii="Palatino Linotype" w:hAnsi="Palatino Linotype" w:cs="Arial"/>
          <w:b/>
        </w:rPr>
        <w:t>AD</w:t>
      </w:r>
      <w:r w:rsidR="005F1AE1" w:rsidRPr="005F1AE1">
        <w:rPr>
          <w:rFonts w:ascii="Palatino Linotype" w:hAnsi="Palatino Linotype" w:cs="Arial"/>
          <w:b/>
        </w:rPr>
        <w:t>/2019</w:t>
      </w:r>
      <w:r w:rsidRPr="000272B4">
        <w:rPr>
          <w:rFonts w:ascii="Palatino Linotype" w:hAnsi="Palatino Linotype" w:cs="Arial"/>
          <w:b/>
        </w:rPr>
        <w:t xml:space="preserve">, </w:t>
      </w:r>
      <w:r w:rsidRPr="000272B4">
        <w:rPr>
          <w:rFonts w:ascii="Palatino Linotype" w:hAnsi="Palatino Linotype" w:cs="Arial"/>
        </w:rPr>
        <w:t xml:space="preserve">mediante la cual requirió </w:t>
      </w:r>
      <w:r w:rsidR="0070364A">
        <w:rPr>
          <w:rFonts w:ascii="Palatino Linotype" w:hAnsi="Palatino Linotype" w:cs="Arial"/>
        </w:rPr>
        <w:t>los</w:t>
      </w:r>
      <w:r w:rsidRPr="000272B4">
        <w:rPr>
          <w:rFonts w:ascii="Palatino Linotype" w:hAnsi="Palatino Linotype" w:cs="Arial"/>
        </w:rPr>
        <w:t xml:space="preserve"> siguiente</w:t>
      </w:r>
      <w:r w:rsidR="0070364A">
        <w:rPr>
          <w:rFonts w:ascii="Palatino Linotype" w:hAnsi="Palatino Linotype" w:cs="Arial"/>
        </w:rPr>
        <w:t>s datos</w:t>
      </w:r>
      <w:r w:rsidRPr="000272B4">
        <w:rPr>
          <w:rFonts w:ascii="Palatino Linotype" w:hAnsi="Palatino Linotype" w:cs="Arial"/>
        </w:rPr>
        <w:t>:</w:t>
      </w:r>
    </w:p>
    <w:p w:rsidR="00EE5B44" w:rsidRPr="000272B4" w:rsidRDefault="00EE5B44" w:rsidP="00113E45">
      <w:pPr>
        <w:spacing w:line="360" w:lineRule="auto"/>
        <w:jc w:val="both"/>
        <w:rPr>
          <w:rFonts w:ascii="Palatino Linotype" w:hAnsi="Palatino Linotype" w:cs="Arial"/>
        </w:rPr>
      </w:pPr>
    </w:p>
    <w:p w:rsidR="00113E45" w:rsidRPr="007D5F1D" w:rsidRDefault="00113E45" w:rsidP="007D5F1D">
      <w:pPr>
        <w:ind w:left="851" w:right="618"/>
        <w:jc w:val="both"/>
        <w:rPr>
          <w:rFonts w:ascii="Palatino Linotype" w:hAnsi="Palatino Linotype"/>
          <w:i/>
          <w:sz w:val="22"/>
          <w:szCs w:val="22"/>
        </w:rPr>
      </w:pPr>
      <w:r w:rsidRPr="007D5F1D">
        <w:rPr>
          <w:rFonts w:ascii="Palatino Linotype" w:hAnsi="Palatino Linotype"/>
          <w:i/>
          <w:sz w:val="22"/>
          <w:szCs w:val="22"/>
        </w:rPr>
        <w:t>“</w:t>
      </w:r>
      <w:r w:rsidR="0070364A" w:rsidRPr="007D5F1D">
        <w:rPr>
          <w:rFonts w:ascii="Palatino Linotype" w:hAnsi="Palatino Linotype"/>
          <w:i/>
          <w:sz w:val="22"/>
          <w:szCs w:val="22"/>
        </w:rPr>
        <w:t xml:space="preserve">Ses solicita el expediente completo o similar, formado en razón de la causa número 147/2012 (antes de fusión 92/2007), relativa al proceso penal iniciado en contra de mi esposo </w:t>
      </w:r>
      <w:r w:rsidR="00CB5030">
        <w:rPr>
          <w:rFonts w:ascii="Palatino Linotype" w:hAnsi="Palatino Linotype"/>
          <w:i/>
          <w:sz w:val="22"/>
          <w:szCs w:val="22"/>
        </w:rPr>
        <w:t>xxxxxxxxxxxxxxxxxxxx</w:t>
      </w:r>
      <w:r w:rsidR="0070364A" w:rsidRPr="007D5F1D">
        <w:rPr>
          <w:rFonts w:ascii="Palatino Linotype" w:hAnsi="Palatino Linotype"/>
          <w:i/>
          <w:sz w:val="22"/>
          <w:szCs w:val="22"/>
        </w:rPr>
        <w:t xml:space="preserve">. Requiero todas las actuaciones desde que inicio el proceso penal por el delito de robo con violencia, iniciado en contra de mi esposo, hasta la última actuación, en el estado procesal en que se encuentra. Solicito lo anterior, en su representación, debido a la imposibilidad en que se encuentra para </w:t>
      </w:r>
      <w:r w:rsidR="0070364A" w:rsidRPr="007D5F1D">
        <w:rPr>
          <w:rFonts w:ascii="Palatino Linotype" w:hAnsi="Palatino Linotype"/>
          <w:i/>
          <w:sz w:val="22"/>
          <w:szCs w:val="22"/>
        </w:rPr>
        <w:lastRenderedPageBreak/>
        <w:t>ejercer este derecho y lo acredito con los documentos que se anexan a la presente solicitud</w:t>
      </w:r>
      <w:r w:rsidRPr="007D5F1D">
        <w:rPr>
          <w:rFonts w:ascii="Palatino Linotype" w:hAnsi="Palatino Linotype"/>
          <w:i/>
          <w:sz w:val="22"/>
          <w:szCs w:val="22"/>
        </w:rPr>
        <w:t>.“(sic)</w:t>
      </w:r>
    </w:p>
    <w:p w:rsidR="005F1AE1" w:rsidRDefault="005F1AE1" w:rsidP="00113E45">
      <w:pPr>
        <w:tabs>
          <w:tab w:val="left" w:pos="5295"/>
        </w:tabs>
        <w:spacing w:line="360" w:lineRule="auto"/>
        <w:jc w:val="both"/>
        <w:rPr>
          <w:rFonts w:ascii="Palatino Linotype" w:hAnsi="Palatino Linotype" w:cs="Arial"/>
        </w:rPr>
      </w:pPr>
    </w:p>
    <w:p w:rsidR="00113E45" w:rsidRPr="000272B4" w:rsidRDefault="00D51B93" w:rsidP="005F1AE1">
      <w:pPr>
        <w:spacing w:line="360" w:lineRule="auto"/>
        <w:jc w:val="both"/>
        <w:rPr>
          <w:rFonts w:ascii="Palatino Linotype" w:hAnsi="Palatino Linotype" w:cs="Arial"/>
        </w:rPr>
      </w:pPr>
      <w:r>
        <w:rPr>
          <w:rFonts w:ascii="Palatino Linotype" w:hAnsi="Palatino Linotype" w:cs="Arial"/>
        </w:rPr>
        <w:t>A</w:t>
      </w:r>
      <w:r w:rsidR="00056B17">
        <w:rPr>
          <w:rFonts w:ascii="Palatino Linotype" w:hAnsi="Palatino Linotype" w:cs="Arial"/>
        </w:rPr>
        <w:t>simismo</w:t>
      </w:r>
      <w:r>
        <w:rPr>
          <w:rFonts w:ascii="Palatino Linotype" w:hAnsi="Palatino Linotype" w:cs="Arial"/>
        </w:rPr>
        <w:t>,</w:t>
      </w:r>
      <w:r w:rsidR="00056B17">
        <w:rPr>
          <w:rFonts w:ascii="Palatino Linotype" w:hAnsi="Palatino Linotype" w:cs="Arial"/>
        </w:rPr>
        <w:t xml:space="preserve"> p</w:t>
      </w:r>
      <w:r w:rsidR="00113E45" w:rsidRPr="000272B4">
        <w:rPr>
          <w:rFonts w:ascii="Palatino Linotype" w:hAnsi="Palatino Linotype" w:cs="Arial"/>
        </w:rPr>
        <w:t xml:space="preserve">or </w:t>
      </w:r>
      <w:r w:rsidR="00F50E9C">
        <w:rPr>
          <w:rFonts w:ascii="Palatino Linotype" w:hAnsi="Palatino Linotype" w:cs="Arial"/>
        </w:rPr>
        <w:t>el</w:t>
      </w:r>
      <w:r w:rsidR="00113E45" w:rsidRPr="000272B4">
        <w:rPr>
          <w:rFonts w:ascii="Palatino Linotype" w:hAnsi="Palatino Linotype" w:cs="Arial"/>
        </w:rPr>
        <w:t xml:space="preserve"> mismo medio electrónico, señaló como modalidad de entrega de l</w:t>
      </w:r>
      <w:r w:rsidR="004F6607">
        <w:rPr>
          <w:rFonts w:ascii="Palatino Linotype" w:hAnsi="Palatino Linotype" w:cs="Arial"/>
        </w:rPr>
        <w:t>os</w:t>
      </w:r>
      <w:r w:rsidR="00113E45" w:rsidRPr="000272B4">
        <w:rPr>
          <w:rFonts w:ascii="Palatino Linotype" w:hAnsi="Palatino Linotype" w:cs="Arial"/>
        </w:rPr>
        <w:t xml:space="preserve"> </w:t>
      </w:r>
      <w:r w:rsidR="004F6607">
        <w:rPr>
          <w:rFonts w:ascii="Palatino Linotype" w:hAnsi="Palatino Linotype" w:cs="Arial"/>
        </w:rPr>
        <w:t>datos</w:t>
      </w:r>
      <w:r w:rsidR="00FD5356">
        <w:rPr>
          <w:rFonts w:ascii="Palatino Linotype" w:hAnsi="Palatino Linotype" w:cs="Arial"/>
        </w:rPr>
        <w:t xml:space="preserve"> personales,</w:t>
      </w:r>
      <w:r w:rsidR="004F6607">
        <w:rPr>
          <w:rFonts w:ascii="Palatino Linotype" w:hAnsi="Palatino Linotype" w:cs="Arial"/>
        </w:rPr>
        <w:t xml:space="preserve"> </w:t>
      </w:r>
      <w:r w:rsidR="00113E45" w:rsidRPr="000272B4">
        <w:rPr>
          <w:rFonts w:ascii="Palatino Linotype" w:hAnsi="Palatino Linotype" w:cs="Arial"/>
        </w:rPr>
        <w:t>el siguiente: “</w:t>
      </w:r>
      <w:r w:rsidR="00113E45" w:rsidRPr="005F1AE1">
        <w:rPr>
          <w:rFonts w:ascii="Palatino Linotype" w:hAnsi="Palatino Linotype" w:cs="Arial"/>
        </w:rPr>
        <w:t xml:space="preserve">A través de </w:t>
      </w:r>
      <w:r w:rsidR="004F6607">
        <w:rPr>
          <w:rFonts w:ascii="Palatino Linotype" w:hAnsi="Palatino Linotype" w:cs="Arial"/>
        </w:rPr>
        <w:t>SARCOEM</w:t>
      </w:r>
      <w:r w:rsidR="00113E45" w:rsidRPr="000272B4">
        <w:rPr>
          <w:rFonts w:ascii="Palatino Linotype" w:hAnsi="Palatino Linotype" w:cs="Arial"/>
        </w:rPr>
        <w:t>”</w:t>
      </w:r>
      <w:r w:rsidR="00B25D8E">
        <w:rPr>
          <w:rFonts w:ascii="Palatino Linotype" w:hAnsi="Palatino Linotype" w:cs="Arial"/>
        </w:rPr>
        <w:t>, adjuntando a dicha solicitud dos archivos electrónicos en formato PDF, que contienen una carta poder y dos credenciales de elector</w:t>
      </w:r>
      <w:r w:rsidR="00F50E9C">
        <w:rPr>
          <w:rFonts w:ascii="Palatino Linotype" w:hAnsi="Palatino Linotype" w:cs="Arial"/>
        </w:rPr>
        <w:t>.</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b/>
        </w:rPr>
      </w:pPr>
      <w:r w:rsidRPr="000272B4">
        <w:rPr>
          <w:rFonts w:ascii="Palatino Linotype" w:hAnsi="Palatino Linotype" w:cs="Arial"/>
          <w:b/>
        </w:rPr>
        <w:t xml:space="preserve">Segundo. Respuesta. </w:t>
      </w:r>
    </w:p>
    <w:p w:rsidR="00113E45" w:rsidRDefault="00127DBF" w:rsidP="00113E45">
      <w:pPr>
        <w:spacing w:line="360" w:lineRule="auto"/>
        <w:jc w:val="both"/>
        <w:rPr>
          <w:rFonts w:ascii="Palatino Linotype" w:hAnsi="Palatino Linotype" w:cs="Arial"/>
        </w:rPr>
      </w:pPr>
      <w:r>
        <w:rPr>
          <w:rFonts w:ascii="Palatino Linotype" w:hAnsi="Palatino Linotype" w:cs="Arial"/>
        </w:rPr>
        <w:t xml:space="preserve">Por </w:t>
      </w:r>
      <w:r w:rsidR="00605643">
        <w:rPr>
          <w:rFonts w:ascii="Palatino Linotype" w:hAnsi="Palatino Linotype" w:cs="Arial"/>
        </w:rPr>
        <w:t>lo que en fecha</w:t>
      </w:r>
      <w:r w:rsidR="007A69F7">
        <w:rPr>
          <w:rFonts w:ascii="Palatino Linotype" w:hAnsi="Palatino Linotype" w:cs="Arial"/>
        </w:rPr>
        <w:t xml:space="preserve"> </w:t>
      </w:r>
      <w:r w:rsidR="006224D3">
        <w:rPr>
          <w:rFonts w:ascii="Palatino Linotype" w:hAnsi="Palatino Linotype" w:cs="Arial"/>
        </w:rPr>
        <w:t>quince</w:t>
      </w:r>
      <w:r w:rsidR="001B6A97">
        <w:rPr>
          <w:rFonts w:ascii="Palatino Linotype" w:hAnsi="Palatino Linotype" w:cs="Arial"/>
        </w:rPr>
        <w:t xml:space="preserve"> de </w:t>
      </w:r>
      <w:r w:rsidR="006224D3">
        <w:rPr>
          <w:rFonts w:ascii="Palatino Linotype" w:hAnsi="Palatino Linotype" w:cs="Arial"/>
        </w:rPr>
        <w:t>agosto</w:t>
      </w:r>
      <w:r w:rsidR="001B6A97">
        <w:rPr>
          <w:rFonts w:ascii="Palatino Linotype" w:hAnsi="Palatino Linotype" w:cs="Arial"/>
        </w:rPr>
        <w:t xml:space="preserve"> de dos mil diecinueve</w:t>
      </w:r>
      <w:r w:rsidR="00DE13B7">
        <w:rPr>
          <w:rFonts w:ascii="Palatino Linotype" w:hAnsi="Palatino Linotype"/>
        </w:rPr>
        <w:t xml:space="preserve">, </w:t>
      </w:r>
      <w:r w:rsidR="00113E45" w:rsidRPr="000272B4">
        <w:rPr>
          <w:rFonts w:ascii="Palatino Linotype" w:hAnsi="Palatino Linotype" w:cs="Arial"/>
        </w:rPr>
        <w:t xml:space="preserve">se advierte que el </w:t>
      </w:r>
      <w:r w:rsidR="00113E45" w:rsidRPr="000272B4">
        <w:rPr>
          <w:rFonts w:ascii="Palatino Linotype" w:hAnsi="Palatino Linotype" w:cs="Arial"/>
          <w:b/>
        </w:rPr>
        <w:t xml:space="preserve">SUJETO OBLIGADO </w:t>
      </w:r>
      <w:r w:rsidR="00113E45" w:rsidRPr="000272B4">
        <w:rPr>
          <w:rFonts w:ascii="Palatino Linotype" w:hAnsi="Palatino Linotype" w:cs="Arial"/>
        </w:rPr>
        <w:t xml:space="preserve">dio contestación a la solicitud de acceso a </w:t>
      </w:r>
      <w:r w:rsidR="006224D3">
        <w:rPr>
          <w:rFonts w:ascii="Palatino Linotype" w:hAnsi="Palatino Linotype" w:cs="Arial"/>
        </w:rPr>
        <w:t xml:space="preserve">datos personales </w:t>
      </w:r>
      <w:r w:rsidR="007D5F1D">
        <w:rPr>
          <w:rFonts w:ascii="Palatino Linotype" w:hAnsi="Palatino Linotype" w:cs="Arial"/>
        </w:rPr>
        <w:t>con el siguiente oficio:</w:t>
      </w:r>
    </w:p>
    <w:p w:rsidR="007D5F1D" w:rsidRPr="000272B4" w:rsidRDefault="00CB5030" w:rsidP="007D5F1D">
      <w:pPr>
        <w:spacing w:line="360" w:lineRule="auto"/>
        <w:jc w:val="center"/>
        <w:rPr>
          <w:rFonts w:ascii="Palatino Linotype" w:hAnsi="Palatino Linotype" w:cs="Arial"/>
          <w:lang w:val="es-ES_tradnl"/>
        </w:rPr>
      </w:pPr>
      <w:r>
        <w:rPr>
          <w:noProof/>
          <w:lang w:val="es-MX" w:eastAsia="es-MX"/>
        </w:rPr>
        <mc:AlternateContent>
          <mc:Choice Requires="wps">
            <w:drawing>
              <wp:anchor distT="0" distB="0" distL="114300" distR="114300" simplePos="0" relativeHeight="251714560" behindDoc="0" locked="0" layoutInCell="1" allowOverlap="1">
                <wp:simplePos x="0" y="0"/>
                <wp:positionH relativeFrom="column">
                  <wp:posOffset>1933521</wp:posOffset>
                </wp:positionH>
                <wp:positionV relativeFrom="paragraph">
                  <wp:posOffset>1635653</wp:posOffset>
                </wp:positionV>
                <wp:extent cx="778958" cy="77273"/>
                <wp:effectExtent l="0" t="0" r="21590" b="18415"/>
                <wp:wrapNone/>
                <wp:docPr id="2" name="Rectángulo 2"/>
                <wp:cNvGraphicFramePr/>
                <a:graphic xmlns:a="http://schemas.openxmlformats.org/drawingml/2006/main">
                  <a:graphicData uri="http://schemas.microsoft.com/office/word/2010/wordprocessingShape">
                    <wps:wsp>
                      <wps:cNvSpPr/>
                      <wps:spPr>
                        <a:xfrm>
                          <a:off x="0" y="0"/>
                          <a:ext cx="778958" cy="7727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5710F5" id="Rectángulo 2" o:spid="_x0000_s1026" style="position:absolute;margin-left:152.25pt;margin-top:128.8pt;width:61.35pt;height:6.1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" fillcolor="white [3201]" strokecolor="white [3212]" strokeweight="1pt"/>
            </w:pict>
          </mc:Fallback>
        </mc:AlternateContent>
      </w:r>
      <w:bookmarkStart w:id="0" w:name="_GoBack"/>
      <w:r w:rsidR="007D5F1D">
        <w:rPr>
          <w:noProof/>
          <w:lang w:val="es-MX" w:eastAsia="es-MX"/>
        </w:rPr>
        <w:drawing>
          <wp:inline distT="0" distB="0" distL="0" distR="0" wp14:anchorId="55E8DC1C" wp14:editId="2F0DC4EA">
            <wp:extent cx="4610100" cy="4010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247" t="15389" r="37543" b="8268"/>
                    <a:stretch/>
                  </pic:blipFill>
                  <pic:spPr bwMode="auto">
                    <a:xfrm>
                      <a:off x="0" y="0"/>
                      <a:ext cx="4610100" cy="4010025"/>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1B6A97" w:rsidRDefault="001B6A97" w:rsidP="00113E45">
      <w:pPr>
        <w:spacing w:line="360" w:lineRule="auto"/>
        <w:jc w:val="both"/>
        <w:rPr>
          <w:rFonts w:ascii="Palatino Linotype" w:hAnsi="Palatino Linotype" w:cs="Arial"/>
          <w:lang w:val="es-ES_tradnl"/>
        </w:rPr>
      </w:pPr>
    </w:p>
    <w:p w:rsidR="00113E45" w:rsidRPr="000272B4" w:rsidRDefault="00113E45" w:rsidP="00113E45">
      <w:pPr>
        <w:spacing w:line="360" w:lineRule="auto"/>
        <w:ind w:right="49"/>
        <w:jc w:val="both"/>
        <w:rPr>
          <w:rFonts w:ascii="Palatino Linotype" w:hAnsi="Palatino Linotype" w:cs="Arial"/>
          <w:b/>
        </w:rPr>
      </w:pPr>
      <w:r w:rsidRPr="000272B4">
        <w:rPr>
          <w:rFonts w:ascii="Palatino Linotype" w:hAnsi="Palatino Linotype" w:cs="Arial"/>
          <w:b/>
        </w:rPr>
        <w:t>Tercer</w:t>
      </w:r>
      <w:r>
        <w:rPr>
          <w:rFonts w:ascii="Palatino Linotype" w:hAnsi="Palatino Linotype" w:cs="Arial"/>
          <w:b/>
        </w:rPr>
        <w:t>o</w:t>
      </w:r>
      <w:r w:rsidRPr="000272B4">
        <w:rPr>
          <w:rFonts w:ascii="Palatino Linotype" w:hAnsi="Palatino Linotype" w:cs="Arial"/>
          <w:b/>
        </w:rPr>
        <w:t xml:space="preserve">. Integración y trámite del recurso de revisión. </w:t>
      </w:r>
    </w:p>
    <w:p w:rsidR="00E55515" w:rsidRDefault="00113E45" w:rsidP="00353A12">
      <w:pPr>
        <w:spacing w:line="360" w:lineRule="auto"/>
        <w:ind w:right="49"/>
        <w:jc w:val="both"/>
        <w:rPr>
          <w:rFonts w:ascii="Palatino Linotype" w:hAnsi="Palatino Linotype" w:cs="Arial"/>
        </w:rPr>
      </w:pPr>
      <w:r w:rsidRPr="000272B4">
        <w:rPr>
          <w:rFonts w:ascii="Palatino Linotype" w:hAnsi="Palatino Linotype" w:cs="Arial"/>
        </w:rPr>
        <w:t>Inconforme con la respuesta proporc</w:t>
      </w:r>
      <w:r w:rsidR="005F1464">
        <w:rPr>
          <w:rFonts w:ascii="Palatino Linotype" w:hAnsi="Palatino Linotype" w:cs="Arial"/>
        </w:rPr>
        <w:t xml:space="preserve">ionada por el SUJETO OBLIGADO, </w:t>
      </w:r>
      <w:r w:rsidRPr="000272B4">
        <w:rPr>
          <w:rFonts w:ascii="Palatino Linotype" w:hAnsi="Palatino Linotype" w:cs="Arial"/>
        </w:rPr>
        <w:t>l</w:t>
      </w:r>
      <w:r w:rsidR="005F1464">
        <w:rPr>
          <w:rFonts w:ascii="Palatino Linotype" w:hAnsi="Palatino Linotype" w:cs="Arial"/>
        </w:rPr>
        <w:t>a</w:t>
      </w:r>
      <w:r w:rsidRPr="000272B4">
        <w:rPr>
          <w:rFonts w:ascii="Palatino Linotype" w:hAnsi="Palatino Linotype" w:cs="Arial"/>
        </w:rPr>
        <w:t xml:space="preserve"> hoy </w:t>
      </w:r>
      <w:r w:rsidRPr="000272B4">
        <w:rPr>
          <w:rFonts w:ascii="Palatino Linotype" w:hAnsi="Palatino Linotype" w:cs="Arial"/>
          <w:b/>
        </w:rPr>
        <w:t>RECURRENTE</w:t>
      </w:r>
      <w:r w:rsidRPr="000272B4">
        <w:rPr>
          <w:rFonts w:ascii="Palatino Linotype" w:hAnsi="Palatino Linotype" w:cs="Arial"/>
        </w:rPr>
        <w:t xml:space="preserve"> interpuso el recurso de revisión materia del presente estudio el día </w:t>
      </w:r>
      <w:r w:rsidR="00E55515">
        <w:rPr>
          <w:rFonts w:ascii="Palatino Linotype" w:hAnsi="Palatino Linotype" w:cs="Arial"/>
          <w:b/>
        </w:rPr>
        <w:t>do</w:t>
      </w:r>
      <w:r w:rsidR="005F1464">
        <w:rPr>
          <w:rFonts w:ascii="Palatino Linotype" w:hAnsi="Palatino Linotype" w:cs="Arial"/>
          <w:b/>
        </w:rPr>
        <w:t>s</w:t>
      </w:r>
      <w:r w:rsidR="001853B9">
        <w:rPr>
          <w:rFonts w:ascii="Palatino Linotype" w:hAnsi="Palatino Linotype" w:cs="Arial"/>
          <w:b/>
        </w:rPr>
        <w:t xml:space="preserve"> </w:t>
      </w:r>
      <w:r w:rsidRPr="000272B4">
        <w:rPr>
          <w:rFonts w:ascii="Palatino Linotype" w:hAnsi="Palatino Linotype" w:cs="Arial"/>
          <w:b/>
        </w:rPr>
        <w:t xml:space="preserve">de </w:t>
      </w:r>
      <w:r w:rsidR="005F1464">
        <w:rPr>
          <w:rFonts w:ascii="Palatino Linotype" w:hAnsi="Palatino Linotype" w:cs="Arial"/>
          <w:b/>
        </w:rPr>
        <w:t xml:space="preserve">septiembre </w:t>
      </w:r>
      <w:r w:rsidRPr="000272B4">
        <w:rPr>
          <w:rFonts w:ascii="Palatino Linotype" w:hAnsi="Palatino Linotype" w:cs="Arial"/>
          <w:b/>
        </w:rPr>
        <w:t>de dos mil diecinueve</w:t>
      </w:r>
      <w:r w:rsidRPr="000272B4">
        <w:rPr>
          <w:rFonts w:ascii="Palatino Linotype" w:hAnsi="Palatino Linotype" w:cs="Arial"/>
        </w:rPr>
        <w:t>,</w:t>
      </w:r>
      <w:r w:rsidRPr="000272B4">
        <w:rPr>
          <w:rFonts w:ascii="Palatino Linotype" w:hAnsi="Palatino Linotype" w:cs="Arial"/>
          <w:b/>
        </w:rPr>
        <w:t xml:space="preserve"> </w:t>
      </w:r>
      <w:r w:rsidRPr="000272B4">
        <w:rPr>
          <w:rFonts w:ascii="Palatino Linotype" w:hAnsi="Palatino Linotype" w:cs="Arial"/>
        </w:rPr>
        <w:t>en el que señaló</w:t>
      </w:r>
      <w:r w:rsidR="00AD1483">
        <w:rPr>
          <w:rFonts w:ascii="Palatino Linotype" w:hAnsi="Palatino Linotype" w:cs="Arial"/>
        </w:rPr>
        <w:t xml:space="preserve">, </w:t>
      </w:r>
      <w:r w:rsidRPr="000272B4">
        <w:rPr>
          <w:rFonts w:ascii="Palatino Linotype" w:hAnsi="Palatino Linotype" w:cs="Arial"/>
        </w:rPr>
        <w:t>como acto impugnado</w:t>
      </w:r>
      <w:r w:rsidR="004E7F0D">
        <w:rPr>
          <w:rFonts w:ascii="Palatino Linotype" w:hAnsi="Palatino Linotype" w:cs="Arial"/>
        </w:rPr>
        <w:t xml:space="preserve">: </w:t>
      </w:r>
      <w:r w:rsidR="004E7F0D" w:rsidRPr="005F1464">
        <w:rPr>
          <w:rFonts w:ascii="Palatino Linotype" w:hAnsi="Palatino Linotype" w:cs="Arial"/>
        </w:rPr>
        <w:t>“</w:t>
      </w:r>
      <w:r w:rsidR="005F1464" w:rsidRPr="005F1464">
        <w:rPr>
          <w:rFonts w:ascii="Palatino Linotype" w:hAnsi="Palatino Linotype" w:cs="Arial"/>
        </w:rPr>
        <w:t>La respuesta del Sujeto Obligado</w:t>
      </w:r>
      <w:r w:rsidR="004E7F0D" w:rsidRPr="005F1464">
        <w:rPr>
          <w:rFonts w:ascii="Palatino Linotype" w:hAnsi="Palatino Linotype" w:cs="Arial"/>
        </w:rPr>
        <w:t>”,</w:t>
      </w:r>
      <w:r w:rsidRPr="005F1464">
        <w:rPr>
          <w:rFonts w:ascii="Palatino Linotype" w:hAnsi="Palatino Linotype" w:cs="Arial"/>
        </w:rPr>
        <w:t xml:space="preserve"> </w:t>
      </w:r>
      <w:r w:rsidR="00E55515" w:rsidRPr="005F1464">
        <w:rPr>
          <w:rFonts w:ascii="Palatino Linotype" w:hAnsi="Palatino Linotype" w:cs="Arial"/>
        </w:rPr>
        <w:t xml:space="preserve">y </w:t>
      </w:r>
      <w:r w:rsidR="004E7F0D">
        <w:rPr>
          <w:rFonts w:ascii="Palatino Linotype" w:hAnsi="Palatino Linotype" w:cs="Arial"/>
        </w:rPr>
        <w:t>como</w:t>
      </w:r>
      <w:r w:rsidRPr="000272B4">
        <w:rPr>
          <w:rFonts w:ascii="Palatino Linotype" w:hAnsi="Palatino Linotype" w:cs="Arial"/>
        </w:rPr>
        <w:t xml:space="preserve"> razones o motivos </w:t>
      </w:r>
      <w:r w:rsidR="00E55515">
        <w:rPr>
          <w:rFonts w:ascii="Palatino Linotype" w:hAnsi="Palatino Linotype" w:cs="Arial"/>
        </w:rPr>
        <w:t>de inconformidad los siguientes:</w:t>
      </w:r>
    </w:p>
    <w:p w:rsidR="00E55515" w:rsidRDefault="00E55515" w:rsidP="00353A12">
      <w:pPr>
        <w:spacing w:line="360" w:lineRule="auto"/>
        <w:ind w:right="49"/>
        <w:jc w:val="both"/>
        <w:rPr>
          <w:rFonts w:ascii="Palatino Linotype" w:hAnsi="Palatino Linotype" w:cs="Arial"/>
        </w:rPr>
      </w:pPr>
    </w:p>
    <w:p w:rsidR="00643F34" w:rsidRPr="00E55515" w:rsidRDefault="00E55515" w:rsidP="00E55515">
      <w:pPr>
        <w:ind w:left="851" w:right="616"/>
        <w:jc w:val="both"/>
        <w:rPr>
          <w:rFonts w:ascii="Palatino Linotype" w:hAnsi="Palatino Linotype"/>
          <w:i/>
        </w:rPr>
      </w:pPr>
      <w:r>
        <w:rPr>
          <w:rFonts w:ascii="Palatino Linotype" w:hAnsi="Palatino Linotype"/>
          <w:i/>
        </w:rPr>
        <w:t>“</w:t>
      </w:r>
      <w:r w:rsidR="005F1464" w:rsidRPr="005F1464">
        <w:rPr>
          <w:rFonts w:ascii="Palatino Linotype" w:hAnsi="Palatino Linotype"/>
          <w:i/>
        </w:rPr>
        <w:t>El Sujeto Obligado se niega a otorgarme la documentación que requiero argumentando la existencia de un trámite en específico de acuerdo a lo que establece el artículo 114 de la Ley de Protección de Datos Personales; sin embargo dicho precepto normativo citado, da la oportunidad al titular de los datos personales para que pueda acceder a sus datos personales a través del trámite específico, o bien, continuar por la vía de acceso a datos personales. Es por lo anterior que, toda vez que en la notificación que me hicieron no me dieron la oportunidad de manifestar si deseaba continuar o no con mi trámite de acceso a datos personales para acceder al expediente de mi esposo, presento el Recurso de Revisión que nos ocupa. Aunado a lo anterior, no debe perderse de vista que fundamentan su respuesta también en diversos artículos de legislaciones abrogadas, lo cual evidentemente no puede ser posible, ya que la solicitud de acceso a datos personales se presenta en fecha reciente. A mayor abundamiento aclaro que solicité acceder al expediente de mi esposo como un ejercicio de un derecho humano, ya que he intentado obtenerlo acudiendo a los organismos jurisdiccionales, en donde me argumentan que no me lo pueden dar porque tiene datos personales. También lo solicito a través de esta vía, ya que he tomado como base diversas resoluciones, criterios etc. en los cuales el INFOEM ha otorgado el acceso a la totalidad de documentos similares tales como historiales clínicos, expedientes clínicos, administrativos, laborales etc</w:t>
      </w:r>
      <w:r>
        <w:rPr>
          <w:rFonts w:ascii="Palatino Linotype" w:hAnsi="Palatino Linotype"/>
          <w:i/>
        </w:rPr>
        <w:t>.” (sic)</w:t>
      </w:r>
    </w:p>
    <w:p w:rsidR="00E55515" w:rsidRDefault="00E55515" w:rsidP="00353A12">
      <w:pPr>
        <w:spacing w:line="360" w:lineRule="auto"/>
        <w:ind w:right="49"/>
        <w:jc w:val="both"/>
        <w:rPr>
          <w:rFonts w:ascii="Palatino Linotype" w:hAnsi="Palatino Linotype" w:cs="Arial"/>
          <w:b/>
        </w:rPr>
      </w:pPr>
    </w:p>
    <w:p w:rsidR="007001F4" w:rsidRDefault="007001F4" w:rsidP="00113E45">
      <w:pPr>
        <w:spacing w:line="360" w:lineRule="auto"/>
        <w:ind w:right="49"/>
        <w:jc w:val="both"/>
        <w:rPr>
          <w:rFonts w:ascii="Palatino Linotype" w:hAnsi="Palatino Linotype" w:cs="Arial"/>
          <w:b/>
          <w:lang w:eastAsia="es-MX"/>
        </w:rPr>
      </w:pPr>
    </w:p>
    <w:p w:rsidR="007001F4" w:rsidRDefault="007001F4" w:rsidP="00113E45">
      <w:pPr>
        <w:spacing w:line="360" w:lineRule="auto"/>
        <w:ind w:right="49"/>
        <w:jc w:val="both"/>
        <w:rPr>
          <w:rFonts w:ascii="Palatino Linotype" w:hAnsi="Palatino Linotype" w:cs="Arial"/>
          <w:b/>
          <w:lang w:eastAsia="es-MX"/>
        </w:rPr>
      </w:pPr>
    </w:p>
    <w:p w:rsidR="00113E45" w:rsidRDefault="00113E45" w:rsidP="00113E45">
      <w:pPr>
        <w:spacing w:line="360" w:lineRule="auto"/>
        <w:ind w:right="49"/>
        <w:jc w:val="both"/>
        <w:rPr>
          <w:rFonts w:ascii="Palatino Linotype" w:hAnsi="Palatino Linotype" w:cs="Arial"/>
        </w:rPr>
      </w:pPr>
      <w:r w:rsidRPr="000272B4">
        <w:rPr>
          <w:rFonts w:ascii="Palatino Linotype" w:hAnsi="Palatino Linotype" w:cs="Arial"/>
          <w:b/>
          <w:lang w:eastAsia="es-MX"/>
        </w:rPr>
        <w:t xml:space="preserve">Anexos: </w:t>
      </w:r>
      <w:r w:rsidR="004E0230">
        <w:rPr>
          <w:rFonts w:ascii="Palatino Linotype" w:hAnsi="Palatino Linotype" w:cs="Arial"/>
          <w:lang w:eastAsia="es-MX"/>
        </w:rPr>
        <w:t>para tal efecto la recurrente</w:t>
      </w:r>
      <w:r w:rsidRPr="000272B4">
        <w:rPr>
          <w:rFonts w:ascii="Palatino Linotype" w:hAnsi="Palatino Linotype" w:cs="Arial"/>
          <w:lang w:eastAsia="es-MX"/>
        </w:rPr>
        <w:t xml:space="preserve"> adjuntó </w:t>
      </w:r>
      <w:r w:rsidR="004E0230">
        <w:rPr>
          <w:rFonts w:ascii="Palatino Linotype" w:hAnsi="Palatino Linotype" w:cs="Arial"/>
          <w:lang w:eastAsia="es-MX"/>
        </w:rPr>
        <w:t xml:space="preserve">los mismos </w:t>
      </w:r>
      <w:r w:rsidRPr="000272B4">
        <w:rPr>
          <w:rFonts w:ascii="Palatino Linotype" w:hAnsi="Palatino Linotype" w:cs="Arial"/>
          <w:lang w:eastAsia="es-MX"/>
        </w:rPr>
        <w:t>archivo</w:t>
      </w:r>
      <w:r w:rsidR="004E0230">
        <w:rPr>
          <w:rFonts w:ascii="Palatino Linotype" w:hAnsi="Palatino Linotype" w:cs="Arial"/>
          <w:lang w:eastAsia="es-MX"/>
        </w:rPr>
        <w:t>s electrónicos que en la solicitud de acceso a datos personales</w:t>
      </w:r>
      <w:r w:rsidRPr="000272B4">
        <w:rPr>
          <w:rFonts w:ascii="Palatino Linotype" w:hAnsi="Palatino Linotype" w:cs="Arial"/>
        </w:rPr>
        <w:t xml:space="preserve">. </w:t>
      </w:r>
    </w:p>
    <w:p w:rsidR="006275B9" w:rsidRPr="000272B4" w:rsidRDefault="006275B9" w:rsidP="00113E45">
      <w:pPr>
        <w:spacing w:line="360" w:lineRule="auto"/>
        <w:ind w:right="49"/>
        <w:jc w:val="both"/>
        <w:rPr>
          <w:rFonts w:ascii="Palatino Linotype" w:hAnsi="Palatino Linotype" w:cs="Arial"/>
        </w:rPr>
      </w:pPr>
    </w:p>
    <w:p w:rsidR="00113E45" w:rsidRPr="00311506" w:rsidRDefault="00113E45" w:rsidP="00113E45">
      <w:pPr>
        <w:spacing w:line="360" w:lineRule="auto"/>
        <w:jc w:val="both"/>
        <w:rPr>
          <w:rFonts w:ascii="Palatino Linotype" w:hAnsi="Palatino Linotype" w:cs="Arial"/>
          <w:b/>
        </w:rPr>
      </w:pPr>
      <w:r w:rsidRPr="00311506">
        <w:rPr>
          <w:rFonts w:ascii="Palatino Linotype" w:hAnsi="Palatino Linotype" w:cs="Arial"/>
          <w:b/>
        </w:rPr>
        <w:t>Cuarto. Del turno del recurso de revisión.</w:t>
      </w:r>
    </w:p>
    <w:p w:rsidR="00113E45" w:rsidRPr="00612F90" w:rsidRDefault="00113E45" w:rsidP="00113E45">
      <w:pPr>
        <w:spacing w:line="360" w:lineRule="auto"/>
        <w:jc w:val="both"/>
        <w:rPr>
          <w:rFonts w:ascii="Palatino Linotype" w:hAnsi="Palatino Linotype" w:cs="Arial"/>
        </w:rPr>
      </w:pPr>
      <w:r w:rsidRPr="00612F90">
        <w:rPr>
          <w:rFonts w:ascii="Palatino Linotype" w:hAnsi="Palatino Linotype" w:cs="Arial"/>
        </w:rPr>
        <w:t xml:space="preserve">En fecha </w:t>
      </w:r>
      <w:r w:rsidR="0029488C">
        <w:rPr>
          <w:rFonts w:ascii="Palatino Linotype" w:hAnsi="Palatino Linotype" w:cs="Arial"/>
        </w:rPr>
        <w:t>dos</w:t>
      </w:r>
      <w:r w:rsidR="0036603B">
        <w:rPr>
          <w:rFonts w:ascii="Palatino Linotype" w:hAnsi="Palatino Linotype" w:cs="Arial"/>
        </w:rPr>
        <w:t xml:space="preserve"> </w:t>
      </w:r>
      <w:r>
        <w:rPr>
          <w:rFonts w:ascii="Palatino Linotype" w:hAnsi="Palatino Linotype" w:cs="Arial"/>
        </w:rPr>
        <w:t xml:space="preserve">de </w:t>
      </w:r>
      <w:r w:rsidR="0029488C">
        <w:rPr>
          <w:rFonts w:ascii="Palatino Linotype" w:hAnsi="Palatino Linotype" w:cs="Arial"/>
        </w:rPr>
        <w:t>septiembre</w:t>
      </w:r>
      <w:r>
        <w:rPr>
          <w:rFonts w:ascii="Palatino Linotype" w:hAnsi="Palatino Linotype" w:cs="Arial"/>
        </w:rPr>
        <w:t xml:space="preserve"> </w:t>
      </w:r>
      <w:r w:rsidRPr="00612F90">
        <w:rPr>
          <w:rFonts w:ascii="Palatino Linotype" w:hAnsi="Palatino Linotype" w:cs="Arial"/>
        </w:rPr>
        <w:t xml:space="preserve">de dos mil </w:t>
      </w:r>
      <w:r>
        <w:rPr>
          <w:rFonts w:ascii="Palatino Linotype" w:hAnsi="Palatino Linotype" w:cs="Arial"/>
        </w:rPr>
        <w:t>diecinueve</w:t>
      </w:r>
      <w:r w:rsidRPr="00612F90">
        <w:rPr>
          <w:rFonts w:ascii="Palatino Linotype" w:hAnsi="Palatino Linotype" w:cs="Arial"/>
        </w:rPr>
        <w:t xml:space="preserve">, el medio de impugnación le fue turnado a la Comisionada </w:t>
      </w:r>
      <w:r>
        <w:rPr>
          <w:rFonts w:ascii="Palatino Linotype" w:hAnsi="Palatino Linotype" w:cs="Arial"/>
        </w:rPr>
        <w:t xml:space="preserve">Presidenta </w:t>
      </w:r>
      <w:r w:rsidRPr="00612F90">
        <w:rPr>
          <w:rFonts w:ascii="Palatino Linotype" w:hAnsi="Palatino Linotype" w:cs="Arial"/>
          <w:b/>
        </w:rPr>
        <w:t>Zulema Martínez Sánchez</w:t>
      </w:r>
      <w:r w:rsidRPr="00612F90">
        <w:rPr>
          <w:rFonts w:ascii="Palatino Linotype" w:hAnsi="Palatino Linotype" w:cs="Arial"/>
        </w:rPr>
        <w:t xml:space="preserve">, por medio del sistema electrónico </w:t>
      </w:r>
      <w:r w:rsidR="00782BD2">
        <w:rPr>
          <w:rFonts w:ascii="Palatino Linotype" w:hAnsi="Palatino Linotype" w:cs="Arial"/>
        </w:rPr>
        <w:t>SARCOEM</w:t>
      </w:r>
      <w:r w:rsidRPr="00612F90">
        <w:rPr>
          <w:rFonts w:ascii="Palatino Linotype" w:hAnsi="Palatino Linotype" w:cs="Arial"/>
        </w:rPr>
        <w:t>.</w:t>
      </w:r>
    </w:p>
    <w:p w:rsidR="00113E45" w:rsidRPr="00612F90" w:rsidRDefault="00113E45" w:rsidP="00113E45">
      <w:pPr>
        <w:spacing w:line="360" w:lineRule="auto"/>
        <w:ind w:left="426" w:hanging="426"/>
        <w:jc w:val="both"/>
        <w:rPr>
          <w:rFonts w:ascii="Palatino Linotype" w:hAnsi="Palatino Linotype" w:cs="Arial"/>
        </w:rPr>
      </w:pPr>
    </w:p>
    <w:p w:rsidR="0029488C" w:rsidRDefault="0029488C" w:rsidP="00113E45">
      <w:pPr>
        <w:spacing w:line="360" w:lineRule="auto"/>
        <w:jc w:val="both"/>
        <w:rPr>
          <w:rFonts w:ascii="Palatino Linotype" w:hAnsi="Palatino Linotype" w:cs="Arial"/>
        </w:rPr>
      </w:pPr>
      <w:r w:rsidRPr="00612F90">
        <w:rPr>
          <w:rFonts w:ascii="Palatino Linotype" w:hAnsi="Palatino Linotype" w:cs="Arial"/>
        </w:rPr>
        <w:t>Po</w:t>
      </w:r>
      <w:r>
        <w:rPr>
          <w:rFonts w:ascii="Palatino Linotype" w:hAnsi="Palatino Linotype" w:cs="Arial"/>
        </w:rPr>
        <w:t xml:space="preserve">steriormente en fecha cinco de septiembre de dos mil diecinueve, </w:t>
      </w:r>
      <w:r w:rsidR="004056B4">
        <w:rPr>
          <w:rFonts w:ascii="Palatino Linotype" w:hAnsi="Palatino Linotype" w:cs="Arial"/>
        </w:rPr>
        <w:t>se previno a la recurrente a efecto de que acreditara debidamente su representación, sin que hubiera desahogado la misma.</w:t>
      </w:r>
    </w:p>
    <w:p w:rsidR="0029488C" w:rsidRDefault="0029488C" w:rsidP="00113E45">
      <w:pPr>
        <w:spacing w:line="360" w:lineRule="auto"/>
        <w:jc w:val="both"/>
        <w:rPr>
          <w:rFonts w:ascii="Palatino Linotype" w:hAnsi="Palatino Linotype" w:cs="Arial"/>
        </w:rPr>
      </w:pPr>
    </w:p>
    <w:p w:rsidR="00AB4C8E" w:rsidRDefault="00AB4C8E" w:rsidP="00113E45">
      <w:pPr>
        <w:spacing w:line="360" w:lineRule="auto"/>
        <w:jc w:val="both"/>
        <w:rPr>
          <w:rFonts w:ascii="Palatino Linotype" w:hAnsi="Palatino Linotype" w:cs="Arial"/>
        </w:rPr>
      </w:pPr>
      <w:r>
        <w:rPr>
          <w:rFonts w:ascii="Palatino Linotype" w:hAnsi="Palatino Linotype" w:cs="Arial"/>
          <w:b/>
        </w:rPr>
        <w:t>Quinto</w:t>
      </w:r>
      <w:r w:rsidRPr="00311506">
        <w:rPr>
          <w:rFonts w:ascii="Palatino Linotype" w:hAnsi="Palatino Linotype" w:cs="Arial"/>
          <w:b/>
        </w:rPr>
        <w:t>. De</w:t>
      </w:r>
      <w:r>
        <w:rPr>
          <w:rFonts w:ascii="Palatino Linotype" w:hAnsi="Palatino Linotype" w:cs="Arial"/>
          <w:b/>
        </w:rPr>
        <w:t xml:space="preserve"> </w:t>
      </w:r>
      <w:r w:rsidRPr="00311506">
        <w:rPr>
          <w:rFonts w:ascii="Palatino Linotype" w:hAnsi="Palatino Linotype" w:cs="Arial"/>
          <w:b/>
        </w:rPr>
        <w:t>l</w:t>
      </w:r>
      <w:r>
        <w:rPr>
          <w:rFonts w:ascii="Palatino Linotype" w:hAnsi="Palatino Linotype" w:cs="Arial"/>
          <w:b/>
        </w:rPr>
        <w:t>a</w:t>
      </w:r>
      <w:r w:rsidRPr="00311506">
        <w:rPr>
          <w:rFonts w:ascii="Palatino Linotype" w:hAnsi="Palatino Linotype" w:cs="Arial"/>
          <w:b/>
        </w:rPr>
        <w:t xml:space="preserve"> </w:t>
      </w:r>
      <w:r>
        <w:rPr>
          <w:rFonts w:ascii="Palatino Linotype" w:hAnsi="Palatino Linotype" w:cs="Arial"/>
          <w:b/>
        </w:rPr>
        <w:t>admisión</w:t>
      </w:r>
      <w:r w:rsidRPr="00311506">
        <w:rPr>
          <w:rFonts w:ascii="Palatino Linotype" w:hAnsi="Palatino Linotype" w:cs="Arial"/>
          <w:b/>
        </w:rPr>
        <w:t xml:space="preserve"> del recurso de revisión.</w:t>
      </w:r>
    </w:p>
    <w:p w:rsidR="004056B4" w:rsidRPr="004056B4" w:rsidRDefault="004056B4" w:rsidP="00113E45">
      <w:pPr>
        <w:spacing w:line="360" w:lineRule="auto"/>
        <w:jc w:val="both"/>
        <w:rPr>
          <w:rFonts w:ascii="Palatino Linotype" w:hAnsi="Palatino Linotype" w:cs="Arial"/>
        </w:rPr>
      </w:pPr>
      <w:r>
        <w:rPr>
          <w:rFonts w:ascii="Palatino Linotype" w:hAnsi="Palatino Linotype" w:cs="Arial"/>
        </w:rPr>
        <w:t>E</w:t>
      </w:r>
      <w:r w:rsidR="00113E45" w:rsidRPr="00612F90">
        <w:rPr>
          <w:rFonts w:ascii="Palatino Linotype" w:hAnsi="Palatino Linotype" w:cs="Arial"/>
        </w:rPr>
        <w:t xml:space="preserve">l </w:t>
      </w:r>
      <w:r w:rsidR="00E55515">
        <w:rPr>
          <w:rFonts w:ascii="Palatino Linotype" w:hAnsi="Palatino Linotype" w:cs="Arial"/>
        </w:rPr>
        <w:t>dieci</w:t>
      </w:r>
      <w:r>
        <w:rPr>
          <w:rFonts w:ascii="Palatino Linotype" w:hAnsi="Palatino Linotype" w:cs="Arial"/>
        </w:rPr>
        <w:t>nueve</w:t>
      </w:r>
      <w:r w:rsidR="0036603B">
        <w:rPr>
          <w:rFonts w:ascii="Palatino Linotype" w:hAnsi="Palatino Linotype" w:cs="Arial"/>
        </w:rPr>
        <w:t xml:space="preserve"> </w:t>
      </w:r>
      <w:r w:rsidR="00113E45" w:rsidRPr="00612F90">
        <w:rPr>
          <w:rFonts w:ascii="Palatino Linotype" w:hAnsi="Palatino Linotype" w:cs="Arial"/>
        </w:rPr>
        <w:t xml:space="preserve">de </w:t>
      </w:r>
      <w:r>
        <w:rPr>
          <w:rFonts w:ascii="Palatino Linotype" w:hAnsi="Palatino Linotype" w:cs="Arial"/>
        </w:rPr>
        <w:t>septiembre</w:t>
      </w:r>
      <w:r w:rsidR="00113E45" w:rsidRPr="00612F90">
        <w:rPr>
          <w:rFonts w:ascii="Palatino Linotype" w:hAnsi="Palatino Linotype" w:cs="Arial"/>
        </w:rPr>
        <w:t xml:space="preserve"> de dos mil </w:t>
      </w:r>
      <w:r w:rsidR="00113E45">
        <w:rPr>
          <w:rFonts w:ascii="Palatino Linotype" w:hAnsi="Palatino Linotype" w:cs="Arial"/>
        </w:rPr>
        <w:t xml:space="preserve">diecinueve </w:t>
      </w:r>
      <w:r w:rsidR="00113E45" w:rsidRPr="00612F90">
        <w:rPr>
          <w:rFonts w:ascii="Palatino Linotype" w:hAnsi="Palatino Linotype" w:cs="Arial"/>
        </w:rPr>
        <w:t xml:space="preserve">se dictó acuerdo por medio del cual </w:t>
      </w:r>
      <w:r w:rsidR="00113E45" w:rsidRPr="004056B4">
        <w:rPr>
          <w:rFonts w:ascii="Palatino Linotype" w:hAnsi="Palatino Linotype" w:cs="Arial"/>
        </w:rPr>
        <w:t>se admitió el recurso de mérito</w:t>
      </w:r>
      <w:r w:rsidR="00EF54D2">
        <w:rPr>
          <w:rFonts w:ascii="Palatino Linotype" w:hAnsi="Palatino Linotype" w:cs="Arial"/>
        </w:rPr>
        <w:t xml:space="preserve">, a efecto de salvaguardar el derecho fundamental de acceso a datos personales en representación se le dio curso al presente recurso de revisión, para que, de acuerdo al procedimiento establecido en la </w:t>
      </w:r>
      <w:r w:rsidR="00EF54D2" w:rsidRPr="00E717D2">
        <w:rPr>
          <w:rFonts w:ascii="Palatino Linotype" w:hAnsi="Palatino Linotype" w:cs="Arial"/>
        </w:rPr>
        <w:t xml:space="preserve">Ley de </w:t>
      </w:r>
      <w:r w:rsidR="00EF54D2">
        <w:rPr>
          <w:rFonts w:ascii="Palatino Linotype" w:hAnsi="Palatino Linotype" w:cs="Arial"/>
        </w:rPr>
        <w:t>Protección de Datos Personales en Posesión de Sujetos Obligados del Estado de México y Municipios, pudiera manifestar en conciliación ante el sujeto obligado y mediando este Órgano Garante, lo que a su derecho conviniera y de esa forma llegar a un acuerdo que pusiera fin al presente recurso de revisión</w:t>
      </w:r>
      <w:r w:rsidRPr="004056B4">
        <w:rPr>
          <w:rFonts w:ascii="Palatino Linotype" w:hAnsi="Palatino Linotype" w:cs="Arial"/>
        </w:rPr>
        <w:t>.</w:t>
      </w:r>
    </w:p>
    <w:p w:rsidR="004056B4" w:rsidRDefault="004056B4" w:rsidP="00113E45">
      <w:pPr>
        <w:spacing w:line="360" w:lineRule="auto"/>
        <w:jc w:val="both"/>
        <w:rPr>
          <w:rFonts w:ascii="Palatino Linotype" w:hAnsi="Palatino Linotype" w:cs="Arial"/>
        </w:rPr>
      </w:pPr>
    </w:p>
    <w:p w:rsidR="007001F4" w:rsidRPr="004056B4" w:rsidRDefault="007001F4" w:rsidP="00113E45">
      <w:pPr>
        <w:spacing w:line="360" w:lineRule="auto"/>
        <w:jc w:val="both"/>
        <w:rPr>
          <w:rFonts w:ascii="Palatino Linotype" w:hAnsi="Palatino Linotype" w:cs="Arial"/>
        </w:rPr>
      </w:pPr>
    </w:p>
    <w:p w:rsidR="00EF54D2" w:rsidRPr="00831885" w:rsidRDefault="00EF54D2" w:rsidP="00113E45">
      <w:pPr>
        <w:spacing w:line="360" w:lineRule="auto"/>
        <w:jc w:val="both"/>
        <w:rPr>
          <w:rFonts w:ascii="Palatino Linotype" w:hAnsi="Palatino Linotype" w:cs="Arial"/>
          <w:b/>
        </w:rPr>
      </w:pPr>
      <w:r w:rsidRPr="00831885">
        <w:rPr>
          <w:rFonts w:ascii="Palatino Linotype" w:hAnsi="Palatino Linotype" w:cs="Arial"/>
          <w:b/>
        </w:rPr>
        <w:lastRenderedPageBreak/>
        <w:t>Sexto. De la Conciliación</w:t>
      </w:r>
    </w:p>
    <w:p w:rsidR="004056B4" w:rsidRPr="004056B4" w:rsidRDefault="00295D94" w:rsidP="00113E45">
      <w:pPr>
        <w:spacing w:line="360" w:lineRule="auto"/>
        <w:jc w:val="both"/>
        <w:rPr>
          <w:rFonts w:ascii="Palatino Linotype" w:hAnsi="Palatino Linotype" w:cs="Arial"/>
        </w:rPr>
      </w:pPr>
      <w:r>
        <w:rPr>
          <w:rFonts w:ascii="Palatino Linotype" w:hAnsi="Palatino Linotype" w:cs="Arial"/>
        </w:rPr>
        <w:t>E</w:t>
      </w:r>
      <w:r w:rsidR="004056B4" w:rsidRPr="00831885">
        <w:rPr>
          <w:rFonts w:ascii="Palatino Linotype" w:hAnsi="Palatino Linotype" w:cs="Arial"/>
        </w:rPr>
        <w:t xml:space="preserve">n fecha </w:t>
      </w:r>
      <w:r w:rsidR="00EF54D2" w:rsidRPr="00831885">
        <w:rPr>
          <w:rFonts w:ascii="Palatino Linotype" w:hAnsi="Palatino Linotype" w:cs="Arial"/>
        </w:rPr>
        <w:t>diecinueve de septiembre de dos mil diecinueve, se solicitó a las partes su anuencia a efecto de conciliar mediando entre ellas este Órgano Garante, para lo cual la parte recurrente asintió su deseo de conciliar el día veinte de octubre de dos mil diecinueve y por su parte el sujeto obligado el treinta de septiembre de dos mil diecinueve.</w:t>
      </w:r>
    </w:p>
    <w:p w:rsidR="004056B4" w:rsidRDefault="004056B4" w:rsidP="00113E45">
      <w:pPr>
        <w:spacing w:line="360" w:lineRule="auto"/>
        <w:jc w:val="both"/>
        <w:rPr>
          <w:rFonts w:ascii="Palatino Linotype" w:hAnsi="Palatino Linotype" w:cs="Arial"/>
        </w:rPr>
      </w:pPr>
    </w:p>
    <w:p w:rsidR="00295D94" w:rsidRDefault="00295D94" w:rsidP="00113E45">
      <w:pPr>
        <w:spacing w:line="360" w:lineRule="auto"/>
        <w:jc w:val="both"/>
        <w:rPr>
          <w:rFonts w:ascii="Palatino Linotype" w:hAnsi="Palatino Linotype" w:cs="Arial"/>
        </w:rPr>
      </w:pPr>
      <w:r>
        <w:rPr>
          <w:rFonts w:ascii="Palatino Linotype" w:hAnsi="Palatino Linotype" w:cs="Arial"/>
        </w:rPr>
        <w:t>Por lo que en fecha dos de octubre de dos mil diecinueve se fijó la audiencia de conciliación para el día diez de octubre de dos mil diecinueve</w:t>
      </w:r>
      <w:r w:rsidR="00242CA4">
        <w:rPr>
          <w:rFonts w:ascii="Palatino Linotype" w:hAnsi="Palatino Linotype" w:cs="Arial"/>
        </w:rPr>
        <w:t>, la cual se llevó a cabo en dicha fecha, y en la cual se hizo constar que la parte recurrente no compareció a la audiencia, tal y como consta en autos del expediente electr</w:t>
      </w:r>
      <w:r w:rsidR="000B1346">
        <w:rPr>
          <w:rFonts w:ascii="Palatino Linotype" w:hAnsi="Palatino Linotype" w:cs="Arial"/>
        </w:rPr>
        <w:t>ónico alojado en el SARCOEM, asimismo se hizo constar que el sujeto obligado si compareció a dicha audiencia en la cual manifestó lo que a su derecho convino.</w:t>
      </w:r>
    </w:p>
    <w:p w:rsidR="00242CA4" w:rsidRDefault="00242CA4" w:rsidP="00113E45">
      <w:pPr>
        <w:spacing w:line="360" w:lineRule="auto"/>
        <w:jc w:val="both"/>
        <w:rPr>
          <w:rFonts w:ascii="Palatino Linotype" w:hAnsi="Palatino Linotype" w:cs="Arial"/>
        </w:rPr>
      </w:pPr>
    </w:p>
    <w:p w:rsidR="00242CA4" w:rsidRDefault="00242CA4" w:rsidP="00113E45">
      <w:pPr>
        <w:spacing w:line="360" w:lineRule="auto"/>
        <w:jc w:val="both"/>
        <w:rPr>
          <w:rFonts w:ascii="Palatino Linotype" w:hAnsi="Palatino Linotype" w:cs="Arial"/>
        </w:rPr>
      </w:pPr>
      <w:r>
        <w:rPr>
          <w:rFonts w:ascii="Palatino Linotype" w:hAnsi="Palatino Linotype" w:cs="Arial"/>
        </w:rPr>
        <w:t>Por lo que en</w:t>
      </w:r>
      <w:r w:rsidR="00C60F5F">
        <w:rPr>
          <w:rFonts w:ascii="Palatino Linotype" w:hAnsi="Palatino Linotype" w:cs="Arial"/>
        </w:rPr>
        <w:t xml:space="preserve"> términos del artículo 132 fracción III de</w:t>
      </w:r>
      <w:r w:rsidR="00C60F5F" w:rsidRPr="00C60F5F">
        <w:rPr>
          <w:rFonts w:ascii="Palatino Linotype" w:hAnsi="Palatino Linotype" w:cs="Arial"/>
        </w:rPr>
        <w:t xml:space="preserve"> la Ley de Protección de Datos Personales en Posesión de Sujetos Obligados del Estado de México y Municipios</w:t>
      </w:r>
      <w:r w:rsidR="00C60F5F">
        <w:rPr>
          <w:rFonts w:ascii="Palatino Linotype" w:hAnsi="Palatino Linotype" w:cs="Arial"/>
        </w:rPr>
        <w:t xml:space="preserve">, se asentó en </w:t>
      </w:r>
      <w:r>
        <w:rPr>
          <w:rFonts w:ascii="Palatino Linotype" w:hAnsi="Palatino Linotype" w:cs="Arial"/>
        </w:rPr>
        <w:t xml:space="preserve">la misma acta </w:t>
      </w:r>
      <w:r w:rsidR="00C60F5F">
        <w:rPr>
          <w:rFonts w:ascii="Palatino Linotype" w:hAnsi="Palatino Linotype" w:cs="Arial"/>
        </w:rPr>
        <w:t>administrativa</w:t>
      </w:r>
      <w:r>
        <w:rPr>
          <w:rFonts w:ascii="Palatino Linotype" w:hAnsi="Palatino Linotype" w:cs="Arial"/>
        </w:rPr>
        <w:t xml:space="preserve"> </w:t>
      </w:r>
      <w:r w:rsidR="00C60F5F">
        <w:rPr>
          <w:rFonts w:ascii="Palatino Linotype" w:hAnsi="Palatino Linotype" w:cs="Arial"/>
        </w:rPr>
        <w:t>instrumentada</w:t>
      </w:r>
      <w:r>
        <w:rPr>
          <w:rFonts w:ascii="Palatino Linotype" w:hAnsi="Palatino Linotype" w:cs="Arial"/>
        </w:rPr>
        <w:t xml:space="preserve"> con motivo de la audiencia en </w:t>
      </w:r>
      <w:r w:rsidR="00C60F5F">
        <w:rPr>
          <w:rFonts w:ascii="Palatino Linotype" w:hAnsi="Palatino Linotype" w:cs="Arial"/>
        </w:rPr>
        <w:t xml:space="preserve">mención, que la parte recurrente contaba con el derecho de justificar su </w:t>
      </w:r>
      <w:r w:rsidR="000B1346">
        <w:rPr>
          <w:rFonts w:ascii="Palatino Linotype" w:hAnsi="Palatino Linotype" w:cs="Arial"/>
        </w:rPr>
        <w:t>inasistencia</w:t>
      </w:r>
      <w:r w:rsidR="00C60F5F">
        <w:rPr>
          <w:rFonts w:ascii="Palatino Linotype" w:hAnsi="Palatino Linotype" w:cs="Arial"/>
        </w:rPr>
        <w:t xml:space="preserve"> a la audiencia de conciliación</w:t>
      </w:r>
      <w:r w:rsidR="000B1346" w:rsidRPr="000B1346">
        <w:rPr>
          <w:rFonts w:ascii="Palatino Linotype" w:hAnsi="Palatino Linotype" w:cs="Arial"/>
        </w:rPr>
        <w:t xml:space="preserve"> dentro del plazo de tres días hábiles siguientes a la notificación</w:t>
      </w:r>
      <w:r w:rsidR="000B1346">
        <w:rPr>
          <w:rFonts w:ascii="Palatino Linotype" w:hAnsi="Palatino Linotype" w:cs="Arial"/>
        </w:rPr>
        <w:t xml:space="preserve"> que se le hizo del acta en cita.</w:t>
      </w:r>
    </w:p>
    <w:p w:rsidR="00831885" w:rsidRDefault="00831885" w:rsidP="00113E45">
      <w:pPr>
        <w:spacing w:line="360" w:lineRule="auto"/>
        <w:jc w:val="both"/>
        <w:rPr>
          <w:rFonts w:ascii="Palatino Linotype" w:hAnsi="Palatino Linotype" w:cs="Arial"/>
        </w:rPr>
      </w:pPr>
    </w:p>
    <w:p w:rsidR="00113E45" w:rsidRPr="00311506" w:rsidRDefault="00113E45" w:rsidP="00113E45">
      <w:pPr>
        <w:spacing w:line="360" w:lineRule="auto"/>
        <w:jc w:val="both"/>
        <w:rPr>
          <w:rFonts w:ascii="Palatino Linotype" w:hAnsi="Palatino Linotype" w:cs="Arial"/>
          <w:b/>
        </w:rPr>
      </w:pPr>
      <w:r w:rsidRPr="00311506">
        <w:rPr>
          <w:rFonts w:ascii="Palatino Linotype" w:hAnsi="Palatino Linotype" w:cs="Arial"/>
          <w:b/>
        </w:rPr>
        <w:t>Quinto. Del</w:t>
      </w:r>
      <w:r w:rsidR="00913A6B">
        <w:rPr>
          <w:rFonts w:ascii="Palatino Linotype" w:hAnsi="Palatino Linotype" w:cs="Arial"/>
          <w:b/>
        </w:rPr>
        <w:t xml:space="preserve"> cierre de</w:t>
      </w:r>
      <w:r w:rsidRPr="00311506">
        <w:rPr>
          <w:rFonts w:ascii="Palatino Linotype" w:hAnsi="Palatino Linotype" w:cs="Arial"/>
          <w:b/>
        </w:rPr>
        <w:t xml:space="preserve"> instrucción.</w:t>
      </w:r>
    </w:p>
    <w:p w:rsidR="00113E45" w:rsidRPr="000272B4" w:rsidRDefault="00113E45" w:rsidP="00B975F4">
      <w:pPr>
        <w:widowControl w:val="0"/>
        <w:autoSpaceDE w:val="0"/>
        <w:autoSpaceDN w:val="0"/>
        <w:adjustRightInd w:val="0"/>
        <w:spacing w:line="360" w:lineRule="auto"/>
        <w:jc w:val="both"/>
        <w:rPr>
          <w:rFonts w:ascii="Palatino Linotype" w:hAnsi="Palatino Linotype" w:cs="Arial"/>
          <w:b/>
        </w:rPr>
      </w:pPr>
      <w:r>
        <w:rPr>
          <w:rFonts w:ascii="Palatino Linotype" w:hAnsi="Palatino Linotype" w:cs="Arial"/>
        </w:rPr>
        <w:t xml:space="preserve">Por lo que se </w:t>
      </w:r>
      <w:r w:rsidRPr="004948E3">
        <w:rPr>
          <w:rFonts w:ascii="Palatino Linotype" w:hAnsi="Palatino Linotype" w:cs="Arial"/>
          <w:b/>
        </w:rPr>
        <w:t>decretó el cierre de instrucción</w:t>
      </w:r>
      <w:r w:rsidRPr="00311506">
        <w:rPr>
          <w:rFonts w:ascii="Palatino Linotype" w:hAnsi="Palatino Linotype" w:cs="Arial"/>
        </w:rPr>
        <w:t xml:space="preserve"> en fecha </w:t>
      </w:r>
      <w:r w:rsidR="00913A6B">
        <w:rPr>
          <w:rFonts w:ascii="Palatino Linotype" w:hAnsi="Palatino Linotype" w:cs="Arial"/>
        </w:rPr>
        <w:t xml:space="preserve">diecisiete </w:t>
      </w:r>
      <w:r w:rsidRPr="00311506">
        <w:rPr>
          <w:rFonts w:ascii="Palatino Linotype" w:hAnsi="Palatino Linotype" w:cs="Arial"/>
        </w:rPr>
        <w:t xml:space="preserve">de </w:t>
      </w:r>
      <w:r w:rsidR="00913A6B">
        <w:rPr>
          <w:rFonts w:ascii="Palatino Linotype" w:hAnsi="Palatino Linotype" w:cs="Arial"/>
        </w:rPr>
        <w:t xml:space="preserve">octubre </w:t>
      </w:r>
      <w:r>
        <w:rPr>
          <w:rFonts w:ascii="Palatino Linotype" w:hAnsi="Palatino Linotype" w:cs="Arial"/>
        </w:rPr>
        <w:t xml:space="preserve"> de </w:t>
      </w:r>
      <w:r w:rsidRPr="00311506">
        <w:rPr>
          <w:rFonts w:ascii="Palatino Linotype" w:hAnsi="Palatino Linotype" w:cs="Arial"/>
        </w:rPr>
        <w:t xml:space="preserve">dos mil </w:t>
      </w:r>
      <w:r>
        <w:rPr>
          <w:rFonts w:ascii="Palatino Linotype" w:hAnsi="Palatino Linotype" w:cs="Arial"/>
        </w:rPr>
        <w:t>diecinueve</w:t>
      </w:r>
      <w:r w:rsidRPr="00311506">
        <w:rPr>
          <w:rFonts w:ascii="Palatino Linotype" w:hAnsi="Palatino Linotype" w:cs="Arial"/>
        </w:rPr>
        <w:t xml:space="preserve">, en términos del artículo 185 fracción VI de la Ley de Transparencia </w:t>
      </w:r>
      <w:r w:rsidRPr="00311506">
        <w:rPr>
          <w:rFonts w:ascii="Palatino Linotype" w:hAnsi="Palatino Linotype" w:cs="Arial"/>
        </w:rPr>
        <w:lastRenderedPageBreak/>
        <w:t xml:space="preserve">y Acceso a la Información Pública del Estado de México y Municipios, </w:t>
      </w:r>
      <w:r w:rsidRPr="000272B4">
        <w:rPr>
          <w:rFonts w:ascii="Palatino Linotype" w:hAnsi="Palatino Linotype" w:cs="Arial"/>
        </w:rPr>
        <w:t>y se ordenó turnar a efecto de que se emitiera la resolución que en derecho proceda</w:t>
      </w:r>
      <w:r w:rsidR="00B975F4">
        <w:rPr>
          <w:rFonts w:ascii="Palatino Linotype" w:hAnsi="Palatino Linotype" w:cs="Arial"/>
        </w:rPr>
        <w:t xml:space="preserve"> a efecto de emitir el fallo correspondiente</w:t>
      </w:r>
      <w:r w:rsidRPr="000272B4">
        <w:rPr>
          <w:rFonts w:ascii="Palatino Linotype" w:hAnsi="Palatino Linotype" w:cs="Arial"/>
        </w:rPr>
        <w:t xml:space="preserve"> </w:t>
      </w:r>
      <w:r w:rsidR="00B975F4">
        <w:rPr>
          <w:rFonts w:ascii="Palatino Linotype" w:hAnsi="Palatino Linotype" w:cs="Arial"/>
        </w:rPr>
        <w:t>e</w:t>
      </w:r>
      <w:r w:rsidRPr="000272B4">
        <w:rPr>
          <w:rFonts w:ascii="Palatino Linotype" w:hAnsi="Palatino Linotype" w:cs="Arial"/>
        </w:rPr>
        <w:t>l cual se pronuncia de acuerdo a los siguientes:</w:t>
      </w:r>
    </w:p>
    <w:p w:rsidR="00113E45" w:rsidRPr="000272B4" w:rsidRDefault="00113E45" w:rsidP="00113E45">
      <w:pPr>
        <w:spacing w:line="360" w:lineRule="auto"/>
        <w:jc w:val="both"/>
        <w:rPr>
          <w:rFonts w:ascii="Palatino Linotype" w:hAnsi="Palatino Linotype" w:cs="Arial"/>
          <w:b/>
        </w:rPr>
      </w:pPr>
    </w:p>
    <w:p w:rsidR="00113E45" w:rsidRDefault="00113E45" w:rsidP="00113E45">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CONSIDERANDOS</w:t>
      </w:r>
    </w:p>
    <w:p w:rsidR="00113E45" w:rsidRPr="000272B4" w:rsidRDefault="00113E45" w:rsidP="00113E45">
      <w:pPr>
        <w:spacing w:line="360" w:lineRule="auto"/>
        <w:jc w:val="center"/>
        <w:rPr>
          <w:rFonts w:ascii="Palatino Linotype" w:hAnsi="Palatino Linotype" w:cs="Arial"/>
          <w:b/>
          <w:bCs/>
          <w:spacing w:val="60"/>
          <w:lang w:val="es-ES_tradnl"/>
        </w:rPr>
      </w:pPr>
    </w:p>
    <w:p w:rsidR="00752D08" w:rsidRPr="000272B4" w:rsidRDefault="00752D08" w:rsidP="00752D08">
      <w:pPr>
        <w:spacing w:line="360" w:lineRule="auto"/>
        <w:jc w:val="both"/>
        <w:rPr>
          <w:rFonts w:ascii="Palatino Linotype" w:hAnsi="Palatino Linotype" w:cs="Arial"/>
          <w:b/>
        </w:rPr>
      </w:pPr>
      <w:r w:rsidRPr="000272B4">
        <w:rPr>
          <w:rFonts w:ascii="Palatino Linotype" w:hAnsi="Palatino Linotype" w:cs="Arial"/>
          <w:b/>
        </w:rPr>
        <w:t>PRIMERO.</w:t>
      </w:r>
      <w:r w:rsidRPr="000272B4">
        <w:rPr>
          <w:rFonts w:ascii="Palatino Linotype" w:hAnsi="Palatino Linotype" w:cs="Arial"/>
        </w:rPr>
        <w:t xml:space="preserve"> </w:t>
      </w:r>
      <w:r w:rsidRPr="000272B4">
        <w:rPr>
          <w:rFonts w:ascii="Palatino Linotype" w:hAnsi="Palatino Linotype" w:cs="Arial"/>
          <w:b/>
        </w:rPr>
        <w:t xml:space="preserve">Competencia. </w:t>
      </w:r>
    </w:p>
    <w:p w:rsidR="00752D08" w:rsidRPr="000272B4" w:rsidRDefault="00752D08" w:rsidP="00752D08">
      <w:pPr>
        <w:spacing w:line="360" w:lineRule="auto"/>
        <w:jc w:val="both"/>
        <w:rPr>
          <w:rFonts w:ascii="Palatino Linotype" w:hAnsi="Palatino Linotype"/>
          <w:shd w:val="clear" w:color="auto" w:fill="FFFFFF"/>
        </w:rPr>
      </w:pPr>
      <w:r w:rsidRPr="000272B4">
        <w:rPr>
          <w:rFonts w:ascii="Palatino Linotype" w:hAnsi="Palatino Linotype"/>
          <w:shd w:val="clear" w:color="auto" w:fill="FFFFFF"/>
        </w:rPr>
        <w:t>Que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E2201D">
        <w:rPr>
          <w:rFonts w:ascii="Palatino Linotype" w:hAnsi="Palatino Linotype"/>
          <w:shd w:val="clear" w:color="auto" w:fill="FFFFFF"/>
        </w:rPr>
        <w:t xml:space="preserve"> segundo</w:t>
      </w:r>
      <w:r w:rsidRPr="000272B4">
        <w:rPr>
          <w:rFonts w:ascii="Palatino Linotype" w:hAnsi="Palatino Linotype"/>
          <w:shd w:val="clear" w:color="auto" w:fill="FFFFFF"/>
        </w:rPr>
        <w:t xml:space="preserve">, vigésimo </w:t>
      </w:r>
      <w:r w:rsidR="00E2201D">
        <w:rPr>
          <w:rFonts w:ascii="Palatino Linotype" w:hAnsi="Palatino Linotype"/>
          <w:shd w:val="clear" w:color="auto" w:fill="FFFFFF"/>
        </w:rPr>
        <w:t>tercero</w:t>
      </w:r>
      <w:r w:rsidRPr="000272B4">
        <w:rPr>
          <w:rFonts w:ascii="Palatino Linotype" w:hAnsi="Palatino Linotype"/>
          <w:shd w:val="clear" w:color="auto" w:fill="FFFFFF"/>
        </w:rPr>
        <w:t xml:space="preserve"> y vigésimo </w:t>
      </w:r>
      <w:r w:rsidR="00E2201D">
        <w:rPr>
          <w:rFonts w:ascii="Palatino Linotype" w:hAnsi="Palatino Linotype"/>
          <w:shd w:val="clear" w:color="auto" w:fill="FFFFFF"/>
        </w:rPr>
        <w:t>cuarto</w:t>
      </w:r>
      <w:r w:rsidRPr="000272B4">
        <w:rPr>
          <w:rFonts w:ascii="Palatino Linotype" w:hAnsi="Palatino Linotype"/>
          <w:shd w:val="clear" w:color="auto" w:fill="FFFFFF"/>
        </w:rPr>
        <w:t>, fracciones  IV y V; de la Constitución Política del Estado Libre y Soberano de México;</w:t>
      </w:r>
      <w:r w:rsidR="008B7F21">
        <w:rPr>
          <w:rFonts w:ascii="Palatino Linotype" w:hAnsi="Palatino Linotype"/>
          <w:shd w:val="clear" w:color="auto" w:fill="FFFFFF"/>
        </w:rPr>
        <w:t xml:space="preserve"> 4 fracción XXII,</w:t>
      </w:r>
      <w:r w:rsidR="002F4B7C">
        <w:rPr>
          <w:rFonts w:ascii="Palatino Linotype" w:hAnsi="Palatino Linotype"/>
          <w:shd w:val="clear" w:color="auto" w:fill="FFFFFF"/>
        </w:rPr>
        <w:t xml:space="preserve"> 11,</w:t>
      </w:r>
      <w:r w:rsidRPr="000272B4">
        <w:rPr>
          <w:rFonts w:ascii="Palatino Linotype" w:hAnsi="Palatino Linotype"/>
          <w:shd w:val="clear" w:color="auto" w:fill="FFFFFF"/>
        </w:rPr>
        <w:t xml:space="preserve"> </w:t>
      </w:r>
      <w:r w:rsidR="00E03DA4">
        <w:rPr>
          <w:rFonts w:ascii="Palatino Linotype" w:hAnsi="Palatino Linotype"/>
          <w:shd w:val="clear" w:color="auto" w:fill="FFFFFF"/>
        </w:rPr>
        <w:t xml:space="preserve">119, 123 fracción III, 127, 128, 133, 137 y 140 de la </w:t>
      </w:r>
      <w:r w:rsidR="00E03DA4" w:rsidRPr="00C60F5F">
        <w:rPr>
          <w:rFonts w:ascii="Palatino Linotype" w:hAnsi="Palatino Linotype" w:cs="Arial"/>
        </w:rPr>
        <w:t>Ley de Protección de Datos Personales en Posesión de Sujetos Obligados del Estado de México y Municipios</w:t>
      </w:r>
      <w:r w:rsidR="006319EF">
        <w:rPr>
          <w:rFonts w:ascii="Palatino Linotype" w:hAnsi="Palatino Linotype" w:cs="Arial"/>
        </w:rPr>
        <w:t xml:space="preserve"> y por supletoriedad los artículos </w:t>
      </w:r>
      <w:r w:rsidRPr="000272B4">
        <w:rPr>
          <w:rFonts w:ascii="Palatino Linotype" w:hAnsi="Palatino Linotype"/>
          <w:shd w:val="clear" w:color="auto" w:fill="FFFFFF"/>
        </w:rPr>
        <w:t>1, 2, fracción II; 13, 29, 36, fracciones I y II; 176, 178, 179, 181 párrafo tercero y 185 de la Ley Transparencia y Acceso a la Información Pública del Estado de México y Muni</w:t>
      </w:r>
      <w:r>
        <w:rPr>
          <w:rFonts w:ascii="Palatino Linotype" w:hAnsi="Palatino Linotype"/>
          <w:shd w:val="clear" w:color="auto" w:fill="FFFFFF"/>
        </w:rPr>
        <w:t>cipios; 9, fracciones I y XXIV,</w:t>
      </w:r>
      <w:r w:rsidRPr="000272B4">
        <w:rPr>
          <w:rFonts w:ascii="Palatino Linotype" w:hAnsi="Palatino Linotype"/>
          <w:shd w:val="clear" w:color="auto" w:fill="FFFFFF"/>
        </w:rPr>
        <w:t xml:space="preserve"> 11</w:t>
      </w:r>
      <w:r>
        <w:rPr>
          <w:rFonts w:ascii="Palatino Linotype" w:hAnsi="Palatino Linotype"/>
          <w:shd w:val="clear" w:color="auto" w:fill="FFFFFF"/>
        </w:rPr>
        <w:t xml:space="preserve"> y 14 fracción I</w:t>
      </w:r>
      <w:r w:rsidRPr="000272B4">
        <w:rPr>
          <w:rFonts w:ascii="Palatino Linotype" w:hAnsi="Palatino Linotype"/>
          <w:shd w:val="clear" w:color="auto" w:fill="FFFFFF"/>
        </w:rPr>
        <w:t xml:space="preserve"> del Reglamento Interior del Instituto de Transparencia, Acceso a la Información Pública y Protección de Datos Personales del Estado de México y Municipios.</w:t>
      </w:r>
    </w:p>
    <w:p w:rsidR="00752D08" w:rsidRDefault="00752D08" w:rsidP="00752D08">
      <w:pPr>
        <w:spacing w:line="360" w:lineRule="auto"/>
        <w:jc w:val="both"/>
        <w:rPr>
          <w:rFonts w:ascii="Palatino Linotype" w:hAnsi="Palatino Linotype"/>
          <w:shd w:val="clear" w:color="auto" w:fill="FFFFFF"/>
        </w:rPr>
      </w:pPr>
    </w:p>
    <w:p w:rsidR="007001F4" w:rsidRDefault="007001F4" w:rsidP="00752D08">
      <w:pPr>
        <w:spacing w:line="360" w:lineRule="auto"/>
        <w:jc w:val="both"/>
        <w:rPr>
          <w:rFonts w:ascii="Palatino Linotype" w:hAnsi="Palatino Linotype"/>
          <w:shd w:val="clear" w:color="auto" w:fill="FFFFFF"/>
        </w:rPr>
      </w:pPr>
    </w:p>
    <w:p w:rsidR="007001F4" w:rsidRPr="000272B4" w:rsidRDefault="007001F4" w:rsidP="00752D08">
      <w:pPr>
        <w:spacing w:line="360" w:lineRule="auto"/>
        <w:jc w:val="both"/>
        <w:rPr>
          <w:rFonts w:ascii="Palatino Linotype" w:hAnsi="Palatino Linotype"/>
          <w:shd w:val="clear" w:color="auto" w:fill="FFFFFF"/>
        </w:rPr>
      </w:pPr>
    </w:p>
    <w:p w:rsidR="00752D08" w:rsidRPr="00311506" w:rsidRDefault="00752D08" w:rsidP="00752D08">
      <w:pPr>
        <w:pStyle w:val="Prrafodelista"/>
        <w:autoSpaceDE w:val="0"/>
        <w:autoSpaceDN w:val="0"/>
        <w:adjustRightInd w:val="0"/>
        <w:spacing w:line="360" w:lineRule="auto"/>
        <w:ind w:left="0"/>
        <w:jc w:val="both"/>
        <w:rPr>
          <w:rFonts w:ascii="Palatino Linotype" w:hAnsi="Palatino Linotype" w:cs="Arial"/>
          <w:b/>
        </w:rPr>
      </w:pPr>
      <w:r w:rsidRPr="00311506">
        <w:rPr>
          <w:rFonts w:ascii="Palatino Linotype" w:hAnsi="Palatino Linotype" w:cs="Arial"/>
          <w:b/>
        </w:rPr>
        <w:lastRenderedPageBreak/>
        <w:t xml:space="preserve">SEGUNDO. Sobre los alcances del recurso de revisión. </w:t>
      </w:r>
    </w:p>
    <w:p w:rsidR="00752D08" w:rsidRPr="00311506" w:rsidRDefault="00752D08" w:rsidP="00752D08">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Derivado de la impugnación realizada, es preciso e importante señalar que el recurso de revisión inmerso en la </w:t>
      </w:r>
      <w:r w:rsidR="006319EF" w:rsidRPr="00C60F5F">
        <w:rPr>
          <w:rFonts w:ascii="Palatino Linotype" w:hAnsi="Palatino Linotype" w:cs="Arial"/>
        </w:rPr>
        <w:t>Ley de Protección de Datos Personales en Posesión de Sujetos Obligados del Estado de México y Municipios</w:t>
      </w:r>
      <w:r w:rsidR="006319EF">
        <w:rPr>
          <w:rFonts w:ascii="Palatino Linotype" w:hAnsi="Palatino Linotype" w:cs="Arial"/>
        </w:rPr>
        <w:t xml:space="preserve">, y de forma supletoria en la </w:t>
      </w:r>
      <w:r w:rsidRPr="00311506">
        <w:rPr>
          <w:rFonts w:ascii="Palatino Linotype" w:hAnsi="Palatino Linotype" w:cs="Arial"/>
        </w:rPr>
        <w:t>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52D08" w:rsidRPr="00311506" w:rsidRDefault="00752D08" w:rsidP="00752D08">
      <w:pPr>
        <w:pStyle w:val="Prrafodelista"/>
        <w:autoSpaceDE w:val="0"/>
        <w:autoSpaceDN w:val="0"/>
        <w:adjustRightInd w:val="0"/>
        <w:spacing w:line="360" w:lineRule="auto"/>
        <w:ind w:left="0"/>
        <w:jc w:val="both"/>
        <w:rPr>
          <w:rFonts w:ascii="Palatino Linotype" w:hAnsi="Palatino Linotype" w:cs="Arial"/>
        </w:rPr>
      </w:pPr>
    </w:p>
    <w:p w:rsidR="00752D08" w:rsidRDefault="00752D08" w:rsidP="00752D08">
      <w:pPr>
        <w:autoSpaceDE w:val="0"/>
        <w:autoSpaceDN w:val="0"/>
        <w:adjustRightInd w:val="0"/>
        <w:spacing w:line="360" w:lineRule="auto"/>
        <w:jc w:val="both"/>
        <w:rPr>
          <w:rFonts w:ascii="Palatino Linotype" w:hAnsi="Palatino Linotype" w:cs="Arial"/>
          <w:b/>
        </w:rPr>
      </w:pPr>
      <w:r w:rsidRPr="00A977C0">
        <w:rPr>
          <w:rFonts w:ascii="Palatino Linotype" w:hAnsi="Palatino Linotype" w:cs="Arial"/>
          <w:b/>
        </w:rPr>
        <w:t xml:space="preserve">TERCERO. </w:t>
      </w:r>
      <w:r>
        <w:rPr>
          <w:rFonts w:ascii="Palatino Linotype" w:eastAsia="Calibri" w:hAnsi="Palatino Linotype" w:cs="Arial"/>
          <w:b/>
        </w:rPr>
        <w:t>Análisis de las causales de sobreseimiento</w:t>
      </w:r>
      <w:r w:rsidRPr="0053687A">
        <w:rPr>
          <w:rFonts w:ascii="Palatino Linotype" w:hAnsi="Palatino Linotype"/>
          <w:b/>
        </w:rPr>
        <w:t>.</w:t>
      </w:r>
    </w:p>
    <w:p w:rsidR="00752D08" w:rsidRDefault="00752D08" w:rsidP="00752D08">
      <w:pPr>
        <w:autoSpaceDE w:val="0"/>
        <w:autoSpaceDN w:val="0"/>
        <w:adjustRightInd w:val="0"/>
        <w:spacing w:line="360" w:lineRule="auto"/>
        <w:jc w:val="both"/>
        <w:rPr>
          <w:rFonts w:ascii="Palatino Linotype" w:hAnsi="Palatino Linotype" w:cs="Arial"/>
        </w:rPr>
      </w:pPr>
      <w:r w:rsidRPr="00BA7451">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w:t>
      </w:r>
      <w:r w:rsidR="00AC5C27">
        <w:rPr>
          <w:rFonts w:ascii="Palatino Linotype" w:hAnsi="Palatino Linotype" w:cs="Arial"/>
        </w:rPr>
        <w:t xml:space="preserve">de acuerdo a la </w:t>
      </w:r>
      <w:r w:rsidRPr="00BA7451">
        <w:rPr>
          <w:rFonts w:ascii="Palatino Linotype" w:hAnsi="Palatino Linotype" w:cs="Arial"/>
        </w:rPr>
        <w:t xml:space="preserve">Constitución Federal, Local y demás leyes aplicables en la materia, así como en los tratados internacionales en los que el Estado Mexicano sea parte, en concordancia con el artículo </w:t>
      </w:r>
      <w:r w:rsidR="00AC5C27">
        <w:rPr>
          <w:rFonts w:ascii="Palatino Linotype" w:hAnsi="Palatino Linotype" w:cs="Arial"/>
        </w:rPr>
        <w:t>10</w:t>
      </w:r>
      <w:r w:rsidRPr="00BA7451">
        <w:rPr>
          <w:rFonts w:ascii="Palatino Linotype" w:hAnsi="Palatino Linotype" w:cs="Arial"/>
        </w:rPr>
        <w:t xml:space="preserve"> de la Ley de </w:t>
      </w:r>
      <w:r w:rsidR="00AC5C27" w:rsidRPr="00C60F5F">
        <w:rPr>
          <w:rFonts w:ascii="Palatino Linotype" w:hAnsi="Palatino Linotype" w:cs="Arial"/>
        </w:rPr>
        <w:t>Protección de Datos Personales en Posesión de Sujetos Obligados del Estado de México y Municipios</w:t>
      </w:r>
      <w:r w:rsidRPr="00BA7451">
        <w:rPr>
          <w:rFonts w:ascii="Palatino Linotype" w:hAnsi="Palatino Linotype" w:cs="Arial"/>
        </w:rPr>
        <w:t>.</w:t>
      </w:r>
    </w:p>
    <w:p w:rsidR="001F721A" w:rsidRDefault="001F721A" w:rsidP="00752D08">
      <w:pPr>
        <w:autoSpaceDE w:val="0"/>
        <w:autoSpaceDN w:val="0"/>
        <w:adjustRightInd w:val="0"/>
        <w:spacing w:line="360" w:lineRule="auto"/>
        <w:jc w:val="both"/>
        <w:rPr>
          <w:rFonts w:ascii="Palatino Linotype" w:hAnsi="Palatino Linotype" w:cs="Arial"/>
        </w:rPr>
      </w:pPr>
    </w:p>
    <w:p w:rsidR="001F721A" w:rsidRDefault="001F721A" w:rsidP="001F721A">
      <w:pPr>
        <w:tabs>
          <w:tab w:val="left" w:pos="8647"/>
        </w:tabs>
        <w:spacing w:line="360" w:lineRule="auto"/>
        <w:ind w:right="51"/>
        <w:jc w:val="both"/>
        <w:rPr>
          <w:rFonts w:ascii="Palatino Linotype" w:hAnsi="Palatino Linotype" w:cs="Arial"/>
        </w:rPr>
      </w:pPr>
      <w:r w:rsidRPr="000A0422">
        <w:rPr>
          <w:rFonts w:ascii="Palatino Linotype" w:hAnsi="Palatino Linotype" w:cs="Arial"/>
        </w:rPr>
        <w:t xml:space="preserve">Aunado a lo anterior, el artículo 9, fracciones I y VI de la Ley de Transparencia y Acceso a la Información Pública del Estado de México y Municipios de aplicación </w:t>
      </w:r>
      <w:r w:rsidRPr="000A0422">
        <w:rPr>
          <w:rFonts w:ascii="Palatino Linotype" w:hAnsi="Palatino Linotype" w:cs="Arial"/>
        </w:rPr>
        <w:lastRenderedPageBreak/>
        <w:t>supletoria de acuerdo al artículo 11 de la Ley de Protección de Datos Personales en Posesión de Sujetos Obligados del Estado de México y Municipios establece que este Instituto debe regirse en todo momento bajo los principios de certeza y legalidad, con la finalidad de otorgar seguridad jurídica a los particulares con las determinaciones basadas en la normatividad vigente y aplicable al caso concreto.</w:t>
      </w:r>
    </w:p>
    <w:p w:rsidR="00752D08" w:rsidRPr="00311506" w:rsidRDefault="00752D08" w:rsidP="00752D08">
      <w:pPr>
        <w:tabs>
          <w:tab w:val="left" w:pos="709"/>
        </w:tabs>
        <w:spacing w:line="360" w:lineRule="auto"/>
        <w:jc w:val="both"/>
        <w:rPr>
          <w:rFonts w:ascii="Palatino Linotype" w:hAnsi="Palatino Linotype" w:cs="Arial"/>
        </w:rPr>
      </w:pPr>
    </w:p>
    <w:p w:rsidR="00752D08" w:rsidRPr="00D35E16" w:rsidRDefault="00752D08" w:rsidP="00752D08">
      <w:pPr>
        <w:autoSpaceDE w:val="0"/>
        <w:autoSpaceDN w:val="0"/>
        <w:adjustRightInd w:val="0"/>
        <w:spacing w:line="360" w:lineRule="auto"/>
        <w:jc w:val="both"/>
        <w:rPr>
          <w:rFonts w:ascii="Palatino Linotype" w:hAnsi="Palatino Linotype" w:cs="Arial"/>
        </w:rPr>
      </w:pPr>
      <w:r>
        <w:rPr>
          <w:rFonts w:ascii="Palatino Linotype" w:hAnsi="Palatino Linotype" w:cs="Arial"/>
        </w:rPr>
        <w:t>Ahora bien,</w:t>
      </w:r>
      <w:r w:rsidRPr="00D35E16">
        <w:rPr>
          <w:rFonts w:ascii="Palatino Linotype" w:hAnsi="Palatino Linotype" w:cs="Arial"/>
        </w:rPr>
        <w:t xml:space="preserve"> derivado del caso en concreto que nos ocupa, por cuestión de método y técnica jurídica, se procede a estudiar el presente, bajo la luz de lo que </w:t>
      </w:r>
      <w:r w:rsidR="00CA6E29">
        <w:rPr>
          <w:rFonts w:ascii="Palatino Linotype" w:hAnsi="Palatino Linotype" w:cs="Arial"/>
        </w:rPr>
        <w:t>establece</w:t>
      </w:r>
      <w:r w:rsidRPr="00D35E16">
        <w:rPr>
          <w:rFonts w:ascii="Palatino Linotype" w:hAnsi="Palatino Linotype" w:cs="Arial"/>
        </w:rPr>
        <w:t xml:space="preserve"> la fracción III del artículo 1</w:t>
      </w:r>
      <w:r w:rsidR="00CA6E29">
        <w:rPr>
          <w:rFonts w:ascii="Palatino Linotype" w:hAnsi="Palatino Linotype" w:cs="Arial"/>
        </w:rPr>
        <w:t>3</w:t>
      </w:r>
      <w:r w:rsidRPr="00D35E16">
        <w:rPr>
          <w:rFonts w:ascii="Palatino Linotype" w:hAnsi="Palatino Linotype" w:cs="Arial"/>
        </w:rPr>
        <w:t xml:space="preserve">9 de la Ley </w:t>
      </w:r>
      <w:r w:rsidR="00CA6E29">
        <w:rPr>
          <w:rFonts w:ascii="Palatino Linotype" w:hAnsi="Palatino Linotype" w:cs="Arial"/>
        </w:rPr>
        <w:t xml:space="preserve">de </w:t>
      </w:r>
      <w:r w:rsidR="00CA6E29" w:rsidRPr="00C60F5F">
        <w:rPr>
          <w:rFonts w:ascii="Palatino Linotype" w:hAnsi="Palatino Linotype" w:cs="Arial"/>
        </w:rPr>
        <w:t>Protección de Datos Personales en Posesión de Sujetos Obligados del Estado de México y Municipios</w:t>
      </w:r>
      <w:r w:rsidRPr="00D35E16">
        <w:rPr>
          <w:rFonts w:ascii="Palatino Linotype" w:hAnsi="Palatino Linotype" w:cs="Arial"/>
        </w:rPr>
        <w:t xml:space="preserve">, que </w:t>
      </w:r>
      <w:r w:rsidR="00CA6E29">
        <w:rPr>
          <w:rFonts w:ascii="Palatino Linotype" w:hAnsi="Palatino Linotype" w:cs="Arial"/>
        </w:rPr>
        <w:t>refiere</w:t>
      </w:r>
      <w:r w:rsidRPr="00D35E16">
        <w:rPr>
          <w:rFonts w:ascii="Palatino Linotype" w:hAnsi="Palatino Linotype" w:cs="Arial"/>
        </w:rPr>
        <w:t>:</w:t>
      </w:r>
    </w:p>
    <w:p w:rsidR="00752D08" w:rsidRPr="00D35E16" w:rsidRDefault="00752D08" w:rsidP="00752D08">
      <w:pPr>
        <w:autoSpaceDE w:val="0"/>
        <w:autoSpaceDN w:val="0"/>
        <w:adjustRightInd w:val="0"/>
        <w:spacing w:line="360" w:lineRule="auto"/>
        <w:jc w:val="both"/>
        <w:rPr>
          <w:rFonts w:ascii="Palatino Linotype" w:hAnsi="Palatino Linotype" w:cs="Arial"/>
        </w:rPr>
      </w:pPr>
    </w:p>
    <w:p w:rsidR="00752D08" w:rsidRDefault="00752D08" w:rsidP="00752D08">
      <w:pPr>
        <w:spacing w:line="360" w:lineRule="auto"/>
        <w:ind w:left="851" w:right="1134"/>
        <w:jc w:val="both"/>
        <w:rPr>
          <w:rFonts w:ascii="Palatino Linotype" w:hAnsi="Palatino Linotype" w:cs="Arial"/>
          <w:i/>
        </w:rPr>
      </w:pPr>
      <w:r w:rsidRPr="00BC5B26">
        <w:rPr>
          <w:rFonts w:ascii="Palatino Linotype" w:hAnsi="Palatino Linotype" w:cs="Arial"/>
          <w:i/>
        </w:rPr>
        <w:t>“</w:t>
      </w:r>
      <w:r w:rsidR="007642C5" w:rsidRPr="007642C5">
        <w:rPr>
          <w:rFonts w:ascii="Palatino Linotype" w:hAnsi="Palatino Linotype" w:cs="Arial"/>
          <w:i/>
        </w:rPr>
        <w:t>Artículo 139. El recurso de revisión sólo podrá ser sobreseído cuando:</w:t>
      </w:r>
    </w:p>
    <w:p w:rsidR="00752D08" w:rsidRDefault="00752D08" w:rsidP="00752D08">
      <w:pPr>
        <w:spacing w:line="360" w:lineRule="auto"/>
        <w:ind w:left="851" w:right="1134"/>
        <w:jc w:val="both"/>
        <w:rPr>
          <w:rFonts w:ascii="Palatino Linotype" w:hAnsi="Palatino Linotype" w:cs="Arial"/>
          <w:i/>
        </w:rPr>
      </w:pPr>
      <w:r>
        <w:rPr>
          <w:rFonts w:ascii="Palatino Linotype" w:hAnsi="Palatino Linotype" w:cs="Arial"/>
          <w:i/>
        </w:rPr>
        <w:t>…</w:t>
      </w:r>
    </w:p>
    <w:p w:rsidR="00752D08" w:rsidRPr="00E65257" w:rsidRDefault="007642C5" w:rsidP="00752D08">
      <w:pPr>
        <w:spacing w:line="360" w:lineRule="auto"/>
        <w:ind w:left="851" w:right="1134"/>
        <w:jc w:val="both"/>
        <w:rPr>
          <w:rFonts w:ascii="Palatino Linotype" w:hAnsi="Palatino Linotype" w:cs="Arial"/>
          <w:i/>
        </w:rPr>
      </w:pPr>
      <w:r w:rsidRPr="007642C5">
        <w:rPr>
          <w:rFonts w:ascii="Palatino Linotype" w:hAnsi="Palatino Linotype" w:cs="Arial"/>
          <w:i/>
        </w:rPr>
        <w:t>III. Admitido el recurso de revisión, se actualice alguna causal de improcedencia en los términos de la presente Ley</w:t>
      </w:r>
      <w:r w:rsidR="00752D08" w:rsidRPr="00E65257">
        <w:rPr>
          <w:rFonts w:ascii="Palatino Linotype" w:hAnsi="Palatino Linotype" w:cs="Arial"/>
          <w:i/>
        </w:rPr>
        <w:t>;</w:t>
      </w:r>
      <w:r>
        <w:rPr>
          <w:rFonts w:ascii="Palatino Linotype" w:hAnsi="Palatino Linotype" w:cs="Arial"/>
          <w:i/>
        </w:rPr>
        <w:t>”</w:t>
      </w:r>
    </w:p>
    <w:p w:rsidR="00752D08" w:rsidRDefault="00752D08" w:rsidP="00752D08">
      <w:pPr>
        <w:spacing w:line="360" w:lineRule="auto"/>
        <w:jc w:val="both"/>
        <w:rPr>
          <w:rFonts w:ascii="Palatino Linotype" w:hAnsi="Palatino Linotype"/>
        </w:rPr>
      </w:pPr>
    </w:p>
    <w:p w:rsidR="00752D08" w:rsidRDefault="00752D08" w:rsidP="00752D08">
      <w:pPr>
        <w:spacing w:line="360" w:lineRule="auto"/>
        <w:jc w:val="both"/>
        <w:rPr>
          <w:rFonts w:ascii="Palatino Linotype" w:hAnsi="Palatino Linotype" w:cs="Arial"/>
        </w:rPr>
      </w:pPr>
      <w:r>
        <w:rPr>
          <w:rFonts w:ascii="Palatino Linotype" w:hAnsi="Palatino Linotype" w:cs="Arial"/>
        </w:rPr>
        <w:t xml:space="preserve">Precepto legal que contiene </w:t>
      </w:r>
      <w:r w:rsidR="00697486">
        <w:rPr>
          <w:rFonts w:ascii="Palatino Linotype" w:hAnsi="Palatino Linotype" w:cs="Arial"/>
        </w:rPr>
        <w:t>tres</w:t>
      </w:r>
      <w:r>
        <w:rPr>
          <w:rFonts w:ascii="Palatino Linotype" w:hAnsi="Palatino Linotype" w:cs="Arial"/>
        </w:rPr>
        <w:t xml:space="preserve"> elementos </w:t>
      </w:r>
      <w:r w:rsidR="00643368">
        <w:rPr>
          <w:rFonts w:ascii="Palatino Linotype" w:hAnsi="Palatino Linotype" w:cs="Arial"/>
        </w:rPr>
        <w:t>normativos</w:t>
      </w:r>
      <w:r>
        <w:rPr>
          <w:rFonts w:ascii="Palatino Linotype" w:hAnsi="Palatino Linotype" w:cs="Arial"/>
        </w:rPr>
        <w:t xml:space="preserve">: </w:t>
      </w:r>
    </w:p>
    <w:p w:rsidR="00643368" w:rsidRDefault="00643368" w:rsidP="00752D08">
      <w:pPr>
        <w:spacing w:line="360" w:lineRule="auto"/>
        <w:jc w:val="both"/>
        <w:rPr>
          <w:rFonts w:ascii="Palatino Linotype" w:hAnsi="Palatino Linotype" w:cs="Arial"/>
        </w:rPr>
      </w:pPr>
    </w:p>
    <w:p w:rsidR="00643368" w:rsidRDefault="00643368" w:rsidP="00752D08">
      <w:pPr>
        <w:spacing w:line="360" w:lineRule="auto"/>
        <w:jc w:val="both"/>
        <w:rPr>
          <w:rFonts w:ascii="Palatino Linotype" w:hAnsi="Palatino Linotype" w:cs="Arial"/>
        </w:rPr>
      </w:pPr>
      <w:r>
        <w:rPr>
          <w:rFonts w:ascii="Palatino Linotype" w:hAnsi="Palatino Linotype" w:cs="Arial"/>
        </w:rPr>
        <w:t xml:space="preserve">1.- </w:t>
      </w:r>
      <w:r w:rsidRPr="00643368">
        <w:rPr>
          <w:rFonts w:ascii="Palatino Linotype" w:hAnsi="Palatino Linotype" w:cs="Arial"/>
        </w:rPr>
        <w:t>Admitido el recurso de revisión</w:t>
      </w:r>
      <w:r>
        <w:rPr>
          <w:rFonts w:ascii="Palatino Linotype" w:hAnsi="Palatino Linotype" w:cs="Arial"/>
        </w:rPr>
        <w:t>.</w:t>
      </w:r>
    </w:p>
    <w:p w:rsidR="00643368" w:rsidRDefault="00643368" w:rsidP="00752D08">
      <w:pPr>
        <w:spacing w:line="360" w:lineRule="auto"/>
        <w:jc w:val="both"/>
        <w:rPr>
          <w:rFonts w:ascii="Palatino Linotype" w:hAnsi="Palatino Linotype" w:cs="Arial"/>
        </w:rPr>
      </w:pPr>
      <w:r>
        <w:rPr>
          <w:rFonts w:ascii="Palatino Linotype" w:hAnsi="Palatino Linotype" w:cs="Arial"/>
        </w:rPr>
        <w:t>2.- Qu</w:t>
      </w:r>
      <w:r w:rsidRPr="00643368">
        <w:rPr>
          <w:rFonts w:ascii="Palatino Linotype" w:hAnsi="Palatino Linotype" w:cs="Arial"/>
        </w:rPr>
        <w:t>e</w:t>
      </w:r>
      <w:r>
        <w:rPr>
          <w:rFonts w:ascii="Palatino Linotype" w:hAnsi="Palatino Linotype" w:cs="Arial"/>
        </w:rPr>
        <w:t xml:space="preserve"> se</w:t>
      </w:r>
      <w:r w:rsidRPr="00643368">
        <w:rPr>
          <w:rFonts w:ascii="Palatino Linotype" w:hAnsi="Palatino Linotype" w:cs="Arial"/>
        </w:rPr>
        <w:t xml:space="preserve"> actualice alguna causal de improcedencia </w:t>
      </w:r>
    </w:p>
    <w:p w:rsidR="00752D08" w:rsidRDefault="00643368" w:rsidP="00752D08">
      <w:pPr>
        <w:spacing w:line="360" w:lineRule="auto"/>
        <w:jc w:val="both"/>
        <w:rPr>
          <w:rFonts w:ascii="Palatino Linotype" w:hAnsi="Palatino Linotype" w:cs="Arial"/>
        </w:rPr>
      </w:pPr>
      <w:r>
        <w:rPr>
          <w:rFonts w:ascii="Palatino Linotype" w:hAnsi="Palatino Linotype" w:cs="Arial"/>
        </w:rPr>
        <w:t>3.- E</w:t>
      </w:r>
      <w:r w:rsidRPr="00643368">
        <w:rPr>
          <w:rFonts w:ascii="Palatino Linotype" w:hAnsi="Palatino Linotype" w:cs="Arial"/>
        </w:rPr>
        <w:t>n los términos de la presente Ley</w:t>
      </w:r>
      <w:r w:rsidR="00697486">
        <w:rPr>
          <w:rFonts w:ascii="Palatino Linotype" w:hAnsi="Palatino Linotype" w:cs="Arial"/>
        </w:rPr>
        <w:t>.</w:t>
      </w:r>
    </w:p>
    <w:p w:rsidR="00752D08" w:rsidRDefault="00752D08" w:rsidP="00752D08">
      <w:pPr>
        <w:spacing w:line="360" w:lineRule="auto"/>
        <w:jc w:val="both"/>
        <w:rPr>
          <w:rFonts w:ascii="Palatino Linotype" w:hAnsi="Palatino Linotype" w:cs="Arial"/>
        </w:rPr>
      </w:pPr>
    </w:p>
    <w:p w:rsidR="00251204" w:rsidRDefault="00697486" w:rsidP="00752D08">
      <w:pPr>
        <w:spacing w:line="360" w:lineRule="auto"/>
        <w:jc w:val="both"/>
        <w:rPr>
          <w:rFonts w:ascii="Palatino Linotype" w:hAnsi="Palatino Linotype" w:cs="Arial"/>
        </w:rPr>
      </w:pPr>
      <w:r>
        <w:rPr>
          <w:rFonts w:ascii="Palatino Linotype" w:hAnsi="Palatino Linotype" w:cs="Arial"/>
        </w:rPr>
        <w:t xml:space="preserve">Por lo que hace al primer punto se actualiza, pues de acuerdo a las constancias del expediente electrónico del SARCOEM, </w:t>
      </w:r>
      <w:r w:rsidR="00BB0934">
        <w:rPr>
          <w:rFonts w:ascii="Palatino Linotype" w:hAnsi="Palatino Linotype" w:cs="Arial"/>
        </w:rPr>
        <w:t xml:space="preserve">el presente recurso de revisión fue admitido, </w:t>
      </w:r>
      <w:r w:rsidR="00BB0934">
        <w:rPr>
          <w:rFonts w:ascii="Palatino Linotype" w:hAnsi="Palatino Linotype" w:cs="Arial"/>
        </w:rPr>
        <w:lastRenderedPageBreak/>
        <w:t>como quedó precisado en los Resultandos el día diecinueve de septiembre de dos mil diecinueve.</w:t>
      </w:r>
    </w:p>
    <w:p w:rsidR="00BB0934" w:rsidRDefault="00BB0934" w:rsidP="00752D08">
      <w:pPr>
        <w:spacing w:line="360" w:lineRule="auto"/>
        <w:jc w:val="both"/>
        <w:rPr>
          <w:rFonts w:ascii="Palatino Linotype" w:hAnsi="Palatino Linotype" w:cs="Arial"/>
        </w:rPr>
      </w:pPr>
    </w:p>
    <w:p w:rsidR="00BB0934" w:rsidRDefault="00BB0934" w:rsidP="00752D08">
      <w:pPr>
        <w:spacing w:line="360" w:lineRule="auto"/>
        <w:jc w:val="both"/>
        <w:rPr>
          <w:rFonts w:ascii="Palatino Linotype" w:hAnsi="Palatino Linotype" w:cs="Arial"/>
        </w:rPr>
      </w:pPr>
      <w:r>
        <w:rPr>
          <w:rFonts w:ascii="Palatino Linotype" w:hAnsi="Palatino Linotype" w:cs="Arial"/>
        </w:rPr>
        <w:t xml:space="preserve">Por lo que hace al segundo </w:t>
      </w:r>
      <w:r w:rsidR="00132A76">
        <w:rPr>
          <w:rFonts w:ascii="Palatino Linotype" w:hAnsi="Palatino Linotype" w:cs="Arial"/>
        </w:rPr>
        <w:t>elemento</w:t>
      </w:r>
      <w:r w:rsidR="001F721A">
        <w:rPr>
          <w:rFonts w:ascii="Palatino Linotype" w:hAnsi="Palatino Linotype" w:cs="Arial"/>
        </w:rPr>
        <w:t xml:space="preserve"> normativo</w:t>
      </w:r>
      <w:r>
        <w:rPr>
          <w:rFonts w:ascii="Palatino Linotype" w:hAnsi="Palatino Linotype" w:cs="Arial"/>
        </w:rPr>
        <w:t xml:space="preserve">, se actualiza la causal de improcedencia previsto en el artículo 138 fracción II </w:t>
      </w:r>
      <w:r w:rsidRPr="00D35E16">
        <w:rPr>
          <w:rFonts w:ascii="Palatino Linotype" w:hAnsi="Palatino Linotype" w:cs="Arial"/>
        </w:rPr>
        <w:t xml:space="preserve">de la Ley </w:t>
      </w:r>
      <w:r>
        <w:rPr>
          <w:rFonts w:ascii="Palatino Linotype" w:hAnsi="Palatino Linotype" w:cs="Arial"/>
        </w:rPr>
        <w:t xml:space="preserve">de </w:t>
      </w:r>
      <w:r w:rsidRPr="00C60F5F">
        <w:rPr>
          <w:rFonts w:ascii="Palatino Linotype" w:hAnsi="Palatino Linotype" w:cs="Arial"/>
        </w:rPr>
        <w:t>Protección de Datos Personales en Posesión de Sujetos Obligados del Estado de México y Municipios</w:t>
      </w:r>
      <w:r>
        <w:rPr>
          <w:rFonts w:ascii="Palatino Linotype" w:hAnsi="Palatino Linotype" w:cs="Arial"/>
        </w:rPr>
        <w:t>, que establece:</w:t>
      </w:r>
    </w:p>
    <w:p w:rsidR="00BB0934" w:rsidRDefault="00BB0934" w:rsidP="00752D08">
      <w:pPr>
        <w:spacing w:line="360" w:lineRule="auto"/>
        <w:jc w:val="both"/>
        <w:rPr>
          <w:rFonts w:ascii="Palatino Linotype" w:hAnsi="Palatino Linotype" w:cs="Arial"/>
        </w:rPr>
      </w:pPr>
    </w:p>
    <w:p w:rsidR="00C35904" w:rsidRDefault="00C35904" w:rsidP="00C35904">
      <w:pPr>
        <w:spacing w:line="360" w:lineRule="auto"/>
        <w:ind w:left="851" w:right="1134"/>
        <w:jc w:val="both"/>
        <w:rPr>
          <w:rFonts w:ascii="Palatino Linotype" w:hAnsi="Palatino Linotype" w:cs="Arial"/>
          <w:i/>
        </w:rPr>
      </w:pPr>
      <w:r w:rsidRPr="00C35904">
        <w:rPr>
          <w:rFonts w:ascii="Palatino Linotype" w:hAnsi="Palatino Linotype" w:cs="Arial"/>
          <w:i/>
        </w:rPr>
        <w:t xml:space="preserve">Artículo 138. El recurso de revisión podrá ser desechado por improcedente cuando: </w:t>
      </w:r>
    </w:p>
    <w:p w:rsidR="00C35904" w:rsidRDefault="00C35904" w:rsidP="00C35904">
      <w:pPr>
        <w:spacing w:line="360" w:lineRule="auto"/>
        <w:ind w:left="851" w:right="1134"/>
        <w:jc w:val="both"/>
        <w:rPr>
          <w:rFonts w:ascii="Palatino Linotype" w:hAnsi="Palatino Linotype" w:cs="Arial"/>
          <w:i/>
        </w:rPr>
      </w:pPr>
      <w:r>
        <w:rPr>
          <w:rFonts w:ascii="Palatino Linotype" w:hAnsi="Palatino Linotype" w:cs="Arial"/>
          <w:i/>
        </w:rPr>
        <w:t>…</w:t>
      </w:r>
    </w:p>
    <w:p w:rsidR="00251204" w:rsidRPr="00C35904" w:rsidRDefault="00C35904" w:rsidP="00C35904">
      <w:pPr>
        <w:spacing w:line="360" w:lineRule="auto"/>
        <w:ind w:left="851" w:right="1134"/>
        <w:jc w:val="both"/>
        <w:rPr>
          <w:rFonts w:ascii="Palatino Linotype" w:hAnsi="Palatino Linotype" w:cs="Arial"/>
          <w:i/>
        </w:rPr>
      </w:pPr>
      <w:r w:rsidRPr="00C35904">
        <w:rPr>
          <w:rFonts w:ascii="Palatino Linotype" w:hAnsi="Palatino Linotype" w:cs="Arial"/>
          <w:i/>
        </w:rPr>
        <w:t>II. El titular o su representante no acrediten debidamente su identidad y personalidad de este último.</w:t>
      </w:r>
    </w:p>
    <w:p w:rsidR="00251204" w:rsidRDefault="00251204" w:rsidP="00752D08">
      <w:pPr>
        <w:spacing w:line="360" w:lineRule="auto"/>
        <w:jc w:val="both"/>
        <w:rPr>
          <w:rFonts w:ascii="Palatino Linotype" w:hAnsi="Palatino Linotype" w:cs="Arial"/>
        </w:rPr>
      </w:pPr>
    </w:p>
    <w:p w:rsidR="001F721A" w:rsidRDefault="001F721A" w:rsidP="001F721A">
      <w:pPr>
        <w:spacing w:line="360" w:lineRule="auto"/>
        <w:jc w:val="both"/>
        <w:rPr>
          <w:rFonts w:ascii="Palatino Linotype" w:hAnsi="Palatino Linotype" w:cs="Arial"/>
        </w:rPr>
      </w:pPr>
      <w:r>
        <w:rPr>
          <w:rFonts w:ascii="Palatino Linotype" w:hAnsi="Palatino Linotype" w:cs="Arial"/>
        </w:rPr>
        <w:t>Se actualiza dicha causal pues la hoy recurrente no acreditó debidamente su representación</w:t>
      </w:r>
      <w:r w:rsidRPr="000A0422">
        <w:rPr>
          <w:rFonts w:ascii="Palatino Linotype" w:hAnsi="Palatino Linotype" w:cs="Arial"/>
        </w:rPr>
        <w:t xml:space="preserve">, no debe pasar desapercibido que en la especie, </w:t>
      </w:r>
      <w:r w:rsidR="005E1CF4">
        <w:rPr>
          <w:rFonts w:ascii="Palatino Linotype" w:hAnsi="Palatino Linotype" w:cs="Arial"/>
        </w:rPr>
        <w:t xml:space="preserve">que </w:t>
      </w:r>
      <w:r w:rsidRPr="000A0422">
        <w:rPr>
          <w:rFonts w:ascii="Palatino Linotype" w:hAnsi="Palatino Linotype" w:cs="Arial"/>
        </w:rPr>
        <w:t>la materia del recurso de revisión es el de acceso a datos personales, estableciéndose en ley como un presupuesto procesal indispensable para su procedencia, la acreditación de la identidad del titular</w:t>
      </w:r>
      <w:r>
        <w:rPr>
          <w:rFonts w:ascii="Palatino Linotype" w:hAnsi="Palatino Linotype" w:cs="Arial"/>
        </w:rPr>
        <w:t xml:space="preserve"> o de su representante</w:t>
      </w:r>
      <w:r w:rsidRPr="000A0422">
        <w:rPr>
          <w:rFonts w:ascii="Palatino Linotype" w:hAnsi="Palatino Linotype" w:cs="Arial"/>
        </w:rPr>
        <w:t>, con la finalidad de que este Órgano garante tenga los elementos necesarios para llevar a cabo el procedimiento con la persona legitimada, en términos de lo dispuesto por los artículo 97, 106 párrafo tercero; 130 fracción VI en apego al 136 de la Ley de Protección de Datos Personales en Posesión de Sujetos Obligados del</w:t>
      </w:r>
      <w:r>
        <w:rPr>
          <w:rFonts w:ascii="Palatino Linotype" w:hAnsi="Palatino Linotype" w:cs="Arial"/>
        </w:rPr>
        <w:t xml:space="preserve"> Estado de México y Municipios.</w:t>
      </w:r>
    </w:p>
    <w:p w:rsidR="001F721A" w:rsidRPr="000A0422" w:rsidRDefault="001F721A" w:rsidP="001F721A">
      <w:pPr>
        <w:pStyle w:val="Prrafodelista"/>
        <w:autoSpaceDE w:val="0"/>
        <w:autoSpaceDN w:val="0"/>
        <w:adjustRightInd w:val="0"/>
        <w:spacing w:line="360" w:lineRule="auto"/>
        <w:ind w:left="0"/>
        <w:jc w:val="both"/>
        <w:rPr>
          <w:rFonts w:ascii="Palatino Linotype" w:hAnsi="Palatino Linotype" w:cs="Arial"/>
        </w:rPr>
      </w:pPr>
    </w:p>
    <w:p w:rsidR="001F721A" w:rsidRPr="0061775D" w:rsidRDefault="001F721A" w:rsidP="001F721A">
      <w:pPr>
        <w:pStyle w:val="Prrafodelista"/>
        <w:autoSpaceDE w:val="0"/>
        <w:autoSpaceDN w:val="0"/>
        <w:adjustRightInd w:val="0"/>
        <w:spacing w:line="360" w:lineRule="auto"/>
        <w:ind w:left="0"/>
        <w:jc w:val="both"/>
        <w:rPr>
          <w:rFonts w:ascii="Palatino Linotype" w:hAnsi="Palatino Linotype" w:cs="Arial"/>
        </w:rPr>
      </w:pPr>
      <w:r w:rsidRPr="0061775D">
        <w:rPr>
          <w:rFonts w:ascii="Palatino Linotype" w:hAnsi="Palatino Linotype" w:cs="Arial"/>
        </w:rPr>
        <w:lastRenderedPageBreak/>
        <w:t xml:space="preserve">De todo lo anterior, si bien es cierto que la Recurrente adjuntó dos archivos electrónicos en formato PDF, consistente en </w:t>
      </w:r>
      <w:r>
        <w:rPr>
          <w:rFonts w:ascii="Palatino Linotype" w:hAnsi="Palatino Linotype" w:cs="Arial"/>
        </w:rPr>
        <w:t>“</w:t>
      </w:r>
      <w:r w:rsidRPr="0061775D">
        <w:rPr>
          <w:rFonts w:ascii="Palatino Linotype" w:hAnsi="Palatino Linotype" w:cs="Arial"/>
        </w:rPr>
        <w:t>carta.poder.pdf</w:t>
      </w:r>
      <w:r>
        <w:rPr>
          <w:rFonts w:ascii="Palatino Linotype" w:hAnsi="Palatino Linotype" w:cs="Arial"/>
        </w:rPr>
        <w:t>” e “</w:t>
      </w:r>
      <w:r w:rsidRPr="0061775D">
        <w:rPr>
          <w:rFonts w:ascii="Palatino Linotype" w:hAnsi="Palatino Linotype" w:cs="Arial"/>
        </w:rPr>
        <w:t>ines.pdf</w:t>
      </w:r>
      <w:r>
        <w:rPr>
          <w:rFonts w:ascii="Palatino Linotype" w:hAnsi="Palatino Linotype" w:cs="Arial"/>
        </w:rPr>
        <w:t xml:space="preserve">”, con los cuales </w:t>
      </w:r>
      <w:r w:rsidR="00CF7F05">
        <w:rPr>
          <w:rFonts w:ascii="Palatino Linotype" w:hAnsi="Palatino Linotype" w:cs="Arial"/>
        </w:rPr>
        <w:t xml:space="preserve">pretendía </w:t>
      </w:r>
      <w:r>
        <w:rPr>
          <w:rFonts w:ascii="Palatino Linotype" w:hAnsi="Palatino Linotype" w:cs="Arial"/>
        </w:rPr>
        <w:t>acredita</w:t>
      </w:r>
      <w:r w:rsidR="00CF7F05">
        <w:rPr>
          <w:rFonts w:ascii="Palatino Linotype" w:hAnsi="Palatino Linotype" w:cs="Arial"/>
        </w:rPr>
        <w:t>r</w:t>
      </w:r>
      <w:r>
        <w:rPr>
          <w:rFonts w:ascii="Palatino Linotype" w:hAnsi="Palatino Linotype" w:cs="Arial"/>
        </w:rPr>
        <w:t xml:space="preserve"> su representación</w:t>
      </w:r>
      <w:r w:rsidRPr="0061775D">
        <w:rPr>
          <w:rFonts w:ascii="Palatino Linotype" w:hAnsi="Palatino Linotype" w:cs="Arial"/>
        </w:rPr>
        <w:t>, se a</w:t>
      </w:r>
      <w:r>
        <w:rPr>
          <w:rFonts w:ascii="Palatino Linotype" w:hAnsi="Palatino Linotype" w:cs="Arial"/>
        </w:rPr>
        <w:t>dvierte que no se satisfacen los requisitos a efecto de tenerle como representante respecto de la persona a que se refiere en su solicitud de acceso a datos personales, lo anterior en términos de los artículos</w:t>
      </w:r>
      <w:r w:rsidR="00CF7F05">
        <w:rPr>
          <w:rFonts w:ascii="Palatino Linotype" w:hAnsi="Palatino Linotype" w:cs="Arial"/>
        </w:rPr>
        <w:t xml:space="preserve"> 106 párrafo tercer,</w:t>
      </w:r>
      <w:r>
        <w:rPr>
          <w:rFonts w:ascii="Palatino Linotype" w:hAnsi="Palatino Linotype" w:cs="Arial"/>
        </w:rPr>
        <w:t xml:space="preserve"> 121 </w:t>
      </w:r>
      <w:r w:rsidR="00CF7F05">
        <w:rPr>
          <w:rFonts w:ascii="Palatino Linotype" w:hAnsi="Palatino Linotype" w:cs="Arial"/>
        </w:rPr>
        <w:t xml:space="preserve">fracción I </w:t>
      </w:r>
      <w:r>
        <w:rPr>
          <w:rFonts w:ascii="Palatino Linotype" w:hAnsi="Palatino Linotype" w:cs="Arial"/>
        </w:rPr>
        <w:t xml:space="preserve">y </w:t>
      </w:r>
      <w:r w:rsidRPr="0061775D">
        <w:rPr>
          <w:rFonts w:ascii="Palatino Linotype" w:hAnsi="Palatino Linotype" w:cs="Arial"/>
        </w:rPr>
        <w:t>130 fracción VI de la Ley de Protección de Datos Personales en Posesión de Sujetos Obligados del Estado de México y Municipios que a la letra señala</w:t>
      </w:r>
      <w:r>
        <w:rPr>
          <w:rFonts w:ascii="Palatino Linotype" w:hAnsi="Palatino Linotype" w:cs="Arial"/>
        </w:rPr>
        <w:t>n</w:t>
      </w:r>
      <w:r w:rsidRPr="0061775D">
        <w:rPr>
          <w:rFonts w:ascii="Palatino Linotype" w:hAnsi="Palatino Linotype" w:cs="Arial"/>
        </w:rPr>
        <w:t>:</w:t>
      </w:r>
    </w:p>
    <w:p w:rsidR="001F721A" w:rsidRPr="0061775D" w:rsidRDefault="001F721A" w:rsidP="001F721A">
      <w:pPr>
        <w:pStyle w:val="Prrafodelista"/>
        <w:autoSpaceDE w:val="0"/>
        <w:autoSpaceDN w:val="0"/>
        <w:adjustRightInd w:val="0"/>
        <w:spacing w:line="360" w:lineRule="auto"/>
        <w:ind w:left="0"/>
        <w:jc w:val="both"/>
        <w:rPr>
          <w:rFonts w:ascii="Palatino Linotype" w:hAnsi="Palatino Linotype" w:cs="Arial"/>
        </w:rPr>
      </w:pPr>
    </w:p>
    <w:p w:rsidR="00CF7F05" w:rsidRDefault="001F721A" w:rsidP="001F721A">
      <w:pPr>
        <w:tabs>
          <w:tab w:val="left" w:pos="8647"/>
        </w:tabs>
        <w:spacing w:line="360" w:lineRule="auto"/>
        <w:ind w:left="567" w:right="616"/>
        <w:jc w:val="both"/>
        <w:rPr>
          <w:rFonts w:ascii="Palatino Linotype" w:hAnsi="Palatino Linotype"/>
          <w:b/>
          <w:i/>
        </w:rPr>
      </w:pPr>
      <w:r>
        <w:rPr>
          <w:rFonts w:ascii="Palatino Linotype" w:hAnsi="Palatino Linotype"/>
          <w:b/>
          <w:i/>
        </w:rPr>
        <w:t>“</w:t>
      </w:r>
      <w:r w:rsidR="00CF7F05" w:rsidRPr="00CF7F05">
        <w:rPr>
          <w:rFonts w:ascii="Palatino Linotype" w:hAnsi="Palatino Linotype"/>
          <w:b/>
          <w:i/>
        </w:rPr>
        <w:t xml:space="preserve">Legitimación para Ejercer los Derechos ARCO </w:t>
      </w:r>
    </w:p>
    <w:p w:rsidR="00CF7F05" w:rsidRPr="00CF7F05" w:rsidRDefault="00CF7F05" w:rsidP="001F721A">
      <w:pPr>
        <w:tabs>
          <w:tab w:val="left" w:pos="8647"/>
        </w:tabs>
        <w:spacing w:line="360" w:lineRule="auto"/>
        <w:ind w:left="567" w:right="616"/>
        <w:jc w:val="both"/>
        <w:rPr>
          <w:rFonts w:ascii="Palatino Linotype" w:hAnsi="Palatino Linotype"/>
          <w:i/>
        </w:rPr>
      </w:pPr>
      <w:r w:rsidRPr="00CF7F05">
        <w:rPr>
          <w:rFonts w:ascii="Palatino Linotype" w:hAnsi="Palatino Linotype"/>
          <w:i/>
        </w:rPr>
        <w:t>Artículo 106.</w:t>
      </w:r>
    </w:p>
    <w:p w:rsidR="00CF7F05" w:rsidRDefault="00CF7F05" w:rsidP="001F721A">
      <w:pPr>
        <w:tabs>
          <w:tab w:val="left" w:pos="8647"/>
        </w:tabs>
        <w:spacing w:line="360" w:lineRule="auto"/>
        <w:ind w:left="567" w:right="616"/>
        <w:jc w:val="both"/>
        <w:rPr>
          <w:rFonts w:ascii="Palatino Linotype" w:hAnsi="Palatino Linotype"/>
          <w:i/>
        </w:rPr>
      </w:pPr>
      <w:r>
        <w:rPr>
          <w:rFonts w:ascii="Palatino Linotype" w:hAnsi="Palatino Linotype"/>
          <w:i/>
        </w:rPr>
        <w:t>…</w:t>
      </w:r>
    </w:p>
    <w:p w:rsidR="00CF7F05" w:rsidRPr="00CF7F05" w:rsidRDefault="00CF7F05" w:rsidP="001F721A">
      <w:pPr>
        <w:tabs>
          <w:tab w:val="left" w:pos="8647"/>
        </w:tabs>
        <w:spacing w:line="360" w:lineRule="auto"/>
        <w:ind w:left="567" w:right="616"/>
        <w:jc w:val="both"/>
        <w:rPr>
          <w:rFonts w:ascii="Palatino Linotype" w:hAnsi="Palatino Linotype"/>
          <w:b/>
          <w:i/>
          <w:u w:val="single"/>
        </w:rPr>
      </w:pPr>
      <w:r w:rsidRPr="00E573FA">
        <w:rPr>
          <w:rFonts w:ascii="Palatino Linotype" w:hAnsi="Palatino Linotype"/>
          <w:i/>
        </w:rPr>
        <w:t>Para el ejercicio de los derechos ARCO solicitados será necesario acreditar la identidad de titular</w:t>
      </w:r>
      <w:r w:rsidRPr="00CF7F05">
        <w:rPr>
          <w:rFonts w:ascii="Palatino Linotype" w:hAnsi="Palatino Linotype"/>
          <w:b/>
          <w:i/>
          <w:u w:val="single"/>
        </w:rPr>
        <w:t xml:space="preserve"> y en su caso la identidad y personalidad con la que actúe el representante.</w:t>
      </w:r>
    </w:p>
    <w:p w:rsidR="00CF7F05" w:rsidRDefault="00CF7F05" w:rsidP="001F721A">
      <w:pPr>
        <w:tabs>
          <w:tab w:val="left" w:pos="8647"/>
        </w:tabs>
        <w:spacing w:line="360" w:lineRule="auto"/>
        <w:ind w:left="567" w:right="616"/>
        <w:jc w:val="both"/>
        <w:rPr>
          <w:rFonts w:ascii="Palatino Linotype" w:hAnsi="Palatino Linotype"/>
          <w:b/>
          <w:i/>
        </w:rPr>
      </w:pPr>
      <w:r>
        <w:rPr>
          <w:rFonts w:ascii="Palatino Linotype" w:hAnsi="Palatino Linotype"/>
          <w:b/>
          <w:i/>
        </w:rPr>
        <w:t>…</w:t>
      </w:r>
    </w:p>
    <w:p w:rsidR="001F721A" w:rsidRPr="003C4308" w:rsidRDefault="001F721A" w:rsidP="001F721A">
      <w:pPr>
        <w:tabs>
          <w:tab w:val="left" w:pos="8647"/>
        </w:tabs>
        <w:spacing w:line="360" w:lineRule="auto"/>
        <w:ind w:left="567" w:right="616"/>
        <w:jc w:val="both"/>
        <w:rPr>
          <w:rFonts w:ascii="Palatino Linotype" w:hAnsi="Palatino Linotype"/>
          <w:b/>
          <w:i/>
        </w:rPr>
      </w:pPr>
      <w:r w:rsidRPr="003C4308">
        <w:rPr>
          <w:rFonts w:ascii="Palatino Linotype" w:hAnsi="Palatino Linotype"/>
          <w:b/>
          <w:i/>
        </w:rPr>
        <w:t xml:space="preserve">Formas para acreditar personalidad en representación </w:t>
      </w:r>
    </w:p>
    <w:p w:rsidR="001F721A" w:rsidRDefault="001F721A" w:rsidP="001F721A">
      <w:pPr>
        <w:tabs>
          <w:tab w:val="left" w:pos="8647"/>
        </w:tabs>
        <w:spacing w:line="360" w:lineRule="auto"/>
        <w:ind w:left="567" w:right="616"/>
        <w:jc w:val="both"/>
        <w:rPr>
          <w:rFonts w:ascii="Palatino Linotype" w:hAnsi="Palatino Linotype"/>
          <w:i/>
        </w:rPr>
      </w:pPr>
      <w:r w:rsidRPr="003C4308">
        <w:rPr>
          <w:rFonts w:ascii="Palatino Linotype" w:hAnsi="Palatino Linotype"/>
          <w:i/>
        </w:rPr>
        <w:t xml:space="preserve">Artículo 121. Cuando el titular actúe </w:t>
      </w:r>
      <w:r w:rsidRPr="000532F2">
        <w:rPr>
          <w:rFonts w:ascii="Palatino Linotype" w:hAnsi="Palatino Linotype"/>
          <w:b/>
          <w:i/>
          <w:u w:val="single"/>
        </w:rPr>
        <w:t>a través de un representante</w:t>
      </w:r>
      <w:r w:rsidRPr="003C4308">
        <w:rPr>
          <w:rFonts w:ascii="Palatino Linotype" w:hAnsi="Palatino Linotype"/>
          <w:i/>
        </w:rPr>
        <w:t xml:space="preserve">, éste deberá acreditar su personalidad en los términos siguientes: </w:t>
      </w:r>
    </w:p>
    <w:p w:rsidR="001F721A" w:rsidRPr="003C4308" w:rsidRDefault="001F721A" w:rsidP="001F721A">
      <w:pPr>
        <w:pStyle w:val="Prrafodelista"/>
        <w:numPr>
          <w:ilvl w:val="0"/>
          <w:numId w:val="11"/>
        </w:numPr>
        <w:tabs>
          <w:tab w:val="left" w:pos="8647"/>
        </w:tabs>
        <w:spacing w:line="360" w:lineRule="auto"/>
        <w:ind w:right="616"/>
        <w:jc w:val="both"/>
        <w:rPr>
          <w:rFonts w:ascii="Palatino Linotype" w:hAnsi="Palatino Linotype"/>
          <w:i/>
        </w:rPr>
      </w:pPr>
      <w:r w:rsidRPr="003C4308">
        <w:rPr>
          <w:rFonts w:ascii="Palatino Linotype" w:hAnsi="Palatino Linotype"/>
          <w:i/>
        </w:rPr>
        <w:t xml:space="preserve">Si se trata de una persona física, a través de carta poder simple </w:t>
      </w:r>
      <w:r w:rsidRPr="000532F2">
        <w:rPr>
          <w:rFonts w:ascii="Palatino Linotype" w:hAnsi="Palatino Linotype"/>
          <w:b/>
          <w:i/>
          <w:u w:val="single"/>
        </w:rPr>
        <w:t>suscrita ante dos testigos anexando copia de las identificaciones de los suscriptores</w:t>
      </w:r>
      <w:r w:rsidRPr="003C4308">
        <w:rPr>
          <w:rFonts w:ascii="Palatino Linotype" w:hAnsi="Palatino Linotype"/>
          <w:i/>
        </w:rPr>
        <w:t xml:space="preserve"> o instrumento público o declaración en comparecencia personal del titular y del representante ante el Instituto. </w:t>
      </w:r>
    </w:p>
    <w:p w:rsidR="001F721A" w:rsidRDefault="001F721A" w:rsidP="001F721A">
      <w:pPr>
        <w:tabs>
          <w:tab w:val="left" w:pos="8647"/>
        </w:tabs>
        <w:spacing w:line="360" w:lineRule="auto"/>
        <w:ind w:left="567" w:right="616"/>
        <w:jc w:val="both"/>
        <w:rPr>
          <w:rFonts w:ascii="Palatino Linotype" w:hAnsi="Palatino Linotype"/>
          <w:b/>
          <w:i/>
        </w:rPr>
      </w:pPr>
      <w:r>
        <w:rPr>
          <w:rFonts w:ascii="Palatino Linotype" w:hAnsi="Palatino Linotype"/>
          <w:b/>
          <w:i/>
        </w:rPr>
        <w:t>…</w:t>
      </w:r>
    </w:p>
    <w:p w:rsidR="001F721A" w:rsidRPr="000A0422" w:rsidRDefault="001F721A" w:rsidP="001F721A">
      <w:pPr>
        <w:tabs>
          <w:tab w:val="left" w:pos="8647"/>
        </w:tabs>
        <w:spacing w:line="360" w:lineRule="auto"/>
        <w:ind w:left="567" w:right="616"/>
        <w:jc w:val="both"/>
        <w:rPr>
          <w:rFonts w:ascii="Palatino Linotype" w:hAnsi="Palatino Linotype" w:cs="Arial"/>
          <w:i/>
        </w:rPr>
      </w:pPr>
      <w:r w:rsidRPr="000A0422">
        <w:rPr>
          <w:rFonts w:ascii="Palatino Linotype" w:hAnsi="Palatino Linotype"/>
          <w:b/>
          <w:i/>
        </w:rPr>
        <w:lastRenderedPageBreak/>
        <w:t xml:space="preserve">Artículo 130. Los únicos requisitos exigibles </w:t>
      </w:r>
      <w:r w:rsidRPr="000A0422">
        <w:rPr>
          <w:rFonts w:ascii="Palatino Linotype" w:hAnsi="Palatino Linotype"/>
          <w:i/>
        </w:rPr>
        <w:t>en el escrito de interposición del recurso de revisión serán los siguientes:</w:t>
      </w:r>
    </w:p>
    <w:p w:rsidR="001F721A" w:rsidRPr="000532F2" w:rsidRDefault="001F721A" w:rsidP="001F721A">
      <w:pPr>
        <w:pStyle w:val="Prrafodelista"/>
        <w:tabs>
          <w:tab w:val="left" w:pos="8647"/>
        </w:tabs>
        <w:spacing w:line="360" w:lineRule="auto"/>
        <w:ind w:left="1287" w:right="616"/>
        <w:jc w:val="both"/>
        <w:rPr>
          <w:rFonts w:ascii="Palatino Linotype" w:hAnsi="Palatino Linotype"/>
          <w:i/>
        </w:rPr>
      </w:pPr>
      <w:r>
        <w:rPr>
          <w:rFonts w:ascii="Palatino Linotype" w:hAnsi="Palatino Linotype"/>
          <w:i/>
        </w:rPr>
        <w:t>…</w:t>
      </w:r>
    </w:p>
    <w:p w:rsidR="001F721A" w:rsidRPr="000532F2" w:rsidRDefault="001F721A" w:rsidP="001F721A">
      <w:pPr>
        <w:pStyle w:val="Prrafodelista"/>
        <w:numPr>
          <w:ilvl w:val="0"/>
          <w:numId w:val="12"/>
        </w:numPr>
        <w:tabs>
          <w:tab w:val="left" w:pos="8647"/>
        </w:tabs>
        <w:spacing w:line="360" w:lineRule="auto"/>
        <w:ind w:right="616"/>
        <w:jc w:val="both"/>
        <w:rPr>
          <w:rFonts w:ascii="Palatino Linotype" w:hAnsi="Palatino Linotype"/>
          <w:i/>
        </w:rPr>
      </w:pPr>
      <w:r w:rsidRPr="000532F2">
        <w:rPr>
          <w:rFonts w:ascii="Palatino Linotype" w:hAnsi="Palatino Linotype"/>
          <w:i/>
        </w:rPr>
        <w:t>Los documentos que acrediten la identidad del titular y en su caso, la personalidad e identidad de su representante.”</w:t>
      </w:r>
    </w:p>
    <w:p w:rsidR="001F721A" w:rsidRDefault="001F721A" w:rsidP="001F721A">
      <w:pPr>
        <w:tabs>
          <w:tab w:val="left" w:pos="8647"/>
        </w:tabs>
        <w:spacing w:line="360" w:lineRule="auto"/>
        <w:ind w:right="51"/>
        <w:jc w:val="both"/>
        <w:rPr>
          <w:rFonts w:ascii="Palatino Linotype" w:hAnsi="Palatino Linotype" w:cs="Arial"/>
        </w:rPr>
      </w:pPr>
    </w:p>
    <w:p w:rsidR="001F721A" w:rsidRPr="000A0422" w:rsidRDefault="001F721A" w:rsidP="001F721A">
      <w:pPr>
        <w:tabs>
          <w:tab w:val="left" w:pos="8647"/>
        </w:tabs>
        <w:spacing w:line="360" w:lineRule="auto"/>
        <w:ind w:right="51"/>
        <w:jc w:val="both"/>
        <w:rPr>
          <w:rFonts w:ascii="Palatino Linotype" w:hAnsi="Palatino Linotype"/>
          <w:lang w:val="es-ES_tradnl"/>
        </w:rPr>
      </w:pPr>
      <w:r w:rsidRPr="000A0422">
        <w:rPr>
          <w:rFonts w:ascii="Palatino Linotype" w:hAnsi="Palatino Linotype" w:cs="Arial"/>
        </w:rPr>
        <w:t>Bajo tal</w:t>
      </w:r>
      <w:r>
        <w:rPr>
          <w:rFonts w:ascii="Palatino Linotype" w:hAnsi="Palatino Linotype" w:cs="Arial"/>
        </w:rPr>
        <w:t>es</w:t>
      </w:r>
      <w:r w:rsidRPr="000A0422">
        <w:rPr>
          <w:rFonts w:ascii="Palatino Linotype" w:hAnsi="Palatino Linotype" w:cs="Arial"/>
        </w:rPr>
        <w:t xml:space="preserve"> dispositivo</w:t>
      </w:r>
      <w:r>
        <w:rPr>
          <w:rFonts w:ascii="Palatino Linotype" w:hAnsi="Palatino Linotype" w:cs="Arial"/>
        </w:rPr>
        <w:t>s</w:t>
      </w:r>
      <w:r w:rsidRPr="000A0422">
        <w:rPr>
          <w:rFonts w:ascii="Palatino Linotype" w:hAnsi="Palatino Linotype" w:cs="Arial"/>
        </w:rPr>
        <w:t xml:space="preserve"> legal</w:t>
      </w:r>
      <w:r>
        <w:rPr>
          <w:rFonts w:ascii="Palatino Linotype" w:hAnsi="Palatino Linotype" w:cs="Arial"/>
        </w:rPr>
        <w:t>es</w:t>
      </w:r>
      <w:r w:rsidRPr="000A0422">
        <w:rPr>
          <w:rFonts w:ascii="Palatino Linotype" w:hAnsi="Palatino Linotype" w:cs="Arial"/>
        </w:rPr>
        <w:t xml:space="preserve"> resulta inconcuso que la acreditación de la identidad es un requisito </w:t>
      </w:r>
      <w:r w:rsidRPr="000A0422">
        <w:rPr>
          <w:rFonts w:ascii="Palatino Linotype" w:hAnsi="Palatino Linotype"/>
          <w:i/>
          <w:lang w:val="es-ES_tradnl"/>
        </w:rPr>
        <w:t>sine qua non</w:t>
      </w:r>
      <w:r w:rsidRPr="000A0422">
        <w:rPr>
          <w:rStyle w:val="Refdenotaalpie"/>
          <w:rFonts w:ascii="Palatino Linotype" w:hAnsi="Palatino Linotype"/>
          <w:i/>
          <w:lang w:val="es-ES_tradnl"/>
        </w:rPr>
        <w:footnoteReference w:id="1"/>
      </w:r>
      <w:r w:rsidRPr="000A0422">
        <w:rPr>
          <w:rFonts w:ascii="Palatino Linotype" w:hAnsi="Palatino Linotype"/>
          <w:i/>
          <w:lang w:val="es-ES_tradnl"/>
        </w:rPr>
        <w:t xml:space="preserve"> </w:t>
      </w:r>
      <w:r w:rsidRPr="000A0422">
        <w:rPr>
          <w:rFonts w:ascii="Palatino Linotype" w:hAnsi="Palatino Linotype"/>
          <w:lang w:val="es-ES_tradnl"/>
        </w:rPr>
        <w:t>para la procedencia del recurso de revisión que nos ocupa</w:t>
      </w:r>
      <w:r>
        <w:rPr>
          <w:rFonts w:ascii="Palatino Linotype" w:hAnsi="Palatino Linotype"/>
          <w:lang w:val="es-ES_tradnl"/>
        </w:rPr>
        <w:t>, lo anterior es así ya que en la carta poder simple que adjuntó a su escrito de acceso a datos personales</w:t>
      </w:r>
      <w:r w:rsidRPr="000532F2">
        <w:rPr>
          <w:rFonts w:ascii="Palatino Linotype" w:hAnsi="Palatino Linotype"/>
          <w:b/>
          <w:u w:val="single"/>
          <w:lang w:val="es-ES_tradnl"/>
        </w:rPr>
        <w:t>, no se advierte ni nombre, ni firmas ni identificaciones de los testigos.</w:t>
      </w:r>
    </w:p>
    <w:p w:rsidR="001F721A" w:rsidRPr="000A0422" w:rsidRDefault="001F721A" w:rsidP="001F721A">
      <w:pPr>
        <w:tabs>
          <w:tab w:val="left" w:pos="8647"/>
        </w:tabs>
        <w:spacing w:line="360" w:lineRule="auto"/>
        <w:ind w:right="51"/>
        <w:jc w:val="both"/>
        <w:rPr>
          <w:rFonts w:ascii="Palatino Linotype" w:hAnsi="Palatino Linotype"/>
          <w:lang w:val="es-ES_tradnl"/>
        </w:rPr>
      </w:pPr>
    </w:p>
    <w:p w:rsidR="001F721A" w:rsidRDefault="00E573FA" w:rsidP="001F721A">
      <w:pPr>
        <w:tabs>
          <w:tab w:val="left" w:pos="8647"/>
        </w:tabs>
        <w:spacing w:line="360" w:lineRule="auto"/>
        <w:ind w:right="51"/>
        <w:jc w:val="both"/>
        <w:rPr>
          <w:rFonts w:ascii="Palatino Linotype" w:hAnsi="Palatino Linotype"/>
          <w:lang w:val="es-ES_tradnl"/>
        </w:rPr>
      </w:pPr>
      <w:r>
        <w:rPr>
          <w:rFonts w:ascii="Palatino Linotype" w:hAnsi="Palatino Linotype"/>
          <w:lang w:val="es-ES_tradnl"/>
        </w:rPr>
        <w:t xml:space="preserve">Cuestión </w:t>
      </w:r>
      <w:r w:rsidRPr="00AA4774">
        <w:rPr>
          <w:rFonts w:ascii="Palatino Linotype" w:hAnsi="Palatino Linotype"/>
          <w:lang w:val="es-ES_tradnl"/>
        </w:rPr>
        <w:t xml:space="preserve">que incluso se le hizo saber en el acuerdo por el cual se le </w:t>
      </w:r>
      <w:r w:rsidR="0092457F" w:rsidRPr="00AA4774">
        <w:rPr>
          <w:rFonts w:ascii="Palatino Linotype" w:hAnsi="Palatino Linotype"/>
          <w:lang w:val="es-ES_tradnl"/>
        </w:rPr>
        <w:t>apercibió</w:t>
      </w:r>
      <w:r w:rsidR="00AA4774">
        <w:rPr>
          <w:rFonts w:ascii="Palatino Linotype" w:hAnsi="Palatino Linotype"/>
          <w:lang w:val="es-ES_tradnl"/>
        </w:rPr>
        <w:t xml:space="preserve"> a la hoy recurrente</w:t>
      </w:r>
      <w:r w:rsidRPr="00AA4774">
        <w:rPr>
          <w:rFonts w:ascii="Palatino Linotype" w:hAnsi="Palatino Linotype"/>
          <w:lang w:val="es-ES_tradnl"/>
        </w:rPr>
        <w:t xml:space="preserve"> de que en el caso de que no</w:t>
      </w:r>
      <w:r>
        <w:rPr>
          <w:rFonts w:ascii="Palatino Linotype" w:hAnsi="Palatino Linotype"/>
          <w:lang w:val="es-ES_tradnl"/>
        </w:rPr>
        <w:t xml:space="preserve"> acreditara su representación</w:t>
      </w:r>
      <w:r w:rsidR="00AA4774">
        <w:rPr>
          <w:rFonts w:ascii="Palatino Linotype" w:hAnsi="Palatino Linotype"/>
          <w:lang w:val="es-ES_tradnl"/>
        </w:rPr>
        <w:t xml:space="preserve"> en términos de los dispositivos antes expuestos,</w:t>
      </w:r>
      <w:r>
        <w:rPr>
          <w:rFonts w:ascii="Palatino Linotype" w:hAnsi="Palatino Linotype"/>
          <w:lang w:val="es-ES_tradnl"/>
        </w:rPr>
        <w:t xml:space="preserve"> no se daría curso al recurso de revisión, sin embargo, </w:t>
      </w:r>
      <w:r w:rsidR="00AA4774">
        <w:rPr>
          <w:rFonts w:ascii="Palatino Linotype" w:hAnsi="Palatino Linotype"/>
          <w:lang w:val="es-ES_tradnl"/>
        </w:rPr>
        <w:t>se admitió a efecto de citar a las partes y llegar a un acuerdo y no diezmar el derecho de la hoy recurrente, sin embargo, no compareció y no justificó la inasistencia a la audiencia dentro del término legal que se le confiri</w:t>
      </w:r>
      <w:r w:rsidR="004D3C65">
        <w:rPr>
          <w:rFonts w:ascii="Palatino Linotype" w:hAnsi="Palatino Linotype"/>
          <w:lang w:val="es-ES_tradnl"/>
        </w:rPr>
        <w:t>ó.</w:t>
      </w:r>
    </w:p>
    <w:p w:rsidR="00E573FA" w:rsidRPr="00AA4774" w:rsidRDefault="00E573FA" w:rsidP="001F721A">
      <w:pPr>
        <w:tabs>
          <w:tab w:val="left" w:pos="8647"/>
        </w:tabs>
        <w:spacing w:line="360" w:lineRule="auto"/>
        <w:ind w:right="51"/>
        <w:jc w:val="both"/>
        <w:rPr>
          <w:rFonts w:ascii="Palatino Linotype" w:hAnsi="Palatino Linotype"/>
          <w:lang w:val="es-ES_tradnl"/>
        </w:rPr>
      </w:pPr>
    </w:p>
    <w:p w:rsidR="001F721A" w:rsidRPr="000A0422" w:rsidRDefault="001F721A" w:rsidP="00AA4774">
      <w:pPr>
        <w:tabs>
          <w:tab w:val="left" w:pos="8647"/>
        </w:tabs>
        <w:spacing w:line="360" w:lineRule="auto"/>
        <w:ind w:right="51"/>
        <w:jc w:val="both"/>
        <w:rPr>
          <w:rFonts w:ascii="Palatino Linotype" w:hAnsi="Palatino Linotype" w:cs="Arial"/>
        </w:rPr>
      </w:pPr>
      <w:r w:rsidRPr="00AA4774">
        <w:rPr>
          <w:rFonts w:ascii="Palatino Linotype" w:hAnsi="Palatino Linotype"/>
          <w:lang w:val="es-ES_tradnl"/>
        </w:rPr>
        <w:t>Por otro lado es menester</w:t>
      </w:r>
      <w:r w:rsidRPr="000A0422">
        <w:rPr>
          <w:rFonts w:ascii="Palatino Linotype" w:hAnsi="Palatino Linotype" w:cs="Arial"/>
        </w:rPr>
        <w:t xml:space="preserve"> resaltar que dicho requerimiento tiene como finalidad acreditar la procedencia del recurso de revisión para su análisis de </w:t>
      </w:r>
      <w:r w:rsidRPr="000A0422">
        <w:rPr>
          <w:rFonts w:ascii="Palatino Linotype" w:hAnsi="Palatino Linotype" w:cs="Arial"/>
          <w:b/>
        </w:rPr>
        <w:t>fondo</w:t>
      </w:r>
      <w:r w:rsidRPr="000A0422">
        <w:rPr>
          <w:rFonts w:ascii="Palatino Linotype" w:hAnsi="Palatino Linotype" w:cs="Arial"/>
        </w:rPr>
        <w:t xml:space="preserve"> correspondiente, ello es así, toda vez que es necesario precisar que como lo establece </w:t>
      </w:r>
      <w:r w:rsidRPr="000A0422">
        <w:rPr>
          <w:rFonts w:ascii="Palatino Linotype" w:hAnsi="Palatino Linotype" w:cs="Arial"/>
        </w:rPr>
        <w:lastRenderedPageBreak/>
        <w:t>el artículo 106 de la Ley de Protección de Datos Personales en Posesión de Sujetos Obligados del Estado de México</w:t>
      </w:r>
      <w:r w:rsidRPr="000A0422">
        <w:rPr>
          <w:rStyle w:val="Refdenotaalpie"/>
          <w:rFonts w:ascii="Palatino Linotype" w:hAnsi="Palatino Linotype" w:cs="Arial"/>
        </w:rPr>
        <w:footnoteReference w:id="2"/>
      </w:r>
      <w:r w:rsidRPr="000A0422">
        <w:rPr>
          <w:rFonts w:ascii="Palatino Linotype" w:hAnsi="Palatino Linotype" w:cs="Arial"/>
        </w:rPr>
        <w:t xml:space="preserve">, el derecho tutelado por los Derechos ARCO, es precisamente que el </w:t>
      </w:r>
      <w:r w:rsidRPr="000A0422">
        <w:rPr>
          <w:rFonts w:ascii="Palatino Linotype" w:hAnsi="Palatino Linotype" w:cs="Arial"/>
          <w:b/>
        </w:rPr>
        <w:t>TITULAR LOS DERECHOS</w:t>
      </w:r>
      <w:r>
        <w:rPr>
          <w:rFonts w:ascii="Palatino Linotype" w:hAnsi="Palatino Linotype" w:cs="Arial"/>
          <w:b/>
        </w:rPr>
        <w:t xml:space="preserve"> O SU REPRESENTANTE</w:t>
      </w:r>
      <w:r w:rsidRPr="000A0422">
        <w:rPr>
          <w:rFonts w:ascii="Palatino Linotype" w:hAnsi="Palatino Linotype" w:cs="Arial"/>
          <w:b/>
        </w:rPr>
        <w:t xml:space="preserve">, </w:t>
      </w:r>
      <w:r w:rsidRPr="000A0422">
        <w:rPr>
          <w:rFonts w:ascii="Palatino Linotype" w:hAnsi="Palatino Linotype" w:cs="Arial"/>
        </w:rPr>
        <w:t>pueda ejercerlos en sus diferentes modalidades de accesión, revocación, cancelación u oposición, por lo que al no tenerse por acreditada la titularidad de los derechos, no se tiene por acreditado el interés jurídico del peticionante, es menester de este Órgano Garante, observar lo establecido en la Tesis Aislada 168895, de la Novena Época, Tomo XXVIII, Septiembre de 2008, así como la Jurisprudencia 170500, emitida por la Primera Sala de la Novena Época, Página 225, las cuales establecen lo siguiente:</w:t>
      </w:r>
    </w:p>
    <w:p w:rsidR="001F721A" w:rsidRPr="000A0422" w:rsidRDefault="001F721A" w:rsidP="001F721A">
      <w:pPr>
        <w:tabs>
          <w:tab w:val="left" w:pos="1440"/>
        </w:tabs>
        <w:spacing w:line="360" w:lineRule="auto"/>
        <w:jc w:val="both"/>
        <w:rPr>
          <w:rFonts w:ascii="Palatino Linotype" w:hAnsi="Palatino Linotype" w:cs="Arial"/>
        </w:rPr>
      </w:pPr>
    </w:p>
    <w:p w:rsidR="001F721A" w:rsidRPr="000A0422" w:rsidRDefault="001F721A" w:rsidP="001F721A">
      <w:pPr>
        <w:tabs>
          <w:tab w:val="left" w:pos="1440"/>
        </w:tabs>
        <w:spacing w:line="360" w:lineRule="auto"/>
        <w:ind w:left="567" w:right="616"/>
        <w:jc w:val="both"/>
        <w:rPr>
          <w:rFonts w:ascii="Palatino Linotype" w:hAnsi="Palatino Linotype"/>
          <w:i/>
          <w:lang w:val="es-ES_tradnl"/>
        </w:rPr>
      </w:pPr>
      <w:r w:rsidRPr="000A0422">
        <w:rPr>
          <w:rFonts w:ascii="Palatino Linotype" w:hAnsi="Palatino Linotype" w:cs="Arial"/>
          <w:i/>
        </w:rPr>
        <w:lastRenderedPageBreak/>
        <w:t>“</w:t>
      </w:r>
      <w:r w:rsidRPr="000A0422">
        <w:rPr>
          <w:rFonts w:ascii="Palatino Linotype" w:hAnsi="Palatino Linotype"/>
          <w:b/>
          <w:i/>
          <w:lang w:val="es-ES_tradnl"/>
        </w:rPr>
        <w:t xml:space="preserve">INTERÉS JURÍDICO EN EL AMPARO. ELEMENTOS QUE LO COMPONEN. </w:t>
      </w:r>
      <w:r w:rsidRPr="000A0422">
        <w:rPr>
          <w:rFonts w:ascii="Palatino Linotype" w:hAnsi="Palatino Linotype"/>
          <w:i/>
          <w:lang w:val="es-ES_tradnl"/>
        </w:rPr>
        <w:t xml:space="preserve">El interés jurídico plasmado en el numeral 73, fracción V, de la Ley Reglamentaria de los Artículos 103 y 107 Constitucionales, </w:t>
      </w:r>
      <w:r w:rsidRPr="000A0422">
        <w:rPr>
          <w:rFonts w:ascii="Palatino Linotype" w:hAnsi="Palatino Linotype"/>
          <w:i/>
          <w:u w:val="single"/>
          <w:lang w:val="es-ES_tradnl"/>
        </w:rPr>
        <w:t xml:space="preserve">es considerado como uno de los presupuestos procesales para la procedencia del juicio de garantías, y debe ser entendido bajo dos elementos: el </w:t>
      </w:r>
      <w:r w:rsidRPr="000A0422">
        <w:rPr>
          <w:rFonts w:ascii="Palatino Linotype" w:hAnsi="Palatino Linotype"/>
          <w:b/>
          <w:i/>
          <w:u w:val="single"/>
          <w:lang w:val="es-ES_tradnl"/>
        </w:rPr>
        <w:t>acreditamiento y la afectación</w:t>
      </w:r>
      <w:r w:rsidRPr="000A0422">
        <w:rPr>
          <w:rFonts w:ascii="Palatino Linotype" w:hAnsi="Palatino Linotype"/>
          <w:i/>
          <w:u w:val="single"/>
          <w:lang w:val="es-ES_tradnl"/>
        </w:rPr>
        <w:t xml:space="preserve">. </w:t>
      </w:r>
      <w:r w:rsidRPr="000A0422">
        <w:rPr>
          <w:rFonts w:ascii="Palatino Linotype" w:hAnsi="Palatino Linotype"/>
          <w:i/>
          <w:lang w:val="es-ES_tradnl"/>
        </w:rPr>
        <w:t xml:space="preserve">Tales aspectos necesariamente deben conjugarse para cumplir con el presupuesto de procedencia de la causa constitucional por excelencia referida. </w:t>
      </w:r>
      <w:r w:rsidRPr="000A0422">
        <w:rPr>
          <w:rFonts w:ascii="Palatino Linotype" w:hAnsi="Palatino Linotype"/>
          <w:b/>
          <w:i/>
          <w:lang w:val="es-ES_tradnl"/>
        </w:rPr>
        <w:t>Esto es, de faltar alguno, se está indefectiblemente en el supuesto de improcedencia descrito</w:t>
      </w:r>
      <w:r w:rsidRPr="000A0422">
        <w:rPr>
          <w:rFonts w:ascii="Palatino Linotype" w:hAnsi="Palatino Linotype"/>
          <w:i/>
          <w:lang w:val="es-ES_tradnl"/>
        </w:rPr>
        <w:t>. Lo anterior porque es factible ostentarse titular de determinado derecho, pero éste no verse afectado por los órganos del Estado o, en su caso, estar disfrutando de ese derecho sí afectado por la autoridad y no tener el respaldo legítimo y legal sobre él, ya que en este último tópico se estaría en el caso de un interés simple. Por ello, es requisito sine qua non (sin el cual no), se reúnan ambos supuestos (ver diagrama).</w:t>
      </w:r>
    </w:p>
    <w:p w:rsidR="001F721A" w:rsidRPr="000A0422" w:rsidRDefault="001F721A" w:rsidP="001F721A">
      <w:pPr>
        <w:tabs>
          <w:tab w:val="left" w:pos="1440"/>
        </w:tabs>
        <w:spacing w:line="360" w:lineRule="auto"/>
        <w:ind w:left="567" w:right="616"/>
        <w:jc w:val="both"/>
        <w:rPr>
          <w:rFonts w:ascii="Palatino Linotype" w:hAnsi="Palatino Linotype"/>
          <w:i/>
          <w:lang w:val="es-ES_tradnl"/>
        </w:rPr>
      </w:pPr>
      <w:r w:rsidRPr="000A0422">
        <w:rPr>
          <w:rFonts w:ascii="Palatino Linotype" w:hAnsi="Palatino Linotype"/>
          <w:i/>
          <w:lang w:val="es-ES_tradnl"/>
        </w:rPr>
        <w:t>SEGUNDO TRIBUNAL COLEGIADO EN MATERIA CIVIL DEL SÉPTIMO CIRCUITO.</w:t>
      </w:r>
    </w:p>
    <w:p w:rsidR="001F721A" w:rsidRPr="000A0422" w:rsidRDefault="001F721A" w:rsidP="001F721A">
      <w:pPr>
        <w:tabs>
          <w:tab w:val="left" w:pos="1440"/>
        </w:tabs>
        <w:spacing w:line="360" w:lineRule="auto"/>
        <w:ind w:left="567" w:right="616"/>
        <w:jc w:val="both"/>
        <w:rPr>
          <w:rFonts w:ascii="Palatino Linotype" w:hAnsi="Palatino Linotype"/>
          <w:i/>
          <w:lang w:val="es-ES_tradnl"/>
        </w:rPr>
      </w:pPr>
      <w:r w:rsidRPr="000A0422">
        <w:rPr>
          <w:rFonts w:ascii="Palatino Linotype" w:hAnsi="Palatino Linotype"/>
          <w:i/>
          <w:lang w:val="es-ES_tradnl"/>
        </w:rPr>
        <w:t>Amparo en revisión (improcedencia) 151/2008. Armando Pardo Tejeda. 19 de mayo de 2008. Unanimidad de votos. Ponente: José Manuel de Alba de Alba. Secretario: Omar Liévanos Ruiz.</w:t>
      </w:r>
    </w:p>
    <w:p w:rsidR="001F721A" w:rsidRPr="000A0422" w:rsidRDefault="001F721A" w:rsidP="001F721A">
      <w:pPr>
        <w:tabs>
          <w:tab w:val="left" w:pos="1440"/>
        </w:tabs>
        <w:spacing w:line="360" w:lineRule="auto"/>
        <w:ind w:left="567" w:right="616"/>
        <w:jc w:val="both"/>
        <w:rPr>
          <w:rFonts w:ascii="Palatino Linotype" w:hAnsi="Palatino Linotype"/>
          <w:i/>
          <w:lang w:val="es-ES_tradnl"/>
        </w:rPr>
      </w:pPr>
    </w:p>
    <w:p w:rsidR="001F721A" w:rsidRPr="000A0422" w:rsidRDefault="001F721A" w:rsidP="001F721A">
      <w:pPr>
        <w:tabs>
          <w:tab w:val="left" w:pos="1440"/>
        </w:tabs>
        <w:spacing w:line="360" w:lineRule="auto"/>
        <w:ind w:left="567" w:right="616"/>
        <w:jc w:val="both"/>
        <w:rPr>
          <w:rFonts w:ascii="Palatino Linotype" w:hAnsi="Palatino Linotype" w:cs="Arial"/>
          <w:i/>
        </w:rPr>
      </w:pPr>
      <w:r w:rsidRPr="000A0422">
        <w:rPr>
          <w:rFonts w:ascii="Palatino Linotype" w:hAnsi="Palatino Linotype" w:cs="Arial"/>
          <w:b/>
          <w:i/>
        </w:rPr>
        <w:t>INTERÉS JURÍDICO EN EL AMPARO. ELEMENTOS CONSTITUTIVOS</w:t>
      </w:r>
      <w:r w:rsidRPr="000A0422">
        <w:rPr>
          <w:rFonts w:ascii="Palatino Linotype" w:hAnsi="Palatino Linotype" w:cs="Arial"/>
          <w:i/>
        </w:rPr>
        <w:t xml:space="preserve">. El artículo 4o. de la Ley de Amparo contempla, para la procedencia del juicio de garantías, que el acto reclamado cause un perjuicio a la persona física o moral que se estime afectada, lo que ocurre cuando ese acto </w:t>
      </w:r>
      <w:r w:rsidRPr="000A0422">
        <w:rPr>
          <w:rFonts w:ascii="Palatino Linotype" w:hAnsi="Palatino Linotype" w:cs="Arial"/>
          <w:i/>
        </w:rPr>
        <w:lastRenderedPageBreak/>
        <w:t xml:space="preserve">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w:t>
      </w:r>
      <w:r w:rsidRPr="000A0422">
        <w:rPr>
          <w:rFonts w:ascii="Palatino Linotype" w:hAnsi="Palatino Linotype" w:cs="Arial"/>
          <w:b/>
          <w:i/>
          <w:u w:val="single"/>
        </w:rPr>
        <w:t>teniendo en cuenta que el interés jurídico debe acreditarse en forma fehaciente y no inferirse con base en presunciones</w:t>
      </w:r>
      <w:r w:rsidRPr="000A0422">
        <w:rPr>
          <w:rFonts w:ascii="Palatino Linotype" w:hAnsi="Palatino Linotype" w:cs="Arial"/>
          <w:i/>
        </w:rPr>
        <w:t xml:space="preserve">; </w:t>
      </w:r>
      <w:r w:rsidRPr="000A0422">
        <w:rPr>
          <w:rFonts w:ascii="Palatino Linotype" w:hAnsi="Palatino Linotype" w:cs="Arial"/>
          <w:i/>
          <w:u w:val="single"/>
        </w:rPr>
        <w:t>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1F721A" w:rsidRPr="000A0422" w:rsidRDefault="001F721A" w:rsidP="001F721A">
      <w:pPr>
        <w:tabs>
          <w:tab w:val="left" w:pos="1440"/>
        </w:tabs>
        <w:spacing w:line="360" w:lineRule="auto"/>
        <w:ind w:left="567" w:right="616"/>
        <w:jc w:val="both"/>
        <w:rPr>
          <w:rFonts w:ascii="Palatino Linotype" w:hAnsi="Palatino Linotype" w:cs="Arial"/>
          <w:i/>
        </w:rPr>
      </w:pPr>
      <w:r w:rsidRPr="000A0422">
        <w:rPr>
          <w:rFonts w:ascii="Palatino Linotype" w:hAnsi="Palatino Linotype" w:cs="Arial"/>
          <w:b/>
          <w:i/>
        </w:rPr>
        <w:t>Amparo en revisión 1441/88</w:t>
      </w:r>
      <w:r w:rsidRPr="000A0422">
        <w:rPr>
          <w:rFonts w:ascii="Palatino Linotype" w:hAnsi="Palatino Linotype" w:cs="Arial"/>
          <w:i/>
        </w:rPr>
        <w:t>. Guadalupe Henderson Calderón. 29 de agosto de 1988. Cinco votos. Ponente: Sergio Hugo Chapital Gutiérrez. Secretario: Jaime Raúl Oropeza García.</w:t>
      </w:r>
    </w:p>
    <w:p w:rsidR="001F721A" w:rsidRPr="000A0422" w:rsidRDefault="001F721A" w:rsidP="001F721A">
      <w:pPr>
        <w:tabs>
          <w:tab w:val="left" w:pos="1440"/>
        </w:tabs>
        <w:spacing w:line="360" w:lineRule="auto"/>
        <w:ind w:left="567" w:right="616"/>
        <w:jc w:val="both"/>
        <w:rPr>
          <w:rFonts w:ascii="Palatino Linotype" w:hAnsi="Palatino Linotype" w:cs="Arial"/>
          <w:i/>
        </w:rPr>
      </w:pPr>
      <w:r w:rsidRPr="000A0422">
        <w:rPr>
          <w:rFonts w:ascii="Palatino Linotype" w:hAnsi="Palatino Linotype" w:cs="Arial"/>
          <w:b/>
          <w:i/>
        </w:rPr>
        <w:t>Amparo en revisión 1522/97.</w:t>
      </w:r>
      <w:r w:rsidRPr="000A0422">
        <w:rPr>
          <w:rFonts w:ascii="Palatino Linotype" w:hAnsi="Palatino Linotype" w:cs="Arial"/>
          <w:i/>
        </w:rPr>
        <w:t xml:space="preserve"> Comisariado Ejidal de Mixquic, Delegación Tláhuac, Distrito Federal. 2 de diciembre de 1998. Cinco votos. Ponente: Olga Sánchez Cordero de García Villegas. Secretaria: Mariana Mureddu Gilabert.</w:t>
      </w:r>
    </w:p>
    <w:p w:rsidR="001F721A" w:rsidRPr="000A0422" w:rsidRDefault="001F721A" w:rsidP="001F721A">
      <w:pPr>
        <w:tabs>
          <w:tab w:val="left" w:pos="1440"/>
        </w:tabs>
        <w:spacing w:line="360" w:lineRule="auto"/>
        <w:ind w:left="567" w:right="616"/>
        <w:jc w:val="both"/>
        <w:rPr>
          <w:rFonts w:ascii="Palatino Linotype" w:hAnsi="Palatino Linotype" w:cs="Arial"/>
          <w:i/>
        </w:rPr>
      </w:pPr>
      <w:r w:rsidRPr="000A0422">
        <w:rPr>
          <w:rFonts w:ascii="Palatino Linotype" w:hAnsi="Palatino Linotype" w:cs="Arial"/>
          <w:b/>
          <w:i/>
        </w:rPr>
        <w:t>Amparo en revisión 204/2002</w:t>
      </w:r>
      <w:r w:rsidRPr="000A0422">
        <w:rPr>
          <w:rFonts w:ascii="Palatino Linotype" w:hAnsi="Palatino Linotype" w:cs="Arial"/>
          <w:i/>
        </w:rPr>
        <w:t>. Enseñanza y Educación de Occidente, A.C. e Instituto Tecnológico y de Estudios Superiores de Monterrey. 18 de septiembre de 2002. Cinco votos. Ponente: Humberto Román Palacios. Secretario: José de Jesús Bañales Sánchez.</w:t>
      </w:r>
    </w:p>
    <w:p w:rsidR="001F721A" w:rsidRPr="000A0422" w:rsidRDefault="001F721A" w:rsidP="001F721A">
      <w:pPr>
        <w:tabs>
          <w:tab w:val="left" w:pos="1440"/>
        </w:tabs>
        <w:spacing w:line="360" w:lineRule="auto"/>
        <w:ind w:left="567" w:right="616"/>
        <w:jc w:val="both"/>
        <w:rPr>
          <w:rFonts w:ascii="Palatino Linotype" w:hAnsi="Palatino Linotype" w:cs="Arial"/>
          <w:i/>
        </w:rPr>
      </w:pPr>
      <w:r w:rsidRPr="000A0422">
        <w:rPr>
          <w:rFonts w:ascii="Palatino Linotype" w:hAnsi="Palatino Linotype" w:cs="Arial"/>
          <w:b/>
          <w:i/>
        </w:rPr>
        <w:t>Amparo en revisión 964/2005.</w:t>
      </w:r>
      <w:r w:rsidRPr="000A0422">
        <w:rPr>
          <w:rFonts w:ascii="Palatino Linotype" w:hAnsi="Palatino Linotype" w:cs="Arial"/>
          <w:i/>
        </w:rPr>
        <w:t xml:space="preserve"> Jorge Francisco Durán Olvera y/o Jorge Durán Olvera. 10 de agosto de 2005. Cinco votos. Ponente: Sergio A. Valls Hernández. Secretario: Joaquín Cisneros Sánchez.</w:t>
      </w:r>
    </w:p>
    <w:p w:rsidR="001F721A" w:rsidRPr="000A0422" w:rsidRDefault="001F721A" w:rsidP="001F721A">
      <w:pPr>
        <w:tabs>
          <w:tab w:val="left" w:pos="1440"/>
        </w:tabs>
        <w:spacing w:line="360" w:lineRule="auto"/>
        <w:ind w:left="567" w:right="616"/>
        <w:jc w:val="both"/>
        <w:rPr>
          <w:rFonts w:ascii="Palatino Linotype" w:hAnsi="Palatino Linotype" w:cs="Arial"/>
          <w:i/>
        </w:rPr>
      </w:pPr>
      <w:r w:rsidRPr="000A0422">
        <w:rPr>
          <w:rFonts w:ascii="Palatino Linotype" w:hAnsi="Palatino Linotype" w:cs="Arial"/>
          <w:b/>
          <w:i/>
        </w:rPr>
        <w:lastRenderedPageBreak/>
        <w:t>Amparo directo en revisión 1035/2007.</w:t>
      </w:r>
      <w:r w:rsidRPr="000A0422">
        <w:rPr>
          <w:rFonts w:ascii="Palatino Linotype" w:hAnsi="Palatino Linotype" w:cs="Arial"/>
          <w:i/>
        </w:rPr>
        <w:t xml:space="preserve"> Tenedora Global, S.A. de C.V. 5 de septiembre de 2007. Cinco votos. Ponente: Sergio A. Valls Hernández. Secretaria: Miriam Flores Aguilar.</w:t>
      </w:r>
    </w:p>
    <w:p w:rsidR="001F721A" w:rsidRPr="000A0422" w:rsidRDefault="001F721A" w:rsidP="001F721A">
      <w:pPr>
        <w:tabs>
          <w:tab w:val="left" w:pos="1440"/>
        </w:tabs>
        <w:spacing w:line="360" w:lineRule="auto"/>
        <w:ind w:left="567" w:right="616"/>
        <w:jc w:val="both"/>
        <w:rPr>
          <w:rFonts w:ascii="Palatino Linotype" w:hAnsi="Palatino Linotype" w:cs="Arial"/>
          <w:i/>
        </w:rPr>
      </w:pPr>
      <w:r w:rsidRPr="000A0422">
        <w:rPr>
          <w:rFonts w:ascii="Palatino Linotype" w:hAnsi="Palatino Linotype" w:cs="Arial"/>
          <w:i/>
        </w:rPr>
        <w:t>Tesis de jurisprudencia 168/2007. Aprobada por la Primera Sala de este Alto Tribunal, en sesión de veintiocho de noviembre de dos mil siete.”</w:t>
      </w:r>
    </w:p>
    <w:p w:rsidR="000347C1" w:rsidRDefault="000347C1" w:rsidP="00752D08">
      <w:pPr>
        <w:spacing w:line="360" w:lineRule="auto"/>
        <w:jc w:val="both"/>
        <w:rPr>
          <w:rFonts w:ascii="Palatino Linotype" w:hAnsi="Palatino Linotype" w:cs="Arial"/>
        </w:rPr>
      </w:pPr>
    </w:p>
    <w:p w:rsidR="00251204" w:rsidRDefault="004D3C65" w:rsidP="00752D08">
      <w:pPr>
        <w:spacing w:line="360" w:lineRule="auto"/>
        <w:jc w:val="both"/>
        <w:rPr>
          <w:rFonts w:ascii="Palatino Linotype" w:hAnsi="Palatino Linotype" w:cs="Arial"/>
        </w:rPr>
      </w:pPr>
      <w:r>
        <w:rPr>
          <w:rFonts w:ascii="Palatino Linotype" w:hAnsi="Palatino Linotype" w:cs="Arial"/>
        </w:rPr>
        <w:t xml:space="preserve">Por lo que hace al tercer elemento normativo, se actualiza, pues como se acreditó en la presente resolución, la tramitación del expediente del recurso de revisión que nos ocupa se hizo conforme los artículos aplicables </w:t>
      </w:r>
      <w:r w:rsidRPr="000A0422">
        <w:rPr>
          <w:rFonts w:ascii="Palatino Linotype" w:hAnsi="Palatino Linotype" w:cs="Arial"/>
        </w:rPr>
        <w:t>de la Ley de Transparencia y Acceso a la Información Pública del Estado de México y Municipios de aplicación supletoria de acuerdo al artículo 11 de la Ley de Protección de Datos Personales en Posesión de Sujetos Obligados del Estado de México y Municipios</w:t>
      </w:r>
      <w:r>
        <w:rPr>
          <w:rFonts w:ascii="Palatino Linotype" w:hAnsi="Palatino Linotype" w:cs="Arial"/>
        </w:rPr>
        <w:t xml:space="preserve">, es decir, </w:t>
      </w:r>
      <w:r w:rsidR="00697486">
        <w:rPr>
          <w:rFonts w:ascii="Palatino Linotype" w:hAnsi="Palatino Linotype" w:cs="Arial"/>
        </w:rPr>
        <w:t>se llev</w:t>
      </w:r>
      <w:r>
        <w:rPr>
          <w:rFonts w:ascii="Palatino Linotype" w:hAnsi="Palatino Linotype" w:cs="Arial"/>
        </w:rPr>
        <w:t xml:space="preserve">aron </w:t>
      </w:r>
      <w:r w:rsidR="00697486">
        <w:rPr>
          <w:rFonts w:ascii="Palatino Linotype" w:hAnsi="Palatino Linotype" w:cs="Arial"/>
        </w:rPr>
        <w:t>a</w:t>
      </w:r>
      <w:r>
        <w:rPr>
          <w:rFonts w:ascii="Palatino Linotype" w:hAnsi="Palatino Linotype" w:cs="Arial"/>
        </w:rPr>
        <w:t xml:space="preserve"> cabo</w:t>
      </w:r>
      <w:r w:rsidR="00697486">
        <w:rPr>
          <w:rFonts w:ascii="Palatino Linotype" w:hAnsi="Palatino Linotype" w:cs="Arial"/>
        </w:rPr>
        <w:t xml:space="preserve"> las diligencias y actuaciones de acuerdo a los artículos</w:t>
      </w:r>
      <w:r>
        <w:rPr>
          <w:rFonts w:ascii="Palatino Linotype" w:hAnsi="Palatino Linotype" w:cs="Arial"/>
        </w:rPr>
        <w:t xml:space="preserve"> que se han hecho mención en los artículos </w:t>
      </w:r>
      <w:r>
        <w:rPr>
          <w:rFonts w:ascii="Palatino Linotype" w:hAnsi="Palatino Linotype"/>
          <w:shd w:val="clear" w:color="auto" w:fill="FFFFFF"/>
        </w:rPr>
        <w:t>4 fracción XXII, 11,</w:t>
      </w:r>
      <w:r w:rsidRPr="000272B4">
        <w:rPr>
          <w:rFonts w:ascii="Palatino Linotype" w:hAnsi="Palatino Linotype"/>
          <w:shd w:val="clear" w:color="auto" w:fill="FFFFFF"/>
        </w:rPr>
        <w:t xml:space="preserve"> </w:t>
      </w:r>
      <w:r>
        <w:rPr>
          <w:rFonts w:ascii="Palatino Linotype" w:hAnsi="Palatino Linotype"/>
          <w:shd w:val="clear" w:color="auto" w:fill="FFFFFF"/>
        </w:rPr>
        <w:t xml:space="preserve">119, 123 fracción III, 127, 128, 133, 137 y 140 de la </w:t>
      </w:r>
      <w:r w:rsidRPr="00C60F5F">
        <w:rPr>
          <w:rFonts w:ascii="Palatino Linotype" w:hAnsi="Palatino Linotype" w:cs="Arial"/>
        </w:rPr>
        <w:t>Ley de Protección de Datos Personales en Posesión de Sujetos Obligados del Estado de México y Municipios</w:t>
      </w:r>
      <w:r>
        <w:rPr>
          <w:rFonts w:ascii="Palatino Linotype" w:hAnsi="Palatino Linotype" w:cs="Arial"/>
        </w:rPr>
        <w:t xml:space="preserve"> y los aplicables supletoriamente de la </w:t>
      </w:r>
      <w:r w:rsidRPr="000A0422">
        <w:rPr>
          <w:rFonts w:ascii="Palatino Linotype" w:hAnsi="Palatino Linotype" w:cs="Arial"/>
        </w:rPr>
        <w:t>Ley de Transparencia y Acceso a la Información Pública del Estado de México y Municipios</w:t>
      </w:r>
      <w:r>
        <w:rPr>
          <w:rFonts w:ascii="Palatino Linotype" w:hAnsi="Palatino Linotype" w:cs="Arial"/>
        </w:rPr>
        <w:t>.</w:t>
      </w:r>
    </w:p>
    <w:p w:rsidR="00251204" w:rsidRDefault="00251204" w:rsidP="00752D08">
      <w:pPr>
        <w:spacing w:line="360" w:lineRule="auto"/>
        <w:jc w:val="both"/>
        <w:rPr>
          <w:rFonts w:ascii="Palatino Linotype" w:hAnsi="Palatino Linotype" w:cs="Arial"/>
        </w:rPr>
      </w:pPr>
    </w:p>
    <w:p w:rsidR="00752D08" w:rsidRDefault="00752D08" w:rsidP="00752D08">
      <w:pPr>
        <w:spacing w:line="360" w:lineRule="auto"/>
        <w:jc w:val="both"/>
        <w:rPr>
          <w:rFonts w:ascii="Palatino Linotype" w:hAnsi="Palatino Linotype"/>
        </w:rPr>
      </w:pPr>
      <w:r>
        <w:rPr>
          <w:rFonts w:ascii="Palatino Linotype" w:hAnsi="Palatino Linotype" w:cs="Arial"/>
        </w:rPr>
        <w:t xml:space="preserve">Derivado de lo anterior, </w:t>
      </w:r>
      <w:r>
        <w:rPr>
          <w:rFonts w:ascii="Palatino Linotype" w:hAnsi="Palatino Linotype"/>
        </w:rPr>
        <w:t xml:space="preserve">este Instituto considera que se actualiza la causal de sobreseimiento establecida en el artículo </w:t>
      </w:r>
      <w:r w:rsidR="00E530D9">
        <w:rPr>
          <w:rFonts w:ascii="Palatino Linotype" w:hAnsi="Palatino Linotype" w:cs="Arial"/>
        </w:rPr>
        <w:t xml:space="preserve">139 fracción III en relación con el 138 fracción II </w:t>
      </w:r>
      <w:r w:rsidR="00E530D9" w:rsidRPr="00D35E16">
        <w:rPr>
          <w:rFonts w:ascii="Palatino Linotype" w:hAnsi="Palatino Linotype" w:cs="Arial"/>
        </w:rPr>
        <w:t xml:space="preserve">de la Ley </w:t>
      </w:r>
      <w:r w:rsidR="00E530D9">
        <w:rPr>
          <w:rFonts w:ascii="Palatino Linotype" w:hAnsi="Palatino Linotype" w:cs="Arial"/>
        </w:rPr>
        <w:t xml:space="preserve">de </w:t>
      </w:r>
      <w:r w:rsidR="00E530D9" w:rsidRPr="00C60F5F">
        <w:rPr>
          <w:rFonts w:ascii="Palatino Linotype" w:hAnsi="Palatino Linotype" w:cs="Arial"/>
        </w:rPr>
        <w:t>Protección de Datos Personales en Posesión de Sujetos Obligados del Estado de México y Municipios</w:t>
      </w:r>
      <w:r>
        <w:rPr>
          <w:rFonts w:ascii="Palatino Linotype" w:hAnsi="Palatino Linotype"/>
        </w:rPr>
        <w:t xml:space="preserve">, ya que </w:t>
      </w:r>
      <w:r w:rsidR="00E530D9">
        <w:rPr>
          <w:rFonts w:ascii="Palatino Linotype" w:hAnsi="Palatino Linotype"/>
        </w:rPr>
        <w:t>se actualizó una causal de improcedencia una vez admitido el recurso de revisión</w:t>
      </w:r>
      <w:r>
        <w:rPr>
          <w:rFonts w:ascii="Palatino Linotype" w:hAnsi="Palatino Linotype"/>
        </w:rPr>
        <w:t>, que a la letra señala:</w:t>
      </w:r>
    </w:p>
    <w:p w:rsidR="00752D08" w:rsidRDefault="00752D08" w:rsidP="00752D08">
      <w:pPr>
        <w:pStyle w:val="Default"/>
        <w:spacing w:line="360" w:lineRule="auto"/>
        <w:jc w:val="both"/>
        <w:rPr>
          <w:rFonts w:ascii="Palatino Linotype" w:hAnsi="Palatino Linotype"/>
          <w:color w:val="auto"/>
        </w:rPr>
      </w:pPr>
    </w:p>
    <w:p w:rsidR="00E530D9" w:rsidRDefault="00E530D9" w:rsidP="00E530D9">
      <w:pPr>
        <w:spacing w:line="360" w:lineRule="auto"/>
        <w:ind w:left="851" w:right="1134"/>
        <w:jc w:val="both"/>
        <w:rPr>
          <w:rFonts w:ascii="Palatino Linotype" w:hAnsi="Palatino Linotype" w:cs="Arial"/>
          <w:i/>
        </w:rPr>
      </w:pPr>
      <w:r w:rsidRPr="00BC5B26">
        <w:rPr>
          <w:rFonts w:ascii="Palatino Linotype" w:hAnsi="Palatino Linotype" w:cs="Arial"/>
          <w:i/>
        </w:rPr>
        <w:lastRenderedPageBreak/>
        <w:t>“</w:t>
      </w:r>
      <w:r w:rsidRPr="007642C5">
        <w:rPr>
          <w:rFonts w:ascii="Palatino Linotype" w:hAnsi="Palatino Linotype" w:cs="Arial"/>
          <w:i/>
        </w:rPr>
        <w:t>Artículo 139. El recurso de revisión sólo podrá ser sobreseído cuando:</w:t>
      </w:r>
    </w:p>
    <w:p w:rsidR="00E530D9" w:rsidRDefault="00E530D9" w:rsidP="00E530D9">
      <w:pPr>
        <w:spacing w:line="360" w:lineRule="auto"/>
        <w:ind w:left="851" w:right="1134"/>
        <w:jc w:val="both"/>
        <w:rPr>
          <w:rFonts w:ascii="Palatino Linotype" w:hAnsi="Palatino Linotype" w:cs="Arial"/>
          <w:i/>
        </w:rPr>
      </w:pPr>
      <w:r>
        <w:rPr>
          <w:rFonts w:ascii="Palatino Linotype" w:hAnsi="Palatino Linotype" w:cs="Arial"/>
          <w:i/>
        </w:rPr>
        <w:t>…</w:t>
      </w:r>
    </w:p>
    <w:p w:rsidR="00E530D9" w:rsidRPr="00E65257" w:rsidRDefault="00E530D9" w:rsidP="00E530D9">
      <w:pPr>
        <w:spacing w:line="360" w:lineRule="auto"/>
        <w:ind w:left="851" w:right="1134"/>
        <w:jc w:val="both"/>
        <w:rPr>
          <w:rFonts w:ascii="Palatino Linotype" w:hAnsi="Palatino Linotype" w:cs="Arial"/>
          <w:i/>
        </w:rPr>
      </w:pPr>
      <w:r w:rsidRPr="007642C5">
        <w:rPr>
          <w:rFonts w:ascii="Palatino Linotype" w:hAnsi="Palatino Linotype" w:cs="Arial"/>
          <w:i/>
        </w:rPr>
        <w:t>III. Admitido el recurso de revisión, se actualice alguna causal de improcedencia en los términos de la presente Ley</w:t>
      </w:r>
      <w:r w:rsidRPr="00E65257">
        <w:rPr>
          <w:rFonts w:ascii="Palatino Linotype" w:hAnsi="Palatino Linotype" w:cs="Arial"/>
          <w:i/>
        </w:rPr>
        <w:t>;</w:t>
      </w:r>
      <w:r>
        <w:rPr>
          <w:rFonts w:ascii="Palatino Linotype" w:hAnsi="Palatino Linotype" w:cs="Arial"/>
          <w:i/>
        </w:rPr>
        <w:t>”</w:t>
      </w:r>
    </w:p>
    <w:p w:rsidR="00E530D9" w:rsidRDefault="00E530D9" w:rsidP="00E530D9">
      <w:pPr>
        <w:spacing w:line="360" w:lineRule="auto"/>
        <w:ind w:left="851" w:right="1134"/>
        <w:jc w:val="both"/>
        <w:rPr>
          <w:rFonts w:ascii="Palatino Linotype" w:hAnsi="Palatino Linotype" w:cs="Arial"/>
          <w:i/>
        </w:rPr>
      </w:pPr>
      <w:r>
        <w:rPr>
          <w:rFonts w:ascii="Palatino Linotype" w:hAnsi="Palatino Linotype" w:cs="Arial"/>
          <w:i/>
        </w:rPr>
        <w:t>“</w:t>
      </w:r>
      <w:r w:rsidRPr="00C35904">
        <w:rPr>
          <w:rFonts w:ascii="Palatino Linotype" w:hAnsi="Palatino Linotype" w:cs="Arial"/>
          <w:i/>
        </w:rPr>
        <w:t xml:space="preserve">Artículo 138. El recurso de revisión podrá ser desechado por improcedente cuando: </w:t>
      </w:r>
    </w:p>
    <w:p w:rsidR="00E530D9" w:rsidRDefault="00E530D9" w:rsidP="00E530D9">
      <w:pPr>
        <w:spacing w:line="360" w:lineRule="auto"/>
        <w:ind w:left="851" w:right="1134"/>
        <w:jc w:val="both"/>
        <w:rPr>
          <w:rFonts w:ascii="Palatino Linotype" w:hAnsi="Palatino Linotype" w:cs="Arial"/>
          <w:i/>
        </w:rPr>
      </w:pPr>
      <w:r>
        <w:rPr>
          <w:rFonts w:ascii="Palatino Linotype" w:hAnsi="Palatino Linotype" w:cs="Arial"/>
          <w:i/>
        </w:rPr>
        <w:t>…</w:t>
      </w:r>
    </w:p>
    <w:p w:rsidR="00E530D9" w:rsidRPr="00C35904" w:rsidRDefault="00E530D9" w:rsidP="00E530D9">
      <w:pPr>
        <w:spacing w:line="360" w:lineRule="auto"/>
        <w:ind w:left="851" w:right="1134"/>
        <w:jc w:val="both"/>
        <w:rPr>
          <w:rFonts w:ascii="Palatino Linotype" w:hAnsi="Palatino Linotype" w:cs="Arial"/>
          <w:i/>
        </w:rPr>
      </w:pPr>
      <w:r w:rsidRPr="00C35904">
        <w:rPr>
          <w:rFonts w:ascii="Palatino Linotype" w:hAnsi="Palatino Linotype" w:cs="Arial"/>
          <w:i/>
        </w:rPr>
        <w:t>II. El titular o su representante no acrediten debidamente su identidad y personalidad de este último.</w:t>
      </w:r>
      <w:r>
        <w:rPr>
          <w:rFonts w:ascii="Palatino Linotype" w:hAnsi="Palatino Linotype" w:cs="Arial"/>
          <w:i/>
        </w:rPr>
        <w:t>”</w:t>
      </w:r>
    </w:p>
    <w:p w:rsidR="00752D08" w:rsidRPr="00770CC3" w:rsidRDefault="00752D08" w:rsidP="00E2201D">
      <w:pPr>
        <w:ind w:left="851" w:right="1134"/>
        <w:jc w:val="both"/>
        <w:rPr>
          <w:rFonts w:ascii="Palatino Linotype" w:hAnsi="Palatino Linotype" w:cs="Arial"/>
          <w:i/>
        </w:rPr>
      </w:pPr>
    </w:p>
    <w:p w:rsidR="00174089" w:rsidRDefault="00174089" w:rsidP="00752D08">
      <w:pPr>
        <w:spacing w:line="360" w:lineRule="auto"/>
        <w:jc w:val="both"/>
        <w:rPr>
          <w:rFonts w:ascii="Palatino Linotype" w:hAnsi="Palatino Linotype" w:cs="Arial"/>
        </w:rPr>
      </w:pPr>
    </w:p>
    <w:p w:rsidR="00752D08" w:rsidRDefault="00752D08" w:rsidP="00752D08">
      <w:pPr>
        <w:spacing w:line="360" w:lineRule="auto"/>
        <w:jc w:val="both"/>
        <w:rPr>
          <w:rFonts w:ascii="Palatino Linotype" w:hAnsi="Palatino Linotype" w:cs="Arial"/>
        </w:rPr>
      </w:pPr>
      <w:r>
        <w:rPr>
          <w:rFonts w:ascii="Palatino Linotype" w:hAnsi="Palatino Linotype" w:cs="Arial"/>
        </w:rPr>
        <w:t>P</w:t>
      </w:r>
      <w:r w:rsidRPr="00A54486">
        <w:rPr>
          <w:rFonts w:ascii="Palatino Linotype" w:hAnsi="Palatino Linotype" w:cs="Arial"/>
        </w:rPr>
        <w:t xml:space="preserve">or </w:t>
      </w:r>
      <w:r>
        <w:rPr>
          <w:rFonts w:ascii="Palatino Linotype" w:hAnsi="Palatino Linotype" w:cs="Arial"/>
        </w:rPr>
        <w:t xml:space="preserve">todo lo anterior </w:t>
      </w:r>
      <w:r w:rsidRPr="00A54486">
        <w:rPr>
          <w:rFonts w:ascii="Palatino Linotype" w:hAnsi="Palatino Linotype" w:cs="Arial"/>
        </w:rPr>
        <w:t>con fundamento en el artículo 1</w:t>
      </w:r>
      <w:r w:rsidR="008C64C5">
        <w:rPr>
          <w:rFonts w:ascii="Palatino Linotype" w:hAnsi="Palatino Linotype" w:cs="Arial"/>
        </w:rPr>
        <w:t>37</w:t>
      </w:r>
      <w:r w:rsidRPr="00A54486">
        <w:rPr>
          <w:rFonts w:ascii="Palatino Linotype" w:hAnsi="Palatino Linotype" w:cs="Arial"/>
        </w:rPr>
        <w:t xml:space="preserve"> fracción I de la </w:t>
      </w:r>
      <w:r w:rsidR="008C64C5">
        <w:rPr>
          <w:rFonts w:ascii="Palatino Linotype" w:hAnsi="Palatino Linotype" w:cs="Arial"/>
        </w:rPr>
        <w:t>Ley de Protección de Datos Personales en Posesión de Sujetos Obligados del Estado de México y Municipios</w:t>
      </w:r>
      <w:r w:rsidRPr="00A54486">
        <w:rPr>
          <w:rFonts w:ascii="Palatino Linotype" w:hAnsi="Palatino Linotype" w:cs="Arial"/>
        </w:rPr>
        <w:t xml:space="preserve">, se </w:t>
      </w:r>
      <w:r>
        <w:rPr>
          <w:rFonts w:ascii="Palatino Linotype" w:hAnsi="Palatino Linotype" w:cs="Arial"/>
        </w:rPr>
        <w:t>SOBRESEE</w:t>
      </w:r>
      <w:r w:rsidRPr="00A54486">
        <w:rPr>
          <w:rFonts w:ascii="Palatino Linotype" w:hAnsi="Palatino Linotype" w:cs="Arial"/>
        </w:rPr>
        <w:t xml:space="preserve"> la respuesta inmersa en el expediente electrónico del recurso de revisión </w:t>
      </w:r>
      <w:r>
        <w:rPr>
          <w:rFonts w:ascii="Palatino Linotype" w:hAnsi="Palatino Linotype" w:cs="Arial"/>
        </w:rPr>
        <w:t>0</w:t>
      </w:r>
      <w:r w:rsidR="0092457F">
        <w:rPr>
          <w:rFonts w:ascii="Palatino Linotype" w:hAnsi="Palatino Linotype" w:cs="Arial"/>
        </w:rPr>
        <w:t>703</w:t>
      </w:r>
      <w:r w:rsidR="005E78F6">
        <w:rPr>
          <w:rFonts w:ascii="Palatino Linotype" w:hAnsi="Palatino Linotype" w:cs="Arial"/>
        </w:rPr>
        <w:t>0</w:t>
      </w:r>
      <w:r w:rsidRPr="00A54486">
        <w:rPr>
          <w:rFonts w:ascii="Palatino Linotype" w:hAnsi="Palatino Linotype" w:cs="Arial"/>
        </w:rPr>
        <w:t>/INFOEM/</w:t>
      </w:r>
      <w:r w:rsidR="00B83586">
        <w:rPr>
          <w:rFonts w:ascii="Palatino Linotype" w:hAnsi="Palatino Linotype" w:cs="Arial"/>
        </w:rPr>
        <w:t>AD</w:t>
      </w:r>
      <w:r w:rsidRPr="00A54486">
        <w:rPr>
          <w:rFonts w:ascii="Palatino Linotype" w:hAnsi="Palatino Linotype" w:cs="Arial"/>
        </w:rPr>
        <w:t>/RR/201</w:t>
      </w:r>
      <w:r>
        <w:rPr>
          <w:rFonts w:ascii="Palatino Linotype" w:hAnsi="Palatino Linotype" w:cs="Arial"/>
        </w:rPr>
        <w:t>9</w:t>
      </w:r>
      <w:r w:rsidRPr="00A54486">
        <w:rPr>
          <w:rFonts w:ascii="Palatino Linotype" w:hAnsi="Palatino Linotype" w:cs="Arial"/>
        </w:rPr>
        <w:t xml:space="preserve"> que ha sido materia del presente fallo, por lo antes expuesto y fundado</w:t>
      </w:r>
      <w:r>
        <w:rPr>
          <w:rFonts w:ascii="Palatino Linotype" w:hAnsi="Palatino Linotype" w:cs="Arial"/>
        </w:rPr>
        <w:t>, este Pleno:</w:t>
      </w:r>
    </w:p>
    <w:p w:rsidR="005E78F6" w:rsidRDefault="005E78F6" w:rsidP="00752D08">
      <w:pPr>
        <w:spacing w:line="360" w:lineRule="auto"/>
        <w:jc w:val="both"/>
        <w:rPr>
          <w:rFonts w:ascii="Palatino Linotype" w:hAnsi="Palatino Linotype" w:cs="Arial"/>
        </w:rPr>
      </w:pPr>
    </w:p>
    <w:p w:rsidR="00752D08" w:rsidRPr="00AD2F93" w:rsidRDefault="00752D08" w:rsidP="00752D08">
      <w:pPr>
        <w:spacing w:line="360" w:lineRule="auto"/>
        <w:jc w:val="center"/>
        <w:rPr>
          <w:rFonts w:ascii="Palatino Linotype" w:hAnsi="Palatino Linotype"/>
          <w:b/>
          <w:bCs/>
          <w:spacing w:val="60"/>
          <w:sz w:val="23"/>
          <w:szCs w:val="23"/>
          <w:lang w:val="es-ES_tradnl"/>
        </w:rPr>
      </w:pPr>
      <w:r w:rsidRPr="00AD2F93">
        <w:rPr>
          <w:rFonts w:ascii="Palatino Linotype" w:hAnsi="Palatino Linotype"/>
          <w:b/>
          <w:bCs/>
          <w:spacing w:val="60"/>
          <w:sz w:val="23"/>
          <w:szCs w:val="23"/>
          <w:lang w:val="es-ES_tradnl"/>
        </w:rPr>
        <w:t>RESUELVE</w:t>
      </w:r>
    </w:p>
    <w:p w:rsidR="00752D08" w:rsidRPr="00AD2F93" w:rsidRDefault="00752D08" w:rsidP="00752D08">
      <w:pPr>
        <w:spacing w:line="360" w:lineRule="auto"/>
        <w:jc w:val="both"/>
        <w:rPr>
          <w:rFonts w:ascii="Palatino Linotype" w:hAnsi="Palatino Linotype" w:cs="Arial"/>
          <w:sz w:val="23"/>
          <w:szCs w:val="23"/>
        </w:rPr>
      </w:pPr>
    </w:p>
    <w:p w:rsidR="00752D08" w:rsidRPr="00846DBA" w:rsidRDefault="00752D08" w:rsidP="00752D08">
      <w:pPr>
        <w:spacing w:line="360" w:lineRule="auto"/>
        <w:jc w:val="both"/>
        <w:rPr>
          <w:rFonts w:ascii="Palatino Linotype" w:hAnsi="Palatino Linotype" w:cs="Arial"/>
        </w:rPr>
      </w:pPr>
      <w:r w:rsidRPr="00846DBA">
        <w:rPr>
          <w:rFonts w:ascii="Palatino Linotype" w:hAnsi="Palatino Linotype" w:cs="Arial"/>
          <w:b/>
        </w:rPr>
        <w:t>PRIMERO.</w:t>
      </w:r>
      <w:r w:rsidRPr="00846DBA">
        <w:rPr>
          <w:rFonts w:ascii="Palatino Linotype" w:hAnsi="Palatino Linotype" w:cs="Arial"/>
        </w:rPr>
        <w:t xml:space="preserve"> Se </w:t>
      </w:r>
      <w:r w:rsidRPr="00846DBA">
        <w:rPr>
          <w:rFonts w:ascii="Palatino Linotype" w:hAnsi="Palatino Linotype" w:cs="Arial"/>
          <w:b/>
        </w:rPr>
        <w:t>SOBRESEE</w:t>
      </w:r>
      <w:r w:rsidRPr="00846DBA">
        <w:rPr>
          <w:rFonts w:ascii="Palatino Linotype" w:hAnsi="Palatino Linotype" w:cs="Arial"/>
        </w:rPr>
        <w:t xml:space="preserve"> el recurso de revisión número </w:t>
      </w:r>
      <w:r>
        <w:rPr>
          <w:rFonts w:ascii="Palatino Linotype" w:hAnsi="Palatino Linotype" w:cs="Arial"/>
        </w:rPr>
        <w:t>0</w:t>
      </w:r>
      <w:r w:rsidR="00EB79AF">
        <w:rPr>
          <w:rFonts w:ascii="Palatino Linotype" w:hAnsi="Palatino Linotype" w:cs="Arial"/>
        </w:rPr>
        <w:t>70</w:t>
      </w:r>
      <w:r w:rsidR="005E78F6">
        <w:rPr>
          <w:rFonts w:ascii="Palatino Linotype" w:hAnsi="Palatino Linotype" w:cs="Arial"/>
        </w:rPr>
        <w:t>30</w:t>
      </w:r>
      <w:r w:rsidRPr="00846DBA">
        <w:rPr>
          <w:rFonts w:ascii="Palatino Linotype" w:hAnsi="Palatino Linotype" w:cs="Arial"/>
        </w:rPr>
        <w:t>/INFOEM/</w:t>
      </w:r>
      <w:r w:rsidR="00B83586">
        <w:rPr>
          <w:rFonts w:ascii="Palatino Linotype" w:hAnsi="Palatino Linotype" w:cs="Arial"/>
        </w:rPr>
        <w:t>AD</w:t>
      </w:r>
      <w:r w:rsidRPr="00846DBA">
        <w:rPr>
          <w:rFonts w:ascii="Palatino Linotype" w:hAnsi="Palatino Linotype" w:cs="Arial"/>
        </w:rPr>
        <w:t>/RR/201</w:t>
      </w:r>
      <w:r>
        <w:rPr>
          <w:rFonts w:ascii="Palatino Linotype" w:hAnsi="Palatino Linotype" w:cs="Arial"/>
        </w:rPr>
        <w:t>9</w:t>
      </w:r>
      <w:r w:rsidRPr="00846DBA">
        <w:rPr>
          <w:rFonts w:ascii="Palatino Linotype" w:hAnsi="Palatino Linotype" w:cs="Arial"/>
        </w:rPr>
        <w:t xml:space="preserve">, </w:t>
      </w:r>
      <w:r w:rsidR="00EB79AF">
        <w:rPr>
          <w:rFonts w:ascii="Palatino Linotype" w:hAnsi="Palatino Linotype"/>
        </w:rPr>
        <w:t>ya que se actualizó una causal de improcedencia una vez admitido el recurso de revisión,</w:t>
      </w:r>
      <w:r w:rsidRPr="00846DBA">
        <w:rPr>
          <w:rFonts w:ascii="Palatino Linotype" w:hAnsi="Palatino Linotype" w:cs="Arial"/>
        </w:rPr>
        <w:t xml:space="preserve"> en términos del Considerando </w:t>
      </w:r>
      <w:r>
        <w:rPr>
          <w:rFonts w:ascii="Palatino Linotype" w:hAnsi="Palatino Linotype" w:cs="Arial"/>
        </w:rPr>
        <w:t>TERCERO</w:t>
      </w:r>
      <w:r w:rsidRPr="00846DBA">
        <w:rPr>
          <w:rFonts w:ascii="Palatino Linotype" w:hAnsi="Palatino Linotype" w:cs="Arial"/>
        </w:rPr>
        <w:t xml:space="preserve"> de la presente resolución.</w:t>
      </w:r>
    </w:p>
    <w:p w:rsidR="00752D08" w:rsidRDefault="00752D08" w:rsidP="00752D08">
      <w:pPr>
        <w:spacing w:line="360" w:lineRule="auto"/>
        <w:jc w:val="both"/>
        <w:rPr>
          <w:rFonts w:ascii="Palatino Linotype" w:hAnsi="Palatino Linotype" w:cs="Arial"/>
        </w:rPr>
      </w:pPr>
    </w:p>
    <w:p w:rsidR="00752D08" w:rsidRDefault="00752D08" w:rsidP="00752D08">
      <w:pPr>
        <w:spacing w:line="360" w:lineRule="auto"/>
        <w:jc w:val="both"/>
        <w:rPr>
          <w:rFonts w:ascii="Palatino Linotype" w:hAnsi="Palatino Linotype" w:cs="Arial"/>
        </w:rPr>
      </w:pPr>
      <w:r>
        <w:rPr>
          <w:rFonts w:ascii="Palatino Linotype" w:hAnsi="Palatino Linotype" w:cs="Arial"/>
          <w:b/>
        </w:rPr>
        <w:lastRenderedPageBreak/>
        <w:t>SEGUNDO</w:t>
      </w:r>
      <w:r>
        <w:rPr>
          <w:rFonts w:ascii="Palatino Linotype" w:hAnsi="Palatino Linotype" w:cs="Arial"/>
        </w:rPr>
        <w:t>. Notifíquese la presente resolución al</w:t>
      </w:r>
      <w:r>
        <w:rPr>
          <w:rFonts w:ascii="Palatino Linotype" w:hAnsi="Palatino Linotype"/>
        </w:rPr>
        <w:t xml:space="preserve"> </w:t>
      </w:r>
      <w:r>
        <w:rPr>
          <w:rFonts w:ascii="Palatino Linotype" w:hAnsi="Palatino Linotype" w:cs="Arial"/>
        </w:rPr>
        <w:t>Titular</w:t>
      </w:r>
      <w:r>
        <w:rPr>
          <w:rFonts w:ascii="Palatino Linotype" w:hAnsi="Palatino Linotype"/>
        </w:rPr>
        <w:t xml:space="preserve"> </w:t>
      </w:r>
      <w:r>
        <w:rPr>
          <w:rFonts w:ascii="Palatino Linotype" w:hAnsi="Palatino Linotype" w:cs="Arial"/>
        </w:rPr>
        <w:t xml:space="preserve">de la Unidad de Transparencia del Sujeto Obligado mediante el </w:t>
      </w:r>
      <w:r w:rsidR="00F514EC">
        <w:rPr>
          <w:rFonts w:ascii="Palatino Linotype" w:hAnsi="Palatino Linotype" w:cs="Arial"/>
        </w:rPr>
        <w:t>SARCOEM</w:t>
      </w:r>
      <w:r>
        <w:rPr>
          <w:rFonts w:ascii="Palatino Linotype" w:hAnsi="Palatino Linotype" w:cs="Arial"/>
        </w:rPr>
        <w:t>.</w:t>
      </w:r>
    </w:p>
    <w:p w:rsidR="00752D08" w:rsidRDefault="00752D08" w:rsidP="00752D08">
      <w:pPr>
        <w:spacing w:line="360" w:lineRule="auto"/>
        <w:jc w:val="both"/>
        <w:rPr>
          <w:rFonts w:ascii="Palatino Linotype" w:hAnsi="Palatino Linotype" w:cs="Arial"/>
        </w:rPr>
      </w:pPr>
    </w:p>
    <w:p w:rsidR="00752D08" w:rsidRDefault="00752D08" w:rsidP="00752D08">
      <w:pPr>
        <w:spacing w:line="360" w:lineRule="auto"/>
        <w:ind w:right="51"/>
        <w:jc w:val="both"/>
        <w:rPr>
          <w:rFonts w:ascii="Palatino Linotype" w:hAnsi="Palatino Linotype" w:cs="Arial"/>
        </w:rPr>
      </w:pPr>
      <w:r>
        <w:rPr>
          <w:rFonts w:ascii="Palatino Linotype" w:hAnsi="Palatino Linotype" w:cs="Arial"/>
          <w:b/>
        </w:rPr>
        <w:t>TERCERO</w:t>
      </w:r>
      <w:r>
        <w:rPr>
          <w:rFonts w:ascii="Palatino Linotype" w:hAnsi="Palatino Linotype" w:cs="Arial"/>
        </w:rPr>
        <w:t xml:space="preserve">. Notifíquese al recurrente mediante el </w:t>
      </w:r>
      <w:r w:rsidR="00F514EC">
        <w:rPr>
          <w:rFonts w:ascii="Palatino Linotype" w:hAnsi="Palatino Linotype" w:cs="Arial"/>
        </w:rPr>
        <w:t>SARCOEM</w:t>
      </w:r>
      <w:r>
        <w:rPr>
          <w:rFonts w:ascii="Palatino Linotype" w:hAnsi="Palatino Linotype" w:cs="Arial"/>
        </w:rPr>
        <w:t>, la presente resolución, haciéndole saber que de conformidad con lo establecido en el artículo 1</w:t>
      </w:r>
      <w:r w:rsidR="00F514EC">
        <w:rPr>
          <w:rFonts w:ascii="Palatino Linotype" w:hAnsi="Palatino Linotype" w:cs="Arial"/>
        </w:rPr>
        <w:t>42</w:t>
      </w:r>
      <w:r>
        <w:rPr>
          <w:rFonts w:ascii="Palatino Linotype" w:hAnsi="Palatino Linotype" w:cs="Arial"/>
        </w:rPr>
        <w:t xml:space="preserve"> de la </w:t>
      </w:r>
      <w:r w:rsidR="00F514EC" w:rsidRPr="00D35E16">
        <w:rPr>
          <w:rFonts w:ascii="Palatino Linotype" w:hAnsi="Palatino Linotype" w:cs="Arial"/>
        </w:rPr>
        <w:t xml:space="preserve">Ley </w:t>
      </w:r>
      <w:r w:rsidR="00F514EC">
        <w:rPr>
          <w:rFonts w:ascii="Palatino Linotype" w:hAnsi="Palatino Linotype" w:cs="Arial"/>
        </w:rPr>
        <w:t xml:space="preserve">de </w:t>
      </w:r>
      <w:r w:rsidR="00F514EC" w:rsidRPr="00C60F5F">
        <w:rPr>
          <w:rFonts w:ascii="Palatino Linotype" w:hAnsi="Palatino Linotype" w:cs="Arial"/>
        </w:rPr>
        <w:t>Protección de Datos Personales en Posesión de Sujetos Obligados del Estado de México y Municipios</w:t>
      </w:r>
      <w:r>
        <w:rPr>
          <w:rFonts w:ascii="Palatino Linotype" w:hAnsi="Palatino Linotype" w:cs="Arial"/>
        </w:rPr>
        <w:t>, podrá impugnarla vía Juicio de Amparo en los términos de las leyes aplicables.</w:t>
      </w:r>
    </w:p>
    <w:p w:rsidR="00FA53BB" w:rsidRPr="00D12E69" w:rsidRDefault="00FA53BB" w:rsidP="00FA53BB">
      <w:pPr>
        <w:spacing w:line="360" w:lineRule="auto"/>
        <w:jc w:val="both"/>
        <w:rPr>
          <w:rFonts w:ascii="Palatino Linotype" w:hAnsi="Palatino Linotype" w:cs="Arial"/>
        </w:rPr>
      </w:pPr>
    </w:p>
    <w:p w:rsidR="004B4F61" w:rsidRPr="00D12E69" w:rsidRDefault="00113E45" w:rsidP="004B4F61">
      <w:pPr>
        <w:spacing w:line="360" w:lineRule="auto"/>
        <w:jc w:val="both"/>
        <w:rPr>
          <w:rFonts w:ascii="Palatino Linotype" w:hAnsi="Palatino Linotype" w:cs="Arial"/>
        </w:rPr>
      </w:pPr>
      <w:r w:rsidRPr="00D12E69">
        <w:rPr>
          <w:rFonts w:ascii="Palatino Linotype" w:hAnsi="Palatino Linotype" w:cs="Arial"/>
        </w:rPr>
        <w:t xml:space="preserve">ASÍ LO RESUELVE, POR </w:t>
      </w:r>
      <w:r w:rsidR="00AD2F93" w:rsidRPr="00D12E69">
        <w:rPr>
          <w:rFonts w:ascii="Palatino Linotype" w:hAnsi="Palatino Linotype" w:cs="Arial"/>
        </w:rPr>
        <w:t>UNANIMIDAD</w:t>
      </w:r>
      <w:r w:rsidRPr="00D12E69">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00AD2F93" w:rsidRPr="00D12E69">
        <w:rPr>
          <w:rFonts w:ascii="Palatino Linotype" w:hAnsi="Palatino Linotype" w:cs="Arial"/>
        </w:rPr>
        <w:t>, EN LA</w:t>
      </w:r>
      <w:r w:rsidRPr="00D12E69">
        <w:rPr>
          <w:rFonts w:ascii="Palatino Linotype" w:hAnsi="Palatino Linotype" w:cs="Arial"/>
        </w:rPr>
        <w:t xml:space="preserve"> </w:t>
      </w:r>
      <w:r w:rsidR="00D12E69" w:rsidRPr="00D12E69">
        <w:rPr>
          <w:rFonts w:ascii="Palatino Linotype" w:hAnsi="Palatino Linotype" w:cs="Arial"/>
        </w:rPr>
        <w:t xml:space="preserve">CUADRAGÉSIMA </w:t>
      </w:r>
      <w:r w:rsidR="0067141E" w:rsidRPr="00D12E69">
        <w:rPr>
          <w:rFonts w:ascii="Palatino Linotype" w:hAnsi="Palatino Linotype" w:cs="Arial"/>
        </w:rPr>
        <w:t xml:space="preserve">PRIMERA SESIÓN ORDINARIA CELEBRADA EL </w:t>
      </w:r>
      <w:r w:rsidR="00D12E69" w:rsidRPr="00D12E69">
        <w:rPr>
          <w:rFonts w:ascii="Palatino Linotype" w:hAnsi="Palatino Linotype" w:cs="Arial"/>
        </w:rPr>
        <w:t>SEIS</w:t>
      </w:r>
      <w:r w:rsidR="0067141E" w:rsidRPr="00D12E69">
        <w:rPr>
          <w:rFonts w:ascii="Palatino Linotype" w:hAnsi="Palatino Linotype" w:cs="Arial"/>
        </w:rPr>
        <w:t xml:space="preserve"> DE </w:t>
      </w:r>
      <w:r w:rsidR="00D12E69" w:rsidRPr="00D12E69">
        <w:rPr>
          <w:rFonts w:ascii="Palatino Linotype" w:hAnsi="Palatino Linotype" w:cs="Arial"/>
        </w:rPr>
        <w:t>NOVIEMBRE</w:t>
      </w:r>
      <w:r w:rsidR="0067141E" w:rsidRPr="00D12E69">
        <w:rPr>
          <w:rFonts w:ascii="Palatino Linotype" w:hAnsi="Palatino Linotype" w:cs="Arial"/>
        </w:rPr>
        <w:t xml:space="preserve"> DE DOS MIL DIECINUEVE</w:t>
      </w:r>
      <w:r w:rsidRPr="00D12E69">
        <w:rPr>
          <w:rFonts w:ascii="Palatino Linotype" w:hAnsi="Palatino Linotype" w:cs="Arial"/>
        </w:rPr>
        <w:t>, ANTE EL SECRETARIO TÉCNICO DEL PLENO, ALEXIS TAPIA RAMÍREZ.</w:t>
      </w:r>
      <w:r w:rsidR="004B4F61" w:rsidRPr="00D12E69">
        <w:rPr>
          <w:rFonts w:ascii="Palatino Linotype" w:hAnsi="Palatino Linotype" w:cs="Arial"/>
        </w:rPr>
        <w:t xml:space="preserve"> .</w:t>
      </w:r>
      <w:r w:rsidR="0067141E" w:rsidRPr="00D12E69">
        <w:rPr>
          <w:rFonts w:ascii="Palatino Linotype" w:hAnsi="Palatino Linotype" w:cs="Arial"/>
        </w:rPr>
        <w:t>------------------------------------------------------</w:t>
      </w:r>
    </w:p>
    <w:p w:rsidR="0067141E" w:rsidRDefault="0067141E" w:rsidP="0067141E">
      <w:pPr>
        <w:spacing w:line="360" w:lineRule="auto"/>
        <w:jc w:val="both"/>
        <w:rPr>
          <w:rFonts w:ascii="Palatino Linotype" w:hAnsi="Palatino Linotype"/>
          <w:lang w:val="es-MX" w:eastAsia="en-US"/>
        </w:rPr>
      </w:pPr>
      <w:r>
        <w:rPr>
          <w:rFonts w:ascii="Palatino Linotype" w:hAnsi="Palatino Linotype" w:cs="Arial"/>
        </w:rPr>
        <w:t>------------------------------------------------------------------------------------------------------------------------------------------------------------------------------------------------------------------------------------------------------------------------------------------------------------------------------------------</w:t>
      </w:r>
    </w:p>
    <w:p w:rsidR="0067141E" w:rsidRDefault="0067141E" w:rsidP="0067141E">
      <w:pPr>
        <w:spacing w:line="360" w:lineRule="auto"/>
        <w:jc w:val="both"/>
        <w:rPr>
          <w:rFonts w:ascii="Palatino Linotype" w:hAnsi="Palatino Linotype"/>
          <w:lang w:val="es-MX" w:eastAsia="en-US"/>
        </w:rPr>
      </w:pPr>
      <w:r>
        <w:rPr>
          <w:rFonts w:ascii="Palatino Linotype" w:hAnsi="Palatino Linotype" w:cs="Arial"/>
        </w:rPr>
        <w:t>------------------------------------------------------------------------------------------------------------------------------------------------------------------------------------------------------------------------------------------------------------------------------------------------------------------------------------------</w:t>
      </w:r>
    </w:p>
    <w:p w:rsidR="007F3292" w:rsidRDefault="007F3292" w:rsidP="004B4F61">
      <w:pPr>
        <w:spacing w:line="360" w:lineRule="auto"/>
        <w:jc w:val="both"/>
        <w:rPr>
          <w:rFonts w:ascii="Palatino Linotype" w:hAnsi="Palatino Linotype"/>
          <w:b/>
        </w:rPr>
      </w:pPr>
    </w:p>
    <w:p w:rsidR="00D12E69" w:rsidRDefault="00D12E69" w:rsidP="004B4F61">
      <w:pPr>
        <w:spacing w:line="360" w:lineRule="auto"/>
        <w:jc w:val="both"/>
        <w:rPr>
          <w:rFonts w:ascii="Palatino Linotype" w:hAnsi="Palatino Linotype"/>
          <w:b/>
        </w:rPr>
      </w:pPr>
    </w:p>
    <w:p w:rsidR="004B4F61" w:rsidRDefault="004B4F61" w:rsidP="004B4F61">
      <w:pPr>
        <w:spacing w:line="360" w:lineRule="auto"/>
        <w:jc w:val="both"/>
        <w:rPr>
          <w:rFonts w:ascii="Palatino Linotype" w:hAnsi="Palatino Linotype"/>
          <w:b/>
        </w:rPr>
      </w:pPr>
      <w:r w:rsidRPr="00D54B7D">
        <w:rPr>
          <w:rFonts w:ascii="Palatino Linotype" w:hAnsi="Palatino Linotype"/>
          <w:noProof/>
          <w:lang w:val="es-MX" w:eastAsia="es-MX"/>
        </w:rPr>
        <mc:AlternateContent>
          <mc:Choice Requires="wps">
            <w:drawing>
              <wp:anchor distT="0" distB="0" distL="114300" distR="114300" simplePos="0" relativeHeight="251708416" behindDoc="0" locked="0" layoutInCell="1" allowOverlap="1" wp14:anchorId="34F3A929" wp14:editId="02AD57F9">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AE7A60" w:rsidRDefault="00AE7A60" w:rsidP="004B4F61">
                            <w:pPr>
                              <w:jc w:val="center"/>
                              <w:rPr>
                                <w:rFonts w:ascii="Palatino Linotype" w:eastAsia="Calibri" w:hAnsi="Palatino Linotype" w:cs="Arial"/>
                              </w:rPr>
                            </w:pPr>
                            <w:r w:rsidRPr="007F3292">
                              <w:rPr>
                                <w:rFonts w:ascii="Palatino Linotype" w:eastAsia="Calibri" w:hAnsi="Palatino Linotype" w:cs="Arial"/>
                              </w:rPr>
                              <w:t>Comisionada Presidenta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3A929"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AE7A60" w:rsidRDefault="00AE7A60" w:rsidP="004B4F61">
                      <w:pPr>
                        <w:jc w:val="center"/>
                        <w:rPr>
                          <w:rFonts w:ascii="Palatino Linotype" w:eastAsia="Calibri" w:hAnsi="Palatino Linotype" w:cs="Arial"/>
                        </w:rPr>
                      </w:pPr>
                      <w:r w:rsidRPr="007F3292">
                        <w:rPr>
                          <w:rFonts w:ascii="Palatino Linotype" w:eastAsia="Calibri" w:hAnsi="Palatino Linotype" w:cs="Arial"/>
                        </w:rPr>
                        <w:t>Comisionada Presidenta</w:t>
                      </w:r>
                    </w:p>
                  </w:txbxContent>
                </v:textbox>
                <w10:wrap anchorx="page"/>
              </v:shape>
            </w:pict>
          </mc:Fallback>
        </mc:AlternateContent>
      </w:r>
    </w:p>
    <w:p w:rsidR="004B4F61" w:rsidRDefault="004B4F61" w:rsidP="004B4F61">
      <w:pPr>
        <w:spacing w:line="360" w:lineRule="auto"/>
        <w:rPr>
          <w:rFonts w:ascii="Palatino Linotype" w:hAnsi="Palatino Linotype"/>
          <w:b/>
        </w:rPr>
      </w:pPr>
    </w:p>
    <w:p w:rsidR="004B4F61" w:rsidRDefault="004B4F61" w:rsidP="004B4F61">
      <w:pPr>
        <w:spacing w:line="360" w:lineRule="auto"/>
        <w:rPr>
          <w:rFonts w:ascii="Palatino Linotype" w:hAnsi="Palatino Linotype"/>
          <w:b/>
        </w:rPr>
      </w:pPr>
    </w:p>
    <w:p w:rsidR="004B4F61" w:rsidRDefault="004B4F61" w:rsidP="004B4F61">
      <w:pPr>
        <w:spacing w:line="360" w:lineRule="auto"/>
        <w:rPr>
          <w:rFonts w:ascii="Palatino Linotype" w:hAnsi="Palatino Linotype"/>
          <w:b/>
        </w:rPr>
      </w:pPr>
    </w:p>
    <w:p w:rsidR="004B4F61" w:rsidRDefault="004B4F61" w:rsidP="004B4F61">
      <w:pPr>
        <w:spacing w:line="360" w:lineRule="auto"/>
        <w:rPr>
          <w:rFonts w:ascii="Palatino Linotype" w:hAnsi="Palatino Linotype"/>
          <w:b/>
        </w:rPr>
      </w:pPr>
    </w:p>
    <w:p w:rsidR="004B4F61" w:rsidRDefault="004B4F61" w:rsidP="004B4F61">
      <w:pPr>
        <w:spacing w:line="360" w:lineRule="auto"/>
        <w:rPr>
          <w:rFonts w:ascii="Palatino Linotype" w:hAnsi="Palatino Linotype"/>
          <w:b/>
        </w:rPr>
      </w:pPr>
      <w:r w:rsidRPr="00D54B7D">
        <w:rPr>
          <w:rFonts w:ascii="Palatino Linotype" w:hAnsi="Palatino Linotype"/>
          <w:noProof/>
          <w:lang w:val="es-MX" w:eastAsia="es-MX"/>
        </w:rPr>
        <mc:AlternateContent>
          <mc:Choice Requires="wps">
            <w:drawing>
              <wp:anchor distT="0" distB="0" distL="114300" distR="114300" simplePos="0" relativeHeight="251710464" behindDoc="0" locked="0" layoutInCell="1" allowOverlap="1" wp14:anchorId="4F14A946" wp14:editId="66AEB6A6">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4A946" id="Cuadro de texto 35" o:spid="_x0000_s1027" type="#_x0000_t202" style="position:absolute;margin-left:251.1pt;margin-top:.95pt;width:228.15pt;height:81.3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txbxContent>
                </v:textbox>
                <w10:wrap anchorx="margin"/>
              </v:shape>
            </w:pict>
          </mc:Fallback>
        </mc:AlternateContent>
      </w:r>
      <w:r w:rsidRPr="00D54B7D">
        <w:rPr>
          <w:rFonts w:ascii="Palatino Linotype" w:hAnsi="Palatino Linotype"/>
          <w:noProof/>
          <w:lang w:val="es-MX" w:eastAsia="es-MX"/>
        </w:rPr>
        <mc:AlternateContent>
          <mc:Choice Requires="wps">
            <w:drawing>
              <wp:anchor distT="0" distB="0" distL="114300" distR="114300" simplePos="0" relativeHeight="251709440" behindDoc="0" locked="0" layoutInCell="1" allowOverlap="1" wp14:anchorId="57A1F571" wp14:editId="7B51C28B">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7A60" w:rsidRPr="007F3292" w:rsidRDefault="00AE7A60" w:rsidP="004B4F61">
                            <w:pPr>
                              <w:jc w:val="center"/>
                              <w:rPr>
                                <w:rFonts w:ascii="Palatino Linotype" w:hAnsi="Palatino Linotype"/>
                                <w:b/>
                              </w:rPr>
                            </w:pPr>
                            <w:r w:rsidRPr="007F3292">
                              <w:rPr>
                                <w:rFonts w:ascii="Palatino Linotype" w:eastAsia="Calibri" w:hAnsi="Palatino Linotype" w:cs="Arial"/>
                                <w:b/>
                              </w:rPr>
                              <w:t>Eva Abaid Yapur</w:t>
                            </w:r>
                          </w:p>
                          <w:p w:rsidR="00AE7A60" w:rsidRDefault="00AE7A60" w:rsidP="004B4F61">
                            <w:pPr>
                              <w:jc w:val="center"/>
                              <w:rPr>
                                <w:rFonts w:ascii="Palatino Linotype" w:eastAsia="Calibri" w:hAnsi="Palatino Linotype" w:cs="Arial"/>
                              </w:rPr>
                            </w:pPr>
                            <w:r w:rsidRPr="007F3292">
                              <w:rPr>
                                <w:rFonts w:ascii="Palatino Linotype" w:eastAsia="Calibri" w:hAnsi="Palatino Linotype" w:cs="Arial"/>
                              </w:rPr>
                              <w:t>Comisionada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1F571" id="Cuadro de texto 8" o:spid="_x0000_s1028" type="#_x0000_t202" style="position:absolute;margin-left:0;margin-top:1.65pt;width:153pt;height:78.35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rsidR="00AE7A60" w:rsidRPr="007F3292" w:rsidRDefault="00AE7A60" w:rsidP="004B4F61">
                      <w:pPr>
                        <w:jc w:val="center"/>
                        <w:rPr>
                          <w:rFonts w:ascii="Palatino Linotype" w:hAnsi="Palatino Linotype"/>
                          <w:b/>
                        </w:rPr>
                      </w:pPr>
                      <w:r w:rsidRPr="007F3292">
                        <w:rPr>
                          <w:rFonts w:ascii="Palatino Linotype" w:eastAsia="Calibri" w:hAnsi="Palatino Linotype" w:cs="Arial"/>
                          <w:b/>
                        </w:rPr>
                        <w:t>Eva Abaid Yapur</w:t>
                      </w:r>
                    </w:p>
                    <w:p w:rsidR="00AE7A60" w:rsidRDefault="00AE7A60" w:rsidP="004B4F61">
                      <w:pPr>
                        <w:jc w:val="center"/>
                        <w:rPr>
                          <w:rFonts w:ascii="Palatino Linotype" w:eastAsia="Calibri" w:hAnsi="Palatino Linotype" w:cs="Arial"/>
                        </w:rPr>
                      </w:pPr>
                      <w:r w:rsidRPr="007F3292">
                        <w:rPr>
                          <w:rFonts w:ascii="Palatino Linotype" w:eastAsia="Calibri" w:hAnsi="Palatino Linotype" w:cs="Arial"/>
                        </w:rPr>
                        <w:t>Comisionada</w:t>
                      </w:r>
                    </w:p>
                  </w:txbxContent>
                </v:textbox>
                <w10:wrap anchorx="margin"/>
              </v:shape>
            </w:pict>
          </mc:Fallback>
        </mc:AlternateContent>
      </w:r>
    </w:p>
    <w:p w:rsidR="004B4F61" w:rsidRPr="00D54B7D" w:rsidRDefault="004B4F61" w:rsidP="004B4F61">
      <w:pPr>
        <w:spacing w:line="360" w:lineRule="auto"/>
        <w:rPr>
          <w:rFonts w:ascii="Palatino Linotype" w:hAnsi="Palatino Linotype"/>
          <w:b/>
        </w:rPr>
      </w:pPr>
    </w:p>
    <w:p w:rsidR="004B4F61" w:rsidRPr="00D54B7D" w:rsidRDefault="004B4F61" w:rsidP="004B4F61">
      <w:pPr>
        <w:spacing w:line="360" w:lineRule="auto"/>
        <w:rPr>
          <w:rFonts w:ascii="Palatino Linotype" w:hAnsi="Palatino Linotype"/>
          <w:b/>
        </w:rPr>
      </w:pPr>
    </w:p>
    <w:p w:rsidR="004B4F61" w:rsidRDefault="004B4F61" w:rsidP="004B4F61">
      <w:pPr>
        <w:spacing w:line="360" w:lineRule="auto"/>
        <w:rPr>
          <w:rFonts w:ascii="Palatino Linotype" w:hAnsi="Palatino Linotype"/>
          <w:b/>
        </w:rPr>
      </w:pPr>
    </w:p>
    <w:p w:rsidR="004B4F61" w:rsidRDefault="004B4F61" w:rsidP="004B4F61">
      <w:pPr>
        <w:spacing w:line="360" w:lineRule="auto"/>
        <w:rPr>
          <w:rFonts w:ascii="Palatino Linotype" w:hAnsi="Palatino Linotype"/>
          <w:b/>
          <w:sz w:val="18"/>
          <w:szCs w:val="18"/>
        </w:rPr>
      </w:pPr>
    </w:p>
    <w:p w:rsidR="004B4F61" w:rsidRDefault="004B4F61" w:rsidP="004B4F61">
      <w:pPr>
        <w:spacing w:line="360" w:lineRule="auto"/>
        <w:rPr>
          <w:rFonts w:ascii="Palatino Linotype" w:hAnsi="Palatino Linotype"/>
          <w:b/>
          <w:sz w:val="18"/>
          <w:szCs w:val="18"/>
        </w:rPr>
      </w:pPr>
    </w:p>
    <w:p w:rsidR="004B4F61" w:rsidRDefault="004B4F61" w:rsidP="004B4F61">
      <w:pPr>
        <w:spacing w:line="360" w:lineRule="auto"/>
        <w:rPr>
          <w:rFonts w:ascii="Palatino Linotype" w:hAnsi="Palatino Linotype"/>
          <w:b/>
          <w:sz w:val="18"/>
          <w:szCs w:val="18"/>
        </w:rPr>
      </w:pPr>
    </w:p>
    <w:p w:rsidR="004B4F61" w:rsidRPr="00B93570" w:rsidRDefault="004B4F61" w:rsidP="004B4F61">
      <w:pPr>
        <w:spacing w:line="360" w:lineRule="auto"/>
        <w:rPr>
          <w:rFonts w:ascii="Palatino Linotype" w:hAnsi="Palatino Linotype"/>
          <w:b/>
          <w:sz w:val="18"/>
          <w:szCs w:val="18"/>
        </w:rPr>
      </w:pPr>
      <w:r w:rsidRPr="00D54B7D">
        <w:rPr>
          <w:rFonts w:ascii="Palatino Linotype" w:hAnsi="Palatino Linotype"/>
          <w:noProof/>
          <w:lang w:val="es-MX" w:eastAsia="es-MX"/>
        </w:rPr>
        <mc:AlternateContent>
          <mc:Choice Requires="wps">
            <w:drawing>
              <wp:anchor distT="45720" distB="45720" distL="114300" distR="114300" simplePos="0" relativeHeight="251712512" behindDoc="0" locked="0" layoutInCell="1" allowOverlap="1" wp14:anchorId="0AA14E2D" wp14:editId="6940DB9A">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14E2D" id="Cuadro de texto 2" o:spid="_x0000_s1029" type="#_x0000_t202" style="position:absolute;margin-left:262.75pt;margin-top:.8pt;width:197.25pt;height:85.0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txbxContent>
                </v:textbox>
                <w10:wrap type="square" anchorx="margin"/>
              </v:shape>
            </w:pict>
          </mc:Fallback>
        </mc:AlternateContent>
      </w:r>
      <w:r w:rsidRPr="00D54B7D">
        <w:rPr>
          <w:rFonts w:ascii="Palatino Linotype" w:hAnsi="Palatino Linotype"/>
          <w:noProof/>
          <w:lang w:val="es-MX" w:eastAsia="es-MX"/>
        </w:rPr>
        <mc:AlternateContent>
          <mc:Choice Requires="wps">
            <w:drawing>
              <wp:anchor distT="0" distB="0" distL="114300" distR="114300" simplePos="0" relativeHeight="251713536" behindDoc="0" locked="0" layoutInCell="1" allowOverlap="1" wp14:anchorId="7835992E" wp14:editId="3B426BAD">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Javier Martínez Cruz</w:t>
                            </w:r>
                          </w:p>
                          <w:p w:rsidR="00AE7A60"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p w:rsidR="00AE7A60" w:rsidRDefault="00AE7A60" w:rsidP="004B4F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5992E" id="Cuadro de texto 10" o:spid="_x0000_s1030" type="#_x0000_t202" style="position:absolute;margin-left:0;margin-top:.6pt;width:168pt;height:83.2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Javier Martínez Cruz</w:t>
                      </w:r>
                    </w:p>
                    <w:p w:rsidR="00AE7A60"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p w:rsidR="00AE7A60" w:rsidRDefault="00AE7A60" w:rsidP="004B4F61"/>
                  </w:txbxContent>
                </v:textbox>
                <w10:wrap anchorx="margin"/>
              </v:shape>
            </w:pict>
          </mc:Fallback>
        </mc:AlternateContent>
      </w:r>
    </w:p>
    <w:p w:rsidR="004B4F61" w:rsidRDefault="004B4F61" w:rsidP="004B4F61">
      <w:pPr>
        <w:spacing w:line="360" w:lineRule="auto"/>
        <w:rPr>
          <w:rFonts w:ascii="Palatino Linotype" w:hAnsi="Palatino Linotype"/>
          <w:b/>
        </w:rPr>
      </w:pPr>
    </w:p>
    <w:p w:rsidR="004B4F61" w:rsidRDefault="004B4F61" w:rsidP="004B4F61">
      <w:pPr>
        <w:spacing w:line="360" w:lineRule="auto"/>
        <w:rPr>
          <w:rFonts w:ascii="Palatino Linotype" w:hAnsi="Palatino Linotype"/>
          <w:b/>
        </w:rPr>
      </w:pPr>
    </w:p>
    <w:p w:rsidR="004B4F61" w:rsidRDefault="004B4F61" w:rsidP="004B4F61">
      <w:pPr>
        <w:spacing w:line="360" w:lineRule="auto"/>
        <w:rPr>
          <w:rFonts w:ascii="Palatino Linotype" w:hAnsi="Palatino Linotype" w:cs="Arial"/>
          <w:szCs w:val="20"/>
        </w:rPr>
      </w:pPr>
    </w:p>
    <w:p w:rsidR="004B4F61" w:rsidRDefault="004B4F61" w:rsidP="004B4F61">
      <w:pPr>
        <w:spacing w:line="360" w:lineRule="auto"/>
        <w:rPr>
          <w:rFonts w:ascii="Palatino Linotype" w:hAnsi="Palatino Linotype" w:cs="Arial"/>
          <w:szCs w:val="20"/>
        </w:rPr>
      </w:pPr>
    </w:p>
    <w:p w:rsidR="007F3292" w:rsidRDefault="007F3292" w:rsidP="004B4F61">
      <w:pPr>
        <w:spacing w:line="360" w:lineRule="auto"/>
        <w:rPr>
          <w:rFonts w:ascii="Palatino Linotype" w:hAnsi="Palatino Linotype" w:cs="Arial"/>
          <w:szCs w:val="20"/>
        </w:rPr>
      </w:pPr>
    </w:p>
    <w:p w:rsidR="004B4F61" w:rsidRDefault="004B4F61" w:rsidP="004B4F61">
      <w:pPr>
        <w:spacing w:line="360" w:lineRule="auto"/>
        <w:rPr>
          <w:rFonts w:ascii="Palatino Linotype" w:hAnsi="Palatino Linotype" w:cs="Arial"/>
          <w:szCs w:val="20"/>
        </w:rPr>
      </w:pPr>
      <w:r w:rsidRPr="00D54B7D">
        <w:rPr>
          <w:rFonts w:ascii="Palatino Linotype" w:hAnsi="Palatino Linotype"/>
          <w:noProof/>
          <w:lang w:val="es-MX" w:eastAsia="es-MX"/>
        </w:rPr>
        <mc:AlternateContent>
          <mc:Choice Requires="wps">
            <w:drawing>
              <wp:anchor distT="0" distB="0" distL="114300" distR="114300" simplePos="0" relativeHeight="251711488" behindDoc="0" locked="0" layoutInCell="1" allowOverlap="1" wp14:anchorId="7E29B053" wp14:editId="205E503F">
                <wp:simplePos x="0" y="0"/>
                <wp:positionH relativeFrom="page">
                  <wp:posOffset>2209800</wp:posOffset>
                </wp:positionH>
                <wp:positionV relativeFrom="paragraph">
                  <wp:posOffset>53341</wp:posOffset>
                </wp:positionV>
                <wp:extent cx="3152775" cy="7620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762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Alexis Tapia Ramírez</w:t>
                            </w:r>
                          </w:p>
                          <w:p w:rsidR="00AE7A60" w:rsidRDefault="00AE7A60" w:rsidP="004B4F61">
                            <w:pPr>
                              <w:jc w:val="center"/>
                              <w:rPr>
                                <w:rFonts w:ascii="Palatino Linotype" w:eastAsia="Calibri" w:hAnsi="Palatino Linotype" w:cs="Arial"/>
                              </w:rPr>
                            </w:pPr>
                            <w:r w:rsidRPr="007F3292">
                              <w:rPr>
                                <w:rFonts w:ascii="Palatino Linotype" w:eastAsia="Calibri" w:hAnsi="Palatino Linotype" w:cs="Arial"/>
                              </w:rPr>
                              <w:t xml:space="preserve">Secretario Técnico del Pleno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B053" id="Cuadro de texto 24" o:spid="_x0000_s1031" type="#_x0000_t202" style="position:absolute;margin-left:174pt;margin-top:4.2pt;width:248.25pt;height:60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" fillcolor="white [3201]" strokecolor="white [3212]" strokeweight=".5pt">
                <v:textbo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Alexis Tapia Ramírez</w:t>
                      </w:r>
                    </w:p>
                    <w:p w:rsidR="00AE7A60" w:rsidRDefault="00AE7A60" w:rsidP="004B4F61">
                      <w:pPr>
                        <w:jc w:val="center"/>
                        <w:rPr>
                          <w:rFonts w:ascii="Palatino Linotype" w:eastAsia="Calibri" w:hAnsi="Palatino Linotype" w:cs="Arial"/>
                        </w:rPr>
                      </w:pPr>
                      <w:r w:rsidRPr="007F3292">
                        <w:rPr>
                          <w:rFonts w:ascii="Palatino Linotype" w:eastAsia="Calibri" w:hAnsi="Palatino Linotype" w:cs="Arial"/>
                        </w:rPr>
                        <w:t xml:space="preserve">Secretario Técnico del Pleno </w:t>
                      </w:r>
                    </w:p>
                  </w:txbxContent>
                </v:textbox>
                <w10:wrap anchorx="page"/>
              </v:shape>
            </w:pict>
          </mc:Fallback>
        </mc:AlternateContent>
      </w:r>
    </w:p>
    <w:p w:rsidR="004B4F61" w:rsidRDefault="004B4F61" w:rsidP="004B4F61">
      <w:pPr>
        <w:spacing w:line="360" w:lineRule="auto"/>
        <w:rPr>
          <w:rFonts w:ascii="Palatino Linotype" w:hAnsi="Palatino Linotype" w:cs="Arial"/>
          <w:sz w:val="18"/>
          <w:szCs w:val="18"/>
        </w:rPr>
      </w:pPr>
    </w:p>
    <w:p w:rsidR="004B4F61" w:rsidRDefault="004B4F61" w:rsidP="004B4F61">
      <w:pPr>
        <w:spacing w:line="360" w:lineRule="auto"/>
        <w:jc w:val="both"/>
        <w:rPr>
          <w:rFonts w:ascii="Palatino Linotype" w:hAnsi="Palatino Linotype" w:cs="Arial"/>
          <w:sz w:val="18"/>
          <w:szCs w:val="18"/>
        </w:rPr>
      </w:pPr>
    </w:p>
    <w:p w:rsidR="004B4F61" w:rsidRPr="001D400F" w:rsidRDefault="004B4F61" w:rsidP="004B4F61">
      <w:pPr>
        <w:jc w:val="both"/>
        <w:rPr>
          <w:rFonts w:ascii="Palatino Linotype" w:hAnsi="Palatino Linotype" w:cs="Arial"/>
          <w:sz w:val="12"/>
          <w:szCs w:val="20"/>
        </w:rPr>
      </w:pPr>
    </w:p>
    <w:p w:rsidR="004B4F61" w:rsidRPr="00363A57" w:rsidRDefault="004B4F61" w:rsidP="004B4F61">
      <w:pPr>
        <w:jc w:val="both"/>
        <w:rPr>
          <w:rFonts w:ascii="Palatino Linotype" w:hAnsi="Palatino Linotype" w:cs="Arial"/>
          <w:sz w:val="20"/>
          <w:szCs w:val="20"/>
        </w:rPr>
      </w:pPr>
      <w:r w:rsidRPr="00363A57">
        <w:rPr>
          <w:rFonts w:ascii="Palatino Linotype" w:hAnsi="Palatino Linotype" w:cs="Arial"/>
          <w:sz w:val="20"/>
          <w:szCs w:val="20"/>
        </w:rPr>
        <w:t xml:space="preserve">Esta hoja corresponde a la resolución de fecha </w:t>
      </w:r>
      <w:r w:rsidR="00D12E69" w:rsidRPr="00D12E69">
        <w:rPr>
          <w:rFonts w:ascii="Palatino Linotype" w:hAnsi="Palatino Linotype" w:cs="Arial"/>
          <w:sz w:val="20"/>
          <w:szCs w:val="20"/>
        </w:rPr>
        <w:t>seis de noviembre de dos mil diecinueve</w:t>
      </w:r>
      <w:r w:rsidRPr="00363A57">
        <w:rPr>
          <w:rFonts w:ascii="Palatino Linotype" w:hAnsi="Palatino Linotype" w:cs="Arial"/>
          <w:sz w:val="20"/>
          <w:szCs w:val="20"/>
        </w:rPr>
        <w:t xml:space="preserve">, emitida en el recurso de revisión </w:t>
      </w:r>
      <w:r w:rsidRPr="0067141E">
        <w:rPr>
          <w:rFonts w:ascii="Palatino Linotype" w:hAnsi="Palatino Linotype" w:cs="Arial"/>
          <w:sz w:val="20"/>
          <w:szCs w:val="20"/>
        </w:rPr>
        <w:t>0</w:t>
      </w:r>
      <w:r w:rsidR="00D12E69">
        <w:rPr>
          <w:rFonts w:ascii="Palatino Linotype" w:hAnsi="Palatino Linotype" w:cs="Arial"/>
          <w:sz w:val="20"/>
          <w:szCs w:val="20"/>
        </w:rPr>
        <w:t>7030</w:t>
      </w:r>
      <w:r w:rsidRPr="0067141E">
        <w:rPr>
          <w:rFonts w:ascii="Palatino Linotype" w:hAnsi="Palatino Linotype" w:cs="Arial"/>
          <w:sz w:val="20"/>
          <w:szCs w:val="20"/>
        </w:rPr>
        <w:t>/INFOEM</w:t>
      </w:r>
      <w:r w:rsidRPr="00D12E69">
        <w:rPr>
          <w:rFonts w:ascii="Palatino Linotype" w:hAnsi="Palatino Linotype" w:cs="Arial"/>
          <w:sz w:val="20"/>
          <w:szCs w:val="20"/>
        </w:rPr>
        <w:t>/</w:t>
      </w:r>
      <w:r w:rsidR="00D12E69">
        <w:rPr>
          <w:rFonts w:ascii="Palatino Linotype" w:hAnsi="Palatino Linotype" w:cs="Arial"/>
          <w:sz w:val="20"/>
          <w:szCs w:val="20"/>
        </w:rPr>
        <w:t>AD</w:t>
      </w:r>
      <w:r w:rsidRPr="00D12E69">
        <w:rPr>
          <w:rFonts w:ascii="Palatino Linotype" w:hAnsi="Palatino Linotype" w:cs="Arial"/>
          <w:sz w:val="20"/>
          <w:szCs w:val="20"/>
        </w:rPr>
        <w:t>/RR/2019</w:t>
      </w:r>
      <w:r w:rsidRPr="00363A57">
        <w:rPr>
          <w:rFonts w:ascii="Palatino Linotype" w:hAnsi="Palatino Linotype" w:cs="Arial"/>
          <w:sz w:val="20"/>
          <w:szCs w:val="20"/>
        </w:rPr>
        <w:t>.</w:t>
      </w:r>
    </w:p>
    <w:p w:rsidR="004B4F61" w:rsidRPr="00AD2F93" w:rsidRDefault="004B4F61" w:rsidP="004B4F61">
      <w:pPr>
        <w:rPr>
          <w:rFonts w:ascii="Palatino Linotype" w:hAnsi="Palatino Linotype" w:cs="Arial"/>
          <w:sz w:val="20"/>
          <w:szCs w:val="20"/>
          <w:lang w:val="es-ES_tradnl"/>
        </w:rPr>
      </w:pPr>
      <w:r w:rsidRPr="00363A57">
        <w:rPr>
          <w:rFonts w:ascii="Palatino Linotype" w:hAnsi="Palatino Linotype"/>
          <w:sz w:val="20"/>
          <w:szCs w:val="20"/>
        </w:rPr>
        <w:t>OSAM/ROA</w:t>
      </w:r>
    </w:p>
    <w:sectPr w:rsidR="004B4F61" w:rsidRPr="00AD2F93" w:rsidSect="00B54EF1">
      <w:headerReference w:type="default" r:id="rId9"/>
      <w:footerReference w:type="default" r:id="rId10"/>
      <w:headerReference w:type="first" r:id="rId11"/>
      <w:footerReference w:type="first" r:id="rId12"/>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1BD" w:rsidRDefault="002261BD" w:rsidP="00113E45">
      <w:r>
        <w:separator/>
      </w:r>
    </w:p>
  </w:endnote>
  <w:endnote w:type="continuationSeparator" w:id="0">
    <w:p w:rsidR="002261BD" w:rsidRDefault="002261BD"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60" w:rsidRPr="00F12350" w:rsidRDefault="00AE7A60"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B5030">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B5030">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p w:rsidR="00AE7A60" w:rsidRDefault="00AE7A60"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60" w:rsidRPr="00F12350" w:rsidRDefault="00AE7A60"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B5030">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B5030">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p w:rsidR="00AE7A60" w:rsidRDefault="00AE7A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1BD" w:rsidRDefault="002261BD" w:rsidP="00113E45">
      <w:r>
        <w:separator/>
      </w:r>
    </w:p>
  </w:footnote>
  <w:footnote w:type="continuationSeparator" w:id="0">
    <w:p w:rsidR="002261BD" w:rsidRDefault="002261BD" w:rsidP="00113E45">
      <w:r>
        <w:continuationSeparator/>
      </w:r>
    </w:p>
  </w:footnote>
  <w:footnote w:id="1">
    <w:p w:rsidR="001F721A" w:rsidRDefault="001F721A" w:rsidP="001F721A">
      <w:pPr>
        <w:pStyle w:val="Textonotapie"/>
      </w:pPr>
      <w:r>
        <w:rPr>
          <w:rStyle w:val="Refdenotaalpie"/>
        </w:rPr>
        <w:footnoteRef/>
      </w:r>
      <w:r>
        <w:t xml:space="preserve"> </w:t>
      </w:r>
      <w:r>
        <w:rPr>
          <w:rFonts w:ascii="Palatino Linotype" w:hAnsi="Palatino Linotype"/>
          <w:iCs/>
          <w:sz w:val="22"/>
          <w:szCs w:val="22"/>
        </w:rPr>
        <w:t>Lo</w:t>
      </w:r>
      <w:r w:rsidRPr="001B34FA">
        <w:rPr>
          <w:rFonts w:ascii="Palatino Linotype" w:hAnsi="Palatino Linotype"/>
          <w:iCs/>
          <w:sz w:val="22"/>
          <w:szCs w:val="22"/>
        </w:rPr>
        <w:t xml:space="preserve"> indispensable para que se produzca un efecto determinado.</w:t>
      </w:r>
      <w:r w:rsidRPr="001B34FA">
        <w:rPr>
          <w:rFonts w:ascii="Palatino Linotype" w:hAnsi="Palatino Linotype"/>
          <w:i/>
          <w:iCs/>
          <w:sz w:val="22"/>
          <w:szCs w:val="22"/>
        </w:rPr>
        <w:t xml:space="preserve"> Cabanellas de las Cuevas, Guillermo. (1979) Diccionario Jurídico Elemental</w:t>
      </w:r>
      <w:r>
        <w:rPr>
          <w:rFonts w:ascii="Palatino Linotype" w:hAnsi="Palatino Linotype"/>
          <w:i/>
          <w:iCs/>
          <w:sz w:val="22"/>
          <w:szCs w:val="22"/>
        </w:rPr>
        <w:t>.</w:t>
      </w:r>
    </w:p>
  </w:footnote>
  <w:footnote w:id="2">
    <w:p w:rsidR="001F721A" w:rsidRPr="000F34B5" w:rsidRDefault="001F721A" w:rsidP="001F721A">
      <w:pPr>
        <w:pStyle w:val="Textonotapie"/>
        <w:jc w:val="both"/>
        <w:rPr>
          <w:rFonts w:ascii="Palatino Linotype" w:hAnsi="Palatino Linotype"/>
          <w:i/>
        </w:rPr>
      </w:pPr>
      <w:r>
        <w:rPr>
          <w:rStyle w:val="Refdenotaalpie"/>
        </w:rPr>
        <w:footnoteRef/>
      </w:r>
      <w:r>
        <w:t xml:space="preserve"> </w:t>
      </w:r>
      <w:r w:rsidRPr="000F34B5">
        <w:rPr>
          <w:rFonts w:ascii="Palatino Linotype" w:hAnsi="Palatino Linotype"/>
          <w:b/>
          <w:i/>
        </w:rPr>
        <w:t>Legitimación para Ejercer los Derechos ARCO</w:t>
      </w:r>
    </w:p>
    <w:p w:rsidR="001F721A" w:rsidRPr="000F34B5" w:rsidRDefault="001F721A" w:rsidP="001F721A">
      <w:pPr>
        <w:pStyle w:val="Textonotapie"/>
        <w:jc w:val="both"/>
        <w:rPr>
          <w:rFonts w:ascii="Palatino Linotype" w:hAnsi="Palatino Linotype"/>
          <w:i/>
        </w:rPr>
      </w:pPr>
      <w:r w:rsidRPr="000F34B5">
        <w:rPr>
          <w:rFonts w:ascii="Palatino Linotype" w:hAnsi="Palatino Linotype"/>
          <w:b/>
          <w:i/>
        </w:rPr>
        <w:t>Artículo 106.</w:t>
      </w:r>
      <w:r w:rsidRPr="000F34B5">
        <w:rPr>
          <w:rFonts w:ascii="Palatino Linotype" w:hAnsi="Palatino Linotype"/>
          <w:i/>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rsidR="001F721A" w:rsidRPr="000F34B5" w:rsidRDefault="001F721A" w:rsidP="001F721A">
      <w:pPr>
        <w:pStyle w:val="Textonotapie"/>
        <w:jc w:val="both"/>
        <w:rPr>
          <w:rFonts w:ascii="Palatino Linotype" w:hAnsi="Palatino Linotype"/>
          <w:i/>
        </w:rPr>
      </w:pPr>
      <w:r w:rsidRPr="000F34B5">
        <w:rPr>
          <w:rFonts w:ascii="Palatino Linotype" w:hAnsi="Palatino Linotype"/>
          <w:i/>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rsidR="001F721A" w:rsidRPr="000F34B5" w:rsidRDefault="001F721A" w:rsidP="001F721A">
      <w:pPr>
        <w:pStyle w:val="Textonotapie"/>
        <w:jc w:val="both"/>
        <w:rPr>
          <w:rFonts w:ascii="Palatino Linotype" w:hAnsi="Palatino Linotype"/>
          <w:b/>
          <w:i/>
          <w:u w:val="single"/>
        </w:rPr>
      </w:pPr>
      <w:r w:rsidRPr="000F34B5">
        <w:rPr>
          <w:rFonts w:ascii="Palatino Linotype" w:hAnsi="Palatino Linotype"/>
          <w:b/>
          <w:i/>
          <w:u w:val="single"/>
        </w:rPr>
        <w:t xml:space="preserve">Para el ejercicio de los derechos ARCO solicitados será necesario acreditar la identidad de titular y en su caso la identidad y personalidad con la que actúe el representante. </w:t>
      </w:r>
    </w:p>
    <w:p w:rsidR="001F721A" w:rsidRPr="000F34B5" w:rsidRDefault="001F721A" w:rsidP="001F721A">
      <w:pPr>
        <w:pStyle w:val="Textonotapie"/>
        <w:jc w:val="both"/>
        <w:rPr>
          <w:rFonts w:ascii="Palatino Linotype" w:hAnsi="Palatino Linotype"/>
          <w:i/>
        </w:rPr>
      </w:pPr>
      <w:r w:rsidRPr="000F34B5">
        <w:rPr>
          <w:rFonts w:ascii="Palatino Linotype" w:hAnsi="Palatino Linotype"/>
          <w:i/>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001F721A" w:rsidRPr="000F34B5" w:rsidRDefault="001F721A" w:rsidP="001F721A">
      <w:pPr>
        <w:pStyle w:val="Textonotapie"/>
        <w:jc w:val="both"/>
        <w:rPr>
          <w:rFonts w:ascii="Palatino Linotype" w:hAnsi="Palatino Linotype"/>
          <w:i/>
        </w:rPr>
      </w:pPr>
      <w:r w:rsidRPr="000F34B5">
        <w:rPr>
          <w:rFonts w:ascii="Palatino Linotype" w:hAnsi="Palatino Linotype"/>
          <w:i/>
        </w:rPr>
        <w:t>El titular podrá autorizar dentro de una cláusula del testamento a las personas que podrán ejercer sus derechos ARCO al momento del fallecimiento.</w:t>
      </w:r>
    </w:p>
    <w:p w:rsidR="001F721A" w:rsidRPr="000F34B5" w:rsidRDefault="001F721A" w:rsidP="001F721A">
      <w:pPr>
        <w:pStyle w:val="Textonotapie"/>
        <w:jc w:val="both"/>
        <w:rPr>
          <w:rFonts w:ascii="Palatino Linotype" w:hAnsi="Palatino Linotype"/>
          <w:i/>
        </w:rPr>
      </w:pPr>
      <w:r w:rsidRPr="000F34B5">
        <w:rPr>
          <w:rFonts w:ascii="Palatino Linotype" w:hAnsi="Palatino Linotype"/>
          <w:i/>
        </w:rPr>
        <w:t>El ejercicio de los derechos ARCO por persona distinta a su titular o a su representante, será posible, excepcionalmente, en aquellos supuestos previstos por disposición legal, o en su caso, por mandato judicial.</w:t>
      </w:r>
    </w:p>
    <w:p w:rsidR="001F721A" w:rsidRPr="00135450" w:rsidRDefault="001F721A" w:rsidP="001F721A">
      <w:pPr>
        <w:pStyle w:val="Textonotapie"/>
        <w:jc w:val="both"/>
      </w:pPr>
      <w:r w:rsidRPr="000F34B5">
        <w:rPr>
          <w:rFonts w:ascii="Palatino Linotype" w:hAnsi="Palatino Linotype"/>
          <w:i/>
        </w:rPr>
        <w:t>En el ejercicio de los derechos ARCO de menores de edad o de personas que se encuentren en estado de interdicción o incapacidad de conformidad con las leyes civiles, se estará a las reglas de representación dispuestas en la misma legislación.</w:t>
      </w:r>
      <w:r w:rsidRPr="000F34B5">
        <w:rPr>
          <w:rFonts w:ascii="Palatino Linotype" w:hAnsi="Palatino Linotype"/>
          <w:i/>
        </w:rP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60" w:rsidRDefault="00AE7A60" w:rsidP="00B54EF1">
    <w:pPr>
      <w:pStyle w:val="Encabezado"/>
      <w:tabs>
        <w:tab w:val="clear" w:pos="4252"/>
        <w:tab w:val="clear" w:pos="8504"/>
        <w:tab w:val="left" w:pos="2326"/>
      </w:tabs>
    </w:pPr>
  </w:p>
  <w:tbl>
    <w:tblPr>
      <w:tblW w:w="6237" w:type="dxa"/>
      <w:tblInd w:w="3261" w:type="dxa"/>
      <w:tblLayout w:type="fixed"/>
      <w:tblLook w:val="04A0" w:firstRow="1" w:lastRow="0" w:firstColumn="1" w:lastColumn="0" w:noHBand="0" w:noVBand="1"/>
    </w:tblPr>
    <w:tblGrid>
      <w:gridCol w:w="2489"/>
      <w:gridCol w:w="3748"/>
    </w:tblGrid>
    <w:tr w:rsidR="00AE7A60" w:rsidRPr="008A510F" w:rsidTr="00EE5B44">
      <w:tc>
        <w:tcPr>
          <w:tcW w:w="2489"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748" w:type="dxa"/>
          <w:shd w:val="clear" w:color="auto" w:fill="auto"/>
          <w:vAlign w:val="center"/>
        </w:tcPr>
        <w:p w:rsidR="00AE7A60" w:rsidRPr="005A5E02" w:rsidRDefault="00AE7A60" w:rsidP="00EE5B44">
          <w:pPr>
            <w:tabs>
              <w:tab w:val="left" w:pos="3153"/>
            </w:tabs>
            <w:ind w:left="-45"/>
            <w:jc w:val="both"/>
            <w:rPr>
              <w:rFonts w:ascii="Palatino Linotype" w:hAnsi="Palatino Linotype"/>
              <w:b/>
              <w:sz w:val="22"/>
              <w:szCs w:val="22"/>
              <w:lang w:val="es-ES_tradnl"/>
            </w:rPr>
          </w:pPr>
          <w:r w:rsidRPr="00792FF5">
            <w:rPr>
              <w:rFonts w:ascii="Palatino Linotype" w:hAnsi="Palatino Linotype"/>
              <w:b/>
              <w:sz w:val="22"/>
              <w:szCs w:val="22"/>
              <w:lang w:val="es-ES_tradnl"/>
            </w:rPr>
            <w:t>0</w:t>
          </w:r>
          <w:r w:rsidR="00EE5B44">
            <w:rPr>
              <w:rFonts w:ascii="Palatino Linotype" w:hAnsi="Palatino Linotype"/>
              <w:b/>
              <w:sz w:val="22"/>
              <w:szCs w:val="22"/>
              <w:lang w:val="es-ES_tradnl"/>
            </w:rPr>
            <w:t>70</w:t>
          </w:r>
          <w:r w:rsidR="00835D9D">
            <w:rPr>
              <w:rFonts w:ascii="Palatino Linotype" w:hAnsi="Palatino Linotype"/>
              <w:b/>
              <w:sz w:val="22"/>
              <w:szCs w:val="22"/>
              <w:lang w:val="es-ES_tradnl"/>
            </w:rPr>
            <w:t>30</w:t>
          </w:r>
          <w:r w:rsidRPr="00792FF5">
            <w:rPr>
              <w:rFonts w:ascii="Palatino Linotype" w:hAnsi="Palatino Linotype"/>
              <w:b/>
              <w:sz w:val="22"/>
              <w:szCs w:val="22"/>
              <w:lang w:val="es-ES_tradnl"/>
            </w:rPr>
            <w:t>/INFOEM/</w:t>
          </w:r>
          <w:r w:rsidR="00EE5B44">
            <w:rPr>
              <w:rFonts w:ascii="Palatino Linotype" w:hAnsi="Palatino Linotype"/>
              <w:b/>
              <w:sz w:val="22"/>
              <w:szCs w:val="22"/>
              <w:lang w:val="es-ES_tradnl"/>
            </w:rPr>
            <w:t>AD</w:t>
          </w:r>
          <w:r w:rsidRPr="00792FF5">
            <w:rPr>
              <w:rFonts w:ascii="Palatino Linotype" w:hAnsi="Palatino Linotype"/>
              <w:b/>
              <w:sz w:val="22"/>
              <w:szCs w:val="22"/>
              <w:lang w:val="es-ES_tradnl"/>
            </w:rPr>
            <w:t>/RR/2019</w:t>
          </w:r>
        </w:p>
      </w:tc>
    </w:tr>
    <w:tr w:rsidR="00AE7A60" w:rsidRPr="008A510F" w:rsidTr="00EE5B44">
      <w:tc>
        <w:tcPr>
          <w:tcW w:w="2489"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748" w:type="dxa"/>
          <w:shd w:val="clear" w:color="auto" w:fill="auto"/>
          <w:vAlign w:val="center"/>
        </w:tcPr>
        <w:p w:rsidR="00AE7A60" w:rsidRPr="00927A01" w:rsidRDefault="00EE5B44" w:rsidP="00B277AB">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 xml:space="preserve">Poder Judicial </w:t>
          </w:r>
        </w:p>
      </w:tc>
    </w:tr>
    <w:tr w:rsidR="00AE7A60" w:rsidRPr="008A510F" w:rsidTr="00EE5B44">
      <w:tc>
        <w:tcPr>
          <w:tcW w:w="2489" w:type="dxa"/>
          <w:shd w:val="clear" w:color="auto" w:fill="auto"/>
          <w:vAlign w:val="center"/>
        </w:tcPr>
        <w:p w:rsidR="00AE7A60" w:rsidRPr="005A5E02" w:rsidRDefault="00AE7A60" w:rsidP="00B54EF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48" w:type="dxa"/>
          <w:shd w:val="clear" w:color="auto" w:fill="auto"/>
          <w:vAlign w:val="center"/>
        </w:tcPr>
        <w:p w:rsidR="00AE7A60" w:rsidRDefault="00AE7A60" w:rsidP="00B54EF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AE7A60" w:rsidRDefault="00AE7A60" w:rsidP="00B54EF1">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8" w:type="dxa"/>
      <w:tblInd w:w="3261" w:type="dxa"/>
      <w:tblLayout w:type="fixed"/>
      <w:tblLook w:val="04A0" w:firstRow="1" w:lastRow="0" w:firstColumn="1" w:lastColumn="0" w:noHBand="0" w:noVBand="1"/>
    </w:tblPr>
    <w:tblGrid>
      <w:gridCol w:w="2551"/>
      <w:gridCol w:w="3827"/>
    </w:tblGrid>
    <w:tr w:rsidR="00AE7A60" w:rsidRPr="005A5E02" w:rsidTr="00835D9D">
      <w:tc>
        <w:tcPr>
          <w:tcW w:w="2551"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827" w:type="dxa"/>
          <w:shd w:val="clear" w:color="auto" w:fill="auto"/>
          <w:vAlign w:val="center"/>
        </w:tcPr>
        <w:p w:rsidR="00AE7A60" w:rsidRPr="005A5E02" w:rsidRDefault="00AE7A60" w:rsidP="00EE5B44">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EE5B44">
            <w:rPr>
              <w:rFonts w:ascii="Palatino Linotype" w:hAnsi="Palatino Linotype"/>
              <w:b/>
              <w:sz w:val="22"/>
              <w:szCs w:val="22"/>
              <w:lang w:val="es-ES_tradnl"/>
            </w:rPr>
            <w:t>7030</w:t>
          </w:r>
          <w:r w:rsidRPr="00792FF5">
            <w:rPr>
              <w:rFonts w:ascii="Palatino Linotype" w:hAnsi="Palatino Linotype"/>
              <w:b/>
              <w:sz w:val="22"/>
              <w:szCs w:val="22"/>
              <w:lang w:val="es-ES_tradnl"/>
            </w:rPr>
            <w:t>/INFOEM/</w:t>
          </w:r>
          <w:r w:rsidR="00EE5B44">
            <w:rPr>
              <w:rFonts w:ascii="Palatino Linotype" w:hAnsi="Palatino Linotype"/>
              <w:b/>
              <w:sz w:val="22"/>
              <w:szCs w:val="22"/>
              <w:lang w:val="es-ES_tradnl"/>
            </w:rPr>
            <w:t>AD</w:t>
          </w:r>
          <w:r w:rsidRPr="00792FF5">
            <w:rPr>
              <w:rFonts w:ascii="Palatino Linotype" w:hAnsi="Palatino Linotype"/>
              <w:b/>
              <w:sz w:val="22"/>
              <w:szCs w:val="22"/>
              <w:lang w:val="es-ES_tradnl"/>
            </w:rPr>
            <w:t>/RR/2019</w:t>
          </w:r>
        </w:p>
      </w:tc>
    </w:tr>
    <w:tr w:rsidR="00AE7A60" w:rsidRPr="005A5E02" w:rsidTr="00835D9D">
      <w:trPr>
        <w:trHeight w:val="130"/>
      </w:trPr>
      <w:tc>
        <w:tcPr>
          <w:tcW w:w="2551"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827" w:type="dxa"/>
          <w:shd w:val="clear" w:color="auto" w:fill="auto"/>
          <w:vAlign w:val="center"/>
        </w:tcPr>
        <w:p w:rsidR="00EE5B44" w:rsidRDefault="009E3069" w:rsidP="00EE5B44">
          <w:pPr>
            <w:ind w:left="-45"/>
            <w:jc w:val="both"/>
            <w:rPr>
              <w:rFonts w:ascii="Palatino Linotype" w:hAnsi="Palatino Linotype"/>
              <w:b/>
              <w:sz w:val="22"/>
              <w:szCs w:val="22"/>
              <w:lang w:val="es-ES_tradnl"/>
            </w:rPr>
          </w:pPr>
          <w:r>
            <w:rPr>
              <w:rFonts w:ascii="Palatino Linotype" w:hAnsi="Palatino Linotype"/>
              <w:b/>
              <w:sz w:val="22"/>
              <w:szCs w:val="22"/>
              <w:lang w:val="es-ES_tradnl"/>
            </w:rPr>
            <w:t>xxxxxxxxxxxxxxxxxxxxxxxx</w:t>
          </w:r>
          <w:r w:rsidR="00EE5B44">
            <w:rPr>
              <w:rFonts w:ascii="Palatino Linotype" w:hAnsi="Palatino Linotype"/>
              <w:b/>
              <w:sz w:val="22"/>
              <w:szCs w:val="22"/>
              <w:lang w:val="es-ES_tradnl"/>
            </w:rPr>
            <w:t xml:space="preserve"> </w:t>
          </w:r>
        </w:p>
        <w:p w:rsidR="00AE7A60" w:rsidRPr="00927A01" w:rsidRDefault="009E3069" w:rsidP="00EE5B44">
          <w:pPr>
            <w:ind w:left="-45"/>
            <w:jc w:val="both"/>
            <w:rPr>
              <w:rFonts w:ascii="Palatino Linotype" w:hAnsi="Palatino Linotype"/>
              <w:b/>
              <w:sz w:val="22"/>
              <w:szCs w:val="22"/>
              <w:lang w:val="es-ES_tradnl"/>
            </w:rPr>
          </w:pPr>
          <w:r>
            <w:rPr>
              <w:rFonts w:ascii="Palatino Linotype" w:hAnsi="Palatino Linotype"/>
              <w:b/>
              <w:sz w:val="22"/>
              <w:szCs w:val="22"/>
              <w:lang w:val="es-ES_tradnl"/>
            </w:rPr>
            <w:t>xxxxxxxxxxxxxx</w:t>
          </w:r>
        </w:p>
      </w:tc>
    </w:tr>
    <w:tr w:rsidR="00AE7A60" w:rsidRPr="00835D9D" w:rsidTr="00835D9D">
      <w:trPr>
        <w:trHeight w:val="228"/>
      </w:trPr>
      <w:tc>
        <w:tcPr>
          <w:tcW w:w="2551" w:type="dxa"/>
          <w:shd w:val="clear" w:color="auto" w:fill="auto"/>
          <w:vAlign w:val="center"/>
        </w:tcPr>
        <w:p w:rsidR="00AE7A60" w:rsidRPr="005A5E02" w:rsidRDefault="00AE7A60" w:rsidP="00835D9D">
          <w:pPr>
            <w:ind w:left="-45" w:right="-533"/>
            <w:jc w:val="both"/>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827" w:type="dxa"/>
          <w:shd w:val="clear" w:color="auto" w:fill="auto"/>
          <w:vAlign w:val="center"/>
        </w:tcPr>
        <w:p w:rsidR="00AE7A60" w:rsidRPr="00927A01" w:rsidRDefault="00EE5B44" w:rsidP="00782BD2">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 xml:space="preserve">Poder Judicial </w:t>
          </w:r>
        </w:p>
      </w:tc>
    </w:tr>
    <w:tr w:rsidR="00AE7A60" w:rsidRPr="005A5E02" w:rsidTr="00835D9D">
      <w:tc>
        <w:tcPr>
          <w:tcW w:w="2551" w:type="dxa"/>
          <w:shd w:val="clear" w:color="auto" w:fill="auto"/>
          <w:vAlign w:val="center"/>
        </w:tcPr>
        <w:p w:rsidR="00AE7A60" w:rsidRPr="005A5E02" w:rsidRDefault="00AE7A60" w:rsidP="0067141E">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sidR="0067141E">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827" w:type="dxa"/>
          <w:shd w:val="clear" w:color="auto" w:fill="auto"/>
          <w:vAlign w:val="center"/>
        </w:tcPr>
        <w:p w:rsidR="00AE7A60" w:rsidRPr="005A5E02" w:rsidRDefault="00AE7A60" w:rsidP="00B54EF1">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AE7A60" w:rsidRDefault="00AE7A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826858"/>
    <w:multiLevelType w:val="hybridMultilevel"/>
    <w:tmpl w:val="ACB6703E"/>
    <w:lvl w:ilvl="0" w:tplc="AA6095CC">
      <w:start w:val="3"/>
      <w:numFmt w:val="upperRoman"/>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2951BE"/>
    <w:multiLevelType w:val="multilevel"/>
    <w:tmpl w:val="3EC0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502773"/>
    <w:multiLevelType w:val="hybridMultilevel"/>
    <w:tmpl w:val="33025FCE"/>
    <w:lvl w:ilvl="0" w:tplc="0B4A6E5C">
      <w:start w:val="6"/>
      <w:numFmt w:val="upperRoman"/>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4A7F1D92"/>
    <w:multiLevelType w:val="hybridMultilevel"/>
    <w:tmpl w:val="F3A6B7E2"/>
    <w:lvl w:ilvl="0" w:tplc="FF26E19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65DB5578"/>
    <w:multiLevelType w:val="hybridMultilevel"/>
    <w:tmpl w:val="DA80F8EE"/>
    <w:lvl w:ilvl="0" w:tplc="F940A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10"/>
  </w:num>
  <w:num w:numId="5">
    <w:abstractNumId w:val="8"/>
  </w:num>
  <w:num w:numId="6">
    <w:abstractNumId w:val="6"/>
  </w:num>
  <w:num w:numId="7">
    <w:abstractNumId w:val="11"/>
  </w:num>
  <w:num w:numId="8">
    <w:abstractNumId w:val="4"/>
  </w:num>
  <w:num w:numId="9">
    <w:abstractNumId w:val="3"/>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10D44"/>
    <w:rsid w:val="00010E53"/>
    <w:rsid w:val="00014513"/>
    <w:rsid w:val="00014E7E"/>
    <w:rsid w:val="00015BFC"/>
    <w:rsid w:val="00015D64"/>
    <w:rsid w:val="00021F0B"/>
    <w:rsid w:val="00022ADE"/>
    <w:rsid w:val="000250BB"/>
    <w:rsid w:val="000253FB"/>
    <w:rsid w:val="000347C1"/>
    <w:rsid w:val="00037050"/>
    <w:rsid w:val="00040D90"/>
    <w:rsid w:val="00050FF2"/>
    <w:rsid w:val="00051BDC"/>
    <w:rsid w:val="00056B17"/>
    <w:rsid w:val="00060986"/>
    <w:rsid w:val="00077D38"/>
    <w:rsid w:val="00077DA3"/>
    <w:rsid w:val="00083552"/>
    <w:rsid w:val="00087A45"/>
    <w:rsid w:val="00091891"/>
    <w:rsid w:val="00092FD9"/>
    <w:rsid w:val="000938CF"/>
    <w:rsid w:val="00095D9B"/>
    <w:rsid w:val="000A2425"/>
    <w:rsid w:val="000A351F"/>
    <w:rsid w:val="000A6F7A"/>
    <w:rsid w:val="000B1346"/>
    <w:rsid w:val="000B7C51"/>
    <w:rsid w:val="000C16FF"/>
    <w:rsid w:val="000C1926"/>
    <w:rsid w:val="000D1D04"/>
    <w:rsid w:val="000D3560"/>
    <w:rsid w:val="000D4FEB"/>
    <w:rsid w:val="000E62F9"/>
    <w:rsid w:val="000E74A3"/>
    <w:rsid w:val="00105B74"/>
    <w:rsid w:val="00106F34"/>
    <w:rsid w:val="001073A5"/>
    <w:rsid w:val="00110DB1"/>
    <w:rsid w:val="00113E45"/>
    <w:rsid w:val="00127DBF"/>
    <w:rsid w:val="00132A76"/>
    <w:rsid w:val="001603AF"/>
    <w:rsid w:val="001636A5"/>
    <w:rsid w:val="00163BE6"/>
    <w:rsid w:val="0016431C"/>
    <w:rsid w:val="00164E83"/>
    <w:rsid w:val="00174089"/>
    <w:rsid w:val="00182655"/>
    <w:rsid w:val="0018475A"/>
    <w:rsid w:val="001853B9"/>
    <w:rsid w:val="0018599C"/>
    <w:rsid w:val="00186BFF"/>
    <w:rsid w:val="00195B24"/>
    <w:rsid w:val="0019611D"/>
    <w:rsid w:val="001A099E"/>
    <w:rsid w:val="001A1F69"/>
    <w:rsid w:val="001A3594"/>
    <w:rsid w:val="001B699C"/>
    <w:rsid w:val="001B6A97"/>
    <w:rsid w:val="001D4928"/>
    <w:rsid w:val="001E23A3"/>
    <w:rsid w:val="001E713B"/>
    <w:rsid w:val="001E78AA"/>
    <w:rsid w:val="001E7A3A"/>
    <w:rsid w:val="001F62CA"/>
    <w:rsid w:val="001F721A"/>
    <w:rsid w:val="00200879"/>
    <w:rsid w:val="002043B1"/>
    <w:rsid w:val="002138B7"/>
    <w:rsid w:val="002201A0"/>
    <w:rsid w:val="002261BD"/>
    <w:rsid w:val="00231453"/>
    <w:rsid w:val="0023246F"/>
    <w:rsid w:val="002337B6"/>
    <w:rsid w:val="0023424F"/>
    <w:rsid w:val="00236D2C"/>
    <w:rsid w:val="0024136A"/>
    <w:rsid w:val="00242CA4"/>
    <w:rsid w:val="002438E8"/>
    <w:rsid w:val="00244907"/>
    <w:rsid w:val="00251204"/>
    <w:rsid w:val="00256122"/>
    <w:rsid w:val="002627A2"/>
    <w:rsid w:val="002628BF"/>
    <w:rsid w:val="00262AC8"/>
    <w:rsid w:val="00267A53"/>
    <w:rsid w:val="00270545"/>
    <w:rsid w:val="00271C92"/>
    <w:rsid w:val="00271D9B"/>
    <w:rsid w:val="00275A9D"/>
    <w:rsid w:val="00276420"/>
    <w:rsid w:val="00277020"/>
    <w:rsid w:val="00284869"/>
    <w:rsid w:val="00293E0B"/>
    <w:rsid w:val="0029488C"/>
    <w:rsid w:val="00295D94"/>
    <w:rsid w:val="00297A41"/>
    <w:rsid w:val="002B3695"/>
    <w:rsid w:val="002B3C9E"/>
    <w:rsid w:val="002B7AEC"/>
    <w:rsid w:val="002C2DB0"/>
    <w:rsid w:val="002C6F29"/>
    <w:rsid w:val="002D08E1"/>
    <w:rsid w:val="002E0F46"/>
    <w:rsid w:val="002F4B7C"/>
    <w:rsid w:val="002F7689"/>
    <w:rsid w:val="0031126F"/>
    <w:rsid w:val="00313810"/>
    <w:rsid w:val="00313F0A"/>
    <w:rsid w:val="00315F95"/>
    <w:rsid w:val="00316F4C"/>
    <w:rsid w:val="003215D8"/>
    <w:rsid w:val="00322241"/>
    <w:rsid w:val="003264AD"/>
    <w:rsid w:val="00326CC3"/>
    <w:rsid w:val="00332666"/>
    <w:rsid w:val="00344DBB"/>
    <w:rsid w:val="0034638C"/>
    <w:rsid w:val="003526C8"/>
    <w:rsid w:val="00353A12"/>
    <w:rsid w:val="0036528C"/>
    <w:rsid w:val="0036603B"/>
    <w:rsid w:val="00372C97"/>
    <w:rsid w:val="00374370"/>
    <w:rsid w:val="00380D76"/>
    <w:rsid w:val="003839F4"/>
    <w:rsid w:val="003958E1"/>
    <w:rsid w:val="0039742B"/>
    <w:rsid w:val="003A041F"/>
    <w:rsid w:val="003A0725"/>
    <w:rsid w:val="003A7632"/>
    <w:rsid w:val="003B475A"/>
    <w:rsid w:val="003B56A3"/>
    <w:rsid w:val="003D2060"/>
    <w:rsid w:val="003E377E"/>
    <w:rsid w:val="003E4892"/>
    <w:rsid w:val="003F15A9"/>
    <w:rsid w:val="00404CE0"/>
    <w:rsid w:val="004056B4"/>
    <w:rsid w:val="0041155C"/>
    <w:rsid w:val="0041694C"/>
    <w:rsid w:val="00417436"/>
    <w:rsid w:val="00421704"/>
    <w:rsid w:val="00424992"/>
    <w:rsid w:val="0043170B"/>
    <w:rsid w:val="00435BF2"/>
    <w:rsid w:val="00442EEF"/>
    <w:rsid w:val="004431A7"/>
    <w:rsid w:val="0044527E"/>
    <w:rsid w:val="004467B2"/>
    <w:rsid w:val="00447544"/>
    <w:rsid w:val="00451B73"/>
    <w:rsid w:val="00452D25"/>
    <w:rsid w:val="00452F88"/>
    <w:rsid w:val="004543BF"/>
    <w:rsid w:val="004628C8"/>
    <w:rsid w:val="004708F6"/>
    <w:rsid w:val="004817E4"/>
    <w:rsid w:val="00482780"/>
    <w:rsid w:val="0049559A"/>
    <w:rsid w:val="004977FD"/>
    <w:rsid w:val="004A1232"/>
    <w:rsid w:val="004A5666"/>
    <w:rsid w:val="004A6FD8"/>
    <w:rsid w:val="004B3EDF"/>
    <w:rsid w:val="004B4F61"/>
    <w:rsid w:val="004C060E"/>
    <w:rsid w:val="004D3C65"/>
    <w:rsid w:val="004D3D61"/>
    <w:rsid w:val="004E0230"/>
    <w:rsid w:val="004E7F0D"/>
    <w:rsid w:val="004F6607"/>
    <w:rsid w:val="005053AE"/>
    <w:rsid w:val="00505C5F"/>
    <w:rsid w:val="005101F5"/>
    <w:rsid w:val="005139FC"/>
    <w:rsid w:val="00514B84"/>
    <w:rsid w:val="00521D87"/>
    <w:rsid w:val="00523A31"/>
    <w:rsid w:val="00524903"/>
    <w:rsid w:val="005415C0"/>
    <w:rsid w:val="00547F2F"/>
    <w:rsid w:val="0055141A"/>
    <w:rsid w:val="00554F71"/>
    <w:rsid w:val="00556BD7"/>
    <w:rsid w:val="00580E69"/>
    <w:rsid w:val="00581EC2"/>
    <w:rsid w:val="00582766"/>
    <w:rsid w:val="00583535"/>
    <w:rsid w:val="0059172D"/>
    <w:rsid w:val="00591EAF"/>
    <w:rsid w:val="005A0459"/>
    <w:rsid w:val="005A51AE"/>
    <w:rsid w:val="005A77AB"/>
    <w:rsid w:val="005B13D6"/>
    <w:rsid w:val="005B252C"/>
    <w:rsid w:val="005B2607"/>
    <w:rsid w:val="005B58AB"/>
    <w:rsid w:val="005D05CC"/>
    <w:rsid w:val="005E1436"/>
    <w:rsid w:val="005E1CF4"/>
    <w:rsid w:val="005E5C2F"/>
    <w:rsid w:val="005E78F6"/>
    <w:rsid w:val="005F1464"/>
    <w:rsid w:val="005F1AE1"/>
    <w:rsid w:val="00603A57"/>
    <w:rsid w:val="006052C1"/>
    <w:rsid w:val="00605643"/>
    <w:rsid w:val="006064F2"/>
    <w:rsid w:val="006067C3"/>
    <w:rsid w:val="00607353"/>
    <w:rsid w:val="006076D2"/>
    <w:rsid w:val="006137E5"/>
    <w:rsid w:val="00615897"/>
    <w:rsid w:val="0061643C"/>
    <w:rsid w:val="006166C8"/>
    <w:rsid w:val="00621DE2"/>
    <w:rsid w:val="006224D3"/>
    <w:rsid w:val="00622554"/>
    <w:rsid w:val="006275B9"/>
    <w:rsid w:val="006319EF"/>
    <w:rsid w:val="006337C6"/>
    <w:rsid w:val="00633F88"/>
    <w:rsid w:val="00635CC2"/>
    <w:rsid w:val="00637863"/>
    <w:rsid w:val="00643368"/>
    <w:rsid w:val="00643F34"/>
    <w:rsid w:val="006448CB"/>
    <w:rsid w:val="00650AA6"/>
    <w:rsid w:val="00652F11"/>
    <w:rsid w:val="0066599B"/>
    <w:rsid w:val="0067141E"/>
    <w:rsid w:val="0067362D"/>
    <w:rsid w:val="00673B22"/>
    <w:rsid w:val="00681B00"/>
    <w:rsid w:val="00681F77"/>
    <w:rsid w:val="0068532B"/>
    <w:rsid w:val="00687ACF"/>
    <w:rsid w:val="0069739B"/>
    <w:rsid w:val="00697486"/>
    <w:rsid w:val="006B33CF"/>
    <w:rsid w:val="006B4441"/>
    <w:rsid w:val="006C30C7"/>
    <w:rsid w:val="006C4125"/>
    <w:rsid w:val="006C53AC"/>
    <w:rsid w:val="006C63E7"/>
    <w:rsid w:val="006C6986"/>
    <w:rsid w:val="006E23FD"/>
    <w:rsid w:val="006F5F53"/>
    <w:rsid w:val="007001F4"/>
    <w:rsid w:val="0070364A"/>
    <w:rsid w:val="00704745"/>
    <w:rsid w:val="00710248"/>
    <w:rsid w:val="00711FF6"/>
    <w:rsid w:val="00712717"/>
    <w:rsid w:val="00721F57"/>
    <w:rsid w:val="007322F3"/>
    <w:rsid w:val="00733133"/>
    <w:rsid w:val="007332B1"/>
    <w:rsid w:val="00733FD4"/>
    <w:rsid w:val="00746C37"/>
    <w:rsid w:val="00752C7C"/>
    <w:rsid w:val="00752D08"/>
    <w:rsid w:val="0076274F"/>
    <w:rsid w:val="007642C5"/>
    <w:rsid w:val="0076646B"/>
    <w:rsid w:val="007714D1"/>
    <w:rsid w:val="00772967"/>
    <w:rsid w:val="00776218"/>
    <w:rsid w:val="007764BB"/>
    <w:rsid w:val="0078074C"/>
    <w:rsid w:val="00780C57"/>
    <w:rsid w:val="00782BD2"/>
    <w:rsid w:val="007831AC"/>
    <w:rsid w:val="007A69F7"/>
    <w:rsid w:val="007A6E73"/>
    <w:rsid w:val="007B2A10"/>
    <w:rsid w:val="007B4978"/>
    <w:rsid w:val="007C1E7D"/>
    <w:rsid w:val="007C73D1"/>
    <w:rsid w:val="007D37CB"/>
    <w:rsid w:val="007D57B2"/>
    <w:rsid w:val="007D5F1D"/>
    <w:rsid w:val="007E51C8"/>
    <w:rsid w:val="007E543E"/>
    <w:rsid w:val="007F3292"/>
    <w:rsid w:val="007F59FA"/>
    <w:rsid w:val="007F5EAB"/>
    <w:rsid w:val="00800464"/>
    <w:rsid w:val="00802686"/>
    <w:rsid w:val="008135DC"/>
    <w:rsid w:val="008150FA"/>
    <w:rsid w:val="008212DA"/>
    <w:rsid w:val="00826211"/>
    <w:rsid w:val="00830522"/>
    <w:rsid w:val="00831885"/>
    <w:rsid w:val="00831913"/>
    <w:rsid w:val="00832756"/>
    <w:rsid w:val="00835D9D"/>
    <w:rsid w:val="00836CBE"/>
    <w:rsid w:val="00842531"/>
    <w:rsid w:val="00852257"/>
    <w:rsid w:val="008532AB"/>
    <w:rsid w:val="008535D7"/>
    <w:rsid w:val="00855285"/>
    <w:rsid w:val="008559BD"/>
    <w:rsid w:val="00860BE6"/>
    <w:rsid w:val="008631C6"/>
    <w:rsid w:val="008660F9"/>
    <w:rsid w:val="008770B8"/>
    <w:rsid w:val="00881A20"/>
    <w:rsid w:val="008938E4"/>
    <w:rsid w:val="0089735E"/>
    <w:rsid w:val="008A063B"/>
    <w:rsid w:val="008B0341"/>
    <w:rsid w:val="008B164D"/>
    <w:rsid w:val="008B298C"/>
    <w:rsid w:val="008B7F21"/>
    <w:rsid w:val="008C0081"/>
    <w:rsid w:val="008C09F2"/>
    <w:rsid w:val="008C64C5"/>
    <w:rsid w:val="008C7A5F"/>
    <w:rsid w:val="008D14A7"/>
    <w:rsid w:val="008D76CC"/>
    <w:rsid w:val="008E1475"/>
    <w:rsid w:val="008E4077"/>
    <w:rsid w:val="008E69B6"/>
    <w:rsid w:val="008E7A4E"/>
    <w:rsid w:val="00907026"/>
    <w:rsid w:val="00913A6B"/>
    <w:rsid w:val="009149A8"/>
    <w:rsid w:val="009170C7"/>
    <w:rsid w:val="0092022B"/>
    <w:rsid w:val="009214BE"/>
    <w:rsid w:val="00922ABA"/>
    <w:rsid w:val="0092457F"/>
    <w:rsid w:val="00927819"/>
    <w:rsid w:val="00932647"/>
    <w:rsid w:val="0093353F"/>
    <w:rsid w:val="00941C69"/>
    <w:rsid w:val="00944456"/>
    <w:rsid w:val="00945A70"/>
    <w:rsid w:val="009460C9"/>
    <w:rsid w:val="00953461"/>
    <w:rsid w:val="00953982"/>
    <w:rsid w:val="00960431"/>
    <w:rsid w:val="00960AE0"/>
    <w:rsid w:val="0096400C"/>
    <w:rsid w:val="0097392B"/>
    <w:rsid w:val="00975037"/>
    <w:rsid w:val="00975505"/>
    <w:rsid w:val="0098772F"/>
    <w:rsid w:val="00991AD4"/>
    <w:rsid w:val="0099461B"/>
    <w:rsid w:val="009B2CA4"/>
    <w:rsid w:val="009C10F4"/>
    <w:rsid w:val="009C1232"/>
    <w:rsid w:val="009C4EC5"/>
    <w:rsid w:val="009C7CD2"/>
    <w:rsid w:val="009D017E"/>
    <w:rsid w:val="009E04F2"/>
    <w:rsid w:val="009E1A21"/>
    <w:rsid w:val="009E3069"/>
    <w:rsid w:val="009E477C"/>
    <w:rsid w:val="009F13D3"/>
    <w:rsid w:val="009F1562"/>
    <w:rsid w:val="009F6794"/>
    <w:rsid w:val="00A03BDC"/>
    <w:rsid w:val="00A05DF7"/>
    <w:rsid w:val="00A07C3D"/>
    <w:rsid w:val="00A07DE7"/>
    <w:rsid w:val="00A1003B"/>
    <w:rsid w:val="00A163FD"/>
    <w:rsid w:val="00A202E5"/>
    <w:rsid w:val="00A40D82"/>
    <w:rsid w:val="00A4754F"/>
    <w:rsid w:val="00A64787"/>
    <w:rsid w:val="00A711BB"/>
    <w:rsid w:val="00A73285"/>
    <w:rsid w:val="00A82CEC"/>
    <w:rsid w:val="00A83BB6"/>
    <w:rsid w:val="00A842A1"/>
    <w:rsid w:val="00AA3899"/>
    <w:rsid w:val="00AA4774"/>
    <w:rsid w:val="00AA7B2B"/>
    <w:rsid w:val="00AB09E0"/>
    <w:rsid w:val="00AB18FE"/>
    <w:rsid w:val="00AB4C8E"/>
    <w:rsid w:val="00AB6D5B"/>
    <w:rsid w:val="00AC5C27"/>
    <w:rsid w:val="00AC66C0"/>
    <w:rsid w:val="00AC71C0"/>
    <w:rsid w:val="00AD1483"/>
    <w:rsid w:val="00AD2F93"/>
    <w:rsid w:val="00AD6AEE"/>
    <w:rsid w:val="00AD704B"/>
    <w:rsid w:val="00AE0083"/>
    <w:rsid w:val="00AE0503"/>
    <w:rsid w:val="00AE5A08"/>
    <w:rsid w:val="00AE7A60"/>
    <w:rsid w:val="00AF1C47"/>
    <w:rsid w:val="00AF75BD"/>
    <w:rsid w:val="00AF7A7A"/>
    <w:rsid w:val="00B0031E"/>
    <w:rsid w:val="00B0284F"/>
    <w:rsid w:val="00B0739E"/>
    <w:rsid w:val="00B10667"/>
    <w:rsid w:val="00B10711"/>
    <w:rsid w:val="00B1309E"/>
    <w:rsid w:val="00B23718"/>
    <w:rsid w:val="00B25D8E"/>
    <w:rsid w:val="00B269C8"/>
    <w:rsid w:val="00B277AB"/>
    <w:rsid w:val="00B3374D"/>
    <w:rsid w:val="00B34BD9"/>
    <w:rsid w:val="00B36F25"/>
    <w:rsid w:val="00B4005D"/>
    <w:rsid w:val="00B4022F"/>
    <w:rsid w:val="00B54EF1"/>
    <w:rsid w:val="00B5603E"/>
    <w:rsid w:val="00B57739"/>
    <w:rsid w:val="00B57DB1"/>
    <w:rsid w:val="00B609C3"/>
    <w:rsid w:val="00B61DCC"/>
    <w:rsid w:val="00B65221"/>
    <w:rsid w:val="00B74157"/>
    <w:rsid w:val="00B83586"/>
    <w:rsid w:val="00B9010F"/>
    <w:rsid w:val="00B93ACD"/>
    <w:rsid w:val="00B964AF"/>
    <w:rsid w:val="00B975F4"/>
    <w:rsid w:val="00BA05A3"/>
    <w:rsid w:val="00BA1C48"/>
    <w:rsid w:val="00BA5C84"/>
    <w:rsid w:val="00BB0934"/>
    <w:rsid w:val="00BB32CF"/>
    <w:rsid w:val="00BB7105"/>
    <w:rsid w:val="00BC177D"/>
    <w:rsid w:val="00BC6362"/>
    <w:rsid w:val="00BD4184"/>
    <w:rsid w:val="00BD6E59"/>
    <w:rsid w:val="00BD75AF"/>
    <w:rsid w:val="00BE33F5"/>
    <w:rsid w:val="00BF1F28"/>
    <w:rsid w:val="00BF26D3"/>
    <w:rsid w:val="00C15809"/>
    <w:rsid w:val="00C16E09"/>
    <w:rsid w:val="00C25D8A"/>
    <w:rsid w:val="00C3458D"/>
    <w:rsid w:val="00C35904"/>
    <w:rsid w:val="00C41871"/>
    <w:rsid w:val="00C438D5"/>
    <w:rsid w:val="00C43AA4"/>
    <w:rsid w:val="00C479F5"/>
    <w:rsid w:val="00C47A51"/>
    <w:rsid w:val="00C53B97"/>
    <w:rsid w:val="00C56376"/>
    <w:rsid w:val="00C57153"/>
    <w:rsid w:val="00C60F5F"/>
    <w:rsid w:val="00C63CFF"/>
    <w:rsid w:val="00C66244"/>
    <w:rsid w:val="00C74DF0"/>
    <w:rsid w:val="00C82685"/>
    <w:rsid w:val="00CA5FE7"/>
    <w:rsid w:val="00CA6CFF"/>
    <w:rsid w:val="00CA6E29"/>
    <w:rsid w:val="00CB5030"/>
    <w:rsid w:val="00CB6235"/>
    <w:rsid w:val="00CB7676"/>
    <w:rsid w:val="00CC538E"/>
    <w:rsid w:val="00CC5BEB"/>
    <w:rsid w:val="00CD4CB9"/>
    <w:rsid w:val="00CE2898"/>
    <w:rsid w:val="00CF272A"/>
    <w:rsid w:val="00CF506C"/>
    <w:rsid w:val="00CF7F05"/>
    <w:rsid w:val="00D005F5"/>
    <w:rsid w:val="00D01494"/>
    <w:rsid w:val="00D1133B"/>
    <w:rsid w:val="00D12E69"/>
    <w:rsid w:val="00D1313E"/>
    <w:rsid w:val="00D1638F"/>
    <w:rsid w:val="00D1710B"/>
    <w:rsid w:val="00D31014"/>
    <w:rsid w:val="00D3299A"/>
    <w:rsid w:val="00D4286D"/>
    <w:rsid w:val="00D44D83"/>
    <w:rsid w:val="00D44F0D"/>
    <w:rsid w:val="00D466FD"/>
    <w:rsid w:val="00D5159F"/>
    <w:rsid w:val="00D51B93"/>
    <w:rsid w:val="00D61AC4"/>
    <w:rsid w:val="00D65974"/>
    <w:rsid w:val="00D70568"/>
    <w:rsid w:val="00D706B8"/>
    <w:rsid w:val="00D736D2"/>
    <w:rsid w:val="00D8406E"/>
    <w:rsid w:val="00D858D6"/>
    <w:rsid w:val="00D86FD6"/>
    <w:rsid w:val="00DA44D4"/>
    <w:rsid w:val="00DB1723"/>
    <w:rsid w:val="00DB5802"/>
    <w:rsid w:val="00DC65FC"/>
    <w:rsid w:val="00DC7A32"/>
    <w:rsid w:val="00DD1A72"/>
    <w:rsid w:val="00DD388B"/>
    <w:rsid w:val="00DE13B7"/>
    <w:rsid w:val="00DF3686"/>
    <w:rsid w:val="00DF4941"/>
    <w:rsid w:val="00DF56B1"/>
    <w:rsid w:val="00DF6ED6"/>
    <w:rsid w:val="00DF7AD9"/>
    <w:rsid w:val="00E03DA4"/>
    <w:rsid w:val="00E11432"/>
    <w:rsid w:val="00E2201D"/>
    <w:rsid w:val="00E25D26"/>
    <w:rsid w:val="00E2758A"/>
    <w:rsid w:val="00E3073E"/>
    <w:rsid w:val="00E36CD3"/>
    <w:rsid w:val="00E40810"/>
    <w:rsid w:val="00E46D86"/>
    <w:rsid w:val="00E530D9"/>
    <w:rsid w:val="00E55515"/>
    <w:rsid w:val="00E573FA"/>
    <w:rsid w:val="00E632E2"/>
    <w:rsid w:val="00E6443A"/>
    <w:rsid w:val="00E65E68"/>
    <w:rsid w:val="00E74A56"/>
    <w:rsid w:val="00E76D3A"/>
    <w:rsid w:val="00E80BC6"/>
    <w:rsid w:val="00E83BE4"/>
    <w:rsid w:val="00E84429"/>
    <w:rsid w:val="00E8776A"/>
    <w:rsid w:val="00E92A81"/>
    <w:rsid w:val="00EA30E3"/>
    <w:rsid w:val="00EA58A1"/>
    <w:rsid w:val="00EB0A0E"/>
    <w:rsid w:val="00EB1F57"/>
    <w:rsid w:val="00EB75B7"/>
    <w:rsid w:val="00EB79AF"/>
    <w:rsid w:val="00EC4280"/>
    <w:rsid w:val="00EC5C8C"/>
    <w:rsid w:val="00EC6B6A"/>
    <w:rsid w:val="00ED0357"/>
    <w:rsid w:val="00ED282A"/>
    <w:rsid w:val="00ED2F8E"/>
    <w:rsid w:val="00ED56A2"/>
    <w:rsid w:val="00ED6BE1"/>
    <w:rsid w:val="00EE50A2"/>
    <w:rsid w:val="00EE5B44"/>
    <w:rsid w:val="00EF0AFA"/>
    <w:rsid w:val="00EF2530"/>
    <w:rsid w:val="00EF4769"/>
    <w:rsid w:val="00EF54D2"/>
    <w:rsid w:val="00F0019B"/>
    <w:rsid w:val="00F01BD0"/>
    <w:rsid w:val="00F14594"/>
    <w:rsid w:val="00F1572D"/>
    <w:rsid w:val="00F16A28"/>
    <w:rsid w:val="00F21FE3"/>
    <w:rsid w:val="00F2354F"/>
    <w:rsid w:val="00F27B79"/>
    <w:rsid w:val="00F31B26"/>
    <w:rsid w:val="00F3209F"/>
    <w:rsid w:val="00F35FE6"/>
    <w:rsid w:val="00F370E9"/>
    <w:rsid w:val="00F37DBF"/>
    <w:rsid w:val="00F43F24"/>
    <w:rsid w:val="00F50E9C"/>
    <w:rsid w:val="00F514EC"/>
    <w:rsid w:val="00F56C50"/>
    <w:rsid w:val="00F60D0B"/>
    <w:rsid w:val="00F6262B"/>
    <w:rsid w:val="00F65967"/>
    <w:rsid w:val="00F66FAC"/>
    <w:rsid w:val="00F72128"/>
    <w:rsid w:val="00F733C1"/>
    <w:rsid w:val="00F80C0D"/>
    <w:rsid w:val="00F82136"/>
    <w:rsid w:val="00F84124"/>
    <w:rsid w:val="00F84C05"/>
    <w:rsid w:val="00F8635A"/>
    <w:rsid w:val="00F91E1D"/>
    <w:rsid w:val="00F92FDE"/>
    <w:rsid w:val="00F963B8"/>
    <w:rsid w:val="00FA3214"/>
    <w:rsid w:val="00FA3E22"/>
    <w:rsid w:val="00FA53BB"/>
    <w:rsid w:val="00FA5BF6"/>
    <w:rsid w:val="00FA6433"/>
    <w:rsid w:val="00FA6B3D"/>
    <w:rsid w:val="00FB037D"/>
    <w:rsid w:val="00FB25CA"/>
    <w:rsid w:val="00FB31E0"/>
    <w:rsid w:val="00FC0972"/>
    <w:rsid w:val="00FC0D19"/>
    <w:rsid w:val="00FC76F6"/>
    <w:rsid w:val="00FD5356"/>
    <w:rsid w:val="00FD5735"/>
    <w:rsid w:val="00FD65E1"/>
    <w:rsid w:val="00FE3D0E"/>
    <w:rsid w:val="00FE6999"/>
    <w:rsid w:val="00FE7314"/>
    <w:rsid w:val="00FE7D0E"/>
    <w:rsid w:val="00FE7D6F"/>
    <w:rsid w:val="00FF09BE"/>
    <w:rsid w:val="00FF0A29"/>
    <w:rsid w:val="00FF28B0"/>
    <w:rsid w:val="00FF3DCB"/>
    <w:rsid w:val="00FF5C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B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 w:type="paragraph" w:customStyle="1" w:styleId="xmsonormal">
    <w:name w:val="x_msonormal"/>
    <w:basedOn w:val="Normal"/>
    <w:rsid w:val="00F963B8"/>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57760">
      <w:bodyDiv w:val="1"/>
      <w:marLeft w:val="0"/>
      <w:marRight w:val="0"/>
      <w:marTop w:val="0"/>
      <w:marBottom w:val="0"/>
      <w:divBdr>
        <w:top w:val="none" w:sz="0" w:space="0" w:color="auto"/>
        <w:left w:val="none" w:sz="0" w:space="0" w:color="auto"/>
        <w:bottom w:val="none" w:sz="0" w:space="0" w:color="auto"/>
        <w:right w:val="none" w:sz="0" w:space="0" w:color="auto"/>
      </w:divBdr>
    </w:div>
    <w:div w:id="251086785">
      <w:bodyDiv w:val="1"/>
      <w:marLeft w:val="0"/>
      <w:marRight w:val="0"/>
      <w:marTop w:val="0"/>
      <w:marBottom w:val="0"/>
      <w:divBdr>
        <w:top w:val="none" w:sz="0" w:space="0" w:color="auto"/>
        <w:left w:val="none" w:sz="0" w:space="0" w:color="auto"/>
        <w:bottom w:val="none" w:sz="0" w:space="0" w:color="auto"/>
        <w:right w:val="none" w:sz="0" w:space="0" w:color="auto"/>
      </w:divBdr>
    </w:div>
    <w:div w:id="325594820">
      <w:bodyDiv w:val="1"/>
      <w:marLeft w:val="0"/>
      <w:marRight w:val="0"/>
      <w:marTop w:val="0"/>
      <w:marBottom w:val="0"/>
      <w:divBdr>
        <w:top w:val="none" w:sz="0" w:space="0" w:color="auto"/>
        <w:left w:val="none" w:sz="0" w:space="0" w:color="auto"/>
        <w:bottom w:val="none" w:sz="0" w:space="0" w:color="auto"/>
        <w:right w:val="none" w:sz="0" w:space="0" w:color="auto"/>
      </w:divBdr>
    </w:div>
    <w:div w:id="340161846">
      <w:bodyDiv w:val="1"/>
      <w:marLeft w:val="0"/>
      <w:marRight w:val="0"/>
      <w:marTop w:val="0"/>
      <w:marBottom w:val="0"/>
      <w:divBdr>
        <w:top w:val="none" w:sz="0" w:space="0" w:color="auto"/>
        <w:left w:val="none" w:sz="0" w:space="0" w:color="auto"/>
        <w:bottom w:val="none" w:sz="0" w:space="0" w:color="auto"/>
        <w:right w:val="none" w:sz="0" w:space="0" w:color="auto"/>
      </w:divBdr>
    </w:div>
    <w:div w:id="352613772">
      <w:bodyDiv w:val="1"/>
      <w:marLeft w:val="0"/>
      <w:marRight w:val="0"/>
      <w:marTop w:val="0"/>
      <w:marBottom w:val="0"/>
      <w:divBdr>
        <w:top w:val="none" w:sz="0" w:space="0" w:color="auto"/>
        <w:left w:val="none" w:sz="0" w:space="0" w:color="auto"/>
        <w:bottom w:val="none" w:sz="0" w:space="0" w:color="auto"/>
        <w:right w:val="none" w:sz="0" w:space="0" w:color="auto"/>
      </w:divBdr>
    </w:div>
    <w:div w:id="429742340">
      <w:bodyDiv w:val="1"/>
      <w:marLeft w:val="0"/>
      <w:marRight w:val="0"/>
      <w:marTop w:val="0"/>
      <w:marBottom w:val="0"/>
      <w:divBdr>
        <w:top w:val="none" w:sz="0" w:space="0" w:color="auto"/>
        <w:left w:val="none" w:sz="0" w:space="0" w:color="auto"/>
        <w:bottom w:val="none" w:sz="0" w:space="0" w:color="auto"/>
        <w:right w:val="none" w:sz="0" w:space="0" w:color="auto"/>
      </w:divBdr>
    </w:div>
    <w:div w:id="659041364">
      <w:bodyDiv w:val="1"/>
      <w:marLeft w:val="0"/>
      <w:marRight w:val="0"/>
      <w:marTop w:val="0"/>
      <w:marBottom w:val="0"/>
      <w:divBdr>
        <w:top w:val="none" w:sz="0" w:space="0" w:color="auto"/>
        <w:left w:val="none" w:sz="0" w:space="0" w:color="auto"/>
        <w:bottom w:val="none" w:sz="0" w:space="0" w:color="auto"/>
        <w:right w:val="none" w:sz="0" w:space="0" w:color="auto"/>
      </w:divBdr>
    </w:div>
    <w:div w:id="670331301">
      <w:bodyDiv w:val="1"/>
      <w:marLeft w:val="0"/>
      <w:marRight w:val="0"/>
      <w:marTop w:val="0"/>
      <w:marBottom w:val="0"/>
      <w:divBdr>
        <w:top w:val="none" w:sz="0" w:space="0" w:color="auto"/>
        <w:left w:val="none" w:sz="0" w:space="0" w:color="auto"/>
        <w:bottom w:val="none" w:sz="0" w:space="0" w:color="auto"/>
        <w:right w:val="none" w:sz="0" w:space="0" w:color="auto"/>
      </w:divBdr>
    </w:div>
    <w:div w:id="753547923">
      <w:bodyDiv w:val="1"/>
      <w:marLeft w:val="0"/>
      <w:marRight w:val="0"/>
      <w:marTop w:val="0"/>
      <w:marBottom w:val="0"/>
      <w:divBdr>
        <w:top w:val="none" w:sz="0" w:space="0" w:color="auto"/>
        <w:left w:val="none" w:sz="0" w:space="0" w:color="auto"/>
        <w:bottom w:val="none" w:sz="0" w:space="0" w:color="auto"/>
        <w:right w:val="none" w:sz="0" w:space="0" w:color="auto"/>
      </w:divBdr>
    </w:div>
    <w:div w:id="843518081">
      <w:bodyDiv w:val="1"/>
      <w:marLeft w:val="0"/>
      <w:marRight w:val="0"/>
      <w:marTop w:val="0"/>
      <w:marBottom w:val="0"/>
      <w:divBdr>
        <w:top w:val="none" w:sz="0" w:space="0" w:color="auto"/>
        <w:left w:val="none" w:sz="0" w:space="0" w:color="auto"/>
        <w:bottom w:val="none" w:sz="0" w:space="0" w:color="auto"/>
        <w:right w:val="none" w:sz="0" w:space="0" w:color="auto"/>
      </w:divBdr>
    </w:div>
    <w:div w:id="1095203223">
      <w:bodyDiv w:val="1"/>
      <w:marLeft w:val="0"/>
      <w:marRight w:val="0"/>
      <w:marTop w:val="0"/>
      <w:marBottom w:val="0"/>
      <w:divBdr>
        <w:top w:val="none" w:sz="0" w:space="0" w:color="auto"/>
        <w:left w:val="none" w:sz="0" w:space="0" w:color="auto"/>
        <w:bottom w:val="none" w:sz="0" w:space="0" w:color="auto"/>
        <w:right w:val="none" w:sz="0" w:space="0" w:color="auto"/>
      </w:divBdr>
    </w:div>
    <w:div w:id="1239439386">
      <w:bodyDiv w:val="1"/>
      <w:marLeft w:val="0"/>
      <w:marRight w:val="0"/>
      <w:marTop w:val="0"/>
      <w:marBottom w:val="0"/>
      <w:divBdr>
        <w:top w:val="none" w:sz="0" w:space="0" w:color="auto"/>
        <w:left w:val="none" w:sz="0" w:space="0" w:color="auto"/>
        <w:bottom w:val="none" w:sz="0" w:space="0" w:color="auto"/>
        <w:right w:val="none" w:sz="0" w:space="0" w:color="auto"/>
      </w:divBdr>
    </w:div>
    <w:div w:id="1363018824">
      <w:bodyDiv w:val="1"/>
      <w:marLeft w:val="0"/>
      <w:marRight w:val="0"/>
      <w:marTop w:val="0"/>
      <w:marBottom w:val="0"/>
      <w:divBdr>
        <w:top w:val="none" w:sz="0" w:space="0" w:color="auto"/>
        <w:left w:val="none" w:sz="0" w:space="0" w:color="auto"/>
        <w:bottom w:val="none" w:sz="0" w:space="0" w:color="auto"/>
        <w:right w:val="none" w:sz="0" w:space="0" w:color="auto"/>
      </w:divBdr>
    </w:div>
    <w:div w:id="1373388445">
      <w:bodyDiv w:val="1"/>
      <w:marLeft w:val="0"/>
      <w:marRight w:val="0"/>
      <w:marTop w:val="0"/>
      <w:marBottom w:val="0"/>
      <w:divBdr>
        <w:top w:val="none" w:sz="0" w:space="0" w:color="auto"/>
        <w:left w:val="none" w:sz="0" w:space="0" w:color="auto"/>
        <w:bottom w:val="none" w:sz="0" w:space="0" w:color="auto"/>
        <w:right w:val="none" w:sz="0" w:space="0" w:color="auto"/>
      </w:divBdr>
    </w:div>
    <w:div w:id="1434327290">
      <w:bodyDiv w:val="1"/>
      <w:marLeft w:val="0"/>
      <w:marRight w:val="0"/>
      <w:marTop w:val="0"/>
      <w:marBottom w:val="0"/>
      <w:divBdr>
        <w:top w:val="none" w:sz="0" w:space="0" w:color="auto"/>
        <w:left w:val="none" w:sz="0" w:space="0" w:color="auto"/>
        <w:bottom w:val="none" w:sz="0" w:space="0" w:color="auto"/>
        <w:right w:val="none" w:sz="0" w:space="0" w:color="auto"/>
      </w:divBdr>
    </w:div>
    <w:div w:id="1474563585">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 w:id="1747874355">
      <w:bodyDiv w:val="1"/>
      <w:marLeft w:val="0"/>
      <w:marRight w:val="0"/>
      <w:marTop w:val="0"/>
      <w:marBottom w:val="0"/>
      <w:divBdr>
        <w:top w:val="none" w:sz="0" w:space="0" w:color="auto"/>
        <w:left w:val="none" w:sz="0" w:space="0" w:color="auto"/>
        <w:bottom w:val="none" w:sz="0" w:space="0" w:color="auto"/>
        <w:right w:val="none" w:sz="0" w:space="0" w:color="auto"/>
      </w:divBdr>
    </w:div>
    <w:div w:id="1842964836">
      <w:bodyDiv w:val="1"/>
      <w:marLeft w:val="0"/>
      <w:marRight w:val="0"/>
      <w:marTop w:val="0"/>
      <w:marBottom w:val="0"/>
      <w:divBdr>
        <w:top w:val="none" w:sz="0" w:space="0" w:color="auto"/>
        <w:left w:val="none" w:sz="0" w:space="0" w:color="auto"/>
        <w:bottom w:val="none" w:sz="0" w:space="0" w:color="auto"/>
        <w:right w:val="none" w:sz="0" w:space="0" w:color="auto"/>
      </w:divBdr>
    </w:div>
    <w:div w:id="2117750434">
      <w:bodyDiv w:val="1"/>
      <w:marLeft w:val="0"/>
      <w:marRight w:val="0"/>
      <w:marTop w:val="0"/>
      <w:marBottom w:val="0"/>
      <w:divBdr>
        <w:top w:val="none" w:sz="0" w:space="0" w:color="auto"/>
        <w:left w:val="none" w:sz="0" w:space="0" w:color="auto"/>
        <w:bottom w:val="none" w:sz="0" w:space="0" w:color="auto"/>
        <w:right w:val="none" w:sz="0" w:space="0" w:color="auto"/>
      </w:divBdr>
    </w:div>
    <w:div w:id="21414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3E892-A2C9-4968-883C-EAB97BD85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3612</Words>
  <Characters>19870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3</cp:revision>
  <cp:lastPrinted>2019-11-20T23:33:00Z</cp:lastPrinted>
  <dcterms:created xsi:type="dcterms:W3CDTF">2019-12-03T23:42:00Z</dcterms:created>
  <dcterms:modified xsi:type="dcterms:W3CDTF">2020-05-07T18:14:00Z</dcterms:modified>
</cp:coreProperties>
</file>