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FA"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00CD69DC">
        <w:rPr>
          <w:rFonts w:ascii="Palatino Linotype" w:eastAsia="Times New Roman" w:hAnsi="Palatino Linotype" w:cs="Arial"/>
          <w:color w:val="000000"/>
          <w:sz w:val="24"/>
          <w:szCs w:val="24"/>
          <w:lang w:eastAsia="es-MX"/>
        </w:rPr>
        <w:t>a veintiséis de junio</w:t>
      </w:r>
      <w:r w:rsidR="0035772D">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113B53">
        <w:rPr>
          <w:rFonts w:ascii="Palatino Linotype" w:hAnsi="Palatino Linotype" w:cs="Arial"/>
          <w:b/>
          <w:bCs/>
          <w:sz w:val="24"/>
          <w:lang w:eastAsia="es-MX"/>
        </w:rPr>
        <w:t>02450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8130C">
        <w:rPr>
          <w:rFonts w:ascii="Palatino Linotype" w:hAnsi="Palatino Linotype" w:cs="Arial"/>
          <w:sz w:val="24"/>
        </w:rPr>
        <w:t>d</w:t>
      </w:r>
      <w:r w:rsidR="0038130C" w:rsidRPr="00224181">
        <w:rPr>
          <w:rFonts w:ascii="Palatino Linotype" w:hAnsi="Palatino Linotype" w:cs="Arial"/>
          <w:sz w:val="24"/>
          <w:szCs w:val="24"/>
        </w:rPr>
        <w:t>e</w:t>
      </w:r>
      <w:r w:rsidR="0038130C">
        <w:rPr>
          <w:rFonts w:ascii="Palatino Linotype" w:hAnsi="Palatino Linotype" w:cs="Arial"/>
          <w:sz w:val="24"/>
          <w:szCs w:val="24"/>
        </w:rPr>
        <w:t>l</w:t>
      </w:r>
      <w:r w:rsidRPr="00224181">
        <w:rPr>
          <w:rFonts w:ascii="Palatino Linotype" w:hAnsi="Palatino Linotype" w:cs="Arial"/>
          <w:sz w:val="24"/>
          <w:szCs w:val="24"/>
        </w:rPr>
        <w:t xml:space="preserve"> </w:t>
      </w:r>
      <w:r w:rsidR="00113B53" w:rsidRPr="00113B53">
        <w:rPr>
          <w:rFonts w:ascii="Palatino Linotype" w:hAnsi="Palatino Linotype" w:cs="Arial"/>
          <w:b/>
          <w:sz w:val="24"/>
          <w:szCs w:val="24"/>
        </w:rPr>
        <w:t>Ayuntamiento de Cuautitlán Izcalli</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38130C">
        <w:rPr>
          <w:rFonts w:ascii="Palatino Linotype" w:hAnsi="Palatino Linotype" w:cs="Arial"/>
          <w:sz w:val="24"/>
        </w:rPr>
        <w:t xml:space="preserve">quince </w:t>
      </w:r>
      <w:r w:rsidR="00273570">
        <w:rPr>
          <w:rFonts w:ascii="Palatino Linotype" w:hAnsi="Palatino Linotype" w:cs="Arial"/>
          <w:sz w:val="24"/>
        </w:rPr>
        <w:t>de marzo</w:t>
      </w:r>
      <w:r w:rsidR="004803ED">
        <w:rPr>
          <w:rFonts w:ascii="Palatino Linotype" w:hAnsi="Palatino Linotype" w:cs="Arial"/>
          <w:sz w:val="24"/>
        </w:rPr>
        <w:t xml:space="preserve"> </w:t>
      </w:r>
      <w:r w:rsidR="00AF385F">
        <w:rPr>
          <w:rFonts w:ascii="Palatino Linotype" w:hAnsi="Palatino Linotype" w:cs="Arial"/>
          <w:sz w:val="24"/>
        </w:rPr>
        <w:t>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38130C" w:rsidRPr="0038130C">
        <w:rPr>
          <w:rFonts w:ascii="Palatino Linotype" w:hAnsi="Palatino Linotype" w:cs="Arial"/>
          <w:b/>
          <w:sz w:val="24"/>
        </w:rPr>
        <w:t>00221/CUAUTIZC/IP/2019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proofErr w:type="spellStart"/>
      <w:r w:rsidR="0038130C" w:rsidRPr="0038130C">
        <w:rPr>
          <w:rFonts w:ascii="Palatino Linotype" w:hAnsi="Palatino Linotype"/>
          <w:i/>
          <w:color w:val="000000"/>
        </w:rPr>
        <w:t>informacion</w:t>
      </w:r>
      <w:proofErr w:type="spellEnd"/>
      <w:r w:rsidR="0038130C" w:rsidRPr="0038130C">
        <w:rPr>
          <w:rFonts w:ascii="Palatino Linotype" w:hAnsi="Palatino Linotype"/>
          <w:i/>
          <w:color w:val="000000"/>
        </w:rPr>
        <w:t xml:space="preserve"> del expediente </w:t>
      </w:r>
      <w:proofErr w:type="spellStart"/>
      <w:r w:rsidR="0038130C" w:rsidRPr="0038130C">
        <w:rPr>
          <w:rFonts w:ascii="Palatino Linotype" w:hAnsi="Palatino Linotype"/>
          <w:i/>
          <w:color w:val="000000"/>
        </w:rPr>
        <w:t>tecnico</w:t>
      </w:r>
      <w:proofErr w:type="spellEnd"/>
      <w:r w:rsidR="0038130C" w:rsidRPr="0038130C">
        <w:rPr>
          <w:rFonts w:ascii="Palatino Linotype" w:hAnsi="Palatino Linotype"/>
          <w:i/>
          <w:color w:val="000000"/>
        </w:rPr>
        <w:t xml:space="preserve"> </w:t>
      </w:r>
      <w:proofErr w:type="spellStart"/>
      <w:r w:rsidR="0038130C" w:rsidRPr="0038130C">
        <w:rPr>
          <w:rFonts w:ascii="Palatino Linotype" w:hAnsi="Palatino Linotype"/>
          <w:i/>
          <w:color w:val="000000"/>
        </w:rPr>
        <w:t>juridico</w:t>
      </w:r>
      <w:proofErr w:type="spellEnd"/>
      <w:r w:rsidR="0038130C" w:rsidRPr="0038130C">
        <w:rPr>
          <w:rFonts w:ascii="Palatino Linotype" w:hAnsi="Palatino Linotype"/>
          <w:i/>
          <w:color w:val="000000"/>
        </w:rPr>
        <w:t xml:space="preserve"> DLC/143/2018 tramitado ante la </w:t>
      </w:r>
      <w:proofErr w:type="spellStart"/>
      <w:r w:rsidR="0038130C" w:rsidRPr="0038130C">
        <w:rPr>
          <w:rFonts w:ascii="Palatino Linotype" w:hAnsi="Palatino Linotype"/>
          <w:i/>
          <w:color w:val="000000"/>
        </w:rPr>
        <w:t>dirreccion</w:t>
      </w:r>
      <w:proofErr w:type="spellEnd"/>
      <w:r w:rsidR="0038130C" w:rsidRPr="0038130C">
        <w:rPr>
          <w:rFonts w:ascii="Palatino Linotype" w:hAnsi="Palatino Linotype"/>
          <w:i/>
          <w:color w:val="000000"/>
        </w:rPr>
        <w:t xml:space="preserve"> general de desarrollo metropolitano de </w:t>
      </w:r>
      <w:proofErr w:type="spellStart"/>
      <w:r w:rsidR="0038130C" w:rsidRPr="0038130C">
        <w:rPr>
          <w:rFonts w:ascii="Palatino Linotype" w:hAnsi="Palatino Linotype"/>
          <w:i/>
          <w:color w:val="000000"/>
        </w:rPr>
        <w:t>cuautitlan</w:t>
      </w:r>
      <w:proofErr w:type="spellEnd"/>
      <w:r w:rsidR="0038130C" w:rsidRPr="0038130C">
        <w:rPr>
          <w:rFonts w:ascii="Palatino Linotype" w:hAnsi="Palatino Linotype"/>
          <w:i/>
          <w:color w:val="000000"/>
        </w:rPr>
        <w:t xml:space="preserve"> </w:t>
      </w:r>
      <w:proofErr w:type="spellStart"/>
      <w:r w:rsidR="0038130C" w:rsidRPr="0038130C">
        <w:rPr>
          <w:rFonts w:ascii="Palatino Linotype" w:hAnsi="Palatino Linotype"/>
          <w:i/>
          <w:color w:val="000000"/>
        </w:rPr>
        <w:t>izcalli</w:t>
      </w:r>
      <w:proofErr w:type="spellEnd"/>
      <w:r w:rsidR="0038130C" w:rsidRPr="0038130C">
        <w:rPr>
          <w:rFonts w:ascii="Palatino Linotype" w:hAnsi="Palatino Linotype"/>
          <w:i/>
          <w:color w:val="000000"/>
        </w:rPr>
        <w:t xml:space="preserve">, para saber si se cumplieron los requisitos legales como licencia de uso de suelo, dictamen de </w:t>
      </w:r>
      <w:r w:rsidR="0038130C" w:rsidRPr="0038130C">
        <w:rPr>
          <w:rFonts w:ascii="Palatino Linotype" w:hAnsi="Palatino Linotype"/>
          <w:i/>
          <w:color w:val="000000"/>
        </w:rPr>
        <w:lastRenderedPageBreak/>
        <w:t xml:space="preserve">factibilidad, memoria descriptiva del proyecto, memorias de </w:t>
      </w:r>
      <w:proofErr w:type="spellStart"/>
      <w:r w:rsidR="0038130C" w:rsidRPr="0038130C">
        <w:rPr>
          <w:rFonts w:ascii="Palatino Linotype" w:hAnsi="Palatino Linotype"/>
          <w:i/>
          <w:color w:val="000000"/>
        </w:rPr>
        <w:t>calculo</w:t>
      </w:r>
      <w:proofErr w:type="spellEnd"/>
      <w:r w:rsidR="0038130C" w:rsidRPr="0038130C">
        <w:rPr>
          <w:rFonts w:ascii="Palatino Linotype" w:hAnsi="Palatino Linotype"/>
          <w:i/>
          <w:color w:val="000000"/>
        </w:rPr>
        <w:t>, proyecto ejecutivo , uso de suelo</w:t>
      </w:r>
      <w:r w:rsidR="00273570" w:rsidRPr="00273570">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273570">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523067">
        <w:rPr>
          <w:rFonts w:ascii="Palatino Linotype" w:hAnsi="Palatino Linotype" w:cs="Arial"/>
          <w:sz w:val="24"/>
        </w:rPr>
        <w:t xml:space="preserve">dio respuesta a la solicitud de información el </w:t>
      </w:r>
      <w:r w:rsidR="0038130C">
        <w:rPr>
          <w:rFonts w:ascii="Palatino Linotype" w:hAnsi="Palatino Linotype" w:cs="Arial"/>
          <w:sz w:val="24"/>
        </w:rPr>
        <w:t>ocho de abril</w:t>
      </w:r>
      <w:r w:rsidR="00273570">
        <w:rPr>
          <w:rFonts w:ascii="Palatino Linotype" w:hAnsi="Palatino Linotype" w:cs="Arial"/>
          <w:sz w:val="24"/>
        </w:rPr>
        <w:t xml:space="preserve"> </w:t>
      </w:r>
      <w:r w:rsidR="002B7CD8">
        <w:rPr>
          <w:rFonts w:ascii="Palatino Linotype" w:hAnsi="Palatino Linotype" w:cs="Arial"/>
          <w:sz w:val="24"/>
        </w:rPr>
        <w:t xml:space="preserve">de dos mil diecinueve, remitiendo </w:t>
      </w:r>
      <w:r w:rsidR="0038130C">
        <w:rPr>
          <w:rFonts w:ascii="Palatino Linotype" w:hAnsi="Palatino Linotype" w:cs="Arial"/>
          <w:sz w:val="24"/>
        </w:rPr>
        <w:t>e</w:t>
      </w:r>
      <w:r w:rsidR="00A30977">
        <w:rPr>
          <w:rFonts w:ascii="Palatino Linotype" w:hAnsi="Palatino Linotype" w:cs="Arial"/>
          <w:sz w:val="24"/>
        </w:rPr>
        <w:t>l</w:t>
      </w:r>
      <w:r w:rsidR="0038130C">
        <w:rPr>
          <w:rFonts w:ascii="Palatino Linotype" w:hAnsi="Palatino Linotype" w:cs="Arial"/>
          <w:sz w:val="24"/>
        </w:rPr>
        <w:t xml:space="preserve"> documento denominado</w:t>
      </w:r>
      <w:r w:rsidR="00A30977">
        <w:rPr>
          <w:rFonts w:ascii="Palatino Linotype" w:hAnsi="Palatino Linotype" w:cs="Arial"/>
          <w:sz w:val="24"/>
        </w:rPr>
        <w:t xml:space="preserve"> </w:t>
      </w:r>
      <w:r w:rsidR="00A30977" w:rsidRPr="0038130C">
        <w:rPr>
          <w:rFonts w:ascii="Palatino Linotype" w:hAnsi="Palatino Linotype" w:cs="Arial"/>
          <w:sz w:val="24"/>
          <w:u w:val="single"/>
        </w:rPr>
        <w:t>“</w:t>
      </w:r>
      <w:r w:rsidR="0038130C" w:rsidRPr="0038130C">
        <w:rPr>
          <w:rFonts w:ascii="Palatino Linotype" w:hAnsi="Palatino Linotype" w:cs="Arial"/>
          <w:sz w:val="24"/>
          <w:u w:val="single"/>
        </w:rPr>
        <w:t>Escaneo0007.pdf</w:t>
      </w:r>
      <w:r w:rsidR="00A30977">
        <w:rPr>
          <w:rFonts w:ascii="Palatino Linotype" w:hAnsi="Palatino Linotype" w:cs="Arial"/>
          <w:sz w:val="24"/>
          <w:u w:val="single"/>
        </w:rPr>
        <w:t>”</w:t>
      </w:r>
      <w:r w:rsidR="00273570">
        <w:rPr>
          <w:rFonts w:ascii="Palatino Linotype" w:hAnsi="Palatino Linotype" w:cs="Arial"/>
          <w:sz w:val="24"/>
        </w:rPr>
        <w:t xml:space="preserve">, </w:t>
      </w:r>
      <w:r w:rsidR="007D7D39">
        <w:rPr>
          <w:rFonts w:ascii="Palatino Linotype" w:hAnsi="Palatino Linotype" w:cs="Arial"/>
          <w:sz w:val="24"/>
        </w:rPr>
        <w:t>el</w:t>
      </w:r>
      <w:r w:rsidR="00F77F57">
        <w:rPr>
          <w:rFonts w:ascii="Palatino Linotype" w:hAnsi="Palatino Linotype" w:cs="Arial"/>
          <w:sz w:val="24"/>
        </w:rPr>
        <w:t xml:space="preserve"> cual se tiene por reproducido</w:t>
      </w:r>
      <w:r w:rsidR="002B7CD8">
        <w:rPr>
          <w:rFonts w:ascii="Palatino Linotype" w:hAnsi="Palatino Linotype" w:cs="Arial"/>
          <w:sz w:val="24"/>
        </w:rPr>
        <w:t xml:space="preserve"> en</w:t>
      </w:r>
      <w:r w:rsidR="00A9298D">
        <w:rPr>
          <w:rFonts w:ascii="Palatino Linotype" w:hAnsi="Palatino Linotype" w:cs="Arial"/>
          <w:sz w:val="24"/>
        </w:rPr>
        <w:t xml:space="preserve"> obvio de reproducciones ociosas.</w:t>
      </w:r>
    </w:p>
    <w:p w:rsidR="0038130C" w:rsidRPr="0038130C" w:rsidRDefault="0038130C" w:rsidP="0038130C">
      <w:pPr>
        <w:spacing w:before="240" w:line="360" w:lineRule="auto"/>
        <w:ind w:left="708"/>
        <w:jc w:val="both"/>
        <w:rPr>
          <w:rFonts w:ascii="Palatino Linotype" w:hAnsi="Palatino Linotype" w:cs="Arial"/>
          <w:i/>
          <w:sz w:val="24"/>
        </w:rPr>
      </w:pPr>
      <w:r w:rsidRPr="0038130C">
        <w:rPr>
          <w:rFonts w:ascii="Palatino Linotype" w:hAnsi="Palatino Linotype" w:cs="Arial"/>
          <w:i/>
          <w:sz w:val="24"/>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(1)Dirección de Desarrollo Urbano. 1.- “En términos de lo dispuesto por los artículos 6 Base A, 16 segundo párrafo y 116 fracción VIII de la Constitución Política de los Estados Unidos Mexicanos; 5 de la Constitución Política del Estado Libre y Soberano de México; 1, 2 fracciones I, II y III, 12, 13, 14 y 25 de la Ley General de Transparencia y Acceso a la Información Pública; 1, 2 fracciones IV y V y 4 fracción XI de la Ley General de Protección de Datos Personales en Posesión de Sujetos Obligados; 1, 4, 6, 7, 8, 10, 11, 12, 23 fracción IV, 25, 59 fracciones I, II y III </w:t>
      </w:r>
      <w:r w:rsidRPr="0038130C">
        <w:rPr>
          <w:rFonts w:ascii="Palatino Linotype" w:hAnsi="Palatino Linotype" w:cs="Arial"/>
          <w:i/>
          <w:sz w:val="24"/>
        </w:rPr>
        <w:lastRenderedPageBreak/>
        <w:t xml:space="preserve">y 86 de la Ley de Transparencia y Acceso a la Información Pública del Estado de México y Municipios; 1, 2 fracciones II y IV, 3 fracción IV y 4 fracción XI de la Ley de Protección de Datos Personales en Posesión de Sujetos Obligados del Estado de México y Municipios; 86 y 96 </w:t>
      </w:r>
      <w:proofErr w:type="spellStart"/>
      <w:r w:rsidRPr="0038130C">
        <w:rPr>
          <w:rFonts w:ascii="Palatino Linotype" w:hAnsi="Palatino Linotype" w:cs="Arial"/>
          <w:i/>
          <w:sz w:val="24"/>
        </w:rPr>
        <w:t>Sexies</w:t>
      </w:r>
      <w:proofErr w:type="spellEnd"/>
      <w:r w:rsidRPr="0038130C">
        <w:rPr>
          <w:rFonts w:ascii="Palatino Linotype" w:hAnsi="Palatino Linotype" w:cs="Arial"/>
          <w:i/>
          <w:sz w:val="24"/>
        </w:rPr>
        <w:t xml:space="preserve"> fracciones III, VI y VII de la Ley Orgánica Municipal del Estado de México; 1.5 fracción VIII y 1.41 del Código Administrativo del Estado de México; 6 fracción XI, 131,132, 133 y 134 del Bando Municipal 2019, me permito referirme a la Solicitud de Información bajo el número de folio 00221/CUAUTIZC/IP/2019, ingresada a través del Sistema de Acceso a la Información Mexiquense (SAIMEX), donde se solicita lo siguiente: “…información del expediente técnico jurídico DLC/143/2018 tramitado ante la dirección general de desarrollo metropolitano de </w:t>
      </w:r>
      <w:proofErr w:type="spellStart"/>
      <w:r w:rsidRPr="0038130C">
        <w:rPr>
          <w:rFonts w:ascii="Palatino Linotype" w:hAnsi="Palatino Linotype" w:cs="Arial"/>
          <w:i/>
          <w:sz w:val="24"/>
        </w:rPr>
        <w:t>Cuautitlan</w:t>
      </w:r>
      <w:proofErr w:type="spellEnd"/>
      <w:r w:rsidRPr="0038130C">
        <w:rPr>
          <w:rFonts w:ascii="Palatino Linotype" w:hAnsi="Palatino Linotype" w:cs="Arial"/>
          <w:i/>
          <w:sz w:val="24"/>
        </w:rPr>
        <w:t xml:space="preserve"> Izcalli, para saber si se cumplieron los requisitos legales como licencia de uso de suelo, dictamen de factibilidad, memoria de descriptiva del proyecto, memorias de </w:t>
      </w:r>
      <w:proofErr w:type="spellStart"/>
      <w:r w:rsidRPr="0038130C">
        <w:rPr>
          <w:rFonts w:ascii="Palatino Linotype" w:hAnsi="Palatino Linotype" w:cs="Arial"/>
          <w:i/>
          <w:sz w:val="24"/>
        </w:rPr>
        <w:t>calculo</w:t>
      </w:r>
      <w:proofErr w:type="spellEnd"/>
      <w:r w:rsidRPr="0038130C">
        <w:rPr>
          <w:rFonts w:ascii="Palatino Linotype" w:hAnsi="Palatino Linotype" w:cs="Arial"/>
          <w:i/>
          <w:sz w:val="24"/>
        </w:rPr>
        <w:t xml:space="preserve">, proyecto ejecutivo, uso de suelo, solicito que se acompañe el soporte documental respectivo que acredite la veracidad del informe…” (sic), al respecto se le informa lo siguiente: Que debido a que la Dirección de Investigación del Órgano de Control Interno de este H. Ayuntamiento de Cuautitlán Izcalli, tiene iniciado un procedimiento, con el número de Expediente CM/DIC/DENUNCIA/005/2018, derivado de una inconformidad ciudadana por presuntos actos de abuso de autoridad realizados por diversos servidores públicos, derivados de trabajos de construcción en donde anteriormente se encontraba el Restaurante “La Biela”, ubicado en Avenida del Sol, Manzana XX, Lotes 11, 12 y 13 Fraccionamiento Arcos de la Hacienda de esta municipalidad. Por lo anterior, esta dependencia no puede pronunciarse sobre si se cumplieron con los requisitos legales respecto de la construcción documentada en el expediente DLC/143/2018, sino hasta que hayan concluido las investigaciones iniciadas </w:t>
      </w:r>
      <w:r w:rsidRPr="0038130C">
        <w:rPr>
          <w:rFonts w:ascii="Palatino Linotype" w:hAnsi="Palatino Linotype" w:cs="Arial"/>
          <w:i/>
          <w:sz w:val="24"/>
        </w:rPr>
        <w:lastRenderedPageBreak/>
        <w:t>por la Contraloría Interna Municipal, la cual ha requerido de todas las constancias que corren agregadas en dicho expediente.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rsidR="0038130C" w:rsidRPr="0038130C" w:rsidRDefault="0038130C" w:rsidP="0038130C">
      <w:pPr>
        <w:spacing w:before="240" w:line="360" w:lineRule="auto"/>
        <w:ind w:left="708"/>
        <w:jc w:val="both"/>
        <w:rPr>
          <w:rFonts w:ascii="Palatino Linotype" w:hAnsi="Palatino Linotype" w:cs="Arial"/>
          <w:i/>
          <w:sz w:val="24"/>
        </w:rPr>
      </w:pPr>
      <w:r w:rsidRPr="0038130C">
        <w:rPr>
          <w:rFonts w:ascii="Palatino Linotype" w:hAnsi="Palatino Linotype" w:cs="Arial"/>
          <w:i/>
          <w:sz w:val="24"/>
        </w:rPr>
        <w:t>ATENTAMENTE</w:t>
      </w:r>
    </w:p>
    <w:p w:rsidR="0038130C" w:rsidRDefault="0038130C" w:rsidP="0038130C">
      <w:pPr>
        <w:spacing w:before="240" w:line="360" w:lineRule="auto"/>
        <w:ind w:left="708"/>
        <w:jc w:val="both"/>
        <w:rPr>
          <w:rFonts w:ascii="Palatino Linotype" w:hAnsi="Palatino Linotype" w:cs="Arial"/>
          <w:b/>
          <w:i/>
          <w:sz w:val="24"/>
        </w:rPr>
      </w:pPr>
      <w:r w:rsidRPr="0038130C">
        <w:rPr>
          <w:rFonts w:ascii="Palatino Linotype" w:hAnsi="Palatino Linotype" w:cs="Arial"/>
          <w:i/>
          <w:sz w:val="24"/>
        </w:rPr>
        <w:t>LIC. HUGO INFANTE LLERENAS</w:t>
      </w:r>
      <w:r w:rsidRPr="0038130C">
        <w:rPr>
          <w:rFonts w:ascii="Palatino Linotype" w:hAnsi="Palatino Linotype" w:cs="Arial"/>
          <w:b/>
          <w:i/>
          <w:sz w:val="24"/>
        </w:rPr>
        <w:t xml:space="preserve"> </w:t>
      </w:r>
    </w:p>
    <w:p w:rsidR="007D7D39" w:rsidRDefault="007D7D39" w:rsidP="0038130C">
      <w:pPr>
        <w:spacing w:before="240" w:line="360" w:lineRule="auto"/>
        <w:ind w:left="708"/>
        <w:jc w:val="both"/>
        <w:rPr>
          <w:rFonts w:ascii="Palatino Linotype" w:hAnsi="Palatino Linotype" w:cs="Arial"/>
          <w:b/>
          <w:i/>
          <w:sz w:val="24"/>
        </w:rPr>
      </w:pPr>
    </w:p>
    <w:p w:rsidR="00E15E85" w:rsidRPr="00441A94" w:rsidRDefault="00E15E85" w:rsidP="0038130C">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7D7D39">
        <w:rPr>
          <w:rFonts w:ascii="Palatino Linotype" w:hAnsi="Palatino Linotype" w:cs="Arial"/>
          <w:sz w:val="24"/>
          <w:szCs w:val="24"/>
        </w:rPr>
        <w:t>ocho de abril</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D7D39">
        <w:rPr>
          <w:rFonts w:ascii="Palatino Linotype" w:hAnsi="Palatino Linotype" w:cs="Arial"/>
          <w:b/>
          <w:bCs/>
          <w:sz w:val="24"/>
          <w:szCs w:val="24"/>
          <w:lang w:eastAsia="es-MX"/>
        </w:rPr>
        <w:t>02450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proofErr w:type="spellStart"/>
      <w:r w:rsidR="007D7D39" w:rsidRPr="007D7D39">
        <w:rPr>
          <w:rFonts w:ascii="Palatino Linotype" w:hAnsi="Palatino Linotype"/>
          <w:i/>
          <w:color w:val="000000"/>
        </w:rPr>
        <w:t>nformacion</w:t>
      </w:r>
      <w:proofErr w:type="spellEnd"/>
      <w:r w:rsidR="007D7D39" w:rsidRPr="007D7D39">
        <w:rPr>
          <w:rFonts w:ascii="Palatino Linotype" w:hAnsi="Palatino Linotype"/>
          <w:i/>
          <w:color w:val="000000"/>
        </w:rPr>
        <w:t xml:space="preserve"> del expediente </w:t>
      </w:r>
      <w:proofErr w:type="spellStart"/>
      <w:r w:rsidR="007D7D39" w:rsidRPr="007D7D39">
        <w:rPr>
          <w:rFonts w:ascii="Palatino Linotype" w:hAnsi="Palatino Linotype"/>
          <w:i/>
          <w:color w:val="000000"/>
        </w:rPr>
        <w:t>tecnico</w:t>
      </w:r>
      <w:proofErr w:type="spellEnd"/>
      <w:r w:rsidR="007D7D39" w:rsidRPr="007D7D39">
        <w:rPr>
          <w:rFonts w:ascii="Palatino Linotype" w:hAnsi="Palatino Linotype"/>
          <w:i/>
          <w:color w:val="000000"/>
        </w:rPr>
        <w:t xml:space="preserve"> </w:t>
      </w:r>
      <w:proofErr w:type="spellStart"/>
      <w:r w:rsidR="007D7D39" w:rsidRPr="007D7D39">
        <w:rPr>
          <w:rFonts w:ascii="Palatino Linotype" w:hAnsi="Palatino Linotype"/>
          <w:i/>
          <w:color w:val="000000"/>
        </w:rPr>
        <w:t>juridico</w:t>
      </w:r>
      <w:proofErr w:type="spellEnd"/>
      <w:r w:rsidR="007D7D39" w:rsidRPr="007D7D39">
        <w:rPr>
          <w:rFonts w:ascii="Palatino Linotype" w:hAnsi="Palatino Linotype"/>
          <w:i/>
          <w:color w:val="000000"/>
        </w:rPr>
        <w:t xml:space="preserve"> DLC/143/2018 tramitado ante la </w:t>
      </w:r>
      <w:proofErr w:type="spellStart"/>
      <w:r w:rsidR="007D7D39" w:rsidRPr="007D7D39">
        <w:rPr>
          <w:rFonts w:ascii="Palatino Linotype" w:hAnsi="Palatino Linotype"/>
          <w:i/>
          <w:color w:val="000000"/>
        </w:rPr>
        <w:t>dirreccion</w:t>
      </w:r>
      <w:proofErr w:type="spellEnd"/>
      <w:r w:rsidR="007D7D39" w:rsidRPr="007D7D39">
        <w:rPr>
          <w:rFonts w:ascii="Palatino Linotype" w:hAnsi="Palatino Linotype"/>
          <w:i/>
          <w:color w:val="000000"/>
        </w:rPr>
        <w:t xml:space="preserve"> general de desarrollo metropolitano de </w:t>
      </w:r>
      <w:proofErr w:type="spellStart"/>
      <w:r w:rsidR="007D7D39" w:rsidRPr="007D7D39">
        <w:rPr>
          <w:rFonts w:ascii="Palatino Linotype" w:hAnsi="Palatino Linotype"/>
          <w:i/>
          <w:color w:val="000000"/>
        </w:rPr>
        <w:t>cuautitlan</w:t>
      </w:r>
      <w:proofErr w:type="spellEnd"/>
      <w:r w:rsidR="007D7D39" w:rsidRPr="007D7D39">
        <w:rPr>
          <w:rFonts w:ascii="Palatino Linotype" w:hAnsi="Palatino Linotype"/>
          <w:i/>
          <w:color w:val="000000"/>
        </w:rPr>
        <w:t xml:space="preserve"> </w:t>
      </w:r>
      <w:proofErr w:type="spellStart"/>
      <w:r w:rsidR="007D7D39" w:rsidRPr="007D7D39">
        <w:rPr>
          <w:rFonts w:ascii="Palatino Linotype" w:hAnsi="Palatino Linotype"/>
          <w:i/>
          <w:color w:val="000000"/>
        </w:rPr>
        <w:t>izcalli</w:t>
      </w:r>
      <w:proofErr w:type="spellEnd"/>
      <w:r w:rsidR="007D7D39" w:rsidRPr="007D7D39">
        <w:rPr>
          <w:rFonts w:ascii="Palatino Linotype" w:hAnsi="Palatino Linotype"/>
          <w:i/>
          <w:color w:val="000000"/>
        </w:rPr>
        <w:t xml:space="preserve">, para saber si se cumplieron los requisitos legales como licencia de uso de suelo, dictamen de factibilidad, memoria descriptiva del proyecto, memorias de </w:t>
      </w:r>
      <w:proofErr w:type="spellStart"/>
      <w:r w:rsidR="007D7D39" w:rsidRPr="007D7D39">
        <w:rPr>
          <w:rFonts w:ascii="Palatino Linotype" w:hAnsi="Palatino Linotype"/>
          <w:i/>
          <w:color w:val="000000"/>
        </w:rPr>
        <w:t>calculo</w:t>
      </w:r>
      <w:proofErr w:type="spellEnd"/>
      <w:r w:rsidR="007D7D39" w:rsidRPr="007D7D39">
        <w:rPr>
          <w:rFonts w:ascii="Palatino Linotype" w:hAnsi="Palatino Linotype"/>
          <w:i/>
          <w:color w:val="000000"/>
        </w:rPr>
        <w:t>, proyecto ejecutivo , uso de suelo</w:t>
      </w:r>
      <w:r w:rsidR="00A9298D" w:rsidRPr="00A9298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7D7D39" w:rsidRDefault="007D7D3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7D7D39" w:rsidRPr="007D7D39">
        <w:rPr>
          <w:rFonts w:ascii="Palatino Linotype" w:hAnsi="Palatino Linotype" w:cs="Arial"/>
          <w:i/>
        </w:rPr>
        <w:t>Que aunado a que haya una investigación por el órgano de control interno municipal por posibles actos de abuso de autoridad(corrupción) dicho titular de desarrollo urbano es el encargado de haber verificado el cumplimiento de los requisitos legales. Y omite dar respuesta de los datos que obran en su poder y archivos.</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7D7D39" w:rsidRDefault="007D7D39" w:rsidP="007D7D39">
      <w:pPr>
        <w:tabs>
          <w:tab w:val="left" w:pos="3550"/>
        </w:tabs>
        <w:spacing w:before="240" w:line="360" w:lineRule="auto"/>
        <w:ind w:right="851"/>
        <w:jc w:val="both"/>
        <w:rPr>
          <w:rFonts w:ascii="Palatino Linotype" w:hAnsi="Palatino Linotype"/>
          <w:color w:val="000000"/>
        </w:rPr>
      </w:pPr>
      <w:r>
        <w:rPr>
          <w:rFonts w:ascii="Palatino Linotype" w:hAnsi="Palatino Linotype"/>
          <w:color w:val="000000"/>
        </w:rPr>
        <w:t xml:space="preserve">Asimismo, se da cuenta de que el recurrente remitió el documento </w:t>
      </w:r>
      <w:r w:rsidRPr="007D7D39">
        <w:rPr>
          <w:rFonts w:ascii="Palatino Linotype" w:hAnsi="Palatino Linotype"/>
          <w:color w:val="000000"/>
          <w:u w:val="single"/>
        </w:rPr>
        <w:t>“Escaneo0007.pdf</w:t>
      </w:r>
      <w:r>
        <w:rPr>
          <w:rFonts w:ascii="Palatino Linotype" w:hAnsi="Palatino Linotype"/>
          <w:color w:val="000000"/>
        </w:rPr>
        <w:t>, el cual es la respuesta del sujeto obligado.</w:t>
      </w:r>
      <w:r>
        <w:rPr>
          <w:rFonts w:ascii="Palatino Linotype" w:hAnsi="Palatino Linotype"/>
          <w:color w:val="000000"/>
          <w:u w:val="single"/>
        </w:rPr>
        <w:t xml:space="preserve"> </w:t>
      </w:r>
    </w:p>
    <w:p w:rsidR="002606F0"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7D7D39">
        <w:rPr>
          <w:rFonts w:ascii="Palatino Linotype" w:hAnsi="Palatino Linotype" w:cs="Arial"/>
          <w:sz w:val="24"/>
          <w:szCs w:val="24"/>
        </w:rPr>
        <w:t xml:space="preserve">doce </w:t>
      </w:r>
      <w:r w:rsidR="00A9298D">
        <w:rPr>
          <w:rFonts w:ascii="Palatino Linotype" w:hAnsi="Palatino Linotype" w:cs="Arial"/>
          <w:sz w:val="24"/>
          <w:szCs w:val="24"/>
        </w:rPr>
        <w:t>de abril</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7D7D39" w:rsidRDefault="007D7D39" w:rsidP="00E15E85">
      <w:pPr>
        <w:spacing w:before="240" w:line="360" w:lineRule="auto"/>
        <w:jc w:val="both"/>
        <w:rPr>
          <w:rFonts w:ascii="Palatino Linotype" w:hAnsi="Palatino Linotype" w:cs="Arial"/>
          <w:b/>
          <w:sz w:val="28"/>
        </w:rPr>
      </w:pPr>
    </w:p>
    <w:p w:rsidR="00E15E85" w:rsidRPr="007D7D39" w:rsidRDefault="007D7D39" w:rsidP="00E15E85">
      <w:pPr>
        <w:spacing w:before="240" w:line="360" w:lineRule="auto"/>
        <w:jc w:val="both"/>
        <w:rPr>
          <w:rFonts w:ascii="Palatino Linotype" w:hAnsi="Palatino Linotype" w:cs="Arial"/>
          <w:b/>
          <w:sz w:val="28"/>
        </w:rPr>
      </w:pPr>
      <w:r>
        <w:rPr>
          <w:rFonts w:ascii="Palatino Linotype" w:hAnsi="Palatino Linotype" w:cs="Arial"/>
          <w:b/>
          <w:sz w:val="28"/>
        </w:rPr>
        <w:t>Q</w:t>
      </w:r>
      <w:r w:rsidR="00E15E85">
        <w:rPr>
          <w:rFonts w:ascii="Palatino Linotype" w:hAnsi="Palatino Linotype" w:cs="Arial"/>
          <w:b/>
          <w:sz w:val="28"/>
        </w:rPr>
        <w:t>UINTO</w:t>
      </w:r>
      <w:r w:rsidR="00E15E85" w:rsidRPr="008551ED">
        <w:rPr>
          <w:rFonts w:ascii="Palatino Linotype" w:hAnsi="Palatino Linotype" w:cs="Arial"/>
          <w:b/>
          <w:sz w:val="24"/>
          <w:szCs w:val="24"/>
        </w:rPr>
        <w:t>.</w:t>
      </w:r>
      <w:r w:rsidR="00E15E85">
        <w:rPr>
          <w:rFonts w:ascii="Palatino Linotype" w:hAnsi="Palatino Linotype" w:cs="Arial"/>
          <w:b/>
          <w:sz w:val="24"/>
          <w:szCs w:val="24"/>
        </w:rPr>
        <w:t xml:space="preserve"> </w:t>
      </w:r>
      <w:r w:rsidR="00E15E85"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2606F0">
        <w:rPr>
          <w:rFonts w:ascii="Palatino Linotype" w:hAnsi="Palatino Linotype" w:cs="Arial"/>
          <w:sz w:val="24"/>
          <w:szCs w:val="24"/>
        </w:rPr>
        <w:t xml:space="preserve">en fecha </w:t>
      </w:r>
      <w:r w:rsidR="007D7D39">
        <w:rPr>
          <w:rFonts w:ascii="Palatino Linotype" w:hAnsi="Palatino Linotype" w:cs="Arial"/>
          <w:sz w:val="24"/>
          <w:szCs w:val="24"/>
        </w:rPr>
        <w:t>treinta</w:t>
      </w:r>
      <w:r w:rsidR="00A9298D">
        <w:rPr>
          <w:rFonts w:ascii="Palatino Linotype" w:hAnsi="Palatino Linotype" w:cs="Arial"/>
          <w:sz w:val="24"/>
          <w:szCs w:val="24"/>
        </w:rPr>
        <w:t xml:space="preserve"> de </w:t>
      </w:r>
      <w:r w:rsidR="0017548E">
        <w:rPr>
          <w:rFonts w:ascii="Palatino Linotype" w:hAnsi="Palatino Linotype" w:cs="Arial"/>
          <w:sz w:val="24"/>
          <w:szCs w:val="24"/>
        </w:rPr>
        <w:t>abril</w:t>
      </w:r>
      <w:r w:rsidR="00EB0246">
        <w:rPr>
          <w:rFonts w:ascii="Palatino Linotype" w:hAnsi="Palatino Linotype" w:cs="Arial"/>
          <w:sz w:val="24"/>
          <w:szCs w:val="24"/>
        </w:rPr>
        <w:t xml:space="preserve"> de dos mil diecinueve</w:t>
      </w:r>
      <w:r w:rsidR="002606F0">
        <w:rPr>
          <w:rFonts w:ascii="Palatino Linotype" w:hAnsi="Palatino Linotype" w:cs="Arial"/>
          <w:sz w:val="24"/>
          <w:szCs w:val="24"/>
        </w:rPr>
        <w:t xml:space="preserve"> </w:t>
      </w:r>
      <w:r w:rsidR="00EB0246">
        <w:rPr>
          <w:rFonts w:ascii="Palatino Linotype" w:hAnsi="Palatino Linotype" w:cs="Arial"/>
          <w:sz w:val="24"/>
          <w:szCs w:val="24"/>
        </w:rPr>
        <w:t>remitió</w:t>
      </w:r>
      <w:r w:rsidR="002606F0">
        <w:rPr>
          <w:rFonts w:ascii="Palatino Linotype" w:hAnsi="Palatino Linotype" w:cs="Arial"/>
          <w:sz w:val="24"/>
          <w:szCs w:val="24"/>
        </w:rPr>
        <w:t xml:space="preserve"> su informe justificado, mismo que se puso a la vista del recurrente</w:t>
      </w:r>
      <w:r w:rsidR="00091D98">
        <w:rPr>
          <w:rFonts w:ascii="Palatino Linotype" w:hAnsi="Palatino Linotype" w:cs="Arial"/>
          <w:sz w:val="24"/>
          <w:szCs w:val="24"/>
        </w:rPr>
        <w:t>.</w:t>
      </w:r>
      <w:r w:rsidR="00E372DA">
        <w:rPr>
          <w:rFonts w:ascii="Palatino Linotype" w:hAnsi="Palatino Linotype" w:cs="Arial"/>
          <w:sz w:val="24"/>
          <w:szCs w:val="24"/>
        </w:rPr>
        <w:t xml:space="preserve"> </w:t>
      </w:r>
    </w:p>
    <w:p w:rsidR="00E15E85" w:rsidRDefault="002606F0"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7D7D39">
        <w:rPr>
          <w:rFonts w:ascii="Palatino Linotype" w:hAnsi="Palatino Linotype" w:cs="Arial"/>
          <w:sz w:val="24"/>
          <w:szCs w:val="24"/>
        </w:rPr>
        <w:t>ocho de mayo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7D7D39" w:rsidRDefault="007D7D39" w:rsidP="007D7D39">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8158D8">
        <w:rPr>
          <w:rFonts w:ascii="Palatino Linotype" w:hAnsi="Palatino Linotype" w:cs="Arial"/>
          <w:sz w:val="24"/>
          <w:szCs w:val="24"/>
        </w:rPr>
        <w:t>cuatro de junio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7D7D39" w:rsidRDefault="007D7D39" w:rsidP="007D7D39">
      <w:pPr>
        <w:spacing w:before="240" w:line="360" w:lineRule="auto"/>
        <w:rPr>
          <w:rFonts w:ascii="Palatino Linotype" w:hAnsi="Palatino Linotype" w:cs="Arial"/>
          <w:b/>
          <w:sz w:val="24"/>
        </w:rPr>
      </w:pP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w:t>
      </w:r>
      <w:r>
        <w:rPr>
          <w:rFonts w:ascii="Palatino Linotype" w:hAnsi="Palatino Linotype" w:cs="Arial"/>
          <w:sz w:val="24"/>
        </w:rPr>
        <w:lastRenderedPageBreak/>
        <w:t xml:space="preserve">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17548E" w:rsidRDefault="0017548E"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causas </w:t>
      </w:r>
      <w:r w:rsidR="00BC59B2">
        <w:rPr>
          <w:rFonts w:ascii="Palatino Linotype" w:hAnsi="Palatino Linotype" w:cs="Arial"/>
          <w:b/>
          <w:sz w:val="28"/>
          <w:szCs w:val="28"/>
        </w:rPr>
        <w:t>de</w:t>
      </w:r>
      <w:r>
        <w:rPr>
          <w:rFonts w:ascii="Palatino Linotype" w:hAnsi="Palatino Linotype" w:cs="Arial"/>
          <w:b/>
          <w:sz w:val="28"/>
          <w:szCs w:val="28"/>
        </w:rPr>
        <w:t xml:space="preserve"> sobreseimiento</w:t>
      </w:r>
      <w:r w:rsidRPr="0087163A">
        <w:rPr>
          <w:rFonts w:ascii="Palatino Linotype" w:hAnsi="Palatino Linotype" w:cs="Arial"/>
          <w:b/>
          <w:sz w:val="28"/>
          <w:szCs w:val="28"/>
        </w:rPr>
        <w:t>.</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104FD" w:rsidRDefault="00B04652" w:rsidP="00B04652">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En primer término, </w:t>
      </w:r>
      <w:r w:rsidR="00E104FD">
        <w:rPr>
          <w:rFonts w:ascii="Palatino Linotype" w:hAnsi="Palatino Linotype" w:cs="Arial"/>
          <w:sz w:val="24"/>
          <w:szCs w:val="24"/>
        </w:rPr>
        <w:t>es de recordar que el sujeto obligado dio respuesta en tiempo y forma en el siguiente tenor.</w:t>
      </w:r>
    </w:p>
    <w:p w:rsidR="00E104FD" w:rsidRDefault="008158D8" w:rsidP="00B04652">
      <w:pPr>
        <w:tabs>
          <w:tab w:val="left" w:pos="709"/>
        </w:tabs>
        <w:spacing w:before="240" w:line="360" w:lineRule="auto"/>
        <w:ind w:right="51"/>
        <w:jc w:val="both"/>
        <w:rPr>
          <w:rFonts w:ascii="Palatino Linotype" w:hAnsi="Palatino Linotype" w:cs="Arial"/>
          <w:sz w:val="24"/>
          <w:szCs w:val="24"/>
        </w:rPr>
      </w:pPr>
      <w:r w:rsidRPr="008158D8">
        <w:rPr>
          <w:rFonts w:ascii="Palatino Linotype" w:hAnsi="Palatino Linotype" w:cs="Arial"/>
          <w:noProof/>
          <w:sz w:val="24"/>
          <w:szCs w:val="24"/>
          <w:lang w:eastAsia="es-MX"/>
        </w:rPr>
        <w:lastRenderedPageBreak/>
        <w:drawing>
          <wp:inline distT="0" distB="0" distL="0" distR="0">
            <wp:extent cx="5760720" cy="1569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569520"/>
                    </a:xfrm>
                    <a:prstGeom prst="rect">
                      <a:avLst/>
                    </a:prstGeom>
                    <a:noFill/>
                    <a:ln>
                      <a:noFill/>
                    </a:ln>
                  </pic:spPr>
                </pic:pic>
              </a:graphicData>
            </a:graphic>
          </wp:inline>
        </w:drawing>
      </w:r>
    </w:p>
    <w:p w:rsidR="008158D8" w:rsidRDefault="008158D8" w:rsidP="008158D8">
      <w:pPr>
        <w:spacing w:before="240" w:after="240" w:line="360" w:lineRule="auto"/>
        <w:jc w:val="both"/>
        <w:rPr>
          <w:rFonts w:ascii="Palatino Linotype" w:hAnsi="Palatino Linotype" w:cs="Arial"/>
          <w:sz w:val="24"/>
          <w:szCs w:val="20"/>
        </w:rPr>
      </w:pPr>
      <w:r>
        <w:rPr>
          <w:rFonts w:ascii="Palatino Linotype" w:hAnsi="Palatino Linotype" w:cs="Arial"/>
          <w:sz w:val="24"/>
          <w:szCs w:val="24"/>
        </w:rPr>
        <w:t>En ese tenor</w:t>
      </w:r>
      <w:r w:rsidR="001225D7">
        <w:rPr>
          <w:rFonts w:ascii="Palatino Linotype" w:hAnsi="Palatino Linotype" w:cs="Arial"/>
          <w:sz w:val="24"/>
          <w:szCs w:val="24"/>
        </w:rPr>
        <w:t>, de la respuesta entregada por el sujeto obligado se desprende que reserva la información solicitada por el impetrante, ello en virtud de que el Órgano de Control Interno tiene iniciado un procedimiento, con el número de expediente CM/DIC/DENUNCIA/005/2018, aludiendo también que no se puede pronunciar respecto de si se cumplieron o no los requisitos legales respecto de la construcción, sino hasta que hayan concluido las investigaciones iniciadas por la Contraloría Interna Municipal, empero, no pasa de óptica esta ponencia resolutora que falto el Acuerdo emitido por el Comité de Transparencia en el cual se confirme la reserva de la información solicitada.</w:t>
      </w:r>
    </w:p>
    <w:p w:rsidR="008158D8" w:rsidRDefault="00F73914" w:rsidP="008158D8">
      <w:pPr>
        <w:spacing w:before="240" w:after="240" w:line="360" w:lineRule="auto"/>
        <w:jc w:val="both"/>
        <w:rPr>
          <w:rFonts w:ascii="Palatino Linotype" w:hAnsi="Palatino Linotype" w:cs="Arial"/>
          <w:sz w:val="24"/>
          <w:szCs w:val="20"/>
        </w:rPr>
      </w:pPr>
      <w:r>
        <w:rPr>
          <w:rFonts w:ascii="Palatino Linotype" w:hAnsi="Palatino Linotype" w:cs="Arial"/>
          <w:noProof/>
          <w:sz w:val="24"/>
          <w:szCs w:val="20"/>
          <w:lang w:eastAsia="es-MX"/>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883919</wp:posOffset>
                </wp:positionV>
                <wp:extent cx="5760720" cy="2009775"/>
                <wp:effectExtent l="0" t="0" r="30480" b="28575"/>
                <wp:wrapNone/>
                <wp:docPr id="3" name="Conector recto 3"/>
                <wp:cNvGraphicFramePr/>
                <a:graphic xmlns:a="http://schemas.openxmlformats.org/drawingml/2006/main">
                  <a:graphicData uri="http://schemas.microsoft.com/office/word/2010/wordprocessingShape">
                    <wps:wsp>
                      <wps:cNvCnPr/>
                      <wps:spPr>
                        <a:xfrm>
                          <a:off x="0" y="0"/>
                          <a:ext cx="5760720" cy="2009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DC1E9F"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69.6pt" to="453.3pt,2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" strokecolor="#5b9bd5 [3204]" strokeweight=".5pt">
                <v:stroke joinstyle="miter"/>
              </v:line>
            </w:pict>
          </mc:Fallback>
        </mc:AlternateContent>
      </w:r>
      <w:r>
        <w:rPr>
          <w:rFonts w:ascii="Palatino Linotype" w:hAnsi="Palatino Linotype" w:cs="Arial"/>
          <w:sz w:val="24"/>
          <w:szCs w:val="20"/>
        </w:rPr>
        <w:t>Amén</w:t>
      </w:r>
      <w:r w:rsidR="001225D7">
        <w:rPr>
          <w:rFonts w:ascii="Palatino Linotype" w:hAnsi="Palatino Linotype" w:cs="Arial"/>
          <w:sz w:val="24"/>
          <w:szCs w:val="20"/>
        </w:rPr>
        <w:t xml:space="preserve"> de lo anterior, el sujeto obligado </w:t>
      </w:r>
      <w:r>
        <w:rPr>
          <w:rFonts w:ascii="Palatino Linotype" w:hAnsi="Palatino Linotype" w:cs="Arial"/>
          <w:sz w:val="24"/>
          <w:szCs w:val="20"/>
        </w:rPr>
        <w:t>remitió</w:t>
      </w:r>
      <w:r w:rsidR="001225D7">
        <w:rPr>
          <w:rFonts w:ascii="Palatino Linotype" w:hAnsi="Palatino Linotype" w:cs="Arial"/>
          <w:sz w:val="24"/>
          <w:szCs w:val="20"/>
        </w:rPr>
        <w:t xml:space="preserve"> mediante informe justificado el Acuerdo emitido por el Comité de </w:t>
      </w:r>
      <w:r>
        <w:rPr>
          <w:rFonts w:ascii="Palatino Linotype" w:hAnsi="Palatino Linotype" w:cs="Arial"/>
          <w:sz w:val="24"/>
          <w:szCs w:val="20"/>
        </w:rPr>
        <w:t>Transparencia</w:t>
      </w:r>
      <w:r w:rsidR="001225D7">
        <w:rPr>
          <w:rFonts w:ascii="Palatino Linotype" w:hAnsi="Palatino Linotype" w:cs="Arial"/>
          <w:sz w:val="24"/>
          <w:szCs w:val="20"/>
        </w:rPr>
        <w:t xml:space="preserve"> en el cual se </w:t>
      </w:r>
      <w:r>
        <w:rPr>
          <w:rFonts w:ascii="Palatino Linotype" w:hAnsi="Palatino Linotype" w:cs="Arial"/>
          <w:sz w:val="24"/>
          <w:szCs w:val="20"/>
        </w:rPr>
        <w:t>Reserva la información solicitada, como se muestra a continuación.</w:t>
      </w:r>
    </w:p>
    <w:p w:rsidR="00F73914" w:rsidRDefault="00F73914" w:rsidP="008158D8">
      <w:pPr>
        <w:spacing w:before="240" w:after="240" w:line="360" w:lineRule="auto"/>
        <w:jc w:val="both"/>
        <w:rPr>
          <w:noProof/>
          <w:lang w:eastAsia="es-MX"/>
        </w:rPr>
      </w:pPr>
    </w:p>
    <w:p w:rsidR="008158D8" w:rsidRDefault="00F73914" w:rsidP="008158D8">
      <w:pPr>
        <w:spacing w:before="240" w:after="240" w:line="360" w:lineRule="auto"/>
        <w:jc w:val="both"/>
        <w:rPr>
          <w:rFonts w:ascii="Palatino Linotype" w:hAnsi="Palatino Linotype" w:cs="Arial"/>
          <w:sz w:val="24"/>
          <w:szCs w:val="20"/>
        </w:rPr>
      </w:pPr>
      <w:r>
        <w:rPr>
          <w:noProof/>
          <w:lang w:eastAsia="es-MX"/>
        </w:rPr>
        <w:lastRenderedPageBreak/>
        <w:drawing>
          <wp:inline distT="0" distB="0" distL="0" distR="0" wp14:anchorId="12B4E0DF" wp14:editId="10A0BE6B">
            <wp:extent cx="5734050" cy="759230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42" t="12053" r="32044" b="3880"/>
                    <a:stretch/>
                  </pic:blipFill>
                  <pic:spPr bwMode="auto">
                    <a:xfrm>
                      <a:off x="0" y="0"/>
                      <a:ext cx="5739413" cy="7599408"/>
                    </a:xfrm>
                    <a:prstGeom prst="rect">
                      <a:avLst/>
                    </a:prstGeom>
                    <a:ln>
                      <a:noFill/>
                    </a:ln>
                    <a:extLst>
                      <a:ext uri="{53640926-AAD7-44D8-BBD7-CCE9431645EC}">
                        <a14:shadowObscured xmlns:a14="http://schemas.microsoft.com/office/drawing/2010/main"/>
                      </a:ext>
                    </a:extLst>
                  </pic:spPr>
                </pic:pic>
              </a:graphicData>
            </a:graphic>
          </wp:inline>
        </w:drawing>
      </w:r>
    </w:p>
    <w:p w:rsidR="00A209C7" w:rsidRDefault="00F73914" w:rsidP="00A209C7">
      <w:pPr>
        <w:spacing w:before="240" w:after="240" w:line="360" w:lineRule="auto"/>
        <w:jc w:val="both"/>
        <w:rPr>
          <w:rFonts w:ascii="Palatino Linotype" w:hAnsi="Palatino Linotype" w:cs="Arial"/>
          <w:color w:val="000000"/>
          <w:sz w:val="24"/>
          <w:lang w:val="es-ES_tradnl"/>
        </w:rPr>
      </w:pPr>
      <w:r>
        <w:rPr>
          <w:noProof/>
          <w:lang w:eastAsia="es-MX"/>
        </w:rPr>
        <w:lastRenderedPageBreak/>
        <w:drawing>
          <wp:inline distT="0" distB="0" distL="0" distR="0" wp14:anchorId="343F97CE" wp14:editId="66F11265">
            <wp:extent cx="5733415" cy="772477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203" t="10582" r="34689"/>
                    <a:stretch/>
                  </pic:blipFill>
                  <pic:spPr bwMode="auto">
                    <a:xfrm>
                      <a:off x="0" y="0"/>
                      <a:ext cx="5742445" cy="77369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9698C13" wp14:editId="780C3792">
            <wp:extent cx="5723596" cy="77057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352" t="10288" r="34689" b="-2881"/>
                    <a:stretch/>
                  </pic:blipFill>
                  <pic:spPr bwMode="auto">
                    <a:xfrm>
                      <a:off x="0" y="0"/>
                      <a:ext cx="5746933" cy="773714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AD28307" wp14:editId="3355554F">
            <wp:extent cx="5666105" cy="7743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211" t="9406" r="34358" b="-2292"/>
                    <a:stretch/>
                  </pic:blipFill>
                  <pic:spPr bwMode="auto">
                    <a:xfrm>
                      <a:off x="0" y="0"/>
                      <a:ext cx="5681177" cy="776442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20CF400" wp14:editId="1E0D00A2">
            <wp:extent cx="5638165" cy="76962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41" t="9112" r="35350" b="2116"/>
                    <a:stretch/>
                  </pic:blipFill>
                  <pic:spPr bwMode="auto">
                    <a:xfrm>
                      <a:off x="0" y="0"/>
                      <a:ext cx="5658841" cy="772442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3AE62E5" wp14:editId="7CFE3D3A">
            <wp:extent cx="5695950" cy="77044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76" t="9112" r="35846" b="2116"/>
                    <a:stretch/>
                  </pic:blipFill>
                  <pic:spPr bwMode="auto">
                    <a:xfrm>
                      <a:off x="0" y="0"/>
                      <a:ext cx="5703618" cy="77148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6355C92E" wp14:editId="714A2880">
            <wp:extent cx="5667375" cy="468036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376" t="12933" r="34193" b="43857"/>
                    <a:stretch/>
                  </pic:blipFill>
                  <pic:spPr bwMode="auto">
                    <a:xfrm>
                      <a:off x="0" y="0"/>
                      <a:ext cx="5672322" cy="4684445"/>
                    </a:xfrm>
                    <a:prstGeom prst="rect">
                      <a:avLst/>
                    </a:prstGeom>
                    <a:ln>
                      <a:noFill/>
                    </a:ln>
                    <a:extLst>
                      <a:ext uri="{53640926-AAD7-44D8-BBD7-CCE9431645EC}">
                        <a14:shadowObscured xmlns:a14="http://schemas.microsoft.com/office/drawing/2010/main"/>
                      </a:ext>
                    </a:extLst>
                  </pic:spPr>
                </pic:pic>
              </a:graphicData>
            </a:graphic>
          </wp:inline>
        </w:drawing>
      </w:r>
      <w:r w:rsidR="00A209C7" w:rsidRPr="00A209C7">
        <w:rPr>
          <w:rFonts w:ascii="Palatino Linotype" w:hAnsi="Palatino Linotype" w:cs="Arial"/>
          <w:color w:val="000000"/>
          <w:sz w:val="24"/>
          <w:lang w:val="es-ES_tradnl"/>
        </w:rPr>
        <w:t xml:space="preserve"> </w:t>
      </w:r>
      <w:r w:rsidR="00A209C7" w:rsidRPr="008A5D92">
        <w:rPr>
          <w:rFonts w:ascii="Palatino Linotype" w:hAnsi="Palatino Linotype" w:cs="Arial"/>
          <w:color w:val="000000"/>
          <w:sz w:val="24"/>
          <w:lang w:val="es-ES_tradnl"/>
        </w:rPr>
        <w:t>Por consiguiente</w:t>
      </w:r>
      <w:r w:rsidR="00A209C7">
        <w:rPr>
          <w:rFonts w:ascii="Palatino Linotype" w:hAnsi="Palatino Linotype" w:cs="Arial"/>
          <w:color w:val="000000"/>
          <w:sz w:val="24"/>
          <w:lang w:val="es-ES_tradnl"/>
        </w:rPr>
        <w:t>,</w:t>
      </w:r>
      <w:r w:rsidR="0057783E">
        <w:rPr>
          <w:rFonts w:ascii="Palatino Linotype" w:hAnsi="Palatino Linotype" w:cs="Arial"/>
          <w:color w:val="000000"/>
          <w:sz w:val="24"/>
          <w:lang w:val="es-ES_tradnl"/>
        </w:rPr>
        <w:t xml:space="preserve"> si bien es cierto que nuestro máximo ordenamiento establece que toda la información en posesión de cualquier  autoridad, entidad, órgano y organismo, que reciba y ejerza recursos públicos o realice actos de autoridad en cualquier ámbito, ya sea Federal, Estatal o Municipal, es pública, también cierto es que encuadra una limitante para el acceso a la información, la cual tendrá carácter de reservada temporalmente por razones de interés público y seguridad nacional.</w:t>
      </w:r>
    </w:p>
    <w:p w:rsidR="00A209C7" w:rsidRPr="0057783E" w:rsidRDefault="00A209C7" w:rsidP="0057783E">
      <w:pPr>
        <w:spacing w:before="240" w:after="240" w:line="360" w:lineRule="auto"/>
        <w:ind w:left="708"/>
        <w:jc w:val="both"/>
        <w:rPr>
          <w:rFonts w:ascii="Palatino Linotype" w:hAnsi="Palatino Linotype"/>
          <w:i/>
        </w:rPr>
      </w:pPr>
      <w:r w:rsidRPr="0057783E">
        <w:rPr>
          <w:rFonts w:ascii="Palatino Linotype" w:hAnsi="Palatino Linotype"/>
          <w:i/>
        </w:rPr>
        <w:t xml:space="preserve">Artículo 6o. La manifestación de las ideas no será objeto de ninguna inquisición judicial o administrativa, sino en el caso de que ataque a la moral, la vida privada o los derechos de terceros, </w:t>
      </w:r>
      <w:r w:rsidRPr="0057783E">
        <w:rPr>
          <w:rFonts w:ascii="Palatino Linotype" w:hAnsi="Palatino Linotype"/>
          <w:i/>
        </w:rPr>
        <w:lastRenderedPageBreak/>
        <w:t>provoque algún delito, o perturbe el orden público; el derecho de réplica será ejercido en los términos dispuestos por la ley. El derecho a la información será garantizado por el Estado.</w:t>
      </w:r>
    </w:p>
    <w:p w:rsidR="00A209C7" w:rsidRPr="0057783E" w:rsidRDefault="00A209C7" w:rsidP="0057783E">
      <w:pPr>
        <w:spacing w:before="240" w:after="240" w:line="360" w:lineRule="auto"/>
        <w:ind w:left="708"/>
        <w:jc w:val="both"/>
        <w:rPr>
          <w:rFonts w:ascii="Palatino Linotype" w:hAnsi="Palatino Linotype"/>
          <w:i/>
        </w:rPr>
      </w:pPr>
      <w:r w:rsidRPr="0057783E">
        <w:rPr>
          <w:rFonts w:ascii="Palatino Linotype" w:hAnsi="Palatino Linotype"/>
          <w:i/>
        </w:rPr>
        <w:t>……</w:t>
      </w:r>
    </w:p>
    <w:p w:rsidR="00A209C7" w:rsidRPr="0057783E" w:rsidRDefault="00A209C7" w:rsidP="0057783E">
      <w:pPr>
        <w:spacing w:before="240" w:after="240" w:line="360" w:lineRule="auto"/>
        <w:ind w:left="708"/>
        <w:jc w:val="both"/>
        <w:rPr>
          <w:rFonts w:ascii="Palatino Linotype" w:hAnsi="Palatino Linotype"/>
          <w:i/>
        </w:rPr>
      </w:pPr>
      <w:r w:rsidRPr="0057783E">
        <w:rPr>
          <w:rFonts w:ascii="Palatino Linotype" w:hAnsi="Palatino Linotype"/>
          <w:i/>
        </w:rPr>
        <w:t>Para efectos de lo dispuesto en el presente artículo se observará lo siguiente:</w:t>
      </w:r>
    </w:p>
    <w:p w:rsidR="00A209C7" w:rsidRPr="0057783E" w:rsidRDefault="00A209C7" w:rsidP="0057783E">
      <w:pPr>
        <w:pStyle w:val="Prrafodelista"/>
        <w:numPr>
          <w:ilvl w:val="0"/>
          <w:numId w:val="17"/>
        </w:numPr>
        <w:spacing w:before="240" w:after="240" w:line="360" w:lineRule="auto"/>
        <w:ind w:left="1428"/>
        <w:jc w:val="both"/>
        <w:rPr>
          <w:rFonts w:ascii="Palatino Linotype" w:hAnsi="Palatino Linotype"/>
          <w:i/>
          <w:sz w:val="22"/>
          <w:szCs w:val="22"/>
        </w:rPr>
      </w:pPr>
      <w:r w:rsidRPr="0057783E">
        <w:rPr>
          <w:rFonts w:ascii="Palatino Linotype" w:hAnsi="Palatino Linotype"/>
          <w:i/>
          <w:sz w:val="22"/>
          <w:szCs w:val="22"/>
        </w:rPr>
        <w:t>Para el ejercicio del derecho de acceso a la información, la Federación y las entidades federativas, en el ámbito de sus respectivas competencias, se regirán por los siguientes principios y bases:</w:t>
      </w:r>
    </w:p>
    <w:p w:rsidR="00A209C7" w:rsidRDefault="00A209C7" w:rsidP="0057783E">
      <w:pPr>
        <w:pStyle w:val="Prrafodelista"/>
        <w:numPr>
          <w:ilvl w:val="0"/>
          <w:numId w:val="18"/>
        </w:numPr>
        <w:spacing w:before="240" w:after="240" w:line="360" w:lineRule="auto"/>
        <w:jc w:val="both"/>
        <w:rPr>
          <w:rFonts w:ascii="Palatino Linotype" w:hAnsi="Palatino Linotype"/>
          <w:i/>
          <w:sz w:val="22"/>
          <w:szCs w:val="22"/>
        </w:rPr>
      </w:pPr>
      <w:r w:rsidRPr="0057783E">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7783E" w:rsidRPr="00CD69DC" w:rsidRDefault="0057783E" w:rsidP="00A209C7">
      <w:pPr>
        <w:pStyle w:val="Prrafodelista"/>
        <w:numPr>
          <w:ilvl w:val="0"/>
          <w:numId w:val="18"/>
        </w:numPr>
        <w:spacing w:before="240" w:after="240" w:line="360" w:lineRule="auto"/>
        <w:jc w:val="both"/>
        <w:rPr>
          <w:rFonts w:ascii="Palatino Linotype" w:hAnsi="Palatino Linotype" w:cs="Arial"/>
          <w:i/>
          <w:color w:val="000000"/>
          <w:sz w:val="22"/>
          <w:szCs w:val="22"/>
          <w:lang w:val="es-ES_tradnl"/>
        </w:rPr>
      </w:pPr>
      <w:r>
        <w:rPr>
          <w:rFonts w:ascii="Palatino Linotype" w:hAnsi="Palatino Linotype"/>
          <w:i/>
          <w:sz w:val="22"/>
          <w:szCs w:val="22"/>
        </w:rPr>
        <w:t>…..</w:t>
      </w:r>
    </w:p>
    <w:p w:rsidR="00A209C7" w:rsidRPr="008A5D92" w:rsidRDefault="00A209C7" w:rsidP="00A209C7">
      <w:pPr>
        <w:spacing w:line="360" w:lineRule="auto"/>
        <w:jc w:val="both"/>
        <w:rPr>
          <w:rFonts w:ascii="Palatino Linotype" w:eastAsia="Arial Unicode MS" w:hAnsi="Palatino Linotype" w:cs="Arial"/>
          <w:b/>
          <w:sz w:val="24"/>
        </w:rPr>
      </w:pPr>
      <w:r>
        <w:rPr>
          <w:rFonts w:ascii="Palatino Linotype" w:hAnsi="Palatino Linotype" w:cs="Arial"/>
          <w:color w:val="000000"/>
          <w:sz w:val="24"/>
          <w:lang w:val="es-ES_tradnl"/>
        </w:rPr>
        <w:t xml:space="preserve">Por </w:t>
      </w:r>
      <w:r w:rsidR="0057783E">
        <w:rPr>
          <w:rFonts w:ascii="Palatino Linotype" w:hAnsi="Palatino Linotype" w:cs="Arial"/>
          <w:color w:val="000000"/>
          <w:sz w:val="24"/>
          <w:lang w:val="es-ES_tradnl"/>
        </w:rPr>
        <w:t>otra</w:t>
      </w:r>
      <w:r>
        <w:rPr>
          <w:rFonts w:ascii="Palatino Linotype" w:hAnsi="Palatino Linotype" w:cs="Arial"/>
          <w:color w:val="000000"/>
          <w:sz w:val="24"/>
          <w:lang w:val="es-ES_tradnl"/>
        </w:rPr>
        <w:t xml:space="preserve"> parte</w:t>
      </w:r>
      <w:r w:rsidRPr="008A5D92">
        <w:rPr>
          <w:rFonts w:ascii="Palatino Linotype" w:hAnsi="Palatino Linotype" w:cs="Arial"/>
          <w:color w:val="000000"/>
          <w:sz w:val="24"/>
          <w:lang w:val="es-ES_tradnl"/>
        </w:rPr>
        <w:t xml:space="preserve">, </w:t>
      </w:r>
      <w:r w:rsidRPr="008A5D92">
        <w:rPr>
          <w:rFonts w:ascii="Palatino Linotype" w:hAnsi="Palatino Linotype" w:cs="Arial"/>
          <w:sz w:val="24"/>
        </w:rPr>
        <w:t>es importante señalar que el artículo 4, párrafo segundo de la Ley de Transparencia y Acceso a la Información Pública del Estado de México y Municipios, dispone:</w:t>
      </w:r>
    </w:p>
    <w:p w:rsidR="00A209C7" w:rsidRPr="008A5D92" w:rsidRDefault="00A209C7" w:rsidP="00A209C7">
      <w:pPr>
        <w:ind w:left="851" w:right="902"/>
        <w:jc w:val="both"/>
        <w:rPr>
          <w:rFonts w:ascii="Palatino Linotype" w:hAnsi="Palatino Linotype" w:cs="Arial"/>
          <w:sz w:val="2"/>
        </w:rPr>
      </w:pPr>
    </w:p>
    <w:p w:rsidR="00A209C7" w:rsidRPr="008A5D92" w:rsidRDefault="00A209C7" w:rsidP="00A209C7">
      <w:pPr>
        <w:ind w:left="567" w:right="567"/>
        <w:jc w:val="both"/>
        <w:rPr>
          <w:rFonts w:ascii="Palatino Linotype" w:hAnsi="Palatino Linotype" w:cs="Arial"/>
          <w:i/>
          <w:color w:val="000000"/>
        </w:rPr>
      </w:pPr>
      <w:r w:rsidRPr="008A5D92">
        <w:rPr>
          <w:rFonts w:ascii="Palatino Linotype" w:hAnsi="Palatino Linotype" w:cs="Arial"/>
          <w:i/>
        </w:rPr>
        <w:lastRenderedPageBreak/>
        <w:t>“</w:t>
      </w:r>
      <w:r w:rsidRPr="008A5D92">
        <w:rPr>
          <w:rFonts w:ascii="Palatino Linotype" w:hAnsi="Palatino Linotype" w:cs="Arial"/>
          <w:b/>
          <w:i/>
          <w:color w:val="000000"/>
        </w:rPr>
        <w:t xml:space="preserve">Artículo 4. </w:t>
      </w:r>
      <w:r w:rsidRPr="008A5D92">
        <w:rPr>
          <w:rFonts w:ascii="Palatino Linotype" w:hAnsi="Palatino Linotype" w:cs="Arial"/>
          <w:i/>
          <w:color w:val="000000"/>
        </w:rPr>
        <w:t xml:space="preserve">… </w:t>
      </w:r>
    </w:p>
    <w:p w:rsidR="00A209C7" w:rsidRPr="008A5D92" w:rsidRDefault="00A209C7" w:rsidP="00A209C7">
      <w:pPr>
        <w:ind w:left="567" w:right="567"/>
        <w:jc w:val="both"/>
        <w:rPr>
          <w:rFonts w:ascii="Palatino Linotype" w:hAnsi="Palatino Linotype" w:cs="Arial"/>
          <w:i/>
          <w:color w:val="000000"/>
        </w:rPr>
      </w:pPr>
      <w:r w:rsidRPr="008A5D92">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209C7" w:rsidRPr="008A5D92" w:rsidRDefault="00A209C7" w:rsidP="00A209C7">
      <w:pPr>
        <w:ind w:left="851" w:right="902"/>
        <w:jc w:val="both"/>
        <w:rPr>
          <w:rFonts w:ascii="Palatino Linotype" w:hAnsi="Palatino Linotype" w:cs="Arial"/>
          <w:i/>
        </w:rPr>
      </w:pPr>
      <w:r w:rsidRPr="008A5D92">
        <w:rPr>
          <w:rFonts w:ascii="Palatino Linotype" w:hAnsi="Palatino Linotype" w:cs="Arial"/>
          <w:i/>
          <w:color w:val="000000"/>
        </w:rPr>
        <w:t xml:space="preserve">( </w:t>
      </w:r>
      <w:r w:rsidRPr="008A5D92">
        <w:rPr>
          <w:rFonts w:ascii="Palatino Linotype" w:hAnsi="Palatino Linotype" w:cs="Arial"/>
          <w:i/>
        </w:rPr>
        <w:t>...)”</w:t>
      </w:r>
    </w:p>
    <w:p w:rsidR="00A209C7" w:rsidRPr="008A5D92" w:rsidRDefault="00A209C7" w:rsidP="00A209C7">
      <w:pPr>
        <w:ind w:left="851" w:right="902"/>
        <w:jc w:val="both"/>
        <w:rPr>
          <w:rFonts w:ascii="Palatino Linotype" w:hAnsi="Palatino Linotype" w:cs="Arial"/>
          <w:sz w:val="14"/>
        </w:rPr>
      </w:pPr>
    </w:p>
    <w:p w:rsidR="00A209C7" w:rsidRPr="008A5D92" w:rsidRDefault="00A209C7" w:rsidP="0095353F">
      <w:pPr>
        <w:spacing w:before="240" w:line="360" w:lineRule="auto"/>
        <w:jc w:val="both"/>
        <w:rPr>
          <w:rFonts w:ascii="Palatino Linotype" w:hAnsi="Palatino Linotype" w:cs="Arial"/>
          <w:i/>
          <w:sz w:val="24"/>
        </w:rPr>
      </w:pPr>
      <w:r w:rsidRPr="008A5D92">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w:t>
      </w:r>
      <w:r>
        <w:rPr>
          <w:rFonts w:ascii="Palatino Linotype" w:hAnsi="Palatino Linotype" w:cs="Arial"/>
          <w:sz w:val="24"/>
        </w:rPr>
        <w:t xml:space="preserve">ma publicidad de la información, empero, excepcionalmente podrá ser clasificada como reservada temporalmente, por razones de interés público. </w:t>
      </w:r>
    </w:p>
    <w:p w:rsidR="0095353F" w:rsidRDefault="0095353F" w:rsidP="0095353F">
      <w:pPr>
        <w:pStyle w:val="Sinespaciado"/>
        <w:spacing w:before="240" w:after="240" w:line="360" w:lineRule="auto"/>
        <w:ind w:right="48"/>
        <w:jc w:val="both"/>
        <w:rPr>
          <w:rFonts w:ascii="Palatino Linotype" w:hAnsi="Palatino Linotype" w:cstheme="minorHAnsi"/>
          <w:szCs w:val="22"/>
        </w:rPr>
      </w:pPr>
      <w:r w:rsidRPr="00B770CB">
        <w:rPr>
          <w:rFonts w:ascii="Palatino Linotype" w:hAnsi="Palatino Linotype" w:cstheme="minorHAnsi"/>
          <w:szCs w:val="22"/>
        </w:rPr>
        <w:t>De tal forma, en la especie se actualizan hipótesis de reserva previstas en el artículo 140 de la Ley de la Materia, que dispone que la información es reservada cuando comprometa la seguridad pública, obstruya la prevención o persecución de los delitos, se encuentre contenida dentro de las investigaciones de hechos que la Ley señale como delitos y se tramiten ante el Ministerio Público, el daño que pueda producirse con la publicación de la información sea mayor que el interés público de conocer la información, las que por disposición expresa de una ley tengan tal carácter, siempre que sean acordes con las bases, principios y disposiciones establecidas en la Ley de Transparencia y Acceso a la Información del estado de México y Municipios y no la contravengan.</w:t>
      </w:r>
    </w:p>
    <w:p w:rsidR="0095353F" w:rsidRDefault="0095353F" w:rsidP="0095353F">
      <w:pPr>
        <w:pStyle w:val="Sinespaciado"/>
        <w:spacing w:after="240" w:line="360" w:lineRule="auto"/>
        <w:ind w:right="48"/>
        <w:jc w:val="both"/>
        <w:rPr>
          <w:rFonts w:ascii="Palatino Linotype" w:hAnsi="Palatino Linotype" w:cstheme="minorHAnsi"/>
          <w:szCs w:val="22"/>
        </w:rPr>
      </w:pPr>
      <w:r w:rsidRPr="00B770CB">
        <w:rPr>
          <w:rFonts w:ascii="Palatino Linotype" w:hAnsi="Palatino Linotype" w:cstheme="minorHAnsi"/>
          <w:szCs w:val="22"/>
        </w:rPr>
        <w:lastRenderedPageBreak/>
        <w:t>Se robustece lo anterior, con el criterio de jurisprudencia emitido por la Suprema Corte de Justicia de la Nación, que es del texto y rubro siguiente:</w:t>
      </w:r>
    </w:p>
    <w:p w:rsidR="0095353F" w:rsidRPr="00B770CB" w:rsidRDefault="0095353F" w:rsidP="0095353F">
      <w:pPr>
        <w:pStyle w:val="Sinespaciado"/>
        <w:spacing w:before="240" w:after="240" w:line="360" w:lineRule="auto"/>
        <w:ind w:left="851" w:right="1749"/>
        <w:jc w:val="both"/>
        <w:rPr>
          <w:rFonts w:ascii="Palatino Linotype" w:hAnsi="Palatino Linotype" w:cstheme="minorHAnsi"/>
          <w:i/>
          <w:sz w:val="22"/>
          <w:szCs w:val="22"/>
        </w:rPr>
      </w:pPr>
      <w:r w:rsidRPr="00B770CB">
        <w:rPr>
          <w:rFonts w:ascii="Palatino Linotype" w:hAnsi="Palatino Linotype" w:cstheme="minorHAnsi"/>
          <w:i/>
          <w:sz w:val="22"/>
          <w:szCs w:val="22"/>
        </w:rPr>
        <w:t>"</w:t>
      </w:r>
      <w:r w:rsidRPr="00B770CB">
        <w:rPr>
          <w:rFonts w:ascii="Palatino Linotype" w:hAnsi="Palatino Linotype" w:cstheme="minorHAnsi"/>
          <w:b/>
          <w:i/>
          <w:sz w:val="22"/>
          <w:szCs w:val="22"/>
        </w:rPr>
        <w:t>INFORMACIÓN RESERVADA. LÍMITE AL DERECHO DE ACCESO A LA INFORMACIÓN (LEY FEDERAL DE TRANSPARENCIA Y ACCESO A LA INFORMACIÓN PÚBLICA GUBERNAMENTAL).*</w:t>
      </w:r>
      <w:r w:rsidRPr="00B770CB">
        <w:rPr>
          <w:rFonts w:ascii="Palatino Linotype" w:hAnsi="Palatino Linotype" w:cstheme="minorHAnsi"/>
          <w:i/>
          <w:sz w:val="22"/>
          <w:szCs w:val="22"/>
        </w:rPr>
        <w:t xml:space="preserve"> Las fracciones I y II del segundo párrafo del artículo 60.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w:t>
      </w:r>
      <w:r>
        <w:rPr>
          <w:rFonts w:ascii="Palatino Linotype" w:hAnsi="Palatino Linotype" w:cstheme="minorHAnsi"/>
          <w:i/>
          <w:sz w:val="22"/>
          <w:szCs w:val="22"/>
        </w:rPr>
        <w:t xml:space="preserve"> </w:t>
      </w:r>
      <w:r w:rsidRPr="00B770CB">
        <w:rPr>
          <w:rFonts w:ascii="Palatino Linotype" w:hAnsi="Palatino Linotype" w:cstheme="minorHAnsi"/>
          <w:i/>
          <w:sz w:val="22"/>
          <w:szCs w:val="22"/>
        </w:rPr>
        <w:t xml:space="preserve">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w:t>
      </w:r>
      <w:r w:rsidRPr="00B770CB">
        <w:rPr>
          <w:rFonts w:ascii="Palatino Linotype" w:hAnsi="Palatino Linotype" w:cstheme="minorHAnsi"/>
          <w:i/>
          <w:sz w:val="22"/>
          <w:szCs w:val="22"/>
        </w:rPr>
        <w:lastRenderedPageBreak/>
        <w:t xml:space="preserve">internacionales; 3) </w:t>
      </w:r>
      <w:proofErr w:type="spellStart"/>
      <w:r w:rsidRPr="00B770CB">
        <w:rPr>
          <w:rFonts w:ascii="Palatino Linotype" w:hAnsi="Palatino Linotype" w:cstheme="minorHAnsi"/>
          <w:i/>
          <w:sz w:val="22"/>
          <w:szCs w:val="22"/>
        </w:rPr>
        <w:t>dafíar</w:t>
      </w:r>
      <w:proofErr w:type="spellEnd"/>
      <w:r w:rsidRPr="00B770CB">
        <w:rPr>
          <w:rFonts w:ascii="Palatino Linotype" w:hAnsi="Palatino Linotype" w:cstheme="minorHAnsi"/>
          <w:i/>
          <w:sz w:val="22"/>
          <w:szCs w:val="22"/>
        </w:rPr>
        <w:t xml:space="preserve"> la estabilidad financiera, económica o monetaria del país; 4) poner en riesgo la vida, seguridad o salud de alguna persona; o 5) causar perjuicio al cumplimiento de las leyes, prevención o verificación de delitos,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especifico, de supuestos en los cuales la información también se considerará reservada: 1) la que expresamente se clasifique como confidencial, reservada, comercial reservada o gubernamental reservada; 2) secretos comercial, industrial, fiscal, bancario, fiduciario u otros; 3) averiguaciones previas;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rsidR="0095353F" w:rsidRDefault="0095353F" w:rsidP="0095353F">
      <w:pPr>
        <w:pStyle w:val="Sinespaciado"/>
        <w:spacing w:before="240" w:after="240" w:line="360" w:lineRule="auto"/>
        <w:jc w:val="both"/>
        <w:rPr>
          <w:rFonts w:ascii="Palatino Linotype" w:hAnsi="Palatino Linotype" w:cstheme="minorHAnsi"/>
          <w:szCs w:val="22"/>
        </w:rPr>
      </w:pPr>
      <w:r w:rsidRPr="00B770CB">
        <w:rPr>
          <w:rFonts w:ascii="Palatino Linotype" w:hAnsi="Palatino Linotype" w:cstheme="minorHAnsi"/>
          <w:szCs w:val="22"/>
        </w:rPr>
        <w:t>Esto es as</w:t>
      </w:r>
      <w:r>
        <w:rPr>
          <w:rFonts w:ascii="Palatino Linotype" w:hAnsi="Palatino Linotype" w:cstheme="minorHAnsi"/>
          <w:szCs w:val="22"/>
        </w:rPr>
        <w:t>í</w:t>
      </w:r>
      <w:r w:rsidRPr="00B770CB">
        <w:rPr>
          <w:rFonts w:ascii="Palatino Linotype" w:hAnsi="Palatino Linotype" w:cstheme="minorHAnsi"/>
          <w:szCs w:val="22"/>
        </w:rPr>
        <w:t xml:space="preserve"> en razón a que si bien es cierto es indispensable que la sociedad se haga conocedora de la in</w:t>
      </w:r>
      <w:r>
        <w:rPr>
          <w:rFonts w:ascii="Palatino Linotype" w:hAnsi="Palatino Linotype" w:cstheme="minorHAnsi"/>
          <w:szCs w:val="22"/>
        </w:rPr>
        <w:t>formación peticionada de origen</w:t>
      </w:r>
      <w:r w:rsidRPr="00B770CB">
        <w:rPr>
          <w:rFonts w:ascii="Palatino Linotype" w:hAnsi="Palatino Linotype" w:cstheme="minorHAnsi"/>
          <w:szCs w:val="22"/>
        </w:rPr>
        <w:t xml:space="preserve"> también lo es que existen casos excepcionales, en donde debe privilegiarse un bien tutelado mayor y en su caso </w:t>
      </w:r>
      <w:r w:rsidRPr="00B770CB">
        <w:rPr>
          <w:rFonts w:ascii="Palatino Linotype" w:hAnsi="Palatino Linotype" w:cstheme="minorHAnsi"/>
          <w:szCs w:val="22"/>
        </w:rPr>
        <w:lastRenderedPageBreak/>
        <w:t>clasificar información por</w:t>
      </w:r>
      <w:r>
        <w:rPr>
          <w:rFonts w:ascii="Palatino Linotype" w:hAnsi="Palatino Linotype" w:cstheme="minorHAnsi"/>
          <w:szCs w:val="22"/>
        </w:rPr>
        <w:t xml:space="preserve"> c</w:t>
      </w:r>
      <w:r w:rsidRPr="00B770CB">
        <w:rPr>
          <w:rFonts w:ascii="Palatino Linotype" w:hAnsi="Palatino Linotype" w:cstheme="minorHAnsi"/>
          <w:szCs w:val="22"/>
        </w:rPr>
        <w:t>uestiones de interés público, como es la seguridad pública y la consecución de la investigación</w:t>
      </w:r>
      <w:r>
        <w:rPr>
          <w:rFonts w:ascii="Palatino Linotype" w:hAnsi="Palatino Linotype" w:cstheme="minorHAnsi"/>
          <w:szCs w:val="22"/>
        </w:rPr>
        <w:t xml:space="preserve"> </w:t>
      </w:r>
      <w:r w:rsidRPr="00B770CB">
        <w:rPr>
          <w:rFonts w:ascii="Palatino Linotype" w:hAnsi="Palatino Linotype" w:cstheme="minorHAnsi"/>
          <w:szCs w:val="22"/>
        </w:rPr>
        <w:t>de probables hechos delictivos y/o faltas administrativas.</w:t>
      </w:r>
    </w:p>
    <w:p w:rsidR="0095353F" w:rsidRDefault="0095353F" w:rsidP="00FA7F47">
      <w:pPr>
        <w:pStyle w:val="Sinespaciado"/>
        <w:spacing w:before="240" w:after="240" w:line="360" w:lineRule="auto"/>
        <w:jc w:val="both"/>
        <w:rPr>
          <w:rFonts w:ascii="Palatino Linotype" w:hAnsi="Palatino Linotype" w:cstheme="minorHAnsi"/>
          <w:szCs w:val="22"/>
        </w:rPr>
      </w:pPr>
      <w:r w:rsidRPr="00B770CB">
        <w:rPr>
          <w:rFonts w:ascii="Palatino Linotype" w:hAnsi="Palatino Linotype" w:cstheme="minorHAnsi"/>
          <w:szCs w:val="22"/>
        </w:rPr>
        <w:t>A este respecto, de conformidad con l</w:t>
      </w:r>
      <w:r w:rsidR="00FA7F47">
        <w:rPr>
          <w:rFonts w:ascii="Palatino Linotype" w:hAnsi="Palatino Linotype" w:cstheme="minorHAnsi"/>
          <w:szCs w:val="22"/>
        </w:rPr>
        <w:t>os artículos 91 y 140 fracción VI</w:t>
      </w:r>
      <w:r w:rsidRPr="00B770CB">
        <w:rPr>
          <w:rFonts w:ascii="Palatino Linotype" w:hAnsi="Palatino Linotype" w:cstheme="minorHAnsi"/>
          <w:szCs w:val="22"/>
        </w:rPr>
        <w:t xml:space="preserve"> de la vigente Ley de Transparencia, el derecho constitucional de acceso a la información pública puede ser restringido cuando se t</w:t>
      </w:r>
      <w:r w:rsidR="00FA7F47">
        <w:rPr>
          <w:rFonts w:ascii="Palatino Linotype" w:hAnsi="Palatino Linotype" w:cstheme="minorHAnsi"/>
          <w:szCs w:val="22"/>
        </w:rPr>
        <w:t xml:space="preserve">rate de información clasificada como reservad, cuando pueda causar un daño u obstruya la prevención o persecución de delitos, afecte o vulnere la conducción o los derechos del debido proceso en los procedimientos judiciales o administrativos, incluidos los de quejas, denuncias, responsabilidades administrativas, que no hayan quedado firmes. </w:t>
      </w:r>
      <w:r w:rsidRPr="00B770CB">
        <w:rPr>
          <w:rFonts w:ascii="Palatino Linotype" w:hAnsi="Palatino Linotype" w:cstheme="minorHAnsi"/>
          <w:szCs w:val="22"/>
        </w:rPr>
        <w:t>Sirve de apoyo a lo anterior los artículos de referencia que a continuación se señalan:</w:t>
      </w:r>
    </w:p>
    <w:p w:rsidR="0095353F" w:rsidRPr="00B770CB" w:rsidRDefault="0095353F" w:rsidP="00FA7F47">
      <w:pPr>
        <w:pStyle w:val="Sinespaciado"/>
        <w:spacing w:before="240" w:after="240" w:line="360" w:lineRule="auto"/>
        <w:ind w:left="851" w:right="757"/>
        <w:jc w:val="both"/>
        <w:rPr>
          <w:rFonts w:ascii="Palatino Linotype" w:hAnsi="Palatino Linotype" w:cstheme="minorHAnsi"/>
          <w:i/>
          <w:sz w:val="22"/>
          <w:szCs w:val="22"/>
        </w:rPr>
      </w:pPr>
      <w:r w:rsidRPr="00B770CB">
        <w:rPr>
          <w:rFonts w:ascii="Palatino Linotype" w:hAnsi="Palatino Linotype" w:cstheme="minorHAnsi"/>
          <w:i/>
          <w:sz w:val="22"/>
          <w:szCs w:val="22"/>
        </w:rPr>
        <w:t xml:space="preserve">Artículo 91. El acceso a la información pública será restringido excepcionalmente, cuando ésta sea clasificada como reservada o confidencial. </w:t>
      </w:r>
    </w:p>
    <w:p w:rsidR="0095353F" w:rsidRDefault="0095353F" w:rsidP="00FA7F47">
      <w:pPr>
        <w:pStyle w:val="Sinespaciado"/>
        <w:spacing w:before="240" w:after="240" w:line="360" w:lineRule="auto"/>
        <w:ind w:left="851" w:right="757"/>
        <w:jc w:val="both"/>
        <w:rPr>
          <w:rFonts w:ascii="Palatino Linotype" w:hAnsi="Palatino Linotype" w:cstheme="minorHAnsi"/>
          <w:i/>
          <w:sz w:val="22"/>
          <w:szCs w:val="22"/>
        </w:rPr>
      </w:pPr>
      <w:r w:rsidRPr="00B770CB">
        <w:rPr>
          <w:rFonts w:ascii="Palatino Linotype" w:hAnsi="Palatino Linotype" w:cstheme="minorHAnsi"/>
          <w:i/>
          <w:sz w:val="22"/>
          <w:szCs w:val="22"/>
        </w:rPr>
        <w:t>Artículo 140. El acceso a la información pública será restringido excepcionalmente, cuando por razones de interés público, ésta sea clasificada como reservada, conforme a los criterios siguientes:</w:t>
      </w:r>
    </w:p>
    <w:p w:rsidR="00FA7F47" w:rsidRPr="00027EBB" w:rsidRDefault="00FA7F47" w:rsidP="00FA7F47">
      <w:pPr>
        <w:spacing w:before="240" w:after="240" w:line="360" w:lineRule="auto"/>
        <w:ind w:left="708"/>
        <w:jc w:val="both"/>
        <w:rPr>
          <w:rFonts w:ascii="Palatino Linotype" w:hAnsi="Palatino Linotype"/>
          <w:i/>
        </w:rPr>
      </w:pPr>
      <w:r>
        <w:rPr>
          <w:rFonts w:ascii="Palatino Linotype" w:hAnsi="Palatino Linotype"/>
          <w:i/>
        </w:rPr>
        <w:t>……….</w:t>
      </w:r>
    </w:p>
    <w:p w:rsidR="00FA7F47" w:rsidRDefault="00FA7F47" w:rsidP="00FA7F47">
      <w:pPr>
        <w:spacing w:before="240" w:after="240" w:line="360" w:lineRule="auto"/>
        <w:ind w:left="708"/>
        <w:jc w:val="both"/>
        <w:rPr>
          <w:rFonts w:ascii="Palatino Linotype" w:hAnsi="Palatino Linotype"/>
          <w:i/>
        </w:rPr>
      </w:pPr>
      <w:r w:rsidRPr="00027EBB">
        <w:rPr>
          <w:rFonts w:ascii="Palatino Linotype" w:hAnsi="Palatino Linotype"/>
          <w:i/>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w:t>
      </w:r>
      <w:r w:rsidRPr="00027EBB">
        <w:rPr>
          <w:rFonts w:ascii="Palatino Linotype" w:hAnsi="Palatino Linotype"/>
          <w:i/>
        </w:rPr>
        <w:lastRenderedPageBreak/>
        <w:t>querellante o testigo, así como sus familias, en los términos de las disposiciones jurídicas aplicables;</w:t>
      </w:r>
    </w:p>
    <w:p w:rsidR="00FA7F47" w:rsidRDefault="00FA7F47" w:rsidP="00FA7F47">
      <w:pPr>
        <w:spacing w:before="240" w:after="240" w:line="360" w:lineRule="auto"/>
        <w:ind w:left="708"/>
        <w:jc w:val="both"/>
        <w:rPr>
          <w:rFonts w:ascii="Palatino Linotype" w:hAnsi="Palatino Linotype"/>
          <w:i/>
        </w:rPr>
      </w:pPr>
      <w:r>
        <w:rPr>
          <w:rFonts w:ascii="Palatino Linotype" w:hAnsi="Palatino Linotype"/>
          <w:i/>
        </w:rPr>
        <w:t>……….</w:t>
      </w:r>
    </w:p>
    <w:p w:rsidR="00FA7F47" w:rsidRDefault="00FA7F47" w:rsidP="00FA7F47">
      <w:pPr>
        <w:pStyle w:val="Sinespaciado"/>
        <w:spacing w:line="360" w:lineRule="auto"/>
        <w:jc w:val="both"/>
        <w:rPr>
          <w:rFonts w:ascii="Palatino Linotype" w:hAnsi="Palatino Linotype" w:cstheme="minorHAnsi"/>
          <w:szCs w:val="22"/>
        </w:rPr>
      </w:pPr>
      <w:r w:rsidRPr="00B770CB">
        <w:rPr>
          <w:rFonts w:ascii="Palatino Linotype" w:hAnsi="Palatino Linotype" w:cstheme="minorHAnsi"/>
          <w:szCs w:val="22"/>
        </w:rPr>
        <w:t xml:space="preserve">Así, como ha quedado apuntado, el derecho de acceso a la información pública puede ser restringido cuando se trate de información clasificada como reservada, delimitando una serie de hipótesis de hecho en las cuales descansa la posibilidad de reserva de información. </w:t>
      </w:r>
    </w:p>
    <w:p w:rsidR="00027EBB" w:rsidRPr="00FA7F47" w:rsidRDefault="007D2D7F" w:rsidP="00FA7F47">
      <w:pPr>
        <w:spacing w:before="240" w:after="240" w:line="360" w:lineRule="auto"/>
        <w:jc w:val="both"/>
        <w:rPr>
          <w:rFonts w:ascii="Palatino Linotype" w:hAnsi="Palatino Linotype" w:cs="Arial"/>
          <w:sz w:val="24"/>
          <w:szCs w:val="20"/>
        </w:rPr>
      </w:pPr>
      <w:r>
        <w:rPr>
          <w:rFonts w:ascii="Palatino Linotype" w:hAnsi="Palatino Linotype" w:cs="Arial"/>
          <w:sz w:val="24"/>
          <w:szCs w:val="20"/>
        </w:rPr>
        <w:t xml:space="preserve">Bajo tales argumentos, se puede observar que del acuerdo </w:t>
      </w:r>
      <w:r w:rsidRPr="00A90249">
        <w:rPr>
          <w:rFonts w:ascii="Palatino Linotype" w:hAnsi="Palatino Linotype" w:cs="Arial"/>
          <w:b/>
          <w:sz w:val="24"/>
          <w:szCs w:val="20"/>
        </w:rPr>
        <w:t>004/CUAUTIZC/DGDM/2019</w:t>
      </w:r>
      <w:r w:rsidR="00A90249">
        <w:rPr>
          <w:rFonts w:ascii="Palatino Linotype" w:hAnsi="Palatino Linotype" w:cs="Arial"/>
          <w:b/>
          <w:sz w:val="24"/>
          <w:szCs w:val="20"/>
        </w:rPr>
        <w:t xml:space="preserve">, </w:t>
      </w:r>
      <w:r w:rsidR="00A90249">
        <w:rPr>
          <w:rFonts w:ascii="Palatino Linotype" w:hAnsi="Palatino Linotype" w:cs="Arial"/>
          <w:sz w:val="24"/>
          <w:szCs w:val="20"/>
        </w:rPr>
        <w:t xml:space="preserve">emitido por el Comité de Transparencia, encuadra con la hipótesis de la fracción VI del numeral 140 de la Ley de Transparencia y Acceso a la Información </w:t>
      </w:r>
      <w:proofErr w:type="spellStart"/>
      <w:r w:rsidR="00A90249">
        <w:rPr>
          <w:rFonts w:ascii="Palatino Linotype" w:hAnsi="Palatino Linotype" w:cs="Arial"/>
          <w:sz w:val="24"/>
          <w:szCs w:val="20"/>
        </w:rPr>
        <w:t>Publica</w:t>
      </w:r>
      <w:proofErr w:type="spellEnd"/>
      <w:r w:rsidR="00A90249">
        <w:rPr>
          <w:rFonts w:ascii="Palatino Linotype" w:hAnsi="Palatino Linotype" w:cs="Arial"/>
          <w:sz w:val="24"/>
          <w:szCs w:val="20"/>
        </w:rPr>
        <w:t xml:space="preserve"> del Estado de México</w:t>
      </w:r>
      <w:r w:rsidR="00FA7F47">
        <w:rPr>
          <w:rFonts w:ascii="Palatino Linotype" w:hAnsi="Palatino Linotype" w:cs="Arial"/>
          <w:sz w:val="24"/>
          <w:szCs w:val="20"/>
        </w:rPr>
        <w:t xml:space="preserve"> y Municipios, por lo que la petición del recurrente se tiene por satisfecha, ya que el sujeto obligado </w:t>
      </w:r>
      <w:r w:rsidR="004677E6">
        <w:rPr>
          <w:rFonts w:ascii="Palatino Linotype" w:hAnsi="Palatino Linotype" w:cs="Arial"/>
          <w:sz w:val="24"/>
          <w:szCs w:val="20"/>
        </w:rPr>
        <w:t>remitió</w:t>
      </w:r>
      <w:r w:rsidR="00FA7F47">
        <w:rPr>
          <w:rFonts w:ascii="Palatino Linotype" w:hAnsi="Palatino Linotype" w:cs="Arial"/>
          <w:sz w:val="24"/>
          <w:szCs w:val="20"/>
        </w:rPr>
        <w:t xml:space="preserve"> el acuerdo que sustenta la clasificación, de conformidad con los numerales </w:t>
      </w:r>
      <w:r w:rsidR="00FA7F47" w:rsidRPr="00B770CB">
        <w:rPr>
          <w:rFonts w:ascii="Palatino Linotype" w:hAnsi="Palatino Linotype" w:cstheme="minorHAnsi"/>
        </w:rPr>
        <w:t>122, 125, 128, 129, 130, 131, 132 fracción II, 134</w:t>
      </w:r>
      <w:r w:rsidR="00FA7F47">
        <w:rPr>
          <w:rFonts w:ascii="Palatino Linotype" w:hAnsi="Palatino Linotype" w:cstheme="minorHAnsi"/>
        </w:rPr>
        <w:t xml:space="preserve"> de la multicitada Ley.</w:t>
      </w:r>
    </w:p>
    <w:p w:rsidR="008E7408" w:rsidRPr="00C24DBE" w:rsidRDefault="00C24DBE" w:rsidP="008E7408">
      <w:pPr>
        <w:spacing w:before="240" w:after="240" w:line="360" w:lineRule="auto"/>
        <w:jc w:val="both"/>
        <w:rPr>
          <w:rFonts w:ascii="Palatino Linotype" w:hAnsi="Palatino Linotype" w:cs="Arial"/>
          <w:sz w:val="24"/>
          <w:szCs w:val="20"/>
        </w:rPr>
      </w:pPr>
      <w:r w:rsidRPr="008158D8">
        <w:rPr>
          <w:rFonts w:ascii="Palatino Linotype" w:hAnsi="Palatino Linotype" w:cs="Arial"/>
          <w:sz w:val="24"/>
          <w:szCs w:val="20"/>
        </w:rPr>
        <w:t>Atento a ello, se denota a todas luces que el sujeto obligado modifico su respuesta primigenia mediante informe justifica</w:t>
      </w:r>
      <w:r>
        <w:rPr>
          <w:rFonts w:ascii="Palatino Linotype" w:hAnsi="Palatino Linotype" w:cs="Arial"/>
          <w:sz w:val="24"/>
          <w:szCs w:val="20"/>
        </w:rPr>
        <w:t xml:space="preserve">do, </w:t>
      </w:r>
      <w:r>
        <w:rPr>
          <w:rFonts w:ascii="Palatino Linotype" w:hAnsi="Palatino Linotype"/>
          <w:sz w:val="24"/>
          <w:szCs w:val="24"/>
        </w:rPr>
        <w:t>a</w:t>
      </w:r>
      <w:r w:rsidR="008E7408">
        <w:rPr>
          <w:rFonts w:ascii="Palatino Linotype" w:hAnsi="Palatino Linotype"/>
          <w:sz w:val="24"/>
          <w:szCs w:val="24"/>
        </w:rPr>
        <w:t>mén de</w:t>
      </w:r>
      <w:r>
        <w:rPr>
          <w:rFonts w:ascii="Palatino Linotype" w:hAnsi="Palatino Linotype"/>
          <w:sz w:val="24"/>
          <w:szCs w:val="24"/>
        </w:rPr>
        <w:t xml:space="preserve"> que con dicho informe da</w:t>
      </w:r>
      <w:r w:rsidR="008E7408">
        <w:rPr>
          <w:rFonts w:ascii="Palatino Linotype" w:hAnsi="Palatino Linotype"/>
          <w:sz w:val="24"/>
          <w:szCs w:val="24"/>
        </w:rPr>
        <w:t xml:space="preserve"> cumplimiento a la solicitud de información en su totalidad, por lo que lo procedente seria sobreseer el presente recurso de revisión que nos ocupa.</w:t>
      </w:r>
      <w:r w:rsidR="00C23151">
        <w:rPr>
          <w:rFonts w:ascii="Palatino Linotype" w:hAnsi="Palatino Linotype"/>
          <w:sz w:val="24"/>
          <w:szCs w:val="24"/>
        </w:rPr>
        <w:t xml:space="preserve">                                                                                                                                                                                      </w:t>
      </w:r>
    </w:p>
    <w:p w:rsidR="008E7408" w:rsidRDefault="008E7408" w:rsidP="00C24DB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No obstante lo anterior, el sujeto obligado entrego al recurrente la información con la que posee, administra y obra en sus archivos, así también, mediante informe justificado modifico su respuesta complementando la </w:t>
      </w:r>
      <w:r w:rsidR="001F5D0E">
        <w:rPr>
          <w:rFonts w:ascii="Palatino Linotype" w:hAnsi="Palatino Linotype"/>
          <w:sz w:val="24"/>
          <w:szCs w:val="24"/>
        </w:rPr>
        <w:t>información</w:t>
      </w:r>
      <w:r>
        <w:rPr>
          <w:rFonts w:ascii="Palatino Linotype" w:hAnsi="Palatino Linotype"/>
          <w:sz w:val="24"/>
          <w:szCs w:val="24"/>
        </w:rPr>
        <w:t xml:space="preserve"> y remitiendo </w:t>
      </w:r>
      <w:r w:rsidR="00C24DBE">
        <w:rPr>
          <w:rFonts w:ascii="Palatino Linotype" w:hAnsi="Palatino Linotype"/>
          <w:sz w:val="24"/>
          <w:szCs w:val="24"/>
        </w:rPr>
        <w:t xml:space="preserve">el </w:t>
      </w:r>
      <w:r w:rsidR="00C24DBE">
        <w:rPr>
          <w:rFonts w:ascii="Palatino Linotype" w:hAnsi="Palatino Linotype"/>
          <w:sz w:val="24"/>
          <w:szCs w:val="24"/>
        </w:rPr>
        <w:lastRenderedPageBreak/>
        <w:t>acuerdo que sustenta la reserva de la información</w:t>
      </w:r>
      <w:r w:rsidR="001F5D0E">
        <w:rPr>
          <w:rFonts w:ascii="Palatino Linotype" w:hAnsi="Palatino Linotype"/>
          <w:sz w:val="24"/>
          <w:szCs w:val="24"/>
        </w:rPr>
        <w:t>,</w:t>
      </w:r>
      <w:r>
        <w:rPr>
          <w:rFonts w:ascii="Palatino Linotype" w:hAnsi="Palatino Linotype"/>
          <w:sz w:val="24"/>
          <w:szCs w:val="24"/>
        </w:rPr>
        <w:t xml:space="preserve"> por lo que se entiende para este órgano garante que ya satisfizo el derecho accionado por la parte solicitante.</w:t>
      </w:r>
    </w:p>
    <w:p w:rsidR="00852141" w:rsidRPr="00C24DBE" w:rsidRDefault="00852141" w:rsidP="00C24DBE">
      <w:pPr>
        <w:autoSpaceDE w:val="0"/>
        <w:autoSpaceDN w:val="0"/>
        <w:adjustRightInd w:val="0"/>
        <w:spacing w:before="240" w:line="360" w:lineRule="auto"/>
        <w:jc w:val="both"/>
        <w:rPr>
          <w:rFonts w:ascii="Palatino Linotype" w:eastAsia="Calibri" w:hAnsi="Palatino Linotype" w:cs="Times New Roman"/>
          <w:sz w:val="24"/>
        </w:rPr>
      </w:pPr>
      <w:r w:rsidRPr="007D0B2C">
        <w:rPr>
          <w:rFonts w:ascii="Palatino Linotype" w:eastAsia="Calibri" w:hAnsi="Palatino Linotype" w:cs="Times New Roman"/>
          <w:sz w:val="24"/>
        </w:rPr>
        <w:t xml:space="preserve">Finalmente podemos concluir que las manifestaciones vertidas por el </w:t>
      </w:r>
      <w:r w:rsidRPr="00C24DBE">
        <w:rPr>
          <w:rFonts w:ascii="Palatino Linotype" w:eastAsia="Calibri" w:hAnsi="Palatino Linotype" w:cs="Times New Roman"/>
          <w:sz w:val="24"/>
        </w:rPr>
        <w:t xml:space="preserve">sujeto obligado resultan fundadas, atendiendo a las consideraciones de hecho y de derecho precisadas en líneas anteriores, en ese sentido se </w:t>
      </w:r>
      <w:r w:rsidRPr="00C24DBE">
        <w:rPr>
          <w:rFonts w:ascii="Palatino Linotype" w:hAnsi="Palatino Linotype" w:cs="Arial"/>
          <w:sz w:val="24"/>
        </w:rPr>
        <w:t>actualiza lo consagrado en la fracción III del artículo 192, de la Ley de Transparencia y Acceso a la Información Pública del Estado de México y Municipios vigente, que a la letra señala:</w:t>
      </w:r>
    </w:p>
    <w:p w:rsidR="00852141" w:rsidRPr="004838C5" w:rsidRDefault="00852141" w:rsidP="00852141">
      <w:pPr>
        <w:pStyle w:val="Prrafodelista"/>
        <w:autoSpaceDE w:val="0"/>
        <w:autoSpaceDN w:val="0"/>
        <w:adjustRightInd w:val="0"/>
        <w:ind w:left="567" w:right="567"/>
        <w:jc w:val="both"/>
        <w:rPr>
          <w:rFonts w:ascii="Palatino Linotype" w:hAnsi="Palatino Linotype" w:cs="Arial"/>
          <w:i/>
          <w:sz w:val="22"/>
          <w:szCs w:val="22"/>
        </w:rPr>
      </w:pPr>
      <w:r w:rsidRPr="004838C5">
        <w:rPr>
          <w:rFonts w:ascii="Palatino Linotype" w:hAnsi="Palatino Linotype" w:cs="Arial"/>
          <w:b/>
          <w:bCs/>
          <w:i/>
          <w:sz w:val="22"/>
          <w:szCs w:val="22"/>
        </w:rPr>
        <w:t xml:space="preserve">“Artículo 192. </w:t>
      </w:r>
      <w:r w:rsidRPr="004838C5">
        <w:rPr>
          <w:rFonts w:ascii="Palatino Linotype" w:hAnsi="Palatino Linotype" w:cs="Arial"/>
          <w:i/>
          <w:sz w:val="22"/>
          <w:szCs w:val="22"/>
        </w:rPr>
        <w:t>El recurso será sobreseído, en todo o en parte, cuando una vez admitido, se actualicen alguno de los siguientes supuestos:</w:t>
      </w:r>
    </w:p>
    <w:p w:rsidR="00852141" w:rsidRPr="004838C5" w:rsidRDefault="00852141" w:rsidP="00852141">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 </w:t>
      </w:r>
      <w:r w:rsidRPr="004838C5">
        <w:rPr>
          <w:rFonts w:ascii="Palatino Linotype" w:hAnsi="Palatino Linotype" w:cs="Arial"/>
          <w:i/>
        </w:rPr>
        <w:t>El recurrente se desista expresamente del recurso;</w:t>
      </w:r>
    </w:p>
    <w:p w:rsidR="00852141" w:rsidRPr="004838C5" w:rsidRDefault="00852141" w:rsidP="00852141">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II. </w:t>
      </w:r>
      <w:r w:rsidRPr="004838C5">
        <w:rPr>
          <w:rFonts w:ascii="Palatino Linotype" w:hAnsi="Palatino Linotype" w:cs="Arial"/>
          <w:i/>
        </w:rPr>
        <w:t>El recurrente fallezca o, tratándose de personas jurídicas colectivas, se disuelva;</w:t>
      </w:r>
    </w:p>
    <w:p w:rsidR="00852141" w:rsidRPr="004838C5" w:rsidRDefault="00852141" w:rsidP="00852141">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III. </w:t>
      </w:r>
      <w:r w:rsidRPr="004838C5">
        <w:rPr>
          <w:rFonts w:ascii="Palatino Linotype" w:hAnsi="Palatino Linotype" w:cs="Arial"/>
          <w:i/>
          <w:u w:val="single"/>
        </w:rPr>
        <w:t xml:space="preserve">El sujeto obligado responsable del acto lo </w:t>
      </w:r>
      <w:r w:rsidRPr="004838C5">
        <w:rPr>
          <w:rFonts w:ascii="Palatino Linotype" w:hAnsi="Palatino Linotype" w:cs="Arial"/>
          <w:b/>
          <w:i/>
          <w:u w:val="single"/>
        </w:rPr>
        <w:t>modifique</w:t>
      </w:r>
      <w:r w:rsidRPr="004838C5">
        <w:rPr>
          <w:rFonts w:ascii="Palatino Linotype" w:hAnsi="Palatino Linotype" w:cs="Arial"/>
          <w:i/>
          <w:u w:val="single"/>
        </w:rPr>
        <w:t xml:space="preserve"> o revoque de tal manera que el recurso de revisión quede sin materia;</w:t>
      </w:r>
    </w:p>
    <w:p w:rsidR="00852141" w:rsidRPr="004838C5" w:rsidRDefault="00852141" w:rsidP="00852141">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IV. </w:t>
      </w:r>
      <w:r w:rsidRPr="004838C5">
        <w:rPr>
          <w:rFonts w:ascii="Palatino Linotype" w:hAnsi="Palatino Linotype" w:cs="Arial"/>
          <w:i/>
        </w:rPr>
        <w:t>Admitido el recurso de revisión, aparezca alguna causal de improcedencia en los términos de la presente Ley; y</w:t>
      </w:r>
    </w:p>
    <w:p w:rsidR="00852141" w:rsidRPr="004838C5" w:rsidRDefault="00852141" w:rsidP="00852141">
      <w:pPr>
        <w:pStyle w:val="Prrafodelista"/>
        <w:autoSpaceDE w:val="0"/>
        <w:autoSpaceDN w:val="0"/>
        <w:adjustRightInd w:val="0"/>
        <w:ind w:left="567" w:right="567"/>
        <w:jc w:val="both"/>
        <w:rPr>
          <w:rFonts w:ascii="Palatino Linotype" w:hAnsi="Palatino Linotype" w:cs="Arial"/>
          <w:i/>
          <w:sz w:val="22"/>
          <w:szCs w:val="22"/>
          <w:lang w:val="es-MX"/>
        </w:rPr>
      </w:pPr>
      <w:r w:rsidRPr="004838C5">
        <w:rPr>
          <w:rFonts w:ascii="Palatino Linotype" w:hAnsi="Palatino Linotype" w:cs="Arial"/>
          <w:b/>
          <w:bCs/>
          <w:i/>
          <w:sz w:val="22"/>
          <w:szCs w:val="22"/>
          <w:lang w:val="es-MX"/>
        </w:rPr>
        <w:t>V</w:t>
      </w:r>
      <w:r w:rsidRPr="004838C5">
        <w:rPr>
          <w:rFonts w:ascii="Palatino Linotype" w:hAnsi="Palatino Linotype" w:cs="Arial"/>
          <w:bCs/>
          <w:i/>
          <w:sz w:val="22"/>
          <w:szCs w:val="22"/>
          <w:lang w:val="es-MX"/>
        </w:rPr>
        <w:t xml:space="preserve">. </w:t>
      </w:r>
      <w:r w:rsidRPr="004838C5">
        <w:rPr>
          <w:rFonts w:ascii="Palatino Linotype" w:hAnsi="Palatino Linotype" w:cs="Arial"/>
          <w:i/>
          <w:sz w:val="22"/>
          <w:szCs w:val="22"/>
          <w:lang w:val="es-MX"/>
        </w:rPr>
        <w:t>Cuando por cualquier motivo quede sin materia el recurso.</w:t>
      </w:r>
    </w:p>
    <w:p w:rsidR="00852141" w:rsidRDefault="00852141" w:rsidP="00852141">
      <w:pPr>
        <w:pStyle w:val="Prrafodelista"/>
        <w:autoSpaceDE w:val="0"/>
        <w:autoSpaceDN w:val="0"/>
        <w:adjustRightInd w:val="0"/>
        <w:ind w:left="567" w:right="567"/>
        <w:jc w:val="both"/>
        <w:rPr>
          <w:rFonts w:ascii="Palatino Linotype" w:hAnsi="Palatino Linotype" w:cs="Arial"/>
          <w:sz w:val="22"/>
          <w:szCs w:val="22"/>
          <w:lang w:val="es-MX"/>
        </w:rPr>
      </w:pPr>
    </w:p>
    <w:p w:rsidR="00852141" w:rsidRPr="004838C5" w:rsidRDefault="00852141" w:rsidP="00852141">
      <w:pPr>
        <w:pStyle w:val="Prrafodelista"/>
        <w:autoSpaceDE w:val="0"/>
        <w:autoSpaceDN w:val="0"/>
        <w:adjustRightInd w:val="0"/>
        <w:ind w:left="567" w:right="567"/>
        <w:jc w:val="right"/>
        <w:rPr>
          <w:rFonts w:ascii="Palatino Linotype" w:hAnsi="Palatino Linotype" w:cs="Arial"/>
          <w:sz w:val="22"/>
          <w:szCs w:val="22"/>
          <w:lang w:val="es-MX"/>
        </w:rPr>
      </w:pPr>
      <w:r>
        <w:rPr>
          <w:rFonts w:ascii="Palatino Linotype" w:hAnsi="Palatino Linotype" w:cs="Arial"/>
          <w:sz w:val="22"/>
          <w:szCs w:val="22"/>
          <w:lang w:val="es-MX"/>
        </w:rPr>
        <w:t>(Énfasis añadido)</w:t>
      </w:r>
    </w:p>
    <w:p w:rsidR="00852141" w:rsidRPr="00955E7F" w:rsidRDefault="00852141" w:rsidP="00852141">
      <w:pPr>
        <w:pStyle w:val="Prrafodelista"/>
        <w:autoSpaceDE w:val="0"/>
        <w:autoSpaceDN w:val="0"/>
        <w:adjustRightInd w:val="0"/>
        <w:spacing w:line="360" w:lineRule="auto"/>
        <w:ind w:right="616"/>
        <w:jc w:val="both"/>
        <w:rPr>
          <w:rFonts w:ascii="Palatino Linotype" w:hAnsi="Palatino Linotype" w:cs="Arial"/>
          <w:b/>
          <w:i/>
        </w:rPr>
      </w:pPr>
    </w:p>
    <w:p w:rsidR="00852141" w:rsidRPr="004838C5" w:rsidRDefault="00852141" w:rsidP="00852141">
      <w:pPr>
        <w:spacing w:line="360" w:lineRule="auto"/>
        <w:jc w:val="both"/>
        <w:rPr>
          <w:rFonts w:ascii="Palatino Linotype" w:eastAsia="Batang" w:hAnsi="Palatino Linotype" w:cs="Arial"/>
        </w:rPr>
      </w:pPr>
      <w:r w:rsidRPr="007D0B2C">
        <w:rPr>
          <w:rFonts w:ascii="Palatino Linotype" w:hAnsi="Palatino Linotype"/>
          <w:sz w:val="24"/>
        </w:rPr>
        <w:t xml:space="preserve">Artículo que establece en su fracción </w:t>
      </w:r>
      <w:r w:rsidRPr="007D0B2C">
        <w:rPr>
          <w:rFonts w:ascii="Palatino Linotype" w:hAnsi="Palatino Linotype" w:cs="Arial"/>
          <w:sz w:val="24"/>
        </w:rPr>
        <w:t xml:space="preserve">III del artículo 192 </w:t>
      </w:r>
      <w:r w:rsidRPr="007D0B2C">
        <w:rPr>
          <w:rFonts w:ascii="Palatino Linotype" w:eastAsia="Batang" w:hAnsi="Palatino Linotype" w:cs="Arial"/>
          <w:sz w:val="24"/>
        </w:rPr>
        <w:t xml:space="preserve">de la Ley de Transparencia y Acceso a la Información Pública del Estado de México y Municipios, la procedencia para sobreseer el recurso de revisión cuando el </w:t>
      </w:r>
      <w:r w:rsidRPr="00C24DBE">
        <w:rPr>
          <w:rFonts w:ascii="Palatino Linotype" w:eastAsia="Batang" w:hAnsi="Palatino Linotype" w:cs="Arial"/>
          <w:sz w:val="24"/>
        </w:rPr>
        <w:t>sujeto obligado</w:t>
      </w:r>
      <w:r w:rsidRPr="007D0B2C">
        <w:rPr>
          <w:rFonts w:ascii="Palatino Linotype" w:eastAsia="Batang" w:hAnsi="Palatino Linotype" w:cs="Arial"/>
          <w:sz w:val="24"/>
        </w:rPr>
        <w:t xml:space="preserve"> mediante un acto posterior, revoque o modifique el acto de origen del recurso de tal manera que se quede sin materia.</w:t>
      </w:r>
    </w:p>
    <w:p w:rsidR="00852141" w:rsidRPr="007D0B2C" w:rsidRDefault="00852141" w:rsidP="00852141">
      <w:pPr>
        <w:spacing w:line="360" w:lineRule="auto"/>
        <w:jc w:val="both"/>
        <w:rPr>
          <w:rFonts w:ascii="Palatino Linotype" w:eastAsia="Batang" w:hAnsi="Palatino Linotype" w:cs="Arial"/>
          <w:sz w:val="24"/>
        </w:rPr>
      </w:pPr>
      <w:r w:rsidRPr="007D0B2C">
        <w:rPr>
          <w:rFonts w:ascii="Palatino Linotype" w:eastAsia="Batang" w:hAnsi="Palatino Linotype" w:cs="Arial"/>
          <w:sz w:val="24"/>
          <w:lang w:val="es-ES"/>
        </w:rPr>
        <w:t xml:space="preserve">Por otra parte, la doctrina el sobreseimiento provoca que un procedimiento se suspenda o se resuelva en definitiva sin que se entre al estudio de los agravios o </w:t>
      </w:r>
      <w:r w:rsidRPr="007D0B2C">
        <w:rPr>
          <w:rFonts w:ascii="Palatino Linotype" w:eastAsia="Batang" w:hAnsi="Palatino Linotype" w:cs="Arial"/>
          <w:sz w:val="24"/>
          <w:lang w:val="es-ES"/>
        </w:rPr>
        <w:lastRenderedPageBreak/>
        <w:t>motivos de inconformidad. Este mismo criterio es compartido por el más alto tribunal del país en múltiples jurisprudencias, por lo que a continuación se agrega una de ellas que sirve como orientador en esta resolución:</w:t>
      </w:r>
    </w:p>
    <w:p w:rsidR="00852141" w:rsidRPr="00EE52C9" w:rsidRDefault="00852141" w:rsidP="00852141">
      <w:pPr>
        <w:pStyle w:val="Prrafodelista"/>
        <w:autoSpaceDE w:val="0"/>
        <w:autoSpaceDN w:val="0"/>
        <w:adjustRightInd w:val="0"/>
        <w:ind w:left="567" w:right="567"/>
        <w:jc w:val="both"/>
        <w:rPr>
          <w:rFonts w:ascii="Palatino Linotype" w:eastAsia="Batang" w:hAnsi="Palatino Linotype" w:cs="Arial"/>
          <w:b/>
          <w:i/>
          <w:sz w:val="22"/>
          <w:lang w:val="es-AR"/>
        </w:rPr>
      </w:pPr>
      <w:r w:rsidRPr="00EE52C9">
        <w:rPr>
          <w:rFonts w:ascii="Palatino Linotype" w:eastAsia="Batang" w:hAnsi="Palatino Linotype" w:cs="Arial"/>
          <w:b/>
          <w:i/>
          <w:sz w:val="22"/>
          <w:lang w:val="es-AR"/>
        </w:rPr>
        <w:t>SOBRESEIMIENTO EN EL JUICIO DE AMPARO DIRECTO. IMPIDE EL ESTUDIO DE LAS VIOLACIONES PROCESALES PLANTEADAS EN LOS CONCEPTOS DE VIOLACIÓN.</w:t>
      </w:r>
    </w:p>
    <w:p w:rsidR="00852141" w:rsidRPr="00EE52C9" w:rsidRDefault="00852141" w:rsidP="00852141">
      <w:pPr>
        <w:pStyle w:val="Prrafodelista"/>
        <w:autoSpaceDE w:val="0"/>
        <w:autoSpaceDN w:val="0"/>
        <w:adjustRightInd w:val="0"/>
        <w:ind w:left="567" w:right="567"/>
        <w:jc w:val="both"/>
        <w:rPr>
          <w:rFonts w:ascii="Palatino Linotype" w:eastAsia="Batang" w:hAnsi="Palatino Linotype" w:cs="Arial"/>
          <w:i/>
          <w:sz w:val="22"/>
          <w:lang w:val="es-AR"/>
        </w:rPr>
      </w:pPr>
      <w:r w:rsidRPr="00EE52C9">
        <w:rPr>
          <w:rFonts w:ascii="Palatino Linotype" w:eastAsia="Batang" w:hAnsi="Palatino Linotype" w:cs="Arial"/>
          <w:b/>
          <w:i/>
          <w:sz w:val="22"/>
          <w:lang w:val="es-AR"/>
        </w:rPr>
        <w:t>El sobreseimiento</w:t>
      </w:r>
      <w:r w:rsidRPr="00EE52C9">
        <w:rPr>
          <w:rFonts w:ascii="Palatino Linotype" w:eastAsia="Batang" w:hAnsi="Palatino Linotype" w:cs="Arial"/>
          <w:i/>
          <w:sz w:val="22"/>
          <w:lang w:val="es-AR"/>
        </w:rPr>
        <w:t xml:space="preserve"> en el juicio de amparo directo </w:t>
      </w:r>
      <w:r w:rsidRPr="00EE52C9">
        <w:rPr>
          <w:rFonts w:ascii="Palatino Linotype" w:eastAsia="Batang" w:hAnsi="Palatino Linotype" w:cs="Arial"/>
          <w:b/>
          <w:i/>
          <w:sz w:val="22"/>
          <w:lang w:val="es-AR"/>
        </w:rPr>
        <w:t>provoca la terminación de la controversia planteada</w:t>
      </w:r>
      <w:r w:rsidRPr="00EE52C9">
        <w:rPr>
          <w:rFonts w:ascii="Palatino Linotype" w:eastAsia="Batang" w:hAnsi="Palatino Linotype" w:cs="Arial"/>
          <w:i/>
          <w:sz w:val="22"/>
          <w:lang w:val="es-AR"/>
        </w:rPr>
        <w:t xml:space="preserve"> por el quejoso en la demanda de amparo</w:t>
      </w:r>
      <w:r w:rsidRPr="00EE52C9">
        <w:rPr>
          <w:rFonts w:ascii="Palatino Linotype" w:eastAsia="Batang" w:hAnsi="Palatino Linotype" w:cs="Arial"/>
          <w:b/>
          <w:i/>
          <w:sz w:val="22"/>
          <w:lang w:val="es-AR"/>
        </w:rPr>
        <w:t>, sin hacer un pronunciamiento de fondo sobre la legalidad o ilegalidad de la sentencia reclamada</w:t>
      </w:r>
      <w:r w:rsidRPr="00EE52C9">
        <w:rPr>
          <w:rFonts w:ascii="Palatino Linotype" w:eastAsia="Batang" w:hAnsi="Palatino Linotype" w:cs="Arial"/>
          <w:i/>
          <w:sz w:val="22"/>
          <w:lang w:val="es-AR"/>
        </w:rPr>
        <w:t xml:space="preserve">. </w:t>
      </w:r>
      <w:r w:rsidRPr="00EE52C9">
        <w:rPr>
          <w:rFonts w:ascii="Palatino Linotype" w:eastAsia="Batang" w:hAnsi="Palatino Linotype" w:cs="Arial"/>
          <w:b/>
          <w:i/>
          <w:sz w:val="22"/>
          <w:lang w:val="es-AR"/>
        </w:rPr>
        <w:t xml:space="preserve">Por consiguiente, si al sobreseerse en el juicio de amparo </w:t>
      </w:r>
      <w:r w:rsidRPr="00EE52C9">
        <w:rPr>
          <w:rFonts w:ascii="Palatino Linotype" w:eastAsia="Batang" w:hAnsi="Palatino Linotype" w:cs="Arial"/>
          <w:b/>
          <w:i/>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EE52C9">
        <w:rPr>
          <w:rFonts w:ascii="Palatino Linotype" w:eastAsia="Batang" w:hAnsi="Palatino Linotype" w:cs="Arial"/>
          <w:i/>
          <w:sz w:val="22"/>
          <w:lang w:val="es-AR"/>
        </w:rPr>
        <w:t>.</w:t>
      </w:r>
    </w:p>
    <w:p w:rsidR="00852141" w:rsidRPr="004838C5" w:rsidRDefault="00852141" w:rsidP="00852141">
      <w:pPr>
        <w:pStyle w:val="Prrafodelista"/>
        <w:autoSpaceDE w:val="0"/>
        <w:autoSpaceDN w:val="0"/>
        <w:adjustRightInd w:val="0"/>
        <w:ind w:left="567" w:right="567"/>
        <w:jc w:val="both"/>
        <w:rPr>
          <w:rFonts w:ascii="Palatino Linotype" w:eastAsia="Batang" w:hAnsi="Palatino Linotype" w:cs="Arial"/>
          <w:i/>
          <w:sz w:val="20"/>
          <w:lang w:val="es-AR"/>
        </w:rPr>
      </w:pPr>
      <w:r w:rsidRPr="004838C5">
        <w:rPr>
          <w:rFonts w:ascii="Palatino Linotype" w:eastAsia="Batang" w:hAnsi="Palatino Linotype" w:cs="Arial"/>
          <w:i/>
          <w:sz w:val="20"/>
          <w:lang w:val="es-AR"/>
        </w:rPr>
        <w:t>SÉPTIMO TRIBUNAL COLEGIADO EN MATERIA CIVIL DEL PRIMER CIRCUITO.</w:t>
      </w:r>
    </w:p>
    <w:p w:rsidR="00852141" w:rsidRPr="004838C5" w:rsidRDefault="00852141" w:rsidP="00852141">
      <w:pPr>
        <w:pStyle w:val="Prrafodelista"/>
        <w:autoSpaceDE w:val="0"/>
        <w:autoSpaceDN w:val="0"/>
        <w:adjustRightInd w:val="0"/>
        <w:ind w:left="567" w:right="567"/>
        <w:jc w:val="both"/>
        <w:rPr>
          <w:rFonts w:ascii="Palatino Linotype" w:eastAsia="Batang" w:hAnsi="Palatino Linotype" w:cs="Arial"/>
          <w:i/>
          <w:sz w:val="20"/>
          <w:lang w:val="es-AR"/>
        </w:rPr>
      </w:pPr>
      <w:r w:rsidRPr="004838C5">
        <w:rPr>
          <w:rFonts w:ascii="Palatino Linotype" w:eastAsia="Batang" w:hAnsi="Palatino Linotype" w:cs="Arial"/>
          <w:i/>
          <w:sz w:val="20"/>
          <w:lang w:val="es-AR"/>
        </w:rPr>
        <w:t xml:space="preserve">Amparo directo 699/2008. Mariana Leticia González </w:t>
      </w:r>
      <w:proofErr w:type="spellStart"/>
      <w:r w:rsidRPr="004838C5">
        <w:rPr>
          <w:rFonts w:ascii="Palatino Linotype" w:eastAsia="Batang" w:hAnsi="Palatino Linotype" w:cs="Arial"/>
          <w:i/>
          <w:sz w:val="20"/>
          <w:lang w:val="es-AR"/>
        </w:rPr>
        <w:t>Steele</w:t>
      </w:r>
      <w:proofErr w:type="spellEnd"/>
      <w:r w:rsidRPr="004838C5">
        <w:rPr>
          <w:rFonts w:ascii="Palatino Linotype" w:eastAsia="Batang" w:hAnsi="Palatino Linotype" w:cs="Arial"/>
          <w:i/>
          <w:sz w:val="20"/>
          <w:lang w:val="es-AR"/>
        </w:rPr>
        <w:t>. 13 de noviembre de 2008. Unanimidad de votos. Ponente: Sara Judith Montalvo Trejo. Secretario: Arnulfo Mateos García.</w:t>
      </w:r>
    </w:p>
    <w:p w:rsidR="00852141" w:rsidRPr="00955E7F" w:rsidRDefault="00852141" w:rsidP="00852141">
      <w:pPr>
        <w:pStyle w:val="Prrafodelista"/>
        <w:autoSpaceDE w:val="0"/>
        <w:autoSpaceDN w:val="0"/>
        <w:adjustRightInd w:val="0"/>
        <w:spacing w:line="360" w:lineRule="auto"/>
        <w:ind w:right="616"/>
        <w:jc w:val="both"/>
        <w:rPr>
          <w:rFonts w:ascii="Palatino Linotype" w:eastAsia="Batang" w:hAnsi="Palatino Linotype" w:cs="Arial"/>
          <w:i/>
          <w:lang w:val="es-AR"/>
        </w:rPr>
      </w:pPr>
    </w:p>
    <w:p w:rsidR="00852141" w:rsidRPr="007D0B2C" w:rsidRDefault="00852141" w:rsidP="00852141">
      <w:pPr>
        <w:spacing w:line="360" w:lineRule="auto"/>
        <w:jc w:val="both"/>
        <w:rPr>
          <w:rFonts w:ascii="Palatino Linotype" w:eastAsia="Batang" w:hAnsi="Palatino Linotype" w:cs="Arial"/>
          <w:sz w:val="24"/>
          <w:lang w:val="es-ES"/>
        </w:rPr>
      </w:pPr>
      <w:r w:rsidRPr="007D0B2C">
        <w:rPr>
          <w:rFonts w:ascii="Palatino Linotype" w:eastAsia="Batang" w:hAnsi="Palatino Linotype" w:cs="Arial"/>
          <w:sz w:val="24"/>
          <w:lang w:val="es-ES"/>
        </w:rPr>
        <w:t xml:space="preserve">De este modo, se puede deducir que en las resoluciones dictadas por el Pleno de este Instituto, en las que se decreta el sobreseimiento de un recurso de revisión por la actualización de alguno de los supuestos jurídicos </w:t>
      </w:r>
      <w:r w:rsidRPr="00C24DBE">
        <w:rPr>
          <w:rFonts w:ascii="Palatino Linotype" w:eastAsia="Batang" w:hAnsi="Palatino Linotype" w:cs="Arial"/>
          <w:sz w:val="24"/>
          <w:lang w:val="es-ES"/>
        </w:rPr>
        <w:t>contemplados en el artículo 192 de la Ley de Transparencia y Acceso a la Información Pública del Estado de México y Municipios, nos encontramos ante un sobreseimiento definitivo toda vez que</w:t>
      </w:r>
      <w:r w:rsidRPr="007D0B2C">
        <w:rPr>
          <w:rFonts w:ascii="Palatino Linotype" w:eastAsia="Batang" w:hAnsi="Palatino Linotype" w:cs="Arial"/>
          <w:sz w:val="24"/>
          <w:lang w:val="es-ES"/>
        </w:rPr>
        <w:t xml:space="preserve"> pone fin al procedimiento sin entrar al estudio de fondo del mismo.</w:t>
      </w:r>
    </w:p>
    <w:p w:rsidR="008E7408" w:rsidRPr="000F6AAA" w:rsidRDefault="008E7408" w:rsidP="008E7408">
      <w:pPr>
        <w:spacing w:before="240" w:after="240" w:line="360" w:lineRule="auto"/>
        <w:jc w:val="both"/>
        <w:rPr>
          <w:rFonts w:ascii="Palatino Linotype" w:hAnsi="Palatino Linotype"/>
          <w:sz w:val="24"/>
        </w:rPr>
      </w:pPr>
      <w:r w:rsidRPr="000F6AAA">
        <w:rPr>
          <w:rFonts w:ascii="Palatino Linotype" w:hAnsi="Palatino Linotype"/>
          <w:sz w:val="24"/>
        </w:rPr>
        <w:t>Bajo este tenor, un acto impugnado queda sin efectos, cuando aun existiendo jurídicamente (esto es, que no se ha modificado, ni revocado) ya no genera ninguna consecuencia legal.</w:t>
      </w:r>
    </w:p>
    <w:p w:rsidR="008E7408" w:rsidRPr="000F6AAA" w:rsidRDefault="008E7408" w:rsidP="008E7408">
      <w:pPr>
        <w:spacing w:before="240" w:after="240" w:line="360" w:lineRule="auto"/>
        <w:jc w:val="both"/>
        <w:rPr>
          <w:rFonts w:ascii="Palatino Linotype" w:hAnsi="Palatino Linotype" w:cs="Arial"/>
          <w:sz w:val="24"/>
        </w:rPr>
      </w:pPr>
      <w:r w:rsidRPr="000F6AAA">
        <w:rPr>
          <w:rFonts w:ascii="Palatino Linotype" w:hAnsi="Palatino Linotype"/>
          <w:sz w:val="24"/>
        </w:rPr>
        <w:lastRenderedPageBreak/>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rsidR="00C24DBE" w:rsidRPr="00271BB8" w:rsidRDefault="008E7408" w:rsidP="008E7408">
      <w:pPr>
        <w:spacing w:before="240" w:after="240" w:line="360" w:lineRule="auto"/>
        <w:jc w:val="both"/>
        <w:rPr>
          <w:rFonts w:ascii="Palatino Linotype" w:hAnsi="Palatino Linotype"/>
          <w:sz w:val="24"/>
        </w:rPr>
      </w:pPr>
      <w:r w:rsidRPr="000F6AAA">
        <w:rPr>
          <w:rFonts w:ascii="Palatino Linotype" w:hAnsi="Palatino Linotype"/>
          <w:sz w:val="24"/>
        </w:rPr>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rsidR="008E7408" w:rsidRDefault="008E7408" w:rsidP="008E740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sidR="00C24DBE">
        <w:rPr>
          <w:rFonts w:ascii="Palatino Linotype" w:hAnsi="Palatino Linotype"/>
          <w:sz w:val="24"/>
          <w:szCs w:val="24"/>
        </w:rPr>
        <w:t>improcedentes los</w:t>
      </w:r>
      <w:r w:rsidRPr="00410726">
        <w:rPr>
          <w:rFonts w:ascii="Palatino Linotype" w:hAnsi="Palatino Linotype"/>
          <w:sz w:val="24"/>
          <w:szCs w:val="24"/>
        </w:rPr>
        <w:t xml:space="preserve">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Pr="00041425">
        <w:rPr>
          <w:rFonts w:ascii="Palatino Linotype" w:hAnsi="Palatino Linotype" w:cs="Arial"/>
          <w:b/>
          <w:sz w:val="24"/>
        </w:rPr>
        <w:t>SOBRESEE</w:t>
      </w:r>
      <w:r>
        <w:rPr>
          <w:rFonts w:ascii="Palatino Linotype" w:hAnsi="Palatino Linotype" w:cs="Arial"/>
          <w:b/>
          <w:sz w:val="24"/>
        </w:rPr>
        <w:t xml:space="preserve"> </w:t>
      </w:r>
      <w:r>
        <w:rPr>
          <w:rFonts w:ascii="Palatino Linotype" w:hAnsi="Palatino Linotype" w:cs="Arial"/>
          <w:sz w:val="24"/>
        </w:rPr>
        <w:t xml:space="preserve">el presente recurso de revisión número </w:t>
      </w:r>
      <w:r w:rsidR="00C24DBE">
        <w:rPr>
          <w:rFonts w:ascii="Palatino Linotype" w:hAnsi="Palatino Linotype" w:cs="Arial"/>
          <w:b/>
          <w:bCs/>
          <w:sz w:val="24"/>
          <w:lang w:eastAsia="es-MX"/>
        </w:rPr>
        <w:t>02450</w:t>
      </w:r>
      <w:r w:rsidRPr="00041425">
        <w:rPr>
          <w:rFonts w:ascii="Palatino Linotype" w:hAnsi="Palatino Linotype" w:cs="Arial"/>
          <w:b/>
          <w:bCs/>
          <w:sz w:val="24"/>
          <w:lang w:eastAsia="es-MX"/>
        </w:rPr>
        <w:t>/</w:t>
      </w:r>
      <w:r>
        <w:rPr>
          <w:rFonts w:ascii="Palatino Linotype" w:hAnsi="Palatino Linotype" w:cs="Arial"/>
          <w:b/>
          <w:bCs/>
          <w:sz w:val="24"/>
          <w:lang w:eastAsia="es-MX"/>
        </w:rPr>
        <w:t>INFOEM/IP/RR/201</w:t>
      </w:r>
      <w:r w:rsidR="001F5D0E">
        <w:rPr>
          <w:rFonts w:ascii="Palatino Linotype" w:hAnsi="Palatino Linotype" w:cs="Arial"/>
          <w:b/>
          <w:bCs/>
          <w:sz w:val="24"/>
          <w:lang w:eastAsia="es-MX"/>
        </w:rPr>
        <w:t>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C24DBE" w:rsidRDefault="00C24DBE" w:rsidP="008E7408">
      <w:pPr>
        <w:tabs>
          <w:tab w:val="left" w:pos="709"/>
        </w:tabs>
        <w:spacing w:before="240" w:line="360" w:lineRule="auto"/>
        <w:ind w:right="51"/>
        <w:jc w:val="both"/>
        <w:rPr>
          <w:rFonts w:ascii="Palatino Linotype" w:hAnsi="Palatino Linotype"/>
          <w:sz w:val="24"/>
          <w:szCs w:val="24"/>
        </w:rPr>
      </w:pPr>
    </w:p>
    <w:p w:rsidR="00C24DBE" w:rsidRPr="00CD69DC" w:rsidRDefault="008E7408" w:rsidP="00CD69DC">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E7408" w:rsidRDefault="008E7408" w:rsidP="008E740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8E7408" w:rsidRPr="00921CA9" w:rsidRDefault="008E7408" w:rsidP="008E7408">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Sobresee</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el recurso de revisión número </w:t>
      </w:r>
      <w:r w:rsidR="00C24DBE">
        <w:rPr>
          <w:rFonts w:ascii="Palatino Linotype" w:hAnsi="Palatino Linotype" w:cs="Arial"/>
          <w:b/>
          <w:bCs/>
          <w:sz w:val="24"/>
          <w:lang w:eastAsia="es-MX"/>
        </w:rPr>
        <w:t>02450</w:t>
      </w:r>
      <w:r w:rsidR="001F5D0E" w:rsidRPr="00041425">
        <w:rPr>
          <w:rFonts w:ascii="Palatino Linotype" w:hAnsi="Palatino Linotype" w:cs="Arial"/>
          <w:b/>
          <w:bCs/>
          <w:sz w:val="24"/>
          <w:lang w:eastAsia="es-MX"/>
        </w:rPr>
        <w:t>/</w:t>
      </w:r>
      <w:r w:rsidR="001F5D0E">
        <w:rPr>
          <w:rFonts w:ascii="Palatino Linotype" w:hAnsi="Palatino Linotype" w:cs="Arial"/>
          <w:b/>
          <w:bCs/>
          <w:sz w:val="24"/>
          <w:lang w:eastAsia="es-MX"/>
        </w:rPr>
        <w:t>INFOEM/IP/RR/2019</w:t>
      </w:r>
      <w:r w:rsidRPr="00921CA9">
        <w:rPr>
          <w:rFonts w:ascii="Palatino Linotype" w:eastAsia="Arial Unicode MS" w:hAnsi="Palatino Linotype" w:cs="Arial"/>
          <w:sz w:val="24"/>
          <w:szCs w:val="24"/>
        </w:rPr>
        <w:t xml:space="preserve">, </w:t>
      </w:r>
      <w:r w:rsidRPr="00B0399C">
        <w:rPr>
          <w:rFonts w:ascii="Palatino Linotype" w:eastAsia="Arial Unicode MS" w:hAnsi="Palatino Linotype" w:cs="Arial"/>
          <w:sz w:val="24"/>
          <w:szCs w:val="24"/>
        </w:rPr>
        <w:t xml:space="preserve">porque al modificar la respuesta el recurso de revisión quedó sin materia en términos del </w:t>
      </w:r>
      <w:r w:rsidRPr="00B0399C">
        <w:rPr>
          <w:rFonts w:ascii="Palatino Linotype" w:eastAsia="Arial Unicode MS" w:hAnsi="Palatino Linotype" w:cs="Arial"/>
          <w:b/>
          <w:sz w:val="24"/>
          <w:szCs w:val="24"/>
        </w:rPr>
        <w:t>Considerando Tercero</w:t>
      </w:r>
      <w:r w:rsidRPr="00B0399C">
        <w:rPr>
          <w:rFonts w:ascii="Palatino Linotype" w:eastAsia="Arial Unicode MS" w:hAnsi="Palatino Linotype" w:cs="Arial"/>
          <w:sz w:val="24"/>
          <w:szCs w:val="24"/>
        </w:rPr>
        <w:t xml:space="preserve"> de la presente resolución.</w:t>
      </w:r>
    </w:p>
    <w:p w:rsidR="008E7408" w:rsidRDefault="008E7408" w:rsidP="008E7408">
      <w:pPr>
        <w:spacing w:line="360" w:lineRule="auto"/>
        <w:ind w:right="333"/>
        <w:jc w:val="both"/>
        <w:rPr>
          <w:rFonts w:ascii="Palatino Linotype" w:hAnsi="Palatino Linotype" w:cs="Arial"/>
          <w:sz w:val="24"/>
        </w:rPr>
      </w:pPr>
      <w:r w:rsidRPr="00120192">
        <w:rPr>
          <w:rFonts w:ascii="Palatino Linotype" w:hAnsi="Palatino Linotype"/>
          <w:b/>
          <w:sz w:val="28"/>
        </w:rPr>
        <w:lastRenderedPageBreak/>
        <w:t>SEGUNDO.</w:t>
      </w:r>
      <w:r w:rsidRPr="00120192">
        <w:rPr>
          <w:rFonts w:ascii="Palatino Linotype" w:hAnsi="Palatino Linotype" w:cs="Arial"/>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al </w:t>
      </w:r>
      <w:r w:rsidRPr="00636255">
        <w:rPr>
          <w:rFonts w:ascii="Palatino Linotype" w:hAnsi="Palatino Linotype" w:cs="Arial"/>
          <w:b/>
          <w:sz w:val="24"/>
        </w:rPr>
        <w:t xml:space="preserve">Titular de la Unidad de Transparencia del Sujeto Obligado </w:t>
      </w:r>
    </w:p>
    <w:p w:rsidR="008E7408" w:rsidRDefault="008E7408" w:rsidP="008E7408">
      <w:pPr>
        <w:spacing w:line="360" w:lineRule="auto"/>
        <w:ind w:right="333"/>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El Recurrente</w:t>
      </w:r>
      <w:r>
        <w:rPr>
          <w:rFonts w:ascii="Palatino Linotype" w:hAnsi="Palatino Linotype" w:cs="Arial"/>
          <w:sz w:val="24"/>
        </w:rPr>
        <w:t xml:space="preserve">; así mismo, </w:t>
      </w:r>
      <w:r w:rsidRPr="00141309">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w:t>
      </w:r>
    </w:p>
    <w:p w:rsidR="00C24DBE" w:rsidRDefault="00C24DBE" w:rsidP="008E7408">
      <w:pPr>
        <w:spacing w:line="360" w:lineRule="auto"/>
        <w:ind w:right="333"/>
        <w:jc w:val="both"/>
        <w:rPr>
          <w:rFonts w:ascii="Palatino Linotype" w:hAnsi="Palatino Linotype"/>
          <w:color w:val="222222"/>
          <w:sz w:val="24"/>
          <w:szCs w:val="24"/>
          <w:shd w:val="clear" w:color="auto" w:fill="FFFFFF"/>
          <w:lang w:val="es-ES"/>
        </w:rPr>
      </w:pPr>
    </w:p>
    <w:p w:rsidR="00C24DBE" w:rsidRDefault="0035772D" w:rsidP="008A5E77">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EMITIENDO VOTO PARTICULAR, JOSÉ GUADALUPE LUNA HERNÁNDEZ, JAVIER MARTÍNEZ CRUZ Y LUIS GUSTAVO PARRA NORIEGA EMITIEND</w:t>
      </w:r>
      <w:r w:rsidR="00492CEE">
        <w:rPr>
          <w:rFonts w:ascii="Palatino Linotype" w:hAnsi="Palatino Linotype" w:cs="Arial"/>
          <w:sz w:val="24"/>
          <w:szCs w:val="24"/>
        </w:rPr>
        <w:t>O VOTO PARTICULAR, EN LA VIGÉSIMO CUARTA</w:t>
      </w:r>
      <w:r>
        <w:rPr>
          <w:rFonts w:ascii="Palatino Linotype" w:hAnsi="Palatino Linotype" w:cs="Arial"/>
          <w:sz w:val="24"/>
          <w:szCs w:val="24"/>
        </w:rPr>
        <w:t xml:space="preserve"> SES</w:t>
      </w:r>
      <w:r w:rsidR="00492CEE">
        <w:rPr>
          <w:rFonts w:ascii="Palatino Linotype" w:hAnsi="Palatino Linotype" w:cs="Arial"/>
          <w:sz w:val="24"/>
          <w:szCs w:val="24"/>
        </w:rPr>
        <w:t>IÓN ORDINARIA CELEBRADA EL VEINTISÉIS DE JUNIO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w:t>
      </w:r>
      <w:r w:rsidR="008A5E77">
        <w:rPr>
          <w:rFonts w:ascii="Palatino Linotype" w:hAnsi="Palatino Linotype" w:cs="Arial"/>
          <w:sz w:val="24"/>
          <w:szCs w:val="24"/>
        </w:rPr>
        <w:t>MÍREZ.------------------------</w:t>
      </w:r>
      <w:r>
        <w:rPr>
          <w:rFonts w:ascii="Palatino Linotype" w:hAnsi="Palatino Linotype" w:cs="Arial"/>
          <w:sz w:val="24"/>
          <w:szCs w:val="24"/>
        </w:rPr>
        <w:t>--------------------------------------------------------------------------</w:t>
      </w:r>
      <w:r w:rsidR="00CD69DC">
        <w:rPr>
          <w:rFonts w:ascii="Palatino Linotype" w:hAnsi="Palatino Linotype" w:cs="Arial"/>
          <w:sz w:val="24"/>
          <w:szCs w:val="24"/>
        </w:rPr>
        <w:t>-------------------------------------</w:t>
      </w:r>
      <w:r w:rsidR="00492CEE">
        <w:rPr>
          <w:rFonts w:ascii="Palatino Linotype" w:hAnsi="Palatino Linotype" w:cs="Arial"/>
          <w:sz w:val="24"/>
          <w:szCs w:val="24"/>
        </w:rPr>
        <w:t>------------------</w:t>
      </w:r>
      <w:r w:rsidR="00492CEE">
        <w:rPr>
          <w:rFonts w:ascii="Palatino Linotype" w:hAnsi="Palatino Linotype" w:cs="Arial"/>
          <w:sz w:val="24"/>
          <w:szCs w:val="24"/>
        </w:rPr>
        <w:t>------------------------------------------------------------------------------------------------------------------------------------------------------------------------------------------------------------------------------------------------------------------------------------------------------------------------</w:t>
      </w:r>
      <w:r w:rsidR="00492CEE">
        <w:rPr>
          <w:rFonts w:ascii="Palatino Linotype" w:hAnsi="Palatino Linotype" w:cs="Arial"/>
          <w:sz w:val="24"/>
          <w:szCs w:val="24"/>
        </w:rPr>
        <w:t>-------------------------</w:t>
      </w:r>
      <w:r w:rsidR="00492CEE">
        <w:rPr>
          <w:rFonts w:ascii="Palatino Linotype" w:hAnsi="Palatino Linotype" w:cs="Arial"/>
          <w:sz w:val="24"/>
          <w:szCs w:val="24"/>
        </w:rPr>
        <w:t>--------------------------------------------------------------------------------------------------------------------------------------------------------------------------------------------------------------------------------</w:t>
      </w:r>
      <w:r w:rsidR="00492CEE">
        <w:rPr>
          <w:rFonts w:ascii="Palatino Linotype" w:hAnsi="Palatino Linotype" w:cs="Arial"/>
          <w:sz w:val="24"/>
          <w:szCs w:val="24"/>
        </w:rPr>
        <w:t>----------------------------------------------------------------------------------------</w:t>
      </w:r>
      <w:bookmarkStart w:id="0" w:name="_GoBack"/>
      <w:bookmarkEnd w:id="0"/>
    </w:p>
    <w:p w:rsidR="00C24DBE" w:rsidRDefault="00C24DBE" w:rsidP="008A5E77">
      <w:pPr>
        <w:spacing w:after="0" w:line="360" w:lineRule="auto"/>
        <w:jc w:val="both"/>
        <w:rPr>
          <w:rFonts w:ascii="Palatino Linotype" w:hAnsi="Palatino Linotype" w:cs="Arial"/>
          <w:sz w:val="24"/>
          <w:szCs w:val="24"/>
        </w:rPr>
      </w:pPr>
    </w:p>
    <w:p w:rsidR="008A5E77" w:rsidRDefault="007D0B2C" w:rsidP="008A5E77">
      <w:pPr>
        <w:spacing w:after="0" w:line="360" w:lineRule="auto"/>
        <w:jc w:val="both"/>
        <w:rPr>
          <w:rFonts w:ascii="Palatino Linotype" w:hAnsi="Palatino Linotype"/>
        </w:rPr>
      </w:pPr>
      <w:r>
        <w:rPr>
          <w:rFonts w:ascii="Palatino Linotype" w:hAnsi="Palatino Linotype"/>
        </w:rPr>
        <w:t xml:space="preserve"> </w:t>
      </w: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 xml:space="preserve">catorce </w:t>
      </w:r>
      <w:r w:rsidR="0035772D">
        <w:rPr>
          <w:rFonts w:ascii="Palatino Linotype" w:hAnsi="Palatino Linotype" w:cs="Arial"/>
          <w:sz w:val="16"/>
          <w:szCs w:val="16"/>
        </w:rPr>
        <w:t>de noviembre de dos mil diecinueve</w:t>
      </w:r>
      <w:r w:rsidRPr="002052F6">
        <w:rPr>
          <w:rFonts w:ascii="Palatino Linotype" w:hAnsi="Palatino Linotype" w:cs="Arial"/>
          <w:sz w:val="16"/>
          <w:szCs w:val="16"/>
        </w:rPr>
        <w:t xml:space="preserve">, emitida en el recurso de revisión </w:t>
      </w:r>
      <w:r w:rsidR="008A5E77">
        <w:rPr>
          <w:rFonts w:ascii="Palatino Linotype" w:hAnsi="Palatino Linotype" w:cs="Arial"/>
          <w:bCs/>
          <w:sz w:val="16"/>
          <w:szCs w:val="16"/>
          <w:lang w:eastAsia="es-MX"/>
        </w:rPr>
        <w:t>00820/INFOEM/IP/RR/2019</w:t>
      </w:r>
      <w:r w:rsidRPr="002052F6">
        <w:rPr>
          <w:rFonts w:ascii="Palatino Linotype" w:hAnsi="Palatino Linotype" w:cs="Arial"/>
          <w:sz w:val="16"/>
          <w:szCs w:val="16"/>
        </w:rPr>
        <w:t>.</w:t>
      </w:r>
    </w:p>
    <w:p w:rsidR="00A459D0" w:rsidRDefault="00A459D0" w:rsidP="008A5E77">
      <w:pPr>
        <w:spacing w:after="0"/>
      </w:pPr>
      <w:r w:rsidRPr="002052F6">
        <w:t>ZMS/OSAM/MAEM</w:t>
      </w:r>
    </w:p>
    <w:p w:rsidR="00DD13E2" w:rsidRDefault="00DD13E2" w:rsidP="00A459D0">
      <w:pPr>
        <w:spacing w:after="0" w:line="360" w:lineRule="auto"/>
        <w:jc w:val="both"/>
      </w:pPr>
    </w:p>
    <w:sectPr w:rsidR="00DD13E2" w:rsidSect="00E15E85">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F26" w:rsidRDefault="00527F26" w:rsidP="00E15E85">
      <w:pPr>
        <w:spacing w:after="0" w:line="240" w:lineRule="auto"/>
      </w:pPr>
      <w:r>
        <w:separator/>
      </w:r>
    </w:p>
  </w:endnote>
  <w:endnote w:type="continuationSeparator" w:id="0">
    <w:p w:rsidR="00527F26" w:rsidRDefault="00527F26"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2CE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2CEE">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2CE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2CEE">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F26" w:rsidRDefault="00527F26" w:rsidP="00E15E85">
      <w:pPr>
        <w:spacing w:after="0" w:line="240" w:lineRule="auto"/>
      </w:pPr>
      <w:r>
        <w:separator/>
      </w:r>
    </w:p>
  </w:footnote>
  <w:footnote w:type="continuationSeparator" w:id="0">
    <w:p w:rsidR="00527F26" w:rsidRDefault="00527F26" w:rsidP="00E15E85">
      <w:pPr>
        <w:spacing w:after="0" w:line="240" w:lineRule="auto"/>
      </w:pPr>
      <w:r>
        <w:continuationSeparator/>
      </w:r>
    </w:p>
  </w:footnote>
  <w:footnote w:id="1">
    <w:p w:rsidR="00B04652" w:rsidRPr="00911081" w:rsidRDefault="00B04652"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04652" w:rsidRPr="00911081" w:rsidRDefault="00B04652"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113B53" w:rsidP="0050790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02450</w:t>
          </w:r>
          <w:r w:rsidR="0037311B" w:rsidRPr="0037311B">
            <w:rPr>
              <w:rFonts w:ascii="Palatino Linotype" w:hAnsi="Palatino Linotype" w:cs="Arial"/>
              <w:bCs/>
              <w:sz w:val="24"/>
              <w:lang w:eastAsia="es-MX"/>
            </w:rPr>
            <w:t>/INFOEM/IP/RR/2019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113B53" w:rsidP="00E15E85">
          <w:pPr>
            <w:spacing w:after="120" w:line="256" w:lineRule="auto"/>
            <w:ind w:left="-486" w:right="214" w:firstLine="284"/>
            <w:jc w:val="right"/>
            <w:rPr>
              <w:rFonts w:ascii="Palatino Linotype" w:hAnsi="Palatino Linotype" w:cs="Arial"/>
              <w:szCs w:val="20"/>
            </w:rPr>
          </w:pPr>
          <w:r w:rsidRPr="00113B53">
            <w:rPr>
              <w:rFonts w:ascii="Palatino Linotype" w:hAnsi="Palatino Linotype" w:cs="Arial"/>
              <w:szCs w:val="20"/>
            </w:rPr>
            <w:t>Ayuntamiento de Cuautitlán Izcalli</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4803ED" w:rsidP="00113B53">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113B53">
            <w:rPr>
              <w:rFonts w:ascii="Palatino Linotype" w:hAnsi="Palatino Linotype" w:cs="Arial"/>
              <w:bCs/>
              <w:sz w:val="24"/>
              <w:lang w:eastAsia="es-MX"/>
            </w:rPr>
            <w:t>2450</w:t>
          </w:r>
          <w:r w:rsidR="0037311B" w:rsidRPr="0037311B">
            <w:rPr>
              <w:rFonts w:ascii="Palatino Linotype" w:hAnsi="Palatino Linotype" w:cs="Arial"/>
              <w:bCs/>
              <w:sz w:val="24"/>
              <w:lang w:eastAsia="es-MX"/>
            </w:rPr>
            <w:t>/INFOEM/IP/RR/2019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E15E85" w:rsidP="00E15E85">
          <w:pPr>
            <w:spacing w:after="120" w:line="256" w:lineRule="auto"/>
            <w:ind w:left="-486" w:right="214" w:firstLine="567"/>
            <w:jc w:val="right"/>
            <w:rPr>
              <w:rFonts w:ascii="Palatino Linotype" w:hAnsi="Palatino Linotype" w:cs="Arial"/>
            </w:rPr>
          </w:pP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113B53" w:rsidP="00113B53">
          <w:pPr>
            <w:spacing w:after="120" w:line="256" w:lineRule="auto"/>
            <w:ind w:left="-495" w:right="214" w:firstLine="567"/>
            <w:jc w:val="right"/>
            <w:rPr>
              <w:rFonts w:ascii="Palatino Linotype" w:hAnsi="Palatino Linotype" w:cs="Arial"/>
              <w:szCs w:val="20"/>
            </w:rPr>
          </w:pPr>
          <w:r w:rsidRPr="00113B53">
            <w:rPr>
              <w:rFonts w:ascii="Palatino Linotype" w:hAnsi="Palatino Linotype" w:cs="Arial"/>
              <w:szCs w:val="20"/>
            </w:rPr>
            <w:t>Ayuntamiento de Cuautitlán Izcalli</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FA00F24"/>
    <w:multiLevelType w:val="hybridMultilevel"/>
    <w:tmpl w:val="C0AC107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0B20C0"/>
    <w:multiLevelType w:val="hybridMultilevel"/>
    <w:tmpl w:val="0798CD9A"/>
    <w:lvl w:ilvl="0" w:tplc="4E1624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157DB9"/>
    <w:multiLevelType w:val="hybridMultilevel"/>
    <w:tmpl w:val="18640776"/>
    <w:numStyleLink w:val="Estiloimportado2"/>
  </w:abstractNum>
  <w:abstractNum w:abstractNumId="14" w15:restartNumberingAfterBreak="0">
    <w:nsid w:val="5F672F1C"/>
    <w:multiLevelType w:val="hybridMultilevel"/>
    <w:tmpl w:val="D870E57E"/>
    <w:lvl w:ilvl="0" w:tplc="BB3A4002">
      <w:start w:val="1"/>
      <w:numFmt w:val="upperRoman"/>
      <w:lvlText w:val="%1."/>
      <w:lvlJc w:val="left"/>
      <w:pPr>
        <w:ind w:left="214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5"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7"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6"/>
  </w:num>
  <w:num w:numId="2">
    <w:abstractNumId w:val="3"/>
  </w:num>
  <w:num w:numId="3">
    <w:abstractNumId w:val="12"/>
  </w:num>
  <w:num w:numId="4">
    <w:abstractNumId w:val="7"/>
  </w:num>
  <w:num w:numId="5">
    <w:abstractNumId w:val="13"/>
  </w:num>
  <w:num w:numId="6">
    <w:abstractNumId w:val="4"/>
  </w:num>
  <w:num w:numId="7">
    <w:abstractNumId w:val="18"/>
  </w:num>
  <w:num w:numId="8">
    <w:abstractNumId w:val="9"/>
  </w:num>
  <w:num w:numId="9">
    <w:abstractNumId w:val="5"/>
  </w:num>
  <w:num w:numId="10">
    <w:abstractNumId w:val="17"/>
  </w:num>
  <w:num w:numId="11">
    <w:abstractNumId w:val="6"/>
  </w:num>
  <w:num w:numId="12">
    <w:abstractNumId w:val="8"/>
  </w:num>
  <w:num w:numId="13">
    <w:abstractNumId w:val="1"/>
  </w:num>
  <w:num w:numId="14">
    <w:abstractNumId w:val="0"/>
  </w:num>
  <w:num w:numId="15">
    <w:abstractNumId w:val="2"/>
  </w:num>
  <w:num w:numId="16">
    <w:abstractNumId w:val="15"/>
  </w:num>
  <w:num w:numId="17">
    <w:abstractNumId w:val="10"/>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27EBB"/>
    <w:rsid w:val="0003050E"/>
    <w:rsid w:val="00035F8F"/>
    <w:rsid w:val="00041425"/>
    <w:rsid w:val="00046E4C"/>
    <w:rsid w:val="0004795A"/>
    <w:rsid w:val="00052B19"/>
    <w:rsid w:val="00053ED1"/>
    <w:rsid w:val="00062CBD"/>
    <w:rsid w:val="00073973"/>
    <w:rsid w:val="00074A99"/>
    <w:rsid w:val="00076643"/>
    <w:rsid w:val="00082DF3"/>
    <w:rsid w:val="00091D98"/>
    <w:rsid w:val="000C22EC"/>
    <w:rsid w:val="000C59EE"/>
    <w:rsid w:val="000F019E"/>
    <w:rsid w:val="00113B53"/>
    <w:rsid w:val="0011750A"/>
    <w:rsid w:val="001225D7"/>
    <w:rsid w:val="0012266D"/>
    <w:rsid w:val="00130D58"/>
    <w:rsid w:val="0013463F"/>
    <w:rsid w:val="00152B26"/>
    <w:rsid w:val="0015550A"/>
    <w:rsid w:val="00171BD5"/>
    <w:rsid w:val="0017548E"/>
    <w:rsid w:val="00183623"/>
    <w:rsid w:val="001B066D"/>
    <w:rsid w:val="001B3E5E"/>
    <w:rsid w:val="001C28D0"/>
    <w:rsid w:val="001C3E01"/>
    <w:rsid w:val="001C3F41"/>
    <w:rsid w:val="001C7069"/>
    <w:rsid w:val="001F5D0E"/>
    <w:rsid w:val="002052F6"/>
    <w:rsid w:val="00217E99"/>
    <w:rsid w:val="00223C2F"/>
    <w:rsid w:val="00224181"/>
    <w:rsid w:val="00233D51"/>
    <w:rsid w:val="00240133"/>
    <w:rsid w:val="00253101"/>
    <w:rsid w:val="002606F0"/>
    <w:rsid w:val="0026534C"/>
    <w:rsid w:val="002677ED"/>
    <w:rsid w:val="00273570"/>
    <w:rsid w:val="0028577D"/>
    <w:rsid w:val="00287512"/>
    <w:rsid w:val="002902D7"/>
    <w:rsid w:val="00294D34"/>
    <w:rsid w:val="002A1820"/>
    <w:rsid w:val="002A30B2"/>
    <w:rsid w:val="002A6F17"/>
    <w:rsid w:val="002B067A"/>
    <w:rsid w:val="002B144D"/>
    <w:rsid w:val="002B18B0"/>
    <w:rsid w:val="002B7CD8"/>
    <w:rsid w:val="002C1EC5"/>
    <w:rsid w:val="003011A8"/>
    <w:rsid w:val="003034F4"/>
    <w:rsid w:val="00307041"/>
    <w:rsid w:val="00317581"/>
    <w:rsid w:val="00317B8A"/>
    <w:rsid w:val="00330A95"/>
    <w:rsid w:val="003341B0"/>
    <w:rsid w:val="00334E11"/>
    <w:rsid w:val="00342A59"/>
    <w:rsid w:val="003452FA"/>
    <w:rsid w:val="0034696E"/>
    <w:rsid w:val="003470B1"/>
    <w:rsid w:val="003474F2"/>
    <w:rsid w:val="0035772D"/>
    <w:rsid w:val="00357BFC"/>
    <w:rsid w:val="0037311B"/>
    <w:rsid w:val="0038130C"/>
    <w:rsid w:val="00384AC7"/>
    <w:rsid w:val="00385299"/>
    <w:rsid w:val="0039084D"/>
    <w:rsid w:val="003B465B"/>
    <w:rsid w:val="003C5897"/>
    <w:rsid w:val="004254FE"/>
    <w:rsid w:val="00437C82"/>
    <w:rsid w:val="004677E6"/>
    <w:rsid w:val="004803ED"/>
    <w:rsid w:val="00492244"/>
    <w:rsid w:val="00492CEE"/>
    <w:rsid w:val="004A2BFB"/>
    <w:rsid w:val="004C3693"/>
    <w:rsid w:val="004E6DB3"/>
    <w:rsid w:val="004F05B2"/>
    <w:rsid w:val="00507903"/>
    <w:rsid w:val="00523067"/>
    <w:rsid w:val="00527856"/>
    <w:rsid w:val="00527C6A"/>
    <w:rsid w:val="00527F26"/>
    <w:rsid w:val="005329E8"/>
    <w:rsid w:val="005733EB"/>
    <w:rsid w:val="0057576D"/>
    <w:rsid w:val="00576C26"/>
    <w:rsid w:val="0057783E"/>
    <w:rsid w:val="005820BF"/>
    <w:rsid w:val="005E283C"/>
    <w:rsid w:val="005E6786"/>
    <w:rsid w:val="00611799"/>
    <w:rsid w:val="00614FDD"/>
    <w:rsid w:val="00616784"/>
    <w:rsid w:val="00625D87"/>
    <w:rsid w:val="00631B59"/>
    <w:rsid w:val="00653B08"/>
    <w:rsid w:val="00654B56"/>
    <w:rsid w:val="00673CFD"/>
    <w:rsid w:val="006A08BA"/>
    <w:rsid w:val="006B2E10"/>
    <w:rsid w:val="006C1A4F"/>
    <w:rsid w:val="006C7125"/>
    <w:rsid w:val="006F2EA8"/>
    <w:rsid w:val="00707CD8"/>
    <w:rsid w:val="0071620F"/>
    <w:rsid w:val="00740AC8"/>
    <w:rsid w:val="00755099"/>
    <w:rsid w:val="007654BC"/>
    <w:rsid w:val="0079194D"/>
    <w:rsid w:val="007A0267"/>
    <w:rsid w:val="007C1445"/>
    <w:rsid w:val="007C64C1"/>
    <w:rsid w:val="007D0B2C"/>
    <w:rsid w:val="007D276C"/>
    <w:rsid w:val="007D2D7F"/>
    <w:rsid w:val="007D48FA"/>
    <w:rsid w:val="007D59B4"/>
    <w:rsid w:val="007D62B3"/>
    <w:rsid w:val="007D7D39"/>
    <w:rsid w:val="007E2959"/>
    <w:rsid w:val="008158D8"/>
    <w:rsid w:val="00822061"/>
    <w:rsid w:val="00841990"/>
    <w:rsid w:val="00845C1C"/>
    <w:rsid w:val="00852141"/>
    <w:rsid w:val="00872278"/>
    <w:rsid w:val="00875499"/>
    <w:rsid w:val="0087560D"/>
    <w:rsid w:val="00881D0D"/>
    <w:rsid w:val="008A12F6"/>
    <w:rsid w:val="008A5E77"/>
    <w:rsid w:val="008B34EC"/>
    <w:rsid w:val="008D6D31"/>
    <w:rsid w:val="008E0E21"/>
    <w:rsid w:val="008E5141"/>
    <w:rsid w:val="008E7408"/>
    <w:rsid w:val="008F7A52"/>
    <w:rsid w:val="009306B4"/>
    <w:rsid w:val="00943223"/>
    <w:rsid w:val="0094613F"/>
    <w:rsid w:val="009472E2"/>
    <w:rsid w:val="00950056"/>
    <w:rsid w:val="0095353F"/>
    <w:rsid w:val="00980401"/>
    <w:rsid w:val="009838CD"/>
    <w:rsid w:val="00991CC2"/>
    <w:rsid w:val="00994336"/>
    <w:rsid w:val="00997030"/>
    <w:rsid w:val="009A45B6"/>
    <w:rsid w:val="009A4C2C"/>
    <w:rsid w:val="009B76BF"/>
    <w:rsid w:val="009C75A5"/>
    <w:rsid w:val="009E3B36"/>
    <w:rsid w:val="009F7948"/>
    <w:rsid w:val="00A209C7"/>
    <w:rsid w:val="00A30977"/>
    <w:rsid w:val="00A459D0"/>
    <w:rsid w:val="00A45C8D"/>
    <w:rsid w:val="00A70873"/>
    <w:rsid w:val="00A90249"/>
    <w:rsid w:val="00A9298D"/>
    <w:rsid w:val="00A92C85"/>
    <w:rsid w:val="00A92D21"/>
    <w:rsid w:val="00A948EF"/>
    <w:rsid w:val="00AA2CB1"/>
    <w:rsid w:val="00AB29CF"/>
    <w:rsid w:val="00AC1D50"/>
    <w:rsid w:val="00AE148E"/>
    <w:rsid w:val="00AF15FD"/>
    <w:rsid w:val="00AF385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4369"/>
    <w:rsid w:val="00BA2458"/>
    <w:rsid w:val="00BA68FA"/>
    <w:rsid w:val="00BC1280"/>
    <w:rsid w:val="00BC1C0A"/>
    <w:rsid w:val="00BC4EF7"/>
    <w:rsid w:val="00BC59B2"/>
    <w:rsid w:val="00BE61E0"/>
    <w:rsid w:val="00C16071"/>
    <w:rsid w:val="00C203E8"/>
    <w:rsid w:val="00C23151"/>
    <w:rsid w:val="00C24DBE"/>
    <w:rsid w:val="00C25BA8"/>
    <w:rsid w:val="00C3114B"/>
    <w:rsid w:val="00C56C4E"/>
    <w:rsid w:val="00C61C1C"/>
    <w:rsid w:val="00C6478B"/>
    <w:rsid w:val="00C64C22"/>
    <w:rsid w:val="00C66E70"/>
    <w:rsid w:val="00C80AEF"/>
    <w:rsid w:val="00CA6DA1"/>
    <w:rsid w:val="00CB7308"/>
    <w:rsid w:val="00CD4B02"/>
    <w:rsid w:val="00CD69DC"/>
    <w:rsid w:val="00D120B9"/>
    <w:rsid w:val="00D24D6B"/>
    <w:rsid w:val="00D5302E"/>
    <w:rsid w:val="00D5453E"/>
    <w:rsid w:val="00D56BC3"/>
    <w:rsid w:val="00D67629"/>
    <w:rsid w:val="00D70FE3"/>
    <w:rsid w:val="00D8485C"/>
    <w:rsid w:val="00D9010D"/>
    <w:rsid w:val="00D95936"/>
    <w:rsid w:val="00DA60C0"/>
    <w:rsid w:val="00DB584E"/>
    <w:rsid w:val="00DC3B85"/>
    <w:rsid w:val="00DD13E2"/>
    <w:rsid w:val="00DE1E27"/>
    <w:rsid w:val="00DF16C4"/>
    <w:rsid w:val="00DF6F40"/>
    <w:rsid w:val="00E104FD"/>
    <w:rsid w:val="00E10DEE"/>
    <w:rsid w:val="00E11EFA"/>
    <w:rsid w:val="00E14924"/>
    <w:rsid w:val="00E158AD"/>
    <w:rsid w:val="00E15E85"/>
    <w:rsid w:val="00E16AC8"/>
    <w:rsid w:val="00E221C1"/>
    <w:rsid w:val="00E30AF5"/>
    <w:rsid w:val="00E34874"/>
    <w:rsid w:val="00E372DA"/>
    <w:rsid w:val="00E44464"/>
    <w:rsid w:val="00E85DB7"/>
    <w:rsid w:val="00E872CE"/>
    <w:rsid w:val="00E87E34"/>
    <w:rsid w:val="00E92E34"/>
    <w:rsid w:val="00EA0D06"/>
    <w:rsid w:val="00EA4B96"/>
    <w:rsid w:val="00EB0246"/>
    <w:rsid w:val="00EC601F"/>
    <w:rsid w:val="00ED3DC4"/>
    <w:rsid w:val="00ED466F"/>
    <w:rsid w:val="00EE5CB5"/>
    <w:rsid w:val="00EF2AE9"/>
    <w:rsid w:val="00F21A2E"/>
    <w:rsid w:val="00F433DC"/>
    <w:rsid w:val="00F73914"/>
    <w:rsid w:val="00F77F57"/>
    <w:rsid w:val="00F812A0"/>
    <w:rsid w:val="00F9756D"/>
    <w:rsid w:val="00FA1D2B"/>
    <w:rsid w:val="00FA7F47"/>
    <w:rsid w:val="00FB0756"/>
    <w:rsid w:val="00FC145E"/>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64992204">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62465438">
      <w:bodyDiv w:val="1"/>
      <w:marLeft w:val="0"/>
      <w:marRight w:val="0"/>
      <w:marTop w:val="0"/>
      <w:marBottom w:val="0"/>
      <w:divBdr>
        <w:top w:val="none" w:sz="0" w:space="0" w:color="auto"/>
        <w:left w:val="none" w:sz="0" w:space="0" w:color="auto"/>
        <w:bottom w:val="none" w:sz="0" w:space="0" w:color="auto"/>
        <w:right w:val="none" w:sz="0" w:space="0" w:color="auto"/>
      </w:divBdr>
    </w:div>
    <w:div w:id="189323151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4587</Words>
  <Characters>25230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2019-06-14T00:26:00Z</cp:lastPrinted>
  <dcterms:created xsi:type="dcterms:W3CDTF">2019-08-21T21:30:00Z</dcterms:created>
  <dcterms:modified xsi:type="dcterms:W3CDTF">2019-08-21T21:30:00Z</dcterms:modified>
</cp:coreProperties>
</file>