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BF" w:rsidRPr="00D4543D" w:rsidRDefault="00252ABF" w:rsidP="00252ABF">
      <w:pPr>
        <w:spacing w:before="100" w:beforeAutospacing="1" w:after="100" w:afterAutospacing="1" w:line="360" w:lineRule="auto"/>
        <w:jc w:val="both"/>
        <w:rPr>
          <w:rFonts w:ascii="Palatino Linotype" w:hAnsi="Palatino Linotype"/>
        </w:rPr>
      </w:pPr>
      <w:r w:rsidRPr="00D4543D">
        <w:rPr>
          <w:rFonts w:ascii="Palatino Linotype" w:hAnsi="Palatino Linotype"/>
        </w:rPr>
        <w:t>Resolución del Pleno del Instituto de Transparencia, Acceso a la Información Pública y Protección de Datos Personales del Estado de México y Municipios, con domicilio en Mete</w:t>
      </w:r>
      <w:r w:rsidR="001C2D86" w:rsidRPr="00D4543D">
        <w:rPr>
          <w:rFonts w:ascii="Palatino Linotype" w:hAnsi="Palatino Linotype"/>
        </w:rPr>
        <w:t>pec, Estado de México, de fecha dieciséis</w:t>
      </w:r>
      <w:r w:rsidR="000718EB" w:rsidRPr="00D4543D">
        <w:rPr>
          <w:rFonts w:ascii="Palatino Linotype" w:hAnsi="Palatino Linotype"/>
        </w:rPr>
        <w:t xml:space="preserve"> de octubre </w:t>
      </w:r>
      <w:r w:rsidRPr="00D4543D">
        <w:rPr>
          <w:rFonts w:ascii="Palatino Linotype" w:hAnsi="Palatino Linotype"/>
        </w:rPr>
        <w:t>de dos mil diecinueve.</w:t>
      </w:r>
    </w:p>
    <w:p w:rsidR="00FC3F3B" w:rsidRPr="00D4543D" w:rsidRDefault="00FC3F3B" w:rsidP="00FC3F3B">
      <w:pPr>
        <w:spacing w:before="100" w:beforeAutospacing="1" w:after="100" w:afterAutospacing="1" w:line="360" w:lineRule="auto"/>
        <w:jc w:val="both"/>
        <w:rPr>
          <w:rFonts w:ascii="Palatino Linotype" w:hAnsi="Palatino Linotype"/>
        </w:rPr>
      </w:pPr>
      <w:r w:rsidRPr="00D4543D">
        <w:rPr>
          <w:rFonts w:ascii="Palatino Linotype" w:hAnsi="Palatino Linotype"/>
          <w:b/>
        </w:rPr>
        <w:t>VISTO</w:t>
      </w:r>
      <w:r w:rsidRPr="00D4543D">
        <w:rPr>
          <w:rFonts w:ascii="Palatino Linotype" w:hAnsi="Palatino Linotype"/>
        </w:rPr>
        <w:t xml:space="preserve"> el expediente formado con motivo del recurso de revisión </w:t>
      </w:r>
      <w:r w:rsidR="00885A27" w:rsidRPr="00D4543D">
        <w:rPr>
          <w:rFonts w:ascii="Palatino Linotype" w:hAnsi="Palatino Linotype"/>
          <w:b/>
        </w:rPr>
        <w:t>06487</w:t>
      </w:r>
      <w:r w:rsidRPr="00D4543D">
        <w:rPr>
          <w:rFonts w:ascii="Palatino Linotype" w:hAnsi="Palatino Linotype"/>
          <w:b/>
        </w:rPr>
        <w:t xml:space="preserve">/INFOEM/IP/RR/2019 </w:t>
      </w:r>
      <w:r w:rsidRPr="00D4543D">
        <w:rPr>
          <w:rFonts w:ascii="Palatino Linotype" w:hAnsi="Palatino Linotype"/>
        </w:rPr>
        <w:t>promovido por</w:t>
      </w:r>
      <w:r w:rsidR="00400D29" w:rsidRPr="00D4543D">
        <w:rPr>
          <w:rFonts w:ascii="Palatino Linotype" w:hAnsi="Palatino Linotype"/>
          <w:b/>
          <w:lang w:val="es-ES_tradnl"/>
        </w:rPr>
        <w:t xml:space="preserve"> </w:t>
      </w:r>
      <w:r w:rsidR="00400D29" w:rsidRPr="00D4543D">
        <w:rPr>
          <w:rFonts w:ascii="Palatino Linotype" w:hAnsi="Palatino Linotype"/>
          <w:lang w:val="es-ES_tradnl"/>
        </w:rPr>
        <w:t>el C.</w:t>
      </w:r>
      <w:r w:rsidR="002510E0">
        <w:rPr>
          <w:rFonts w:ascii="Palatino Linotype" w:hAnsi="Palatino Linotype"/>
          <w:b/>
          <w:lang w:val="es-ES_tradnl"/>
        </w:rPr>
        <w:t xml:space="preserve"> xxxx xxxx xxxx</w:t>
      </w:r>
      <w:r w:rsidRPr="00D4543D">
        <w:rPr>
          <w:rFonts w:ascii="Palatino Linotype" w:hAnsi="Palatino Linotype" w:cs="Arial"/>
          <w:b/>
        </w:rPr>
        <w:t xml:space="preserve">, </w:t>
      </w:r>
      <w:r w:rsidRPr="00D4543D">
        <w:rPr>
          <w:rFonts w:ascii="Palatino Linotype" w:hAnsi="Palatino Linotype" w:cs="Arial"/>
        </w:rPr>
        <w:t>en lo sucesivo</w:t>
      </w:r>
      <w:r w:rsidRPr="00D4543D">
        <w:rPr>
          <w:rFonts w:ascii="Palatino Linotype" w:hAnsi="Palatino Linotype" w:cs="Arial"/>
          <w:b/>
        </w:rPr>
        <w:t xml:space="preserve"> EL RECURRENTE</w:t>
      </w:r>
      <w:r w:rsidR="00BB1A88" w:rsidRPr="00D4543D">
        <w:rPr>
          <w:rFonts w:ascii="Palatino Linotype" w:hAnsi="Palatino Linotype"/>
        </w:rPr>
        <w:t xml:space="preserve">, en contra </w:t>
      </w:r>
      <w:r w:rsidRPr="00D4543D">
        <w:rPr>
          <w:rFonts w:ascii="Palatino Linotype" w:hAnsi="Palatino Linotype"/>
        </w:rPr>
        <w:t xml:space="preserve">de </w:t>
      </w:r>
      <w:r w:rsidR="00BB1A88" w:rsidRPr="00D4543D">
        <w:rPr>
          <w:rFonts w:ascii="Palatino Linotype" w:hAnsi="Palatino Linotype"/>
        </w:rPr>
        <w:t xml:space="preserve">la </w:t>
      </w:r>
      <w:r w:rsidR="00E016A9" w:rsidRPr="00D4543D">
        <w:rPr>
          <w:rFonts w:ascii="Palatino Linotype" w:hAnsi="Palatino Linotype"/>
        </w:rPr>
        <w:t>respuesta de la</w:t>
      </w:r>
      <w:r w:rsidR="00885A27" w:rsidRPr="00D4543D">
        <w:rPr>
          <w:rFonts w:ascii="Palatino Linotype" w:hAnsi="Palatino Linotype"/>
          <w:b/>
        </w:rPr>
        <w:t xml:space="preserve"> Secretaría de Seguridad</w:t>
      </w:r>
      <w:r w:rsidRPr="00D4543D">
        <w:rPr>
          <w:rFonts w:ascii="Palatino Linotype" w:hAnsi="Palatino Linotype"/>
        </w:rPr>
        <w:t xml:space="preserve">, en lo sucesivo </w:t>
      </w:r>
      <w:r w:rsidRPr="00D4543D">
        <w:rPr>
          <w:rFonts w:ascii="Palatino Linotype" w:hAnsi="Palatino Linotype"/>
          <w:b/>
        </w:rPr>
        <w:t>EL SUJETO OBLIGADO</w:t>
      </w:r>
      <w:r w:rsidRPr="00D4543D">
        <w:rPr>
          <w:rFonts w:ascii="Palatino Linotype" w:hAnsi="Palatino Linotype"/>
        </w:rPr>
        <w:t xml:space="preserve">, se procede a dictar la presente resolución con base en lo siguiente: </w:t>
      </w:r>
    </w:p>
    <w:p w:rsidR="00252ABF" w:rsidRPr="00D4543D" w:rsidRDefault="00252ABF" w:rsidP="00252ABF">
      <w:pPr>
        <w:spacing w:before="100" w:beforeAutospacing="1" w:after="100" w:afterAutospacing="1" w:line="360" w:lineRule="auto"/>
        <w:jc w:val="center"/>
        <w:rPr>
          <w:rFonts w:ascii="Palatino Linotype" w:hAnsi="Palatino Linotype"/>
          <w:b/>
          <w:bCs/>
          <w:spacing w:val="40"/>
          <w:sz w:val="28"/>
        </w:rPr>
      </w:pPr>
      <w:r w:rsidRPr="00D4543D">
        <w:rPr>
          <w:rFonts w:ascii="Palatino Linotype" w:hAnsi="Palatino Linotype"/>
          <w:b/>
          <w:bCs/>
          <w:spacing w:val="40"/>
          <w:sz w:val="28"/>
        </w:rPr>
        <w:t>RESULTANDO</w:t>
      </w:r>
    </w:p>
    <w:p w:rsidR="00FC3F3B" w:rsidRPr="00D4543D" w:rsidRDefault="002C138B" w:rsidP="00FC3F3B">
      <w:pPr>
        <w:numPr>
          <w:ilvl w:val="0"/>
          <w:numId w:val="6"/>
        </w:numPr>
        <w:tabs>
          <w:tab w:val="left" w:pos="360"/>
        </w:tabs>
        <w:spacing w:line="360" w:lineRule="auto"/>
        <w:ind w:left="0" w:firstLine="0"/>
        <w:jc w:val="both"/>
        <w:rPr>
          <w:rFonts w:ascii="Palatino Linotype" w:hAnsi="Palatino Linotype" w:cs="Arial"/>
        </w:rPr>
      </w:pPr>
      <w:r w:rsidRPr="00D4543D">
        <w:rPr>
          <w:rFonts w:ascii="Palatino Linotype" w:hAnsi="Palatino Linotype"/>
        </w:rPr>
        <w:t xml:space="preserve">En fecha </w:t>
      </w:r>
      <w:r w:rsidR="000718EB" w:rsidRPr="00D4543D">
        <w:rPr>
          <w:rFonts w:ascii="Palatino Linotype" w:hAnsi="Palatino Linotype"/>
        </w:rPr>
        <w:t xml:space="preserve">veintinueve de julio </w:t>
      </w:r>
      <w:r w:rsidRPr="00D4543D">
        <w:rPr>
          <w:rFonts w:ascii="Palatino Linotype" w:hAnsi="Palatino Linotype" w:cs="Arial"/>
        </w:rPr>
        <w:t xml:space="preserve">de dos </w:t>
      </w:r>
      <w:r w:rsidRPr="00D4543D">
        <w:rPr>
          <w:rFonts w:ascii="Palatino Linotype" w:hAnsi="Palatino Linotype"/>
        </w:rPr>
        <w:t>mil</w:t>
      </w:r>
      <w:r w:rsidRPr="00D4543D">
        <w:rPr>
          <w:rFonts w:ascii="Palatino Linotype" w:hAnsi="Palatino Linotype" w:cs="Arial"/>
        </w:rPr>
        <w:t xml:space="preserve"> diecinueve</w:t>
      </w:r>
      <w:r w:rsidRPr="00D4543D">
        <w:rPr>
          <w:rFonts w:ascii="Palatino Linotype" w:hAnsi="Palatino Linotype"/>
        </w:rPr>
        <w:t>,</w:t>
      </w:r>
      <w:r w:rsidR="00FC3F3B" w:rsidRPr="00D4543D">
        <w:rPr>
          <w:rFonts w:ascii="Palatino Linotype" w:hAnsi="Palatino Linotype"/>
        </w:rPr>
        <w:t xml:space="preserve"> se tuvo por presentada</w:t>
      </w:r>
      <w:r w:rsidR="00EF4AAD" w:rsidRPr="00D4543D">
        <w:rPr>
          <w:rFonts w:ascii="Palatino Linotype" w:hAnsi="Palatino Linotype"/>
        </w:rPr>
        <w:t xml:space="preserve"> a través de</w:t>
      </w:r>
      <w:r w:rsidR="008D1907" w:rsidRPr="00D4543D">
        <w:rPr>
          <w:rFonts w:ascii="Palatino Linotype" w:hAnsi="Palatino Linotype"/>
        </w:rPr>
        <w:t xml:space="preserve"> la </w:t>
      </w:r>
      <w:r w:rsidR="008D1907" w:rsidRPr="00D4543D">
        <w:rPr>
          <w:rFonts w:ascii="Palatino Linotype" w:hAnsi="Palatino Linotype" w:cs="Arial"/>
        </w:rPr>
        <w:t>Plataforma Nacional de Trasparencia vinculada al</w:t>
      </w:r>
      <w:r w:rsidR="00EF4AAD" w:rsidRPr="00D4543D">
        <w:rPr>
          <w:rFonts w:ascii="Palatino Linotype" w:hAnsi="Palatino Linotype"/>
        </w:rPr>
        <w:t xml:space="preserve"> Sistema de Acceso a la Información Mexiquense, en lo subsecuente </w:t>
      </w:r>
      <w:r w:rsidR="00EF4AAD" w:rsidRPr="00D4543D">
        <w:rPr>
          <w:rFonts w:ascii="Palatino Linotype" w:hAnsi="Palatino Linotype"/>
          <w:b/>
        </w:rPr>
        <w:t>EL SAIMEX</w:t>
      </w:r>
      <w:r w:rsidR="00A7069C" w:rsidRPr="00D4543D">
        <w:rPr>
          <w:rFonts w:ascii="Palatino Linotype" w:hAnsi="Palatino Linotype"/>
        </w:rPr>
        <w:t xml:space="preserve">, </w:t>
      </w:r>
      <w:r w:rsidR="00EF4AAD" w:rsidRPr="00D4543D">
        <w:rPr>
          <w:rFonts w:ascii="Palatino Linotype" w:hAnsi="Palatino Linotype"/>
        </w:rPr>
        <w:t xml:space="preserve">ante </w:t>
      </w:r>
      <w:r w:rsidR="00EF4AAD" w:rsidRPr="00D4543D">
        <w:rPr>
          <w:rFonts w:ascii="Palatino Linotype" w:hAnsi="Palatino Linotype"/>
          <w:b/>
        </w:rPr>
        <w:t>EL SUJETO OBLIGADO</w:t>
      </w:r>
      <w:r w:rsidR="00EF4AAD" w:rsidRPr="00D4543D">
        <w:rPr>
          <w:rFonts w:ascii="Palatino Linotype" w:hAnsi="Palatino Linotype"/>
        </w:rPr>
        <w:t xml:space="preserve">, </w:t>
      </w:r>
      <w:r w:rsidR="00FC3F3B" w:rsidRPr="00D4543D">
        <w:rPr>
          <w:rFonts w:ascii="Palatino Linotype" w:hAnsi="Palatino Linotype"/>
        </w:rPr>
        <w:t>la solicitud de acceso a información pública, a la que se le asignó el número</w:t>
      </w:r>
      <w:r w:rsidR="008D1907" w:rsidRPr="00D4543D">
        <w:rPr>
          <w:rFonts w:ascii="Verdana" w:hAnsi="Verdana"/>
          <w:b/>
          <w:bCs/>
          <w:color w:val="FF0000"/>
        </w:rPr>
        <w:t xml:space="preserve"> </w:t>
      </w:r>
      <w:r w:rsidR="008D1907" w:rsidRPr="00D4543D">
        <w:rPr>
          <w:rFonts w:ascii="Palatino Linotype" w:hAnsi="Palatino Linotype"/>
          <w:b/>
          <w:bCs/>
        </w:rPr>
        <w:t>00267/SSEM/IP/2019</w:t>
      </w:r>
      <w:r w:rsidR="00630BB9" w:rsidRPr="00D4543D">
        <w:rPr>
          <w:rFonts w:ascii="Palatino Linotype" w:hAnsi="Palatino Linotype"/>
          <w:bCs/>
        </w:rPr>
        <w:t>,</w:t>
      </w:r>
      <w:r w:rsidR="00630BB9" w:rsidRPr="00D4543D">
        <w:rPr>
          <w:rFonts w:ascii="Palatino Linotype" w:hAnsi="Palatino Linotype"/>
          <w:b/>
          <w:bCs/>
        </w:rPr>
        <w:t xml:space="preserve"> </w:t>
      </w:r>
      <w:r w:rsidR="00FC3F3B" w:rsidRPr="00D4543D">
        <w:rPr>
          <w:rFonts w:ascii="Palatino Linotype" w:hAnsi="Palatino Linotype"/>
        </w:rPr>
        <w:t xml:space="preserve">mediante la cual </w:t>
      </w:r>
      <w:r w:rsidR="008D1907" w:rsidRPr="00D4543D">
        <w:rPr>
          <w:rFonts w:ascii="Palatino Linotype" w:hAnsi="Palatino Linotype"/>
        </w:rPr>
        <w:t xml:space="preserve">requirió lo </w:t>
      </w:r>
      <w:r w:rsidR="00FC3F3B" w:rsidRPr="00D4543D">
        <w:rPr>
          <w:rFonts w:ascii="Palatino Linotype" w:hAnsi="Palatino Linotype"/>
        </w:rPr>
        <w:t>siguiente:</w:t>
      </w:r>
    </w:p>
    <w:p w:rsidR="008D1907" w:rsidRPr="00D4543D" w:rsidRDefault="008D1907" w:rsidP="008D1907">
      <w:pPr>
        <w:tabs>
          <w:tab w:val="left" w:pos="360"/>
        </w:tabs>
        <w:spacing w:line="360" w:lineRule="auto"/>
        <w:jc w:val="both"/>
        <w:rPr>
          <w:rFonts w:ascii="Palatino Linotype" w:hAnsi="Palatino Linotype" w:cs="Arial"/>
        </w:rPr>
      </w:pPr>
    </w:p>
    <w:p w:rsidR="00EF4AAD" w:rsidRPr="00D4543D" w:rsidRDefault="00FC3F3B" w:rsidP="00630BB9">
      <w:pPr>
        <w:ind w:left="709" w:right="760"/>
        <w:jc w:val="both"/>
        <w:rPr>
          <w:rFonts w:ascii="Palatino Linotype" w:hAnsi="Palatino Linotype"/>
          <w:i/>
          <w:sz w:val="22"/>
          <w:szCs w:val="22"/>
        </w:rPr>
      </w:pPr>
      <w:r w:rsidRPr="00D4543D">
        <w:rPr>
          <w:rFonts w:ascii="Palatino Linotype" w:hAnsi="Palatino Linotype"/>
          <w:i/>
          <w:sz w:val="22"/>
          <w:szCs w:val="22"/>
        </w:rPr>
        <w:t>“</w:t>
      </w:r>
      <w:r w:rsidR="008D1907" w:rsidRPr="00D4543D">
        <w:rPr>
          <w:rFonts w:ascii="Palatino Linotype" w:hAnsi="Palatino Linotype"/>
          <w:i/>
          <w:sz w:val="22"/>
          <w:szCs w:val="22"/>
        </w:rPr>
        <w:t>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como y en que se erogaron esos recursos recibidos al Secretariado se le solicita, los informes que recibió de EDO, CDMX, Michoacán , HIDALGO ,y Jalisco del mismo periodo con los comprobantes a las contralorías la revisión de bases, anexos técnicos de los bienes comprados, así como auditorias practicadas “</w:t>
      </w:r>
      <w:r w:rsidRPr="00D4543D">
        <w:rPr>
          <w:rFonts w:ascii="Palatino Linotype" w:hAnsi="Palatino Linotype"/>
          <w:i/>
          <w:sz w:val="22"/>
          <w:szCs w:val="22"/>
        </w:rPr>
        <w:t>(Sic)</w:t>
      </w:r>
    </w:p>
    <w:p w:rsidR="00FD6D85" w:rsidRPr="00D4543D" w:rsidRDefault="00FD6D85" w:rsidP="00EF4AAD">
      <w:pPr>
        <w:spacing w:before="120" w:after="120"/>
        <w:ind w:right="709"/>
        <w:jc w:val="both"/>
        <w:rPr>
          <w:rFonts w:ascii="Palatino Linotype" w:hAnsi="Palatino Linotype" w:cs="Arial"/>
          <w:b/>
        </w:rPr>
      </w:pPr>
    </w:p>
    <w:p w:rsidR="00EF4AAD" w:rsidRPr="00A26438" w:rsidRDefault="00EF4AAD" w:rsidP="00A26438">
      <w:pPr>
        <w:spacing w:before="120" w:after="120" w:line="360" w:lineRule="auto"/>
        <w:ind w:right="709"/>
        <w:jc w:val="both"/>
        <w:rPr>
          <w:rFonts w:ascii="Palatino Linotype" w:hAnsi="Palatino Linotype" w:cs="Arial"/>
          <w:b/>
        </w:rPr>
      </w:pPr>
      <w:r w:rsidRPr="00D4543D">
        <w:rPr>
          <w:rFonts w:ascii="Palatino Linotype" w:hAnsi="Palatino Linotype" w:cs="Arial"/>
          <w:b/>
        </w:rPr>
        <w:t>MODALIDAD DE ENTREGA:</w:t>
      </w:r>
      <w:r w:rsidR="00042161" w:rsidRPr="00D4543D">
        <w:rPr>
          <w:rFonts w:ascii="Palatino Linotype" w:hAnsi="Palatino Linotype" w:cs="Arial"/>
          <w:b/>
        </w:rPr>
        <w:t xml:space="preserve"> </w:t>
      </w:r>
      <w:r w:rsidR="00FD6D85" w:rsidRPr="00D4543D">
        <w:rPr>
          <w:rFonts w:ascii="Palatino Linotype" w:hAnsi="Palatino Linotype" w:cs="Arial"/>
        </w:rPr>
        <w:t xml:space="preserve">Vía </w:t>
      </w:r>
      <w:r w:rsidR="00FD6D85" w:rsidRPr="00D4543D">
        <w:rPr>
          <w:rFonts w:ascii="Palatino Linotype" w:hAnsi="Palatino Linotype" w:cs="Arial"/>
          <w:b/>
        </w:rPr>
        <w:t>SAIMEX</w:t>
      </w:r>
      <w:r w:rsidR="006D78A8" w:rsidRPr="00D4543D">
        <w:rPr>
          <w:rFonts w:ascii="Palatino Linotype" w:hAnsi="Palatino Linotype" w:cs="Arial"/>
        </w:rPr>
        <w:t xml:space="preserve"> y mediante correo electrónico.</w:t>
      </w:r>
    </w:p>
    <w:p w:rsidR="00BB1A88" w:rsidRPr="00D4543D" w:rsidRDefault="00BB1A88" w:rsidP="00BB1A88">
      <w:pPr>
        <w:numPr>
          <w:ilvl w:val="0"/>
          <w:numId w:val="6"/>
        </w:numPr>
        <w:tabs>
          <w:tab w:val="left" w:pos="567"/>
        </w:tabs>
        <w:spacing w:before="120" w:after="160" w:line="360" w:lineRule="auto"/>
        <w:ind w:left="0" w:firstLine="0"/>
        <w:jc w:val="both"/>
        <w:rPr>
          <w:rFonts w:ascii="Palatino Linotype" w:hAnsi="Palatino Linotype" w:cs="Arial"/>
        </w:rPr>
      </w:pPr>
      <w:r w:rsidRPr="00D4543D">
        <w:rPr>
          <w:rFonts w:ascii="Palatino Linotype" w:hAnsi="Palatino Linotype" w:cs="Arial"/>
        </w:rPr>
        <w:lastRenderedPageBreak/>
        <w:t xml:space="preserve">De las constancias que obran en el expediente electrónico del </w:t>
      </w:r>
      <w:r w:rsidRPr="00D4543D">
        <w:rPr>
          <w:rFonts w:ascii="Palatino Linotype" w:hAnsi="Palatino Linotype" w:cs="Arial"/>
          <w:b/>
        </w:rPr>
        <w:t>SAIMEX</w:t>
      </w:r>
      <w:r w:rsidRPr="00D4543D">
        <w:rPr>
          <w:rFonts w:ascii="Palatino Linotype" w:hAnsi="Palatino Linotype" w:cs="Arial"/>
        </w:rPr>
        <w:t xml:space="preserve">, se advierte que en fecha </w:t>
      </w:r>
      <w:r w:rsidR="00442C3B" w:rsidRPr="00D4543D">
        <w:rPr>
          <w:rFonts w:ascii="Palatino Linotype" w:hAnsi="Palatino Linotype" w:cs="Arial"/>
        </w:rPr>
        <w:t xml:space="preserve">veintinueve de julio </w:t>
      </w:r>
      <w:r w:rsidRPr="00D4543D">
        <w:rPr>
          <w:rFonts w:ascii="Palatino Linotype" w:hAnsi="Palatino Linotype" w:cs="Arial"/>
        </w:rPr>
        <w:t xml:space="preserve">de dos mil diecinueve, </w:t>
      </w:r>
      <w:r w:rsidRPr="00D4543D">
        <w:rPr>
          <w:rFonts w:ascii="Palatino Linotype" w:hAnsi="Palatino Linotype" w:cs="Arial"/>
          <w:b/>
        </w:rPr>
        <w:t>EL SUJETO OBLIGADO</w:t>
      </w:r>
      <w:r w:rsidRPr="00D4543D">
        <w:rPr>
          <w:rFonts w:ascii="Palatino Linotype" w:hAnsi="Palatino Linotype" w:cs="Arial"/>
        </w:rPr>
        <w:t xml:space="preserve"> dio respuesta a la </w:t>
      </w:r>
      <w:r w:rsidRPr="00D4543D">
        <w:rPr>
          <w:rFonts w:ascii="Palatino Linotype" w:hAnsi="Palatino Linotype"/>
        </w:rPr>
        <w:t>solicitud</w:t>
      </w:r>
      <w:r w:rsidRPr="00D4543D">
        <w:rPr>
          <w:rFonts w:ascii="Palatino Linotype" w:hAnsi="Palatino Linotype" w:cs="Arial"/>
        </w:rPr>
        <w:t xml:space="preserve"> de </w:t>
      </w:r>
      <w:r w:rsidRPr="00D4543D">
        <w:rPr>
          <w:rFonts w:ascii="Palatino Linotype" w:hAnsi="Palatino Linotype"/>
        </w:rPr>
        <w:t>acceso</w:t>
      </w:r>
      <w:r w:rsidRPr="00D4543D">
        <w:rPr>
          <w:rFonts w:ascii="Palatino Linotype" w:hAnsi="Palatino Linotype" w:cs="Arial"/>
        </w:rPr>
        <w:t xml:space="preserve"> a la información pública realizada por </w:t>
      </w:r>
      <w:r w:rsidRPr="00D4543D">
        <w:rPr>
          <w:rFonts w:ascii="Palatino Linotype" w:hAnsi="Palatino Linotype"/>
          <w:b/>
        </w:rPr>
        <w:t>EL RECURRENTE</w:t>
      </w:r>
      <w:r w:rsidRPr="00D4543D">
        <w:rPr>
          <w:rFonts w:ascii="Palatino Linotype" w:hAnsi="Palatino Linotype" w:cs="Arial"/>
        </w:rPr>
        <w:t>, en la cual señaló lo siguiente:</w:t>
      </w:r>
    </w:p>
    <w:p w:rsidR="00442C3B" w:rsidRPr="00D4543D" w:rsidRDefault="00F4570F" w:rsidP="00442C3B">
      <w:pPr>
        <w:tabs>
          <w:tab w:val="left" w:pos="567"/>
        </w:tabs>
        <w:spacing w:before="120" w:after="120"/>
        <w:ind w:left="709" w:right="709"/>
        <w:jc w:val="both"/>
        <w:rPr>
          <w:rFonts w:ascii="Palatino Linotype" w:hAnsi="Palatino Linotype"/>
          <w:i/>
          <w:spacing w:val="-2"/>
          <w:sz w:val="22"/>
          <w:szCs w:val="22"/>
        </w:rPr>
      </w:pPr>
      <w:r w:rsidRPr="00D4543D">
        <w:rPr>
          <w:rFonts w:ascii="Palatino Linotype" w:hAnsi="Palatino Linotype"/>
          <w:i/>
          <w:spacing w:val="-2"/>
          <w:sz w:val="22"/>
          <w:szCs w:val="22"/>
        </w:rPr>
        <w:t>“</w:t>
      </w:r>
      <w:r w:rsidR="00442C3B" w:rsidRPr="00D4543D">
        <w:rPr>
          <w:rFonts w:ascii="Palatino Linotype" w:hAnsi="Palatino Linotype"/>
          <w:i/>
          <w:spacing w:val="-2"/>
          <w:sz w:val="22"/>
          <w:szCs w:val="22"/>
        </w:rPr>
        <w:t>SE ANEXA ACUERDO DE INCOMPETENCIA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rsidR="00442C3B" w:rsidRPr="00D4543D" w:rsidRDefault="00442C3B" w:rsidP="00442C3B">
      <w:pPr>
        <w:tabs>
          <w:tab w:val="left" w:pos="567"/>
        </w:tabs>
        <w:spacing w:before="120" w:after="120"/>
        <w:ind w:left="709" w:right="709"/>
        <w:jc w:val="both"/>
        <w:rPr>
          <w:rFonts w:ascii="Palatino Linotype" w:hAnsi="Palatino Linotype"/>
          <w:i/>
          <w:spacing w:val="-2"/>
          <w:sz w:val="22"/>
          <w:szCs w:val="22"/>
        </w:rPr>
      </w:pPr>
      <w:r w:rsidRPr="00D4543D">
        <w:rPr>
          <w:rFonts w:ascii="Palatino Linotype" w:hAnsi="Palatino Linotype"/>
          <w:i/>
          <w:spacing w:val="-2"/>
          <w:sz w:val="22"/>
          <w:szCs w:val="22"/>
        </w:rPr>
        <w:t>ATENTAMENTE</w:t>
      </w:r>
    </w:p>
    <w:p w:rsidR="00BB1A88" w:rsidRPr="00D4543D" w:rsidRDefault="00442C3B" w:rsidP="00442C3B">
      <w:pPr>
        <w:tabs>
          <w:tab w:val="left" w:pos="567"/>
        </w:tabs>
        <w:ind w:left="709" w:right="709"/>
        <w:jc w:val="both"/>
        <w:rPr>
          <w:rFonts w:ascii="Palatino Linotype" w:hAnsi="Palatino Linotype"/>
          <w:i/>
          <w:spacing w:val="-2"/>
          <w:sz w:val="22"/>
          <w:szCs w:val="22"/>
        </w:rPr>
      </w:pPr>
      <w:r w:rsidRPr="00D4543D">
        <w:rPr>
          <w:rFonts w:ascii="Palatino Linotype" w:hAnsi="Palatino Linotype"/>
          <w:i/>
          <w:spacing w:val="-2"/>
          <w:sz w:val="22"/>
          <w:szCs w:val="22"/>
        </w:rPr>
        <w:t>M. en D. Larissa León Arce</w:t>
      </w:r>
      <w:r w:rsidR="00514E09" w:rsidRPr="00D4543D">
        <w:rPr>
          <w:rFonts w:ascii="Palatino Linotype" w:hAnsi="Palatino Linotype"/>
          <w:i/>
          <w:spacing w:val="-2"/>
          <w:sz w:val="22"/>
          <w:szCs w:val="22"/>
        </w:rPr>
        <w:t>”</w:t>
      </w:r>
      <w:r w:rsidR="00F4570F" w:rsidRPr="00D4543D">
        <w:rPr>
          <w:rFonts w:ascii="Palatino Linotype" w:hAnsi="Palatino Linotype"/>
          <w:i/>
          <w:spacing w:val="-2"/>
          <w:sz w:val="22"/>
          <w:szCs w:val="22"/>
        </w:rPr>
        <w:t xml:space="preserve"> </w:t>
      </w:r>
      <w:r w:rsidR="00BB1A88" w:rsidRPr="00D4543D">
        <w:rPr>
          <w:rFonts w:ascii="Palatino Linotype" w:hAnsi="Palatino Linotype"/>
          <w:i/>
          <w:sz w:val="22"/>
          <w:szCs w:val="22"/>
        </w:rPr>
        <w:t>(Sic)</w:t>
      </w:r>
    </w:p>
    <w:p w:rsidR="00442C3B" w:rsidRPr="00D4543D" w:rsidRDefault="00442C3B" w:rsidP="00442C3B">
      <w:pPr>
        <w:tabs>
          <w:tab w:val="left" w:pos="567"/>
        </w:tabs>
        <w:spacing w:line="360" w:lineRule="auto"/>
        <w:ind w:right="51"/>
        <w:jc w:val="both"/>
        <w:rPr>
          <w:rFonts w:ascii="Palatino Linotype" w:hAnsi="Palatino Linotype"/>
        </w:rPr>
      </w:pPr>
    </w:p>
    <w:p w:rsidR="001465A1" w:rsidRPr="00D4543D" w:rsidRDefault="00A26438" w:rsidP="001465A1">
      <w:pPr>
        <w:tabs>
          <w:tab w:val="left" w:pos="567"/>
        </w:tabs>
        <w:spacing w:line="360" w:lineRule="auto"/>
        <w:ind w:right="51"/>
        <w:jc w:val="both"/>
        <w:rPr>
          <w:rFonts w:ascii="Palatino Linotype" w:hAnsi="Palatino Linotype"/>
        </w:rPr>
      </w:pPr>
      <w:r>
        <w:rPr>
          <w:rFonts w:ascii="Palatino Linotype" w:hAnsi="Palatino Linotype"/>
          <w:noProof/>
          <w:lang w:val="es-ES"/>
        </w:rPr>
        <mc:AlternateContent>
          <mc:Choice Requires="wps">
            <w:drawing>
              <wp:anchor distT="0" distB="0" distL="114300" distR="114300" simplePos="0" relativeHeight="251710464" behindDoc="0" locked="0" layoutInCell="1" allowOverlap="1">
                <wp:simplePos x="0" y="0"/>
                <wp:positionH relativeFrom="column">
                  <wp:posOffset>-3810</wp:posOffset>
                </wp:positionH>
                <wp:positionV relativeFrom="paragraph">
                  <wp:posOffset>3239769</wp:posOffset>
                </wp:positionV>
                <wp:extent cx="5829300" cy="9429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829300"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2A12E" id="Conector recto 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pt,255.1pt" to="458.7pt,3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" strokecolor="#5b9bd5 [3204]" strokeweight=".5pt">
                <v:stroke joinstyle="miter"/>
              </v:line>
            </w:pict>
          </mc:Fallback>
        </mc:AlternateContent>
      </w:r>
      <w:r w:rsidR="00F4570F" w:rsidRPr="00D4543D">
        <w:rPr>
          <w:rFonts w:ascii="Palatino Linotype" w:hAnsi="Palatino Linotype"/>
        </w:rPr>
        <w:t xml:space="preserve">Así mismo, </w:t>
      </w:r>
      <w:r w:rsidR="00514E09" w:rsidRPr="00D4543D">
        <w:rPr>
          <w:rFonts w:ascii="Palatino Linotype" w:hAnsi="Palatino Linotype"/>
        </w:rPr>
        <w:t>adjuntó</w:t>
      </w:r>
      <w:r w:rsidR="00442C3B" w:rsidRPr="00D4543D">
        <w:rPr>
          <w:rFonts w:ascii="Palatino Linotype" w:hAnsi="Palatino Linotype"/>
        </w:rPr>
        <w:t xml:space="preserve"> el archivo electrónico </w:t>
      </w:r>
      <w:r w:rsidR="00442C3B" w:rsidRPr="00D4543D">
        <w:rPr>
          <w:rFonts w:ascii="Palatino Linotype" w:hAnsi="Palatino Linotype"/>
          <w:b/>
          <w:i/>
        </w:rPr>
        <w:t>267.pdf</w:t>
      </w:r>
      <w:r w:rsidR="00442C3B" w:rsidRPr="00D4543D">
        <w:rPr>
          <w:rFonts w:ascii="Palatino Linotype" w:hAnsi="Palatino Linotype"/>
        </w:rPr>
        <w:t xml:space="preserve"> </w:t>
      </w:r>
      <w:r w:rsidR="00BD24D4" w:rsidRPr="00D4543D">
        <w:rPr>
          <w:rFonts w:ascii="Palatino Linotype" w:hAnsi="Palatino Linotype"/>
        </w:rPr>
        <w:t>consistente en el oficio número</w:t>
      </w:r>
      <w:r w:rsidR="00923628" w:rsidRPr="00D4543D">
        <w:t xml:space="preserve"> 0</w:t>
      </w:r>
      <w:r w:rsidR="00923628" w:rsidRPr="00D4543D">
        <w:rPr>
          <w:rFonts w:ascii="Palatino Linotype" w:hAnsi="Palatino Linotype"/>
        </w:rPr>
        <w:t>0267/SSEM/IP/2019</w:t>
      </w:r>
      <w:r w:rsidR="00BD24D4" w:rsidRPr="00D4543D">
        <w:rPr>
          <w:rFonts w:ascii="Palatino Linotype" w:hAnsi="Palatino Linotype"/>
        </w:rPr>
        <w:t xml:space="preserve">, de fecha </w:t>
      </w:r>
      <w:r w:rsidR="00923628" w:rsidRPr="00D4543D">
        <w:rPr>
          <w:rFonts w:ascii="Palatino Linotype" w:hAnsi="Palatino Linotype"/>
        </w:rPr>
        <w:t xml:space="preserve">veintinueve de </w:t>
      </w:r>
      <w:r w:rsidR="00A45C25" w:rsidRPr="00D4543D">
        <w:rPr>
          <w:rFonts w:ascii="Palatino Linotype" w:hAnsi="Palatino Linotype"/>
        </w:rPr>
        <w:t xml:space="preserve">julio </w:t>
      </w:r>
      <w:r w:rsidR="00BD24D4" w:rsidRPr="00D4543D">
        <w:rPr>
          <w:rFonts w:ascii="Palatino Linotype" w:hAnsi="Palatino Linotype"/>
        </w:rPr>
        <w:t>de dos mil diecinueve, signado por la</w:t>
      </w:r>
      <w:r w:rsidR="00A33FA7" w:rsidRPr="00D4543D">
        <w:rPr>
          <w:rFonts w:ascii="Palatino Linotype" w:hAnsi="Palatino Linotype"/>
        </w:rPr>
        <w:t xml:space="preserve"> </w:t>
      </w:r>
      <w:r w:rsidR="00923628" w:rsidRPr="00D4543D">
        <w:rPr>
          <w:rFonts w:ascii="Palatino Linotype" w:hAnsi="Palatino Linotype"/>
        </w:rPr>
        <w:t xml:space="preserve">Titular de la Unidad Transparencia del </w:t>
      </w:r>
      <w:r w:rsidR="00923628" w:rsidRPr="00D4543D">
        <w:rPr>
          <w:rFonts w:ascii="Palatino Linotype" w:hAnsi="Palatino Linotype"/>
          <w:b/>
        </w:rPr>
        <w:t>SUJETO OBLIGADO</w:t>
      </w:r>
      <w:r w:rsidR="00A45C25" w:rsidRPr="00D4543D">
        <w:rPr>
          <w:rFonts w:ascii="Palatino Linotype" w:hAnsi="Palatino Linotype"/>
        </w:rPr>
        <w:t xml:space="preserve">, mediante el cual </w:t>
      </w:r>
      <w:r w:rsidR="001465A1" w:rsidRPr="00D4543D">
        <w:rPr>
          <w:rFonts w:ascii="Palatino Linotype" w:hAnsi="Palatino Linotype"/>
        </w:rPr>
        <w:t>señaló que de conformidad con el artículo 21 Bis de la Ley Orgánica de la Administración Pública del Estado de México, la Secretaría de Seguridad del Estado de México es la dependencia encargada de planear formular, conducir, coordinar, ejecutar, supervisar y evaluar las políticas, programas y acciones en materia de seguridad pública que competen al Gobierno del Estado de México, motivo por el cual carecía de facultades para dar respuesta a la solicitud, por lo que, corresponde al Secretariado Ejecutivo del Sistema Nacional de Seguridad Pública la atención a dichos requerimientos.</w:t>
      </w:r>
    </w:p>
    <w:p w:rsidR="001465A1" w:rsidRPr="00D4543D" w:rsidRDefault="001465A1" w:rsidP="001465A1">
      <w:pPr>
        <w:tabs>
          <w:tab w:val="left" w:pos="567"/>
        </w:tabs>
        <w:spacing w:line="360" w:lineRule="auto"/>
        <w:ind w:right="51"/>
        <w:jc w:val="both"/>
        <w:rPr>
          <w:rFonts w:ascii="Palatino Linotype" w:hAnsi="Palatino Linotype"/>
        </w:rPr>
      </w:pPr>
    </w:p>
    <w:p w:rsidR="00BB1A88" w:rsidRPr="00D4543D" w:rsidRDefault="002C138B" w:rsidP="001465A1">
      <w:pPr>
        <w:numPr>
          <w:ilvl w:val="0"/>
          <w:numId w:val="6"/>
        </w:numPr>
        <w:tabs>
          <w:tab w:val="left" w:pos="426"/>
        </w:tabs>
        <w:spacing w:line="360" w:lineRule="auto"/>
        <w:ind w:left="0" w:right="49" w:firstLine="0"/>
        <w:jc w:val="both"/>
        <w:rPr>
          <w:rFonts w:ascii="Palatino Linotype" w:hAnsi="Palatino Linotype"/>
          <w:b/>
          <w:lang w:val="es-ES" w:eastAsia="x-none"/>
        </w:rPr>
      </w:pPr>
      <w:bookmarkStart w:id="0" w:name="_Ref490476121"/>
      <w:r w:rsidRPr="00D4543D">
        <w:rPr>
          <w:rFonts w:ascii="Palatino Linotype" w:hAnsi="Palatino Linotype"/>
        </w:rPr>
        <w:lastRenderedPageBreak/>
        <w:t xml:space="preserve">Inconforme con la respuesta del </w:t>
      </w:r>
      <w:r w:rsidRPr="00D4543D">
        <w:rPr>
          <w:rFonts w:ascii="Palatino Linotype" w:hAnsi="Palatino Linotype"/>
          <w:b/>
        </w:rPr>
        <w:t>SUJETO OBLIGADO</w:t>
      </w:r>
      <w:r w:rsidRPr="00D4543D">
        <w:rPr>
          <w:rFonts w:ascii="Palatino Linotype" w:hAnsi="Palatino Linotype"/>
        </w:rPr>
        <w:t xml:space="preserve">, el </w:t>
      </w:r>
      <w:r w:rsidR="001465A1" w:rsidRPr="00D4543D">
        <w:rPr>
          <w:rFonts w:ascii="Palatino Linotype" w:hAnsi="Palatino Linotype"/>
        </w:rPr>
        <w:t xml:space="preserve">dos de agosto </w:t>
      </w:r>
      <w:r w:rsidRPr="00D4543D">
        <w:rPr>
          <w:rFonts w:ascii="Palatino Linotype" w:hAnsi="Palatino Linotype"/>
        </w:rPr>
        <w:t xml:space="preserve">de dos mil diecinueve, </w:t>
      </w:r>
      <w:bookmarkEnd w:id="0"/>
      <w:r w:rsidR="00BB1A88" w:rsidRPr="00D4543D">
        <w:rPr>
          <w:rFonts w:ascii="Palatino Linotype" w:hAnsi="Palatino Linotype"/>
          <w:b/>
          <w:lang w:val="es-ES" w:eastAsia="x-none"/>
        </w:rPr>
        <w:t>EL RECURRENTE</w:t>
      </w:r>
      <w:r w:rsidR="00BB1A88" w:rsidRPr="00D4543D">
        <w:rPr>
          <w:rFonts w:ascii="Palatino Linotype" w:hAnsi="Palatino Linotype"/>
          <w:lang w:val="es-ES" w:eastAsia="x-none"/>
        </w:rPr>
        <w:t xml:space="preserve"> mediante </w:t>
      </w:r>
      <w:r w:rsidR="00BB1A88" w:rsidRPr="00D4543D">
        <w:rPr>
          <w:rFonts w:ascii="Palatino Linotype" w:hAnsi="Palatino Linotype"/>
          <w:b/>
          <w:lang w:val="es-ES" w:eastAsia="x-none"/>
        </w:rPr>
        <w:t xml:space="preserve">EL SAIMEX </w:t>
      </w:r>
      <w:r w:rsidR="00BB1A88" w:rsidRPr="00D4543D">
        <w:rPr>
          <w:rFonts w:ascii="Palatino Linotype" w:hAnsi="Palatino Linotype"/>
          <w:lang w:val="es-ES" w:eastAsia="x-none"/>
        </w:rPr>
        <w:t xml:space="preserve">interpuso el recurso de revisión objeto del </w:t>
      </w:r>
      <w:r w:rsidR="00BB1A88" w:rsidRPr="00D4543D">
        <w:rPr>
          <w:rFonts w:ascii="Palatino Linotype" w:hAnsi="Palatino Linotype" w:cs="Arial"/>
          <w:lang w:val="es-ES" w:eastAsia="x-none"/>
        </w:rPr>
        <w:t>presente</w:t>
      </w:r>
      <w:r w:rsidR="00BB1A88" w:rsidRPr="00D4543D">
        <w:rPr>
          <w:rFonts w:ascii="Palatino Linotype" w:hAnsi="Palatino Linotype"/>
          <w:lang w:val="es-ES" w:eastAsia="x-none"/>
        </w:rPr>
        <w:t xml:space="preserve"> estudio, al que se le asignó el </w:t>
      </w:r>
      <w:r w:rsidR="00BB1A88" w:rsidRPr="00D4543D">
        <w:rPr>
          <w:rFonts w:ascii="Palatino Linotype" w:hAnsi="Palatino Linotype" w:cs="Arial"/>
          <w:lang w:val="es-ES" w:eastAsia="x-none"/>
        </w:rPr>
        <w:t>número</w:t>
      </w:r>
      <w:r w:rsidR="00BB1A88" w:rsidRPr="00D4543D">
        <w:rPr>
          <w:rFonts w:ascii="Palatino Linotype" w:hAnsi="Palatino Linotype"/>
          <w:b/>
          <w:bCs/>
          <w:color w:val="FF0000"/>
          <w:lang w:val="es-ES" w:eastAsia="x-none"/>
        </w:rPr>
        <w:t xml:space="preserve"> </w:t>
      </w:r>
      <w:r w:rsidR="001465A1" w:rsidRPr="00D4543D">
        <w:rPr>
          <w:rFonts w:ascii="Palatino Linotype" w:hAnsi="Palatino Linotype" w:cs="Arial"/>
          <w:b/>
          <w:bCs/>
          <w:lang w:val="es-ES" w:eastAsia="x-none"/>
        </w:rPr>
        <w:t>06487</w:t>
      </w:r>
      <w:r w:rsidR="00BB1A88" w:rsidRPr="00D4543D">
        <w:rPr>
          <w:rFonts w:ascii="Palatino Linotype" w:hAnsi="Palatino Linotype" w:cs="Arial"/>
          <w:b/>
          <w:bCs/>
          <w:lang w:val="es-ES" w:eastAsia="x-none"/>
        </w:rPr>
        <w:t>/INFOEM/IP/RR/2019</w:t>
      </w:r>
      <w:r w:rsidR="00BB1A88" w:rsidRPr="00D4543D">
        <w:rPr>
          <w:rFonts w:ascii="Palatino Linotype" w:hAnsi="Palatino Linotype" w:cs="Arial"/>
          <w:lang w:val="es-ES" w:eastAsia="x-none"/>
        </w:rPr>
        <w:t>, en el que señaló como acto impugnado, lo siguiente:</w:t>
      </w:r>
    </w:p>
    <w:p w:rsidR="00BB1A88" w:rsidRPr="00D4543D" w:rsidRDefault="00BB1A88" w:rsidP="00BB1A88">
      <w:pPr>
        <w:spacing w:before="200" w:after="200"/>
        <w:ind w:left="709" w:right="709"/>
        <w:jc w:val="both"/>
        <w:rPr>
          <w:rFonts w:ascii="Palatino Linotype" w:hAnsi="Palatino Linotype" w:cs="Arial"/>
          <w:i/>
          <w:sz w:val="22"/>
          <w:szCs w:val="22"/>
          <w:lang w:eastAsia="es-MX"/>
        </w:rPr>
      </w:pPr>
      <w:r w:rsidRPr="00D4543D">
        <w:rPr>
          <w:rFonts w:ascii="Palatino Linotype" w:hAnsi="Palatino Linotype" w:cs="Arial"/>
          <w:i/>
          <w:sz w:val="22"/>
          <w:szCs w:val="22"/>
          <w:lang w:eastAsia="es-MX"/>
        </w:rPr>
        <w:t>“</w:t>
      </w:r>
      <w:r w:rsidR="001465A1" w:rsidRPr="00D4543D">
        <w:rPr>
          <w:rFonts w:ascii="Palatino Linotype" w:hAnsi="Palatino Linotype" w:cs="Arial"/>
          <w:i/>
          <w:sz w:val="22"/>
          <w:szCs w:val="22"/>
          <w:lang w:eastAsia="es-MX"/>
        </w:rPr>
        <w:t>no entrego nada</w:t>
      </w:r>
      <w:r w:rsidRPr="00D4543D">
        <w:rPr>
          <w:rFonts w:ascii="Palatino Linotype" w:hAnsi="Palatino Linotype" w:cs="Arial"/>
          <w:i/>
          <w:sz w:val="22"/>
          <w:szCs w:val="22"/>
          <w:lang w:eastAsia="es-MX"/>
        </w:rPr>
        <w:t xml:space="preserve">” </w:t>
      </w:r>
      <w:r w:rsidRPr="00D4543D">
        <w:rPr>
          <w:rFonts w:ascii="Palatino Linotype" w:hAnsi="Palatino Linotype" w:cs="Arial"/>
          <w:sz w:val="22"/>
          <w:szCs w:val="22"/>
          <w:lang w:eastAsia="es-MX"/>
        </w:rPr>
        <w:t>(Sic)</w:t>
      </w:r>
    </w:p>
    <w:p w:rsidR="00BB1A88" w:rsidRPr="00D4543D" w:rsidRDefault="00BB1A88" w:rsidP="00BB1A88">
      <w:pPr>
        <w:tabs>
          <w:tab w:val="left" w:pos="567"/>
        </w:tabs>
        <w:spacing w:before="160" w:after="160" w:line="360" w:lineRule="auto"/>
        <w:jc w:val="both"/>
        <w:rPr>
          <w:rFonts w:ascii="Palatino Linotype" w:hAnsi="Palatino Linotype"/>
          <w:lang w:val="es-ES" w:eastAsia="x-none"/>
        </w:rPr>
      </w:pPr>
      <w:r w:rsidRPr="00D4543D">
        <w:rPr>
          <w:rFonts w:ascii="Palatino Linotype" w:hAnsi="Palatino Linotype"/>
          <w:lang w:val="es-ES" w:eastAsia="x-none"/>
        </w:rPr>
        <w:t xml:space="preserve">Asimismo, </w:t>
      </w:r>
      <w:r w:rsidRPr="00D4543D">
        <w:rPr>
          <w:rFonts w:ascii="Palatino Linotype" w:hAnsi="Palatino Linotype"/>
          <w:b/>
          <w:lang w:val="es-ES" w:eastAsia="x-none"/>
        </w:rPr>
        <w:t>EL RECURRENTE</w:t>
      </w:r>
      <w:r w:rsidRPr="00D4543D">
        <w:rPr>
          <w:rFonts w:ascii="Palatino Linotype" w:hAnsi="Palatino Linotype"/>
          <w:lang w:val="es-ES" w:eastAsia="x-none"/>
        </w:rPr>
        <w:t xml:space="preserve"> indicó como razones o motivos de inconformidad: </w:t>
      </w:r>
    </w:p>
    <w:p w:rsidR="00BB1A88" w:rsidRPr="00D4543D" w:rsidRDefault="0043518D" w:rsidP="00BB1A88">
      <w:pPr>
        <w:spacing w:before="200" w:after="200"/>
        <w:ind w:left="709" w:right="709"/>
        <w:jc w:val="both"/>
        <w:rPr>
          <w:rFonts w:ascii="Palatino Linotype" w:hAnsi="Palatino Linotype" w:cs="Arial"/>
          <w:i/>
          <w:spacing w:val="-6"/>
          <w:sz w:val="22"/>
          <w:szCs w:val="22"/>
          <w:lang w:eastAsia="es-MX"/>
        </w:rPr>
      </w:pPr>
      <w:r w:rsidRPr="00D4543D">
        <w:rPr>
          <w:rFonts w:ascii="Palatino Linotype" w:hAnsi="Palatino Linotype" w:cs="Arial"/>
          <w:i/>
          <w:spacing w:val="-6"/>
          <w:sz w:val="22"/>
          <w:szCs w:val="22"/>
          <w:lang w:eastAsia="es-MX"/>
        </w:rPr>
        <w:t>”</w:t>
      </w:r>
      <w:r w:rsidR="001465A1" w:rsidRPr="00D4543D">
        <w:rPr>
          <w:rFonts w:ascii="Palatino Linotype" w:hAnsi="Palatino Linotype" w:cs="Arial"/>
          <w:i/>
          <w:spacing w:val="-6"/>
          <w:sz w:val="22"/>
          <w:szCs w:val="22"/>
          <w:lang w:eastAsia="es-MX"/>
        </w:rPr>
        <w:t>no entrego nada</w:t>
      </w:r>
      <w:r w:rsidR="008724DF" w:rsidRPr="00D4543D">
        <w:rPr>
          <w:rFonts w:ascii="Palatino Linotype" w:hAnsi="Palatino Linotype" w:cs="Arial"/>
          <w:i/>
          <w:spacing w:val="-6"/>
          <w:sz w:val="22"/>
          <w:szCs w:val="22"/>
          <w:lang w:eastAsia="es-MX"/>
        </w:rPr>
        <w:t>”</w:t>
      </w:r>
      <w:r w:rsidR="000E0DAA" w:rsidRPr="00D4543D">
        <w:rPr>
          <w:rFonts w:ascii="Palatino Linotype" w:hAnsi="Palatino Linotype" w:cs="Arial"/>
          <w:i/>
          <w:spacing w:val="-6"/>
          <w:sz w:val="22"/>
          <w:szCs w:val="22"/>
          <w:lang w:eastAsia="es-MX"/>
        </w:rPr>
        <w:t>(</w:t>
      </w:r>
      <w:r w:rsidR="00BB1A88" w:rsidRPr="00D4543D">
        <w:rPr>
          <w:rFonts w:ascii="Palatino Linotype" w:hAnsi="Palatino Linotype" w:cs="Arial"/>
          <w:i/>
          <w:spacing w:val="-6"/>
          <w:sz w:val="22"/>
          <w:szCs w:val="22"/>
          <w:lang w:eastAsia="es-MX"/>
        </w:rPr>
        <w:t>Sic)</w:t>
      </w:r>
    </w:p>
    <w:p w:rsidR="000E0DAA" w:rsidRPr="00D4543D" w:rsidRDefault="000E0DAA" w:rsidP="000E0DAA">
      <w:pPr>
        <w:numPr>
          <w:ilvl w:val="0"/>
          <w:numId w:val="6"/>
        </w:numPr>
        <w:tabs>
          <w:tab w:val="left" w:pos="567"/>
        </w:tabs>
        <w:spacing w:before="160" w:after="160" w:line="360" w:lineRule="auto"/>
        <w:ind w:left="0" w:firstLine="0"/>
        <w:jc w:val="both"/>
        <w:rPr>
          <w:rFonts w:ascii="Palatino Linotype" w:hAnsi="Palatino Linotype" w:cs="Arial"/>
          <w:lang w:val="es-ES_tradnl"/>
        </w:rPr>
      </w:pPr>
      <w:r w:rsidRPr="00D4543D">
        <w:rPr>
          <w:rFonts w:ascii="Palatino Linotype" w:hAnsi="Palatino Linotype" w:cs="Arial"/>
        </w:rPr>
        <w:t xml:space="preserve">En fecha </w:t>
      </w:r>
      <w:r w:rsidR="0035479D" w:rsidRPr="00D4543D">
        <w:rPr>
          <w:rFonts w:ascii="Palatino Linotype" w:hAnsi="Palatino Linotype" w:cs="Arial"/>
        </w:rPr>
        <w:t xml:space="preserve">dos de agosto </w:t>
      </w:r>
      <w:r w:rsidRPr="00D4543D">
        <w:rPr>
          <w:rFonts w:ascii="Palatino Linotype" w:hAnsi="Palatino Linotype"/>
        </w:rPr>
        <w:t>de dos mil diecinueve, el</w:t>
      </w:r>
      <w:r w:rsidRPr="00D4543D">
        <w:rPr>
          <w:rFonts w:ascii="Palatino Linotype" w:hAnsi="Palatino Linotype" w:cs="Arial"/>
        </w:rPr>
        <w:t xml:space="preserve"> </w:t>
      </w:r>
      <w:r w:rsidRPr="00D4543D">
        <w:rPr>
          <w:rFonts w:ascii="Palatino Linotype" w:hAnsi="Palatino Linotype" w:cs="Arial"/>
          <w:lang w:val="es-ES_tradnl"/>
        </w:rPr>
        <w:t>recurso de que</w:t>
      </w:r>
      <w:r w:rsidRPr="00D4543D">
        <w:rPr>
          <w:rFonts w:ascii="Palatino Linotype" w:hAnsi="Palatino Linotype" w:cs="Arial"/>
        </w:rPr>
        <w:t xml:space="preserve"> se trata</w:t>
      </w:r>
      <w:r w:rsidRPr="00D4543D">
        <w:rPr>
          <w:rFonts w:ascii="Palatino Linotype" w:hAnsi="Palatino Linotype" w:cs="Arial"/>
          <w:lang w:val="es-ES_tradnl"/>
        </w:rPr>
        <w:t xml:space="preserve"> se envió </w:t>
      </w:r>
      <w:r w:rsidRPr="00D4543D">
        <w:rPr>
          <w:rFonts w:ascii="Palatino Linotype" w:hAnsi="Palatino Linotype"/>
        </w:rPr>
        <w:t>electrónicamente</w:t>
      </w:r>
      <w:r w:rsidRPr="00D4543D">
        <w:rPr>
          <w:rFonts w:ascii="Palatino Linotype" w:hAnsi="Palatino Linotype" w:cs="Arial"/>
          <w:lang w:val="es-ES_tradnl"/>
        </w:rPr>
        <w:t xml:space="preserve"> </w:t>
      </w:r>
      <w:r w:rsidRPr="00D4543D">
        <w:rPr>
          <w:rFonts w:ascii="Palatino Linotype" w:hAnsi="Palatino Linotype" w:cs="Arial"/>
        </w:rPr>
        <w:t>al</w:t>
      </w:r>
      <w:r w:rsidRPr="00D4543D">
        <w:rPr>
          <w:rFonts w:ascii="Palatino Linotype" w:hAnsi="Palatino Linotype" w:cs="Arial"/>
          <w:lang w:val="es-ES_tradnl"/>
        </w:rPr>
        <w:t xml:space="preserve"> </w:t>
      </w:r>
      <w:r w:rsidRPr="00D4543D">
        <w:rPr>
          <w:rFonts w:ascii="Palatino Linotype" w:hAnsi="Palatino Linotype" w:cs="Arial"/>
        </w:rPr>
        <w:t>Instituto</w:t>
      </w:r>
      <w:r w:rsidRPr="00D4543D">
        <w:rPr>
          <w:rFonts w:ascii="Palatino Linotype" w:hAnsi="Palatino Linotype" w:cs="Arial"/>
          <w:lang w:val="es-ES_tradnl"/>
        </w:rPr>
        <w:t xml:space="preserve"> de </w:t>
      </w:r>
      <w:r w:rsidRPr="00D4543D">
        <w:rPr>
          <w:rFonts w:ascii="Palatino Linotype" w:eastAsia="Arial Unicode MS" w:hAnsi="Palatino Linotype" w:cs="Arial"/>
        </w:rPr>
        <w:t>Transparencia</w:t>
      </w:r>
      <w:r w:rsidRPr="00D4543D">
        <w:rPr>
          <w:rFonts w:ascii="Palatino Linotype" w:hAnsi="Palatino Linotype" w:cs="Arial"/>
          <w:lang w:val="es-ES_tradnl"/>
        </w:rPr>
        <w:t xml:space="preserve">, Acceso a la Información Pública y Protección </w:t>
      </w:r>
      <w:r w:rsidRPr="00D4543D">
        <w:rPr>
          <w:rFonts w:ascii="Palatino Linotype" w:hAnsi="Palatino Linotype" w:cs="Arial"/>
        </w:rPr>
        <w:t>de</w:t>
      </w:r>
      <w:r w:rsidRPr="00D4543D">
        <w:rPr>
          <w:rFonts w:ascii="Palatino Linotype" w:hAnsi="Palatino Linotype" w:cs="Arial"/>
          <w:lang w:val="es-ES_tradnl"/>
        </w:rPr>
        <w:t xml:space="preserve"> </w:t>
      </w:r>
      <w:r w:rsidRPr="00D4543D">
        <w:rPr>
          <w:rFonts w:ascii="Palatino Linotype" w:hAnsi="Palatino Linotype"/>
        </w:rPr>
        <w:t>Datos</w:t>
      </w:r>
      <w:r w:rsidRPr="00D4543D">
        <w:rPr>
          <w:rFonts w:ascii="Palatino Linotype" w:hAnsi="Palatino Linotype" w:cs="Arial"/>
          <w:lang w:val="es-ES_tradnl"/>
        </w:rPr>
        <w:t xml:space="preserve"> </w:t>
      </w:r>
      <w:r w:rsidRPr="00D4543D">
        <w:rPr>
          <w:rFonts w:ascii="Palatino Linotype" w:hAnsi="Palatino Linotype" w:cs="Arial"/>
        </w:rPr>
        <w:t>Personales</w:t>
      </w:r>
      <w:r w:rsidRPr="00D4543D">
        <w:rPr>
          <w:rFonts w:ascii="Palatino Linotype" w:hAnsi="Palatino Linotype" w:cs="Arial"/>
          <w:lang w:val="es-ES_tradnl"/>
        </w:rPr>
        <w:t xml:space="preserve"> del Estado de México y Municipios y con fundamento en el </w:t>
      </w:r>
      <w:r w:rsidRPr="00D4543D">
        <w:rPr>
          <w:rFonts w:ascii="Palatino Linotype" w:hAnsi="Palatino Linotype" w:cs="Arial"/>
        </w:rPr>
        <w:t>artículo</w:t>
      </w:r>
      <w:r w:rsidRPr="00D4543D">
        <w:rPr>
          <w:rFonts w:ascii="Palatino Linotype" w:hAnsi="Palatino Linotype" w:cs="Arial"/>
          <w:lang w:val="es-ES_tradnl"/>
        </w:rPr>
        <w:t xml:space="preserve"> 185 </w:t>
      </w:r>
      <w:r w:rsidRPr="00D4543D">
        <w:rPr>
          <w:rFonts w:ascii="Palatino Linotype" w:hAnsi="Palatino Linotype"/>
        </w:rPr>
        <w:t>fracción</w:t>
      </w:r>
      <w:r w:rsidRPr="00D4543D">
        <w:rPr>
          <w:rFonts w:ascii="Palatino Linotype" w:hAnsi="Palatino Linotype" w:cs="Arial"/>
          <w:lang w:val="es-ES_tradnl"/>
        </w:rPr>
        <w:t xml:space="preserve"> I de la </w:t>
      </w:r>
      <w:r w:rsidRPr="00D4543D">
        <w:rPr>
          <w:rFonts w:ascii="Palatino Linotype" w:hAnsi="Palatino Linotype"/>
        </w:rPr>
        <w:t>Ley de Transparencia y Acceso a la Información Pública del Estado de México y Municipios</w:t>
      </w:r>
      <w:r w:rsidRPr="00D4543D">
        <w:rPr>
          <w:rFonts w:ascii="Palatino Linotype" w:hAnsi="Palatino Linotype" w:cs="Arial"/>
          <w:lang w:val="es-ES_tradnl"/>
        </w:rPr>
        <w:t>, se turnó, a través del</w:t>
      </w:r>
      <w:r w:rsidRPr="00D4543D">
        <w:rPr>
          <w:rFonts w:ascii="Palatino Linotype" w:eastAsia="Arial Unicode MS" w:hAnsi="Palatino Linotype" w:cs="Arial"/>
          <w:lang w:val="es-ES_tradnl"/>
        </w:rPr>
        <w:t xml:space="preserve"> </w:t>
      </w:r>
      <w:r w:rsidRPr="00D4543D">
        <w:rPr>
          <w:rFonts w:ascii="Palatino Linotype" w:eastAsia="Arial Unicode MS" w:hAnsi="Palatino Linotype" w:cs="Arial"/>
          <w:b/>
          <w:lang w:val="es-ES_tradnl"/>
        </w:rPr>
        <w:t>SAIMEX</w:t>
      </w:r>
      <w:r w:rsidRPr="00D4543D">
        <w:rPr>
          <w:rFonts w:ascii="Palatino Linotype" w:hAnsi="Palatino Linotype"/>
        </w:rPr>
        <w:t xml:space="preserve">, a la </w:t>
      </w:r>
      <w:r w:rsidRPr="00D4543D">
        <w:rPr>
          <w:rFonts w:ascii="Palatino Linotype" w:hAnsi="Palatino Linotype" w:cs="Arial"/>
          <w:lang w:val="es-ES_tradnl"/>
        </w:rPr>
        <w:t xml:space="preserve">Comisionada </w:t>
      </w:r>
      <w:r w:rsidRPr="00D4543D">
        <w:rPr>
          <w:rFonts w:ascii="Palatino Linotype" w:hAnsi="Palatino Linotype" w:cs="Arial"/>
          <w:b/>
          <w:lang w:val="es-ES_tradnl"/>
        </w:rPr>
        <w:t>EVA ABAID YAPUR</w:t>
      </w:r>
      <w:r w:rsidRPr="00D4543D">
        <w:rPr>
          <w:rFonts w:ascii="Palatino Linotype" w:hAnsi="Palatino Linotype" w:cs="Arial"/>
          <w:lang w:val="es-ES_tradnl"/>
        </w:rPr>
        <w:t>, a efecto de que decretara su admisión o desechamiento.</w:t>
      </w:r>
    </w:p>
    <w:p w:rsidR="00F225FE" w:rsidRPr="00D4543D" w:rsidRDefault="00252ABF" w:rsidP="003F3859">
      <w:pPr>
        <w:pStyle w:val="Prrafodelista"/>
        <w:widowControl w:val="0"/>
        <w:numPr>
          <w:ilvl w:val="0"/>
          <w:numId w:val="6"/>
        </w:numPr>
        <w:tabs>
          <w:tab w:val="left" w:pos="360"/>
        </w:tabs>
        <w:autoSpaceDE w:val="0"/>
        <w:autoSpaceDN w:val="0"/>
        <w:adjustRightInd w:val="0"/>
        <w:spacing w:line="360" w:lineRule="auto"/>
        <w:ind w:left="0" w:firstLine="0"/>
        <w:jc w:val="both"/>
        <w:rPr>
          <w:rFonts w:ascii="Palatino Linotype" w:hAnsi="Palatino Linotype" w:cs="Arial"/>
        </w:rPr>
      </w:pPr>
      <w:r w:rsidRPr="00D4543D">
        <w:rPr>
          <w:rFonts w:ascii="Palatino Linotype" w:hAnsi="Palatino Linotype" w:cs="Arial"/>
        </w:rPr>
        <w:t>De las constancias del expediente electrónico del</w:t>
      </w:r>
      <w:r w:rsidRPr="00D4543D">
        <w:rPr>
          <w:rFonts w:ascii="Palatino Linotype" w:hAnsi="Palatino Linotype" w:cs="Arial"/>
          <w:b/>
        </w:rPr>
        <w:t xml:space="preserve"> SAIMEX</w:t>
      </w:r>
      <w:r w:rsidRPr="00D4543D">
        <w:rPr>
          <w:rFonts w:ascii="Palatino Linotype" w:hAnsi="Palatino Linotype" w:cs="Arial"/>
        </w:rPr>
        <w:t xml:space="preserve">, se advierte </w:t>
      </w:r>
      <w:r w:rsidR="000E0DAA" w:rsidRPr="00D4543D">
        <w:rPr>
          <w:rFonts w:ascii="Palatino Linotype" w:hAnsi="Palatino Linotype" w:cs="Arial"/>
        </w:rPr>
        <w:t xml:space="preserve">que en fecha </w:t>
      </w:r>
      <w:r w:rsidR="0035479D" w:rsidRPr="00D4543D">
        <w:rPr>
          <w:rFonts w:ascii="Palatino Linotype" w:hAnsi="Palatino Linotype" w:cs="Arial"/>
        </w:rPr>
        <w:t xml:space="preserve">ocho de agosto </w:t>
      </w:r>
      <w:r w:rsidR="000E0DAA" w:rsidRPr="00D4543D">
        <w:rPr>
          <w:rFonts w:ascii="Palatino Linotype" w:hAnsi="Palatino Linotype" w:cs="Arial"/>
        </w:rPr>
        <w:t xml:space="preserve">de dos mil diecinueve, atento a lo dispuesto en el artículo 185 fracciones I, II y IV de la </w:t>
      </w:r>
      <w:r w:rsidR="000E0DAA" w:rsidRPr="00D4543D">
        <w:rPr>
          <w:rFonts w:ascii="Palatino Linotype" w:hAnsi="Palatino Linotype"/>
        </w:rPr>
        <w:t xml:space="preserve">Ley de Transparencia y Acceso a la Información Pública del Estado </w:t>
      </w:r>
      <w:r w:rsidR="000E0DAA" w:rsidRPr="00D4543D">
        <w:rPr>
          <w:rFonts w:ascii="Palatino Linotype" w:hAnsi="Palatino Linotype" w:cs="Arial"/>
          <w:lang w:val="es-ES_tradnl"/>
        </w:rPr>
        <w:t>de</w:t>
      </w:r>
      <w:r w:rsidR="000E0DAA" w:rsidRPr="00D4543D">
        <w:rPr>
          <w:rFonts w:ascii="Palatino Linotype" w:hAnsi="Palatino Linotype"/>
        </w:rPr>
        <w:t xml:space="preserve"> México y </w:t>
      </w:r>
      <w:r w:rsidR="000E0DAA" w:rsidRPr="00D4543D">
        <w:rPr>
          <w:rFonts w:ascii="Palatino Linotype" w:hAnsi="Palatino Linotype" w:cs="Arial"/>
          <w:lang w:val="es-ES_tradnl"/>
        </w:rPr>
        <w:t>Municipios</w:t>
      </w:r>
      <w:r w:rsidR="000E0DAA" w:rsidRPr="00D4543D">
        <w:rPr>
          <w:rFonts w:ascii="Palatino Linotype" w:hAnsi="Palatino Linotype"/>
        </w:rPr>
        <w:t>, se a</w:t>
      </w:r>
      <w:r w:rsidR="000E0DAA" w:rsidRPr="00D4543D">
        <w:rPr>
          <w:rFonts w:ascii="Palatino Linotype" w:hAnsi="Palatino Linotype" w:cs="Arial"/>
        </w:rPr>
        <w:t xml:space="preserve">cordó la admisión a trámite del referido recurso de </w:t>
      </w:r>
      <w:r w:rsidR="000E0DAA" w:rsidRPr="00D4543D">
        <w:rPr>
          <w:rFonts w:ascii="Palatino Linotype" w:hAnsi="Palatino Linotype" w:cs="Arial"/>
          <w:lang w:val="es-ES_tradnl"/>
        </w:rPr>
        <w:t>revisión</w:t>
      </w:r>
      <w:r w:rsidR="000E0DAA" w:rsidRPr="00D4543D">
        <w:rPr>
          <w:rFonts w:ascii="Palatino Linotype" w:hAnsi="Palatino Linotype" w:cs="Arial"/>
        </w:rPr>
        <w:t xml:space="preserve">, así como la integración del expediente respectivo, mismo que se puso a disposición de las partes, para </w:t>
      </w:r>
      <w:r w:rsidR="000E0DAA" w:rsidRPr="00D4543D">
        <w:rPr>
          <w:rFonts w:ascii="Palatino Linotype" w:hAnsi="Palatino Linotype"/>
        </w:rPr>
        <w:t>que</w:t>
      </w:r>
      <w:r w:rsidR="000E0DAA" w:rsidRPr="00D4543D">
        <w:rPr>
          <w:rFonts w:ascii="Palatino Linotype" w:hAnsi="Palatino Linotype" w:cs="Arial"/>
        </w:rPr>
        <w:t xml:space="preserve"> en el plazo máximo de siete días hábiles, </w:t>
      </w:r>
      <w:r w:rsidR="000E0DAA" w:rsidRPr="00D4543D">
        <w:rPr>
          <w:rFonts w:ascii="Palatino Linotype" w:hAnsi="Palatino Linotype"/>
          <w:b/>
        </w:rPr>
        <w:t>EL RECURRENTE</w:t>
      </w:r>
      <w:r w:rsidR="000E0DAA" w:rsidRPr="00D4543D">
        <w:rPr>
          <w:rFonts w:ascii="Palatino Linotype" w:hAnsi="Palatino Linotype" w:cs="Arial"/>
        </w:rPr>
        <w:t xml:space="preserve"> realizara manifestaciones, alegatos y ofreciera las pruebas que a su derecho </w:t>
      </w:r>
      <w:r w:rsidR="000E0DAA" w:rsidRPr="00D4543D">
        <w:rPr>
          <w:rFonts w:ascii="Palatino Linotype" w:hAnsi="Palatino Linotype" w:cs="Arial"/>
          <w:lang w:val="es-ES_tradnl"/>
        </w:rPr>
        <w:t>conviniera</w:t>
      </w:r>
      <w:r w:rsidR="000E0DAA" w:rsidRPr="00D4543D">
        <w:rPr>
          <w:rFonts w:ascii="Palatino Linotype" w:hAnsi="Palatino Linotype" w:cs="Arial"/>
        </w:rPr>
        <w:t xml:space="preserve"> y, en el caso del</w:t>
      </w:r>
      <w:r w:rsidR="000E0DAA" w:rsidRPr="00D4543D">
        <w:rPr>
          <w:rFonts w:ascii="Palatino Linotype" w:hAnsi="Palatino Linotype" w:cs="Arial"/>
          <w:b/>
        </w:rPr>
        <w:t xml:space="preserve"> SUJETO OBLIGADO</w:t>
      </w:r>
      <w:r w:rsidR="000E0DAA" w:rsidRPr="00D4543D">
        <w:rPr>
          <w:rFonts w:ascii="Palatino Linotype" w:hAnsi="Palatino Linotype" w:cs="Arial"/>
        </w:rPr>
        <w:t xml:space="preserve">, para que exhibiera el Informe Justificado </w:t>
      </w:r>
      <w:r w:rsidR="000E0DAA" w:rsidRPr="00D4543D">
        <w:rPr>
          <w:rFonts w:ascii="Palatino Linotype" w:hAnsi="Palatino Linotype" w:cs="Arial"/>
        </w:rPr>
        <w:lastRenderedPageBreak/>
        <w:t>correspondiente.</w:t>
      </w:r>
    </w:p>
    <w:p w:rsidR="001F5FCC" w:rsidRPr="00D4543D" w:rsidRDefault="001F5FCC" w:rsidP="001F5FCC">
      <w:pPr>
        <w:pStyle w:val="Prrafodelista"/>
        <w:widowControl w:val="0"/>
        <w:tabs>
          <w:tab w:val="left" w:pos="360"/>
        </w:tabs>
        <w:autoSpaceDE w:val="0"/>
        <w:autoSpaceDN w:val="0"/>
        <w:adjustRightInd w:val="0"/>
        <w:spacing w:line="360" w:lineRule="auto"/>
        <w:ind w:left="0"/>
        <w:jc w:val="both"/>
        <w:rPr>
          <w:rFonts w:ascii="Palatino Linotype" w:hAnsi="Palatino Linotype" w:cs="Arial"/>
        </w:rPr>
      </w:pPr>
    </w:p>
    <w:p w:rsidR="000E0DAA" w:rsidRPr="00D4543D" w:rsidRDefault="00086820" w:rsidP="003F3859">
      <w:pPr>
        <w:pStyle w:val="Prrafodelista"/>
        <w:widowControl w:val="0"/>
        <w:numPr>
          <w:ilvl w:val="0"/>
          <w:numId w:val="6"/>
        </w:numPr>
        <w:tabs>
          <w:tab w:val="left" w:pos="360"/>
        </w:tabs>
        <w:autoSpaceDE w:val="0"/>
        <w:autoSpaceDN w:val="0"/>
        <w:adjustRightInd w:val="0"/>
        <w:spacing w:line="360" w:lineRule="auto"/>
        <w:ind w:left="0" w:firstLine="0"/>
        <w:jc w:val="both"/>
        <w:rPr>
          <w:rFonts w:ascii="Palatino Linotype" w:hAnsi="Palatino Linotype" w:cs="Arial"/>
        </w:rPr>
      </w:pPr>
      <w:r w:rsidRPr="00D4543D">
        <w:rPr>
          <w:rFonts w:ascii="Palatino Linotype" w:hAnsi="Palatino Linotype" w:cs="Arial"/>
        </w:rPr>
        <w:t xml:space="preserve">En cumplimiento a lo anterior, de las constancias </w:t>
      </w:r>
      <w:r w:rsidR="000E0DAA" w:rsidRPr="00D4543D">
        <w:rPr>
          <w:rFonts w:ascii="Palatino Linotype" w:hAnsi="Palatino Linotype" w:cs="Arial"/>
          <w:lang w:val="es-ES_tradnl"/>
        </w:rPr>
        <w:t xml:space="preserve">que obran en el </w:t>
      </w:r>
      <w:r w:rsidR="000E0DAA" w:rsidRPr="00D4543D">
        <w:rPr>
          <w:rFonts w:ascii="Palatino Linotype" w:hAnsi="Palatino Linotype" w:cs="Arial"/>
          <w:b/>
          <w:lang w:val="es-ES_tradnl"/>
        </w:rPr>
        <w:t>SAIMEX</w:t>
      </w:r>
      <w:r w:rsidR="000E0DAA" w:rsidRPr="00D4543D">
        <w:rPr>
          <w:rFonts w:ascii="Palatino Linotype" w:hAnsi="Palatino Linotype" w:cs="Arial"/>
          <w:lang w:val="es-ES_tradnl"/>
        </w:rPr>
        <w:t>, se advierte que</w:t>
      </w:r>
      <w:r w:rsidR="000E0DAA" w:rsidRPr="00D4543D">
        <w:rPr>
          <w:rFonts w:ascii="Palatino Linotype" w:hAnsi="Palatino Linotype" w:cs="Arial"/>
          <w:b/>
          <w:lang w:val="es-ES_tradnl"/>
        </w:rPr>
        <w:t xml:space="preserve"> </w:t>
      </w:r>
      <w:r w:rsidR="000E0DAA" w:rsidRPr="00D4543D">
        <w:rPr>
          <w:rFonts w:ascii="Palatino Linotype" w:hAnsi="Palatino Linotype"/>
          <w:b/>
        </w:rPr>
        <w:t>EL RECURRENTE</w:t>
      </w:r>
      <w:r w:rsidR="000E0DAA" w:rsidRPr="00D4543D">
        <w:rPr>
          <w:rFonts w:ascii="Palatino Linotype" w:hAnsi="Palatino Linotype" w:cs="Arial"/>
        </w:rPr>
        <w:t xml:space="preserve"> omitió</w:t>
      </w:r>
      <w:r w:rsidR="000E0DAA" w:rsidRPr="00D4543D">
        <w:rPr>
          <w:rFonts w:ascii="Palatino Linotype" w:hAnsi="Palatino Linotype" w:cs="Arial"/>
          <w:lang w:val="es-ES_tradnl"/>
        </w:rPr>
        <w:t xml:space="preserve"> </w:t>
      </w:r>
      <w:r w:rsidR="000E0DAA" w:rsidRPr="00D4543D">
        <w:rPr>
          <w:rFonts w:ascii="Palatino Linotype" w:hAnsi="Palatino Linotype" w:cs="Arial"/>
        </w:rPr>
        <w:t>presentar</w:t>
      </w:r>
      <w:r w:rsidR="000E0DAA" w:rsidRPr="00D4543D">
        <w:rPr>
          <w:rFonts w:ascii="Palatino Linotype" w:hAnsi="Palatino Linotype" w:cs="Arial"/>
          <w:lang w:val="es-ES_tradnl"/>
        </w:rPr>
        <w:t xml:space="preserve"> </w:t>
      </w:r>
      <w:r w:rsidR="000E0DAA" w:rsidRPr="00D4543D">
        <w:rPr>
          <w:rFonts w:ascii="Palatino Linotype" w:hAnsi="Palatino Linotype"/>
        </w:rPr>
        <w:t>manifestaciones</w:t>
      </w:r>
      <w:r w:rsidR="000E0DAA" w:rsidRPr="00D4543D">
        <w:rPr>
          <w:rFonts w:ascii="Palatino Linotype" w:hAnsi="Palatino Linotype" w:cs="Arial"/>
          <w:lang w:val="es-ES_tradnl"/>
        </w:rPr>
        <w:t xml:space="preserve"> y alegatos, así como ofrecer los medios de </w:t>
      </w:r>
      <w:r w:rsidR="000E0DAA" w:rsidRPr="00D4543D">
        <w:rPr>
          <w:rFonts w:ascii="Palatino Linotype" w:hAnsi="Palatino Linotype" w:cs="Arial"/>
        </w:rPr>
        <w:t>prueba</w:t>
      </w:r>
      <w:r w:rsidR="000E0DAA" w:rsidRPr="00D4543D">
        <w:rPr>
          <w:rFonts w:ascii="Palatino Linotype" w:hAnsi="Palatino Linotype" w:cs="Arial"/>
          <w:lang w:val="es-ES_tradnl"/>
        </w:rPr>
        <w:t xml:space="preserve"> que a su </w:t>
      </w:r>
      <w:r w:rsidR="000E0DAA" w:rsidRPr="00D4543D">
        <w:rPr>
          <w:rFonts w:ascii="Palatino Linotype" w:hAnsi="Palatino Linotype" w:cs="Arial"/>
        </w:rPr>
        <w:t>derecho</w:t>
      </w:r>
      <w:r w:rsidR="000E0DAA" w:rsidRPr="00D4543D">
        <w:rPr>
          <w:rFonts w:ascii="Palatino Linotype" w:hAnsi="Palatino Linotype" w:cs="Arial"/>
          <w:lang w:val="es-ES_tradnl"/>
        </w:rPr>
        <w:t xml:space="preserve"> convinieran, tal como se aprecia en la imagen siguiente:</w:t>
      </w:r>
    </w:p>
    <w:p w:rsidR="008724DF" w:rsidRPr="00D4543D" w:rsidRDefault="008724DF" w:rsidP="0004712D">
      <w:pPr>
        <w:pStyle w:val="Prrafodelista"/>
        <w:ind w:left="142" w:hanging="142"/>
        <w:rPr>
          <w:noProof/>
          <w:lang w:val="es-ES"/>
        </w:rPr>
      </w:pPr>
    </w:p>
    <w:p w:rsidR="00F225FE" w:rsidRPr="00D4543D" w:rsidRDefault="0035479D" w:rsidP="0004712D">
      <w:pPr>
        <w:pStyle w:val="Prrafodelista"/>
        <w:ind w:left="142" w:hanging="142"/>
        <w:rPr>
          <w:rFonts w:ascii="Palatino Linotype" w:hAnsi="Palatino Linotype" w:cs="Arial"/>
        </w:rPr>
      </w:pPr>
      <w:r w:rsidRPr="00D4543D">
        <w:rPr>
          <w:noProof/>
          <w:lang w:val="es-ES"/>
        </w:rPr>
        <w:drawing>
          <wp:inline distT="0" distB="0" distL="0" distR="0" wp14:anchorId="143E5596" wp14:editId="7FA95742">
            <wp:extent cx="5772150" cy="2609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085" t="24264" r="53623" b="40070"/>
                    <a:stretch/>
                  </pic:blipFill>
                  <pic:spPr bwMode="auto">
                    <a:xfrm>
                      <a:off x="0" y="0"/>
                      <a:ext cx="5772150" cy="2609850"/>
                    </a:xfrm>
                    <a:prstGeom prst="rect">
                      <a:avLst/>
                    </a:prstGeom>
                    <a:ln>
                      <a:noFill/>
                    </a:ln>
                    <a:extLst>
                      <a:ext uri="{53640926-AAD7-44D8-BBD7-CCE9431645EC}">
                        <a14:shadowObscured xmlns:a14="http://schemas.microsoft.com/office/drawing/2010/main"/>
                      </a:ext>
                    </a:extLst>
                  </pic:spPr>
                </pic:pic>
              </a:graphicData>
            </a:graphic>
          </wp:inline>
        </w:drawing>
      </w:r>
    </w:p>
    <w:p w:rsidR="0004712D" w:rsidRPr="00D4543D" w:rsidRDefault="0004712D" w:rsidP="0004712D">
      <w:pPr>
        <w:pStyle w:val="Prrafodelista"/>
        <w:ind w:left="142" w:hanging="142"/>
        <w:rPr>
          <w:rFonts w:ascii="Palatino Linotype" w:hAnsi="Palatino Linotype" w:cs="Arial"/>
        </w:rPr>
      </w:pPr>
    </w:p>
    <w:p w:rsidR="001A552F" w:rsidRDefault="00A26438" w:rsidP="000C500C">
      <w:pPr>
        <w:tabs>
          <w:tab w:val="left" w:pos="567"/>
        </w:tabs>
        <w:spacing w:line="360" w:lineRule="auto"/>
        <w:jc w:val="both"/>
        <w:rPr>
          <w:rFonts w:ascii="Palatino Linotype" w:hAnsi="Palatino Linotype"/>
        </w:rPr>
      </w:pPr>
      <w:r>
        <w:rPr>
          <w:rFonts w:ascii="Palatino Linotype" w:hAnsi="Palatino Linotype"/>
          <w:b/>
          <w:noProof/>
          <w:sz w:val="28"/>
          <w:szCs w:val="28"/>
          <w:lang w:val="es-ES"/>
        </w:rPr>
        <mc:AlternateContent>
          <mc:Choice Requires="wps">
            <w:drawing>
              <wp:anchor distT="0" distB="0" distL="114300" distR="114300" simplePos="0" relativeHeight="251711488" behindDoc="0" locked="0" layoutInCell="1" allowOverlap="1">
                <wp:simplePos x="0" y="0"/>
                <wp:positionH relativeFrom="column">
                  <wp:posOffset>-32386</wp:posOffset>
                </wp:positionH>
                <wp:positionV relativeFrom="paragraph">
                  <wp:posOffset>2083435</wp:posOffset>
                </wp:positionV>
                <wp:extent cx="5895975" cy="58102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895975" cy="581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554FE" id="Conector recto 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55pt,164.05pt" to="461.7pt,2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" strokecolor="#5b9bd5 [3204]" strokeweight=".5pt">
                <v:stroke joinstyle="miter"/>
              </v:line>
            </w:pict>
          </mc:Fallback>
        </mc:AlternateContent>
      </w:r>
      <w:r w:rsidR="00470C6C" w:rsidRPr="00D4543D">
        <w:rPr>
          <w:rFonts w:ascii="Palatino Linotype" w:hAnsi="Palatino Linotype"/>
          <w:b/>
          <w:sz w:val="28"/>
          <w:szCs w:val="28"/>
        </w:rPr>
        <w:t xml:space="preserve">VIII. </w:t>
      </w:r>
      <w:r w:rsidR="00F225FE" w:rsidRPr="00D4543D">
        <w:rPr>
          <w:rFonts w:ascii="Palatino Linotype" w:hAnsi="Palatino Linotype" w:cs="Arial"/>
        </w:rPr>
        <w:t>Por</w:t>
      </w:r>
      <w:r w:rsidR="00F225FE" w:rsidRPr="00D4543D">
        <w:rPr>
          <w:rFonts w:ascii="Palatino Linotype" w:hAnsi="Palatino Linotype" w:cs="Arial"/>
          <w:lang w:val="es-ES_tradnl"/>
        </w:rPr>
        <w:t xml:space="preserve"> su </w:t>
      </w:r>
      <w:r w:rsidR="00F225FE" w:rsidRPr="00D4543D">
        <w:rPr>
          <w:rFonts w:ascii="Palatino Linotype" w:hAnsi="Palatino Linotype" w:cs="Arial"/>
        </w:rPr>
        <w:t>parte</w:t>
      </w:r>
      <w:r w:rsidR="0004712D" w:rsidRPr="00D4543D">
        <w:rPr>
          <w:rFonts w:ascii="Palatino Linotype" w:hAnsi="Palatino Linotype" w:cs="Arial"/>
          <w:lang w:val="es-ES_tradnl"/>
        </w:rPr>
        <w:t xml:space="preserve">, en fecha </w:t>
      </w:r>
      <w:r w:rsidR="001A552F" w:rsidRPr="00D4543D">
        <w:rPr>
          <w:rFonts w:ascii="Palatino Linotype" w:hAnsi="Palatino Linotype" w:cs="Arial"/>
          <w:lang w:val="es-ES_tradnl"/>
        </w:rPr>
        <w:t xml:space="preserve">diecinueve de agosto </w:t>
      </w:r>
      <w:r w:rsidR="00F225FE" w:rsidRPr="00D4543D">
        <w:rPr>
          <w:rFonts w:ascii="Palatino Linotype" w:hAnsi="Palatino Linotype" w:cs="Arial"/>
          <w:lang w:val="es-ES_tradnl"/>
        </w:rPr>
        <w:t>de dos mil diecinueve,</w:t>
      </w:r>
      <w:r w:rsidR="00F225FE" w:rsidRPr="00D4543D">
        <w:rPr>
          <w:rFonts w:ascii="Palatino Linotype" w:hAnsi="Palatino Linotype" w:cs="Arial"/>
          <w:b/>
          <w:lang w:val="es-ES_tradnl"/>
        </w:rPr>
        <w:t xml:space="preserve"> EL SUJETO OBLIGADO</w:t>
      </w:r>
      <w:r w:rsidR="00F225FE" w:rsidRPr="00D4543D">
        <w:rPr>
          <w:rFonts w:ascii="Palatino Linotype" w:hAnsi="Palatino Linotype" w:cs="Arial"/>
          <w:lang w:val="es-ES_tradnl"/>
        </w:rPr>
        <w:t xml:space="preserve"> rindió el Informe Justificado, mediante el cual, en lo</w:t>
      </w:r>
      <w:r w:rsidR="001A552F" w:rsidRPr="00D4543D">
        <w:rPr>
          <w:rFonts w:ascii="Palatino Linotype" w:hAnsi="Palatino Linotype" w:cs="Arial"/>
          <w:lang w:val="es-ES_tradnl"/>
        </w:rPr>
        <w:t xml:space="preserve"> medular, confirmó su respuesta </w:t>
      </w:r>
      <w:r w:rsidR="00F225FE" w:rsidRPr="00D4543D">
        <w:rPr>
          <w:rFonts w:ascii="Palatino Linotype" w:hAnsi="Palatino Linotype" w:cs="Arial"/>
          <w:lang w:val="es-ES_tradnl"/>
        </w:rPr>
        <w:t>y</w:t>
      </w:r>
      <w:r w:rsidR="001A552F" w:rsidRPr="00D4543D">
        <w:rPr>
          <w:rFonts w:ascii="Palatino Linotype" w:hAnsi="Palatino Linotype" w:cs="Arial"/>
          <w:lang w:val="es-ES_tradnl"/>
        </w:rPr>
        <w:t xml:space="preserve"> orientó al particular que además del </w:t>
      </w:r>
      <w:r w:rsidR="001A552F" w:rsidRPr="00D4543D">
        <w:rPr>
          <w:rFonts w:ascii="Palatino Linotype" w:hAnsi="Palatino Linotype"/>
        </w:rPr>
        <w:t>Sistema Nacional de Seguridad Pública</w:t>
      </w:r>
      <w:r w:rsidR="00217896" w:rsidRPr="00D4543D">
        <w:rPr>
          <w:rFonts w:ascii="Palatino Linotype" w:hAnsi="Palatino Linotype"/>
        </w:rPr>
        <w:t xml:space="preserve">; </w:t>
      </w:r>
      <w:r w:rsidR="001A552F" w:rsidRPr="00D4543D">
        <w:rPr>
          <w:rFonts w:ascii="Palatino Linotype" w:hAnsi="Palatino Linotype"/>
        </w:rPr>
        <w:t xml:space="preserve">los Sujetos Obligados que podrían contar con la información son la Secretaría de la </w:t>
      </w:r>
      <w:r w:rsidR="001C2D86" w:rsidRPr="00D4543D">
        <w:rPr>
          <w:rFonts w:ascii="Palatino Linotype" w:hAnsi="Palatino Linotype"/>
        </w:rPr>
        <w:t>Contraloría y la Secretaría de F</w:t>
      </w:r>
      <w:r w:rsidR="001A552F" w:rsidRPr="00D4543D">
        <w:rPr>
          <w:rFonts w:ascii="Palatino Linotype" w:hAnsi="Palatino Linotype"/>
        </w:rPr>
        <w:t>inanzas, razón por la cual,</w:t>
      </w:r>
      <w:r w:rsidR="001F5FCC" w:rsidRPr="00D4543D">
        <w:rPr>
          <w:rFonts w:ascii="Palatino Linotype" w:hAnsi="Palatino Linotype"/>
        </w:rPr>
        <w:t xml:space="preserve"> en fecha cinco de septiembre</w:t>
      </w:r>
      <w:r w:rsidR="001A552F" w:rsidRPr="00D4543D">
        <w:rPr>
          <w:rFonts w:ascii="Palatino Linotype" w:hAnsi="Palatino Linotype"/>
        </w:rPr>
        <w:t xml:space="preserve"> </w:t>
      </w:r>
      <w:r w:rsidR="001F5FCC" w:rsidRPr="00D4543D">
        <w:rPr>
          <w:rFonts w:ascii="Palatino Linotype" w:hAnsi="Palatino Linotype"/>
        </w:rPr>
        <w:t xml:space="preserve">de dos mil diecinueve, </w:t>
      </w:r>
      <w:r w:rsidR="001A552F" w:rsidRPr="00D4543D">
        <w:rPr>
          <w:rFonts w:ascii="Palatino Linotype" w:hAnsi="Palatino Linotype"/>
        </w:rPr>
        <w:t xml:space="preserve">se puso a la vista </w:t>
      </w:r>
      <w:r w:rsidR="001F5FCC" w:rsidRPr="00D4543D">
        <w:rPr>
          <w:rFonts w:ascii="Palatino Linotype" w:hAnsi="Palatino Linotype"/>
        </w:rPr>
        <w:t xml:space="preserve">del </w:t>
      </w:r>
      <w:r w:rsidR="001F5FCC" w:rsidRPr="00D4543D">
        <w:rPr>
          <w:rFonts w:ascii="Palatino Linotype" w:hAnsi="Palatino Linotype"/>
          <w:b/>
        </w:rPr>
        <w:t xml:space="preserve">RECURRENTE, </w:t>
      </w:r>
      <w:r w:rsidR="001F5FCC" w:rsidRPr="00D4543D">
        <w:rPr>
          <w:rFonts w:ascii="Palatino Linotype" w:hAnsi="Palatino Linotype"/>
        </w:rPr>
        <w:t>a efecto de que manifestara lo que a su derecho corresponda.</w:t>
      </w:r>
    </w:p>
    <w:p w:rsidR="00A26438" w:rsidRPr="00D4543D" w:rsidRDefault="00A26438" w:rsidP="000C500C">
      <w:pPr>
        <w:tabs>
          <w:tab w:val="left" w:pos="567"/>
        </w:tabs>
        <w:spacing w:line="360" w:lineRule="auto"/>
        <w:jc w:val="both"/>
        <w:rPr>
          <w:rFonts w:ascii="Palatino Linotype" w:hAnsi="Palatino Linotype" w:cs="Arial"/>
          <w:lang w:val="es-ES_tradnl"/>
        </w:rPr>
      </w:pPr>
    </w:p>
    <w:p w:rsidR="00470C6C" w:rsidRPr="00D4543D" w:rsidRDefault="00C35A26" w:rsidP="0013316A">
      <w:pPr>
        <w:spacing w:before="240" w:after="240" w:line="360" w:lineRule="auto"/>
        <w:jc w:val="both"/>
        <w:rPr>
          <w:rFonts w:ascii="Palatino Linotype" w:hAnsi="Palatino Linotype" w:cs="Arial"/>
        </w:rPr>
      </w:pPr>
      <w:r w:rsidRPr="00D4543D">
        <w:rPr>
          <w:rFonts w:ascii="Palatino Linotype" w:hAnsi="Palatino Linotype"/>
          <w:b/>
          <w:sz w:val="28"/>
          <w:szCs w:val="28"/>
        </w:rPr>
        <w:lastRenderedPageBreak/>
        <w:t xml:space="preserve">IX. </w:t>
      </w:r>
      <w:r w:rsidR="0070555E" w:rsidRPr="00D4543D">
        <w:rPr>
          <w:rFonts w:ascii="Palatino Linotype" w:hAnsi="Palatino Linotype" w:cs="Arial"/>
        </w:rPr>
        <w:t xml:space="preserve">Una vez analizado el estado procesal que guardaba el expediente, en fecha </w:t>
      </w:r>
      <w:r w:rsidR="001F5FCC" w:rsidRPr="00D4543D">
        <w:rPr>
          <w:rFonts w:ascii="Palatino Linotype" w:hAnsi="Palatino Linotype" w:cs="Arial"/>
        </w:rPr>
        <w:t xml:space="preserve">once de septiembre </w:t>
      </w:r>
      <w:r w:rsidR="0070555E" w:rsidRPr="00D4543D">
        <w:rPr>
          <w:rFonts w:ascii="Palatino Linotype" w:hAnsi="Palatino Linotype" w:cs="Arial"/>
        </w:rPr>
        <w:t xml:space="preserve">de dos mil diecinueve, la Comisionada Ponente acordó el Cierre de Instrucción; así </w:t>
      </w:r>
      <w:r w:rsidR="0070555E" w:rsidRPr="00D4543D">
        <w:rPr>
          <w:rFonts w:ascii="Palatino Linotype" w:hAnsi="Palatino Linotype" w:cs="Arial"/>
          <w:lang w:val="es-ES_tradnl"/>
        </w:rPr>
        <w:t>como,</w:t>
      </w:r>
      <w:r w:rsidR="0070555E" w:rsidRPr="00D4543D">
        <w:rPr>
          <w:rFonts w:ascii="Palatino Linotype" w:hAnsi="Palatino Linotype" w:cs="Arial"/>
        </w:rPr>
        <w:t xml:space="preserve"> la remisión del mismo a efecto </w:t>
      </w:r>
      <w:r w:rsidR="0070555E" w:rsidRPr="00D4543D">
        <w:rPr>
          <w:rFonts w:ascii="Palatino Linotype" w:hAnsi="Palatino Linotype" w:cs="Arial"/>
          <w:lang w:val="es-ES_tradnl"/>
        </w:rPr>
        <w:t>de</w:t>
      </w:r>
      <w:r w:rsidR="0070555E" w:rsidRPr="00D4543D">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 </w:t>
      </w:r>
    </w:p>
    <w:p w:rsidR="00470C6C" w:rsidRPr="00D4543D" w:rsidRDefault="00C35A26" w:rsidP="0013316A">
      <w:pPr>
        <w:spacing w:before="240" w:after="240" w:line="360" w:lineRule="auto"/>
        <w:jc w:val="both"/>
        <w:rPr>
          <w:rFonts w:ascii="Palatino Linotype" w:hAnsi="Palatino Linotype" w:cs="Arial"/>
        </w:rPr>
      </w:pPr>
      <w:r w:rsidRPr="00D4543D">
        <w:rPr>
          <w:rFonts w:ascii="Palatino Linotype" w:hAnsi="Palatino Linotype"/>
          <w:b/>
          <w:sz w:val="28"/>
          <w:szCs w:val="28"/>
        </w:rPr>
        <w:t xml:space="preserve">X. </w:t>
      </w:r>
      <w:r w:rsidR="0013316A" w:rsidRPr="00D4543D">
        <w:rPr>
          <w:rFonts w:ascii="Palatino Linotype" w:hAnsi="Palatino Linotype" w:cs="Arial"/>
        </w:rPr>
        <w:t xml:space="preserve">En fecha </w:t>
      </w:r>
      <w:r w:rsidR="003F6F2A" w:rsidRPr="00D4543D">
        <w:rPr>
          <w:rFonts w:ascii="Palatino Linotype" w:hAnsi="Palatino Linotype" w:cs="Arial"/>
        </w:rPr>
        <w:t xml:space="preserve">diez de octubre </w:t>
      </w:r>
      <w:r w:rsidR="0013316A" w:rsidRPr="00D4543D">
        <w:rPr>
          <w:rFonts w:ascii="Palatino Linotype" w:hAnsi="Palatino Linotype" w:cs="Arial"/>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A26438" w:rsidRPr="00D4543D" w:rsidRDefault="00252ABF" w:rsidP="00A26438">
      <w:pPr>
        <w:spacing w:before="100" w:beforeAutospacing="1" w:after="100" w:afterAutospacing="1" w:line="360" w:lineRule="auto"/>
        <w:jc w:val="center"/>
        <w:rPr>
          <w:rFonts w:ascii="Palatino Linotype" w:hAnsi="Palatino Linotype"/>
          <w:b/>
          <w:bCs/>
          <w:spacing w:val="40"/>
          <w:sz w:val="28"/>
        </w:rPr>
      </w:pPr>
      <w:r w:rsidRPr="00D4543D">
        <w:rPr>
          <w:rFonts w:ascii="Palatino Linotype" w:hAnsi="Palatino Linotype"/>
          <w:b/>
          <w:bCs/>
          <w:spacing w:val="40"/>
          <w:sz w:val="28"/>
        </w:rPr>
        <w:t>CONSIDERANDO</w:t>
      </w:r>
    </w:p>
    <w:p w:rsidR="0013316A" w:rsidRPr="00D4543D" w:rsidRDefault="00252ABF"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4543D">
        <w:rPr>
          <w:rFonts w:ascii="Palatino Linotype" w:hAnsi="Palatino Linotype"/>
          <w:b/>
        </w:rPr>
        <w:t>Competencia</w:t>
      </w:r>
      <w:r w:rsidRPr="00D4543D">
        <w:rPr>
          <w:rFonts w:ascii="Palatino Linotype" w:hAnsi="Palatino Linotype"/>
        </w:rPr>
        <w:t>.</w:t>
      </w:r>
      <w:r w:rsidRPr="00D4543D">
        <w:rPr>
          <w:rFonts w:ascii="Palatino Linotype" w:hAnsi="Palatino Linotype"/>
          <w:b/>
        </w:rPr>
        <w:t xml:space="preserve"> </w:t>
      </w:r>
      <w:r w:rsidR="0013316A" w:rsidRPr="00D4543D">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CA69AD" w:rsidRPr="00D4543D">
        <w:rPr>
          <w:rFonts w:ascii="Palatino Linotype" w:hAnsi="Palatino Linotype"/>
        </w:rPr>
        <w:t xml:space="preserve"> segundo, vigésimo tercero y vigésimo cuarto</w:t>
      </w:r>
      <w:r w:rsidR="0013316A" w:rsidRPr="00D4543D">
        <w:rPr>
          <w:rFonts w:ascii="Palatino Linotype" w:hAnsi="Palatino Linotype"/>
        </w:rPr>
        <w:t xml:space="preserve">,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w:t>
      </w:r>
      <w:r w:rsidR="0013316A" w:rsidRPr="00D4543D">
        <w:rPr>
          <w:rFonts w:ascii="Palatino Linotype" w:hAnsi="Palatino Linotype"/>
        </w:rPr>
        <w:lastRenderedPageBreak/>
        <w:t>Personales del Estado de México y Municipios</w:t>
      </w:r>
      <w:r w:rsidR="0013316A" w:rsidRPr="00D4543D">
        <w:rPr>
          <w:rFonts w:ascii="Palatino Linotype" w:hAnsi="Palatino Linotype" w:cs="Arial"/>
        </w:rPr>
        <w:t>.</w:t>
      </w:r>
    </w:p>
    <w:p w:rsidR="0013316A" w:rsidRPr="00D4543D"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4543D">
        <w:rPr>
          <w:rFonts w:ascii="Palatino Linotype" w:hAnsi="Palatino Linotype" w:cs="Arial"/>
          <w:b/>
        </w:rPr>
        <w:t xml:space="preserve"> Interés.</w:t>
      </w:r>
      <w:r w:rsidRPr="00D4543D">
        <w:rPr>
          <w:rFonts w:ascii="Palatino Linotype" w:hAnsi="Palatino Linotype" w:cs="Arial"/>
        </w:rPr>
        <w:t xml:space="preserve"> El </w:t>
      </w:r>
      <w:r w:rsidRPr="00D4543D">
        <w:rPr>
          <w:rFonts w:ascii="Palatino Linotype" w:hAnsi="Palatino Linotype"/>
        </w:rPr>
        <w:t>recurso</w:t>
      </w:r>
      <w:r w:rsidRPr="00D4543D">
        <w:rPr>
          <w:rFonts w:ascii="Palatino Linotype" w:hAnsi="Palatino Linotype" w:cs="Arial"/>
        </w:rPr>
        <w:t xml:space="preserve"> de revisión fue </w:t>
      </w:r>
      <w:r w:rsidRPr="00D4543D">
        <w:rPr>
          <w:rFonts w:ascii="Palatino Linotype" w:hAnsi="Palatino Linotype"/>
        </w:rPr>
        <w:t>interpuesto</w:t>
      </w:r>
      <w:r w:rsidRPr="00D4543D">
        <w:rPr>
          <w:rFonts w:ascii="Palatino Linotype" w:hAnsi="Palatino Linotype" w:cs="Arial"/>
        </w:rPr>
        <w:t xml:space="preserve"> por parte legítima en atención a que fue </w:t>
      </w:r>
      <w:r w:rsidRPr="00D4543D">
        <w:rPr>
          <w:rFonts w:ascii="Palatino Linotype" w:hAnsi="Palatino Linotype"/>
        </w:rPr>
        <w:t>presentado</w:t>
      </w:r>
      <w:r w:rsidRPr="00D4543D">
        <w:rPr>
          <w:rFonts w:ascii="Palatino Linotype" w:hAnsi="Palatino Linotype" w:cs="Arial"/>
        </w:rPr>
        <w:t xml:space="preserve"> por </w:t>
      </w:r>
      <w:r w:rsidRPr="00D4543D">
        <w:rPr>
          <w:rFonts w:ascii="Palatino Linotype" w:hAnsi="Palatino Linotype" w:cs="Arial"/>
          <w:b/>
        </w:rPr>
        <w:t>EL RECURRENTE</w:t>
      </w:r>
      <w:r w:rsidRPr="00D4543D">
        <w:rPr>
          <w:rFonts w:ascii="Palatino Linotype" w:hAnsi="Palatino Linotype" w:cs="Arial"/>
          <w:snapToGrid w:val="0"/>
        </w:rPr>
        <w:t xml:space="preserve">, </w:t>
      </w:r>
      <w:r w:rsidRPr="00D4543D">
        <w:rPr>
          <w:rFonts w:ascii="Palatino Linotype" w:hAnsi="Palatino Linotype" w:cs="Arial"/>
        </w:rPr>
        <w:t>quien</w:t>
      </w:r>
      <w:r w:rsidRPr="00D4543D">
        <w:rPr>
          <w:rFonts w:ascii="Palatino Linotype" w:hAnsi="Palatino Linotype" w:cs="Arial"/>
          <w:snapToGrid w:val="0"/>
        </w:rPr>
        <w:t xml:space="preserve"> </w:t>
      </w:r>
      <w:r w:rsidRPr="00D4543D">
        <w:rPr>
          <w:rFonts w:ascii="Palatino Linotype" w:hAnsi="Palatino Linotype"/>
        </w:rPr>
        <w:t>formuló</w:t>
      </w:r>
      <w:r w:rsidRPr="00D4543D">
        <w:rPr>
          <w:rFonts w:ascii="Palatino Linotype" w:hAnsi="Palatino Linotype" w:cs="Arial"/>
          <w:snapToGrid w:val="0"/>
        </w:rPr>
        <w:t xml:space="preserve"> la </w:t>
      </w:r>
      <w:r w:rsidRPr="00D4543D">
        <w:rPr>
          <w:rFonts w:ascii="Palatino Linotype" w:hAnsi="Palatino Linotype" w:cs="Arial"/>
        </w:rPr>
        <w:t>solicitud</w:t>
      </w:r>
      <w:r w:rsidRPr="00D4543D">
        <w:rPr>
          <w:rFonts w:ascii="Palatino Linotype" w:hAnsi="Palatino Linotype" w:cs="Arial"/>
          <w:snapToGrid w:val="0"/>
        </w:rPr>
        <w:t xml:space="preserve"> de acceso a la información pública </w:t>
      </w:r>
      <w:r w:rsidRPr="00D4543D">
        <w:rPr>
          <w:rFonts w:ascii="Palatino Linotype" w:hAnsi="Palatino Linotype"/>
        </w:rPr>
        <w:t>número</w:t>
      </w:r>
      <w:r w:rsidR="00F24812" w:rsidRPr="00D4543D">
        <w:rPr>
          <w:rFonts w:ascii="Verdana" w:hAnsi="Verdana"/>
          <w:b/>
          <w:bCs/>
          <w:color w:val="FF0000"/>
        </w:rPr>
        <w:t xml:space="preserve"> </w:t>
      </w:r>
      <w:r w:rsidR="00F24812" w:rsidRPr="00D4543D">
        <w:rPr>
          <w:rFonts w:ascii="Palatino Linotype" w:hAnsi="Palatino Linotype"/>
          <w:b/>
          <w:bCs/>
        </w:rPr>
        <w:t>00267/SSEM/IP/2019</w:t>
      </w:r>
      <w:r w:rsidR="009D3BFB" w:rsidRPr="00D4543D">
        <w:rPr>
          <w:rFonts w:ascii="Palatino Linotype" w:hAnsi="Palatino Linotype"/>
          <w:b/>
          <w:bCs/>
        </w:rPr>
        <w:t>.</w:t>
      </w:r>
    </w:p>
    <w:p w:rsidR="0013316A" w:rsidRPr="00D4543D"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4543D">
        <w:rPr>
          <w:rFonts w:ascii="Palatino Linotype" w:hAnsi="Palatino Linotype" w:cs="Arial"/>
          <w:b/>
        </w:rPr>
        <w:t xml:space="preserve">Oportunidad. </w:t>
      </w:r>
      <w:r w:rsidRPr="00D4543D">
        <w:rPr>
          <w:rFonts w:ascii="Palatino Linotype" w:hAnsi="Palatino Linotype" w:cs="Arial"/>
        </w:rPr>
        <w:t xml:space="preserve">El recurso de revisión fue interpuesto dentro del plazo de quince días hábiles, contados a partir del día siguiente al en que </w:t>
      </w:r>
      <w:r w:rsidRPr="00D4543D">
        <w:rPr>
          <w:rFonts w:ascii="Palatino Linotype" w:hAnsi="Palatino Linotype" w:cs="Arial"/>
          <w:b/>
        </w:rPr>
        <w:t xml:space="preserve">EL RECURRENTE </w:t>
      </w:r>
      <w:r w:rsidRPr="00D4543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3316A" w:rsidRPr="00D4543D" w:rsidRDefault="0013316A" w:rsidP="006B542F">
      <w:pPr>
        <w:ind w:left="709" w:right="709"/>
        <w:jc w:val="both"/>
        <w:rPr>
          <w:rFonts w:ascii="Palatino Linotype" w:hAnsi="Palatino Linotype" w:cs="Arial"/>
          <w:i/>
          <w:sz w:val="22"/>
          <w:szCs w:val="22"/>
        </w:rPr>
      </w:pPr>
      <w:r w:rsidRPr="00D4543D">
        <w:rPr>
          <w:rFonts w:ascii="Palatino Linotype" w:hAnsi="Palatino Linotype" w:cs="Arial"/>
          <w:i/>
          <w:sz w:val="22"/>
          <w:szCs w:val="22"/>
        </w:rPr>
        <w:t>“</w:t>
      </w:r>
      <w:r w:rsidRPr="00D4543D">
        <w:rPr>
          <w:rFonts w:ascii="Palatino Linotype" w:hAnsi="Palatino Linotype" w:cs="Arial"/>
          <w:b/>
          <w:i/>
          <w:sz w:val="22"/>
          <w:szCs w:val="22"/>
        </w:rPr>
        <w:t>Artículo 178.</w:t>
      </w:r>
      <w:r w:rsidRPr="00D4543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3316A" w:rsidRPr="00D4543D" w:rsidRDefault="0013316A" w:rsidP="006B542F">
      <w:pPr>
        <w:ind w:left="709" w:right="709"/>
        <w:jc w:val="both"/>
        <w:rPr>
          <w:rFonts w:ascii="Palatino Linotype" w:hAnsi="Palatino Linotype" w:cs="Arial"/>
          <w:i/>
          <w:sz w:val="22"/>
          <w:szCs w:val="22"/>
        </w:rPr>
      </w:pPr>
      <w:r w:rsidRPr="00D4543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3316A" w:rsidRPr="00D4543D" w:rsidRDefault="0013316A" w:rsidP="006B542F">
      <w:pPr>
        <w:ind w:left="709" w:right="709"/>
        <w:jc w:val="both"/>
        <w:rPr>
          <w:rFonts w:ascii="Palatino Linotype" w:hAnsi="Palatino Linotype" w:cs="Arial"/>
          <w:i/>
          <w:sz w:val="22"/>
          <w:szCs w:val="22"/>
        </w:rPr>
      </w:pPr>
    </w:p>
    <w:p w:rsidR="0013316A" w:rsidRPr="00D4543D" w:rsidRDefault="0013316A" w:rsidP="006B542F">
      <w:pPr>
        <w:ind w:left="709" w:right="709"/>
        <w:jc w:val="both"/>
        <w:rPr>
          <w:rFonts w:ascii="Palatino Linotype" w:hAnsi="Palatino Linotype" w:cs="Arial"/>
          <w:i/>
          <w:sz w:val="22"/>
          <w:szCs w:val="22"/>
        </w:rPr>
      </w:pPr>
      <w:r w:rsidRPr="00D4543D">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D4543D">
        <w:rPr>
          <w:rFonts w:ascii="Palatino Linotype" w:hAnsi="Palatino Linotype" w:cs="Arial"/>
          <w:i/>
          <w:sz w:val="22"/>
          <w:szCs w:val="22"/>
          <w:lang w:eastAsia="es-MX"/>
        </w:rPr>
        <w:t>siguiente</w:t>
      </w:r>
      <w:r w:rsidRPr="00D4543D">
        <w:rPr>
          <w:rFonts w:ascii="Palatino Linotype" w:hAnsi="Palatino Linotype" w:cs="Arial"/>
          <w:i/>
          <w:sz w:val="22"/>
          <w:szCs w:val="22"/>
        </w:rPr>
        <w:t xml:space="preserve"> de haberlo recibido.”</w:t>
      </w:r>
    </w:p>
    <w:p w:rsidR="0013316A" w:rsidRPr="00D4543D" w:rsidRDefault="0013316A" w:rsidP="0013316A">
      <w:pPr>
        <w:spacing w:before="240" w:after="100" w:afterAutospacing="1" w:line="360" w:lineRule="auto"/>
        <w:jc w:val="both"/>
        <w:rPr>
          <w:rFonts w:ascii="Palatino Linotype" w:hAnsi="Palatino Linotype" w:cs="Arial"/>
        </w:rPr>
      </w:pPr>
      <w:r w:rsidRPr="00D4543D">
        <w:rPr>
          <w:rFonts w:ascii="Palatino Linotype" w:hAnsi="Palatino Linotype" w:cs="Arial"/>
        </w:rPr>
        <w:t xml:space="preserve">En esa tesitura, atendiendo a que </w:t>
      </w:r>
      <w:r w:rsidRPr="00D4543D">
        <w:rPr>
          <w:rFonts w:ascii="Palatino Linotype" w:hAnsi="Palatino Linotype" w:cs="Arial"/>
          <w:b/>
        </w:rPr>
        <w:t>EL SUJETO OBLIGADO</w:t>
      </w:r>
      <w:r w:rsidRPr="00D4543D">
        <w:rPr>
          <w:rFonts w:ascii="Palatino Linotype" w:hAnsi="Palatino Linotype" w:cs="Arial"/>
        </w:rPr>
        <w:t xml:space="preserve"> notificó la respuesta a la solicitud de acceso a la información pública el día</w:t>
      </w:r>
      <w:r w:rsidR="007C178C" w:rsidRPr="00D4543D">
        <w:rPr>
          <w:rFonts w:ascii="Palatino Linotype" w:hAnsi="Palatino Linotype" w:cs="Arial"/>
          <w:b/>
        </w:rPr>
        <w:t xml:space="preserve"> </w:t>
      </w:r>
      <w:r w:rsidR="00F24812" w:rsidRPr="00D4543D">
        <w:rPr>
          <w:rFonts w:ascii="Palatino Linotype" w:hAnsi="Palatino Linotype" w:cs="Arial"/>
          <w:b/>
        </w:rPr>
        <w:t xml:space="preserve">veintinueve </w:t>
      </w:r>
      <w:r w:rsidRPr="00D4543D">
        <w:rPr>
          <w:rFonts w:ascii="Palatino Linotype" w:hAnsi="Palatino Linotype" w:cs="Arial"/>
          <w:b/>
        </w:rPr>
        <w:t>de</w:t>
      </w:r>
      <w:r w:rsidR="00F24812" w:rsidRPr="00D4543D">
        <w:rPr>
          <w:rFonts w:ascii="Palatino Linotype" w:hAnsi="Palatino Linotype" w:cs="Arial"/>
          <w:b/>
        </w:rPr>
        <w:t xml:space="preserve"> julio</w:t>
      </w:r>
      <w:r w:rsidRPr="00D4543D">
        <w:rPr>
          <w:rFonts w:ascii="Palatino Linotype" w:hAnsi="Palatino Linotype" w:cs="Arial"/>
          <w:b/>
        </w:rPr>
        <w:t xml:space="preserve"> dos mil diecinueve</w:t>
      </w:r>
      <w:r w:rsidRPr="00D4543D">
        <w:rPr>
          <w:rFonts w:ascii="Palatino Linotype" w:hAnsi="Palatino Linotype" w:cs="Arial"/>
        </w:rPr>
        <w:t>; así, el plazo de quince días hábiles que el artículo 178 de la Ley de la materia otorga al</w:t>
      </w:r>
      <w:r w:rsidRPr="00D4543D">
        <w:rPr>
          <w:rFonts w:ascii="Palatino Linotype" w:hAnsi="Palatino Linotype" w:cs="Arial"/>
          <w:b/>
        </w:rPr>
        <w:t xml:space="preserve"> RECURRENTE</w:t>
      </w:r>
      <w:r w:rsidRPr="00D4543D">
        <w:rPr>
          <w:rFonts w:ascii="Palatino Linotype" w:hAnsi="Palatino Linotype" w:cs="Arial"/>
        </w:rPr>
        <w:t xml:space="preserve"> para presentar el respectivo recurso de revisión, transcurrió del </w:t>
      </w:r>
      <w:r w:rsidR="00C503E2" w:rsidRPr="00D4543D">
        <w:rPr>
          <w:rFonts w:ascii="Palatino Linotype" w:hAnsi="Palatino Linotype" w:cs="Arial"/>
          <w:b/>
        </w:rPr>
        <w:t xml:space="preserve">treinta de julio al diecinueve de agosto </w:t>
      </w:r>
      <w:r w:rsidRPr="00D4543D">
        <w:rPr>
          <w:rFonts w:ascii="Palatino Linotype" w:hAnsi="Palatino Linotype" w:cs="Arial"/>
          <w:b/>
        </w:rPr>
        <w:t>de dos mil diecinueve</w:t>
      </w:r>
      <w:r w:rsidRPr="00D4543D">
        <w:rPr>
          <w:rFonts w:ascii="Palatino Linotype" w:hAnsi="Palatino Linotype" w:cs="Arial"/>
        </w:rPr>
        <w:t>,</w:t>
      </w:r>
      <w:r w:rsidRPr="00D4543D">
        <w:rPr>
          <w:rFonts w:ascii="Palatino Linotype" w:hAnsi="Palatino Linotype" w:cs="Arial"/>
          <w:b/>
        </w:rPr>
        <w:t xml:space="preserve"> </w:t>
      </w:r>
      <w:r w:rsidRPr="00D4543D">
        <w:rPr>
          <w:rFonts w:ascii="Palatino Linotype" w:hAnsi="Palatino Linotype" w:cs="Arial"/>
        </w:rPr>
        <w:t xml:space="preserve">sin contemplar en el cómputo, el </w:t>
      </w:r>
      <w:r w:rsidR="00C503E2" w:rsidRPr="00D4543D">
        <w:rPr>
          <w:rFonts w:ascii="Palatino Linotype" w:hAnsi="Palatino Linotype" w:cs="Arial"/>
        </w:rPr>
        <w:t xml:space="preserve">tres, cuatro, diez, once, diecisiete y dieciocho de agosto </w:t>
      </w:r>
      <w:r w:rsidR="00C503E2" w:rsidRPr="00D4543D">
        <w:rPr>
          <w:rFonts w:ascii="Palatino Linotype" w:hAnsi="Palatino Linotype" w:cs="Arial"/>
        </w:rPr>
        <w:lastRenderedPageBreak/>
        <w:t>de dos mil diecinueve</w:t>
      </w:r>
      <w:r w:rsidRPr="00D4543D">
        <w:rPr>
          <w:rFonts w:ascii="Palatino Linotype" w:hAnsi="Palatino Linotype" w:cs="Arial"/>
        </w:rPr>
        <w:t xml:space="preserve">, por corresponder a sábados y domingos, considerados como días inhábiles, en términos del artículo 3, fracción X de la </w:t>
      </w:r>
      <w:r w:rsidRPr="00D4543D">
        <w:rPr>
          <w:rFonts w:ascii="Palatino Linotype" w:hAnsi="Palatino Linotype"/>
        </w:rPr>
        <w:t>Ley de Transparencia y Acceso a la Información Pública del</w:t>
      </w:r>
      <w:r w:rsidR="006D7AF0" w:rsidRPr="00D4543D">
        <w:rPr>
          <w:rFonts w:ascii="Palatino Linotype" w:hAnsi="Palatino Linotype"/>
        </w:rPr>
        <w:t xml:space="preserve"> Estado de México y Municipios y </w:t>
      </w:r>
      <w:r w:rsidRPr="00D4543D">
        <w:rPr>
          <w:rFonts w:ascii="Palatino Linotype" w:hAnsi="Palatino Linotype"/>
        </w:rPr>
        <w:t>de</w:t>
      </w:r>
      <w:r w:rsidRPr="00D4543D">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13316A" w:rsidRPr="00D4543D" w:rsidRDefault="0013316A" w:rsidP="0013316A">
      <w:pPr>
        <w:spacing w:before="100" w:beforeAutospacing="1" w:after="100" w:afterAutospacing="1" w:line="360" w:lineRule="auto"/>
        <w:jc w:val="both"/>
        <w:rPr>
          <w:rFonts w:ascii="Palatino Linotype" w:hAnsi="Palatino Linotype" w:cs="Arial"/>
        </w:rPr>
      </w:pPr>
      <w:r w:rsidRPr="00D4543D">
        <w:rPr>
          <w:rFonts w:ascii="Palatino Linotype" w:hAnsi="Palatino Linotype" w:cs="Arial"/>
        </w:rPr>
        <w:t>En ese tenor, si el recurso de revisión que nos ocupa, se interpuso el</w:t>
      </w:r>
      <w:r w:rsidRPr="00D4543D">
        <w:rPr>
          <w:rFonts w:ascii="Palatino Linotype" w:hAnsi="Palatino Linotype" w:cs="Arial"/>
          <w:b/>
        </w:rPr>
        <w:t xml:space="preserve"> </w:t>
      </w:r>
      <w:r w:rsidR="00C503E2" w:rsidRPr="00D4543D">
        <w:rPr>
          <w:rFonts w:ascii="Palatino Linotype" w:hAnsi="Palatino Linotype" w:cs="Arial"/>
          <w:b/>
          <w:u w:val="single"/>
        </w:rPr>
        <w:t xml:space="preserve">dos de agosto </w:t>
      </w:r>
      <w:r w:rsidRPr="00D4543D">
        <w:rPr>
          <w:rFonts w:ascii="Palatino Linotype" w:hAnsi="Palatino Linotype" w:cs="Arial"/>
          <w:b/>
          <w:u w:val="single"/>
        </w:rPr>
        <w:t>de dos mil diecinueve</w:t>
      </w:r>
      <w:r w:rsidRPr="00D4543D">
        <w:rPr>
          <w:rFonts w:ascii="Palatino Linotype" w:hAnsi="Palatino Linotype" w:cs="Arial"/>
        </w:rPr>
        <w:t>, éste se encuentra dentro de los márgenes temporales previstos en el precepto legal citado en el párrafo anterior y, por tanto, su interposición se considera oportuna.</w:t>
      </w:r>
    </w:p>
    <w:p w:rsidR="0013316A" w:rsidRPr="00D4543D" w:rsidRDefault="0013316A" w:rsidP="0013316A">
      <w:pPr>
        <w:widowControl w:val="0"/>
        <w:numPr>
          <w:ilvl w:val="0"/>
          <w:numId w:val="8"/>
        </w:numPr>
        <w:tabs>
          <w:tab w:val="left" w:pos="1418"/>
        </w:tabs>
        <w:autoSpaceDE w:val="0"/>
        <w:autoSpaceDN w:val="0"/>
        <w:adjustRightInd w:val="0"/>
        <w:spacing w:before="200" w:after="200" w:line="360" w:lineRule="auto"/>
        <w:ind w:left="0" w:firstLine="0"/>
        <w:jc w:val="both"/>
        <w:rPr>
          <w:rFonts w:ascii="Palatino Linotype" w:hAnsi="Palatino Linotype" w:cs="Arial"/>
        </w:rPr>
      </w:pPr>
      <w:r w:rsidRPr="00D4543D">
        <w:rPr>
          <w:rFonts w:ascii="Palatino Linotype" w:hAnsi="Palatino Linotype" w:cs="Arial"/>
          <w:b/>
        </w:rPr>
        <w:t xml:space="preserve">Procedibilidad. </w:t>
      </w:r>
      <w:r w:rsidRPr="00D4543D">
        <w:rPr>
          <w:rFonts w:ascii="Palatino Linotype" w:hAnsi="Palatino Linotype" w:cs="Arial"/>
        </w:rPr>
        <w:t xml:space="preserve">Del análisis efectuado, se advierte la procedibilidad del presente recurso de revisión, en razón de acreditación </w:t>
      </w:r>
      <w:r w:rsidRPr="00D4543D">
        <w:rPr>
          <w:rFonts w:ascii="Palatino Linotype" w:hAnsi="Palatino Linotype" w:cs="Arial"/>
          <w:snapToGrid w:val="0"/>
        </w:rPr>
        <w:t>plena</w:t>
      </w:r>
      <w:r w:rsidRPr="00D4543D">
        <w:rPr>
          <w:rFonts w:ascii="Palatino Linotype" w:hAnsi="Palatino Linotype" w:cs="Arial"/>
        </w:rPr>
        <w:t xml:space="preserve"> de todos y cada uno de los elementos formales exigidos por el artículo 180 de la Ley de Transparencia y Acceso a la Información Pública</w:t>
      </w:r>
      <w:r w:rsidRPr="00D4543D">
        <w:rPr>
          <w:rFonts w:ascii="Palatino Linotype" w:hAnsi="Palatino Linotype"/>
        </w:rPr>
        <w:t xml:space="preserve"> </w:t>
      </w:r>
      <w:r w:rsidRPr="00D4543D">
        <w:rPr>
          <w:rFonts w:ascii="Palatino Linotype" w:hAnsi="Palatino Linotype" w:cs="Arial"/>
        </w:rPr>
        <w:t>del</w:t>
      </w:r>
      <w:r w:rsidRPr="00D4543D">
        <w:rPr>
          <w:rFonts w:ascii="Palatino Linotype" w:hAnsi="Palatino Linotype"/>
        </w:rPr>
        <w:t xml:space="preserve"> </w:t>
      </w:r>
      <w:r w:rsidRPr="00D4543D">
        <w:rPr>
          <w:rFonts w:ascii="Palatino Linotype" w:hAnsi="Palatino Linotype" w:cs="Arial"/>
        </w:rPr>
        <w:t>Estado</w:t>
      </w:r>
      <w:r w:rsidRPr="00D4543D">
        <w:rPr>
          <w:rFonts w:ascii="Palatino Linotype" w:hAnsi="Palatino Linotype"/>
        </w:rPr>
        <w:t xml:space="preserve"> de México y Municipios, en atención a que fue presentado mediante el formato visible en </w:t>
      </w:r>
      <w:r w:rsidRPr="00D4543D">
        <w:rPr>
          <w:rFonts w:ascii="Palatino Linotype" w:hAnsi="Palatino Linotype"/>
          <w:b/>
        </w:rPr>
        <w:t>EL SAIMEX</w:t>
      </w:r>
      <w:r w:rsidRPr="00D4543D">
        <w:rPr>
          <w:rFonts w:ascii="Palatino Linotype" w:hAnsi="Palatino Linotype"/>
        </w:rPr>
        <w:t>.</w:t>
      </w:r>
    </w:p>
    <w:p w:rsidR="00244E4D" w:rsidRPr="00D4543D" w:rsidRDefault="00C828E6" w:rsidP="00217896">
      <w:pPr>
        <w:pStyle w:val="Prrafodelista"/>
        <w:widowControl w:val="0"/>
        <w:numPr>
          <w:ilvl w:val="0"/>
          <w:numId w:val="8"/>
        </w:numPr>
        <w:tabs>
          <w:tab w:val="left" w:pos="1418"/>
          <w:tab w:val="left" w:pos="1701"/>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4543D">
        <w:rPr>
          <w:rFonts w:ascii="Palatino Linotype" w:hAnsi="Palatino Linotype" w:cs="Arial"/>
          <w:b/>
          <w:color w:val="000000"/>
        </w:rPr>
        <w:t>Estudio y resolución del asunto.</w:t>
      </w:r>
      <w:r w:rsidRPr="00D4543D">
        <w:rPr>
          <w:rFonts w:ascii="Palatino Linotype" w:hAnsi="Palatino Linotype" w:cs="Arial"/>
        </w:rPr>
        <w:t xml:space="preserve"> </w:t>
      </w:r>
      <w:r w:rsidR="00244E4D" w:rsidRPr="00D4543D">
        <w:rPr>
          <w:rFonts w:ascii="Palatino Linotype" w:hAnsi="Palatino Linotype" w:cs="Arial"/>
        </w:rPr>
        <w:t xml:space="preserve">Del análisis efectuado se advierte que </w:t>
      </w:r>
      <w:r w:rsidR="00112C95" w:rsidRPr="00D4543D">
        <w:rPr>
          <w:rFonts w:ascii="Palatino Linotype" w:hAnsi="Palatino Linotype" w:cs="Arial"/>
        </w:rPr>
        <w:t xml:space="preserve">el recurso de revisión </w:t>
      </w:r>
      <w:r w:rsidR="00244E4D" w:rsidRPr="00D4543D">
        <w:rPr>
          <w:rFonts w:ascii="Palatino Linotype" w:hAnsi="Palatino Linotype" w:cs="Arial"/>
        </w:rPr>
        <w:t>de que se trata</w:t>
      </w:r>
      <w:r w:rsidR="00112C95" w:rsidRPr="00D4543D">
        <w:rPr>
          <w:rFonts w:ascii="Palatino Linotype" w:hAnsi="Palatino Linotype" w:cs="Arial"/>
        </w:rPr>
        <w:t xml:space="preserve"> es procedente</w:t>
      </w:r>
      <w:r w:rsidR="00A7069C" w:rsidRPr="00D4543D">
        <w:rPr>
          <w:rFonts w:ascii="Palatino Linotype" w:hAnsi="Palatino Linotype" w:cs="Arial"/>
        </w:rPr>
        <w:t>;</w:t>
      </w:r>
      <w:r w:rsidR="00244E4D" w:rsidRPr="00D4543D">
        <w:rPr>
          <w:rFonts w:ascii="Palatino Linotype" w:hAnsi="Palatino Linotype" w:cs="Arial"/>
        </w:rPr>
        <w:t xml:space="preserve"> toda vez</w:t>
      </w:r>
      <w:r w:rsidR="00A7069C" w:rsidRPr="00D4543D">
        <w:rPr>
          <w:rFonts w:ascii="Palatino Linotype" w:hAnsi="Palatino Linotype" w:cs="Arial"/>
        </w:rPr>
        <w:t>,</w:t>
      </w:r>
      <w:r w:rsidR="00112C95" w:rsidRPr="00D4543D">
        <w:rPr>
          <w:rFonts w:ascii="Palatino Linotype" w:hAnsi="Palatino Linotype" w:cs="Arial"/>
        </w:rPr>
        <w:t xml:space="preserve"> que se actualiza la</w:t>
      </w:r>
      <w:r w:rsidR="00244E4D" w:rsidRPr="00D4543D">
        <w:rPr>
          <w:rFonts w:ascii="Palatino Linotype" w:hAnsi="Palatino Linotype" w:cs="Arial"/>
        </w:rPr>
        <w:t xml:space="preserve"> hipótesis prevista</w:t>
      </w:r>
      <w:r w:rsidR="00112C95" w:rsidRPr="00D4543D">
        <w:rPr>
          <w:rFonts w:ascii="Palatino Linotype" w:hAnsi="Palatino Linotype" w:cs="Arial"/>
        </w:rPr>
        <w:t xml:space="preserve"> en la fracción </w:t>
      </w:r>
      <w:r w:rsidR="00217896" w:rsidRPr="00D4543D">
        <w:rPr>
          <w:rFonts w:ascii="Palatino Linotype" w:hAnsi="Palatino Linotype" w:cs="Arial"/>
        </w:rPr>
        <w:t>I</w:t>
      </w:r>
      <w:r w:rsidR="00112C95" w:rsidRPr="00D4543D">
        <w:rPr>
          <w:rFonts w:ascii="Palatino Linotype" w:hAnsi="Palatino Linotype" w:cs="Arial"/>
        </w:rPr>
        <w:t xml:space="preserve">V </w:t>
      </w:r>
      <w:r w:rsidR="00244E4D" w:rsidRPr="00D4543D">
        <w:rPr>
          <w:rFonts w:ascii="Palatino Linotype" w:hAnsi="Palatino Linotype" w:cs="Arial"/>
        </w:rPr>
        <w:t>del artículo 179 de la Ley de la materia, que a la letra indica:</w:t>
      </w:r>
    </w:p>
    <w:p w:rsidR="00244E4D" w:rsidRPr="00D4543D" w:rsidRDefault="00244E4D" w:rsidP="00244E4D">
      <w:pPr>
        <w:spacing w:line="276" w:lineRule="auto"/>
        <w:ind w:left="709" w:right="709"/>
        <w:jc w:val="both"/>
        <w:rPr>
          <w:rFonts w:ascii="Palatino Linotype" w:hAnsi="Palatino Linotype" w:cs="Arial"/>
          <w:b/>
          <w:i/>
          <w:sz w:val="22"/>
          <w:szCs w:val="22"/>
        </w:rPr>
      </w:pPr>
      <w:r w:rsidRPr="00D4543D">
        <w:rPr>
          <w:rFonts w:ascii="Palatino Linotype" w:hAnsi="Palatino Linotype" w:cs="Arial"/>
          <w:bCs/>
          <w:i/>
          <w:sz w:val="22"/>
          <w:szCs w:val="22"/>
        </w:rPr>
        <w:t>“</w:t>
      </w:r>
      <w:r w:rsidRPr="00D4543D">
        <w:rPr>
          <w:rFonts w:ascii="Palatino Linotype" w:hAnsi="Palatino Linotype" w:cs="Arial"/>
          <w:b/>
          <w:bCs/>
          <w:i/>
          <w:sz w:val="22"/>
          <w:szCs w:val="22"/>
        </w:rPr>
        <w:t>Artículo 179.</w:t>
      </w:r>
      <w:r w:rsidRPr="00D4543D">
        <w:rPr>
          <w:rFonts w:ascii="Palatino Linotype" w:hAnsi="Palatino Linotype" w:cs="Arial"/>
          <w:bCs/>
          <w:i/>
          <w:sz w:val="22"/>
          <w:szCs w:val="22"/>
        </w:rPr>
        <w:t xml:space="preserve"> </w:t>
      </w:r>
      <w:r w:rsidRPr="00D4543D">
        <w:rPr>
          <w:rFonts w:ascii="Palatino Linotype" w:hAnsi="Palatino Linotype" w:cs="Arial"/>
          <w:b/>
          <w:i/>
          <w:sz w:val="22"/>
          <w:szCs w:val="22"/>
        </w:rPr>
        <w:t>El recurso de revisión</w:t>
      </w:r>
      <w:r w:rsidRPr="00D4543D">
        <w:rPr>
          <w:rFonts w:ascii="Palatino Linotype" w:hAnsi="Palatino Linotype" w:cs="Arial"/>
          <w:i/>
          <w:sz w:val="22"/>
          <w:szCs w:val="22"/>
        </w:rPr>
        <w:t xml:space="preserve"> es un medio de protección que la Ley otorga a los particulares, para hacer valer su derecho de acceso a la información pública, y </w:t>
      </w:r>
      <w:r w:rsidRPr="00D4543D">
        <w:rPr>
          <w:rFonts w:ascii="Palatino Linotype" w:hAnsi="Palatino Linotype" w:cs="Arial"/>
          <w:b/>
          <w:i/>
          <w:sz w:val="22"/>
          <w:szCs w:val="22"/>
        </w:rPr>
        <w:t>procederá en contra de las siguientes causas:</w:t>
      </w:r>
    </w:p>
    <w:p w:rsidR="00244E4D" w:rsidRPr="00D4543D" w:rsidRDefault="00244E4D" w:rsidP="00244E4D">
      <w:pPr>
        <w:spacing w:line="276" w:lineRule="auto"/>
        <w:ind w:left="709" w:right="709"/>
        <w:jc w:val="both"/>
        <w:rPr>
          <w:rFonts w:ascii="Palatino Linotype" w:hAnsi="Palatino Linotype" w:cs="Arial"/>
          <w:b/>
          <w:i/>
          <w:sz w:val="22"/>
          <w:szCs w:val="22"/>
        </w:rPr>
      </w:pPr>
      <w:r w:rsidRPr="00D4543D">
        <w:rPr>
          <w:rFonts w:ascii="Palatino Linotype" w:hAnsi="Palatino Linotype" w:cs="Arial"/>
          <w:bCs/>
          <w:i/>
          <w:sz w:val="22"/>
          <w:szCs w:val="22"/>
        </w:rPr>
        <w:lastRenderedPageBreak/>
        <w:t>. . .</w:t>
      </w:r>
    </w:p>
    <w:p w:rsidR="00244E4D" w:rsidRPr="00D4543D" w:rsidRDefault="00217896" w:rsidP="00112C95">
      <w:pPr>
        <w:spacing w:line="276" w:lineRule="auto"/>
        <w:ind w:left="709" w:right="709"/>
        <w:jc w:val="both"/>
        <w:rPr>
          <w:rFonts w:ascii="Palatino Linotype" w:hAnsi="Palatino Linotype" w:cs="Arial"/>
          <w:b/>
          <w:bCs/>
          <w:i/>
          <w:sz w:val="22"/>
          <w:szCs w:val="22"/>
        </w:rPr>
      </w:pPr>
      <w:r w:rsidRPr="00D4543D">
        <w:rPr>
          <w:rFonts w:ascii="Palatino Linotype" w:hAnsi="Palatino Linotype" w:cs="Arial"/>
          <w:b/>
          <w:bCs/>
          <w:i/>
          <w:sz w:val="22"/>
          <w:szCs w:val="22"/>
          <w:lang w:val="es-ES"/>
        </w:rPr>
        <w:t>IV. La declaración de incompetencia por el sujeto obligado</w:t>
      </w:r>
      <w:r w:rsidR="00112C95" w:rsidRPr="00D4543D">
        <w:rPr>
          <w:rFonts w:ascii="Palatino Linotype" w:hAnsi="Palatino Linotype" w:cs="Arial"/>
          <w:b/>
          <w:bCs/>
          <w:i/>
          <w:sz w:val="22"/>
          <w:szCs w:val="22"/>
        </w:rPr>
        <w:t>;”(Énfasis añadido)</w:t>
      </w:r>
    </w:p>
    <w:p w:rsidR="00F51F52" w:rsidRPr="00D4543D" w:rsidRDefault="00112C95" w:rsidP="00244E4D">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D4543D">
        <w:rPr>
          <w:rFonts w:ascii="Palatino Linotype" w:hAnsi="Palatino Linotype" w:cs="Arial"/>
        </w:rPr>
        <w:t>El precepto legal antes citado, establece</w:t>
      </w:r>
      <w:r w:rsidR="00244E4D" w:rsidRPr="00D4543D">
        <w:rPr>
          <w:rFonts w:ascii="Palatino Linotype" w:hAnsi="Palatino Linotype" w:cs="Arial"/>
        </w:rPr>
        <w:t xml:space="preserve"> como supuesto de proceden</w:t>
      </w:r>
      <w:r w:rsidR="00AF4C9C" w:rsidRPr="00D4543D">
        <w:rPr>
          <w:rFonts w:ascii="Palatino Linotype" w:hAnsi="Palatino Linotype" w:cs="Arial"/>
        </w:rPr>
        <w:t>cia del recurso de revisión, la</w:t>
      </w:r>
      <w:r w:rsidR="00AD189C" w:rsidRPr="00D4543D">
        <w:t xml:space="preserve"> </w:t>
      </w:r>
      <w:r w:rsidR="00AD189C" w:rsidRPr="00D4543D">
        <w:rPr>
          <w:rFonts w:ascii="Palatino Linotype" w:hAnsi="Palatino Linotype" w:cs="Arial"/>
        </w:rPr>
        <w:t xml:space="preserve">declaración de incompetencia por el </w:t>
      </w:r>
      <w:r w:rsidR="00DF1AA6" w:rsidRPr="00D4543D">
        <w:rPr>
          <w:rFonts w:ascii="Palatino Linotype" w:hAnsi="Palatino Linotype" w:cs="Arial"/>
          <w:b/>
        </w:rPr>
        <w:t>SUJETO OBLIGADO</w:t>
      </w:r>
      <w:r w:rsidR="00AF4C9C" w:rsidRPr="00D4543D">
        <w:rPr>
          <w:rFonts w:ascii="Palatino Linotype" w:hAnsi="Palatino Linotype" w:cs="Arial"/>
        </w:rPr>
        <w:t>, situación que se actualiza en el</w:t>
      </w:r>
      <w:r w:rsidR="00DF1AA6" w:rsidRPr="00D4543D">
        <w:rPr>
          <w:rFonts w:ascii="Palatino Linotype" w:hAnsi="Palatino Linotype" w:cs="Arial"/>
        </w:rPr>
        <w:t xml:space="preserve"> presente caso, en razón a que </w:t>
      </w:r>
      <w:r w:rsidR="00AD189C" w:rsidRPr="00D4543D">
        <w:rPr>
          <w:rFonts w:ascii="Palatino Linotype" w:hAnsi="Palatino Linotype" w:cs="Arial"/>
        </w:rPr>
        <w:t xml:space="preserve">mediante respuesta </w:t>
      </w:r>
      <w:r w:rsidR="00DF1AA6" w:rsidRPr="00D4543D">
        <w:rPr>
          <w:rFonts w:ascii="Palatino Linotype" w:hAnsi="Palatino Linotype" w:cs="Arial"/>
        </w:rPr>
        <w:t xml:space="preserve">señaló que carece de facultades para otorgar la información solicitada, </w:t>
      </w:r>
      <w:r w:rsidR="00AD189C" w:rsidRPr="00D4543D">
        <w:rPr>
          <w:rFonts w:ascii="Palatino Linotype" w:hAnsi="Palatino Linotype" w:cs="Arial"/>
        </w:rPr>
        <w:t xml:space="preserve">por corresponder al Secretariado Ejecutivo del Sistema Nacional de Seguridad Publica; mientras que en </w:t>
      </w:r>
      <w:r w:rsidR="00F51F52" w:rsidRPr="00D4543D">
        <w:rPr>
          <w:rFonts w:ascii="Palatino Linotype" w:hAnsi="Palatino Linotype" w:cs="Arial"/>
        </w:rPr>
        <w:t xml:space="preserve">el </w:t>
      </w:r>
      <w:r w:rsidR="00AD189C" w:rsidRPr="00D4543D">
        <w:rPr>
          <w:rFonts w:ascii="Palatino Linotype" w:hAnsi="Palatino Linotype" w:cs="Arial"/>
        </w:rPr>
        <w:t>Informe Justificado,</w:t>
      </w:r>
      <w:r w:rsidR="001C2D86" w:rsidRPr="00D4543D">
        <w:rPr>
          <w:rFonts w:ascii="Palatino Linotype" w:hAnsi="Palatino Linotype" w:cs="Arial"/>
        </w:rPr>
        <w:t xml:space="preserve"> confirmó</w:t>
      </w:r>
      <w:r w:rsidR="00F51F52" w:rsidRPr="00D4543D">
        <w:rPr>
          <w:rFonts w:ascii="Palatino Linotype" w:hAnsi="Palatino Linotype" w:cs="Arial"/>
        </w:rPr>
        <w:t xml:space="preserve"> su respuesta y</w:t>
      </w:r>
      <w:r w:rsidR="00AD189C" w:rsidRPr="00D4543D">
        <w:rPr>
          <w:rFonts w:ascii="Palatino Linotype" w:hAnsi="Palatino Linotype" w:cs="Arial"/>
        </w:rPr>
        <w:t xml:space="preserve"> </w:t>
      </w:r>
      <w:r w:rsidR="00F51F52" w:rsidRPr="00D4543D">
        <w:rPr>
          <w:rFonts w:ascii="Palatino Linotype" w:hAnsi="Palatino Linotype" w:cs="Arial"/>
        </w:rPr>
        <w:t>agregó</w:t>
      </w:r>
      <w:r w:rsidR="00AD189C" w:rsidRPr="00D4543D">
        <w:rPr>
          <w:rFonts w:ascii="Palatino Linotype" w:hAnsi="Palatino Linotype" w:cs="Arial"/>
        </w:rPr>
        <w:t xml:space="preserve"> que </w:t>
      </w:r>
      <w:r w:rsidR="00F51F52" w:rsidRPr="00D4543D">
        <w:rPr>
          <w:rFonts w:ascii="Palatino Linotype" w:hAnsi="Palatino Linotype" w:cs="Arial"/>
        </w:rPr>
        <w:t>quienes pudieran contar con la información son la Secre</w:t>
      </w:r>
      <w:r w:rsidR="001C2D86" w:rsidRPr="00D4543D">
        <w:rPr>
          <w:rFonts w:ascii="Palatino Linotype" w:hAnsi="Palatino Linotype" w:cs="Arial"/>
        </w:rPr>
        <w:t>taría de Finanzas y la Secretaría</w:t>
      </w:r>
      <w:r w:rsidR="00F51F52" w:rsidRPr="00D4543D">
        <w:rPr>
          <w:rFonts w:ascii="Palatino Linotype" w:hAnsi="Palatino Linotype" w:cs="Arial"/>
        </w:rPr>
        <w:t xml:space="preserve"> de la Contraloría, por lo que, </w:t>
      </w:r>
      <w:r w:rsidR="00DF1AA6" w:rsidRPr="00D4543D">
        <w:rPr>
          <w:rFonts w:ascii="Palatino Linotype" w:hAnsi="Palatino Linotype" w:cs="Arial"/>
        </w:rPr>
        <w:t>se actualiza el supuesto establecido en la fracción IV de la legislación en cita.</w:t>
      </w:r>
    </w:p>
    <w:p w:rsidR="00480BD4" w:rsidRPr="00D4543D" w:rsidRDefault="00244E4D" w:rsidP="00480BD4">
      <w:pPr>
        <w:pStyle w:val="Prrafodelista"/>
        <w:widowControl w:val="0"/>
        <w:autoSpaceDE w:val="0"/>
        <w:autoSpaceDN w:val="0"/>
        <w:adjustRightInd w:val="0"/>
        <w:spacing w:before="120" w:after="120" w:line="360" w:lineRule="auto"/>
        <w:ind w:left="0"/>
        <w:jc w:val="both"/>
        <w:rPr>
          <w:rFonts w:ascii="Palatino Linotype" w:hAnsi="Palatino Linotype" w:cs="Arial"/>
          <w:lang w:val="es-ES"/>
        </w:rPr>
      </w:pPr>
      <w:r w:rsidRPr="00D4543D">
        <w:rPr>
          <w:rFonts w:ascii="Palatino Linotype" w:hAnsi="Palatino Linotype" w:cs="Arial"/>
        </w:rPr>
        <w:t xml:space="preserve">Una vez determinada la vía, sobre la que versará el presente estudio, </w:t>
      </w:r>
      <w:r w:rsidRPr="00D4543D">
        <w:rPr>
          <w:rFonts w:ascii="Palatino Linotype" w:hAnsi="Palatino Linotype" w:cs="Arial"/>
          <w:lang w:val="es-ES"/>
        </w:rPr>
        <w:t>se puede advertir que</w:t>
      </w:r>
      <w:r w:rsidRPr="00D4543D">
        <w:rPr>
          <w:rFonts w:ascii="Palatino Linotype" w:hAnsi="Palatino Linotype" w:cs="Arial"/>
          <w:b/>
          <w:lang w:val="es-ES"/>
        </w:rPr>
        <w:t xml:space="preserve"> </w:t>
      </w:r>
      <w:r w:rsidR="0095053A" w:rsidRPr="00D4543D">
        <w:rPr>
          <w:rFonts w:ascii="Palatino Linotype" w:hAnsi="Palatino Linotype" w:cs="Arial"/>
          <w:b/>
          <w:lang w:val="es-ES"/>
        </w:rPr>
        <w:t>EL</w:t>
      </w:r>
      <w:r w:rsidRPr="00D4543D">
        <w:rPr>
          <w:rFonts w:ascii="Palatino Linotype" w:hAnsi="Palatino Linotype" w:cs="Arial"/>
          <w:b/>
          <w:lang w:val="es-ES"/>
        </w:rPr>
        <w:t xml:space="preserve"> RECURRENTE </w:t>
      </w:r>
      <w:r w:rsidR="00480BD4" w:rsidRPr="00D4543D">
        <w:rPr>
          <w:rFonts w:ascii="Palatino Linotype" w:hAnsi="Palatino Linotype" w:cs="Arial"/>
          <w:lang w:val="es-ES"/>
        </w:rPr>
        <w:t xml:space="preserve">solicitó </w:t>
      </w:r>
      <w:r w:rsidRPr="00D4543D">
        <w:rPr>
          <w:rFonts w:ascii="Palatino Linotype" w:hAnsi="Palatino Linotype" w:cs="Arial"/>
          <w:lang w:val="es-ES"/>
        </w:rPr>
        <w:t xml:space="preserve">del </w:t>
      </w:r>
      <w:r w:rsidRPr="00D4543D">
        <w:rPr>
          <w:rFonts w:ascii="Palatino Linotype" w:hAnsi="Palatino Linotype" w:cs="Arial"/>
          <w:b/>
        </w:rPr>
        <w:t>SUJETO OBLIGADO</w:t>
      </w:r>
      <w:r w:rsidRPr="00D4543D">
        <w:rPr>
          <w:rFonts w:ascii="Palatino Linotype" w:hAnsi="Palatino Linotype" w:cs="Arial"/>
          <w:bCs/>
          <w:lang w:val="es-ES"/>
        </w:rPr>
        <w:t>,</w:t>
      </w:r>
      <w:r w:rsidR="0068032A" w:rsidRPr="00D4543D">
        <w:rPr>
          <w:rFonts w:ascii="Palatino Linotype" w:hAnsi="Palatino Linotype" w:cs="Arial"/>
          <w:bCs/>
          <w:lang w:val="es-ES"/>
        </w:rPr>
        <w:t xml:space="preserve"> </w:t>
      </w:r>
      <w:r w:rsidR="00DF1AA6" w:rsidRPr="00D4543D">
        <w:rPr>
          <w:rFonts w:ascii="Palatino Linotype" w:hAnsi="Palatino Linotype" w:cs="Arial"/>
          <w:bCs/>
          <w:lang w:val="es-ES"/>
        </w:rPr>
        <w:t>a</w:t>
      </w:r>
      <w:r w:rsidRPr="00D4543D">
        <w:rPr>
          <w:rFonts w:ascii="Palatino Linotype" w:hAnsi="Palatino Linotype" w:cs="Arial"/>
          <w:lang w:val="es-ES"/>
        </w:rPr>
        <w:t xml:space="preserve"> </w:t>
      </w:r>
      <w:r w:rsidR="003F088D" w:rsidRPr="00D4543D">
        <w:rPr>
          <w:rFonts w:ascii="Palatino Linotype" w:hAnsi="Palatino Linotype" w:cs="Arial"/>
          <w:lang w:val="es-ES"/>
        </w:rPr>
        <w:t xml:space="preserve">través del </w:t>
      </w:r>
      <w:r w:rsidR="003F088D" w:rsidRPr="00D4543D">
        <w:rPr>
          <w:rFonts w:ascii="Palatino Linotype" w:hAnsi="Palatino Linotype" w:cs="Arial"/>
          <w:b/>
          <w:lang w:val="es-ES"/>
        </w:rPr>
        <w:t>SAIMEX</w:t>
      </w:r>
      <w:r w:rsidR="00480BD4" w:rsidRPr="00D4543D">
        <w:rPr>
          <w:rFonts w:ascii="Palatino Linotype" w:hAnsi="Palatino Linotype" w:cs="Arial"/>
          <w:lang w:val="es-ES"/>
        </w:rPr>
        <w:t>, lo siguiente:</w:t>
      </w:r>
    </w:p>
    <w:p w:rsidR="0068032A" w:rsidRPr="00D4543D" w:rsidRDefault="0068032A" w:rsidP="0068032A">
      <w:pPr>
        <w:pStyle w:val="Prrafodelista"/>
        <w:numPr>
          <w:ilvl w:val="0"/>
          <w:numId w:val="42"/>
        </w:numPr>
        <w:spacing w:line="360" w:lineRule="auto"/>
        <w:ind w:right="616"/>
        <w:jc w:val="both"/>
        <w:rPr>
          <w:rFonts w:ascii="Palatino Linotype" w:hAnsi="Palatino Linotype"/>
          <w:b/>
        </w:rPr>
      </w:pPr>
      <w:r w:rsidRPr="00D4543D">
        <w:rPr>
          <w:rFonts w:ascii="Palatino Linotype" w:hAnsi="Palatino Linotype"/>
          <w:b/>
        </w:rPr>
        <w:t xml:space="preserve">Copia del contrato, estudios de mercado, facturas de los bienes comprados y revisión de bases que realizó su contraloría interna, copia del reporte que hicieron de los gastos erogados al Secretariado Ejecutivo del Sistema Nacional de Seguridad Publica en FOSEG, FORTASEG y FASP de 2015 a la fecha sobre el cómo y en qué se erogaron esos recursos recibidos.  </w:t>
      </w:r>
    </w:p>
    <w:p w:rsidR="0068032A" w:rsidRPr="00D4543D" w:rsidRDefault="0068032A" w:rsidP="0068032A">
      <w:pPr>
        <w:spacing w:line="360" w:lineRule="auto"/>
        <w:ind w:left="567" w:right="616"/>
        <w:jc w:val="both"/>
        <w:rPr>
          <w:rFonts w:ascii="Palatino Linotype" w:hAnsi="Palatino Linotype"/>
          <w:b/>
        </w:rPr>
      </w:pPr>
    </w:p>
    <w:p w:rsidR="0068032A" w:rsidRPr="00D4543D" w:rsidRDefault="0068032A" w:rsidP="0068032A">
      <w:pPr>
        <w:pStyle w:val="Prrafodelista"/>
        <w:numPr>
          <w:ilvl w:val="0"/>
          <w:numId w:val="42"/>
        </w:numPr>
        <w:spacing w:line="360" w:lineRule="auto"/>
        <w:ind w:right="616"/>
        <w:jc w:val="both"/>
        <w:rPr>
          <w:rFonts w:ascii="Palatino Linotype" w:hAnsi="Palatino Linotype"/>
          <w:b/>
        </w:rPr>
      </w:pPr>
      <w:r w:rsidRPr="00D4543D">
        <w:rPr>
          <w:rFonts w:ascii="Palatino Linotype" w:hAnsi="Palatino Linotype"/>
          <w:b/>
        </w:rPr>
        <w:t xml:space="preserve">Al Secretariado se le solicita, los informes que recibió de Edo, Cdmx, Michoacán, Hidalgo, y Jalisco del mismo periodo con los comprobantes. </w:t>
      </w:r>
    </w:p>
    <w:p w:rsidR="0068032A" w:rsidRPr="00D4543D" w:rsidRDefault="0068032A" w:rsidP="0068032A">
      <w:pPr>
        <w:spacing w:line="360" w:lineRule="auto"/>
        <w:ind w:left="567" w:right="616"/>
        <w:jc w:val="both"/>
        <w:rPr>
          <w:rFonts w:ascii="Palatino Linotype" w:hAnsi="Palatino Linotype"/>
          <w:b/>
        </w:rPr>
      </w:pPr>
    </w:p>
    <w:p w:rsidR="0068032A" w:rsidRPr="00D4543D" w:rsidRDefault="0068032A" w:rsidP="0068032A">
      <w:pPr>
        <w:pStyle w:val="Prrafodelista"/>
        <w:numPr>
          <w:ilvl w:val="0"/>
          <w:numId w:val="42"/>
        </w:numPr>
        <w:spacing w:line="360" w:lineRule="auto"/>
        <w:ind w:right="616"/>
        <w:jc w:val="both"/>
        <w:rPr>
          <w:rFonts w:ascii="Palatino Linotype" w:hAnsi="Palatino Linotype"/>
          <w:b/>
        </w:rPr>
      </w:pPr>
      <w:r w:rsidRPr="00D4543D">
        <w:rPr>
          <w:rFonts w:ascii="Palatino Linotype" w:hAnsi="Palatino Linotype"/>
          <w:b/>
        </w:rPr>
        <w:lastRenderedPageBreak/>
        <w:t>A las contralorías la revisión de bases, anexos técnicos de los bienes comprados, así como auditorías practicadas.</w:t>
      </w:r>
    </w:p>
    <w:p w:rsidR="004A2C82" w:rsidRPr="00D4543D" w:rsidRDefault="004A2C82" w:rsidP="004A2C82">
      <w:pPr>
        <w:spacing w:line="360" w:lineRule="auto"/>
        <w:ind w:right="616"/>
        <w:jc w:val="both"/>
        <w:rPr>
          <w:rFonts w:ascii="Palatino Linotype" w:hAnsi="Palatino Linotype"/>
          <w:b/>
        </w:rPr>
      </w:pPr>
    </w:p>
    <w:p w:rsidR="004A2C82" w:rsidRPr="00D4543D" w:rsidRDefault="009D412A" w:rsidP="004A2C82">
      <w:pPr>
        <w:tabs>
          <w:tab w:val="left" w:pos="567"/>
        </w:tabs>
        <w:spacing w:line="360" w:lineRule="auto"/>
        <w:ind w:right="51"/>
        <w:jc w:val="both"/>
        <w:rPr>
          <w:rFonts w:ascii="Palatino Linotype" w:hAnsi="Palatino Linotype"/>
        </w:rPr>
      </w:pPr>
      <w:r w:rsidRPr="00D4543D">
        <w:rPr>
          <w:rFonts w:ascii="Palatino Linotype" w:hAnsi="Palatino Linotype"/>
          <w:color w:val="000000"/>
        </w:rPr>
        <w:t>E</w:t>
      </w:r>
      <w:r w:rsidRPr="00D4543D">
        <w:rPr>
          <w:rFonts w:ascii="Palatino Linotype" w:hAnsi="Palatino Linotype" w:cs="Arial"/>
        </w:rPr>
        <w:t xml:space="preserve">n </w:t>
      </w:r>
      <w:r w:rsidRPr="00D4543D">
        <w:rPr>
          <w:rFonts w:ascii="Palatino Linotype" w:hAnsi="Palatino Linotype"/>
        </w:rPr>
        <w:t>respuesta</w:t>
      </w:r>
      <w:r w:rsidRPr="00D4543D">
        <w:rPr>
          <w:rFonts w:ascii="Palatino Linotype" w:hAnsi="Palatino Linotype" w:cs="Arial"/>
        </w:rPr>
        <w:t xml:space="preserve"> a la solicitud de acceso a la información pública, </w:t>
      </w:r>
      <w:r w:rsidRPr="00D4543D">
        <w:rPr>
          <w:rFonts w:ascii="Palatino Linotype" w:hAnsi="Palatino Linotype" w:cs="Arial"/>
          <w:b/>
        </w:rPr>
        <w:t>EL SUJETO OBLIGADO</w:t>
      </w:r>
      <w:r w:rsidR="000A1378" w:rsidRPr="00D4543D">
        <w:rPr>
          <w:rFonts w:ascii="Palatino Linotype" w:hAnsi="Palatino Linotype"/>
        </w:rPr>
        <w:t xml:space="preserve"> </w:t>
      </w:r>
      <w:r w:rsidR="00175EFE" w:rsidRPr="00D4543D">
        <w:rPr>
          <w:rFonts w:ascii="Palatino Linotype" w:hAnsi="Palatino Linotype"/>
        </w:rPr>
        <w:t xml:space="preserve">informó </w:t>
      </w:r>
      <w:r w:rsidR="000A1378" w:rsidRPr="00D4543D">
        <w:rPr>
          <w:rFonts w:ascii="Palatino Linotype" w:hAnsi="Palatino Linotype"/>
        </w:rPr>
        <w:t xml:space="preserve">al </w:t>
      </w:r>
      <w:r w:rsidR="000A1378" w:rsidRPr="00D4543D">
        <w:rPr>
          <w:rFonts w:ascii="Palatino Linotype" w:hAnsi="Palatino Linotype"/>
          <w:b/>
        </w:rPr>
        <w:t>RECURRENTE</w:t>
      </w:r>
      <w:r w:rsidR="004A2C82" w:rsidRPr="00D4543D">
        <w:rPr>
          <w:rFonts w:ascii="Palatino Linotype" w:hAnsi="Palatino Linotype"/>
        </w:rPr>
        <w:t xml:space="preserve"> que de conformidad con el artículo 21 Bis de la Ley Orgánica de la Administración Pública del Estado de México, la Secretaría de Seguridad del Estado de México es la dependencia encargada de planear formular, conducir, coordinar, ejecutar, supervisar y evaluar las políticas, programas y acciones en materia de seguridad pública que competen al Gobierno del Estado de México, motivo por el cual carecía de facultades para dar respuesta a la solicitud, por lo que, corresponde al Secretariado Ejecutivo del Sistema Nacional de Seguridad Pública la atención a dicha solicitud.</w:t>
      </w:r>
    </w:p>
    <w:p w:rsidR="004A2C82" w:rsidRPr="00D4543D" w:rsidRDefault="004A2C82" w:rsidP="004A2C82">
      <w:pPr>
        <w:tabs>
          <w:tab w:val="left" w:pos="567"/>
        </w:tabs>
        <w:spacing w:line="360" w:lineRule="auto"/>
        <w:ind w:right="51"/>
        <w:jc w:val="both"/>
        <w:rPr>
          <w:rFonts w:ascii="Palatino Linotype" w:hAnsi="Palatino Linotype"/>
        </w:rPr>
      </w:pPr>
    </w:p>
    <w:p w:rsidR="009D412A" w:rsidRPr="00D4543D" w:rsidRDefault="009D412A" w:rsidP="004A2C82">
      <w:pPr>
        <w:tabs>
          <w:tab w:val="left" w:pos="567"/>
        </w:tabs>
        <w:spacing w:line="360" w:lineRule="auto"/>
        <w:ind w:right="51"/>
        <w:jc w:val="both"/>
        <w:rPr>
          <w:rFonts w:ascii="Palatino Linotype" w:hAnsi="Palatino Linotype"/>
        </w:rPr>
      </w:pPr>
      <w:r w:rsidRPr="00D4543D">
        <w:rPr>
          <w:rFonts w:ascii="Palatino Linotype" w:hAnsi="Palatino Linotype"/>
        </w:rPr>
        <w:t>Inconforme</w:t>
      </w:r>
      <w:r w:rsidRPr="00D4543D">
        <w:rPr>
          <w:rFonts w:ascii="Palatino Linotype" w:hAnsi="Palatino Linotype" w:cs="Arial"/>
          <w:lang w:val="es-ES_tradnl"/>
        </w:rPr>
        <w:t xml:space="preserve"> </w:t>
      </w:r>
      <w:r w:rsidRPr="00D4543D">
        <w:rPr>
          <w:rFonts w:ascii="Palatino Linotype" w:hAnsi="Palatino Linotype" w:cs="Arial"/>
        </w:rPr>
        <w:t>con</w:t>
      </w:r>
      <w:r w:rsidRPr="00D4543D">
        <w:rPr>
          <w:rFonts w:ascii="Palatino Linotype" w:hAnsi="Palatino Linotype" w:cs="Arial"/>
          <w:lang w:val="es-ES_tradnl"/>
        </w:rPr>
        <w:t xml:space="preserve"> la respuesta otorgada por </w:t>
      </w:r>
      <w:r w:rsidRPr="00D4543D">
        <w:rPr>
          <w:rFonts w:ascii="Palatino Linotype" w:hAnsi="Palatino Linotype" w:cs="Arial"/>
          <w:b/>
          <w:lang w:val="es-ES_tradnl"/>
        </w:rPr>
        <w:t>EL SUJETO OBLIGADO</w:t>
      </w:r>
      <w:r w:rsidRPr="00D4543D">
        <w:rPr>
          <w:rFonts w:ascii="Palatino Linotype" w:hAnsi="Palatino Linotype" w:cs="Arial"/>
          <w:lang w:val="es-ES_tradnl"/>
        </w:rPr>
        <w:t xml:space="preserve">, </w:t>
      </w:r>
      <w:r w:rsidRPr="00D4543D">
        <w:rPr>
          <w:rFonts w:ascii="Palatino Linotype" w:hAnsi="Palatino Linotype"/>
          <w:b/>
        </w:rPr>
        <w:t>EL RECURRENTE</w:t>
      </w:r>
      <w:r w:rsidRPr="00D4543D">
        <w:rPr>
          <w:rFonts w:ascii="Palatino Linotype" w:hAnsi="Palatino Linotype" w:cs="Arial"/>
          <w:lang w:val="es-ES_tradnl"/>
        </w:rPr>
        <w:t xml:space="preserve"> interpuso el presente medio de impugnación; en el cual se dolió </w:t>
      </w:r>
      <w:r w:rsidR="000D0E31" w:rsidRPr="00D4543D">
        <w:rPr>
          <w:rFonts w:ascii="Palatino Linotype" w:hAnsi="Palatino Linotype"/>
        </w:rPr>
        <w:t xml:space="preserve">respecto a </w:t>
      </w:r>
      <w:r w:rsidR="004A2C82" w:rsidRPr="00D4543D">
        <w:rPr>
          <w:rFonts w:ascii="Palatino Linotype" w:hAnsi="Palatino Linotype"/>
        </w:rPr>
        <w:t>que no le proporcionaron la información solicitada.</w:t>
      </w:r>
    </w:p>
    <w:p w:rsidR="004A2C82" w:rsidRPr="00D4543D" w:rsidRDefault="004A2C82" w:rsidP="004A2C82">
      <w:pPr>
        <w:tabs>
          <w:tab w:val="left" w:pos="567"/>
        </w:tabs>
        <w:spacing w:line="360" w:lineRule="auto"/>
        <w:ind w:right="51"/>
        <w:jc w:val="both"/>
        <w:rPr>
          <w:rFonts w:ascii="Palatino Linotype" w:hAnsi="Palatino Linotype"/>
        </w:rPr>
      </w:pPr>
    </w:p>
    <w:p w:rsidR="00AB1202" w:rsidRPr="00D4543D" w:rsidRDefault="00961CD9" w:rsidP="00AB1202">
      <w:pPr>
        <w:tabs>
          <w:tab w:val="left" w:pos="567"/>
        </w:tabs>
        <w:spacing w:line="360" w:lineRule="auto"/>
        <w:jc w:val="both"/>
        <w:rPr>
          <w:rFonts w:ascii="Palatino Linotype" w:hAnsi="Palatino Linotype"/>
          <w:b/>
        </w:rPr>
      </w:pPr>
      <w:r w:rsidRPr="00D4543D">
        <w:rPr>
          <w:rFonts w:ascii="Palatino Linotype" w:hAnsi="Palatino Linotype" w:cs="Arial"/>
        </w:rPr>
        <w:t xml:space="preserve">Por otra parte, de las constancias que obran en el </w:t>
      </w:r>
      <w:r w:rsidRPr="00D4543D">
        <w:rPr>
          <w:rFonts w:ascii="Palatino Linotype" w:hAnsi="Palatino Linotype" w:cs="Arial"/>
          <w:b/>
        </w:rPr>
        <w:t>SAIMEX,</w:t>
      </w:r>
      <w:r w:rsidRPr="00D4543D">
        <w:rPr>
          <w:rFonts w:ascii="Palatino Linotype" w:hAnsi="Palatino Linotype" w:cs="Arial"/>
        </w:rPr>
        <w:t xml:space="preserve"> se advierte que </w:t>
      </w:r>
      <w:r w:rsidRPr="00D4543D">
        <w:rPr>
          <w:rFonts w:ascii="Palatino Linotype" w:hAnsi="Palatino Linotype" w:cs="Arial"/>
          <w:b/>
        </w:rPr>
        <w:t>EL SUJETO OBLIGADO</w:t>
      </w:r>
      <w:r w:rsidRPr="00D4543D">
        <w:rPr>
          <w:rFonts w:ascii="Palatino Linotype" w:hAnsi="Palatino Linotype" w:cs="Arial"/>
        </w:rPr>
        <w:t xml:space="preserve">, </w:t>
      </w:r>
      <w:r w:rsidR="004A2C82" w:rsidRPr="00D4543D">
        <w:rPr>
          <w:rFonts w:ascii="Palatino Linotype" w:hAnsi="Palatino Linotype" w:cs="Arial"/>
        </w:rPr>
        <w:t xml:space="preserve">mediante </w:t>
      </w:r>
      <w:r w:rsidRPr="00D4543D">
        <w:rPr>
          <w:rFonts w:ascii="Palatino Linotype" w:hAnsi="Palatino Linotype" w:cs="Arial"/>
        </w:rPr>
        <w:t xml:space="preserve">Informe Justificado confirmó su respuesta </w:t>
      </w:r>
      <w:r w:rsidR="004A2C82" w:rsidRPr="00D4543D">
        <w:rPr>
          <w:rFonts w:ascii="Palatino Linotype" w:hAnsi="Palatino Linotype" w:cs="Arial"/>
          <w:lang w:val="es-ES_tradnl"/>
        </w:rPr>
        <w:t>y</w:t>
      </w:r>
      <w:r w:rsidR="00AB1202" w:rsidRPr="00D4543D">
        <w:rPr>
          <w:rFonts w:ascii="Palatino Linotype" w:hAnsi="Palatino Linotype" w:cs="Arial"/>
          <w:lang w:val="es-ES_tradnl"/>
        </w:rPr>
        <w:t xml:space="preserve"> orientó al particular, </w:t>
      </w:r>
      <w:r w:rsidR="004A2C82" w:rsidRPr="00D4543D">
        <w:rPr>
          <w:rFonts w:ascii="Palatino Linotype" w:hAnsi="Palatino Linotype" w:cs="Arial"/>
          <w:lang w:val="es-ES_tradnl"/>
        </w:rPr>
        <w:t xml:space="preserve">que además del </w:t>
      </w:r>
      <w:r w:rsidR="004A2C82" w:rsidRPr="00D4543D">
        <w:rPr>
          <w:rFonts w:ascii="Palatino Linotype" w:hAnsi="Palatino Linotype"/>
        </w:rPr>
        <w:t xml:space="preserve">Sistema Nacional de Seguridad Pública; los Sujetos Obligados que podrían contar con la información solicitada, son la Secretaría de la </w:t>
      </w:r>
      <w:r w:rsidR="001C2D86" w:rsidRPr="00D4543D">
        <w:rPr>
          <w:rFonts w:ascii="Palatino Linotype" w:hAnsi="Palatino Linotype"/>
        </w:rPr>
        <w:t>Contraloría y la Secretaría de F</w:t>
      </w:r>
      <w:r w:rsidR="004A2C82" w:rsidRPr="00D4543D">
        <w:rPr>
          <w:rFonts w:ascii="Palatino Linotype" w:hAnsi="Palatino Linotype"/>
        </w:rPr>
        <w:t xml:space="preserve">inanzas, razón por la cual se puso a la vista del </w:t>
      </w:r>
      <w:r w:rsidR="00AB1202" w:rsidRPr="00D4543D">
        <w:rPr>
          <w:rFonts w:ascii="Palatino Linotype" w:hAnsi="Palatino Linotype"/>
          <w:b/>
        </w:rPr>
        <w:t>RECURRENTE</w:t>
      </w:r>
      <w:r w:rsidR="00AB1202" w:rsidRPr="00D4543D">
        <w:rPr>
          <w:rFonts w:ascii="Palatino Linotype" w:hAnsi="Palatino Linotype"/>
        </w:rPr>
        <w:t>, a efecto de que manifestara lo que a su derecho corresponda; s</w:t>
      </w:r>
      <w:r w:rsidR="00AB1202" w:rsidRPr="00D4543D">
        <w:rPr>
          <w:rFonts w:ascii="Palatino Linotype" w:hAnsi="Palatino Linotype" w:cs="Arial"/>
        </w:rPr>
        <w:t xml:space="preserve">in </w:t>
      </w:r>
      <w:r w:rsidR="00AB1202" w:rsidRPr="00D4543D">
        <w:rPr>
          <w:rFonts w:ascii="Palatino Linotype" w:hAnsi="Palatino Linotype" w:cs="Arial"/>
        </w:rPr>
        <w:lastRenderedPageBreak/>
        <w:t xml:space="preserve">embargo, </w:t>
      </w:r>
      <w:r w:rsidR="00AB1202" w:rsidRPr="00D4543D">
        <w:rPr>
          <w:rFonts w:ascii="Palatino Linotype" w:hAnsi="Palatino Linotype" w:cs="Arial"/>
          <w:b/>
        </w:rPr>
        <w:t>EL RECURRENTE</w:t>
      </w:r>
      <w:r w:rsidR="00AB1202" w:rsidRPr="00D4543D">
        <w:rPr>
          <w:rFonts w:ascii="Palatino Linotype" w:hAnsi="Palatino Linotype" w:cs="Arial"/>
        </w:rPr>
        <w:t xml:space="preserve"> no presentó manifestaciones, alegatos ni ofreció los medios de prueba que a su derecho convinieran.</w:t>
      </w:r>
    </w:p>
    <w:p w:rsidR="00AB1202" w:rsidRPr="00D4543D" w:rsidRDefault="00AB1202" w:rsidP="00961CD9">
      <w:pPr>
        <w:tabs>
          <w:tab w:val="left" w:pos="567"/>
        </w:tabs>
        <w:spacing w:line="360" w:lineRule="auto"/>
        <w:jc w:val="both"/>
        <w:rPr>
          <w:rFonts w:ascii="Palatino Linotype" w:hAnsi="Palatino Linotype" w:cs="Arial"/>
        </w:rPr>
      </w:pPr>
    </w:p>
    <w:p w:rsidR="00961CD9" w:rsidRPr="00D4543D" w:rsidRDefault="00961CD9" w:rsidP="00961CD9">
      <w:pPr>
        <w:tabs>
          <w:tab w:val="left" w:pos="567"/>
        </w:tabs>
        <w:spacing w:line="360" w:lineRule="auto"/>
        <w:jc w:val="both"/>
        <w:rPr>
          <w:rFonts w:ascii="Palatino Linotype" w:hAnsi="Palatino Linotype"/>
        </w:rPr>
      </w:pPr>
      <w:r w:rsidRPr="00D4543D">
        <w:rPr>
          <w:rFonts w:ascii="Palatino Linotype" w:hAnsi="Palatino Linotype"/>
        </w:rPr>
        <w:t xml:space="preserve">Establecido lo anterior, esta Ponencia Resolutora advierte que resultan </w:t>
      </w:r>
      <w:r w:rsidR="00AB1202" w:rsidRPr="00D4543D">
        <w:rPr>
          <w:rFonts w:ascii="Palatino Linotype" w:hAnsi="Palatino Linotype"/>
          <w:b/>
        </w:rPr>
        <w:t>in</w:t>
      </w:r>
      <w:r w:rsidRPr="00D4543D">
        <w:rPr>
          <w:rFonts w:ascii="Palatino Linotype" w:hAnsi="Palatino Linotype"/>
          <w:b/>
        </w:rPr>
        <w:t>fundadas</w:t>
      </w:r>
      <w:r w:rsidRPr="00D4543D">
        <w:rPr>
          <w:rFonts w:ascii="Palatino Linotype" w:hAnsi="Palatino Linotype"/>
        </w:rPr>
        <w:t xml:space="preserve"> las razones o motivos de inconformidad expuestas por </w:t>
      </w:r>
      <w:r w:rsidRPr="00D4543D">
        <w:rPr>
          <w:rFonts w:ascii="Palatino Linotype" w:hAnsi="Palatino Linotype"/>
          <w:b/>
        </w:rPr>
        <w:t>EL RECURRENTE,</w:t>
      </w:r>
      <w:r w:rsidRPr="00D4543D">
        <w:rPr>
          <w:rFonts w:ascii="Palatino Linotype" w:hAnsi="Palatino Linotype"/>
        </w:rPr>
        <w:t xml:space="preserve"> </w:t>
      </w:r>
      <w:r w:rsidR="00AB1202" w:rsidRPr="00D4543D">
        <w:rPr>
          <w:rFonts w:ascii="Palatino Linotype" w:hAnsi="Palatino Linotype"/>
        </w:rPr>
        <w:t>en atención a las consideraciones de hecho y de derecho que se detallan a continuación:</w:t>
      </w:r>
    </w:p>
    <w:p w:rsidR="005C78D4" w:rsidRPr="00D4543D" w:rsidRDefault="005C78D4" w:rsidP="005C78D4">
      <w:pPr>
        <w:pStyle w:val="Prrafodelista"/>
        <w:tabs>
          <w:tab w:val="left" w:pos="426"/>
        </w:tabs>
        <w:spacing w:line="360" w:lineRule="auto"/>
        <w:ind w:left="0"/>
        <w:contextualSpacing/>
        <w:jc w:val="both"/>
        <w:rPr>
          <w:rFonts w:ascii="Palatino Linotype" w:hAnsi="Palatino Linotype"/>
        </w:rPr>
      </w:pPr>
    </w:p>
    <w:p w:rsidR="005C78D4" w:rsidRPr="00D4543D" w:rsidRDefault="005C78D4" w:rsidP="005C78D4">
      <w:pPr>
        <w:pStyle w:val="Prrafodelista"/>
        <w:tabs>
          <w:tab w:val="left" w:pos="426"/>
        </w:tabs>
        <w:spacing w:line="360" w:lineRule="auto"/>
        <w:ind w:left="0"/>
        <w:contextualSpacing/>
        <w:jc w:val="both"/>
        <w:rPr>
          <w:rFonts w:ascii="Palatino Linotype" w:hAnsi="Palatino Linotype" w:cs="Arial"/>
          <w:bCs/>
          <w:lang w:val="es-ES"/>
        </w:rPr>
      </w:pPr>
      <w:r w:rsidRPr="00D4543D">
        <w:rPr>
          <w:rFonts w:ascii="Palatino Linotype" w:hAnsi="Palatino Linotype"/>
        </w:rPr>
        <w:t xml:space="preserve">Primeramente es importante resaltar que toda vez que la solicitud de mérito, se centra en conocer el ejercicio de los recursos federarles otorgados por el Sistema Nacional de Seguridad Publica en FOSEG, FORTASEG y FASP del 2015 al 29 de julio de 2019, fecha en que se presentó la solicitud; es importante señalar que, </w:t>
      </w:r>
      <w:r w:rsidRPr="00D4543D">
        <w:rPr>
          <w:rFonts w:ascii="Palatino Linotype" w:hAnsi="Palatino Linotype" w:cs="Arial"/>
          <w:bCs/>
          <w:lang w:val="es-ES"/>
        </w:rPr>
        <w:t xml:space="preserve">en lo que hace al Fondo de Seguridad (FOSEG), se tiene que el </w:t>
      </w:r>
      <w:r w:rsidRPr="00D4543D">
        <w:rPr>
          <w:rFonts w:ascii="Palatino Linotype" w:hAnsi="Palatino Linotype"/>
        </w:rPr>
        <w:t xml:space="preserve">Sistema Nacional de Seguridad Publica </w:t>
      </w:r>
      <w:r w:rsidRPr="00D4543D">
        <w:rPr>
          <w:rFonts w:ascii="Palatino Linotype" w:hAnsi="Palatino Linotype" w:cs="Arial"/>
          <w:bCs/>
          <w:lang w:val="es-ES"/>
        </w:rPr>
        <w:t xml:space="preserve">únicamente destina apoyos a través de fondos </w:t>
      </w:r>
      <w:r w:rsidR="00533516" w:rsidRPr="00D4543D">
        <w:rPr>
          <w:rFonts w:ascii="Palatino Linotype" w:hAnsi="Palatino Linotype" w:cs="Arial"/>
          <w:bCs/>
          <w:lang w:val="es-ES"/>
        </w:rPr>
        <w:t>y</w:t>
      </w:r>
      <w:r w:rsidRPr="00D4543D">
        <w:rPr>
          <w:rFonts w:ascii="Palatino Linotype" w:hAnsi="Palatino Linotype" w:cs="Arial"/>
          <w:bCs/>
          <w:lang w:val="es-ES"/>
        </w:rPr>
        <w:t xml:space="preserve"> subsidios, dentro de los cuales se encuentran el FORTASEG y FASP</w:t>
      </w:r>
      <w:r w:rsidR="00533516" w:rsidRPr="00D4543D">
        <w:rPr>
          <w:rFonts w:ascii="Palatino Linotype" w:hAnsi="Palatino Linotype" w:cs="Arial"/>
          <w:bCs/>
          <w:lang w:val="es-ES"/>
        </w:rPr>
        <w:t>.</w:t>
      </w:r>
    </w:p>
    <w:p w:rsidR="00533516" w:rsidRPr="00D4543D" w:rsidRDefault="00533516" w:rsidP="005C78D4">
      <w:pPr>
        <w:pStyle w:val="Prrafodelista"/>
        <w:tabs>
          <w:tab w:val="left" w:pos="426"/>
        </w:tabs>
        <w:spacing w:line="360" w:lineRule="auto"/>
        <w:ind w:left="0"/>
        <w:contextualSpacing/>
        <w:jc w:val="both"/>
        <w:rPr>
          <w:rFonts w:ascii="Palatino Linotype" w:hAnsi="Palatino Linotype"/>
        </w:rPr>
      </w:pPr>
    </w:p>
    <w:p w:rsidR="00533516" w:rsidRPr="00D4543D" w:rsidRDefault="00533516" w:rsidP="00533516">
      <w:pPr>
        <w:pStyle w:val="Prrafodelista"/>
        <w:tabs>
          <w:tab w:val="left" w:pos="426"/>
        </w:tabs>
        <w:spacing w:line="360" w:lineRule="auto"/>
        <w:ind w:left="0"/>
        <w:contextualSpacing/>
        <w:jc w:val="both"/>
        <w:rPr>
          <w:rFonts w:ascii="Palatino Linotype" w:eastAsia="MS Mincho" w:hAnsi="Palatino Linotype" w:cs="Arial"/>
          <w:color w:val="000000" w:themeColor="text1"/>
          <w:sz w:val="28"/>
          <w:szCs w:val="28"/>
        </w:rPr>
      </w:pPr>
      <w:r w:rsidRPr="00D4543D">
        <w:rPr>
          <w:rFonts w:ascii="Palatino Linotype" w:hAnsi="Palatino Linotype"/>
        </w:rPr>
        <w:t xml:space="preserve">Ahora bien, es </w:t>
      </w:r>
      <w:r w:rsidR="005C78D4" w:rsidRPr="00D4543D">
        <w:rPr>
          <w:rFonts w:ascii="Palatino Linotype" w:hAnsi="Palatino Linotype"/>
        </w:rPr>
        <w:t>pertinente señalar que, el Sistema Nacional de Seguridad Pública</w:t>
      </w:r>
      <w:r w:rsidRPr="00D4543D">
        <w:rPr>
          <w:rFonts w:ascii="Palatino Linotype" w:hAnsi="Palatino Linotype"/>
        </w:rPr>
        <w:t xml:space="preserve"> otorga recursos </w:t>
      </w:r>
      <w:r w:rsidR="005C78D4" w:rsidRPr="00D4543D">
        <w:rPr>
          <w:rFonts w:ascii="Palatino Linotype" w:hAnsi="Palatino Linotype"/>
        </w:rPr>
        <w:t>fede</w:t>
      </w:r>
      <w:r w:rsidRPr="00D4543D">
        <w:rPr>
          <w:rFonts w:ascii="Palatino Linotype" w:hAnsi="Palatino Linotype"/>
        </w:rPr>
        <w:t>rales a los Estados y M</w:t>
      </w:r>
      <w:r w:rsidR="005C78D4" w:rsidRPr="00D4543D">
        <w:rPr>
          <w:rFonts w:ascii="Palatino Linotype" w:hAnsi="Palatino Linotype"/>
        </w:rPr>
        <w:t>unicipios</w:t>
      </w:r>
      <w:r w:rsidRPr="00D4543D">
        <w:rPr>
          <w:rFonts w:ascii="Palatino Linotype" w:hAnsi="Palatino Linotype"/>
        </w:rPr>
        <w:t xml:space="preserve">, los cuales son destinados para un fin en específico, como la profesionalización del personal de </w:t>
      </w:r>
      <w:r w:rsidR="005C78D4" w:rsidRPr="00D4543D">
        <w:rPr>
          <w:rFonts w:ascii="Palatino Linotype" w:hAnsi="Palatino Linotype"/>
        </w:rPr>
        <w:t>seguridad pública, así como su equipamiento, construcción de infraestructura física entre otros, cuyo fin radica en fortalecer la misma, tal y como lo refiere la página oficial del Secretariado</w:t>
      </w:r>
      <w:r w:rsidRPr="00D4543D">
        <w:rPr>
          <w:rFonts w:ascii="Palatino Linotype" w:hAnsi="Palatino Linotype"/>
        </w:rPr>
        <w:t xml:space="preserve"> Ejecutivo del Sistema Nacional de Seguridad Publica</w:t>
      </w:r>
      <w:r w:rsidR="005C78D4" w:rsidRPr="00D4543D">
        <w:rPr>
          <w:rFonts w:ascii="Palatino Linotype" w:hAnsi="Palatino Linotype"/>
        </w:rPr>
        <w:t xml:space="preserve">. </w:t>
      </w:r>
      <w:r w:rsidR="005C78D4" w:rsidRPr="00D4543D">
        <w:rPr>
          <w:rStyle w:val="Refdenotaalpie"/>
          <w:rFonts w:ascii="Palatino Linotype" w:hAnsi="Palatino Linotype"/>
        </w:rPr>
        <w:footnoteReference w:id="1"/>
      </w:r>
    </w:p>
    <w:p w:rsidR="00533516" w:rsidRPr="00D4543D" w:rsidRDefault="00533516" w:rsidP="00533516">
      <w:pPr>
        <w:pStyle w:val="Prrafodelista"/>
        <w:tabs>
          <w:tab w:val="left" w:pos="426"/>
        </w:tabs>
        <w:spacing w:line="360" w:lineRule="auto"/>
        <w:ind w:left="0"/>
        <w:contextualSpacing/>
        <w:jc w:val="both"/>
        <w:rPr>
          <w:rFonts w:ascii="Palatino Linotype" w:eastAsia="MS Mincho" w:hAnsi="Palatino Linotype" w:cs="Arial"/>
          <w:color w:val="000000" w:themeColor="text1"/>
          <w:sz w:val="28"/>
          <w:szCs w:val="28"/>
        </w:rPr>
      </w:pPr>
    </w:p>
    <w:p w:rsidR="005C78D4" w:rsidRPr="00D4543D" w:rsidRDefault="00533516" w:rsidP="00533516">
      <w:pPr>
        <w:pStyle w:val="Prrafodelista"/>
        <w:tabs>
          <w:tab w:val="left" w:pos="426"/>
        </w:tabs>
        <w:spacing w:line="360" w:lineRule="auto"/>
        <w:ind w:left="0"/>
        <w:contextualSpacing/>
        <w:jc w:val="both"/>
        <w:rPr>
          <w:rFonts w:ascii="Palatino Linotype" w:eastAsia="MS Mincho" w:hAnsi="Palatino Linotype" w:cs="Arial"/>
          <w:color w:val="000000" w:themeColor="text1"/>
          <w:sz w:val="28"/>
          <w:szCs w:val="28"/>
        </w:rPr>
      </w:pPr>
      <w:r w:rsidRPr="00D4543D">
        <w:rPr>
          <w:rFonts w:ascii="Palatino Linotype" w:hAnsi="Palatino Linotype"/>
        </w:rPr>
        <w:lastRenderedPageBreak/>
        <w:t xml:space="preserve">Así, estos recursos </w:t>
      </w:r>
      <w:r w:rsidR="005C78D4" w:rsidRPr="00D4543D">
        <w:rPr>
          <w:rFonts w:ascii="Palatino Linotype" w:hAnsi="Palatino Linotype"/>
        </w:rPr>
        <w:t>federales conforma</w:t>
      </w:r>
      <w:r w:rsidRPr="00D4543D">
        <w:rPr>
          <w:rFonts w:ascii="Palatino Linotype" w:hAnsi="Palatino Linotype"/>
        </w:rPr>
        <w:t>n</w:t>
      </w:r>
      <w:r w:rsidR="005C78D4" w:rsidRPr="00D4543D">
        <w:rPr>
          <w:rFonts w:ascii="Palatino Linotype" w:hAnsi="Palatino Linotype"/>
        </w:rPr>
        <w:t xml:space="preserve"> </w:t>
      </w:r>
      <w:r w:rsidRPr="00D4543D">
        <w:rPr>
          <w:rFonts w:ascii="Palatino Linotype" w:hAnsi="Palatino Linotype"/>
        </w:rPr>
        <w:t>el Fondo de Aportaciones para la Seguridad Pública de los Estados y del Distrito Federal (FASP) y el</w:t>
      </w:r>
      <w:r w:rsidR="005C78D4" w:rsidRPr="00D4543D">
        <w:rPr>
          <w:rFonts w:ascii="Palatino Linotype" w:hAnsi="Palatino Linotype"/>
        </w:rPr>
        <w:t xml:space="preserve"> subsidio </w:t>
      </w:r>
      <w:r w:rsidRPr="00D4543D">
        <w:rPr>
          <w:rFonts w:ascii="Palatino Linotype" w:hAnsi="Palatino Linotype"/>
        </w:rPr>
        <w:t xml:space="preserve">denominado Programa de Fortalecimiento para la Seguridad </w:t>
      </w:r>
      <w:r w:rsidR="005C78D4" w:rsidRPr="00D4543D">
        <w:rPr>
          <w:rFonts w:ascii="Palatino Linotype" w:hAnsi="Palatino Linotype"/>
        </w:rPr>
        <w:t>(FOTASEG</w:t>
      </w:r>
      <w:r w:rsidR="001C2D86" w:rsidRPr="00D4543D">
        <w:rPr>
          <w:rFonts w:ascii="Palatino Linotype" w:hAnsi="Palatino Linotype"/>
        </w:rPr>
        <w:t>).</w:t>
      </w:r>
    </w:p>
    <w:p w:rsidR="005C78D4" w:rsidRPr="00D4543D" w:rsidRDefault="005C78D4" w:rsidP="005C78D4">
      <w:pPr>
        <w:pStyle w:val="Prrafodelista"/>
        <w:tabs>
          <w:tab w:val="left" w:pos="426"/>
        </w:tabs>
        <w:spacing w:line="360" w:lineRule="auto"/>
        <w:ind w:left="0"/>
        <w:jc w:val="both"/>
        <w:rPr>
          <w:rFonts w:ascii="Palatino Linotype" w:eastAsia="MS Mincho" w:hAnsi="Palatino Linotype" w:cs="Arial"/>
          <w:color w:val="000000" w:themeColor="text1"/>
        </w:rPr>
      </w:pPr>
    </w:p>
    <w:p w:rsidR="005C78D4" w:rsidRPr="00D4543D" w:rsidRDefault="00533516" w:rsidP="005C78D4">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eastAsia="MS Mincho" w:hAnsi="Palatino Linotype" w:cs="Arial"/>
          <w:color w:val="000000" w:themeColor="text1"/>
        </w:rPr>
        <w:t xml:space="preserve">Es este orden de ideas, el Fondo de Aportaciones para la Seguridad Pública de los Estados y del Distrito Federal (FASP), de conformidad con </w:t>
      </w:r>
      <w:r w:rsidR="002746FA" w:rsidRPr="00D4543D">
        <w:rPr>
          <w:rFonts w:ascii="Palatino Linotype" w:eastAsia="MS Mincho" w:hAnsi="Palatino Linotype" w:cs="Arial"/>
          <w:color w:val="000000" w:themeColor="text1"/>
        </w:rPr>
        <w:t xml:space="preserve">el artículo 44 de </w:t>
      </w:r>
      <w:r w:rsidRPr="00D4543D">
        <w:rPr>
          <w:rFonts w:ascii="Palatino Linotype" w:eastAsia="MS Mincho" w:hAnsi="Palatino Linotype" w:cs="Arial"/>
          <w:color w:val="000000" w:themeColor="text1"/>
        </w:rPr>
        <w:t xml:space="preserve">la </w:t>
      </w:r>
      <w:r w:rsidR="005C78D4" w:rsidRPr="00D4543D">
        <w:rPr>
          <w:rFonts w:ascii="Palatino Linotype" w:eastAsia="MS Mincho" w:hAnsi="Palatino Linotype" w:cs="Arial"/>
          <w:color w:val="000000" w:themeColor="text1"/>
        </w:rPr>
        <w:t xml:space="preserve">Ley de Coordinación Fiscal, </w:t>
      </w:r>
      <w:r w:rsidRPr="00D4543D">
        <w:rPr>
          <w:rFonts w:ascii="Palatino Linotype" w:eastAsia="MS Mincho" w:hAnsi="Palatino Linotype" w:cs="Arial"/>
          <w:color w:val="000000" w:themeColor="text1"/>
        </w:rPr>
        <w:t xml:space="preserve">se constituye </w:t>
      </w:r>
      <w:r w:rsidR="005C78D4" w:rsidRPr="00D4543D">
        <w:rPr>
          <w:rFonts w:ascii="Palatino Linotype" w:eastAsia="MS Mincho" w:hAnsi="Palatino Linotype" w:cs="Arial"/>
          <w:color w:val="000000" w:themeColor="text1"/>
        </w:rPr>
        <w:t>con cargo a recursos federales, los cuales s</w:t>
      </w:r>
      <w:r w:rsidR="002746FA" w:rsidRPr="00D4543D">
        <w:rPr>
          <w:rFonts w:ascii="Palatino Linotype" w:eastAsia="MS Mincho" w:hAnsi="Palatino Linotype" w:cs="Arial"/>
          <w:color w:val="000000" w:themeColor="text1"/>
        </w:rPr>
        <w:t xml:space="preserve">on </w:t>
      </w:r>
      <w:r w:rsidR="005C78D4" w:rsidRPr="00D4543D">
        <w:rPr>
          <w:rFonts w:ascii="Palatino Linotype" w:eastAsia="MS Mincho" w:hAnsi="Palatino Linotype" w:cs="Arial"/>
          <w:color w:val="000000" w:themeColor="text1"/>
        </w:rPr>
        <w:t>determinados anualmente en el Presupues</w:t>
      </w:r>
      <w:r w:rsidRPr="00D4543D">
        <w:rPr>
          <w:rFonts w:ascii="Palatino Linotype" w:eastAsia="MS Mincho" w:hAnsi="Palatino Linotype" w:cs="Arial"/>
          <w:color w:val="000000" w:themeColor="text1"/>
        </w:rPr>
        <w:t xml:space="preserve">to de Egresos de la Federación; así mismo, </w:t>
      </w:r>
      <w:r w:rsidR="002746FA" w:rsidRPr="00D4543D">
        <w:rPr>
          <w:rFonts w:ascii="Palatino Linotype" w:eastAsia="MS Mincho" w:hAnsi="Palatino Linotype" w:cs="Arial"/>
          <w:color w:val="000000" w:themeColor="text1"/>
        </w:rPr>
        <w:t>se entregan</w:t>
      </w:r>
      <w:r w:rsidR="005C78D4" w:rsidRPr="00D4543D">
        <w:rPr>
          <w:rFonts w:ascii="Palatino Linotype" w:eastAsia="MS Mincho" w:hAnsi="Palatino Linotype" w:cs="Arial"/>
          <w:color w:val="000000" w:themeColor="text1"/>
        </w:rPr>
        <w:t xml:space="preserve"> mensualmente por la Secretaría de Hacienda y Crédito Público durante los primeros diez meses del año a los Estados y al distrito Fe</w:t>
      </w:r>
      <w:r w:rsidR="002746FA" w:rsidRPr="00D4543D">
        <w:rPr>
          <w:rFonts w:ascii="Palatino Linotype" w:eastAsia="MS Mincho" w:hAnsi="Palatino Linotype" w:cs="Arial"/>
          <w:color w:val="000000" w:themeColor="text1"/>
        </w:rPr>
        <w:t xml:space="preserve">deral, de manera ágil y directa, como se transcribe a continuación: </w:t>
      </w:r>
    </w:p>
    <w:p w:rsidR="002746FA" w:rsidRPr="00D4543D" w:rsidRDefault="002746FA" w:rsidP="002746FA">
      <w:pPr>
        <w:pStyle w:val="Prrafodelista"/>
        <w:tabs>
          <w:tab w:val="left" w:pos="426"/>
        </w:tabs>
        <w:spacing w:line="360" w:lineRule="auto"/>
        <w:ind w:left="0"/>
        <w:jc w:val="center"/>
        <w:rPr>
          <w:rFonts w:ascii="Palatino Linotype" w:eastAsia="MS Mincho" w:hAnsi="Palatino Linotype" w:cs="Arial"/>
          <w:b/>
          <w:bCs/>
          <w:i/>
          <w:color w:val="000000" w:themeColor="text1"/>
          <w:sz w:val="22"/>
          <w:szCs w:val="22"/>
        </w:rPr>
      </w:pPr>
    </w:p>
    <w:p w:rsidR="005C78D4" w:rsidRPr="00D4543D" w:rsidRDefault="005C78D4" w:rsidP="002746FA">
      <w:pPr>
        <w:pStyle w:val="Prrafodelista"/>
        <w:tabs>
          <w:tab w:val="left" w:pos="426"/>
        </w:tabs>
        <w:spacing w:line="360" w:lineRule="auto"/>
        <w:ind w:left="0"/>
        <w:jc w:val="center"/>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Ley de Coordinación Fiscal</w:t>
      </w:r>
    </w:p>
    <w:p w:rsidR="002746FA" w:rsidRPr="00D4543D" w:rsidRDefault="002746FA" w:rsidP="003264C2">
      <w:pPr>
        <w:tabs>
          <w:tab w:val="left" w:pos="851"/>
        </w:tabs>
        <w:ind w:left="851" w:right="760"/>
        <w:jc w:val="both"/>
        <w:rPr>
          <w:rFonts w:ascii="Palatino Linotype" w:hAnsi="Palatino Linotype"/>
          <w:i/>
          <w:sz w:val="22"/>
          <w:szCs w:val="22"/>
        </w:rPr>
      </w:pPr>
      <w:r w:rsidRPr="00D4543D">
        <w:rPr>
          <w:rFonts w:ascii="Palatino Linotype" w:hAnsi="Palatino Linotype"/>
          <w:b/>
          <w:bCs/>
          <w:i/>
          <w:sz w:val="22"/>
          <w:szCs w:val="22"/>
        </w:rPr>
        <w:t>“</w:t>
      </w:r>
      <w:r w:rsidR="005C78D4" w:rsidRPr="00D4543D">
        <w:rPr>
          <w:rFonts w:ascii="Palatino Linotype" w:hAnsi="Palatino Linotype"/>
          <w:b/>
          <w:bCs/>
          <w:i/>
          <w:sz w:val="22"/>
          <w:szCs w:val="22"/>
        </w:rPr>
        <w:t>Artículo 44.-</w:t>
      </w:r>
      <w:r w:rsidR="005C78D4" w:rsidRPr="00D4543D">
        <w:rPr>
          <w:rFonts w:ascii="Palatino Linotype" w:hAnsi="Palatino Linotype"/>
          <w:i/>
          <w:sz w:val="22"/>
          <w:szCs w:val="22"/>
        </w:rPr>
        <w:t xml:space="preserve"> […]</w:t>
      </w:r>
    </w:p>
    <w:p w:rsidR="005C78D4" w:rsidRPr="00D4543D" w:rsidRDefault="005C78D4" w:rsidP="003264C2">
      <w:pPr>
        <w:tabs>
          <w:tab w:val="left" w:pos="851"/>
        </w:tabs>
        <w:ind w:left="851" w:right="760"/>
        <w:jc w:val="both"/>
        <w:rPr>
          <w:rFonts w:ascii="Palatino Linotype" w:hAnsi="Palatino Linotype"/>
          <w:i/>
          <w:sz w:val="22"/>
          <w:szCs w:val="22"/>
        </w:rPr>
      </w:pPr>
      <w:r w:rsidRPr="00D4543D">
        <w:rPr>
          <w:rFonts w:ascii="Palatino Linotype" w:hAnsi="Palatino Linotype"/>
          <w:i/>
          <w:sz w:val="22"/>
          <w:szCs w:val="22"/>
        </w:rPr>
        <w:t>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w:t>
      </w:r>
    </w:p>
    <w:p w:rsidR="005C78D4" w:rsidRPr="00D4543D" w:rsidRDefault="005C78D4" w:rsidP="003264C2">
      <w:pPr>
        <w:tabs>
          <w:tab w:val="left" w:pos="851"/>
        </w:tabs>
        <w:ind w:left="851" w:right="760"/>
        <w:jc w:val="both"/>
        <w:rPr>
          <w:rFonts w:ascii="Palatino Linotype" w:hAnsi="Palatino Linotype"/>
          <w:i/>
          <w:sz w:val="22"/>
          <w:szCs w:val="22"/>
        </w:rPr>
      </w:pPr>
      <w:r w:rsidRPr="00D4543D">
        <w:rPr>
          <w:rFonts w:ascii="Palatino Linotype" w:hAnsi="Palatino Linotype"/>
          <w:i/>
          <w:sz w:val="22"/>
          <w:szCs w:val="22"/>
        </w:rPr>
        <w:lastRenderedPageBreak/>
        <w:t xml:space="preserve">[…] </w:t>
      </w:r>
    </w:p>
    <w:p w:rsidR="005C78D4" w:rsidRPr="00D4543D" w:rsidRDefault="005C78D4" w:rsidP="003264C2">
      <w:pPr>
        <w:tabs>
          <w:tab w:val="left" w:pos="851"/>
        </w:tabs>
        <w:ind w:left="851" w:right="760"/>
        <w:jc w:val="both"/>
        <w:rPr>
          <w:rFonts w:ascii="Palatino Linotype" w:hAnsi="Palatino Linotype"/>
          <w:i/>
          <w:sz w:val="22"/>
          <w:szCs w:val="22"/>
        </w:rPr>
      </w:pPr>
      <w:r w:rsidRPr="00D4543D">
        <w:rPr>
          <w:rFonts w:ascii="Palatino Linotype" w:hAnsi="Palatino Linotype"/>
          <w:b/>
          <w:bCs/>
          <w:i/>
          <w:sz w:val="22"/>
          <w:szCs w:val="22"/>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w:t>
      </w:r>
      <w:r w:rsidRPr="00D4543D">
        <w:rPr>
          <w:rFonts w:ascii="Palatino Linotype" w:hAnsi="Palatino Linotype"/>
          <w:i/>
          <w:sz w:val="22"/>
          <w:szCs w:val="22"/>
        </w:rPr>
        <w:t xml:space="preserve">;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rsidR="005C78D4" w:rsidRPr="00D4543D" w:rsidRDefault="005C78D4" w:rsidP="003264C2">
      <w:pPr>
        <w:tabs>
          <w:tab w:val="left" w:pos="851"/>
        </w:tabs>
        <w:ind w:left="851" w:right="760"/>
        <w:jc w:val="both"/>
        <w:rPr>
          <w:rFonts w:ascii="Palatino Linotype" w:hAnsi="Palatino Linotype"/>
          <w:i/>
          <w:sz w:val="22"/>
          <w:szCs w:val="22"/>
        </w:rPr>
      </w:pPr>
    </w:p>
    <w:p w:rsidR="005C78D4" w:rsidRPr="00D4543D" w:rsidRDefault="005C78D4" w:rsidP="003264C2">
      <w:pPr>
        <w:tabs>
          <w:tab w:val="left" w:pos="851"/>
        </w:tabs>
        <w:ind w:left="851" w:right="760"/>
        <w:jc w:val="both"/>
        <w:rPr>
          <w:rFonts w:ascii="Palatino Linotype" w:hAnsi="Palatino Linotype"/>
          <w:b/>
          <w:i/>
          <w:sz w:val="22"/>
          <w:szCs w:val="22"/>
        </w:rPr>
      </w:pPr>
      <w:r w:rsidRPr="00D4543D">
        <w:rPr>
          <w:rFonts w:ascii="Palatino Linotype" w:hAnsi="Palatino Linotype"/>
          <w:b/>
          <w:bCs/>
          <w:i/>
          <w:sz w:val="22"/>
          <w:szCs w:val="22"/>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w:t>
      </w:r>
      <w:r w:rsidRPr="00D4543D">
        <w:rPr>
          <w:rFonts w:ascii="Palatino Linotype" w:hAnsi="Palatino Linotype"/>
          <w:i/>
          <w:sz w:val="22"/>
          <w:szCs w:val="22"/>
        </w:rPr>
        <w:t xml:space="preserve"> Lo anterior, en términos de la Ley General de Contabilidad Gubernamental y conforme a los formatos aprobados por el Consejo Nacional de Armonización Contable.</w:t>
      </w:r>
      <w:r w:rsidR="002746FA" w:rsidRPr="00D4543D">
        <w:rPr>
          <w:rFonts w:ascii="Palatino Linotype" w:hAnsi="Palatino Linotype"/>
          <w:i/>
          <w:sz w:val="22"/>
          <w:szCs w:val="22"/>
        </w:rPr>
        <w:t>”</w:t>
      </w:r>
      <w:r w:rsidR="002746FA" w:rsidRPr="00D4543D">
        <w:rPr>
          <w:rFonts w:ascii="Palatino Linotype" w:hAnsi="Palatino Linotype"/>
          <w:b/>
          <w:i/>
          <w:sz w:val="22"/>
          <w:szCs w:val="22"/>
        </w:rPr>
        <w:t>(Énfasis añadido)</w:t>
      </w:r>
    </w:p>
    <w:p w:rsidR="003264C2" w:rsidRPr="00D4543D" w:rsidRDefault="003264C2" w:rsidP="003264C2">
      <w:pPr>
        <w:tabs>
          <w:tab w:val="left" w:pos="851"/>
        </w:tabs>
        <w:ind w:left="851" w:right="760"/>
        <w:jc w:val="both"/>
        <w:rPr>
          <w:rFonts w:ascii="Palatino Linotype" w:hAnsi="Palatino Linotype"/>
          <w:i/>
          <w:sz w:val="20"/>
          <w:szCs w:val="20"/>
        </w:rPr>
      </w:pPr>
    </w:p>
    <w:p w:rsidR="00A75F35" w:rsidRPr="00D4543D" w:rsidRDefault="00D113E9" w:rsidP="00D113E9">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hAnsi="Palatino Linotype"/>
        </w:rPr>
        <w:t xml:space="preserve">Expuesto </w:t>
      </w:r>
      <w:r w:rsidR="005C78D4" w:rsidRPr="00D4543D">
        <w:rPr>
          <w:rFonts w:ascii="Palatino Linotype" w:eastAsia="MS Mincho" w:hAnsi="Palatino Linotype" w:cs="Arial"/>
          <w:color w:val="000000" w:themeColor="text1"/>
        </w:rPr>
        <w:t xml:space="preserve">lo anterior se </w:t>
      </w:r>
      <w:r w:rsidRPr="00D4543D">
        <w:rPr>
          <w:rFonts w:ascii="Palatino Linotype" w:eastAsia="MS Mincho" w:hAnsi="Palatino Linotype" w:cs="Arial"/>
          <w:color w:val="000000" w:themeColor="text1"/>
        </w:rPr>
        <w:t xml:space="preserve">advierte que corresponde a </w:t>
      </w:r>
      <w:r w:rsidR="005C78D4" w:rsidRPr="00D4543D">
        <w:rPr>
          <w:rFonts w:ascii="Palatino Linotype" w:eastAsia="MS Mincho" w:hAnsi="Palatino Linotype" w:cs="Arial"/>
          <w:color w:val="000000" w:themeColor="text1"/>
        </w:rPr>
        <w:t>la Secretaría de Hacienda y Cr</w:t>
      </w:r>
      <w:r w:rsidRPr="00D4543D">
        <w:rPr>
          <w:rFonts w:ascii="Palatino Linotype" w:eastAsia="MS Mincho" w:hAnsi="Palatino Linotype" w:cs="Arial"/>
          <w:color w:val="000000" w:themeColor="text1"/>
        </w:rPr>
        <w:t>édito Público, entregará a las E</w:t>
      </w:r>
      <w:r w:rsidR="005C78D4" w:rsidRPr="00D4543D">
        <w:rPr>
          <w:rFonts w:ascii="Palatino Linotype" w:eastAsia="MS Mincho" w:hAnsi="Palatino Linotype" w:cs="Arial"/>
          <w:color w:val="000000" w:themeColor="text1"/>
        </w:rPr>
        <w:t>ntidades el Fondo de Aportaciones para la Seguridad Pública de los Estados y del Distrito Federal, el cual se enterará mensualmente durante los primeros diez meses del año, de tal manera que los Estados y el Distrito Federa</w:t>
      </w:r>
      <w:r w:rsidRPr="00D4543D">
        <w:rPr>
          <w:rFonts w:ascii="Palatino Linotype" w:eastAsia="MS Mincho" w:hAnsi="Palatino Linotype" w:cs="Arial"/>
          <w:color w:val="000000" w:themeColor="text1"/>
        </w:rPr>
        <w:t>l</w:t>
      </w:r>
      <w:r w:rsidR="005C78D4" w:rsidRPr="00D4543D">
        <w:rPr>
          <w:rFonts w:ascii="Palatino Linotype" w:eastAsia="MS Mincho" w:hAnsi="Palatino Linotype" w:cs="Arial"/>
          <w:color w:val="000000" w:themeColor="text1"/>
        </w:rPr>
        <w:t xml:space="preserve"> deberán </w:t>
      </w:r>
      <w:r w:rsidR="005C78D4" w:rsidRPr="00D4543D">
        <w:rPr>
          <w:rFonts w:ascii="Palatino Linotype" w:eastAsia="MS Mincho" w:hAnsi="Palatino Linotype" w:cs="Arial"/>
          <w:b/>
          <w:bCs/>
          <w:color w:val="000000" w:themeColor="text1"/>
        </w:rPr>
        <w:t xml:space="preserve">reportar trimestralmente </w:t>
      </w:r>
      <w:r w:rsidR="005C78D4" w:rsidRPr="00D4543D">
        <w:rPr>
          <w:rFonts w:ascii="Palatino Linotype" w:eastAsia="MS Mincho" w:hAnsi="Palatino Linotype" w:cs="Arial"/>
          <w:color w:val="000000" w:themeColor="text1"/>
        </w:rPr>
        <w:t>el ejercicio de los recursos del Fondo y el avance en el cumplimiento de las metas, así como las modificaciones o adecuaciones realizadas a las asignaciones establecidas</w:t>
      </w:r>
      <w:r w:rsidR="00A75F35" w:rsidRPr="00D4543D">
        <w:rPr>
          <w:rFonts w:ascii="Palatino Linotype" w:eastAsia="MS Mincho" w:hAnsi="Palatino Linotype" w:cs="Arial"/>
          <w:color w:val="000000" w:themeColor="text1"/>
        </w:rPr>
        <w:t>.</w:t>
      </w:r>
    </w:p>
    <w:p w:rsidR="00A75F35" w:rsidRPr="00D4543D" w:rsidRDefault="00A75F35" w:rsidP="00D113E9">
      <w:pPr>
        <w:pStyle w:val="Prrafodelista"/>
        <w:tabs>
          <w:tab w:val="left" w:pos="426"/>
        </w:tabs>
        <w:spacing w:line="360" w:lineRule="auto"/>
        <w:ind w:left="0"/>
        <w:contextualSpacing/>
        <w:jc w:val="both"/>
        <w:rPr>
          <w:rFonts w:ascii="Palatino Linotype" w:eastAsia="MS Mincho" w:hAnsi="Palatino Linotype" w:cs="Arial"/>
          <w:color w:val="000000" w:themeColor="text1"/>
        </w:rPr>
      </w:pPr>
    </w:p>
    <w:p w:rsidR="005C78D4" w:rsidRPr="00D4543D" w:rsidRDefault="00A75F35" w:rsidP="005C78D4">
      <w:pPr>
        <w:pStyle w:val="Prrafodelista"/>
        <w:tabs>
          <w:tab w:val="left" w:pos="426"/>
        </w:tabs>
        <w:spacing w:line="360" w:lineRule="auto"/>
        <w:ind w:left="0"/>
        <w:jc w:val="both"/>
        <w:rPr>
          <w:rFonts w:ascii="Palatino Linotype" w:hAnsi="Palatino Linotype"/>
        </w:rPr>
      </w:pPr>
      <w:r w:rsidRPr="00D4543D">
        <w:rPr>
          <w:rFonts w:ascii="Palatino Linotype" w:eastAsia="MS Mincho" w:hAnsi="Palatino Linotype" w:cs="Arial"/>
          <w:color w:val="000000" w:themeColor="text1"/>
        </w:rPr>
        <w:t xml:space="preserve">Ahora bien, </w:t>
      </w:r>
      <w:r w:rsidR="003F2C69" w:rsidRPr="00D4543D">
        <w:rPr>
          <w:rFonts w:ascii="Palatino Linotype" w:eastAsia="MS Mincho" w:hAnsi="Palatino Linotype" w:cs="Arial"/>
          <w:color w:val="000000" w:themeColor="text1"/>
        </w:rPr>
        <w:t>de conformidad con las clausulas tercera y cuarta</w:t>
      </w:r>
      <w:r w:rsidRPr="00D4543D">
        <w:rPr>
          <w:rFonts w:ascii="Palatino Linotype" w:eastAsia="MS Mincho" w:hAnsi="Palatino Linotype" w:cs="Arial"/>
          <w:color w:val="000000" w:themeColor="text1"/>
        </w:rPr>
        <w:t xml:space="preserve"> </w:t>
      </w:r>
      <w:r w:rsidR="003F2C69" w:rsidRPr="00D4543D">
        <w:rPr>
          <w:rFonts w:ascii="Palatino Linotype" w:eastAsia="MS Mincho" w:hAnsi="Palatino Linotype" w:cs="Arial"/>
          <w:color w:val="000000" w:themeColor="text1"/>
        </w:rPr>
        <w:t xml:space="preserve">del </w:t>
      </w:r>
      <w:r w:rsidRPr="00D4543D">
        <w:rPr>
          <w:rFonts w:ascii="Palatino Linotype" w:hAnsi="Palatino Linotype"/>
        </w:rPr>
        <w:t xml:space="preserve">Convenio de Coordinación que en el marco del Sistema Nacional de Seguridad Pública, celebran el Secretariado Ejecutivo del Sistema Nacional de Seguridad Pública y el Estado de </w:t>
      </w:r>
      <w:r w:rsidRPr="00D4543D">
        <w:rPr>
          <w:rFonts w:ascii="Palatino Linotype" w:hAnsi="Palatino Linotype"/>
        </w:rPr>
        <w:lastRenderedPageBreak/>
        <w:t>México, relativo al Fondo de Aportaciones para la Seguridad Pública de los Estados y del Distrito Federal (FASP) 2019,</w:t>
      </w:r>
      <w:r w:rsidRPr="00D4543D">
        <w:rPr>
          <w:rStyle w:val="Refdenotaalpie"/>
          <w:rFonts w:ascii="Palatino Linotype" w:eastAsia="MS Mincho" w:hAnsi="Palatino Linotype" w:cs="Arial"/>
          <w:color w:val="000000" w:themeColor="text1"/>
        </w:rPr>
        <w:footnoteReference w:id="2"/>
      </w:r>
      <w:r w:rsidRPr="00D4543D">
        <w:rPr>
          <w:rFonts w:ascii="Palatino Linotype" w:hAnsi="Palatino Linotype"/>
        </w:rPr>
        <w:t xml:space="preserve"> se advierte lo siguiente:</w:t>
      </w:r>
    </w:p>
    <w:p w:rsidR="003F2C69" w:rsidRPr="00D4543D" w:rsidRDefault="003F2C69" w:rsidP="005C78D4">
      <w:pPr>
        <w:pStyle w:val="Prrafodelista"/>
        <w:tabs>
          <w:tab w:val="left" w:pos="426"/>
        </w:tabs>
        <w:spacing w:line="360" w:lineRule="auto"/>
        <w:ind w:left="0"/>
        <w:jc w:val="both"/>
        <w:rPr>
          <w:rFonts w:ascii="Palatino Linotype" w:hAnsi="Palatino Linotype"/>
        </w:rPr>
      </w:pPr>
    </w:p>
    <w:p w:rsidR="003F2C69" w:rsidRPr="00D4543D" w:rsidRDefault="003F2C69"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w:t>
      </w:r>
      <w:r w:rsidR="00A75F35" w:rsidRPr="00D4543D">
        <w:rPr>
          <w:rFonts w:ascii="Palatino Linotype" w:hAnsi="Palatino Linotype"/>
          <w:b/>
          <w:i/>
          <w:sz w:val="22"/>
          <w:szCs w:val="22"/>
        </w:rPr>
        <w:t>TERCERA. COMPROMISOS DE “LA ENTIDAD FEDERATIVA</w:t>
      </w:r>
      <w:r w:rsidR="00A75F35" w:rsidRPr="00D4543D">
        <w:rPr>
          <w:rFonts w:ascii="Palatino Linotype" w:hAnsi="Palatino Linotype"/>
          <w:i/>
          <w:sz w:val="22"/>
          <w:szCs w:val="22"/>
        </w:rPr>
        <w:t xml:space="preserve">”.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I. Cumplir con lo señalado en el artículo 7, fracción IX del Presupuesto de Egresos de la Federación para el Ejercicio Fiscal 2019, la normativa en materia presupuestaria; la “Ley General”; la Ley de Coordinación Fiscal; los Criterios Generales para la Administración y Ejercicio de los Recursos del Fondo de Aportaciones para la Seguridad Pública de los Estados y del Distrito Federal (FASP) y demás disposiciones aplicables.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II. </w:t>
      </w:r>
      <w:r w:rsidRPr="00D4543D">
        <w:rPr>
          <w:rFonts w:ascii="Palatino Linotype" w:hAnsi="Palatino Linotype"/>
          <w:b/>
          <w:i/>
          <w:sz w:val="22"/>
          <w:szCs w:val="22"/>
        </w:rPr>
        <w:t>Establecer dos cuentas bancarias productivas específicas, una para la administración de los recursos federales del “FASP” con los rendimientos que generen y otra para la aportación de “LA ENTIDAD FEDERATIVA”, de conformidad con lo dispuesto en el artículo 69 de la Ley General de Contabilidad Gubernamental, para efectos de su fiscalización, los cuales no podrán ser transferidos a otras cuentas que no permitan identificar su aplicación, destino y rendimientos.</w:t>
      </w:r>
      <w:r w:rsidRPr="00D4543D">
        <w:rPr>
          <w:rFonts w:ascii="Palatino Linotype" w:hAnsi="Palatino Linotype"/>
          <w:i/>
          <w:sz w:val="22"/>
          <w:szCs w:val="22"/>
        </w:rPr>
        <w:t xml:space="preserve">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III. Registrar los recursos que por el “FASP” reciba en su respectivo presupuesto y deberán distinguirse de los recursos aportados por “LA ENTIDAD FEDERATIVA”, e informar para efectos de la cuenta pública local, así como presentar los demás informes previstos en la legislación local y federal.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IV. Aplicar los recursos del “FASP” conforme al principio de anualidad previsto en el artículo 7, fracción IX, párrafo tercero del Presupuesto de Egresos de la Federación para el Ejercicio Fiscal 2019.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V. De conformidad con el artículo 17 de la Ley de Disciplina Financiera de las Entidades Federativas y los Municipios, reintegrar a la Tesorería de la Federación a más tardar el 15 de enero de 2020, los recursos del “FASP” con los rendimientos financieros generados que al 31 de diciembre del ejercicio fiscal 2019, no hayan sido devengados por sus entes públicos o no estén comprometidos en los términos previstos en el artículo 4, fracciones XIV y XV de la Ley General de Contabilidad Gubernamental, así como cubrir los pagos respectivos a más tardar durante el primer trimestre del ejercicio fiscal 2020, con los recursos del “FASP” que al 31 de diciembre del ejercicio fiscal 2019 se hayan comprometido o devengados pero que no hayan sido pagados, debiendo reintegrar los recursos remanentes a la Tesorería de la Federación </w:t>
      </w:r>
      <w:r w:rsidRPr="00D4543D">
        <w:rPr>
          <w:rFonts w:ascii="Palatino Linotype" w:hAnsi="Palatino Linotype"/>
          <w:i/>
          <w:sz w:val="22"/>
          <w:szCs w:val="22"/>
        </w:rPr>
        <w:lastRenderedPageBreak/>
        <w:t xml:space="preserve">a más tardar dentro de los 15 días naturales siguientes una vez cumplido el plazo referido.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VI. Ejercer los recursos del “FASP” y estatales para el cumplimiento de las metas convenidas en el Anexo Técnico, observando lo previsto en el artículo 45 de la Ley de Coordinación Fiscal y los Criterios Generales para la Administración y Ejercicio de los Recursos del Fondo de Aportaciones para la Seguridad Pública de los Estados y del Distrito Federal (FASP).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VII. Orientar las acciones del personal policial a la búsqueda de personas desaparecidas y no localizadas, y esclarecer los hechos, así como para prevenir, investigar, sancionar y erradicar los delitos en materia de desaparición forzada de personas y desaparición cometida por particulares, así como los delitos vinculados que establece la Ley General en Materia de Desaparición Forzada de Personas, Desaparición Cometida por Particulares y del Sistema Nacional de Búsqueda de Personas, en materia de su competencia atendiendo a lo dispuesto por los artículos 24 y 25 de dicho ordenamiento. VIII. Remitir al Centro Nacional de Prevención del Delito y Participación Ciudadana de “EL SECRETARIADO” el Programa de Prevención del Delito de Tortura, de conformidad con lo establecido por el artículo 62 de la Ley General para Prevenir, Investigar y Sancionar la Tortura y otros Tratos o Penas Crueles, Inhumanos o Degradantes.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IX. Desarrollar e implementar, en el ámbito de su competencia, Medidas de Prevención, así como investigar y sancionar las agresiones de las que sean objeto las personas defensoras de derechos humanos y periodistas, de conformidad con los artículos 34, 41 y 44 de la Ley para la Protección de Personas Defensoras de Derechos Humanos y Periodistas. </w:t>
      </w:r>
    </w:p>
    <w:p w:rsidR="003F2C69" w:rsidRPr="00D4543D" w:rsidRDefault="00A75F35" w:rsidP="003F2C69">
      <w:pPr>
        <w:pStyle w:val="Prrafodelista"/>
        <w:tabs>
          <w:tab w:val="left" w:pos="426"/>
        </w:tabs>
        <w:ind w:left="851" w:right="757"/>
        <w:jc w:val="both"/>
        <w:rPr>
          <w:rFonts w:ascii="Palatino Linotype" w:hAnsi="Palatino Linotype"/>
          <w:b/>
          <w:i/>
          <w:sz w:val="22"/>
          <w:szCs w:val="22"/>
        </w:rPr>
      </w:pPr>
      <w:r w:rsidRPr="00D4543D">
        <w:rPr>
          <w:rFonts w:ascii="Palatino Linotype" w:hAnsi="Palatino Linotype"/>
          <w:i/>
          <w:sz w:val="22"/>
          <w:szCs w:val="22"/>
        </w:rPr>
        <w:t xml:space="preserve">X. </w:t>
      </w:r>
      <w:r w:rsidRPr="00D4543D">
        <w:rPr>
          <w:rFonts w:ascii="Palatino Linotype" w:hAnsi="Palatino Linotype"/>
          <w:b/>
          <w:i/>
          <w:sz w:val="22"/>
          <w:szCs w:val="22"/>
        </w:rPr>
        <w:t xml:space="preserve">Informar mensual y trimestralmente a “EL SECRETARIADO” a través de la Dirección General de Vinculación y Seguimiento </w:t>
      </w:r>
      <w:r w:rsidRPr="00D4543D">
        <w:rPr>
          <w:rFonts w:ascii="Palatino Linotype" w:hAnsi="Palatino Linotype"/>
          <w:i/>
          <w:sz w:val="22"/>
          <w:szCs w:val="22"/>
        </w:rPr>
        <w:t xml:space="preserve">sobre las </w:t>
      </w:r>
      <w:r w:rsidRPr="00D4543D">
        <w:rPr>
          <w:rFonts w:ascii="Palatino Linotype" w:hAnsi="Palatino Linotype"/>
          <w:b/>
          <w:i/>
          <w:sz w:val="22"/>
          <w:szCs w:val="22"/>
          <w:u w:val="single"/>
        </w:rPr>
        <w:t>acciones 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w:t>
      </w:r>
      <w:r w:rsidRPr="00D4543D">
        <w:rPr>
          <w:rFonts w:ascii="Palatino Linotype" w:hAnsi="Palatino Linotype"/>
          <w:i/>
          <w:sz w:val="22"/>
          <w:szCs w:val="22"/>
        </w:rPr>
        <w:t xml:space="preserve">. </w:t>
      </w:r>
      <w:r w:rsidRPr="00D4543D">
        <w:rPr>
          <w:rFonts w:ascii="Palatino Linotype" w:hAnsi="Palatino Linotype"/>
          <w:b/>
          <w:i/>
          <w:sz w:val="22"/>
          <w:szCs w:val="22"/>
        </w:rPr>
        <w:t xml:space="preserve">El Gobernador de “LA ENTIDAD FEDERATIVA” deberá designar a un Servidor Público con competencia y nivel de decisión, como responsable de verificar y proporcionar a “EL SECRETARIADO” los informes mensuales y trimestrales sobre los movimientos que presenten las cuentas bancarias productivas específicas del Financiamiento Conjunto, el ejercicio de los recursos y avance en el cumplimiento de los objetivos, metas, indicadores y porcentajes de inversión </w:t>
      </w:r>
      <w:r w:rsidRPr="00D4543D">
        <w:rPr>
          <w:rFonts w:ascii="Palatino Linotype" w:hAnsi="Palatino Linotype"/>
          <w:b/>
          <w:i/>
          <w:sz w:val="22"/>
          <w:szCs w:val="22"/>
        </w:rPr>
        <w:lastRenderedPageBreak/>
        <w:t xml:space="preserve">de los proyectos establecidos en el Anexo Técnico, así como el destino y resultados obtenidos de </w:t>
      </w:r>
      <w:r w:rsidR="003F2C69" w:rsidRPr="00D4543D">
        <w:rPr>
          <w:rFonts w:ascii="Palatino Linotype" w:hAnsi="Palatino Linotype"/>
          <w:b/>
          <w:i/>
          <w:sz w:val="22"/>
          <w:szCs w:val="22"/>
        </w:rPr>
        <w:t>la aplicación de los recursos.</w:t>
      </w:r>
    </w:p>
    <w:p w:rsidR="003F2C69" w:rsidRPr="00D4543D" w:rsidRDefault="00A75F35" w:rsidP="003F2C69">
      <w:pPr>
        <w:pStyle w:val="Prrafodelista"/>
        <w:tabs>
          <w:tab w:val="left" w:pos="426"/>
        </w:tabs>
        <w:ind w:left="851" w:right="757"/>
        <w:jc w:val="both"/>
        <w:rPr>
          <w:rFonts w:ascii="Palatino Linotype" w:hAnsi="Palatino Linotype"/>
          <w:b/>
          <w:i/>
          <w:sz w:val="22"/>
          <w:szCs w:val="22"/>
        </w:rPr>
      </w:pPr>
      <w:r w:rsidRPr="00D4543D">
        <w:rPr>
          <w:rFonts w:ascii="Palatino Linotype" w:hAnsi="Palatino Linotype"/>
          <w:i/>
          <w:sz w:val="22"/>
          <w:szCs w:val="22"/>
        </w:rPr>
        <w:t xml:space="preserve">XI. Enviar adjunto a su informe trimestral, </w:t>
      </w:r>
      <w:r w:rsidRPr="00D4543D">
        <w:rPr>
          <w:rFonts w:ascii="Palatino Linotype" w:hAnsi="Palatino Linotype"/>
          <w:b/>
          <w:i/>
          <w:sz w:val="22"/>
          <w:szCs w:val="22"/>
        </w:rPr>
        <w:t xml:space="preserve">copia de los estados de cuenta mensuales correspondiente a cada una de las cuentas informadas ante “EL SECRETARIADO”.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XII. Incorporar en el sistema de seguimiento que opere “EL SECRETARIADO”, la información conforme a los Criterios Generales para la Administración y Ejercicio de los Recursos del Fondo de Aportaciones para la Seguridad Pública de los Estados y del Distrito Federal (FASP).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XIII. Entregar a “EL SECRETARIADO” la información que solicite en los términos, plazos y formatos que al efecto establezca. </w:t>
      </w:r>
    </w:p>
    <w:p w:rsidR="003F2C69" w:rsidRPr="00D4543D" w:rsidRDefault="00A75F35" w:rsidP="003F2C69">
      <w:pPr>
        <w:pStyle w:val="Prrafodelista"/>
        <w:tabs>
          <w:tab w:val="left" w:pos="426"/>
        </w:tabs>
        <w:ind w:left="851" w:right="757"/>
        <w:jc w:val="both"/>
        <w:rPr>
          <w:rFonts w:ascii="Palatino Linotype" w:hAnsi="Palatino Linotype"/>
          <w:b/>
          <w:i/>
          <w:sz w:val="22"/>
          <w:szCs w:val="22"/>
        </w:rPr>
      </w:pPr>
      <w:r w:rsidRPr="00D4543D">
        <w:rPr>
          <w:rFonts w:ascii="Palatino Linotype" w:hAnsi="Palatino Linotype"/>
          <w:i/>
          <w:sz w:val="22"/>
          <w:szCs w:val="22"/>
        </w:rPr>
        <w:t xml:space="preserve">XIV. </w:t>
      </w:r>
      <w:r w:rsidRPr="00D4543D">
        <w:rPr>
          <w:rFonts w:ascii="Palatino Linotype" w:hAnsi="Palatino Linotype"/>
          <w:b/>
          <w:i/>
          <w:sz w:val="22"/>
          <w:szCs w:val="22"/>
        </w:rPr>
        <w:t xml:space="preserve">Publicar en su página de Internet, el avance en el ejercicio de los recursos que le fueron asignados, para transparentar el ejercicio de los mismos, en términos de los artículos 48 de la Ley de Coordinación Fiscal y 77 de la Ley General de Contabilidad Gubernamental.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XV. Financiar con recursos propios las acciones no previstas en el artículo 45 de la Ley de Coordinación Fiscal.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XVI. Abstenerse de adquirir para el uso de sus instituciones policiales, uniformes o vehículos con colores, imágenes o diseños similares que puedan confundirse con aquellos que son de uso exclusivo de las Fuerzas Armadas Nacionales, con recursos propios o del “FASP”, a fin de cumplir el Acuerdo 09/XXXIX/15 del Consejo Nacional de Seguridad Pública, aprobado en su Trigésima Novena Sesión Ordinaria, celebrada el 18 de diciembre de 2015; en caso contrario, se podrían actualizar los supuestos previstos en el artículo 250 bis 1, fracciones II y IV del Código Penal Federal.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XVII. Establecer medidas de revisión y control permanente para garantizar que ninguna corporación policial, estatal o municipal, y ninguna empresa de seguridad privada, emplee uniformes o vehículos con colores, imágenes o diseños similares que puedan confundirse con aquellos que son de uso exclusivo de las Fuerzas Armadas Nacionales, en cumplimiento al Acuerdo 09/XXXIX/15 del Consejo Nacional de Seguridad Pública. XVIII. De conformidad con lo dispuesto en los artículos 7, fracción X, de la “Ley General” y 40, fracción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VIII, de la Ley General para Prevenir y Sancionar los Delitos en Materia de Secuestro, Reglamentaria de la fracción XXI, del artículo 73 de la Constitución Política de los Estados Unidos Mexicanos, realizar cuando así se requiera, las acciones y operativos de manera conjunta con las Instituciones de Seguridad Pública federales y, en su caso, municipales, para el cumplimiento de los fines de la seguridad pública, en cuyo caso, se podrán firmar los convenios específicos conforme a las disposiciones aplicables.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lastRenderedPageBreak/>
        <w:t xml:space="preserve">XIX. Colaborar y participar en términos de la normativa aplicable, en operativos conjuntos con las autoridades competentes, y </w:t>
      </w:r>
    </w:p>
    <w:p w:rsidR="003F2C69" w:rsidRPr="00D4543D" w:rsidRDefault="00A75F35" w:rsidP="003F2C69">
      <w:pPr>
        <w:pStyle w:val="Prrafodelista"/>
        <w:tabs>
          <w:tab w:val="left" w:pos="426"/>
        </w:tabs>
        <w:ind w:left="851" w:right="757"/>
        <w:jc w:val="both"/>
        <w:rPr>
          <w:rFonts w:ascii="Palatino Linotype" w:hAnsi="Palatino Linotype"/>
          <w:i/>
          <w:sz w:val="22"/>
          <w:szCs w:val="22"/>
        </w:rPr>
      </w:pPr>
      <w:r w:rsidRPr="00D4543D">
        <w:rPr>
          <w:rFonts w:ascii="Palatino Linotype" w:hAnsi="Palatino Linotype"/>
          <w:i/>
          <w:sz w:val="22"/>
          <w:szCs w:val="22"/>
        </w:rPr>
        <w:t xml:space="preserve">XX. Apoyar a través del Secretariado Ejecutivo del Sistema Estatal de Seguridad Pública a “EL SECRETARIADO” en el desarrollo de las visitas y acciones de verificación sobre la aplicación de los recursos del “FASP”. </w:t>
      </w:r>
    </w:p>
    <w:p w:rsidR="003F2C69" w:rsidRPr="00D4543D" w:rsidRDefault="003F2C69" w:rsidP="003F2C69">
      <w:pPr>
        <w:pStyle w:val="Prrafodelista"/>
        <w:tabs>
          <w:tab w:val="left" w:pos="426"/>
        </w:tabs>
        <w:ind w:left="851" w:right="757"/>
        <w:jc w:val="both"/>
        <w:rPr>
          <w:rFonts w:ascii="Palatino Linotype" w:hAnsi="Palatino Linotype"/>
          <w:i/>
          <w:sz w:val="22"/>
          <w:szCs w:val="22"/>
        </w:rPr>
      </w:pPr>
    </w:p>
    <w:p w:rsidR="00A75F35" w:rsidRPr="00D4543D" w:rsidRDefault="00A75F35" w:rsidP="003F2C69">
      <w:pPr>
        <w:pStyle w:val="Prrafodelista"/>
        <w:tabs>
          <w:tab w:val="left" w:pos="426"/>
        </w:tabs>
        <w:ind w:left="851" w:right="757"/>
        <w:jc w:val="both"/>
        <w:rPr>
          <w:rFonts w:ascii="Palatino Linotype" w:hAnsi="Palatino Linotype"/>
          <w:b/>
          <w:i/>
          <w:sz w:val="22"/>
          <w:szCs w:val="22"/>
        </w:rPr>
      </w:pPr>
      <w:r w:rsidRPr="00D4543D">
        <w:rPr>
          <w:rFonts w:ascii="Palatino Linotype" w:hAnsi="Palatino Linotype"/>
          <w:b/>
          <w:i/>
          <w:sz w:val="22"/>
          <w:szCs w:val="22"/>
        </w:rPr>
        <w:t>CUARTA.</w:t>
      </w:r>
      <w:r w:rsidRPr="00D4543D">
        <w:rPr>
          <w:rFonts w:ascii="Palatino Linotype" w:hAnsi="Palatino Linotype"/>
          <w:i/>
          <w:sz w:val="22"/>
          <w:szCs w:val="22"/>
        </w:rPr>
        <w:t xml:space="preserve"> OPERACIÓN Y SEGUIMIENTO. Por parte de “EL SECRETARIADO”, el o la titular de la Dirección General de Vinculación y Seguimiento será el responsable de coordinar la operación y seguimiento del “FASP”. </w:t>
      </w:r>
      <w:r w:rsidRPr="00D4543D">
        <w:rPr>
          <w:rFonts w:ascii="Palatino Linotype" w:hAnsi="Palatino Linotype"/>
          <w:b/>
          <w:i/>
          <w:sz w:val="22"/>
          <w:szCs w:val="22"/>
        </w:rPr>
        <w:t xml:space="preserve">Por parte de “LA ENTIDAD FEDERATIVA”, </w:t>
      </w:r>
      <w:r w:rsidRPr="00D4543D">
        <w:rPr>
          <w:rFonts w:ascii="Palatino Linotype" w:hAnsi="Palatino Linotype"/>
          <w:b/>
          <w:i/>
          <w:sz w:val="22"/>
          <w:szCs w:val="22"/>
          <w:u w:val="single"/>
        </w:rPr>
        <w:t>el o la titular del Secretariado Ejecutivo del Sistema Estatal de Seguridad Pública</w:t>
      </w:r>
      <w:r w:rsidRPr="00D4543D">
        <w:rPr>
          <w:rFonts w:ascii="Palatino Linotype" w:hAnsi="Palatino Linotype"/>
          <w:b/>
          <w:i/>
          <w:sz w:val="22"/>
          <w:szCs w:val="22"/>
        </w:rPr>
        <w:t>, será el responsable de los informes mensuales y trimestrales que se deban rendir a “EL SECRETARIADO” en términos de la fracción X de la cláusula Tercera de este Convenio.</w:t>
      </w:r>
      <w:r w:rsidR="003F2C69" w:rsidRPr="00D4543D">
        <w:rPr>
          <w:rFonts w:ascii="Palatino Linotype" w:hAnsi="Palatino Linotype"/>
          <w:b/>
          <w:i/>
          <w:sz w:val="22"/>
          <w:szCs w:val="22"/>
        </w:rPr>
        <w:t>” (Énfasis añadido)</w:t>
      </w:r>
    </w:p>
    <w:p w:rsidR="003F2C69" w:rsidRPr="00D4543D" w:rsidRDefault="003F2C69" w:rsidP="005C78D4">
      <w:pPr>
        <w:pStyle w:val="Prrafodelista"/>
        <w:tabs>
          <w:tab w:val="left" w:pos="426"/>
        </w:tabs>
        <w:spacing w:line="360" w:lineRule="auto"/>
        <w:ind w:left="0"/>
        <w:jc w:val="both"/>
        <w:rPr>
          <w:rFonts w:ascii="Palatino Linotype" w:hAnsi="Palatino Linotype"/>
          <w:i/>
        </w:rPr>
      </w:pPr>
    </w:p>
    <w:p w:rsidR="00A75F35" w:rsidRPr="00D4543D" w:rsidRDefault="003F2C69" w:rsidP="005C78D4">
      <w:pPr>
        <w:pStyle w:val="Prrafodelista"/>
        <w:tabs>
          <w:tab w:val="left" w:pos="426"/>
        </w:tabs>
        <w:spacing w:line="360" w:lineRule="auto"/>
        <w:ind w:left="0"/>
        <w:jc w:val="both"/>
        <w:rPr>
          <w:rFonts w:ascii="Palatino Linotype" w:hAnsi="Palatino Linotype"/>
        </w:rPr>
      </w:pPr>
      <w:r w:rsidRPr="00D4543D">
        <w:rPr>
          <w:rFonts w:ascii="Palatino Linotype" w:hAnsi="Palatino Linotype"/>
        </w:rPr>
        <w:t xml:space="preserve">Atento a lo anterior, se advierte que corresponde al titular del </w:t>
      </w:r>
      <w:r w:rsidRPr="00D4543D">
        <w:rPr>
          <w:rFonts w:ascii="Palatino Linotype" w:hAnsi="Palatino Linotype"/>
          <w:u w:val="single"/>
        </w:rPr>
        <w:t>Secretariado Ejecutivo del Sistema Estatal de Seguridad Pública</w:t>
      </w:r>
      <w:r w:rsidRPr="00D4543D">
        <w:rPr>
          <w:rFonts w:ascii="Palatino Linotype" w:hAnsi="Palatino Linotype"/>
        </w:rPr>
        <w:t>,</w:t>
      </w:r>
      <w:r w:rsidR="00D1364C" w:rsidRPr="00D4543D">
        <w:rPr>
          <w:rFonts w:ascii="Palatino Linotype" w:hAnsi="Palatino Linotype"/>
        </w:rPr>
        <w:t xml:space="preserve"> informar mensual y trimestralmente al  Secretariado a través de la Dirección General de Vinculación y Seguimiento</w:t>
      </w:r>
      <w:r w:rsidR="00D1364C" w:rsidRPr="00D4543D">
        <w:rPr>
          <w:rFonts w:ascii="Palatino Linotype" w:hAnsi="Palatino Linotype"/>
          <w:i/>
        </w:rPr>
        <w:t xml:space="preserve"> </w:t>
      </w:r>
      <w:r w:rsidR="00D1364C" w:rsidRPr="00D4543D">
        <w:rPr>
          <w:rFonts w:ascii="Palatino Linotype" w:hAnsi="Palatino Linotype"/>
        </w:rPr>
        <w:t xml:space="preserve">sobre las acciones 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 por ende, se advierte la incompetencia por parte del </w:t>
      </w:r>
      <w:r w:rsidR="00D1364C" w:rsidRPr="00D4543D">
        <w:rPr>
          <w:rFonts w:ascii="Palatino Linotype" w:hAnsi="Palatino Linotype"/>
          <w:b/>
        </w:rPr>
        <w:t>SUJETO OBLIGADO</w:t>
      </w:r>
      <w:r w:rsidR="00D1364C" w:rsidRPr="00D4543D">
        <w:rPr>
          <w:rFonts w:ascii="Palatino Linotype" w:hAnsi="Palatino Linotype"/>
        </w:rPr>
        <w:t xml:space="preserve"> para dar respuesta a la solicitud de mérito.</w:t>
      </w:r>
    </w:p>
    <w:p w:rsidR="00D1364C" w:rsidRPr="00D4543D" w:rsidRDefault="00D1364C" w:rsidP="00D113E9">
      <w:pPr>
        <w:pStyle w:val="Prrafodelista"/>
        <w:tabs>
          <w:tab w:val="left" w:pos="426"/>
        </w:tabs>
        <w:spacing w:line="360" w:lineRule="auto"/>
        <w:ind w:left="0"/>
        <w:contextualSpacing/>
        <w:jc w:val="both"/>
        <w:rPr>
          <w:rFonts w:ascii="Palatino Linotype" w:eastAsia="MS Mincho" w:hAnsi="Palatino Linotype" w:cs="Arial"/>
          <w:color w:val="000000" w:themeColor="text1"/>
        </w:rPr>
      </w:pPr>
    </w:p>
    <w:p w:rsidR="005C78D4" w:rsidRPr="00D4543D" w:rsidRDefault="00D113E9" w:rsidP="00D113E9">
      <w:pPr>
        <w:pStyle w:val="Prrafodelista"/>
        <w:tabs>
          <w:tab w:val="left" w:pos="426"/>
        </w:tabs>
        <w:spacing w:line="360" w:lineRule="auto"/>
        <w:ind w:left="0"/>
        <w:contextualSpacing/>
        <w:jc w:val="both"/>
        <w:rPr>
          <w:rFonts w:ascii="Palatino Linotype" w:hAnsi="Palatino Linotype"/>
        </w:rPr>
      </w:pPr>
      <w:r w:rsidRPr="00D4543D">
        <w:rPr>
          <w:rFonts w:ascii="Palatino Linotype" w:hAnsi="Palatino Linotype"/>
        </w:rPr>
        <w:t>Ahora bien, en lo que respecta a</w:t>
      </w:r>
      <w:r w:rsidR="005C78D4" w:rsidRPr="00D4543D">
        <w:rPr>
          <w:rFonts w:ascii="Palatino Linotype" w:hAnsi="Palatino Linotype"/>
        </w:rPr>
        <w:t>l Programa de Fortalecimiento p</w:t>
      </w:r>
      <w:r w:rsidRPr="00D4543D">
        <w:rPr>
          <w:rFonts w:ascii="Palatino Linotype" w:hAnsi="Palatino Linotype"/>
        </w:rPr>
        <w:t xml:space="preserve">ara la Seguridad (FORTASEG), este es </w:t>
      </w:r>
      <w:r w:rsidR="005C78D4" w:rsidRPr="00D4543D">
        <w:rPr>
          <w:rFonts w:ascii="Palatino Linotype" w:hAnsi="Palatino Linotype"/>
        </w:rPr>
        <w:t xml:space="preserve">un subsidio que se otorga </w:t>
      </w:r>
      <w:r w:rsidRPr="00D4543D">
        <w:rPr>
          <w:rFonts w:ascii="Palatino Linotype" w:hAnsi="Palatino Linotype"/>
        </w:rPr>
        <w:t>a los M</w:t>
      </w:r>
      <w:r w:rsidR="005C78D4" w:rsidRPr="00D4543D">
        <w:rPr>
          <w:rFonts w:ascii="Palatino Linotype" w:hAnsi="Palatino Linotype"/>
        </w:rPr>
        <w:t>unicipios, y en su caso a los estados cuando éstos ejercen la función de seguridad pública en lugar de los pr</w:t>
      </w:r>
      <w:r w:rsidRPr="00D4543D">
        <w:rPr>
          <w:rFonts w:ascii="Palatino Linotype" w:hAnsi="Palatino Linotype"/>
        </w:rPr>
        <w:t xml:space="preserve">imero </w:t>
      </w:r>
      <w:r w:rsidRPr="00D4543D">
        <w:rPr>
          <w:rFonts w:ascii="Palatino Linotype" w:hAnsi="Palatino Linotype"/>
        </w:rPr>
        <w:lastRenderedPageBreak/>
        <w:t>o coordinados con ellos. D</w:t>
      </w:r>
      <w:r w:rsidR="005C78D4" w:rsidRPr="00D4543D">
        <w:rPr>
          <w:rFonts w:ascii="Palatino Linotype" w:hAnsi="Palatino Linotype"/>
        </w:rPr>
        <w:t xml:space="preserve">e acuerdo con los </w:t>
      </w:r>
      <w:r w:rsidR="005C78D4" w:rsidRPr="00D4543D">
        <w:rPr>
          <w:rFonts w:ascii="Palatino Linotype" w:hAnsi="Palatino Linotype"/>
          <w:bC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r w:rsidRPr="00D4543D">
        <w:rPr>
          <w:rFonts w:ascii="Palatino Linotype" w:hAnsi="Palatino Linotype"/>
        </w:rPr>
        <w:t xml:space="preserve">, </w:t>
      </w:r>
      <w:r w:rsidR="005C78D4" w:rsidRPr="00D4543D">
        <w:rPr>
          <w:rFonts w:ascii="Palatino Linotype" w:hAnsi="Palatino Linotype"/>
        </w:rPr>
        <w:t xml:space="preserve">el objetivo del FORTASEG es apoyar el fortalecimiento del desempeño en materia de seguridad pública a los Beneficiarios mediante la profesionalización, la certificación y el equipamiento de los elementos policiales de las instituciones de seguridad pública, así como el fortalecimiento tecnológico, de equipo e infraestructura de las instituciones de seguridad pública. </w:t>
      </w:r>
    </w:p>
    <w:p w:rsidR="003264C2" w:rsidRPr="00D4543D" w:rsidRDefault="003264C2" w:rsidP="00D113E9">
      <w:pPr>
        <w:pStyle w:val="Prrafodelista"/>
        <w:tabs>
          <w:tab w:val="left" w:pos="426"/>
        </w:tabs>
        <w:spacing w:line="360" w:lineRule="auto"/>
        <w:ind w:left="0"/>
        <w:contextualSpacing/>
        <w:jc w:val="both"/>
        <w:rPr>
          <w:rFonts w:ascii="Palatino Linotype" w:eastAsia="MS Mincho" w:hAnsi="Palatino Linotype" w:cs="Arial"/>
          <w:color w:val="000000" w:themeColor="text1"/>
        </w:rPr>
      </w:pPr>
    </w:p>
    <w:p w:rsidR="00D113E9" w:rsidRPr="00D4543D" w:rsidRDefault="00F21FE4" w:rsidP="00D113E9">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eastAsia="MS Mincho" w:hAnsi="Palatino Linotype" w:cs="Arial"/>
          <w:color w:val="000000" w:themeColor="text1"/>
        </w:rPr>
        <w:t>De esta forma, l</w:t>
      </w:r>
      <w:r w:rsidR="00D113E9" w:rsidRPr="00D4543D">
        <w:rPr>
          <w:rFonts w:ascii="Palatino Linotype" w:eastAsia="MS Mincho" w:hAnsi="Palatino Linotype" w:cs="Arial"/>
          <w:color w:val="000000" w:themeColor="text1"/>
        </w:rPr>
        <w:t>os lineamientos antes mencionados</w:t>
      </w:r>
      <w:r w:rsidR="005C78D4" w:rsidRPr="00D4543D">
        <w:rPr>
          <w:rFonts w:ascii="Palatino Linotype" w:eastAsia="MS Mincho" w:hAnsi="Palatino Linotype" w:cs="Arial"/>
          <w:color w:val="000000" w:themeColor="text1"/>
        </w:rPr>
        <w:t xml:space="preserve">, establecen que los recursos federales del FORTASEG no son regularizables, son parcialmente concursables y </w:t>
      </w:r>
      <w:r w:rsidR="005C78D4" w:rsidRPr="00D4543D">
        <w:rPr>
          <w:rFonts w:ascii="Palatino Linotype" w:eastAsia="MS Mincho" w:hAnsi="Palatino Linotype" w:cs="Arial"/>
          <w:b/>
          <w:bCs/>
          <w:color w:val="000000" w:themeColor="text1"/>
        </w:rPr>
        <w:t xml:space="preserve">no pierden su carácter de federal al ser ministrados a los Beneficiarios, </w:t>
      </w:r>
      <w:r w:rsidR="005C78D4" w:rsidRPr="00D4543D">
        <w:rPr>
          <w:rFonts w:ascii="Palatino Linotype" w:eastAsia="MS Mincho" w:hAnsi="Palatino Linotype" w:cs="Arial"/>
          <w:color w:val="000000" w:themeColor="text1"/>
        </w:rPr>
        <w:t xml:space="preserve">por lo que su </w:t>
      </w:r>
      <w:r w:rsidR="005C78D4" w:rsidRPr="00D4543D">
        <w:rPr>
          <w:rFonts w:ascii="Palatino Linotype" w:eastAsia="MS Mincho" w:hAnsi="Palatino Linotype" w:cs="Arial"/>
          <w:b/>
          <w:bCs/>
          <w:color w:val="000000" w:themeColor="text1"/>
        </w:rPr>
        <w:t xml:space="preserve">administración, ejercicio, seguimiento, verificación y evaluación </w:t>
      </w:r>
      <w:r w:rsidR="005C78D4" w:rsidRPr="00D4543D">
        <w:rPr>
          <w:rFonts w:ascii="Palatino Linotype" w:eastAsia="MS Mincho" w:hAnsi="Palatino Linotype" w:cs="Arial"/>
          <w:color w:val="000000" w:themeColor="text1"/>
        </w:rPr>
        <w:t xml:space="preserve">se sujetará a lo dispuesto por el Presupuesto de Egresos de la Federación para el Ejercicio Fiscal 2019, asimismo establece que cualquier comunicado relacionado con los recursos del FORTASEG que realicen los Beneficiarios al Secretariado Ejecutivo, deberá estar dirigido a la </w:t>
      </w:r>
      <w:r w:rsidR="005C78D4" w:rsidRPr="00D4543D">
        <w:rPr>
          <w:rFonts w:ascii="Palatino Linotype" w:eastAsia="MS Mincho" w:hAnsi="Palatino Linotype" w:cs="Arial"/>
          <w:b/>
          <w:bCs/>
          <w:color w:val="000000" w:themeColor="text1"/>
        </w:rPr>
        <w:t>Dirección de Vinculación y Seguimiento</w:t>
      </w:r>
      <w:r w:rsidR="00D113E9" w:rsidRPr="00D4543D">
        <w:rPr>
          <w:rFonts w:ascii="Palatino Linotype" w:eastAsia="MS Mincho" w:hAnsi="Palatino Linotype" w:cs="Arial"/>
          <w:color w:val="000000" w:themeColor="text1"/>
        </w:rPr>
        <w:t xml:space="preserve">; así, los </w:t>
      </w:r>
      <w:r w:rsidR="00D113E9" w:rsidRPr="00D4543D">
        <w:rPr>
          <w:rFonts w:ascii="Palatino Linotype" w:eastAsia="MS Mincho" w:hAnsi="Palatino Linotype" w:cs="Arial"/>
          <w:b/>
          <w:bCs/>
          <w:color w:val="000000" w:themeColor="text1"/>
        </w:rPr>
        <w:t xml:space="preserve">“Beneficiarios” </w:t>
      </w:r>
      <w:r w:rsidR="00D113E9" w:rsidRPr="00D4543D">
        <w:rPr>
          <w:rFonts w:ascii="Palatino Linotype" w:eastAsia="MS Mincho" w:hAnsi="Palatino Linotype" w:cs="Arial"/>
          <w:color w:val="000000" w:themeColor="text1"/>
        </w:rPr>
        <w:t xml:space="preserve">son los Municipios y alcaldías de la Ciudad de México y, en su caso, a las entidades federativas que ejerzan de manera directa o coordinada la función de seguridad pública en el ámbito municipal, que hayan sido seleccionados para acceder al FORTASEG. </w:t>
      </w:r>
    </w:p>
    <w:p w:rsidR="00D113E9" w:rsidRPr="00D4543D" w:rsidRDefault="00D113E9" w:rsidP="00D113E9">
      <w:pPr>
        <w:pStyle w:val="Prrafodelista"/>
        <w:tabs>
          <w:tab w:val="left" w:pos="426"/>
        </w:tabs>
        <w:spacing w:line="360" w:lineRule="auto"/>
        <w:ind w:left="0"/>
        <w:contextualSpacing/>
        <w:jc w:val="both"/>
        <w:rPr>
          <w:rFonts w:ascii="Palatino Linotype" w:eastAsia="MS Mincho" w:hAnsi="Palatino Linotype" w:cs="Arial"/>
          <w:color w:val="000000" w:themeColor="text1"/>
        </w:rPr>
      </w:pPr>
    </w:p>
    <w:p w:rsidR="005C78D4" w:rsidRPr="00D4543D" w:rsidRDefault="00D113E9" w:rsidP="00D113E9">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eastAsia="MS Mincho" w:hAnsi="Palatino Linotype" w:cs="Arial"/>
          <w:color w:val="000000" w:themeColor="text1"/>
        </w:rPr>
        <w:t xml:space="preserve">De la misma manera, </w:t>
      </w:r>
      <w:r w:rsidR="00F21FE4" w:rsidRPr="00D4543D">
        <w:rPr>
          <w:rFonts w:ascii="Palatino Linotype" w:eastAsia="MS Mincho" w:hAnsi="Palatino Linotype" w:cs="Arial"/>
          <w:color w:val="000000" w:themeColor="text1"/>
        </w:rPr>
        <w:t>los citados lineamientos</w:t>
      </w:r>
      <w:r w:rsidR="005C78D4" w:rsidRPr="00D4543D">
        <w:rPr>
          <w:rFonts w:ascii="Palatino Linotype" w:eastAsia="MS Mincho" w:hAnsi="Palatino Linotype" w:cs="Arial"/>
          <w:color w:val="000000" w:themeColor="text1"/>
        </w:rPr>
        <w:t xml:space="preserve"> establecen que los Beneficiarios del FORTASEG, de acuerdo con su artículo 38 tendrán las siguientes obligaciones; </w:t>
      </w:r>
    </w:p>
    <w:p w:rsidR="005C78D4" w:rsidRPr="00D4543D" w:rsidRDefault="005C78D4" w:rsidP="005C78D4">
      <w:pPr>
        <w:pStyle w:val="Prrafodelista"/>
        <w:tabs>
          <w:tab w:val="left" w:pos="426"/>
        </w:tabs>
        <w:spacing w:line="360" w:lineRule="auto"/>
        <w:ind w:left="0"/>
        <w:jc w:val="both"/>
        <w:rPr>
          <w:rFonts w:ascii="Palatino Linotype" w:eastAsia="MS Mincho" w:hAnsi="Palatino Linotype" w:cs="Arial"/>
          <w:b/>
          <w:bCs/>
          <w:color w:val="000000" w:themeColor="text1"/>
        </w:rPr>
      </w:pPr>
    </w:p>
    <w:p w:rsidR="005C78D4" w:rsidRPr="00D4543D" w:rsidRDefault="00F21FE4" w:rsidP="003264C2">
      <w:pPr>
        <w:pStyle w:val="Prrafodelista"/>
        <w:tabs>
          <w:tab w:val="left" w:pos="851"/>
        </w:tabs>
        <w:ind w:left="851" w:right="760"/>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w:t>
      </w:r>
      <w:r w:rsidR="005C78D4" w:rsidRPr="00D4543D">
        <w:rPr>
          <w:rFonts w:ascii="Palatino Linotype" w:eastAsia="MS Mincho" w:hAnsi="Palatino Linotype" w:cs="Arial"/>
          <w:b/>
          <w:bCs/>
          <w:i/>
          <w:color w:val="000000" w:themeColor="text1"/>
          <w:sz w:val="22"/>
          <w:szCs w:val="22"/>
        </w:rPr>
        <w:t>Artículo 38. Son obligaciones de los Beneficiarios del FORTASEG, las siguientes:</w:t>
      </w:r>
    </w:p>
    <w:p w:rsidR="005C78D4" w:rsidRPr="00D4543D" w:rsidRDefault="00F21FE4"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I. </w:t>
      </w:r>
      <w:r w:rsidR="005C78D4" w:rsidRPr="00D4543D">
        <w:rPr>
          <w:rFonts w:ascii="Palatino Linotype" w:eastAsia="MS Mincho" w:hAnsi="Palatino Linotype" w:cs="Arial"/>
          <w:i/>
          <w:color w:val="000000" w:themeColor="text1"/>
          <w:sz w:val="22"/>
          <w:szCs w:val="22"/>
        </w:rPr>
        <w:t>Destinar los recursos del FORTASEG y de coparticipación para el cumplimiento de las metas convenidas, con base en lo establecido en los Lineamientos, los Convenios, Anexos Técnicos y demás normativa aplicable;</w:t>
      </w:r>
    </w:p>
    <w:p w:rsidR="005C78D4" w:rsidRPr="00D4543D" w:rsidRDefault="00F21FE4"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II. </w:t>
      </w:r>
      <w:r w:rsidR="005C78D4" w:rsidRPr="00D4543D">
        <w:rPr>
          <w:rFonts w:ascii="Palatino Linotype" w:eastAsia="MS Mincho" w:hAnsi="Palatino Linotype" w:cs="Arial"/>
          <w:i/>
          <w:color w:val="000000" w:themeColor="text1"/>
          <w:sz w:val="22"/>
          <w:szCs w:val="22"/>
        </w:rPr>
        <w:t>Establecer cuentas bancarias productivas específicas generadoras de rendimientos financieros y abierta por los Beneficiarios para la administración de los recursos, debiendo ser independiente la cuenta bancaria productiva específica en la que se administran los recursos del FORTASEG y en la que se administran los recursos de coparticipación, no pudiendo ser consideradas como tales aquellas cuentas que representen riesgos para los recursos;</w:t>
      </w:r>
    </w:p>
    <w:p w:rsidR="005C78D4" w:rsidRPr="00D4543D" w:rsidRDefault="00F21FE4" w:rsidP="003264C2">
      <w:pPr>
        <w:pStyle w:val="Prrafodelista"/>
        <w:tabs>
          <w:tab w:val="left" w:pos="851"/>
        </w:tabs>
        <w:ind w:left="851" w:right="760"/>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 xml:space="preserve">III. </w:t>
      </w:r>
      <w:r w:rsidR="005C78D4" w:rsidRPr="00D4543D">
        <w:rPr>
          <w:rFonts w:ascii="Palatino Linotype" w:eastAsia="MS Mincho" w:hAnsi="Palatino Linotype" w:cs="Arial"/>
          <w:b/>
          <w:bCs/>
          <w:i/>
          <w:color w:val="000000" w:themeColor="text1"/>
          <w:sz w:val="22"/>
          <w:szCs w:val="22"/>
        </w:rPr>
        <w:t>Registrar los avances físico-financieros mensuales a través del Sistema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que establezca el Secretariado Ejecutivo, debidamente suscritos por las autoridades competentes, los cuales contendrán como mínimo la información siguiente:</w:t>
      </w:r>
    </w:p>
    <w:p w:rsidR="005C78D4" w:rsidRPr="00D4543D" w:rsidRDefault="005C78D4" w:rsidP="003264C2">
      <w:pPr>
        <w:pStyle w:val="Prrafodelista"/>
        <w:tabs>
          <w:tab w:val="left" w:pos="851"/>
        </w:tabs>
        <w:ind w:left="851" w:right="760"/>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a) Datos sobre los recursos del FORTASEG y de coparticipación comprometidos, devengados y pagados a la fecha de corte del periodo que corresponda, y</w:t>
      </w:r>
    </w:p>
    <w:p w:rsidR="005C78D4" w:rsidRPr="00D4543D" w:rsidRDefault="005C78D4" w:rsidP="003264C2">
      <w:pPr>
        <w:pStyle w:val="Prrafodelista"/>
        <w:tabs>
          <w:tab w:val="left" w:pos="851"/>
        </w:tabs>
        <w:ind w:left="851" w:right="760"/>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b) Disponibilidad presupuestal y financiera del FORTASEG y de la coparticipación con la que cuenten a la fecha de corte del reporte.</w:t>
      </w:r>
    </w:p>
    <w:p w:rsidR="005C78D4" w:rsidRPr="00D4543D" w:rsidRDefault="005C78D4" w:rsidP="003264C2">
      <w:pPr>
        <w:pStyle w:val="Prrafodelista"/>
        <w:tabs>
          <w:tab w:val="left" w:pos="851"/>
        </w:tabs>
        <w:ind w:left="851" w:right="760"/>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IV. Informar y acreditar a través del medio que establezca el Secretariado Ejecutivo, el cumplimiento de las metas convenidas y, en su caso, la recepción de recursos en especie en un plazo no mayor a diez (10) días hábiles;</w:t>
      </w:r>
    </w:p>
    <w:p w:rsidR="005C78D4" w:rsidRPr="00D4543D" w:rsidRDefault="005C78D4" w:rsidP="003264C2">
      <w:pPr>
        <w:pStyle w:val="Prrafodelista"/>
        <w:tabs>
          <w:tab w:val="left" w:pos="851"/>
        </w:tabs>
        <w:ind w:left="851" w:right="760"/>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V. Atender en tiempo y forma las solicitudes de información que realice el Secretariado Ejecutivo sobre la administración y avances de los recursos del 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rsidR="005C78D4" w:rsidRPr="00D4543D" w:rsidRDefault="00F21FE4"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VI.</w:t>
      </w:r>
      <w:r w:rsidR="003264C2" w:rsidRPr="00D4543D">
        <w:rPr>
          <w:rFonts w:ascii="Palatino Linotype" w:eastAsia="MS Mincho" w:hAnsi="Palatino Linotype" w:cs="Arial"/>
          <w:i/>
          <w:color w:val="000000" w:themeColor="text1"/>
          <w:sz w:val="22"/>
          <w:szCs w:val="22"/>
        </w:rPr>
        <w:t xml:space="preserve"> </w:t>
      </w:r>
      <w:r w:rsidR="005C78D4" w:rsidRPr="00D4543D">
        <w:rPr>
          <w:rFonts w:ascii="Palatino Linotype" w:eastAsia="MS Mincho" w:hAnsi="Palatino Linotype" w:cs="Arial"/>
          <w:i/>
          <w:color w:val="000000" w:themeColor="text1"/>
          <w:sz w:val="22"/>
          <w:szCs w:val="22"/>
        </w:rPr>
        <w:t>Cancelar la documentación comprobatoria original del gasto con la leyenda "Operado FORTASEG 2019", o como se establezca en las disposiciones locales, identificándose con el nombre de FORTASEG y reportarla al Secretariado Ejecutivo a través del Sistema establecido para este fin;</w:t>
      </w:r>
    </w:p>
    <w:p w:rsidR="005C78D4" w:rsidRPr="00D4543D" w:rsidRDefault="00F21FE4"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lastRenderedPageBreak/>
        <w:t xml:space="preserve">VII. </w:t>
      </w:r>
      <w:r w:rsidR="005C78D4" w:rsidRPr="00D4543D">
        <w:rPr>
          <w:rFonts w:ascii="Palatino Linotype" w:eastAsia="MS Mincho" w:hAnsi="Palatino Linotype" w:cs="Arial"/>
          <w:i/>
          <w:color w:val="000000" w:themeColor="text1"/>
          <w:sz w:val="22"/>
          <w:szCs w:val="22"/>
        </w:rPr>
        <w:t>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2019 para la opinión respectiva; en caso de que sean presentados con posterioridad a la fecha señalada, serán desechados;</w:t>
      </w:r>
    </w:p>
    <w:p w:rsidR="005C78D4" w:rsidRPr="00D4543D" w:rsidRDefault="005C78D4"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b/>
          <w:bCs/>
          <w:i/>
          <w:color w:val="000000" w:themeColor="text1"/>
          <w:sz w:val="22"/>
          <w:szCs w:val="22"/>
        </w:rPr>
        <w:t>VIII. Obtener de las Áreas Técnicas del Secretariado Ejecutivo, de conformidad con la normativa aplicable, los dictámenes, observaciones u opiniones técnicas que en su caso se requieran para la realización de las metas convenidas en los Anexos Técnicos</w:t>
      </w:r>
      <w:r w:rsidRPr="00D4543D">
        <w:rPr>
          <w:rFonts w:ascii="Palatino Linotype" w:eastAsia="MS Mincho" w:hAnsi="Palatino Linotype" w:cs="Arial"/>
          <w:i/>
          <w:color w:val="000000" w:themeColor="text1"/>
          <w:sz w:val="22"/>
          <w:szCs w:val="22"/>
        </w:rPr>
        <w:t>. Las solicitudes de validación de cursos de capacitación deberán presentarse a más tardar el 15 de octubre de 2019; en caso de ser presentadas con posterioridad a la fecha señalada, serán desechadas por el área técnica. Los cursos que se realicen sin contar con dicha validación, no computarán en la acreditación del cumplimiento de metas;</w:t>
      </w:r>
    </w:p>
    <w:p w:rsidR="005C78D4" w:rsidRPr="00D4543D" w:rsidRDefault="005C78D4"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IX. Cumplir con los Lineamientos Generales de Evaluación del Desempeño referidos en los artículos 43 y 49 de los Lineamientos, que para tal efecto emita la Dirección General de Planeación del Secretariado Ejecutivo;</w:t>
      </w:r>
    </w:p>
    <w:p w:rsidR="005C78D4" w:rsidRPr="00D4543D" w:rsidRDefault="00F21FE4" w:rsidP="003264C2">
      <w:pPr>
        <w:pStyle w:val="Prrafodelista"/>
        <w:tabs>
          <w:tab w:val="left" w:pos="567"/>
          <w:tab w:val="left" w:pos="851"/>
        </w:tabs>
        <w:ind w:left="851" w:right="760"/>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 xml:space="preserve">X. </w:t>
      </w:r>
      <w:r w:rsidR="005C78D4" w:rsidRPr="00D4543D">
        <w:rPr>
          <w:rFonts w:ascii="Palatino Linotype" w:eastAsia="MS Mincho" w:hAnsi="Palatino Linotype" w:cs="Arial"/>
          <w:b/>
          <w:bCs/>
          <w:i/>
          <w:color w:val="000000" w:themeColor="text1"/>
          <w:sz w:val="22"/>
          <w:szCs w:val="22"/>
        </w:rPr>
        <w:t>Informar por oficio al Secretariado Ejecutivo, el cambio que realice sobre la designación de la o el servidor público, enlace del FORTASEG;</w:t>
      </w:r>
    </w:p>
    <w:p w:rsidR="005C78D4" w:rsidRPr="00D4543D" w:rsidRDefault="00F21FE4"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XI. </w:t>
      </w:r>
      <w:r w:rsidR="005C78D4" w:rsidRPr="00D4543D">
        <w:rPr>
          <w:rFonts w:ascii="Palatino Linotype" w:eastAsia="MS Mincho" w:hAnsi="Palatino Linotype" w:cs="Arial"/>
          <w:i/>
          <w:color w:val="000000" w:themeColor="text1"/>
          <w:sz w:val="22"/>
          <w:szCs w:val="22"/>
        </w:rPr>
        <w:t>Colaborar y participar en términos de la normativa aplicable, en operativos conjuntos con las autoridades competentes, y</w:t>
      </w:r>
    </w:p>
    <w:p w:rsidR="003264C2" w:rsidRPr="00D4543D" w:rsidRDefault="00F21FE4" w:rsidP="003264C2">
      <w:pPr>
        <w:pStyle w:val="Prrafodelista"/>
        <w:tabs>
          <w:tab w:val="left" w:pos="851"/>
        </w:tabs>
        <w:ind w:left="851" w:right="760"/>
        <w:jc w:val="both"/>
        <w:rPr>
          <w:rFonts w:ascii="Palatino Linotype" w:hAnsi="Palatino Linotype"/>
          <w:b/>
          <w:i/>
          <w:sz w:val="22"/>
          <w:szCs w:val="22"/>
        </w:rPr>
      </w:pPr>
      <w:r w:rsidRPr="00D4543D">
        <w:rPr>
          <w:rFonts w:ascii="Palatino Linotype" w:eastAsia="MS Mincho" w:hAnsi="Palatino Linotype" w:cs="Arial"/>
          <w:i/>
          <w:color w:val="000000" w:themeColor="text1"/>
          <w:sz w:val="22"/>
          <w:szCs w:val="22"/>
        </w:rPr>
        <w:t xml:space="preserve">XII. </w:t>
      </w:r>
      <w:r w:rsidR="005C78D4" w:rsidRPr="00D4543D">
        <w:rPr>
          <w:rFonts w:ascii="Palatino Linotype" w:eastAsia="MS Mincho" w:hAnsi="Palatino Linotype" w:cs="Arial"/>
          <w:i/>
          <w:color w:val="000000" w:themeColor="text1"/>
          <w:sz w:val="22"/>
          <w:szCs w:val="22"/>
        </w:rPr>
        <w:t>Las demás establecidas en el Convenio, Anexo Técnico y las disposiciones aplicables.</w:t>
      </w:r>
      <w:r w:rsidRPr="00D4543D">
        <w:rPr>
          <w:rFonts w:ascii="Palatino Linotype" w:eastAsia="MS Mincho" w:hAnsi="Palatino Linotype" w:cs="Arial"/>
          <w:i/>
          <w:color w:val="000000" w:themeColor="text1"/>
          <w:sz w:val="22"/>
          <w:szCs w:val="22"/>
        </w:rPr>
        <w:t>”</w:t>
      </w:r>
      <w:r w:rsidRPr="00D4543D">
        <w:rPr>
          <w:rFonts w:ascii="Palatino Linotype" w:hAnsi="Palatino Linotype"/>
          <w:b/>
          <w:i/>
          <w:sz w:val="22"/>
          <w:szCs w:val="22"/>
        </w:rPr>
        <w:t xml:space="preserve"> (Énfasis añadido)</w:t>
      </w:r>
    </w:p>
    <w:p w:rsidR="003264C2"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p>
    <w:p w:rsidR="005C78D4" w:rsidRPr="00A26438" w:rsidRDefault="003264C2" w:rsidP="00A26438">
      <w:pPr>
        <w:tabs>
          <w:tab w:val="left" w:pos="851"/>
        </w:tabs>
        <w:spacing w:line="360" w:lineRule="auto"/>
        <w:ind w:right="49"/>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color w:val="000000" w:themeColor="text1"/>
        </w:rPr>
        <w:t xml:space="preserve">Hecho lo anterior, se anterior se indica </w:t>
      </w:r>
      <w:r w:rsidR="005C78D4" w:rsidRPr="00D4543D">
        <w:rPr>
          <w:rFonts w:ascii="Palatino Linotype" w:eastAsia="MS Mincho" w:hAnsi="Palatino Linotype" w:cs="Arial"/>
          <w:color w:val="000000" w:themeColor="text1"/>
        </w:rPr>
        <w:t>que los Beneficiarios son los encargados de reportar y presentar el informe trimestral a la Dirección General de Vinculación y Seguimiento, los avances y aplicación de los recursos del FORTASEG, los cuales contendrán la información relativa a los datos sobre los recursos devengados y pagados, así como su disponibilidad presupuestal y financiera con la que cuenten a la fecha del reporte, del mismo modo, informarán y acreditarán el cumplimiento de las metas convenidas, permitirán llevar a cabo las visitas y acciones de verificación sobre su aplicación, dando acceso a equipo, material, información registr</w:t>
      </w:r>
      <w:r w:rsidRPr="00D4543D">
        <w:rPr>
          <w:rFonts w:ascii="Palatino Linotype" w:eastAsia="MS Mincho" w:hAnsi="Palatino Linotype" w:cs="Arial"/>
          <w:color w:val="000000" w:themeColor="text1"/>
        </w:rPr>
        <w:t>o y documentos para ejecutar el</w:t>
      </w:r>
      <w:r w:rsidR="005C78D4" w:rsidRPr="00D4543D">
        <w:rPr>
          <w:rFonts w:ascii="Palatino Linotype" w:eastAsia="MS Mincho" w:hAnsi="Palatino Linotype" w:cs="Arial"/>
          <w:color w:val="000000" w:themeColor="text1"/>
        </w:rPr>
        <w:t xml:space="preserve"> seguimiento de las acciones realizadas con el FORTASEG. </w:t>
      </w:r>
    </w:p>
    <w:p w:rsidR="005C78D4" w:rsidRPr="00D4543D" w:rsidRDefault="003264C2" w:rsidP="005C78D4">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eastAsia="MS Mincho" w:hAnsi="Palatino Linotype" w:cs="Arial"/>
          <w:color w:val="000000" w:themeColor="text1"/>
        </w:rPr>
        <w:lastRenderedPageBreak/>
        <w:t>Por otra</w:t>
      </w:r>
      <w:r w:rsidR="005C78D4" w:rsidRPr="00D4543D">
        <w:rPr>
          <w:rFonts w:ascii="Palatino Linotype" w:eastAsia="MS Mincho" w:hAnsi="Palatino Linotype" w:cs="Arial"/>
          <w:color w:val="000000" w:themeColor="text1"/>
        </w:rPr>
        <w:t xml:space="preserve"> parte, las Entidades Federativas</w:t>
      </w:r>
      <w:r w:rsidRPr="00D4543D">
        <w:rPr>
          <w:rFonts w:ascii="Palatino Linotype" w:eastAsia="MS Mincho" w:hAnsi="Palatino Linotype" w:cs="Arial"/>
          <w:color w:val="000000" w:themeColor="text1"/>
        </w:rPr>
        <w:t xml:space="preserve"> tienen las obligaciones conferidas en el </w:t>
      </w:r>
      <w:r w:rsidR="005C78D4" w:rsidRPr="00D4543D">
        <w:rPr>
          <w:rFonts w:ascii="Palatino Linotype" w:eastAsia="MS Mincho" w:hAnsi="Palatino Linotype" w:cs="Arial"/>
          <w:color w:val="000000" w:themeColor="text1"/>
        </w:rPr>
        <w:t xml:space="preserve">artículo 39 de los Lineamientos </w:t>
      </w:r>
      <w:r w:rsidRPr="00D4543D">
        <w:rPr>
          <w:rFonts w:ascii="Palatino Linotype" w:eastAsia="MS Mincho" w:hAnsi="Palatino Linotype" w:cs="Arial"/>
          <w:color w:val="000000" w:themeColor="text1"/>
        </w:rPr>
        <w:t>en cita y consisten en las siguientes:</w:t>
      </w:r>
    </w:p>
    <w:p w:rsidR="003264C2"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p>
    <w:p w:rsidR="005C78D4"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w:t>
      </w:r>
      <w:r w:rsidR="005C78D4" w:rsidRPr="00D4543D">
        <w:rPr>
          <w:rFonts w:ascii="Palatino Linotype" w:eastAsia="MS Mincho" w:hAnsi="Palatino Linotype" w:cs="Arial"/>
          <w:b/>
          <w:i/>
          <w:color w:val="000000" w:themeColor="text1"/>
          <w:sz w:val="22"/>
          <w:szCs w:val="22"/>
        </w:rPr>
        <w:t>Artículo 39.</w:t>
      </w:r>
      <w:r w:rsidR="005C78D4" w:rsidRPr="00D4543D">
        <w:rPr>
          <w:rFonts w:ascii="Palatino Linotype" w:eastAsia="MS Mincho" w:hAnsi="Palatino Linotype" w:cs="Arial"/>
          <w:i/>
          <w:color w:val="000000" w:themeColor="text1"/>
          <w:sz w:val="22"/>
          <w:szCs w:val="22"/>
        </w:rPr>
        <w:t xml:space="preserve"> Son obligaciones de las entidades federativas las siguientes:</w:t>
      </w:r>
    </w:p>
    <w:p w:rsidR="005C78D4"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I. </w:t>
      </w:r>
      <w:r w:rsidR="005C78D4" w:rsidRPr="00D4543D">
        <w:rPr>
          <w:rFonts w:ascii="Palatino Linotype" w:eastAsia="MS Mincho" w:hAnsi="Palatino Linotype" w:cs="Arial"/>
          <w:i/>
          <w:color w:val="000000" w:themeColor="text1"/>
          <w:sz w:val="22"/>
          <w:szCs w:val="22"/>
        </w:rPr>
        <w:t>Entregar a la Dirección General de Vinculación y Seguimiento a más tardar el día de la concertación a que sean convocados sus municipios o alcaldías Beneficiarios, los documentos que a continuación se señalan:</w:t>
      </w:r>
    </w:p>
    <w:p w:rsidR="005C78D4"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a) </w:t>
      </w:r>
      <w:r w:rsidR="005C78D4" w:rsidRPr="00D4543D">
        <w:rPr>
          <w:rFonts w:ascii="Palatino Linotype" w:eastAsia="MS Mincho" w:hAnsi="Palatino Linotype" w:cs="Arial"/>
          <w:i/>
          <w:color w:val="000000" w:themeColor="text1"/>
          <w:sz w:val="22"/>
          <w:szCs w:val="22"/>
        </w:rPr>
        <w:t>Carta original de la institución bancaria que acredite la apertura de una cuenta bancaria productiva específica para la recepción y administración de los recursos del "FORTASEG", la cual deberá contener como mínimo nombre del beneficiario, número de cuenta y Clave Bancaria Estandarizada (CLABE) con 18 posiciones;</w:t>
      </w:r>
    </w:p>
    <w:p w:rsidR="005C78D4"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b) </w:t>
      </w:r>
      <w:r w:rsidR="005C78D4" w:rsidRPr="00D4543D">
        <w:rPr>
          <w:rFonts w:ascii="Palatino Linotype" w:eastAsia="MS Mincho" w:hAnsi="Palatino Linotype" w:cs="Arial"/>
          <w:i/>
          <w:color w:val="000000" w:themeColor="text1"/>
          <w:sz w:val="22"/>
          <w:szCs w:val="22"/>
        </w:rPr>
        <w:t>Copia de la Cédula de Identificación Fiscal de la entidad federativa, expedida por el Servicio de Administración Tributaria;</w:t>
      </w:r>
    </w:p>
    <w:p w:rsidR="005C78D4"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c) </w:t>
      </w:r>
      <w:r w:rsidR="005C78D4" w:rsidRPr="00D4543D">
        <w:rPr>
          <w:rFonts w:ascii="Palatino Linotype" w:eastAsia="MS Mincho" w:hAnsi="Palatino Linotype" w:cs="Arial"/>
          <w:i/>
          <w:color w:val="000000" w:themeColor="text1"/>
          <w:sz w:val="22"/>
          <w:szCs w:val="22"/>
        </w:rPr>
        <w:t>Constancia de domicilio fiscal, y</w:t>
      </w:r>
    </w:p>
    <w:p w:rsidR="005C78D4"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d) </w:t>
      </w:r>
      <w:r w:rsidR="005C78D4" w:rsidRPr="00D4543D">
        <w:rPr>
          <w:rFonts w:ascii="Palatino Linotype" w:eastAsia="MS Mincho" w:hAnsi="Palatino Linotype" w:cs="Arial"/>
          <w:i/>
          <w:color w:val="000000" w:themeColor="text1"/>
          <w:sz w:val="22"/>
          <w:szCs w:val="22"/>
        </w:rPr>
        <w:t>Copia del oficio de designación o nombramiento de las o los servidores públicos responsables del manejo de la cuenta bancaria productiva específica.</w:t>
      </w:r>
    </w:p>
    <w:p w:rsidR="005C78D4" w:rsidRPr="00D4543D" w:rsidRDefault="003264C2" w:rsidP="003264C2">
      <w:pPr>
        <w:pStyle w:val="Prrafodelista"/>
        <w:tabs>
          <w:tab w:val="left" w:pos="567"/>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II. </w:t>
      </w:r>
      <w:r w:rsidR="005C78D4" w:rsidRPr="00D4543D">
        <w:rPr>
          <w:rFonts w:ascii="Palatino Linotype" w:eastAsia="MS Mincho" w:hAnsi="Palatino Linotype" w:cs="Arial"/>
          <w:b/>
          <w:bCs/>
          <w:i/>
          <w:color w:val="000000" w:themeColor="text1"/>
          <w:sz w:val="22"/>
          <w:szCs w:val="22"/>
        </w:rPr>
        <w:t>Transferir los recursos del FORTASEG correspondientes a los Beneficiarios</w:t>
      </w:r>
      <w:r w:rsidR="005C78D4" w:rsidRPr="00D4543D">
        <w:rPr>
          <w:rFonts w:ascii="Palatino Linotype" w:eastAsia="MS Mincho" w:hAnsi="Palatino Linotype" w:cs="Arial"/>
          <w:i/>
          <w:color w:val="000000" w:themeColor="text1"/>
          <w:sz w:val="22"/>
          <w:szCs w:val="22"/>
        </w:rPr>
        <w:t xml:space="preserve">, incluyendo los rendimientos financieros, en los términos de las disposiciones aplicables, en un plazo no mayor a cinco (5) días hábiles a partir de su recepción, </w:t>
      </w:r>
      <w:r w:rsidR="005C78D4" w:rsidRPr="00D4543D">
        <w:rPr>
          <w:rFonts w:ascii="Palatino Linotype" w:eastAsia="MS Mincho" w:hAnsi="Palatino Linotype" w:cs="Arial"/>
          <w:b/>
          <w:bCs/>
          <w:i/>
          <w:color w:val="000000" w:themeColor="text1"/>
          <w:sz w:val="22"/>
          <w:szCs w:val="22"/>
        </w:rPr>
        <w:t>debiendo entregar a la Dirección General de Vinculación y Seguimiento copia de los comprobantes de las transferencias, dentro del plazo de cinco (5) días hábiles siguientes a la transferencia</w:t>
      </w:r>
      <w:r w:rsidR="005C78D4" w:rsidRPr="00D4543D">
        <w:rPr>
          <w:rFonts w:ascii="Palatino Linotype" w:eastAsia="MS Mincho" w:hAnsi="Palatino Linotype" w:cs="Arial"/>
          <w:i/>
          <w:color w:val="000000" w:themeColor="text1"/>
          <w:sz w:val="22"/>
          <w:szCs w:val="22"/>
        </w:rPr>
        <w:t>;</w:t>
      </w:r>
    </w:p>
    <w:p w:rsidR="005C78D4"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III. </w:t>
      </w:r>
      <w:r w:rsidR="005C78D4" w:rsidRPr="00D4543D">
        <w:rPr>
          <w:rFonts w:ascii="Palatino Linotype" w:eastAsia="MS Mincho" w:hAnsi="Palatino Linotype" w:cs="Arial"/>
          <w:i/>
          <w:color w:val="000000" w:themeColor="text1"/>
          <w:sz w:val="22"/>
          <w:szCs w:val="22"/>
        </w:rPr>
        <w:t>Coordinarse con los Beneficiarios y las áreas técnicas de la entidad federativa para la integración de la propuesta de inversión;</w:t>
      </w:r>
    </w:p>
    <w:p w:rsidR="005C78D4" w:rsidRPr="00D4543D" w:rsidRDefault="003264C2" w:rsidP="003264C2">
      <w:pPr>
        <w:pStyle w:val="Prrafodelista"/>
        <w:tabs>
          <w:tab w:val="left" w:pos="851"/>
        </w:tabs>
        <w:ind w:left="851" w:right="760"/>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 xml:space="preserve">IV. </w:t>
      </w:r>
      <w:r w:rsidR="005C78D4" w:rsidRPr="00D4543D">
        <w:rPr>
          <w:rFonts w:ascii="Palatino Linotype" w:eastAsia="MS Mincho" w:hAnsi="Palatino Linotype" w:cs="Arial"/>
          <w:b/>
          <w:bCs/>
          <w:i/>
          <w:color w:val="000000" w:themeColor="text1"/>
          <w:sz w:val="22"/>
          <w:szCs w:val="22"/>
        </w:rPr>
        <w:t>Remitir a la Dirección General de Vinculación y Seguimiento el recibo de ministraciones de los recursos del FORTASEG, en los términos que para tal efecto se establezcan;</w:t>
      </w:r>
    </w:p>
    <w:p w:rsidR="005C78D4"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V. </w:t>
      </w:r>
      <w:r w:rsidR="005C78D4" w:rsidRPr="00D4543D">
        <w:rPr>
          <w:rFonts w:ascii="Palatino Linotype" w:eastAsia="MS Mincho" w:hAnsi="Palatino Linotype" w:cs="Arial"/>
          <w:i/>
          <w:color w:val="000000" w:themeColor="text1"/>
          <w:sz w:val="22"/>
          <w:szCs w:val="22"/>
        </w:rPr>
        <w:t>Dar cumplimiento a las obligaciones a las que se refiere el artículo 38 de los Lineamientos cuando sean Beneficiarios del FORTASEG, y</w:t>
      </w:r>
    </w:p>
    <w:p w:rsidR="00A26438" w:rsidRDefault="003264C2" w:rsidP="003264C2">
      <w:pPr>
        <w:pStyle w:val="Prrafodelista"/>
        <w:tabs>
          <w:tab w:val="left" w:pos="851"/>
        </w:tabs>
        <w:ind w:left="851" w:right="760"/>
        <w:jc w:val="both"/>
        <w:rPr>
          <w:rFonts w:ascii="Palatino Linotype" w:hAnsi="Palatino Linotype"/>
          <w:b/>
          <w:i/>
          <w:sz w:val="22"/>
          <w:szCs w:val="22"/>
        </w:rPr>
      </w:pPr>
      <w:r w:rsidRPr="00D4543D">
        <w:rPr>
          <w:rFonts w:ascii="Palatino Linotype" w:eastAsia="MS Mincho" w:hAnsi="Palatino Linotype" w:cs="Arial"/>
          <w:i/>
          <w:color w:val="000000" w:themeColor="text1"/>
          <w:sz w:val="22"/>
          <w:szCs w:val="22"/>
        </w:rPr>
        <w:t xml:space="preserve">VI. </w:t>
      </w:r>
      <w:r w:rsidR="005C78D4" w:rsidRPr="00D4543D">
        <w:rPr>
          <w:rFonts w:ascii="Palatino Linotype" w:eastAsia="MS Mincho" w:hAnsi="Palatino Linotype" w:cs="Arial"/>
          <w:i/>
          <w:color w:val="000000" w:themeColor="text1"/>
          <w:sz w:val="22"/>
          <w:szCs w:val="22"/>
        </w:rPr>
        <w:t>Las demás referidas en el Convenio, Anexo Técnico y las disposiciones aplicables.</w:t>
      </w:r>
      <w:r w:rsidRPr="00D4543D">
        <w:rPr>
          <w:rFonts w:ascii="Palatino Linotype" w:eastAsia="MS Mincho" w:hAnsi="Palatino Linotype" w:cs="Arial"/>
          <w:i/>
          <w:color w:val="000000" w:themeColor="text1"/>
          <w:sz w:val="22"/>
          <w:szCs w:val="22"/>
        </w:rPr>
        <w:t>”</w:t>
      </w:r>
      <w:r w:rsidRPr="00D4543D">
        <w:rPr>
          <w:rFonts w:ascii="Palatino Linotype" w:hAnsi="Palatino Linotype"/>
          <w:b/>
          <w:i/>
          <w:sz w:val="22"/>
          <w:szCs w:val="22"/>
        </w:rPr>
        <w:t xml:space="preserve"> </w:t>
      </w:r>
    </w:p>
    <w:p w:rsidR="00A26438" w:rsidRDefault="00A26438" w:rsidP="003264C2">
      <w:pPr>
        <w:pStyle w:val="Prrafodelista"/>
        <w:tabs>
          <w:tab w:val="left" w:pos="851"/>
        </w:tabs>
        <w:ind w:left="851" w:right="760"/>
        <w:jc w:val="both"/>
        <w:rPr>
          <w:rFonts w:ascii="Palatino Linotype" w:hAnsi="Palatino Linotype"/>
          <w:b/>
          <w:i/>
          <w:sz w:val="22"/>
          <w:szCs w:val="22"/>
        </w:rPr>
      </w:pPr>
      <w:r>
        <w:rPr>
          <w:rFonts w:ascii="Palatino Linotype" w:hAnsi="Palatino Linotype"/>
          <w:b/>
          <w:i/>
          <w:sz w:val="22"/>
          <w:szCs w:val="22"/>
        </w:rPr>
        <w:t>…</w:t>
      </w:r>
    </w:p>
    <w:p w:rsidR="005C78D4" w:rsidRPr="00D4543D" w:rsidRDefault="003264C2" w:rsidP="003264C2">
      <w:pPr>
        <w:pStyle w:val="Prrafodelista"/>
        <w:tabs>
          <w:tab w:val="left" w:pos="851"/>
        </w:tabs>
        <w:ind w:left="851" w:right="760"/>
        <w:jc w:val="both"/>
        <w:rPr>
          <w:rFonts w:ascii="Palatino Linotype" w:hAnsi="Palatino Linotype"/>
          <w:b/>
          <w:i/>
          <w:sz w:val="22"/>
          <w:szCs w:val="22"/>
        </w:rPr>
      </w:pPr>
      <w:r w:rsidRPr="00D4543D">
        <w:rPr>
          <w:rFonts w:ascii="Palatino Linotype" w:hAnsi="Palatino Linotype"/>
          <w:b/>
          <w:i/>
          <w:sz w:val="22"/>
          <w:szCs w:val="22"/>
        </w:rPr>
        <w:t>(Énfasis añadido)</w:t>
      </w:r>
    </w:p>
    <w:p w:rsidR="003264C2" w:rsidRPr="00D4543D" w:rsidRDefault="003264C2" w:rsidP="003264C2">
      <w:pPr>
        <w:pStyle w:val="Prrafodelista"/>
        <w:tabs>
          <w:tab w:val="left" w:pos="851"/>
        </w:tabs>
        <w:ind w:left="851" w:right="760"/>
        <w:jc w:val="both"/>
        <w:rPr>
          <w:rFonts w:ascii="Palatino Linotype" w:eastAsia="MS Mincho" w:hAnsi="Palatino Linotype" w:cs="Arial"/>
          <w:i/>
          <w:color w:val="000000" w:themeColor="text1"/>
          <w:sz w:val="22"/>
          <w:szCs w:val="22"/>
        </w:rPr>
      </w:pPr>
    </w:p>
    <w:p w:rsidR="005C78D4" w:rsidRPr="00D4543D" w:rsidRDefault="003264C2" w:rsidP="003264C2">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eastAsia="MS Mincho" w:hAnsi="Palatino Linotype" w:cs="Arial"/>
          <w:color w:val="000000" w:themeColor="text1"/>
        </w:rPr>
        <w:t xml:space="preserve">Indicado lo anterior, se aprecia que </w:t>
      </w:r>
      <w:r w:rsidR="005C78D4" w:rsidRPr="00D4543D">
        <w:rPr>
          <w:rFonts w:ascii="Palatino Linotype" w:eastAsia="MS Mincho" w:hAnsi="Palatino Linotype" w:cs="Arial"/>
          <w:color w:val="000000" w:themeColor="text1"/>
        </w:rPr>
        <w:t>las Entidades Federativas</w:t>
      </w:r>
      <w:r w:rsidRPr="00D4543D">
        <w:rPr>
          <w:rFonts w:ascii="Palatino Linotype" w:eastAsia="MS Mincho" w:hAnsi="Palatino Linotype" w:cs="Arial"/>
          <w:color w:val="000000" w:themeColor="text1"/>
        </w:rPr>
        <w:t xml:space="preserve"> deben</w:t>
      </w:r>
      <w:r w:rsidR="005C78D4" w:rsidRPr="00D4543D">
        <w:rPr>
          <w:rFonts w:ascii="Palatino Linotype" w:eastAsia="MS Mincho" w:hAnsi="Palatino Linotype" w:cs="Arial"/>
          <w:color w:val="000000" w:themeColor="text1"/>
        </w:rPr>
        <w:t xml:space="preserve"> </w:t>
      </w:r>
      <w:r w:rsidRPr="00D4543D">
        <w:rPr>
          <w:rFonts w:ascii="Palatino Linotype" w:eastAsia="MS Mincho" w:hAnsi="Palatino Linotype" w:cs="Arial"/>
          <w:color w:val="000000" w:themeColor="text1"/>
        </w:rPr>
        <w:t>realizar</w:t>
      </w:r>
      <w:r w:rsidR="005C78D4" w:rsidRPr="00D4543D">
        <w:rPr>
          <w:rFonts w:ascii="Palatino Linotype" w:eastAsia="MS Mincho" w:hAnsi="Palatino Linotype" w:cs="Arial"/>
          <w:color w:val="000000" w:themeColor="text1"/>
        </w:rPr>
        <w:t xml:space="preserve"> la transferencia de los recursos del FORTASEG a</w:t>
      </w:r>
      <w:r w:rsidRPr="00D4543D">
        <w:rPr>
          <w:rFonts w:ascii="Palatino Linotype" w:eastAsia="MS Mincho" w:hAnsi="Palatino Linotype" w:cs="Arial"/>
          <w:color w:val="000000" w:themeColor="text1"/>
        </w:rPr>
        <w:t xml:space="preserve"> los Beneficiarios, y entregar</w:t>
      </w:r>
      <w:r w:rsidR="005C78D4" w:rsidRPr="00D4543D">
        <w:rPr>
          <w:rFonts w:ascii="Palatino Linotype" w:eastAsia="MS Mincho" w:hAnsi="Palatino Linotype" w:cs="Arial"/>
          <w:color w:val="000000" w:themeColor="text1"/>
        </w:rPr>
        <w:t xml:space="preserve"> con ello los </w:t>
      </w:r>
      <w:r w:rsidR="005C78D4" w:rsidRPr="00D4543D">
        <w:rPr>
          <w:rFonts w:ascii="Palatino Linotype" w:eastAsia="MS Mincho" w:hAnsi="Palatino Linotype" w:cs="Arial"/>
          <w:color w:val="000000" w:themeColor="text1"/>
        </w:rPr>
        <w:lastRenderedPageBreak/>
        <w:t>com</w:t>
      </w:r>
      <w:r w:rsidRPr="00D4543D">
        <w:rPr>
          <w:rFonts w:ascii="Palatino Linotype" w:eastAsia="MS Mincho" w:hAnsi="Palatino Linotype" w:cs="Arial"/>
          <w:color w:val="000000" w:themeColor="text1"/>
        </w:rPr>
        <w:t>probantes de la misma, de igual forma</w:t>
      </w:r>
      <w:r w:rsidR="009B0BA7" w:rsidRPr="00D4543D">
        <w:rPr>
          <w:rFonts w:ascii="Palatino Linotype" w:eastAsia="MS Mincho" w:hAnsi="Palatino Linotype" w:cs="Arial"/>
          <w:color w:val="000000" w:themeColor="text1"/>
        </w:rPr>
        <w:t>, deberán remitir a la Dirección General de Vinculación y Seguimiento el recibo de ministraciones de los recursos.</w:t>
      </w:r>
    </w:p>
    <w:p w:rsidR="005C78D4" w:rsidRPr="00D4543D" w:rsidRDefault="005C78D4" w:rsidP="005C78D4">
      <w:pPr>
        <w:pStyle w:val="Prrafodelista"/>
        <w:tabs>
          <w:tab w:val="left" w:pos="426"/>
        </w:tabs>
        <w:spacing w:line="360" w:lineRule="auto"/>
        <w:ind w:left="0"/>
        <w:jc w:val="both"/>
        <w:rPr>
          <w:rFonts w:ascii="Palatino Linotype" w:eastAsia="MS Mincho" w:hAnsi="Palatino Linotype" w:cs="Arial"/>
          <w:color w:val="000000" w:themeColor="text1"/>
        </w:rPr>
      </w:pPr>
    </w:p>
    <w:p w:rsidR="005C78D4" w:rsidRPr="00D4543D" w:rsidRDefault="005C78D4" w:rsidP="009B0BA7">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eastAsia="MS Mincho" w:hAnsi="Palatino Linotype" w:cs="Arial"/>
          <w:color w:val="000000" w:themeColor="text1"/>
        </w:rPr>
        <w:t>Aunado a lo anterior, el Convenio del Programa de Fortalecimiento para la Seguridad FORTASEG 2019</w:t>
      </w:r>
      <w:r w:rsidRPr="00D4543D">
        <w:rPr>
          <w:rStyle w:val="Refdenotaalpie"/>
          <w:rFonts w:ascii="Palatino Linotype" w:eastAsia="MS Mincho" w:hAnsi="Palatino Linotype" w:cs="Arial"/>
          <w:color w:val="000000" w:themeColor="text1"/>
        </w:rPr>
        <w:footnoteReference w:id="3"/>
      </w:r>
      <w:r w:rsidRPr="00D4543D">
        <w:rPr>
          <w:rFonts w:ascii="Palatino Linotype" w:eastAsia="MS Mincho" w:hAnsi="Palatino Linotype" w:cs="Arial"/>
          <w:color w:val="000000" w:themeColor="text1"/>
        </w:rPr>
        <w:t xml:space="preserve"> celebrado por el Secretariado Ejecutivo del Sistema Nacional de Seguridad Pública, el Estado de México y los Municipios del Estado de México, establece que;</w:t>
      </w:r>
    </w:p>
    <w:p w:rsidR="005C78D4" w:rsidRPr="00D4543D" w:rsidRDefault="005C78D4" w:rsidP="005C78D4">
      <w:pPr>
        <w:pStyle w:val="Prrafodelista"/>
        <w:tabs>
          <w:tab w:val="left" w:pos="426"/>
        </w:tabs>
        <w:spacing w:line="360" w:lineRule="auto"/>
        <w:ind w:left="0"/>
        <w:jc w:val="both"/>
        <w:rPr>
          <w:rFonts w:ascii="Palatino Linotype" w:eastAsia="MS Mincho" w:hAnsi="Palatino Linotype" w:cs="Arial"/>
          <w:color w:val="000000" w:themeColor="text1"/>
        </w:rPr>
      </w:pPr>
    </w:p>
    <w:p w:rsidR="005C78D4" w:rsidRPr="00D4543D" w:rsidRDefault="005C78D4" w:rsidP="00222527">
      <w:pPr>
        <w:pStyle w:val="Prrafodelista"/>
        <w:tabs>
          <w:tab w:val="left" w:pos="426"/>
        </w:tabs>
        <w:ind w:left="567" w:right="618"/>
        <w:jc w:val="center"/>
        <w:rPr>
          <w:rFonts w:ascii="Palatino Linotype" w:hAnsi="Palatino Linotype"/>
          <w:i/>
          <w:sz w:val="22"/>
          <w:szCs w:val="22"/>
        </w:rPr>
      </w:pPr>
      <w:r w:rsidRPr="00D4543D">
        <w:rPr>
          <w:rFonts w:ascii="Palatino Linotype" w:hAnsi="Palatino Linotype"/>
          <w:i/>
          <w:sz w:val="22"/>
          <w:szCs w:val="22"/>
        </w:rPr>
        <w:t>“CLÁUSULAS</w:t>
      </w:r>
    </w:p>
    <w:p w:rsidR="005C78D4" w:rsidRPr="00D4543D" w:rsidRDefault="005C78D4" w:rsidP="00222527">
      <w:pPr>
        <w:pStyle w:val="Prrafodelista"/>
        <w:tabs>
          <w:tab w:val="left" w:pos="851"/>
        </w:tabs>
        <w:ind w:left="851" w:right="757"/>
        <w:jc w:val="both"/>
        <w:rPr>
          <w:rFonts w:ascii="Palatino Linotype" w:hAnsi="Palatino Linotype"/>
          <w:b/>
          <w:bCs/>
          <w:i/>
          <w:sz w:val="22"/>
          <w:szCs w:val="22"/>
        </w:rPr>
      </w:pPr>
      <w:r w:rsidRPr="00D4543D">
        <w:rPr>
          <w:rFonts w:ascii="Palatino Linotype" w:hAnsi="Palatino Linotype"/>
          <w:i/>
          <w:sz w:val="22"/>
          <w:szCs w:val="22"/>
        </w:rPr>
        <w:t xml:space="preserve">PRIMERA. - OBJETO Y NATURALEZA DE LOS RECURSOS. </w:t>
      </w:r>
      <w:r w:rsidRPr="00D4543D">
        <w:rPr>
          <w:rFonts w:ascii="Palatino Linotype" w:hAnsi="Palatino Linotype"/>
          <w:b/>
          <w:bCs/>
          <w:i/>
          <w:sz w:val="22"/>
          <w:szCs w:val="22"/>
        </w:rPr>
        <w:t xml:space="preserve">El presente “CONVENIO” tiene por objeto que “EL SECRETARIADO” transfiera recursos presupuestarios federales del “FORTASEG” a “LOS BENEFICIARIOS”, </w:t>
      </w:r>
      <w:r w:rsidRPr="00D4543D">
        <w:rPr>
          <w:rFonts w:ascii="Palatino Linotype" w:hAnsi="Palatino Linotype"/>
          <w:b/>
          <w:bCs/>
          <w:i/>
          <w:sz w:val="22"/>
          <w:szCs w:val="22"/>
          <w:u w:val="single"/>
        </w:rPr>
        <w:t>por conducto de la Secretaría de Finanzas</w:t>
      </w:r>
      <w:r w:rsidRPr="00D4543D">
        <w:rPr>
          <w:rFonts w:ascii="Palatino Linotype" w:hAnsi="Palatino Linotype"/>
          <w:b/>
          <w:bCs/>
          <w:i/>
          <w:sz w:val="22"/>
          <w:szCs w:val="22"/>
        </w:rPr>
        <w:t xml:space="preserve"> de “LA ENTIDAD FEDERATIVA”, con la finalidad de fortalecer el desempeño de sus funciones en materia de seguridad pública que realizan de manera directa “LOS BENEFICIARIOS”, conforme lo dispuesto por el artículo 8 del “PRESUPUESTO DE EGRESOS” y “LOS LINEAMIENTOS”</w:t>
      </w:r>
    </w:p>
    <w:p w:rsidR="005C78D4" w:rsidRPr="00D4543D" w:rsidRDefault="005C78D4" w:rsidP="00222527">
      <w:pPr>
        <w:pStyle w:val="Prrafodelista"/>
        <w:tabs>
          <w:tab w:val="left" w:pos="851"/>
        </w:tabs>
        <w:ind w:left="851" w:right="757"/>
        <w:jc w:val="both"/>
        <w:rPr>
          <w:rFonts w:ascii="Palatino Linotype" w:hAnsi="Palatino Linotype"/>
          <w:i/>
          <w:sz w:val="10"/>
          <w:szCs w:val="10"/>
        </w:rPr>
      </w:pPr>
    </w:p>
    <w:p w:rsidR="005C78D4" w:rsidRPr="00D4543D" w:rsidRDefault="005C78D4" w:rsidP="00222527">
      <w:pPr>
        <w:pStyle w:val="Prrafodelista"/>
        <w:tabs>
          <w:tab w:val="left" w:pos="851"/>
        </w:tabs>
        <w:ind w:left="851" w:right="757"/>
        <w:jc w:val="both"/>
        <w:rPr>
          <w:rFonts w:ascii="Palatino Linotype" w:hAnsi="Palatino Linotype"/>
          <w:i/>
          <w:sz w:val="22"/>
          <w:szCs w:val="22"/>
        </w:rPr>
      </w:pPr>
      <w:r w:rsidRPr="00D4543D">
        <w:rPr>
          <w:rFonts w:ascii="Palatino Linotype" w:hAnsi="Palatino Linotype"/>
          <w:i/>
          <w:sz w:val="22"/>
          <w:szCs w:val="22"/>
        </w:rPr>
        <w:t>Los recursos transferidos del “FORTASEG” no son regularizables, son parcialmente concursables y no pierden el carácter federal al ser transferidos y por ello “LA ENTIDAD FEDERATIVA” y “LOS BENEFICIARIOS” liberan a “EL SECRETARIADO” de la obligación de ministrarlos en ejercicios fiscales Miércoles 17 de abril de 2019 DIARIO OFICIAL (Primera Sección) subsecuentes, aún y cuando los requieran para complementar las acciones derivadas del presente “CONVENIO”, o para cubrir cualquier otro concepto vinculado con el objeto del mismo, conforme lo previsto en el “PRESUPUESTO DE EGRESOS</w:t>
      </w:r>
      <w:r w:rsidR="00222527" w:rsidRPr="00D4543D">
        <w:rPr>
          <w:rFonts w:ascii="Palatino Linotype" w:hAnsi="Palatino Linotype"/>
          <w:i/>
          <w:sz w:val="22"/>
          <w:szCs w:val="22"/>
        </w:rPr>
        <w:t>”.</w:t>
      </w:r>
      <w:r w:rsidRPr="00D4543D">
        <w:rPr>
          <w:rFonts w:ascii="Palatino Linotype" w:hAnsi="Palatino Linotype"/>
          <w:i/>
          <w:sz w:val="22"/>
          <w:szCs w:val="22"/>
        </w:rPr>
        <w:t xml:space="preserve"> </w:t>
      </w:r>
    </w:p>
    <w:p w:rsidR="00222527" w:rsidRPr="00D4543D" w:rsidRDefault="00222527" w:rsidP="00222527">
      <w:pPr>
        <w:pStyle w:val="Prrafodelista"/>
        <w:tabs>
          <w:tab w:val="left" w:pos="851"/>
        </w:tabs>
        <w:ind w:left="851" w:right="757"/>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w:t>
      </w:r>
    </w:p>
    <w:p w:rsidR="005C78D4" w:rsidRPr="00D4543D" w:rsidRDefault="005C78D4" w:rsidP="00222527">
      <w:pPr>
        <w:pStyle w:val="Prrafodelista"/>
        <w:tabs>
          <w:tab w:val="left" w:pos="851"/>
        </w:tabs>
        <w:ind w:left="851" w:right="757"/>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TERCERA. - </w:t>
      </w:r>
      <w:r w:rsidRPr="00D4543D">
        <w:rPr>
          <w:rFonts w:ascii="Palatino Linotype" w:eastAsia="MS Mincho" w:hAnsi="Palatino Linotype" w:cs="Arial"/>
          <w:b/>
          <w:bCs/>
          <w:i/>
          <w:color w:val="000000" w:themeColor="text1"/>
          <w:sz w:val="22"/>
          <w:szCs w:val="22"/>
        </w:rPr>
        <w:t>OBLIGACIONES DE “LOS BENEFICIARIOS”.</w:t>
      </w:r>
      <w:r w:rsidRPr="00D4543D">
        <w:rPr>
          <w:rFonts w:ascii="Palatino Linotype" w:eastAsia="MS Mincho" w:hAnsi="Palatino Linotype" w:cs="Arial"/>
          <w:i/>
          <w:color w:val="000000" w:themeColor="text1"/>
          <w:sz w:val="22"/>
          <w:szCs w:val="22"/>
        </w:rPr>
        <w:t xml:space="preserve"> Además de las señaladas en “LOS LINEAMIENTOS”, tendrán las siguientes:</w:t>
      </w:r>
    </w:p>
    <w:p w:rsidR="005C78D4" w:rsidRPr="00D4543D" w:rsidRDefault="005C78D4" w:rsidP="00222527">
      <w:pPr>
        <w:pStyle w:val="Prrafodelista"/>
        <w:tabs>
          <w:tab w:val="left" w:pos="851"/>
        </w:tabs>
        <w:ind w:left="851" w:right="757"/>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w:t>
      </w:r>
    </w:p>
    <w:p w:rsidR="005C78D4" w:rsidRPr="00D4543D" w:rsidRDefault="005C78D4" w:rsidP="00222527">
      <w:pPr>
        <w:pStyle w:val="Prrafodelista"/>
        <w:tabs>
          <w:tab w:val="left" w:pos="851"/>
        </w:tabs>
        <w:ind w:left="851" w:right="757"/>
        <w:jc w:val="both"/>
        <w:rPr>
          <w:rFonts w:ascii="Palatino Linotype" w:eastAsia="MS Mincho" w:hAnsi="Palatino Linotype" w:cs="Arial"/>
          <w:b/>
          <w:bCs/>
          <w:i/>
          <w:color w:val="000000" w:themeColor="text1"/>
          <w:sz w:val="22"/>
          <w:szCs w:val="22"/>
          <w:u w:val="single"/>
        </w:rPr>
      </w:pPr>
      <w:r w:rsidRPr="00D4543D">
        <w:rPr>
          <w:rFonts w:ascii="Palatino Linotype" w:eastAsia="MS Mincho" w:hAnsi="Palatino Linotype" w:cs="Arial"/>
          <w:i/>
          <w:color w:val="000000" w:themeColor="text1"/>
          <w:sz w:val="22"/>
          <w:szCs w:val="22"/>
        </w:rPr>
        <w:lastRenderedPageBreak/>
        <w:t xml:space="preserve">I. </w:t>
      </w:r>
      <w:r w:rsidRPr="00D4543D">
        <w:rPr>
          <w:rFonts w:ascii="Palatino Linotype" w:eastAsia="MS Mincho" w:hAnsi="Palatino Linotype" w:cs="Arial"/>
          <w:b/>
          <w:bCs/>
          <w:i/>
          <w:color w:val="000000" w:themeColor="text1"/>
          <w:sz w:val="22"/>
          <w:szCs w:val="22"/>
          <w:u w:val="single"/>
        </w:rPr>
        <w:t>Informar mensual y trimestralmente a</w:t>
      </w:r>
      <w:r w:rsidRPr="00D4543D">
        <w:rPr>
          <w:rFonts w:ascii="Palatino Linotype" w:eastAsia="MS Mincho" w:hAnsi="Palatino Linotype" w:cs="Arial"/>
          <w:b/>
          <w:bCs/>
          <w:i/>
          <w:color w:val="000000" w:themeColor="text1"/>
          <w:sz w:val="22"/>
          <w:szCs w:val="22"/>
        </w:rPr>
        <w:t xml:space="preserve"> “EL SECRETARIADO” a través de la Dirección General de Vinculación y Seguimiento sobre las </w:t>
      </w:r>
      <w:r w:rsidRPr="00D4543D">
        <w:rPr>
          <w:rFonts w:ascii="Palatino Linotype" w:eastAsia="MS Mincho" w:hAnsi="Palatino Linotype" w:cs="Arial"/>
          <w:b/>
          <w:bCs/>
          <w:i/>
          <w:color w:val="000000" w:themeColor="text1"/>
          <w:sz w:val="22"/>
          <w:szCs w:val="22"/>
          <w:u w:val="single"/>
        </w:rPr>
        <w:t>acciones realizadas</w:t>
      </w:r>
      <w:r w:rsidRPr="00D4543D">
        <w:rPr>
          <w:rFonts w:ascii="Palatino Linotype" w:eastAsia="MS Mincho" w:hAnsi="Palatino Linotype" w:cs="Arial"/>
          <w:b/>
          <w:bCs/>
          <w:i/>
          <w:color w:val="000000" w:themeColor="text1"/>
          <w:sz w:val="22"/>
          <w:szCs w:val="22"/>
        </w:rPr>
        <w:t xml:space="preserve"> con base en el presente Convenio, así como </w:t>
      </w:r>
      <w:r w:rsidRPr="00D4543D">
        <w:rPr>
          <w:rFonts w:ascii="Palatino Linotype" w:eastAsia="MS Mincho" w:hAnsi="Palatino Linotype" w:cs="Arial"/>
          <w:b/>
          <w:bCs/>
          <w:i/>
          <w:color w:val="000000" w:themeColor="text1"/>
          <w:sz w:val="22"/>
          <w:szCs w:val="22"/>
          <w:u w:val="single"/>
        </w:rPr>
        <w:t>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w:t>
      </w:r>
      <w:r w:rsidRPr="00D4543D">
        <w:rPr>
          <w:rFonts w:ascii="Palatino Linotype" w:eastAsia="MS Mincho" w:hAnsi="Palatino Linotype" w:cs="Arial"/>
          <w:b/>
          <w:bCs/>
          <w:i/>
          <w:color w:val="000000" w:themeColor="text1"/>
          <w:sz w:val="22"/>
          <w:szCs w:val="22"/>
        </w:rPr>
        <w:t xml:space="preserve">. </w:t>
      </w:r>
      <w:r w:rsidRPr="00D4543D">
        <w:rPr>
          <w:rFonts w:ascii="Palatino Linotype" w:eastAsia="MS Mincho" w:hAnsi="Palatino Linotype" w:cs="Arial"/>
          <w:b/>
          <w:i/>
          <w:color w:val="000000" w:themeColor="text1"/>
          <w:sz w:val="22"/>
          <w:szCs w:val="22"/>
        </w:rPr>
        <w:t>Los Presidentes y las Presidentas Municipales de “LOS BENEFICIARIOS” deberán designar cada uno por oficio a un Servidor Público con competencia y nivel de decisión, como responsable</w:t>
      </w:r>
      <w:r w:rsidRPr="00D4543D">
        <w:rPr>
          <w:rFonts w:ascii="Palatino Linotype" w:eastAsia="MS Mincho" w:hAnsi="Palatino Linotype" w:cs="Arial"/>
          <w:i/>
          <w:color w:val="000000" w:themeColor="text1"/>
          <w:sz w:val="22"/>
          <w:szCs w:val="22"/>
        </w:rPr>
        <w:t xml:space="preserve"> de </w:t>
      </w:r>
      <w:r w:rsidRPr="00D4543D">
        <w:rPr>
          <w:rFonts w:ascii="Palatino Linotype" w:eastAsia="MS Mincho" w:hAnsi="Palatino Linotype" w:cs="Arial"/>
          <w:b/>
          <w:bCs/>
          <w:i/>
          <w:color w:val="000000" w:themeColor="text1"/>
          <w:sz w:val="22"/>
          <w:szCs w:val="22"/>
        </w:rPr>
        <w:t xml:space="preserve">proporcionar a “EL SECRETARIADO” </w:t>
      </w:r>
      <w:r w:rsidRPr="00D4543D">
        <w:rPr>
          <w:rFonts w:ascii="Palatino Linotype" w:eastAsia="MS Mincho" w:hAnsi="Palatino Linotype" w:cs="Arial"/>
          <w:b/>
          <w:bCs/>
          <w:i/>
          <w:color w:val="000000" w:themeColor="text1"/>
          <w:sz w:val="22"/>
          <w:szCs w:val="22"/>
          <w:u w:val="single"/>
        </w:rPr>
        <w:t>los informes mensuales y trimestrales sobre los movimientos que presenten las cuentas bancarias productivas específicas, el ejercicio de los recursos y avance en el cumplimiento de los objetivos, metas, indicadores y porcentajes de inversión de los proyectos</w:t>
      </w:r>
      <w:r w:rsidRPr="00D4543D">
        <w:rPr>
          <w:rFonts w:ascii="Palatino Linotype" w:eastAsia="MS Mincho" w:hAnsi="Palatino Linotype" w:cs="Arial"/>
          <w:i/>
          <w:color w:val="000000" w:themeColor="text1"/>
          <w:sz w:val="22"/>
          <w:szCs w:val="22"/>
        </w:rPr>
        <w:t xml:space="preserve"> establecidos en el Anexo Técnico respectivo del presente “CONVENIO”, así como </w:t>
      </w:r>
      <w:r w:rsidRPr="00D4543D">
        <w:rPr>
          <w:rFonts w:ascii="Palatino Linotype" w:eastAsia="MS Mincho" w:hAnsi="Palatino Linotype" w:cs="Arial"/>
          <w:b/>
          <w:bCs/>
          <w:i/>
          <w:color w:val="000000" w:themeColor="text1"/>
          <w:sz w:val="22"/>
          <w:szCs w:val="22"/>
          <w:u w:val="single"/>
        </w:rPr>
        <w:t>el destino y resultados obtenidos de la aplicación de los recursos.</w:t>
      </w:r>
    </w:p>
    <w:p w:rsidR="005C78D4" w:rsidRPr="00D4543D" w:rsidRDefault="005C78D4" w:rsidP="00222527">
      <w:pPr>
        <w:pStyle w:val="Prrafodelista"/>
        <w:tabs>
          <w:tab w:val="left" w:pos="851"/>
        </w:tabs>
        <w:ind w:left="851" w:right="757"/>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 xml:space="preserve">J. </w:t>
      </w:r>
      <w:r w:rsidRPr="00D4543D">
        <w:rPr>
          <w:rFonts w:ascii="Palatino Linotype" w:eastAsia="MS Mincho" w:hAnsi="Palatino Linotype" w:cs="Arial"/>
          <w:b/>
          <w:bCs/>
          <w:i/>
          <w:color w:val="000000" w:themeColor="text1"/>
          <w:sz w:val="22"/>
          <w:szCs w:val="22"/>
          <w:u w:val="single"/>
        </w:rPr>
        <w:t xml:space="preserve">Informar mensual y trimestralmente al Secretariado Ejecutivo del Sistema Estatal de Seguridad Pública </w:t>
      </w:r>
      <w:r w:rsidRPr="00D4543D">
        <w:rPr>
          <w:rFonts w:ascii="Palatino Linotype" w:eastAsia="MS Mincho" w:hAnsi="Palatino Linotype" w:cs="Arial"/>
          <w:b/>
          <w:bCs/>
          <w:i/>
          <w:color w:val="000000" w:themeColor="text1"/>
          <w:sz w:val="22"/>
          <w:szCs w:val="22"/>
        </w:rPr>
        <w:t>de “LA ENTIDAD FEDERATIVA”, sobre las acciones realizadas con base en el presente “CONVENIO</w:t>
      </w:r>
      <w:r w:rsidRPr="00D4543D">
        <w:rPr>
          <w:rFonts w:ascii="Palatino Linotype" w:eastAsia="MS Mincho" w:hAnsi="Palatino Linotype" w:cs="Arial"/>
          <w:i/>
          <w:color w:val="000000" w:themeColor="text1"/>
          <w:sz w:val="22"/>
          <w:szCs w:val="22"/>
        </w:rPr>
        <w:t>”;</w:t>
      </w:r>
    </w:p>
    <w:p w:rsidR="005C78D4" w:rsidRPr="00D4543D" w:rsidRDefault="005C78D4" w:rsidP="00222527">
      <w:pPr>
        <w:pStyle w:val="Prrafodelista"/>
        <w:tabs>
          <w:tab w:val="left" w:pos="851"/>
        </w:tabs>
        <w:ind w:left="851" w:right="757"/>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L. Entregar a “EL SECRETARIADO” toda la información que solicite en los términos, plazos y formatos que al efecto establezca;</w:t>
      </w:r>
    </w:p>
    <w:p w:rsidR="005C78D4" w:rsidRPr="00D4543D" w:rsidRDefault="005C78D4" w:rsidP="00222527">
      <w:pPr>
        <w:pStyle w:val="Prrafodelista"/>
        <w:tabs>
          <w:tab w:val="left" w:pos="851"/>
        </w:tabs>
        <w:ind w:left="851" w:right="757"/>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w:t>
      </w:r>
    </w:p>
    <w:p w:rsidR="005C78D4" w:rsidRPr="00D4543D" w:rsidRDefault="005C78D4" w:rsidP="00222527">
      <w:pPr>
        <w:tabs>
          <w:tab w:val="left" w:pos="851"/>
        </w:tabs>
        <w:ind w:left="851" w:right="757"/>
        <w:jc w:val="both"/>
        <w:rPr>
          <w:rFonts w:ascii="Palatino Linotype" w:hAnsi="Palatino Linotype"/>
          <w:i/>
          <w:sz w:val="22"/>
          <w:szCs w:val="22"/>
        </w:rPr>
      </w:pPr>
      <w:r w:rsidRPr="00D4543D">
        <w:rPr>
          <w:rFonts w:ascii="Palatino Linotype" w:hAnsi="Palatino Linotype"/>
          <w:i/>
          <w:sz w:val="22"/>
          <w:szCs w:val="22"/>
        </w:rPr>
        <w:t xml:space="preserve">CUARTA. - </w:t>
      </w:r>
      <w:r w:rsidRPr="00D4543D">
        <w:rPr>
          <w:rFonts w:ascii="Palatino Linotype" w:hAnsi="Palatino Linotype"/>
          <w:b/>
          <w:bCs/>
          <w:i/>
          <w:sz w:val="22"/>
          <w:szCs w:val="22"/>
        </w:rPr>
        <w:t>OBLIGACIONES DE “LA ENTIDAD FEDERATIVA”.</w:t>
      </w:r>
      <w:r w:rsidRPr="00D4543D">
        <w:rPr>
          <w:rFonts w:ascii="Palatino Linotype" w:hAnsi="Palatino Linotype"/>
          <w:i/>
          <w:sz w:val="22"/>
          <w:szCs w:val="22"/>
        </w:rPr>
        <w:t xml:space="preserve"> Además de las señaladas en “LOS LINEAMIENTOS” y otras previstas en los ordenamientos jurídicos aplicables, las siguientes: </w:t>
      </w:r>
    </w:p>
    <w:p w:rsidR="005C78D4" w:rsidRPr="00D4543D" w:rsidRDefault="005C78D4" w:rsidP="00222527">
      <w:pPr>
        <w:tabs>
          <w:tab w:val="left" w:pos="851"/>
        </w:tabs>
        <w:ind w:left="851" w:right="757"/>
        <w:jc w:val="both"/>
        <w:rPr>
          <w:rFonts w:ascii="Palatino Linotype" w:hAnsi="Palatino Linotype"/>
          <w:i/>
          <w:sz w:val="22"/>
          <w:szCs w:val="22"/>
        </w:rPr>
      </w:pPr>
      <w:r w:rsidRPr="00D4543D">
        <w:rPr>
          <w:rFonts w:ascii="Palatino Linotype" w:hAnsi="Palatino Linotype"/>
          <w:b/>
          <w:bCs/>
          <w:i/>
          <w:sz w:val="22"/>
          <w:szCs w:val="22"/>
        </w:rPr>
        <w:t xml:space="preserve">A. </w:t>
      </w:r>
      <w:r w:rsidRPr="00D4543D">
        <w:rPr>
          <w:rFonts w:ascii="Palatino Linotype" w:hAnsi="Palatino Linotype"/>
          <w:b/>
          <w:bCs/>
          <w:i/>
          <w:sz w:val="22"/>
          <w:szCs w:val="22"/>
          <w:u w:val="single"/>
        </w:rPr>
        <w:t>Establecer una cuenta bancaria productiva específica para la administración de los recursos del “FORTASEG</w:t>
      </w:r>
      <w:r w:rsidRPr="00D4543D">
        <w:rPr>
          <w:rFonts w:ascii="Palatino Linotype" w:hAnsi="Palatino Linotype"/>
          <w:b/>
          <w:bCs/>
          <w:i/>
          <w:sz w:val="22"/>
          <w:szCs w:val="22"/>
        </w:rPr>
        <w:t>”</w:t>
      </w:r>
      <w:r w:rsidRPr="00D4543D">
        <w:rPr>
          <w:rFonts w:ascii="Palatino Linotype" w:hAnsi="Palatino Linotype"/>
          <w:i/>
          <w:sz w:val="22"/>
          <w:szCs w:val="22"/>
        </w:rPr>
        <w:t>, de conformidad con lo dispuesto en el artículo 69 de la Ley General de Contabilidad Gubernamental;</w:t>
      </w:r>
    </w:p>
    <w:p w:rsidR="005C78D4" w:rsidRPr="00D4543D" w:rsidRDefault="005C78D4" w:rsidP="00222527">
      <w:pPr>
        <w:tabs>
          <w:tab w:val="left" w:pos="851"/>
        </w:tabs>
        <w:ind w:left="851" w:right="757"/>
        <w:jc w:val="both"/>
        <w:rPr>
          <w:rFonts w:ascii="Palatino Linotype" w:eastAsia="MS Mincho" w:hAnsi="Palatino Linotype" w:cs="Arial"/>
          <w:b/>
          <w:bCs/>
          <w:i/>
          <w:color w:val="000000" w:themeColor="text1"/>
          <w:sz w:val="22"/>
          <w:szCs w:val="22"/>
        </w:rPr>
      </w:pPr>
      <w:r w:rsidRPr="00D4543D">
        <w:rPr>
          <w:rFonts w:ascii="Palatino Linotype" w:eastAsia="MS Mincho" w:hAnsi="Palatino Linotype" w:cs="Arial"/>
          <w:b/>
          <w:bCs/>
          <w:i/>
          <w:color w:val="000000" w:themeColor="text1"/>
          <w:sz w:val="22"/>
          <w:szCs w:val="22"/>
        </w:rPr>
        <w:t>B. Entregar a “LOS BENEFICIARIOS” el monto total del “FORTASEG”, incluyendo sus rendimientos financieros, a más tardar dentro de los cinco días hábiles posteriores a que reciba los recursos de la Federación;</w:t>
      </w:r>
    </w:p>
    <w:p w:rsidR="005C78D4" w:rsidRPr="00D4543D" w:rsidRDefault="005C78D4" w:rsidP="00222527">
      <w:pPr>
        <w:tabs>
          <w:tab w:val="left" w:pos="851"/>
        </w:tabs>
        <w:ind w:left="851" w:right="757"/>
        <w:jc w:val="both"/>
        <w:rPr>
          <w:rFonts w:ascii="Palatino Linotype" w:eastAsia="MS Mincho" w:hAnsi="Palatino Linotype" w:cs="Arial"/>
          <w:i/>
          <w:color w:val="000000" w:themeColor="text1"/>
          <w:sz w:val="22"/>
          <w:szCs w:val="22"/>
        </w:rPr>
      </w:pPr>
      <w:r w:rsidRPr="00D4543D">
        <w:rPr>
          <w:rFonts w:ascii="Palatino Linotype" w:eastAsia="MS Mincho" w:hAnsi="Palatino Linotype" w:cs="Arial"/>
          <w:i/>
          <w:color w:val="000000" w:themeColor="text1"/>
          <w:sz w:val="22"/>
          <w:szCs w:val="22"/>
        </w:rPr>
        <w:t>[…]</w:t>
      </w:r>
    </w:p>
    <w:p w:rsidR="005C78D4" w:rsidRPr="00D4543D" w:rsidRDefault="005C78D4" w:rsidP="005C78D4">
      <w:pPr>
        <w:tabs>
          <w:tab w:val="left" w:pos="426"/>
        </w:tabs>
        <w:spacing w:line="360" w:lineRule="auto"/>
        <w:ind w:left="567" w:right="616"/>
        <w:jc w:val="both"/>
        <w:rPr>
          <w:rFonts w:ascii="Palatino Linotype" w:eastAsia="MS Mincho" w:hAnsi="Palatino Linotype" w:cs="Arial"/>
          <w:color w:val="000000" w:themeColor="text1"/>
          <w:sz w:val="22"/>
          <w:szCs w:val="22"/>
        </w:rPr>
      </w:pPr>
    </w:p>
    <w:p w:rsidR="00B21E79" w:rsidRPr="00D4543D" w:rsidRDefault="00A75F35" w:rsidP="00D1364C">
      <w:pPr>
        <w:pStyle w:val="Prrafodelista"/>
        <w:tabs>
          <w:tab w:val="left" w:pos="426"/>
        </w:tabs>
        <w:spacing w:line="360" w:lineRule="auto"/>
        <w:ind w:left="0"/>
        <w:contextualSpacing/>
        <w:jc w:val="both"/>
        <w:rPr>
          <w:rFonts w:ascii="Palatino Linotype" w:hAnsi="Palatino Linotype"/>
        </w:rPr>
      </w:pPr>
      <w:r w:rsidRPr="00D4543D">
        <w:rPr>
          <w:rFonts w:ascii="Palatino Linotype" w:eastAsia="MS Mincho" w:hAnsi="Palatino Linotype" w:cs="Arial"/>
        </w:rPr>
        <w:t xml:space="preserve">Expuesto lo anterior, se desprende que corresponde a </w:t>
      </w:r>
      <w:r w:rsidR="005C78D4" w:rsidRPr="00D4543D">
        <w:rPr>
          <w:rFonts w:ascii="Palatino Linotype" w:eastAsia="MS Mincho" w:hAnsi="Palatino Linotype" w:cs="Arial"/>
        </w:rPr>
        <w:t xml:space="preserve">la Secretaría de Finanzas </w:t>
      </w:r>
      <w:r w:rsidRPr="00D4543D">
        <w:rPr>
          <w:rFonts w:ascii="Palatino Linotype" w:eastAsia="MS Mincho" w:hAnsi="Palatino Linotype" w:cs="Arial"/>
        </w:rPr>
        <w:t xml:space="preserve">entregar </w:t>
      </w:r>
      <w:r w:rsidR="005C78D4" w:rsidRPr="00D4543D">
        <w:rPr>
          <w:rFonts w:ascii="Palatino Linotype" w:eastAsia="MS Mincho" w:hAnsi="Palatino Linotype" w:cs="Arial"/>
        </w:rPr>
        <w:t xml:space="preserve">el monto destinado por parte del FORTASEG a cada Beneficiario, </w:t>
      </w:r>
      <w:r w:rsidR="005C78D4" w:rsidRPr="00D4543D">
        <w:rPr>
          <w:rFonts w:ascii="Palatino Linotype" w:eastAsia="MS Mincho" w:hAnsi="Palatino Linotype" w:cs="Arial"/>
          <w:bCs/>
        </w:rPr>
        <w:t xml:space="preserve">siendo </w:t>
      </w:r>
      <w:r w:rsidR="005C78D4" w:rsidRPr="00D4543D">
        <w:rPr>
          <w:rFonts w:ascii="Palatino Linotype" w:eastAsia="MS Mincho" w:hAnsi="Palatino Linotype" w:cs="Arial"/>
          <w:bCs/>
          <w:u w:val="single"/>
        </w:rPr>
        <w:t xml:space="preserve">los </w:t>
      </w:r>
      <w:r w:rsidR="005C78D4" w:rsidRPr="00D4543D">
        <w:rPr>
          <w:rFonts w:ascii="Palatino Linotype" w:eastAsia="MS Mincho" w:hAnsi="Palatino Linotype" w:cs="Arial"/>
          <w:bCs/>
          <w:u w:val="single"/>
        </w:rPr>
        <w:lastRenderedPageBreak/>
        <w:t>municipios</w:t>
      </w:r>
      <w:r w:rsidR="005C78D4" w:rsidRPr="00D4543D">
        <w:rPr>
          <w:rFonts w:ascii="Palatino Linotype" w:eastAsia="MS Mincho" w:hAnsi="Palatino Linotype" w:cs="Arial"/>
          <w:bCs/>
        </w:rPr>
        <w:t xml:space="preserve"> los que deberán de informar y proporcionar al Secretariado toda la información relativa </w:t>
      </w:r>
      <w:r w:rsidRPr="00D4543D">
        <w:rPr>
          <w:rFonts w:ascii="Palatino Linotype" w:eastAsia="MS Mincho" w:hAnsi="Palatino Linotype" w:cs="Arial"/>
          <w:bCs/>
        </w:rPr>
        <w:t xml:space="preserve">a la erogación y ejercicio de </w:t>
      </w:r>
      <w:r w:rsidR="005C78D4" w:rsidRPr="00D4543D">
        <w:rPr>
          <w:rFonts w:ascii="Palatino Linotype" w:eastAsia="MS Mincho" w:hAnsi="Palatino Linotype" w:cs="Arial"/>
          <w:bCs/>
        </w:rPr>
        <w:t xml:space="preserve">los recursos recibidos, de tal forma que </w:t>
      </w:r>
      <w:r w:rsidRPr="00D4543D">
        <w:rPr>
          <w:rFonts w:ascii="Palatino Linotype" w:eastAsia="MS Mincho" w:hAnsi="Palatino Linotype" w:cs="Arial"/>
          <w:bCs/>
        </w:rPr>
        <w:t xml:space="preserve">la Secretaría de Seguridad no es competente para conocer de este programa, en cuanto a </w:t>
      </w:r>
      <w:r w:rsidR="00D1364C" w:rsidRPr="00D4543D">
        <w:rPr>
          <w:rFonts w:ascii="Palatino Linotype" w:eastAsia="MS Mincho" w:hAnsi="Palatino Linotype" w:cs="Arial"/>
          <w:bCs/>
        </w:rPr>
        <w:t>lo solicitado por el particular; también se advierte, que con respecto al punto donde el particular solicita “</w:t>
      </w:r>
      <w:r w:rsidR="00D1364C" w:rsidRPr="00D4543D">
        <w:rPr>
          <w:rFonts w:ascii="Palatino Linotype" w:hAnsi="Palatino Linotype"/>
          <w:i/>
          <w:u w:val="single"/>
        </w:rPr>
        <w:t xml:space="preserve">los informes que recibió de Edo, Cdmx, Michoacán, Hidalgo, y Jalisco del mismo periodo con los comprobantes”, </w:t>
      </w:r>
      <w:r w:rsidR="00D1364C" w:rsidRPr="00D4543D">
        <w:rPr>
          <w:rFonts w:ascii="Palatino Linotype" w:hAnsi="Palatino Linotype"/>
        </w:rPr>
        <w:t>es claro que esta información la posee y administra el Secretariado Ejecutivo del Sistema Nacional de Seguridad Pública.</w:t>
      </w:r>
    </w:p>
    <w:p w:rsidR="00D1364C" w:rsidRPr="00D4543D" w:rsidRDefault="00D1364C" w:rsidP="00D1364C">
      <w:pPr>
        <w:pStyle w:val="Prrafodelista"/>
        <w:tabs>
          <w:tab w:val="left" w:pos="426"/>
        </w:tabs>
        <w:spacing w:line="360" w:lineRule="auto"/>
        <w:ind w:left="0"/>
        <w:contextualSpacing/>
        <w:jc w:val="both"/>
        <w:rPr>
          <w:rFonts w:ascii="Palatino Linotype" w:hAnsi="Palatino Linotype"/>
        </w:rPr>
      </w:pPr>
    </w:p>
    <w:p w:rsidR="00D1364C" w:rsidRPr="00D4543D" w:rsidRDefault="00D1364C" w:rsidP="00D1364C">
      <w:pPr>
        <w:pStyle w:val="Prrafodelista"/>
        <w:tabs>
          <w:tab w:val="left" w:pos="426"/>
        </w:tabs>
        <w:spacing w:line="360" w:lineRule="auto"/>
        <w:ind w:left="0"/>
        <w:contextualSpacing/>
        <w:jc w:val="both"/>
        <w:rPr>
          <w:rFonts w:ascii="Palatino Linotype" w:hAnsi="Palatino Linotype"/>
        </w:rPr>
      </w:pPr>
      <w:r w:rsidRPr="00D4543D">
        <w:rPr>
          <w:rFonts w:ascii="Palatino Linotype" w:hAnsi="Palatino Linotype"/>
        </w:rPr>
        <w:t>Ahora bien, en razón a que</w:t>
      </w:r>
      <w:r w:rsidRPr="00D4543D">
        <w:rPr>
          <w:rFonts w:ascii="Palatino Linotype" w:hAnsi="Palatino Linotype"/>
          <w:b/>
        </w:rPr>
        <w:t xml:space="preserve"> </w:t>
      </w:r>
      <w:r w:rsidR="00E93501" w:rsidRPr="00D4543D">
        <w:rPr>
          <w:rFonts w:ascii="Palatino Linotype" w:hAnsi="Palatino Linotype"/>
          <w:b/>
        </w:rPr>
        <w:t xml:space="preserve">EL SUJETO OBLIGADO, </w:t>
      </w:r>
      <w:r w:rsidR="00E93501" w:rsidRPr="00D4543D">
        <w:rPr>
          <w:rFonts w:ascii="Palatino Linotype" w:hAnsi="Palatino Linotype"/>
        </w:rPr>
        <w:t>mediante Informe Justificado señaló que quienes podían contar con la información solicitada, son la Secretaria de la Contraloría y la Secretaría de Finanzas; esta Ponencia Resolutora advierte lo siguiente:</w:t>
      </w:r>
    </w:p>
    <w:p w:rsidR="00E93501" w:rsidRPr="00D4543D" w:rsidRDefault="00E93501" w:rsidP="00D1364C">
      <w:pPr>
        <w:pStyle w:val="Prrafodelista"/>
        <w:tabs>
          <w:tab w:val="left" w:pos="426"/>
        </w:tabs>
        <w:spacing w:line="360" w:lineRule="auto"/>
        <w:ind w:left="0"/>
        <w:contextualSpacing/>
        <w:jc w:val="both"/>
        <w:rPr>
          <w:rFonts w:ascii="Palatino Linotype" w:hAnsi="Palatino Linotype"/>
        </w:rPr>
      </w:pPr>
    </w:p>
    <w:p w:rsidR="00E93501" w:rsidRPr="00D4543D" w:rsidRDefault="00A26438" w:rsidP="00D1364C">
      <w:pPr>
        <w:pStyle w:val="Prrafodelista"/>
        <w:tabs>
          <w:tab w:val="left" w:pos="426"/>
        </w:tabs>
        <w:spacing w:line="360" w:lineRule="auto"/>
        <w:ind w:left="0"/>
        <w:contextualSpacing/>
        <w:jc w:val="both"/>
        <w:rPr>
          <w:rFonts w:ascii="Palatino Linotype" w:hAnsi="Palatino Linotype"/>
        </w:rPr>
      </w:pPr>
      <w:r>
        <w:rPr>
          <w:rFonts w:ascii="Palatino Linotype" w:hAnsi="Palatino Linotype"/>
          <w:noProof/>
          <w:lang w:val="es-ES"/>
        </w:rPr>
        <mc:AlternateContent>
          <mc:Choice Requires="wps">
            <w:drawing>
              <wp:anchor distT="0" distB="0" distL="114300" distR="114300" simplePos="0" relativeHeight="251712512" behindDoc="0" locked="0" layoutInCell="1" allowOverlap="1">
                <wp:simplePos x="0" y="0"/>
                <wp:positionH relativeFrom="column">
                  <wp:posOffset>5714</wp:posOffset>
                </wp:positionH>
                <wp:positionV relativeFrom="paragraph">
                  <wp:posOffset>2621915</wp:posOffset>
                </wp:positionV>
                <wp:extent cx="5705475" cy="121920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5705475"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8276A" id="Conector recto 7"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5pt,206.45pt" to="449.7pt,3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" strokecolor="#5b9bd5 [3204]" strokeweight=".5pt">
                <v:stroke joinstyle="miter"/>
              </v:line>
            </w:pict>
          </mc:Fallback>
        </mc:AlternateContent>
      </w:r>
      <w:r w:rsidR="00E93501" w:rsidRPr="00D4543D">
        <w:rPr>
          <w:rFonts w:ascii="Palatino Linotype" w:hAnsi="Palatino Linotype"/>
        </w:rPr>
        <w:t xml:space="preserve">De conformidad con el artículo 23 de la Ley Orgánica de la Administración Pública del Estado de México, la Secretaría de Finanzas es la encargada de la planeación, programación, presupuestación y evaluación de las actividades del Poder Ejecutivo, de la administración financiera y tributaria de la hacienda pública del Estado y de prestar el apoyo administrativo y tecnológico que requieran las dependencias del Poder Ejecutivo del Estado y dentro de sus atribuciones se encuentra la de </w:t>
      </w:r>
      <w:r w:rsidR="00E93501" w:rsidRPr="00D4543D">
        <w:rPr>
          <w:rFonts w:ascii="Palatino Linotype" w:eastAsia="MS Mincho" w:hAnsi="Palatino Linotype"/>
          <w:sz w:val="22"/>
          <w:szCs w:val="22"/>
          <w:lang w:val="es-ES_tradnl"/>
        </w:rPr>
        <w:t>Ejercer las atribuciones derivadas de los convenios fiscales que celebre el Gobierno del Estado con la Secretaría de Hacienda y Crédito Público de Gobierno Federal, con los gobiernos municipales y con organismos auxiliares.</w:t>
      </w:r>
    </w:p>
    <w:p w:rsidR="00A26438" w:rsidRDefault="00A26438" w:rsidP="00E93501">
      <w:pPr>
        <w:pStyle w:val="Prrafodelista"/>
        <w:tabs>
          <w:tab w:val="left" w:pos="426"/>
        </w:tabs>
        <w:spacing w:line="360" w:lineRule="auto"/>
        <w:ind w:left="0"/>
        <w:contextualSpacing/>
        <w:jc w:val="both"/>
        <w:rPr>
          <w:rFonts w:ascii="Palatino Linotype" w:eastAsia="MS Mincho" w:hAnsi="Palatino Linotype" w:cs="Arial"/>
          <w:color w:val="000000" w:themeColor="text1"/>
        </w:rPr>
      </w:pPr>
    </w:p>
    <w:p w:rsidR="00E93501" w:rsidRPr="00D4543D" w:rsidRDefault="00E93501" w:rsidP="00E93501">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eastAsia="MS Mincho" w:hAnsi="Palatino Linotype" w:cs="Arial"/>
          <w:color w:val="000000" w:themeColor="text1"/>
        </w:rPr>
        <w:lastRenderedPageBreak/>
        <w:t xml:space="preserve">Por otra parte el </w:t>
      </w:r>
      <w:r w:rsidRPr="00D4543D">
        <w:rPr>
          <w:rFonts w:ascii="Palatino Linotype" w:eastAsia="MS Mincho" w:hAnsi="Palatino Linotype" w:cs="Arial"/>
          <w:b/>
          <w:bCs/>
          <w:color w:val="000000" w:themeColor="text1"/>
        </w:rPr>
        <w:t>Reglamento Interior de la Secretaría de Finanzas</w:t>
      </w:r>
      <w:r w:rsidRPr="00D4543D">
        <w:rPr>
          <w:rFonts w:ascii="Palatino Linotype" w:eastAsia="MS Mincho" w:hAnsi="Palatino Linotype" w:cs="Arial"/>
          <w:color w:val="000000" w:themeColor="text1"/>
        </w:rPr>
        <w:t>, establece las atribuciones de las diversas áreas que la integran que para el caso en concreto, son las siguientes:</w:t>
      </w:r>
    </w:p>
    <w:p w:rsidR="00E93501" w:rsidRPr="00D4543D" w:rsidRDefault="00E93501" w:rsidP="009C2943">
      <w:pPr>
        <w:pStyle w:val="Prrafodelista"/>
        <w:tabs>
          <w:tab w:val="left" w:pos="7513"/>
        </w:tabs>
        <w:ind w:left="851" w:right="760"/>
        <w:jc w:val="both"/>
        <w:rPr>
          <w:rFonts w:ascii="Palatino Linotype" w:hAnsi="Palatino Linotype"/>
          <w:b/>
          <w:bCs/>
          <w:i/>
          <w:sz w:val="22"/>
          <w:szCs w:val="22"/>
        </w:rPr>
      </w:pPr>
    </w:p>
    <w:p w:rsidR="009C2943" w:rsidRPr="00D4543D" w:rsidRDefault="009C2943" w:rsidP="009C2943">
      <w:pPr>
        <w:pStyle w:val="Prrafodelista"/>
        <w:tabs>
          <w:tab w:val="left" w:pos="7513"/>
        </w:tabs>
        <w:ind w:left="851" w:right="760"/>
        <w:jc w:val="both"/>
        <w:rPr>
          <w:rFonts w:ascii="Palatino Linotype" w:hAnsi="Palatino Linotype"/>
          <w:b/>
          <w:bCs/>
          <w:i/>
          <w:sz w:val="22"/>
          <w:szCs w:val="22"/>
        </w:rPr>
      </w:pPr>
      <w:r w:rsidRPr="00D4543D">
        <w:rPr>
          <w:rFonts w:ascii="Palatino Linotype" w:hAnsi="Palatino Linotype"/>
          <w:b/>
          <w:bCs/>
          <w:i/>
          <w:sz w:val="22"/>
          <w:szCs w:val="22"/>
        </w:rPr>
        <w:t>“</w:t>
      </w:r>
      <w:r w:rsidR="00E93501" w:rsidRPr="00D4543D">
        <w:rPr>
          <w:rFonts w:ascii="Palatino Linotype" w:hAnsi="Palatino Linotype"/>
          <w:b/>
          <w:bCs/>
          <w:i/>
          <w:sz w:val="22"/>
          <w:szCs w:val="22"/>
        </w:rPr>
        <w:t xml:space="preserve">Artículo 7.- Son atribuciones del Secretario: </w:t>
      </w:r>
    </w:p>
    <w:p w:rsidR="009C2943"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E93501" w:rsidRPr="00D4543D" w:rsidRDefault="00E93501" w:rsidP="009C2943">
      <w:pPr>
        <w:pStyle w:val="Prrafodelista"/>
        <w:tabs>
          <w:tab w:val="left" w:pos="7513"/>
        </w:tabs>
        <w:ind w:left="851" w:right="760"/>
        <w:jc w:val="both"/>
        <w:rPr>
          <w:rFonts w:ascii="Palatino Linotype" w:hAnsi="Palatino Linotype"/>
          <w:b/>
          <w:bCs/>
          <w:i/>
          <w:sz w:val="22"/>
          <w:szCs w:val="22"/>
        </w:rPr>
      </w:pPr>
      <w:r w:rsidRPr="00D4543D">
        <w:rPr>
          <w:rFonts w:ascii="Palatino Linotype" w:hAnsi="Palatino Linotype"/>
          <w:i/>
          <w:sz w:val="22"/>
          <w:szCs w:val="22"/>
        </w:rPr>
        <w:t>XXXV. Suscribir convenios y contratos con la federación, otras entidades federativas, los municipios o los organismos auxiliares de los anteriores, así como con los sectores social y privado; cuando estén relacionados con la administración financiera, planeación, programación y presupuestación, que suscriba el Titular del Poder Ejecutivo del Gobierno del Estado.</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9C2943"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b/>
          <w:bCs/>
          <w:i/>
          <w:sz w:val="22"/>
          <w:szCs w:val="22"/>
        </w:rPr>
        <w:t xml:space="preserve">Artículo 10.- Corresponde al Subsecretario de Ingresos: </w:t>
      </w:r>
    </w:p>
    <w:p w:rsidR="009C2943"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r w:rsidR="00E93501" w:rsidRPr="00D4543D">
        <w:rPr>
          <w:rFonts w:ascii="Palatino Linotype" w:hAnsi="Palatino Linotype"/>
          <w:i/>
          <w:sz w:val="22"/>
          <w:szCs w:val="22"/>
        </w:rPr>
        <w:t xml:space="preserve"> </w:t>
      </w:r>
    </w:p>
    <w:p w:rsidR="00E93501" w:rsidRPr="00D4543D" w:rsidRDefault="00E93501" w:rsidP="009C2943">
      <w:pPr>
        <w:pStyle w:val="Prrafodelista"/>
        <w:tabs>
          <w:tab w:val="left" w:pos="7513"/>
        </w:tabs>
        <w:ind w:left="851" w:right="760"/>
        <w:jc w:val="both"/>
        <w:rPr>
          <w:rFonts w:ascii="Palatino Linotype" w:hAnsi="Palatino Linotype"/>
          <w:b/>
          <w:bCs/>
          <w:i/>
          <w:sz w:val="22"/>
          <w:szCs w:val="22"/>
        </w:rPr>
      </w:pPr>
      <w:r w:rsidRPr="00D4543D">
        <w:rPr>
          <w:rFonts w:ascii="Palatino Linotype" w:hAnsi="Palatino Linotype"/>
          <w:i/>
          <w:sz w:val="22"/>
          <w:szCs w:val="22"/>
        </w:rPr>
        <w:t>XI. Rendir a las autoridades federales correspondientes, la cuenta comprobada mensual, en términos del Convenio celebrado con la Secretaría de Hacienda y Crédito Público.</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9C2943"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b/>
          <w:bCs/>
          <w:i/>
          <w:sz w:val="22"/>
          <w:szCs w:val="22"/>
        </w:rPr>
        <w:t>Artículo 14.- Corresponde a la Dirección General de Recaudación:</w:t>
      </w:r>
      <w:r w:rsidR="009C2943" w:rsidRPr="00D4543D">
        <w:rPr>
          <w:rFonts w:ascii="Palatino Linotype" w:hAnsi="Palatino Linotype"/>
          <w:i/>
          <w:sz w:val="22"/>
          <w:szCs w:val="22"/>
        </w:rPr>
        <w:t xml:space="preserve"> </w:t>
      </w:r>
    </w:p>
    <w:p w:rsidR="009C2943"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E93501"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XXVIII. Recibir y, en su caso, requerir a los contribuyentes conforme a las disposiciones legales, los avisos, declaraciones y demás documentación que acredite el cumplimiento de sus obligaciones fiscales estatales, federales coordinadas y municipales en los términos de los convenios suscritos al efecto.</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9C2943"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b/>
          <w:bCs/>
          <w:i/>
          <w:sz w:val="22"/>
          <w:szCs w:val="22"/>
        </w:rPr>
        <w:t>Artículo 17.- Corresponde a la Dirección General de Política Fiscal:</w:t>
      </w:r>
      <w:r w:rsidR="009C2943" w:rsidRPr="00D4543D">
        <w:rPr>
          <w:rFonts w:ascii="Palatino Linotype" w:hAnsi="Palatino Linotype"/>
          <w:i/>
          <w:sz w:val="22"/>
          <w:szCs w:val="22"/>
        </w:rPr>
        <w:t xml:space="preserve"> </w:t>
      </w:r>
    </w:p>
    <w:p w:rsidR="009C2943"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r w:rsidR="00E93501" w:rsidRPr="00D4543D">
        <w:rPr>
          <w:rFonts w:ascii="Palatino Linotype" w:hAnsi="Palatino Linotype"/>
          <w:i/>
          <w:sz w:val="22"/>
          <w:szCs w:val="22"/>
        </w:rPr>
        <w:t xml:space="preserve"> </w:t>
      </w:r>
    </w:p>
    <w:p w:rsidR="00E93501"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IV. Revisar la mecánica de cálculo y asignación de las participaciones, apoyos y aportaciones federales que correspondan al Estado dentro del Sistema Nacional de Coordinación Fiscal, proponiendo reformas y, en su caso, acciones que beneficien a la hacienda pública del Estado.</w:t>
      </w:r>
    </w:p>
    <w:p w:rsidR="00E93501"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b/>
          <w:bCs/>
          <w:i/>
          <w:sz w:val="22"/>
          <w:szCs w:val="22"/>
        </w:rPr>
        <w:t>…</w:t>
      </w:r>
      <w:r w:rsidRPr="00D4543D">
        <w:rPr>
          <w:rFonts w:ascii="Palatino Linotype" w:hAnsi="Palatino Linotype"/>
          <w:i/>
          <w:sz w:val="22"/>
          <w:szCs w:val="22"/>
        </w:rPr>
        <w:t xml:space="preserve"> </w:t>
      </w:r>
    </w:p>
    <w:p w:rsidR="00E93501"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 xml:space="preserve">XIV. Elaborar, para su publicación, las reglas para la asignación de las participaciones federales y estatales a los municipios del Estado de México en el ejercicio fiscal, el acuerdo por el que se dan a conocer las participaciones federales y estatales que recibirá </w:t>
      </w:r>
      <w:r w:rsidRPr="00D4543D">
        <w:rPr>
          <w:rFonts w:ascii="Palatino Linotype" w:hAnsi="Palatino Linotype"/>
          <w:i/>
          <w:sz w:val="22"/>
          <w:szCs w:val="22"/>
        </w:rPr>
        <w:lastRenderedPageBreak/>
        <w:t>cada municipio en el ejercicio fiscal, de las recibidas trimestralmente, y del ajuste anual definitivo de participaciones del ejercicio fiscal inmediato anterior.</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E93501"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XVI. Analizar la suscripción de convenios con el gobierno federal y municipios del Estado de México en materia de ingresos.</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9C2943"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b/>
          <w:bCs/>
          <w:i/>
          <w:sz w:val="22"/>
          <w:szCs w:val="22"/>
        </w:rPr>
        <w:t>Artículo 18.- Corresponde al Subsecretario de Planeación y Presupuesto</w:t>
      </w:r>
      <w:r w:rsidRPr="00D4543D">
        <w:rPr>
          <w:rFonts w:ascii="Palatino Linotype" w:hAnsi="Palatino Linotype"/>
          <w:i/>
          <w:sz w:val="22"/>
          <w:szCs w:val="22"/>
        </w:rPr>
        <w:t>:</w:t>
      </w:r>
    </w:p>
    <w:p w:rsidR="009C2943"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r w:rsidR="00E93501" w:rsidRPr="00D4543D">
        <w:rPr>
          <w:rFonts w:ascii="Palatino Linotype" w:hAnsi="Palatino Linotype"/>
          <w:i/>
          <w:sz w:val="22"/>
          <w:szCs w:val="22"/>
        </w:rPr>
        <w:t xml:space="preserve"> </w:t>
      </w:r>
    </w:p>
    <w:p w:rsidR="00E93501"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IX. Ordenar el registro y seguimiento de los convenios suscritos por el Gobierno del Estado con el Gobierno Federal; los sectores social y privado, y los municipios, para controlar y evaluar los recursos aportados por cada una de las partes, informando oportunamente al Secretario.</w:t>
      </w:r>
    </w:p>
    <w:p w:rsidR="00E93501"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XIII. Coordinarse con las instancias federales para concertar la concurrencia de recursos y acciones, respecto a los fondos y programas federales aplicables en la entidad.</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9C2943"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b/>
          <w:bCs/>
          <w:i/>
          <w:sz w:val="22"/>
          <w:szCs w:val="22"/>
        </w:rPr>
        <w:t xml:space="preserve">Artículo 20.- Corresponde a la Dirección General de Planeación y Gasto Público: </w:t>
      </w:r>
      <w:r w:rsidR="009C2943" w:rsidRPr="00D4543D">
        <w:rPr>
          <w:rFonts w:ascii="Palatino Linotype" w:hAnsi="Palatino Linotype"/>
          <w:i/>
          <w:sz w:val="22"/>
          <w:szCs w:val="22"/>
        </w:rPr>
        <w:t>…</w:t>
      </w:r>
      <w:r w:rsidRPr="00D4543D">
        <w:rPr>
          <w:rFonts w:ascii="Palatino Linotype" w:hAnsi="Palatino Linotype"/>
          <w:i/>
          <w:sz w:val="22"/>
          <w:szCs w:val="22"/>
        </w:rPr>
        <w:t xml:space="preserve"> </w:t>
      </w:r>
    </w:p>
    <w:p w:rsidR="00E93501" w:rsidRPr="00D4543D" w:rsidRDefault="00E93501" w:rsidP="009C2943">
      <w:pPr>
        <w:pStyle w:val="Prrafodelista"/>
        <w:tabs>
          <w:tab w:val="left" w:pos="7513"/>
        </w:tabs>
        <w:ind w:left="851" w:right="760"/>
        <w:jc w:val="both"/>
        <w:rPr>
          <w:rFonts w:ascii="Palatino Linotype" w:hAnsi="Palatino Linotype"/>
          <w:b/>
          <w:bCs/>
          <w:i/>
          <w:sz w:val="22"/>
          <w:szCs w:val="22"/>
        </w:rPr>
      </w:pPr>
      <w:r w:rsidRPr="00D4543D">
        <w:rPr>
          <w:rFonts w:ascii="Palatino Linotype" w:hAnsi="Palatino Linotype"/>
          <w:b/>
          <w:bCs/>
          <w:i/>
          <w:sz w:val="22"/>
          <w:szCs w:val="22"/>
        </w:rPr>
        <w:t>XIV. Registrar y reportar a las instancias correspondientes, los avances físico-financieros de recursos de origen federal.</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E93501"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Artículo 23.- Corresponde al Subsecretario de Tesorería: […] IV. Verificar los recursos provenientes de las participaciones federales o de aquellos ingresos extraordinarios recibidos vía reasignaciones u otros establecidos en las leyes respectivas o en el Presupuesto de Egresos de la Federación, informando al Secretario.</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9C2943" w:rsidRPr="00D4543D" w:rsidRDefault="00E93501"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b/>
          <w:bCs/>
          <w:i/>
          <w:sz w:val="22"/>
          <w:szCs w:val="22"/>
        </w:rPr>
        <w:t>Artículo 32.- Corresponde a la Dirección General de Recursos Materiales:</w:t>
      </w:r>
      <w:r w:rsidR="009C2943" w:rsidRPr="00D4543D">
        <w:rPr>
          <w:rFonts w:ascii="Palatino Linotype" w:hAnsi="Palatino Linotype"/>
          <w:i/>
          <w:sz w:val="22"/>
          <w:szCs w:val="22"/>
        </w:rPr>
        <w:t xml:space="preserve"> </w:t>
      </w:r>
    </w:p>
    <w:p w:rsidR="00E93501" w:rsidRPr="00D4543D" w:rsidRDefault="009C2943" w:rsidP="009C2943">
      <w:pPr>
        <w:pStyle w:val="Prrafodelista"/>
        <w:tabs>
          <w:tab w:val="left" w:pos="7513"/>
        </w:tabs>
        <w:ind w:left="851" w:right="760"/>
        <w:jc w:val="both"/>
        <w:rPr>
          <w:rFonts w:ascii="Palatino Linotype" w:hAnsi="Palatino Linotype"/>
          <w:i/>
          <w:sz w:val="22"/>
          <w:szCs w:val="22"/>
        </w:rPr>
      </w:pPr>
      <w:r w:rsidRPr="00D4543D">
        <w:rPr>
          <w:rFonts w:ascii="Palatino Linotype" w:hAnsi="Palatino Linotype"/>
          <w:i/>
          <w:sz w:val="22"/>
          <w:szCs w:val="22"/>
        </w:rPr>
        <w:t>…</w:t>
      </w:r>
    </w:p>
    <w:p w:rsidR="00E93501" w:rsidRPr="00D4543D" w:rsidRDefault="00E93501" w:rsidP="009C2943">
      <w:pPr>
        <w:pStyle w:val="Prrafodelista"/>
        <w:tabs>
          <w:tab w:val="left" w:pos="7513"/>
        </w:tabs>
        <w:ind w:left="851" w:right="760"/>
        <w:jc w:val="both"/>
        <w:rPr>
          <w:rFonts w:ascii="Palatino Linotype" w:hAnsi="Palatino Linotype"/>
          <w:b/>
          <w:bCs/>
          <w:i/>
          <w:sz w:val="22"/>
          <w:szCs w:val="22"/>
        </w:rPr>
      </w:pPr>
      <w:r w:rsidRPr="00D4543D">
        <w:rPr>
          <w:rFonts w:ascii="Palatino Linotype" w:hAnsi="Palatino Linotype"/>
          <w:b/>
          <w:bCs/>
          <w:i/>
          <w:sz w:val="22"/>
          <w:szCs w:val="22"/>
        </w:rPr>
        <w:t>IX. Brindar o, en su caso, contratar asesoría técnica para la realización de estudios o investigaciones de mercado que tengan que pagarse con recursos estatales o federales, de pruebas de calidad y de aquéllas que sean necesarias para el mejoramiento y la modernización de las adquisiciones y de los servicios.</w:t>
      </w:r>
      <w:r w:rsidR="009C2943" w:rsidRPr="00D4543D">
        <w:rPr>
          <w:rFonts w:ascii="Palatino Linotype" w:hAnsi="Palatino Linotype"/>
          <w:b/>
          <w:bCs/>
          <w:i/>
          <w:sz w:val="22"/>
          <w:szCs w:val="22"/>
        </w:rPr>
        <w:t>”</w:t>
      </w:r>
      <w:r w:rsidR="00352FC7" w:rsidRPr="00D4543D">
        <w:rPr>
          <w:rFonts w:ascii="Palatino Linotype" w:hAnsi="Palatino Linotype"/>
          <w:b/>
          <w:bCs/>
          <w:i/>
          <w:sz w:val="22"/>
          <w:szCs w:val="22"/>
        </w:rPr>
        <w:t>(Énfasis añadido)</w:t>
      </w:r>
    </w:p>
    <w:p w:rsidR="009C2943" w:rsidRPr="00D4543D" w:rsidRDefault="009C2943" w:rsidP="009C2943">
      <w:pPr>
        <w:pStyle w:val="Prrafodelista"/>
        <w:tabs>
          <w:tab w:val="left" w:pos="7513"/>
        </w:tabs>
        <w:ind w:left="851" w:right="760"/>
        <w:jc w:val="both"/>
        <w:rPr>
          <w:rFonts w:ascii="Palatino Linotype" w:hAnsi="Palatino Linotype"/>
          <w:b/>
          <w:bCs/>
          <w:i/>
          <w:sz w:val="22"/>
          <w:szCs w:val="22"/>
        </w:rPr>
      </w:pPr>
    </w:p>
    <w:p w:rsidR="00E93501" w:rsidRPr="00D4543D" w:rsidRDefault="009C2943" w:rsidP="009C2943">
      <w:pPr>
        <w:pStyle w:val="Prrafodelista"/>
        <w:tabs>
          <w:tab w:val="left" w:pos="426"/>
        </w:tabs>
        <w:spacing w:line="360" w:lineRule="auto"/>
        <w:ind w:left="0"/>
        <w:contextualSpacing/>
        <w:jc w:val="both"/>
        <w:rPr>
          <w:rFonts w:ascii="Palatino Linotype" w:eastAsia="MS Mincho" w:hAnsi="Palatino Linotype" w:cs="Arial"/>
          <w:color w:val="000000" w:themeColor="text1"/>
        </w:rPr>
      </w:pPr>
      <w:r w:rsidRPr="00D4543D">
        <w:rPr>
          <w:rFonts w:ascii="Palatino Linotype" w:eastAsia="MS Mincho" w:hAnsi="Palatino Linotype" w:cs="Arial"/>
          <w:color w:val="000000" w:themeColor="text1"/>
        </w:rPr>
        <w:t>Expuesto</w:t>
      </w:r>
      <w:r w:rsidR="00E93501" w:rsidRPr="00D4543D">
        <w:rPr>
          <w:rFonts w:ascii="Palatino Linotype" w:eastAsia="MS Mincho" w:hAnsi="Palatino Linotype" w:cs="Arial"/>
          <w:color w:val="000000" w:themeColor="text1"/>
        </w:rPr>
        <w:t xml:space="preserve"> lo ant</w:t>
      </w:r>
      <w:r w:rsidRPr="00D4543D">
        <w:rPr>
          <w:rFonts w:ascii="Palatino Linotype" w:eastAsia="MS Mincho" w:hAnsi="Palatino Linotype" w:cs="Arial"/>
          <w:color w:val="000000" w:themeColor="text1"/>
        </w:rPr>
        <w:t xml:space="preserve">erior, </w:t>
      </w:r>
      <w:r w:rsidR="00E93501" w:rsidRPr="00D4543D">
        <w:rPr>
          <w:rFonts w:ascii="Palatino Linotype" w:eastAsia="MS Mincho" w:hAnsi="Palatino Linotype" w:cs="Arial"/>
          <w:color w:val="000000" w:themeColor="text1"/>
        </w:rPr>
        <w:t xml:space="preserve">se advierte que la </w:t>
      </w:r>
      <w:r w:rsidRPr="00D4543D">
        <w:rPr>
          <w:rFonts w:ascii="Palatino Linotype" w:eastAsia="MS Mincho" w:hAnsi="Palatino Linotype" w:cs="Arial"/>
          <w:b/>
          <w:bCs/>
          <w:color w:val="000000" w:themeColor="text1"/>
        </w:rPr>
        <w:t xml:space="preserve">Secretaría de Finanzas </w:t>
      </w:r>
      <w:r w:rsidR="00E93501" w:rsidRPr="00D4543D">
        <w:rPr>
          <w:rFonts w:ascii="Palatino Linotype" w:eastAsia="MS Mincho" w:hAnsi="Palatino Linotype" w:cs="Arial"/>
          <w:b/>
          <w:bCs/>
          <w:color w:val="000000" w:themeColor="text1"/>
        </w:rPr>
        <w:t xml:space="preserve">cuenta con las facultades, atribuciones y competencias para suscribir convenios con la federación, y con ello conocer el destino y uso de las aportaciones federales, de igual forma para </w:t>
      </w:r>
      <w:r w:rsidR="00E93501" w:rsidRPr="00D4543D">
        <w:rPr>
          <w:rFonts w:ascii="Palatino Linotype" w:eastAsia="MS Mincho" w:hAnsi="Palatino Linotype" w:cs="Arial"/>
          <w:b/>
          <w:bCs/>
          <w:color w:val="000000" w:themeColor="text1"/>
        </w:rPr>
        <w:lastRenderedPageBreak/>
        <w:t>registrar y reportar los avances de los mismos.</w:t>
      </w:r>
      <w:r w:rsidR="00E93501" w:rsidRPr="00D4543D">
        <w:rPr>
          <w:rFonts w:ascii="Palatino Linotype" w:eastAsia="MS Mincho" w:hAnsi="Palatino Linotype" w:cs="Arial"/>
          <w:color w:val="000000" w:themeColor="text1"/>
        </w:rPr>
        <w:t xml:space="preserve"> </w:t>
      </w:r>
      <w:r w:rsidRPr="00D4543D">
        <w:rPr>
          <w:rFonts w:ascii="Palatino Linotype" w:eastAsia="MS Mincho" w:hAnsi="Palatino Linotype" w:cs="Arial"/>
          <w:color w:val="000000" w:themeColor="text1"/>
        </w:rPr>
        <w:t xml:space="preserve">Así mismo, de acuerdo con el </w:t>
      </w:r>
      <w:r w:rsidRPr="00D4543D">
        <w:rPr>
          <w:rFonts w:ascii="Palatino Linotype" w:eastAsia="MS Mincho" w:hAnsi="Palatino Linotype" w:cs="Arial"/>
          <w:b/>
          <w:bCs/>
          <w:color w:val="000000" w:themeColor="text1"/>
        </w:rPr>
        <w:t>Manual General de Organización de la Secretaría de Finanza</w:t>
      </w:r>
      <w:r w:rsidR="00352FC7" w:rsidRPr="00D4543D">
        <w:rPr>
          <w:rFonts w:ascii="Palatino Linotype" w:eastAsia="MS Mincho" w:hAnsi="Palatino Linotype" w:cs="Arial"/>
          <w:b/>
          <w:bCs/>
          <w:color w:val="000000" w:themeColor="text1"/>
        </w:rPr>
        <w:t>s</w:t>
      </w:r>
      <w:r w:rsidRPr="00D4543D">
        <w:rPr>
          <w:rFonts w:ascii="Palatino Linotype" w:eastAsia="MS Mincho" w:hAnsi="Palatino Linotype" w:cs="Arial"/>
          <w:b/>
          <w:bCs/>
          <w:color w:val="000000" w:themeColor="text1"/>
        </w:rPr>
        <w:t xml:space="preserve">, </w:t>
      </w:r>
      <w:r w:rsidR="00E93501" w:rsidRPr="00D4543D">
        <w:rPr>
          <w:rFonts w:ascii="Palatino Linotype" w:eastAsia="MS Mincho" w:hAnsi="Palatino Linotype" w:cs="Arial"/>
          <w:color w:val="000000" w:themeColor="text1"/>
        </w:rPr>
        <w:t>cuenta con una Contraloría Interna, que</w:t>
      </w:r>
      <w:r w:rsidR="00E93501" w:rsidRPr="00D4543D">
        <w:rPr>
          <w:rFonts w:ascii="Palatino Linotype" w:eastAsia="MS Mincho" w:hAnsi="Palatino Linotype" w:cs="Arial"/>
          <w:b/>
          <w:bCs/>
          <w:color w:val="000000" w:themeColor="text1"/>
        </w:rPr>
        <w:t xml:space="preserve"> </w:t>
      </w:r>
      <w:r w:rsidR="00E93501" w:rsidRPr="00D4543D">
        <w:rPr>
          <w:rFonts w:ascii="Palatino Linotype" w:eastAsia="MS Mincho" w:hAnsi="Palatino Linotype" w:cs="Arial"/>
          <w:color w:val="000000" w:themeColor="text1"/>
        </w:rPr>
        <w:t>tiene como objetivo el vigilar que los procedimientos que se realizan en las unidades administrativas de la Secretaría de Finanzas cumplan con las disposiciones jurídico-</w:t>
      </w:r>
      <w:r w:rsidRPr="00D4543D">
        <w:rPr>
          <w:rFonts w:ascii="Palatino Linotype" w:eastAsia="MS Mincho" w:hAnsi="Palatino Linotype" w:cs="Arial"/>
          <w:color w:val="000000" w:themeColor="text1"/>
        </w:rPr>
        <w:t>administrativas que lo regulan.</w:t>
      </w:r>
    </w:p>
    <w:p w:rsidR="00E93501" w:rsidRPr="00D4543D" w:rsidRDefault="00E93501" w:rsidP="00E93501">
      <w:pPr>
        <w:pStyle w:val="Prrafodelista"/>
        <w:tabs>
          <w:tab w:val="left" w:pos="426"/>
        </w:tabs>
        <w:spacing w:line="360" w:lineRule="auto"/>
        <w:ind w:left="0"/>
        <w:jc w:val="both"/>
        <w:rPr>
          <w:rFonts w:ascii="Palatino Linotype" w:eastAsia="MS Mincho" w:hAnsi="Palatino Linotype" w:cs="Arial"/>
          <w:color w:val="000000" w:themeColor="text1"/>
        </w:rPr>
      </w:pPr>
    </w:p>
    <w:p w:rsidR="00AB1202" w:rsidRPr="00D4543D" w:rsidRDefault="009C2943" w:rsidP="00AB1202">
      <w:pPr>
        <w:spacing w:line="360" w:lineRule="auto"/>
        <w:jc w:val="both"/>
        <w:rPr>
          <w:rFonts w:ascii="Palatino Linotype" w:hAnsi="Palatino Linotype" w:cs="Arial"/>
        </w:rPr>
      </w:pPr>
      <w:r w:rsidRPr="00D4543D">
        <w:rPr>
          <w:rFonts w:ascii="Palatino Linotype" w:hAnsi="Palatino Linotype" w:cs="Arial"/>
        </w:rPr>
        <w:t xml:space="preserve">Ahora bien, a efecto de determinar la incompetencia del </w:t>
      </w:r>
      <w:r w:rsidRPr="00D4543D">
        <w:rPr>
          <w:rFonts w:ascii="Palatino Linotype" w:hAnsi="Palatino Linotype" w:cs="Arial"/>
          <w:b/>
        </w:rPr>
        <w:t>SUJETO OBLIGADO</w:t>
      </w:r>
      <w:r w:rsidRPr="00D4543D">
        <w:rPr>
          <w:rFonts w:ascii="Palatino Linotype" w:hAnsi="Palatino Linotype" w:cs="Arial"/>
        </w:rPr>
        <w:t>, para dar respuesta a la solicitud d</w:t>
      </w:r>
      <w:r w:rsidR="00AB1202" w:rsidRPr="00D4543D">
        <w:rPr>
          <w:rFonts w:ascii="Palatino Linotype" w:hAnsi="Palatino Linotype" w:cs="Arial"/>
        </w:rPr>
        <w:t xml:space="preserve">e </w:t>
      </w:r>
      <w:r w:rsidRPr="00D4543D">
        <w:rPr>
          <w:rFonts w:ascii="Palatino Linotype" w:hAnsi="Palatino Linotype" w:cs="Arial"/>
        </w:rPr>
        <w:t xml:space="preserve">mérito; es necesario traer a contexto lo señalado por </w:t>
      </w:r>
      <w:r w:rsidR="00B21E79" w:rsidRPr="00D4543D">
        <w:rPr>
          <w:rFonts w:ascii="Palatino Linotype" w:hAnsi="Palatino Linotype" w:cs="Arial"/>
        </w:rPr>
        <w:t>el artículo 19, fracción I</w:t>
      </w:r>
      <w:r w:rsidR="00AB1202" w:rsidRPr="00D4543D">
        <w:rPr>
          <w:rFonts w:ascii="Palatino Linotype" w:hAnsi="Palatino Linotype" w:cs="Arial"/>
        </w:rPr>
        <w:t xml:space="preserve">I de la Ley Orgánica de la Administración Pública del Estado de México, </w:t>
      </w:r>
      <w:r w:rsidRPr="00D4543D">
        <w:rPr>
          <w:rFonts w:ascii="Palatino Linotype" w:hAnsi="Palatino Linotype" w:cs="Arial"/>
        </w:rPr>
        <w:t xml:space="preserve">el cual estipula que, </w:t>
      </w:r>
      <w:r w:rsidR="00AB1202" w:rsidRPr="00D4543D">
        <w:rPr>
          <w:rFonts w:ascii="Palatino Linotype" w:hAnsi="Palatino Linotype" w:cs="Arial"/>
        </w:rPr>
        <w:t xml:space="preserve">para el estudio, planeación y despacho de los asuntos, en los diversos ramos de la Administración Pública del Estado, </w:t>
      </w:r>
      <w:r w:rsidRPr="00D4543D">
        <w:rPr>
          <w:rFonts w:ascii="Palatino Linotype" w:hAnsi="Palatino Linotype" w:cs="Arial"/>
        </w:rPr>
        <w:t xml:space="preserve">el </w:t>
      </w:r>
      <w:r w:rsidR="00AB1202" w:rsidRPr="00D4543D">
        <w:rPr>
          <w:rFonts w:ascii="Palatino Linotype" w:hAnsi="Palatino Linotype" w:cs="Arial"/>
        </w:rPr>
        <w:t xml:space="preserve">Titular del Ejecutivo </w:t>
      </w:r>
      <w:r w:rsidRPr="00D4543D">
        <w:rPr>
          <w:rFonts w:ascii="Palatino Linotype" w:hAnsi="Palatino Linotype" w:cs="Arial"/>
        </w:rPr>
        <w:t xml:space="preserve">se auxiliara de </w:t>
      </w:r>
      <w:r w:rsidR="00AB1202" w:rsidRPr="00D4543D">
        <w:rPr>
          <w:rFonts w:ascii="Palatino Linotype" w:hAnsi="Palatino Linotype" w:cs="Arial"/>
        </w:rPr>
        <w:t>la Secretaría de</w:t>
      </w:r>
      <w:r w:rsidR="00B21E79" w:rsidRPr="00D4543D">
        <w:rPr>
          <w:rFonts w:ascii="Palatino Linotype" w:hAnsi="Palatino Linotype" w:cs="Arial"/>
        </w:rPr>
        <w:t xml:space="preserve"> Seguridad</w:t>
      </w:r>
      <w:r w:rsidR="00AB1202" w:rsidRPr="00D4543D">
        <w:rPr>
          <w:rFonts w:ascii="Palatino Linotype" w:hAnsi="Palatino Linotype" w:cs="Arial"/>
        </w:rPr>
        <w:t>.</w:t>
      </w:r>
    </w:p>
    <w:p w:rsidR="00AB1202" w:rsidRPr="00D4543D" w:rsidRDefault="00AB1202" w:rsidP="00AB1202">
      <w:pPr>
        <w:spacing w:line="360" w:lineRule="auto"/>
        <w:jc w:val="both"/>
        <w:rPr>
          <w:rFonts w:ascii="Palatino Linotype" w:hAnsi="Palatino Linotype" w:cs="Arial"/>
        </w:rPr>
      </w:pPr>
    </w:p>
    <w:p w:rsidR="00961CD9" w:rsidRPr="00D4543D" w:rsidRDefault="00B21E79" w:rsidP="00B21E79">
      <w:pPr>
        <w:spacing w:line="360" w:lineRule="auto"/>
        <w:jc w:val="both"/>
        <w:rPr>
          <w:rFonts w:ascii="Palatino Linotype" w:hAnsi="Palatino Linotype" w:cs="Arial"/>
        </w:rPr>
      </w:pPr>
      <w:r w:rsidRPr="00D4543D">
        <w:rPr>
          <w:rFonts w:ascii="Palatino Linotype" w:hAnsi="Palatino Linotype" w:cs="Arial"/>
        </w:rPr>
        <w:t xml:space="preserve">Por su parte, el artículo 21 Bis </w:t>
      </w:r>
      <w:r w:rsidR="00AB1202" w:rsidRPr="00D4543D">
        <w:rPr>
          <w:rFonts w:ascii="Palatino Linotype" w:hAnsi="Palatino Linotype" w:cs="Arial"/>
        </w:rPr>
        <w:t xml:space="preserve">de </w:t>
      </w:r>
      <w:r w:rsidRPr="00D4543D">
        <w:rPr>
          <w:rFonts w:ascii="Palatino Linotype" w:hAnsi="Palatino Linotype" w:cs="Arial"/>
        </w:rPr>
        <w:t xml:space="preserve">la legislación orgánica en cita, </w:t>
      </w:r>
      <w:r w:rsidR="00AB1202" w:rsidRPr="00D4543D">
        <w:rPr>
          <w:rFonts w:ascii="Palatino Linotype" w:hAnsi="Palatino Linotype" w:cs="Arial"/>
        </w:rPr>
        <w:t xml:space="preserve">establece que la Secretaría de </w:t>
      </w:r>
      <w:r w:rsidRPr="00D4543D">
        <w:rPr>
          <w:rFonts w:ascii="Palatino Linotype" w:hAnsi="Palatino Linotype" w:cs="Arial"/>
        </w:rPr>
        <w:t xml:space="preserve">Seguridad </w:t>
      </w:r>
      <w:r w:rsidR="00AB1202" w:rsidRPr="00D4543D">
        <w:rPr>
          <w:rFonts w:ascii="Palatino Linotype" w:hAnsi="Palatino Linotype" w:cs="Arial"/>
        </w:rPr>
        <w:t>es la dependencia encargad</w:t>
      </w:r>
      <w:r w:rsidR="009C2943" w:rsidRPr="00D4543D">
        <w:rPr>
          <w:rFonts w:ascii="Palatino Linotype" w:hAnsi="Palatino Linotype" w:cs="Arial"/>
        </w:rPr>
        <w:t>a</w:t>
      </w:r>
      <w:r w:rsidRPr="00D4543D">
        <w:rPr>
          <w:rFonts w:ascii="Palatino Linotype" w:hAnsi="Palatino Linotype" w:cs="Arial"/>
        </w:rPr>
        <w:t xml:space="preserve"> de planear, formular, conducir, coordinar, ejecutar, supervisar y evaluar las políticas, programas y acciones en materia de seguridad pública </w:t>
      </w:r>
      <w:r w:rsidR="00AB1202" w:rsidRPr="00D4543D">
        <w:rPr>
          <w:rFonts w:ascii="Palatino Linotype" w:hAnsi="Palatino Linotype" w:cs="Arial"/>
        </w:rPr>
        <w:t>y que a dicha Secretaría le corresponde el despacho de los siguientes asuntos:</w:t>
      </w:r>
    </w:p>
    <w:p w:rsidR="00B21E79" w:rsidRPr="00D4543D" w:rsidRDefault="00A45426" w:rsidP="00A45426">
      <w:pPr>
        <w:ind w:left="851" w:right="757"/>
        <w:jc w:val="both"/>
        <w:rPr>
          <w:rFonts w:ascii="Palatino Linotype" w:hAnsi="Palatino Linotype"/>
          <w:i/>
          <w:sz w:val="22"/>
          <w:szCs w:val="22"/>
        </w:rPr>
      </w:pPr>
      <w:r w:rsidRPr="00D4543D">
        <w:rPr>
          <w:rFonts w:ascii="Palatino Linotype" w:hAnsi="Palatino Linotype"/>
          <w:i/>
          <w:sz w:val="22"/>
          <w:szCs w:val="22"/>
        </w:rPr>
        <w:t>“</w:t>
      </w:r>
      <w:r w:rsidR="00B21E79" w:rsidRPr="00D4543D">
        <w:rPr>
          <w:rFonts w:ascii="Palatino Linotype" w:hAnsi="Palatino Linotype"/>
          <w:i/>
          <w:sz w:val="22"/>
          <w:szCs w:val="22"/>
        </w:rPr>
        <w:t xml:space="preserve">I. Transmitir y ejecutar los acuerdos y demás disposiciones que instruya el Gobernador del Estado en materia de seguridad y fuerza pública; </w:t>
      </w:r>
    </w:p>
    <w:p w:rsidR="00B21E79"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II. Dictar las disposiciones necesarias para asegurar y proteger en forma inmediata el orden y la paz públicos, la integridad física de las personas y sus bienes, prevenir la comisión de delitos e infracciones administrativas, realizar la investigación de los delitos bajo la conducción y mando del Ministerio Público, auxiliar en la persecución de éstos y a otras autoridades cuando así lo soliciten, así como concurrir, en términos de la ley, con las autoridades en casos de siniestro o desastre; </w:t>
      </w:r>
    </w:p>
    <w:p w:rsidR="00B21E79"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lastRenderedPageBreak/>
        <w:t>III. Impulsar mecanismos para garantizar la participación de la ciudadanía en el diseño de las políticas de seguridad pública;</w:t>
      </w:r>
    </w:p>
    <w:p w:rsidR="00B21E79"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IV. Impulsar mecanismos que garanticen la participación social y ciudadana en la vigilancia del desarrollo de las actividades en materia de seguridad pública; </w:t>
      </w:r>
    </w:p>
    <w:p w:rsidR="00B21E79"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V. Realizar la investigación para la prevención de los delitos;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VI. Elaborar y ejecutar los programas de reinserción social de los sentenciados y reintegración social para adolescentes;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VII. Ejercer las atribuciones que la Constitución Política de los Estados Unidos Mexicanos, la Constitución Política del Estado Libre y Soberano de México y demás ordenamientos aplicables otorgan a las instituciones policiales en materia de investigación preventiva y de los delitos, e instrumentar y coordinar acciones y procedimientos para la planeación, obtención, procesamiento y aprovechamiento de información de inteligencia para tales efectos;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VIII. Ejercer el mando directo de las instituciones policiales del Estado, y cuando proceda de los municipios, en los términos de la ley de la materia y demás disposiciones jurídicas aplicables, a fin de salvaguardar la integridad física y los derechos de las personas, así como preservar las libertades, el orden y la paz públicos;</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IX. Ejercer el mando directo de la policía procesal que realice los traslados de imputados de las áreas de espera de detenidos puestos a disposición del juez para audiencia;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X. Resguardar a los imputados en las audienci</w:t>
      </w:r>
      <w:r w:rsidR="00A45426" w:rsidRPr="00D4543D">
        <w:rPr>
          <w:rFonts w:ascii="Palatino Linotype" w:hAnsi="Palatino Linotype"/>
          <w:i/>
          <w:sz w:val="22"/>
          <w:szCs w:val="22"/>
        </w:rPr>
        <w:t>as bajo el mando de los jueces;</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XI. Auxiliar a la autoridad de vigilancia de las medidas cautelares, de las obligaciones suspensionales, así como a la autoridad de reinserción social en la vigilancia de los sentenciados con sustitutivo penal o sujetos a libertad anticipada;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XII. Aplicar los protocolos nacionales autorizados por el Consejo Nacional de Seguridad Pública, así como los emitidos por la Fiscalía General de Justicia en materia de investigación y persecución de los delitos;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XIII. Impulsar la coordinación de las instituciones policiales y proponer, en el ámbito de sus facultades, la adopción y aplicación de políticas y programas de cooperación en materia de seguridad pública, con la Federación, las entidades federativas y los municipios;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XIV. Promover la formación, capacitación, profesionalización, actualización, adiestramiento y especialización de las instituciones policiales;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XV. Coordinar la evaluación del funcionamiento de la seguridad pública;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XVI. Participar, en coordinación con la Fiscalía General de Justicia, en la elaboración de diagnósticos y estrategias de política criminal;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XVII. Autorizar, coordinar, controlar y supervisar los servicios de seguridad pública y privada, de conformidad con las normas aplicables;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lastRenderedPageBreak/>
        <w:t xml:space="preserve">XVIII. Coordinar y prestar los servicios de seguridad pública, vigilancia y protección regional en caminos y carreteras estatales o vías primarias, carriles confinados, terminales y estaciones del sistema de transporte masivo y teleférico, zonas rurales, áreas de recreo y turísticas de competencia estatal; así como las instalaciones estratégicas del Estado;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XIX. Establecer y vigilar la operación de los procedimientos de administración, seguridad, control, vigilancia y apoyo logístico del sistema penitenciario;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 Administrar los centros de reinserción social y tramitar las solicitudes de libertad anticipada y traslado de internos, así como supervisar a los sentenciados con sustitutivos o beneficios de libertad anticipada;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XXI. Vigilar el establecimiento de instituciones para internamiento y la aplicación de la normatividad en materia de justicia para adolescentes;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XXII. Ejecutar las políticas, lineamientos y acciones de su competencia, previstos en los convenios de coordinación suscritos por el Estado de México en el marco del Sistema Nacional de Seguridad Pública, así como los derivados de los acuerdos y resoluciones del Consejo Nacional de Seguridad Pública y demás instancias de coordinación que correspondan;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XXIII. Establecer mecanismos de coordinación con el Secretariado Ejecutivo del Sistema Estatal de Seguridad Pública;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XXIV. Colaborar, cuando así lo soliciten otras instituciones del Estado, federales, municipales o de la Ciudad de México competentes en la protección de la integridad, derechos y patrimonio de las personas, en situaciones de peligro, cuando se vean amenazadas por disturbios u otras situaciones que impliquen violencia o riesgo inminente en el mantenimiento y restablecimiento de la paz y orden públicos, así como intervenir, en el ámbito de su competencia, en materia de portación de armas y explosivos;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XXV. Establecer, integrar, supervisar, utilizar y mantener actualizados los instrumentos de información del Sistema Nacional de Seguridad Pública que le competan, mediante las bases de datos en materia de seguridad pública correspondientes;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XXVI. Organizar, dirigir y administrar la recepción y transferencia de los reportes sobre emergencias, infracciones y delitos;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XXVII. Coordinar planes y operativos para la defensa y protección del medio ambiente, a fin de preservar y salvaguardar los recursos naturales de la entidad;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XXVIII. Retirar los vehículos abandonados en la infraestructura vial y remitirlos al depósito vehicular más cercano;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 xml:space="preserve">XXIX. Compartir las bases de datos e información de que disponga en materia delictiva para la consolidación de una plataforma única de información preventiva y para la </w:t>
      </w:r>
      <w:r w:rsidRPr="00D4543D">
        <w:rPr>
          <w:rFonts w:ascii="Palatino Linotype" w:hAnsi="Palatino Linotype"/>
          <w:i/>
          <w:sz w:val="22"/>
          <w:szCs w:val="22"/>
        </w:rPr>
        <w:lastRenderedPageBreak/>
        <w:t xml:space="preserve">investigación de los delitos. Para efectos de lo dispuesto en esta fracción, todas las autoridades del gobierno del Estado de México y de los municipios deben aportar sus bases de datos para la consolidación de una plataforma única de información para la prevención e investigación de los delitos. Los niveles de acceso y características de la plataforma serán definidos en los protocolos de seguridad y en materia de investigación que emitan el Secretario y el Fiscal General, y </w:t>
      </w:r>
    </w:p>
    <w:p w:rsidR="00A45426" w:rsidRPr="00D4543D" w:rsidRDefault="00B21E79" w:rsidP="00A45426">
      <w:pPr>
        <w:ind w:left="851" w:right="757"/>
        <w:jc w:val="both"/>
        <w:rPr>
          <w:rFonts w:ascii="Palatino Linotype" w:hAnsi="Palatino Linotype"/>
          <w:i/>
          <w:sz w:val="22"/>
          <w:szCs w:val="22"/>
        </w:rPr>
      </w:pPr>
      <w:r w:rsidRPr="00D4543D">
        <w:rPr>
          <w:rFonts w:ascii="Palatino Linotype" w:hAnsi="Palatino Linotype"/>
          <w:i/>
          <w:sz w:val="22"/>
          <w:szCs w:val="22"/>
        </w:rPr>
        <w:t>XXX. Coordinar e instrumentar las actividades en materia de control de confianza de los cuerpos de seguridad pública y privada estatales; y</w:t>
      </w:r>
    </w:p>
    <w:p w:rsidR="00753F97" w:rsidRPr="00D4543D" w:rsidRDefault="00B21E79" w:rsidP="00753F97">
      <w:pPr>
        <w:ind w:left="851" w:right="757"/>
        <w:jc w:val="both"/>
        <w:rPr>
          <w:rFonts w:ascii="Palatino Linotype" w:hAnsi="Palatino Linotype" w:cs="Arial"/>
          <w:i/>
          <w:sz w:val="22"/>
          <w:szCs w:val="22"/>
        </w:rPr>
      </w:pPr>
      <w:r w:rsidRPr="00D4543D">
        <w:rPr>
          <w:rFonts w:ascii="Palatino Linotype" w:hAnsi="Palatino Linotype"/>
          <w:i/>
          <w:sz w:val="22"/>
          <w:szCs w:val="22"/>
        </w:rPr>
        <w:t>XXXI. Las demás que le señalen otros ordenamientos jurídicos</w:t>
      </w:r>
      <w:r w:rsidR="00A45426" w:rsidRPr="00D4543D">
        <w:rPr>
          <w:rFonts w:ascii="Palatino Linotype" w:hAnsi="Palatino Linotype"/>
          <w:i/>
          <w:sz w:val="22"/>
          <w:szCs w:val="22"/>
        </w:rPr>
        <w:t>” (Sic)</w:t>
      </w:r>
    </w:p>
    <w:p w:rsidR="00753F97" w:rsidRPr="00D4543D" w:rsidRDefault="00753F97" w:rsidP="00753F97">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D4543D">
        <w:rPr>
          <w:rFonts w:ascii="Palatino Linotype" w:hAnsi="Palatino Linotype"/>
        </w:rPr>
        <w:t xml:space="preserve">Por su parte, el Reglamento Interior de la Secretaría de Seguridad tiene por objeto regular la organización, atribuciones, funcionamiento y las relaciones jerárquicas de cada una de las Unidades Administrativas que integran al </w:t>
      </w:r>
      <w:r w:rsidRPr="00D4543D">
        <w:rPr>
          <w:rFonts w:ascii="Palatino Linotype" w:hAnsi="Palatino Linotype"/>
          <w:b/>
        </w:rPr>
        <w:t>SUJETO OBLIGADO.</w:t>
      </w:r>
    </w:p>
    <w:p w:rsidR="00753F97" w:rsidRPr="00D4543D" w:rsidRDefault="00753F97" w:rsidP="00753F97">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D4543D">
        <w:rPr>
          <w:rFonts w:ascii="Palatino Linotype" w:hAnsi="Palatino Linotype"/>
        </w:rPr>
        <w:t xml:space="preserve">En esa virtud, el artículo 8 del Reglamento en cita establece que para el estudio, planeación y despacho de los asuntos de su competencia, así como para atender las funciones de control y evaluación que le corresponden, la Secretaría se auxiliará de las Unidades Administrativas siguientes: </w:t>
      </w:r>
    </w:p>
    <w:p w:rsidR="00753F97" w:rsidRPr="00D4543D" w:rsidRDefault="003E2918"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w:t>
      </w:r>
      <w:r w:rsidR="00753F97" w:rsidRPr="00D4543D">
        <w:rPr>
          <w:rFonts w:ascii="Palatino Linotype" w:hAnsi="Palatino Linotype"/>
          <w:i/>
          <w:sz w:val="22"/>
          <w:szCs w:val="22"/>
        </w:rPr>
        <w:t>I. Subsecretaría de Control Penitenciario;</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a) Dirección General de Prevención y Reinserción Social;</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II. Subsecretaría de Policía Estatal;</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a) Dirección General del Centro Estatal de Medidas Cautelares;</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b) Dirección General de Combate al Robo de Vehículos y Transporte;</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c) Dirección General de Seguridad Pública y Tránsito;</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d) Coordinación de Ayudantías;</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e) Coordinación de Grupos Tácticos;</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III. Centro de Control, Comando, Comunicación, Cómputo y Calidad;</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IV. Dirección General de Planeación Policial;</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V. Dirección General de Información;</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VI. Dirección General de Desarrollo Institucional e Innovación;</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VII. Oficialía Mayor;</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VIII. Secretaría Técnica;</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IX. Unidad de Análisis Criminal;</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lastRenderedPageBreak/>
        <w:t>X. Unidad de Asuntos Jurídicos e Igualdad de Género;</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XI. Unidad de Estudios y Proyectos Especiales;</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XII. Unidad de Información, Planeación, Programación y Evaluación;</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XIII. Unidad de Inteligencia e Investigación para la Prevención;</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XIV. Unidad de Vinculación, Comunicación Social y Relaciones Públicas, y</w:t>
      </w:r>
    </w:p>
    <w:p w:rsidR="00753F97" w:rsidRPr="00D4543D" w:rsidRDefault="00753F97" w:rsidP="003E2918">
      <w:pPr>
        <w:widowControl w:val="0"/>
        <w:tabs>
          <w:tab w:val="left" w:pos="1701"/>
          <w:tab w:val="left" w:pos="1843"/>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XV. Órgano Interno de Control.</w:t>
      </w:r>
      <w:r w:rsidR="003E2918" w:rsidRPr="00D4543D">
        <w:rPr>
          <w:rFonts w:ascii="Palatino Linotype" w:hAnsi="Palatino Linotype"/>
          <w:i/>
          <w:sz w:val="22"/>
          <w:szCs w:val="22"/>
        </w:rPr>
        <w:t>”(Sic)</w:t>
      </w:r>
    </w:p>
    <w:p w:rsidR="00753F97" w:rsidRPr="00D4543D" w:rsidRDefault="00753F97" w:rsidP="003E2918">
      <w:pPr>
        <w:ind w:right="757"/>
        <w:jc w:val="both"/>
        <w:rPr>
          <w:rFonts w:ascii="Palatino Linotype" w:hAnsi="Palatino Linotype" w:cs="Arial"/>
          <w:i/>
          <w:sz w:val="22"/>
          <w:szCs w:val="22"/>
        </w:rPr>
      </w:pPr>
    </w:p>
    <w:p w:rsidR="003E2918" w:rsidRPr="00D4543D" w:rsidRDefault="003E2918" w:rsidP="00622E9C">
      <w:pPr>
        <w:widowControl w:val="0"/>
        <w:tabs>
          <w:tab w:val="left" w:pos="1276"/>
        </w:tabs>
        <w:autoSpaceDE w:val="0"/>
        <w:autoSpaceDN w:val="0"/>
        <w:adjustRightInd w:val="0"/>
        <w:spacing w:before="240" w:after="100" w:afterAutospacing="1" w:line="360" w:lineRule="auto"/>
        <w:jc w:val="both"/>
        <w:rPr>
          <w:rFonts w:ascii="Palatino Linotype" w:hAnsi="Palatino Linotype"/>
        </w:rPr>
      </w:pPr>
      <w:r w:rsidRPr="00D4543D">
        <w:rPr>
          <w:rFonts w:ascii="Palatino Linotype" w:hAnsi="Palatino Linotype"/>
        </w:rPr>
        <w:t xml:space="preserve">Así mismo, el artículo 14 del ordenamiento legal en cita, expone las atribuciones del Secretario, las cuales son las siguientes: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“I. Desempeñar las comisiones y funciones especiales que el Gobernador le confiera, manteniéndolo informado de las mismas;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II. Proponer al Gobernador los proyectos de leyes, reglamentos, decretos, acuerdos, convenios y demás disposiciones jurídicas, sobre los asuntos competencia de la Secretaría, así como de los organismos auxiliares de su sector; </w:t>
      </w:r>
    </w:p>
    <w:p w:rsidR="009225A9"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III. Ejecutar los acuerdos y demás disposiciones que instruya el Gobernador;</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IV. Dictar y supervisar las medidas tendientes a garantizar la prevención de los delitos, el mantenimiento y el restablecimiento del orden y la seguridad pública, en el ámbito de competencia de la Secretaría;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V. Dictar los lineamientos y políticas, bajo los cuales la Secretaría proporcionará los informes, datos o cooperación técnica y operativa que sean requeridos por alguna instancia de los gobiernos Federal, Estatal y Municipal, conforme a los procedimientos que resulten necesarios para la prevención de delitos, sea directamente o mediante los sistemas de coordinación previstos en las leyes nacionales, generales o federales y con pleno apego a las demás disposiciones jurídicas aplicables;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VI. Ordenar a las Unidades Administrativas bajo su adscripción, las detenciones o aseguramientos en términos de ley;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VII. Promover políticas públicas que coadyuven en el establecimiento de líneas específicas de acción que inhiban la comisión de delitos;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VIII. Coordinar cuando formalmente se le requiera y sea procedente, con las instancias competentes, la implementación de acciones para prevenir delitos en materia de maltrato animal;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IX. Proponer al Gobernador, la adopción de políticas y estrategias para prevenir y combatir la comisión de delitos;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 Administrar la seguridad penitenciaria, prevención y reinserción social;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XI. Instruir de forma inmediata a la Dirección General de Prevención y Reinserción </w:t>
      </w:r>
      <w:r w:rsidRPr="00D4543D">
        <w:rPr>
          <w:rFonts w:ascii="Palatino Linotype" w:hAnsi="Palatino Linotype"/>
          <w:i/>
          <w:sz w:val="22"/>
          <w:szCs w:val="22"/>
        </w:rPr>
        <w:lastRenderedPageBreak/>
        <w:t xml:space="preserve">Social para que dé inicio al procedimiento de sustanciación, en materia de indulto cuando sea requerido por las instancias correspondientes;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XII. Vigilar que se formulen y establezcan programas de capacitación en materia de reinserción social;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XIII. Emitir programas de seguridad en materia de tránsito, vialidad, prevención del delito y reinserción social, en coordinación con los tres órdenes de gobierno;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XIV. Aprobar y ordenar la implementación de los distintos programas para la reinserción social al interior de los Centros;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XV. Instruir la elaboración de estudios y diagnósticos en materia de seguridad pública; investigación criminal; reinserción social; tratamiento y rehabilitación de adolescentes; evaluación de riesgo; vigilancia, y ejecución de medidas cautelares;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XVI. Suscribir y proponer acuerdos y convenios con corporaciones policiales, organismos e instituciones nacionales y extranjeras, tanto públicas como privadas, para el intercambio de información, planes y programas en materia de seguridad pública, prevención y reinserción social, tratamiento de rehabilitación y asistencia social de adolescentes, evaluación de riesgo, vigilancia y ejecución de medidas cautelares y demás atribuciones conferidas a la Secretaría;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XVII. Dar seguimiento y atención, en el ámbito de su competencia, a las solicitudes de indulto tramitadas ante el Gobernador y canalizadas por la Secretaría de Justicia y Derechos Humanos;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XVIII. Emitir acuerdos, reglamentos específicos, circulares, instrucciones, órdenes y comunicados y demás normatividad necesaria para el cumplimento de las atribuciones que tiene encomendadas la Secretaría;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XIX. Autorizar los cambios de adscripción de los Servidores Públicos, de acuerdo a las necesidades del servicio;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 Ordenar conforme al ámbito de competencia, la ejecución de medidas de protección de las víctimas del delito y emitir orden de protección y auxilio policial;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XXI. Coordinar la regulación de la ejecución, control y vigilancia de las medidas cautelares del proceso penal y las condiciones de la suspensión condicional del proceso;</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XXII. Coadyuvar con las autoridades judiciales y administrativas para la correcta aplicación de las medidas cautelares;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XXIII. Ejecutar acciones para evaluar los riesgos procesales que representa una persona imputada, así como las necesidades para regular la ejecución, control, registro, supervisión y coordinación de las medidas cautelares del proceso penal y las condiciones de la suspensión condicional del proceso, con la finalidad de evitar la materialización de los riesgos objetivos que puedan afectar el proceso, que atenten contra la víctima, los testigos o la sociedad, coordinándose las autoridades respectivas en el ámbito de su competencia de conformidad con las disposiciones jurídicas </w:t>
      </w:r>
      <w:r w:rsidRPr="00D4543D">
        <w:rPr>
          <w:rFonts w:ascii="Palatino Linotype" w:hAnsi="Palatino Linotype"/>
          <w:i/>
          <w:sz w:val="22"/>
          <w:szCs w:val="22"/>
        </w:rPr>
        <w:lastRenderedPageBreak/>
        <w:t xml:space="preserve">aplicables;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XXIV. Establecer las disposiciones necesarias para asegurar y proteger en forma inmediata el orden y la paz públicos, la integridad física de las personas y sus bienes, prevenir la comisión de delitos e infracciones administrativas, auxiliar a las autoridades competentes cuando así lo soliciten en la investigación y persecución de los delitos y concurrir, en términos de la ley, con las autoridades en casos de siniestro o desastre; </w:t>
      </w:r>
    </w:p>
    <w:p w:rsidR="009225A9"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XXV. Coadyuvar y dar cumplimiento a objetivos y metas establecidos en el Plan de Desarrollo del Estado de México y las demás disposiciones jurídicas en materia de seguridad pública;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XXVI. Fijar, dirigir y controlar la política general de la Secretaría, de conformidad con los objetivos, estrategias y líneas de acción consideradas en el Plan de Desarrollo del Estado de México y las que determine el Gobernador;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XXVII. Representar legalmente a la Secretaría con las facultades de una o un apoderado general para pleitos y cobranzas, actos de administración y actos de dominio, con todas las facultades que requieran cláusula especial, conforme a las disposiciones en la materia y sustituir y delegar esta representación en una, uno o más apoderados para que las ejerzan individual o conjuntamente. Para actos de dominio requerirá autorización expresa de la Secretaría de Finanzas, de acuerdo con la normatividad vigente;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XXVIII. Establecer y supervisar los procedimientos de planeación, ingreso, convocatoria, reclutamiento, selección, formación inicial, nombramiento, certificación, plan individual de carrera, reingreso, permanencia, formación continua, evaluación, reconocimientos, promoción, renovación de la certificación, licencias, permisos, comisiones, separación, remoción o baja, régimen disciplinario y recursos de los Servidores Públicos;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XXIX. Vigilar que los Servidores Públicos se sometan a las evaluaciones de control de confianza requeridas para su ingreso, permanencia o promoción para lo cual deberá designar una o un enlace ante el Centro de Control de Confianza del Estado de México, así como, en su caso, ordenar al área correspondiente la separación impuesta con motivo de la resolución emitida, a quienes no las hayan presentado o aprobado;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XXX. Planear, implementar, coordinar y ejecutar procedimientos tendientes a la prevención, localización y recuperación de vehículos con reporte de robo dentro del territorio de la Entidad o que hayan sido involucrados en actos constitutivos de delitos;</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XXXI. Instruir la elaboración de documentos sobre el robo de vehículos y al transporte para determinar y realizar las acciones operativas y disuasivas, tendientes a la disminución e identificación de puntos de mayor vulnerabilidad;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XXXII. Implementar y dar seguimiento a los procedimientos de vigilancia, </w:t>
      </w:r>
      <w:r w:rsidRPr="00D4543D">
        <w:rPr>
          <w:rFonts w:ascii="Palatino Linotype" w:hAnsi="Palatino Linotype"/>
          <w:i/>
          <w:sz w:val="22"/>
          <w:szCs w:val="22"/>
        </w:rPr>
        <w:lastRenderedPageBreak/>
        <w:t xml:space="preserve">identificación, monitoreo y rastreo de la red pública de internet para la prevención y combate de los delitos que se cometan utilizando medios electrónicos y tecnológicos;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XXXIII. Establecer los objetivos, estrategias y acciones que definan las políticas de seguridad pública en el ámbito local;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XXXIV. Determinar los procesos de evaluación a las políticas, programas, estrategias y líneas de acción que se desarrollen en materia de seguridad pública en la Entidad, a efecto de emitir recomendaciones para su cumplimiento y mejoramiento;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XXXV. Aprobar los protocolos de actuación de los Servidores Públicos que integran las Instituciones Policiales;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XXXVI. Promover el cumplimiento y aplicación de la Ley Nacional de Ejecución Penal y las demás disposiciones jurídicas aplicables;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XXXVII. Comparecer, cuando así se lo solicite la Legislatura del Estado, para informar el estado que guarda su ramo o cuando se discuta una ley o se estudie un asunto relacionado con sus atribuciones;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XXXVIII. Establecer acciones de coordinación entre las Instituciones Policiales;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XXXIX. Recopilar, analizar, estructurar y realizar acciones de inteligencia e investigación de delitos, considerando redes y vínculos criminales en el Estado;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 Proveer lo necesario a fin de generar inteligencia policial para la prevención y combate al delito;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XLI. Implementar acciones en materia del servicio profesional de carrera y desarrollo policial para los Servidores Públicos;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XLII. Vigilar la implementación de los programas de formación, capacitación, profesionalización, actualización, adiestramiento y especialización con base en los perfiles y detección de necesidades, para el cumplimiento de los objetivos institucionales;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XLIII. Adoptar e implementar programas y políticas de coordinación y cooperación en materia de seguridad pública, con la Federación, las entidades federativas y los municipios, de conformidad con las disposiciones jurídicas aplicables;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XLIV. Conformar grupos especializados en investigación, prevención y reacción, necesarios para garantizar, mantener y restablecer el orden y la paz públicos, así como vigilar su correcto funcionamiento;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XLV. Suscribir y expedir los nombramientos o constancias de grado policial de los Servidores Públicos, al momento de ingresar a la Secretaría, así como a quienes lo obtuvieron por convocatoria de promoción de grado;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XLVI. Nombrar, designar o remover a los Titulares de las Unidades Administrativas; </w:t>
      </w:r>
    </w:p>
    <w:p w:rsidR="009225A9"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XLVII. Designar y remover a los Servidores Públicos que deberán coordinar o presidir, en su representación, los comités, consejos, comisiones, reuniones o cualquier órgano colegiado, que corresponda al sector a su cargo, de conformidad con las disposiciones </w:t>
      </w:r>
      <w:r w:rsidRPr="00D4543D">
        <w:rPr>
          <w:rFonts w:ascii="Palatino Linotype" w:hAnsi="Palatino Linotype"/>
          <w:i/>
          <w:sz w:val="22"/>
          <w:szCs w:val="22"/>
        </w:rPr>
        <w:lastRenderedPageBreak/>
        <w:t xml:space="preserve">jurídicas aplicables;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XLVIII. Emitir las disposiciones necesarias para la correcta organización, dirección y administración de la recepción y transferencia de los reportes sobre emergencias, infracciones y delitos;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XLIX. Ordenar la protección, resguardo y defensa del Gobernador en actos y eventos en los que esté presente;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L. Planear, coordinar, supervisar y evaluar las distintas comisiones, consejos u órganos colegiados similares que le encomiende el Gobernador, así como aquellos que se señalen en otras disposiciones jurídicas, de acuerdo al ámbito de su competencia, a efecto de que sus actividades se vinculen con la planeación del desarrollo estatal; </w:t>
      </w:r>
    </w:p>
    <w:p w:rsidR="003E2918" w:rsidRPr="00D4543D" w:rsidRDefault="003E2918" w:rsidP="003E2918">
      <w:pPr>
        <w:widowControl w:val="0"/>
        <w:tabs>
          <w:tab w:val="left" w:pos="1276"/>
        </w:tabs>
        <w:autoSpaceDE w:val="0"/>
        <w:autoSpaceDN w:val="0"/>
        <w:adjustRightInd w:val="0"/>
        <w:ind w:left="851" w:right="757"/>
        <w:jc w:val="both"/>
        <w:rPr>
          <w:rFonts w:ascii="Palatino Linotype" w:hAnsi="Palatino Linotype"/>
          <w:i/>
          <w:sz w:val="22"/>
          <w:szCs w:val="22"/>
        </w:rPr>
      </w:pPr>
      <w:r w:rsidRPr="00D4543D">
        <w:rPr>
          <w:rFonts w:ascii="Palatino Linotype" w:hAnsi="Palatino Linotype"/>
          <w:i/>
          <w:sz w:val="22"/>
          <w:szCs w:val="22"/>
        </w:rPr>
        <w:t xml:space="preserve">LI. Promover que los planes y programas de la Secretaría sean realizados con perspectiva de género y respeto a los derechos humanos, y </w:t>
      </w:r>
    </w:p>
    <w:p w:rsidR="00753F97" w:rsidRPr="00D4543D" w:rsidRDefault="003E2918" w:rsidP="003E2918">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i/>
          <w:sz w:val="22"/>
          <w:szCs w:val="22"/>
        </w:rPr>
        <w:t>LII. Las demás que le confieran otras disposiciones jurídicas y las que le encomiende el Gobernador.”</w:t>
      </w:r>
    </w:p>
    <w:p w:rsidR="004A4321" w:rsidRPr="00D4543D" w:rsidRDefault="004A4321" w:rsidP="004A4321">
      <w:pPr>
        <w:spacing w:before="100" w:beforeAutospacing="1" w:after="100" w:afterAutospacing="1" w:line="360" w:lineRule="auto"/>
        <w:jc w:val="both"/>
        <w:rPr>
          <w:rFonts w:ascii="Palatino Linotype" w:hAnsi="Palatino Linotype"/>
        </w:rPr>
      </w:pPr>
      <w:r w:rsidRPr="00D4543D">
        <w:rPr>
          <w:rFonts w:ascii="Palatino Linotype" w:hAnsi="Palatino Linotype"/>
        </w:rPr>
        <w:t xml:space="preserve">Ahora bien, del análisis al Manual General de Organización de la Secretaría de Seguridad se advirtió que el </w:t>
      </w:r>
      <w:r w:rsidRPr="00D4543D">
        <w:rPr>
          <w:rFonts w:ascii="Palatino Linotype" w:hAnsi="Palatino Linotype"/>
          <w:b/>
        </w:rPr>
        <w:t>SUJETO OBLIGADO</w:t>
      </w:r>
      <w:r w:rsidRPr="00D4543D">
        <w:rPr>
          <w:rFonts w:ascii="Palatino Linotype" w:hAnsi="Palatino Linotype"/>
        </w:rPr>
        <w:t xml:space="preserve"> tiene como objetivo planear, formular, conducir, coordinar, ejecutar, supervisar y evaluar las políticas, programas y acciones en materia de seguridad pública, a través de las funciones siguientes:</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I. Transmitir y ejecutar los acuerdos y demás disposiciones que instruya el Gobernador del Estado en materia de seguridad pública;</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II. Dictar las disposiciones necesarias para asegurar y proteger en forma inmediata el orden y la paz públicos, la integridad física de las personas y sus bienes, prevenir la comisión de delitos e infracciones administrativas, auxiliar a las autoridades competentes cuando así lo soliciten en la investigación y persecución de los delitos y concurrir, en términos de la ley, con las autoridades en casos de siniestro o desastre;</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III. Impulsar las acciones necesarias para promover la prevención de los delitos y la participación de la comunidad en materia de seguridad pública;</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IV. Ejercer las atribuciones que la Constitución Política de los Estados Unidos Mexicanos y demás ordenamientos aplicables otorgan a las instituciones policiales en materia de investigación preventiva, e instrumentar y coordinar acciones y procedimientos para la planeación, obtención, procesamiento y aprovechamiento de información de inteligencia para tales efectos;</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 xml:space="preserve">V. Ejercer el mando directo de las Instituciones Policiales del Estado, en los términos de la ley de la materia y demás disposiciones jurídicas aplicables, a fin de salvaguardar </w:t>
      </w:r>
      <w:r w:rsidRPr="00D4543D">
        <w:rPr>
          <w:rFonts w:ascii="Palatino Linotype" w:hAnsi="Palatino Linotype" w:cs="Arial"/>
          <w:i/>
          <w:sz w:val="22"/>
          <w:szCs w:val="22"/>
        </w:rPr>
        <w:lastRenderedPageBreak/>
        <w:t>la integridad física y los derechos de las personas, así como preservar las libertades, el orden y la paz públicos;</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VI. Impulsar la coordinación de las Instituciones Policiales y proponer, en el ámbito de sus facultades, la adopción y aplicación de políticas y programas de cooperación en materia de seguridad pública, con la Federación, las entidades federativas y los municipios;</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VII. Promover la formación, capacitación, profesionalización, actualización, adiestramiento y especialización de las Instituciones Policiales;</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VIII. Coordinar la evaluación del funcionamiento de la seguridad pública;</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IX. Participar, en coordinación con la Procuraduría General de Justicia, en la elaboración de diagnósticos y estrategias de política criminal;</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 Autorizar, coordinar, controlar y supervisar los servicios de seguridad privada, de conformidad con las normas aplicables;</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XI. Coordinar y supervisar las acciones en materia de protección civil;</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XII. Coordinar con el Instituto Mexiquense de la Pirotecnia, todas las acciones relacionadas con la misma;</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XIII. Coordinar los servicios de seguridad, vigilancia y protección regional en caminos y carreteras estatales o vías primarias, zonas rurales, áreas de recreo y turísticas de competencia estatal, así como las instalaciones estratégicas del Estado;</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XIV. Establecer y vigilar la operación de los procedimientos de administración, seguridad, control, vigilancia y apoyo logístico del sistema penitenciario;</w:t>
      </w:r>
    </w:p>
    <w:p w:rsidR="00753F97"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XV. Administrar los centros de reinserción social y tramitar, las solicitudes de amnistía, indultos, libertad anticipada y traslado de internos, en coordinación con la Secretaría General de Gobierno;</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XVI. Vigilar el establecimiento de las instituciones y la aplicación de la norma, en el ámbito de su competencia, en materia de justicia para adolescentes;</w:t>
      </w:r>
    </w:p>
    <w:p w:rsidR="004A4321" w:rsidRPr="00D4543D" w:rsidRDefault="00F435F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XVII. Ejecutar</w:t>
      </w:r>
      <w:r w:rsidR="004A4321" w:rsidRPr="00D4543D">
        <w:rPr>
          <w:rFonts w:ascii="Palatino Linotype" w:hAnsi="Palatino Linotype" w:cs="Arial"/>
          <w:i/>
          <w:sz w:val="22"/>
          <w:szCs w:val="22"/>
        </w:rPr>
        <w:t xml:space="preserve"> las políticas, lineamientos y acciones de su competencia, previstos en los convenios de coordina</w:t>
      </w:r>
      <w:r w:rsidRPr="00D4543D">
        <w:rPr>
          <w:rFonts w:ascii="Palatino Linotype" w:hAnsi="Palatino Linotype" w:cs="Arial"/>
          <w:i/>
          <w:sz w:val="22"/>
          <w:szCs w:val="22"/>
        </w:rPr>
        <w:t>ción suscritos por el Estado de México</w:t>
      </w:r>
      <w:r w:rsidR="004A4321" w:rsidRPr="00D4543D">
        <w:rPr>
          <w:rFonts w:ascii="Palatino Linotype" w:hAnsi="Palatino Linotype" w:cs="Arial"/>
          <w:i/>
          <w:sz w:val="22"/>
          <w:szCs w:val="22"/>
        </w:rPr>
        <w:t xml:space="preserve"> en el marco del Sistema Nacional de Seguridad Pública, así como los derivados de los acuerdos y resoluciones del Consejo </w:t>
      </w:r>
      <w:r w:rsidRPr="00D4543D">
        <w:rPr>
          <w:rFonts w:ascii="Palatino Linotype" w:hAnsi="Palatino Linotype" w:cs="Arial"/>
          <w:i/>
          <w:sz w:val="22"/>
          <w:szCs w:val="22"/>
        </w:rPr>
        <w:t>Nacional d</w:t>
      </w:r>
      <w:r w:rsidR="004A4321" w:rsidRPr="00D4543D">
        <w:rPr>
          <w:rFonts w:ascii="Palatino Linotype" w:hAnsi="Palatino Linotype" w:cs="Arial"/>
          <w:i/>
          <w:sz w:val="22"/>
          <w:szCs w:val="22"/>
        </w:rPr>
        <w:t>e Seguridad Pública y demás instancias de coordinación que correspondan;</w:t>
      </w:r>
    </w:p>
    <w:p w:rsidR="004A4321" w:rsidRPr="00D4543D" w:rsidRDefault="00F435F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XVIII. Establecer</w:t>
      </w:r>
      <w:r w:rsidR="004A4321" w:rsidRPr="00D4543D">
        <w:rPr>
          <w:rFonts w:ascii="Palatino Linotype" w:hAnsi="Palatino Linotype" w:cs="Arial"/>
          <w:i/>
          <w:sz w:val="22"/>
          <w:szCs w:val="22"/>
        </w:rPr>
        <w:t xml:space="preserve"> mecanismos de coordinación con el Secretariado Ejecutivo del Sistema Estatal de Seguridad Pública;</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 xml:space="preserve">XIX. </w:t>
      </w:r>
      <w:r w:rsidR="00F435F1" w:rsidRPr="00D4543D">
        <w:rPr>
          <w:rFonts w:ascii="Palatino Linotype" w:hAnsi="Palatino Linotype" w:cs="Arial"/>
          <w:i/>
          <w:sz w:val="22"/>
          <w:szCs w:val="22"/>
        </w:rPr>
        <w:t>C</w:t>
      </w:r>
      <w:r w:rsidRPr="00D4543D">
        <w:rPr>
          <w:rFonts w:ascii="Palatino Linotype" w:hAnsi="Palatino Linotype" w:cs="Arial"/>
          <w:i/>
          <w:sz w:val="22"/>
          <w:szCs w:val="22"/>
        </w:rPr>
        <w:t>olaborar, cuando así lo soliciten otras instituciones del Estado de México, federales, estatales, mun</w:t>
      </w:r>
      <w:r w:rsidR="00F435F1" w:rsidRPr="00D4543D">
        <w:rPr>
          <w:rFonts w:ascii="Palatino Linotype" w:hAnsi="Palatino Linotype" w:cs="Arial"/>
          <w:i/>
          <w:sz w:val="22"/>
          <w:szCs w:val="22"/>
        </w:rPr>
        <w:t>icipales o del Distrito Federal c</w:t>
      </w:r>
      <w:r w:rsidRPr="00D4543D">
        <w:rPr>
          <w:rFonts w:ascii="Palatino Linotype" w:hAnsi="Palatino Linotype" w:cs="Arial"/>
          <w:i/>
          <w:sz w:val="22"/>
          <w:szCs w:val="22"/>
        </w:rPr>
        <w:t>ompetentes en la protección de la integridad, derechos y patrimonio de las personas, en la prevención de deli</w:t>
      </w:r>
      <w:r w:rsidR="00F435F1" w:rsidRPr="00D4543D">
        <w:rPr>
          <w:rFonts w:ascii="Palatino Linotype" w:hAnsi="Palatino Linotype" w:cs="Arial"/>
          <w:i/>
          <w:sz w:val="22"/>
          <w:szCs w:val="22"/>
        </w:rPr>
        <w:t>tos, en situaciones de peligro, c</w:t>
      </w:r>
      <w:r w:rsidRPr="00D4543D">
        <w:rPr>
          <w:rFonts w:ascii="Palatino Linotype" w:hAnsi="Palatino Linotype" w:cs="Arial"/>
          <w:i/>
          <w:sz w:val="22"/>
          <w:szCs w:val="22"/>
        </w:rPr>
        <w:t>uando se vean amenazadas por disturbios u otras situaciones que impliquen violencia o riesgo inminente,</w:t>
      </w:r>
      <w:r w:rsidR="00F435F1" w:rsidRPr="00D4543D">
        <w:rPr>
          <w:rFonts w:ascii="Palatino Linotype" w:hAnsi="Palatino Linotype" w:cs="Arial"/>
          <w:i/>
          <w:sz w:val="22"/>
          <w:szCs w:val="22"/>
        </w:rPr>
        <w:t xml:space="preserve"> así como en el mantenimiento y </w:t>
      </w:r>
      <w:r w:rsidRPr="00D4543D">
        <w:rPr>
          <w:rFonts w:ascii="Palatino Linotype" w:hAnsi="Palatino Linotype" w:cs="Arial"/>
          <w:i/>
          <w:sz w:val="22"/>
          <w:szCs w:val="22"/>
        </w:rPr>
        <w:lastRenderedPageBreak/>
        <w:t>establecimiento de la paz y orden públicos;</w:t>
      </w:r>
    </w:p>
    <w:p w:rsidR="004A4321" w:rsidRPr="00D4543D" w:rsidRDefault="004A432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 xml:space="preserve">XX. </w:t>
      </w:r>
      <w:r w:rsidR="00F435F1" w:rsidRPr="00D4543D">
        <w:rPr>
          <w:rFonts w:ascii="Palatino Linotype" w:hAnsi="Palatino Linotype" w:cs="Arial"/>
          <w:i/>
          <w:sz w:val="22"/>
          <w:szCs w:val="22"/>
        </w:rPr>
        <w:t>E</w:t>
      </w:r>
      <w:r w:rsidRPr="00D4543D">
        <w:rPr>
          <w:rFonts w:ascii="Palatino Linotype" w:hAnsi="Palatino Linotype" w:cs="Arial"/>
          <w:i/>
          <w:sz w:val="22"/>
          <w:szCs w:val="22"/>
        </w:rPr>
        <w:t>stablecer, integrar, supervisar, utilizar y mantener actualizados los instrumentos de información del Sistem</w:t>
      </w:r>
      <w:r w:rsidR="00F435F1" w:rsidRPr="00D4543D">
        <w:rPr>
          <w:rFonts w:ascii="Palatino Linotype" w:hAnsi="Palatino Linotype" w:cs="Arial"/>
          <w:i/>
          <w:sz w:val="22"/>
          <w:szCs w:val="22"/>
        </w:rPr>
        <w:t>a Nacional de Seguridad Pública q</w:t>
      </w:r>
      <w:r w:rsidRPr="00D4543D">
        <w:rPr>
          <w:rFonts w:ascii="Palatino Linotype" w:hAnsi="Palatino Linotype" w:cs="Arial"/>
          <w:i/>
          <w:sz w:val="22"/>
          <w:szCs w:val="22"/>
        </w:rPr>
        <w:t>ue le competan, mediante las bases de datos en materia de seguridad pública correspondientes;</w:t>
      </w:r>
    </w:p>
    <w:p w:rsidR="004A4321" w:rsidRPr="00D4543D" w:rsidRDefault="00F435F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XXI. O</w:t>
      </w:r>
      <w:r w:rsidR="004A4321" w:rsidRPr="00D4543D">
        <w:rPr>
          <w:rFonts w:ascii="Palatino Linotype" w:hAnsi="Palatino Linotype" w:cs="Arial"/>
          <w:i/>
          <w:sz w:val="22"/>
          <w:szCs w:val="22"/>
        </w:rPr>
        <w:t>rganizar, dirigir y administrar la recepción y transferencia de los reportes sobre emergencias, infracciones y delitos;</w:t>
      </w:r>
    </w:p>
    <w:p w:rsidR="004A4321" w:rsidRPr="00D4543D" w:rsidRDefault="00F435F1" w:rsidP="00F435F1">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XXII. C</w:t>
      </w:r>
      <w:r w:rsidR="004A4321" w:rsidRPr="00D4543D">
        <w:rPr>
          <w:rFonts w:ascii="Palatino Linotype" w:hAnsi="Palatino Linotype" w:cs="Arial"/>
          <w:i/>
          <w:sz w:val="22"/>
          <w:szCs w:val="22"/>
        </w:rPr>
        <w:t>oordinar planes y operativos para la defensa y protección del medio ambiente, a fin de preservar y salvagu</w:t>
      </w:r>
      <w:r w:rsidRPr="00D4543D">
        <w:rPr>
          <w:rFonts w:ascii="Palatino Linotype" w:hAnsi="Palatino Linotype" w:cs="Arial"/>
          <w:i/>
          <w:sz w:val="22"/>
          <w:szCs w:val="22"/>
        </w:rPr>
        <w:t>ardar los recursos naturales de l</w:t>
      </w:r>
      <w:r w:rsidR="004A4321" w:rsidRPr="00D4543D">
        <w:rPr>
          <w:rFonts w:ascii="Palatino Linotype" w:hAnsi="Palatino Linotype" w:cs="Arial"/>
          <w:i/>
          <w:sz w:val="22"/>
          <w:szCs w:val="22"/>
        </w:rPr>
        <w:t>a entidad; y</w:t>
      </w:r>
    </w:p>
    <w:p w:rsidR="00ED29C8" w:rsidRPr="00D4543D" w:rsidRDefault="004A4321" w:rsidP="00ED29C8">
      <w:pPr>
        <w:widowControl w:val="0"/>
        <w:tabs>
          <w:tab w:val="left" w:pos="1276"/>
        </w:tabs>
        <w:autoSpaceDE w:val="0"/>
        <w:autoSpaceDN w:val="0"/>
        <w:adjustRightInd w:val="0"/>
        <w:ind w:left="851" w:right="757"/>
        <w:jc w:val="both"/>
        <w:rPr>
          <w:rFonts w:ascii="Palatino Linotype" w:hAnsi="Palatino Linotype" w:cs="Arial"/>
          <w:i/>
          <w:sz w:val="22"/>
          <w:szCs w:val="22"/>
        </w:rPr>
      </w:pPr>
      <w:r w:rsidRPr="00D4543D">
        <w:rPr>
          <w:rFonts w:ascii="Palatino Linotype" w:hAnsi="Palatino Linotype" w:cs="Arial"/>
          <w:i/>
          <w:sz w:val="22"/>
          <w:szCs w:val="22"/>
        </w:rPr>
        <w:t>XXIII. as demás que le señalen otros ordenamientos jurídicos.</w:t>
      </w:r>
    </w:p>
    <w:p w:rsidR="00ED29C8" w:rsidRPr="00D4543D" w:rsidRDefault="00ED29C8" w:rsidP="00ED29C8">
      <w:pPr>
        <w:widowControl w:val="0"/>
        <w:tabs>
          <w:tab w:val="left" w:pos="1276"/>
        </w:tabs>
        <w:autoSpaceDE w:val="0"/>
        <w:autoSpaceDN w:val="0"/>
        <w:adjustRightInd w:val="0"/>
        <w:ind w:right="757"/>
        <w:jc w:val="both"/>
        <w:rPr>
          <w:rFonts w:ascii="Palatino Linotype" w:hAnsi="Palatino Linotype" w:cs="Arial"/>
          <w:i/>
          <w:sz w:val="22"/>
          <w:szCs w:val="22"/>
        </w:rPr>
      </w:pPr>
    </w:p>
    <w:p w:rsidR="00ED29C8" w:rsidRPr="00D4543D" w:rsidRDefault="00ED29C8" w:rsidP="00ED29C8">
      <w:pPr>
        <w:widowControl w:val="0"/>
        <w:tabs>
          <w:tab w:val="left" w:pos="1276"/>
          <w:tab w:val="left" w:pos="8080"/>
        </w:tabs>
        <w:autoSpaceDE w:val="0"/>
        <w:autoSpaceDN w:val="0"/>
        <w:adjustRightInd w:val="0"/>
        <w:spacing w:line="360" w:lineRule="auto"/>
        <w:ind w:right="51"/>
        <w:jc w:val="both"/>
        <w:rPr>
          <w:rFonts w:ascii="Palatino Linotype" w:hAnsi="Palatino Linotype"/>
        </w:rPr>
      </w:pPr>
      <w:r w:rsidRPr="00D4543D">
        <w:rPr>
          <w:rFonts w:ascii="Palatino Linotype" w:hAnsi="Palatino Linotype" w:cs="Arial"/>
        </w:rPr>
        <w:t xml:space="preserve">Una vez expuesto lo anterior y toda vez que han quedado claras las atribuciones de la Secretaría de Seguridad; es importante </w:t>
      </w:r>
      <w:r w:rsidR="00352FC7" w:rsidRPr="00D4543D">
        <w:rPr>
          <w:rFonts w:ascii="Palatino Linotype" w:hAnsi="Palatino Linotype" w:cs="Arial"/>
        </w:rPr>
        <w:t xml:space="preserve">señalar que de acuerdo a los convenios del Fondo de Aportaciones para la Seguridad Pública de los Estados y del Distrito Federal (FASP) y el subsidio denominado Programa de Fortalecimiento para la Seguridad (FOTASEG), corresponde a los Municipios (a través del servidor público designado por el Presidente o Presidenta Municipal) y el Estado de México (a través del </w:t>
      </w:r>
      <w:r w:rsidR="00352FC7" w:rsidRPr="00D4543D">
        <w:rPr>
          <w:rFonts w:ascii="Palatino Linotype" w:hAnsi="Palatino Linotype"/>
        </w:rPr>
        <w:t xml:space="preserve">titular del </w:t>
      </w:r>
      <w:r w:rsidR="00352FC7" w:rsidRPr="00D4543D">
        <w:rPr>
          <w:rFonts w:ascii="Palatino Linotype" w:hAnsi="Palatino Linotype"/>
          <w:u w:val="single"/>
        </w:rPr>
        <w:t>Secretariado Ejecutivo del Sistema Estatal de Seguridad Pública)</w:t>
      </w:r>
      <w:r w:rsidR="00352FC7" w:rsidRPr="00D4543D">
        <w:rPr>
          <w:rFonts w:ascii="Palatino Linotype" w:hAnsi="Palatino Linotype"/>
        </w:rPr>
        <w:t>, informar mensual y trimestralmente al  Secretariado a través de la Dirección General de Vinculación y Seguimiento</w:t>
      </w:r>
      <w:r w:rsidR="00352FC7" w:rsidRPr="00D4543D">
        <w:rPr>
          <w:rFonts w:ascii="Palatino Linotype" w:hAnsi="Palatino Linotype"/>
          <w:i/>
        </w:rPr>
        <w:t xml:space="preserve"> </w:t>
      </w:r>
      <w:r w:rsidR="00352FC7" w:rsidRPr="00D4543D">
        <w:rPr>
          <w:rFonts w:ascii="Palatino Linotype" w:hAnsi="Palatino Linotype"/>
        </w:rPr>
        <w:t xml:space="preserve">sobre las acciones realizadas con base a los convenios, así como los movimientos que presenten las cuentas bancarias, la situación en el </w:t>
      </w:r>
      <w:r w:rsidR="00352FC7" w:rsidRPr="00D4543D">
        <w:rPr>
          <w:rFonts w:ascii="Palatino Linotype" w:hAnsi="Palatino Linotype"/>
          <w:b/>
          <w:i/>
        </w:rPr>
        <w:t>ejercicio de los recursos y su destino</w:t>
      </w:r>
      <w:r w:rsidR="00352FC7" w:rsidRPr="00D4543D">
        <w:rPr>
          <w:rFonts w:ascii="Palatino Linotype" w:hAnsi="Palatino Linotype"/>
        </w:rPr>
        <w:t>, considerando el avance presupuestal y de cumplimiento de metas y las acciones efectuadas con rendimientos financieros, diferenciando para tal efecto el gasto comprometido, devengado, ejercido y pagado.</w:t>
      </w:r>
    </w:p>
    <w:p w:rsidR="00352FC7" w:rsidRPr="00D4543D" w:rsidRDefault="00352FC7" w:rsidP="00ED29C8">
      <w:pPr>
        <w:widowControl w:val="0"/>
        <w:tabs>
          <w:tab w:val="left" w:pos="1276"/>
          <w:tab w:val="left" w:pos="8080"/>
        </w:tabs>
        <w:autoSpaceDE w:val="0"/>
        <w:autoSpaceDN w:val="0"/>
        <w:adjustRightInd w:val="0"/>
        <w:spacing w:line="360" w:lineRule="auto"/>
        <w:ind w:right="51"/>
        <w:jc w:val="both"/>
        <w:rPr>
          <w:rFonts w:ascii="Palatino Linotype" w:eastAsia="MS Mincho" w:hAnsi="Palatino Linotype" w:cs="Arial"/>
          <w:b/>
          <w:bCs/>
          <w:color w:val="000000" w:themeColor="text1"/>
        </w:rPr>
      </w:pPr>
    </w:p>
    <w:p w:rsidR="00352FC7" w:rsidRPr="00D4543D" w:rsidRDefault="00352FC7" w:rsidP="00ED29C8">
      <w:pPr>
        <w:widowControl w:val="0"/>
        <w:tabs>
          <w:tab w:val="left" w:pos="1276"/>
          <w:tab w:val="left" w:pos="8080"/>
        </w:tabs>
        <w:autoSpaceDE w:val="0"/>
        <w:autoSpaceDN w:val="0"/>
        <w:adjustRightInd w:val="0"/>
        <w:spacing w:line="360" w:lineRule="auto"/>
        <w:ind w:right="51"/>
        <w:jc w:val="both"/>
        <w:rPr>
          <w:rFonts w:ascii="Palatino Linotype" w:hAnsi="Palatino Linotype"/>
        </w:rPr>
      </w:pPr>
      <w:r w:rsidRPr="00D4543D">
        <w:rPr>
          <w:rFonts w:ascii="Palatino Linotype" w:eastAsia="MS Mincho" w:hAnsi="Palatino Linotype" w:cs="Arial"/>
          <w:bCs/>
          <w:color w:val="000000" w:themeColor="text1"/>
        </w:rPr>
        <w:t>De igual manera, se puede advertir que la Secretaría de Finanzas cuenta con las facultades, atribuciones y competencias para conocer el destino y uso de los recursos federales, así como, registrar y reportar los avances financieros de los mismos.</w:t>
      </w:r>
    </w:p>
    <w:p w:rsidR="00ED29C8" w:rsidRPr="00D4543D" w:rsidRDefault="00ED29C8" w:rsidP="00ED29C8">
      <w:pPr>
        <w:widowControl w:val="0"/>
        <w:tabs>
          <w:tab w:val="left" w:pos="1276"/>
        </w:tabs>
        <w:autoSpaceDE w:val="0"/>
        <w:autoSpaceDN w:val="0"/>
        <w:adjustRightInd w:val="0"/>
        <w:ind w:right="757"/>
        <w:jc w:val="both"/>
        <w:rPr>
          <w:rFonts w:ascii="Palatino Linotype" w:hAnsi="Palatino Linotype" w:cs="Arial"/>
        </w:rPr>
      </w:pPr>
    </w:p>
    <w:p w:rsidR="00F435F1" w:rsidRPr="00D4543D" w:rsidRDefault="00297374" w:rsidP="00297374">
      <w:pPr>
        <w:widowControl w:val="0"/>
        <w:tabs>
          <w:tab w:val="left" w:pos="1276"/>
        </w:tabs>
        <w:autoSpaceDE w:val="0"/>
        <w:autoSpaceDN w:val="0"/>
        <w:adjustRightInd w:val="0"/>
        <w:spacing w:line="360" w:lineRule="auto"/>
        <w:ind w:right="49"/>
        <w:jc w:val="both"/>
        <w:rPr>
          <w:rFonts w:ascii="Palatino Linotype" w:hAnsi="Palatino Linotype" w:cs="Arial"/>
        </w:rPr>
      </w:pPr>
      <w:r w:rsidRPr="00D4543D">
        <w:rPr>
          <w:rFonts w:ascii="Palatino Linotype" w:hAnsi="Palatino Linotype" w:cs="Arial"/>
        </w:rPr>
        <w:t>Por ende, es clara</w:t>
      </w:r>
      <w:r w:rsidR="00352FC7" w:rsidRPr="00D4543D">
        <w:rPr>
          <w:rFonts w:ascii="Palatino Linotype" w:hAnsi="Palatino Linotype" w:cs="Arial"/>
        </w:rPr>
        <w:t xml:space="preserve"> la incompetencia por parte del </w:t>
      </w:r>
      <w:r w:rsidRPr="00D4543D">
        <w:rPr>
          <w:rFonts w:ascii="Palatino Linotype" w:hAnsi="Palatino Linotype" w:cs="Arial"/>
          <w:b/>
        </w:rPr>
        <w:t>SUJETO OBLIGADO</w:t>
      </w:r>
      <w:r w:rsidR="00352FC7" w:rsidRPr="00D4543D">
        <w:rPr>
          <w:rFonts w:ascii="Palatino Linotype" w:hAnsi="Palatino Linotype" w:cs="Arial"/>
        </w:rPr>
        <w:t>, para dar respuesta a la solicitud</w:t>
      </w:r>
      <w:r w:rsidRPr="00D4543D">
        <w:rPr>
          <w:rFonts w:ascii="Palatino Linotype" w:hAnsi="Palatino Linotype" w:cs="Arial"/>
        </w:rPr>
        <w:t xml:space="preserve"> en comento, en razón a </w:t>
      </w:r>
      <w:r w:rsidR="00F435F1" w:rsidRPr="00D4543D">
        <w:rPr>
          <w:rFonts w:ascii="Palatino Linotype" w:hAnsi="Palatino Linotype" w:cs="Arial"/>
          <w:lang w:eastAsia="es-MX"/>
        </w:rPr>
        <w:t>que no se actualiza el supuesto jurídico, previsto en los artículos 12 y 24 de la Ley de Transparencia y Acceso a la Información Pública del Estado de México y Municipios, que a la letra dicen:</w:t>
      </w:r>
    </w:p>
    <w:p w:rsidR="00F435F1" w:rsidRPr="00D4543D" w:rsidRDefault="00F435F1" w:rsidP="00F435F1">
      <w:pPr>
        <w:ind w:left="851" w:right="899"/>
        <w:jc w:val="both"/>
        <w:rPr>
          <w:rFonts w:ascii="Palatino Linotype" w:hAnsi="Palatino Linotype" w:cs="Arial"/>
          <w:i/>
          <w:sz w:val="22"/>
          <w:lang w:eastAsia="es-MX"/>
        </w:rPr>
      </w:pPr>
      <w:r w:rsidRPr="00D4543D">
        <w:rPr>
          <w:rFonts w:ascii="Palatino Linotype" w:hAnsi="Palatino Linotype" w:cs="Arial"/>
          <w:i/>
          <w:sz w:val="22"/>
          <w:lang w:eastAsia="es-MX"/>
        </w:rPr>
        <w:t>“</w:t>
      </w:r>
      <w:r w:rsidRPr="00D4543D">
        <w:rPr>
          <w:rFonts w:ascii="Palatino Linotype" w:hAnsi="Palatino Linotype" w:cs="Arial"/>
          <w:b/>
          <w:i/>
          <w:sz w:val="22"/>
          <w:lang w:eastAsia="es-MX"/>
        </w:rPr>
        <w:t>Artículo 12</w:t>
      </w:r>
      <w:r w:rsidRPr="00D4543D">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rsidR="00F435F1" w:rsidRPr="00D4543D" w:rsidRDefault="00F435F1" w:rsidP="00F435F1">
      <w:pPr>
        <w:ind w:left="851" w:right="899"/>
        <w:jc w:val="both"/>
        <w:rPr>
          <w:rFonts w:ascii="Palatino Linotype" w:hAnsi="Palatino Linotype" w:cs="Arial"/>
          <w:i/>
          <w:sz w:val="22"/>
          <w:lang w:eastAsia="es-MX"/>
        </w:rPr>
      </w:pPr>
      <w:r w:rsidRPr="00D4543D">
        <w:rPr>
          <w:rFonts w:ascii="Palatino Linotype" w:hAnsi="Palatino Linotype" w:cs="Arial"/>
          <w:i/>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435F1" w:rsidRPr="00D4543D" w:rsidRDefault="00F435F1" w:rsidP="00F435F1">
      <w:pPr>
        <w:ind w:left="851" w:right="899"/>
        <w:jc w:val="both"/>
        <w:rPr>
          <w:rFonts w:ascii="Palatino Linotype" w:hAnsi="Palatino Linotype" w:cs="Arial"/>
          <w:i/>
          <w:sz w:val="22"/>
          <w:lang w:eastAsia="es-MX"/>
        </w:rPr>
      </w:pPr>
      <w:r w:rsidRPr="00D4543D">
        <w:rPr>
          <w:rFonts w:ascii="Palatino Linotype" w:hAnsi="Palatino Linotype" w:cs="Arial"/>
          <w:b/>
          <w:i/>
          <w:sz w:val="22"/>
          <w:lang w:eastAsia="es-MX"/>
        </w:rPr>
        <w:t>Artículo 24.</w:t>
      </w:r>
      <w:r w:rsidRPr="00D4543D">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rsidR="00F435F1" w:rsidRPr="00D4543D" w:rsidRDefault="00F435F1" w:rsidP="00F435F1">
      <w:pPr>
        <w:ind w:left="851" w:right="899"/>
        <w:jc w:val="both"/>
        <w:rPr>
          <w:rFonts w:ascii="Palatino Linotype" w:hAnsi="Palatino Linotype" w:cs="Arial"/>
          <w:i/>
          <w:sz w:val="22"/>
          <w:lang w:eastAsia="es-MX"/>
        </w:rPr>
      </w:pPr>
      <w:r w:rsidRPr="00D4543D">
        <w:rPr>
          <w:rFonts w:ascii="Palatino Linotype" w:hAnsi="Palatino Linotype" w:cs="Arial"/>
          <w:b/>
          <w:i/>
          <w:sz w:val="22"/>
          <w:lang w:eastAsia="es-MX"/>
        </w:rPr>
        <w:t>…</w:t>
      </w:r>
    </w:p>
    <w:p w:rsidR="00F435F1" w:rsidRPr="00D4543D" w:rsidRDefault="00F435F1" w:rsidP="00F435F1">
      <w:pPr>
        <w:ind w:left="851" w:right="899"/>
        <w:jc w:val="both"/>
        <w:rPr>
          <w:rFonts w:ascii="Palatino Linotype" w:hAnsi="Palatino Linotype" w:cs="Arial"/>
          <w:i/>
          <w:sz w:val="22"/>
          <w:lang w:eastAsia="es-MX"/>
        </w:rPr>
      </w:pPr>
      <w:r w:rsidRPr="00D4543D">
        <w:rPr>
          <w:rFonts w:ascii="Palatino Linotype" w:hAnsi="Palatino Linotype" w:cs="Arial"/>
          <w:i/>
          <w:sz w:val="22"/>
          <w:lang w:eastAsia="es-MX"/>
        </w:rPr>
        <w:t>Los sujetos obligados solo proporcionarán la información pública que generen, administren o posean en el ejercicio de sus atribuciones.”</w:t>
      </w:r>
    </w:p>
    <w:p w:rsidR="003F6F2A" w:rsidRPr="00D4543D" w:rsidRDefault="003F6F2A" w:rsidP="003F6F2A">
      <w:pPr>
        <w:pStyle w:val="Prrafodelista"/>
        <w:widowControl w:val="0"/>
        <w:autoSpaceDE w:val="0"/>
        <w:autoSpaceDN w:val="0"/>
        <w:adjustRightInd w:val="0"/>
        <w:spacing w:before="200" w:after="200" w:line="360" w:lineRule="auto"/>
        <w:ind w:left="0"/>
        <w:jc w:val="both"/>
        <w:rPr>
          <w:rFonts w:ascii="Palatino Linotype" w:hAnsi="Palatino Linotype"/>
          <w:bCs/>
        </w:rPr>
      </w:pPr>
      <w:r w:rsidRPr="00D4543D">
        <w:rPr>
          <w:rFonts w:ascii="Palatino Linotype" w:hAnsi="Palatino Linotype"/>
          <w:bCs/>
        </w:rPr>
        <w:t xml:space="preserve">De lo hasta aquí expuesto se advierte que, </w:t>
      </w:r>
      <w:r w:rsidRPr="00D4543D">
        <w:rPr>
          <w:rFonts w:ascii="Palatino Linotype" w:hAnsi="Palatino Linotype"/>
          <w:b/>
          <w:bCs/>
        </w:rPr>
        <w:t>EL SUJETO OBLIGADO</w:t>
      </w:r>
      <w:r w:rsidRPr="00D4543D">
        <w:rPr>
          <w:rFonts w:ascii="Palatino Linotype" w:hAnsi="Palatino Linotype"/>
          <w:bCs/>
        </w:rPr>
        <w:t xml:space="preserve"> no es competente para conocer l</w:t>
      </w:r>
      <w:r w:rsidR="008E333A" w:rsidRPr="00D4543D">
        <w:rPr>
          <w:rFonts w:ascii="Palatino Linotype" w:hAnsi="Palatino Linotype"/>
          <w:bCs/>
        </w:rPr>
        <w:t xml:space="preserve">a información solicitada por el </w:t>
      </w:r>
      <w:r w:rsidRPr="00D4543D">
        <w:rPr>
          <w:rFonts w:ascii="Palatino Linotype" w:hAnsi="Palatino Linotype"/>
          <w:bCs/>
        </w:rPr>
        <w:t xml:space="preserve">hoy </w:t>
      </w:r>
      <w:r w:rsidRPr="00D4543D">
        <w:rPr>
          <w:rFonts w:ascii="Palatino Linotype" w:hAnsi="Palatino Linotype"/>
          <w:b/>
          <w:bCs/>
        </w:rPr>
        <w:t>RECURRENTE</w:t>
      </w:r>
      <w:r w:rsidRPr="00D4543D">
        <w:rPr>
          <w:rFonts w:ascii="Palatino Linotype" w:hAnsi="Palatino Linotype"/>
          <w:bCs/>
        </w:rPr>
        <w:t xml:space="preserve"> y ante la notoria incompetencia del </w:t>
      </w:r>
      <w:r w:rsidRPr="00D4543D">
        <w:rPr>
          <w:rFonts w:ascii="Palatino Linotype" w:hAnsi="Palatino Linotype"/>
          <w:b/>
          <w:bCs/>
        </w:rPr>
        <w:t>SUJETO OBLIGADO</w:t>
      </w:r>
      <w:r w:rsidRPr="00D4543D">
        <w:rPr>
          <w:rFonts w:ascii="Palatino Linotype" w:hAnsi="Palatino Linotype"/>
          <w:bCs/>
        </w:rPr>
        <w:t xml:space="preserve">, el Titular de la Unidad de Transparencia, en el ejercicio de sus atribuciones cuenta con la facultad potestativa de orientar o no al solicitante a fin de que pueda presentar su solicitud de información ante el o los Sujetos Obligados que resulten competentes; razón por la cual, </w:t>
      </w:r>
      <w:r w:rsidR="002D5BF1" w:rsidRPr="00D4543D">
        <w:rPr>
          <w:rFonts w:ascii="Palatino Linotype" w:hAnsi="Palatino Linotype" w:cs="Arial"/>
          <w:lang w:eastAsia="es-MX"/>
        </w:rPr>
        <w:t>en el mismo día hábil en que el particular ingreso la solicitud</w:t>
      </w:r>
      <w:r w:rsidR="002D5BF1" w:rsidRPr="00D4543D">
        <w:rPr>
          <w:rFonts w:ascii="Palatino Linotype" w:hAnsi="Palatino Linotype"/>
          <w:bCs/>
        </w:rPr>
        <w:t>,</w:t>
      </w:r>
      <w:r w:rsidR="002D5BF1" w:rsidRPr="00D4543D">
        <w:rPr>
          <w:rFonts w:ascii="Palatino Linotype" w:hAnsi="Palatino Linotype"/>
          <w:b/>
          <w:bCs/>
        </w:rPr>
        <w:t xml:space="preserve"> </w:t>
      </w:r>
      <w:r w:rsidRPr="00D4543D">
        <w:rPr>
          <w:rFonts w:ascii="Palatino Linotype" w:hAnsi="Palatino Linotype"/>
          <w:b/>
          <w:bCs/>
        </w:rPr>
        <w:t>EL SUJETO OBLIGADO</w:t>
      </w:r>
      <w:r w:rsidRPr="00D4543D">
        <w:rPr>
          <w:rFonts w:ascii="Palatino Linotype" w:hAnsi="Palatino Linotype"/>
          <w:bCs/>
        </w:rPr>
        <w:t xml:space="preserve"> en atención al Principio </w:t>
      </w:r>
      <w:r w:rsidRPr="00D4543D">
        <w:rPr>
          <w:rFonts w:ascii="Palatino Linotype" w:hAnsi="Palatino Linotype"/>
          <w:bCs/>
          <w:i/>
        </w:rPr>
        <w:t>pro persona</w:t>
      </w:r>
      <w:r w:rsidRPr="00D4543D">
        <w:rPr>
          <w:rFonts w:ascii="Palatino Linotype" w:hAnsi="Palatino Linotype"/>
          <w:bCs/>
        </w:rPr>
        <w:t>, establecido en el artículo 1 de nuestra Carta Magna, y relacionado con el diverso 8 de la Ley de Transparencia y Acceso a la Información Pública del Estado de México y Municipios, realizó la orientación correspondiente</w:t>
      </w:r>
      <w:r w:rsidR="008E333A" w:rsidRPr="00D4543D">
        <w:rPr>
          <w:rFonts w:ascii="Palatino Linotype" w:hAnsi="Palatino Linotype" w:cs="Arial"/>
          <w:lang w:eastAsia="es-MX"/>
        </w:rPr>
        <w:t xml:space="preserve"> al ciudadano, para que </w:t>
      </w:r>
      <w:r w:rsidR="008E333A" w:rsidRPr="00D4543D">
        <w:rPr>
          <w:rFonts w:ascii="Palatino Linotype" w:hAnsi="Palatino Linotype" w:cs="Arial"/>
          <w:lang w:eastAsia="es-MX"/>
        </w:rPr>
        <w:lastRenderedPageBreak/>
        <w:t>realizara una nueva solicitud de información ante diversos Sujetos Obligados; tales como: el Secretariado Ejecutivo del Sistema Nacional de Seguridad Nacional, Secretaría de Finanzas y Secretaría de la Contraloría, señalando el domicilio del primero y los medios electrónicos, tales como el SAIMEX y la Plataforma Nacional de Transparencia donde podría</w:t>
      </w:r>
      <w:r w:rsidR="002D5BF1" w:rsidRPr="00D4543D">
        <w:rPr>
          <w:rFonts w:ascii="Palatino Linotype" w:hAnsi="Palatino Linotype" w:cs="Arial"/>
          <w:lang w:eastAsia="es-MX"/>
        </w:rPr>
        <w:t xml:space="preserve"> realizar dichos requerimientos</w:t>
      </w:r>
      <w:r w:rsidR="008E333A" w:rsidRPr="00D4543D">
        <w:rPr>
          <w:rFonts w:ascii="Palatino Linotype" w:hAnsi="Palatino Linotype"/>
          <w:bCs/>
        </w:rPr>
        <w:t xml:space="preserve">; </w:t>
      </w:r>
      <w:r w:rsidRPr="00D4543D">
        <w:rPr>
          <w:rFonts w:ascii="Palatino Linotype" w:hAnsi="Palatino Linotype"/>
          <w:bCs/>
        </w:rPr>
        <w:t xml:space="preserve">a fin de robustecer lo anterior conviene citar el articulo 8 en comento y la tesis 1ª XXVI/2012 (10a) emitida por la Primera Sala de la Suprema Corte de Justicia de la Nación, cuyo tenor es el siguiente: </w:t>
      </w:r>
    </w:p>
    <w:p w:rsidR="003F6F2A" w:rsidRPr="00D4543D" w:rsidRDefault="003F6F2A" w:rsidP="003F6F2A">
      <w:pPr>
        <w:tabs>
          <w:tab w:val="left" w:pos="5322"/>
        </w:tabs>
        <w:autoSpaceDE w:val="0"/>
        <w:autoSpaceDN w:val="0"/>
        <w:adjustRightInd w:val="0"/>
        <w:spacing w:before="240" w:after="240"/>
        <w:ind w:left="851" w:right="899"/>
        <w:jc w:val="both"/>
        <w:rPr>
          <w:rFonts w:ascii="Palatino Linotype" w:hAnsi="Palatino Linotype"/>
          <w:i/>
          <w:sz w:val="22"/>
          <w:szCs w:val="22"/>
        </w:rPr>
      </w:pPr>
      <w:r w:rsidRPr="00D4543D">
        <w:rPr>
          <w:rFonts w:ascii="Palatino Linotype" w:hAnsi="Palatino Linotype"/>
          <w:b/>
          <w:i/>
          <w:sz w:val="22"/>
          <w:szCs w:val="22"/>
        </w:rPr>
        <w:t>“Artículo 8.</w:t>
      </w:r>
      <w:r w:rsidRPr="00D4543D">
        <w:rPr>
          <w:rFonts w:ascii="Palatino Linotype" w:hAnsi="Palatino Linotype"/>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3F6F2A" w:rsidRPr="00D4543D" w:rsidRDefault="003F6F2A" w:rsidP="003F6F2A">
      <w:pPr>
        <w:tabs>
          <w:tab w:val="left" w:pos="5322"/>
        </w:tabs>
        <w:autoSpaceDE w:val="0"/>
        <w:autoSpaceDN w:val="0"/>
        <w:adjustRightInd w:val="0"/>
        <w:spacing w:before="240" w:after="240"/>
        <w:ind w:left="851" w:right="899"/>
        <w:jc w:val="both"/>
        <w:rPr>
          <w:rFonts w:ascii="Palatino Linotype" w:hAnsi="Palatino Linotype"/>
          <w:i/>
          <w:sz w:val="22"/>
          <w:szCs w:val="22"/>
        </w:rPr>
      </w:pPr>
      <w:r w:rsidRPr="00D4543D">
        <w:rPr>
          <w:rFonts w:ascii="Palatino Linotype" w:hAnsi="Palatino Linotype"/>
          <w:i/>
          <w:sz w:val="22"/>
          <w:szCs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3F6F2A" w:rsidRPr="00D4543D" w:rsidRDefault="003F6F2A" w:rsidP="003F6F2A">
      <w:pPr>
        <w:tabs>
          <w:tab w:val="left" w:pos="5322"/>
        </w:tabs>
        <w:autoSpaceDE w:val="0"/>
        <w:autoSpaceDN w:val="0"/>
        <w:adjustRightInd w:val="0"/>
        <w:spacing w:before="240" w:after="240"/>
        <w:ind w:left="851" w:right="899"/>
        <w:jc w:val="both"/>
        <w:rPr>
          <w:rFonts w:ascii="Palatino Linotype" w:hAnsi="Palatino Linotype"/>
          <w:i/>
          <w:sz w:val="22"/>
          <w:szCs w:val="22"/>
        </w:rPr>
      </w:pPr>
      <w:r w:rsidRPr="00D4543D">
        <w:rPr>
          <w:rFonts w:ascii="Palatino Linotype" w:hAnsi="Palatino Linotype"/>
          <w:i/>
          <w:sz w:val="22"/>
          <w:szCs w:val="22"/>
        </w:rPr>
        <w:t>Para el caso de la interpretación se podrá tomar en cuenta los criterios, determinaciones y opiniones de los organismos nacionales e internacionales, en materia de transparencia y el derecho de acceso a la información.”</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 xml:space="preserve">“Época: Décima Época </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Registro: 2000263</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 xml:space="preserve">Instancia: Primer Sala </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Tipo de Tesis: Aislada</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 xml:space="preserve">Fuente: Gaceta del Semanario Judicial de la Federación </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 xml:space="preserve">Libro V, Febrero de 2012, Tomo 1 </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 xml:space="preserve">Materia (s): Constitucional </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 xml:space="preserve">Tesis: 1a. XXVI/2012 (10a.) </w:t>
      </w:r>
    </w:p>
    <w:p w:rsidR="003F6F2A" w:rsidRPr="00D4543D" w:rsidRDefault="003F6F2A" w:rsidP="003F6F2A">
      <w:pPr>
        <w:tabs>
          <w:tab w:val="left" w:pos="5322"/>
        </w:tabs>
        <w:autoSpaceDE w:val="0"/>
        <w:autoSpaceDN w:val="0"/>
        <w:adjustRightInd w:val="0"/>
        <w:ind w:left="851" w:right="902"/>
        <w:jc w:val="both"/>
        <w:rPr>
          <w:rFonts w:ascii="Palatino Linotype" w:hAnsi="Palatino Linotype"/>
          <w:i/>
          <w:sz w:val="22"/>
          <w:szCs w:val="22"/>
        </w:rPr>
      </w:pPr>
      <w:r w:rsidRPr="00D4543D">
        <w:rPr>
          <w:rFonts w:ascii="Palatino Linotype" w:hAnsi="Palatino Linotype"/>
          <w:i/>
          <w:sz w:val="22"/>
          <w:szCs w:val="22"/>
        </w:rPr>
        <w:t>Página: 1</w:t>
      </w:r>
    </w:p>
    <w:p w:rsidR="003F6F2A" w:rsidRPr="00D4543D" w:rsidRDefault="003F6F2A" w:rsidP="003F6F2A">
      <w:pPr>
        <w:tabs>
          <w:tab w:val="left" w:pos="5322"/>
        </w:tabs>
        <w:autoSpaceDE w:val="0"/>
        <w:autoSpaceDN w:val="0"/>
        <w:adjustRightInd w:val="0"/>
        <w:spacing w:before="240" w:after="240"/>
        <w:ind w:left="851" w:right="899"/>
        <w:jc w:val="both"/>
        <w:rPr>
          <w:rFonts w:ascii="Palatino Linotype" w:hAnsi="Palatino Linotype"/>
          <w:b/>
          <w:i/>
          <w:sz w:val="22"/>
          <w:szCs w:val="22"/>
        </w:rPr>
      </w:pPr>
      <w:r w:rsidRPr="00D4543D">
        <w:rPr>
          <w:rFonts w:ascii="Palatino Linotype" w:hAnsi="Palatino Linotype"/>
          <w:b/>
          <w:i/>
          <w:sz w:val="22"/>
          <w:szCs w:val="22"/>
        </w:rPr>
        <w:lastRenderedPageBreak/>
        <w:t>PRINCIPIO PRO PERSONAE. EL CONTENIDO Y ALCANCE DE LOS DERECHOS HUMANOS DEBEN ANALIZARSE A PARTIR DE AQUÉL.</w:t>
      </w:r>
    </w:p>
    <w:p w:rsidR="003F6F2A" w:rsidRPr="00D4543D" w:rsidRDefault="003F6F2A" w:rsidP="003F6F2A">
      <w:pPr>
        <w:tabs>
          <w:tab w:val="left" w:pos="5322"/>
        </w:tabs>
        <w:autoSpaceDE w:val="0"/>
        <w:autoSpaceDN w:val="0"/>
        <w:adjustRightInd w:val="0"/>
        <w:spacing w:before="240" w:after="240"/>
        <w:ind w:left="851" w:right="899"/>
        <w:jc w:val="both"/>
        <w:rPr>
          <w:rFonts w:ascii="Palatino Linotype" w:hAnsi="Palatino Linotype"/>
          <w:i/>
          <w:sz w:val="22"/>
          <w:szCs w:val="22"/>
        </w:rPr>
      </w:pPr>
      <w:r w:rsidRPr="00D4543D">
        <w:rPr>
          <w:rFonts w:ascii="Palatino Linotype" w:hAnsi="Palatino Linotype"/>
          <w:i/>
          <w:sz w:val="22"/>
          <w:szCs w:val="22"/>
        </w:rPr>
        <w:t>El </w:t>
      </w:r>
      <w:hyperlink r:id="rId9" w:history="1">
        <w:r w:rsidRPr="00D4543D">
          <w:rPr>
            <w:rFonts w:ascii="Palatino Linotype" w:hAnsi="Palatino Linotype"/>
            <w:i/>
            <w:sz w:val="22"/>
            <w:szCs w:val="22"/>
          </w:rPr>
          <w:t>segundo párrafo del artículo 1o. de la Constitución Política de los Estados Unidos Mexicanos</w:t>
        </w:r>
      </w:hyperlink>
      <w:r w:rsidRPr="00D4543D">
        <w:rPr>
          <w:rFonts w:ascii="Palatino Linotype" w:hAnsi="Palatino Linotype"/>
          <w:i/>
          <w:sz w:val="22"/>
          <w:szCs w:val="22"/>
        </w:rPr>
        <w:t xml:space="preserve">, exige que las normas relativas a los derechos humanos se interpretarán de conformidad con la propia Constitución y con los tratados internacionales de los que México es parte, de forma que favorezca ampliamente a las personas, lo que se traduce en la obligación de analizar el contenido y alcance de tales derechos a partir del principio pro personae que es un criterio hermenéutico que informa todo el Derecho Internacional de los Derechos Humanos, en virtud del cual debe acudirse a la norma más amplia, o a la interpretación más extensiva cuando se trata de reconocer derechos protegidos, e inversamente, a la norma o a la interpretación más restringida cuando se trata de establecer restricciones permanentes al ejercicio de los derechos o de su suspensión extraordinaria, es decir, dicho principio permite, por un lado, definir la plataforma de interpretación de los derechos humanos y, por otro, otorga un sentido protector a favor de la persona humana, pues ante la existencia de varias posibilidades de solución a un mismo problema, obliga a optar por la que protege en términos más amplios. Esto implica acudir a la norma jurídica que consagre el derecho más extenso y, por el contrario, al precepto legal más restrictivo si se trata de conocer las limitaciones legítimas que pueden establecerse a su ejercicio. Por tanto, la aplicación del principio pro personae en el análisis de los derechos humanos es un componente esencial que debe utilizarse imperiosamente en el establecimiento e interpretación de normas relacionadas con la protección de la persona, a efecto de lograr su adecuada protección y el desarrollo de la jurisprudencia emitida en la materia, de manera que represente el estándar mínimo a partir del cual deben entenderse las obligaciones estatales en este rubro. </w:t>
      </w:r>
    </w:p>
    <w:p w:rsidR="003F6F2A" w:rsidRPr="00D4543D" w:rsidRDefault="003F6F2A" w:rsidP="003F6F2A">
      <w:pPr>
        <w:tabs>
          <w:tab w:val="left" w:pos="5322"/>
        </w:tabs>
        <w:autoSpaceDE w:val="0"/>
        <w:autoSpaceDN w:val="0"/>
        <w:adjustRightInd w:val="0"/>
        <w:spacing w:before="240" w:after="240"/>
        <w:ind w:left="851" w:right="899"/>
        <w:jc w:val="both"/>
        <w:rPr>
          <w:rFonts w:ascii="Palatino Linotype" w:hAnsi="Palatino Linotype"/>
          <w:i/>
          <w:sz w:val="22"/>
          <w:szCs w:val="22"/>
        </w:rPr>
      </w:pPr>
      <w:r w:rsidRPr="00D4543D">
        <w:rPr>
          <w:rFonts w:ascii="Palatino Linotype" w:hAnsi="Palatino Linotype"/>
          <w:i/>
          <w:sz w:val="22"/>
          <w:szCs w:val="22"/>
        </w:rPr>
        <w:t>Amparo directo en revisión 2424/2011. Ma. Guadalupe Ruiz Dena. 18 de enero de 2012. Cinco votos. Ponente: José Ramón Cossío Díaz. Secretaria: Teresita del Niño Jesús Lúcia Segovia “ (Sic)</w:t>
      </w:r>
    </w:p>
    <w:p w:rsidR="003F6F2A" w:rsidRPr="00D4543D" w:rsidRDefault="003F6F2A" w:rsidP="003F6F2A">
      <w:pPr>
        <w:spacing w:line="360" w:lineRule="auto"/>
        <w:jc w:val="both"/>
        <w:rPr>
          <w:rFonts w:ascii="Palatino Linotype" w:eastAsia="Calibri" w:hAnsi="Palatino Linotype" w:cs="Arial"/>
          <w:b/>
        </w:rPr>
      </w:pPr>
      <w:r w:rsidRPr="00D4543D">
        <w:rPr>
          <w:rFonts w:ascii="Palatino Linotype" w:eastAsia="Calibri" w:hAnsi="Palatino Linotype" w:cs="Arial"/>
        </w:rPr>
        <w:t xml:space="preserve">No obstante; si bien es cierto que </w:t>
      </w:r>
      <w:r w:rsidRPr="00D4543D">
        <w:rPr>
          <w:rFonts w:ascii="Palatino Linotype" w:eastAsia="Calibri" w:hAnsi="Palatino Linotype" w:cs="Arial"/>
          <w:b/>
        </w:rPr>
        <w:t xml:space="preserve">EL SUJETO OBLIGADO </w:t>
      </w:r>
      <w:r w:rsidR="002D5BF1" w:rsidRPr="00D4543D">
        <w:rPr>
          <w:rFonts w:ascii="Palatino Linotype" w:eastAsia="Calibri" w:hAnsi="Palatino Linotype" w:cs="Arial"/>
        </w:rPr>
        <w:t xml:space="preserve">emitió un pronunciamiento señalando su incompetencia y también orientó al particular sobre los Sujetos Obligados que pudieran contar con la información, a efecto de dar cumplimiento con lo establecido </w:t>
      </w:r>
      <w:r w:rsidRPr="00D4543D">
        <w:rPr>
          <w:rFonts w:ascii="Palatino Linotype" w:eastAsia="Calibri" w:hAnsi="Palatino Linotype" w:cs="Arial"/>
        </w:rPr>
        <w:t xml:space="preserve">en el artículo 167 de la Ley de Transparencia y Acceso a la Información Pública, que indica que cuando </w:t>
      </w:r>
      <w:r w:rsidRPr="00D4543D">
        <w:rPr>
          <w:rFonts w:ascii="Palatino Linotype" w:eastAsia="Calibri" w:hAnsi="Palatino Linotype" w:cs="Arial"/>
          <w:b/>
        </w:rPr>
        <w:t>EL SUJETO OBLIGADO</w:t>
      </w:r>
      <w:r w:rsidRPr="00D4543D">
        <w:rPr>
          <w:rFonts w:ascii="Palatino Linotype" w:eastAsia="Calibri" w:hAnsi="Palatino Linotype" w:cs="Arial"/>
        </w:rPr>
        <w:t xml:space="preserve"> sea incompetente para dar </w:t>
      </w:r>
      <w:r w:rsidRPr="00D4543D">
        <w:rPr>
          <w:rFonts w:ascii="Palatino Linotype" w:eastAsia="Calibri" w:hAnsi="Palatino Linotype" w:cs="Arial"/>
        </w:rPr>
        <w:lastRenderedPageBreak/>
        <w:t xml:space="preserve">contestación a la solicitud de información deberá notificar al particular y de ser el caso orientarlo con el Sujeto Obligado competente; por ello, dicha incompetencia tiene que ser aprobada por el Comité de Transparencia del </w:t>
      </w:r>
      <w:r w:rsidRPr="00D4543D">
        <w:rPr>
          <w:rFonts w:ascii="Palatino Linotype" w:eastAsia="Calibri" w:hAnsi="Palatino Linotype" w:cs="Arial"/>
          <w:b/>
        </w:rPr>
        <w:t>SUJETO OBLIGADO</w:t>
      </w:r>
      <w:r w:rsidRPr="00D4543D">
        <w:rPr>
          <w:rFonts w:ascii="Palatino Linotype" w:eastAsia="Calibri" w:hAnsi="Palatino Linotype" w:cs="Arial"/>
        </w:rPr>
        <w:t xml:space="preserve"> en términos del artículo 49, fracciones I y II de la Ley de la materia, que literalmente señala:</w:t>
      </w:r>
    </w:p>
    <w:p w:rsidR="003F6F2A" w:rsidRPr="00D4543D" w:rsidRDefault="003F6F2A" w:rsidP="003F6F2A">
      <w:pPr>
        <w:ind w:left="709" w:right="757"/>
        <w:jc w:val="both"/>
        <w:rPr>
          <w:rFonts w:ascii="Palatino Linotype" w:eastAsia="Calibri" w:hAnsi="Palatino Linotype" w:cs="Arial"/>
          <w:i/>
          <w:sz w:val="22"/>
        </w:rPr>
      </w:pPr>
      <w:r w:rsidRPr="00D4543D">
        <w:rPr>
          <w:rFonts w:ascii="Palatino Linotype" w:eastAsia="Calibri" w:hAnsi="Palatino Linotype" w:cs="Arial"/>
          <w:i/>
          <w:sz w:val="22"/>
        </w:rPr>
        <w:t>“</w:t>
      </w:r>
      <w:r w:rsidRPr="00D4543D">
        <w:rPr>
          <w:rFonts w:ascii="Palatino Linotype" w:eastAsia="Calibri" w:hAnsi="Palatino Linotype" w:cs="Arial"/>
          <w:b/>
          <w:i/>
          <w:sz w:val="22"/>
        </w:rPr>
        <w:t>Artículo 49</w:t>
      </w:r>
      <w:r w:rsidRPr="00D4543D">
        <w:rPr>
          <w:rFonts w:ascii="Palatino Linotype" w:eastAsia="Calibri" w:hAnsi="Palatino Linotype" w:cs="Arial"/>
          <w:i/>
          <w:sz w:val="22"/>
        </w:rPr>
        <w:t>. Los Comités de Transparencia tendrán las siguientes atribuciones:</w:t>
      </w:r>
    </w:p>
    <w:p w:rsidR="003F6F2A" w:rsidRPr="00D4543D" w:rsidRDefault="003F6F2A" w:rsidP="003F6F2A">
      <w:pPr>
        <w:ind w:left="709" w:right="757"/>
        <w:jc w:val="both"/>
        <w:rPr>
          <w:rFonts w:ascii="Palatino Linotype" w:eastAsia="Calibri" w:hAnsi="Palatino Linotype" w:cs="Arial"/>
          <w:i/>
          <w:sz w:val="8"/>
          <w:szCs w:val="8"/>
        </w:rPr>
      </w:pPr>
    </w:p>
    <w:p w:rsidR="003F6F2A" w:rsidRPr="00D4543D" w:rsidRDefault="003F6F2A" w:rsidP="003F6F2A">
      <w:pPr>
        <w:ind w:left="709" w:right="757"/>
        <w:jc w:val="both"/>
        <w:rPr>
          <w:rFonts w:ascii="Palatino Linotype" w:eastAsia="Calibri" w:hAnsi="Palatino Linotype" w:cs="Arial"/>
          <w:i/>
          <w:sz w:val="22"/>
        </w:rPr>
      </w:pPr>
      <w:r w:rsidRPr="00D4543D">
        <w:rPr>
          <w:rFonts w:ascii="Palatino Linotype" w:eastAsia="Calibri" w:hAnsi="Palatino Linotype" w:cs="Arial"/>
          <w:b/>
          <w:i/>
          <w:sz w:val="22"/>
        </w:rPr>
        <w:t>I</w:t>
      </w:r>
      <w:r w:rsidRPr="00D4543D">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3F6F2A" w:rsidRPr="00D4543D" w:rsidRDefault="003F6F2A" w:rsidP="003F6F2A">
      <w:pPr>
        <w:ind w:left="709" w:right="757"/>
        <w:jc w:val="both"/>
        <w:rPr>
          <w:rFonts w:ascii="Palatino Linotype" w:eastAsia="Calibri" w:hAnsi="Palatino Linotype" w:cs="Arial"/>
          <w:i/>
          <w:sz w:val="22"/>
        </w:rPr>
      </w:pPr>
    </w:p>
    <w:p w:rsidR="003F6F2A" w:rsidRPr="00D4543D" w:rsidRDefault="003F6F2A" w:rsidP="003F6F2A">
      <w:pPr>
        <w:ind w:left="709" w:right="757"/>
        <w:jc w:val="both"/>
        <w:rPr>
          <w:rFonts w:ascii="Palatino Linotype" w:eastAsia="Calibri" w:hAnsi="Palatino Linotype" w:cs="Arial"/>
          <w:i/>
          <w:sz w:val="22"/>
        </w:rPr>
      </w:pPr>
      <w:r w:rsidRPr="00D4543D">
        <w:rPr>
          <w:rFonts w:ascii="Palatino Linotype" w:eastAsia="Calibri" w:hAnsi="Palatino Linotype" w:cs="Arial"/>
          <w:b/>
          <w:i/>
          <w:sz w:val="22"/>
        </w:rPr>
        <w:t>II</w:t>
      </w:r>
      <w:r w:rsidRPr="00D4543D">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3F6F2A" w:rsidRDefault="00A26438" w:rsidP="003F6F2A">
      <w:p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noProof/>
          <w:lang w:val="es-ES"/>
        </w:rPr>
        <mc:AlternateContent>
          <mc:Choice Requires="wps">
            <w:drawing>
              <wp:anchor distT="0" distB="0" distL="114300" distR="114300" simplePos="0" relativeHeight="251713536" behindDoc="0" locked="0" layoutInCell="1" allowOverlap="1">
                <wp:simplePos x="0" y="0"/>
                <wp:positionH relativeFrom="column">
                  <wp:posOffset>-41910</wp:posOffset>
                </wp:positionH>
                <wp:positionV relativeFrom="paragraph">
                  <wp:posOffset>3484244</wp:posOffset>
                </wp:positionV>
                <wp:extent cx="5810250" cy="12477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5810250" cy="1247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6F6522" id="Conector recto 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3pt,274.35pt" to="454.2pt,3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" strokecolor="#5b9bd5 [3204]" strokeweight=".5pt">
                <v:stroke joinstyle="miter"/>
              </v:line>
            </w:pict>
          </mc:Fallback>
        </mc:AlternateContent>
      </w:r>
      <w:r w:rsidR="003F6F2A" w:rsidRPr="00D4543D">
        <w:rPr>
          <w:rFonts w:ascii="Palatino Linotype" w:eastAsia="Calibri" w:hAnsi="Palatino Linotype" w:cs="Arial"/>
        </w:rPr>
        <w:t xml:space="preserve">En efecto, si </w:t>
      </w:r>
      <w:r w:rsidR="003F6F2A" w:rsidRPr="00D4543D">
        <w:rPr>
          <w:rFonts w:ascii="Palatino Linotype" w:eastAsia="Calibri" w:hAnsi="Palatino Linotype" w:cs="Arial"/>
          <w:b/>
        </w:rPr>
        <w:t>EL SUJETO OBLIGADO</w:t>
      </w:r>
      <w:r w:rsidR="003F6F2A" w:rsidRPr="00D4543D">
        <w:rPr>
          <w:rFonts w:ascii="Palatino Linotype" w:eastAsia="Calibri" w:hAnsi="Palatino Linotype" w:cs="Arial"/>
        </w:rPr>
        <w:t xml:space="preserve"> no tiene competencia para administrar, generar o poseer la información en estudio, lo correcto es que dicha incompetencia debe ser confirmada, modificada o revocada por el Comité de Transparencia del </w:t>
      </w:r>
      <w:r w:rsidR="003F6F2A" w:rsidRPr="00D4543D">
        <w:rPr>
          <w:rFonts w:ascii="Palatino Linotype" w:eastAsia="Calibri" w:hAnsi="Palatino Linotype" w:cs="Arial"/>
          <w:b/>
        </w:rPr>
        <w:t>SUJETO OBLIGADO</w:t>
      </w:r>
      <w:r w:rsidR="003F6F2A" w:rsidRPr="00D4543D">
        <w:rPr>
          <w:rFonts w:ascii="Palatino Linotype" w:eastAsia="Calibri" w:hAnsi="Palatino Linotype" w:cs="Arial"/>
        </w:rPr>
        <w:t xml:space="preserve"> en términos del precepto legal referido, razón por la cual se considera viable </w:t>
      </w:r>
      <w:r w:rsidR="002D5BF1" w:rsidRPr="00D4543D">
        <w:rPr>
          <w:rFonts w:ascii="Palatino Linotype" w:eastAsia="Calibri" w:hAnsi="Palatino Linotype" w:cs="Arial"/>
          <w:b/>
        </w:rPr>
        <w:t xml:space="preserve">ORDENAR </w:t>
      </w:r>
      <w:r w:rsidR="003F6F2A" w:rsidRPr="00D4543D">
        <w:rPr>
          <w:rFonts w:ascii="Palatino Linotype" w:eastAsia="Calibri" w:hAnsi="Palatino Linotype" w:cs="Arial"/>
        </w:rPr>
        <w:t xml:space="preserve">al </w:t>
      </w:r>
      <w:r w:rsidR="003F6F2A" w:rsidRPr="00D4543D">
        <w:rPr>
          <w:rFonts w:ascii="Palatino Linotype" w:eastAsia="Calibri" w:hAnsi="Palatino Linotype" w:cs="Arial"/>
          <w:b/>
        </w:rPr>
        <w:t>SUJETO OBLIGADO</w:t>
      </w:r>
      <w:r w:rsidR="003F6F2A" w:rsidRPr="00D4543D">
        <w:rPr>
          <w:rFonts w:ascii="Palatino Linotype" w:eastAsia="Calibri" w:hAnsi="Palatino Linotype" w:cs="Arial"/>
        </w:rPr>
        <w:t xml:space="preserve"> realizar a través de su Comité de Transparencia, el Acuerdo mediante el cual se confirme la incompetencia declarada por el Titular de la Unidad de Transparencia, respecto a la solicitud de información presentada por la particular, debiendo notificarle de igual</w:t>
      </w:r>
      <w:r w:rsidR="00253324" w:rsidRPr="00D4543D">
        <w:rPr>
          <w:rFonts w:ascii="Palatino Linotype" w:eastAsia="Calibri" w:hAnsi="Palatino Linotype" w:cs="Arial"/>
        </w:rPr>
        <w:t xml:space="preserve"> forma el Acuerdo de referencia, lo anterior, toda vez que la orientación a los sujetos obl</w:t>
      </w:r>
      <w:r w:rsidR="00D4543D" w:rsidRPr="00D4543D">
        <w:rPr>
          <w:rFonts w:ascii="Palatino Linotype" w:eastAsia="Calibri" w:hAnsi="Palatino Linotype" w:cs="Arial"/>
        </w:rPr>
        <w:t>igados fue de manera posterior, aunado a que a través de la respuesta refiere que se adjunta el Acuerdo correspondiente.</w:t>
      </w:r>
    </w:p>
    <w:p w:rsidR="00A26438" w:rsidRPr="00D4543D" w:rsidRDefault="00A26438" w:rsidP="003F6F2A">
      <w:pPr>
        <w:spacing w:before="100" w:beforeAutospacing="1" w:after="100" w:afterAutospacing="1" w:line="360" w:lineRule="auto"/>
        <w:jc w:val="both"/>
        <w:rPr>
          <w:rFonts w:ascii="Palatino Linotype" w:eastAsia="Calibri" w:hAnsi="Palatino Linotype" w:cs="Arial"/>
        </w:rPr>
      </w:pPr>
    </w:p>
    <w:p w:rsidR="00D4543D" w:rsidRPr="00D4543D" w:rsidRDefault="00D4543D" w:rsidP="003F6F2A">
      <w:pPr>
        <w:spacing w:before="100" w:beforeAutospacing="1" w:after="100" w:afterAutospacing="1" w:line="360" w:lineRule="auto"/>
        <w:jc w:val="both"/>
        <w:rPr>
          <w:rFonts w:ascii="Palatino Linotype" w:eastAsia="Calibri" w:hAnsi="Palatino Linotype" w:cs="Arial"/>
        </w:rPr>
      </w:pPr>
      <w:r w:rsidRPr="00D4543D">
        <w:rPr>
          <w:noProof/>
          <w:lang w:val="es-ES"/>
        </w:rPr>
        <mc:AlternateContent>
          <mc:Choice Requires="wps">
            <w:drawing>
              <wp:anchor distT="0" distB="0" distL="114300" distR="114300" simplePos="0" relativeHeight="251709440" behindDoc="0" locked="0" layoutInCell="1" allowOverlap="1">
                <wp:simplePos x="0" y="0"/>
                <wp:positionH relativeFrom="column">
                  <wp:posOffset>1341755</wp:posOffset>
                </wp:positionH>
                <wp:positionV relativeFrom="paragraph">
                  <wp:posOffset>2143125</wp:posOffset>
                </wp:positionV>
                <wp:extent cx="1385086" cy="6672"/>
                <wp:effectExtent l="0" t="0" r="24765" b="31750"/>
                <wp:wrapNone/>
                <wp:docPr id="3" name="Conector recto 3"/>
                <wp:cNvGraphicFramePr/>
                <a:graphic xmlns:a="http://schemas.openxmlformats.org/drawingml/2006/main">
                  <a:graphicData uri="http://schemas.microsoft.com/office/word/2010/wordprocessingShape">
                    <wps:wsp>
                      <wps:cNvCnPr/>
                      <wps:spPr>
                        <a:xfrm>
                          <a:off x="0" y="0"/>
                          <a:ext cx="1385086" cy="66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E43A8" id="Conector recto 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168.75pt" to="214.7pt,1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" strokecolor="#5b9bd5 [3204]" strokeweight=".5pt">
                <v:stroke joinstyle="miter"/>
              </v:line>
            </w:pict>
          </mc:Fallback>
        </mc:AlternateContent>
      </w:r>
    </w:p>
    <w:p w:rsidR="00FF603D" w:rsidRPr="00D4543D" w:rsidRDefault="002510E0" w:rsidP="002D5BF1">
      <w:pPr>
        <w:spacing w:before="100" w:beforeAutospacing="1" w:after="100" w:afterAutospacing="1" w:line="360" w:lineRule="auto"/>
        <w:jc w:val="both"/>
        <w:rPr>
          <w:rFonts w:ascii="Palatino Linotype" w:hAnsi="Palatino Linotype" w:cs="Arial"/>
          <w:lang w:eastAsia="es-MX"/>
        </w:rPr>
      </w:pPr>
      <w:r>
        <w:rPr>
          <w:noProof/>
          <w:lang w:val="es-ES"/>
        </w:rPr>
        <w:lastRenderedPageBreak/>
        <w:drawing>
          <wp:inline distT="0" distB="0" distL="0" distR="0" wp14:anchorId="13677F9B" wp14:editId="3BC1A7BF">
            <wp:extent cx="5791835" cy="3371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371850"/>
                    </a:xfrm>
                    <a:prstGeom prst="rect">
                      <a:avLst/>
                    </a:prstGeom>
                  </pic:spPr>
                </pic:pic>
              </a:graphicData>
            </a:graphic>
          </wp:inline>
        </w:drawing>
      </w:r>
      <w:r w:rsidR="003F6F2A" w:rsidRPr="00D4543D">
        <w:rPr>
          <w:rFonts w:ascii="Palatino Linotype" w:hAnsi="Palatino Linotype" w:cs="Arial"/>
          <w:lang w:eastAsia="es-MX"/>
        </w:rPr>
        <w:t xml:space="preserve">Por consiguiente, las razones y motivos de inconformidad señalados por </w:t>
      </w:r>
      <w:r w:rsidR="003F6F2A" w:rsidRPr="00D4543D">
        <w:rPr>
          <w:rFonts w:ascii="Palatino Linotype" w:hAnsi="Palatino Linotype" w:cs="Arial"/>
          <w:b/>
          <w:lang w:eastAsia="es-MX"/>
        </w:rPr>
        <w:t>EL RECURRENTE</w:t>
      </w:r>
      <w:r w:rsidR="003F6F2A" w:rsidRPr="00D4543D">
        <w:rPr>
          <w:rFonts w:ascii="Palatino Linotype" w:hAnsi="Palatino Linotype" w:cs="Arial"/>
          <w:lang w:eastAsia="es-MX"/>
        </w:rPr>
        <w:t xml:space="preserve"> respecto de que </w:t>
      </w:r>
      <w:r w:rsidR="003F6F2A" w:rsidRPr="00D4543D">
        <w:rPr>
          <w:rFonts w:ascii="Palatino Linotype" w:hAnsi="Palatino Linotype" w:cs="Arial"/>
          <w:b/>
          <w:lang w:eastAsia="es-MX"/>
        </w:rPr>
        <w:t xml:space="preserve">EL SUJETO OBLIGADO </w:t>
      </w:r>
      <w:r w:rsidR="003F6F2A" w:rsidRPr="00D4543D">
        <w:rPr>
          <w:rFonts w:ascii="Palatino Linotype" w:hAnsi="Palatino Linotype" w:cs="Arial"/>
          <w:lang w:eastAsia="es-MX"/>
        </w:rPr>
        <w:t xml:space="preserve">no le entregó ninguna información, resultan </w:t>
      </w:r>
      <w:r w:rsidR="00D4543D" w:rsidRPr="00D4543D">
        <w:rPr>
          <w:rFonts w:ascii="Palatino Linotype" w:hAnsi="Palatino Linotype" w:cs="Arial"/>
          <w:b/>
          <w:lang w:eastAsia="es-MX"/>
        </w:rPr>
        <w:t>parcialmente fundadas</w:t>
      </w:r>
      <w:r w:rsidR="003F6F2A" w:rsidRPr="00D4543D">
        <w:rPr>
          <w:rFonts w:ascii="Palatino Linotype" w:hAnsi="Palatino Linotype" w:cs="Arial"/>
          <w:lang w:eastAsia="es-MX"/>
        </w:rPr>
        <w:t xml:space="preserve"> ya que, del análisis a la normativa que lo rige, no se advierte atribución alguna que lo constriña a contar con la informaci</w:t>
      </w:r>
      <w:r w:rsidR="002D5BF1" w:rsidRPr="00D4543D">
        <w:rPr>
          <w:rFonts w:ascii="Palatino Linotype" w:hAnsi="Palatino Linotype" w:cs="Arial"/>
          <w:lang w:eastAsia="es-MX"/>
        </w:rPr>
        <w:t xml:space="preserve">ón solicitada por el particular; </w:t>
      </w:r>
      <w:r w:rsidR="00F435F1" w:rsidRPr="00D4543D">
        <w:rPr>
          <w:rFonts w:ascii="Palatino Linotype" w:eastAsia="Calibri" w:hAnsi="Palatino Linotype" w:cs="Arial"/>
        </w:rPr>
        <w:t xml:space="preserve">por lo que, lo procedente es </w:t>
      </w:r>
      <w:r w:rsidR="002D5BF1" w:rsidRPr="00D4543D">
        <w:rPr>
          <w:rFonts w:ascii="Palatino Linotype" w:eastAsia="Calibri" w:hAnsi="Palatino Linotype" w:cs="Arial"/>
          <w:b/>
        </w:rPr>
        <w:t xml:space="preserve">MODIFICAR </w:t>
      </w:r>
      <w:r w:rsidR="00F435F1" w:rsidRPr="00D4543D">
        <w:rPr>
          <w:rFonts w:ascii="Palatino Linotype" w:eastAsia="Calibri" w:hAnsi="Palatino Linotype" w:cs="Arial"/>
        </w:rPr>
        <w:t xml:space="preserve">la respuesta del </w:t>
      </w:r>
      <w:r w:rsidR="00F435F1" w:rsidRPr="00D4543D">
        <w:rPr>
          <w:rFonts w:ascii="Palatino Linotype" w:eastAsia="Calibri" w:hAnsi="Palatino Linotype" w:cs="Arial"/>
          <w:b/>
        </w:rPr>
        <w:t>SUJETO OBLIGADO</w:t>
      </w:r>
      <w:r w:rsidR="002D5BF1" w:rsidRPr="00D4543D">
        <w:rPr>
          <w:rFonts w:ascii="Palatino Linotype" w:eastAsia="Calibri" w:hAnsi="Palatino Linotype" w:cs="Arial"/>
        </w:rPr>
        <w:t xml:space="preserve"> y ordenar haga entrega del Acuerdo d</w:t>
      </w:r>
      <w:r w:rsidR="00D4543D" w:rsidRPr="00D4543D">
        <w:rPr>
          <w:rFonts w:ascii="Palatino Linotype" w:eastAsia="Calibri" w:hAnsi="Palatino Linotype" w:cs="Arial"/>
        </w:rPr>
        <w:t xml:space="preserve">e Incompetencia correspondiente, a efecto de otorgarle certeza jurídica al particular. </w:t>
      </w:r>
    </w:p>
    <w:p w:rsidR="00A26438" w:rsidRPr="002510E0" w:rsidRDefault="00AD28D3" w:rsidP="002510E0">
      <w:pPr>
        <w:spacing w:line="360" w:lineRule="auto"/>
        <w:jc w:val="both"/>
        <w:rPr>
          <w:rFonts w:ascii="Palatino Linotype" w:eastAsia="Calibri" w:hAnsi="Palatino Linotype" w:cs="Arial"/>
        </w:rPr>
      </w:pPr>
      <w:r w:rsidRPr="00D4543D">
        <w:rPr>
          <w:rFonts w:ascii="Palatino Linotype" w:eastAsia="Calibri" w:hAnsi="Palatino Linotype" w:cs="Arial"/>
        </w:rPr>
        <w:t xml:space="preserve">Así, con fundamento en lo prescrito en los artículos 5, párrafos </w:t>
      </w:r>
      <w:r w:rsidRPr="00D4543D">
        <w:rPr>
          <w:rFonts w:ascii="Palatino Linotype" w:hAnsi="Palatino Linotype"/>
        </w:rPr>
        <w:t>vigésimo</w:t>
      </w:r>
      <w:r w:rsidR="00641DF3" w:rsidRPr="00D4543D">
        <w:rPr>
          <w:rFonts w:ascii="Palatino Linotype" w:hAnsi="Palatino Linotype"/>
        </w:rPr>
        <w:t xml:space="preserve"> segundo, vigésimo tercero y vigésimo cuarto</w:t>
      </w:r>
      <w:r w:rsidRPr="00D4543D">
        <w:rPr>
          <w:rFonts w:ascii="Palatino Linotype" w:hAnsi="Palatino Linotype"/>
        </w:rPr>
        <w:t xml:space="preserve">, fracciones IV y V </w:t>
      </w:r>
      <w:r w:rsidRPr="00D4543D">
        <w:rPr>
          <w:rFonts w:ascii="Palatino Linotype" w:eastAsia="Calibri" w:hAnsi="Palatino Linotype" w:cs="Arial"/>
        </w:rPr>
        <w:t xml:space="preserve">de la Constitución Política del Estado Libre y Soberano de México; </w:t>
      </w:r>
      <w:r w:rsidRPr="00D4543D">
        <w:rPr>
          <w:rFonts w:ascii="Palatino Linotype" w:hAnsi="Palatino Linotype" w:cs="Arial"/>
        </w:rPr>
        <w:t>2, fracción II, 9, 29, 36, fracciones I y II, 176, 178, 179, 181, 185, fracción I, 186 y 188</w:t>
      </w:r>
      <w:r w:rsidRPr="00D4543D">
        <w:rPr>
          <w:rFonts w:ascii="Palatino Linotype" w:eastAsia="Calibri" w:hAnsi="Palatino Linotype" w:cs="Arial"/>
        </w:rPr>
        <w:t xml:space="preserve"> de la Ley de Transparencia y Acceso a la Información Pública del Estado de M</w:t>
      </w:r>
      <w:r w:rsidR="00524352" w:rsidRPr="00D4543D">
        <w:rPr>
          <w:rFonts w:ascii="Palatino Linotype" w:eastAsia="Calibri" w:hAnsi="Palatino Linotype" w:cs="Arial"/>
        </w:rPr>
        <w:t>éxico y Municipios, este Pleno:</w:t>
      </w:r>
      <w:bookmarkStart w:id="1" w:name="_GoBack"/>
      <w:bookmarkEnd w:id="1"/>
    </w:p>
    <w:p w:rsidR="00AD28D3" w:rsidRPr="00A26438" w:rsidRDefault="00AD28D3" w:rsidP="00524352">
      <w:pPr>
        <w:spacing w:line="360" w:lineRule="auto"/>
        <w:jc w:val="center"/>
        <w:rPr>
          <w:rFonts w:ascii="Palatino Linotype" w:hAnsi="Palatino Linotype" w:cs="Arial"/>
          <w:b/>
          <w:spacing w:val="44"/>
          <w:sz w:val="28"/>
          <w:szCs w:val="28"/>
          <w:lang w:val="pt-BR"/>
        </w:rPr>
      </w:pPr>
      <w:r w:rsidRPr="00A26438">
        <w:rPr>
          <w:rFonts w:ascii="Palatino Linotype" w:hAnsi="Palatino Linotype" w:cs="Arial"/>
          <w:b/>
          <w:spacing w:val="44"/>
          <w:sz w:val="28"/>
          <w:szCs w:val="28"/>
          <w:lang w:val="pt-BR"/>
        </w:rPr>
        <w:lastRenderedPageBreak/>
        <w:t>RESUELVE</w:t>
      </w:r>
    </w:p>
    <w:p w:rsidR="00A26438" w:rsidRPr="00A26438" w:rsidRDefault="00A26438" w:rsidP="00524352">
      <w:pPr>
        <w:spacing w:line="360" w:lineRule="auto"/>
        <w:jc w:val="center"/>
        <w:rPr>
          <w:rFonts w:ascii="Palatino Linotype" w:eastAsia="Calibri" w:hAnsi="Palatino Linotype" w:cs="Arial"/>
          <w:sz w:val="28"/>
          <w:szCs w:val="28"/>
        </w:rPr>
      </w:pPr>
    </w:p>
    <w:p w:rsidR="003F6F2A" w:rsidRPr="00D4543D" w:rsidRDefault="003F6F2A" w:rsidP="003F6F2A">
      <w:pPr>
        <w:spacing w:before="100" w:beforeAutospacing="1" w:after="100" w:afterAutospacing="1" w:line="360" w:lineRule="auto"/>
        <w:jc w:val="both"/>
        <w:rPr>
          <w:rFonts w:ascii="Palatino Linotype" w:eastAsia="Calibri" w:hAnsi="Palatino Linotype" w:cs="Arial"/>
        </w:rPr>
      </w:pPr>
      <w:r w:rsidRPr="00D4543D">
        <w:rPr>
          <w:rFonts w:ascii="Palatino Linotype" w:eastAsia="Calibri" w:hAnsi="Palatino Linotype" w:cs="Arial"/>
          <w:b/>
          <w:sz w:val="28"/>
        </w:rPr>
        <w:t>PRIMERO</w:t>
      </w:r>
      <w:r w:rsidRPr="00D4543D">
        <w:rPr>
          <w:rFonts w:ascii="Palatino Linotype" w:eastAsia="Calibri" w:hAnsi="Palatino Linotype" w:cs="Arial"/>
        </w:rPr>
        <w:t xml:space="preserve">. Resultan </w:t>
      </w:r>
      <w:r w:rsidR="00253324" w:rsidRPr="00D4543D">
        <w:rPr>
          <w:rFonts w:ascii="Palatino Linotype" w:eastAsia="Calibri" w:hAnsi="Palatino Linotype" w:cs="Arial"/>
          <w:b/>
        </w:rPr>
        <w:t>parcialmente fundadas</w:t>
      </w:r>
      <w:r w:rsidR="002D5BF1" w:rsidRPr="00D4543D">
        <w:rPr>
          <w:rFonts w:ascii="Palatino Linotype" w:eastAsia="Calibri" w:hAnsi="Palatino Linotype" w:cs="Arial"/>
          <w:b/>
        </w:rPr>
        <w:t xml:space="preserve"> </w:t>
      </w:r>
      <w:r w:rsidRPr="00D4543D">
        <w:rPr>
          <w:rFonts w:ascii="Palatino Linotype" w:eastAsia="Calibri" w:hAnsi="Palatino Linotype" w:cs="Arial"/>
        </w:rPr>
        <w:t xml:space="preserve">las razones o motivos de inconformidad planteadas por </w:t>
      </w:r>
      <w:r w:rsidRPr="00D4543D">
        <w:rPr>
          <w:rFonts w:ascii="Palatino Linotype" w:eastAsia="Calibri" w:hAnsi="Palatino Linotype" w:cs="Arial"/>
          <w:b/>
        </w:rPr>
        <w:t>EL RECURRENTE</w:t>
      </w:r>
      <w:r w:rsidRPr="00D4543D">
        <w:rPr>
          <w:rFonts w:ascii="Palatino Linotype" w:eastAsia="Calibri" w:hAnsi="Palatino Linotype" w:cs="Arial"/>
        </w:rPr>
        <w:t xml:space="preserve">, en términos del Considerando </w:t>
      </w:r>
      <w:r w:rsidRPr="00D4543D">
        <w:rPr>
          <w:rFonts w:ascii="Palatino Linotype" w:eastAsia="Calibri" w:hAnsi="Palatino Linotype" w:cs="Arial"/>
          <w:b/>
        </w:rPr>
        <w:t>QUINTO</w:t>
      </w:r>
      <w:r w:rsidRPr="00D4543D">
        <w:rPr>
          <w:rFonts w:ascii="Palatino Linotype" w:eastAsia="Calibri" w:hAnsi="Palatino Linotype" w:cs="Arial"/>
        </w:rPr>
        <w:t xml:space="preserve"> de la presente resolución.</w:t>
      </w:r>
    </w:p>
    <w:p w:rsidR="003F6F2A" w:rsidRPr="00D4543D" w:rsidRDefault="003F6F2A" w:rsidP="003F6F2A">
      <w:pPr>
        <w:spacing w:before="100" w:beforeAutospacing="1" w:after="100" w:afterAutospacing="1" w:line="360" w:lineRule="auto"/>
        <w:jc w:val="both"/>
        <w:rPr>
          <w:rFonts w:ascii="Palatino Linotype" w:eastAsia="Calibri" w:hAnsi="Palatino Linotype" w:cs="Arial"/>
        </w:rPr>
      </w:pPr>
      <w:r w:rsidRPr="00D4543D">
        <w:rPr>
          <w:rFonts w:ascii="Palatino Linotype" w:eastAsia="Calibri" w:hAnsi="Palatino Linotype" w:cs="Arial"/>
          <w:b/>
          <w:sz w:val="28"/>
        </w:rPr>
        <w:t>SEGUNDO</w:t>
      </w:r>
      <w:r w:rsidRPr="00D4543D">
        <w:rPr>
          <w:rFonts w:ascii="Palatino Linotype" w:eastAsia="Calibri" w:hAnsi="Palatino Linotype" w:cs="Arial"/>
        </w:rPr>
        <w:t xml:space="preserve">. Se </w:t>
      </w:r>
      <w:r w:rsidRPr="00D4543D">
        <w:rPr>
          <w:rFonts w:ascii="Palatino Linotype" w:eastAsia="Calibri" w:hAnsi="Palatino Linotype" w:cs="Arial"/>
          <w:b/>
        </w:rPr>
        <w:t>MODIFICA</w:t>
      </w:r>
      <w:r w:rsidRPr="00D4543D">
        <w:rPr>
          <w:rFonts w:ascii="Palatino Linotype" w:eastAsia="Calibri" w:hAnsi="Palatino Linotype" w:cs="Arial"/>
        </w:rPr>
        <w:t xml:space="preserve"> la respuesta otorgada por </w:t>
      </w:r>
      <w:r w:rsidRPr="00D4543D">
        <w:rPr>
          <w:rFonts w:ascii="Palatino Linotype" w:eastAsia="Calibri" w:hAnsi="Palatino Linotype" w:cs="Arial"/>
          <w:b/>
        </w:rPr>
        <w:t>EL SUJETO OBLIGADO</w:t>
      </w:r>
      <w:r w:rsidRPr="00D4543D">
        <w:rPr>
          <w:rFonts w:ascii="Palatino Linotype" w:eastAsia="Calibri" w:hAnsi="Palatino Linotype" w:cs="Arial"/>
        </w:rPr>
        <w:t xml:space="preserve"> a la solicitud de información</w:t>
      </w:r>
      <w:r w:rsidR="002D5BF1" w:rsidRPr="00D4543D">
        <w:rPr>
          <w:rFonts w:ascii="Palatino Linotype" w:eastAsia="Calibri" w:hAnsi="Palatino Linotype" w:cs="Arial"/>
        </w:rPr>
        <w:t xml:space="preserve"> </w:t>
      </w:r>
      <w:r w:rsidR="002D5BF1" w:rsidRPr="00D4543D">
        <w:rPr>
          <w:rFonts w:ascii="Palatino Linotype" w:hAnsi="Palatino Linotype"/>
          <w:b/>
          <w:bCs/>
        </w:rPr>
        <w:t>00267/SSEM/IP/2019</w:t>
      </w:r>
      <w:r w:rsidRPr="00D4543D">
        <w:rPr>
          <w:rFonts w:ascii="Palatino Linotype" w:eastAsia="Calibri" w:hAnsi="Palatino Linotype" w:cs="Arial"/>
        </w:rPr>
        <w:t xml:space="preserve"> y se le ordena en términos del Considerando </w:t>
      </w:r>
      <w:r w:rsidRPr="00D4543D">
        <w:rPr>
          <w:rFonts w:ascii="Palatino Linotype" w:eastAsia="Calibri" w:hAnsi="Palatino Linotype" w:cs="Arial"/>
          <w:b/>
        </w:rPr>
        <w:t>QUINTO</w:t>
      </w:r>
      <w:r w:rsidRPr="00D4543D">
        <w:rPr>
          <w:rFonts w:ascii="Palatino Linotype" w:eastAsia="Calibri" w:hAnsi="Palatino Linotype" w:cs="Arial"/>
        </w:rPr>
        <w:t xml:space="preserve"> de la presente resolución, entregue al </w:t>
      </w:r>
      <w:r w:rsidRPr="00D4543D">
        <w:rPr>
          <w:rFonts w:ascii="Palatino Linotype" w:eastAsia="Calibri" w:hAnsi="Palatino Linotype" w:cs="Arial"/>
          <w:b/>
        </w:rPr>
        <w:t>RECURRENTE</w:t>
      </w:r>
      <w:r w:rsidRPr="00D4543D">
        <w:rPr>
          <w:rFonts w:ascii="Palatino Linotype" w:eastAsia="Calibri" w:hAnsi="Palatino Linotype" w:cs="Arial"/>
        </w:rPr>
        <w:t xml:space="preserve"> vía </w:t>
      </w:r>
      <w:r w:rsidRPr="00D4543D">
        <w:rPr>
          <w:rFonts w:ascii="Palatino Linotype" w:eastAsia="Calibri" w:hAnsi="Palatino Linotype" w:cs="Arial"/>
          <w:b/>
        </w:rPr>
        <w:t>SAIMEX</w:t>
      </w:r>
      <w:r w:rsidR="002D5BF1" w:rsidRPr="00D4543D">
        <w:rPr>
          <w:rFonts w:ascii="Palatino Linotype" w:eastAsia="Calibri" w:hAnsi="Palatino Linotype" w:cs="Arial"/>
          <w:b/>
        </w:rPr>
        <w:t xml:space="preserve"> y correo electrónico</w:t>
      </w:r>
      <w:r w:rsidRPr="00D4543D">
        <w:rPr>
          <w:rFonts w:ascii="Palatino Linotype" w:eastAsia="Calibri" w:hAnsi="Palatino Linotype" w:cs="Arial"/>
        </w:rPr>
        <w:t>, lo siguiente:</w:t>
      </w:r>
    </w:p>
    <w:p w:rsidR="003F6F2A" w:rsidRPr="00D4543D" w:rsidRDefault="003F6F2A" w:rsidP="003F6F2A">
      <w:pPr>
        <w:ind w:left="709" w:right="760"/>
        <w:jc w:val="both"/>
        <w:rPr>
          <w:rFonts w:ascii="Palatino Linotype" w:eastAsia="Calibri" w:hAnsi="Palatino Linotype" w:cs="Arial"/>
          <w:i/>
          <w:sz w:val="22"/>
        </w:rPr>
      </w:pPr>
      <w:r w:rsidRPr="00D4543D">
        <w:rPr>
          <w:rFonts w:ascii="Palatino Linotype" w:eastAsia="Calibri" w:hAnsi="Palatino Linotype" w:cs="Arial"/>
          <w:i/>
          <w:sz w:val="22"/>
        </w:rPr>
        <w:t xml:space="preserve">“El Acuerdo que emita el Comité de Transparencia mediante el que confirme la declaratoria de incompetencia del </w:t>
      </w:r>
      <w:r w:rsidRPr="00D4543D">
        <w:rPr>
          <w:rFonts w:ascii="Palatino Linotype" w:eastAsia="Calibri" w:hAnsi="Palatino Linotype" w:cs="Arial"/>
          <w:b/>
          <w:i/>
          <w:sz w:val="22"/>
        </w:rPr>
        <w:t>SUJETO OBLIGADO</w:t>
      </w:r>
      <w:r w:rsidRPr="00D4543D">
        <w:rPr>
          <w:rFonts w:ascii="Palatino Linotype" w:eastAsia="Calibri" w:hAnsi="Palatino Linotype" w:cs="Arial"/>
          <w:i/>
          <w:sz w:val="22"/>
        </w:rPr>
        <w:t xml:space="preserve"> respecto de la información solicitada.”</w:t>
      </w:r>
    </w:p>
    <w:p w:rsidR="003F6F2A" w:rsidRPr="00D4543D" w:rsidRDefault="003F6F2A" w:rsidP="003F6F2A">
      <w:pPr>
        <w:spacing w:before="100" w:beforeAutospacing="1" w:after="100" w:afterAutospacing="1" w:line="360" w:lineRule="auto"/>
        <w:jc w:val="both"/>
        <w:rPr>
          <w:rFonts w:ascii="Palatino Linotype" w:eastAsia="Calibri" w:hAnsi="Palatino Linotype" w:cs="Arial"/>
        </w:rPr>
      </w:pPr>
      <w:r w:rsidRPr="00D4543D">
        <w:rPr>
          <w:rFonts w:ascii="Palatino Linotype" w:eastAsia="Calibri" w:hAnsi="Palatino Linotype" w:cs="Arial"/>
          <w:b/>
          <w:sz w:val="28"/>
        </w:rPr>
        <w:t>TERCERO</w:t>
      </w:r>
      <w:r w:rsidRPr="00D4543D">
        <w:rPr>
          <w:rFonts w:ascii="Palatino Linotype" w:eastAsia="Calibri" w:hAnsi="Palatino Linotype" w:cs="Arial"/>
        </w:rPr>
        <w:t xml:space="preserve">. Notifíquese al Titular de la Unidad de Transparencia del </w:t>
      </w:r>
      <w:r w:rsidRPr="00D4543D">
        <w:rPr>
          <w:rFonts w:ascii="Palatino Linotype" w:eastAsia="Calibri" w:hAnsi="Palatino Linotype" w:cs="Arial"/>
          <w:b/>
        </w:rPr>
        <w:t>SUJETO OBLIGADO</w:t>
      </w:r>
      <w:r w:rsidRPr="00D4543D">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26438" w:rsidRDefault="003F6F2A" w:rsidP="003F6F2A">
      <w:pPr>
        <w:spacing w:before="100" w:beforeAutospacing="1" w:after="100" w:afterAutospacing="1" w:line="360" w:lineRule="auto"/>
        <w:jc w:val="both"/>
        <w:rPr>
          <w:rFonts w:ascii="Palatino Linotype" w:eastAsia="Calibri" w:hAnsi="Palatino Linotype" w:cs="Arial"/>
        </w:rPr>
      </w:pPr>
      <w:r w:rsidRPr="00D4543D">
        <w:rPr>
          <w:rFonts w:ascii="Palatino Linotype" w:eastAsia="Calibri" w:hAnsi="Palatino Linotype" w:cs="Arial"/>
          <w:b/>
          <w:sz w:val="28"/>
        </w:rPr>
        <w:t>CUARTO</w:t>
      </w:r>
      <w:r w:rsidRPr="00D4543D">
        <w:rPr>
          <w:rFonts w:ascii="Palatino Linotype" w:eastAsia="Calibri" w:hAnsi="Palatino Linotype" w:cs="Arial"/>
        </w:rPr>
        <w:t xml:space="preserve">. Notifíquese al </w:t>
      </w:r>
      <w:r w:rsidRPr="00D4543D">
        <w:rPr>
          <w:rFonts w:ascii="Palatino Linotype" w:eastAsia="Calibri" w:hAnsi="Palatino Linotype" w:cs="Arial"/>
          <w:b/>
        </w:rPr>
        <w:t>RECURRENTE</w:t>
      </w:r>
      <w:r w:rsidRPr="00D4543D">
        <w:rPr>
          <w:rFonts w:ascii="Palatino Linotype" w:eastAsia="Calibri" w:hAnsi="Palatino Linotype" w:cs="Arial"/>
        </w:rPr>
        <w:t xml:space="preserve"> la presente resolución</w:t>
      </w:r>
      <w:r w:rsidR="002D5BF1" w:rsidRPr="00D4543D">
        <w:rPr>
          <w:rFonts w:ascii="Palatino Linotype" w:eastAsia="Calibri" w:hAnsi="Palatino Linotype" w:cs="Arial"/>
        </w:rPr>
        <w:t xml:space="preserve"> vía </w:t>
      </w:r>
      <w:r w:rsidR="002D5BF1" w:rsidRPr="00D4543D">
        <w:rPr>
          <w:rFonts w:ascii="Palatino Linotype" w:eastAsia="Calibri" w:hAnsi="Palatino Linotype" w:cs="Arial"/>
          <w:b/>
        </w:rPr>
        <w:t>SAIMEX</w:t>
      </w:r>
      <w:r w:rsidR="002D5BF1" w:rsidRPr="00D4543D">
        <w:rPr>
          <w:rFonts w:ascii="Palatino Linotype" w:eastAsia="Calibri" w:hAnsi="Palatino Linotype" w:cs="Arial"/>
        </w:rPr>
        <w:t xml:space="preserve"> y correo electrónico.</w:t>
      </w:r>
    </w:p>
    <w:p w:rsidR="003F6F2A" w:rsidRPr="00D4543D" w:rsidRDefault="003F6F2A" w:rsidP="003F6F2A">
      <w:pPr>
        <w:spacing w:before="100" w:beforeAutospacing="1" w:after="100" w:afterAutospacing="1" w:line="360" w:lineRule="auto"/>
        <w:jc w:val="both"/>
        <w:rPr>
          <w:rFonts w:ascii="Palatino Linotype" w:eastAsia="Calibri" w:hAnsi="Palatino Linotype" w:cs="Arial"/>
        </w:rPr>
      </w:pPr>
      <w:r w:rsidRPr="00D4543D">
        <w:rPr>
          <w:rFonts w:ascii="Palatino Linotype" w:eastAsia="Calibri" w:hAnsi="Palatino Linotype" w:cs="Arial"/>
          <w:b/>
          <w:sz w:val="28"/>
        </w:rPr>
        <w:lastRenderedPageBreak/>
        <w:t>QUINTO</w:t>
      </w:r>
      <w:r w:rsidRPr="00D4543D">
        <w:rPr>
          <w:rFonts w:ascii="Palatino Linotype" w:eastAsia="Calibri" w:hAnsi="Palatino Linotype" w:cs="Arial"/>
        </w:rPr>
        <w:t xml:space="preserve">. Hágase del conocimiento del </w:t>
      </w:r>
      <w:r w:rsidRPr="00D4543D">
        <w:rPr>
          <w:rFonts w:ascii="Palatino Linotype" w:eastAsia="Calibri" w:hAnsi="Palatino Linotype" w:cs="Arial"/>
          <w:b/>
        </w:rPr>
        <w:t>RECURRENTE</w:t>
      </w:r>
      <w:r w:rsidRPr="00D4543D">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AD28D3" w:rsidRPr="00194175" w:rsidRDefault="00194175" w:rsidP="00194175">
      <w:pPr>
        <w:spacing w:before="100" w:beforeAutospacing="1" w:after="100" w:afterAutospacing="1" w:line="360" w:lineRule="auto"/>
        <w:ind w:right="49"/>
        <w:jc w:val="both"/>
        <w:rPr>
          <w:rFonts w:ascii="Palatino Linotype" w:hAnsi="Palatino Linotype"/>
          <w:color w:val="222222"/>
          <w:lang w:eastAsia="es-MX"/>
        </w:rPr>
      </w:pPr>
      <w:r w:rsidRPr="00D4543D">
        <w:rPr>
          <w:rFonts w:ascii="Palatino Linotype" w:hAnsi="Palatino Linotype"/>
          <w:color w:val="222222"/>
          <w:lang w:eastAsia="es-MX"/>
        </w:rPr>
        <w:t xml:space="preserve">Se dejan a salvo los derechos del </w:t>
      </w:r>
      <w:r w:rsidRPr="00D4543D">
        <w:rPr>
          <w:rFonts w:ascii="Palatino Linotype" w:hAnsi="Palatino Linotype"/>
          <w:b/>
          <w:color w:val="222222"/>
          <w:lang w:eastAsia="es-MX"/>
        </w:rPr>
        <w:t>RECURRENTE</w:t>
      </w:r>
      <w:r w:rsidRPr="00D4543D">
        <w:rPr>
          <w:rFonts w:ascii="Palatino Linotype" w:hAnsi="Palatino Linotype"/>
          <w:color w:val="222222"/>
          <w:lang w:eastAsia="es-MX"/>
        </w:rPr>
        <w:t xml:space="preserve"> para que presente las solicitudes de acceso a la información ante los Sujetos Obligados que estime competentes.</w:t>
      </w:r>
    </w:p>
    <w:p w:rsidR="00980244" w:rsidRPr="00A26438" w:rsidRDefault="00A26438" w:rsidP="00A26438">
      <w:pPr>
        <w:spacing w:line="360" w:lineRule="auto"/>
        <w:jc w:val="both"/>
        <w:rPr>
          <w:rFonts w:ascii="Palatino Linotype" w:eastAsiaTheme="minorEastAsia" w:hAnsi="Palatino Linotype"/>
          <w:lang w:eastAsia="es-ES_tradnl"/>
        </w:rPr>
      </w:pPr>
      <w:r w:rsidRPr="00BB6806">
        <w:rPr>
          <w:rFonts w:ascii="Palatino Linotype" w:hAnsi="Palatino Linotype" w:cs="Arial"/>
        </w:rPr>
        <w:t>ASÍ LO RESUELVE, POR UNANIMIDAD DE VOTOS EL PLENO DEL</w:t>
      </w:r>
      <w:r w:rsidRPr="00BB6806">
        <w:rPr>
          <w:rFonts w:ascii="Palatino Linotype" w:eastAsia="Arial Unicode MS" w:hAnsi="Palatino Linotype" w:cs="Arial"/>
        </w:rPr>
        <w:t xml:space="preserve"> INSTITUTO DE </w:t>
      </w:r>
      <w:r w:rsidRPr="00BB6806">
        <w:rPr>
          <w:rFonts w:ascii="Palatino Linotype" w:hAnsi="Palatino Linotype"/>
          <w:lang w:eastAsia="en-US"/>
        </w:rPr>
        <w:t>TRANSPARENCIA</w:t>
      </w:r>
      <w:r w:rsidRPr="00BB6806">
        <w:rPr>
          <w:rFonts w:ascii="Palatino Linotype" w:eastAsia="Arial Unicode MS" w:hAnsi="Palatino Linotype" w:cs="Arial"/>
        </w:rPr>
        <w:t>, ACCESO A LA INFORMACIÓN PÚBLICA Y PROTECCIÓN DE DATOS PERSONALES DEL ESTADO DE MÉXICO Y MUNICIPIOS</w:t>
      </w:r>
      <w:r w:rsidRPr="00BB6806">
        <w:rPr>
          <w:rFonts w:ascii="Palatino Linotype" w:hAnsi="Palatino Linotype" w:cs="Arial"/>
        </w:rPr>
        <w:t>, CONFORMADO POR LOS COMISIONADOS ZULEMA MARTÍNEZ SÁNCHEZ, EVA ABAID YAPUR, JOSÉ GUADALUPE LUNA HERNÁNDEZ, JAVIER MARTÍNEZ CRUZ Y LUIS GUSTAVO PARRA NORIEGA; EN</w:t>
      </w:r>
      <w:r w:rsidRPr="00BB6806">
        <w:rPr>
          <w:rFonts w:ascii="Palatino Linotype" w:hAnsi="Palatino Linotype" w:cs="Arial"/>
          <w:shd w:val="clear" w:color="auto" w:fill="FFFFFF" w:themeFill="background1"/>
        </w:rPr>
        <w:t xml:space="preserve"> LA </w:t>
      </w:r>
      <w:r w:rsidRPr="00BB6806">
        <w:rPr>
          <w:rFonts w:ascii="Palatino Linotype" w:hAnsi="Palatino Linotype" w:cs="Arial"/>
          <w:shd w:val="clear" w:color="auto" w:fill="FFFFFF"/>
        </w:rPr>
        <w:t>TRI</w:t>
      </w:r>
      <w:r w:rsidRPr="00BB6806">
        <w:rPr>
          <w:rFonts w:ascii="Palatino Linotype" w:hAnsi="Palatino Linotype" w:cs="Arial"/>
        </w:rPr>
        <w:t>GÉSIMA OCTAVA SESIÓN ORDINARIA CELEBRADA EL DÍA DIECISÉIS DE OCTUBRE DE DOS MIL DIECINUEVE, ANTE EL SECRETARIO TÉCNICO DEL PLENO, ALEXIS TAPIA RAMÍREZ</w:t>
      </w:r>
      <w:r>
        <w:rPr>
          <w:rFonts w:ascii="Palatino Linotype" w:hAnsi="Palatino Linotype" w:cs="Arial"/>
        </w:rPr>
        <w:t>.</w:t>
      </w:r>
    </w:p>
    <w:tbl>
      <w:tblPr>
        <w:tblW w:w="10074" w:type="dxa"/>
        <w:jc w:val="center"/>
        <w:tblLayout w:type="fixed"/>
        <w:tblLook w:val="04A0" w:firstRow="1" w:lastRow="0" w:firstColumn="1" w:lastColumn="0" w:noHBand="0" w:noVBand="1"/>
      </w:tblPr>
      <w:tblGrid>
        <w:gridCol w:w="5035"/>
        <w:gridCol w:w="4899"/>
        <w:gridCol w:w="140"/>
      </w:tblGrid>
      <w:tr w:rsidR="002D5BF1" w:rsidRPr="00002C72" w:rsidTr="002D5BF1">
        <w:trPr>
          <w:trHeight w:val="1510"/>
          <w:jc w:val="center"/>
        </w:trPr>
        <w:tc>
          <w:tcPr>
            <w:tcW w:w="10074" w:type="dxa"/>
            <w:gridSpan w:val="3"/>
          </w:tcPr>
          <w:p w:rsidR="002D5BF1" w:rsidRDefault="002D5BF1" w:rsidP="009F3F60">
            <w:pPr>
              <w:rPr>
                <w:rFonts w:ascii="Palatino Linotype" w:hAnsi="Palatino Linotype" w:cs="Arial"/>
                <w:b/>
              </w:rPr>
            </w:pPr>
          </w:p>
          <w:p w:rsidR="002D5BF1" w:rsidRDefault="002D5BF1" w:rsidP="009F3F60">
            <w:pPr>
              <w:jc w:val="center"/>
              <w:rPr>
                <w:rFonts w:ascii="Palatino Linotype" w:hAnsi="Palatino Linotype" w:cs="Arial"/>
                <w:b/>
              </w:rPr>
            </w:pPr>
          </w:p>
          <w:p w:rsidR="002D5BF1" w:rsidRDefault="002D5BF1" w:rsidP="009F3F60">
            <w:pPr>
              <w:jc w:val="center"/>
              <w:rPr>
                <w:rFonts w:ascii="Palatino Linotype" w:hAnsi="Palatino Linotype" w:cs="Arial"/>
                <w:b/>
              </w:rPr>
            </w:pPr>
          </w:p>
          <w:p w:rsidR="002D5BF1" w:rsidRDefault="002D5BF1" w:rsidP="009F3F60">
            <w:pPr>
              <w:jc w:val="center"/>
              <w:rPr>
                <w:rFonts w:ascii="Palatino Linotype" w:hAnsi="Palatino Linotype" w:cs="Arial"/>
                <w:b/>
              </w:rPr>
            </w:pPr>
          </w:p>
          <w:p w:rsidR="00A26438" w:rsidRDefault="00A26438" w:rsidP="009F3F60">
            <w:pPr>
              <w:jc w:val="center"/>
              <w:rPr>
                <w:rFonts w:ascii="Palatino Linotype" w:hAnsi="Palatino Linotype" w:cs="Arial"/>
                <w:b/>
              </w:rPr>
            </w:pPr>
          </w:p>
          <w:p w:rsidR="00A26438" w:rsidRDefault="00A26438" w:rsidP="009F3F60">
            <w:pPr>
              <w:jc w:val="center"/>
              <w:rPr>
                <w:rFonts w:ascii="Palatino Linotype" w:hAnsi="Palatino Linotype" w:cs="Arial"/>
                <w:b/>
              </w:rPr>
            </w:pPr>
          </w:p>
          <w:p w:rsidR="00A26438" w:rsidRDefault="00A26438" w:rsidP="00A26438">
            <w:pPr>
              <w:rPr>
                <w:rFonts w:ascii="Palatino Linotype" w:hAnsi="Palatino Linotype" w:cs="Arial"/>
                <w:b/>
              </w:rPr>
            </w:pP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Zulema Martínez Sánchez</w:t>
            </w:r>
          </w:p>
          <w:p w:rsidR="002D5BF1" w:rsidRPr="00002C72" w:rsidRDefault="002D5BF1" w:rsidP="009F3F60">
            <w:pPr>
              <w:jc w:val="center"/>
              <w:rPr>
                <w:rFonts w:ascii="Palatino Linotype" w:hAnsi="Palatino Linotype" w:cs="Arial"/>
                <w:b/>
              </w:rPr>
            </w:pPr>
            <w:r w:rsidRPr="00002C72">
              <w:rPr>
                <w:rFonts w:ascii="Palatino Linotype" w:hAnsi="Palatino Linotype" w:cs="Arial"/>
              </w:rPr>
              <w:t>Comisionada Presidenta</w:t>
            </w: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 xml:space="preserve">(RÚBRICA) </w:t>
            </w:r>
          </w:p>
        </w:tc>
      </w:tr>
      <w:tr w:rsidR="002D5BF1" w:rsidRPr="00002C72" w:rsidTr="002D5BF1">
        <w:trPr>
          <w:trHeight w:val="1256"/>
          <w:jc w:val="center"/>
        </w:trPr>
        <w:tc>
          <w:tcPr>
            <w:tcW w:w="5035" w:type="dxa"/>
          </w:tcPr>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A26438" w:rsidRDefault="00A26438" w:rsidP="009F3F60">
            <w:pPr>
              <w:rPr>
                <w:rFonts w:ascii="Palatino Linotype" w:hAnsi="Palatino Linotype" w:cs="Arial"/>
                <w:b/>
              </w:rPr>
            </w:pPr>
          </w:p>
          <w:p w:rsidR="00A26438" w:rsidRDefault="00A26438" w:rsidP="009F3F60">
            <w:pPr>
              <w:rPr>
                <w:rFonts w:ascii="Palatino Linotype" w:hAnsi="Palatino Linotype" w:cs="Arial"/>
                <w:b/>
              </w:rPr>
            </w:pPr>
          </w:p>
          <w:p w:rsidR="00A26438" w:rsidRPr="00002C72" w:rsidRDefault="00A26438" w:rsidP="009F3F60">
            <w:pPr>
              <w:rPr>
                <w:rFonts w:ascii="Palatino Linotype" w:hAnsi="Palatino Linotype" w:cs="Arial"/>
                <w:b/>
              </w:rPr>
            </w:pP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Eva Abaid Yapur</w:t>
            </w:r>
          </w:p>
          <w:p w:rsidR="002D5BF1" w:rsidRPr="00002C72" w:rsidRDefault="002D5BF1" w:rsidP="009F3F60">
            <w:pPr>
              <w:jc w:val="center"/>
              <w:rPr>
                <w:rFonts w:ascii="Palatino Linotype" w:hAnsi="Palatino Linotype" w:cs="Arial"/>
              </w:rPr>
            </w:pPr>
            <w:r w:rsidRPr="00002C72">
              <w:rPr>
                <w:rFonts w:ascii="Palatino Linotype" w:hAnsi="Palatino Linotype" w:cs="Arial"/>
              </w:rPr>
              <w:t>Comisionada</w:t>
            </w: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(RÚBRICA)</w:t>
            </w:r>
          </w:p>
        </w:tc>
        <w:tc>
          <w:tcPr>
            <w:tcW w:w="5039" w:type="dxa"/>
            <w:gridSpan w:val="2"/>
          </w:tcPr>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A26438" w:rsidRDefault="00A26438" w:rsidP="009F3F60">
            <w:pPr>
              <w:rPr>
                <w:rFonts w:ascii="Palatino Linotype" w:hAnsi="Palatino Linotype" w:cs="Arial"/>
                <w:b/>
              </w:rPr>
            </w:pPr>
          </w:p>
          <w:p w:rsidR="00A26438" w:rsidRDefault="00A26438" w:rsidP="009F3F60">
            <w:pPr>
              <w:rPr>
                <w:rFonts w:ascii="Palatino Linotype" w:hAnsi="Palatino Linotype" w:cs="Arial"/>
                <w:b/>
              </w:rPr>
            </w:pPr>
          </w:p>
          <w:p w:rsidR="00A26438" w:rsidRPr="00002C72" w:rsidRDefault="00A26438" w:rsidP="009F3F60">
            <w:pPr>
              <w:rPr>
                <w:rFonts w:ascii="Palatino Linotype" w:hAnsi="Palatino Linotype" w:cs="Arial"/>
                <w:b/>
              </w:rPr>
            </w:pP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José Guadalupe Luna Hernández</w:t>
            </w:r>
          </w:p>
          <w:p w:rsidR="002D5BF1" w:rsidRPr="00002C72" w:rsidRDefault="002D5BF1" w:rsidP="009F3F60">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(RÚBRICA)</w:t>
            </w:r>
          </w:p>
        </w:tc>
      </w:tr>
      <w:tr w:rsidR="002D5BF1" w:rsidRPr="00002C72" w:rsidTr="002D5BF1">
        <w:trPr>
          <w:trHeight w:val="1798"/>
          <w:jc w:val="center"/>
        </w:trPr>
        <w:tc>
          <w:tcPr>
            <w:tcW w:w="5035" w:type="dxa"/>
          </w:tcPr>
          <w:p w:rsidR="002D5BF1" w:rsidRDefault="002D5BF1" w:rsidP="009F3F60">
            <w:pPr>
              <w:rPr>
                <w:rFonts w:ascii="Palatino Linotype" w:hAnsi="Palatino Linotype" w:cs="Arial"/>
                <w:b/>
              </w:rPr>
            </w:pPr>
          </w:p>
          <w:p w:rsidR="002D5BF1" w:rsidRPr="00002C72"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A26438" w:rsidRDefault="00A26438" w:rsidP="009F3F60">
            <w:pPr>
              <w:rPr>
                <w:rFonts w:ascii="Palatino Linotype" w:hAnsi="Palatino Linotype" w:cs="Arial"/>
                <w:b/>
              </w:rPr>
            </w:pPr>
          </w:p>
          <w:p w:rsidR="00A26438" w:rsidRDefault="00A26438" w:rsidP="009F3F60">
            <w:pPr>
              <w:rPr>
                <w:rFonts w:ascii="Palatino Linotype" w:hAnsi="Palatino Linotype" w:cs="Arial"/>
                <w:b/>
              </w:rPr>
            </w:pPr>
          </w:p>
          <w:p w:rsidR="00A26438" w:rsidRPr="00002C72" w:rsidRDefault="00A26438" w:rsidP="009F3F60">
            <w:pPr>
              <w:rPr>
                <w:rFonts w:ascii="Palatino Linotype" w:hAnsi="Palatino Linotype" w:cs="Arial"/>
                <w:b/>
              </w:rPr>
            </w:pP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Javier Martínez Cruz</w:t>
            </w:r>
          </w:p>
          <w:p w:rsidR="002D5BF1" w:rsidRPr="00002C72" w:rsidRDefault="002D5BF1" w:rsidP="00A26438">
            <w:pPr>
              <w:tabs>
                <w:tab w:val="center" w:pos="2513"/>
                <w:tab w:val="left" w:pos="3750"/>
              </w:tabs>
              <w:jc w:val="center"/>
              <w:rPr>
                <w:rFonts w:ascii="Palatino Linotype" w:hAnsi="Palatino Linotype" w:cs="Arial"/>
              </w:rPr>
            </w:pPr>
            <w:r w:rsidRPr="00002C72">
              <w:rPr>
                <w:rFonts w:ascii="Palatino Linotype" w:hAnsi="Palatino Linotype" w:cs="Arial"/>
              </w:rPr>
              <w:t>Comisionado</w:t>
            </w:r>
          </w:p>
          <w:p w:rsidR="002D5BF1" w:rsidRPr="000B4EAA" w:rsidRDefault="002D5BF1" w:rsidP="00A26438">
            <w:pPr>
              <w:jc w:val="center"/>
              <w:rPr>
                <w:rFonts w:ascii="Palatino Linotype" w:hAnsi="Palatino Linotype" w:cs="Arial"/>
                <w:b/>
              </w:rPr>
            </w:pPr>
            <w:r>
              <w:rPr>
                <w:rFonts w:ascii="Palatino Linotype" w:hAnsi="Palatino Linotype" w:cs="Arial"/>
                <w:b/>
              </w:rPr>
              <w:t>(RÚBRICA)</w:t>
            </w:r>
          </w:p>
        </w:tc>
        <w:tc>
          <w:tcPr>
            <w:tcW w:w="5039" w:type="dxa"/>
            <w:gridSpan w:val="2"/>
          </w:tcPr>
          <w:p w:rsidR="002D5BF1" w:rsidRPr="00002C72" w:rsidRDefault="002D5BF1" w:rsidP="009F3F60">
            <w:pPr>
              <w:jc w:val="cente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A26438" w:rsidRDefault="00A26438" w:rsidP="009F3F60">
            <w:pPr>
              <w:rPr>
                <w:rFonts w:ascii="Palatino Linotype" w:hAnsi="Palatino Linotype" w:cs="Arial"/>
                <w:b/>
              </w:rPr>
            </w:pPr>
          </w:p>
          <w:p w:rsidR="00A26438" w:rsidRDefault="00A26438" w:rsidP="009F3F60">
            <w:pPr>
              <w:rPr>
                <w:rFonts w:ascii="Palatino Linotype" w:hAnsi="Palatino Linotype" w:cs="Arial"/>
                <w:b/>
              </w:rPr>
            </w:pPr>
          </w:p>
          <w:p w:rsidR="00A26438" w:rsidRPr="00002C72" w:rsidRDefault="00A26438" w:rsidP="009F3F60">
            <w:pPr>
              <w:rPr>
                <w:rFonts w:ascii="Palatino Linotype" w:hAnsi="Palatino Linotype" w:cs="Arial"/>
                <w:b/>
              </w:rPr>
            </w:pP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Luis Gustavo Parra Noriega</w:t>
            </w:r>
          </w:p>
          <w:p w:rsidR="002D5BF1" w:rsidRPr="00002C72" w:rsidRDefault="002D5BF1" w:rsidP="009F3F60">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(RÚBRICA)</w:t>
            </w:r>
          </w:p>
        </w:tc>
      </w:tr>
      <w:tr w:rsidR="002D5BF1" w:rsidRPr="00002C72" w:rsidTr="002D5BF1">
        <w:trPr>
          <w:trHeight w:val="1366"/>
          <w:jc w:val="center"/>
        </w:trPr>
        <w:tc>
          <w:tcPr>
            <w:tcW w:w="10074" w:type="dxa"/>
            <w:gridSpan w:val="3"/>
          </w:tcPr>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2D5BF1" w:rsidRDefault="002D5BF1" w:rsidP="009F3F60">
            <w:pPr>
              <w:rPr>
                <w:rFonts w:ascii="Palatino Linotype" w:hAnsi="Palatino Linotype" w:cs="Arial"/>
                <w:b/>
              </w:rPr>
            </w:pPr>
          </w:p>
          <w:p w:rsidR="00A26438" w:rsidRDefault="00A26438" w:rsidP="009F3F60">
            <w:pPr>
              <w:rPr>
                <w:rFonts w:ascii="Palatino Linotype" w:hAnsi="Palatino Linotype" w:cs="Arial"/>
                <w:b/>
              </w:rPr>
            </w:pPr>
          </w:p>
          <w:p w:rsidR="00A26438" w:rsidRDefault="00A26438" w:rsidP="009F3F60">
            <w:pPr>
              <w:rPr>
                <w:rFonts w:ascii="Palatino Linotype" w:hAnsi="Palatino Linotype" w:cs="Arial"/>
                <w:b/>
              </w:rPr>
            </w:pPr>
          </w:p>
          <w:p w:rsidR="00A26438" w:rsidRPr="00002C72" w:rsidRDefault="00A26438" w:rsidP="009F3F60">
            <w:pPr>
              <w:rPr>
                <w:rFonts w:ascii="Palatino Linotype" w:hAnsi="Palatino Linotype" w:cs="Arial"/>
                <w:b/>
              </w:rPr>
            </w:pPr>
          </w:p>
          <w:p w:rsidR="002D5BF1" w:rsidRPr="00002C72" w:rsidRDefault="002D5BF1" w:rsidP="009F3F60">
            <w:pPr>
              <w:jc w:val="center"/>
              <w:rPr>
                <w:rFonts w:ascii="Palatino Linotype" w:hAnsi="Palatino Linotype" w:cs="Arial"/>
                <w:b/>
              </w:rPr>
            </w:pPr>
            <w:r w:rsidRPr="00002C72">
              <w:rPr>
                <w:rFonts w:ascii="Palatino Linotype" w:hAnsi="Palatino Linotype" w:cs="Arial"/>
                <w:b/>
              </w:rPr>
              <w:t>Alexis Tapia Ramírez</w:t>
            </w:r>
          </w:p>
          <w:p w:rsidR="002D5BF1" w:rsidRPr="00002C72" w:rsidRDefault="002D5BF1" w:rsidP="009F3F60">
            <w:pPr>
              <w:jc w:val="center"/>
              <w:rPr>
                <w:rFonts w:ascii="Palatino Linotype" w:hAnsi="Palatino Linotype" w:cs="Arial"/>
              </w:rPr>
            </w:pPr>
            <w:r w:rsidRPr="00002C72">
              <w:rPr>
                <w:rFonts w:ascii="Palatino Linotype" w:hAnsi="Palatino Linotype" w:cs="Arial"/>
              </w:rPr>
              <w:t>Secretario Técnico del Pleno</w:t>
            </w:r>
          </w:p>
          <w:p w:rsidR="002D5BF1" w:rsidRPr="000B4EAA" w:rsidRDefault="002D5BF1" w:rsidP="009F3F60">
            <w:pPr>
              <w:pStyle w:val="Piedepgina"/>
              <w:jc w:val="center"/>
              <w:rPr>
                <w:rFonts w:ascii="Palatino Linotype" w:hAnsi="Palatino Linotype" w:cs="Arial"/>
                <w:b/>
              </w:rPr>
            </w:pPr>
            <w:r w:rsidRPr="00002C72">
              <w:rPr>
                <w:rFonts w:ascii="Palatino Linotype" w:hAnsi="Palatino Linotype" w:cs="Arial"/>
                <w:b/>
              </w:rPr>
              <w:t>(RÚBRICA)</w:t>
            </w:r>
          </w:p>
        </w:tc>
      </w:tr>
      <w:tr w:rsidR="00252ABF" w:rsidRPr="00002C72" w:rsidTr="002D5BF1">
        <w:trPr>
          <w:gridAfter w:val="1"/>
          <w:wAfter w:w="140" w:type="dxa"/>
          <w:trHeight w:val="714"/>
          <w:jc w:val="center"/>
        </w:trPr>
        <w:tc>
          <w:tcPr>
            <w:tcW w:w="9934" w:type="dxa"/>
            <w:gridSpan w:val="2"/>
          </w:tcPr>
          <w:p w:rsidR="000939B1" w:rsidRPr="00002C72" w:rsidRDefault="000939B1"/>
          <w:p w:rsidR="00252ABF" w:rsidRPr="00002C72" w:rsidRDefault="00252ABF" w:rsidP="0019033C">
            <w:pPr>
              <w:spacing w:before="100" w:beforeAutospacing="1" w:after="100" w:afterAutospacing="1" w:line="360" w:lineRule="auto"/>
              <w:jc w:val="both"/>
              <w:rPr>
                <w:rFonts w:ascii="Palatino Linotype" w:hAnsi="Palatino Linotype" w:cs="Arial"/>
              </w:rPr>
            </w:pPr>
          </w:p>
        </w:tc>
      </w:tr>
    </w:tbl>
    <w:p w:rsidR="00D85C11" w:rsidRDefault="000B4EAA" w:rsidP="00D85C11">
      <w:pPr>
        <w:pStyle w:val="Piedepgina"/>
      </w:pPr>
      <w:r w:rsidRPr="003F3859">
        <w:rPr>
          <w:rFonts w:ascii="Palatino Linotype" w:eastAsia="Times New Roman" w:hAnsi="Palatino Linotype" w:cs="Arial"/>
          <w:noProof/>
          <w:lang w:val="es-ES"/>
        </w:rPr>
        <mc:AlternateContent>
          <mc:Choice Requires="wps">
            <w:drawing>
              <wp:anchor distT="0" distB="0" distL="114300" distR="114300" simplePos="0" relativeHeight="251708416" behindDoc="0" locked="0" layoutInCell="1" allowOverlap="0" wp14:anchorId="0C5704F4" wp14:editId="0165C323">
                <wp:simplePos x="0" y="0"/>
                <wp:positionH relativeFrom="page">
                  <wp:posOffset>835025</wp:posOffset>
                </wp:positionH>
                <wp:positionV relativeFrom="page">
                  <wp:posOffset>8224520</wp:posOffset>
                </wp:positionV>
                <wp:extent cx="6217200" cy="6300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217200" cy="630000"/>
                        </a:xfrm>
                        <a:prstGeom prst="rect">
                          <a:avLst/>
                        </a:prstGeom>
                        <a:solidFill>
                          <a:sysClr val="window" lastClr="FFFFFF"/>
                        </a:solidFill>
                        <a:ln w="6350">
                          <a:noFill/>
                        </a:ln>
                        <a:effectLst/>
                      </wps:spPr>
                      <wps:txbx>
                        <w:txbxContent>
                          <w:p w:rsidR="008E333A" w:rsidRPr="002D5BF1" w:rsidRDefault="008E333A"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 xml:space="preserve">Esta hoja corresponde a la resolución de </w:t>
                            </w:r>
                            <w:r w:rsidR="00A26438">
                              <w:rPr>
                                <w:rFonts w:ascii="Palatino Linotype" w:hAnsi="Palatino Linotype" w:cs="Arial"/>
                                <w:sz w:val="22"/>
                                <w:szCs w:val="22"/>
                                <w14:textOutline w14:w="9525" w14:cap="rnd" w14:cmpd="sng" w14:algn="ctr">
                                  <w14:noFill/>
                                  <w14:prstDash w14:val="solid"/>
                                  <w14:bevel/>
                                </w14:textOutline>
                              </w:rPr>
                              <w:t xml:space="preserve">fecha </w:t>
                            </w:r>
                            <w:r w:rsidRPr="002D5BF1">
                              <w:rPr>
                                <w:rFonts w:ascii="Palatino Linotype" w:hAnsi="Palatino Linotype" w:cs="Arial"/>
                                <w:sz w:val="22"/>
                                <w:szCs w:val="22"/>
                                <w14:textOutline w14:w="9525" w14:cap="rnd" w14:cmpd="sng" w14:algn="ctr">
                                  <w14:noFill/>
                                  <w14:prstDash w14:val="solid"/>
                                  <w14:bevel/>
                                </w14:textOutline>
                              </w:rPr>
                              <w:t>dieciséis de octubre de dos mil diecinueve, emitida en el recurso de revisión número 6487/INFOEM/IP/RR/2019.</w:t>
                            </w:r>
                          </w:p>
                          <w:p w:rsidR="008E333A" w:rsidRPr="002D5BF1" w:rsidRDefault="008E333A" w:rsidP="00D85C11">
                            <w:pPr>
                              <w:pStyle w:val="Piedepgina"/>
                              <w:jc w:val="both"/>
                              <w:rPr>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YSM/AAS</w:t>
                            </w:r>
                          </w:p>
                          <w:p w:rsidR="008E333A" w:rsidRPr="002D5BF1" w:rsidRDefault="008E333A" w:rsidP="00D85C11">
                            <w:pPr>
                              <w:rPr>
                                <w:sz w:val="22"/>
                                <w:szCs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704F4" id="_x0000_t202" coordsize="21600,21600" o:spt="202" path="m,l,21600r21600,l21600,xe">
                <v:stroke joinstyle="miter"/>
                <v:path gradientshapeok="t" o:connecttype="rect"/>
              </v:shapetype>
              <v:shape id="Cuadro de texto 5" o:spid="_x0000_s1026" type="#_x0000_t202" style="position:absolute;margin-left:65.75pt;margin-top:647.6pt;width:489.55pt;height:49.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" o:allowoverlap="f" fillcolor="window" stroked="f" strokeweight=".5pt">
                <v:textbox>
                  <w:txbxContent>
                    <w:p w:rsidR="008E333A" w:rsidRPr="002D5BF1" w:rsidRDefault="008E333A"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 xml:space="preserve">Esta hoja corresponde a la resolución de </w:t>
                      </w:r>
                      <w:r w:rsidR="00A26438">
                        <w:rPr>
                          <w:rFonts w:ascii="Palatino Linotype" w:hAnsi="Palatino Linotype" w:cs="Arial"/>
                          <w:sz w:val="22"/>
                          <w:szCs w:val="22"/>
                          <w14:textOutline w14:w="9525" w14:cap="rnd" w14:cmpd="sng" w14:algn="ctr">
                            <w14:noFill/>
                            <w14:prstDash w14:val="solid"/>
                            <w14:bevel/>
                          </w14:textOutline>
                        </w:rPr>
                        <w:t xml:space="preserve">fecha </w:t>
                      </w:r>
                      <w:r w:rsidRPr="002D5BF1">
                        <w:rPr>
                          <w:rFonts w:ascii="Palatino Linotype" w:hAnsi="Palatino Linotype" w:cs="Arial"/>
                          <w:sz w:val="22"/>
                          <w:szCs w:val="22"/>
                          <w14:textOutline w14:w="9525" w14:cap="rnd" w14:cmpd="sng" w14:algn="ctr">
                            <w14:noFill/>
                            <w14:prstDash w14:val="solid"/>
                            <w14:bevel/>
                          </w14:textOutline>
                        </w:rPr>
                        <w:t>dieciséis de octubre de dos mil diecinueve, emitida en el recurso de revisión número 6487/INFOEM/IP/RR/2019.</w:t>
                      </w:r>
                    </w:p>
                    <w:p w:rsidR="008E333A" w:rsidRPr="002D5BF1" w:rsidRDefault="008E333A" w:rsidP="00D85C11">
                      <w:pPr>
                        <w:pStyle w:val="Piedepgina"/>
                        <w:jc w:val="both"/>
                        <w:rPr>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YSM/AAS</w:t>
                      </w:r>
                    </w:p>
                    <w:p w:rsidR="008E333A" w:rsidRPr="002D5BF1" w:rsidRDefault="008E333A" w:rsidP="00D85C11">
                      <w:pPr>
                        <w:rPr>
                          <w:sz w:val="22"/>
                          <w:szCs w:val="22"/>
                          <w14:textOutline w14:w="9525" w14:cap="rnd" w14:cmpd="sng" w14:algn="ctr">
                            <w14:noFill/>
                            <w14:prstDash w14:val="solid"/>
                            <w14:bevel/>
                          </w14:textOutline>
                        </w:rPr>
                      </w:pPr>
                    </w:p>
                  </w:txbxContent>
                </v:textbox>
                <w10:wrap anchorx="page" anchory="page"/>
              </v:shape>
            </w:pict>
          </mc:Fallback>
        </mc:AlternateContent>
      </w:r>
    </w:p>
    <w:p w:rsidR="00252ABF" w:rsidRPr="00B63CBE" w:rsidRDefault="00252ABF" w:rsidP="00D85C11">
      <w:pPr>
        <w:pStyle w:val="Piedepgina"/>
      </w:pPr>
    </w:p>
    <w:sectPr w:rsidR="00252ABF" w:rsidRPr="00B63CBE" w:rsidSect="0019033C">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3B3" w:rsidRDefault="00E363B3" w:rsidP="00252ABF">
      <w:r>
        <w:separator/>
      </w:r>
    </w:p>
  </w:endnote>
  <w:endnote w:type="continuationSeparator" w:id="0">
    <w:p w:rsidR="00E363B3" w:rsidRDefault="00E363B3" w:rsidP="002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3A" w:rsidRPr="009A558D" w:rsidRDefault="008E333A" w:rsidP="009A558D">
    <w:pPr>
      <w:pStyle w:val="Piedepgina"/>
      <w:rPr>
        <w:sz w:val="20"/>
        <w:szCs w:val="20"/>
      </w:rPr>
    </w:pPr>
  </w:p>
  <w:p w:rsidR="008E333A" w:rsidRPr="007A4FB6" w:rsidRDefault="008E333A" w:rsidP="001E2EA8">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2510E0">
      <w:rPr>
        <w:rFonts w:ascii="Palatino Linotype" w:hAnsi="Palatino Linotype" w:cs="Arial"/>
        <w:b/>
        <w:bCs/>
        <w:noProof/>
        <w:sz w:val="20"/>
        <w:szCs w:val="20"/>
      </w:rPr>
      <w:t>41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2510E0">
      <w:rPr>
        <w:rFonts w:ascii="Palatino Linotype" w:hAnsi="Palatino Linotype" w:cs="Arial"/>
        <w:b/>
        <w:bCs/>
        <w:noProof/>
        <w:sz w:val="20"/>
        <w:szCs w:val="20"/>
      </w:rPr>
      <w:t>44</w:t>
    </w:r>
    <w:r w:rsidRPr="007A4FB6">
      <w:rPr>
        <w:rFonts w:ascii="Palatino Linotype" w:hAnsi="Palatino Linotype" w:cs="Arial"/>
        <w:b/>
        <w:bCs/>
        <w:sz w:val="20"/>
        <w:szCs w:val="20"/>
      </w:rPr>
      <w:fldChar w:fldCharType="end"/>
    </w:r>
  </w:p>
  <w:p w:rsidR="008E333A" w:rsidRPr="00070856" w:rsidRDefault="008E333A" w:rsidP="001E2EA8">
    <w:pPr>
      <w:pStyle w:val="Piedepgina"/>
      <w:jc w:val="right"/>
      <w:rPr>
        <w:rFonts w:ascii="Arial" w:hAnsi="Arial" w:cs="Arial"/>
        <w:sz w:val="20"/>
        <w:szCs w:val="20"/>
      </w:rPr>
    </w:pPr>
  </w:p>
  <w:p w:rsidR="008E333A" w:rsidRPr="00E573F7" w:rsidRDefault="008E333A" w:rsidP="001E2EA8">
    <w:pPr>
      <w:pStyle w:val="Piedepgina"/>
      <w:jc w:val="right"/>
      <w:rPr>
        <w:rFonts w:ascii="Palatino Linotype" w:hAnsi="Palatino Linotype"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3A" w:rsidRPr="007A4FB6" w:rsidRDefault="008E333A" w:rsidP="0019033C">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2510E0">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2510E0">
      <w:rPr>
        <w:rFonts w:ascii="Palatino Linotype" w:hAnsi="Palatino Linotype" w:cs="Arial"/>
        <w:b/>
        <w:bCs/>
        <w:noProof/>
        <w:sz w:val="20"/>
        <w:szCs w:val="20"/>
      </w:rPr>
      <w:t>44</w:t>
    </w:r>
    <w:r w:rsidRPr="007A4FB6">
      <w:rPr>
        <w:rFonts w:ascii="Palatino Linotype" w:hAnsi="Palatino Linotype" w:cs="Arial"/>
        <w:b/>
        <w:bCs/>
        <w:sz w:val="20"/>
        <w:szCs w:val="20"/>
      </w:rPr>
      <w:fldChar w:fldCharType="end"/>
    </w:r>
  </w:p>
  <w:p w:rsidR="008E333A" w:rsidRPr="00070856" w:rsidRDefault="008E333A" w:rsidP="0019033C">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3B3" w:rsidRDefault="00E363B3" w:rsidP="00252ABF">
      <w:r>
        <w:separator/>
      </w:r>
    </w:p>
  </w:footnote>
  <w:footnote w:type="continuationSeparator" w:id="0">
    <w:p w:rsidR="00E363B3" w:rsidRDefault="00E363B3" w:rsidP="00252ABF">
      <w:r>
        <w:continuationSeparator/>
      </w:r>
    </w:p>
  </w:footnote>
  <w:footnote w:id="1">
    <w:p w:rsidR="008E333A" w:rsidRDefault="008E333A" w:rsidP="005C78D4">
      <w:pPr>
        <w:pStyle w:val="Textonotapie"/>
      </w:pPr>
      <w:r>
        <w:rPr>
          <w:rStyle w:val="Refdenotaalpie"/>
        </w:rPr>
        <w:footnoteRef/>
      </w:r>
      <w:r>
        <w:t xml:space="preserve"> Consultable en; </w:t>
      </w:r>
      <w:hyperlink r:id="rId1" w:history="1">
        <w:r>
          <w:rPr>
            <w:rStyle w:val="Hipervnculo"/>
          </w:rPr>
          <w:t>https://www.gob.mx/sesnsp/acciones-y-programas/fondos-y-subsidios</w:t>
        </w:r>
      </w:hyperlink>
    </w:p>
  </w:footnote>
  <w:footnote w:id="2">
    <w:p w:rsidR="008E333A" w:rsidRPr="00A75F35" w:rsidRDefault="008E333A">
      <w:pPr>
        <w:pStyle w:val="Textonotapie"/>
        <w:rPr>
          <w:rFonts w:ascii="Palatino Linotype" w:hAnsi="Palatino Linotype"/>
          <w:sz w:val="16"/>
          <w:szCs w:val="16"/>
          <w:lang w:val="es-ES"/>
        </w:rPr>
      </w:pPr>
      <w:r w:rsidRPr="00A75F35">
        <w:rPr>
          <w:rStyle w:val="Refdenotaalpie"/>
          <w:rFonts w:ascii="Palatino Linotype" w:hAnsi="Palatino Linotype"/>
          <w:sz w:val="16"/>
          <w:szCs w:val="16"/>
        </w:rPr>
        <w:footnoteRef/>
      </w:r>
      <w:r w:rsidRPr="00A75F35">
        <w:rPr>
          <w:rFonts w:ascii="Palatino Linotype" w:hAnsi="Palatino Linotype"/>
          <w:sz w:val="16"/>
          <w:szCs w:val="16"/>
        </w:rPr>
        <w:t xml:space="preserve"> </w:t>
      </w:r>
      <w:r>
        <w:rPr>
          <w:rFonts w:ascii="Palatino Linotype" w:hAnsi="Palatino Linotype"/>
          <w:sz w:val="16"/>
          <w:szCs w:val="16"/>
        </w:rPr>
        <w:t xml:space="preserve">Disponible en la página electrónica: </w:t>
      </w:r>
      <w:r w:rsidRPr="00A75F35">
        <w:rPr>
          <w:rFonts w:ascii="Palatino Linotype" w:hAnsi="Palatino Linotype"/>
          <w:sz w:val="16"/>
          <w:szCs w:val="16"/>
        </w:rPr>
        <w:t>https://www.gob.mx/cms/uploads/attachment/file/455365/CONVENIO_FASP_2019-ESTADO_DE_M_XICO-19-04-19.pdf</w:t>
      </w:r>
    </w:p>
  </w:footnote>
  <w:footnote w:id="3">
    <w:p w:rsidR="008E333A" w:rsidRDefault="008E333A" w:rsidP="005C78D4">
      <w:pPr>
        <w:pStyle w:val="Textonotapie"/>
      </w:pPr>
      <w:r>
        <w:rPr>
          <w:rStyle w:val="Refdenotaalpie"/>
        </w:rPr>
        <w:footnoteRef/>
      </w:r>
      <w:r>
        <w:t xml:space="preserve"> Consultable en; </w:t>
      </w:r>
      <w:hyperlink r:id="rId2" w:history="1">
        <w:r>
          <w:rPr>
            <w:rStyle w:val="Hipervnculo"/>
          </w:rPr>
          <w:t>https://www.gob.mx/cms/uploads/attachment/file/454683/CONVENIO_FORTASEG_2019-ESTADO_DE_M_XICO-17-04-19.pdf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3A" w:rsidRPr="00354355" w:rsidRDefault="008E333A" w:rsidP="0019033C">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403"/>
      <w:gridCol w:w="2551"/>
      <w:gridCol w:w="3544"/>
    </w:tblGrid>
    <w:tr w:rsidR="008E333A" w:rsidRPr="008F2CCC" w:rsidTr="0019033C">
      <w:tc>
        <w:tcPr>
          <w:tcW w:w="3403" w:type="dxa"/>
        </w:tcPr>
        <w:p w:rsidR="008E333A" w:rsidRPr="008F2CCC" w:rsidRDefault="008E333A" w:rsidP="0019033C">
          <w:pPr>
            <w:rPr>
              <w:rFonts w:ascii="Palatino Linotype" w:hAnsi="Palatino Linotype"/>
              <w:b/>
              <w:sz w:val="22"/>
              <w:szCs w:val="22"/>
              <w:lang w:val="es-ES_tradnl"/>
            </w:rPr>
          </w:pPr>
        </w:p>
      </w:tc>
      <w:tc>
        <w:tcPr>
          <w:tcW w:w="2551" w:type="dxa"/>
          <w:shd w:val="clear" w:color="auto" w:fill="auto"/>
        </w:tcPr>
        <w:p w:rsidR="008E333A" w:rsidRPr="00664658" w:rsidRDefault="008E333A" w:rsidP="0019033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8E333A" w:rsidRPr="00664658" w:rsidRDefault="008E333A" w:rsidP="003F3859">
          <w:pPr>
            <w:jc w:val="both"/>
            <w:rPr>
              <w:rFonts w:ascii="Palatino Linotype" w:hAnsi="Palatino Linotype"/>
              <w:b/>
              <w:sz w:val="22"/>
              <w:szCs w:val="22"/>
              <w:lang w:val="es-ES_tradnl"/>
            </w:rPr>
          </w:pPr>
          <w:r>
            <w:rPr>
              <w:rFonts w:ascii="Palatino Linotype" w:hAnsi="Palatino Linotype"/>
              <w:b/>
              <w:sz w:val="22"/>
              <w:szCs w:val="22"/>
              <w:lang w:val="es-ES_tradnl"/>
            </w:rPr>
            <w:t>06487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8E333A" w:rsidRPr="008F2CCC" w:rsidTr="0019033C">
      <w:tc>
        <w:tcPr>
          <w:tcW w:w="3403" w:type="dxa"/>
        </w:tcPr>
        <w:p w:rsidR="008E333A" w:rsidRPr="008F2CCC" w:rsidRDefault="008E333A" w:rsidP="0019033C">
          <w:pPr>
            <w:rPr>
              <w:rFonts w:ascii="Palatino Linotype" w:hAnsi="Palatino Linotype"/>
              <w:b/>
              <w:sz w:val="22"/>
              <w:szCs w:val="22"/>
              <w:lang w:val="es-ES_tradnl"/>
            </w:rPr>
          </w:pPr>
        </w:p>
      </w:tc>
      <w:tc>
        <w:tcPr>
          <w:tcW w:w="2551" w:type="dxa"/>
          <w:shd w:val="clear" w:color="auto" w:fill="auto"/>
        </w:tcPr>
        <w:p w:rsidR="008E333A" w:rsidRPr="00664658" w:rsidRDefault="008E333A" w:rsidP="0019033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8E333A" w:rsidRPr="00DC41C8" w:rsidRDefault="008E333A" w:rsidP="001F5B97">
          <w:pPr>
            <w:jc w:val="both"/>
            <w:rPr>
              <w:rFonts w:ascii="Palatino Linotype" w:hAnsi="Palatino Linotype"/>
              <w:b/>
              <w:sz w:val="22"/>
              <w:szCs w:val="22"/>
            </w:rPr>
          </w:pPr>
          <w:r>
            <w:rPr>
              <w:rFonts w:ascii="Palatino Linotype" w:hAnsi="Palatino Linotype"/>
              <w:b/>
              <w:sz w:val="22"/>
              <w:szCs w:val="22"/>
            </w:rPr>
            <w:t>Secretaría de Seguridad</w:t>
          </w:r>
        </w:p>
      </w:tc>
    </w:tr>
    <w:tr w:rsidR="008E333A" w:rsidRPr="008F2CCC" w:rsidTr="0019033C">
      <w:trPr>
        <w:trHeight w:val="228"/>
      </w:trPr>
      <w:tc>
        <w:tcPr>
          <w:tcW w:w="3403" w:type="dxa"/>
        </w:tcPr>
        <w:p w:rsidR="008E333A" w:rsidRPr="008F2CCC" w:rsidRDefault="008E333A" w:rsidP="0019033C">
          <w:pPr>
            <w:rPr>
              <w:rFonts w:ascii="Palatino Linotype" w:hAnsi="Palatino Linotype"/>
              <w:b/>
              <w:sz w:val="22"/>
              <w:szCs w:val="22"/>
              <w:lang w:val="es-ES_tradnl"/>
            </w:rPr>
          </w:pPr>
        </w:p>
      </w:tc>
      <w:tc>
        <w:tcPr>
          <w:tcW w:w="2551" w:type="dxa"/>
          <w:shd w:val="clear" w:color="auto" w:fill="auto"/>
        </w:tcPr>
        <w:p w:rsidR="008E333A" w:rsidRPr="00664658" w:rsidRDefault="008E333A" w:rsidP="0019033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8E333A" w:rsidRPr="00664658" w:rsidRDefault="008E333A"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E333A" w:rsidRPr="00A26438" w:rsidRDefault="008E333A" w:rsidP="0019033C">
    <w:pPr>
      <w:pStyle w:val="Encabezado"/>
      <w:tabs>
        <w:tab w:val="clear" w:pos="4252"/>
        <w:tab w:val="clear" w:pos="8504"/>
        <w:tab w:val="left" w:pos="2326"/>
      </w:tabs>
      <w:rPr>
        <w:rFonts w:ascii="Palatino Linotype" w:hAnsi="Palatino Linotyp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33A" w:rsidRPr="00B8513C" w:rsidRDefault="008E333A">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56"/>
      <w:gridCol w:w="2693"/>
      <w:gridCol w:w="3407"/>
    </w:tblGrid>
    <w:tr w:rsidR="008E333A" w:rsidRPr="008F2CCC" w:rsidTr="006B542F">
      <w:tc>
        <w:tcPr>
          <w:tcW w:w="3256" w:type="dxa"/>
          <w:vMerge w:val="restart"/>
        </w:tcPr>
        <w:p w:rsidR="008E333A" w:rsidRPr="008F2CCC" w:rsidRDefault="008E333A" w:rsidP="0019033C">
          <w:pPr>
            <w:rPr>
              <w:rFonts w:ascii="Palatino Linotype" w:hAnsi="Palatino Linotype"/>
              <w:b/>
              <w:sz w:val="22"/>
              <w:szCs w:val="22"/>
              <w:lang w:val="es-ES_tradnl"/>
            </w:rPr>
          </w:pPr>
        </w:p>
      </w:tc>
      <w:tc>
        <w:tcPr>
          <w:tcW w:w="2693" w:type="dxa"/>
          <w:shd w:val="clear" w:color="auto" w:fill="auto"/>
        </w:tcPr>
        <w:p w:rsidR="008E333A" w:rsidRPr="00FD6D85" w:rsidRDefault="008E333A" w:rsidP="0019033C">
          <w:pPr>
            <w:rPr>
              <w:rFonts w:ascii="Palatino Linotype" w:hAnsi="Palatino Linotype"/>
              <w:b/>
              <w:sz w:val="22"/>
              <w:szCs w:val="22"/>
              <w:lang w:val="es-ES_tradnl"/>
            </w:rPr>
          </w:pPr>
          <w:r w:rsidRPr="00FD6D85">
            <w:rPr>
              <w:rFonts w:ascii="Palatino Linotype" w:hAnsi="Palatino Linotype"/>
              <w:b/>
              <w:sz w:val="22"/>
              <w:szCs w:val="22"/>
              <w:lang w:val="es-ES_tradnl"/>
            </w:rPr>
            <w:t>Recurso de revisión:</w:t>
          </w:r>
        </w:p>
      </w:tc>
      <w:tc>
        <w:tcPr>
          <w:tcW w:w="3407" w:type="dxa"/>
          <w:shd w:val="clear" w:color="auto" w:fill="auto"/>
          <w:vAlign w:val="center"/>
        </w:tcPr>
        <w:p w:rsidR="008E333A" w:rsidRPr="00FD6D85" w:rsidRDefault="008E333A" w:rsidP="00C12A83">
          <w:pPr>
            <w:jc w:val="both"/>
            <w:rPr>
              <w:rFonts w:ascii="Palatino Linotype" w:hAnsi="Palatino Linotype"/>
              <w:b/>
              <w:sz w:val="22"/>
              <w:szCs w:val="22"/>
              <w:lang w:val="es-ES_tradnl"/>
            </w:rPr>
          </w:pPr>
          <w:r>
            <w:rPr>
              <w:rFonts w:ascii="Palatino Linotype" w:hAnsi="Palatino Linotype"/>
              <w:b/>
              <w:sz w:val="22"/>
              <w:szCs w:val="22"/>
              <w:lang w:val="es-ES_tradnl"/>
            </w:rPr>
            <w:t>06487</w:t>
          </w:r>
          <w:r w:rsidRPr="00FD6D85">
            <w:rPr>
              <w:rFonts w:ascii="Palatino Linotype" w:hAnsi="Palatino Linotype"/>
              <w:b/>
              <w:sz w:val="22"/>
              <w:szCs w:val="22"/>
              <w:lang w:val="es-ES_tradnl"/>
            </w:rPr>
            <w:t xml:space="preserve">/INFOEM/IP/RR/2019 </w:t>
          </w:r>
        </w:p>
      </w:tc>
    </w:tr>
    <w:tr w:rsidR="008E333A" w:rsidRPr="008F2CCC" w:rsidTr="006B542F">
      <w:tc>
        <w:tcPr>
          <w:tcW w:w="3256" w:type="dxa"/>
          <w:vMerge/>
        </w:tcPr>
        <w:p w:rsidR="008E333A" w:rsidRPr="008F2CCC" w:rsidRDefault="008E333A" w:rsidP="0019033C">
          <w:pPr>
            <w:rPr>
              <w:rFonts w:ascii="Palatino Linotype" w:hAnsi="Palatino Linotype"/>
              <w:b/>
              <w:sz w:val="22"/>
              <w:szCs w:val="22"/>
              <w:lang w:val="es-ES_tradnl"/>
            </w:rPr>
          </w:pPr>
        </w:p>
      </w:tc>
      <w:tc>
        <w:tcPr>
          <w:tcW w:w="2693" w:type="dxa"/>
          <w:shd w:val="clear" w:color="auto" w:fill="auto"/>
        </w:tcPr>
        <w:p w:rsidR="008E333A" w:rsidRPr="00FD6D85" w:rsidRDefault="008E333A" w:rsidP="0019033C">
          <w:pPr>
            <w:rPr>
              <w:rFonts w:ascii="Palatino Linotype" w:hAnsi="Palatino Linotype"/>
              <w:b/>
              <w:sz w:val="22"/>
              <w:szCs w:val="22"/>
              <w:lang w:val="es-ES_tradnl"/>
            </w:rPr>
          </w:pPr>
          <w:r w:rsidRPr="00FD6D85">
            <w:rPr>
              <w:rFonts w:ascii="Palatino Linotype" w:hAnsi="Palatino Linotype"/>
              <w:b/>
              <w:sz w:val="22"/>
              <w:szCs w:val="22"/>
              <w:lang w:val="es-ES_tradnl"/>
            </w:rPr>
            <w:t>Recurrente:</w:t>
          </w:r>
        </w:p>
      </w:tc>
      <w:tc>
        <w:tcPr>
          <w:tcW w:w="3407" w:type="dxa"/>
          <w:shd w:val="clear" w:color="auto" w:fill="auto"/>
          <w:vAlign w:val="center"/>
        </w:tcPr>
        <w:p w:rsidR="008E333A" w:rsidRPr="00FD6D85" w:rsidRDefault="002510E0" w:rsidP="00FD6D85">
          <w:pPr>
            <w:jc w:val="both"/>
            <w:rPr>
              <w:rFonts w:ascii="Palatino Linotype" w:hAnsi="Palatino Linotype"/>
              <w:b/>
              <w:sz w:val="22"/>
              <w:szCs w:val="22"/>
              <w:lang w:val="es-ES_tradnl"/>
            </w:rPr>
          </w:pPr>
          <w:r>
            <w:rPr>
              <w:rFonts w:ascii="Palatino Linotype" w:hAnsi="Palatino Linotype"/>
              <w:b/>
              <w:sz w:val="22"/>
              <w:szCs w:val="22"/>
              <w:lang w:val="es-ES_tradnl"/>
            </w:rPr>
            <w:t>xxxx xxxx xxxx</w:t>
          </w:r>
        </w:p>
      </w:tc>
    </w:tr>
    <w:tr w:rsidR="008E333A" w:rsidRPr="008F2CCC" w:rsidTr="006B542F">
      <w:trPr>
        <w:trHeight w:val="228"/>
      </w:trPr>
      <w:tc>
        <w:tcPr>
          <w:tcW w:w="3256" w:type="dxa"/>
          <w:vMerge/>
        </w:tcPr>
        <w:p w:rsidR="008E333A" w:rsidRPr="008F2CCC" w:rsidRDefault="008E333A" w:rsidP="0019033C">
          <w:pPr>
            <w:rPr>
              <w:rFonts w:ascii="Palatino Linotype" w:hAnsi="Palatino Linotype"/>
              <w:b/>
              <w:sz w:val="22"/>
              <w:szCs w:val="22"/>
              <w:lang w:val="es-ES_tradnl"/>
            </w:rPr>
          </w:pPr>
        </w:p>
      </w:tc>
      <w:tc>
        <w:tcPr>
          <w:tcW w:w="2693" w:type="dxa"/>
          <w:shd w:val="clear" w:color="auto" w:fill="auto"/>
        </w:tcPr>
        <w:p w:rsidR="008E333A" w:rsidRPr="00FD6D85" w:rsidRDefault="008E333A" w:rsidP="006B542F">
          <w:pPr>
            <w:ind w:right="454"/>
            <w:rPr>
              <w:rFonts w:ascii="Palatino Linotype" w:hAnsi="Palatino Linotype"/>
              <w:b/>
              <w:sz w:val="22"/>
              <w:szCs w:val="22"/>
              <w:lang w:val="es-ES_tradnl"/>
            </w:rPr>
          </w:pPr>
          <w:r w:rsidRPr="00FD6D85">
            <w:rPr>
              <w:rFonts w:ascii="Palatino Linotype" w:hAnsi="Palatino Linotype"/>
              <w:b/>
              <w:sz w:val="22"/>
              <w:szCs w:val="22"/>
              <w:lang w:val="es-ES_tradnl"/>
            </w:rPr>
            <w:t>Sujeto Obligado:</w:t>
          </w:r>
        </w:p>
      </w:tc>
      <w:tc>
        <w:tcPr>
          <w:tcW w:w="3407" w:type="dxa"/>
          <w:shd w:val="clear" w:color="auto" w:fill="auto"/>
          <w:vAlign w:val="center"/>
        </w:tcPr>
        <w:p w:rsidR="008E333A" w:rsidRPr="00FD6D85" w:rsidRDefault="008E333A" w:rsidP="00E016A9">
          <w:pPr>
            <w:jc w:val="both"/>
            <w:rPr>
              <w:rFonts w:ascii="Palatino Linotype" w:hAnsi="Palatino Linotype"/>
              <w:b/>
              <w:sz w:val="22"/>
              <w:szCs w:val="22"/>
            </w:rPr>
          </w:pPr>
          <w:r>
            <w:rPr>
              <w:rFonts w:ascii="Palatino Linotype" w:hAnsi="Palatino Linotype"/>
              <w:b/>
              <w:sz w:val="22"/>
              <w:szCs w:val="22"/>
            </w:rPr>
            <w:t>Secretaría de Seguridad</w:t>
          </w:r>
        </w:p>
      </w:tc>
    </w:tr>
    <w:tr w:rsidR="008E333A" w:rsidRPr="008F2CCC" w:rsidTr="006B542F">
      <w:tc>
        <w:tcPr>
          <w:tcW w:w="3256" w:type="dxa"/>
          <w:vMerge/>
        </w:tcPr>
        <w:p w:rsidR="008E333A" w:rsidRPr="008F2CCC" w:rsidRDefault="008E333A" w:rsidP="0019033C">
          <w:pPr>
            <w:rPr>
              <w:rFonts w:ascii="Palatino Linotype" w:hAnsi="Palatino Linotype"/>
              <w:b/>
              <w:sz w:val="22"/>
              <w:szCs w:val="22"/>
              <w:lang w:val="es-ES_tradnl"/>
            </w:rPr>
          </w:pPr>
        </w:p>
      </w:tc>
      <w:tc>
        <w:tcPr>
          <w:tcW w:w="2693" w:type="dxa"/>
          <w:shd w:val="clear" w:color="auto" w:fill="auto"/>
        </w:tcPr>
        <w:p w:rsidR="008E333A" w:rsidRPr="00FD6D85" w:rsidRDefault="008E333A" w:rsidP="0019033C">
          <w:pPr>
            <w:rPr>
              <w:rFonts w:ascii="Palatino Linotype" w:hAnsi="Palatino Linotype"/>
              <w:b/>
              <w:sz w:val="22"/>
              <w:szCs w:val="22"/>
              <w:lang w:val="es-ES_tradnl"/>
            </w:rPr>
          </w:pPr>
          <w:r w:rsidRPr="00FD6D85">
            <w:rPr>
              <w:rFonts w:ascii="Palatino Linotype" w:hAnsi="Palatino Linotype"/>
              <w:b/>
              <w:sz w:val="22"/>
              <w:szCs w:val="22"/>
              <w:lang w:val="es-ES_tradnl"/>
            </w:rPr>
            <w:t>Comisionada ponente:</w:t>
          </w:r>
        </w:p>
      </w:tc>
      <w:tc>
        <w:tcPr>
          <w:tcW w:w="3407" w:type="dxa"/>
          <w:shd w:val="clear" w:color="auto" w:fill="auto"/>
        </w:tcPr>
        <w:p w:rsidR="008E333A" w:rsidRPr="00FD6D85" w:rsidRDefault="008E333A" w:rsidP="0019033C">
          <w:pPr>
            <w:jc w:val="both"/>
            <w:rPr>
              <w:rFonts w:ascii="Palatino Linotype" w:hAnsi="Palatino Linotype"/>
              <w:b/>
              <w:sz w:val="22"/>
              <w:szCs w:val="22"/>
              <w:lang w:val="es-ES_tradnl"/>
            </w:rPr>
          </w:pPr>
          <w:r w:rsidRPr="00FD6D85">
            <w:rPr>
              <w:rFonts w:ascii="Palatino Linotype" w:hAnsi="Palatino Linotype"/>
              <w:b/>
              <w:sz w:val="22"/>
              <w:szCs w:val="22"/>
              <w:lang w:val="es-ES_tradnl"/>
            </w:rPr>
            <w:t>Eva Abaid Yapur</w:t>
          </w:r>
        </w:p>
      </w:tc>
    </w:tr>
  </w:tbl>
  <w:p w:rsidR="008E333A" w:rsidRPr="00A26438" w:rsidRDefault="008E333A" w:rsidP="0019033C">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B72"/>
    <w:multiLevelType w:val="hybridMultilevel"/>
    <w:tmpl w:val="85A485E4"/>
    <w:lvl w:ilvl="0" w:tplc="2AE048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40775C"/>
    <w:multiLevelType w:val="hybridMultilevel"/>
    <w:tmpl w:val="5CB87D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B425FD"/>
    <w:multiLevelType w:val="hybridMultilevel"/>
    <w:tmpl w:val="CFB6F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FD0AED"/>
    <w:multiLevelType w:val="hybridMultilevel"/>
    <w:tmpl w:val="7CF41BE0"/>
    <w:lvl w:ilvl="0" w:tplc="080A0001">
      <w:start w:val="1"/>
      <w:numFmt w:val="bullet"/>
      <w:lvlText w:val=""/>
      <w:lvlJc w:val="left"/>
      <w:pPr>
        <w:ind w:left="720" w:hanging="360"/>
      </w:pPr>
      <w:rPr>
        <w:rFonts w:ascii="Symbol" w:hAnsi="Symbol" w:hint="default"/>
      </w:rPr>
    </w:lvl>
    <w:lvl w:ilvl="1" w:tplc="D0281320">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E52828"/>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652861"/>
    <w:multiLevelType w:val="hybridMultilevel"/>
    <w:tmpl w:val="B672A6D6"/>
    <w:lvl w:ilvl="0" w:tplc="FB1E443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740615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04242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8773B6"/>
    <w:multiLevelType w:val="hybridMultilevel"/>
    <w:tmpl w:val="D14CF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F70B21"/>
    <w:multiLevelType w:val="hybridMultilevel"/>
    <w:tmpl w:val="1F405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465D25AF"/>
    <w:multiLevelType w:val="hybridMultilevel"/>
    <w:tmpl w:val="4EC8BBB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574205"/>
    <w:multiLevelType w:val="hybridMultilevel"/>
    <w:tmpl w:val="382C6018"/>
    <w:lvl w:ilvl="0" w:tplc="44DE7E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531DB8"/>
    <w:multiLevelType w:val="hybridMultilevel"/>
    <w:tmpl w:val="BA9A21A6"/>
    <w:lvl w:ilvl="0" w:tplc="7A06A7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0EF7395"/>
    <w:multiLevelType w:val="hybridMultilevel"/>
    <w:tmpl w:val="F25A0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6650D35"/>
    <w:multiLevelType w:val="hybridMultilevel"/>
    <w:tmpl w:val="13A02E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2E1AF1"/>
    <w:multiLevelType w:val="hybridMultilevel"/>
    <w:tmpl w:val="1632E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Palatino Linotype"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Palatino Linotype"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F164D3"/>
    <w:multiLevelType w:val="hybridMultilevel"/>
    <w:tmpl w:val="BEAA19DE"/>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C5219A"/>
    <w:multiLevelType w:val="hybridMultilevel"/>
    <w:tmpl w:val="A3B4C3B2"/>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33"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E1EC0"/>
    <w:multiLevelType w:val="hybridMultilevel"/>
    <w:tmpl w:val="2418F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4802A88"/>
    <w:multiLevelType w:val="hybridMultilevel"/>
    <w:tmpl w:val="B1385E4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9795EEB"/>
    <w:multiLevelType w:val="hybridMultilevel"/>
    <w:tmpl w:val="EAFC6354"/>
    <w:lvl w:ilvl="0" w:tplc="FAA8B6DC">
      <w:start w:val="1"/>
      <w:numFmt w:val="ordinalText"/>
      <w:lvlText w:val="%1."/>
      <w:lvlJc w:val="left"/>
      <w:pPr>
        <w:ind w:left="1070" w:hanging="360"/>
      </w:pPr>
      <w:rPr>
        <w:rFonts w:hint="default"/>
        <w:b/>
        <w:caps/>
        <w:sz w:val="28"/>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1"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EA308DE"/>
    <w:multiLevelType w:val="hybridMultilevel"/>
    <w:tmpl w:val="0024E35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0"/>
  </w:num>
  <w:num w:numId="3">
    <w:abstractNumId w:val="21"/>
  </w:num>
  <w:num w:numId="4">
    <w:abstractNumId w:val="24"/>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7"/>
  </w:num>
  <w:num w:numId="8">
    <w:abstractNumId w:val="40"/>
  </w:num>
  <w:num w:numId="9">
    <w:abstractNumId w:val="14"/>
  </w:num>
  <w:num w:numId="10">
    <w:abstractNumId w:val="8"/>
  </w:num>
  <w:num w:numId="11">
    <w:abstractNumId w:val="31"/>
  </w:num>
  <w:num w:numId="12">
    <w:abstractNumId w:val="29"/>
  </w:num>
  <w:num w:numId="13">
    <w:abstractNumId w:val="3"/>
  </w:num>
  <w:num w:numId="14">
    <w:abstractNumId w:val="6"/>
  </w:num>
  <w:num w:numId="15">
    <w:abstractNumId w:val="11"/>
  </w:num>
  <w:num w:numId="16">
    <w:abstractNumId w:val="19"/>
  </w:num>
  <w:num w:numId="17">
    <w:abstractNumId w:val="35"/>
  </w:num>
  <w:num w:numId="18">
    <w:abstractNumId w:val="15"/>
  </w:num>
  <w:num w:numId="19">
    <w:abstractNumId w:val="12"/>
  </w:num>
  <w:num w:numId="20">
    <w:abstractNumId w:val="28"/>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4"/>
  </w:num>
  <w:num w:numId="24">
    <w:abstractNumId w:val="38"/>
  </w:num>
  <w:num w:numId="25">
    <w:abstractNumId w:val="41"/>
  </w:num>
  <w:num w:numId="26">
    <w:abstractNumId w:val="4"/>
  </w:num>
  <w:num w:numId="27">
    <w:abstractNumId w:val="5"/>
  </w:num>
  <w:num w:numId="28">
    <w:abstractNumId w:val="23"/>
  </w:num>
  <w:num w:numId="29">
    <w:abstractNumId w:val="2"/>
  </w:num>
  <w:num w:numId="30">
    <w:abstractNumId w:val="1"/>
  </w:num>
  <w:num w:numId="31">
    <w:abstractNumId w:val="16"/>
  </w:num>
  <w:num w:numId="32">
    <w:abstractNumId w:val="20"/>
  </w:num>
  <w:num w:numId="33">
    <w:abstractNumId w:val="7"/>
  </w:num>
  <w:num w:numId="34">
    <w:abstractNumId w:val="18"/>
  </w:num>
  <w:num w:numId="35">
    <w:abstractNumId w:val="36"/>
  </w:num>
  <w:num w:numId="36">
    <w:abstractNumId w:val="30"/>
  </w:num>
  <w:num w:numId="37">
    <w:abstractNumId w:val="9"/>
  </w:num>
  <w:num w:numId="38">
    <w:abstractNumId w:val="26"/>
  </w:num>
  <w:num w:numId="39">
    <w:abstractNumId w:val="27"/>
  </w:num>
  <w:num w:numId="40">
    <w:abstractNumId w:val="22"/>
  </w:num>
  <w:num w:numId="41">
    <w:abstractNumId w:val="32"/>
  </w:num>
  <w:num w:numId="42">
    <w:abstractNumId w:val="33"/>
  </w:num>
  <w:num w:numId="43">
    <w:abstractNumId w:val="17"/>
  </w:num>
  <w:num w:numId="44">
    <w:abstractNumId w:val="2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BF"/>
    <w:rsid w:val="00002C2D"/>
    <w:rsid w:val="00002C72"/>
    <w:rsid w:val="00007D1E"/>
    <w:rsid w:val="00012482"/>
    <w:rsid w:val="00012A80"/>
    <w:rsid w:val="00021988"/>
    <w:rsid w:val="000272E6"/>
    <w:rsid w:val="0003051A"/>
    <w:rsid w:val="0003190D"/>
    <w:rsid w:val="0003552C"/>
    <w:rsid w:val="00042161"/>
    <w:rsid w:val="00047129"/>
    <w:rsid w:val="0004712D"/>
    <w:rsid w:val="000507E9"/>
    <w:rsid w:val="00062071"/>
    <w:rsid w:val="0006286D"/>
    <w:rsid w:val="000718EB"/>
    <w:rsid w:val="000735E4"/>
    <w:rsid w:val="0008568D"/>
    <w:rsid w:val="00086820"/>
    <w:rsid w:val="000939B1"/>
    <w:rsid w:val="0009454C"/>
    <w:rsid w:val="000A1378"/>
    <w:rsid w:val="000A1AB2"/>
    <w:rsid w:val="000A6C7C"/>
    <w:rsid w:val="000A7265"/>
    <w:rsid w:val="000B103A"/>
    <w:rsid w:val="000B46D9"/>
    <w:rsid w:val="000B4EAA"/>
    <w:rsid w:val="000B61E7"/>
    <w:rsid w:val="000B6831"/>
    <w:rsid w:val="000C500C"/>
    <w:rsid w:val="000C63A0"/>
    <w:rsid w:val="000D0E31"/>
    <w:rsid w:val="000D29F9"/>
    <w:rsid w:val="000E0DAA"/>
    <w:rsid w:val="000F1C73"/>
    <w:rsid w:val="000F4400"/>
    <w:rsid w:val="00100299"/>
    <w:rsid w:val="00104899"/>
    <w:rsid w:val="00106EE6"/>
    <w:rsid w:val="00107C33"/>
    <w:rsid w:val="00112C95"/>
    <w:rsid w:val="00121A28"/>
    <w:rsid w:val="00122450"/>
    <w:rsid w:val="00123DDE"/>
    <w:rsid w:val="0013316A"/>
    <w:rsid w:val="001465A1"/>
    <w:rsid w:val="001537C1"/>
    <w:rsid w:val="00160E1B"/>
    <w:rsid w:val="001646FC"/>
    <w:rsid w:val="00166831"/>
    <w:rsid w:val="00175EFE"/>
    <w:rsid w:val="00185218"/>
    <w:rsid w:val="001867F0"/>
    <w:rsid w:val="0019033C"/>
    <w:rsid w:val="001930D5"/>
    <w:rsid w:val="00193F4D"/>
    <w:rsid w:val="00194175"/>
    <w:rsid w:val="00197FC0"/>
    <w:rsid w:val="001A0929"/>
    <w:rsid w:val="001A474E"/>
    <w:rsid w:val="001A552F"/>
    <w:rsid w:val="001A62E8"/>
    <w:rsid w:val="001B5D24"/>
    <w:rsid w:val="001C2D86"/>
    <w:rsid w:val="001C6897"/>
    <w:rsid w:val="001C7C75"/>
    <w:rsid w:val="001D65F2"/>
    <w:rsid w:val="001E0520"/>
    <w:rsid w:val="001E2EA8"/>
    <w:rsid w:val="001F1824"/>
    <w:rsid w:val="001F5B97"/>
    <w:rsid w:val="001F5F1C"/>
    <w:rsid w:val="001F5FCC"/>
    <w:rsid w:val="00213FAB"/>
    <w:rsid w:val="00217896"/>
    <w:rsid w:val="00222293"/>
    <w:rsid w:val="00222527"/>
    <w:rsid w:val="00230563"/>
    <w:rsid w:val="00242F1C"/>
    <w:rsid w:val="00243BD2"/>
    <w:rsid w:val="00243ED9"/>
    <w:rsid w:val="00244E4D"/>
    <w:rsid w:val="00246AA6"/>
    <w:rsid w:val="002510E0"/>
    <w:rsid w:val="00252ABF"/>
    <w:rsid w:val="00253324"/>
    <w:rsid w:val="002656B6"/>
    <w:rsid w:val="00266D81"/>
    <w:rsid w:val="002746FA"/>
    <w:rsid w:val="00275B5E"/>
    <w:rsid w:val="002861F1"/>
    <w:rsid w:val="0028722A"/>
    <w:rsid w:val="00295EE1"/>
    <w:rsid w:val="00297374"/>
    <w:rsid w:val="002A332B"/>
    <w:rsid w:val="002A5FBA"/>
    <w:rsid w:val="002B685B"/>
    <w:rsid w:val="002C138B"/>
    <w:rsid w:val="002C1CE4"/>
    <w:rsid w:val="002D5BF1"/>
    <w:rsid w:val="002E7555"/>
    <w:rsid w:val="002F4748"/>
    <w:rsid w:val="0031021A"/>
    <w:rsid w:val="003264C2"/>
    <w:rsid w:val="0033047B"/>
    <w:rsid w:val="00331220"/>
    <w:rsid w:val="00331C4C"/>
    <w:rsid w:val="0033517A"/>
    <w:rsid w:val="00337102"/>
    <w:rsid w:val="0033738D"/>
    <w:rsid w:val="003464AD"/>
    <w:rsid w:val="00352FC7"/>
    <w:rsid w:val="0035479D"/>
    <w:rsid w:val="0035684D"/>
    <w:rsid w:val="003606BA"/>
    <w:rsid w:val="00381C4D"/>
    <w:rsid w:val="003852C0"/>
    <w:rsid w:val="00394EB2"/>
    <w:rsid w:val="003A2348"/>
    <w:rsid w:val="003B5CB8"/>
    <w:rsid w:val="003C2EFD"/>
    <w:rsid w:val="003C55AC"/>
    <w:rsid w:val="003D07E5"/>
    <w:rsid w:val="003D39F2"/>
    <w:rsid w:val="003D4817"/>
    <w:rsid w:val="003E2918"/>
    <w:rsid w:val="003E34D4"/>
    <w:rsid w:val="003F088D"/>
    <w:rsid w:val="003F258A"/>
    <w:rsid w:val="003F2C69"/>
    <w:rsid w:val="003F3859"/>
    <w:rsid w:val="003F6F2A"/>
    <w:rsid w:val="00400D29"/>
    <w:rsid w:val="0040297C"/>
    <w:rsid w:val="0040443A"/>
    <w:rsid w:val="004218D1"/>
    <w:rsid w:val="0043518D"/>
    <w:rsid w:val="00442C3B"/>
    <w:rsid w:val="00445012"/>
    <w:rsid w:val="00452AD3"/>
    <w:rsid w:val="00455779"/>
    <w:rsid w:val="0046184C"/>
    <w:rsid w:val="00461AAE"/>
    <w:rsid w:val="00464C4C"/>
    <w:rsid w:val="00470C6C"/>
    <w:rsid w:val="004714F8"/>
    <w:rsid w:val="004746FF"/>
    <w:rsid w:val="00480BD4"/>
    <w:rsid w:val="00482406"/>
    <w:rsid w:val="004871B2"/>
    <w:rsid w:val="00493A9F"/>
    <w:rsid w:val="00494C4F"/>
    <w:rsid w:val="00496D56"/>
    <w:rsid w:val="004A018B"/>
    <w:rsid w:val="004A2B7A"/>
    <w:rsid w:val="004A2C82"/>
    <w:rsid w:val="004A41DB"/>
    <w:rsid w:val="004A4321"/>
    <w:rsid w:val="004B1CE6"/>
    <w:rsid w:val="004B3BFF"/>
    <w:rsid w:val="004B4B13"/>
    <w:rsid w:val="004C42D2"/>
    <w:rsid w:val="004C46A5"/>
    <w:rsid w:val="004D410B"/>
    <w:rsid w:val="004E28D8"/>
    <w:rsid w:val="005014CF"/>
    <w:rsid w:val="00503C46"/>
    <w:rsid w:val="0050429F"/>
    <w:rsid w:val="00505DF8"/>
    <w:rsid w:val="00514E09"/>
    <w:rsid w:val="005202DE"/>
    <w:rsid w:val="00524352"/>
    <w:rsid w:val="00533516"/>
    <w:rsid w:val="0054530B"/>
    <w:rsid w:val="00545E45"/>
    <w:rsid w:val="00550256"/>
    <w:rsid w:val="00555810"/>
    <w:rsid w:val="00560E23"/>
    <w:rsid w:val="00564875"/>
    <w:rsid w:val="0056712A"/>
    <w:rsid w:val="0057563F"/>
    <w:rsid w:val="00581D17"/>
    <w:rsid w:val="00583012"/>
    <w:rsid w:val="00594803"/>
    <w:rsid w:val="005A366F"/>
    <w:rsid w:val="005B050C"/>
    <w:rsid w:val="005B5E62"/>
    <w:rsid w:val="005B6636"/>
    <w:rsid w:val="005B7C0A"/>
    <w:rsid w:val="005C33B5"/>
    <w:rsid w:val="005C78D4"/>
    <w:rsid w:val="005D1B57"/>
    <w:rsid w:val="005D28DD"/>
    <w:rsid w:val="005D476B"/>
    <w:rsid w:val="005E51DD"/>
    <w:rsid w:val="005E5354"/>
    <w:rsid w:val="005F1928"/>
    <w:rsid w:val="005F303D"/>
    <w:rsid w:val="0061162D"/>
    <w:rsid w:val="00614107"/>
    <w:rsid w:val="006173F0"/>
    <w:rsid w:val="00622E9C"/>
    <w:rsid w:val="006241EC"/>
    <w:rsid w:val="00630BB9"/>
    <w:rsid w:val="00631D99"/>
    <w:rsid w:val="00633A54"/>
    <w:rsid w:val="006349F8"/>
    <w:rsid w:val="006353EA"/>
    <w:rsid w:val="00641610"/>
    <w:rsid w:val="00641DF3"/>
    <w:rsid w:val="00642944"/>
    <w:rsid w:val="00642991"/>
    <w:rsid w:val="00652012"/>
    <w:rsid w:val="00652ED9"/>
    <w:rsid w:val="0068032A"/>
    <w:rsid w:val="00680565"/>
    <w:rsid w:val="00687C67"/>
    <w:rsid w:val="0069334A"/>
    <w:rsid w:val="0069489A"/>
    <w:rsid w:val="006A0C0C"/>
    <w:rsid w:val="006A69B0"/>
    <w:rsid w:val="006B356F"/>
    <w:rsid w:val="006B542F"/>
    <w:rsid w:val="006B65D3"/>
    <w:rsid w:val="006C2057"/>
    <w:rsid w:val="006C239D"/>
    <w:rsid w:val="006C4AE1"/>
    <w:rsid w:val="006D1F9B"/>
    <w:rsid w:val="006D233B"/>
    <w:rsid w:val="006D3442"/>
    <w:rsid w:val="006D78A8"/>
    <w:rsid w:val="006D7AF0"/>
    <w:rsid w:val="006F306A"/>
    <w:rsid w:val="007025A5"/>
    <w:rsid w:val="0070555E"/>
    <w:rsid w:val="00714232"/>
    <w:rsid w:val="00714E83"/>
    <w:rsid w:val="00725BAA"/>
    <w:rsid w:val="007267F9"/>
    <w:rsid w:val="00732E1D"/>
    <w:rsid w:val="007335E1"/>
    <w:rsid w:val="00743E8A"/>
    <w:rsid w:val="0075066A"/>
    <w:rsid w:val="00750933"/>
    <w:rsid w:val="00752C89"/>
    <w:rsid w:val="00753F97"/>
    <w:rsid w:val="0077139E"/>
    <w:rsid w:val="00775760"/>
    <w:rsid w:val="007948E4"/>
    <w:rsid w:val="007A74D1"/>
    <w:rsid w:val="007C178C"/>
    <w:rsid w:val="007C3797"/>
    <w:rsid w:val="007C4E65"/>
    <w:rsid w:val="007D02BF"/>
    <w:rsid w:val="007D5C3C"/>
    <w:rsid w:val="007E3965"/>
    <w:rsid w:val="007F53BA"/>
    <w:rsid w:val="007F6432"/>
    <w:rsid w:val="008021C5"/>
    <w:rsid w:val="0080399D"/>
    <w:rsid w:val="0080574A"/>
    <w:rsid w:val="008068DF"/>
    <w:rsid w:val="0081745D"/>
    <w:rsid w:val="00823E92"/>
    <w:rsid w:val="008301E0"/>
    <w:rsid w:val="008322FB"/>
    <w:rsid w:val="00834275"/>
    <w:rsid w:val="00835F07"/>
    <w:rsid w:val="00845039"/>
    <w:rsid w:val="00845046"/>
    <w:rsid w:val="00845FDE"/>
    <w:rsid w:val="00847AD9"/>
    <w:rsid w:val="00856A65"/>
    <w:rsid w:val="00860480"/>
    <w:rsid w:val="00864D7A"/>
    <w:rsid w:val="00865ACA"/>
    <w:rsid w:val="008724DF"/>
    <w:rsid w:val="00872E54"/>
    <w:rsid w:val="00873B94"/>
    <w:rsid w:val="00875F18"/>
    <w:rsid w:val="00885A27"/>
    <w:rsid w:val="008A0101"/>
    <w:rsid w:val="008A394E"/>
    <w:rsid w:val="008B6AF8"/>
    <w:rsid w:val="008C10BE"/>
    <w:rsid w:val="008C560E"/>
    <w:rsid w:val="008C5C42"/>
    <w:rsid w:val="008D1907"/>
    <w:rsid w:val="008E0D97"/>
    <w:rsid w:val="008E333A"/>
    <w:rsid w:val="008E4D3A"/>
    <w:rsid w:val="008F0168"/>
    <w:rsid w:val="008F4605"/>
    <w:rsid w:val="00901E93"/>
    <w:rsid w:val="00911289"/>
    <w:rsid w:val="009112CB"/>
    <w:rsid w:val="00912F61"/>
    <w:rsid w:val="00915F3A"/>
    <w:rsid w:val="00917C16"/>
    <w:rsid w:val="009225A9"/>
    <w:rsid w:val="00923628"/>
    <w:rsid w:val="00925DC0"/>
    <w:rsid w:val="00932AF5"/>
    <w:rsid w:val="00946CB2"/>
    <w:rsid w:val="0095053A"/>
    <w:rsid w:val="00950B66"/>
    <w:rsid w:val="009516FB"/>
    <w:rsid w:val="00952749"/>
    <w:rsid w:val="009563D7"/>
    <w:rsid w:val="00961CD9"/>
    <w:rsid w:val="00962A4E"/>
    <w:rsid w:val="00963604"/>
    <w:rsid w:val="00963FB5"/>
    <w:rsid w:val="009674E3"/>
    <w:rsid w:val="00974DE3"/>
    <w:rsid w:val="009752AE"/>
    <w:rsid w:val="00980244"/>
    <w:rsid w:val="009802D1"/>
    <w:rsid w:val="009A2CAD"/>
    <w:rsid w:val="009A3D3B"/>
    <w:rsid w:val="009A558D"/>
    <w:rsid w:val="009B0BA7"/>
    <w:rsid w:val="009B26DE"/>
    <w:rsid w:val="009B6746"/>
    <w:rsid w:val="009B6A3C"/>
    <w:rsid w:val="009C2943"/>
    <w:rsid w:val="009D23A0"/>
    <w:rsid w:val="009D3BFB"/>
    <w:rsid w:val="009D412A"/>
    <w:rsid w:val="009D4B64"/>
    <w:rsid w:val="009D4EE7"/>
    <w:rsid w:val="009D680C"/>
    <w:rsid w:val="009E62E6"/>
    <w:rsid w:val="009F1DBC"/>
    <w:rsid w:val="00A04E56"/>
    <w:rsid w:val="00A10134"/>
    <w:rsid w:val="00A116B3"/>
    <w:rsid w:val="00A15AF8"/>
    <w:rsid w:val="00A26438"/>
    <w:rsid w:val="00A33FA7"/>
    <w:rsid w:val="00A35D32"/>
    <w:rsid w:val="00A4455D"/>
    <w:rsid w:val="00A45426"/>
    <w:rsid w:val="00A4597F"/>
    <w:rsid w:val="00A45C25"/>
    <w:rsid w:val="00A45FFD"/>
    <w:rsid w:val="00A53FE6"/>
    <w:rsid w:val="00A62B11"/>
    <w:rsid w:val="00A66BAD"/>
    <w:rsid w:val="00A67908"/>
    <w:rsid w:val="00A705B2"/>
    <w:rsid w:val="00A7069C"/>
    <w:rsid w:val="00A71360"/>
    <w:rsid w:val="00A740BB"/>
    <w:rsid w:val="00A747D7"/>
    <w:rsid w:val="00A75F35"/>
    <w:rsid w:val="00A82FEA"/>
    <w:rsid w:val="00A85C44"/>
    <w:rsid w:val="00AB1202"/>
    <w:rsid w:val="00AB59AC"/>
    <w:rsid w:val="00AC15C6"/>
    <w:rsid w:val="00AD0B9B"/>
    <w:rsid w:val="00AD16B2"/>
    <w:rsid w:val="00AD189C"/>
    <w:rsid w:val="00AD225F"/>
    <w:rsid w:val="00AD281A"/>
    <w:rsid w:val="00AD28D3"/>
    <w:rsid w:val="00AD5BBC"/>
    <w:rsid w:val="00AE1B2A"/>
    <w:rsid w:val="00AF1594"/>
    <w:rsid w:val="00AF4C9C"/>
    <w:rsid w:val="00AF59A5"/>
    <w:rsid w:val="00AF6FDA"/>
    <w:rsid w:val="00AF77A4"/>
    <w:rsid w:val="00AF7947"/>
    <w:rsid w:val="00B1725B"/>
    <w:rsid w:val="00B20D5C"/>
    <w:rsid w:val="00B21E79"/>
    <w:rsid w:val="00B22020"/>
    <w:rsid w:val="00B22CAA"/>
    <w:rsid w:val="00B275F0"/>
    <w:rsid w:val="00B30F46"/>
    <w:rsid w:val="00B344CA"/>
    <w:rsid w:val="00B4149E"/>
    <w:rsid w:val="00B46043"/>
    <w:rsid w:val="00B513AC"/>
    <w:rsid w:val="00B515FC"/>
    <w:rsid w:val="00B60157"/>
    <w:rsid w:val="00B61329"/>
    <w:rsid w:val="00B63CBE"/>
    <w:rsid w:val="00B762EE"/>
    <w:rsid w:val="00B82833"/>
    <w:rsid w:val="00B92814"/>
    <w:rsid w:val="00B934AA"/>
    <w:rsid w:val="00B94632"/>
    <w:rsid w:val="00BA12D0"/>
    <w:rsid w:val="00BA35FC"/>
    <w:rsid w:val="00BB1A88"/>
    <w:rsid w:val="00BB2DBC"/>
    <w:rsid w:val="00BB79C7"/>
    <w:rsid w:val="00BC050F"/>
    <w:rsid w:val="00BC60F1"/>
    <w:rsid w:val="00BD0573"/>
    <w:rsid w:val="00BD24D4"/>
    <w:rsid w:val="00BD7FC0"/>
    <w:rsid w:val="00C00877"/>
    <w:rsid w:val="00C12A83"/>
    <w:rsid w:val="00C12F8F"/>
    <w:rsid w:val="00C16183"/>
    <w:rsid w:val="00C21006"/>
    <w:rsid w:val="00C21200"/>
    <w:rsid w:val="00C23B43"/>
    <w:rsid w:val="00C25DD4"/>
    <w:rsid w:val="00C35A26"/>
    <w:rsid w:val="00C361A0"/>
    <w:rsid w:val="00C45102"/>
    <w:rsid w:val="00C45595"/>
    <w:rsid w:val="00C503E2"/>
    <w:rsid w:val="00C531A1"/>
    <w:rsid w:val="00C559D2"/>
    <w:rsid w:val="00C60CE0"/>
    <w:rsid w:val="00C67C20"/>
    <w:rsid w:val="00C812A4"/>
    <w:rsid w:val="00C828E6"/>
    <w:rsid w:val="00C8369A"/>
    <w:rsid w:val="00C91926"/>
    <w:rsid w:val="00C91A50"/>
    <w:rsid w:val="00C91B7A"/>
    <w:rsid w:val="00C9714C"/>
    <w:rsid w:val="00CA69AD"/>
    <w:rsid w:val="00CC5E4C"/>
    <w:rsid w:val="00CD0E19"/>
    <w:rsid w:val="00CD6079"/>
    <w:rsid w:val="00CE3FD3"/>
    <w:rsid w:val="00CE6B14"/>
    <w:rsid w:val="00CE6E7F"/>
    <w:rsid w:val="00CF5357"/>
    <w:rsid w:val="00CF7D60"/>
    <w:rsid w:val="00D04799"/>
    <w:rsid w:val="00D05FA4"/>
    <w:rsid w:val="00D0799A"/>
    <w:rsid w:val="00D10418"/>
    <w:rsid w:val="00D113E9"/>
    <w:rsid w:val="00D1364C"/>
    <w:rsid w:val="00D16708"/>
    <w:rsid w:val="00D232B3"/>
    <w:rsid w:val="00D23F5D"/>
    <w:rsid w:val="00D41F3F"/>
    <w:rsid w:val="00D44D53"/>
    <w:rsid w:val="00D4543D"/>
    <w:rsid w:val="00D456C6"/>
    <w:rsid w:val="00D45E40"/>
    <w:rsid w:val="00D47044"/>
    <w:rsid w:val="00D617E7"/>
    <w:rsid w:val="00D62F9F"/>
    <w:rsid w:val="00D64C76"/>
    <w:rsid w:val="00D701ED"/>
    <w:rsid w:val="00D73BD6"/>
    <w:rsid w:val="00D7480B"/>
    <w:rsid w:val="00D8350D"/>
    <w:rsid w:val="00D83C2E"/>
    <w:rsid w:val="00D85C11"/>
    <w:rsid w:val="00D8791F"/>
    <w:rsid w:val="00DB1FE9"/>
    <w:rsid w:val="00DB31DF"/>
    <w:rsid w:val="00DC642D"/>
    <w:rsid w:val="00DC7B8B"/>
    <w:rsid w:val="00DD43E3"/>
    <w:rsid w:val="00DF1AA6"/>
    <w:rsid w:val="00E016A9"/>
    <w:rsid w:val="00E01A86"/>
    <w:rsid w:val="00E037DF"/>
    <w:rsid w:val="00E05F18"/>
    <w:rsid w:val="00E15158"/>
    <w:rsid w:val="00E23437"/>
    <w:rsid w:val="00E26DF2"/>
    <w:rsid w:val="00E33C2E"/>
    <w:rsid w:val="00E34169"/>
    <w:rsid w:val="00E35A4F"/>
    <w:rsid w:val="00E363B3"/>
    <w:rsid w:val="00E379F8"/>
    <w:rsid w:val="00E93455"/>
    <w:rsid w:val="00E93501"/>
    <w:rsid w:val="00EA5E84"/>
    <w:rsid w:val="00EB40F8"/>
    <w:rsid w:val="00EB50D6"/>
    <w:rsid w:val="00EB5A71"/>
    <w:rsid w:val="00EC45B0"/>
    <w:rsid w:val="00ED29C8"/>
    <w:rsid w:val="00ED4514"/>
    <w:rsid w:val="00ED6EFE"/>
    <w:rsid w:val="00ED77C1"/>
    <w:rsid w:val="00ED7C21"/>
    <w:rsid w:val="00EE1D69"/>
    <w:rsid w:val="00EF2743"/>
    <w:rsid w:val="00EF4AAD"/>
    <w:rsid w:val="00EF4D26"/>
    <w:rsid w:val="00F03875"/>
    <w:rsid w:val="00F04145"/>
    <w:rsid w:val="00F04216"/>
    <w:rsid w:val="00F10694"/>
    <w:rsid w:val="00F16922"/>
    <w:rsid w:val="00F21FE4"/>
    <w:rsid w:val="00F225FE"/>
    <w:rsid w:val="00F24812"/>
    <w:rsid w:val="00F27FC6"/>
    <w:rsid w:val="00F435F1"/>
    <w:rsid w:val="00F4570F"/>
    <w:rsid w:val="00F45FE1"/>
    <w:rsid w:val="00F51F52"/>
    <w:rsid w:val="00F5395F"/>
    <w:rsid w:val="00F649CC"/>
    <w:rsid w:val="00F64A34"/>
    <w:rsid w:val="00F67590"/>
    <w:rsid w:val="00F739BE"/>
    <w:rsid w:val="00F829B2"/>
    <w:rsid w:val="00F85172"/>
    <w:rsid w:val="00F868B4"/>
    <w:rsid w:val="00F93123"/>
    <w:rsid w:val="00F971E6"/>
    <w:rsid w:val="00FA34D9"/>
    <w:rsid w:val="00FC3F3B"/>
    <w:rsid w:val="00FC51A0"/>
    <w:rsid w:val="00FD1B4F"/>
    <w:rsid w:val="00FD3621"/>
    <w:rsid w:val="00FD6221"/>
    <w:rsid w:val="00FD6D85"/>
    <w:rsid w:val="00FF0EAE"/>
    <w:rsid w:val="00FF603D"/>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29D64E-45F3-4D1D-AAD9-2AB19C8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7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56A6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8174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1745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513A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513A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513A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52ABF"/>
    <w:rPr>
      <w:rFonts w:eastAsiaTheme="minorEastAsia"/>
      <w:sz w:val="24"/>
      <w:szCs w:val="24"/>
      <w:lang w:val="es-ES_tradnl" w:eastAsia="es-ES"/>
    </w:rPr>
  </w:style>
  <w:style w:type="paragraph" w:styleId="Piedepgina">
    <w:name w:val="footer"/>
    <w:basedOn w:val="Normal"/>
    <w:link w:val="Piedepgina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52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2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2AB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52ABF"/>
  </w:style>
  <w:style w:type="paragraph" w:customStyle="1" w:styleId="Default">
    <w:name w:val="Default"/>
    <w:rsid w:val="00252AB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52AB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52AB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52ABF"/>
    <w:rPr>
      <w:vertAlign w:val="superscript"/>
    </w:rPr>
  </w:style>
  <w:style w:type="character" w:styleId="Hipervnculo">
    <w:name w:val="Hyperlink"/>
    <w:basedOn w:val="Fuentedeprrafopredeter"/>
    <w:uiPriority w:val="99"/>
    <w:unhideWhenUsed/>
    <w:rsid w:val="00252ABF"/>
    <w:rPr>
      <w:color w:val="0000FF"/>
      <w:u w:val="single"/>
    </w:rPr>
  </w:style>
  <w:style w:type="paragraph" w:styleId="Textoindependiente2">
    <w:name w:val="Body Text 2"/>
    <w:basedOn w:val="Normal"/>
    <w:link w:val="Textoindependiente2Car"/>
    <w:uiPriority w:val="99"/>
    <w:unhideWhenUsed/>
    <w:rsid w:val="00252ABF"/>
    <w:pPr>
      <w:spacing w:after="120" w:line="480" w:lineRule="auto"/>
    </w:pPr>
  </w:style>
  <w:style w:type="character" w:customStyle="1" w:styleId="Textoindependiente2Car">
    <w:name w:val="Texto independiente 2 Car"/>
    <w:basedOn w:val="Fuentedeprrafopredeter"/>
    <w:link w:val="Textoindependiente2"/>
    <w:uiPriority w:val="99"/>
    <w:rsid w:val="00252ABF"/>
    <w:rPr>
      <w:rFonts w:ascii="Times New Roman" w:eastAsia="Times New Roman" w:hAnsi="Times New Roman" w:cs="Times New Roman"/>
      <w:sz w:val="24"/>
      <w:szCs w:val="24"/>
      <w:lang w:eastAsia="es-ES"/>
    </w:rPr>
  </w:style>
  <w:style w:type="character" w:customStyle="1" w:styleId="nacep">
    <w:name w:val="n_acep"/>
    <w:basedOn w:val="Fuentedeprrafopredeter"/>
    <w:rsid w:val="00252ABF"/>
  </w:style>
  <w:style w:type="paragraph" w:styleId="Textodeglobo">
    <w:name w:val="Balloon Text"/>
    <w:basedOn w:val="Normal"/>
    <w:link w:val="TextodegloboCar"/>
    <w:uiPriority w:val="99"/>
    <w:semiHidden/>
    <w:unhideWhenUsed/>
    <w:rsid w:val="00252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ABF"/>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856A65"/>
    <w:rPr>
      <w:rFonts w:asciiTheme="majorHAnsi" w:eastAsiaTheme="majorEastAsia" w:hAnsiTheme="majorHAnsi" w:cstheme="majorBidi"/>
      <w:color w:val="2E74B5" w:themeColor="accent1" w:themeShade="BF"/>
      <w:sz w:val="32"/>
      <w:szCs w:val="32"/>
      <w:lang w:eastAsia="es-MX"/>
    </w:rPr>
  </w:style>
  <w:style w:type="paragraph" w:customStyle="1" w:styleId="xmsonormal">
    <w:name w:val="x_msonormal"/>
    <w:basedOn w:val="Normal"/>
    <w:rsid w:val="00A35D32"/>
    <w:pPr>
      <w:spacing w:before="100" w:beforeAutospacing="1" w:after="100" w:afterAutospacing="1"/>
    </w:pPr>
    <w:rPr>
      <w:lang w:eastAsia="es-MX"/>
    </w:rPr>
  </w:style>
  <w:style w:type="table" w:styleId="Tablaconcuadrcula">
    <w:name w:val="Table Grid"/>
    <w:basedOn w:val="Tablanormal"/>
    <w:uiPriority w:val="39"/>
    <w:rsid w:val="000A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7335E1"/>
    <w:pPr>
      <w:spacing w:before="100" w:beforeAutospacing="1" w:after="100" w:afterAutospacing="1"/>
    </w:pPr>
    <w:rPr>
      <w:lang w:eastAsia="es-MX"/>
    </w:rPr>
  </w:style>
  <w:style w:type="paragraph" w:styleId="NormalWeb">
    <w:name w:val="Normal (Web)"/>
    <w:basedOn w:val="Normal"/>
    <w:uiPriority w:val="99"/>
    <w:rsid w:val="00244E4D"/>
    <w:pPr>
      <w:spacing w:before="100" w:beforeAutospacing="1" w:after="100" w:afterAutospacing="1"/>
    </w:pPr>
    <w:rPr>
      <w:lang w:val="es-ES"/>
    </w:rPr>
  </w:style>
  <w:style w:type="character" w:customStyle="1" w:styleId="apple-style-span">
    <w:name w:val="apple-style-span"/>
    <w:rsid w:val="00BB2DBC"/>
  </w:style>
  <w:style w:type="character" w:customStyle="1" w:styleId="Ttulo2Car">
    <w:name w:val="Título 2 Car"/>
    <w:basedOn w:val="Fuentedeprrafopredeter"/>
    <w:link w:val="Ttulo2"/>
    <w:uiPriority w:val="9"/>
    <w:rsid w:val="0081745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1745D"/>
    <w:rPr>
      <w:rFonts w:ascii="Times New Roman" w:eastAsia="Times New Roman" w:hAnsi="Times New Roman" w:cs="Times New Roman"/>
      <w:b/>
      <w:bCs/>
      <w:sz w:val="27"/>
      <w:szCs w:val="27"/>
      <w:lang w:eastAsia="es-MX"/>
    </w:rPr>
  </w:style>
  <w:style w:type="character" w:styleId="Textoennegrita">
    <w:name w:val="Strong"/>
    <w:uiPriority w:val="22"/>
    <w:qFormat/>
    <w:rsid w:val="0081745D"/>
    <w:rPr>
      <w:b/>
      <w:bCs/>
    </w:rPr>
  </w:style>
  <w:style w:type="character" w:styleId="Hipervnculovisitado">
    <w:name w:val="FollowedHyperlink"/>
    <w:basedOn w:val="Fuentedeprrafopredeter"/>
    <w:uiPriority w:val="99"/>
    <w:semiHidden/>
    <w:unhideWhenUsed/>
    <w:rsid w:val="0081745D"/>
    <w:rPr>
      <w:color w:val="954F72" w:themeColor="followedHyperlink"/>
      <w:u w:val="single"/>
    </w:rPr>
  </w:style>
  <w:style w:type="character" w:styleId="Refdecomentario">
    <w:name w:val="annotation reference"/>
    <w:basedOn w:val="Fuentedeprrafopredeter"/>
    <w:uiPriority w:val="99"/>
    <w:semiHidden/>
    <w:unhideWhenUsed/>
    <w:rsid w:val="0081745D"/>
    <w:rPr>
      <w:sz w:val="16"/>
      <w:szCs w:val="16"/>
    </w:rPr>
  </w:style>
  <w:style w:type="paragraph" w:customStyle="1" w:styleId="Listavistosa-nfasis11">
    <w:name w:val="Lista vistosa - Énfasis 11"/>
    <w:basedOn w:val="Normal"/>
    <w:link w:val="Listavistosa-nfasis1Car"/>
    <w:uiPriority w:val="34"/>
    <w:qFormat/>
    <w:rsid w:val="0081745D"/>
    <w:pPr>
      <w:ind w:left="708"/>
    </w:pPr>
  </w:style>
  <w:style w:type="character" w:customStyle="1" w:styleId="Listavistosa-nfasis1Car">
    <w:name w:val="Lista vistosa - Énfasis 1 Car"/>
    <w:link w:val="Listavistosa-nfasis11"/>
    <w:uiPriority w:val="34"/>
    <w:locked/>
    <w:rsid w:val="0081745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1745D"/>
    <w:pPr>
      <w:spacing w:after="101" w:line="216" w:lineRule="exact"/>
      <w:ind w:firstLine="288"/>
      <w:jc w:val="both"/>
    </w:pPr>
    <w:rPr>
      <w:rFonts w:ascii="Arial" w:hAnsi="Arial" w:cs="Arial"/>
      <w:sz w:val="18"/>
      <w:szCs w:val="18"/>
    </w:rPr>
  </w:style>
  <w:style w:type="paragraph" w:styleId="Sinespaciado">
    <w:name w:val="No Spacing"/>
    <w:aliases w:val="Francesa"/>
    <w:link w:val="SinespaciadoCar"/>
    <w:uiPriority w:val="1"/>
    <w:qFormat/>
    <w:rsid w:val="0081745D"/>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1745D"/>
    <w:rPr>
      <w:rFonts w:ascii="Courier New" w:hAnsi="Courier New"/>
      <w:sz w:val="20"/>
      <w:szCs w:val="20"/>
    </w:rPr>
  </w:style>
  <w:style w:type="character" w:customStyle="1" w:styleId="TextosinformatoCar">
    <w:name w:val="Texto sin formato Car"/>
    <w:basedOn w:val="Fuentedeprrafopredeter"/>
    <w:link w:val="Textosinformato"/>
    <w:rsid w:val="0081745D"/>
    <w:rPr>
      <w:rFonts w:ascii="Courier New" w:eastAsia="Times New Roman" w:hAnsi="Courier New" w:cs="Times New Roman"/>
      <w:sz w:val="20"/>
      <w:szCs w:val="20"/>
      <w:lang w:eastAsia="es-ES"/>
    </w:rPr>
  </w:style>
  <w:style w:type="paragraph" w:customStyle="1" w:styleId="Standard">
    <w:name w:val="Standard"/>
    <w:rsid w:val="0081745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1745D"/>
    <w:rPr>
      <w:rFonts w:ascii="Arial" w:hAnsi="Arial" w:cs="Arial" w:hint="default"/>
      <w:b/>
      <w:bCs/>
      <w:sz w:val="18"/>
      <w:szCs w:val="18"/>
    </w:rPr>
  </w:style>
  <w:style w:type="paragraph" w:customStyle="1" w:styleId="Pa2">
    <w:name w:val="Pa2"/>
    <w:basedOn w:val="Normal"/>
    <w:next w:val="Normal"/>
    <w:uiPriority w:val="99"/>
    <w:rsid w:val="0081745D"/>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1745D"/>
  </w:style>
  <w:style w:type="paragraph" w:customStyle="1" w:styleId="q">
    <w:name w:val="q"/>
    <w:basedOn w:val="Normal"/>
    <w:rsid w:val="0081745D"/>
    <w:pPr>
      <w:spacing w:before="100" w:beforeAutospacing="1" w:after="100" w:afterAutospacing="1"/>
    </w:pPr>
    <w:rPr>
      <w:lang w:eastAsia="es-MX"/>
    </w:rPr>
  </w:style>
  <w:style w:type="character" w:customStyle="1" w:styleId="d">
    <w:name w:val="d"/>
    <w:basedOn w:val="Fuentedeprrafopredeter"/>
    <w:rsid w:val="0081745D"/>
  </w:style>
  <w:style w:type="character" w:customStyle="1" w:styleId="b">
    <w:name w:val="b"/>
    <w:basedOn w:val="Fuentedeprrafopredeter"/>
    <w:rsid w:val="0081745D"/>
  </w:style>
  <w:style w:type="character" w:customStyle="1" w:styleId="k">
    <w:name w:val="k"/>
    <w:basedOn w:val="Fuentedeprrafopredeter"/>
    <w:rsid w:val="0081745D"/>
  </w:style>
  <w:style w:type="character" w:customStyle="1" w:styleId="h">
    <w:name w:val="h"/>
    <w:basedOn w:val="Fuentedeprrafopredeter"/>
    <w:rsid w:val="0081745D"/>
  </w:style>
  <w:style w:type="character" w:styleId="CitaHTML">
    <w:name w:val="HTML Cite"/>
    <w:uiPriority w:val="99"/>
    <w:semiHidden/>
    <w:unhideWhenUsed/>
    <w:rsid w:val="0081745D"/>
    <w:rPr>
      <w:i/>
      <w:iCs/>
    </w:rPr>
  </w:style>
  <w:style w:type="paragraph" w:customStyle="1" w:styleId="RSCGnotaalpie">
    <w:name w:val="RSCG nota al pie"/>
    <w:basedOn w:val="Normal"/>
    <w:uiPriority w:val="99"/>
    <w:qFormat/>
    <w:rsid w:val="0081745D"/>
    <w:pPr>
      <w:spacing w:after="120"/>
      <w:jc w:val="both"/>
    </w:pPr>
    <w:rPr>
      <w:rFonts w:ascii="palatino" w:hAnsi="palatino" w:cstheme="minorBidi"/>
      <w:sz w:val="22"/>
      <w:szCs w:val="22"/>
      <w:lang w:eastAsia="en-US"/>
    </w:rPr>
  </w:style>
  <w:style w:type="character" w:customStyle="1" w:styleId="lbl-encabezado-blanco2">
    <w:name w:val="lbl-encabezado-blanco2"/>
    <w:rsid w:val="0081745D"/>
    <w:rPr>
      <w:color w:val="FFFFFF"/>
    </w:rPr>
  </w:style>
  <w:style w:type="character" w:customStyle="1" w:styleId="TextoCar">
    <w:name w:val="Texto Car"/>
    <w:link w:val="Texto"/>
    <w:locked/>
    <w:rsid w:val="0081745D"/>
    <w:rPr>
      <w:rFonts w:ascii="Arial" w:eastAsia="Times New Roman" w:hAnsi="Arial" w:cs="Arial"/>
      <w:sz w:val="18"/>
      <w:szCs w:val="18"/>
      <w:lang w:eastAsia="es-ES"/>
    </w:rPr>
  </w:style>
  <w:style w:type="paragraph" w:customStyle="1" w:styleId="ANOTACION">
    <w:name w:val="ANOTACION"/>
    <w:basedOn w:val="Normal"/>
    <w:link w:val="ANOTACIONCar"/>
    <w:rsid w:val="0081745D"/>
    <w:pPr>
      <w:spacing w:before="101" w:after="101"/>
      <w:jc w:val="center"/>
    </w:pPr>
    <w:rPr>
      <w:b/>
      <w:sz w:val="18"/>
      <w:szCs w:val="18"/>
    </w:rPr>
  </w:style>
  <w:style w:type="character" w:customStyle="1" w:styleId="ANOTACIONCar">
    <w:name w:val="ANOTACION Car"/>
    <w:link w:val="ANOTACION"/>
    <w:locked/>
    <w:rsid w:val="0081745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1745D"/>
    <w:rPr>
      <w:i/>
      <w:iCs/>
    </w:rPr>
  </w:style>
  <w:style w:type="character" w:customStyle="1" w:styleId="SinespaciadoCar">
    <w:name w:val="Sin espaciado Car"/>
    <w:aliases w:val="Francesa Car"/>
    <w:link w:val="Sinespaciado"/>
    <w:uiPriority w:val="1"/>
    <w:locked/>
    <w:rsid w:val="0081745D"/>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1745D"/>
  </w:style>
  <w:style w:type="paragraph" w:styleId="Textocomentario">
    <w:name w:val="annotation text"/>
    <w:basedOn w:val="Normal"/>
    <w:link w:val="TextocomentarioCar"/>
    <w:uiPriority w:val="99"/>
    <w:semiHidden/>
    <w:unhideWhenUsed/>
    <w:rsid w:val="0081745D"/>
    <w:rPr>
      <w:sz w:val="20"/>
      <w:szCs w:val="20"/>
    </w:rPr>
  </w:style>
  <w:style w:type="character" w:customStyle="1" w:styleId="TextocomentarioCar">
    <w:name w:val="Texto comentario Car"/>
    <w:basedOn w:val="Fuentedeprrafopredeter"/>
    <w:link w:val="Textocomentario"/>
    <w:uiPriority w:val="99"/>
    <w:semiHidden/>
    <w:rsid w:val="008174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1745D"/>
    <w:rPr>
      <w:b/>
      <w:bCs/>
    </w:rPr>
  </w:style>
  <w:style w:type="character" w:customStyle="1" w:styleId="AsuntodelcomentarioCar">
    <w:name w:val="Asunto del comentario Car"/>
    <w:basedOn w:val="TextocomentarioCar"/>
    <w:link w:val="Asuntodelcomentario"/>
    <w:uiPriority w:val="99"/>
    <w:semiHidden/>
    <w:rsid w:val="0081745D"/>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1745D"/>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1745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1745D"/>
  </w:style>
  <w:style w:type="character" w:customStyle="1" w:styleId="Ninguno">
    <w:name w:val="Ninguno"/>
    <w:rsid w:val="0081745D"/>
    <w:rPr>
      <w:lang w:val="es-ES_tradnl"/>
    </w:rPr>
  </w:style>
  <w:style w:type="paragraph" w:customStyle="1" w:styleId="Cuerpo">
    <w:name w:val="Cuerpo"/>
    <w:rsid w:val="0081745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1745D"/>
    <w:pPr>
      <w:numPr>
        <w:numId w:val="18"/>
      </w:numPr>
    </w:pPr>
  </w:style>
  <w:style w:type="numbering" w:customStyle="1" w:styleId="Estiloimportado1">
    <w:name w:val="Estilo importado 1"/>
    <w:rsid w:val="0081745D"/>
    <w:pPr>
      <w:numPr>
        <w:numId w:val="19"/>
      </w:numPr>
    </w:pPr>
  </w:style>
  <w:style w:type="character" w:customStyle="1" w:styleId="normaltextrun">
    <w:name w:val="normaltextrun"/>
    <w:basedOn w:val="Fuentedeprrafopredeter"/>
    <w:rsid w:val="0081745D"/>
  </w:style>
  <w:style w:type="paragraph" w:customStyle="1" w:styleId="INCISO">
    <w:name w:val="INCISO"/>
    <w:basedOn w:val="Normal"/>
    <w:rsid w:val="0081745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1745D"/>
    <w:pPr>
      <w:spacing w:before="100" w:beforeAutospacing="1" w:after="100" w:afterAutospacing="1"/>
    </w:pPr>
    <w:rPr>
      <w:lang w:eastAsia="es-MX"/>
    </w:rPr>
  </w:style>
  <w:style w:type="paragraph" w:customStyle="1" w:styleId="j">
    <w:name w:val="j"/>
    <w:basedOn w:val="Normal"/>
    <w:rsid w:val="0081745D"/>
    <w:pPr>
      <w:spacing w:before="100" w:beforeAutospacing="1" w:after="100" w:afterAutospacing="1"/>
    </w:pPr>
    <w:rPr>
      <w:lang w:eastAsia="es-MX"/>
    </w:rPr>
  </w:style>
  <w:style w:type="paragraph" w:customStyle="1" w:styleId="m5212863947045306324gmail-msonormal">
    <w:name w:val="m_5212863947045306324gmail-msonormal"/>
    <w:basedOn w:val="Normal"/>
    <w:rsid w:val="0081745D"/>
    <w:pPr>
      <w:spacing w:before="100" w:beforeAutospacing="1" w:after="100" w:afterAutospacing="1"/>
    </w:pPr>
    <w:rPr>
      <w:lang w:eastAsia="es-MX"/>
    </w:rPr>
  </w:style>
  <w:style w:type="character" w:customStyle="1" w:styleId="Ttulo4Car">
    <w:name w:val="Título 4 Car"/>
    <w:basedOn w:val="Fuentedeprrafopredeter"/>
    <w:link w:val="Ttulo4"/>
    <w:uiPriority w:val="9"/>
    <w:rsid w:val="00B513A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513A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513AC"/>
    <w:rPr>
      <w:rFonts w:asciiTheme="majorHAnsi" w:eastAsiaTheme="majorEastAsia" w:hAnsiTheme="majorHAnsi" w:cstheme="majorBidi"/>
      <w:color w:val="1F4D78" w:themeColor="accent1" w:themeShade="7F"/>
      <w:sz w:val="24"/>
      <w:szCs w:val="24"/>
      <w:lang w:val="es-ES" w:eastAsia="es-ES"/>
    </w:rPr>
  </w:style>
  <w:style w:type="character" w:customStyle="1" w:styleId="user-highlighted-active">
    <w:name w:val="user-highlighted-active"/>
    <w:basedOn w:val="Fuentedeprrafopredeter"/>
    <w:rsid w:val="00B513AC"/>
  </w:style>
  <w:style w:type="paragraph" w:styleId="Lista">
    <w:name w:val="List"/>
    <w:basedOn w:val="Normal"/>
    <w:uiPriority w:val="99"/>
    <w:unhideWhenUsed/>
    <w:rsid w:val="00B513AC"/>
    <w:pPr>
      <w:ind w:left="283" w:hanging="283"/>
      <w:contextualSpacing/>
    </w:pPr>
    <w:rPr>
      <w:lang w:val="es-ES"/>
    </w:rPr>
  </w:style>
  <w:style w:type="paragraph" w:styleId="Lista2">
    <w:name w:val="List 2"/>
    <w:basedOn w:val="Normal"/>
    <w:uiPriority w:val="99"/>
    <w:unhideWhenUsed/>
    <w:rsid w:val="00B513AC"/>
    <w:pPr>
      <w:ind w:left="566" w:hanging="283"/>
      <w:contextualSpacing/>
    </w:pPr>
    <w:rPr>
      <w:lang w:val="es-ES"/>
    </w:rPr>
  </w:style>
  <w:style w:type="paragraph" w:styleId="Lista3">
    <w:name w:val="List 3"/>
    <w:basedOn w:val="Normal"/>
    <w:uiPriority w:val="99"/>
    <w:unhideWhenUsed/>
    <w:rsid w:val="00B513AC"/>
    <w:pPr>
      <w:ind w:left="849" w:hanging="283"/>
      <w:contextualSpacing/>
    </w:pPr>
    <w:rPr>
      <w:lang w:val="es-ES"/>
    </w:rPr>
  </w:style>
  <w:style w:type="paragraph" w:styleId="Textoindependiente">
    <w:name w:val="Body Text"/>
    <w:basedOn w:val="Normal"/>
    <w:link w:val="TextoindependienteCar"/>
    <w:uiPriority w:val="99"/>
    <w:unhideWhenUsed/>
    <w:rsid w:val="00B513AC"/>
    <w:pPr>
      <w:spacing w:after="120"/>
    </w:pPr>
    <w:rPr>
      <w:lang w:val="es-ES"/>
    </w:rPr>
  </w:style>
  <w:style w:type="character" w:customStyle="1" w:styleId="TextoindependienteCar">
    <w:name w:val="Texto independiente Car"/>
    <w:basedOn w:val="Fuentedeprrafopredeter"/>
    <w:link w:val="Textoindependiente"/>
    <w:uiPriority w:val="99"/>
    <w:rsid w:val="00B513A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513A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B513A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513A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513A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513AC"/>
  </w:style>
  <w:style w:type="character" w:customStyle="1" w:styleId="titulorubrolgt">
    <w:name w:val="titulorubrolgt"/>
    <w:basedOn w:val="Fuentedeprrafopredeter"/>
    <w:rsid w:val="00B513AC"/>
  </w:style>
  <w:style w:type="paragraph" w:customStyle="1" w:styleId="Text">
    <w:name w:val="Text"/>
    <w:basedOn w:val="Normal"/>
    <w:link w:val="TextChar"/>
    <w:rsid w:val="00B513AC"/>
    <w:pPr>
      <w:spacing w:after="240"/>
    </w:pPr>
    <w:rPr>
      <w:szCs w:val="20"/>
      <w:lang w:val="en-US" w:eastAsia="en-US"/>
    </w:rPr>
  </w:style>
  <w:style w:type="character" w:customStyle="1" w:styleId="TextChar">
    <w:name w:val="Text Char"/>
    <w:link w:val="Text"/>
    <w:locked/>
    <w:rsid w:val="00B513A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513AC"/>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B513AC"/>
  </w:style>
  <w:style w:type="table" w:customStyle="1" w:styleId="Tablaconcuadrcula1">
    <w:name w:val="Tabla con cuadrícula1"/>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513A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513AC"/>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B513AC"/>
  </w:style>
  <w:style w:type="table" w:customStyle="1" w:styleId="Tablaconcuadrcula2">
    <w:name w:val="Tabla con cuadrícula2"/>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513AC"/>
  </w:style>
  <w:style w:type="table" w:customStyle="1" w:styleId="Tablaconcuadrcula3">
    <w:name w:val="Tabla con cuadrícula3"/>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513AC"/>
  </w:style>
  <w:style w:type="table" w:customStyle="1" w:styleId="Tablaconcuadrcula4">
    <w:name w:val="Tabla con cuadrícula4"/>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482406"/>
    <w:rPr>
      <w:rFonts w:ascii="Palatino Linotype" w:eastAsia="Cambria" w:hAnsi="Palatino Linotype"/>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74">
      <w:bodyDiv w:val="1"/>
      <w:marLeft w:val="0"/>
      <w:marRight w:val="0"/>
      <w:marTop w:val="0"/>
      <w:marBottom w:val="0"/>
      <w:divBdr>
        <w:top w:val="none" w:sz="0" w:space="0" w:color="auto"/>
        <w:left w:val="none" w:sz="0" w:space="0" w:color="auto"/>
        <w:bottom w:val="none" w:sz="0" w:space="0" w:color="auto"/>
        <w:right w:val="none" w:sz="0" w:space="0" w:color="auto"/>
      </w:divBdr>
    </w:div>
    <w:div w:id="75791125">
      <w:bodyDiv w:val="1"/>
      <w:marLeft w:val="0"/>
      <w:marRight w:val="0"/>
      <w:marTop w:val="0"/>
      <w:marBottom w:val="0"/>
      <w:divBdr>
        <w:top w:val="none" w:sz="0" w:space="0" w:color="auto"/>
        <w:left w:val="none" w:sz="0" w:space="0" w:color="auto"/>
        <w:bottom w:val="none" w:sz="0" w:space="0" w:color="auto"/>
        <w:right w:val="none" w:sz="0" w:space="0" w:color="auto"/>
      </w:divBdr>
    </w:div>
    <w:div w:id="108013404">
      <w:bodyDiv w:val="1"/>
      <w:marLeft w:val="0"/>
      <w:marRight w:val="0"/>
      <w:marTop w:val="0"/>
      <w:marBottom w:val="0"/>
      <w:divBdr>
        <w:top w:val="none" w:sz="0" w:space="0" w:color="auto"/>
        <w:left w:val="none" w:sz="0" w:space="0" w:color="auto"/>
        <w:bottom w:val="none" w:sz="0" w:space="0" w:color="auto"/>
        <w:right w:val="none" w:sz="0" w:space="0" w:color="auto"/>
      </w:divBdr>
    </w:div>
    <w:div w:id="120156085">
      <w:bodyDiv w:val="1"/>
      <w:marLeft w:val="0"/>
      <w:marRight w:val="0"/>
      <w:marTop w:val="0"/>
      <w:marBottom w:val="0"/>
      <w:divBdr>
        <w:top w:val="none" w:sz="0" w:space="0" w:color="auto"/>
        <w:left w:val="none" w:sz="0" w:space="0" w:color="auto"/>
        <w:bottom w:val="none" w:sz="0" w:space="0" w:color="auto"/>
        <w:right w:val="none" w:sz="0" w:space="0" w:color="auto"/>
      </w:divBdr>
    </w:div>
    <w:div w:id="201476867">
      <w:bodyDiv w:val="1"/>
      <w:marLeft w:val="0"/>
      <w:marRight w:val="0"/>
      <w:marTop w:val="0"/>
      <w:marBottom w:val="0"/>
      <w:divBdr>
        <w:top w:val="none" w:sz="0" w:space="0" w:color="auto"/>
        <w:left w:val="none" w:sz="0" w:space="0" w:color="auto"/>
        <w:bottom w:val="none" w:sz="0" w:space="0" w:color="auto"/>
        <w:right w:val="none" w:sz="0" w:space="0" w:color="auto"/>
      </w:divBdr>
    </w:div>
    <w:div w:id="220823122">
      <w:bodyDiv w:val="1"/>
      <w:marLeft w:val="0"/>
      <w:marRight w:val="0"/>
      <w:marTop w:val="0"/>
      <w:marBottom w:val="0"/>
      <w:divBdr>
        <w:top w:val="none" w:sz="0" w:space="0" w:color="auto"/>
        <w:left w:val="none" w:sz="0" w:space="0" w:color="auto"/>
        <w:bottom w:val="none" w:sz="0" w:space="0" w:color="auto"/>
        <w:right w:val="none" w:sz="0" w:space="0" w:color="auto"/>
      </w:divBdr>
    </w:div>
    <w:div w:id="236020364">
      <w:bodyDiv w:val="1"/>
      <w:marLeft w:val="0"/>
      <w:marRight w:val="0"/>
      <w:marTop w:val="0"/>
      <w:marBottom w:val="0"/>
      <w:divBdr>
        <w:top w:val="none" w:sz="0" w:space="0" w:color="auto"/>
        <w:left w:val="none" w:sz="0" w:space="0" w:color="auto"/>
        <w:bottom w:val="none" w:sz="0" w:space="0" w:color="auto"/>
        <w:right w:val="none" w:sz="0" w:space="0" w:color="auto"/>
      </w:divBdr>
    </w:div>
    <w:div w:id="399058578">
      <w:bodyDiv w:val="1"/>
      <w:marLeft w:val="0"/>
      <w:marRight w:val="0"/>
      <w:marTop w:val="0"/>
      <w:marBottom w:val="0"/>
      <w:divBdr>
        <w:top w:val="none" w:sz="0" w:space="0" w:color="auto"/>
        <w:left w:val="none" w:sz="0" w:space="0" w:color="auto"/>
        <w:bottom w:val="none" w:sz="0" w:space="0" w:color="auto"/>
        <w:right w:val="none" w:sz="0" w:space="0" w:color="auto"/>
      </w:divBdr>
    </w:div>
    <w:div w:id="471866819">
      <w:bodyDiv w:val="1"/>
      <w:marLeft w:val="0"/>
      <w:marRight w:val="0"/>
      <w:marTop w:val="0"/>
      <w:marBottom w:val="0"/>
      <w:divBdr>
        <w:top w:val="none" w:sz="0" w:space="0" w:color="auto"/>
        <w:left w:val="none" w:sz="0" w:space="0" w:color="auto"/>
        <w:bottom w:val="none" w:sz="0" w:space="0" w:color="auto"/>
        <w:right w:val="none" w:sz="0" w:space="0" w:color="auto"/>
      </w:divBdr>
    </w:div>
    <w:div w:id="613168851">
      <w:bodyDiv w:val="1"/>
      <w:marLeft w:val="0"/>
      <w:marRight w:val="0"/>
      <w:marTop w:val="0"/>
      <w:marBottom w:val="0"/>
      <w:divBdr>
        <w:top w:val="none" w:sz="0" w:space="0" w:color="auto"/>
        <w:left w:val="none" w:sz="0" w:space="0" w:color="auto"/>
        <w:bottom w:val="none" w:sz="0" w:space="0" w:color="auto"/>
        <w:right w:val="none" w:sz="0" w:space="0" w:color="auto"/>
      </w:divBdr>
    </w:div>
    <w:div w:id="624968844">
      <w:bodyDiv w:val="1"/>
      <w:marLeft w:val="0"/>
      <w:marRight w:val="0"/>
      <w:marTop w:val="0"/>
      <w:marBottom w:val="0"/>
      <w:divBdr>
        <w:top w:val="none" w:sz="0" w:space="0" w:color="auto"/>
        <w:left w:val="none" w:sz="0" w:space="0" w:color="auto"/>
        <w:bottom w:val="none" w:sz="0" w:space="0" w:color="auto"/>
        <w:right w:val="none" w:sz="0" w:space="0" w:color="auto"/>
      </w:divBdr>
    </w:div>
    <w:div w:id="746801463">
      <w:bodyDiv w:val="1"/>
      <w:marLeft w:val="0"/>
      <w:marRight w:val="0"/>
      <w:marTop w:val="0"/>
      <w:marBottom w:val="0"/>
      <w:divBdr>
        <w:top w:val="none" w:sz="0" w:space="0" w:color="auto"/>
        <w:left w:val="none" w:sz="0" w:space="0" w:color="auto"/>
        <w:bottom w:val="none" w:sz="0" w:space="0" w:color="auto"/>
        <w:right w:val="none" w:sz="0" w:space="0" w:color="auto"/>
      </w:divBdr>
    </w:div>
    <w:div w:id="762410758">
      <w:bodyDiv w:val="1"/>
      <w:marLeft w:val="0"/>
      <w:marRight w:val="0"/>
      <w:marTop w:val="0"/>
      <w:marBottom w:val="0"/>
      <w:divBdr>
        <w:top w:val="none" w:sz="0" w:space="0" w:color="auto"/>
        <w:left w:val="none" w:sz="0" w:space="0" w:color="auto"/>
        <w:bottom w:val="none" w:sz="0" w:space="0" w:color="auto"/>
        <w:right w:val="none" w:sz="0" w:space="0" w:color="auto"/>
      </w:divBdr>
    </w:div>
    <w:div w:id="781191897">
      <w:bodyDiv w:val="1"/>
      <w:marLeft w:val="0"/>
      <w:marRight w:val="0"/>
      <w:marTop w:val="0"/>
      <w:marBottom w:val="0"/>
      <w:divBdr>
        <w:top w:val="none" w:sz="0" w:space="0" w:color="auto"/>
        <w:left w:val="none" w:sz="0" w:space="0" w:color="auto"/>
        <w:bottom w:val="none" w:sz="0" w:space="0" w:color="auto"/>
        <w:right w:val="none" w:sz="0" w:space="0" w:color="auto"/>
      </w:divBdr>
    </w:div>
    <w:div w:id="849369417">
      <w:bodyDiv w:val="1"/>
      <w:marLeft w:val="0"/>
      <w:marRight w:val="0"/>
      <w:marTop w:val="0"/>
      <w:marBottom w:val="0"/>
      <w:divBdr>
        <w:top w:val="none" w:sz="0" w:space="0" w:color="auto"/>
        <w:left w:val="none" w:sz="0" w:space="0" w:color="auto"/>
        <w:bottom w:val="none" w:sz="0" w:space="0" w:color="auto"/>
        <w:right w:val="none" w:sz="0" w:space="0" w:color="auto"/>
      </w:divBdr>
    </w:div>
    <w:div w:id="905650185">
      <w:bodyDiv w:val="1"/>
      <w:marLeft w:val="0"/>
      <w:marRight w:val="0"/>
      <w:marTop w:val="0"/>
      <w:marBottom w:val="0"/>
      <w:divBdr>
        <w:top w:val="none" w:sz="0" w:space="0" w:color="auto"/>
        <w:left w:val="none" w:sz="0" w:space="0" w:color="auto"/>
        <w:bottom w:val="none" w:sz="0" w:space="0" w:color="auto"/>
        <w:right w:val="none" w:sz="0" w:space="0" w:color="auto"/>
      </w:divBdr>
    </w:div>
    <w:div w:id="920063697">
      <w:bodyDiv w:val="1"/>
      <w:marLeft w:val="0"/>
      <w:marRight w:val="0"/>
      <w:marTop w:val="0"/>
      <w:marBottom w:val="0"/>
      <w:divBdr>
        <w:top w:val="none" w:sz="0" w:space="0" w:color="auto"/>
        <w:left w:val="none" w:sz="0" w:space="0" w:color="auto"/>
        <w:bottom w:val="none" w:sz="0" w:space="0" w:color="auto"/>
        <w:right w:val="none" w:sz="0" w:space="0" w:color="auto"/>
      </w:divBdr>
    </w:div>
    <w:div w:id="1018971147">
      <w:bodyDiv w:val="1"/>
      <w:marLeft w:val="0"/>
      <w:marRight w:val="0"/>
      <w:marTop w:val="0"/>
      <w:marBottom w:val="0"/>
      <w:divBdr>
        <w:top w:val="none" w:sz="0" w:space="0" w:color="auto"/>
        <w:left w:val="none" w:sz="0" w:space="0" w:color="auto"/>
        <w:bottom w:val="none" w:sz="0" w:space="0" w:color="auto"/>
        <w:right w:val="none" w:sz="0" w:space="0" w:color="auto"/>
      </w:divBdr>
    </w:div>
    <w:div w:id="1056396810">
      <w:bodyDiv w:val="1"/>
      <w:marLeft w:val="0"/>
      <w:marRight w:val="0"/>
      <w:marTop w:val="0"/>
      <w:marBottom w:val="0"/>
      <w:divBdr>
        <w:top w:val="none" w:sz="0" w:space="0" w:color="auto"/>
        <w:left w:val="none" w:sz="0" w:space="0" w:color="auto"/>
        <w:bottom w:val="none" w:sz="0" w:space="0" w:color="auto"/>
        <w:right w:val="none" w:sz="0" w:space="0" w:color="auto"/>
      </w:divBdr>
    </w:div>
    <w:div w:id="1085684158">
      <w:bodyDiv w:val="1"/>
      <w:marLeft w:val="0"/>
      <w:marRight w:val="0"/>
      <w:marTop w:val="0"/>
      <w:marBottom w:val="0"/>
      <w:divBdr>
        <w:top w:val="none" w:sz="0" w:space="0" w:color="auto"/>
        <w:left w:val="none" w:sz="0" w:space="0" w:color="auto"/>
        <w:bottom w:val="none" w:sz="0" w:space="0" w:color="auto"/>
        <w:right w:val="none" w:sz="0" w:space="0" w:color="auto"/>
      </w:divBdr>
    </w:div>
    <w:div w:id="1089500180">
      <w:bodyDiv w:val="1"/>
      <w:marLeft w:val="0"/>
      <w:marRight w:val="0"/>
      <w:marTop w:val="0"/>
      <w:marBottom w:val="0"/>
      <w:divBdr>
        <w:top w:val="none" w:sz="0" w:space="0" w:color="auto"/>
        <w:left w:val="none" w:sz="0" w:space="0" w:color="auto"/>
        <w:bottom w:val="none" w:sz="0" w:space="0" w:color="auto"/>
        <w:right w:val="none" w:sz="0" w:space="0" w:color="auto"/>
      </w:divBdr>
    </w:div>
    <w:div w:id="1136213984">
      <w:bodyDiv w:val="1"/>
      <w:marLeft w:val="0"/>
      <w:marRight w:val="0"/>
      <w:marTop w:val="0"/>
      <w:marBottom w:val="0"/>
      <w:divBdr>
        <w:top w:val="none" w:sz="0" w:space="0" w:color="auto"/>
        <w:left w:val="none" w:sz="0" w:space="0" w:color="auto"/>
        <w:bottom w:val="none" w:sz="0" w:space="0" w:color="auto"/>
        <w:right w:val="none" w:sz="0" w:space="0" w:color="auto"/>
      </w:divBdr>
    </w:div>
    <w:div w:id="1188325148">
      <w:bodyDiv w:val="1"/>
      <w:marLeft w:val="0"/>
      <w:marRight w:val="0"/>
      <w:marTop w:val="0"/>
      <w:marBottom w:val="0"/>
      <w:divBdr>
        <w:top w:val="none" w:sz="0" w:space="0" w:color="auto"/>
        <w:left w:val="none" w:sz="0" w:space="0" w:color="auto"/>
        <w:bottom w:val="none" w:sz="0" w:space="0" w:color="auto"/>
        <w:right w:val="none" w:sz="0" w:space="0" w:color="auto"/>
      </w:divBdr>
    </w:div>
    <w:div w:id="1226915264">
      <w:bodyDiv w:val="1"/>
      <w:marLeft w:val="0"/>
      <w:marRight w:val="0"/>
      <w:marTop w:val="0"/>
      <w:marBottom w:val="0"/>
      <w:divBdr>
        <w:top w:val="none" w:sz="0" w:space="0" w:color="auto"/>
        <w:left w:val="none" w:sz="0" w:space="0" w:color="auto"/>
        <w:bottom w:val="none" w:sz="0" w:space="0" w:color="auto"/>
        <w:right w:val="none" w:sz="0" w:space="0" w:color="auto"/>
      </w:divBdr>
    </w:div>
    <w:div w:id="1268581514">
      <w:bodyDiv w:val="1"/>
      <w:marLeft w:val="0"/>
      <w:marRight w:val="0"/>
      <w:marTop w:val="0"/>
      <w:marBottom w:val="0"/>
      <w:divBdr>
        <w:top w:val="none" w:sz="0" w:space="0" w:color="auto"/>
        <w:left w:val="none" w:sz="0" w:space="0" w:color="auto"/>
        <w:bottom w:val="none" w:sz="0" w:space="0" w:color="auto"/>
        <w:right w:val="none" w:sz="0" w:space="0" w:color="auto"/>
      </w:divBdr>
    </w:div>
    <w:div w:id="1269239516">
      <w:bodyDiv w:val="1"/>
      <w:marLeft w:val="0"/>
      <w:marRight w:val="0"/>
      <w:marTop w:val="0"/>
      <w:marBottom w:val="0"/>
      <w:divBdr>
        <w:top w:val="none" w:sz="0" w:space="0" w:color="auto"/>
        <w:left w:val="none" w:sz="0" w:space="0" w:color="auto"/>
        <w:bottom w:val="none" w:sz="0" w:space="0" w:color="auto"/>
        <w:right w:val="none" w:sz="0" w:space="0" w:color="auto"/>
      </w:divBdr>
    </w:div>
    <w:div w:id="1431005404">
      <w:bodyDiv w:val="1"/>
      <w:marLeft w:val="0"/>
      <w:marRight w:val="0"/>
      <w:marTop w:val="0"/>
      <w:marBottom w:val="0"/>
      <w:divBdr>
        <w:top w:val="none" w:sz="0" w:space="0" w:color="auto"/>
        <w:left w:val="none" w:sz="0" w:space="0" w:color="auto"/>
        <w:bottom w:val="none" w:sz="0" w:space="0" w:color="auto"/>
        <w:right w:val="none" w:sz="0" w:space="0" w:color="auto"/>
      </w:divBdr>
    </w:div>
    <w:div w:id="1475223467">
      <w:bodyDiv w:val="1"/>
      <w:marLeft w:val="0"/>
      <w:marRight w:val="0"/>
      <w:marTop w:val="0"/>
      <w:marBottom w:val="0"/>
      <w:divBdr>
        <w:top w:val="none" w:sz="0" w:space="0" w:color="auto"/>
        <w:left w:val="none" w:sz="0" w:space="0" w:color="auto"/>
        <w:bottom w:val="none" w:sz="0" w:space="0" w:color="auto"/>
        <w:right w:val="none" w:sz="0" w:space="0" w:color="auto"/>
      </w:divBdr>
    </w:div>
    <w:div w:id="1477527435">
      <w:bodyDiv w:val="1"/>
      <w:marLeft w:val="0"/>
      <w:marRight w:val="0"/>
      <w:marTop w:val="0"/>
      <w:marBottom w:val="0"/>
      <w:divBdr>
        <w:top w:val="none" w:sz="0" w:space="0" w:color="auto"/>
        <w:left w:val="none" w:sz="0" w:space="0" w:color="auto"/>
        <w:bottom w:val="none" w:sz="0" w:space="0" w:color="auto"/>
        <w:right w:val="none" w:sz="0" w:space="0" w:color="auto"/>
      </w:divBdr>
    </w:div>
    <w:div w:id="1700348284">
      <w:bodyDiv w:val="1"/>
      <w:marLeft w:val="0"/>
      <w:marRight w:val="0"/>
      <w:marTop w:val="0"/>
      <w:marBottom w:val="0"/>
      <w:divBdr>
        <w:top w:val="none" w:sz="0" w:space="0" w:color="auto"/>
        <w:left w:val="none" w:sz="0" w:space="0" w:color="auto"/>
        <w:bottom w:val="none" w:sz="0" w:space="0" w:color="auto"/>
        <w:right w:val="none" w:sz="0" w:space="0" w:color="auto"/>
      </w:divBdr>
    </w:div>
    <w:div w:id="1701931574">
      <w:bodyDiv w:val="1"/>
      <w:marLeft w:val="0"/>
      <w:marRight w:val="0"/>
      <w:marTop w:val="0"/>
      <w:marBottom w:val="0"/>
      <w:divBdr>
        <w:top w:val="none" w:sz="0" w:space="0" w:color="auto"/>
        <w:left w:val="none" w:sz="0" w:space="0" w:color="auto"/>
        <w:bottom w:val="none" w:sz="0" w:space="0" w:color="auto"/>
        <w:right w:val="none" w:sz="0" w:space="0" w:color="auto"/>
      </w:divBdr>
    </w:div>
    <w:div w:id="1844666364">
      <w:bodyDiv w:val="1"/>
      <w:marLeft w:val="0"/>
      <w:marRight w:val="0"/>
      <w:marTop w:val="0"/>
      <w:marBottom w:val="0"/>
      <w:divBdr>
        <w:top w:val="none" w:sz="0" w:space="0" w:color="auto"/>
        <w:left w:val="none" w:sz="0" w:space="0" w:color="auto"/>
        <w:bottom w:val="none" w:sz="0" w:space="0" w:color="auto"/>
        <w:right w:val="none" w:sz="0" w:space="0" w:color="auto"/>
      </w:divBdr>
    </w:div>
    <w:div w:id="1848598159">
      <w:bodyDiv w:val="1"/>
      <w:marLeft w:val="0"/>
      <w:marRight w:val="0"/>
      <w:marTop w:val="0"/>
      <w:marBottom w:val="0"/>
      <w:divBdr>
        <w:top w:val="none" w:sz="0" w:space="0" w:color="auto"/>
        <w:left w:val="none" w:sz="0" w:space="0" w:color="auto"/>
        <w:bottom w:val="none" w:sz="0" w:space="0" w:color="auto"/>
        <w:right w:val="none" w:sz="0" w:space="0" w:color="auto"/>
      </w:divBdr>
    </w:div>
    <w:div w:id="1870753483">
      <w:bodyDiv w:val="1"/>
      <w:marLeft w:val="0"/>
      <w:marRight w:val="0"/>
      <w:marTop w:val="0"/>
      <w:marBottom w:val="0"/>
      <w:divBdr>
        <w:top w:val="none" w:sz="0" w:space="0" w:color="auto"/>
        <w:left w:val="none" w:sz="0" w:space="0" w:color="auto"/>
        <w:bottom w:val="none" w:sz="0" w:space="0" w:color="auto"/>
        <w:right w:val="none" w:sz="0" w:space="0" w:color="auto"/>
      </w:divBdr>
    </w:div>
    <w:div w:id="1872305741">
      <w:bodyDiv w:val="1"/>
      <w:marLeft w:val="0"/>
      <w:marRight w:val="0"/>
      <w:marTop w:val="0"/>
      <w:marBottom w:val="0"/>
      <w:divBdr>
        <w:top w:val="none" w:sz="0" w:space="0" w:color="auto"/>
        <w:left w:val="none" w:sz="0" w:space="0" w:color="auto"/>
        <w:bottom w:val="none" w:sz="0" w:space="0" w:color="auto"/>
        <w:right w:val="none" w:sz="0" w:space="0" w:color="auto"/>
      </w:divBdr>
    </w:div>
    <w:div w:id="1888293566">
      <w:bodyDiv w:val="1"/>
      <w:marLeft w:val="0"/>
      <w:marRight w:val="0"/>
      <w:marTop w:val="0"/>
      <w:marBottom w:val="0"/>
      <w:divBdr>
        <w:top w:val="none" w:sz="0" w:space="0" w:color="auto"/>
        <w:left w:val="none" w:sz="0" w:space="0" w:color="auto"/>
        <w:bottom w:val="none" w:sz="0" w:space="0" w:color="auto"/>
        <w:right w:val="none" w:sz="0" w:space="0" w:color="auto"/>
      </w:divBdr>
    </w:div>
    <w:div w:id="2052411355">
      <w:bodyDiv w:val="1"/>
      <w:marLeft w:val="0"/>
      <w:marRight w:val="0"/>
      <w:marTop w:val="0"/>
      <w:marBottom w:val="0"/>
      <w:divBdr>
        <w:top w:val="none" w:sz="0" w:space="0" w:color="auto"/>
        <w:left w:val="none" w:sz="0" w:space="0" w:color="auto"/>
        <w:bottom w:val="none" w:sz="0" w:space="0" w:color="auto"/>
        <w:right w:val="none" w:sz="0" w:space="0" w:color="auto"/>
      </w:divBdr>
    </w:div>
    <w:div w:id="2108580019">
      <w:bodyDiv w:val="1"/>
      <w:marLeft w:val="0"/>
      <w:marRight w:val="0"/>
      <w:marTop w:val="0"/>
      <w:marBottom w:val="0"/>
      <w:divBdr>
        <w:top w:val="none" w:sz="0" w:space="0" w:color="auto"/>
        <w:left w:val="none" w:sz="0" w:space="0" w:color="auto"/>
        <w:bottom w:val="none" w:sz="0" w:space="0" w:color="auto"/>
        <w:right w:val="none" w:sz="0" w:space="0" w:color="auto"/>
      </w:divBdr>
    </w:div>
    <w:div w:id="21391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cms/uploads/attachment/file/454683/CONVENIO_FORTASEG_2019-ESTADO_DE_M_XICO-17-04-19.pdf" TargetMode="External"/><Relationship Id="rId1" Type="http://schemas.openxmlformats.org/officeDocument/2006/relationships/hyperlink" Target="https://www.gob.mx/sesnsp/acciones-y-programas/fondos-y-subsid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ENF</b:Tag>
    <b:SourceType>Book</b:SourceType>
    <b:Guid>{0CE06B23-1693-40EC-B32B-7A9FBA1687A8}</b:Guid>
    <b:Author>
      <b:Author>
        <b:NameList>
          <b:Person>
            <b:Last>FECHA</b:Last>
            <b:First>EN</b:First>
          </b:Person>
        </b:NameList>
      </b:Author>
    </b:Author>
    <b:RefOrder>1</b:RefOrder>
  </b:Source>
</b:Sources>
</file>

<file path=customXml/itemProps1.xml><?xml version="1.0" encoding="utf-8"?>
<ds:datastoreItem xmlns:ds="http://schemas.openxmlformats.org/officeDocument/2006/customXml" ds:itemID="{AEE6EA3B-0D93-4AAB-BC99-F7E105F7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13204</Words>
  <Characters>72622</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UserInfoem</cp:lastModifiedBy>
  <cp:revision>4</cp:revision>
  <cp:lastPrinted>2019-09-12T01:19:00Z</cp:lastPrinted>
  <dcterms:created xsi:type="dcterms:W3CDTF">2019-10-11T19:55:00Z</dcterms:created>
  <dcterms:modified xsi:type="dcterms:W3CDTF">2019-10-25T19:53:00Z</dcterms:modified>
</cp:coreProperties>
</file>