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60324" w14:textId="77777777" w:rsidR="00341003" w:rsidRPr="00341003" w:rsidRDefault="00F268C6" w:rsidP="00341003">
      <w:pPr>
        <w:spacing w:before="240" w:after="240" w:line="360" w:lineRule="auto"/>
        <w:jc w:val="center"/>
        <w:rPr>
          <w:rFonts w:ascii="Palatino Linotype" w:hAnsi="Palatino Linotype"/>
          <w:b/>
          <w:sz w:val="23"/>
          <w:szCs w:val="23"/>
        </w:rPr>
      </w:pPr>
      <w:r w:rsidRPr="00341003">
        <w:rPr>
          <w:rFonts w:ascii="Palatino Linotype" w:hAnsi="Palatino Linotype"/>
          <w:b/>
          <w:sz w:val="23"/>
          <w:szCs w:val="23"/>
        </w:rPr>
        <w:t>LÍNEAS ARGUMENTATIVAS</w:t>
      </w:r>
    </w:p>
    <w:p w14:paraId="133CABEE" w14:textId="1AD3588B" w:rsidR="002A1465" w:rsidRPr="00341003" w:rsidRDefault="002A1465" w:rsidP="00341003">
      <w:pPr>
        <w:spacing w:before="240" w:after="240" w:line="360" w:lineRule="auto"/>
        <w:jc w:val="both"/>
        <w:rPr>
          <w:rFonts w:ascii="Palatino Linotype" w:hAnsi="Palatino Linotype"/>
          <w:b/>
          <w:sz w:val="23"/>
          <w:szCs w:val="23"/>
        </w:rPr>
      </w:pPr>
      <w:r w:rsidRPr="00341003">
        <w:rPr>
          <w:rFonts w:ascii="Palatino Linotype" w:hAnsi="Palatino Linotype"/>
          <w:b/>
          <w:sz w:val="23"/>
          <w:szCs w:val="23"/>
        </w:rPr>
        <w:t>NEGATIVA FICTA, NO EXISTE PLAZO PERENTORIO PARA INTERPONER EL RECURSO.</w:t>
      </w:r>
      <w:r w:rsidRPr="00341003">
        <w:rPr>
          <w:rFonts w:ascii="Palatino Linotype" w:hAnsi="Palatino Linotype"/>
          <w:sz w:val="23"/>
          <w:szCs w:val="23"/>
        </w:rPr>
        <w:t xml:space="preserve"> Tratándose de negativa ficta no existe plazo para la interposición del recurso de revisión por tratarse de una afectación continua al Derecho de Acceso a la Información Pública.</w:t>
      </w:r>
    </w:p>
    <w:p w14:paraId="199C8AE0" w14:textId="77777777" w:rsidR="002A1465" w:rsidRPr="00341003" w:rsidRDefault="002A1465" w:rsidP="00341003">
      <w:pPr>
        <w:spacing w:before="240" w:after="240" w:line="360" w:lineRule="auto"/>
        <w:jc w:val="both"/>
        <w:rPr>
          <w:rFonts w:ascii="Palatino Linotype" w:eastAsia="MS Mincho" w:hAnsi="Palatino Linotype" w:cs="Times New Roman"/>
          <w:sz w:val="23"/>
          <w:szCs w:val="23"/>
        </w:rPr>
      </w:pPr>
      <w:r w:rsidRPr="00341003">
        <w:rPr>
          <w:rFonts w:ascii="Palatino Linotype" w:hAnsi="Palatino Linotype"/>
          <w:b/>
          <w:sz w:val="23"/>
          <w:szCs w:val="23"/>
        </w:rPr>
        <w:t xml:space="preserve">INFORME JUSTIFICADO, FALTA DE. </w:t>
      </w:r>
      <w:r w:rsidRPr="00341003">
        <w:rPr>
          <w:rFonts w:ascii="Palatino Linotype" w:eastAsia="MS Mincho" w:hAnsi="Palatino Linotype" w:cs="Times New Roman"/>
          <w:sz w:val="23"/>
          <w:szCs w:val="23"/>
        </w:rPr>
        <w:t>La falta de informe justificado no impide que este Órgano Garante conozca y resuelva el recurso de revisión, solo propicia que el SUJETO OBLIGADO pierda la oportunidad de justificar su respuesta y manifestar lo que a su derecho convenga.</w:t>
      </w:r>
    </w:p>
    <w:p w14:paraId="25887CCF" w14:textId="77777777" w:rsidR="002A1465" w:rsidRPr="00341003" w:rsidRDefault="002A1465" w:rsidP="00341003">
      <w:pPr>
        <w:spacing w:before="240" w:after="240" w:line="360" w:lineRule="auto"/>
        <w:jc w:val="both"/>
        <w:rPr>
          <w:rFonts w:ascii="Palatino Linotype" w:eastAsia="Times New Roman" w:hAnsi="Palatino Linotype"/>
          <w:sz w:val="23"/>
          <w:szCs w:val="23"/>
        </w:rPr>
      </w:pPr>
      <w:r w:rsidRPr="00341003">
        <w:rPr>
          <w:rFonts w:ascii="Palatino Linotype" w:eastAsia="Times New Roman" w:hAnsi="Palatino Linotype"/>
          <w:b/>
          <w:sz w:val="23"/>
          <w:szCs w:val="23"/>
        </w:rPr>
        <w:t>DEBERES DE LAS AUTORIDADES.</w:t>
      </w:r>
      <w:r w:rsidRPr="00341003">
        <w:rPr>
          <w:rFonts w:ascii="Palatino Linotype" w:eastAsia="Times New Roman" w:hAnsi="Palatino Linotype"/>
          <w:sz w:val="23"/>
          <w:szCs w:val="23"/>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028C4FB" w14:textId="16AF3BD2" w:rsidR="002A1465" w:rsidRPr="00341003" w:rsidRDefault="002A1465" w:rsidP="00341003">
      <w:pPr>
        <w:spacing w:before="240" w:after="240" w:line="360" w:lineRule="auto"/>
        <w:jc w:val="both"/>
        <w:rPr>
          <w:rFonts w:ascii="Palatino Linotype" w:hAnsi="Palatino Linotype" w:cs="Arial"/>
          <w:b/>
          <w:i/>
          <w:sz w:val="23"/>
          <w:szCs w:val="23"/>
        </w:rPr>
      </w:pPr>
      <w:r w:rsidRPr="00341003">
        <w:rPr>
          <w:rFonts w:ascii="Palatino Linotype" w:hAnsi="Palatino Linotype" w:cs="Arial"/>
          <w:b/>
          <w:sz w:val="23"/>
          <w:szCs w:val="23"/>
        </w:rPr>
        <w:t xml:space="preserve">DE LA </w:t>
      </w:r>
      <w:r w:rsidR="00341003" w:rsidRPr="00341003">
        <w:rPr>
          <w:rFonts w:ascii="Palatino Linotype" w:hAnsi="Palatino Linotype" w:cs="Arial"/>
          <w:b/>
          <w:sz w:val="23"/>
          <w:szCs w:val="23"/>
        </w:rPr>
        <w:t>ELABORACIÓN</w:t>
      </w:r>
      <w:r w:rsidRPr="00341003">
        <w:rPr>
          <w:rFonts w:ascii="Palatino Linotype" w:hAnsi="Palatino Linotype" w:cs="Arial"/>
          <w:b/>
          <w:sz w:val="23"/>
          <w:szCs w:val="23"/>
        </w:rPr>
        <w:t xml:space="preserve"> DE LAS VERSIONES PÚBLICAS</w:t>
      </w:r>
      <w:r w:rsidRPr="00341003">
        <w:rPr>
          <w:rFonts w:ascii="Palatino Linotype" w:hAnsi="Palatino Linotype" w:cs="Arial"/>
          <w:sz w:val="23"/>
          <w:szCs w:val="23"/>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ACBB071" w14:textId="77777777" w:rsidR="002A1465" w:rsidRPr="00341003" w:rsidRDefault="002A1465" w:rsidP="00341003">
      <w:pPr>
        <w:spacing w:before="240" w:after="240" w:line="360" w:lineRule="auto"/>
        <w:jc w:val="center"/>
        <w:rPr>
          <w:rFonts w:ascii="Palatino Linotype" w:hAnsi="Palatino Linotype"/>
          <w:b/>
        </w:rPr>
      </w:pPr>
    </w:p>
    <w:p w14:paraId="31137936" w14:textId="302D1D0F" w:rsidR="00BC61B2" w:rsidRPr="00341003" w:rsidRDefault="00A20B1F" w:rsidP="00341003">
      <w:pPr>
        <w:tabs>
          <w:tab w:val="left" w:pos="0"/>
        </w:tabs>
        <w:spacing w:line="360" w:lineRule="auto"/>
        <w:jc w:val="center"/>
        <w:rPr>
          <w:rFonts w:ascii="Palatino Linotype" w:eastAsia="Times New Roman" w:hAnsi="Palatino Linotype" w:cs="Times New Roman"/>
          <w:b/>
          <w:u w:val="single"/>
        </w:rPr>
      </w:pPr>
      <w:r w:rsidRPr="0034100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341003" w:rsidRDefault="00763298" w:rsidP="00341003">
          <w:pPr>
            <w:pStyle w:val="TtulodeTDC"/>
            <w:tabs>
              <w:tab w:val="left" w:pos="0"/>
            </w:tabs>
            <w:spacing w:before="0" w:line="360" w:lineRule="auto"/>
            <w:rPr>
              <w:szCs w:val="24"/>
            </w:rPr>
          </w:pPr>
        </w:p>
        <w:p w14:paraId="3EDDE757" w14:textId="77777777" w:rsidR="00DB6374" w:rsidRPr="00341003" w:rsidRDefault="00763298" w:rsidP="00341003">
          <w:pPr>
            <w:pStyle w:val="TDC1"/>
            <w:spacing w:line="360" w:lineRule="auto"/>
            <w:rPr>
              <w:rFonts w:ascii="Palatino Linotype" w:hAnsi="Palatino Linotype"/>
              <w:noProof/>
              <w:lang w:val="es-MX" w:eastAsia="es-MX"/>
            </w:rPr>
          </w:pPr>
          <w:r w:rsidRPr="00341003">
            <w:rPr>
              <w:rFonts w:ascii="Palatino Linotype" w:hAnsi="Palatino Linotype"/>
            </w:rPr>
            <w:fldChar w:fldCharType="begin"/>
          </w:r>
          <w:r w:rsidRPr="00341003">
            <w:rPr>
              <w:rFonts w:ascii="Palatino Linotype" w:hAnsi="Palatino Linotype"/>
            </w:rPr>
            <w:instrText xml:space="preserve"> TOC \o "1-3" \h \z \u </w:instrText>
          </w:r>
          <w:r w:rsidRPr="00341003">
            <w:rPr>
              <w:rFonts w:ascii="Palatino Linotype" w:hAnsi="Palatino Linotype"/>
            </w:rPr>
            <w:fldChar w:fldCharType="separate"/>
          </w:r>
          <w:hyperlink w:anchor="_Toc9511334" w:history="1">
            <w:r w:rsidR="00DB6374" w:rsidRPr="00341003">
              <w:rPr>
                <w:rStyle w:val="Hipervnculo"/>
                <w:rFonts w:ascii="Palatino Linotype" w:hAnsi="Palatino Linotype"/>
                <w:b/>
                <w:noProof/>
              </w:rPr>
              <w:t>ANTECEDENTES</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_Toc9511334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3</w:t>
            </w:r>
            <w:r w:rsidR="00DB6374" w:rsidRPr="00341003">
              <w:rPr>
                <w:rFonts w:ascii="Palatino Linotype" w:hAnsi="Palatino Linotype"/>
                <w:noProof/>
                <w:webHidden/>
              </w:rPr>
              <w:fldChar w:fldCharType="end"/>
            </w:r>
          </w:hyperlink>
        </w:p>
        <w:p w14:paraId="6200C4ED" w14:textId="77777777" w:rsidR="00DB6374" w:rsidRPr="00341003" w:rsidRDefault="006B3280" w:rsidP="00341003">
          <w:pPr>
            <w:pStyle w:val="TDC1"/>
            <w:spacing w:line="360" w:lineRule="auto"/>
            <w:rPr>
              <w:rFonts w:ascii="Palatino Linotype" w:hAnsi="Palatino Linotype"/>
              <w:noProof/>
              <w:lang w:val="es-MX" w:eastAsia="es-MX"/>
            </w:rPr>
          </w:pPr>
          <w:hyperlink w:anchor="_Toc9511335" w:history="1">
            <w:r w:rsidR="00DB6374" w:rsidRPr="00341003">
              <w:rPr>
                <w:rStyle w:val="Hipervnculo"/>
                <w:rFonts w:ascii="Palatino Linotype" w:hAnsi="Palatino Linotype"/>
                <w:b/>
                <w:noProof/>
              </w:rPr>
              <w:t>CONSIDERANDO</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_Toc9511335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6</w:t>
            </w:r>
            <w:r w:rsidR="00DB6374" w:rsidRPr="00341003">
              <w:rPr>
                <w:rFonts w:ascii="Palatino Linotype" w:hAnsi="Palatino Linotype"/>
                <w:noProof/>
                <w:webHidden/>
              </w:rPr>
              <w:fldChar w:fldCharType="end"/>
            </w:r>
          </w:hyperlink>
        </w:p>
        <w:p w14:paraId="528FAD82" w14:textId="77777777" w:rsidR="00DB6374" w:rsidRPr="00341003" w:rsidRDefault="006B3280" w:rsidP="00341003">
          <w:pPr>
            <w:pStyle w:val="TDC1"/>
            <w:spacing w:line="360" w:lineRule="auto"/>
            <w:rPr>
              <w:rFonts w:ascii="Palatino Linotype" w:hAnsi="Palatino Linotype"/>
              <w:noProof/>
              <w:lang w:val="es-MX" w:eastAsia="es-MX"/>
            </w:rPr>
          </w:pPr>
          <w:hyperlink w:anchor="_Toc9511336" w:history="1">
            <w:r w:rsidR="00DB6374" w:rsidRPr="00341003">
              <w:rPr>
                <w:rStyle w:val="Hipervnculo"/>
                <w:rFonts w:ascii="Palatino Linotype" w:hAnsi="Palatino Linotype"/>
                <w:b/>
                <w:noProof/>
              </w:rPr>
              <w:t>PRIMERO. De la competencia</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_Toc9511336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6</w:t>
            </w:r>
            <w:r w:rsidR="00DB6374" w:rsidRPr="00341003">
              <w:rPr>
                <w:rFonts w:ascii="Palatino Linotype" w:hAnsi="Palatino Linotype"/>
                <w:noProof/>
                <w:webHidden/>
              </w:rPr>
              <w:fldChar w:fldCharType="end"/>
            </w:r>
          </w:hyperlink>
        </w:p>
        <w:p w14:paraId="6D004644" w14:textId="77777777" w:rsidR="00DB6374" w:rsidRPr="00341003" w:rsidRDefault="006B3280" w:rsidP="00341003">
          <w:pPr>
            <w:pStyle w:val="TDC1"/>
            <w:spacing w:line="360" w:lineRule="auto"/>
            <w:rPr>
              <w:rFonts w:ascii="Palatino Linotype" w:hAnsi="Palatino Linotype"/>
              <w:noProof/>
              <w:lang w:val="es-MX" w:eastAsia="es-MX"/>
            </w:rPr>
          </w:pPr>
          <w:hyperlink w:anchor="_Toc9511337" w:history="1">
            <w:r w:rsidR="00DB6374" w:rsidRPr="00341003">
              <w:rPr>
                <w:rStyle w:val="Hipervnculo"/>
                <w:rFonts w:ascii="Palatino Linotype" w:hAnsi="Palatino Linotype"/>
                <w:b/>
                <w:noProof/>
              </w:rPr>
              <w:t>SEGUNDO. De la oportunidad y procedencia.</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_Toc9511337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6</w:t>
            </w:r>
            <w:r w:rsidR="00DB6374" w:rsidRPr="00341003">
              <w:rPr>
                <w:rFonts w:ascii="Palatino Linotype" w:hAnsi="Palatino Linotype"/>
                <w:noProof/>
                <w:webHidden/>
              </w:rPr>
              <w:fldChar w:fldCharType="end"/>
            </w:r>
          </w:hyperlink>
        </w:p>
        <w:p w14:paraId="3E948A13" w14:textId="77777777" w:rsidR="00DB6374" w:rsidRPr="00341003" w:rsidRDefault="006B3280" w:rsidP="00341003">
          <w:pPr>
            <w:pStyle w:val="TDC1"/>
            <w:spacing w:line="360" w:lineRule="auto"/>
            <w:rPr>
              <w:rFonts w:ascii="Palatino Linotype" w:hAnsi="Palatino Linotype"/>
              <w:noProof/>
              <w:lang w:val="es-MX" w:eastAsia="es-MX"/>
            </w:rPr>
          </w:pPr>
          <w:hyperlink w:anchor="_Toc9511338" w:history="1">
            <w:r w:rsidR="00DB6374" w:rsidRPr="00341003">
              <w:rPr>
                <w:rStyle w:val="Hipervnculo"/>
                <w:rFonts w:ascii="Palatino Linotype" w:hAnsi="Palatino Linotype"/>
                <w:b/>
                <w:noProof/>
              </w:rPr>
              <w:t>TERCERO. Previo y especial pronunciamiento.</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_Toc9511338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12</w:t>
            </w:r>
            <w:r w:rsidR="00DB6374" w:rsidRPr="00341003">
              <w:rPr>
                <w:rFonts w:ascii="Palatino Linotype" w:hAnsi="Palatino Linotype"/>
                <w:noProof/>
                <w:webHidden/>
              </w:rPr>
              <w:fldChar w:fldCharType="end"/>
            </w:r>
          </w:hyperlink>
        </w:p>
        <w:p w14:paraId="6381DFFB" w14:textId="77777777" w:rsidR="00DB6374" w:rsidRPr="00341003" w:rsidRDefault="006B3280" w:rsidP="00341003">
          <w:pPr>
            <w:pStyle w:val="TDC1"/>
            <w:tabs>
              <w:tab w:val="left" w:pos="993"/>
            </w:tabs>
            <w:spacing w:line="360" w:lineRule="auto"/>
            <w:rPr>
              <w:rFonts w:ascii="Palatino Linotype" w:hAnsi="Palatino Linotype"/>
              <w:noProof/>
              <w:lang w:val="es-MX" w:eastAsia="es-MX"/>
            </w:rPr>
          </w:pPr>
          <w:hyperlink w:anchor="_Toc9511339" w:history="1">
            <w:r w:rsidR="00DB6374" w:rsidRPr="00341003">
              <w:rPr>
                <w:rStyle w:val="Hipervnculo"/>
                <w:rFonts w:ascii="Palatino Linotype" w:eastAsia="Calibri" w:hAnsi="Palatino Linotype" w:cs="Times New Roman"/>
                <w:b/>
                <w:bCs/>
                <w:noProof/>
                <w:lang w:val="es-ES"/>
              </w:rPr>
              <w:t>I.</w:t>
            </w:r>
            <w:r w:rsidR="00DB6374" w:rsidRPr="00341003">
              <w:rPr>
                <w:rFonts w:ascii="Palatino Linotype" w:hAnsi="Palatino Linotype"/>
                <w:noProof/>
                <w:lang w:val="es-MX" w:eastAsia="es-MX"/>
              </w:rPr>
              <w:tab/>
            </w:r>
            <w:r w:rsidR="00DB6374" w:rsidRPr="00341003">
              <w:rPr>
                <w:rStyle w:val="Hipervnculo"/>
                <w:rFonts w:ascii="Palatino Linotype" w:eastAsia="Calibri" w:hAnsi="Palatino Linotype" w:cs="Times New Roman"/>
                <w:b/>
                <w:bCs/>
                <w:noProof/>
                <w:lang w:val="es-ES"/>
              </w:rPr>
              <w:t>La falta de informe justificado.</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_Toc9511339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12</w:t>
            </w:r>
            <w:r w:rsidR="00DB6374" w:rsidRPr="00341003">
              <w:rPr>
                <w:rFonts w:ascii="Palatino Linotype" w:hAnsi="Palatino Linotype"/>
                <w:noProof/>
                <w:webHidden/>
              </w:rPr>
              <w:fldChar w:fldCharType="end"/>
            </w:r>
          </w:hyperlink>
        </w:p>
        <w:p w14:paraId="087A7B4D" w14:textId="77777777" w:rsidR="00DB6374" w:rsidRPr="00341003" w:rsidRDefault="006B3280" w:rsidP="00341003">
          <w:pPr>
            <w:pStyle w:val="TDC1"/>
            <w:spacing w:line="360" w:lineRule="auto"/>
            <w:rPr>
              <w:rFonts w:ascii="Palatino Linotype" w:hAnsi="Palatino Linotype"/>
              <w:noProof/>
              <w:lang w:val="es-MX" w:eastAsia="es-MX"/>
            </w:rPr>
          </w:pPr>
          <w:hyperlink w:anchor="_Toc9511340" w:history="1">
            <w:r w:rsidR="00DB6374" w:rsidRPr="00341003">
              <w:rPr>
                <w:rStyle w:val="Hipervnculo"/>
                <w:rFonts w:ascii="Palatino Linotype" w:hAnsi="Palatino Linotype"/>
                <w:b/>
                <w:noProof/>
              </w:rPr>
              <w:t xml:space="preserve">CUARTO. </w:t>
            </w:r>
            <w:r w:rsidR="00DB6374" w:rsidRPr="00341003">
              <w:rPr>
                <w:rStyle w:val="Hipervnculo"/>
                <w:rFonts w:ascii="Palatino Linotype" w:eastAsia="Calibri" w:hAnsi="Palatino Linotype" w:cs="Times New Roman"/>
                <w:b/>
                <w:bCs/>
                <w:noProof/>
                <w:lang w:val="es-ES"/>
              </w:rPr>
              <w:t>Del planteamiento de la litis.</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_Toc9511340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13</w:t>
            </w:r>
            <w:r w:rsidR="00DB6374" w:rsidRPr="00341003">
              <w:rPr>
                <w:rFonts w:ascii="Palatino Linotype" w:hAnsi="Palatino Linotype"/>
                <w:noProof/>
                <w:webHidden/>
              </w:rPr>
              <w:fldChar w:fldCharType="end"/>
            </w:r>
          </w:hyperlink>
        </w:p>
        <w:p w14:paraId="5DD8E7A7" w14:textId="77777777" w:rsidR="00DB6374" w:rsidRPr="00341003" w:rsidRDefault="006B3280" w:rsidP="00341003">
          <w:pPr>
            <w:pStyle w:val="TDC1"/>
            <w:spacing w:line="360" w:lineRule="auto"/>
            <w:rPr>
              <w:rFonts w:ascii="Palatino Linotype" w:hAnsi="Palatino Linotype"/>
              <w:noProof/>
              <w:lang w:val="es-MX" w:eastAsia="es-MX"/>
            </w:rPr>
          </w:pPr>
          <w:hyperlink w:anchor="_Toc9511341" w:history="1">
            <w:r w:rsidR="00DB6374" w:rsidRPr="00341003">
              <w:rPr>
                <w:rStyle w:val="Hipervnculo"/>
                <w:rFonts w:ascii="Palatino Linotype" w:eastAsia="Calibri" w:hAnsi="Palatino Linotype" w:cs="Times New Roman"/>
                <w:b/>
                <w:bCs/>
                <w:noProof/>
                <w:lang w:val="es-ES"/>
              </w:rPr>
              <w:t xml:space="preserve">QUINTO. </w:t>
            </w:r>
            <w:r w:rsidR="00DB6374" w:rsidRPr="00341003">
              <w:rPr>
                <w:rStyle w:val="Hipervnculo"/>
                <w:rFonts w:ascii="Palatino Linotype" w:eastAsia="MS Gothic" w:hAnsi="Palatino Linotype" w:cs="Times New Roman"/>
                <w:b/>
                <w:noProof/>
              </w:rPr>
              <w:t>Del estudio y resolución del asunto.</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_Toc9511341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14</w:t>
            </w:r>
            <w:r w:rsidR="00DB6374" w:rsidRPr="00341003">
              <w:rPr>
                <w:rFonts w:ascii="Palatino Linotype" w:hAnsi="Palatino Linotype"/>
                <w:noProof/>
                <w:webHidden/>
              </w:rPr>
              <w:fldChar w:fldCharType="end"/>
            </w:r>
          </w:hyperlink>
        </w:p>
        <w:p w14:paraId="653BD1B9" w14:textId="77777777" w:rsidR="00DB6374" w:rsidRPr="00341003" w:rsidRDefault="006B3280" w:rsidP="00341003">
          <w:pPr>
            <w:pStyle w:val="TDC1"/>
            <w:tabs>
              <w:tab w:val="left" w:pos="993"/>
            </w:tabs>
            <w:spacing w:line="360" w:lineRule="auto"/>
            <w:rPr>
              <w:rFonts w:ascii="Palatino Linotype" w:hAnsi="Palatino Linotype"/>
              <w:noProof/>
              <w:lang w:val="es-MX" w:eastAsia="es-MX"/>
            </w:rPr>
          </w:pPr>
          <w:hyperlink w:anchor="_Toc9511342" w:history="1">
            <w:r w:rsidR="00DB6374" w:rsidRPr="00341003">
              <w:rPr>
                <w:rStyle w:val="Hipervnculo"/>
                <w:rFonts w:ascii="Palatino Linotype" w:hAnsi="Palatino Linotype"/>
                <w:b/>
                <w:noProof/>
              </w:rPr>
              <w:t>I.</w:t>
            </w:r>
            <w:r w:rsidR="00DB6374" w:rsidRPr="00341003">
              <w:rPr>
                <w:rFonts w:ascii="Palatino Linotype" w:hAnsi="Palatino Linotype"/>
                <w:noProof/>
                <w:lang w:val="es-MX" w:eastAsia="es-MX"/>
              </w:rPr>
              <w:tab/>
            </w:r>
            <w:r w:rsidR="00DB6374" w:rsidRPr="00341003">
              <w:rPr>
                <w:rStyle w:val="Hipervnculo"/>
                <w:rFonts w:ascii="Palatino Linotype" w:hAnsi="Palatino Linotype"/>
                <w:b/>
                <w:noProof/>
              </w:rPr>
              <w:t>Del deber de las autoridades de promover, respetar, proteger y garantizar el derecho de acceso a la información pública.</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_Toc9511342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14</w:t>
            </w:r>
            <w:r w:rsidR="00DB6374" w:rsidRPr="00341003">
              <w:rPr>
                <w:rFonts w:ascii="Palatino Linotype" w:hAnsi="Palatino Linotype"/>
                <w:noProof/>
                <w:webHidden/>
              </w:rPr>
              <w:fldChar w:fldCharType="end"/>
            </w:r>
          </w:hyperlink>
        </w:p>
        <w:p w14:paraId="42E9A12A" w14:textId="77777777" w:rsidR="00DB6374" w:rsidRPr="00341003" w:rsidRDefault="006B3280" w:rsidP="00341003">
          <w:pPr>
            <w:pStyle w:val="TDC3"/>
            <w:tabs>
              <w:tab w:val="left" w:pos="993"/>
              <w:tab w:val="right" w:leader="dot" w:pos="8828"/>
            </w:tabs>
            <w:spacing w:line="360" w:lineRule="auto"/>
            <w:rPr>
              <w:rFonts w:ascii="Palatino Linotype" w:hAnsi="Palatino Linotype"/>
              <w:noProof/>
              <w:lang w:val="es-MX" w:eastAsia="es-MX"/>
            </w:rPr>
          </w:pPr>
          <w:hyperlink w:anchor="_Toc9511343" w:history="1">
            <w:r w:rsidR="00DB6374" w:rsidRPr="00341003">
              <w:rPr>
                <w:rStyle w:val="Hipervnculo"/>
                <w:rFonts w:ascii="Palatino Linotype" w:hAnsi="Palatino Linotype"/>
                <w:b/>
                <w:noProof/>
              </w:rPr>
              <w:t>II.</w:t>
            </w:r>
            <w:r w:rsidR="00DB6374" w:rsidRPr="00341003">
              <w:rPr>
                <w:rFonts w:ascii="Palatino Linotype" w:hAnsi="Palatino Linotype"/>
                <w:noProof/>
                <w:lang w:val="es-MX" w:eastAsia="es-MX"/>
              </w:rPr>
              <w:tab/>
            </w:r>
            <w:r w:rsidR="00DB6374" w:rsidRPr="00341003">
              <w:rPr>
                <w:rStyle w:val="Hipervnculo"/>
                <w:rFonts w:ascii="Palatino Linotype" w:hAnsi="Palatino Linotype"/>
                <w:b/>
                <w:noProof/>
              </w:rPr>
              <w:t>De la naturaleza jurídica de la información solicitada</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_Toc9511343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16</w:t>
            </w:r>
            <w:r w:rsidR="00DB6374" w:rsidRPr="00341003">
              <w:rPr>
                <w:rFonts w:ascii="Palatino Linotype" w:hAnsi="Palatino Linotype"/>
                <w:noProof/>
                <w:webHidden/>
              </w:rPr>
              <w:fldChar w:fldCharType="end"/>
            </w:r>
          </w:hyperlink>
        </w:p>
        <w:p w14:paraId="17D8A4DF" w14:textId="77777777" w:rsidR="00DB6374" w:rsidRPr="00341003" w:rsidRDefault="006B3280" w:rsidP="00341003">
          <w:pPr>
            <w:pStyle w:val="TDC1"/>
            <w:spacing w:line="360" w:lineRule="auto"/>
            <w:rPr>
              <w:rFonts w:ascii="Palatino Linotype" w:hAnsi="Palatino Linotype"/>
              <w:noProof/>
              <w:lang w:val="es-MX" w:eastAsia="es-MX"/>
            </w:rPr>
          </w:pPr>
          <w:hyperlink w:anchor="_Toc9511344" w:history="1">
            <w:r w:rsidR="00DB6374" w:rsidRPr="00341003">
              <w:rPr>
                <w:rStyle w:val="Hipervnculo"/>
                <w:rFonts w:ascii="Palatino Linotype" w:hAnsi="Palatino Linotype"/>
                <w:b/>
                <w:noProof/>
              </w:rPr>
              <w:t>SEXTO. De la Versión Pública</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_Toc9511344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38</w:t>
            </w:r>
            <w:r w:rsidR="00DB6374" w:rsidRPr="00341003">
              <w:rPr>
                <w:rFonts w:ascii="Palatino Linotype" w:hAnsi="Palatino Linotype"/>
                <w:noProof/>
                <w:webHidden/>
              </w:rPr>
              <w:fldChar w:fldCharType="end"/>
            </w:r>
          </w:hyperlink>
        </w:p>
        <w:p w14:paraId="6D39C5F7" w14:textId="77777777" w:rsidR="00DB6374" w:rsidRPr="00341003" w:rsidRDefault="006B3280" w:rsidP="00341003">
          <w:pPr>
            <w:pStyle w:val="TDC3"/>
            <w:tabs>
              <w:tab w:val="left" w:pos="993"/>
              <w:tab w:val="right" w:leader="dot" w:pos="8828"/>
            </w:tabs>
            <w:spacing w:line="360" w:lineRule="auto"/>
            <w:rPr>
              <w:rFonts w:ascii="Palatino Linotype" w:hAnsi="Palatino Linotype"/>
              <w:noProof/>
              <w:lang w:val="es-MX" w:eastAsia="es-MX"/>
            </w:rPr>
          </w:pPr>
          <w:hyperlink w:anchor="_Toc9511345" w:history="1">
            <w:r w:rsidR="00DB6374" w:rsidRPr="00341003">
              <w:rPr>
                <w:rStyle w:val="Hipervnculo"/>
                <w:rFonts w:ascii="Palatino Linotype" w:hAnsi="Palatino Linotype"/>
                <w:b/>
                <w:noProof/>
              </w:rPr>
              <w:t>a.</w:t>
            </w:r>
            <w:r w:rsidR="00DB6374" w:rsidRPr="00341003">
              <w:rPr>
                <w:rFonts w:ascii="Palatino Linotype" w:hAnsi="Palatino Linotype"/>
                <w:noProof/>
                <w:lang w:val="es-MX" w:eastAsia="es-MX"/>
              </w:rPr>
              <w:tab/>
            </w:r>
            <w:r w:rsidR="00DB6374" w:rsidRPr="00341003">
              <w:rPr>
                <w:rStyle w:val="Hipervnculo"/>
                <w:rFonts w:ascii="Palatino Linotype" w:hAnsi="Palatino Linotype"/>
                <w:b/>
                <w:noProof/>
              </w:rPr>
              <w:t>Requisitos previos.</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_Toc9511345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38</w:t>
            </w:r>
            <w:r w:rsidR="00DB6374" w:rsidRPr="00341003">
              <w:rPr>
                <w:rFonts w:ascii="Palatino Linotype" w:hAnsi="Palatino Linotype"/>
                <w:noProof/>
                <w:webHidden/>
              </w:rPr>
              <w:fldChar w:fldCharType="end"/>
            </w:r>
          </w:hyperlink>
        </w:p>
        <w:p w14:paraId="5C6C9575" w14:textId="77777777" w:rsidR="00DB6374" w:rsidRPr="00341003" w:rsidRDefault="006B3280" w:rsidP="00341003">
          <w:pPr>
            <w:pStyle w:val="TDC3"/>
            <w:tabs>
              <w:tab w:val="left" w:pos="993"/>
              <w:tab w:val="right" w:leader="dot" w:pos="8828"/>
            </w:tabs>
            <w:spacing w:line="360" w:lineRule="auto"/>
            <w:rPr>
              <w:rFonts w:ascii="Palatino Linotype" w:hAnsi="Palatino Linotype"/>
              <w:noProof/>
              <w:lang w:val="es-MX" w:eastAsia="es-MX"/>
            </w:rPr>
          </w:pPr>
          <w:hyperlink w:anchor="_Toc9511346" w:history="1">
            <w:r w:rsidR="00DB6374" w:rsidRPr="00341003">
              <w:rPr>
                <w:rStyle w:val="Hipervnculo"/>
                <w:rFonts w:ascii="Palatino Linotype" w:hAnsi="Palatino Linotype"/>
                <w:b/>
                <w:noProof/>
              </w:rPr>
              <w:t>b.</w:t>
            </w:r>
            <w:r w:rsidR="00DB6374" w:rsidRPr="00341003">
              <w:rPr>
                <w:rFonts w:ascii="Palatino Linotype" w:hAnsi="Palatino Linotype"/>
                <w:noProof/>
                <w:lang w:val="es-MX" w:eastAsia="es-MX"/>
              </w:rPr>
              <w:tab/>
            </w:r>
            <w:r w:rsidR="00DB6374" w:rsidRPr="00341003">
              <w:rPr>
                <w:rStyle w:val="Hipervnculo"/>
                <w:rFonts w:ascii="Palatino Linotype" w:hAnsi="Palatino Linotype"/>
                <w:b/>
                <w:noProof/>
              </w:rPr>
              <w:t>Supuesto de clasificación.</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_Toc9511346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39</w:t>
            </w:r>
            <w:r w:rsidR="00DB6374" w:rsidRPr="00341003">
              <w:rPr>
                <w:rFonts w:ascii="Palatino Linotype" w:hAnsi="Palatino Linotype"/>
                <w:noProof/>
                <w:webHidden/>
              </w:rPr>
              <w:fldChar w:fldCharType="end"/>
            </w:r>
          </w:hyperlink>
        </w:p>
        <w:p w14:paraId="4CAE85BD" w14:textId="77777777" w:rsidR="00DB6374" w:rsidRPr="00341003" w:rsidRDefault="006B3280" w:rsidP="00341003">
          <w:pPr>
            <w:pStyle w:val="TDC3"/>
            <w:tabs>
              <w:tab w:val="left" w:pos="993"/>
              <w:tab w:val="right" w:leader="dot" w:pos="8828"/>
            </w:tabs>
            <w:spacing w:line="360" w:lineRule="auto"/>
            <w:rPr>
              <w:rFonts w:ascii="Palatino Linotype" w:hAnsi="Palatino Linotype"/>
              <w:noProof/>
              <w:lang w:val="es-MX" w:eastAsia="es-MX"/>
            </w:rPr>
          </w:pPr>
          <w:hyperlink w:anchor="_Toc9511347" w:history="1">
            <w:r w:rsidR="00DB6374" w:rsidRPr="00341003">
              <w:rPr>
                <w:rStyle w:val="Hipervnculo"/>
                <w:rFonts w:ascii="Palatino Linotype" w:hAnsi="Palatino Linotype"/>
                <w:b/>
                <w:noProof/>
              </w:rPr>
              <w:t>c.</w:t>
            </w:r>
            <w:r w:rsidR="00DB6374" w:rsidRPr="00341003">
              <w:rPr>
                <w:rFonts w:ascii="Palatino Linotype" w:hAnsi="Palatino Linotype"/>
                <w:noProof/>
                <w:lang w:val="es-MX" w:eastAsia="es-MX"/>
              </w:rPr>
              <w:tab/>
            </w:r>
            <w:r w:rsidR="00DB6374" w:rsidRPr="00341003">
              <w:rPr>
                <w:rStyle w:val="Hipervnculo"/>
                <w:rFonts w:ascii="Palatino Linotype" w:hAnsi="Palatino Linotype"/>
                <w:b/>
                <w:noProof/>
              </w:rPr>
              <w:t>La intervención del Comité de Transparencia.</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_Toc9511347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42</w:t>
            </w:r>
            <w:r w:rsidR="00DB6374" w:rsidRPr="00341003">
              <w:rPr>
                <w:rFonts w:ascii="Palatino Linotype" w:hAnsi="Palatino Linotype"/>
                <w:noProof/>
                <w:webHidden/>
              </w:rPr>
              <w:fldChar w:fldCharType="end"/>
            </w:r>
          </w:hyperlink>
        </w:p>
        <w:p w14:paraId="5E4D9480" w14:textId="77777777" w:rsidR="00DB6374" w:rsidRPr="00341003" w:rsidRDefault="006B3280" w:rsidP="00341003">
          <w:pPr>
            <w:pStyle w:val="TDC1"/>
            <w:spacing w:line="360" w:lineRule="auto"/>
            <w:rPr>
              <w:rFonts w:ascii="Palatino Linotype" w:hAnsi="Palatino Linotype"/>
              <w:noProof/>
              <w:lang w:val="es-MX" w:eastAsia="es-MX"/>
            </w:rPr>
          </w:pPr>
          <w:hyperlink w:anchor="_Toc9511348" w:history="1">
            <w:r w:rsidR="00DB6374" w:rsidRPr="00341003">
              <w:rPr>
                <w:rStyle w:val="Hipervnculo"/>
                <w:rFonts w:ascii="Palatino Linotype" w:hAnsi="Palatino Linotype"/>
                <w:b/>
                <w:noProof/>
              </w:rPr>
              <w:t>SÉPTIMO. Vista al órgano de control interno</w:t>
            </w:r>
            <w:r w:rsidR="00DB6374" w:rsidRPr="00341003">
              <w:rPr>
                <w:rStyle w:val="Hipervnculo"/>
                <w:rFonts w:ascii="Palatino Linotype" w:eastAsia="Calibri" w:hAnsi="Palatino Linotype" w:cs="Times New Roman"/>
                <w:b/>
                <w:bCs/>
                <w:noProof/>
                <w:lang w:val="es-ES"/>
              </w:rPr>
              <w:t>.</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_Toc9511348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49</w:t>
            </w:r>
            <w:r w:rsidR="00DB6374" w:rsidRPr="00341003">
              <w:rPr>
                <w:rFonts w:ascii="Palatino Linotype" w:hAnsi="Palatino Linotype"/>
                <w:noProof/>
                <w:webHidden/>
              </w:rPr>
              <w:fldChar w:fldCharType="end"/>
            </w:r>
          </w:hyperlink>
        </w:p>
        <w:p w14:paraId="6146E178" w14:textId="77777777" w:rsidR="00DB6374" w:rsidRPr="00341003" w:rsidRDefault="006B3280" w:rsidP="00341003">
          <w:pPr>
            <w:pStyle w:val="TDC1"/>
            <w:spacing w:line="360" w:lineRule="auto"/>
            <w:rPr>
              <w:rFonts w:ascii="Palatino Linotype" w:hAnsi="Palatino Linotype"/>
              <w:noProof/>
              <w:lang w:val="es-MX" w:eastAsia="es-MX"/>
            </w:rPr>
          </w:pPr>
          <w:hyperlink w:anchor="_Toc9511349" w:history="1">
            <w:r w:rsidR="00DB6374" w:rsidRPr="00341003">
              <w:rPr>
                <w:rStyle w:val="Hipervnculo"/>
                <w:rFonts w:ascii="Palatino Linotype" w:eastAsia="Calibri" w:hAnsi="Palatino Linotype"/>
                <w:b/>
                <w:noProof/>
                <w:lang w:val="es-ES"/>
              </w:rPr>
              <w:t>R E S O L U T I V O S</w:t>
            </w:r>
            <w:r w:rsidR="00DB6374" w:rsidRPr="00341003">
              <w:rPr>
                <w:rFonts w:ascii="Palatino Linotype" w:hAnsi="Palatino Linotype"/>
                <w:noProof/>
                <w:webHidden/>
              </w:rPr>
              <w:tab/>
            </w:r>
            <w:r w:rsidR="00DB6374" w:rsidRPr="00341003">
              <w:rPr>
                <w:rFonts w:ascii="Palatino Linotype" w:hAnsi="Palatino Linotype"/>
                <w:noProof/>
                <w:webHidden/>
              </w:rPr>
              <w:fldChar w:fldCharType="begin"/>
            </w:r>
            <w:r w:rsidR="00DB6374" w:rsidRPr="00341003">
              <w:rPr>
                <w:rFonts w:ascii="Palatino Linotype" w:hAnsi="Palatino Linotype"/>
                <w:noProof/>
                <w:webHidden/>
              </w:rPr>
              <w:instrText xml:space="preserve"> PAGEREF _Toc9511349 \h </w:instrText>
            </w:r>
            <w:r w:rsidR="00DB6374" w:rsidRPr="00341003">
              <w:rPr>
                <w:rFonts w:ascii="Palatino Linotype" w:hAnsi="Palatino Linotype"/>
                <w:noProof/>
                <w:webHidden/>
              </w:rPr>
            </w:r>
            <w:r w:rsidR="00DB6374" w:rsidRPr="00341003">
              <w:rPr>
                <w:rFonts w:ascii="Palatino Linotype" w:hAnsi="Palatino Linotype"/>
                <w:noProof/>
                <w:webHidden/>
              </w:rPr>
              <w:fldChar w:fldCharType="separate"/>
            </w:r>
            <w:r w:rsidR="002C4316" w:rsidRPr="00341003">
              <w:rPr>
                <w:rFonts w:ascii="Palatino Linotype" w:hAnsi="Palatino Linotype"/>
                <w:noProof/>
                <w:webHidden/>
              </w:rPr>
              <w:t>51</w:t>
            </w:r>
            <w:r w:rsidR="00DB6374" w:rsidRPr="00341003">
              <w:rPr>
                <w:rFonts w:ascii="Palatino Linotype" w:hAnsi="Palatino Linotype"/>
                <w:noProof/>
                <w:webHidden/>
              </w:rPr>
              <w:fldChar w:fldCharType="end"/>
            </w:r>
          </w:hyperlink>
        </w:p>
        <w:p w14:paraId="1E9D7E1E" w14:textId="77777777" w:rsidR="00763298" w:rsidRPr="00341003" w:rsidRDefault="00763298" w:rsidP="00341003">
          <w:pPr>
            <w:tabs>
              <w:tab w:val="left" w:pos="0"/>
            </w:tabs>
            <w:spacing w:line="360" w:lineRule="auto"/>
            <w:rPr>
              <w:rFonts w:ascii="Palatino Linotype" w:hAnsi="Palatino Linotype"/>
            </w:rPr>
          </w:pPr>
          <w:r w:rsidRPr="00341003">
            <w:rPr>
              <w:rFonts w:ascii="Palatino Linotype" w:hAnsi="Palatino Linotype"/>
              <w:b/>
              <w:bCs/>
            </w:rPr>
            <w:fldChar w:fldCharType="end"/>
          </w:r>
        </w:p>
      </w:sdtContent>
    </w:sdt>
    <w:p w14:paraId="4918BD0D" w14:textId="77777777" w:rsidR="00763298" w:rsidRPr="00341003" w:rsidRDefault="00763298" w:rsidP="00341003">
      <w:pPr>
        <w:tabs>
          <w:tab w:val="left" w:pos="0"/>
          <w:tab w:val="left" w:pos="3465"/>
        </w:tabs>
        <w:spacing w:line="360" w:lineRule="auto"/>
        <w:jc w:val="both"/>
        <w:rPr>
          <w:rFonts w:ascii="Palatino Linotype" w:hAnsi="Palatino Linotype"/>
        </w:rPr>
      </w:pPr>
    </w:p>
    <w:p w14:paraId="55197782" w14:textId="77777777" w:rsidR="00763298" w:rsidRPr="00341003" w:rsidRDefault="00763298" w:rsidP="00341003">
      <w:pPr>
        <w:tabs>
          <w:tab w:val="left" w:pos="0"/>
          <w:tab w:val="left" w:pos="3465"/>
        </w:tabs>
        <w:spacing w:line="360" w:lineRule="auto"/>
        <w:jc w:val="both"/>
        <w:rPr>
          <w:rFonts w:ascii="Palatino Linotype" w:hAnsi="Palatino Linotype"/>
        </w:rPr>
      </w:pPr>
    </w:p>
    <w:p w14:paraId="4D0AA39F" w14:textId="77777777" w:rsidR="00763298" w:rsidRPr="00341003" w:rsidRDefault="00763298" w:rsidP="00341003">
      <w:pPr>
        <w:tabs>
          <w:tab w:val="left" w:pos="0"/>
          <w:tab w:val="left" w:pos="3465"/>
        </w:tabs>
        <w:spacing w:line="360" w:lineRule="auto"/>
        <w:jc w:val="both"/>
        <w:rPr>
          <w:rFonts w:ascii="Palatino Linotype" w:hAnsi="Palatino Linotype"/>
        </w:rPr>
      </w:pPr>
    </w:p>
    <w:p w14:paraId="2C33EC18" w14:textId="77777777" w:rsidR="00763298" w:rsidRPr="00341003" w:rsidRDefault="00763298" w:rsidP="00341003">
      <w:pPr>
        <w:tabs>
          <w:tab w:val="left" w:pos="0"/>
          <w:tab w:val="left" w:pos="3465"/>
        </w:tabs>
        <w:spacing w:line="360" w:lineRule="auto"/>
        <w:jc w:val="both"/>
        <w:rPr>
          <w:rFonts w:ascii="Palatino Linotype" w:hAnsi="Palatino Linotype"/>
        </w:rPr>
      </w:pPr>
    </w:p>
    <w:p w14:paraId="5EF52CAF" w14:textId="77777777" w:rsidR="00763298" w:rsidRPr="00341003" w:rsidRDefault="00763298" w:rsidP="00341003">
      <w:pPr>
        <w:tabs>
          <w:tab w:val="left" w:pos="0"/>
          <w:tab w:val="left" w:pos="3465"/>
        </w:tabs>
        <w:spacing w:line="360" w:lineRule="auto"/>
        <w:jc w:val="both"/>
        <w:rPr>
          <w:rFonts w:ascii="Palatino Linotype" w:hAnsi="Palatino Linotype"/>
        </w:rPr>
      </w:pPr>
    </w:p>
    <w:p w14:paraId="73F7F940" w14:textId="781D5B3A" w:rsidR="00662C69" w:rsidRPr="00341003" w:rsidRDefault="009B11D6" w:rsidP="00341003">
      <w:pPr>
        <w:tabs>
          <w:tab w:val="left" w:pos="0"/>
          <w:tab w:val="left" w:pos="3465"/>
        </w:tabs>
        <w:spacing w:line="360" w:lineRule="auto"/>
        <w:jc w:val="both"/>
        <w:rPr>
          <w:rFonts w:ascii="Palatino Linotype" w:hAnsi="Palatino Linotype"/>
        </w:rPr>
      </w:pPr>
      <w:r w:rsidRPr="00341003">
        <w:rPr>
          <w:rFonts w:ascii="Palatino Linotype" w:hAnsi="Palatino Linotype"/>
        </w:rPr>
        <w:t>R</w:t>
      </w:r>
      <w:r w:rsidR="00662C69" w:rsidRPr="00341003">
        <w:rPr>
          <w:rFonts w:ascii="Palatino Linotype" w:hAnsi="Palatino Linotype"/>
        </w:rPr>
        <w:t>esolución del Pleno del Instituto de Transparencia, Acceso a la Información Pública y Protección de Datos Personales del Estado de México y Mun</w:t>
      </w:r>
      <w:r w:rsidR="000D5A1D" w:rsidRPr="00341003">
        <w:rPr>
          <w:rFonts w:ascii="Palatino Linotype" w:hAnsi="Palatino Linotype"/>
        </w:rPr>
        <w:t>icipios, con</w:t>
      </w:r>
      <w:r w:rsidR="00662C69" w:rsidRPr="00341003">
        <w:rPr>
          <w:rFonts w:ascii="Palatino Linotype" w:hAnsi="Palatino Linotype"/>
        </w:rPr>
        <w:t xml:space="preserve"> </w:t>
      </w:r>
      <w:r w:rsidR="00485DB6" w:rsidRPr="00341003">
        <w:rPr>
          <w:rFonts w:ascii="Palatino Linotype" w:hAnsi="Palatino Linotype"/>
        </w:rPr>
        <w:t xml:space="preserve">domicilio </w:t>
      </w:r>
      <w:r w:rsidR="00662C69" w:rsidRPr="00341003">
        <w:rPr>
          <w:rFonts w:ascii="Palatino Linotype" w:hAnsi="Palatino Linotype"/>
        </w:rPr>
        <w:t xml:space="preserve">en Metepec, Estado de México; de </w:t>
      </w:r>
      <w:r w:rsidR="00A37B1E" w:rsidRPr="00341003">
        <w:rPr>
          <w:rFonts w:ascii="Palatino Linotype" w:hAnsi="Palatino Linotype"/>
        </w:rPr>
        <w:t>fecha veintiséis</w:t>
      </w:r>
      <w:r w:rsidR="006B149F" w:rsidRPr="00341003">
        <w:rPr>
          <w:rFonts w:ascii="Palatino Linotype" w:hAnsi="Palatino Linotype"/>
        </w:rPr>
        <w:t xml:space="preserve"> (</w:t>
      </w:r>
      <w:r w:rsidR="00CC0C54" w:rsidRPr="00341003">
        <w:rPr>
          <w:rFonts w:ascii="Palatino Linotype" w:hAnsi="Palatino Linotype"/>
        </w:rPr>
        <w:t>2</w:t>
      </w:r>
      <w:r w:rsidR="00A37B1E" w:rsidRPr="00341003">
        <w:rPr>
          <w:rFonts w:ascii="Palatino Linotype" w:hAnsi="Palatino Linotype"/>
        </w:rPr>
        <w:t>6</w:t>
      </w:r>
      <w:r w:rsidR="006B149F" w:rsidRPr="00341003">
        <w:rPr>
          <w:rFonts w:ascii="Palatino Linotype" w:hAnsi="Palatino Linotype"/>
        </w:rPr>
        <w:t xml:space="preserve">) de </w:t>
      </w:r>
      <w:r w:rsidR="00A37B1E" w:rsidRPr="00341003">
        <w:rPr>
          <w:rFonts w:ascii="Palatino Linotype" w:hAnsi="Palatino Linotype"/>
        </w:rPr>
        <w:t>junio</w:t>
      </w:r>
      <w:r w:rsidR="00F268C6" w:rsidRPr="00341003">
        <w:rPr>
          <w:rFonts w:ascii="Palatino Linotype" w:hAnsi="Palatino Linotype"/>
        </w:rPr>
        <w:t xml:space="preserve"> </w:t>
      </w:r>
      <w:r w:rsidR="00B414A7" w:rsidRPr="00341003">
        <w:rPr>
          <w:rFonts w:ascii="Palatino Linotype" w:hAnsi="Palatino Linotype"/>
        </w:rPr>
        <w:t>de dos mil diecinueve</w:t>
      </w:r>
      <w:r w:rsidR="00662C69" w:rsidRPr="00341003">
        <w:rPr>
          <w:rFonts w:ascii="Palatino Linotype" w:hAnsi="Palatino Linotype"/>
        </w:rPr>
        <w:t>.</w:t>
      </w:r>
    </w:p>
    <w:p w14:paraId="5A51B5EC" w14:textId="77777777" w:rsidR="008A5A73" w:rsidRPr="00341003" w:rsidRDefault="008A5A73" w:rsidP="00341003">
      <w:pPr>
        <w:tabs>
          <w:tab w:val="left" w:pos="0"/>
          <w:tab w:val="left" w:pos="3465"/>
        </w:tabs>
        <w:spacing w:line="360" w:lineRule="auto"/>
        <w:jc w:val="both"/>
        <w:rPr>
          <w:rFonts w:ascii="Palatino Linotype" w:hAnsi="Palatino Linotype"/>
          <w:sz w:val="12"/>
        </w:rPr>
      </w:pPr>
    </w:p>
    <w:p w14:paraId="02C1324E" w14:textId="2DE58C4D" w:rsidR="00662C69" w:rsidRDefault="00662C69" w:rsidP="00341003">
      <w:pPr>
        <w:tabs>
          <w:tab w:val="left" w:pos="0"/>
        </w:tabs>
        <w:spacing w:line="360" w:lineRule="auto"/>
        <w:jc w:val="both"/>
        <w:rPr>
          <w:rFonts w:ascii="Palatino Linotype" w:hAnsi="Palatino Linotype"/>
        </w:rPr>
      </w:pPr>
      <w:r w:rsidRPr="00341003">
        <w:rPr>
          <w:rFonts w:ascii="Palatino Linotype" w:hAnsi="Palatino Linotype"/>
          <w:b/>
        </w:rPr>
        <w:t>VISTO</w:t>
      </w:r>
      <w:r w:rsidRPr="00341003">
        <w:rPr>
          <w:rFonts w:ascii="Palatino Linotype" w:hAnsi="Palatino Linotype"/>
        </w:rPr>
        <w:t xml:space="preserve"> el expediente electrónico for</w:t>
      </w:r>
      <w:r w:rsidR="00D37494" w:rsidRPr="00341003">
        <w:rPr>
          <w:rFonts w:ascii="Palatino Linotype" w:hAnsi="Palatino Linotype"/>
        </w:rPr>
        <w:t>mado con motivo del</w:t>
      </w:r>
      <w:r w:rsidRPr="00341003">
        <w:rPr>
          <w:rFonts w:ascii="Palatino Linotype" w:hAnsi="Palatino Linotype"/>
        </w:rPr>
        <w:t xml:space="preserve"> recurso de revisión </w:t>
      </w:r>
      <w:r w:rsidR="00F0190C" w:rsidRPr="00341003">
        <w:rPr>
          <w:rFonts w:ascii="Palatino Linotype" w:hAnsi="Palatino Linotype"/>
          <w:b/>
          <w:bCs/>
        </w:rPr>
        <w:t>0</w:t>
      </w:r>
      <w:r w:rsidR="00A37B1E" w:rsidRPr="00341003">
        <w:rPr>
          <w:rFonts w:ascii="Palatino Linotype" w:hAnsi="Palatino Linotype"/>
          <w:b/>
          <w:bCs/>
        </w:rPr>
        <w:t>2528</w:t>
      </w:r>
      <w:r w:rsidR="00F0190C" w:rsidRPr="00341003">
        <w:rPr>
          <w:rFonts w:ascii="Palatino Linotype" w:hAnsi="Palatino Linotype"/>
          <w:b/>
          <w:bCs/>
        </w:rPr>
        <w:t>/INFOEM/IP/RR/201</w:t>
      </w:r>
      <w:r w:rsidR="002A1465" w:rsidRPr="00341003">
        <w:rPr>
          <w:rFonts w:ascii="Palatino Linotype" w:hAnsi="Palatino Linotype"/>
          <w:b/>
          <w:bCs/>
        </w:rPr>
        <w:t>9</w:t>
      </w:r>
      <w:r w:rsidR="003E4A5C" w:rsidRPr="00341003">
        <w:rPr>
          <w:rFonts w:ascii="Palatino Linotype" w:hAnsi="Palatino Linotype"/>
          <w:b/>
        </w:rPr>
        <w:t xml:space="preserve"> </w:t>
      </w:r>
      <w:r w:rsidRPr="00341003">
        <w:rPr>
          <w:rFonts w:ascii="Palatino Linotype" w:hAnsi="Palatino Linotype"/>
        </w:rPr>
        <w:t xml:space="preserve">promovido por </w:t>
      </w:r>
      <w:r w:rsidR="00B4639F" w:rsidRPr="00B4639F">
        <w:rPr>
          <w:rFonts w:ascii="Palatino Linotype" w:hAnsi="Palatino Linotype"/>
          <w:b/>
          <w:highlight w:val="black"/>
        </w:rPr>
        <w:t>----------------------------------------------</w:t>
      </w:r>
      <w:r w:rsidR="003E4A5C" w:rsidRPr="00341003">
        <w:rPr>
          <w:rFonts w:ascii="Palatino Linotype" w:hAnsi="Palatino Linotype"/>
          <w:b/>
          <w:bCs/>
        </w:rPr>
        <w:t xml:space="preserve"> </w:t>
      </w:r>
      <w:r w:rsidRPr="00341003">
        <w:rPr>
          <w:rFonts w:ascii="Palatino Linotype" w:hAnsi="Palatino Linotype" w:cs="Arial"/>
        </w:rPr>
        <w:t xml:space="preserve">en su </w:t>
      </w:r>
      <w:r w:rsidR="00D83C17" w:rsidRPr="00341003">
        <w:rPr>
          <w:rFonts w:ascii="Palatino Linotype" w:hAnsi="Palatino Linotype" w:cs="Arial"/>
        </w:rPr>
        <w:t>calidad</w:t>
      </w:r>
      <w:r w:rsidRPr="00341003">
        <w:rPr>
          <w:rFonts w:ascii="Palatino Linotype" w:hAnsi="Palatino Linotype" w:cs="Arial"/>
        </w:rPr>
        <w:t xml:space="preserve"> de </w:t>
      </w:r>
      <w:r w:rsidRPr="00341003">
        <w:rPr>
          <w:rFonts w:ascii="Palatino Linotype" w:hAnsi="Palatino Linotype" w:cs="Arial"/>
          <w:b/>
        </w:rPr>
        <w:t>RECURRENTE</w:t>
      </w:r>
      <w:r w:rsidRPr="00341003">
        <w:rPr>
          <w:rFonts w:ascii="Palatino Linotype" w:hAnsi="Palatino Linotype" w:cs="Arial"/>
        </w:rPr>
        <w:t xml:space="preserve">, en contra </w:t>
      </w:r>
      <w:r w:rsidR="000D5A1D" w:rsidRPr="00341003">
        <w:rPr>
          <w:rFonts w:ascii="Palatino Linotype" w:hAnsi="Palatino Linotype" w:cs="Arial"/>
        </w:rPr>
        <w:t xml:space="preserve">de </w:t>
      </w:r>
      <w:r w:rsidR="00843908" w:rsidRPr="00341003">
        <w:rPr>
          <w:rFonts w:ascii="Palatino Linotype" w:hAnsi="Palatino Linotype" w:cs="Arial"/>
        </w:rPr>
        <w:t xml:space="preserve">la </w:t>
      </w:r>
      <w:r w:rsidR="002A1465" w:rsidRPr="00341003">
        <w:rPr>
          <w:rFonts w:ascii="Palatino Linotype" w:hAnsi="Palatino Linotype" w:cs="Arial"/>
        </w:rPr>
        <w:t xml:space="preserve">falta de </w:t>
      </w:r>
      <w:r w:rsidR="00843908" w:rsidRPr="00341003">
        <w:rPr>
          <w:rFonts w:ascii="Palatino Linotype" w:hAnsi="Palatino Linotype" w:cs="Arial"/>
        </w:rPr>
        <w:t>respuesta del</w:t>
      </w:r>
      <w:r w:rsidR="00ED007B" w:rsidRPr="00341003">
        <w:rPr>
          <w:rFonts w:ascii="Palatino Linotype" w:hAnsi="Palatino Linotype" w:cs="Arial"/>
        </w:rPr>
        <w:t xml:space="preserve"> </w:t>
      </w:r>
      <w:r w:rsidR="00CC0C54" w:rsidRPr="00341003">
        <w:rPr>
          <w:rFonts w:ascii="Palatino Linotype" w:hAnsi="Palatino Linotype"/>
          <w:b/>
        </w:rPr>
        <w:t>Partido Morena</w:t>
      </w:r>
      <w:r w:rsidR="003E4A5C" w:rsidRPr="00341003">
        <w:rPr>
          <w:rFonts w:ascii="Palatino Linotype" w:hAnsi="Palatino Linotype"/>
          <w:b/>
          <w:bCs/>
        </w:rPr>
        <w:t xml:space="preserve"> </w:t>
      </w:r>
      <w:r w:rsidRPr="00341003">
        <w:rPr>
          <w:rFonts w:ascii="Palatino Linotype" w:hAnsi="Palatino Linotype"/>
        </w:rPr>
        <w:t>en lo sucesivo el</w:t>
      </w:r>
      <w:r w:rsidRPr="00341003">
        <w:rPr>
          <w:rFonts w:ascii="Palatino Linotype" w:hAnsi="Palatino Linotype"/>
          <w:b/>
        </w:rPr>
        <w:t xml:space="preserve"> SUJETO OBLIGADO, </w:t>
      </w:r>
      <w:r w:rsidRPr="00341003">
        <w:rPr>
          <w:rFonts w:ascii="Palatino Linotype" w:hAnsi="Palatino Linotype"/>
        </w:rPr>
        <w:t>se procede a dictar la presente resolución, con base en los siguientes:</w:t>
      </w:r>
    </w:p>
    <w:p w14:paraId="335DB5F6" w14:textId="77777777" w:rsidR="00341003" w:rsidRPr="00341003" w:rsidRDefault="00341003" w:rsidP="00341003">
      <w:pPr>
        <w:tabs>
          <w:tab w:val="left" w:pos="0"/>
        </w:tabs>
        <w:spacing w:line="360" w:lineRule="auto"/>
        <w:jc w:val="both"/>
        <w:rPr>
          <w:rFonts w:ascii="Palatino Linotype" w:hAnsi="Palatino Linotype"/>
          <w:sz w:val="2"/>
        </w:rPr>
      </w:pPr>
    </w:p>
    <w:p w14:paraId="0BBCF3EE" w14:textId="77777777" w:rsidR="008A5A73" w:rsidRPr="00341003" w:rsidRDefault="008A5A73" w:rsidP="00341003">
      <w:pPr>
        <w:tabs>
          <w:tab w:val="left" w:pos="0"/>
        </w:tabs>
        <w:spacing w:line="360" w:lineRule="auto"/>
        <w:jc w:val="both"/>
        <w:rPr>
          <w:rFonts w:ascii="Palatino Linotype" w:hAnsi="Palatino Linotype"/>
          <w:sz w:val="4"/>
        </w:rPr>
      </w:pPr>
    </w:p>
    <w:p w14:paraId="769E1410" w14:textId="5740327F" w:rsidR="00587366" w:rsidRDefault="00662C69" w:rsidP="00341003">
      <w:pPr>
        <w:pStyle w:val="Ttulo1"/>
        <w:tabs>
          <w:tab w:val="left" w:pos="0"/>
        </w:tabs>
        <w:spacing w:before="0" w:line="360" w:lineRule="auto"/>
        <w:jc w:val="center"/>
        <w:rPr>
          <w:b/>
          <w:szCs w:val="24"/>
        </w:rPr>
      </w:pPr>
      <w:bookmarkStart w:id="0" w:name="_Toc461555884"/>
      <w:bookmarkStart w:id="1" w:name="_Toc466371847"/>
      <w:bookmarkStart w:id="2" w:name="_Toc9511334"/>
      <w:r w:rsidRPr="00341003">
        <w:rPr>
          <w:b/>
          <w:szCs w:val="24"/>
        </w:rPr>
        <w:t>ANTECEDENTES</w:t>
      </w:r>
      <w:bookmarkEnd w:id="0"/>
      <w:bookmarkEnd w:id="1"/>
      <w:bookmarkEnd w:id="2"/>
    </w:p>
    <w:p w14:paraId="2D1A76A2" w14:textId="77777777" w:rsidR="00341003" w:rsidRPr="00341003" w:rsidRDefault="00341003" w:rsidP="00341003">
      <w:pPr>
        <w:rPr>
          <w:sz w:val="12"/>
          <w:lang w:eastAsia="en-US"/>
        </w:rPr>
      </w:pPr>
    </w:p>
    <w:p w14:paraId="468D1AB4" w14:textId="77777777" w:rsidR="008A5A73" w:rsidRPr="00341003" w:rsidRDefault="008A5A73" w:rsidP="00341003">
      <w:pPr>
        <w:tabs>
          <w:tab w:val="left" w:pos="0"/>
        </w:tabs>
        <w:spacing w:line="360" w:lineRule="auto"/>
        <w:rPr>
          <w:rFonts w:ascii="Palatino Linotype" w:hAnsi="Palatino Linotype"/>
          <w:sz w:val="6"/>
          <w:lang w:eastAsia="en-US"/>
        </w:rPr>
      </w:pPr>
    </w:p>
    <w:p w14:paraId="5132D042" w14:textId="1014CCA1" w:rsidR="00BD59CD" w:rsidRPr="00341003" w:rsidRDefault="00D9392E"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eastAsia="Calibri" w:hAnsi="Palatino Linotype" w:cs="Arial"/>
        </w:rPr>
        <w:t xml:space="preserve">El </w:t>
      </w:r>
      <w:r w:rsidRPr="00341003">
        <w:rPr>
          <w:rFonts w:ascii="Palatino Linotype" w:hAnsi="Palatino Linotype"/>
        </w:rPr>
        <w:t>día</w:t>
      </w:r>
      <w:r w:rsidRPr="00341003">
        <w:rPr>
          <w:rFonts w:ascii="Palatino Linotype" w:eastAsia="Calibri" w:hAnsi="Palatino Linotype" w:cs="Arial"/>
        </w:rPr>
        <w:t xml:space="preserve"> </w:t>
      </w:r>
      <w:r w:rsidR="00A37B1E" w:rsidRPr="00341003">
        <w:rPr>
          <w:rFonts w:ascii="Palatino Linotype" w:eastAsia="Calibri" w:hAnsi="Palatino Linotype" w:cs="Arial"/>
        </w:rPr>
        <w:t>diecinueve</w:t>
      </w:r>
      <w:r w:rsidR="0014400B" w:rsidRPr="00341003">
        <w:rPr>
          <w:rFonts w:ascii="Palatino Linotype" w:eastAsia="Calibri" w:hAnsi="Palatino Linotype" w:cs="Arial"/>
        </w:rPr>
        <w:t xml:space="preserve"> </w:t>
      </w:r>
      <w:r w:rsidR="003E4A5C" w:rsidRPr="00341003">
        <w:rPr>
          <w:rFonts w:ascii="Palatino Linotype" w:hAnsi="Palatino Linotype"/>
        </w:rPr>
        <w:t>(</w:t>
      </w:r>
      <w:r w:rsidR="00A37B1E" w:rsidRPr="00341003">
        <w:rPr>
          <w:rFonts w:ascii="Palatino Linotype" w:hAnsi="Palatino Linotype"/>
        </w:rPr>
        <w:t>19</w:t>
      </w:r>
      <w:r w:rsidR="000035F6" w:rsidRPr="00341003">
        <w:rPr>
          <w:rFonts w:ascii="Palatino Linotype" w:hAnsi="Palatino Linotype"/>
        </w:rPr>
        <w:t>)</w:t>
      </w:r>
      <w:r w:rsidR="00A53AF8" w:rsidRPr="00341003">
        <w:rPr>
          <w:rFonts w:ascii="Palatino Linotype" w:hAnsi="Palatino Linotype"/>
        </w:rPr>
        <w:t xml:space="preserve"> de </w:t>
      </w:r>
      <w:r w:rsidR="00A37B1E" w:rsidRPr="00341003">
        <w:rPr>
          <w:rFonts w:ascii="Palatino Linotype" w:hAnsi="Palatino Linotype"/>
        </w:rPr>
        <w:t>marzo</w:t>
      </w:r>
      <w:r w:rsidR="00F8587B" w:rsidRPr="00341003">
        <w:rPr>
          <w:rFonts w:ascii="Palatino Linotype" w:eastAsia="Calibri" w:hAnsi="Palatino Linotype" w:cs="Arial"/>
        </w:rPr>
        <w:t xml:space="preserve"> de dos mil dieci</w:t>
      </w:r>
      <w:r w:rsidR="00103D24" w:rsidRPr="00341003">
        <w:rPr>
          <w:rFonts w:ascii="Palatino Linotype" w:eastAsia="Calibri" w:hAnsi="Palatino Linotype" w:cs="Arial"/>
        </w:rPr>
        <w:t>nueve</w:t>
      </w:r>
      <w:r w:rsidRPr="00341003">
        <w:rPr>
          <w:rFonts w:ascii="Palatino Linotype" w:hAnsi="Palatino Linotype"/>
          <w:b/>
        </w:rPr>
        <w:t xml:space="preserve">, </w:t>
      </w:r>
      <w:r w:rsidRPr="00341003">
        <w:rPr>
          <w:rFonts w:ascii="Palatino Linotype" w:eastAsia="Calibri" w:hAnsi="Palatino Linotype" w:cs="Arial"/>
        </w:rPr>
        <w:t xml:space="preserve">se presentó ante el </w:t>
      </w:r>
      <w:r w:rsidRPr="00341003">
        <w:rPr>
          <w:rFonts w:ascii="Palatino Linotype" w:eastAsia="Calibri" w:hAnsi="Palatino Linotype" w:cs="Arial"/>
          <w:b/>
        </w:rPr>
        <w:t>SUJETO OBLIGADO</w:t>
      </w:r>
      <w:r w:rsidRPr="00341003">
        <w:rPr>
          <w:rFonts w:ascii="Palatino Linotype" w:eastAsia="Calibri" w:hAnsi="Palatino Linotype" w:cs="Arial"/>
        </w:rPr>
        <w:t xml:space="preserve"> </w:t>
      </w:r>
      <w:r w:rsidR="00A53AF8" w:rsidRPr="00341003">
        <w:rPr>
          <w:rFonts w:ascii="Palatino Linotype" w:eastAsia="Calibri" w:hAnsi="Palatino Linotype" w:cs="Arial"/>
        </w:rPr>
        <w:t xml:space="preserve">vía </w:t>
      </w:r>
      <w:r w:rsidR="00A53AF8" w:rsidRPr="00341003">
        <w:rPr>
          <w:rFonts w:ascii="Palatino Linotype" w:eastAsia="Calibri" w:hAnsi="Palatino Linotype" w:cs="Arial"/>
          <w:lang w:val="es-ES"/>
        </w:rPr>
        <w:t>Sistema de Acceso a la Información Mexiquense (</w:t>
      </w:r>
      <w:r w:rsidR="00A53AF8" w:rsidRPr="00341003">
        <w:rPr>
          <w:rFonts w:ascii="Palatino Linotype" w:eastAsia="Calibri" w:hAnsi="Palatino Linotype" w:cs="Arial"/>
          <w:b/>
          <w:lang w:val="es-ES"/>
        </w:rPr>
        <w:t>SAIMEX)</w:t>
      </w:r>
      <w:r w:rsidRPr="00341003">
        <w:rPr>
          <w:rFonts w:ascii="Palatino Linotype" w:eastAsia="Calibri" w:hAnsi="Palatino Linotype" w:cs="Arial"/>
        </w:rPr>
        <w:t>, la solicitud de información pública registrada con el número</w:t>
      </w:r>
      <w:r w:rsidR="003E4A5C" w:rsidRPr="00341003">
        <w:rPr>
          <w:rFonts w:ascii="Palatino Linotype" w:eastAsia="Calibri" w:hAnsi="Palatino Linotype" w:cs="Arial"/>
        </w:rPr>
        <w:t xml:space="preserve"> </w:t>
      </w:r>
      <w:r w:rsidR="00A7308C" w:rsidRPr="00341003">
        <w:rPr>
          <w:rFonts w:ascii="Palatino Linotype" w:eastAsia="Times New Roman" w:hAnsi="Palatino Linotype" w:cs="Arial"/>
          <w:b/>
          <w:lang w:val="es-ES"/>
        </w:rPr>
        <w:t>00</w:t>
      </w:r>
      <w:r w:rsidR="0014400B" w:rsidRPr="00341003">
        <w:rPr>
          <w:rFonts w:ascii="Palatino Linotype" w:eastAsia="Times New Roman" w:hAnsi="Palatino Linotype" w:cs="Arial"/>
          <w:b/>
          <w:lang w:val="es-ES"/>
        </w:rPr>
        <w:t>0</w:t>
      </w:r>
      <w:r w:rsidR="00A37B1E" w:rsidRPr="00341003">
        <w:rPr>
          <w:rFonts w:ascii="Palatino Linotype" w:eastAsia="Times New Roman" w:hAnsi="Palatino Linotype" w:cs="Arial"/>
          <w:b/>
          <w:lang w:val="es-ES"/>
        </w:rPr>
        <w:t>24</w:t>
      </w:r>
      <w:r w:rsidR="00A7308C" w:rsidRPr="00341003">
        <w:rPr>
          <w:rFonts w:ascii="Palatino Linotype" w:eastAsia="Times New Roman" w:hAnsi="Palatino Linotype" w:cs="Arial"/>
          <w:b/>
          <w:lang w:val="es-ES"/>
        </w:rPr>
        <w:t>/</w:t>
      </w:r>
      <w:r w:rsidR="00CC0C54" w:rsidRPr="00341003">
        <w:rPr>
          <w:rFonts w:ascii="Palatino Linotype" w:eastAsia="Times New Roman" w:hAnsi="Palatino Linotype" w:cs="Arial"/>
          <w:b/>
          <w:lang w:val="es-ES"/>
        </w:rPr>
        <w:t>PMOR</w:t>
      </w:r>
      <w:r w:rsidR="00A7308C" w:rsidRPr="00341003">
        <w:rPr>
          <w:rFonts w:ascii="Palatino Linotype" w:eastAsia="Times New Roman" w:hAnsi="Palatino Linotype" w:cs="Arial"/>
          <w:b/>
          <w:lang w:val="es-ES"/>
        </w:rPr>
        <w:t>/IP/201</w:t>
      </w:r>
      <w:r w:rsidR="00103D24" w:rsidRPr="00341003">
        <w:rPr>
          <w:rFonts w:ascii="Palatino Linotype" w:eastAsia="Times New Roman" w:hAnsi="Palatino Linotype" w:cs="Arial"/>
          <w:b/>
          <w:lang w:val="es-ES"/>
        </w:rPr>
        <w:t>9</w:t>
      </w:r>
      <w:r w:rsidR="00E17F3A" w:rsidRPr="00341003">
        <w:rPr>
          <w:rFonts w:ascii="Palatino Linotype" w:eastAsia="Calibri" w:hAnsi="Palatino Linotype" w:cs="Arial"/>
        </w:rPr>
        <w:t>,</w:t>
      </w:r>
      <w:r w:rsidR="00FB54FB" w:rsidRPr="00341003">
        <w:rPr>
          <w:rFonts w:ascii="Palatino Linotype" w:eastAsia="Calibri" w:hAnsi="Palatino Linotype" w:cs="Arial"/>
          <w:b/>
        </w:rPr>
        <w:t xml:space="preserve"> </w:t>
      </w:r>
      <w:r w:rsidRPr="00341003">
        <w:rPr>
          <w:rFonts w:ascii="Palatino Linotype" w:eastAsia="Calibri" w:hAnsi="Palatino Linotype" w:cs="Arial"/>
        </w:rPr>
        <w:t>media</w:t>
      </w:r>
      <w:r w:rsidR="00FB54FB" w:rsidRPr="00341003">
        <w:rPr>
          <w:rFonts w:ascii="Palatino Linotype" w:eastAsia="Calibri" w:hAnsi="Palatino Linotype" w:cs="Arial"/>
        </w:rPr>
        <w:t xml:space="preserve">nte la cual solicito: </w:t>
      </w:r>
      <w:r w:rsidR="003607B9" w:rsidRPr="00341003">
        <w:rPr>
          <w:rFonts w:ascii="Palatino Linotype" w:eastAsia="Calibri" w:hAnsi="Palatino Linotype" w:cs="Arial"/>
        </w:rPr>
        <w:t xml:space="preserve"> </w:t>
      </w:r>
    </w:p>
    <w:p w14:paraId="462BC585" w14:textId="77777777" w:rsidR="00BD59CD" w:rsidRPr="00341003" w:rsidRDefault="00BD59CD" w:rsidP="00341003">
      <w:pPr>
        <w:pStyle w:val="Prrafodelista"/>
        <w:tabs>
          <w:tab w:val="left" w:pos="0"/>
        </w:tabs>
        <w:spacing w:line="360" w:lineRule="auto"/>
        <w:ind w:left="0" w:right="49"/>
        <w:jc w:val="both"/>
        <w:rPr>
          <w:rFonts w:ascii="Palatino Linotype" w:hAnsi="Palatino Linotype"/>
          <w:sz w:val="2"/>
        </w:rPr>
      </w:pPr>
    </w:p>
    <w:p w14:paraId="45EF49F8" w14:textId="0AA98DBD" w:rsidR="001C34D6" w:rsidRPr="00341003" w:rsidRDefault="001C34D6" w:rsidP="00341003">
      <w:pPr>
        <w:pStyle w:val="Prrafodelista"/>
        <w:tabs>
          <w:tab w:val="left" w:pos="1843"/>
        </w:tabs>
        <w:spacing w:line="360" w:lineRule="auto"/>
        <w:ind w:left="567" w:right="616"/>
        <w:jc w:val="both"/>
        <w:rPr>
          <w:rFonts w:ascii="Palatino Linotype" w:hAnsi="Palatino Linotype"/>
          <w:sz w:val="22"/>
        </w:rPr>
      </w:pPr>
      <w:r w:rsidRPr="00341003">
        <w:rPr>
          <w:rFonts w:ascii="Palatino Linotype" w:hAnsi="Palatino Linotype"/>
          <w:i/>
          <w:sz w:val="22"/>
        </w:rPr>
        <w:t>“</w:t>
      </w:r>
      <w:r w:rsidR="00A37B1E" w:rsidRPr="00341003">
        <w:rPr>
          <w:rFonts w:ascii="Palatino Linotype" w:hAnsi="Palatino Linotype"/>
          <w:i/>
          <w:sz w:val="22"/>
        </w:rPr>
        <w:t xml:space="preserve">Teniendo como marco la Ley de Transparencia y Acceso a la Información Pública del Estado de México y Municipios, solicito lo siguiente. Montos en pesos mexicanos que Morena ha destinado al financiamiento de Actividades Específicas y Actividades Ordinarias, así como el monto total de recursos públicos destinados a los comités municipales o denominación equivalente en los municipios de </w:t>
      </w:r>
      <w:proofErr w:type="spellStart"/>
      <w:r w:rsidR="00A37B1E" w:rsidRPr="00341003">
        <w:rPr>
          <w:rFonts w:ascii="Palatino Linotype" w:hAnsi="Palatino Linotype"/>
          <w:i/>
          <w:sz w:val="22"/>
        </w:rPr>
        <w:t>Acambay</w:t>
      </w:r>
      <w:proofErr w:type="spellEnd"/>
      <w:r w:rsidR="00A37B1E" w:rsidRPr="00341003">
        <w:rPr>
          <w:rFonts w:ascii="Palatino Linotype" w:hAnsi="Palatino Linotype"/>
          <w:i/>
          <w:sz w:val="22"/>
        </w:rPr>
        <w:t xml:space="preserve">, Atlacomulco, EL Oro, San Felipe del Progreso, </w:t>
      </w:r>
      <w:proofErr w:type="spellStart"/>
      <w:r w:rsidR="00A37B1E" w:rsidRPr="00341003">
        <w:rPr>
          <w:rFonts w:ascii="Palatino Linotype" w:hAnsi="Palatino Linotype"/>
          <w:i/>
          <w:sz w:val="22"/>
        </w:rPr>
        <w:t>Temascalcingo</w:t>
      </w:r>
      <w:proofErr w:type="spellEnd"/>
      <w:r w:rsidR="00A37B1E" w:rsidRPr="00341003">
        <w:rPr>
          <w:rFonts w:ascii="Palatino Linotype" w:hAnsi="Palatino Linotype"/>
          <w:i/>
          <w:sz w:val="22"/>
        </w:rPr>
        <w:t xml:space="preserve">, </w:t>
      </w:r>
      <w:proofErr w:type="spellStart"/>
      <w:r w:rsidR="00A37B1E" w:rsidRPr="00341003">
        <w:rPr>
          <w:rFonts w:ascii="Palatino Linotype" w:hAnsi="Palatino Linotype"/>
          <w:i/>
          <w:sz w:val="22"/>
        </w:rPr>
        <w:t>Jilotepec</w:t>
      </w:r>
      <w:proofErr w:type="spellEnd"/>
      <w:r w:rsidR="00A37B1E" w:rsidRPr="00341003">
        <w:rPr>
          <w:rFonts w:ascii="Palatino Linotype" w:hAnsi="Palatino Linotype"/>
          <w:i/>
          <w:sz w:val="22"/>
        </w:rPr>
        <w:t xml:space="preserve"> y </w:t>
      </w:r>
      <w:proofErr w:type="spellStart"/>
      <w:r w:rsidR="00A37B1E" w:rsidRPr="00341003">
        <w:rPr>
          <w:rFonts w:ascii="Palatino Linotype" w:hAnsi="Palatino Linotype"/>
          <w:i/>
          <w:sz w:val="22"/>
        </w:rPr>
        <w:t>Jocotitlán</w:t>
      </w:r>
      <w:proofErr w:type="spellEnd"/>
      <w:r w:rsidR="00A37B1E" w:rsidRPr="00341003">
        <w:rPr>
          <w:rFonts w:ascii="Palatino Linotype" w:hAnsi="Palatino Linotype"/>
          <w:i/>
          <w:sz w:val="22"/>
        </w:rPr>
        <w:t>, todos ubicados en el estado de México, desglosando municipio por municipio y actividad por actividad según el cronograma de actividades que tengan estipulado del 1 de enero del 2019 al 31 de diciembre de 2019. De igual forma, se solicita incluir la dirección de los comités municipales o denominación equivalente, en los municipios citados, así como número telefónico, correo electrónico y todas las demás formas de contacto con las que cuenten.</w:t>
      </w:r>
      <w:r w:rsidR="003E4A5C" w:rsidRPr="00341003">
        <w:rPr>
          <w:rFonts w:ascii="Palatino Linotype" w:hAnsi="Palatino Linotype"/>
          <w:i/>
          <w:sz w:val="22"/>
        </w:rPr>
        <w:t>”</w:t>
      </w:r>
      <w:r w:rsidRPr="00341003">
        <w:rPr>
          <w:rFonts w:ascii="Palatino Linotype" w:hAnsi="Palatino Linotype"/>
          <w:sz w:val="22"/>
        </w:rPr>
        <w:t xml:space="preserve"> (Sic)</w:t>
      </w:r>
    </w:p>
    <w:p w14:paraId="282765A5" w14:textId="77777777" w:rsidR="00A7308C" w:rsidRPr="00341003" w:rsidRDefault="00A7308C" w:rsidP="00341003">
      <w:pPr>
        <w:pStyle w:val="Prrafodelista"/>
        <w:tabs>
          <w:tab w:val="left" w:pos="0"/>
        </w:tabs>
        <w:spacing w:line="360" w:lineRule="auto"/>
        <w:ind w:left="567" w:right="616"/>
        <w:jc w:val="both"/>
        <w:rPr>
          <w:rFonts w:ascii="Palatino Linotype" w:hAnsi="Palatino Linotype"/>
        </w:rPr>
      </w:pPr>
    </w:p>
    <w:p w14:paraId="7727518C" w14:textId="678D0797" w:rsidR="00A45546" w:rsidRPr="00341003" w:rsidRDefault="00A8769A" w:rsidP="00341003">
      <w:pPr>
        <w:pStyle w:val="Prrafodelista"/>
        <w:tabs>
          <w:tab w:val="left" w:pos="0"/>
        </w:tabs>
        <w:spacing w:line="360" w:lineRule="auto"/>
        <w:ind w:left="567"/>
        <w:jc w:val="both"/>
        <w:rPr>
          <w:rFonts w:ascii="Palatino Linotype" w:hAnsi="Palatino Linotype"/>
          <w:b/>
        </w:rPr>
      </w:pPr>
      <w:r w:rsidRPr="00341003">
        <w:rPr>
          <w:rFonts w:ascii="Palatino Linotype" w:eastAsia="Times New Roman" w:hAnsi="Palatino Linotype" w:cs="Arial"/>
        </w:rPr>
        <w:t xml:space="preserve">Señaló </w:t>
      </w:r>
      <w:r w:rsidR="00750A80" w:rsidRPr="00341003">
        <w:rPr>
          <w:rFonts w:ascii="Palatino Linotype" w:eastAsia="Times New Roman" w:hAnsi="Palatino Linotype" w:cs="Arial"/>
        </w:rPr>
        <w:t>como modalidad de entrega de información</w:t>
      </w:r>
      <w:r w:rsidR="00750A80" w:rsidRPr="00341003">
        <w:rPr>
          <w:rFonts w:ascii="Palatino Linotype" w:eastAsia="Times New Roman" w:hAnsi="Palatino Linotype" w:cs="Arial"/>
          <w:b/>
        </w:rPr>
        <w:t>:</w:t>
      </w:r>
      <w:r w:rsidR="00750A80" w:rsidRPr="00341003">
        <w:rPr>
          <w:rFonts w:ascii="Palatino Linotype" w:eastAsia="Times New Roman" w:hAnsi="Palatino Linotype" w:cs="Arial"/>
        </w:rPr>
        <w:t xml:space="preserve"> </w:t>
      </w:r>
      <w:r w:rsidR="007B30F3" w:rsidRPr="00341003">
        <w:rPr>
          <w:rFonts w:ascii="Palatino Linotype" w:hAnsi="Palatino Linotype"/>
        </w:rPr>
        <w:t>A través de</w:t>
      </w:r>
      <w:r w:rsidR="00E83035" w:rsidRPr="00341003">
        <w:rPr>
          <w:rFonts w:ascii="Palatino Linotype" w:hAnsi="Palatino Linotype"/>
        </w:rPr>
        <w:t>l</w:t>
      </w:r>
      <w:r w:rsidR="00A53AF8" w:rsidRPr="00341003">
        <w:rPr>
          <w:rFonts w:ascii="Palatino Linotype" w:hAnsi="Palatino Linotype"/>
          <w:b/>
        </w:rPr>
        <w:t xml:space="preserve"> </w:t>
      </w:r>
      <w:r w:rsidR="00A7308C" w:rsidRPr="00341003">
        <w:rPr>
          <w:rFonts w:ascii="Palatino Linotype" w:eastAsia="Times New Roman" w:hAnsi="Palatino Linotype" w:cs="Arial"/>
          <w:b/>
          <w:lang w:val="es-ES"/>
        </w:rPr>
        <w:t>SAIMEX</w:t>
      </w:r>
      <w:r w:rsidR="003E4A5C" w:rsidRPr="00341003">
        <w:rPr>
          <w:rFonts w:ascii="Palatino Linotype" w:hAnsi="Palatino Linotype"/>
          <w:b/>
        </w:rPr>
        <w:t>.</w:t>
      </w:r>
    </w:p>
    <w:p w14:paraId="0297079E" w14:textId="77777777" w:rsidR="00BD59CD" w:rsidRPr="00341003" w:rsidRDefault="00BD59CD" w:rsidP="00341003">
      <w:pPr>
        <w:pStyle w:val="Prrafodelista"/>
        <w:tabs>
          <w:tab w:val="left" w:pos="0"/>
        </w:tabs>
        <w:spacing w:line="360" w:lineRule="auto"/>
        <w:ind w:left="567"/>
        <w:jc w:val="both"/>
        <w:rPr>
          <w:rFonts w:ascii="Palatino Linotype" w:hAnsi="Palatino Linotype"/>
        </w:rPr>
      </w:pPr>
    </w:p>
    <w:p w14:paraId="24E4A2C3" w14:textId="77777777" w:rsidR="00DB0A6F" w:rsidRPr="00341003" w:rsidRDefault="00DB0A6F"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hAnsi="Palatino Linotype"/>
        </w:rPr>
        <w:t xml:space="preserve">El </w:t>
      </w:r>
      <w:r w:rsidRPr="00341003">
        <w:rPr>
          <w:rFonts w:ascii="Palatino Linotype" w:hAnsi="Palatino Linotype"/>
          <w:b/>
        </w:rPr>
        <w:t xml:space="preserve">SUJETO OBLIGADO </w:t>
      </w:r>
      <w:r w:rsidRPr="00341003">
        <w:rPr>
          <w:rFonts w:ascii="Palatino Linotype" w:hAnsi="Palatino Linotype"/>
        </w:rPr>
        <w:t>no respondió a la solicitud de información.</w:t>
      </w:r>
    </w:p>
    <w:p w14:paraId="7DDD3CE7" w14:textId="77777777" w:rsidR="00D870F1" w:rsidRPr="00341003" w:rsidRDefault="00D870F1" w:rsidP="00341003">
      <w:pPr>
        <w:pStyle w:val="Prrafodelista"/>
        <w:tabs>
          <w:tab w:val="left" w:pos="0"/>
        </w:tabs>
        <w:spacing w:line="360" w:lineRule="auto"/>
        <w:ind w:left="284" w:right="34"/>
        <w:rPr>
          <w:rFonts w:ascii="Palatino Linotype" w:eastAsia="Times New Roman" w:hAnsi="Palatino Linotype" w:cs="Arial"/>
        </w:rPr>
      </w:pPr>
    </w:p>
    <w:p w14:paraId="1BDB340C" w14:textId="21006AE9" w:rsidR="00D870F1" w:rsidRPr="00341003" w:rsidRDefault="00585F00"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eastAsia="Times New Roman" w:hAnsi="Palatino Linotype" w:cs="Arial"/>
        </w:rPr>
        <w:t>E</w:t>
      </w:r>
      <w:r w:rsidR="00A37B1E" w:rsidRPr="00341003">
        <w:rPr>
          <w:rFonts w:ascii="Palatino Linotype" w:eastAsia="Times New Roman" w:hAnsi="Palatino Linotype" w:cs="Arial"/>
        </w:rPr>
        <w:t>l día once</w:t>
      </w:r>
      <w:r w:rsidR="003E4A5C" w:rsidRPr="00341003">
        <w:rPr>
          <w:rFonts w:ascii="Palatino Linotype" w:eastAsia="Times New Roman" w:hAnsi="Palatino Linotype" w:cs="Arial"/>
        </w:rPr>
        <w:t xml:space="preserve"> (</w:t>
      </w:r>
      <w:r w:rsidR="00A37B1E" w:rsidRPr="00341003">
        <w:rPr>
          <w:rFonts w:ascii="Palatino Linotype" w:eastAsia="Times New Roman" w:hAnsi="Palatino Linotype" w:cs="Arial"/>
        </w:rPr>
        <w:t>11</w:t>
      </w:r>
      <w:r w:rsidR="00BF2C41" w:rsidRPr="00341003">
        <w:rPr>
          <w:rFonts w:ascii="Palatino Linotype" w:eastAsia="Times New Roman" w:hAnsi="Palatino Linotype" w:cs="Arial"/>
        </w:rPr>
        <w:t xml:space="preserve">) de </w:t>
      </w:r>
      <w:r w:rsidR="00A37B1E" w:rsidRPr="00341003">
        <w:rPr>
          <w:rFonts w:ascii="Palatino Linotype" w:eastAsia="Times New Roman" w:hAnsi="Palatino Linotype" w:cs="Arial"/>
        </w:rPr>
        <w:t>abril</w:t>
      </w:r>
      <w:r w:rsidR="00AA09C3" w:rsidRPr="00341003">
        <w:rPr>
          <w:rFonts w:ascii="Palatino Linotype" w:eastAsia="Times New Roman" w:hAnsi="Palatino Linotype" w:cs="Arial"/>
        </w:rPr>
        <w:t xml:space="preserve"> de dos mil diecinueve</w:t>
      </w:r>
      <w:r w:rsidR="00FA3B14" w:rsidRPr="00341003">
        <w:rPr>
          <w:rFonts w:ascii="Palatino Linotype" w:eastAsia="Times New Roman" w:hAnsi="Palatino Linotype" w:cs="Arial"/>
        </w:rPr>
        <w:t xml:space="preserve"> el</w:t>
      </w:r>
      <w:r w:rsidR="007E4E68" w:rsidRPr="00341003">
        <w:rPr>
          <w:rFonts w:ascii="Palatino Linotype" w:hAnsi="Palatino Linotype" w:cs="Arial"/>
        </w:rPr>
        <w:t xml:space="preserve"> particular</w:t>
      </w:r>
      <w:r w:rsidRPr="00341003">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341003" w:rsidRDefault="00FA3B14" w:rsidP="00341003">
      <w:pPr>
        <w:pStyle w:val="Prrafodelista"/>
        <w:tabs>
          <w:tab w:val="left" w:pos="0"/>
        </w:tabs>
        <w:spacing w:line="360" w:lineRule="auto"/>
        <w:ind w:left="284" w:right="34"/>
        <w:jc w:val="both"/>
        <w:rPr>
          <w:rFonts w:ascii="Palatino Linotype" w:hAnsi="Palatino Linotype"/>
        </w:rPr>
      </w:pPr>
    </w:p>
    <w:p w14:paraId="5654E5A5" w14:textId="28813A20" w:rsidR="00C208DE" w:rsidRPr="00341003" w:rsidRDefault="00585F00" w:rsidP="00341003">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41003">
        <w:rPr>
          <w:rFonts w:ascii="Palatino Linotype" w:eastAsia="Calibri" w:hAnsi="Palatino Linotype" w:cs="Arial"/>
          <w:b/>
        </w:rPr>
        <w:t>Acto impugnado</w:t>
      </w:r>
      <w:bookmarkEnd w:id="3"/>
      <w:r w:rsidR="00F95F7E" w:rsidRPr="00341003">
        <w:rPr>
          <w:rFonts w:ascii="Palatino Linotype" w:eastAsia="Calibri" w:hAnsi="Palatino Linotype" w:cs="Arial"/>
        </w:rPr>
        <w:t>:</w:t>
      </w:r>
      <w:bookmarkEnd w:id="17"/>
      <w:r w:rsidR="00F95F7E" w:rsidRPr="0034100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41003">
        <w:rPr>
          <w:rFonts w:ascii="Palatino Linotype" w:eastAsia="Calibri" w:hAnsi="Palatino Linotype" w:cs="Arial"/>
          <w:i/>
        </w:rPr>
        <w:t>“</w:t>
      </w:r>
      <w:r w:rsidR="00301AC7" w:rsidRPr="00341003">
        <w:rPr>
          <w:rFonts w:ascii="Palatino Linotype" w:eastAsia="Calibri" w:hAnsi="Palatino Linotype" w:cs="Arial"/>
          <w:i/>
        </w:rPr>
        <w:t>no presentó la información solicitada ni solicitó una prórroga para ello</w:t>
      </w:r>
      <w:r w:rsidR="00DB0A6F" w:rsidRPr="00341003">
        <w:rPr>
          <w:rFonts w:ascii="Palatino Linotype" w:eastAsia="Calibri" w:hAnsi="Palatino Linotype" w:cs="Arial"/>
          <w:i/>
        </w:rPr>
        <w:t>.</w:t>
      </w:r>
      <w:r w:rsidR="003E4A5C" w:rsidRPr="00341003">
        <w:rPr>
          <w:rFonts w:ascii="Palatino Linotype" w:eastAsia="Calibri" w:hAnsi="Palatino Linotype" w:cs="Arial"/>
          <w:i/>
        </w:rPr>
        <w:t>”(Sic)</w:t>
      </w:r>
    </w:p>
    <w:p w14:paraId="63B20642" w14:textId="4EF5E8C8" w:rsidR="006C0831" w:rsidRPr="00341003" w:rsidRDefault="006C0831" w:rsidP="00341003">
      <w:pPr>
        <w:pStyle w:val="Prrafodelista"/>
        <w:tabs>
          <w:tab w:val="left" w:pos="0"/>
        </w:tabs>
        <w:spacing w:line="360" w:lineRule="auto"/>
        <w:ind w:left="927" w:right="616"/>
        <w:jc w:val="both"/>
        <w:rPr>
          <w:rFonts w:ascii="Palatino Linotype" w:eastAsia="Calibri" w:hAnsi="Palatino Linotype" w:cs="Arial"/>
        </w:rPr>
      </w:pPr>
    </w:p>
    <w:p w14:paraId="26320EC9" w14:textId="035298FD" w:rsidR="003E4A5C" w:rsidRPr="00341003" w:rsidRDefault="00585F00" w:rsidP="00341003">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341003">
        <w:rPr>
          <w:rFonts w:ascii="Palatino Linotype" w:eastAsia="Calibri" w:hAnsi="Palatino Linotype" w:cs="Arial"/>
          <w:b/>
        </w:rPr>
        <w:t>Razones o Motivos de inconformidad</w:t>
      </w:r>
      <w:r w:rsidRPr="00341003">
        <w:rPr>
          <w:rFonts w:ascii="Palatino Linotype" w:eastAsia="Calibri" w:hAnsi="Palatino Linotype" w:cs="Arial"/>
        </w:rPr>
        <w:t>:</w:t>
      </w:r>
      <w:bookmarkEnd w:id="18"/>
      <w:bookmarkEnd w:id="32"/>
      <w:r w:rsidRPr="0034100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41003">
        <w:rPr>
          <w:rFonts w:ascii="Palatino Linotype" w:eastAsia="Calibri" w:hAnsi="Palatino Linotype" w:cs="Arial"/>
          <w:i/>
        </w:rPr>
        <w:t>“</w:t>
      </w:r>
      <w:r w:rsidR="00301AC7" w:rsidRPr="00341003">
        <w:rPr>
          <w:rFonts w:ascii="Palatino Linotype" w:eastAsia="Calibri" w:hAnsi="Palatino Linotype" w:cs="Arial"/>
          <w:i/>
        </w:rPr>
        <w:t>no presentó la información solicitada ni solicitó una prórroga para ello</w:t>
      </w:r>
      <w:r w:rsidR="00AA09C3" w:rsidRPr="00341003">
        <w:rPr>
          <w:rFonts w:ascii="Palatino Linotype" w:eastAsia="Calibri" w:hAnsi="Palatino Linotype" w:cs="Arial"/>
          <w:i/>
        </w:rPr>
        <w:t>.</w:t>
      </w:r>
      <w:r w:rsidR="003E4A5C" w:rsidRPr="00341003">
        <w:rPr>
          <w:rFonts w:ascii="Palatino Linotype" w:eastAsia="Calibri" w:hAnsi="Palatino Linotype" w:cs="Arial"/>
          <w:i/>
        </w:rPr>
        <w:t>” (Sic)</w:t>
      </w:r>
    </w:p>
    <w:p w14:paraId="7AD682F7" w14:textId="77777777" w:rsidR="006C0831" w:rsidRPr="00341003" w:rsidRDefault="006C0831" w:rsidP="00341003">
      <w:pPr>
        <w:pStyle w:val="Prrafodelista"/>
        <w:tabs>
          <w:tab w:val="left" w:pos="0"/>
        </w:tabs>
        <w:spacing w:line="360" w:lineRule="auto"/>
        <w:ind w:left="927" w:right="616"/>
        <w:jc w:val="both"/>
        <w:rPr>
          <w:rFonts w:ascii="Palatino Linotype" w:eastAsia="Calibri" w:hAnsi="Palatino Linotype" w:cs="Arial"/>
          <w:i/>
        </w:rPr>
      </w:pPr>
    </w:p>
    <w:p w14:paraId="14718D03" w14:textId="7F7F265C" w:rsidR="00583389" w:rsidRPr="00341003" w:rsidRDefault="00220DD2" w:rsidP="00341003">
      <w:pPr>
        <w:pStyle w:val="Prrafodelista"/>
        <w:numPr>
          <w:ilvl w:val="0"/>
          <w:numId w:val="1"/>
        </w:numPr>
        <w:tabs>
          <w:tab w:val="left" w:pos="0"/>
        </w:tabs>
        <w:spacing w:line="360" w:lineRule="auto"/>
        <w:ind w:left="0" w:right="49" w:firstLine="0"/>
        <w:jc w:val="both"/>
        <w:rPr>
          <w:rFonts w:ascii="Palatino Linotype" w:hAnsi="Palatino Linotype"/>
          <w:i/>
        </w:rPr>
      </w:pPr>
      <w:r w:rsidRPr="00341003">
        <w:rPr>
          <w:rFonts w:ascii="Palatino Linotype" w:eastAsia="Calibri" w:hAnsi="Palatino Linotype" w:cs="Arial"/>
        </w:rPr>
        <w:t xml:space="preserve">El </w:t>
      </w:r>
      <w:r w:rsidRPr="00341003">
        <w:rPr>
          <w:rFonts w:ascii="Palatino Linotype" w:eastAsia="Calibri" w:hAnsi="Palatino Linotype" w:cs="Times New Roman"/>
        </w:rPr>
        <w:t>Comisionado</w:t>
      </w:r>
      <w:r w:rsidRPr="00341003">
        <w:rPr>
          <w:rFonts w:ascii="Palatino Linotype" w:eastAsia="Calibri" w:hAnsi="Palatino Linotype" w:cs="Arial"/>
        </w:rPr>
        <w:t xml:space="preserve"> Ponente con fundamento en lo dispuesto por el artículo 185 fracción II de la ley de la materia, a través del acuerdo de admisión de fecha </w:t>
      </w:r>
      <w:r w:rsidR="00A47860" w:rsidRPr="00341003">
        <w:rPr>
          <w:rFonts w:ascii="Palatino Linotype" w:eastAsia="Calibri" w:hAnsi="Palatino Linotype" w:cs="Arial"/>
        </w:rPr>
        <w:t>veinticuatro</w:t>
      </w:r>
      <w:r w:rsidR="00091508" w:rsidRPr="00341003">
        <w:rPr>
          <w:rFonts w:ascii="Palatino Linotype" w:eastAsia="Calibri" w:hAnsi="Palatino Linotype" w:cs="Arial"/>
        </w:rPr>
        <w:t xml:space="preserve"> (</w:t>
      </w:r>
      <w:r w:rsidR="00A47860" w:rsidRPr="00341003">
        <w:rPr>
          <w:rFonts w:ascii="Palatino Linotype" w:eastAsia="Calibri" w:hAnsi="Palatino Linotype" w:cs="Arial"/>
        </w:rPr>
        <w:t>24</w:t>
      </w:r>
      <w:r w:rsidR="00091508" w:rsidRPr="00341003">
        <w:rPr>
          <w:rFonts w:ascii="Palatino Linotype" w:eastAsia="Calibri" w:hAnsi="Palatino Linotype" w:cs="Arial"/>
        </w:rPr>
        <w:t xml:space="preserve">) de </w:t>
      </w:r>
      <w:r w:rsidR="00A47860" w:rsidRPr="00341003">
        <w:rPr>
          <w:rFonts w:ascii="Palatino Linotype" w:eastAsia="Calibri" w:hAnsi="Palatino Linotype" w:cs="Arial"/>
        </w:rPr>
        <w:t>abril</w:t>
      </w:r>
      <w:r w:rsidR="007A4264" w:rsidRPr="00341003">
        <w:rPr>
          <w:rFonts w:ascii="Palatino Linotype" w:eastAsia="Calibri" w:hAnsi="Palatino Linotype" w:cs="Arial"/>
        </w:rPr>
        <w:t xml:space="preserve"> </w:t>
      </w:r>
      <w:r w:rsidR="00FA3B14" w:rsidRPr="00341003">
        <w:rPr>
          <w:rFonts w:ascii="Palatino Linotype" w:eastAsia="Calibri" w:hAnsi="Palatino Linotype" w:cs="Arial"/>
        </w:rPr>
        <w:t>de dos mil dieci</w:t>
      </w:r>
      <w:r w:rsidR="00AA09C3" w:rsidRPr="00341003">
        <w:rPr>
          <w:rFonts w:ascii="Palatino Linotype" w:eastAsia="Calibri" w:hAnsi="Palatino Linotype" w:cs="Arial"/>
        </w:rPr>
        <w:t>nueve</w:t>
      </w:r>
      <w:r w:rsidRPr="00341003">
        <w:rPr>
          <w:rFonts w:ascii="Palatino Linotype" w:eastAsia="Calibri" w:hAnsi="Palatino Linotype" w:cs="Arial"/>
        </w:rPr>
        <w:t xml:space="preserve">, puso a disposición de las partes el expediente electrónico vía Sistema de Acceso a la Información Mexiquense </w:t>
      </w:r>
      <w:r w:rsidRPr="00341003">
        <w:rPr>
          <w:rFonts w:ascii="Palatino Linotype" w:eastAsia="Calibri" w:hAnsi="Palatino Linotype" w:cs="Arial"/>
          <w:b/>
        </w:rPr>
        <w:t xml:space="preserve">SAIMEX </w:t>
      </w:r>
      <w:r w:rsidRPr="00341003">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41003">
        <w:rPr>
          <w:rFonts w:ascii="Palatino Linotype" w:eastAsia="Calibri" w:hAnsi="Palatino Linotype" w:cs="Arial"/>
          <w:b/>
        </w:rPr>
        <w:t>SUJETO OBLIGADO</w:t>
      </w:r>
      <w:r w:rsidRPr="00341003">
        <w:rPr>
          <w:rFonts w:ascii="Palatino Linotype" w:eastAsia="Calibri" w:hAnsi="Palatino Linotype" w:cs="Arial"/>
        </w:rPr>
        <w:t xml:space="preserve"> presentará el Informe Justificado procedente.</w:t>
      </w:r>
    </w:p>
    <w:p w14:paraId="76865E16" w14:textId="77777777" w:rsidR="00583389" w:rsidRPr="00341003" w:rsidRDefault="00583389" w:rsidP="00341003">
      <w:pPr>
        <w:pStyle w:val="Prrafodelista"/>
        <w:tabs>
          <w:tab w:val="left" w:pos="0"/>
        </w:tabs>
        <w:spacing w:line="360" w:lineRule="auto"/>
        <w:ind w:left="142"/>
        <w:jc w:val="both"/>
        <w:rPr>
          <w:rFonts w:ascii="Palatino Linotype" w:hAnsi="Palatino Linotype"/>
          <w:i/>
        </w:rPr>
      </w:pPr>
    </w:p>
    <w:p w14:paraId="3EA2E073" w14:textId="77777777" w:rsidR="00DB0A6F" w:rsidRPr="00341003" w:rsidRDefault="00DB0A6F" w:rsidP="00341003">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341003">
        <w:rPr>
          <w:rFonts w:ascii="Palatino Linotype" w:eastAsia="Calibri" w:hAnsi="Palatino Linotype" w:cs="Arial"/>
          <w:lang w:val="es-ES"/>
        </w:rPr>
        <w:t xml:space="preserve">El </w:t>
      </w:r>
      <w:r w:rsidRPr="00341003">
        <w:rPr>
          <w:rFonts w:ascii="Palatino Linotype" w:eastAsia="Calibri" w:hAnsi="Palatino Linotype" w:cs="Arial"/>
          <w:b/>
          <w:lang w:val="es-ES"/>
        </w:rPr>
        <w:t xml:space="preserve">SUJETO OBLIGADO </w:t>
      </w:r>
      <w:r w:rsidRPr="00341003">
        <w:rPr>
          <w:rFonts w:ascii="Palatino Linotype" w:eastAsia="Calibri" w:hAnsi="Palatino Linotype" w:cs="Arial"/>
          <w:lang w:val="es-ES"/>
        </w:rPr>
        <w:t xml:space="preserve">no rindió informe justificado para manifestar lo que a su derecho conviniera; asimismo, el </w:t>
      </w:r>
      <w:r w:rsidRPr="00341003">
        <w:rPr>
          <w:rFonts w:ascii="Palatino Linotype" w:eastAsia="Calibri" w:hAnsi="Palatino Linotype" w:cs="Arial"/>
          <w:b/>
          <w:lang w:val="es-ES"/>
        </w:rPr>
        <w:t xml:space="preserve">RECURRENTE </w:t>
      </w:r>
      <w:r w:rsidRPr="00341003">
        <w:rPr>
          <w:rFonts w:ascii="Palatino Linotype" w:eastAsia="Calibri" w:hAnsi="Palatino Linotype" w:cs="Arial"/>
          <w:lang w:val="es-ES"/>
        </w:rPr>
        <w:t xml:space="preserve">no presentó alegatos, ni ofreció los medios de prueba, </w:t>
      </w:r>
      <w:r w:rsidRPr="00341003">
        <w:rPr>
          <w:rFonts w:ascii="Palatino Linotype" w:eastAsia="Calibri" w:hAnsi="Palatino Linotype" w:cs="Times New Roman"/>
          <w:lang w:val="es-ES"/>
        </w:rPr>
        <w:t xml:space="preserve">según consta en el Sistema </w:t>
      </w:r>
      <w:r w:rsidRPr="00341003">
        <w:rPr>
          <w:rFonts w:ascii="Palatino Linotype" w:eastAsia="Calibri" w:hAnsi="Palatino Linotype" w:cs="Arial"/>
          <w:lang w:val="es-ES"/>
        </w:rPr>
        <w:t xml:space="preserve">de Acceso a la Información Mexiquense </w:t>
      </w:r>
      <w:r w:rsidRPr="00341003">
        <w:rPr>
          <w:rFonts w:ascii="Palatino Linotype" w:eastAsia="Calibri" w:hAnsi="Palatino Linotype" w:cs="Arial"/>
          <w:b/>
          <w:lang w:val="es-ES"/>
        </w:rPr>
        <w:t>SAIMEX.</w:t>
      </w:r>
      <w:r w:rsidRPr="00341003">
        <w:rPr>
          <w:rFonts w:ascii="Palatino Linotype" w:eastAsia="Calibri" w:hAnsi="Palatino Linotype" w:cs="Arial"/>
          <w:lang w:val="es-ES"/>
        </w:rPr>
        <w:t xml:space="preserve"> </w:t>
      </w:r>
    </w:p>
    <w:p w14:paraId="09897DF0" w14:textId="77777777" w:rsidR="00DB0A6F" w:rsidRPr="00341003" w:rsidRDefault="00DB0A6F" w:rsidP="00341003">
      <w:pPr>
        <w:pStyle w:val="Prrafodelista"/>
        <w:spacing w:line="360" w:lineRule="auto"/>
        <w:rPr>
          <w:rFonts w:ascii="Palatino Linotype" w:hAnsi="Palatino Linotype"/>
          <w:i/>
          <w:color w:val="000000"/>
        </w:rPr>
      </w:pPr>
    </w:p>
    <w:p w14:paraId="6BEBCB2D" w14:textId="725E0980" w:rsidR="00A71BC1" w:rsidRPr="00341003" w:rsidRDefault="008A72B7"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eastAsia="Calibri" w:hAnsi="Palatino Linotype" w:cs="Arial"/>
        </w:rPr>
        <w:t>Consecutivamente</w:t>
      </w:r>
      <w:r w:rsidR="00A71BC1" w:rsidRPr="00341003">
        <w:rPr>
          <w:rFonts w:ascii="Palatino Linotype" w:hAnsi="Palatino Linotype"/>
        </w:rPr>
        <w:t>, el Comisionado Ponente decretó el cierre de instru</w:t>
      </w:r>
      <w:r w:rsidR="00F640B8" w:rsidRPr="00341003">
        <w:rPr>
          <w:rFonts w:ascii="Palatino Linotype" w:hAnsi="Palatino Linotype"/>
        </w:rPr>
        <w:t>cción medi</w:t>
      </w:r>
      <w:r w:rsidR="00230B55" w:rsidRPr="00341003">
        <w:rPr>
          <w:rFonts w:ascii="Palatino Linotype" w:hAnsi="Palatino Linotype"/>
        </w:rPr>
        <w:t>an</w:t>
      </w:r>
      <w:r w:rsidR="00A47860" w:rsidRPr="00341003">
        <w:rPr>
          <w:rFonts w:ascii="Palatino Linotype" w:hAnsi="Palatino Linotype"/>
        </w:rPr>
        <w:t>te acuerdo de fecha veintiocho</w:t>
      </w:r>
      <w:r w:rsidR="00C3488E" w:rsidRPr="00341003">
        <w:rPr>
          <w:rFonts w:ascii="Palatino Linotype" w:hAnsi="Palatino Linotype"/>
        </w:rPr>
        <w:t xml:space="preserve"> </w:t>
      </w:r>
      <w:r w:rsidR="004A125E" w:rsidRPr="00341003">
        <w:rPr>
          <w:rFonts w:ascii="Palatino Linotype" w:hAnsi="Palatino Linotype"/>
        </w:rPr>
        <w:t>(</w:t>
      </w:r>
      <w:r w:rsidR="00C3488E" w:rsidRPr="00341003">
        <w:rPr>
          <w:rFonts w:ascii="Palatino Linotype" w:hAnsi="Palatino Linotype"/>
        </w:rPr>
        <w:t>2</w:t>
      </w:r>
      <w:r w:rsidR="00A47860" w:rsidRPr="00341003">
        <w:rPr>
          <w:rFonts w:ascii="Palatino Linotype" w:hAnsi="Palatino Linotype"/>
        </w:rPr>
        <w:t>8</w:t>
      </w:r>
      <w:r w:rsidR="00C3488E" w:rsidRPr="00341003">
        <w:rPr>
          <w:rFonts w:ascii="Palatino Linotype" w:hAnsi="Palatino Linotype"/>
        </w:rPr>
        <w:t>)</w:t>
      </w:r>
      <w:r w:rsidR="00A71BC1" w:rsidRPr="00341003">
        <w:rPr>
          <w:rFonts w:ascii="Palatino Linotype" w:hAnsi="Palatino Linotype"/>
        </w:rPr>
        <w:t xml:space="preserve"> de </w:t>
      </w:r>
      <w:r w:rsidR="00A47860" w:rsidRPr="00341003">
        <w:rPr>
          <w:rFonts w:ascii="Palatino Linotype" w:hAnsi="Palatino Linotype"/>
        </w:rPr>
        <w:t>mayo</w:t>
      </w:r>
      <w:r w:rsidR="009B146D" w:rsidRPr="00341003">
        <w:rPr>
          <w:rFonts w:ascii="Palatino Linotype" w:hAnsi="Palatino Linotype"/>
        </w:rPr>
        <w:t xml:space="preserve"> </w:t>
      </w:r>
      <w:r w:rsidR="00A71BC1" w:rsidRPr="00341003">
        <w:rPr>
          <w:rFonts w:ascii="Palatino Linotype" w:hAnsi="Palatino Linotype"/>
        </w:rPr>
        <w:t xml:space="preserve">de </w:t>
      </w:r>
      <w:r w:rsidR="00C3488E" w:rsidRPr="00341003">
        <w:rPr>
          <w:rFonts w:ascii="Palatino Linotype" w:hAnsi="Palatino Linotype"/>
        </w:rPr>
        <w:t>dos mil diecinueve</w:t>
      </w:r>
      <w:r w:rsidR="00A71BC1" w:rsidRPr="00341003">
        <w:rPr>
          <w:rFonts w:ascii="Palatino Linotype" w:hAnsi="Palatino Linotype"/>
        </w:rPr>
        <w:t>, por lo que, ordenó turnar el expediente a resolución.</w:t>
      </w:r>
      <w:r w:rsidR="009B146D" w:rsidRPr="00341003">
        <w:rPr>
          <w:rFonts w:ascii="Palatino Linotype" w:hAnsi="Palatino Linotype"/>
        </w:rPr>
        <w:t xml:space="preserve"> </w:t>
      </w:r>
      <w:r w:rsidR="009B146D" w:rsidRPr="00341003">
        <w:rPr>
          <w:rFonts w:ascii="Palatino Linotype" w:hAnsi="Palatino Linotype"/>
          <w:color w:val="000000" w:themeColor="text1"/>
        </w:rPr>
        <w:t xml:space="preserve">Posteriormente, el </w:t>
      </w:r>
      <w:r w:rsidR="00A47860" w:rsidRPr="00341003">
        <w:rPr>
          <w:rFonts w:ascii="Palatino Linotype" w:hAnsi="Palatino Linotype"/>
          <w:color w:val="000000" w:themeColor="text1"/>
        </w:rPr>
        <w:t>dieciocho</w:t>
      </w:r>
      <w:r w:rsidR="009B146D" w:rsidRPr="00341003">
        <w:rPr>
          <w:rFonts w:ascii="Palatino Linotype" w:hAnsi="Palatino Linotype"/>
          <w:color w:val="000000" w:themeColor="text1"/>
        </w:rPr>
        <w:t xml:space="preserve"> (</w:t>
      </w:r>
      <w:r w:rsidR="00A47860" w:rsidRPr="00341003">
        <w:rPr>
          <w:rFonts w:ascii="Palatino Linotype" w:hAnsi="Palatino Linotype"/>
          <w:color w:val="000000" w:themeColor="text1"/>
        </w:rPr>
        <w:t>18</w:t>
      </w:r>
      <w:r w:rsidR="009B146D" w:rsidRPr="00341003">
        <w:rPr>
          <w:rFonts w:ascii="Palatino Linotype" w:hAnsi="Palatino Linotype"/>
          <w:color w:val="000000" w:themeColor="text1"/>
        </w:rPr>
        <w:t xml:space="preserve">) de </w:t>
      </w:r>
      <w:r w:rsidR="00A47860" w:rsidRPr="00341003">
        <w:rPr>
          <w:rFonts w:ascii="Palatino Linotype" w:hAnsi="Palatino Linotype"/>
          <w:color w:val="000000" w:themeColor="text1"/>
        </w:rPr>
        <w:t>junio</w:t>
      </w:r>
      <w:r w:rsidR="009B146D" w:rsidRPr="00341003">
        <w:rPr>
          <w:rFonts w:ascii="Palatino Linotype" w:hAnsi="Palatino Linotype"/>
          <w:color w:val="000000" w:themeColor="text1"/>
        </w:rPr>
        <w:t xml:space="preserve"> del año en curso, se amplió el plazo de quince (15) días para resolver el recurso de revisión, </w:t>
      </w:r>
      <w:r w:rsidR="009B146D" w:rsidRPr="00341003">
        <w:rPr>
          <w:rFonts w:ascii="Palatino Linotype" w:hAnsi="Palatino Linotype" w:cs="Arial"/>
          <w:color w:val="000000" w:themeColor="text1"/>
        </w:rPr>
        <w:t xml:space="preserve">por lo que ordenó turnar el expediente para su resolución, misma que ahora se pronuncia; y  - - - - - - - - - - - </w:t>
      </w:r>
      <w:r w:rsidR="009B146D" w:rsidRPr="00341003">
        <w:rPr>
          <w:rFonts w:ascii="Palatino Linotype" w:hAnsi="Palatino Linotype" w:cs="Arial"/>
        </w:rPr>
        <w:t xml:space="preserve">- - - - - - - - - - - - - - - - - </w:t>
      </w:r>
      <w:r w:rsidR="00DB0A6F" w:rsidRPr="00341003">
        <w:rPr>
          <w:rFonts w:ascii="Palatino Linotype" w:hAnsi="Palatino Linotype" w:cs="Arial"/>
        </w:rPr>
        <w:t>- - - - -</w:t>
      </w:r>
      <w:r w:rsidR="004D7D05" w:rsidRPr="00341003">
        <w:rPr>
          <w:rFonts w:ascii="Palatino Linotype" w:hAnsi="Palatino Linotype" w:cs="Arial"/>
        </w:rPr>
        <w:t xml:space="preserve"> - - - - - - - - -</w:t>
      </w:r>
      <w:r w:rsidR="00DB0A6F" w:rsidRPr="00341003">
        <w:rPr>
          <w:rFonts w:ascii="Palatino Linotype" w:hAnsi="Palatino Linotype" w:cs="Arial"/>
        </w:rPr>
        <w:t xml:space="preserve"> - - - - </w:t>
      </w:r>
    </w:p>
    <w:p w14:paraId="206C2FB0" w14:textId="77777777" w:rsidR="00230B55" w:rsidRPr="00341003" w:rsidRDefault="00230B55" w:rsidP="00341003">
      <w:pPr>
        <w:tabs>
          <w:tab w:val="left" w:pos="0"/>
        </w:tabs>
        <w:spacing w:line="360" w:lineRule="auto"/>
        <w:ind w:right="34"/>
        <w:jc w:val="both"/>
        <w:rPr>
          <w:rFonts w:ascii="Palatino Linotype" w:hAnsi="Palatino Linotype" w:cs="Arial"/>
        </w:rPr>
      </w:pPr>
    </w:p>
    <w:p w14:paraId="51E91971" w14:textId="77777777" w:rsidR="00585F00" w:rsidRPr="00341003" w:rsidRDefault="00585F00" w:rsidP="00341003">
      <w:pPr>
        <w:pStyle w:val="Ttulo1"/>
        <w:tabs>
          <w:tab w:val="left" w:pos="0"/>
        </w:tabs>
        <w:spacing w:before="0" w:line="360" w:lineRule="auto"/>
        <w:jc w:val="center"/>
        <w:rPr>
          <w:b/>
          <w:szCs w:val="24"/>
        </w:rPr>
      </w:pPr>
      <w:bookmarkStart w:id="33" w:name="_Toc491791302"/>
      <w:bookmarkStart w:id="34" w:name="_Toc9511335"/>
      <w:r w:rsidRPr="00341003">
        <w:rPr>
          <w:b/>
          <w:szCs w:val="24"/>
        </w:rPr>
        <w:t>CONSIDERANDO</w:t>
      </w:r>
      <w:bookmarkEnd w:id="33"/>
      <w:bookmarkEnd w:id="34"/>
    </w:p>
    <w:p w14:paraId="7681ED66" w14:textId="77777777" w:rsidR="00585F00" w:rsidRPr="00341003" w:rsidRDefault="00585F00" w:rsidP="00341003">
      <w:pPr>
        <w:tabs>
          <w:tab w:val="left" w:pos="0"/>
        </w:tabs>
        <w:spacing w:line="360" w:lineRule="auto"/>
        <w:rPr>
          <w:rFonts w:ascii="Palatino Linotype" w:hAnsi="Palatino Linotype"/>
          <w:lang w:eastAsia="en-US"/>
        </w:rPr>
      </w:pPr>
    </w:p>
    <w:p w14:paraId="7DA2EB7E" w14:textId="77777777" w:rsidR="0032581C" w:rsidRPr="00341003" w:rsidRDefault="0032581C" w:rsidP="0034100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9511336"/>
      <w:bookmarkStart w:id="38" w:name="_Toc511234456"/>
      <w:bookmarkStart w:id="39" w:name="_Toc466371865"/>
      <w:bookmarkStart w:id="40" w:name="_Toc466377653"/>
      <w:r w:rsidRPr="00341003">
        <w:rPr>
          <w:rFonts w:ascii="Palatino Linotype" w:hAnsi="Palatino Linotype"/>
          <w:b/>
          <w:color w:val="auto"/>
          <w:sz w:val="24"/>
          <w:szCs w:val="24"/>
        </w:rPr>
        <w:t>PRIMERO. De la competencia</w:t>
      </w:r>
      <w:bookmarkEnd w:id="35"/>
      <w:bookmarkEnd w:id="36"/>
      <w:bookmarkEnd w:id="37"/>
    </w:p>
    <w:p w14:paraId="6E314099" w14:textId="77777777" w:rsidR="0032581C" w:rsidRPr="00341003" w:rsidRDefault="0032581C" w:rsidP="00341003">
      <w:pPr>
        <w:tabs>
          <w:tab w:val="left" w:pos="0"/>
        </w:tabs>
        <w:spacing w:line="360" w:lineRule="auto"/>
        <w:rPr>
          <w:rFonts w:ascii="Palatino Linotype" w:hAnsi="Palatino Linotype"/>
          <w:lang w:eastAsia="en-US"/>
        </w:rPr>
      </w:pPr>
    </w:p>
    <w:p w14:paraId="72882949" w14:textId="77777777" w:rsidR="0032581C" w:rsidRPr="00341003" w:rsidRDefault="0032581C" w:rsidP="0034100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4100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41003">
        <w:rPr>
          <w:rFonts w:ascii="Palatino Linotype" w:eastAsia="Calibri" w:hAnsi="Palatino Linotype" w:cs="Times New Roman"/>
          <w:b/>
        </w:rPr>
        <w:t>Constitución Política de los Estados Unidos Mexicanos</w:t>
      </w:r>
      <w:r w:rsidRPr="00341003">
        <w:rPr>
          <w:rFonts w:ascii="Palatino Linotype" w:eastAsia="Calibri" w:hAnsi="Palatino Linotype" w:cs="Times New Roman"/>
        </w:rPr>
        <w:t xml:space="preserve">; 5, párrafos vigésimo, vigésimo primero y vigésimo segundo fracciones IV y V de la </w:t>
      </w:r>
      <w:r w:rsidRPr="00341003">
        <w:rPr>
          <w:rFonts w:ascii="Palatino Linotype" w:eastAsia="Calibri" w:hAnsi="Palatino Linotype" w:cs="Times New Roman"/>
          <w:b/>
        </w:rPr>
        <w:t>Constitución Política del Estado Libre y Soberano de México</w:t>
      </w:r>
      <w:r w:rsidRPr="00341003">
        <w:rPr>
          <w:rFonts w:ascii="Palatino Linotype" w:eastAsia="Calibri" w:hAnsi="Palatino Linotype" w:cs="Times New Roman"/>
        </w:rPr>
        <w:t xml:space="preserve">; artículos 1, 2 fracción II, 13, 29, 36 fracciones I y II, 176, 178, 179, 181 párrafo tercero y 185 </w:t>
      </w:r>
      <w:r w:rsidRPr="00341003">
        <w:rPr>
          <w:rFonts w:ascii="Palatino Linotype" w:eastAsia="Calibri" w:hAnsi="Palatino Linotype" w:cs="Arial"/>
        </w:rPr>
        <w:t xml:space="preserve">de la </w:t>
      </w:r>
      <w:r w:rsidRPr="00341003">
        <w:rPr>
          <w:rFonts w:ascii="Palatino Linotype" w:eastAsia="Calibri" w:hAnsi="Palatino Linotype" w:cs="Arial"/>
          <w:b/>
        </w:rPr>
        <w:t>Ley de Transparencia y Acceso a la Información Pública del Estado de México y Municipios</w:t>
      </w:r>
      <w:r w:rsidRPr="00341003">
        <w:rPr>
          <w:rFonts w:ascii="Palatino Linotype" w:eastAsia="Calibri" w:hAnsi="Palatino Linotype" w:cs="Arial"/>
        </w:rPr>
        <w:t xml:space="preserve">; y 10, 7, 9 fracciones I y XXIV, y 11 del </w:t>
      </w:r>
      <w:r w:rsidRPr="00341003">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41003" w:rsidRDefault="0032581C" w:rsidP="00341003">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41003" w:rsidRDefault="0032581C" w:rsidP="00341003">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9511337"/>
      <w:r w:rsidRPr="00341003">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341003" w:rsidRDefault="0032581C" w:rsidP="00341003">
      <w:pPr>
        <w:tabs>
          <w:tab w:val="left" w:pos="0"/>
        </w:tabs>
        <w:spacing w:line="360" w:lineRule="auto"/>
        <w:rPr>
          <w:rFonts w:ascii="Palatino Linotype" w:hAnsi="Palatino Linotype"/>
          <w:lang w:eastAsia="en-US"/>
        </w:rPr>
      </w:pPr>
    </w:p>
    <w:p w14:paraId="07EE39B4"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b/>
        </w:rPr>
      </w:pPr>
      <w:r w:rsidRPr="00341003">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59285919" w14:textId="77777777" w:rsidR="00963918" w:rsidRPr="00341003" w:rsidRDefault="00963918" w:rsidP="00341003">
      <w:pPr>
        <w:pStyle w:val="Prrafodelista"/>
        <w:spacing w:before="240" w:after="240" w:line="360" w:lineRule="auto"/>
        <w:ind w:left="0" w:right="49"/>
        <w:jc w:val="both"/>
        <w:rPr>
          <w:rFonts w:ascii="Palatino Linotype" w:hAnsi="Palatino Linotype"/>
          <w:b/>
        </w:rPr>
      </w:pPr>
    </w:p>
    <w:p w14:paraId="7BEF0273" w14:textId="77777777" w:rsidR="00963918" w:rsidRPr="00341003" w:rsidRDefault="00963918" w:rsidP="00341003">
      <w:pPr>
        <w:pStyle w:val="Prrafodelista"/>
        <w:spacing w:before="240" w:after="240" w:line="360" w:lineRule="auto"/>
        <w:ind w:left="851" w:right="567"/>
        <w:jc w:val="both"/>
        <w:rPr>
          <w:rFonts w:ascii="Palatino Linotype" w:hAnsi="Palatino Linotype"/>
          <w:i/>
        </w:rPr>
      </w:pPr>
      <w:r w:rsidRPr="00341003">
        <w:rPr>
          <w:rFonts w:ascii="Palatino Linotype" w:hAnsi="Palatino Linotype"/>
          <w:b/>
          <w:i/>
        </w:rPr>
        <w:t>“Artículo 179.</w:t>
      </w:r>
      <w:r w:rsidRPr="0034100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1B3DE4F9" w14:textId="77777777" w:rsidR="00963918" w:rsidRPr="00341003" w:rsidRDefault="00963918" w:rsidP="00341003">
      <w:pPr>
        <w:pStyle w:val="Prrafodelista"/>
        <w:spacing w:before="240" w:after="240" w:line="360" w:lineRule="auto"/>
        <w:ind w:left="851" w:right="567"/>
        <w:jc w:val="both"/>
        <w:rPr>
          <w:rFonts w:ascii="Palatino Linotype" w:hAnsi="Palatino Linotype"/>
          <w:i/>
        </w:rPr>
      </w:pPr>
      <w:r w:rsidRPr="00341003">
        <w:rPr>
          <w:rFonts w:ascii="Palatino Linotype" w:hAnsi="Palatino Linotype"/>
          <w:i/>
        </w:rPr>
        <w:t>(…)</w:t>
      </w:r>
    </w:p>
    <w:p w14:paraId="3085ED37" w14:textId="77777777" w:rsidR="00963918" w:rsidRPr="00341003" w:rsidRDefault="00963918" w:rsidP="00341003">
      <w:pPr>
        <w:pStyle w:val="Prrafodelista"/>
        <w:spacing w:before="240" w:after="240" w:line="360" w:lineRule="auto"/>
        <w:ind w:left="851" w:right="567"/>
        <w:jc w:val="both"/>
        <w:rPr>
          <w:rFonts w:ascii="Palatino Linotype" w:hAnsi="Palatino Linotype"/>
          <w:b/>
          <w:i/>
        </w:rPr>
      </w:pPr>
      <w:r w:rsidRPr="00341003">
        <w:rPr>
          <w:rFonts w:ascii="Palatino Linotype" w:hAnsi="Palatino Linotype"/>
          <w:b/>
          <w:i/>
        </w:rPr>
        <w:t>VII. La falta de respuesta a una solicitud de acceso a la información;</w:t>
      </w:r>
    </w:p>
    <w:p w14:paraId="5BC50379" w14:textId="7728EBCD" w:rsidR="00963918" w:rsidRPr="00341003" w:rsidRDefault="00963918" w:rsidP="00341003">
      <w:pPr>
        <w:spacing w:line="360" w:lineRule="auto"/>
        <w:ind w:left="851"/>
        <w:rPr>
          <w:rFonts w:ascii="Palatino Linotype" w:hAnsi="Palatino Linotype"/>
          <w:i/>
          <w:lang w:val="es-MX" w:eastAsia="en-US"/>
        </w:rPr>
      </w:pPr>
      <w:r w:rsidRPr="00341003">
        <w:rPr>
          <w:rFonts w:ascii="Palatino Linotype" w:hAnsi="Palatino Linotype"/>
          <w:i/>
          <w:lang w:val="es-MX" w:eastAsia="en-US"/>
        </w:rPr>
        <w:t>(…)”</w:t>
      </w:r>
    </w:p>
    <w:p w14:paraId="302324DB" w14:textId="64FCDA04"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eastAsia="Calibri" w:hAnsi="Palatino Linotype" w:cs="Arial"/>
        </w:rPr>
        <w:t>Así</w:t>
      </w:r>
      <w:r w:rsidRPr="00341003">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341003">
        <w:rPr>
          <w:rFonts w:ascii="Palatino Linotype" w:hAnsi="Palatino Linotype"/>
          <w:b/>
        </w:rPr>
        <w:t>SUJETO OBLIGADO</w:t>
      </w:r>
      <w:r w:rsidRPr="00341003">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4F49AE9D" w14:textId="77777777" w:rsidR="00963918" w:rsidRPr="00341003" w:rsidRDefault="00963918" w:rsidP="00341003">
      <w:pPr>
        <w:pStyle w:val="Prrafodelista"/>
        <w:spacing w:before="240" w:after="240" w:line="360" w:lineRule="auto"/>
        <w:ind w:left="0" w:right="49"/>
        <w:jc w:val="both"/>
        <w:rPr>
          <w:rFonts w:ascii="Palatino Linotype" w:hAnsi="Palatino Linotype"/>
        </w:rPr>
      </w:pPr>
    </w:p>
    <w:p w14:paraId="58BC9AB2" w14:textId="77777777" w:rsidR="00963918" w:rsidRPr="00341003" w:rsidRDefault="00963918" w:rsidP="00341003">
      <w:pPr>
        <w:pStyle w:val="Prrafodelista"/>
        <w:spacing w:before="240" w:after="240" w:line="360" w:lineRule="auto"/>
        <w:ind w:left="851" w:right="567"/>
        <w:jc w:val="both"/>
        <w:rPr>
          <w:rFonts w:ascii="Palatino Linotype" w:hAnsi="Palatino Linotype"/>
          <w:i/>
          <w:sz w:val="22"/>
        </w:rPr>
      </w:pPr>
      <w:r w:rsidRPr="00341003">
        <w:rPr>
          <w:rFonts w:ascii="Palatino Linotype" w:hAnsi="Palatino Linotype"/>
          <w:b/>
          <w:i/>
          <w:sz w:val="22"/>
        </w:rPr>
        <w:t>“Artículo 163.</w:t>
      </w:r>
      <w:r w:rsidRPr="00341003">
        <w:rPr>
          <w:rFonts w:ascii="Palatino Linotype" w:hAnsi="Palatino Linotype"/>
          <w:i/>
          <w:sz w:val="22"/>
        </w:rPr>
        <w:t xml:space="preserve"> La Unidad de Transparencia deberá notificar la respuesta a la solicitud al interesado en el menor tiempo posible, que </w:t>
      </w:r>
      <w:r w:rsidRPr="00341003">
        <w:rPr>
          <w:rFonts w:ascii="Palatino Linotype" w:hAnsi="Palatino Linotype"/>
          <w:b/>
          <w:i/>
          <w:sz w:val="22"/>
          <w:u w:val="single"/>
        </w:rPr>
        <w:t>no podrá exceder de quince días hábiles</w:t>
      </w:r>
      <w:r w:rsidRPr="00341003">
        <w:rPr>
          <w:rFonts w:ascii="Palatino Linotype" w:hAnsi="Palatino Linotype"/>
          <w:i/>
          <w:sz w:val="22"/>
        </w:rPr>
        <w:t xml:space="preserve">, contados a partir del día siguiente a la presentación de aquélla. </w:t>
      </w:r>
    </w:p>
    <w:p w14:paraId="56877A73" w14:textId="77777777" w:rsidR="00963918" w:rsidRPr="00341003" w:rsidRDefault="00963918" w:rsidP="00341003">
      <w:pPr>
        <w:pStyle w:val="Prrafodelista"/>
        <w:spacing w:before="240" w:after="240" w:line="360" w:lineRule="auto"/>
        <w:ind w:left="851" w:right="567"/>
        <w:jc w:val="both"/>
        <w:rPr>
          <w:rFonts w:ascii="Palatino Linotype" w:hAnsi="Palatino Linotype"/>
          <w:i/>
          <w:sz w:val="16"/>
        </w:rPr>
      </w:pPr>
    </w:p>
    <w:p w14:paraId="26717B2D" w14:textId="77777777" w:rsidR="00963918" w:rsidRPr="00341003" w:rsidRDefault="00963918" w:rsidP="00341003">
      <w:pPr>
        <w:pStyle w:val="Prrafodelista"/>
        <w:spacing w:before="240" w:after="240" w:line="360" w:lineRule="auto"/>
        <w:ind w:left="851" w:right="567"/>
        <w:jc w:val="both"/>
        <w:rPr>
          <w:rFonts w:ascii="Palatino Linotype" w:hAnsi="Palatino Linotype" w:cs="Arial"/>
          <w:i/>
          <w:sz w:val="22"/>
        </w:rPr>
      </w:pPr>
      <w:r w:rsidRPr="00341003">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8F2850" w14:textId="77777777" w:rsidR="00963918" w:rsidRPr="00341003" w:rsidRDefault="00963918" w:rsidP="00341003">
      <w:pPr>
        <w:pStyle w:val="Prrafodelista"/>
        <w:spacing w:before="240" w:after="240" w:line="360" w:lineRule="auto"/>
        <w:ind w:left="851" w:right="616"/>
        <w:jc w:val="both"/>
        <w:rPr>
          <w:rFonts w:ascii="Palatino Linotype" w:hAnsi="Palatino Linotype" w:cs="Arial"/>
          <w:i/>
          <w:sz w:val="22"/>
        </w:rPr>
      </w:pPr>
      <w:r w:rsidRPr="00341003">
        <w:rPr>
          <w:rFonts w:ascii="Palatino Linotype" w:hAnsi="Palatino Linotype" w:cs="Arial"/>
          <w:i/>
          <w:sz w:val="22"/>
        </w:rPr>
        <w:t>…</w:t>
      </w:r>
    </w:p>
    <w:p w14:paraId="110A8365" w14:textId="77777777" w:rsidR="00963918" w:rsidRDefault="00963918" w:rsidP="00341003">
      <w:pPr>
        <w:spacing w:before="240" w:after="240" w:line="360" w:lineRule="auto"/>
        <w:ind w:left="851" w:right="567"/>
        <w:jc w:val="both"/>
        <w:rPr>
          <w:rFonts w:ascii="Palatino Linotype" w:hAnsi="Palatino Linotype"/>
          <w:i/>
          <w:sz w:val="22"/>
        </w:rPr>
      </w:pPr>
      <w:r w:rsidRPr="00341003">
        <w:rPr>
          <w:rFonts w:ascii="Palatino Linotype" w:hAnsi="Palatino Linotype"/>
          <w:b/>
          <w:i/>
          <w:sz w:val="22"/>
        </w:rPr>
        <w:t>Artículo 166.</w:t>
      </w:r>
      <w:r w:rsidRPr="00341003">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341003">
        <w:rPr>
          <w:rFonts w:ascii="Palatino Linotype" w:hAnsi="Palatino Linotype"/>
          <w:b/>
          <w:i/>
          <w:sz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341003">
        <w:rPr>
          <w:rFonts w:ascii="Palatino Linotype" w:hAnsi="Palatino Linotype"/>
          <w:i/>
          <w:sz w:val="22"/>
        </w:rPr>
        <w:t>Una vez entregada la información, el solicitante acusará recibo por escrito, dándose por terminado el trámite de acceso a la información.”</w:t>
      </w:r>
    </w:p>
    <w:p w14:paraId="1A2F7C12" w14:textId="77777777" w:rsidR="00341003" w:rsidRPr="00341003" w:rsidRDefault="00341003" w:rsidP="00341003">
      <w:pPr>
        <w:spacing w:before="240" w:after="240" w:line="360" w:lineRule="auto"/>
        <w:ind w:left="851" w:right="567"/>
        <w:jc w:val="both"/>
        <w:rPr>
          <w:rFonts w:ascii="Palatino Linotype" w:hAnsi="Palatino Linotype" w:cs="Arial"/>
          <w:i/>
          <w:sz w:val="10"/>
        </w:rPr>
      </w:pPr>
    </w:p>
    <w:p w14:paraId="5B5F769B"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eastAsia="Calibri" w:hAnsi="Palatino Linotype" w:cs="Arial"/>
        </w:rPr>
        <w:t>De</w:t>
      </w:r>
      <w:r w:rsidRPr="00341003">
        <w:rPr>
          <w:rFonts w:ascii="Palatino Linotype" w:hAnsi="Palatino Linotype" w:cs="Arial"/>
        </w:rPr>
        <w:t xml:space="preserve"> la interpretación a los preceptos legales insertos se obtiene que el plazo que les asiste a los </w:t>
      </w:r>
      <w:r w:rsidRPr="00341003">
        <w:rPr>
          <w:rFonts w:ascii="Palatino Linotype" w:hAnsi="Palatino Linotype" w:cs="Arial"/>
          <w:b/>
        </w:rPr>
        <w:t>SUJETOS OBLIGADOS</w:t>
      </w:r>
      <w:r w:rsidRPr="00341003">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78560BFF" w14:textId="77777777" w:rsidR="00963918" w:rsidRPr="00341003" w:rsidRDefault="00963918" w:rsidP="00341003">
      <w:pPr>
        <w:pStyle w:val="Prrafodelista"/>
        <w:spacing w:before="240" w:after="240" w:line="360" w:lineRule="auto"/>
        <w:ind w:left="0"/>
        <w:jc w:val="both"/>
        <w:rPr>
          <w:rFonts w:ascii="Palatino Linotype" w:hAnsi="Palatino Linotype" w:cs="Arial"/>
        </w:rPr>
      </w:pPr>
    </w:p>
    <w:p w14:paraId="181720DD"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 xml:space="preserve">Derivado de lo anterior, se constituye la figura jurídica de la </w:t>
      </w:r>
      <w:r w:rsidRPr="00341003">
        <w:rPr>
          <w:rFonts w:ascii="Palatino Linotype" w:hAnsi="Palatino Linotype" w:cs="Arial"/>
          <w:b/>
        </w:rPr>
        <w:t>NEGATIVA FICTA</w:t>
      </w:r>
      <w:r w:rsidRPr="00341003">
        <w:rPr>
          <w:rFonts w:ascii="Palatino Linotype" w:hAnsi="Palatino Linotype" w:cs="Arial"/>
        </w:rPr>
        <w:t>, cuya esencia consiste en atribuir un efecto negativo al silencio de la autoridad administrativa frente a las instancias y solicitudes que hagan los particulares.</w:t>
      </w:r>
    </w:p>
    <w:p w14:paraId="4A546F10" w14:textId="77777777" w:rsidR="00963918" w:rsidRPr="00341003" w:rsidRDefault="00963918" w:rsidP="00341003">
      <w:pPr>
        <w:pStyle w:val="Prrafodelista"/>
        <w:spacing w:before="240" w:after="240" w:line="360" w:lineRule="auto"/>
        <w:ind w:left="0"/>
        <w:jc w:val="both"/>
        <w:rPr>
          <w:rFonts w:ascii="Palatino Linotype" w:hAnsi="Palatino Linotype" w:cs="Arial"/>
        </w:rPr>
      </w:pPr>
    </w:p>
    <w:p w14:paraId="24359C2B"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 xml:space="preserve">Por su parte el artículo 178 de la </w:t>
      </w:r>
      <w:r w:rsidRPr="00341003">
        <w:rPr>
          <w:rFonts w:ascii="Palatino Linotype" w:hAnsi="Palatino Linotype" w:cs="Arial"/>
          <w:b/>
        </w:rPr>
        <w:t>Ley de Transparencia y Acceso a la Información Pública del Estado de México y Municipios</w:t>
      </w:r>
      <w:r w:rsidRPr="00341003">
        <w:rPr>
          <w:rFonts w:ascii="Palatino Linotype" w:hAnsi="Palatino Linotype" w:cs="Arial"/>
        </w:rPr>
        <w:t>, establece:</w:t>
      </w:r>
    </w:p>
    <w:p w14:paraId="37B4F1EB" w14:textId="77777777" w:rsidR="00963918" w:rsidRPr="00341003" w:rsidRDefault="00963918" w:rsidP="00341003">
      <w:pPr>
        <w:pStyle w:val="Prrafodelista"/>
        <w:spacing w:line="360" w:lineRule="auto"/>
        <w:ind w:left="0"/>
        <w:rPr>
          <w:rFonts w:ascii="Palatino Linotype" w:hAnsi="Palatino Linotype" w:cs="Arial"/>
          <w:highlight w:val="lightGray"/>
        </w:rPr>
      </w:pPr>
    </w:p>
    <w:p w14:paraId="33B1851C" w14:textId="77777777" w:rsidR="00963918" w:rsidRPr="00341003" w:rsidRDefault="00963918" w:rsidP="00341003">
      <w:pPr>
        <w:pStyle w:val="Prrafodelista"/>
        <w:spacing w:line="360" w:lineRule="auto"/>
        <w:ind w:left="851" w:right="567"/>
        <w:jc w:val="both"/>
        <w:rPr>
          <w:rFonts w:ascii="Palatino Linotype" w:hAnsi="Palatino Linotype"/>
          <w:i/>
          <w:sz w:val="22"/>
        </w:rPr>
      </w:pPr>
      <w:r w:rsidRPr="00341003">
        <w:rPr>
          <w:rFonts w:ascii="Palatino Linotype" w:hAnsi="Palatino Linotype"/>
          <w:b/>
          <w:i/>
          <w:sz w:val="22"/>
        </w:rPr>
        <w:t>Artículo 178.</w:t>
      </w:r>
      <w:r w:rsidRPr="00341003">
        <w:rPr>
          <w:rFonts w:ascii="Palatino Linotype" w:hAnsi="Palatino Linotype"/>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341003">
        <w:rPr>
          <w:rFonts w:ascii="Palatino Linotype" w:hAnsi="Palatino Linotype"/>
          <w:b/>
          <w:i/>
          <w:sz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341003">
        <w:rPr>
          <w:rFonts w:ascii="Palatino Linotype" w:hAnsi="Palatino Linotype"/>
          <w:i/>
          <w:sz w:val="22"/>
        </w:rPr>
        <w:t xml:space="preserve"> En el caso de que se interponga ante la Unidad de Transparencia, ésta deberá remitir el recurso de revisión al Instituto a más tardar al día siguiente de haberlo recibido.</w:t>
      </w:r>
    </w:p>
    <w:p w14:paraId="3C4C5A9D" w14:textId="77777777" w:rsidR="00963918" w:rsidRPr="00341003" w:rsidRDefault="00963918" w:rsidP="00341003">
      <w:pPr>
        <w:pStyle w:val="Prrafodelista"/>
        <w:spacing w:line="360" w:lineRule="auto"/>
        <w:ind w:left="567" w:right="567"/>
        <w:jc w:val="both"/>
        <w:rPr>
          <w:rFonts w:ascii="Palatino Linotype" w:hAnsi="Palatino Linotype"/>
          <w:i/>
        </w:rPr>
      </w:pPr>
    </w:p>
    <w:p w14:paraId="583D11E6"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341003">
        <w:rPr>
          <w:rFonts w:ascii="Palatino Linotype" w:hAnsi="Palatino Linotype" w:cs="Arial"/>
          <w:b/>
        </w:rPr>
        <w:t>SUJETO OBLIGADO</w:t>
      </w:r>
      <w:r w:rsidRPr="00341003">
        <w:rPr>
          <w:rFonts w:ascii="Palatino Linotype" w:hAnsi="Palatino Linotype" w:cs="Arial"/>
        </w:rPr>
        <w:t xml:space="preserve">; sin embargo </w:t>
      </w:r>
      <w:r w:rsidRPr="00341003">
        <w:rPr>
          <w:rFonts w:ascii="Palatino Linotype" w:hAnsi="Palatino Linotype" w:cs="Arial"/>
          <w:u w:val="single"/>
        </w:rPr>
        <w:t>tratándose de negativa ficta</w:t>
      </w:r>
      <w:r w:rsidRPr="00341003">
        <w:rPr>
          <w:rStyle w:val="Refdenotaalpie"/>
          <w:rFonts w:ascii="Palatino Linotype" w:hAnsi="Palatino Linotype" w:cs="Arial"/>
          <w:u w:val="single"/>
        </w:rPr>
        <w:footnoteReference w:id="1"/>
      </w:r>
      <w:r w:rsidRPr="00341003">
        <w:rPr>
          <w:rFonts w:ascii="Palatino Linotype" w:hAnsi="Palatino Linotype" w:cs="Arial"/>
        </w:rPr>
        <w:t xml:space="preserve"> no existe resolución que se haga del conocimiento del particular a partir de la cual pueda computarse dicho plazo, por tal motivo es pertinente establecer que </w:t>
      </w:r>
      <w:r w:rsidRPr="00341003">
        <w:rPr>
          <w:rFonts w:ascii="Palatino Linotype" w:hAnsi="Palatino Linotype" w:cs="Arial"/>
          <w:u w:val="single"/>
        </w:rPr>
        <w:t>no existe plazo para la interposición del recurso de revisión</w:t>
      </w:r>
      <w:r w:rsidRPr="00341003">
        <w:rPr>
          <w:rFonts w:ascii="Palatino Linotype" w:hAnsi="Palatino Linotype" w:cs="Arial"/>
        </w:rPr>
        <w:t>.</w:t>
      </w:r>
    </w:p>
    <w:p w14:paraId="39E48EBB" w14:textId="77777777" w:rsidR="00963918" w:rsidRPr="00341003" w:rsidRDefault="00963918" w:rsidP="00341003">
      <w:pPr>
        <w:pStyle w:val="Prrafodelista"/>
        <w:spacing w:before="240" w:after="240" w:line="360" w:lineRule="auto"/>
        <w:ind w:left="0"/>
        <w:jc w:val="both"/>
        <w:rPr>
          <w:rFonts w:ascii="Palatino Linotype" w:hAnsi="Palatino Linotype" w:cs="Arial"/>
        </w:rPr>
      </w:pPr>
    </w:p>
    <w:p w14:paraId="10445E2C"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29DD8757" w14:textId="77777777" w:rsidR="00963918" w:rsidRPr="00341003" w:rsidRDefault="00963918" w:rsidP="00341003">
      <w:pPr>
        <w:pStyle w:val="Prrafodelista"/>
        <w:spacing w:before="240" w:after="240" w:line="360" w:lineRule="auto"/>
        <w:ind w:left="0"/>
        <w:jc w:val="both"/>
        <w:rPr>
          <w:rFonts w:ascii="Palatino Linotype" w:hAnsi="Palatino Linotype" w:cs="Arial"/>
        </w:rPr>
      </w:pPr>
    </w:p>
    <w:p w14:paraId="329DE7C7" w14:textId="77777777" w:rsidR="00963918" w:rsidRPr="00341003" w:rsidRDefault="00963918" w:rsidP="00341003">
      <w:pPr>
        <w:pStyle w:val="Prrafodelista"/>
        <w:spacing w:before="240" w:after="240" w:line="360" w:lineRule="auto"/>
        <w:ind w:left="851" w:right="616"/>
        <w:jc w:val="center"/>
        <w:rPr>
          <w:rFonts w:ascii="Palatino Linotype" w:hAnsi="Palatino Linotype" w:cs="Arial"/>
          <w:b/>
        </w:rPr>
      </w:pPr>
      <w:r w:rsidRPr="00341003">
        <w:rPr>
          <w:rFonts w:ascii="Palatino Linotype" w:hAnsi="Palatino Linotype" w:cs="Arial"/>
          <w:b/>
        </w:rPr>
        <w:t>Criterio 0001-15</w:t>
      </w:r>
    </w:p>
    <w:p w14:paraId="6ED18898" w14:textId="77777777" w:rsidR="00963918" w:rsidRPr="00341003" w:rsidRDefault="00963918" w:rsidP="00341003">
      <w:pPr>
        <w:pStyle w:val="Prrafodelista"/>
        <w:spacing w:before="240" w:after="240" w:line="360" w:lineRule="auto"/>
        <w:ind w:left="851" w:right="616"/>
        <w:jc w:val="center"/>
        <w:rPr>
          <w:rFonts w:ascii="Palatino Linotype" w:hAnsi="Palatino Linotype" w:cs="Arial"/>
          <w:b/>
          <w:sz w:val="16"/>
        </w:rPr>
      </w:pPr>
    </w:p>
    <w:p w14:paraId="77721E1C" w14:textId="77777777" w:rsidR="00963918" w:rsidRPr="00341003" w:rsidRDefault="00963918" w:rsidP="00341003">
      <w:pPr>
        <w:pStyle w:val="Prrafodelista"/>
        <w:spacing w:before="240" w:after="240" w:line="360" w:lineRule="auto"/>
        <w:ind w:left="851" w:right="616"/>
        <w:jc w:val="both"/>
        <w:rPr>
          <w:rFonts w:ascii="Palatino Linotype" w:hAnsi="Palatino Linotype" w:cs="Arial"/>
          <w:sz w:val="22"/>
        </w:rPr>
      </w:pPr>
      <w:r w:rsidRPr="00341003">
        <w:rPr>
          <w:rFonts w:ascii="Palatino Linotype" w:hAnsi="Palatino Linotype" w:cs="Arial"/>
          <w:b/>
          <w:i/>
          <w:sz w:val="22"/>
        </w:rPr>
        <w:t>NEGATIVA FICTA. PLAZO PARA INTERPONER EL RECURSO DE REVISIÓN TRATÁNDOSE DE</w:t>
      </w:r>
      <w:r w:rsidRPr="00341003">
        <w:rPr>
          <w:rFonts w:ascii="Palatino Linotype" w:hAnsi="Palatino Linotype" w:cs="Arial"/>
          <w:i/>
          <w:sz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41003">
        <w:rPr>
          <w:rFonts w:ascii="Palatino Linotype" w:hAnsi="Palatino Linotype" w:cs="Arial"/>
          <w:sz w:val="22"/>
        </w:rPr>
        <w:t>.</w:t>
      </w:r>
    </w:p>
    <w:p w14:paraId="6FFA11C7" w14:textId="77777777" w:rsidR="00963918" w:rsidRPr="00341003" w:rsidRDefault="00963918" w:rsidP="00341003">
      <w:pPr>
        <w:pStyle w:val="Prrafodelista"/>
        <w:spacing w:before="240" w:after="240" w:line="360" w:lineRule="auto"/>
        <w:ind w:left="0"/>
        <w:jc w:val="both"/>
        <w:rPr>
          <w:rFonts w:ascii="Palatino Linotype" w:hAnsi="Palatino Linotype"/>
        </w:rPr>
      </w:pPr>
    </w:p>
    <w:p w14:paraId="6788F800" w14:textId="77777777" w:rsidR="00963918" w:rsidRPr="00341003" w:rsidRDefault="00963918"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4CE12859" w14:textId="77777777" w:rsidR="00BD59CD" w:rsidRPr="00341003" w:rsidRDefault="00BD59CD" w:rsidP="00341003">
      <w:pPr>
        <w:pStyle w:val="Prrafodelista"/>
        <w:tabs>
          <w:tab w:val="left" w:pos="0"/>
        </w:tabs>
        <w:spacing w:line="360" w:lineRule="auto"/>
        <w:ind w:left="0" w:right="49"/>
        <w:jc w:val="both"/>
        <w:rPr>
          <w:rFonts w:ascii="Palatino Linotype" w:hAnsi="Palatino Linotype"/>
        </w:rPr>
      </w:pPr>
    </w:p>
    <w:p w14:paraId="6F363215" w14:textId="77777777" w:rsidR="0032581C" w:rsidRPr="00341003" w:rsidRDefault="0032581C"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1418EF" w14:textId="4B8E0451" w:rsidR="00326BBB" w:rsidRPr="00341003" w:rsidRDefault="00C87F81" w:rsidP="00341003">
      <w:pPr>
        <w:pStyle w:val="Ttulo1"/>
        <w:spacing w:line="360" w:lineRule="auto"/>
        <w:rPr>
          <w:b/>
          <w:szCs w:val="24"/>
        </w:rPr>
      </w:pPr>
      <w:bookmarkStart w:id="44" w:name="_Toc535334653"/>
      <w:bookmarkStart w:id="45" w:name="_Toc9511338"/>
      <w:r w:rsidRPr="00341003">
        <w:rPr>
          <w:b/>
          <w:szCs w:val="24"/>
        </w:rPr>
        <w:t>TERCERO</w:t>
      </w:r>
      <w:r w:rsidR="00137045" w:rsidRPr="00341003">
        <w:rPr>
          <w:b/>
          <w:szCs w:val="24"/>
        </w:rPr>
        <w:t xml:space="preserve">. </w:t>
      </w:r>
      <w:bookmarkEnd w:id="44"/>
      <w:r w:rsidR="00326BBB" w:rsidRPr="00341003">
        <w:rPr>
          <w:b/>
          <w:szCs w:val="24"/>
        </w:rPr>
        <w:t>Previo y especial pronunciamiento.</w:t>
      </w:r>
      <w:bookmarkEnd w:id="45"/>
    </w:p>
    <w:p w14:paraId="5A0D795E" w14:textId="77777777" w:rsidR="00326BBB" w:rsidRPr="00341003" w:rsidRDefault="00326BBB" w:rsidP="00341003">
      <w:pPr>
        <w:spacing w:line="360" w:lineRule="auto"/>
        <w:rPr>
          <w:rFonts w:ascii="Palatino Linotype" w:hAnsi="Palatino Linotype"/>
          <w:lang w:eastAsia="en-US"/>
        </w:rPr>
      </w:pPr>
    </w:p>
    <w:p w14:paraId="51F5DE65" w14:textId="77777777" w:rsidR="00326BBB" w:rsidRPr="00341003" w:rsidRDefault="00326BBB" w:rsidP="00341003">
      <w:pPr>
        <w:pStyle w:val="Prrafodelista"/>
        <w:keepNext/>
        <w:keepLines/>
        <w:numPr>
          <w:ilvl w:val="0"/>
          <w:numId w:val="6"/>
        </w:numPr>
        <w:spacing w:line="360" w:lineRule="auto"/>
        <w:outlineLvl w:val="0"/>
        <w:rPr>
          <w:rFonts w:ascii="Palatino Linotype" w:eastAsia="Calibri" w:hAnsi="Palatino Linotype" w:cs="Times New Roman"/>
          <w:b/>
          <w:bCs/>
          <w:lang w:val="es-ES"/>
        </w:rPr>
      </w:pPr>
      <w:bookmarkStart w:id="46" w:name="_Toc4684434"/>
      <w:bookmarkStart w:id="47" w:name="_Toc9511339"/>
      <w:r w:rsidRPr="00341003">
        <w:rPr>
          <w:rFonts w:ascii="Palatino Linotype" w:eastAsia="Calibri" w:hAnsi="Palatino Linotype" w:cs="Times New Roman"/>
          <w:b/>
          <w:bCs/>
          <w:lang w:val="es-ES"/>
        </w:rPr>
        <w:t>La falta de informe justificado.</w:t>
      </w:r>
      <w:bookmarkEnd w:id="46"/>
      <w:bookmarkEnd w:id="47"/>
      <w:r w:rsidRPr="00341003">
        <w:rPr>
          <w:rFonts w:ascii="Palatino Linotype" w:eastAsia="Calibri" w:hAnsi="Palatino Linotype" w:cs="Times New Roman"/>
          <w:b/>
          <w:bCs/>
          <w:lang w:val="es-ES"/>
        </w:rPr>
        <w:t xml:space="preserve"> </w:t>
      </w:r>
    </w:p>
    <w:p w14:paraId="60619AF6" w14:textId="77777777" w:rsidR="00326BBB" w:rsidRPr="00341003" w:rsidRDefault="00326BBB" w:rsidP="00341003">
      <w:pPr>
        <w:pStyle w:val="Prrafodelista"/>
        <w:keepNext/>
        <w:keepLines/>
        <w:spacing w:line="360" w:lineRule="auto"/>
        <w:ind w:left="1080"/>
        <w:outlineLvl w:val="0"/>
        <w:rPr>
          <w:rFonts w:ascii="Palatino Linotype" w:eastAsia="Calibri" w:hAnsi="Palatino Linotype" w:cs="Times New Roman"/>
          <w:b/>
          <w:bCs/>
          <w:lang w:val="es-ES"/>
        </w:rPr>
      </w:pPr>
    </w:p>
    <w:p w14:paraId="1B82BA24" w14:textId="77777777"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341003">
        <w:rPr>
          <w:rFonts w:ascii="Palatino Linotype" w:eastAsia="Calibri" w:hAnsi="Palatino Linotype" w:cs="Times New Roman"/>
          <w:lang w:val="es-ES"/>
        </w:rPr>
        <w:t xml:space="preserve">El </w:t>
      </w:r>
      <w:r w:rsidRPr="00341003">
        <w:rPr>
          <w:rFonts w:ascii="Palatino Linotype" w:eastAsia="Calibri" w:hAnsi="Palatino Linotype" w:cs="Times New Roman"/>
          <w:b/>
          <w:lang w:val="es-ES"/>
        </w:rPr>
        <w:t xml:space="preserve">SUJETO OBLIGADO </w:t>
      </w:r>
      <w:r w:rsidRPr="00341003">
        <w:rPr>
          <w:rFonts w:ascii="Palatino Linotype" w:eastAsia="Calibri" w:hAnsi="Palatino Linotype" w:cs="Times New Roman"/>
          <w:lang w:val="es-ES"/>
        </w:rPr>
        <w:t xml:space="preserve">fue omiso de enviar el </w:t>
      </w:r>
      <w:r w:rsidRPr="00341003">
        <w:rPr>
          <w:rFonts w:ascii="Palatino Linotype" w:eastAsia="MS Mincho" w:hAnsi="Palatino Linotype" w:cs="Times New Roman"/>
        </w:rPr>
        <w:t>informe justificado</w:t>
      </w:r>
      <w:r w:rsidRPr="00341003">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341003">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012BCAB4" w14:textId="77777777" w:rsidR="00326BBB" w:rsidRPr="00341003" w:rsidRDefault="00326BBB" w:rsidP="00341003">
      <w:pPr>
        <w:tabs>
          <w:tab w:val="left" w:pos="426"/>
        </w:tabs>
        <w:spacing w:before="240" w:after="240" w:line="360" w:lineRule="auto"/>
        <w:ind w:right="49"/>
        <w:contextualSpacing/>
        <w:jc w:val="both"/>
        <w:rPr>
          <w:rFonts w:ascii="Palatino Linotype" w:eastAsia="Calibri" w:hAnsi="Palatino Linotype" w:cs="Times New Roman"/>
          <w:b/>
          <w:i/>
        </w:rPr>
      </w:pPr>
    </w:p>
    <w:p w14:paraId="080C03C8" w14:textId="77777777" w:rsidR="00326BBB" w:rsidRPr="00341003" w:rsidRDefault="00326BBB" w:rsidP="00341003">
      <w:pPr>
        <w:spacing w:before="240" w:after="240" w:line="360" w:lineRule="auto"/>
        <w:ind w:left="851" w:right="567"/>
        <w:contextualSpacing/>
        <w:jc w:val="both"/>
        <w:rPr>
          <w:rFonts w:ascii="Palatino Linotype" w:eastAsia="Calibri" w:hAnsi="Palatino Linotype" w:cs="Times New Roman"/>
          <w:strike/>
          <w:lang w:val="es-ES"/>
        </w:rPr>
      </w:pPr>
      <w:r w:rsidRPr="00341003">
        <w:rPr>
          <w:rFonts w:ascii="Palatino Linotype" w:eastAsia="Calibri" w:hAnsi="Palatino Linotype" w:cs="Arial"/>
          <w:b/>
          <w:i/>
          <w:lang w:val="es-ES"/>
        </w:rPr>
        <w:t xml:space="preserve">QUEJA, RECURSO DE. LA OMISION DE RENDIR EL INFORME RESPECTIVO NO IMPIDE QUE SE RESUELVA. </w:t>
      </w:r>
      <w:r w:rsidRPr="00341003">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FF9BF76" w14:textId="77777777"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eastAsia="Times New Roman" w:hAnsi="Palatino Linotype" w:cs="Arial"/>
          <w:color w:val="222222"/>
          <w:lang w:val="es-ES" w:eastAsia="es-MX"/>
        </w:rPr>
        <w:t>Por lo cual se reitera, l</w:t>
      </w:r>
      <w:r w:rsidRPr="00341003">
        <w:rPr>
          <w:rFonts w:ascii="Palatino Linotype" w:eastAsia="MS Mincho" w:hAnsi="Palatino Linotype" w:cs="Times New Roman"/>
        </w:rPr>
        <w:t xml:space="preserve">a falta de informe justificado no impide que este Órgano Garante conozca y resuelva el recurso de revisión, solo propicia que el </w:t>
      </w:r>
      <w:r w:rsidRPr="00341003">
        <w:rPr>
          <w:rFonts w:ascii="Palatino Linotype" w:eastAsia="MS Mincho" w:hAnsi="Palatino Linotype" w:cs="Times New Roman"/>
          <w:b/>
        </w:rPr>
        <w:t>SUJETO</w:t>
      </w:r>
      <w:r w:rsidRPr="00341003">
        <w:rPr>
          <w:rFonts w:ascii="Palatino Linotype" w:eastAsia="MS Mincho" w:hAnsi="Palatino Linotype" w:cs="Times New Roman"/>
        </w:rPr>
        <w:t xml:space="preserve"> </w:t>
      </w:r>
      <w:r w:rsidRPr="00341003">
        <w:rPr>
          <w:rFonts w:ascii="Palatino Linotype" w:eastAsia="MS Mincho" w:hAnsi="Palatino Linotype" w:cs="Times New Roman"/>
          <w:b/>
        </w:rPr>
        <w:t>OBLIGADO</w:t>
      </w:r>
      <w:r w:rsidRPr="00341003">
        <w:rPr>
          <w:rFonts w:ascii="Palatino Linotype" w:eastAsia="MS Mincho" w:hAnsi="Palatino Linotype" w:cs="Times New Roman"/>
        </w:rPr>
        <w:t xml:space="preserve"> pierda la oportunidad de justificar su respuesta y manifestar lo que a su derecho convenga.</w:t>
      </w:r>
    </w:p>
    <w:p w14:paraId="438F034F" w14:textId="76DAFAAD" w:rsidR="003B2420" w:rsidRPr="00341003" w:rsidRDefault="00326BBB" w:rsidP="00341003">
      <w:pPr>
        <w:pStyle w:val="Ttulo1"/>
        <w:spacing w:line="360" w:lineRule="auto"/>
        <w:rPr>
          <w:rFonts w:eastAsia="Calibri" w:cs="Times New Roman"/>
          <w:b/>
          <w:bCs/>
          <w:szCs w:val="24"/>
          <w:lang w:val="es-ES"/>
        </w:rPr>
      </w:pPr>
      <w:bookmarkStart w:id="48" w:name="_Toc9511340"/>
      <w:r w:rsidRPr="00341003">
        <w:rPr>
          <w:b/>
          <w:szCs w:val="24"/>
        </w:rPr>
        <w:t xml:space="preserve">CUARTO. </w:t>
      </w:r>
      <w:r w:rsidR="00AB5E7A" w:rsidRPr="00341003">
        <w:rPr>
          <w:rFonts w:eastAsia="Calibri" w:cs="Times New Roman"/>
          <w:b/>
          <w:bCs/>
          <w:szCs w:val="24"/>
          <w:lang w:val="es-ES"/>
        </w:rPr>
        <w:t xml:space="preserve">Del planteamiento de la </w:t>
      </w:r>
      <w:proofErr w:type="spellStart"/>
      <w:r w:rsidR="00AB5E7A" w:rsidRPr="00341003">
        <w:rPr>
          <w:rFonts w:eastAsia="Calibri" w:cs="Times New Roman"/>
          <w:b/>
          <w:bCs/>
          <w:szCs w:val="24"/>
          <w:lang w:val="es-ES"/>
        </w:rPr>
        <w:t>litis</w:t>
      </w:r>
      <w:proofErr w:type="spellEnd"/>
      <w:r w:rsidR="003B2420" w:rsidRPr="00341003">
        <w:rPr>
          <w:rFonts w:eastAsia="Calibri" w:cs="Times New Roman"/>
          <w:b/>
          <w:bCs/>
          <w:szCs w:val="24"/>
          <w:lang w:val="es-ES"/>
        </w:rPr>
        <w:t>.</w:t>
      </w:r>
      <w:bookmarkEnd w:id="48"/>
      <w:r w:rsidR="003B2420" w:rsidRPr="00341003">
        <w:rPr>
          <w:rFonts w:eastAsia="Calibri" w:cs="Times New Roman"/>
          <w:b/>
          <w:bCs/>
          <w:szCs w:val="24"/>
          <w:lang w:val="es-ES"/>
        </w:rPr>
        <w:t xml:space="preserve"> </w:t>
      </w:r>
    </w:p>
    <w:p w14:paraId="3AE3CCD3" w14:textId="77777777" w:rsidR="00762A67" w:rsidRPr="00341003" w:rsidRDefault="00762A67" w:rsidP="00341003">
      <w:pPr>
        <w:spacing w:line="360" w:lineRule="auto"/>
        <w:rPr>
          <w:rFonts w:ascii="Palatino Linotype" w:hAnsi="Palatino Linotype"/>
          <w:sz w:val="10"/>
          <w:lang w:val="es-ES" w:eastAsia="en-US"/>
        </w:rPr>
      </w:pPr>
    </w:p>
    <w:p w14:paraId="600B9E36" w14:textId="77777777" w:rsidR="0061388E" w:rsidRPr="00341003" w:rsidRDefault="00326BBB" w:rsidP="00341003">
      <w:pPr>
        <w:pStyle w:val="Prrafodelista"/>
        <w:numPr>
          <w:ilvl w:val="0"/>
          <w:numId w:val="1"/>
        </w:numPr>
        <w:spacing w:line="360" w:lineRule="auto"/>
        <w:ind w:left="0" w:firstLine="0"/>
        <w:jc w:val="both"/>
        <w:rPr>
          <w:rFonts w:ascii="Palatino Linotype" w:hAnsi="Palatino Linotype" w:cs="Arial"/>
          <w:color w:val="000000" w:themeColor="text1"/>
        </w:rPr>
      </w:pPr>
      <w:bookmarkStart w:id="49" w:name="_Toc531781772"/>
      <w:r w:rsidRPr="00341003">
        <w:rPr>
          <w:rFonts w:ascii="Palatino Linotype" w:eastAsia="Calibri" w:hAnsi="Palatino Linotype" w:cs="Arial"/>
        </w:rPr>
        <w:t xml:space="preserve">El </w:t>
      </w:r>
      <w:r w:rsidRPr="00341003">
        <w:rPr>
          <w:rFonts w:ascii="Palatino Linotype" w:hAnsi="Palatino Linotype" w:cs="Arial"/>
          <w:b/>
        </w:rPr>
        <w:t xml:space="preserve">SUJETO OBLIGADO </w:t>
      </w:r>
      <w:r w:rsidRPr="00341003">
        <w:rPr>
          <w:rFonts w:ascii="Palatino Linotype" w:hAnsi="Palatino Linotype" w:cs="Arial"/>
        </w:rPr>
        <w:t>fue omiso en atender la solicitud de acceso a la información pública presentada por el particular en el periodo comprendido para dar respuesta.</w:t>
      </w:r>
    </w:p>
    <w:p w14:paraId="6FA62E3F" w14:textId="77777777" w:rsidR="0061388E" w:rsidRPr="00341003" w:rsidRDefault="0061388E" w:rsidP="00341003">
      <w:pPr>
        <w:pStyle w:val="Prrafodelista"/>
        <w:spacing w:line="360" w:lineRule="auto"/>
        <w:ind w:left="0"/>
        <w:jc w:val="both"/>
        <w:rPr>
          <w:rFonts w:ascii="Palatino Linotype" w:hAnsi="Palatino Linotype" w:cs="Arial"/>
          <w:color w:val="000000" w:themeColor="text1"/>
          <w:sz w:val="16"/>
        </w:rPr>
      </w:pPr>
    </w:p>
    <w:p w14:paraId="062DEB5E" w14:textId="33CEA9D6" w:rsidR="00326BBB" w:rsidRPr="00341003" w:rsidRDefault="00326BBB" w:rsidP="00341003">
      <w:pPr>
        <w:pStyle w:val="Prrafodelista"/>
        <w:numPr>
          <w:ilvl w:val="0"/>
          <w:numId w:val="1"/>
        </w:numPr>
        <w:spacing w:line="360" w:lineRule="auto"/>
        <w:ind w:left="0" w:firstLine="0"/>
        <w:jc w:val="both"/>
        <w:rPr>
          <w:rFonts w:ascii="Palatino Linotype" w:hAnsi="Palatino Linotype" w:cs="Arial"/>
          <w:color w:val="000000" w:themeColor="text1"/>
        </w:rPr>
      </w:pPr>
      <w:r w:rsidRPr="00341003">
        <w:rPr>
          <w:rFonts w:ascii="Palatino Linotype" w:hAnsi="Palatino Linotype" w:cs="Arial"/>
          <w:color w:val="000000" w:themeColor="text1"/>
        </w:rPr>
        <w:t xml:space="preserve">Derivado de la omisión del </w:t>
      </w:r>
      <w:r w:rsidRPr="00341003">
        <w:rPr>
          <w:rFonts w:ascii="Palatino Linotype" w:hAnsi="Palatino Linotype" w:cs="Arial"/>
          <w:b/>
          <w:color w:val="000000" w:themeColor="text1"/>
        </w:rPr>
        <w:t>SUJETO OBLIGADO</w:t>
      </w:r>
      <w:r w:rsidRPr="00341003">
        <w:rPr>
          <w:rFonts w:ascii="Palatino Linotype" w:hAnsi="Palatino Linotype" w:cs="Arial"/>
          <w:color w:val="000000" w:themeColor="text1"/>
        </w:rPr>
        <w:t xml:space="preserve">, </w:t>
      </w:r>
      <w:r w:rsidR="00A47860" w:rsidRPr="00341003">
        <w:rPr>
          <w:rFonts w:ascii="Palatino Linotype" w:hAnsi="Palatino Linotype" w:cs="Arial"/>
          <w:color w:val="000000" w:themeColor="text1"/>
        </w:rPr>
        <w:t>el</w:t>
      </w:r>
      <w:r w:rsidRPr="00341003">
        <w:rPr>
          <w:rFonts w:ascii="Palatino Linotype" w:hAnsi="Palatino Linotype" w:cs="Arial"/>
          <w:color w:val="000000" w:themeColor="text1"/>
        </w:rPr>
        <w:t xml:space="preserve"> </w:t>
      </w:r>
      <w:r w:rsidRPr="00341003">
        <w:rPr>
          <w:rFonts w:ascii="Palatino Linotype" w:hAnsi="Palatino Linotype" w:cs="Arial"/>
          <w:b/>
          <w:color w:val="000000" w:themeColor="text1"/>
        </w:rPr>
        <w:t>RECURRENTE</w:t>
      </w:r>
      <w:r w:rsidRPr="00341003">
        <w:rPr>
          <w:rFonts w:ascii="Palatino Linotype" w:hAnsi="Palatino Linotype" w:cs="Arial"/>
          <w:color w:val="000000" w:themeColor="text1"/>
        </w:rPr>
        <w:t xml:space="preserve"> presentó su inconformidad señalando como razones o motivo de la inconformidad los ya transcritos.</w:t>
      </w:r>
    </w:p>
    <w:p w14:paraId="2AAB2F5F" w14:textId="77777777" w:rsidR="00326BBB" w:rsidRPr="00341003" w:rsidRDefault="00326BBB" w:rsidP="00341003">
      <w:pPr>
        <w:pStyle w:val="Prrafodelista"/>
        <w:spacing w:line="360" w:lineRule="auto"/>
        <w:rPr>
          <w:rFonts w:ascii="Palatino Linotype" w:hAnsi="Palatino Linotype" w:cs="Arial"/>
          <w:color w:val="000000" w:themeColor="text1"/>
        </w:rPr>
      </w:pPr>
    </w:p>
    <w:p w14:paraId="04450829" w14:textId="2809E93F" w:rsidR="00326BBB" w:rsidRPr="00341003" w:rsidRDefault="00326BBB" w:rsidP="00341003">
      <w:pPr>
        <w:pStyle w:val="Prrafodelista"/>
        <w:numPr>
          <w:ilvl w:val="0"/>
          <w:numId w:val="1"/>
        </w:numPr>
        <w:spacing w:line="360" w:lineRule="auto"/>
        <w:ind w:left="0" w:right="49" w:firstLine="0"/>
        <w:jc w:val="both"/>
        <w:rPr>
          <w:rFonts w:ascii="Palatino Linotype" w:eastAsia="MS Mincho" w:hAnsi="Palatino Linotype" w:cs="Arial"/>
        </w:rPr>
      </w:pPr>
      <w:r w:rsidRPr="00341003">
        <w:rPr>
          <w:rFonts w:ascii="Palatino Linotype" w:eastAsia="MS Mincho" w:hAnsi="Palatino Linotype" w:cs="Arial"/>
        </w:rPr>
        <w:t>En</w:t>
      </w:r>
      <w:r w:rsidRPr="00341003">
        <w:rPr>
          <w:rFonts w:ascii="Palatino Linotype" w:eastAsia="Times New Roman" w:hAnsi="Palatino Linotype" w:cs="Arial"/>
        </w:rPr>
        <w:t xml:space="preserve"> </w:t>
      </w:r>
      <w:r w:rsidRPr="00341003">
        <w:rPr>
          <w:rFonts w:ascii="Palatino Linotype" w:hAnsi="Palatino Linotype" w:cs="Arial"/>
          <w:lang w:eastAsia="es-MX"/>
        </w:rPr>
        <w:t>dichas</w:t>
      </w:r>
      <w:r w:rsidRPr="00341003">
        <w:rPr>
          <w:rFonts w:ascii="Palatino Linotype" w:eastAsia="Times New Roman" w:hAnsi="Palatino Linotype" w:cs="Arial"/>
        </w:rPr>
        <w:t xml:space="preserve"> condiciones, la </w:t>
      </w:r>
      <w:r w:rsidRPr="00341003">
        <w:rPr>
          <w:rFonts w:ascii="Palatino Linotype" w:eastAsia="Times New Roman" w:hAnsi="Palatino Linotype" w:cs="Arial"/>
          <w:i/>
        </w:rPr>
        <w:t>Litis</w:t>
      </w:r>
      <w:r w:rsidRPr="00341003">
        <w:rPr>
          <w:rFonts w:ascii="Palatino Linotype" w:eastAsia="Times New Roman" w:hAnsi="Palatino Linotype" w:cs="Arial"/>
        </w:rPr>
        <w:t xml:space="preserve"> a resolver en este recurso se circunscribe a determinar si </w:t>
      </w:r>
      <w:r w:rsidRPr="00341003">
        <w:rPr>
          <w:rFonts w:ascii="Palatino Linotype" w:eastAsia="MS Mincho" w:hAnsi="Palatino Linotype" w:cs="Arial"/>
        </w:rPr>
        <w:t xml:space="preserve">se actualizan las causales de procedencia previstas en las fracciones VII y XI del artículo 179 de la </w:t>
      </w:r>
      <w:r w:rsidRPr="00341003">
        <w:rPr>
          <w:rFonts w:ascii="Palatino Linotype" w:eastAsia="MS Mincho" w:hAnsi="Palatino Linotype" w:cs="Arial"/>
          <w:b/>
        </w:rPr>
        <w:t>Ley de Transparencia y Acceso a la Información Pública del Estado de México y Municipios</w:t>
      </w:r>
      <w:r w:rsidRPr="00341003">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341003">
        <w:rPr>
          <w:rFonts w:ascii="Palatino Linotype" w:eastAsia="MS Mincho" w:hAnsi="Palatino Linotype" w:cs="Arial"/>
          <w:b/>
        </w:rPr>
        <w:t>RECURRENTE</w:t>
      </w:r>
      <w:r w:rsidRPr="00341003">
        <w:rPr>
          <w:rFonts w:ascii="Palatino Linotype" w:eastAsia="MS Mincho" w:hAnsi="Palatino Linotype" w:cs="Arial"/>
        </w:rPr>
        <w:t xml:space="preserve"> al momento de interponer el recurso de mérito.</w:t>
      </w:r>
    </w:p>
    <w:p w14:paraId="554919D3" w14:textId="77777777" w:rsidR="0061388E" w:rsidRPr="00341003" w:rsidRDefault="0061388E" w:rsidP="00341003">
      <w:pPr>
        <w:keepNext/>
        <w:keepLines/>
        <w:spacing w:before="40" w:line="360" w:lineRule="auto"/>
        <w:outlineLvl w:val="1"/>
        <w:rPr>
          <w:rFonts w:ascii="Palatino Linotype" w:eastAsia="Calibri" w:hAnsi="Palatino Linotype" w:cs="Times New Roman"/>
          <w:b/>
          <w:bCs/>
          <w:sz w:val="12"/>
          <w:lang w:val="es-ES"/>
        </w:rPr>
      </w:pPr>
    </w:p>
    <w:p w14:paraId="596BB403" w14:textId="1225EF42" w:rsidR="00326BBB" w:rsidRPr="00341003" w:rsidRDefault="005D3CE5" w:rsidP="00341003">
      <w:pPr>
        <w:keepNext/>
        <w:keepLines/>
        <w:spacing w:before="40" w:line="360" w:lineRule="auto"/>
        <w:outlineLvl w:val="1"/>
        <w:rPr>
          <w:rFonts w:ascii="Palatino Linotype" w:eastAsia="MS Gothic" w:hAnsi="Palatino Linotype" w:cs="Times New Roman"/>
          <w:b/>
        </w:rPr>
      </w:pPr>
      <w:bookmarkStart w:id="50" w:name="_Toc9511341"/>
      <w:r w:rsidRPr="00341003">
        <w:rPr>
          <w:rFonts w:ascii="Palatino Linotype" w:eastAsia="Calibri" w:hAnsi="Palatino Linotype" w:cs="Times New Roman"/>
          <w:b/>
          <w:bCs/>
          <w:lang w:val="es-ES"/>
        </w:rPr>
        <w:t>QUINTO</w:t>
      </w:r>
      <w:r w:rsidR="00AB5E7A" w:rsidRPr="00341003">
        <w:rPr>
          <w:rFonts w:ascii="Palatino Linotype" w:eastAsia="Calibri" w:hAnsi="Palatino Linotype" w:cs="Times New Roman"/>
          <w:b/>
          <w:bCs/>
          <w:lang w:val="es-ES"/>
        </w:rPr>
        <w:t xml:space="preserve">. </w:t>
      </w:r>
      <w:r w:rsidR="00AB5E7A" w:rsidRPr="00341003">
        <w:rPr>
          <w:rFonts w:ascii="Palatino Linotype" w:eastAsia="MS Gothic" w:hAnsi="Palatino Linotype" w:cs="Times New Roman"/>
          <w:b/>
        </w:rPr>
        <w:t>Del estudio y resolución del asunto</w:t>
      </w:r>
      <w:bookmarkEnd w:id="49"/>
      <w:r w:rsidR="00AB5E7A" w:rsidRPr="00341003">
        <w:rPr>
          <w:rFonts w:ascii="Palatino Linotype" w:eastAsia="MS Gothic" w:hAnsi="Palatino Linotype" w:cs="Times New Roman"/>
          <w:b/>
        </w:rPr>
        <w:t>.</w:t>
      </w:r>
      <w:bookmarkEnd w:id="50"/>
      <w:r w:rsidR="00AB5E7A" w:rsidRPr="00341003">
        <w:rPr>
          <w:rFonts w:ascii="Palatino Linotype" w:eastAsia="MS Gothic" w:hAnsi="Palatino Linotype" w:cs="Times New Roman"/>
          <w:b/>
        </w:rPr>
        <w:t xml:space="preserve"> </w:t>
      </w:r>
    </w:p>
    <w:p w14:paraId="2C16BDC3" w14:textId="77777777" w:rsidR="00326BBB" w:rsidRPr="00341003" w:rsidRDefault="00326BBB" w:rsidP="00341003">
      <w:pPr>
        <w:pStyle w:val="Ttulo1"/>
        <w:numPr>
          <w:ilvl w:val="0"/>
          <w:numId w:val="3"/>
        </w:numPr>
        <w:spacing w:line="360" w:lineRule="auto"/>
        <w:rPr>
          <w:b/>
          <w:szCs w:val="24"/>
        </w:rPr>
      </w:pPr>
      <w:bookmarkStart w:id="51" w:name="_Toc1585428"/>
      <w:bookmarkStart w:id="52" w:name="_Toc4684437"/>
      <w:bookmarkStart w:id="53" w:name="_Toc9511342"/>
      <w:bookmarkStart w:id="54" w:name="_Toc4071139"/>
      <w:r w:rsidRPr="00341003">
        <w:rPr>
          <w:b/>
          <w:szCs w:val="24"/>
        </w:rPr>
        <w:t>Del deber de las autoridades de promover, respetar, proteger y garantizar el derecho de acceso a la información pública.</w:t>
      </w:r>
      <w:bookmarkEnd w:id="51"/>
      <w:bookmarkEnd w:id="52"/>
      <w:bookmarkEnd w:id="53"/>
    </w:p>
    <w:p w14:paraId="7F7AB1C9" w14:textId="77777777" w:rsidR="00326BBB" w:rsidRPr="00341003" w:rsidRDefault="00326BBB" w:rsidP="00341003">
      <w:pPr>
        <w:spacing w:line="360" w:lineRule="auto"/>
        <w:rPr>
          <w:rFonts w:ascii="Palatino Linotype" w:hAnsi="Palatino Linotype"/>
          <w:sz w:val="4"/>
          <w:lang w:eastAsia="en-US"/>
        </w:rPr>
      </w:pPr>
    </w:p>
    <w:p w14:paraId="1A44C513" w14:textId="77777777"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41003">
        <w:rPr>
          <w:rFonts w:ascii="Palatino Linotype" w:hAnsi="Palatino Linotype"/>
        </w:rPr>
        <w:t xml:space="preserve">Es menester precisar que este </w:t>
      </w:r>
      <w:r w:rsidRPr="00341003">
        <w:rPr>
          <w:rFonts w:ascii="Palatino Linotype" w:eastAsia="MS Mincho" w:hAnsi="Palatino Linotype" w:cs="Times New Roman"/>
          <w:color w:val="000000"/>
        </w:rPr>
        <w:t xml:space="preserve">Órgano Garante parte de que </w:t>
      </w:r>
      <w:r w:rsidRPr="0034100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341003">
        <w:rPr>
          <w:rFonts w:ascii="Palatino Linotype" w:eastAsia="Times New Roman" w:hAnsi="Palatino Linotype" w:cs="Arial"/>
          <w:color w:val="000000"/>
        </w:rPr>
        <w:t xml:space="preserve"> </w:t>
      </w:r>
      <w:r w:rsidRPr="00341003">
        <w:rPr>
          <w:rFonts w:ascii="Palatino Linotype" w:eastAsia="Times New Roman" w:hAnsi="Palatino Linotype" w:cs="Arial"/>
          <w:b/>
          <w:color w:val="000000"/>
        </w:rPr>
        <w:t>SUJETO OBLIGADO</w:t>
      </w:r>
      <w:r w:rsidRPr="0034100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41003">
        <w:rPr>
          <w:rFonts w:ascii="Palatino Linotype" w:eastAsia="Times New Roman" w:hAnsi="Palatino Linotype" w:cs="Arial"/>
          <w:b/>
          <w:color w:val="000000"/>
        </w:rPr>
        <w:t xml:space="preserve">Constitución Política de los Estados Unidos Mexicanos </w:t>
      </w:r>
      <w:r w:rsidRPr="00341003">
        <w:rPr>
          <w:rFonts w:ascii="Palatino Linotype" w:eastAsia="Times New Roman" w:hAnsi="Palatino Linotype" w:cs="Arial"/>
          <w:color w:val="000000"/>
        </w:rPr>
        <w:t xml:space="preserve">al señalar la obligación de “promover, </w:t>
      </w:r>
      <w:r w:rsidRPr="00341003">
        <w:rPr>
          <w:rFonts w:ascii="Palatino Linotype" w:eastAsia="Times New Roman" w:hAnsi="Palatino Linotype" w:cs="Arial"/>
          <w:b/>
          <w:color w:val="000000"/>
        </w:rPr>
        <w:t>respetar</w:t>
      </w:r>
      <w:r w:rsidRPr="00341003">
        <w:rPr>
          <w:rFonts w:ascii="Palatino Linotype" w:eastAsia="Times New Roman" w:hAnsi="Palatino Linotype" w:cs="Arial"/>
          <w:color w:val="000000"/>
        </w:rPr>
        <w:t xml:space="preserve">, proteger y </w:t>
      </w:r>
      <w:r w:rsidRPr="00341003">
        <w:rPr>
          <w:rFonts w:ascii="Palatino Linotype" w:eastAsia="Times New Roman" w:hAnsi="Palatino Linotype" w:cs="Arial"/>
          <w:b/>
          <w:color w:val="000000"/>
        </w:rPr>
        <w:t>garantizar</w:t>
      </w:r>
      <w:r w:rsidRPr="00341003">
        <w:rPr>
          <w:rFonts w:ascii="Palatino Linotype" w:eastAsia="Times New Roman" w:hAnsi="Palatino Linotype" w:cs="Arial"/>
          <w:color w:val="000000"/>
        </w:rPr>
        <w:t xml:space="preserve"> los derechos humanos”, entre los cuales se encuentra dicho derecho. </w:t>
      </w:r>
    </w:p>
    <w:p w14:paraId="5B493AF9" w14:textId="77777777" w:rsidR="00326BBB" w:rsidRPr="00341003" w:rsidRDefault="00326BBB" w:rsidP="00341003">
      <w:pPr>
        <w:pStyle w:val="Prrafodelista"/>
        <w:spacing w:before="240" w:after="240" w:line="360" w:lineRule="auto"/>
        <w:ind w:left="0" w:right="49"/>
        <w:jc w:val="both"/>
        <w:rPr>
          <w:rFonts w:ascii="Palatino Linotype" w:eastAsia="MS Mincho" w:hAnsi="Palatino Linotype" w:cs="Times New Roman"/>
          <w:color w:val="000000"/>
        </w:rPr>
      </w:pPr>
    </w:p>
    <w:p w14:paraId="236850D4" w14:textId="77777777"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1003">
        <w:rPr>
          <w:rFonts w:ascii="Palatino Linotype" w:eastAsia="Times New Roman" w:hAnsi="Palatino Linotype"/>
        </w:rPr>
        <w:t xml:space="preserve">Ahora bien, el Derecho de Acceso a la Información Pública se define como: </w:t>
      </w:r>
      <w:r w:rsidRPr="00341003">
        <w:rPr>
          <w:rFonts w:ascii="Palatino Linotype" w:hAnsi="Palatino Linotype"/>
          <w:i/>
          <w:color w:val="000000"/>
        </w:rPr>
        <w:t>La igualdad de oportunidades para recibir, buscar e impartir información</w:t>
      </w:r>
      <w:r w:rsidRPr="00341003">
        <w:rPr>
          <w:rStyle w:val="Refdenotaalpie"/>
          <w:rFonts w:ascii="Palatino Linotype" w:hAnsi="Palatino Linotype"/>
          <w:i/>
          <w:color w:val="000000"/>
        </w:rPr>
        <w:footnoteReference w:id="2"/>
      </w:r>
      <w:r w:rsidRPr="0034100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1003">
        <w:rPr>
          <w:rStyle w:val="Refdenotaalpie"/>
          <w:rFonts w:ascii="Palatino Linotype" w:hAnsi="Palatino Linotype"/>
          <w:i/>
          <w:color w:val="000000"/>
        </w:rPr>
        <w:footnoteReference w:id="3"/>
      </w:r>
      <w:r w:rsidRPr="00341003">
        <w:rPr>
          <w:rFonts w:ascii="Palatino Linotype" w:hAnsi="Palatino Linotype"/>
          <w:color w:val="000000"/>
        </w:rPr>
        <w:t>que se constituye como una herramienta fundamental para ejercer</w:t>
      </w:r>
      <w:r w:rsidRPr="0034100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41003">
        <w:rPr>
          <w:rStyle w:val="Refdenotaalpie"/>
          <w:rFonts w:ascii="Palatino Linotype" w:hAnsi="Palatino Linotype"/>
          <w:i/>
          <w:color w:val="000000"/>
        </w:rPr>
        <w:footnoteReference w:id="4"/>
      </w:r>
      <w:r w:rsidRPr="00341003">
        <w:rPr>
          <w:rFonts w:ascii="Palatino Linotype" w:hAnsi="Palatino Linotype"/>
          <w:color w:val="000000"/>
        </w:rPr>
        <w:t>fomentando</w:t>
      </w:r>
      <w:r w:rsidRPr="00341003">
        <w:rPr>
          <w:rFonts w:ascii="Palatino Linotype" w:hAnsi="Palatino Linotype"/>
          <w:i/>
          <w:color w:val="000000"/>
        </w:rPr>
        <w:t xml:space="preserve"> la transparencia de las actividades estatales y </w:t>
      </w:r>
      <w:r w:rsidRPr="00341003">
        <w:rPr>
          <w:rFonts w:ascii="Palatino Linotype" w:hAnsi="Palatino Linotype"/>
          <w:color w:val="000000"/>
        </w:rPr>
        <w:t>promoviendo</w:t>
      </w:r>
      <w:r w:rsidRPr="00341003">
        <w:rPr>
          <w:rFonts w:ascii="Palatino Linotype" w:hAnsi="Palatino Linotype"/>
          <w:i/>
          <w:color w:val="000000"/>
        </w:rPr>
        <w:t xml:space="preserve"> la responsabilidad de los funcionarios sobre su gestión pública,</w:t>
      </w:r>
      <w:r w:rsidRPr="00341003">
        <w:rPr>
          <w:rStyle w:val="Refdenotaalpie"/>
          <w:rFonts w:ascii="Palatino Linotype" w:hAnsi="Palatino Linotype"/>
          <w:i/>
          <w:color w:val="000000"/>
        </w:rPr>
        <w:footnoteReference w:id="5"/>
      </w:r>
      <w:r w:rsidRPr="00341003">
        <w:rPr>
          <w:rFonts w:ascii="Palatino Linotype" w:hAnsi="Palatino Linotype"/>
          <w:color w:val="000000"/>
        </w:rPr>
        <w:t>que permite</w:t>
      </w:r>
      <w:r w:rsidRPr="0034100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3F19DD8" w14:textId="77777777" w:rsidR="00326BBB" w:rsidRPr="00341003" w:rsidRDefault="00326BBB" w:rsidP="00341003">
      <w:pPr>
        <w:pStyle w:val="Prrafodelista"/>
        <w:spacing w:line="360" w:lineRule="auto"/>
        <w:rPr>
          <w:rFonts w:ascii="Palatino Linotype" w:eastAsia="Times New Roman" w:hAnsi="Palatino Linotype"/>
        </w:rPr>
      </w:pPr>
    </w:p>
    <w:p w14:paraId="17415697" w14:textId="77777777"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100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0A3A0B8" w14:textId="77777777" w:rsidR="00326BBB" w:rsidRPr="00341003" w:rsidRDefault="00326BBB" w:rsidP="00341003">
      <w:pPr>
        <w:pStyle w:val="Prrafodelista"/>
        <w:spacing w:line="360" w:lineRule="auto"/>
        <w:rPr>
          <w:rFonts w:ascii="Palatino Linotype" w:eastAsia="Times New Roman" w:hAnsi="Palatino Linotype"/>
        </w:rPr>
      </w:pPr>
    </w:p>
    <w:p w14:paraId="60597FB8" w14:textId="77777777"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hAnsi="Palatino Linotype"/>
          <w:i/>
        </w:rPr>
      </w:pPr>
      <w:r w:rsidRPr="00341003">
        <w:rPr>
          <w:rFonts w:ascii="Palatino Linotype" w:eastAsia="Times New Roman" w:hAnsi="Palatino Linotype"/>
        </w:rPr>
        <w:t xml:space="preserve">En el caso concreto que nos ocupa analizar, el </w:t>
      </w:r>
      <w:r w:rsidRPr="00341003">
        <w:rPr>
          <w:rFonts w:ascii="Palatino Linotype" w:eastAsia="Times New Roman" w:hAnsi="Palatino Linotype"/>
          <w:b/>
        </w:rPr>
        <w:t xml:space="preserve">SUJETO OBLIGADO </w:t>
      </w:r>
      <w:r w:rsidRPr="00341003">
        <w:rPr>
          <w:rFonts w:ascii="Palatino Linotype" w:eastAsia="Times New Roman" w:hAnsi="Palatino Linotype"/>
        </w:rPr>
        <w:t>omitió responder a la solicitud de información,</w:t>
      </w:r>
      <w:r w:rsidRPr="00341003">
        <w:rPr>
          <w:rFonts w:ascii="Palatino Linotype" w:hAnsi="Palatino Linotype"/>
        </w:rPr>
        <w:t xml:space="preserve"> situación </w:t>
      </w:r>
      <w:r w:rsidRPr="00341003">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341003">
        <w:rPr>
          <w:rFonts w:ascii="Palatino Linotype" w:hAnsi="Palatino Linotype" w:cs="Arial"/>
          <w:u w:val="single"/>
        </w:rPr>
        <w:t>prevenir, investigar, sancionar y reparar las violaciones a los derechos humanos</w:t>
      </w:r>
      <w:r w:rsidRPr="00341003">
        <w:rPr>
          <w:rFonts w:ascii="Palatino Linotype" w:hAnsi="Palatino Linotype" w:cs="Arial"/>
        </w:rPr>
        <w:t xml:space="preserve">.  </w:t>
      </w:r>
    </w:p>
    <w:p w14:paraId="64859D9E" w14:textId="77777777" w:rsidR="00326BBB" w:rsidRPr="00341003" w:rsidRDefault="00326BBB" w:rsidP="00341003">
      <w:pPr>
        <w:pStyle w:val="Prrafodelista"/>
        <w:spacing w:line="360" w:lineRule="auto"/>
        <w:rPr>
          <w:rFonts w:ascii="Palatino Linotype" w:eastAsia="Times New Roman" w:hAnsi="Palatino Linotype"/>
        </w:rPr>
      </w:pPr>
    </w:p>
    <w:p w14:paraId="2BB907CF" w14:textId="572E2396" w:rsidR="00326BBB" w:rsidRPr="00341003" w:rsidRDefault="00326BBB" w:rsidP="0034100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1003">
        <w:rPr>
          <w:rFonts w:ascii="Palatino Linotype" w:eastAsia="Times New Roman" w:hAnsi="Palatino Linotype"/>
        </w:rPr>
        <w:t xml:space="preserve">En este orden de ideas, la </w:t>
      </w:r>
      <w:r w:rsidRPr="00341003">
        <w:rPr>
          <w:rFonts w:ascii="Palatino Linotype" w:eastAsia="Times New Roman" w:hAnsi="Palatino Linotype"/>
          <w:b/>
        </w:rPr>
        <w:t xml:space="preserve">Ley de Transparencia y Acceso a la Información Pública del Estado de México y Municipios, </w:t>
      </w:r>
      <w:r w:rsidRPr="0034100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41003">
        <w:rPr>
          <w:rFonts w:ascii="Palatino Linotype" w:eastAsia="Times New Roman" w:hAnsi="Palatino Linotype"/>
          <w:b/>
        </w:rPr>
        <w:t xml:space="preserve"> </w:t>
      </w:r>
      <w:r w:rsidRPr="00341003">
        <w:rPr>
          <w:rFonts w:ascii="Palatino Linotype" w:eastAsia="Times New Roman" w:hAnsi="Palatino Linotype"/>
        </w:rPr>
        <w:t xml:space="preserve">establece que </w:t>
      </w:r>
      <w:r w:rsidRPr="00341003">
        <w:rPr>
          <w:rFonts w:ascii="Palatino Linotype" w:eastAsia="Times New Roman" w:hAnsi="Palatino Linotype"/>
          <w:i/>
        </w:rPr>
        <w:t xml:space="preserve">el </w:t>
      </w:r>
      <w:r w:rsidRPr="00341003">
        <w:rPr>
          <w:rFonts w:ascii="Palatino Linotype" w:eastAsia="Times New Roman" w:hAnsi="Palatino Linotype"/>
          <w:i/>
          <w:u w:val="single"/>
        </w:rPr>
        <w:t>recurso de revisión</w:t>
      </w:r>
      <w:r w:rsidRPr="00341003">
        <w:rPr>
          <w:rFonts w:ascii="Palatino Linotype" w:eastAsia="Times New Roman" w:hAnsi="Palatino Linotype"/>
          <w:i/>
        </w:rPr>
        <w:t xml:space="preserve"> es la garantía secundaria mediante la cual se pretende reparar cualquier posible afectación al derecho de acceso a la información pública</w:t>
      </w:r>
      <w:r w:rsidRPr="00341003">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874879C" w14:textId="77777777" w:rsidR="0061388E" w:rsidRPr="00341003" w:rsidRDefault="0061388E" w:rsidP="00341003">
      <w:pPr>
        <w:pStyle w:val="Prrafodelista"/>
        <w:spacing w:line="360" w:lineRule="auto"/>
        <w:rPr>
          <w:rFonts w:ascii="Palatino Linotype" w:eastAsia="Times New Roman" w:hAnsi="Palatino Linotype"/>
        </w:rPr>
      </w:pPr>
    </w:p>
    <w:p w14:paraId="30DC2267" w14:textId="2799890A" w:rsidR="00325F5F" w:rsidRDefault="00326BBB" w:rsidP="00341003">
      <w:pPr>
        <w:pStyle w:val="Ttulo3"/>
        <w:numPr>
          <w:ilvl w:val="0"/>
          <w:numId w:val="3"/>
        </w:numPr>
        <w:spacing w:line="360" w:lineRule="auto"/>
        <w:rPr>
          <w:rFonts w:ascii="Palatino Linotype" w:hAnsi="Palatino Linotype"/>
          <w:b/>
          <w:color w:val="auto"/>
        </w:rPr>
      </w:pPr>
      <w:bookmarkStart w:id="55" w:name="_Toc4684438"/>
      <w:bookmarkStart w:id="56" w:name="_Toc9511343"/>
      <w:bookmarkEnd w:id="54"/>
      <w:r w:rsidRPr="00341003">
        <w:rPr>
          <w:rFonts w:ascii="Palatino Linotype" w:hAnsi="Palatino Linotype"/>
          <w:b/>
          <w:color w:val="auto"/>
        </w:rPr>
        <w:t>De la naturaleza jurídica de la información solicitada</w:t>
      </w:r>
      <w:bookmarkEnd w:id="55"/>
      <w:bookmarkEnd w:id="56"/>
    </w:p>
    <w:p w14:paraId="482AFE7A" w14:textId="77777777" w:rsidR="00B75D8B" w:rsidRPr="00B75D8B" w:rsidRDefault="00B75D8B" w:rsidP="00B75D8B"/>
    <w:p w14:paraId="313C7034" w14:textId="77777777" w:rsidR="004E3C12" w:rsidRPr="00341003" w:rsidRDefault="004E3C12"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lang w:val="es-MX" w:eastAsia="en-US"/>
        </w:rPr>
        <w:t xml:space="preserve">En el caso concreto que nos ocupa analizar y derivado del </w:t>
      </w:r>
      <w:r w:rsidRPr="00341003">
        <w:rPr>
          <w:rFonts w:ascii="Palatino Linotype" w:eastAsia="Calibri" w:hAnsi="Palatino Linotype" w:cs="Arial"/>
          <w:color w:val="000000" w:themeColor="text1"/>
          <w:lang w:val="es-MX" w:eastAsia="en-US"/>
        </w:rPr>
        <w:t xml:space="preserve">razonamiento lógico-jurídico de las constancias que obran en el expediente electrónico al rubro indicado y </w:t>
      </w:r>
      <w:r w:rsidRPr="00341003">
        <w:rPr>
          <w:rFonts w:ascii="Palatino Linotype" w:hAnsi="Palatino Linotype"/>
        </w:rPr>
        <w:t>atendiendo los principios de simplicidad y rapidez antes mencionados y  reconocidos en el ejercicio del derecho de acceso a la información, el</w:t>
      </w:r>
      <w:r w:rsidRPr="00341003">
        <w:rPr>
          <w:rFonts w:ascii="Palatino Linotype" w:hAnsi="Palatino Linotype" w:cs="Arial"/>
          <w:color w:val="000000" w:themeColor="text1"/>
        </w:rPr>
        <w:t xml:space="preserve"> hoy </w:t>
      </w:r>
      <w:r w:rsidRPr="00341003">
        <w:rPr>
          <w:rFonts w:ascii="Palatino Linotype" w:hAnsi="Palatino Linotype" w:cs="Arial"/>
          <w:b/>
          <w:color w:val="000000" w:themeColor="text1"/>
        </w:rPr>
        <w:t xml:space="preserve">RECURRENTE </w:t>
      </w:r>
      <w:r w:rsidRPr="00341003">
        <w:rPr>
          <w:rFonts w:ascii="Palatino Linotype" w:hAnsi="Palatino Linotype" w:cs="Arial"/>
          <w:color w:val="000000" w:themeColor="text1"/>
        </w:rPr>
        <w:t xml:space="preserve"> solicitó  lo siguiente:</w:t>
      </w:r>
    </w:p>
    <w:p w14:paraId="76A959D2" w14:textId="77777777" w:rsidR="004E3C12" w:rsidRPr="00341003" w:rsidRDefault="004E3C12" w:rsidP="00341003">
      <w:pPr>
        <w:pStyle w:val="Prrafodelista"/>
        <w:tabs>
          <w:tab w:val="left" w:pos="0"/>
        </w:tabs>
        <w:spacing w:line="360" w:lineRule="auto"/>
        <w:ind w:left="0" w:right="49"/>
        <w:jc w:val="both"/>
        <w:rPr>
          <w:rFonts w:ascii="Palatino Linotype" w:hAnsi="Palatino Linotype"/>
          <w:lang w:val="es-MX" w:eastAsia="en-US"/>
        </w:rPr>
      </w:pPr>
    </w:p>
    <w:p w14:paraId="59E7D2CF" w14:textId="77777777" w:rsidR="004E3C12" w:rsidRPr="00341003" w:rsidRDefault="004E3C12" w:rsidP="00341003">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sidRPr="00341003">
        <w:rPr>
          <w:rFonts w:ascii="Palatino Linotype" w:hAnsi="Palatino Linotype"/>
          <w:lang w:val="es-MX" w:eastAsia="en-US"/>
        </w:rPr>
        <w:t>Montos en pesos mexicanos que el Partido Morena ha destinado al financiamiento de actividades específicas y actividades ordinarias;</w:t>
      </w:r>
    </w:p>
    <w:p w14:paraId="2D8F436A" w14:textId="77777777" w:rsidR="004E3C12" w:rsidRPr="00341003" w:rsidRDefault="004E3C12" w:rsidP="00341003">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sidRPr="00341003">
        <w:rPr>
          <w:rFonts w:ascii="Palatino Linotype" w:hAnsi="Palatino Linotype"/>
          <w:lang w:val="es-MX" w:eastAsia="en-US"/>
        </w:rPr>
        <w:t xml:space="preserve">Monto total de recursos públicos destinados a los comités municipales o denominación equivalente de los municipios de </w:t>
      </w:r>
      <w:proofErr w:type="spellStart"/>
      <w:r w:rsidRPr="00341003">
        <w:rPr>
          <w:rFonts w:ascii="Palatino Linotype" w:hAnsi="Palatino Linotype"/>
          <w:lang w:val="es-MX" w:eastAsia="en-US"/>
        </w:rPr>
        <w:t>Acambay</w:t>
      </w:r>
      <w:proofErr w:type="spellEnd"/>
      <w:r w:rsidRPr="00341003">
        <w:rPr>
          <w:rFonts w:ascii="Palatino Linotype" w:hAnsi="Palatino Linotype"/>
          <w:lang w:val="es-MX" w:eastAsia="en-US"/>
        </w:rPr>
        <w:t xml:space="preserve">, El Oro, San Felipe del Progreso, </w:t>
      </w:r>
      <w:proofErr w:type="spellStart"/>
      <w:r w:rsidRPr="00341003">
        <w:rPr>
          <w:rFonts w:ascii="Palatino Linotype" w:hAnsi="Palatino Linotype"/>
          <w:lang w:val="es-MX" w:eastAsia="en-US"/>
        </w:rPr>
        <w:t>Temascalcingo</w:t>
      </w:r>
      <w:proofErr w:type="spellEnd"/>
      <w:r w:rsidRPr="00341003">
        <w:rPr>
          <w:rFonts w:ascii="Palatino Linotype" w:hAnsi="Palatino Linotype"/>
          <w:lang w:val="es-MX" w:eastAsia="en-US"/>
        </w:rPr>
        <w:t xml:space="preserve">, </w:t>
      </w:r>
      <w:proofErr w:type="spellStart"/>
      <w:r w:rsidRPr="00341003">
        <w:rPr>
          <w:rFonts w:ascii="Palatino Linotype" w:hAnsi="Palatino Linotype"/>
          <w:lang w:val="es-MX" w:eastAsia="en-US"/>
        </w:rPr>
        <w:t>Jilotepec</w:t>
      </w:r>
      <w:proofErr w:type="spellEnd"/>
      <w:r w:rsidRPr="00341003">
        <w:rPr>
          <w:rFonts w:ascii="Palatino Linotype" w:hAnsi="Palatino Linotype"/>
          <w:lang w:val="es-MX" w:eastAsia="en-US"/>
        </w:rPr>
        <w:t xml:space="preserve"> y </w:t>
      </w:r>
      <w:proofErr w:type="spellStart"/>
      <w:r w:rsidRPr="00341003">
        <w:rPr>
          <w:rFonts w:ascii="Palatino Linotype" w:hAnsi="Palatino Linotype"/>
          <w:lang w:val="es-MX" w:eastAsia="en-US"/>
        </w:rPr>
        <w:t>Jocotitlán</w:t>
      </w:r>
      <w:proofErr w:type="spellEnd"/>
      <w:r w:rsidRPr="00341003">
        <w:rPr>
          <w:rFonts w:ascii="Palatino Linotype" w:hAnsi="Palatino Linotype"/>
          <w:lang w:val="es-MX" w:eastAsia="en-US"/>
        </w:rPr>
        <w:t xml:space="preserve">, actividad por actividad según el cronograma de actividades que tengan estipulado del uno de enero al 31 de diciembre de 2019; y, </w:t>
      </w:r>
    </w:p>
    <w:p w14:paraId="6C1A08C8" w14:textId="77777777" w:rsidR="004E3C12" w:rsidRPr="00341003" w:rsidRDefault="004E3C12" w:rsidP="00341003">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sidRPr="00341003">
        <w:rPr>
          <w:rFonts w:ascii="Palatino Linotype" w:hAnsi="Palatino Linotype" w:cs="Arial"/>
          <w:color w:val="000000" w:themeColor="text1"/>
        </w:rPr>
        <w:t xml:space="preserve">Dirección de los comités municipales o denominación equivalente de los municipios citados, así como número telefónico, correo electrónico y todas las demás formas de contacto con las que cuenten. </w:t>
      </w:r>
    </w:p>
    <w:p w14:paraId="3DCFC13D" w14:textId="77777777" w:rsidR="004E3C12" w:rsidRPr="00341003" w:rsidRDefault="004E3C12" w:rsidP="00341003">
      <w:pPr>
        <w:pStyle w:val="Prrafodelista"/>
        <w:tabs>
          <w:tab w:val="left" w:pos="0"/>
        </w:tabs>
        <w:spacing w:line="360" w:lineRule="auto"/>
        <w:ind w:right="49"/>
        <w:jc w:val="both"/>
        <w:rPr>
          <w:rFonts w:ascii="Palatino Linotype" w:hAnsi="Palatino Linotype" w:cs="Arial"/>
          <w:color w:val="000000" w:themeColor="text1"/>
        </w:rPr>
      </w:pPr>
    </w:p>
    <w:p w14:paraId="1A883D6C" w14:textId="43988453" w:rsidR="004E3C12" w:rsidRPr="00341003" w:rsidRDefault="004E3C12" w:rsidP="00341003">
      <w:pPr>
        <w:pStyle w:val="Prrafodelista"/>
        <w:numPr>
          <w:ilvl w:val="0"/>
          <w:numId w:val="1"/>
        </w:numPr>
        <w:spacing w:line="360" w:lineRule="auto"/>
        <w:ind w:left="0" w:firstLine="0"/>
        <w:jc w:val="both"/>
        <w:rPr>
          <w:rFonts w:ascii="Palatino Linotype" w:hAnsi="Palatino Linotype" w:cs="Arial"/>
          <w:lang w:eastAsia="es-MX"/>
        </w:rPr>
      </w:pPr>
      <w:r w:rsidRPr="00341003">
        <w:rPr>
          <w:rFonts w:ascii="Palatino Linotype" w:hAnsi="Palatino Linotype" w:cs="Arial"/>
          <w:lang w:eastAsia="es-MX"/>
        </w:rPr>
        <w:t>Resulta importante señalar que la Constitución Política de los Estados Unidos Mexicanos, contempla en el contenido del artículo 6, que los sujetos obligados deberán documentar todo acto que derive del ejercicio de sus facultades, competencias o funciones, asimismo, contempla co</w:t>
      </w:r>
      <w:r w:rsidRPr="00341003">
        <w:rPr>
          <w:rFonts w:ascii="Palatino Linotype" w:hAnsi="Palatino Linotype" w:cs="Arial"/>
          <w:u w:val="single"/>
          <w:lang w:eastAsia="es-MX"/>
        </w:rPr>
        <w:t>mo sujetos obligados directos a los partidos políticos.</w:t>
      </w:r>
      <w:r w:rsidRPr="00341003">
        <w:rPr>
          <w:rFonts w:ascii="Palatino Linotype" w:hAnsi="Palatino Linotype" w:cs="Arial"/>
          <w:lang w:eastAsia="es-MX"/>
        </w:rPr>
        <w:t xml:space="preserve"> Misma situación se tiene prevista en la  </w:t>
      </w:r>
      <w:r w:rsidRPr="00341003">
        <w:rPr>
          <w:rFonts w:ascii="Palatino Linotype" w:hAnsi="Palatino Linotype" w:cs="Arial"/>
          <w:b/>
          <w:lang w:eastAsia="es-MX"/>
        </w:rPr>
        <w:t>Ley General de Transparencia y Acceso a la Información Pública</w:t>
      </w:r>
      <w:r w:rsidRPr="00341003">
        <w:rPr>
          <w:rFonts w:ascii="Palatino Linotype" w:hAnsi="Palatino Linotype" w:cs="Arial"/>
          <w:lang w:eastAsia="es-MX"/>
        </w:rPr>
        <w:t xml:space="preserve">  en su artículo 23 y en </w:t>
      </w:r>
      <w:r w:rsidRPr="00341003">
        <w:rPr>
          <w:rFonts w:ascii="Palatino Linotype" w:hAnsi="Palatino Linotype" w:cs="Arial"/>
          <w:b/>
          <w:lang w:eastAsia="es-MX"/>
        </w:rPr>
        <w:t>la Ley de Transparencia y Acceso a la Información Pública del Estado de México y Municipios</w:t>
      </w:r>
      <w:r w:rsidRPr="00341003">
        <w:rPr>
          <w:rFonts w:ascii="Palatino Linotype" w:hAnsi="Palatino Linotype" w:cs="Arial"/>
          <w:lang w:eastAsia="es-MX"/>
        </w:rPr>
        <w:t xml:space="preserve"> en el artículo 23, el cual señala en su fracción VII que estarán obligados a transparentar y permitir el acceso a su información y proteger los datos personales que obren en su poder </w:t>
      </w:r>
      <w:r w:rsidRPr="00341003">
        <w:rPr>
          <w:rFonts w:ascii="Palatino Linotype" w:hAnsi="Palatino Linotype" w:cs="Arial"/>
          <w:u w:val="single"/>
          <w:lang w:eastAsia="es-MX"/>
        </w:rPr>
        <w:t>los partidos políticos y agrupaciones políticas</w:t>
      </w:r>
      <w:r w:rsidRPr="00341003">
        <w:rPr>
          <w:rFonts w:ascii="Palatino Linotype" w:hAnsi="Palatino Linotype" w:cs="Arial"/>
          <w:lang w:eastAsia="es-MX"/>
        </w:rPr>
        <w:t>, en los términos de las disposiciones aplicables.</w:t>
      </w:r>
    </w:p>
    <w:p w14:paraId="77A91CF1" w14:textId="77777777" w:rsidR="004E3C12" w:rsidRPr="00341003" w:rsidRDefault="004E3C12" w:rsidP="00341003">
      <w:pPr>
        <w:pStyle w:val="Prrafodelista"/>
        <w:spacing w:line="360" w:lineRule="auto"/>
        <w:rPr>
          <w:rFonts w:ascii="Palatino Linotype" w:hAnsi="Palatino Linotype" w:cs="Arial"/>
          <w:lang w:eastAsia="es-MX"/>
        </w:rPr>
      </w:pPr>
    </w:p>
    <w:p w14:paraId="2DC8390C" w14:textId="77777777" w:rsidR="004E3C12" w:rsidRPr="00341003" w:rsidRDefault="004E3C12" w:rsidP="00341003">
      <w:pPr>
        <w:pStyle w:val="Prrafodelista"/>
        <w:numPr>
          <w:ilvl w:val="0"/>
          <w:numId w:val="1"/>
        </w:numPr>
        <w:spacing w:line="360" w:lineRule="auto"/>
        <w:ind w:left="0" w:firstLine="0"/>
        <w:jc w:val="both"/>
        <w:rPr>
          <w:rFonts w:ascii="Palatino Linotype" w:hAnsi="Palatino Linotype" w:cs="Arial"/>
          <w:lang w:eastAsia="es-MX"/>
        </w:rPr>
      </w:pPr>
      <w:r w:rsidRPr="00341003">
        <w:rPr>
          <w:rFonts w:ascii="Palatino Linotype" w:hAnsi="Palatino Linotype" w:cs="Arial"/>
          <w:lang w:eastAsia="es-MX"/>
        </w:rPr>
        <w:t>Al respecto, la Ley General de Partidos Políticos en su artículo 28 señala que toda persona tiene derecho a acceder a la información de los partidos políticos de conformidad con las normas previstas la legislación en materia de transparencia y acceso a la información, además señala que el organismo autónomo garante en materia de transparencia tendrá competencia para conocer de los asuntos relacionados con el acceso a la información pública y la protección de datos personales en posesión de los partidos políticos, tal como resulta ser en el presente asunto.</w:t>
      </w:r>
    </w:p>
    <w:p w14:paraId="2B4E974E" w14:textId="77777777" w:rsidR="004E3C12" w:rsidRPr="00341003" w:rsidRDefault="004E3C12" w:rsidP="00341003">
      <w:pPr>
        <w:spacing w:line="360" w:lineRule="auto"/>
        <w:jc w:val="both"/>
        <w:rPr>
          <w:rFonts w:ascii="Palatino Linotype" w:hAnsi="Palatino Linotype" w:cs="Arial"/>
          <w:lang w:eastAsia="es-MX"/>
        </w:rPr>
      </w:pPr>
    </w:p>
    <w:p w14:paraId="3E0FB170"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 xml:space="preserve">Es importante resaltar en el presente asunto, que los partidos políticos son entidades de interés público con personalidad jurídica y patrimonio propios, con registro legal ante el Instituto Nacional Electoral o ante los Organismos Públicos Locales, y tienen </w:t>
      </w:r>
      <w:r w:rsidRPr="00341003">
        <w:rPr>
          <w:rFonts w:ascii="Palatino Linotype" w:hAnsi="Palatino Linotype" w:cs="Arial"/>
          <w:b/>
        </w:rPr>
        <w:t>como fin promover la participación del pueblo en la vida democrática, contribuir a la integración de los órganos de representación política</w:t>
      </w:r>
      <w:r w:rsidRPr="00341003">
        <w:rPr>
          <w:rFonts w:ascii="Palatino Linotype" w:hAnsi="Palatino Linotype" w:cs="Arial"/>
        </w:rPr>
        <w:t xml:space="preserve"> y, </w:t>
      </w:r>
      <w:r w:rsidRPr="00341003">
        <w:rPr>
          <w:rFonts w:ascii="Palatino Linotype" w:hAnsi="Palatino Linotype" w:cs="Arial"/>
          <w:b/>
        </w:rPr>
        <w:t>como organizaciones de ciudadanos, hacer posible el acceso de éstos al ejercicio del poder público</w:t>
      </w:r>
      <w:r w:rsidRPr="00341003">
        <w:rPr>
          <w:rFonts w:ascii="Palatino Linotype" w:hAnsi="Palatino Linotype" w:cs="Arial"/>
        </w:rPr>
        <w:t>, esto en comunión con lo establecido en el artículo 3 de la Ley General de Partidos Políticos, así mismo, dicha normatividad.</w:t>
      </w:r>
    </w:p>
    <w:p w14:paraId="7B16D945" w14:textId="77777777" w:rsidR="00EF50B6" w:rsidRPr="00341003" w:rsidRDefault="00EF50B6" w:rsidP="00341003">
      <w:pPr>
        <w:pStyle w:val="Prrafodelista"/>
        <w:spacing w:line="360" w:lineRule="auto"/>
        <w:ind w:left="0"/>
        <w:jc w:val="both"/>
        <w:rPr>
          <w:rFonts w:ascii="Palatino Linotype" w:hAnsi="Palatino Linotype" w:cs="Arial"/>
        </w:rPr>
      </w:pPr>
    </w:p>
    <w:p w14:paraId="369A2620"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De conformidad con lo establecido en el artículo 39 del Código Electoral del Estado de México, se considera la existencia de Partidos Políticos Nacionales y Locales, entendiéndose por los primeros como aquellos que cuenten con registro ante el Instituto Nacional Electoral, mientras que por los segundos se refiere a aquellos que cuenten con registro otorgado por el Instituto Electoral del Estado de México.</w:t>
      </w:r>
    </w:p>
    <w:p w14:paraId="52B56F6B" w14:textId="77777777" w:rsidR="00EF50B6" w:rsidRPr="00B75D8B" w:rsidRDefault="00EF50B6" w:rsidP="00341003">
      <w:pPr>
        <w:pStyle w:val="Prrafodelista"/>
        <w:spacing w:line="360" w:lineRule="auto"/>
        <w:rPr>
          <w:rFonts w:ascii="Palatino Linotype" w:hAnsi="Palatino Linotype" w:cs="Arial"/>
          <w:sz w:val="8"/>
        </w:rPr>
      </w:pPr>
    </w:p>
    <w:p w14:paraId="158034E4"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 xml:space="preserve">En esa tesitura, respecto al contenido de la solicitud que hoy nos ocupa, la Ley General de Partidos Políticos contempla dentro de las obligaciones de los partidos políticos la de conducirse en sus actividades </w:t>
      </w:r>
      <w:r w:rsidRPr="00341003">
        <w:rPr>
          <w:rFonts w:ascii="Palatino Linotype" w:hAnsi="Palatino Linotype" w:cs="Arial"/>
          <w:bCs/>
        </w:rPr>
        <w:t>dentro de los cauces legales y ajustar su conducta y la de sus militantes a los principios del Estado democrático, respetando la libre participación política de los demás partidos políticos y los derechos de los ciudadanos, asimismo es de resaltar que tienen como atribución inherente la de cumplir con las obligaciones que la legislación en materia de transparencia y acceso a su información les impone.</w:t>
      </w:r>
    </w:p>
    <w:p w14:paraId="7279BA35" w14:textId="77777777" w:rsidR="00EF50B6" w:rsidRPr="00B75D8B" w:rsidRDefault="00EF50B6" w:rsidP="00341003">
      <w:pPr>
        <w:pStyle w:val="Prrafodelista"/>
        <w:spacing w:line="360" w:lineRule="auto"/>
        <w:rPr>
          <w:rFonts w:ascii="Palatino Linotype" w:hAnsi="Palatino Linotype" w:cs="Arial"/>
          <w:bCs/>
          <w:sz w:val="16"/>
        </w:rPr>
      </w:pPr>
    </w:p>
    <w:p w14:paraId="42E989FA"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bCs/>
        </w:rPr>
        <w:t>Por lo que se tiene que sin lugar a dudas, los partidos políticos, dentro del marco de sus funciones, atribuciones y competencias están obligados a transparentar su actuar y a rendir cuentas a la población toda vez que, se entiende que en ellos recae la representación de los ciudadanos para acceder a los puestos públicos, quienes una vez ahí no dejan de tener obligaciones de transparencia, sino más aún, se tiene un compromiso mayor con la población que conforma tanto el territorio nacional como el de las entidades federativas, precisamente por constituirse como organizaciones representantes de los ciudadanos.</w:t>
      </w:r>
    </w:p>
    <w:p w14:paraId="145F0614" w14:textId="77777777" w:rsidR="00EF50B6" w:rsidRPr="00341003" w:rsidRDefault="00EF50B6" w:rsidP="00341003">
      <w:pPr>
        <w:pStyle w:val="Prrafodelista"/>
        <w:spacing w:line="360" w:lineRule="auto"/>
        <w:rPr>
          <w:rFonts w:ascii="Palatino Linotype" w:hAnsi="Palatino Linotype" w:cs="Arial"/>
          <w:lang w:eastAsia="es-MX"/>
        </w:rPr>
      </w:pPr>
    </w:p>
    <w:p w14:paraId="1C78E0F8"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41003">
        <w:rPr>
          <w:rFonts w:ascii="Palatino Linotype" w:hAnsi="Palatino Linotype" w:cs="Arial"/>
          <w:lang w:eastAsia="es-MX"/>
        </w:rPr>
        <w:t>Ahora bien, la multicitada Ley General de Partidos Políticos</w:t>
      </w:r>
      <w:r w:rsidRPr="00341003">
        <w:rPr>
          <w:rFonts w:ascii="Palatino Linotype" w:hAnsi="Palatino Linotype" w:cs="Arial"/>
          <w:bCs/>
        </w:rPr>
        <w:t xml:space="preserve"> contempla en si  </w:t>
      </w:r>
      <w:r w:rsidRPr="00341003">
        <w:rPr>
          <w:rFonts w:ascii="Palatino Linotype" w:hAnsi="Palatino Linotype" w:cs="Arial"/>
          <w:bCs/>
          <w:lang w:eastAsia="es-MX"/>
        </w:rPr>
        <w:t xml:space="preserve">CAPÍTULO IV el apartado relativo </w:t>
      </w:r>
      <w:r w:rsidRPr="00341003">
        <w:rPr>
          <w:rFonts w:ascii="Palatino Linotype" w:hAnsi="Palatino Linotype" w:cs="Arial"/>
          <w:b/>
          <w:bCs/>
          <w:lang w:eastAsia="es-MX"/>
        </w:rPr>
        <w:t xml:space="preserve">“De las Obligaciones de los Partidos Políticos en Materia de Transparencia” </w:t>
      </w:r>
      <w:r w:rsidRPr="00341003">
        <w:rPr>
          <w:rFonts w:ascii="Palatino Linotype" w:hAnsi="Palatino Linotype" w:cs="Arial"/>
          <w:bCs/>
          <w:lang w:eastAsia="es-MX"/>
        </w:rPr>
        <w:t xml:space="preserve">en cuyo contenido dispone indudablemente que los partidos políticos deberán cumplir de manera obligatoria lo dispuesto en la legislación en materia de transparencia, que para tal caso aplica </w:t>
      </w:r>
      <w:r w:rsidRPr="00341003">
        <w:rPr>
          <w:rFonts w:ascii="Palatino Linotype" w:hAnsi="Palatino Linotype" w:cs="Arial"/>
          <w:b/>
          <w:bCs/>
          <w:lang w:eastAsia="es-MX"/>
        </w:rPr>
        <w:t>Ley de Transparencia y Acceso a la Información Pública del Estado de México y Municipios.</w:t>
      </w:r>
    </w:p>
    <w:p w14:paraId="645B4A4E" w14:textId="77777777" w:rsidR="00EF50B6" w:rsidRPr="00341003" w:rsidRDefault="00EF50B6" w:rsidP="00341003">
      <w:pPr>
        <w:pStyle w:val="Prrafodelista"/>
        <w:spacing w:line="360" w:lineRule="auto"/>
        <w:rPr>
          <w:rFonts w:ascii="Palatino Linotype" w:hAnsi="Palatino Linotype" w:cs="Arial"/>
          <w:lang w:eastAsia="es-MX"/>
        </w:rPr>
      </w:pPr>
    </w:p>
    <w:p w14:paraId="1D3E85BA"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41003">
        <w:rPr>
          <w:rFonts w:ascii="Palatino Linotype" w:hAnsi="Palatino Linotype" w:cs="Arial"/>
          <w:lang w:eastAsia="es-MX"/>
        </w:rPr>
        <w:t>Por razón de lo anterior, es necesario señalar lo que contempla el artículo 28 de la Ley General de Partidos Políticos, respecto de las documentales para los partidos políticos que por su naturaleza se consideran públicas y que están contenidas en el artículo 30 de la normatividad en cita:</w:t>
      </w:r>
    </w:p>
    <w:p w14:paraId="029CFFEC" w14:textId="77777777" w:rsidR="00EF50B6" w:rsidRPr="00B75D8B" w:rsidRDefault="00EF50B6" w:rsidP="00341003">
      <w:pPr>
        <w:spacing w:line="360" w:lineRule="auto"/>
        <w:ind w:right="709"/>
        <w:rPr>
          <w:rFonts w:ascii="Palatino Linotype" w:hAnsi="Palatino Linotype" w:cs="Arial"/>
          <w:b/>
          <w:bCs/>
          <w:i/>
          <w:strike/>
          <w:sz w:val="8"/>
          <w:u w:val="single"/>
        </w:rPr>
      </w:pPr>
    </w:p>
    <w:p w14:paraId="5C12C1EC" w14:textId="77777777" w:rsidR="00EF50B6" w:rsidRPr="00341003" w:rsidRDefault="00EF50B6" w:rsidP="00341003">
      <w:pPr>
        <w:spacing w:line="360" w:lineRule="auto"/>
        <w:ind w:left="567" w:right="567"/>
        <w:jc w:val="both"/>
        <w:rPr>
          <w:rFonts w:ascii="Palatino Linotype" w:hAnsi="Palatino Linotype" w:cs="Arial"/>
          <w:b/>
          <w:bCs/>
          <w:i/>
        </w:rPr>
      </w:pPr>
      <w:r w:rsidRPr="00341003">
        <w:rPr>
          <w:rFonts w:ascii="Palatino Linotype" w:hAnsi="Palatino Linotype" w:cs="Arial"/>
          <w:b/>
          <w:bCs/>
          <w:i/>
        </w:rPr>
        <w:t>Artículo 30.</w:t>
      </w:r>
    </w:p>
    <w:p w14:paraId="56A655A0" w14:textId="77777777" w:rsidR="00EF50B6" w:rsidRPr="00341003" w:rsidRDefault="00EF50B6" w:rsidP="00341003">
      <w:pPr>
        <w:spacing w:line="360" w:lineRule="auto"/>
        <w:ind w:left="567" w:right="567"/>
        <w:jc w:val="both"/>
        <w:rPr>
          <w:rFonts w:ascii="Palatino Linotype" w:hAnsi="Palatino Linotype" w:cs="Arial"/>
          <w:b/>
          <w:bCs/>
          <w:i/>
          <w:u w:val="single"/>
        </w:rPr>
      </w:pPr>
      <w:r w:rsidRPr="00341003">
        <w:rPr>
          <w:rFonts w:ascii="Palatino Linotype" w:hAnsi="Palatino Linotype" w:cs="Arial"/>
          <w:b/>
          <w:bCs/>
          <w:i/>
          <w:u w:val="single"/>
        </w:rPr>
        <w:t>1. Se considera información pública de los partidos políticos:</w:t>
      </w:r>
    </w:p>
    <w:p w14:paraId="41693893" w14:textId="7694DDBC" w:rsidR="00EF50B6" w:rsidRPr="00341003" w:rsidRDefault="00A05B6E" w:rsidP="00341003">
      <w:pPr>
        <w:spacing w:line="360" w:lineRule="auto"/>
        <w:ind w:left="567" w:right="567"/>
        <w:jc w:val="both"/>
        <w:rPr>
          <w:rFonts w:ascii="Palatino Linotype" w:hAnsi="Palatino Linotype" w:cs="Arial"/>
          <w:bCs/>
          <w:i/>
        </w:rPr>
      </w:pPr>
      <w:r w:rsidRPr="00341003">
        <w:rPr>
          <w:rFonts w:ascii="Palatino Linotype" w:hAnsi="Palatino Linotype" w:cs="Arial"/>
          <w:bCs/>
          <w:i/>
        </w:rPr>
        <w:t>…</w:t>
      </w:r>
    </w:p>
    <w:p w14:paraId="7CAC23A9" w14:textId="77777777" w:rsidR="00EF50B6" w:rsidRPr="00341003" w:rsidRDefault="00EF50B6" w:rsidP="00341003">
      <w:pPr>
        <w:spacing w:line="360" w:lineRule="auto"/>
        <w:ind w:left="567" w:right="567"/>
        <w:jc w:val="both"/>
        <w:rPr>
          <w:rFonts w:ascii="Palatino Linotype" w:hAnsi="Palatino Linotype" w:cs="Arial"/>
          <w:bCs/>
          <w:i/>
        </w:rPr>
      </w:pPr>
      <w:r w:rsidRPr="00341003">
        <w:rPr>
          <w:rFonts w:ascii="Palatino Linotype" w:hAnsi="Palatino Linotype" w:cs="Arial"/>
          <w:bCs/>
          <w:i/>
        </w:rPr>
        <w:t xml:space="preserve">k) Los montos de financiamiento público otorgados en cualquier modalidad, a sus órganos nacionales, </w:t>
      </w:r>
      <w:r w:rsidRPr="00341003">
        <w:rPr>
          <w:rFonts w:ascii="Palatino Linotype" w:hAnsi="Palatino Linotype" w:cs="Arial"/>
          <w:b/>
          <w:bCs/>
          <w:i/>
          <w:u w:val="single"/>
        </w:rPr>
        <w:t>estatales, municipales</w:t>
      </w:r>
      <w:r w:rsidRPr="00341003">
        <w:rPr>
          <w:rFonts w:ascii="Palatino Linotype" w:hAnsi="Palatino Linotype" w:cs="Arial"/>
          <w:bCs/>
          <w:i/>
        </w:rPr>
        <w:t xml:space="preserve"> y del Distrito Federal, durante los últimos cinco años y hasta el mes más reciente, así como los descuentos correspondientes a sanciones;</w:t>
      </w:r>
    </w:p>
    <w:p w14:paraId="72E0F670" w14:textId="77777777" w:rsidR="00EF50B6" w:rsidRPr="00341003" w:rsidRDefault="00EF50B6" w:rsidP="00341003">
      <w:pPr>
        <w:spacing w:line="360" w:lineRule="auto"/>
        <w:ind w:left="567" w:right="567"/>
        <w:jc w:val="both"/>
        <w:rPr>
          <w:rFonts w:ascii="Palatino Linotype" w:hAnsi="Palatino Linotype" w:cs="Arial"/>
          <w:bCs/>
          <w:i/>
        </w:rPr>
      </w:pPr>
      <w:r w:rsidRPr="00341003">
        <w:rPr>
          <w:rFonts w:ascii="Palatino Linotype" w:hAnsi="Palatino Linotype" w:cs="Arial"/>
          <w:bCs/>
          <w:i/>
        </w:rPr>
        <w:t>l) Los informes que estén obligados a entregar en términos de lo dispuesto en la presente Ley,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w:t>
      </w:r>
    </w:p>
    <w:p w14:paraId="3B5B2431" w14:textId="77777777" w:rsidR="00EF50B6" w:rsidRPr="00341003" w:rsidRDefault="00EF50B6" w:rsidP="00341003">
      <w:pPr>
        <w:spacing w:line="360" w:lineRule="auto"/>
        <w:ind w:left="567" w:right="567"/>
        <w:jc w:val="both"/>
        <w:rPr>
          <w:rFonts w:ascii="Palatino Linotype" w:hAnsi="Palatino Linotype" w:cs="Arial"/>
          <w:bCs/>
          <w:i/>
        </w:rPr>
      </w:pPr>
      <w:r w:rsidRPr="00341003">
        <w:rPr>
          <w:rFonts w:ascii="Palatino Linotype" w:hAnsi="Palatino Linotype" w:cs="Arial"/>
          <w:bCs/>
          <w:i/>
        </w:rPr>
        <w:t>m) Resultados de revisiones, informes, verificaciones y auditorías de que sean objeto con motivo de la fiscalización de sus recursos, una vez concluidas; así como su debido cumplimiento;</w:t>
      </w:r>
    </w:p>
    <w:p w14:paraId="32884F3B" w14:textId="10F1CA4A" w:rsidR="00A05B6E" w:rsidRPr="00341003" w:rsidRDefault="00A05B6E" w:rsidP="00341003">
      <w:pPr>
        <w:spacing w:line="360" w:lineRule="auto"/>
        <w:ind w:left="567" w:right="567"/>
        <w:jc w:val="both"/>
        <w:rPr>
          <w:rFonts w:ascii="Palatino Linotype" w:hAnsi="Palatino Linotype" w:cs="Arial"/>
          <w:bCs/>
          <w:i/>
        </w:rPr>
      </w:pPr>
      <w:r w:rsidRPr="00341003">
        <w:rPr>
          <w:rFonts w:ascii="Palatino Linotype" w:hAnsi="Palatino Linotype" w:cs="Arial"/>
          <w:bCs/>
          <w:i/>
        </w:rPr>
        <w:t>…</w:t>
      </w:r>
    </w:p>
    <w:p w14:paraId="2A77B5C2" w14:textId="77777777" w:rsidR="00EF50B6" w:rsidRPr="00B75D8B" w:rsidRDefault="00EF50B6" w:rsidP="00341003">
      <w:pPr>
        <w:spacing w:line="360" w:lineRule="auto"/>
        <w:ind w:right="709"/>
        <w:rPr>
          <w:rFonts w:ascii="Palatino Linotype" w:hAnsi="Palatino Linotype" w:cs="Arial"/>
          <w:b/>
          <w:bCs/>
          <w:i/>
          <w:sz w:val="8"/>
        </w:rPr>
      </w:pPr>
    </w:p>
    <w:p w14:paraId="758A442C" w14:textId="77777777" w:rsidR="00A05B6E"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bCs/>
        </w:rPr>
      </w:pPr>
      <w:r w:rsidRPr="00341003">
        <w:rPr>
          <w:rFonts w:ascii="Palatino Linotype" w:hAnsi="Palatino Linotype" w:cs="Arial"/>
          <w:bCs/>
        </w:rPr>
        <w:t>Dichas obligaciones ineludibles que tendrán que cumplir los partidos políticos, antes mencionadas, se ajustan a lo dispuesto en las obligaciones de transparencia comunes que en la Ley general de transparencia y acceso a la información pública están establecidas en su artículo 70 y en el artículo 92 de la ley estatal de la materia</w:t>
      </w:r>
      <w:r w:rsidR="00A05B6E" w:rsidRPr="00341003">
        <w:rPr>
          <w:rFonts w:ascii="Palatino Linotype" w:hAnsi="Palatino Linotype" w:cs="Arial"/>
          <w:bCs/>
        </w:rPr>
        <w:t>.</w:t>
      </w:r>
    </w:p>
    <w:p w14:paraId="32D6CB9D" w14:textId="546639FA" w:rsidR="00A05B6E" w:rsidRPr="00B75D8B" w:rsidRDefault="00EF50B6" w:rsidP="00341003">
      <w:pPr>
        <w:pStyle w:val="Prrafodelista"/>
        <w:tabs>
          <w:tab w:val="left" w:pos="0"/>
        </w:tabs>
        <w:spacing w:line="360" w:lineRule="auto"/>
        <w:ind w:left="0" w:right="49"/>
        <w:jc w:val="both"/>
        <w:rPr>
          <w:rFonts w:ascii="Palatino Linotype" w:hAnsi="Palatino Linotype" w:cs="Arial"/>
          <w:bCs/>
          <w:sz w:val="2"/>
        </w:rPr>
      </w:pPr>
      <w:r w:rsidRPr="00341003">
        <w:rPr>
          <w:rFonts w:ascii="Palatino Linotype" w:hAnsi="Palatino Linotype" w:cs="Arial"/>
          <w:bCs/>
        </w:rPr>
        <w:t xml:space="preserve"> </w:t>
      </w:r>
    </w:p>
    <w:p w14:paraId="3A244CAD" w14:textId="754E0DD0" w:rsidR="00EF50B6"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bCs/>
        </w:rPr>
      </w:pPr>
      <w:r w:rsidRPr="00341003">
        <w:rPr>
          <w:rFonts w:ascii="Palatino Linotype" w:hAnsi="Palatino Linotype" w:cs="Arial"/>
          <w:bCs/>
        </w:rPr>
        <w:t xml:space="preserve">Por lo que se advierte que el </w:t>
      </w:r>
      <w:r w:rsidRPr="00341003">
        <w:rPr>
          <w:rFonts w:ascii="Palatino Linotype" w:hAnsi="Palatino Linotype" w:cs="Arial"/>
          <w:b/>
          <w:bCs/>
        </w:rPr>
        <w:t>SUJETO OBLIGADO</w:t>
      </w:r>
      <w:r w:rsidRPr="00341003">
        <w:rPr>
          <w:rFonts w:ascii="Palatino Linotype" w:hAnsi="Palatino Linotype" w:cs="Arial"/>
          <w:bCs/>
        </w:rPr>
        <w:t xml:space="preserve"> debe documentar todas sus actuaciones competentes dentro del marco jurídico que lo regula, obligaciones que de acuerdo a la Ley General de Partidos Políticos ya fueron señaladas y que de acuerdo a las obligaciones de transparencia comunes que establecen las leyes de la materia debe de generar, poseer y administrar dentro del ejercicio de sus atribuciones, así pues, dicha información pública no solo sirve de evidencia para documentar su actuación, sino que además sirve para verificar que aquellas actuaciones por parte del </w:t>
      </w:r>
      <w:r w:rsidRPr="00341003">
        <w:rPr>
          <w:rFonts w:ascii="Palatino Linotype" w:hAnsi="Palatino Linotype" w:cs="Arial"/>
          <w:b/>
          <w:bCs/>
        </w:rPr>
        <w:t>SUJETO OBLIGADO</w:t>
      </w:r>
      <w:r w:rsidRPr="00341003">
        <w:rPr>
          <w:rFonts w:ascii="Palatino Linotype" w:hAnsi="Palatino Linotype" w:cs="Arial"/>
          <w:bCs/>
        </w:rPr>
        <w:t xml:space="preserve"> se hayan realizado conforme a derecho, es decir, de manera fundada y motivada, mecanismo de control de la ciudadanía para con los partidos políticos y que en el presente asunto se relaciona directamente con lo solicitado. </w:t>
      </w:r>
    </w:p>
    <w:p w14:paraId="347170DA" w14:textId="77777777" w:rsidR="00B75D8B" w:rsidRPr="00341003" w:rsidRDefault="00B75D8B" w:rsidP="00B75D8B">
      <w:pPr>
        <w:pStyle w:val="Prrafodelista"/>
        <w:tabs>
          <w:tab w:val="left" w:pos="0"/>
        </w:tabs>
        <w:spacing w:line="360" w:lineRule="auto"/>
        <w:ind w:left="0" w:right="49"/>
        <w:jc w:val="both"/>
        <w:rPr>
          <w:rFonts w:ascii="Palatino Linotype" w:hAnsi="Palatino Linotype" w:cs="Arial"/>
          <w:bCs/>
        </w:rPr>
      </w:pPr>
    </w:p>
    <w:p w14:paraId="5FE68F7D"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bCs/>
        </w:rPr>
      </w:pPr>
      <w:r w:rsidRPr="00341003">
        <w:rPr>
          <w:rFonts w:ascii="Palatino Linotype" w:hAnsi="Palatino Linotype" w:cs="Arial"/>
          <w:bCs/>
        </w:rPr>
        <w:t>Continuando con lo establecido en la Ley General de Partidos Políticos es menester señalar lo que contemplan los artículos siguientes:</w:t>
      </w:r>
    </w:p>
    <w:p w14:paraId="2B1B9058" w14:textId="77777777" w:rsidR="00EF50B6" w:rsidRPr="00341003" w:rsidRDefault="00EF50B6" w:rsidP="00341003">
      <w:pPr>
        <w:spacing w:line="360" w:lineRule="auto"/>
        <w:ind w:left="709" w:right="709"/>
        <w:jc w:val="both"/>
        <w:rPr>
          <w:rFonts w:ascii="Palatino Linotype" w:hAnsi="Palatino Linotype" w:cs="Arial"/>
          <w:b/>
          <w:bCs/>
          <w:i/>
        </w:rPr>
      </w:pPr>
    </w:p>
    <w:p w14:paraId="5B7D42F4" w14:textId="77777777" w:rsidR="00EF50B6" w:rsidRPr="00B75D8B" w:rsidRDefault="00EF50B6" w:rsidP="00341003">
      <w:pPr>
        <w:spacing w:line="360" w:lineRule="auto"/>
        <w:ind w:left="567" w:right="567"/>
        <w:jc w:val="both"/>
        <w:rPr>
          <w:rFonts w:ascii="Palatino Linotype" w:hAnsi="Palatino Linotype" w:cs="Arial"/>
          <w:b/>
          <w:bCs/>
          <w:i/>
          <w:sz w:val="22"/>
          <w:szCs w:val="22"/>
        </w:rPr>
      </w:pPr>
      <w:r w:rsidRPr="00B75D8B">
        <w:rPr>
          <w:rFonts w:ascii="Palatino Linotype" w:hAnsi="Palatino Linotype" w:cs="Arial"/>
          <w:b/>
          <w:bCs/>
          <w:i/>
          <w:sz w:val="22"/>
          <w:szCs w:val="22"/>
        </w:rPr>
        <w:t>Artículo 28.</w:t>
      </w:r>
    </w:p>
    <w:p w14:paraId="6F7E7350"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
          <w:bCs/>
          <w:i/>
          <w:sz w:val="22"/>
          <w:szCs w:val="22"/>
        </w:rPr>
        <w:t xml:space="preserve">1. </w:t>
      </w:r>
      <w:r w:rsidRPr="00B75D8B">
        <w:rPr>
          <w:rFonts w:ascii="Palatino Linotype" w:hAnsi="Palatino Linotype" w:cs="Arial"/>
          <w:b/>
          <w:bCs/>
          <w:i/>
          <w:sz w:val="22"/>
          <w:szCs w:val="22"/>
          <w:u w:val="single"/>
        </w:rPr>
        <w:t>Toda persona tiene derecho a acceder a la información de los partidos políticos</w:t>
      </w:r>
      <w:r w:rsidRPr="00B75D8B">
        <w:rPr>
          <w:rFonts w:ascii="Palatino Linotype" w:hAnsi="Palatino Linotype" w:cs="Arial"/>
          <w:bCs/>
          <w:i/>
          <w:sz w:val="22"/>
          <w:szCs w:val="22"/>
        </w:rPr>
        <w:t xml:space="preserve">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14:paraId="611ABABF"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2. Las personas accederán a la información de los partidos políticos de manera directa, en los términos que disponga la ley a que se refiere el artículo 6o. constitucional en materia de transparencia.</w:t>
      </w:r>
    </w:p>
    <w:p w14:paraId="597B26CC"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3. La legislación de la materia establecerá los órganos, formatos, procedimientos y plazos para desahogar las solicitudes que se presenten sobre la información de los partidos políticos.</w:t>
      </w:r>
    </w:p>
    <w:p w14:paraId="648C5226"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4. 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w:t>
      </w:r>
    </w:p>
    <w:p w14:paraId="7638672D"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 xml:space="preserve">5. Cuando la información no se encuentre disponible públicamente, las solicitudes de acceso a la información procederán en forma impresa o en medio </w:t>
      </w:r>
      <w:proofErr w:type="gramStart"/>
      <w:r w:rsidRPr="00B75D8B">
        <w:rPr>
          <w:rFonts w:ascii="Palatino Linotype" w:hAnsi="Palatino Linotype" w:cs="Arial"/>
          <w:bCs/>
          <w:i/>
          <w:sz w:val="22"/>
          <w:szCs w:val="22"/>
        </w:rPr>
        <w:t>electrónico</w:t>
      </w:r>
      <w:proofErr w:type="gramEnd"/>
      <w:r w:rsidRPr="00B75D8B">
        <w:rPr>
          <w:rFonts w:ascii="Palatino Linotype" w:hAnsi="Palatino Linotype" w:cs="Arial"/>
          <w:bCs/>
          <w:i/>
          <w:sz w:val="22"/>
          <w:szCs w:val="22"/>
        </w:rPr>
        <w:t>.</w:t>
      </w:r>
    </w:p>
    <w:p w14:paraId="6CDB0E59"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6. Los partidos políticos están obligados a publicar en su página electrónica, como mínimo, la información especificada como obligaciones de transparencia en la ley de la materia.</w:t>
      </w:r>
    </w:p>
    <w:p w14:paraId="2AC266D7"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7. La información que los partidos políticos proporcionen al Instituto y Organismos Públicos Locales, o que éste genere respecto a los mismos, por regla general deberá ser pública y sólo se podrá reservar por excepción, en los términos que disponga la ley de la materia, y deberá estar a disposición de toda persona a través de la página electrónica del Instituto y Organismos Públicos Locales respectivamente.</w:t>
      </w:r>
    </w:p>
    <w:p w14:paraId="7EF01F57" w14:textId="77777777" w:rsidR="00EF50B6" w:rsidRPr="00B75D8B" w:rsidRDefault="00EF50B6" w:rsidP="00341003">
      <w:pPr>
        <w:spacing w:line="360" w:lineRule="auto"/>
        <w:ind w:left="567" w:right="567"/>
        <w:jc w:val="both"/>
        <w:rPr>
          <w:rFonts w:ascii="Palatino Linotype" w:hAnsi="Palatino Linotype" w:cs="Arial"/>
          <w:bCs/>
          <w:i/>
          <w:sz w:val="22"/>
          <w:szCs w:val="22"/>
        </w:rPr>
      </w:pPr>
    </w:p>
    <w:p w14:paraId="711D6B40"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 xml:space="preserve">d) Pedir y recibir información pública sobre cualquier asunto del partido político, en los términos de las leyes en </w:t>
      </w:r>
      <w:r w:rsidRPr="00B75D8B">
        <w:rPr>
          <w:rFonts w:ascii="Palatino Linotype" w:hAnsi="Palatino Linotype" w:cs="Arial"/>
          <w:b/>
          <w:bCs/>
          <w:i/>
          <w:sz w:val="22"/>
          <w:szCs w:val="22"/>
        </w:rPr>
        <w:t>materia de transparencia</w:t>
      </w:r>
      <w:r w:rsidRPr="00B75D8B">
        <w:rPr>
          <w:rFonts w:ascii="Palatino Linotype" w:hAnsi="Palatino Linotype" w:cs="Arial"/>
          <w:bCs/>
          <w:i/>
          <w:sz w:val="22"/>
          <w:szCs w:val="22"/>
        </w:rPr>
        <w:t>, independientemente de que tengan o no interés jurídico directo en el asunto respecto del cual solicitan la información;</w:t>
      </w:r>
    </w:p>
    <w:p w14:paraId="10A861A0"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 xml:space="preserve">e) Solicitar </w:t>
      </w:r>
      <w:r w:rsidRPr="00B75D8B">
        <w:rPr>
          <w:rFonts w:ascii="Palatino Linotype" w:hAnsi="Palatino Linotype" w:cs="Arial"/>
          <w:b/>
          <w:bCs/>
          <w:i/>
          <w:sz w:val="22"/>
          <w:szCs w:val="22"/>
        </w:rPr>
        <w:t>la rendición de cuentas a sus dirigentes</w:t>
      </w:r>
      <w:r w:rsidRPr="00B75D8B">
        <w:rPr>
          <w:rFonts w:ascii="Palatino Linotype" w:hAnsi="Palatino Linotype" w:cs="Arial"/>
          <w:bCs/>
          <w:i/>
          <w:sz w:val="22"/>
          <w:szCs w:val="22"/>
        </w:rPr>
        <w:t>, a través de los informes que, con base en la normatividad interna, se encuentren obligados a presentar durante su gestión</w:t>
      </w:r>
    </w:p>
    <w:p w14:paraId="26B5F5D8" w14:textId="77777777" w:rsidR="00EF50B6" w:rsidRPr="00B75D8B" w:rsidRDefault="00EF50B6" w:rsidP="00341003">
      <w:pPr>
        <w:spacing w:line="360" w:lineRule="auto"/>
        <w:ind w:left="567" w:right="567"/>
        <w:jc w:val="both"/>
        <w:rPr>
          <w:rFonts w:ascii="Palatino Linotype" w:hAnsi="Palatino Linotype" w:cs="Arial"/>
          <w:bCs/>
          <w:i/>
          <w:sz w:val="22"/>
          <w:szCs w:val="22"/>
        </w:rPr>
      </w:pPr>
      <w:r w:rsidRPr="00B75D8B">
        <w:rPr>
          <w:rFonts w:ascii="Palatino Linotype" w:hAnsi="Palatino Linotype" w:cs="Arial"/>
          <w:bCs/>
          <w:i/>
          <w:sz w:val="22"/>
          <w:szCs w:val="22"/>
        </w:rPr>
        <w:t>…</w:t>
      </w:r>
    </w:p>
    <w:p w14:paraId="3AA81F06"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bCs/>
          <w:color w:val="000000" w:themeColor="text1"/>
        </w:rPr>
      </w:pPr>
      <w:r w:rsidRPr="00341003">
        <w:rPr>
          <w:rFonts w:ascii="Palatino Linotype" w:hAnsi="Palatino Linotype" w:cs="Arial"/>
          <w:bCs/>
          <w:color w:val="000000" w:themeColor="text1"/>
        </w:rPr>
        <w:t xml:space="preserve">De los artículos citados con anterioridad se desprende que en efecto, el </w:t>
      </w:r>
      <w:r w:rsidRPr="00341003">
        <w:rPr>
          <w:rFonts w:ascii="Palatino Linotype" w:hAnsi="Palatino Linotype" w:cs="Arial"/>
          <w:b/>
          <w:bCs/>
          <w:color w:val="000000" w:themeColor="text1"/>
        </w:rPr>
        <w:t>SUJETO OBLIGADO</w:t>
      </w:r>
      <w:r w:rsidRPr="00341003">
        <w:rPr>
          <w:rFonts w:ascii="Palatino Linotype" w:hAnsi="Palatino Linotype" w:cs="Arial"/>
          <w:bCs/>
          <w:color w:val="000000" w:themeColor="text1"/>
        </w:rPr>
        <w:t xml:space="preserve">  deberá de poner a disposición toda la información que generen, posean o administren en ejercicio de sus funciones, competencias y atribuciones por regla general deberá ser pública y sólo se podrá reservar por excepción, en los términos que disponga la ley de la materia. Asimismo el </w:t>
      </w:r>
      <w:r w:rsidRPr="00341003">
        <w:rPr>
          <w:rFonts w:ascii="Palatino Linotype" w:hAnsi="Palatino Linotype" w:cs="Arial"/>
          <w:b/>
          <w:bCs/>
          <w:color w:val="000000" w:themeColor="text1"/>
        </w:rPr>
        <w:t>SUJETO OBLIGADO</w:t>
      </w:r>
      <w:r w:rsidRPr="00341003">
        <w:rPr>
          <w:rFonts w:ascii="Palatino Linotype" w:hAnsi="Palatino Linotype" w:cs="Arial"/>
          <w:bCs/>
          <w:color w:val="000000" w:themeColor="text1"/>
        </w:rPr>
        <w:t xml:space="preserve"> deberá mantener actualizada la información pública antes enunciada de forma permanente a través de sus páginas electrónicas, sin perjuicio de la periodicidad, formatos y medios que establezca para todas las obligaciones de transparencia, rigiéndose bajo los ejes de transparencia y rendición de cuentas.</w:t>
      </w:r>
    </w:p>
    <w:p w14:paraId="5EBAFDC6" w14:textId="77777777" w:rsidR="00EF50B6" w:rsidRPr="00341003" w:rsidRDefault="00EF50B6" w:rsidP="00341003">
      <w:pPr>
        <w:pStyle w:val="Prrafodelista"/>
        <w:spacing w:line="360" w:lineRule="auto"/>
        <w:ind w:left="0" w:right="709"/>
        <w:jc w:val="both"/>
        <w:rPr>
          <w:rFonts w:ascii="Palatino Linotype" w:hAnsi="Palatino Linotype" w:cs="Arial"/>
          <w:bCs/>
          <w:color w:val="000000" w:themeColor="text1"/>
        </w:rPr>
      </w:pPr>
    </w:p>
    <w:p w14:paraId="6D2AE0EC" w14:textId="188B55DF" w:rsidR="00EF50B6" w:rsidRPr="00341003" w:rsidRDefault="001E7808" w:rsidP="00341003">
      <w:pPr>
        <w:pStyle w:val="Prrafodelista"/>
        <w:numPr>
          <w:ilvl w:val="0"/>
          <w:numId w:val="1"/>
        </w:numPr>
        <w:tabs>
          <w:tab w:val="left" w:pos="0"/>
        </w:tabs>
        <w:spacing w:line="360" w:lineRule="auto"/>
        <w:ind w:left="0" w:right="49" w:firstLine="0"/>
        <w:jc w:val="both"/>
        <w:rPr>
          <w:rFonts w:ascii="Palatino Linotype" w:hAnsi="Palatino Linotype" w:cs="Arial"/>
          <w:bCs/>
          <w:color w:val="000000" w:themeColor="text1"/>
        </w:rPr>
      </w:pPr>
      <w:r w:rsidRPr="00341003">
        <w:rPr>
          <w:rFonts w:ascii="Palatino Linotype" w:hAnsi="Palatino Linotype" w:cs="Arial"/>
          <w:bCs/>
          <w:color w:val="000000" w:themeColor="text1"/>
        </w:rPr>
        <w:t>E</w:t>
      </w:r>
      <w:r w:rsidR="00EF50B6" w:rsidRPr="00341003">
        <w:rPr>
          <w:rFonts w:ascii="Palatino Linotype" w:hAnsi="Palatino Linotype" w:cs="Arial"/>
          <w:bCs/>
          <w:color w:val="000000" w:themeColor="text1"/>
        </w:rPr>
        <w:t>l artículo 63 de la Ley General de Partidos Políticos que al respecto señala lo siguiente:</w:t>
      </w:r>
    </w:p>
    <w:p w14:paraId="70505895" w14:textId="77777777" w:rsidR="006F6BE4" w:rsidRPr="00341003" w:rsidRDefault="006F6BE4" w:rsidP="00341003">
      <w:pPr>
        <w:pStyle w:val="Prrafodelista"/>
        <w:tabs>
          <w:tab w:val="left" w:pos="0"/>
        </w:tabs>
        <w:spacing w:line="360" w:lineRule="auto"/>
        <w:ind w:left="0" w:right="49"/>
        <w:jc w:val="both"/>
        <w:rPr>
          <w:rFonts w:ascii="Palatino Linotype" w:hAnsi="Palatino Linotype" w:cs="Arial"/>
          <w:bCs/>
          <w:color w:val="000000" w:themeColor="text1"/>
        </w:rPr>
      </w:pPr>
    </w:p>
    <w:p w14:paraId="25054FAE" w14:textId="77777777" w:rsidR="00EF50B6" w:rsidRPr="00341003" w:rsidRDefault="00EF50B6" w:rsidP="00341003">
      <w:pPr>
        <w:spacing w:line="360" w:lineRule="auto"/>
        <w:ind w:left="709" w:right="709"/>
        <w:jc w:val="both"/>
        <w:rPr>
          <w:rFonts w:ascii="Palatino Linotype" w:hAnsi="Palatino Linotype" w:cs="Arial"/>
          <w:b/>
          <w:bCs/>
          <w:i/>
          <w:color w:val="000000" w:themeColor="text1"/>
        </w:rPr>
      </w:pPr>
      <w:r w:rsidRPr="00341003">
        <w:rPr>
          <w:rFonts w:ascii="Palatino Linotype" w:hAnsi="Palatino Linotype" w:cs="Arial"/>
          <w:b/>
          <w:bCs/>
          <w:i/>
          <w:color w:val="000000" w:themeColor="text1"/>
        </w:rPr>
        <w:t>Artículo 63.</w:t>
      </w:r>
    </w:p>
    <w:p w14:paraId="57CE9B54" w14:textId="77777777" w:rsidR="00EF50B6" w:rsidRPr="00341003" w:rsidRDefault="00EF50B6" w:rsidP="00341003">
      <w:pPr>
        <w:spacing w:line="360" w:lineRule="auto"/>
        <w:ind w:left="709" w:right="709"/>
        <w:jc w:val="both"/>
        <w:rPr>
          <w:rFonts w:ascii="Palatino Linotype" w:hAnsi="Palatino Linotype" w:cs="Arial"/>
          <w:bCs/>
          <w:i/>
          <w:color w:val="000000" w:themeColor="text1"/>
        </w:rPr>
      </w:pPr>
      <w:r w:rsidRPr="00341003">
        <w:rPr>
          <w:rFonts w:ascii="Palatino Linotype" w:hAnsi="Palatino Linotype" w:cs="Arial"/>
          <w:b/>
          <w:bCs/>
          <w:i/>
          <w:color w:val="000000" w:themeColor="text1"/>
        </w:rPr>
        <w:t xml:space="preserve">1. </w:t>
      </w:r>
      <w:r w:rsidRPr="00341003">
        <w:rPr>
          <w:rFonts w:ascii="Palatino Linotype" w:hAnsi="Palatino Linotype" w:cs="Arial"/>
          <w:bCs/>
          <w:i/>
          <w:color w:val="000000" w:themeColor="text1"/>
        </w:rPr>
        <w:t>Los gastos que realicen los partidos políticos, las coaliciones y los candidatos deberán reunir los siguientes requisitos:</w:t>
      </w:r>
    </w:p>
    <w:p w14:paraId="2C29CC8B" w14:textId="77777777" w:rsidR="00EF50B6" w:rsidRPr="00341003" w:rsidRDefault="00EF50B6" w:rsidP="00341003">
      <w:pPr>
        <w:spacing w:line="360" w:lineRule="auto"/>
        <w:ind w:left="709" w:right="709"/>
        <w:jc w:val="both"/>
        <w:rPr>
          <w:rFonts w:ascii="Palatino Linotype" w:hAnsi="Palatino Linotype" w:cs="Arial"/>
          <w:bCs/>
          <w:i/>
          <w:color w:val="000000" w:themeColor="text1"/>
        </w:rPr>
      </w:pPr>
      <w:r w:rsidRPr="00341003">
        <w:rPr>
          <w:rFonts w:ascii="Palatino Linotype" w:hAnsi="Palatino Linotype" w:cs="Arial"/>
          <w:bCs/>
          <w:i/>
          <w:color w:val="000000" w:themeColor="text1"/>
        </w:rPr>
        <w:t>a) Estar amparados con un comprobante que cumpla los requisitos fiscales;</w:t>
      </w:r>
    </w:p>
    <w:p w14:paraId="5A98C0F8" w14:textId="77777777" w:rsidR="00EF50B6" w:rsidRPr="00341003" w:rsidRDefault="00EF50B6" w:rsidP="00341003">
      <w:pPr>
        <w:spacing w:line="360" w:lineRule="auto"/>
        <w:ind w:left="709" w:right="709"/>
        <w:jc w:val="both"/>
        <w:rPr>
          <w:rFonts w:ascii="Palatino Linotype" w:hAnsi="Palatino Linotype" w:cs="Arial"/>
          <w:bCs/>
          <w:i/>
          <w:color w:val="000000" w:themeColor="text1"/>
        </w:rPr>
      </w:pPr>
      <w:r w:rsidRPr="00341003">
        <w:rPr>
          <w:rFonts w:ascii="Palatino Linotype" w:hAnsi="Palatino Linotype" w:cs="Arial"/>
          <w:bCs/>
          <w:i/>
          <w:color w:val="000000" w:themeColor="text1"/>
        </w:rPr>
        <w:t>b) Efectuar mediante transferencia electrónica, cheque nominativo para abono en cuenta del beneficiario, los pagos cuyo monto exceda de noventa días de salario mínimo general vigente para el Distrito Federal;</w:t>
      </w:r>
    </w:p>
    <w:p w14:paraId="312FC715" w14:textId="77777777" w:rsidR="00EF50B6" w:rsidRPr="00341003" w:rsidRDefault="00EF50B6" w:rsidP="00341003">
      <w:pPr>
        <w:spacing w:line="360" w:lineRule="auto"/>
        <w:ind w:left="709" w:right="709"/>
        <w:jc w:val="both"/>
        <w:rPr>
          <w:rFonts w:ascii="Palatino Linotype" w:hAnsi="Palatino Linotype" w:cs="Arial"/>
          <w:bCs/>
          <w:i/>
          <w:color w:val="000000" w:themeColor="text1"/>
        </w:rPr>
      </w:pPr>
      <w:r w:rsidRPr="00341003">
        <w:rPr>
          <w:rFonts w:ascii="Palatino Linotype" w:hAnsi="Palatino Linotype" w:cs="Arial"/>
          <w:bCs/>
          <w:i/>
          <w:color w:val="000000" w:themeColor="text1"/>
        </w:rPr>
        <w:t>c) Estar debidamente registrados en la contabilidad;</w:t>
      </w:r>
    </w:p>
    <w:p w14:paraId="10F53411" w14:textId="77777777" w:rsidR="00EF50B6" w:rsidRPr="00341003" w:rsidRDefault="00EF50B6" w:rsidP="00341003">
      <w:pPr>
        <w:spacing w:line="360" w:lineRule="auto"/>
        <w:ind w:left="709" w:right="709"/>
        <w:jc w:val="both"/>
        <w:rPr>
          <w:rFonts w:ascii="Palatino Linotype" w:hAnsi="Palatino Linotype" w:cs="Arial"/>
          <w:bCs/>
          <w:i/>
          <w:color w:val="000000" w:themeColor="text1"/>
        </w:rPr>
      </w:pPr>
      <w:r w:rsidRPr="00341003">
        <w:rPr>
          <w:rFonts w:ascii="Palatino Linotype" w:hAnsi="Palatino Linotype" w:cs="Arial"/>
          <w:bCs/>
          <w:i/>
          <w:color w:val="000000" w:themeColor="text1"/>
        </w:rPr>
        <w:t>d) Cumplir con las obligaciones establecidas en materia de retenciones y entero de impuestos a cargo de terceros, y</w:t>
      </w:r>
    </w:p>
    <w:p w14:paraId="29DB35F0" w14:textId="77777777" w:rsidR="00EF50B6" w:rsidRPr="00341003" w:rsidRDefault="00EF50B6" w:rsidP="00341003">
      <w:pPr>
        <w:spacing w:line="360" w:lineRule="auto"/>
        <w:ind w:left="709" w:right="709"/>
        <w:jc w:val="both"/>
        <w:rPr>
          <w:rFonts w:ascii="Palatino Linotype" w:hAnsi="Palatino Linotype" w:cs="Arial"/>
          <w:bCs/>
          <w:i/>
          <w:color w:val="000000" w:themeColor="text1"/>
        </w:rPr>
      </w:pPr>
      <w:r w:rsidRPr="00341003">
        <w:rPr>
          <w:rFonts w:ascii="Palatino Linotype" w:hAnsi="Palatino Linotype" w:cs="Arial"/>
          <w:bCs/>
          <w:i/>
          <w:color w:val="000000" w:themeColor="text1"/>
        </w:rPr>
        <w:t xml:space="preserve">e) Sujetar los gastos asociados a adquisiciones, a los criterios de legalidad, honestidad, eficiencia, eficacia, economía, racionalidad, austeridad, </w:t>
      </w:r>
      <w:r w:rsidRPr="00341003">
        <w:rPr>
          <w:rFonts w:ascii="Palatino Linotype" w:hAnsi="Palatino Linotype" w:cs="Arial"/>
          <w:bCs/>
          <w:i/>
          <w:color w:val="000000" w:themeColor="text1"/>
          <w:u w:val="single"/>
        </w:rPr>
        <w:t>transparencia, control y rendición de cuentas</w:t>
      </w:r>
      <w:r w:rsidRPr="00341003">
        <w:rPr>
          <w:rFonts w:ascii="Palatino Linotype" w:hAnsi="Palatino Linotype" w:cs="Arial"/>
          <w:bCs/>
          <w:i/>
          <w:color w:val="000000" w:themeColor="text1"/>
        </w:rPr>
        <w:t>.</w:t>
      </w:r>
    </w:p>
    <w:p w14:paraId="59B0EFC8" w14:textId="77777777" w:rsidR="00EF50B6" w:rsidRPr="00341003" w:rsidRDefault="00EF50B6" w:rsidP="00341003">
      <w:pPr>
        <w:spacing w:line="360" w:lineRule="auto"/>
        <w:jc w:val="both"/>
        <w:rPr>
          <w:rFonts w:ascii="Palatino Linotype" w:hAnsi="Palatino Linotype" w:cs="Arial"/>
          <w:b/>
        </w:rPr>
      </w:pPr>
    </w:p>
    <w:p w14:paraId="73EBC350" w14:textId="02955E31"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 xml:space="preserve">Correlativo a lo anterior, este Instituto no es omiso en dejar de observar lo establecido en los artículos </w:t>
      </w:r>
      <w:r w:rsidRPr="00341003">
        <w:rPr>
          <w:rFonts w:ascii="Palatino Linotype" w:hAnsi="Palatino Linotype" w:cs="Arial"/>
          <w:lang w:eastAsia="es-MX"/>
        </w:rPr>
        <w:t xml:space="preserve">65 fracción I y 66 fracción I inciso a) y fracción II inciso a) del Código Electoral del Estado de México y </w:t>
      </w:r>
      <w:r w:rsidR="00480B45" w:rsidRPr="00341003">
        <w:rPr>
          <w:rFonts w:ascii="Palatino Linotype" w:hAnsi="Palatino Linotype" w:cs="Arial"/>
          <w:lang w:eastAsia="es-MX"/>
        </w:rPr>
        <w:t xml:space="preserve">50, 51, numeral 1, </w:t>
      </w:r>
      <w:r w:rsidRPr="00341003">
        <w:rPr>
          <w:rFonts w:ascii="Palatino Linotype" w:hAnsi="Palatino Linotype" w:cs="Arial"/>
        </w:rPr>
        <w:t xml:space="preserve">72, numerales 1 y 2, fracción d), de la Ley General de Partidos Políticos y 129 numeral 1 y 132 numerales 1 y 2 del Reglamento de Fiscalización del Instituto Nacional Electoral, mismos </w:t>
      </w:r>
      <w:r w:rsidRPr="00341003">
        <w:rPr>
          <w:rFonts w:ascii="Palatino Linotype" w:hAnsi="Palatino Linotype" w:cs="Arial"/>
          <w:lang w:eastAsia="es-MX"/>
        </w:rPr>
        <w:t>que a la letra señalan:</w:t>
      </w:r>
    </w:p>
    <w:p w14:paraId="36B0D756" w14:textId="77777777" w:rsidR="00EF50B6" w:rsidRPr="00341003" w:rsidRDefault="00EF50B6" w:rsidP="00341003">
      <w:pPr>
        <w:spacing w:line="360" w:lineRule="auto"/>
        <w:ind w:left="709" w:right="709"/>
        <w:jc w:val="center"/>
        <w:rPr>
          <w:rFonts w:ascii="Palatino Linotype" w:hAnsi="Palatino Linotype" w:cs="Arial"/>
          <w:b/>
          <w:bCs/>
          <w:i/>
        </w:rPr>
      </w:pPr>
    </w:p>
    <w:p w14:paraId="3941E113" w14:textId="77777777" w:rsidR="00EF50B6" w:rsidRPr="00B75D8B" w:rsidRDefault="00EF50B6" w:rsidP="00341003">
      <w:pPr>
        <w:spacing w:line="360" w:lineRule="auto"/>
        <w:ind w:left="709" w:right="709"/>
        <w:jc w:val="center"/>
        <w:rPr>
          <w:rFonts w:ascii="Palatino Linotype" w:hAnsi="Palatino Linotype" w:cs="Arial"/>
          <w:b/>
          <w:bCs/>
          <w:i/>
          <w:sz w:val="22"/>
          <w:szCs w:val="22"/>
        </w:rPr>
      </w:pPr>
      <w:r w:rsidRPr="00B75D8B">
        <w:rPr>
          <w:rFonts w:ascii="Palatino Linotype" w:hAnsi="Palatino Linotype" w:cs="Arial"/>
          <w:b/>
          <w:bCs/>
          <w:i/>
          <w:sz w:val="22"/>
          <w:szCs w:val="22"/>
        </w:rPr>
        <w:t>Código Electoral del Estado de México</w:t>
      </w:r>
    </w:p>
    <w:p w14:paraId="2F645FC8" w14:textId="77777777" w:rsidR="00EF50B6" w:rsidRPr="00B75D8B" w:rsidRDefault="00EF50B6" w:rsidP="00341003">
      <w:pPr>
        <w:spacing w:line="360" w:lineRule="auto"/>
        <w:ind w:left="709" w:right="709"/>
        <w:jc w:val="both"/>
        <w:rPr>
          <w:rFonts w:ascii="Palatino Linotype" w:hAnsi="Palatino Linotype" w:cs="Arial"/>
          <w:bCs/>
          <w:i/>
          <w:sz w:val="22"/>
          <w:szCs w:val="22"/>
        </w:rPr>
      </w:pPr>
      <w:r w:rsidRPr="00B75D8B">
        <w:rPr>
          <w:rFonts w:ascii="Palatino Linotype" w:hAnsi="Palatino Linotype" w:cs="Arial"/>
          <w:bCs/>
          <w:i/>
          <w:sz w:val="22"/>
          <w:szCs w:val="22"/>
        </w:rPr>
        <w:t>“</w:t>
      </w:r>
      <w:r w:rsidRPr="00B75D8B">
        <w:rPr>
          <w:rFonts w:ascii="Palatino Linotype" w:hAnsi="Palatino Linotype" w:cs="Arial"/>
          <w:b/>
          <w:bCs/>
          <w:i/>
          <w:sz w:val="22"/>
          <w:szCs w:val="22"/>
        </w:rPr>
        <w:t>Artículo 65</w:t>
      </w:r>
      <w:r w:rsidRPr="00B75D8B">
        <w:rPr>
          <w:rFonts w:ascii="Palatino Linotype" w:hAnsi="Palatino Linotype" w:cs="Arial"/>
          <w:bCs/>
          <w:i/>
          <w:sz w:val="22"/>
          <w:szCs w:val="22"/>
        </w:rPr>
        <w:t xml:space="preserve">. </w:t>
      </w:r>
      <w:r w:rsidRPr="00B75D8B">
        <w:rPr>
          <w:rFonts w:ascii="Palatino Linotype" w:hAnsi="Palatino Linotype" w:cs="Arial"/>
          <w:b/>
          <w:bCs/>
          <w:i/>
          <w:sz w:val="22"/>
          <w:szCs w:val="22"/>
          <w:u w:val="single"/>
        </w:rPr>
        <w:t>Los partidos políticos tendrán las siguientes prerrogativas</w:t>
      </w:r>
      <w:r w:rsidRPr="00B75D8B">
        <w:rPr>
          <w:rFonts w:ascii="Palatino Linotype" w:hAnsi="Palatino Linotype" w:cs="Arial"/>
          <w:bCs/>
          <w:i/>
          <w:sz w:val="22"/>
          <w:szCs w:val="22"/>
        </w:rPr>
        <w:t xml:space="preserve">: </w:t>
      </w:r>
    </w:p>
    <w:p w14:paraId="38BB593E" w14:textId="77777777" w:rsidR="00EF50B6" w:rsidRPr="00B75D8B" w:rsidRDefault="00EF50B6" w:rsidP="00341003">
      <w:pPr>
        <w:spacing w:line="360" w:lineRule="auto"/>
        <w:ind w:left="709" w:right="709"/>
        <w:jc w:val="both"/>
        <w:rPr>
          <w:rFonts w:ascii="Palatino Linotype" w:hAnsi="Palatino Linotype" w:cs="Arial"/>
          <w:bCs/>
          <w:i/>
          <w:sz w:val="22"/>
          <w:szCs w:val="22"/>
        </w:rPr>
      </w:pPr>
      <w:r w:rsidRPr="00B75D8B">
        <w:rPr>
          <w:rFonts w:ascii="Palatino Linotype" w:hAnsi="Palatino Linotype" w:cs="Arial"/>
          <w:b/>
          <w:bCs/>
          <w:i/>
          <w:sz w:val="22"/>
          <w:szCs w:val="22"/>
        </w:rPr>
        <w:t xml:space="preserve">I. </w:t>
      </w:r>
      <w:r w:rsidRPr="00B75D8B">
        <w:rPr>
          <w:rFonts w:ascii="Palatino Linotype" w:hAnsi="Palatino Linotype" w:cs="Arial"/>
          <w:b/>
          <w:bCs/>
          <w:i/>
          <w:sz w:val="22"/>
          <w:szCs w:val="22"/>
          <w:u w:val="single"/>
        </w:rPr>
        <w:t>Gozar de financiamiento público para el ejercicio de sus actividades ordinarias</w:t>
      </w:r>
      <w:r w:rsidRPr="00B75D8B">
        <w:rPr>
          <w:rFonts w:ascii="Palatino Linotype" w:hAnsi="Palatino Linotype" w:cs="Arial"/>
          <w:bCs/>
          <w:i/>
          <w:sz w:val="22"/>
          <w:szCs w:val="22"/>
        </w:rPr>
        <w:t xml:space="preserve"> y para su participación en las precampañas y campañas electorales de Gobernador, diputados y ayuntamientos del Estado. Tendrán derecho a esta prerrogativa los partidos que obtengan por lo menos el 3% de la votación válida emitida en la última elección de Gobernador o de diputados por el principio de mayoría relativa. </w:t>
      </w:r>
    </w:p>
    <w:p w14:paraId="065B7459" w14:textId="77777777" w:rsidR="00EF50B6" w:rsidRPr="00B75D8B" w:rsidRDefault="00EF50B6" w:rsidP="00341003">
      <w:pPr>
        <w:spacing w:line="360" w:lineRule="auto"/>
        <w:ind w:left="709" w:right="709"/>
        <w:jc w:val="both"/>
        <w:rPr>
          <w:rFonts w:ascii="Palatino Linotype" w:hAnsi="Palatino Linotype" w:cs="Arial"/>
          <w:bCs/>
          <w:i/>
          <w:sz w:val="22"/>
          <w:szCs w:val="22"/>
        </w:rPr>
      </w:pPr>
      <w:r w:rsidRPr="00B75D8B">
        <w:rPr>
          <w:rFonts w:ascii="Palatino Linotype" w:hAnsi="Palatino Linotype" w:cs="Arial"/>
          <w:b/>
          <w:bCs/>
          <w:i/>
          <w:sz w:val="22"/>
          <w:szCs w:val="22"/>
        </w:rPr>
        <w:t>Artículo 66. El financiamiento de los partidos políticos se sujetará a las bases siguientes</w:t>
      </w:r>
      <w:r w:rsidRPr="00B75D8B">
        <w:rPr>
          <w:rFonts w:ascii="Palatino Linotype" w:hAnsi="Palatino Linotype" w:cs="Arial"/>
          <w:bCs/>
          <w:i/>
          <w:sz w:val="22"/>
          <w:szCs w:val="22"/>
        </w:rPr>
        <w:t xml:space="preserve">: </w:t>
      </w:r>
    </w:p>
    <w:p w14:paraId="7D8B1F1E"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
          <w:bCs/>
          <w:i/>
          <w:sz w:val="22"/>
          <w:u w:val="single"/>
        </w:rPr>
        <w:t>I. El financiamiento tendrá las siguientes modalidades</w:t>
      </w:r>
      <w:r w:rsidRPr="00B75D8B">
        <w:rPr>
          <w:rFonts w:ascii="Palatino Linotype" w:hAnsi="Palatino Linotype" w:cs="Arial"/>
          <w:bCs/>
          <w:i/>
          <w:sz w:val="22"/>
        </w:rPr>
        <w:t xml:space="preserve">: </w:t>
      </w:r>
    </w:p>
    <w:p w14:paraId="5D35C938"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
          <w:bCs/>
          <w:i/>
          <w:sz w:val="22"/>
          <w:u w:val="single"/>
        </w:rPr>
        <w:t>a) Financiamiento público</w:t>
      </w:r>
      <w:r w:rsidRPr="00B75D8B">
        <w:rPr>
          <w:rFonts w:ascii="Palatino Linotype" w:hAnsi="Palatino Linotype" w:cs="Arial"/>
          <w:bCs/>
          <w:i/>
          <w:sz w:val="22"/>
        </w:rPr>
        <w:t xml:space="preserve">. </w:t>
      </w:r>
    </w:p>
    <w:p w14:paraId="737544FA"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
          <w:bCs/>
          <w:i/>
          <w:sz w:val="22"/>
          <w:u w:val="single"/>
        </w:rPr>
        <w:t>II. El financiamiento público para el sostenimiento de sus actividades permanentes</w:t>
      </w:r>
      <w:r w:rsidRPr="00B75D8B">
        <w:rPr>
          <w:rFonts w:ascii="Palatino Linotype" w:hAnsi="Palatino Linotype" w:cs="Arial"/>
          <w:bCs/>
          <w:i/>
          <w:sz w:val="22"/>
        </w:rPr>
        <w:t xml:space="preserve">, para la obtención del voto, para la realización de procesos internos de selección de candidatos y </w:t>
      </w:r>
      <w:r w:rsidRPr="00B75D8B">
        <w:rPr>
          <w:rFonts w:ascii="Palatino Linotype" w:hAnsi="Palatino Linotype" w:cs="Arial"/>
          <w:b/>
          <w:bCs/>
          <w:i/>
          <w:sz w:val="22"/>
        </w:rPr>
        <w:t>para actividades específicas</w:t>
      </w:r>
      <w:r w:rsidRPr="00B75D8B">
        <w:rPr>
          <w:rFonts w:ascii="Palatino Linotype" w:hAnsi="Palatino Linotype" w:cs="Arial"/>
          <w:bCs/>
          <w:i/>
          <w:sz w:val="22"/>
        </w:rPr>
        <w:t xml:space="preserve">, se entregará a las direcciones estatales de los partidos, legalmente registradas ante el Instituto, y </w:t>
      </w:r>
      <w:r w:rsidRPr="00B75D8B">
        <w:rPr>
          <w:rFonts w:ascii="Palatino Linotype" w:hAnsi="Palatino Linotype" w:cs="Arial"/>
          <w:b/>
          <w:bCs/>
          <w:i/>
          <w:sz w:val="22"/>
          <w:u w:val="single"/>
        </w:rPr>
        <w:t>se fijará en la forma y términos siguientes</w:t>
      </w:r>
      <w:r w:rsidRPr="00B75D8B">
        <w:rPr>
          <w:rFonts w:ascii="Palatino Linotype" w:hAnsi="Palatino Linotype" w:cs="Arial"/>
          <w:bCs/>
          <w:i/>
          <w:sz w:val="22"/>
        </w:rPr>
        <w:t>:</w:t>
      </w:r>
    </w:p>
    <w:p w14:paraId="74E430A4"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
          <w:bCs/>
          <w:i/>
          <w:sz w:val="22"/>
        </w:rPr>
        <w:t>a)</w:t>
      </w:r>
      <w:r w:rsidRPr="00B75D8B">
        <w:rPr>
          <w:rFonts w:ascii="Palatino Linotype" w:hAnsi="Palatino Linotype" w:cs="Arial"/>
          <w:b/>
          <w:bCs/>
          <w:i/>
          <w:sz w:val="22"/>
          <w:u w:val="single"/>
        </w:rPr>
        <w:t xml:space="preserve"> El financiamiento ordinario se fijará anualmente</w:t>
      </w:r>
      <w:r w:rsidRPr="00B75D8B">
        <w:rPr>
          <w:rFonts w:ascii="Palatino Linotype" w:hAnsi="Palatino Linotype" w:cs="Arial"/>
          <w:bCs/>
          <w:i/>
          <w:sz w:val="22"/>
        </w:rPr>
        <w:t xml:space="preserve"> conforme a los siguientes criterios: </w:t>
      </w:r>
    </w:p>
    <w:p w14:paraId="16DE8834" w14:textId="77777777" w:rsidR="00EF50B6" w:rsidRPr="00B75D8B" w:rsidRDefault="00EF50B6" w:rsidP="00341003">
      <w:pPr>
        <w:spacing w:line="360" w:lineRule="auto"/>
        <w:ind w:left="709" w:right="709"/>
        <w:jc w:val="center"/>
        <w:rPr>
          <w:rFonts w:ascii="Palatino Linotype" w:hAnsi="Palatino Linotype" w:cs="Arial"/>
          <w:b/>
          <w:bCs/>
          <w:i/>
          <w:sz w:val="22"/>
        </w:rPr>
      </w:pPr>
      <w:r w:rsidRPr="00B75D8B">
        <w:rPr>
          <w:rFonts w:ascii="Palatino Linotype" w:hAnsi="Palatino Linotype" w:cs="Arial"/>
          <w:b/>
          <w:bCs/>
          <w:i/>
          <w:sz w:val="22"/>
        </w:rPr>
        <w:t>Ley General de Partidos Políticos</w:t>
      </w:r>
    </w:p>
    <w:p w14:paraId="243896A8" w14:textId="77777777" w:rsidR="006803DF" w:rsidRPr="00B75D8B" w:rsidRDefault="006803DF" w:rsidP="00341003">
      <w:pPr>
        <w:tabs>
          <w:tab w:val="left" w:pos="7513"/>
        </w:tabs>
        <w:spacing w:before="240" w:after="240" w:line="360" w:lineRule="auto"/>
        <w:ind w:left="709" w:right="616"/>
        <w:contextualSpacing/>
        <w:jc w:val="both"/>
        <w:rPr>
          <w:rFonts w:ascii="Palatino Linotype" w:hAnsi="Palatino Linotype" w:cs="Arial"/>
          <w:i/>
          <w:sz w:val="22"/>
        </w:rPr>
      </w:pPr>
      <w:r w:rsidRPr="00B75D8B">
        <w:rPr>
          <w:rFonts w:ascii="Palatino Linotype" w:hAnsi="Palatino Linotype" w:cs="Arial"/>
          <w:i/>
          <w:sz w:val="22"/>
        </w:rPr>
        <w:t>“</w:t>
      </w:r>
      <w:r w:rsidRPr="00B75D8B">
        <w:rPr>
          <w:rFonts w:ascii="Palatino Linotype" w:hAnsi="Palatino Linotype" w:cs="Arial"/>
          <w:b/>
          <w:i/>
          <w:sz w:val="22"/>
        </w:rPr>
        <w:t>Artículo 50.</w:t>
      </w:r>
      <w:r w:rsidRPr="00B75D8B">
        <w:rPr>
          <w:rFonts w:ascii="Palatino Linotype" w:hAnsi="Palatino Linotype" w:cs="Arial"/>
          <w:i/>
          <w:sz w:val="22"/>
        </w:rPr>
        <w:t xml:space="preserve"> </w:t>
      </w:r>
    </w:p>
    <w:p w14:paraId="29F86BC5" w14:textId="77777777" w:rsidR="006803DF" w:rsidRPr="00B75D8B" w:rsidRDefault="006803DF" w:rsidP="00341003">
      <w:pPr>
        <w:tabs>
          <w:tab w:val="left" w:pos="7513"/>
        </w:tabs>
        <w:spacing w:line="360" w:lineRule="auto"/>
        <w:ind w:left="709" w:right="616"/>
        <w:contextualSpacing/>
        <w:jc w:val="both"/>
        <w:rPr>
          <w:rFonts w:ascii="Palatino Linotype" w:hAnsi="Palatino Linotype" w:cs="Arial"/>
          <w:i/>
          <w:sz w:val="22"/>
        </w:rPr>
      </w:pPr>
      <w:r w:rsidRPr="00B75D8B">
        <w:rPr>
          <w:rFonts w:ascii="Palatino Linotype" w:hAnsi="Palatino Linotype" w:cs="Arial"/>
          <w:i/>
          <w:sz w:val="22"/>
        </w:rPr>
        <w:t xml:space="preserve">1. Los partidos políticos tienen derecho a recibir, para desarrollar sus actividades, financiamiento público que se distribuirá de manera equitativa, conforme a lo establecido en el artículo 41, Base II de la Constitución, así como lo dispuesto en las constituciones locales. </w:t>
      </w:r>
    </w:p>
    <w:p w14:paraId="3A4B3C02" w14:textId="77777777" w:rsidR="006803DF" w:rsidRPr="00B75D8B" w:rsidRDefault="006803DF" w:rsidP="00341003">
      <w:pPr>
        <w:tabs>
          <w:tab w:val="left" w:pos="7513"/>
        </w:tabs>
        <w:spacing w:line="360" w:lineRule="auto"/>
        <w:ind w:left="709" w:right="616"/>
        <w:contextualSpacing/>
        <w:jc w:val="both"/>
        <w:rPr>
          <w:rFonts w:ascii="Palatino Linotype" w:hAnsi="Palatino Linotype" w:cs="Arial"/>
          <w:i/>
          <w:sz w:val="22"/>
        </w:rPr>
      </w:pPr>
      <w:r w:rsidRPr="00B75D8B">
        <w:rPr>
          <w:rFonts w:ascii="Palatino Linotype" w:hAnsi="Palatino Linotype" w:cs="Arial"/>
          <w:i/>
          <w:sz w:val="22"/>
        </w:rPr>
        <w:t xml:space="preserve">2. </w:t>
      </w:r>
      <w:r w:rsidRPr="00B75D8B">
        <w:rPr>
          <w:rFonts w:ascii="Palatino Linotype" w:hAnsi="Palatino Linotype" w:cs="Arial"/>
          <w:b/>
          <w:i/>
          <w:sz w:val="22"/>
        </w:rPr>
        <w:t>El financiamiento público</w:t>
      </w:r>
      <w:r w:rsidRPr="00B75D8B">
        <w:rPr>
          <w:rFonts w:ascii="Palatino Linotype" w:hAnsi="Palatino Linotype" w:cs="Arial"/>
          <w:i/>
          <w:sz w:val="22"/>
        </w:rPr>
        <w:t xml:space="preserve"> deberá prevalecer sobre otros tipos de financiamiento y </w:t>
      </w:r>
      <w:r w:rsidRPr="00B75D8B">
        <w:rPr>
          <w:rFonts w:ascii="Palatino Linotype" w:hAnsi="Palatino Linotype" w:cs="Arial"/>
          <w:b/>
          <w:i/>
          <w:sz w:val="22"/>
        </w:rPr>
        <w:t>será destinado</w:t>
      </w:r>
      <w:r w:rsidRPr="00B75D8B">
        <w:rPr>
          <w:rFonts w:ascii="Palatino Linotype" w:hAnsi="Palatino Linotype" w:cs="Arial"/>
          <w:i/>
          <w:sz w:val="22"/>
        </w:rPr>
        <w:t xml:space="preserve"> para el sostenimiento de </w:t>
      </w:r>
      <w:r w:rsidRPr="00B75D8B">
        <w:rPr>
          <w:rFonts w:ascii="Palatino Linotype" w:hAnsi="Palatino Linotype" w:cs="Arial"/>
          <w:b/>
          <w:i/>
          <w:sz w:val="22"/>
        </w:rPr>
        <w:t>actividades ordinarias permanentes</w:t>
      </w:r>
      <w:r w:rsidRPr="00B75D8B">
        <w:rPr>
          <w:rFonts w:ascii="Palatino Linotype" w:hAnsi="Palatino Linotype" w:cs="Arial"/>
          <w:i/>
          <w:sz w:val="22"/>
        </w:rPr>
        <w:t xml:space="preserve">, gastos de procesos electorales y </w:t>
      </w:r>
      <w:r w:rsidRPr="00B75D8B">
        <w:rPr>
          <w:rFonts w:ascii="Palatino Linotype" w:hAnsi="Palatino Linotype" w:cs="Arial"/>
          <w:b/>
          <w:i/>
          <w:sz w:val="22"/>
        </w:rPr>
        <w:t>para actividades específicas</w:t>
      </w:r>
      <w:r w:rsidRPr="00B75D8B">
        <w:rPr>
          <w:rFonts w:ascii="Palatino Linotype" w:hAnsi="Palatino Linotype" w:cs="Arial"/>
          <w:i/>
          <w:sz w:val="22"/>
        </w:rPr>
        <w:t xml:space="preserve"> como entidades de interés público. </w:t>
      </w:r>
    </w:p>
    <w:p w14:paraId="21972494" w14:textId="77777777" w:rsidR="006803DF" w:rsidRPr="00B75D8B" w:rsidRDefault="006803DF" w:rsidP="00341003">
      <w:pPr>
        <w:tabs>
          <w:tab w:val="left" w:pos="7513"/>
        </w:tabs>
        <w:spacing w:line="360" w:lineRule="auto"/>
        <w:ind w:left="709" w:right="616"/>
        <w:contextualSpacing/>
        <w:jc w:val="both"/>
        <w:rPr>
          <w:rFonts w:ascii="Palatino Linotype" w:hAnsi="Palatino Linotype" w:cs="Arial"/>
          <w:i/>
          <w:sz w:val="22"/>
        </w:rPr>
      </w:pPr>
    </w:p>
    <w:p w14:paraId="7349F197" w14:textId="77777777" w:rsidR="006803DF" w:rsidRPr="00B75D8B" w:rsidRDefault="006803DF" w:rsidP="00341003">
      <w:pPr>
        <w:tabs>
          <w:tab w:val="left" w:pos="7513"/>
        </w:tabs>
        <w:spacing w:line="360" w:lineRule="auto"/>
        <w:ind w:left="709" w:right="616"/>
        <w:contextualSpacing/>
        <w:jc w:val="both"/>
        <w:rPr>
          <w:rFonts w:ascii="Palatino Linotype" w:hAnsi="Palatino Linotype" w:cs="Arial"/>
          <w:b/>
          <w:i/>
          <w:sz w:val="22"/>
        </w:rPr>
      </w:pPr>
      <w:r w:rsidRPr="00B75D8B">
        <w:rPr>
          <w:rFonts w:ascii="Palatino Linotype" w:hAnsi="Palatino Linotype" w:cs="Arial"/>
          <w:b/>
          <w:i/>
          <w:sz w:val="22"/>
        </w:rPr>
        <w:t xml:space="preserve">Artículo 51. </w:t>
      </w:r>
    </w:p>
    <w:p w14:paraId="76C61807" w14:textId="77777777" w:rsidR="006803DF" w:rsidRPr="00B75D8B" w:rsidRDefault="006803DF" w:rsidP="00341003">
      <w:pPr>
        <w:tabs>
          <w:tab w:val="left" w:pos="7513"/>
        </w:tabs>
        <w:spacing w:line="360" w:lineRule="auto"/>
        <w:ind w:left="709" w:right="616"/>
        <w:contextualSpacing/>
        <w:jc w:val="both"/>
        <w:rPr>
          <w:rFonts w:ascii="Palatino Linotype" w:hAnsi="Palatino Linotype" w:cs="Arial"/>
          <w:i/>
          <w:sz w:val="22"/>
        </w:rPr>
      </w:pPr>
      <w:r w:rsidRPr="00B75D8B">
        <w:rPr>
          <w:rFonts w:ascii="Palatino Linotype" w:hAnsi="Palatino Linotype" w:cs="Arial"/>
          <w:i/>
          <w:sz w:val="22"/>
        </w:rPr>
        <w:t xml:space="preserve">1. </w:t>
      </w:r>
      <w:r w:rsidRPr="00B75D8B">
        <w:rPr>
          <w:rFonts w:ascii="Palatino Linotype" w:hAnsi="Palatino Linotype" w:cs="Arial"/>
          <w:b/>
          <w:i/>
          <w:sz w:val="22"/>
        </w:rPr>
        <w:t>Los partidos políticos tendrán derecho al financiamiento público de sus actividades</w:t>
      </w:r>
      <w:r w:rsidRPr="00B75D8B">
        <w:rPr>
          <w:rFonts w:ascii="Palatino Linotype" w:hAnsi="Palatino Linotype" w:cs="Arial"/>
          <w:i/>
          <w:sz w:val="22"/>
        </w:rPr>
        <w:t xml:space="preserve">, estructura, sueldos y salarios, independientemente de las demás prerrogativas otorgadas en esta Ley, conforme a las disposiciones siguientes: </w:t>
      </w:r>
    </w:p>
    <w:p w14:paraId="28573359" w14:textId="7735E85F" w:rsidR="00EF50B6" w:rsidRPr="00B75D8B" w:rsidRDefault="006803DF" w:rsidP="00341003">
      <w:pPr>
        <w:tabs>
          <w:tab w:val="left" w:pos="7513"/>
        </w:tabs>
        <w:spacing w:line="360" w:lineRule="auto"/>
        <w:ind w:left="709" w:right="616"/>
        <w:contextualSpacing/>
        <w:jc w:val="both"/>
        <w:rPr>
          <w:rFonts w:ascii="Palatino Linotype" w:hAnsi="Palatino Linotype" w:cs="Arial"/>
          <w:i/>
          <w:sz w:val="22"/>
        </w:rPr>
      </w:pPr>
      <w:r w:rsidRPr="00B75D8B">
        <w:rPr>
          <w:rFonts w:ascii="Palatino Linotype" w:hAnsi="Palatino Linotype" w:cs="Arial"/>
          <w:i/>
          <w:sz w:val="22"/>
        </w:rPr>
        <w:t>…</w:t>
      </w:r>
    </w:p>
    <w:p w14:paraId="25E5F3CB" w14:textId="77777777" w:rsidR="004503B4" w:rsidRPr="00B75D8B" w:rsidRDefault="004503B4" w:rsidP="00341003">
      <w:pPr>
        <w:pStyle w:val="Prrafodelista"/>
        <w:autoSpaceDE w:val="0"/>
        <w:autoSpaceDN w:val="0"/>
        <w:adjustRightInd w:val="0"/>
        <w:spacing w:before="240" w:after="160" w:line="360" w:lineRule="auto"/>
        <w:ind w:left="851" w:right="616"/>
        <w:jc w:val="both"/>
        <w:rPr>
          <w:rFonts w:ascii="Palatino Linotype" w:hAnsi="Palatino Linotype"/>
          <w:b/>
          <w:i/>
          <w:sz w:val="22"/>
        </w:rPr>
      </w:pPr>
      <w:r w:rsidRPr="00B75D8B">
        <w:rPr>
          <w:rFonts w:ascii="Palatino Linotype" w:hAnsi="Palatino Linotype"/>
          <w:b/>
          <w:i/>
          <w:sz w:val="22"/>
        </w:rPr>
        <w:t xml:space="preserve">Artículo 61. </w:t>
      </w:r>
    </w:p>
    <w:p w14:paraId="01C67F2D" w14:textId="77777777" w:rsidR="004503B4" w:rsidRPr="00B75D8B" w:rsidRDefault="004503B4" w:rsidP="00341003">
      <w:pPr>
        <w:pStyle w:val="Prrafodelista"/>
        <w:autoSpaceDE w:val="0"/>
        <w:autoSpaceDN w:val="0"/>
        <w:adjustRightInd w:val="0"/>
        <w:spacing w:before="240" w:after="160" w:line="360" w:lineRule="auto"/>
        <w:ind w:left="851" w:right="616"/>
        <w:jc w:val="both"/>
        <w:rPr>
          <w:rFonts w:ascii="Palatino Linotype" w:hAnsi="Palatino Linotype"/>
          <w:i/>
          <w:sz w:val="22"/>
        </w:rPr>
      </w:pPr>
      <w:r w:rsidRPr="00B75D8B">
        <w:rPr>
          <w:rFonts w:ascii="Palatino Linotype" w:hAnsi="Palatino Linotype"/>
          <w:i/>
          <w:sz w:val="22"/>
        </w:rPr>
        <w:t xml:space="preserve">1. En cuanto a su régimen financiero, los partidos políticos deberán: </w:t>
      </w:r>
    </w:p>
    <w:p w14:paraId="37099F50" w14:textId="77777777" w:rsidR="004503B4" w:rsidRPr="00B75D8B" w:rsidRDefault="004503B4" w:rsidP="00341003">
      <w:pPr>
        <w:pStyle w:val="Prrafodelista"/>
        <w:autoSpaceDE w:val="0"/>
        <w:autoSpaceDN w:val="0"/>
        <w:adjustRightInd w:val="0"/>
        <w:spacing w:before="240" w:after="160" w:line="360" w:lineRule="auto"/>
        <w:ind w:left="851" w:right="616"/>
        <w:jc w:val="both"/>
        <w:rPr>
          <w:rFonts w:ascii="Palatino Linotype" w:hAnsi="Palatino Linotype"/>
          <w:i/>
          <w:sz w:val="22"/>
        </w:rPr>
      </w:pPr>
      <w:r w:rsidRPr="00B75D8B">
        <w:rPr>
          <w:rFonts w:ascii="Palatino Linotype" w:hAnsi="Palatino Linotype"/>
          <w:i/>
          <w:sz w:val="22"/>
        </w:rPr>
        <w:t>a)</w:t>
      </w:r>
      <w:r w:rsidRPr="00B75D8B">
        <w:rPr>
          <w:rFonts w:ascii="Palatino Linotype" w:hAnsi="Palatino Linotype"/>
          <w:b/>
          <w:i/>
          <w:sz w:val="22"/>
        </w:rPr>
        <w:t xml:space="preserve"> </w:t>
      </w:r>
      <w:r w:rsidRPr="00B75D8B">
        <w:rPr>
          <w:rFonts w:ascii="Palatino Linotype" w:hAnsi="Palatino Linotype"/>
          <w:i/>
          <w:sz w:val="22"/>
        </w:rPr>
        <w:t>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w:t>
      </w:r>
    </w:p>
    <w:p w14:paraId="40AEB357" w14:textId="77777777" w:rsidR="004503B4" w:rsidRPr="00B75D8B" w:rsidRDefault="004503B4" w:rsidP="00341003">
      <w:pPr>
        <w:spacing w:line="360" w:lineRule="auto"/>
        <w:ind w:left="709" w:right="616"/>
        <w:jc w:val="both"/>
        <w:rPr>
          <w:rFonts w:ascii="Palatino Linotype" w:hAnsi="Palatino Linotype" w:cs="Arial"/>
          <w:b/>
          <w:bCs/>
          <w:i/>
          <w:sz w:val="22"/>
        </w:rPr>
      </w:pPr>
    </w:p>
    <w:p w14:paraId="203A1CED" w14:textId="77777777" w:rsidR="00EF50B6" w:rsidRPr="00B75D8B" w:rsidRDefault="00EF50B6" w:rsidP="00341003">
      <w:pPr>
        <w:spacing w:line="360" w:lineRule="auto"/>
        <w:ind w:left="709" w:right="616"/>
        <w:jc w:val="both"/>
        <w:rPr>
          <w:rFonts w:ascii="Palatino Linotype" w:hAnsi="Palatino Linotype" w:cs="Arial"/>
          <w:b/>
          <w:bCs/>
          <w:i/>
          <w:sz w:val="22"/>
        </w:rPr>
      </w:pPr>
      <w:r w:rsidRPr="00B75D8B">
        <w:rPr>
          <w:rFonts w:ascii="Palatino Linotype" w:hAnsi="Palatino Linotype" w:cs="Arial"/>
          <w:b/>
          <w:bCs/>
          <w:i/>
          <w:sz w:val="22"/>
        </w:rPr>
        <w:t>Artículo 72.</w:t>
      </w:r>
    </w:p>
    <w:p w14:paraId="7074660B" w14:textId="77777777" w:rsidR="00EF50B6" w:rsidRPr="00B75D8B" w:rsidRDefault="00EF50B6" w:rsidP="00341003">
      <w:pPr>
        <w:spacing w:line="360" w:lineRule="auto"/>
        <w:ind w:left="709" w:right="709"/>
        <w:jc w:val="both"/>
        <w:rPr>
          <w:rFonts w:ascii="Palatino Linotype" w:hAnsi="Palatino Linotype" w:cs="Arial"/>
          <w:b/>
          <w:bCs/>
          <w:i/>
          <w:sz w:val="22"/>
        </w:rPr>
      </w:pPr>
      <w:r w:rsidRPr="00B75D8B">
        <w:rPr>
          <w:rFonts w:ascii="Palatino Linotype" w:hAnsi="Palatino Linotype" w:cs="Arial"/>
          <w:bCs/>
          <w:i/>
          <w:sz w:val="22"/>
        </w:rPr>
        <w:t xml:space="preserve">1. Los partidos políticos deberán reportar los ingresos y </w:t>
      </w:r>
      <w:r w:rsidRPr="00B75D8B">
        <w:rPr>
          <w:rFonts w:ascii="Palatino Linotype" w:hAnsi="Palatino Linotype" w:cs="Arial"/>
          <w:b/>
          <w:bCs/>
          <w:i/>
          <w:sz w:val="22"/>
        </w:rPr>
        <w:t>gastos del financiamiento para actividades ordinarias.</w:t>
      </w:r>
    </w:p>
    <w:p w14:paraId="3C7BABCF"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 xml:space="preserve">2. Se entiende como rubros de </w:t>
      </w:r>
      <w:r w:rsidRPr="00B75D8B">
        <w:rPr>
          <w:rFonts w:ascii="Palatino Linotype" w:hAnsi="Palatino Linotype" w:cs="Arial"/>
          <w:b/>
          <w:bCs/>
          <w:i/>
          <w:sz w:val="22"/>
        </w:rPr>
        <w:t>gasto ordinario</w:t>
      </w:r>
      <w:r w:rsidRPr="00B75D8B">
        <w:rPr>
          <w:rFonts w:ascii="Palatino Linotype" w:hAnsi="Palatino Linotype" w:cs="Arial"/>
          <w:bCs/>
          <w:i/>
          <w:sz w:val="22"/>
        </w:rPr>
        <w:t>:</w:t>
      </w:r>
    </w:p>
    <w:p w14:paraId="6F7AE8C2"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a) El gasto programado que comprende los recursos utilizados por el partido político con el objetivo de conseguir la participación ciudadana en la vida democrática, la difusión de la cultura política y el liderazgo político de la mujer;</w:t>
      </w:r>
    </w:p>
    <w:p w14:paraId="59403C08"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b) [Los gastos de estructura partidista de campaña realizados dentro de los procesos electorales;] Inciso declarado inválido por sentencia de la SCJN a Acción de Inconstitucionalidad notificada 10-09-2014 y publicada DOF 13-08-2015</w:t>
      </w:r>
    </w:p>
    <w:p w14:paraId="104BEBEE"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c) El gasto de los procesos internos de selección de candidatos, el cual no podrá ser mayor al dos por ciento del gasto ordinario establecido para el año en el cual se desarrolle el proceso interno;</w:t>
      </w:r>
    </w:p>
    <w:p w14:paraId="4BA6C7F3"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d) Los sueldos y salarios del personal, arrendamiento de bienes muebles e inmuebles, papelería, energía eléctrica, combustible, viáticos y otros similares;</w:t>
      </w:r>
    </w:p>
    <w:p w14:paraId="5851A1D9"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e) La propaganda de carácter institucional que lleven a cabo únicamente podrá difundir el emblema del partido político, así como las diferentes campañas de consolidación democrática, sin que en las mismas se establezca algún tipo de frase o leyenda que sugiera posicionamiento político alguno, y</w:t>
      </w:r>
    </w:p>
    <w:p w14:paraId="4EBAE33D"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3. [Los gastos de estructuras electorales comprenderán los realizados para el pago de viáticos y alimentos de:</w:t>
      </w:r>
    </w:p>
    <w:p w14:paraId="72AC7A17"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a) Los integrantes de los órganos internos de los partidos políticos en sus actividades estatutarias ordinarias y extraordinarias;</w:t>
      </w:r>
    </w:p>
    <w:p w14:paraId="5DD4C9E0"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b) Los integrantes de los comités o equivalentes en las entidades federativas, previstos en el párrafo 2 del artículo 43 de esta Ley, en actividades ante los órganos internos de los partidos políticos nacionales;</w:t>
      </w:r>
    </w:p>
    <w:p w14:paraId="47518A97"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c) Los integrantes de los órganos internos de los partidos políticos nacionales ante los comités o equivalentes en las entidades federativas previstos en el párrafo 2 del artículo 43 de esta Ley;</w:t>
      </w:r>
    </w:p>
    <w:p w14:paraId="1E3E9222"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d) Los representantes de los partidos políticos ante el Instituto o ante los Organismos Públicos Locales;</w:t>
      </w:r>
    </w:p>
    <w:p w14:paraId="6178DC92"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e) Los representantes de los partidos políticos en las casillas de recepción del voto;</w:t>
      </w:r>
    </w:p>
    <w:p w14:paraId="74B2AC0C"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f) Los que deriven del acuerdo emitido por el Consejo General a propuesta de la Comisión de Fiscalización, previo a la entrega de los informes de gastos ordinarios de cada uno de los ejercicios, y</w:t>
      </w:r>
    </w:p>
    <w:p w14:paraId="057F2E7E" w14:textId="77777777" w:rsidR="00EF50B6" w:rsidRPr="00B75D8B" w:rsidRDefault="00EF50B6" w:rsidP="00341003">
      <w:pPr>
        <w:spacing w:line="360" w:lineRule="auto"/>
        <w:ind w:left="709" w:right="709"/>
        <w:jc w:val="both"/>
        <w:rPr>
          <w:rFonts w:ascii="Palatino Linotype" w:hAnsi="Palatino Linotype" w:cs="Arial"/>
          <w:bCs/>
          <w:i/>
          <w:sz w:val="22"/>
        </w:rPr>
      </w:pPr>
      <w:r w:rsidRPr="00B75D8B">
        <w:rPr>
          <w:rFonts w:ascii="Palatino Linotype" w:hAnsi="Palatino Linotype" w:cs="Arial"/>
          <w:bCs/>
          <w:i/>
          <w:sz w:val="22"/>
        </w:rPr>
        <w:t>g) La propaganda institucional que difunda los logros de gobierno de cada uno de los partidos políticos o coaliciones.</w:t>
      </w:r>
    </w:p>
    <w:p w14:paraId="2B11C3DC" w14:textId="77777777" w:rsidR="00EF50B6" w:rsidRPr="00B75D8B" w:rsidRDefault="00EF50B6" w:rsidP="00341003">
      <w:pPr>
        <w:spacing w:line="360" w:lineRule="auto"/>
        <w:ind w:left="709" w:right="709"/>
        <w:jc w:val="center"/>
        <w:rPr>
          <w:rFonts w:ascii="Palatino Linotype" w:hAnsi="Palatino Linotype" w:cs="Arial"/>
          <w:b/>
          <w:bCs/>
          <w:i/>
          <w:sz w:val="22"/>
        </w:rPr>
      </w:pPr>
      <w:r w:rsidRPr="00B75D8B">
        <w:rPr>
          <w:rFonts w:ascii="Palatino Linotype" w:hAnsi="Palatino Linotype" w:cs="Arial"/>
          <w:b/>
          <w:bCs/>
          <w:i/>
          <w:sz w:val="22"/>
        </w:rPr>
        <w:t>Reglamento de Fiscalización del Instituto Nacional Electoral</w:t>
      </w:r>
    </w:p>
    <w:p w14:paraId="1B79C56F" w14:textId="77777777" w:rsidR="009F1827" w:rsidRPr="00B75D8B" w:rsidRDefault="009F1827" w:rsidP="00341003">
      <w:pPr>
        <w:spacing w:before="100" w:beforeAutospacing="1" w:after="100" w:afterAutospacing="1" w:line="360" w:lineRule="auto"/>
        <w:ind w:left="851" w:right="851"/>
        <w:jc w:val="both"/>
        <w:rPr>
          <w:rFonts w:ascii="Palatino Linotype" w:eastAsia="Times New Roman" w:hAnsi="Palatino Linotype"/>
          <w:i/>
          <w:sz w:val="22"/>
          <w:lang w:eastAsia="es-MX"/>
        </w:rPr>
      </w:pPr>
      <w:r w:rsidRPr="00B75D8B">
        <w:rPr>
          <w:rFonts w:ascii="Palatino Linotype" w:eastAsia="Times New Roman" w:hAnsi="Palatino Linotype"/>
          <w:b/>
          <w:i/>
          <w:sz w:val="22"/>
          <w:lang w:eastAsia="es-MX"/>
        </w:rPr>
        <w:t>Artículo 22.</w:t>
      </w:r>
      <w:r w:rsidRPr="00B75D8B">
        <w:rPr>
          <w:rFonts w:ascii="Palatino Linotype" w:eastAsia="Times New Roman" w:hAnsi="Palatino Linotype"/>
          <w:i/>
          <w:sz w:val="22"/>
          <w:lang w:eastAsia="es-MX"/>
        </w:rPr>
        <w:t xml:space="preserve"> De los informes </w:t>
      </w:r>
    </w:p>
    <w:p w14:paraId="222D5B73" w14:textId="77777777" w:rsidR="00B75D8B" w:rsidRDefault="009F1827" w:rsidP="00B75D8B">
      <w:pPr>
        <w:spacing w:line="360" w:lineRule="auto"/>
        <w:ind w:left="851"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 xml:space="preserve">1. Los informes que deben presentar los sujetos obligados son los que establecen la Ley de Partidos y la Ley de Instituciones, y pueden clasificarse de la manera siguiente: </w:t>
      </w:r>
    </w:p>
    <w:p w14:paraId="052980DA" w14:textId="411A060C" w:rsidR="009F1827" w:rsidRDefault="009F1827" w:rsidP="00B75D8B">
      <w:pPr>
        <w:spacing w:line="360" w:lineRule="auto"/>
        <w:ind w:left="851"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 xml:space="preserve">a) Informes del gasto ordinario: </w:t>
      </w:r>
    </w:p>
    <w:p w14:paraId="680D2F89" w14:textId="77777777" w:rsidR="00B75D8B" w:rsidRPr="00B75D8B" w:rsidRDefault="00B75D8B" w:rsidP="00B75D8B">
      <w:pPr>
        <w:spacing w:line="360" w:lineRule="auto"/>
        <w:ind w:left="851" w:right="851"/>
        <w:jc w:val="both"/>
        <w:rPr>
          <w:rFonts w:ascii="Palatino Linotype" w:eastAsia="Times New Roman" w:hAnsi="Palatino Linotype"/>
          <w:i/>
          <w:sz w:val="10"/>
          <w:lang w:eastAsia="es-MX"/>
        </w:rPr>
      </w:pPr>
    </w:p>
    <w:p w14:paraId="5CE58FF5" w14:textId="1A97CBF2" w:rsidR="00B75D8B" w:rsidRDefault="00B75D8B" w:rsidP="00B75D8B">
      <w:pPr>
        <w:pStyle w:val="Prrafodelista"/>
        <w:numPr>
          <w:ilvl w:val="0"/>
          <w:numId w:val="16"/>
        </w:numPr>
        <w:spacing w:line="360" w:lineRule="auto"/>
        <w:ind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 xml:space="preserve">Informes trimestrales. </w:t>
      </w:r>
    </w:p>
    <w:p w14:paraId="4C77C2AD" w14:textId="77777777" w:rsidR="00B75D8B" w:rsidRPr="00B75D8B" w:rsidRDefault="00B75D8B" w:rsidP="00B75D8B">
      <w:pPr>
        <w:pStyle w:val="Prrafodelista"/>
        <w:spacing w:line="360" w:lineRule="auto"/>
        <w:ind w:left="1571" w:right="851"/>
        <w:jc w:val="both"/>
        <w:rPr>
          <w:rFonts w:ascii="Palatino Linotype" w:eastAsia="Times New Roman" w:hAnsi="Palatino Linotype"/>
          <w:i/>
          <w:sz w:val="6"/>
          <w:lang w:eastAsia="es-MX"/>
        </w:rPr>
      </w:pPr>
    </w:p>
    <w:p w14:paraId="675AC1C6" w14:textId="6F326B75" w:rsidR="009F1827" w:rsidRPr="00B75D8B" w:rsidRDefault="009F1827" w:rsidP="00B75D8B">
      <w:pPr>
        <w:pStyle w:val="Prrafodelista"/>
        <w:numPr>
          <w:ilvl w:val="0"/>
          <w:numId w:val="16"/>
        </w:numPr>
        <w:spacing w:line="360" w:lineRule="auto"/>
        <w:ind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 xml:space="preserve">Informe anual. </w:t>
      </w:r>
    </w:p>
    <w:p w14:paraId="11D78B74" w14:textId="77777777" w:rsidR="00B75D8B" w:rsidRPr="00B75D8B" w:rsidRDefault="00B75D8B" w:rsidP="00B75D8B">
      <w:pPr>
        <w:pStyle w:val="Prrafodelista"/>
        <w:rPr>
          <w:rFonts w:ascii="Palatino Linotype" w:eastAsia="Times New Roman" w:hAnsi="Palatino Linotype"/>
          <w:i/>
          <w:sz w:val="10"/>
          <w:lang w:eastAsia="es-MX"/>
        </w:rPr>
      </w:pPr>
    </w:p>
    <w:p w14:paraId="297456CB" w14:textId="77777777" w:rsidR="00B75D8B" w:rsidRPr="00B75D8B" w:rsidRDefault="00B75D8B" w:rsidP="00B75D8B">
      <w:pPr>
        <w:pStyle w:val="Prrafodelista"/>
        <w:spacing w:line="360" w:lineRule="auto"/>
        <w:ind w:left="1571" w:right="851"/>
        <w:jc w:val="both"/>
        <w:rPr>
          <w:rFonts w:ascii="Palatino Linotype" w:eastAsia="Times New Roman" w:hAnsi="Palatino Linotype"/>
          <w:i/>
          <w:sz w:val="2"/>
          <w:lang w:eastAsia="es-MX"/>
        </w:rPr>
      </w:pPr>
    </w:p>
    <w:p w14:paraId="7B5099BD" w14:textId="3A0A6B76" w:rsidR="00B75D8B" w:rsidRDefault="009F1827" w:rsidP="00B75D8B">
      <w:pPr>
        <w:pStyle w:val="Prrafodelista"/>
        <w:numPr>
          <w:ilvl w:val="0"/>
          <w:numId w:val="16"/>
        </w:numPr>
        <w:spacing w:line="360" w:lineRule="auto"/>
        <w:ind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 xml:space="preserve">Informes mensuales. </w:t>
      </w:r>
    </w:p>
    <w:p w14:paraId="333D8937" w14:textId="77777777" w:rsidR="00B75D8B" w:rsidRPr="00B75D8B" w:rsidRDefault="00B75D8B" w:rsidP="00B75D8B">
      <w:pPr>
        <w:pStyle w:val="Prrafodelista"/>
        <w:spacing w:line="360" w:lineRule="auto"/>
        <w:ind w:left="1571" w:right="851"/>
        <w:jc w:val="both"/>
        <w:rPr>
          <w:rFonts w:ascii="Palatino Linotype" w:eastAsia="Times New Roman" w:hAnsi="Palatino Linotype"/>
          <w:i/>
          <w:sz w:val="8"/>
          <w:lang w:eastAsia="es-MX"/>
        </w:rPr>
      </w:pPr>
    </w:p>
    <w:p w14:paraId="74D32F47" w14:textId="3CC95354" w:rsidR="009F1827" w:rsidRPr="00B75D8B" w:rsidRDefault="00B75D8B" w:rsidP="00B75D8B">
      <w:pPr>
        <w:spacing w:line="360" w:lineRule="auto"/>
        <w:ind w:left="851" w:right="851"/>
        <w:jc w:val="both"/>
        <w:rPr>
          <w:rFonts w:ascii="Palatino Linotype" w:eastAsia="Times New Roman" w:hAnsi="Palatino Linotype"/>
          <w:i/>
          <w:sz w:val="22"/>
          <w:lang w:eastAsia="es-MX"/>
        </w:rPr>
      </w:pPr>
      <w:r>
        <w:rPr>
          <w:rFonts w:ascii="Palatino Linotype" w:eastAsia="Times New Roman" w:hAnsi="Palatino Linotype"/>
          <w:i/>
          <w:sz w:val="22"/>
          <w:lang w:eastAsia="es-MX"/>
        </w:rPr>
        <w:t xml:space="preserve">b) </w:t>
      </w:r>
      <w:r w:rsidR="009F1827" w:rsidRPr="00B75D8B">
        <w:rPr>
          <w:rFonts w:ascii="Palatino Linotype" w:eastAsia="Times New Roman" w:hAnsi="Palatino Linotype"/>
          <w:i/>
          <w:sz w:val="22"/>
          <w:lang w:eastAsia="es-MX"/>
        </w:rPr>
        <w:t xml:space="preserve">Informes de proceso electoral: </w:t>
      </w:r>
    </w:p>
    <w:p w14:paraId="3FB8249A" w14:textId="77777777" w:rsidR="00B75D8B" w:rsidRPr="00B75D8B" w:rsidRDefault="00B75D8B" w:rsidP="00B75D8B">
      <w:pPr>
        <w:pStyle w:val="Prrafodelista"/>
        <w:spacing w:line="360" w:lineRule="auto"/>
        <w:ind w:left="927" w:right="851"/>
        <w:jc w:val="both"/>
        <w:rPr>
          <w:rFonts w:ascii="Palatino Linotype" w:eastAsia="Times New Roman" w:hAnsi="Palatino Linotype"/>
          <w:i/>
          <w:sz w:val="10"/>
          <w:lang w:eastAsia="es-MX"/>
        </w:rPr>
      </w:pPr>
    </w:p>
    <w:p w14:paraId="64C9BEC9" w14:textId="6B5F08DF" w:rsidR="009F1827" w:rsidRPr="00B75D8B" w:rsidRDefault="009F1827" w:rsidP="00B75D8B">
      <w:pPr>
        <w:pStyle w:val="Prrafodelista"/>
        <w:numPr>
          <w:ilvl w:val="0"/>
          <w:numId w:val="17"/>
        </w:numPr>
        <w:spacing w:line="360" w:lineRule="auto"/>
        <w:ind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Informes de precampaña.</w:t>
      </w:r>
    </w:p>
    <w:p w14:paraId="7CA89B69" w14:textId="77777777" w:rsidR="00B75D8B" w:rsidRPr="00B75D8B" w:rsidRDefault="00B75D8B" w:rsidP="00B75D8B">
      <w:pPr>
        <w:pStyle w:val="Prrafodelista"/>
        <w:spacing w:line="360" w:lineRule="auto"/>
        <w:ind w:left="1571" w:right="851"/>
        <w:jc w:val="both"/>
        <w:rPr>
          <w:rFonts w:ascii="Palatino Linotype" w:eastAsia="Times New Roman" w:hAnsi="Palatino Linotype"/>
          <w:i/>
          <w:sz w:val="6"/>
          <w:lang w:eastAsia="es-MX"/>
        </w:rPr>
      </w:pPr>
    </w:p>
    <w:p w14:paraId="7DE51DDF" w14:textId="7EF5C38A" w:rsidR="00B75D8B" w:rsidRDefault="009F1827" w:rsidP="00B75D8B">
      <w:pPr>
        <w:pStyle w:val="Prrafodelista"/>
        <w:numPr>
          <w:ilvl w:val="0"/>
          <w:numId w:val="17"/>
        </w:numPr>
        <w:spacing w:line="360" w:lineRule="auto"/>
        <w:ind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 xml:space="preserve">Informes de obtención del apoyo ciudadano. </w:t>
      </w:r>
    </w:p>
    <w:p w14:paraId="355B705B" w14:textId="77777777" w:rsidR="00B75D8B" w:rsidRPr="00B75D8B" w:rsidRDefault="00B75D8B" w:rsidP="00B75D8B">
      <w:pPr>
        <w:spacing w:line="360" w:lineRule="auto"/>
        <w:ind w:right="851"/>
        <w:jc w:val="both"/>
        <w:rPr>
          <w:rFonts w:ascii="Palatino Linotype" w:eastAsia="Times New Roman" w:hAnsi="Palatino Linotype"/>
          <w:i/>
          <w:sz w:val="8"/>
          <w:lang w:eastAsia="es-MX"/>
        </w:rPr>
      </w:pPr>
    </w:p>
    <w:p w14:paraId="70C5932B" w14:textId="36FB85A9" w:rsidR="00B75D8B" w:rsidRDefault="009F1827" w:rsidP="00B75D8B">
      <w:pPr>
        <w:pStyle w:val="Prrafodelista"/>
        <w:numPr>
          <w:ilvl w:val="0"/>
          <w:numId w:val="17"/>
        </w:numPr>
        <w:spacing w:line="360" w:lineRule="auto"/>
        <w:ind w:right="851"/>
        <w:jc w:val="both"/>
        <w:rPr>
          <w:rFonts w:ascii="Palatino Linotype" w:eastAsia="Times New Roman" w:hAnsi="Palatino Linotype"/>
          <w:i/>
          <w:sz w:val="22"/>
          <w:lang w:eastAsia="es-MX"/>
        </w:rPr>
      </w:pPr>
      <w:r w:rsidRPr="00B75D8B">
        <w:rPr>
          <w:rFonts w:ascii="Palatino Linotype" w:eastAsia="Times New Roman" w:hAnsi="Palatino Linotype"/>
          <w:i/>
          <w:sz w:val="22"/>
          <w:lang w:eastAsia="es-MX"/>
        </w:rPr>
        <w:t>Informes de campaña.</w:t>
      </w:r>
    </w:p>
    <w:p w14:paraId="6A437491" w14:textId="77777777" w:rsidR="00B75D8B" w:rsidRPr="00B75D8B" w:rsidRDefault="00B75D8B" w:rsidP="00B75D8B">
      <w:pPr>
        <w:spacing w:line="360" w:lineRule="auto"/>
        <w:ind w:right="851"/>
        <w:jc w:val="both"/>
        <w:rPr>
          <w:rFonts w:ascii="Palatino Linotype" w:eastAsia="Times New Roman" w:hAnsi="Palatino Linotype"/>
          <w:i/>
          <w:sz w:val="6"/>
          <w:lang w:eastAsia="es-MX"/>
        </w:rPr>
      </w:pPr>
    </w:p>
    <w:p w14:paraId="33B35A2C" w14:textId="3E4669FF" w:rsidR="00B75D8B" w:rsidRDefault="009F1827" w:rsidP="00B75D8B">
      <w:pPr>
        <w:pStyle w:val="Prrafodelista"/>
        <w:numPr>
          <w:ilvl w:val="0"/>
          <w:numId w:val="10"/>
        </w:numPr>
        <w:spacing w:line="360" w:lineRule="auto"/>
        <w:ind w:left="851" w:right="851" w:hanging="11"/>
        <w:jc w:val="both"/>
        <w:rPr>
          <w:rFonts w:ascii="Palatino Linotype" w:eastAsia="Times New Roman" w:hAnsi="Palatino Linotype"/>
          <w:i/>
          <w:sz w:val="22"/>
          <w:u w:val="single"/>
          <w:lang w:eastAsia="es-MX"/>
        </w:rPr>
      </w:pPr>
      <w:r w:rsidRPr="00B75D8B">
        <w:rPr>
          <w:rFonts w:ascii="Palatino Linotype" w:eastAsia="Times New Roman" w:hAnsi="Palatino Linotype"/>
          <w:i/>
          <w:sz w:val="22"/>
          <w:u w:val="single"/>
          <w:lang w:eastAsia="es-MX"/>
        </w:rPr>
        <w:t>Informes presupuestales:</w:t>
      </w:r>
    </w:p>
    <w:p w14:paraId="0964919A" w14:textId="77777777" w:rsidR="00B75D8B" w:rsidRPr="00B75D8B" w:rsidRDefault="00B75D8B" w:rsidP="00B75D8B">
      <w:pPr>
        <w:spacing w:line="360" w:lineRule="auto"/>
        <w:ind w:left="709" w:right="851"/>
        <w:jc w:val="both"/>
        <w:rPr>
          <w:rFonts w:ascii="Palatino Linotype" w:eastAsia="Times New Roman" w:hAnsi="Palatino Linotype"/>
          <w:i/>
          <w:sz w:val="10"/>
          <w:u w:val="single"/>
          <w:lang w:eastAsia="es-MX"/>
        </w:rPr>
      </w:pPr>
    </w:p>
    <w:p w14:paraId="5C78BEFB" w14:textId="3A38450A" w:rsidR="00B75D8B" w:rsidRDefault="009F1827" w:rsidP="00B75D8B">
      <w:pPr>
        <w:pStyle w:val="Prrafodelista"/>
        <w:numPr>
          <w:ilvl w:val="0"/>
          <w:numId w:val="18"/>
        </w:numPr>
        <w:spacing w:line="360" w:lineRule="auto"/>
        <w:ind w:right="851"/>
        <w:jc w:val="both"/>
        <w:rPr>
          <w:rFonts w:ascii="Palatino Linotype" w:eastAsia="Times New Roman" w:hAnsi="Palatino Linotype"/>
          <w:i/>
          <w:sz w:val="22"/>
          <w:u w:val="single"/>
          <w:lang w:eastAsia="es-MX"/>
        </w:rPr>
      </w:pPr>
      <w:r w:rsidRPr="00B75D8B">
        <w:rPr>
          <w:rFonts w:ascii="Palatino Linotype" w:eastAsia="Times New Roman" w:hAnsi="Palatino Linotype"/>
          <w:i/>
          <w:sz w:val="22"/>
          <w:u w:val="single"/>
          <w:lang w:eastAsia="es-MX"/>
        </w:rPr>
        <w:t xml:space="preserve">Programa Anual de Trabajo. </w:t>
      </w:r>
    </w:p>
    <w:p w14:paraId="1BBD58A4" w14:textId="77777777" w:rsidR="00B75D8B" w:rsidRPr="00B75D8B" w:rsidRDefault="00B75D8B" w:rsidP="00B75D8B">
      <w:pPr>
        <w:pStyle w:val="Prrafodelista"/>
        <w:spacing w:line="360" w:lineRule="auto"/>
        <w:ind w:left="1631" w:right="851"/>
        <w:jc w:val="both"/>
        <w:rPr>
          <w:rFonts w:ascii="Palatino Linotype" w:eastAsia="Times New Roman" w:hAnsi="Palatino Linotype"/>
          <w:i/>
          <w:sz w:val="2"/>
          <w:u w:val="single"/>
          <w:lang w:eastAsia="es-MX"/>
        </w:rPr>
      </w:pPr>
    </w:p>
    <w:p w14:paraId="5EFBA8B7" w14:textId="77777777" w:rsidR="009F1827" w:rsidRPr="00B75D8B" w:rsidRDefault="009F1827" w:rsidP="00B75D8B">
      <w:pPr>
        <w:spacing w:line="360" w:lineRule="auto"/>
        <w:ind w:left="851" w:right="851"/>
        <w:jc w:val="both"/>
        <w:rPr>
          <w:rFonts w:ascii="Palatino Linotype" w:eastAsia="Times New Roman" w:hAnsi="Palatino Linotype"/>
          <w:i/>
          <w:sz w:val="22"/>
          <w:u w:val="single"/>
          <w:lang w:eastAsia="es-MX"/>
        </w:rPr>
      </w:pPr>
      <w:r w:rsidRPr="00B75D8B">
        <w:rPr>
          <w:rFonts w:ascii="Palatino Linotype" w:eastAsia="Times New Roman" w:hAnsi="Palatino Linotype"/>
          <w:i/>
          <w:sz w:val="22"/>
          <w:u w:val="single"/>
          <w:lang w:eastAsia="es-MX"/>
        </w:rPr>
        <w:t xml:space="preserve">II. Informe de Avance Físico-Financiero. </w:t>
      </w:r>
    </w:p>
    <w:p w14:paraId="77846A1D" w14:textId="77777777" w:rsidR="009F1827" w:rsidRPr="00B75D8B" w:rsidRDefault="009F1827" w:rsidP="00B75D8B">
      <w:pPr>
        <w:spacing w:line="360" w:lineRule="auto"/>
        <w:ind w:left="851" w:right="851"/>
        <w:jc w:val="both"/>
        <w:rPr>
          <w:rFonts w:ascii="Palatino Linotype" w:eastAsia="Times New Roman" w:hAnsi="Palatino Linotype"/>
          <w:i/>
          <w:sz w:val="22"/>
          <w:lang w:eastAsia="es-MX"/>
        </w:rPr>
      </w:pPr>
      <w:r w:rsidRPr="00B75D8B">
        <w:rPr>
          <w:rFonts w:ascii="Palatino Linotype" w:eastAsia="Times New Roman" w:hAnsi="Palatino Linotype"/>
          <w:i/>
          <w:sz w:val="22"/>
          <w:u w:val="single"/>
          <w:lang w:eastAsia="es-MX"/>
        </w:rPr>
        <w:t>III. Informe de Situación Presupuestal.</w:t>
      </w:r>
      <w:r w:rsidRPr="00B75D8B">
        <w:rPr>
          <w:rFonts w:ascii="Palatino Linotype" w:eastAsia="Times New Roman" w:hAnsi="Palatino Linotype"/>
          <w:i/>
          <w:sz w:val="22"/>
          <w:lang w:eastAsia="es-MX"/>
        </w:rPr>
        <w:t xml:space="preserve"> </w:t>
      </w:r>
    </w:p>
    <w:p w14:paraId="6057EDED" w14:textId="03141C26" w:rsidR="009F1827" w:rsidRPr="00E06CB1" w:rsidRDefault="009F1827" w:rsidP="00E06CB1">
      <w:pPr>
        <w:ind w:left="851" w:right="849"/>
        <w:jc w:val="both"/>
        <w:rPr>
          <w:rFonts w:ascii="Palatino Linotype" w:eastAsia="Times New Roman" w:hAnsi="Palatino Linotype"/>
          <w:i/>
          <w:sz w:val="20"/>
          <w:szCs w:val="20"/>
          <w:lang w:eastAsia="es-MX"/>
        </w:rPr>
      </w:pPr>
      <w:r w:rsidRPr="00E06CB1">
        <w:rPr>
          <w:rFonts w:ascii="Palatino Linotype" w:eastAsia="Times New Roman" w:hAnsi="Palatino Linotype"/>
          <w:i/>
          <w:sz w:val="20"/>
          <w:szCs w:val="20"/>
          <w:lang w:eastAsia="es-MX"/>
        </w:rPr>
        <w:t xml:space="preserve">2. </w:t>
      </w:r>
      <w:r w:rsidRPr="00E06CB1">
        <w:rPr>
          <w:rFonts w:ascii="Palatino Linotype" w:eastAsia="Times New Roman" w:hAnsi="Palatino Linotype"/>
          <w:i/>
          <w:sz w:val="20"/>
          <w:szCs w:val="20"/>
          <w:u w:val="single"/>
          <w:lang w:eastAsia="es-MX"/>
        </w:rPr>
        <w:t>Los informes presupuestales del inciso c) del numeral 1 del presente artículo, sólo deberán ser preparados por los partidos políticos y estarán a lo dispuesto en los Lineamientos para la Elaboración, Ejecución y Evaluación del Presupuesto de los Partidos Políticos</w:t>
      </w:r>
      <w:r w:rsidRPr="00E06CB1">
        <w:rPr>
          <w:rFonts w:ascii="Palatino Linotype" w:eastAsia="Times New Roman" w:hAnsi="Palatino Linotype"/>
          <w:i/>
          <w:sz w:val="20"/>
          <w:szCs w:val="20"/>
          <w:lang w:eastAsia="es-MX"/>
        </w:rPr>
        <w:t>, que emita la Comisión.”</w:t>
      </w:r>
    </w:p>
    <w:p w14:paraId="2FF4B814" w14:textId="4BAEE0B3" w:rsidR="00EF50B6" w:rsidRPr="00341003" w:rsidRDefault="009F1827"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eastAsia="Times New Roman" w:hAnsi="Palatino Linotype"/>
          <w:i/>
          <w:lang w:eastAsia="es-MX"/>
        </w:rPr>
        <w:t xml:space="preserve"> </w:t>
      </w:r>
      <w:r w:rsidR="00EF50B6" w:rsidRPr="00341003">
        <w:rPr>
          <w:rFonts w:ascii="Palatino Linotype" w:hAnsi="Palatino Linotype" w:cs="Arial"/>
        </w:rPr>
        <w:t xml:space="preserve">De lo anterior se desprende que el financiamiento público otorgado a los Partidos Políticos Locales para el sostenimiento de sus actividades se fijará </w:t>
      </w:r>
      <w:r w:rsidR="00EF50B6" w:rsidRPr="00341003">
        <w:rPr>
          <w:rFonts w:ascii="Palatino Linotype" w:hAnsi="Palatino Linotype" w:cs="Arial"/>
          <w:b/>
        </w:rPr>
        <w:t>de manera anual</w:t>
      </w:r>
      <w:r w:rsidR="00EF50B6" w:rsidRPr="00341003">
        <w:rPr>
          <w:rFonts w:ascii="Palatino Linotype" w:hAnsi="Palatino Linotype" w:cs="Arial"/>
        </w:rPr>
        <w:t>, con el cual podrán sufragar, todos los gastos operativos. Para efecto de lo anterior, están obligados a reportar a las autoridades electorales, los ingresos y gastos del ejercicio del financiamiento público otorgado para el sostenimiento de sus actividades ordinarias</w:t>
      </w:r>
      <w:r w:rsidR="006F6BE4" w:rsidRPr="00341003">
        <w:rPr>
          <w:rFonts w:ascii="Palatino Linotype" w:hAnsi="Palatino Linotype" w:cs="Arial"/>
        </w:rPr>
        <w:t xml:space="preserve"> y </w:t>
      </w:r>
      <w:r w:rsidR="00480B45" w:rsidRPr="00341003">
        <w:rPr>
          <w:rFonts w:ascii="Palatino Linotype" w:hAnsi="Palatino Linotype" w:cs="Arial"/>
        </w:rPr>
        <w:t>específicas</w:t>
      </w:r>
      <w:r w:rsidR="00EF50B6" w:rsidRPr="00341003">
        <w:rPr>
          <w:rFonts w:ascii="Palatino Linotype" w:hAnsi="Palatino Linotype" w:cs="Arial"/>
        </w:rPr>
        <w:t>. Asimismo, se encuentra prevista como fuente de financiamiento, la aportación de cuotas de sus militantes, que serán establecidas en términos de la Ley de Partidos Políticos.</w:t>
      </w:r>
    </w:p>
    <w:p w14:paraId="5A46B3CD" w14:textId="77777777" w:rsidR="00EF50B6" w:rsidRPr="00341003" w:rsidRDefault="00EF50B6" w:rsidP="00341003">
      <w:pPr>
        <w:pStyle w:val="Prrafodelista"/>
        <w:spacing w:line="360" w:lineRule="auto"/>
        <w:ind w:left="0"/>
        <w:jc w:val="both"/>
        <w:rPr>
          <w:rFonts w:ascii="Palatino Linotype" w:hAnsi="Palatino Linotype" w:cs="Arial"/>
        </w:rPr>
      </w:pPr>
    </w:p>
    <w:p w14:paraId="656CA5D3" w14:textId="77777777" w:rsidR="00EF50B6" w:rsidRPr="00341003" w:rsidRDefault="00EF50B6"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Al respecto, los Partidos Políticos están obligados a documentar para efectos de fiscalización tanto los pagos por cualquier concepto, se advierte que de conformidad con el artículo 23 de la Ley de Transparencia y Acceso a la Información Pública del Estado de México y Municipios, los Sujetos Obligados, entre ellos los Partidos Políticos, deben transparentar y permitir el acceso a su información pública, como lo son los montos y personas a quienes entreguen, por cualquier motivo, recursos públicos.</w:t>
      </w:r>
    </w:p>
    <w:p w14:paraId="3DFD7632" w14:textId="77777777" w:rsidR="004E3C12" w:rsidRPr="00341003" w:rsidRDefault="004E3C12" w:rsidP="00341003">
      <w:pPr>
        <w:pStyle w:val="Sinespaciado"/>
        <w:spacing w:line="360" w:lineRule="auto"/>
        <w:rPr>
          <w:rFonts w:ascii="Palatino Linotype" w:hAnsi="Palatino Linotype"/>
        </w:rPr>
      </w:pPr>
    </w:p>
    <w:p w14:paraId="358897CD" w14:textId="77777777" w:rsidR="00E06CB1" w:rsidRDefault="004E3C12" w:rsidP="0034100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41003">
        <w:rPr>
          <w:rFonts w:ascii="Palatino Linotype" w:hAnsi="Palatino Linotype" w:cs="Arial"/>
          <w:lang w:eastAsia="es-MX"/>
        </w:rPr>
        <w:t xml:space="preserve">En ese sentido la Ley de Transparencia y Acceso a la Información Pública del Estado de México y Municipios, señala dentro de las obligaciones de transparencia </w:t>
      </w:r>
    </w:p>
    <w:p w14:paraId="77F6D9E5" w14:textId="77777777" w:rsidR="00E06CB1" w:rsidRPr="00E06CB1" w:rsidRDefault="00E06CB1" w:rsidP="00E06CB1">
      <w:pPr>
        <w:pStyle w:val="Prrafodelista"/>
        <w:rPr>
          <w:rFonts w:ascii="Palatino Linotype" w:hAnsi="Palatino Linotype" w:cs="Arial"/>
          <w:lang w:eastAsia="es-MX"/>
        </w:rPr>
      </w:pPr>
    </w:p>
    <w:p w14:paraId="7C411945" w14:textId="77777777" w:rsidR="00E06CB1" w:rsidRDefault="00E06CB1" w:rsidP="00E06CB1">
      <w:pPr>
        <w:pStyle w:val="Prrafodelista"/>
        <w:tabs>
          <w:tab w:val="left" w:pos="0"/>
        </w:tabs>
        <w:spacing w:line="360" w:lineRule="auto"/>
        <w:ind w:left="0" w:right="49"/>
        <w:jc w:val="both"/>
        <w:rPr>
          <w:rFonts w:ascii="Palatino Linotype" w:hAnsi="Palatino Linotype" w:cs="Arial"/>
          <w:lang w:eastAsia="es-MX"/>
        </w:rPr>
      </w:pPr>
    </w:p>
    <w:p w14:paraId="68736765" w14:textId="77777777" w:rsidR="00E06CB1" w:rsidRPr="00E06CB1" w:rsidRDefault="00E06CB1" w:rsidP="00E06CB1">
      <w:pPr>
        <w:pStyle w:val="Prrafodelista"/>
        <w:rPr>
          <w:rFonts w:ascii="Palatino Linotype" w:hAnsi="Palatino Linotype" w:cs="Arial"/>
          <w:lang w:eastAsia="es-MX"/>
        </w:rPr>
      </w:pPr>
    </w:p>
    <w:p w14:paraId="3FAC2538" w14:textId="54345D94" w:rsidR="004E3C12" w:rsidRPr="00341003" w:rsidRDefault="004E3C12" w:rsidP="00E06CB1">
      <w:pPr>
        <w:pStyle w:val="Prrafodelista"/>
        <w:tabs>
          <w:tab w:val="left" w:pos="0"/>
        </w:tabs>
        <w:spacing w:line="360" w:lineRule="auto"/>
        <w:ind w:left="0" w:right="49"/>
        <w:jc w:val="both"/>
        <w:rPr>
          <w:rFonts w:ascii="Palatino Linotype" w:hAnsi="Palatino Linotype" w:cs="Arial"/>
          <w:lang w:eastAsia="es-MX"/>
        </w:rPr>
      </w:pPr>
      <w:proofErr w:type="gramStart"/>
      <w:r w:rsidRPr="00341003">
        <w:rPr>
          <w:rFonts w:ascii="Palatino Linotype" w:hAnsi="Palatino Linotype" w:cs="Arial"/>
          <w:lang w:eastAsia="es-MX"/>
        </w:rPr>
        <w:t>comunes</w:t>
      </w:r>
      <w:proofErr w:type="gramEnd"/>
      <w:r w:rsidRPr="00341003">
        <w:rPr>
          <w:rFonts w:ascii="Palatino Linotype" w:hAnsi="Palatino Linotype" w:cs="Arial"/>
          <w:lang w:eastAsia="es-MX"/>
        </w:rPr>
        <w:t>, la información financiera sobre el presupuesto asignado, tal y como se cita a continuación:</w:t>
      </w:r>
    </w:p>
    <w:p w14:paraId="4A1CB301" w14:textId="77777777" w:rsidR="004E3C12" w:rsidRPr="00E06CB1" w:rsidRDefault="004E3C12" w:rsidP="00341003">
      <w:pPr>
        <w:autoSpaceDE w:val="0"/>
        <w:autoSpaceDN w:val="0"/>
        <w:adjustRightInd w:val="0"/>
        <w:spacing w:before="100" w:beforeAutospacing="1" w:after="100" w:afterAutospacing="1" w:line="360" w:lineRule="auto"/>
        <w:ind w:left="567" w:right="616"/>
        <w:jc w:val="both"/>
        <w:rPr>
          <w:rFonts w:ascii="Palatino Linotype" w:hAnsi="Palatino Linotype" w:cs="Arial"/>
          <w:i/>
          <w:sz w:val="20"/>
          <w:szCs w:val="20"/>
          <w:lang w:eastAsia="es-MX"/>
        </w:rPr>
      </w:pPr>
      <w:r w:rsidRPr="00E06CB1">
        <w:rPr>
          <w:rFonts w:ascii="Palatino Linotype" w:hAnsi="Palatino Linotype" w:cs="Arial"/>
          <w:i/>
          <w:sz w:val="20"/>
          <w:szCs w:val="20"/>
          <w:lang w:eastAsia="es-MX"/>
        </w:rPr>
        <w:t>“</w:t>
      </w:r>
      <w:r w:rsidRPr="00E06CB1">
        <w:rPr>
          <w:rFonts w:ascii="Palatino Linotype" w:hAnsi="Palatino Linotype" w:cs="Arial"/>
          <w:b/>
          <w:i/>
          <w:sz w:val="20"/>
          <w:szCs w:val="20"/>
          <w:lang w:eastAsia="es-MX"/>
        </w:rPr>
        <w:t>Artículo 92.</w:t>
      </w:r>
      <w:r w:rsidRPr="00E06CB1">
        <w:rPr>
          <w:rFonts w:ascii="Palatino Linotype" w:hAnsi="Palatino Linotype" w:cs="Arial"/>
          <w:i/>
          <w:sz w:val="20"/>
          <w:szCs w:val="20"/>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CE9750" w14:textId="77777777" w:rsidR="00E06CB1" w:rsidRPr="00E06CB1" w:rsidRDefault="004E3C12" w:rsidP="00E06CB1">
      <w:pPr>
        <w:autoSpaceDE w:val="0"/>
        <w:autoSpaceDN w:val="0"/>
        <w:adjustRightInd w:val="0"/>
        <w:spacing w:before="100" w:beforeAutospacing="1" w:after="100" w:afterAutospacing="1" w:line="360" w:lineRule="auto"/>
        <w:ind w:left="567" w:right="616"/>
        <w:jc w:val="both"/>
        <w:rPr>
          <w:rFonts w:ascii="Palatino Linotype" w:hAnsi="Palatino Linotype" w:cs="Arial"/>
          <w:i/>
          <w:sz w:val="20"/>
          <w:szCs w:val="20"/>
          <w:lang w:eastAsia="es-MX"/>
        </w:rPr>
      </w:pPr>
      <w:r w:rsidRPr="00E06CB1">
        <w:rPr>
          <w:rFonts w:ascii="Palatino Linotype" w:hAnsi="Palatino Linotype" w:cs="Arial"/>
          <w:i/>
          <w:sz w:val="20"/>
          <w:szCs w:val="20"/>
          <w:lang w:eastAsia="es-MX"/>
        </w:rPr>
        <w:t>(…)</w:t>
      </w:r>
    </w:p>
    <w:p w14:paraId="1033BC12" w14:textId="74562692" w:rsidR="00E06CB1" w:rsidRPr="00E06CB1" w:rsidRDefault="004E3C12" w:rsidP="00E06CB1">
      <w:pPr>
        <w:autoSpaceDE w:val="0"/>
        <w:autoSpaceDN w:val="0"/>
        <w:adjustRightInd w:val="0"/>
        <w:spacing w:before="100" w:beforeAutospacing="1" w:after="100" w:afterAutospacing="1" w:line="360" w:lineRule="auto"/>
        <w:ind w:left="567" w:right="1416"/>
        <w:jc w:val="both"/>
        <w:rPr>
          <w:rFonts w:ascii="Palatino Linotype" w:hAnsi="Palatino Linotype" w:cs="Arial"/>
          <w:i/>
          <w:sz w:val="20"/>
          <w:szCs w:val="20"/>
          <w:lang w:eastAsia="es-MX"/>
        </w:rPr>
      </w:pPr>
      <w:r w:rsidRPr="00E06CB1">
        <w:rPr>
          <w:rFonts w:ascii="Palatino Linotype" w:hAnsi="Palatino Linotype" w:cs="Arial"/>
          <w:b/>
          <w:i/>
          <w:sz w:val="20"/>
          <w:szCs w:val="20"/>
          <w:lang w:eastAsia="es-MX"/>
        </w:rPr>
        <w:t>XXV.</w:t>
      </w:r>
      <w:r w:rsidRPr="00E06CB1">
        <w:rPr>
          <w:rFonts w:ascii="Palatino Linotype" w:hAnsi="Palatino Linotype" w:cs="Arial"/>
          <w:i/>
          <w:sz w:val="20"/>
          <w:szCs w:val="20"/>
          <w:lang w:eastAsia="es-MX"/>
        </w:rPr>
        <w:t xml:space="preserve"> </w:t>
      </w:r>
      <w:r w:rsidRPr="00E06CB1">
        <w:rPr>
          <w:rFonts w:ascii="Palatino Linotype" w:hAnsi="Palatino Linotype" w:cs="Arial"/>
          <w:b/>
          <w:i/>
          <w:sz w:val="20"/>
          <w:szCs w:val="20"/>
          <w:u w:val="single"/>
          <w:lang w:eastAsia="es-MX"/>
        </w:rPr>
        <w:t>La información financiera sobre el presupuesto asignado</w:t>
      </w:r>
      <w:r w:rsidRPr="00E06CB1">
        <w:rPr>
          <w:rFonts w:ascii="Palatino Linotype" w:hAnsi="Palatino Linotype" w:cs="Arial"/>
          <w:i/>
          <w:sz w:val="20"/>
          <w:szCs w:val="20"/>
          <w:lang w:eastAsia="es-MX"/>
        </w:rPr>
        <w:t>, así como los informes del ejercicio trimestral del gasto, en términos de la Ley General de Contabilidad Gubernamental y demás disposici</w:t>
      </w:r>
      <w:r w:rsidR="00E06CB1" w:rsidRPr="00E06CB1">
        <w:rPr>
          <w:rFonts w:ascii="Palatino Linotype" w:hAnsi="Palatino Linotype" w:cs="Arial"/>
          <w:i/>
          <w:sz w:val="20"/>
          <w:szCs w:val="20"/>
          <w:lang w:eastAsia="es-MX"/>
        </w:rPr>
        <w:t>ones jurídicas aplicables; (…)”</w:t>
      </w:r>
    </w:p>
    <w:p w14:paraId="63A624E3" w14:textId="77777777" w:rsidR="004E3C12" w:rsidRPr="00341003" w:rsidRDefault="004E3C12" w:rsidP="00E06CB1">
      <w:pPr>
        <w:pStyle w:val="Prrafodelista"/>
        <w:numPr>
          <w:ilvl w:val="0"/>
          <w:numId w:val="1"/>
        </w:numPr>
        <w:spacing w:line="360" w:lineRule="auto"/>
        <w:ind w:left="0" w:right="49" w:firstLine="0"/>
        <w:jc w:val="both"/>
        <w:rPr>
          <w:rFonts w:ascii="Palatino Linotype" w:hAnsi="Palatino Linotype"/>
        </w:rPr>
      </w:pPr>
      <w:r w:rsidRPr="00341003">
        <w:rPr>
          <w:rFonts w:ascii="Palatino Linotype" w:hAnsi="Palatino Linotype" w:cs="Arial"/>
          <w:lang w:eastAsia="es-MX"/>
        </w:rPr>
        <w:t>E</w:t>
      </w:r>
      <w:r w:rsidRPr="00341003">
        <w:rPr>
          <w:rFonts w:ascii="Palatino Linotype" w:hAnsi="Palatino Linotype"/>
        </w:rPr>
        <w:t>n adición a lo anterior, las misma ley citada establece las obligaciones de trasparencia específicas para los partidos políticos entre las cuales se encuentran, los montos de financiamiento público y los estados de situación financiera, obligaciones que se encuentran establecidas en las fracciones XXIV y XXV del artículo 100 de la Ley de la materia que se leen de la siguiente manera:</w:t>
      </w:r>
    </w:p>
    <w:p w14:paraId="2BCC5D5B" w14:textId="77777777" w:rsidR="00672F08" w:rsidRDefault="004E3C12" w:rsidP="00672F08">
      <w:pPr>
        <w:pStyle w:val="Sinespaciado"/>
        <w:spacing w:line="276" w:lineRule="auto"/>
        <w:ind w:left="709" w:right="1132"/>
        <w:jc w:val="both"/>
        <w:rPr>
          <w:rFonts w:ascii="Palatino Linotype" w:hAnsi="Palatino Linotype"/>
          <w:i/>
          <w:sz w:val="20"/>
          <w:szCs w:val="20"/>
          <w:lang w:val="es-ES"/>
        </w:rPr>
      </w:pPr>
      <w:r w:rsidRPr="00E06CB1">
        <w:rPr>
          <w:rFonts w:ascii="Palatino Linotype" w:hAnsi="Palatino Linotype"/>
          <w:i/>
          <w:sz w:val="20"/>
          <w:szCs w:val="20"/>
          <w:lang w:val="es-ES"/>
        </w:rPr>
        <w:t>“</w:t>
      </w:r>
      <w:r w:rsidRPr="00E06CB1">
        <w:rPr>
          <w:rFonts w:ascii="Palatino Linotype" w:hAnsi="Palatino Linotype"/>
          <w:b/>
          <w:i/>
          <w:sz w:val="20"/>
          <w:szCs w:val="20"/>
          <w:lang w:val="es-ES"/>
        </w:rPr>
        <w:t>Artículo 100.</w:t>
      </w:r>
      <w:r w:rsidRPr="00E06CB1">
        <w:rPr>
          <w:rFonts w:ascii="Palatino Linotype" w:hAnsi="Palatino Linotype"/>
          <w:i/>
          <w:sz w:val="20"/>
          <w:szCs w:val="20"/>
          <w:lang w:val="es-ES"/>
        </w:rPr>
        <w:t xml:space="preserve"> Los partidos políticos nacionales acreditados para participar en elecciones locales y los partidos locales, en cuant</w:t>
      </w:r>
      <w:r w:rsidR="00E06CB1">
        <w:rPr>
          <w:rFonts w:ascii="Palatino Linotype" w:hAnsi="Palatino Linotype"/>
          <w:i/>
          <w:sz w:val="20"/>
          <w:szCs w:val="20"/>
          <w:lang w:val="es-ES"/>
        </w:rPr>
        <w:t>o hace a sus órganos directivos</w:t>
      </w:r>
      <w:r w:rsidR="00672F08">
        <w:rPr>
          <w:rFonts w:ascii="Palatino Linotype" w:hAnsi="Palatino Linotype"/>
          <w:i/>
          <w:sz w:val="20"/>
          <w:szCs w:val="20"/>
          <w:lang w:val="es-ES"/>
        </w:rPr>
        <w:t xml:space="preserve"> </w:t>
      </w:r>
      <w:r w:rsidRPr="00E06CB1">
        <w:rPr>
          <w:rFonts w:ascii="Palatino Linotype" w:hAnsi="Palatino Linotype"/>
          <w:i/>
          <w:sz w:val="20"/>
          <w:szCs w:val="20"/>
          <w:lang w:val="es-ES"/>
        </w:rPr>
        <w:t>estatales y municipales, las agrupaciones políticas y las personas jurídicas colectivas</w:t>
      </w:r>
    </w:p>
    <w:p w14:paraId="336631B1" w14:textId="5A264226" w:rsidR="00E06CB1" w:rsidRPr="00E06CB1" w:rsidRDefault="004E3C12" w:rsidP="00672F08">
      <w:pPr>
        <w:pStyle w:val="Sinespaciado"/>
        <w:spacing w:line="276" w:lineRule="auto"/>
        <w:ind w:left="709" w:right="1132"/>
        <w:jc w:val="both"/>
        <w:rPr>
          <w:rFonts w:ascii="Palatino Linotype" w:hAnsi="Palatino Linotype"/>
          <w:i/>
          <w:sz w:val="20"/>
          <w:szCs w:val="20"/>
          <w:lang w:val="es-ES"/>
        </w:rPr>
      </w:pPr>
      <w:r w:rsidRPr="00E06CB1">
        <w:rPr>
          <w:rFonts w:ascii="Palatino Linotype" w:hAnsi="Palatino Linotype"/>
          <w:i/>
          <w:sz w:val="20"/>
          <w:szCs w:val="20"/>
          <w:lang w:val="es-ES"/>
        </w:rPr>
        <w:t xml:space="preserve"> </w:t>
      </w:r>
      <w:proofErr w:type="gramStart"/>
      <w:r w:rsidRPr="00E06CB1">
        <w:rPr>
          <w:rFonts w:ascii="Palatino Linotype" w:hAnsi="Palatino Linotype"/>
          <w:i/>
          <w:sz w:val="20"/>
          <w:szCs w:val="20"/>
          <w:lang w:val="es-ES"/>
        </w:rPr>
        <w:t>constituidas</w:t>
      </w:r>
      <w:proofErr w:type="gramEnd"/>
      <w:r w:rsidRPr="00E06CB1">
        <w:rPr>
          <w:rFonts w:ascii="Palatino Linotype" w:hAnsi="Palatino Linotype"/>
          <w:i/>
          <w:sz w:val="20"/>
          <w:szCs w:val="20"/>
          <w:lang w:val="es-ES"/>
        </w:rPr>
        <w:t xml:space="preserve"> en asociación civil creadas por los ciudadanos que pretendan postular su candidatura independiente, según corresponda, deberán poner a disposición del público y actualizar la siguiente información:</w:t>
      </w:r>
    </w:p>
    <w:p w14:paraId="33895B75" w14:textId="728D14B6" w:rsidR="004E3C12" w:rsidRPr="00E06CB1" w:rsidRDefault="004E3C12" w:rsidP="00672F08">
      <w:pPr>
        <w:pStyle w:val="Sinespaciado"/>
        <w:spacing w:before="100" w:beforeAutospacing="1" w:after="100" w:afterAutospacing="1" w:line="360" w:lineRule="auto"/>
        <w:ind w:left="709" w:right="1274"/>
        <w:jc w:val="both"/>
        <w:rPr>
          <w:rFonts w:ascii="Palatino Linotype" w:hAnsi="Palatino Linotype"/>
          <w:i/>
          <w:sz w:val="20"/>
          <w:szCs w:val="20"/>
          <w:lang w:val="es-ES"/>
        </w:rPr>
      </w:pPr>
      <w:r w:rsidRPr="00E06CB1">
        <w:rPr>
          <w:rFonts w:ascii="Palatino Linotype" w:hAnsi="Palatino Linotype"/>
          <w:i/>
          <w:sz w:val="20"/>
          <w:szCs w:val="20"/>
          <w:lang w:val="es-ES"/>
        </w:rPr>
        <w:t>(…)</w:t>
      </w:r>
    </w:p>
    <w:p w14:paraId="37865446" w14:textId="77777777" w:rsidR="004E3C12" w:rsidRPr="00672F08" w:rsidRDefault="004E3C12" w:rsidP="00341003">
      <w:pPr>
        <w:pStyle w:val="Sinespaciado"/>
        <w:spacing w:before="100" w:beforeAutospacing="1" w:after="100" w:afterAutospacing="1" w:line="360" w:lineRule="auto"/>
        <w:ind w:left="567" w:right="616"/>
        <w:jc w:val="both"/>
        <w:rPr>
          <w:rFonts w:ascii="Palatino Linotype" w:hAnsi="Palatino Linotype"/>
          <w:b/>
          <w:i/>
          <w:sz w:val="20"/>
          <w:szCs w:val="20"/>
          <w:lang w:val="es-ES"/>
        </w:rPr>
      </w:pPr>
      <w:r w:rsidRPr="00672F08">
        <w:rPr>
          <w:rFonts w:ascii="Palatino Linotype" w:hAnsi="Palatino Linotype"/>
          <w:i/>
          <w:sz w:val="20"/>
          <w:szCs w:val="20"/>
          <w:lang w:val="es-ES"/>
        </w:rPr>
        <w:t xml:space="preserve">XXIV. </w:t>
      </w:r>
      <w:r w:rsidRPr="00672F08">
        <w:rPr>
          <w:rFonts w:ascii="Palatino Linotype" w:hAnsi="Palatino Linotype"/>
          <w:b/>
          <w:i/>
          <w:sz w:val="20"/>
          <w:szCs w:val="20"/>
          <w:lang w:val="es-ES"/>
        </w:rPr>
        <w:t xml:space="preserve">Los montos de financiamiento público otorgados mensualmente, en cualquier modalidad, a sus órganos estatales y municipales, así como los descuentos correspondientes a sanciones; </w:t>
      </w:r>
    </w:p>
    <w:p w14:paraId="375BC0D2" w14:textId="77777777" w:rsidR="004E3C12" w:rsidRPr="00672F08" w:rsidRDefault="004E3C12" w:rsidP="00341003">
      <w:pPr>
        <w:pStyle w:val="Sinespaciado"/>
        <w:spacing w:before="100" w:beforeAutospacing="1" w:after="100" w:afterAutospacing="1" w:line="360" w:lineRule="auto"/>
        <w:ind w:left="567" w:right="616"/>
        <w:jc w:val="both"/>
        <w:rPr>
          <w:rFonts w:ascii="Palatino Linotype" w:hAnsi="Palatino Linotype"/>
          <w:i/>
          <w:sz w:val="20"/>
          <w:szCs w:val="20"/>
        </w:rPr>
      </w:pPr>
      <w:r w:rsidRPr="00672F08">
        <w:rPr>
          <w:rFonts w:ascii="Palatino Linotype" w:hAnsi="Palatino Linotype"/>
          <w:i/>
          <w:sz w:val="20"/>
          <w:szCs w:val="20"/>
          <w:lang w:val="es-ES"/>
        </w:rPr>
        <w:t>XXV. El estado de situación financiera y patrimonial; el inventario de los bienes inmuebles de los que sean propietarios, así como los anexos que formen parte integrante de los documentos anteriores; (…)”</w:t>
      </w:r>
    </w:p>
    <w:p w14:paraId="56010564" w14:textId="77777777" w:rsidR="004E3C12" w:rsidRPr="00672F08" w:rsidRDefault="004E3C12" w:rsidP="00341003">
      <w:pPr>
        <w:pStyle w:val="Sinespaciado"/>
        <w:spacing w:line="360" w:lineRule="auto"/>
        <w:rPr>
          <w:rFonts w:ascii="Palatino Linotype" w:hAnsi="Palatino Linotype"/>
          <w:sz w:val="2"/>
        </w:rPr>
      </w:pPr>
    </w:p>
    <w:p w14:paraId="0038A3A6" w14:textId="77777777" w:rsidR="004E3C12" w:rsidRPr="00341003" w:rsidRDefault="004E3C12"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hAnsi="Palatino Linotype"/>
        </w:rPr>
        <w:t>De esa manera, se vislumbra la obligación del Sujeto Obligado, de tener a disposición del público, la información relacionada con la asignación de recursos financieros para las campañas de los candidatos a ocupar puestos de elección popular.</w:t>
      </w:r>
    </w:p>
    <w:p w14:paraId="65F65B93" w14:textId="77777777" w:rsidR="00D9558D" w:rsidRPr="00672F08" w:rsidRDefault="00D9558D" w:rsidP="00341003">
      <w:pPr>
        <w:pStyle w:val="Prrafodelista"/>
        <w:spacing w:line="360" w:lineRule="auto"/>
        <w:rPr>
          <w:rFonts w:ascii="Palatino Linotype" w:eastAsia="MS Mincho" w:hAnsi="Palatino Linotype"/>
          <w:sz w:val="4"/>
        </w:rPr>
      </w:pPr>
    </w:p>
    <w:p w14:paraId="1976FE8B" w14:textId="61D34AA7" w:rsidR="00DF0519" w:rsidRPr="00341003" w:rsidRDefault="004E3C12" w:rsidP="00341003">
      <w:pPr>
        <w:pStyle w:val="Prrafodelista"/>
        <w:numPr>
          <w:ilvl w:val="0"/>
          <w:numId w:val="1"/>
        </w:numPr>
        <w:tabs>
          <w:tab w:val="left" w:pos="0"/>
        </w:tabs>
        <w:spacing w:line="360" w:lineRule="auto"/>
        <w:ind w:left="0" w:right="49" w:firstLine="0"/>
        <w:jc w:val="both"/>
        <w:rPr>
          <w:rFonts w:ascii="Palatino Linotype" w:eastAsia="MS Mincho" w:hAnsi="Palatino Linotype"/>
        </w:rPr>
      </w:pPr>
      <w:r w:rsidRPr="00341003">
        <w:rPr>
          <w:rFonts w:ascii="Palatino Linotype" w:eastAsia="MS Mincho" w:hAnsi="Palatino Linotype"/>
        </w:rPr>
        <w:t xml:space="preserve">Así entonces, </w:t>
      </w:r>
      <w:r w:rsidR="007C29E1" w:rsidRPr="00341003">
        <w:rPr>
          <w:rFonts w:ascii="Palatino Linotype" w:eastAsia="MS Mincho" w:hAnsi="Palatino Linotype"/>
        </w:rPr>
        <w:t xml:space="preserve">de los preceptos jurídicos citados se colige que la información requerida por el particular relativa a la cantidad </w:t>
      </w:r>
      <w:r w:rsidR="002C4316" w:rsidRPr="00341003">
        <w:rPr>
          <w:rFonts w:ascii="Palatino Linotype" w:eastAsia="MS Mincho" w:hAnsi="Palatino Linotype"/>
        </w:rPr>
        <w:t xml:space="preserve">que el </w:t>
      </w:r>
      <w:r w:rsidR="002C4316" w:rsidRPr="00341003">
        <w:rPr>
          <w:rFonts w:ascii="Palatino Linotype" w:eastAsia="MS Mincho" w:hAnsi="Palatino Linotype"/>
          <w:b/>
        </w:rPr>
        <w:t xml:space="preserve">Partido Moren </w:t>
      </w:r>
      <w:r w:rsidR="002C4316" w:rsidRPr="00341003">
        <w:rPr>
          <w:rFonts w:ascii="Palatino Linotype" w:eastAsia="MS Mincho" w:hAnsi="Palatino Linotype"/>
        </w:rPr>
        <w:t xml:space="preserve">ha desinado para el </w:t>
      </w:r>
      <w:r w:rsidR="007C29E1" w:rsidRPr="00341003">
        <w:rPr>
          <w:rFonts w:ascii="Palatino Linotype" w:eastAsia="MS Mincho" w:hAnsi="Palatino Linotype"/>
        </w:rPr>
        <w:t>financiamiento de actividades espec</w:t>
      </w:r>
      <w:r w:rsidR="00D9558D" w:rsidRPr="00341003">
        <w:rPr>
          <w:rFonts w:ascii="Palatino Linotype" w:eastAsia="MS Mincho" w:hAnsi="Palatino Linotype"/>
        </w:rPr>
        <w:t xml:space="preserve">íficas y ordinarias </w:t>
      </w:r>
      <w:r w:rsidR="002C4316" w:rsidRPr="00341003">
        <w:rPr>
          <w:rFonts w:ascii="Palatino Linotype" w:eastAsia="MS Mincho" w:hAnsi="Palatino Linotype"/>
        </w:rPr>
        <w:t xml:space="preserve">del uno (01) de enero al seis (06) de marzo de dos mil diecinueve; así como </w:t>
      </w:r>
      <w:r w:rsidR="00D9558D" w:rsidRPr="00341003">
        <w:rPr>
          <w:rFonts w:ascii="Palatino Linotype" w:eastAsia="MS Mincho" w:hAnsi="Palatino Linotype"/>
        </w:rPr>
        <w:t xml:space="preserve">el total de recursos públicos destinados </w:t>
      </w:r>
      <w:r w:rsidR="00DF0519" w:rsidRPr="00341003">
        <w:rPr>
          <w:rFonts w:ascii="Palatino Linotype" w:eastAsia="MS Mincho" w:hAnsi="Palatino Linotype"/>
        </w:rPr>
        <w:t xml:space="preserve">y programados para el año 2019 para </w:t>
      </w:r>
      <w:r w:rsidR="00D9558D" w:rsidRPr="00341003">
        <w:rPr>
          <w:rFonts w:ascii="Palatino Linotype" w:eastAsia="MS Mincho" w:hAnsi="Palatino Linotype"/>
        </w:rPr>
        <w:t xml:space="preserve"> los comités municipales de </w:t>
      </w:r>
      <w:proofErr w:type="spellStart"/>
      <w:r w:rsidR="00D9558D" w:rsidRPr="00341003">
        <w:rPr>
          <w:rFonts w:ascii="Palatino Linotype" w:eastAsia="MS Mincho" w:hAnsi="Palatino Linotype"/>
        </w:rPr>
        <w:t>Acambay</w:t>
      </w:r>
      <w:proofErr w:type="spellEnd"/>
      <w:r w:rsidR="00D9558D" w:rsidRPr="00341003">
        <w:rPr>
          <w:rFonts w:ascii="Palatino Linotype" w:eastAsia="MS Mincho" w:hAnsi="Palatino Linotype"/>
        </w:rPr>
        <w:t xml:space="preserve">, Atlacomulco, El Oro, San Felipe del Progreso, </w:t>
      </w:r>
      <w:proofErr w:type="spellStart"/>
      <w:r w:rsidR="00D9558D" w:rsidRPr="00341003">
        <w:rPr>
          <w:rFonts w:ascii="Palatino Linotype" w:eastAsia="MS Mincho" w:hAnsi="Palatino Linotype"/>
        </w:rPr>
        <w:t>Temascalcingo</w:t>
      </w:r>
      <w:proofErr w:type="spellEnd"/>
      <w:r w:rsidR="00D9558D" w:rsidRPr="00341003">
        <w:rPr>
          <w:rFonts w:ascii="Palatino Linotype" w:eastAsia="MS Mincho" w:hAnsi="Palatino Linotype"/>
        </w:rPr>
        <w:t xml:space="preserve">, </w:t>
      </w:r>
      <w:proofErr w:type="spellStart"/>
      <w:r w:rsidR="00D9558D" w:rsidRPr="00341003">
        <w:rPr>
          <w:rFonts w:ascii="Palatino Linotype" w:eastAsia="MS Mincho" w:hAnsi="Palatino Linotype"/>
        </w:rPr>
        <w:t>Jilotepec</w:t>
      </w:r>
      <w:proofErr w:type="spellEnd"/>
      <w:r w:rsidR="00D9558D" w:rsidRPr="00341003">
        <w:rPr>
          <w:rFonts w:ascii="Palatino Linotype" w:eastAsia="MS Mincho" w:hAnsi="Palatino Linotype"/>
        </w:rPr>
        <w:t xml:space="preserve"> y </w:t>
      </w:r>
      <w:proofErr w:type="spellStart"/>
      <w:r w:rsidR="00D9558D" w:rsidRPr="00341003">
        <w:rPr>
          <w:rFonts w:ascii="Palatino Linotype" w:eastAsia="MS Mincho" w:hAnsi="Palatino Linotype"/>
        </w:rPr>
        <w:t>Jocotitlán</w:t>
      </w:r>
      <w:proofErr w:type="spellEnd"/>
      <w:r w:rsidR="00D9558D" w:rsidRPr="00341003">
        <w:rPr>
          <w:rFonts w:ascii="Palatino Linotype" w:eastAsia="MS Mincho" w:hAnsi="Palatino Linotype"/>
        </w:rPr>
        <w:t xml:space="preserve"> </w:t>
      </w:r>
      <w:r w:rsidR="00DF0519" w:rsidRPr="00341003">
        <w:rPr>
          <w:rFonts w:ascii="Palatino Linotype" w:eastAsia="MS Mincho" w:hAnsi="Palatino Linotype"/>
        </w:rPr>
        <w:t xml:space="preserve"> es información que genera, administra y posee el </w:t>
      </w:r>
      <w:r w:rsidR="00DF0519" w:rsidRPr="00341003">
        <w:rPr>
          <w:rFonts w:ascii="Palatino Linotype" w:eastAsia="MS Mincho" w:hAnsi="Palatino Linotype"/>
          <w:b/>
        </w:rPr>
        <w:t>Partido Morena.</w:t>
      </w:r>
    </w:p>
    <w:p w14:paraId="7993100F" w14:textId="050FD23F" w:rsidR="004E3C12" w:rsidRPr="00672F08" w:rsidRDefault="00D9558D" w:rsidP="00341003">
      <w:pPr>
        <w:pStyle w:val="Prrafodelista"/>
        <w:tabs>
          <w:tab w:val="left" w:pos="0"/>
        </w:tabs>
        <w:spacing w:line="360" w:lineRule="auto"/>
        <w:ind w:left="0" w:right="49"/>
        <w:jc w:val="both"/>
        <w:rPr>
          <w:rFonts w:ascii="Palatino Linotype" w:eastAsia="MS Mincho" w:hAnsi="Palatino Linotype"/>
          <w:sz w:val="14"/>
        </w:rPr>
      </w:pPr>
      <w:r w:rsidRPr="00341003">
        <w:rPr>
          <w:rFonts w:ascii="Palatino Linotype" w:eastAsia="MS Mincho" w:hAnsi="Palatino Linotype"/>
        </w:rPr>
        <w:t xml:space="preserve"> </w:t>
      </w:r>
    </w:p>
    <w:p w14:paraId="4B0173C2" w14:textId="09DF30FC" w:rsidR="00DF0519" w:rsidRPr="00341003" w:rsidRDefault="00DF0519"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cs="Arial"/>
          <w:color w:val="000000" w:themeColor="text1"/>
        </w:rPr>
        <w:t xml:space="preserve">Por otro lado en relación al requerimiento formulado relativo a la dirección de los comités municipales, así como el número telefónico, correo electrónico y todas las formas de contacto con que cuenten; la fracción VII del artículo 92 de la Ley de Transparencia Local dispone  como obligación de transparencia común para los Sujetos Obligados poner a disposición del público de manera permanente y actualizada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cual deberá incluir, al menos el nombre, cargo o nombramiento oficial asignado, nivel del puesto, estructura orgánica, fecha de alta en el cargo, número telefónico, domicilio para recibir correspondencia y dirección de correo electrónico oficiales. </w:t>
      </w:r>
    </w:p>
    <w:p w14:paraId="5266EC91" w14:textId="77777777" w:rsidR="00DF0519" w:rsidRPr="00341003" w:rsidRDefault="00DF0519" w:rsidP="00341003">
      <w:pPr>
        <w:pStyle w:val="Prrafodelista"/>
        <w:spacing w:line="360" w:lineRule="auto"/>
        <w:rPr>
          <w:rFonts w:ascii="Palatino Linotype" w:hAnsi="Palatino Linotype" w:cs="Arial"/>
          <w:color w:val="000000" w:themeColor="text1"/>
        </w:rPr>
      </w:pPr>
    </w:p>
    <w:p w14:paraId="0A26B44A" w14:textId="313DDD48" w:rsidR="00DF0519" w:rsidRPr="00341003" w:rsidRDefault="00DF0519"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cs="Arial"/>
          <w:color w:val="000000" w:themeColor="text1"/>
        </w:rPr>
        <w:t>Correlativo a lo anterior el artículo 100 de la Ley de referencia, en la fracción X</w:t>
      </w:r>
      <w:r w:rsidR="00FA2E10" w:rsidRPr="00341003">
        <w:rPr>
          <w:rFonts w:ascii="Palatino Linotype" w:hAnsi="Palatino Linotype" w:cs="Arial"/>
          <w:color w:val="000000" w:themeColor="text1"/>
        </w:rPr>
        <w:t xml:space="preserve">V establece como obligación especifica de los partidos políticos, deberán poner a disposición del público y actualizar la información relativa al </w:t>
      </w:r>
      <w:r w:rsidR="00FA2E10" w:rsidRPr="00341003">
        <w:rPr>
          <w:rFonts w:ascii="Palatino Linotype" w:hAnsi="Palatino Linotype" w:cs="Arial"/>
          <w:b/>
          <w:color w:val="000000" w:themeColor="text1"/>
          <w:u w:val="single"/>
        </w:rPr>
        <w:t>directorio de sus órganos de dirección, estatales, municipales y en su caso regionales y distritales</w:t>
      </w:r>
      <w:r w:rsidR="00FA2E10" w:rsidRPr="00341003">
        <w:rPr>
          <w:rFonts w:ascii="Palatino Linotype" w:hAnsi="Palatino Linotype" w:cs="Arial"/>
          <w:color w:val="000000" w:themeColor="text1"/>
        </w:rPr>
        <w:t xml:space="preserve">. </w:t>
      </w:r>
    </w:p>
    <w:p w14:paraId="11C2AE26" w14:textId="77777777" w:rsidR="00DF0519" w:rsidRPr="00672F08" w:rsidRDefault="00DF0519" w:rsidP="00341003">
      <w:pPr>
        <w:pStyle w:val="Prrafodelista"/>
        <w:spacing w:line="360" w:lineRule="auto"/>
        <w:rPr>
          <w:rFonts w:ascii="Palatino Linotype" w:hAnsi="Palatino Linotype" w:cs="Arial"/>
          <w:color w:val="000000" w:themeColor="text1"/>
          <w:sz w:val="18"/>
        </w:rPr>
      </w:pPr>
    </w:p>
    <w:p w14:paraId="2D5ED000" w14:textId="784FD644" w:rsidR="00FA2E10" w:rsidRPr="00341003" w:rsidRDefault="00FA2E10"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cs="Arial"/>
          <w:color w:val="000000" w:themeColor="text1"/>
        </w:rPr>
        <w:t xml:space="preserve">Razón por la que este Órgano Garante considera dable ordenar la entrega del directorio de los comités municipales de los municipios referidos en la solicitud de información inicial. </w:t>
      </w:r>
    </w:p>
    <w:p w14:paraId="295E565C" w14:textId="77777777" w:rsidR="00FA2E10" w:rsidRPr="00672F08" w:rsidRDefault="00FA2E10" w:rsidP="00341003">
      <w:pPr>
        <w:pStyle w:val="Prrafodelista"/>
        <w:spacing w:line="360" w:lineRule="auto"/>
        <w:rPr>
          <w:rFonts w:ascii="Palatino Linotype" w:hAnsi="Palatino Linotype" w:cs="Arial"/>
          <w:color w:val="000000" w:themeColor="text1"/>
          <w:sz w:val="12"/>
        </w:rPr>
      </w:pPr>
    </w:p>
    <w:p w14:paraId="5712C457" w14:textId="77777777" w:rsidR="00F50129" w:rsidRPr="00341003" w:rsidRDefault="00F50129"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cs="Arial"/>
          <w:color w:val="000000" w:themeColor="text1"/>
        </w:rPr>
        <w:t xml:space="preserve">En este sentido, es preciso mencionar que para </w:t>
      </w:r>
      <w:r w:rsidRPr="00341003">
        <w:rPr>
          <w:rFonts w:ascii="Palatino Linotype" w:hAnsi="Palatino Linotype"/>
        </w:rPr>
        <w:t xml:space="preserve">tener por satisfecho </w:t>
      </w:r>
      <w:r w:rsidRPr="00341003">
        <w:rPr>
          <w:rFonts w:ascii="Palatino Linotype" w:hAnsi="Palatino Linotype" w:cs="Arial"/>
          <w:color w:val="000000" w:themeColor="text1"/>
        </w:rPr>
        <w:t>el derecho de acceso a la información pública implica que cualquier persona conozca la información contenida en los documentos que se encuentren en los archivos de los Sujetos Obligados.</w:t>
      </w:r>
    </w:p>
    <w:p w14:paraId="06031679" w14:textId="77777777" w:rsidR="00F50129" w:rsidRPr="00341003" w:rsidRDefault="00F50129" w:rsidP="00341003">
      <w:pPr>
        <w:spacing w:line="360" w:lineRule="auto"/>
        <w:jc w:val="both"/>
        <w:rPr>
          <w:rFonts w:ascii="Palatino Linotype" w:hAnsi="Palatino Linotype"/>
        </w:rPr>
      </w:pPr>
    </w:p>
    <w:p w14:paraId="3F81E3C4" w14:textId="77777777" w:rsidR="00F50129" w:rsidRPr="00341003" w:rsidRDefault="00F50129"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cs="Arial"/>
          <w:color w:val="000000" w:themeColor="text1"/>
        </w:rPr>
        <w:t xml:space="preserve">Así que el derecho de acceso a la información se tendrá por cumplido cuando el solicitante tenga a su disposición la información requerida, o cuando realice su consulta en el lugar que ésta se localice, conforme a los artículos 3 fracción XI, XII 4, 12 y 24 último párrafo </w:t>
      </w:r>
      <w:r w:rsidRPr="00341003">
        <w:rPr>
          <w:rFonts w:ascii="Palatino Linotype" w:hAnsi="Palatino Linotype" w:cs="Arial"/>
          <w:bCs/>
          <w:color w:val="000000" w:themeColor="text1"/>
        </w:rPr>
        <w:t>de la Ley de Transparencia y Acceso a la Información Pública del Estado de México y Municipios</w:t>
      </w:r>
      <w:r w:rsidRPr="00341003">
        <w:rPr>
          <w:rFonts w:ascii="Palatino Linotype" w:hAnsi="Palatino Linotype" w:cs="Arial"/>
          <w:color w:val="000000" w:themeColor="text1"/>
        </w:rPr>
        <w:t>:</w:t>
      </w:r>
    </w:p>
    <w:p w14:paraId="750BBECD" w14:textId="77777777" w:rsidR="00F50129" w:rsidRPr="00341003" w:rsidRDefault="00F50129" w:rsidP="00341003">
      <w:pPr>
        <w:spacing w:line="360" w:lineRule="auto"/>
        <w:jc w:val="both"/>
        <w:rPr>
          <w:rFonts w:ascii="Palatino Linotype" w:hAnsi="Palatino Linotype" w:cs="Arial"/>
          <w:color w:val="000000" w:themeColor="text1"/>
        </w:rPr>
      </w:pPr>
    </w:p>
    <w:p w14:paraId="5EA3AE30" w14:textId="77777777" w:rsidR="00F50129" w:rsidRPr="00341003" w:rsidRDefault="00F50129" w:rsidP="00341003">
      <w:pPr>
        <w:spacing w:line="360" w:lineRule="auto"/>
        <w:ind w:left="851" w:right="616"/>
        <w:jc w:val="both"/>
        <w:rPr>
          <w:rFonts w:ascii="Palatino Linotype" w:hAnsi="Palatino Linotype" w:cs="Arial"/>
          <w:i/>
          <w:color w:val="000000" w:themeColor="text1"/>
        </w:rPr>
      </w:pPr>
      <w:r w:rsidRPr="00341003">
        <w:rPr>
          <w:rFonts w:ascii="Palatino Linotype" w:hAnsi="Palatino Linotype" w:cs="Arial"/>
          <w:b/>
          <w:bCs/>
          <w:i/>
          <w:color w:val="000000" w:themeColor="text1"/>
        </w:rPr>
        <w:t xml:space="preserve">“Artículo 3. </w:t>
      </w:r>
      <w:r w:rsidRPr="00341003">
        <w:rPr>
          <w:rFonts w:ascii="Palatino Linotype" w:hAnsi="Palatino Linotype" w:cs="Arial"/>
          <w:bCs/>
          <w:i/>
          <w:color w:val="000000" w:themeColor="text1"/>
          <w:u w:val="single"/>
        </w:rPr>
        <w:t>Para los efectos de la presente Ley se entenderá por</w:t>
      </w:r>
      <w:r w:rsidRPr="00341003">
        <w:rPr>
          <w:rFonts w:ascii="Palatino Linotype" w:hAnsi="Palatino Linotype" w:cs="Arial"/>
          <w:bCs/>
          <w:i/>
          <w:color w:val="000000" w:themeColor="text1"/>
        </w:rPr>
        <w:t>:</w:t>
      </w:r>
    </w:p>
    <w:p w14:paraId="485E610C" w14:textId="77777777" w:rsidR="00F50129" w:rsidRPr="00341003" w:rsidRDefault="00F50129" w:rsidP="00341003">
      <w:pPr>
        <w:spacing w:line="360" w:lineRule="auto"/>
        <w:ind w:left="851" w:right="616"/>
        <w:jc w:val="both"/>
        <w:rPr>
          <w:rFonts w:ascii="Palatino Linotype" w:hAnsi="Palatino Linotype" w:cs="Arial"/>
          <w:i/>
        </w:rPr>
      </w:pPr>
      <w:r w:rsidRPr="00341003">
        <w:rPr>
          <w:rFonts w:ascii="Palatino Linotype" w:hAnsi="Palatino Linotype" w:cs="Arial"/>
          <w:i/>
        </w:rPr>
        <w:t>…</w:t>
      </w:r>
    </w:p>
    <w:p w14:paraId="67BDDBA1" w14:textId="77777777" w:rsidR="00F50129" w:rsidRPr="00672F08" w:rsidRDefault="00F50129" w:rsidP="00672F08">
      <w:pPr>
        <w:tabs>
          <w:tab w:val="left" w:pos="8080"/>
        </w:tabs>
        <w:spacing w:line="360" w:lineRule="auto"/>
        <w:ind w:left="567" w:right="1274"/>
        <w:jc w:val="both"/>
        <w:rPr>
          <w:rFonts w:ascii="Palatino Linotype" w:hAnsi="Palatino Linotype" w:cs="Arial"/>
          <w:b/>
          <w:bCs/>
          <w:i/>
          <w:color w:val="000000" w:themeColor="text1"/>
          <w:sz w:val="14"/>
        </w:rPr>
      </w:pPr>
    </w:p>
    <w:p w14:paraId="799F9A42" w14:textId="77777777" w:rsidR="00F50129" w:rsidRPr="00672F08" w:rsidRDefault="00F50129" w:rsidP="00672F08">
      <w:pPr>
        <w:tabs>
          <w:tab w:val="left" w:pos="8080"/>
        </w:tabs>
        <w:spacing w:line="360" w:lineRule="auto"/>
        <w:ind w:left="567" w:right="1274"/>
        <w:jc w:val="both"/>
        <w:rPr>
          <w:rFonts w:ascii="Palatino Linotype" w:hAnsi="Palatino Linotype" w:cs="Arial"/>
          <w:i/>
          <w:color w:val="000000" w:themeColor="text1"/>
          <w:sz w:val="20"/>
          <w:szCs w:val="20"/>
        </w:rPr>
      </w:pPr>
      <w:r w:rsidRPr="00672F08">
        <w:rPr>
          <w:rFonts w:ascii="Palatino Linotype" w:hAnsi="Palatino Linotype" w:cs="Arial"/>
          <w:b/>
          <w:bCs/>
          <w:i/>
          <w:color w:val="000000" w:themeColor="text1"/>
          <w:sz w:val="20"/>
          <w:szCs w:val="20"/>
        </w:rPr>
        <w:t xml:space="preserve">XI. </w:t>
      </w:r>
      <w:r w:rsidRPr="00672F08">
        <w:rPr>
          <w:rFonts w:ascii="Palatino Linotype" w:hAnsi="Palatino Linotype" w:cs="Arial"/>
          <w:b/>
          <w:bCs/>
          <w:i/>
          <w:color w:val="000000" w:themeColor="text1"/>
          <w:sz w:val="20"/>
          <w:szCs w:val="20"/>
          <w:u w:val="single"/>
        </w:rPr>
        <w:t>Documento</w:t>
      </w:r>
      <w:r w:rsidRPr="00672F08">
        <w:rPr>
          <w:rFonts w:ascii="Palatino Linotype" w:hAnsi="Palatino Linotype" w:cs="Arial"/>
          <w:b/>
          <w:bCs/>
          <w:i/>
          <w:color w:val="000000" w:themeColor="text1"/>
          <w:sz w:val="20"/>
          <w:szCs w:val="20"/>
        </w:rPr>
        <w:t xml:space="preserve">: </w:t>
      </w:r>
      <w:r w:rsidRPr="00672F08">
        <w:rPr>
          <w:rFonts w:ascii="Palatino Linotype" w:hAnsi="Palatino Linotype" w:cs="Arial"/>
          <w:i/>
          <w:color w:val="000000" w:themeColor="text1"/>
          <w:sz w:val="20"/>
          <w:szCs w:val="20"/>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CC10FB" w14:textId="77777777" w:rsidR="00672F08" w:rsidRPr="00672F08" w:rsidRDefault="00672F08" w:rsidP="00672F08">
      <w:pPr>
        <w:tabs>
          <w:tab w:val="left" w:pos="8080"/>
        </w:tabs>
        <w:spacing w:line="360" w:lineRule="auto"/>
        <w:ind w:right="1699"/>
        <w:jc w:val="both"/>
        <w:rPr>
          <w:rFonts w:ascii="Palatino Linotype" w:hAnsi="Palatino Linotype" w:cs="Arial"/>
          <w:b/>
          <w:bCs/>
          <w:i/>
          <w:color w:val="000000" w:themeColor="text1"/>
          <w:sz w:val="20"/>
          <w:szCs w:val="20"/>
        </w:rPr>
      </w:pPr>
    </w:p>
    <w:p w14:paraId="47D5C606" w14:textId="77777777" w:rsidR="00672F08" w:rsidRDefault="00F50129" w:rsidP="00672F08">
      <w:pPr>
        <w:tabs>
          <w:tab w:val="left" w:pos="8080"/>
        </w:tabs>
        <w:spacing w:line="360" w:lineRule="auto"/>
        <w:ind w:left="567" w:right="1699"/>
        <w:jc w:val="both"/>
        <w:rPr>
          <w:rFonts w:ascii="Palatino Linotype" w:hAnsi="Palatino Linotype" w:cs="Arial"/>
          <w:bCs/>
          <w:i/>
          <w:color w:val="000000" w:themeColor="text1"/>
          <w:sz w:val="20"/>
          <w:szCs w:val="20"/>
        </w:rPr>
      </w:pPr>
      <w:r w:rsidRPr="00672F08">
        <w:rPr>
          <w:rFonts w:ascii="Palatino Linotype" w:hAnsi="Palatino Linotype" w:cs="Arial"/>
          <w:b/>
          <w:bCs/>
          <w:i/>
          <w:color w:val="000000" w:themeColor="text1"/>
          <w:sz w:val="20"/>
          <w:szCs w:val="20"/>
        </w:rPr>
        <w:t>XII. Documento electrónico:</w:t>
      </w:r>
      <w:r w:rsidRPr="00672F08">
        <w:rPr>
          <w:rFonts w:ascii="Palatino Linotype" w:hAnsi="Palatino Linotype" w:cs="Arial"/>
          <w:bCs/>
          <w:i/>
          <w:color w:val="000000" w:themeColor="text1"/>
          <w:sz w:val="20"/>
          <w:szCs w:val="20"/>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p>
    <w:p w14:paraId="6DCC44E6" w14:textId="77777777" w:rsidR="00672F08" w:rsidRDefault="00672F08" w:rsidP="00672F08">
      <w:pPr>
        <w:tabs>
          <w:tab w:val="left" w:pos="8080"/>
        </w:tabs>
        <w:spacing w:line="360" w:lineRule="auto"/>
        <w:ind w:left="567" w:right="1699"/>
        <w:jc w:val="both"/>
        <w:rPr>
          <w:rFonts w:ascii="Palatino Linotype" w:hAnsi="Palatino Linotype" w:cs="Arial"/>
          <w:bCs/>
          <w:i/>
          <w:color w:val="000000" w:themeColor="text1"/>
          <w:sz w:val="20"/>
          <w:szCs w:val="20"/>
        </w:rPr>
      </w:pPr>
    </w:p>
    <w:p w14:paraId="507C25C3" w14:textId="77777777" w:rsidR="00672F08" w:rsidRDefault="00672F08" w:rsidP="00672F08">
      <w:pPr>
        <w:tabs>
          <w:tab w:val="left" w:pos="8080"/>
        </w:tabs>
        <w:spacing w:line="360" w:lineRule="auto"/>
        <w:ind w:left="567" w:right="1699"/>
        <w:jc w:val="both"/>
        <w:rPr>
          <w:rFonts w:ascii="Palatino Linotype" w:hAnsi="Palatino Linotype" w:cs="Arial"/>
          <w:bCs/>
          <w:i/>
          <w:color w:val="000000" w:themeColor="text1"/>
          <w:sz w:val="20"/>
          <w:szCs w:val="20"/>
        </w:rPr>
      </w:pPr>
    </w:p>
    <w:p w14:paraId="104FDF1F" w14:textId="6F1AAF84" w:rsidR="00F50129" w:rsidRPr="00672F08" w:rsidRDefault="00F50129" w:rsidP="00672F08">
      <w:pPr>
        <w:tabs>
          <w:tab w:val="left" w:pos="8080"/>
        </w:tabs>
        <w:spacing w:line="360" w:lineRule="auto"/>
        <w:ind w:left="567" w:right="1699"/>
        <w:jc w:val="both"/>
        <w:rPr>
          <w:rFonts w:ascii="Palatino Linotype" w:hAnsi="Palatino Linotype" w:cs="Arial"/>
          <w:bCs/>
          <w:i/>
          <w:color w:val="000000" w:themeColor="text1"/>
          <w:sz w:val="20"/>
          <w:szCs w:val="20"/>
        </w:rPr>
      </w:pPr>
      <w:proofErr w:type="gramStart"/>
      <w:r w:rsidRPr="00672F08">
        <w:rPr>
          <w:rFonts w:ascii="Palatino Linotype" w:hAnsi="Palatino Linotype" w:cs="Arial"/>
          <w:bCs/>
          <w:i/>
          <w:color w:val="000000" w:themeColor="text1"/>
          <w:sz w:val="20"/>
          <w:szCs w:val="20"/>
        </w:rPr>
        <w:t>hecho</w:t>
      </w:r>
      <w:proofErr w:type="gramEnd"/>
      <w:r w:rsidRPr="00672F08">
        <w:rPr>
          <w:rFonts w:ascii="Palatino Linotype" w:hAnsi="Palatino Linotype" w:cs="Arial"/>
          <w:bCs/>
          <w:i/>
          <w:color w:val="000000" w:themeColor="text1"/>
          <w:sz w:val="20"/>
          <w:szCs w:val="20"/>
        </w:rPr>
        <w:t xml:space="preserve"> y que esté signado con la firma electrónica avanzada y/o en el que se encuentre plasmado el sello electrónico;</w:t>
      </w:r>
    </w:p>
    <w:p w14:paraId="632F5824" w14:textId="77777777" w:rsidR="00F50129" w:rsidRPr="00672F08" w:rsidRDefault="00F50129" w:rsidP="00672F08">
      <w:pPr>
        <w:tabs>
          <w:tab w:val="left" w:pos="8080"/>
        </w:tabs>
        <w:spacing w:line="360" w:lineRule="auto"/>
        <w:ind w:left="567" w:right="1699"/>
        <w:jc w:val="both"/>
        <w:rPr>
          <w:rFonts w:ascii="Palatino Linotype" w:hAnsi="Palatino Linotype" w:cs="Arial"/>
          <w:i/>
          <w:color w:val="000000" w:themeColor="text1"/>
          <w:sz w:val="20"/>
          <w:szCs w:val="20"/>
        </w:rPr>
      </w:pPr>
      <w:r w:rsidRPr="00672F08">
        <w:rPr>
          <w:rFonts w:ascii="Palatino Linotype" w:hAnsi="Palatino Linotype" w:cs="Arial"/>
          <w:i/>
          <w:color w:val="000000" w:themeColor="text1"/>
          <w:sz w:val="20"/>
          <w:szCs w:val="20"/>
        </w:rPr>
        <w:t>…</w:t>
      </w:r>
    </w:p>
    <w:p w14:paraId="2A55398B" w14:textId="77777777" w:rsidR="00F50129" w:rsidRPr="00672F08" w:rsidRDefault="00F50129" w:rsidP="00341003">
      <w:pPr>
        <w:spacing w:line="360" w:lineRule="auto"/>
        <w:ind w:left="851" w:right="616"/>
        <w:jc w:val="both"/>
        <w:rPr>
          <w:rFonts w:ascii="Palatino Linotype" w:hAnsi="Palatino Linotype" w:cs="Arial"/>
          <w:b/>
          <w:bCs/>
          <w:i/>
          <w:color w:val="000000" w:themeColor="text1"/>
          <w:sz w:val="20"/>
          <w:szCs w:val="20"/>
        </w:rPr>
      </w:pPr>
    </w:p>
    <w:p w14:paraId="228D4285" w14:textId="77777777" w:rsidR="00F50129" w:rsidRPr="00672F08" w:rsidRDefault="00F50129" w:rsidP="004913B5">
      <w:pPr>
        <w:spacing w:line="360" w:lineRule="auto"/>
        <w:ind w:left="851" w:right="1274"/>
        <w:jc w:val="both"/>
        <w:rPr>
          <w:rFonts w:ascii="Palatino Linotype" w:hAnsi="Palatino Linotype" w:cs="Arial"/>
          <w:bCs/>
          <w:i/>
          <w:color w:val="000000" w:themeColor="text1"/>
          <w:sz w:val="20"/>
          <w:szCs w:val="20"/>
        </w:rPr>
      </w:pPr>
      <w:r w:rsidRPr="00672F08">
        <w:rPr>
          <w:rFonts w:ascii="Palatino Linotype" w:hAnsi="Palatino Linotype" w:cs="Arial"/>
          <w:b/>
          <w:bCs/>
          <w:i/>
          <w:color w:val="000000" w:themeColor="text1"/>
          <w:sz w:val="20"/>
          <w:szCs w:val="20"/>
        </w:rPr>
        <w:t xml:space="preserve">Artículo 4. </w:t>
      </w:r>
      <w:r w:rsidRPr="00672F08">
        <w:rPr>
          <w:rFonts w:ascii="Palatino Linotype" w:hAnsi="Palatino Linotype" w:cs="Arial"/>
          <w:bCs/>
          <w:i/>
          <w:color w:val="000000" w:themeColor="text1"/>
          <w:sz w:val="20"/>
          <w:szCs w:val="20"/>
          <w:u w:val="single"/>
        </w:rPr>
        <w:t>El derecho humano de acceso a la información pública es la prerrogativa de las personas para buscar, difundir, investigar, recabar, recibir y solicitar información pública</w:t>
      </w:r>
      <w:r w:rsidRPr="00672F08">
        <w:rPr>
          <w:rFonts w:ascii="Palatino Linotype" w:hAnsi="Palatino Linotype" w:cs="Arial"/>
          <w:bCs/>
          <w:i/>
          <w:color w:val="000000" w:themeColor="text1"/>
          <w:sz w:val="20"/>
          <w:szCs w:val="20"/>
        </w:rPr>
        <w:t>, sin necesidad de acreditar personalidad ni interés jurídico.</w:t>
      </w:r>
    </w:p>
    <w:p w14:paraId="203DA490" w14:textId="77777777" w:rsidR="00F50129" w:rsidRPr="00672F08" w:rsidRDefault="00F50129" w:rsidP="004913B5">
      <w:pPr>
        <w:spacing w:line="360" w:lineRule="auto"/>
        <w:ind w:left="851" w:right="1416"/>
        <w:jc w:val="both"/>
        <w:rPr>
          <w:rFonts w:ascii="Palatino Linotype" w:hAnsi="Palatino Linotype" w:cs="Arial"/>
          <w:i/>
          <w:color w:val="000000" w:themeColor="text1"/>
          <w:sz w:val="20"/>
          <w:szCs w:val="20"/>
          <w:u w:val="single"/>
        </w:rPr>
      </w:pPr>
      <w:r w:rsidRPr="00672F08">
        <w:rPr>
          <w:rFonts w:ascii="Palatino Linotype" w:hAnsi="Palatino Linotype" w:cs="Arial"/>
          <w:i/>
          <w:color w:val="000000" w:themeColor="text1"/>
          <w:sz w:val="20"/>
          <w:szCs w:val="20"/>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p>
    <w:p w14:paraId="77DEDD49"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u w:val="single"/>
        </w:rPr>
      </w:pPr>
    </w:p>
    <w:p w14:paraId="3BDC2378"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i/>
          <w:color w:val="000000" w:themeColor="text1"/>
          <w:sz w:val="20"/>
          <w:szCs w:val="20"/>
          <w:u w:val="single"/>
        </w:rPr>
        <w:t>Ley y demás disposiciones de la materia, privilegiando el principio de máxima publicidad de la información.</w:t>
      </w:r>
      <w:r w:rsidRPr="00672F08">
        <w:rPr>
          <w:rFonts w:ascii="Palatino Linotype" w:hAnsi="Palatino Linotype" w:cs="Arial"/>
          <w:i/>
          <w:color w:val="000000" w:themeColor="text1"/>
          <w:sz w:val="20"/>
          <w:szCs w:val="20"/>
        </w:rPr>
        <w:t xml:space="preserve"> Solo podrá ser clasificada excepcionalmente como reservada temporalmente por razones de interés público, en los términos de las causas legítimas y estrictamente necesarias previstas por esta Ley.</w:t>
      </w:r>
    </w:p>
    <w:p w14:paraId="07498671"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i/>
          <w:color w:val="000000" w:themeColor="text1"/>
          <w:sz w:val="20"/>
          <w:szCs w:val="20"/>
        </w:rPr>
        <w:t>Los sujetos obligados deben poner en práctica, políticas y programas de acceso a la información que se apeguen a criterios de publicidad, veracidad, oportunidad, precisión y suficiencia en beneficio de los solicitantes.</w:t>
      </w:r>
    </w:p>
    <w:p w14:paraId="2AB75A58" w14:textId="77777777" w:rsidR="00F50129" w:rsidRPr="00341003" w:rsidRDefault="00F50129" w:rsidP="00341003">
      <w:pPr>
        <w:spacing w:line="360" w:lineRule="auto"/>
        <w:ind w:left="851" w:right="616"/>
        <w:jc w:val="both"/>
        <w:rPr>
          <w:rFonts w:ascii="Palatino Linotype" w:hAnsi="Palatino Linotype" w:cs="Arial"/>
          <w:b/>
          <w:bCs/>
          <w:i/>
          <w:color w:val="000000" w:themeColor="text1"/>
        </w:rPr>
      </w:pPr>
    </w:p>
    <w:p w14:paraId="5711ABC6" w14:textId="77777777" w:rsidR="00F50129"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b/>
          <w:bCs/>
          <w:i/>
          <w:color w:val="000000" w:themeColor="text1"/>
          <w:sz w:val="20"/>
          <w:szCs w:val="20"/>
        </w:rPr>
        <w:t xml:space="preserve">Artículo 12. </w:t>
      </w:r>
      <w:r w:rsidRPr="00672F08">
        <w:rPr>
          <w:rFonts w:ascii="Palatino Linotype" w:hAnsi="Palatino Linotype" w:cs="Arial"/>
          <w:i/>
          <w:color w:val="000000" w:themeColor="text1"/>
          <w:sz w:val="20"/>
          <w:szCs w:val="20"/>
        </w:rPr>
        <w:t>Quienes generen, recopilen, administren, manejen, procesen, archiven o conserven información pública serán responsables de la misma en los términos de las disposiciones jurídicas aplicables.</w:t>
      </w:r>
    </w:p>
    <w:p w14:paraId="4172630B" w14:textId="77777777" w:rsidR="00682F7E" w:rsidRPr="00672F08" w:rsidRDefault="00682F7E" w:rsidP="00341003">
      <w:pPr>
        <w:spacing w:line="360" w:lineRule="auto"/>
        <w:ind w:left="851" w:right="616"/>
        <w:jc w:val="both"/>
        <w:rPr>
          <w:rFonts w:ascii="Palatino Linotype" w:hAnsi="Palatino Linotype" w:cs="Arial"/>
          <w:i/>
          <w:color w:val="000000" w:themeColor="text1"/>
          <w:sz w:val="20"/>
          <w:szCs w:val="20"/>
        </w:rPr>
      </w:pPr>
    </w:p>
    <w:p w14:paraId="5BF7A18C"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i/>
          <w:color w:val="000000" w:themeColor="text1"/>
          <w:sz w:val="20"/>
          <w:szCs w:val="20"/>
          <w:u w:val="single"/>
        </w:rPr>
        <w:t>Los sujetos obligados sólo proporcionarán la información pública que se les requiera y que obre en sus archivos y en el estado en que ésta se encuentre.</w:t>
      </w:r>
      <w:r w:rsidRPr="00672F08">
        <w:rPr>
          <w:rFonts w:ascii="Palatino Linotype" w:hAnsi="Palatino Linotype" w:cs="Arial"/>
          <w:i/>
          <w:color w:val="000000" w:themeColor="text1"/>
          <w:sz w:val="20"/>
          <w:szCs w:val="20"/>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FD50CD"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i/>
          <w:color w:val="000000" w:themeColor="text1"/>
          <w:sz w:val="20"/>
          <w:szCs w:val="20"/>
        </w:rPr>
        <w:t>…</w:t>
      </w:r>
    </w:p>
    <w:p w14:paraId="22119341" w14:textId="77777777" w:rsidR="00F50129" w:rsidRPr="00672F08" w:rsidRDefault="00F50129" w:rsidP="00341003">
      <w:pPr>
        <w:spacing w:line="360" w:lineRule="auto"/>
        <w:ind w:left="851" w:right="616"/>
        <w:jc w:val="both"/>
        <w:rPr>
          <w:rFonts w:ascii="Palatino Linotype" w:hAnsi="Palatino Linotype" w:cs="Arial"/>
          <w:b/>
          <w:bCs/>
          <w:i/>
          <w:color w:val="000000" w:themeColor="text1"/>
          <w:sz w:val="20"/>
          <w:szCs w:val="20"/>
        </w:rPr>
      </w:pPr>
    </w:p>
    <w:p w14:paraId="174AE2BB"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b/>
          <w:bCs/>
          <w:i/>
          <w:color w:val="000000" w:themeColor="text1"/>
          <w:sz w:val="20"/>
          <w:szCs w:val="20"/>
        </w:rPr>
        <w:t xml:space="preserve">Artículo 24. </w:t>
      </w:r>
      <w:r w:rsidRPr="00672F08">
        <w:rPr>
          <w:rFonts w:ascii="Palatino Linotype" w:hAnsi="Palatino Linotype" w:cs="Arial"/>
          <w:i/>
          <w:color w:val="000000" w:themeColor="text1"/>
          <w:sz w:val="20"/>
          <w:szCs w:val="20"/>
          <w:u w:val="single"/>
        </w:rPr>
        <w:t>Para el cumplimiento de los objetivos de esta Ley, los sujetos obligados deberán cumplir con las siguientes obligaciones, según corresponda, de acuerdo a su naturaleza:</w:t>
      </w:r>
    </w:p>
    <w:p w14:paraId="2EE8E9AA"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bCs/>
          <w:i/>
          <w:color w:val="000000" w:themeColor="text1"/>
          <w:sz w:val="20"/>
          <w:szCs w:val="20"/>
        </w:rPr>
        <w:t>..</w:t>
      </w:r>
      <w:r w:rsidRPr="00672F08">
        <w:rPr>
          <w:rFonts w:ascii="Palatino Linotype" w:hAnsi="Palatino Linotype" w:cs="Arial"/>
          <w:i/>
          <w:color w:val="000000" w:themeColor="text1"/>
          <w:sz w:val="20"/>
          <w:szCs w:val="20"/>
        </w:rPr>
        <w:t>.</w:t>
      </w:r>
    </w:p>
    <w:p w14:paraId="3858EE68" w14:textId="77777777" w:rsidR="00F50129" w:rsidRPr="00672F08" w:rsidRDefault="00F50129" w:rsidP="00341003">
      <w:pPr>
        <w:spacing w:line="360" w:lineRule="auto"/>
        <w:ind w:left="851" w:right="616"/>
        <w:jc w:val="both"/>
        <w:rPr>
          <w:rFonts w:ascii="Palatino Linotype" w:hAnsi="Palatino Linotype" w:cs="Arial"/>
          <w:bCs/>
          <w:i/>
          <w:color w:val="000000" w:themeColor="text1"/>
          <w:sz w:val="20"/>
          <w:szCs w:val="20"/>
        </w:rPr>
      </w:pPr>
      <w:r w:rsidRPr="00672F08">
        <w:rPr>
          <w:rFonts w:ascii="Palatino Linotype" w:hAnsi="Palatino Linotype" w:cs="Arial"/>
          <w:b/>
          <w:bCs/>
          <w:i/>
          <w:color w:val="000000" w:themeColor="text1"/>
          <w:sz w:val="20"/>
          <w:szCs w:val="20"/>
        </w:rPr>
        <w:t>IX.</w:t>
      </w:r>
      <w:r w:rsidRPr="00672F08">
        <w:rPr>
          <w:rFonts w:ascii="Palatino Linotype" w:hAnsi="Palatino Linotype" w:cs="Arial"/>
          <w:bCs/>
          <w:i/>
          <w:color w:val="000000" w:themeColor="text1"/>
          <w:sz w:val="20"/>
          <w:szCs w:val="20"/>
        </w:rPr>
        <w:t xml:space="preserve"> Fomentar el uso de tecnologías de la información para garantizar la transparencia, el derecho de acceso a la información y la accesibilidad a éstos;</w:t>
      </w:r>
    </w:p>
    <w:p w14:paraId="46BEE8D8" w14:textId="77777777" w:rsidR="00F50129" w:rsidRPr="00672F08" w:rsidRDefault="00F50129" w:rsidP="00341003">
      <w:pPr>
        <w:spacing w:line="360" w:lineRule="auto"/>
        <w:ind w:left="851" w:right="616"/>
        <w:jc w:val="both"/>
        <w:rPr>
          <w:rFonts w:ascii="Palatino Linotype" w:hAnsi="Palatino Linotype" w:cs="Arial"/>
          <w:bCs/>
          <w:i/>
          <w:color w:val="000000" w:themeColor="text1"/>
          <w:sz w:val="20"/>
          <w:szCs w:val="20"/>
        </w:rPr>
      </w:pPr>
      <w:r w:rsidRPr="00672F08">
        <w:rPr>
          <w:rFonts w:ascii="Palatino Linotype" w:hAnsi="Palatino Linotype" w:cs="Arial"/>
          <w:b/>
          <w:bCs/>
          <w:i/>
          <w:color w:val="000000" w:themeColor="text1"/>
          <w:sz w:val="20"/>
          <w:szCs w:val="20"/>
        </w:rPr>
        <w:t>…</w:t>
      </w:r>
    </w:p>
    <w:p w14:paraId="24F770E0" w14:textId="77777777" w:rsidR="00F50129" w:rsidRPr="00672F08" w:rsidRDefault="00F50129" w:rsidP="00341003">
      <w:pPr>
        <w:spacing w:line="360" w:lineRule="auto"/>
        <w:ind w:left="851" w:right="616"/>
        <w:jc w:val="both"/>
        <w:rPr>
          <w:rFonts w:ascii="Palatino Linotype" w:hAnsi="Palatino Linotype" w:cs="Arial"/>
          <w:bCs/>
          <w:i/>
          <w:color w:val="000000" w:themeColor="text1"/>
          <w:sz w:val="20"/>
          <w:szCs w:val="20"/>
        </w:rPr>
      </w:pPr>
      <w:r w:rsidRPr="00672F08">
        <w:rPr>
          <w:rFonts w:ascii="Palatino Linotype" w:hAnsi="Palatino Linotype" w:cs="Arial"/>
          <w:b/>
          <w:bCs/>
          <w:i/>
          <w:color w:val="000000" w:themeColor="text1"/>
          <w:sz w:val="20"/>
          <w:szCs w:val="20"/>
        </w:rPr>
        <w:t>XI.</w:t>
      </w:r>
      <w:r w:rsidRPr="00672F08">
        <w:rPr>
          <w:rFonts w:ascii="Palatino Linotype" w:hAnsi="Palatino Linotype" w:cs="Arial"/>
          <w:bCs/>
          <w:i/>
          <w:color w:val="000000" w:themeColor="text1"/>
          <w:sz w:val="20"/>
          <w:szCs w:val="20"/>
        </w:rPr>
        <w:t xml:space="preserve"> </w:t>
      </w:r>
      <w:r w:rsidRPr="00672F08">
        <w:rPr>
          <w:rFonts w:ascii="Palatino Linotype" w:hAnsi="Palatino Linotype" w:cs="Arial"/>
          <w:bCs/>
          <w:i/>
          <w:color w:val="000000" w:themeColor="text1"/>
          <w:sz w:val="20"/>
          <w:szCs w:val="20"/>
          <w:u w:val="single"/>
        </w:rPr>
        <w:t>Dar acceso a la información pública que le sea requerida, en los términos de la Ley General, esta Ley y demás disposiciones jurídicas aplicables;</w:t>
      </w:r>
    </w:p>
    <w:p w14:paraId="43B20303"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bCs/>
          <w:i/>
          <w:color w:val="000000" w:themeColor="text1"/>
          <w:sz w:val="20"/>
          <w:szCs w:val="20"/>
        </w:rPr>
        <w:t>…</w:t>
      </w:r>
    </w:p>
    <w:p w14:paraId="1F2A686D" w14:textId="77777777" w:rsidR="00F50129" w:rsidRPr="00672F08" w:rsidRDefault="00F50129" w:rsidP="00341003">
      <w:pPr>
        <w:spacing w:line="360" w:lineRule="auto"/>
        <w:ind w:left="851" w:right="616"/>
        <w:jc w:val="both"/>
        <w:rPr>
          <w:rFonts w:ascii="Palatino Linotype" w:hAnsi="Palatino Linotype" w:cs="Arial"/>
          <w:i/>
          <w:color w:val="000000" w:themeColor="text1"/>
          <w:sz w:val="20"/>
          <w:szCs w:val="20"/>
        </w:rPr>
      </w:pPr>
      <w:r w:rsidRPr="00672F08">
        <w:rPr>
          <w:rFonts w:ascii="Palatino Linotype" w:hAnsi="Palatino Linotype" w:cs="Arial"/>
          <w:i/>
          <w:color w:val="000000" w:themeColor="text1"/>
          <w:sz w:val="20"/>
          <w:szCs w:val="20"/>
        </w:rPr>
        <w:t>En la administración, gestión y custodia de los archivos de información pública, los sujetos obligados, los servidores públicos habilitados y los servidores públicos en general, se ajustarán a lo establecido por la normatividad aplicable.</w:t>
      </w:r>
    </w:p>
    <w:p w14:paraId="38F4EB60" w14:textId="77777777" w:rsidR="00F50129" w:rsidRDefault="00F50129" w:rsidP="00341003">
      <w:pPr>
        <w:spacing w:line="360" w:lineRule="auto"/>
        <w:ind w:left="851" w:right="616"/>
        <w:jc w:val="both"/>
        <w:rPr>
          <w:rFonts w:ascii="Palatino Linotype" w:hAnsi="Palatino Linotype" w:cs="Arial"/>
          <w:i/>
          <w:color w:val="000000" w:themeColor="text1"/>
          <w:sz w:val="20"/>
          <w:szCs w:val="20"/>
          <w:u w:val="single"/>
        </w:rPr>
      </w:pPr>
      <w:r w:rsidRPr="00672F08">
        <w:rPr>
          <w:rFonts w:ascii="Palatino Linotype" w:hAnsi="Palatino Linotype" w:cs="Arial"/>
          <w:i/>
          <w:color w:val="000000" w:themeColor="text1"/>
          <w:sz w:val="20"/>
          <w:szCs w:val="20"/>
          <w:u w:val="single"/>
        </w:rPr>
        <w:t>Los sujetos obligados solo proporcionarán la información pública que generen, administren o posean en el ejercicio de sus atribuciones.</w:t>
      </w:r>
    </w:p>
    <w:p w14:paraId="5C4E7004" w14:textId="77777777" w:rsidR="00682F7E" w:rsidRDefault="00682F7E" w:rsidP="00341003">
      <w:pPr>
        <w:spacing w:line="360" w:lineRule="auto"/>
        <w:ind w:left="851" w:right="616"/>
        <w:jc w:val="both"/>
        <w:rPr>
          <w:rFonts w:ascii="Palatino Linotype" w:hAnsi="Palatino Linotype" w:cs="Arial"/>
          <w:i/>
          <w:color w:val="000000" w:themeColor="text1"/>
          <w:sz w:val="20"/>
          <w:szCs w:val="20"/>
          <w:u w:val="single"/>
        </w:rPr>
      </w:pPr>
    </w:p>
    <w:p w14:paraId="482C2D2F" w14:textId="77777777" w:rsidR="00682F7E" w:rsidRDefault="00682F7E" w:rsidP="00341003">
      <w:pPr>
        <w:spacing w:line="360" w:lineRule="auto"/>
        <w:ind w:left="851" w:right="616"/>
        <w:jc w:val="both"/>
        <w:rPr>
          <w:rFonts w:ascii="Palatino Linotype" w:hAnsi="Palatino Linotype" w:cs="Arial"/>
          <w:i/>
          <w:color w:val="000000" w:themeColor="text1"/>
          <w:sz w:val="20"/>
          <w:szCs w:val="20"/>
          <w:u w:val="single"/>
        </w:rPr>
      </w:pPr>
    </w:p>
    <w:p w14:paraId="61CE34D8" w14:textId="77777777" w:rsidR="00682F7E" w:rsidRPr="00672F08" w:rsidRDefault="00682F7E" w:rsidP="00341003">
      <w:pPr>
        <w:spacing w:line="360" w:lineRule="auto"/>
        <w:ind w:left="851" w:right="616"/>
        <w:jc w:val="both"/>
        <w:rPr>
          <w:rFonts w:ascii="Palatino Linotype" w:hAnsi="Palatino Linotype" w:cs="Arial"/>
          <w:i/>
          <w:color w:val="000000" w:themeColor="text1"/>
          <w:sz w:val="20"/>
          <w:szCs w:val="20"/>
          <w:u w:val="single"/>
        </w:rPr>
      </w:pPr>
    </w:p>
    <w:p w14:paraId="26F68A2F" w14:textId="77777777" w:rsidR="00F50129" w:rsidRPr="00341003" w:rsidRDefault="00F50129" w:rsidP="00341003">
      <w:pPr>
        <w:spacing w:line="360" w:lineRule="auto"/>
        <w:ind w:left="851" w:right="851"/>
        <w:jc w:val="both"/>
        <w:rPr>
          <w:rFonts w:ascii="Palatino Linotype" w:hAnsi="Palatino Linotype" w:cs="Arial"/>
          <w:i/>
          <w:color w:val="000000" w:themeColor="text1"/>
        </w:rPr>
      </w:pPr>
    </w:p>
    <w:p w14:paraId="5B1FEB6A" w14:textId="77777777" w:rsidR="00F50129" w:rsidRPr="00341003" w:rsidRDefault="00F50129" w:rsidP="00341003">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1003">
        <w:rPr>
          <w:rFonts w:ascii="Palatino Linotype" w:hAnsi="Palatino Linotype" w:cs="Arial"/>
          <w:color w:val="000000" w:themeColor="text1"/>
        </w:rPr>
        <w:t>Por lo que el ejercicio del derecho de acceso a la información pública es la prerrogativa de las personas para buscar, difundir, investigar, recabar, recibir y solicitar información pública, sin necesidad de acreditar personalidad ni interés jurídico. 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2972024" w14:textId="77777777" w:rsidR="00F50129" w:rsidRPr="00341003" w:rsidRDefault="00F50129" w:rsidP="00341003">
      <w:pPr>
        <w:spacing w:line="360" w:lineRule="auto"/>
        <w:jc w:val="both"/>
        <w:rPr>
          <w:rFonts w:ascii="Palatino Linotype" w:hAnsi="Palatino Linotype" w:cs="Arial"/>
        </w:rPr>
      </w:pPr>
    </w:p>
    <w:p w14:paraId="2AB8EEBB" w14:textId="77777777" w:rsidR="00F50129" w:rsidRPr="00341003" w:rsidRDefault="00F50129" w:rsidP="00341003">
      <w:pPr>
        <w:pStyle w:val="Prrafodelista"/>
        <w:numPr>
          <w:ilvl w:val="0"/>
          <w:numId w:val="1"/>
        </w:numPr>
        <w:tabs>
          <w:tab w:val="left" w:pos="0"/>
        </w:tabs>
        <w:spacing w:line="360" w:lineRule="auto"/>
        <w:ind w:left="0" w:right="49" w:firstLine="0"/>
        <w:jc w:val="both"/>
        <w:rPr>
          <w:rFonts w:ascii="Palatino Linotype" w:hAnsi="Palatino Linotype" w:cs="Arial"/>
        </w:rPr>
      </w:pPr>
      <w:r w:rsidRPr="00341003">
        <w:rPr>
          <w:rFonts w:ascii="Palatino Linotype" w:hAnsi="Palatino Linotype" w:cs="Arial"/>
        </w:rPr>
        <w:t>Aunado a lo anterior, los artículos 18 y 19 de la Ley de Transparencia y Acceso a la Información Pública del Estado de México y Municipios establecen lo siguiente:</w:t>
      </w:r>
    </w:p>
    <w:p w14:paraId="13AB33E8" w14:textId="77777777" w:rsidR="00F50129" w:rsidRPr="00682F7E" w:rsidRDefault="00F50129" w:rsidP="00341003">
      <w:pPr>
        <w:spacing w:line="360" w:lineRule="auto"/>
        <w:jc w:val="both"/>
        <w:rPr>
          <w:rFonts w:ascii="Palatino Linotype" w:hAnsi="Palatino Linotype" w:cs="Arial"/>
          <w:sz w:val="10"/>
          <w:szCs w:val="20"/>
        </w:rPr>
      </w:pPr>
    </w:p>
    <w:p w14:paraId="29F3190F" w14:textId="77777777" w:rsidR="00F50129" w:rsidRPr="00682F7E" w:rsidRDefault="00F50129" w:rsidP="00341003">
      <w:pPr>
        <w:spacing w:line="360" w:lineRule="auto"/>
        <w:ind w:left="851" w:right="850"/>
        <w:jc w:val="both"/>
        <w:rPr>
          <w:rFonts w:ascii="Palatino Linotype" w:hAnsi="Palatino Linotype"/>
          <w:i/>
          <w:sz w:val="20"/>
          <w:szCs w:val="20"/>
        </w:rPr>
      </w:pPr>
      <w:r w:rsidRPr="00682F7E">
        <w:rPr>
          <w:rFonts w:ascii="Palatino Linotype" w:hAnsi="Palatino Linotype"/>
          <w:b/>
          <w:i/>
          <w:sz w:val="20"/>
          <w:szCs w:val="20"/>
        </w:rPr>
        <w:t>Artículo 18.</w:t>
      </w:r>
      <w:r w:rsidRPr="00682F7E">
        <w:rPr>
          <w:rFonts w:ascii="Palatino Linotype" w:hAnsi="Palatino Linotype"/>
          <w:i/>
          <w:sz w:val="20"/>
          <w:szCs w:val="20"/>
        </w:rPr>
        <w:t xml:space="preserve"> Los sujetos obligados deberán documentar todo acto que derive del ejercicio de sus facultades, competencias o funciones, considerando desde su origen la eventual publicidad y reutilización de la información que generen.</w:t>
      </w:r>
    </w:p>
    <w:p w14:paraId="6E151CC1" w14:textId="77777777" w:rsidR="00F50129" w:rsidRPr="00682F7E" w:rsidRDefault="00F50129" w:rsidP="00341003">
      <w:pPr>
        <w:spacing w:line="360" w:lineRule="auto"/>
        <w:ind w:left="851" w:right="850"/>
        <w:jc w:val="both"/>
        <w:rPr>
          <w:rFonts w:ascii="Palatino Linotype" w:hAnsi="Palatino Linotype"/>
          <w:i/>
          <w:sz w:val="20"/>
          <w:szCs w:val="20"/>
        </w:rPr>
      </w:pPr>
    </w:p>
    <w:p w14:paraId="3AFCFCD1" w14:textId="77777777" w:rsidR="00F50129" w:rsidRPr="00682F7E" w:rsidRDefault="00F50129" w:rsidP="00341003">
      <w:pPr>
        <w:spacing w:line="360" w:lineRule="auto"/>
        <w:ind w:left="851" w:right="850"/>
        <w:jc w:val="both"/>
        <w:rPr>
          <w:rFonts w:ascii="Palatino Linotype" w:hAnsi="Palatino Linotype"/>
          <w:i/>
          <w:sz w:val="20"/>
          <w:szCs w:val="20"/>
        </w:rPr>
      </w:pPr>
      <w:r w:rsidRPr="00682F7E">
        <w:rPr>
          <w:rFonts w:ascii="Palatino Linotype" w:hAnsi="Palatino Linotype"/>
          <w:b/>
          <w:i/>
          <w:sz w:val="20"/>
          <w:szCs w:val="20"/>
        </w:rPr>
        <w:t>Artículo 19.</w:t>
      </w:r>
      <w:r w:rsidRPr="00682F7E">
        <w:rPr>
          <w:rFonts w:ascii="Palatino Linotype" w:hAnsi="Palatino Linotype"/>
          <w:i/>
          <w:sz w:val="20"/>
          <w:szCs w:val="20"/>
        </w:rPr>
        <w:t xml:space="preserve"> Se presume que la información debe existir si se refiere a las facultades, competencias y funciones que los ordenamientos jurídicos aplicables otorgan a los sujetos obligados.</w:t>
      </w:r>
    </w:p>
    <w:p w14:paraId="167BBC90" w14:textId="77777777" w:rsidR="00F50129" w:rsidRPr="00682F7E" w:rsidRDefault="00F50129" w:rsidP="00341003">
      <w:pPr>
        <w:spacing w:line="360" w:lineRule="auto"/>
        <w:ind w:left="851" w:right="850"/>
        <w:jc w:val="both"/>
        <w:rPr>
          <w:rFonts w:ascii="Palatino Linotype" w:hAnsi="Palatino Linotype" w:cs="Arial"/>
          <w:i/>
          <w:sz w:val="20"/>
          <w:szCs w:val="20"/>
        </w:rPr>
      </w:pPr>
      <w:r w:rsidRPr="00682F7E">
        <w:rPr>
          <w:rFonts w:ascii="Palatino Linotype" w:hAnsi="Palatino Linotype"/>
          <w:i/>
          <w:sz w:val="20"/>
          <w:szCs w:val="20"/>
        </w:rPr>
        <w:t>…</w:t>
      </w:r>
    </w:p>
    <w:p w14:paraId="23FDA39A" w14:textId="77777777" w:rsidR="00F50129" w:rsidRPr="00341003" w:rsidRDefault="00F50129" w:rsidP="00341003">
      <w:pPr>
        <w:pStyle w:val="Prrafodelista"/>
        <w:numPr>
          <w:ilvl w:val="0"/>
          <w:numId w:val="1"/>
        </w:numPr>
        <w:tabs>
          <w:tab w:val="left" w:pos="0"/>
        </w:tabs>
        <w:spacing w:line="360" w:lineRule="auto"/>
        <w:ind w:left="0" w:right="49" w:firstLine="0"/>
        <w:jc w:val="both"/>
        <w:rPr>
          <w:rFonts w:ascii="Palatino Linotype" w:hAnsi="Palatino Linotype"/>
        </w:rPr>
      </w:pPr>
      <w:r w:rsidRPr="00341003">
        <w:rPr>
          <w:rFonts w:ascii="Palatino Linotype" w:hAnsi="Palatino Linotype"/>
        </w:rPr>
        <w:t>De la interpretación de los preceptos anteriormente transcritos se advierte que los sujetos obligados deberán documentar todo acto que derive del ejercicio de sus facultades, competencias o funciones y que se presume que la información debe existir si se refiere a las facultades, competencias y funciones que los ordenamientos jurídicos aplicables otorgan a los sujetos obligados.</w:t>
      </w:r>
    </w:p>
    <w:p w14:paraId="53F9344C" w14:textId="08C6DED5" w:rsidR="00326BBB" w:rsidRDefault="00682F7E" w:rsidP="00341003">
      <w:pPr>
        <w:pStyle w:val="Ttulo1"/>
        <w:spacing w:line="360" w:lineRule="auto"/>
        <w:rPr>
          <w:b/>
          <w:szCs w:val="24"/>
        </w:rPr>
      </w:pPr>
      <w:bookmarkStart w:id="57" w:name="_Toc473799824"/>
      <w:bookmarkStart w:id="58" w:name="_Toc487025370"/>
      <w:bookmarkStart w:id="59" w:name="_Toc493790438"/>
      <w:bookmarkStart w:id="60" w:name="_Toc495606558"/>
      <w:bookmarkStart w:id="61" w:name="_Toc497297048"/>
      <w:bookmarkStart w:id="62" w:name="_Toc498503756"/>
      <w:bookmarkStart w:id="63" w:name="_Toc499201876"/>
      <w:bookmarkStart w:id="64" w:name="_Toc954272"/>
      <w:bookmarkStart w:id="65" w:name="_Toc1585432"/>
      <w:bookmarkStart w:id="66" w:name="_Toc4684440"/>
      <w:bookmarkStart w:id="67" w:name="_Toc9511344"/>
      <w:r>
        <w:rPr>
          <w:b/>
          <w:szCs w:val="24"/>
        </w:rPr>
        <w:t xml:space="preserve">SEXTO. </w:t>
      </w:r>
      <w:r w:rsidR="00326BBB" w:rsidRPr="00341003">
        <w:rPr>
          <w:b/>
          <w:szCs w:val="24"/>
        </w:rPr>
        <w:t>De la Versión Pública</w:t>
      </w:r>
      <w:bookmarkEnd w:id="57"/>
      <w:bookmarkEnd w:id="58"/>
      <w:bookmarkEnd w:id="59"/>
      <w:bookmarkEnd w:id="60"/>
      <w:bookmarkEnd w:id="61"/>
      <w:bookmarkEnd w:id="62"/>
      <w:bookmarkEnd w:id="63"/>
      <w:bookmarkEnd w:id="64"/>
      <w:bookmarkEnd w:id="65"/>
      <w:bookmarkEnd w:id="66"/>
      <w:bookmarkEnd w:id="67"/>
      <w:r w:rsidR="00326BBB" w:rsidRPr="00341003">
        <w:rPr>
          <w:b/>
          <w:szCs w:val="24"/>
        </w:rPr>
        <w:t xml:space="preserve"> </w:t>
      </w:r>
    </w:p>
    <w:p w14:paraId="278C2AB0" w14:textId="77777777" w:rsidR="00682F7E" w:rsidRPr="00682F7E" w:rsidRDefault="00682F7E" w:rsidP="00682F7E">
      <w:pPr>
        <w:rPr>
          <w:lang w:eastAsia="en-US"/>
        </w:rPr>
      </w:pPr>
    </w:p>
    <w:p w14:paraId="1A5825DF" w14:textId="0CAF19AA" w:rsidR="00326BBB" w:rsidRPr="00682F7E" w:rsidRDefault="00FA2E10" w:rsidP="00341003">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341003">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roofErr w:type="gramStart"/>
      <w:r w:rsidRPr="00341003">
        <w:rPr>
          <w:rFonts w:ascii="Palatino Linotype" w:hAnsi="Palatino Linotype"/>
        </w:rPr>
        <w:t>.</w:t>
      </w:r>
      <w:r w:rsidR="00326BBB" w:rsidRPr="00341003">
        <w:rPr>
          <w:rFonts w:ascii="Palatino Linotype" w:eastAsia="Times New Roman" w:hAnsi="Palatino Linotype" w:cs="Arial"/>
          <w:color w:val="222222"/>
          <w:lang w:val="es-ES" w:eastAsia="es-MX"/>
        </w:rPr>
        <w:t>.</w:t>
      </w:r>
      <w:proofErr w:type="gramEnd"/>
      <w:r w:rsidR="00326BBB" w:rsidRPr="00341003">
        <w:rPr>
          <w:rFonts w:ascii="Palatino Linotype" w:eastAsia="Times New Roman" w:hAnsi="Palatino Linotype" w:cs="Arial"/>
          <w:color w:val="222222"/>
          <w:lang w:val="es-ES" w:eastAsia="es-MX"/>
        </w:rPr>
        <w:t xml:space="preserve"> </w:t>
      </w:r>
    </w:p>
    <w:p w14:paraId="474E734F" w14:textId="77777777" w:rsidR="00682F7E" w:rsidRPr="00341003" w:rsidRDefault="00682F7E" w:rsidP="00682F7E">
      <w:pPr>
        <w:pStyle w:val="Prrafodelista"/>
        <w:tabs>
          <w:tab w:val="left" w:pos="0"/>
          <w:tab w:val="left" w:pos="851"/>
        </w:tabs>
        <w:spacing w:line="360" w:lineRule="auto"/>
        <w:ind w:left="0" w:right="49"/>
        <w:jc w:val="both"/>
        <w:rPr>
          <w:rFonts w:ascii="Palatino Linotype" w:eastAsia="Times New Roman" w:hAnsi="Palatino Linotype"/>
        </w:rPr>
      </w:pPr>
    </w:p>
    <w:p w14:paraId="42B1A2D2" w14:textId="77777777" w:rsidR="00326BBB" w:rsidRPr="00341003" w:rsidRDefault="00326BBB" w:rsidP="00341003">
      <w:pPr>
        <w:pStyle w:val="Ttulo3"/>
        <w:numPr>
          <w:ilvl w:val="0"/>
          <w:numId w:val="4"/>
        </w:numPr>
        <w:spacing w:line="360" w:lineRule="auto"/>
        <w:rPr>
          <w:rFonts w:ascii="Palatino Linotype" w:eastAsia="Calibri" w:hAnsi="Palatino Linotype"/>
          <w:b/>
          <w:color w:val="auto"/>
        </w:rPr>
      </w:pPr>
      <w:bookmarkStart w:id="68" w:name="_Toc531859121"/>
      <w:bookmarkStart w:id="69" w:name="_Toc532385645"/>
      <w:bookmarkStart w:id="70" w:name="_Toc954273"/>
      <w:bookmarkStart w:id="71" w:name="_Toc1585433"/>
      <w:bookmarkStart w:id="72" w:name="_Toc4684441"/>
      <w:bookmarkStart w:id="73" w:name="_Toc9511345"/>
      <w:r w:rsidRPr="00341003">
        <w:rPr>
          <w:rFonts w:ascii="Palatino Linotype" w:hAnsi="Palatino Linotype"/>
          <w:b/>
          <w:color w:val="auto"/>
        </w:rPr>
        <w:t>Requisitos previos.</w:t>
      </w:r>
      <w:bookmarkEnd w:id="68"/>
      <w:bookmarkEnd w:id="69"/>
      <w:bookmarkEnd w:id="70"/>
      <w:bookmarkEnd w:id="71"/>
      <w:bookmarkEnd w:id="72"/>
      <w:bookmarkEnd w:id="73"/>
    </w:p>
    <w:p w14:paraId="33C01EB8" w14:textId="77777777" w:rsidR="00326BBB" w:rsidRPr="00341003" w:rsidRDefault="00326BBB"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C6736CF"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EAE855B" w14:textId="77777777" w:rsidR="00326BBB" w:rsidRPr="00341003" w:rsidRDefault="00326BBB"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83ECC1A"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C28C555"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03271716"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DAD6C3B" w14:textId="77777777" w:rsidR="00326BBB" w:rsidRPr="00341003" w:rsidRDefault="00326BBB" w:rsidP="00341003">
      <w:pPr>
        <w:pStyle w:val="Ttulo3"/>
        <w:numPr>
          <w:ilvl w:val="0"/>
          <w:numId w:val="4"/>
        </w:numPr>
        <w:spacing w:line="360" w:lineRule="auto"/>
        <w:rPr>
          <w:rFonts w:ascii="Palatino Linotype" w:hAnsi="Palatino Linotype"/>
          <w:b/>
          <w:color w:val="auto"/>
        </w:rPr>
      </w:pPr>
      <w:bookmarkStart w:id="74" w:name="_Toc531859122"/>
      <w:bookmarkStart w:id="75" w:name="_Toc532385646"/>
      <w:bookmarkStart w:id="76" w:name="_Toc954274"/>
      <w:bookmarkStart w:id="77" w:name="_Toc1585434"/>
      <w:bookmarkStart w:id="78" w:name="_Toc4684442"/>
      <w:bookmarkStart w:id="79" w:name="_Toc9511346"/>
      <w:r w:rsidRPr="00341003">
        <w:rPr>
          <w:rFonts w:ascii="Palatino Linotype" w:hAnsi="Palatino Linotype"/>
          <w:b/>
          <w:color w:val="auto"/>
        </w:rPr>
        <w:t>Supuesto de clasificación.</w:t>
      </w:r>
      <w:bookmarkEnd w:id="74"/>
      <w:bookmarkEnd w:id="75"/>
      <w:bookmarkEnd w:id="76"/>
      <w:bookmarkEnd w:id="77"/>
      <w:bookmarkEnd w:id="78"/>
      <w:bookmarkEnd w:id="79"/>
    </w:p>
    <w:p w14:paraId="511DC09E" w14:textId="77777777" w:rsidR="00326BBB" w:rsidRPr="00341003" w:rsidRDefault="00326BBB"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D734C2E"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B3E784C" w14:textId="77777777" w:rsidR="00326BBB" w:rsidRPr="00341003" w:rsidRDefault="00326BBB" w:rsidP="00341003">
      <w:pPr>
        <w:autoSpaceDE w:val="0"/>
        <w:autoSpaceDN w:val="0"/>
        <w:adjustRightInd w:val="0"/>
        <w:spacing w:after="160" w:line="360" w:lineRule="auto"/>
        <w:ind w:left="567" w:right="567"/>
        <w:jc w:val="both"/>
        <w:rPr>
          <w:rFonts w:ascii="Palatino Linotype" w:hAnsi="Palatino Linotype" w:cs="Arial"/>
          <w:i/>
          <w:lang w:val="es-MX"/>
        </w:rPr>
      </w:pPr>
      <w:r w:rsidRPr="00341003">
        <w:rPr>
          <w:rFonts w:ascii="Palatino Linotype" w:hAnsi="Palatino Linotype" w:cs="Arial"/>
          <w:b/>
          <w:bCs/>
          <w:i/>
          <w:lang w:val="es-MX"/>
        </w:rPr>
        <w:t xml:space="preserve">Artículo 3. </w:t>
      </w:r>
      <w:r w:rsidRPr="00341003">
        <w:rPr>
          <w:rFonts w:ascii="Palatino Linotype" w:hAnsi="Palatino Linotype" w:cs="Arial"/>
          <w:i/>
          <w:lang w:val="es-MX"/>
        </w:rPr>
        <w:t>Para los efectos de la presente Ley se entenderá por:</w:t>
      </w:r>
    </w:p>
    <w:p w14:paraId="3699D18E"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 xml:space="preserve"> (…)</w:t>
      </w:r>
    </w:p>
    <w:p w14:paraId="4608F52D"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IX. Datos personales: La información concerniente a una persona, identificada o identificable según lo dispuesto por la Ley de Protección de Datos Personales del Estado de México;</w:t>
      </w:r>
    </w:p>
    <w:p w14:paraId="60B288DA"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w:t>
      </w:r>
    </w:p>
    <w:p w14:paraId="3C38F44E"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XX. Información clasificada: Aquella considerada por la presente Ley como reservada o confidencial;</w:t>
      </w:r>
    </w:p>
    <w:p w14:paraId="70011765"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B6D55"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w:t>
      </w:r>
    </w:p>
    <w:p w14:paraId="06CE4899"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XLV. Versión pública: Documento en el que se elimine, suprime o borra la información clasificada como reservada o confidencial para permitir su acceso.</w:t>
      </w:r>
    </w:p>
    <w:p w14:paraId="32C3CCA8"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w:t>
      </w:r>
    </w:p>
    <w:p w14:paraId="1C8F0FEA" w14:textId="77777777" w:rsidR="00326BBB" w:rsidRPr="00682F7E"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Artículo 91. El acceso a la información pública será restringido excepcionalmente, cuando ésta sea clasificada como reservada o confidencial.</w:t>
      </w:r>
    </w:p>
    <w:p w14:paraId="37625767" w14:textId="77777777" w:rsidR="00326BBB" w:rsidRDefault="00326BBB"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w:t>
      </w:r>
    </w:p>
    <w:p w14:paraId="02955C78" w14:textId="77777777" w:rsidR="00682F7E" w:rsidRPr="00682F7E" w:rsidRDefault="00682F7E" w:rsidP="00341003">
      <w:pPr>
        <w:autoSpaceDE w:val="0"/>
        <w:autoSpaceDN w:val="0"/>
        <w:adjustRightInd w:val="0"/>
        <w:spacing w:after="160" w:line="360" w:lineRule="auto"/>
        <w:ind w:left="567" w:right="567"/>
        <w:jc w:val="both"/>
        <w:rPr>
          <w:rFonts w:ascii="Palatino Linotype" w:eastAsia="Calibri" w:hAnsi="Palatino Linotype" w:cs="Arial"/>
          <w:i/>
          <w:sz w:val="20"/>
          <w:szCs w:val="20"/>
          <w:lang w:val="es-ES" w:eastAsia="es-MX"/>
        </w:rPr>
      </w:pPr>
    </w:p>
    <w:p w14:paraId="0A65DD81" w14:textId="77777777" w:rsidR="00682F7E" w:rsidRPr="00682F7E" w:rsidRDefault="00682F7E" w:rsidP="00682F7E">
      <w:pPr>
        <w:autoSpaceDE w:val="0"/>
        <w:autoSpaceDN w:val="0"/>
        <w:adjustRightInd w:val="0"/>
        <w:spacing w:after="160" w:line="360" w:lineRule="auto"/>
        <w:ind w:left="567" w:right="1132"/>
        <w:jc w:val="both"/>
        <w:rPr>
          <w:rFonts w:ascii="Palatino Linotype" w:eastAsia="Calibri" w:hAnsi="Palatino Linotype" w:cs="Arial"/>
          <w:i/>
          <w:sz w:val="28"/>
          <w:szCs w:val="20"/>
          <w:lang w:val="es-ES" w:eastAsia="es-MX"/>
        </w:rPr>
      </w:pPr>
    </w:p>
    <w:p w14:paraId="52BFEAA0" w14:textId="77777777" w:rsidR="00326BBB" w:rsidRPr="00682F7E" w:rsidRDefault="00326BBB" w:rsidP="00682F7E">
      <w:pPr>
        <w:autoSpaceDE w:val="0"/>
        <w:autoSpaceDN w:val="0"/>
        <w:adjustRightInd w:val="0"/>
        <w:spacing w:after="160" w:line="360" w:lineRule="auto"/>
        <w:ind w:left="567" w:right="1132"/>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98DEA8" w14:textId="77777777" w:rsidR="00326BBB" w:rsidRPr="00682F7E" w:rsidRDefault="00326BBB" w:rsidP="00682F7E">
      <w:pPr>
        <w:autoSpaceDE w:val="0"/>
        <w:autoSpaceDN w:val="0"/>
        <w:adjustRightInd w:val="0"/>
        <w:spacing w:after="160" w:line="360" w:lineRule="auto"/>
        <w:ind w:left="567" w:right="1132"/>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w:t>
      </w:r>
    </w:p>
    <w:p w14:paraId="2EA2A767" w14:textId="77777777" w:rsidR="00326BBB" w:rsidRPr="00682F7E" w:rsidRDefault="00326BBB" w:rsidP="00682F7E">
      <w:pPr>
        <w:autoSpaceDE w:val="0"/>
        <w:autoSpaceDN w:val="0"/>
        <w:adjustRightInd w:val="0"/>
        <w:spacing w:after="160" w:line="360" w:lineRule="auto"/>
        <w:ind w:left="567" w:right="1274"/>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Artículo 143. Para los efectos de esta Ley se considera información confidencial, la clasificada como tal, de manera permanente, por su naturaleza, cuando:</w:t>
      </w:r>
    </w:p>
    <w:p w14:paraId="30FCE220" w14:textId="77777777" w:rsidR="00326BBB" w:rsidRPr="00682F7E" w:rsidRDefault="00326BBB" w:rsidP="00682F7E">
      <w:pPr>
        <w:autoSpaceDE w:val="0"/>
        <w:autoSpaceDN w:val="0"/>
        <w:adjustRightInd w:val="0"/>
        <w:spacing w:after="160" w:line="360" w:lineRule="auto"/>
        <w:ind w:left="567" w:right="1274"/>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 xml:space="preserve">I. Se refiera a la información privada y los datos personales concernientes a una persona física o </w:t>
      </w:r>
      <w:proofErr w:type="gramStart"/>
      <w:r w:rsidRPr="00682F7E">
        <w:rPr>
          <w:rFonts w:ascii="Palatino Linotype" w:eastAsia="Calibri" w:hAnsi="Palatino Linotype" w:cs="Arial"/>
          <w:i/>
          <w:sz w:val="20"/>
          <w:szCs w:val="20"/>
          <w:lang w:val="es-ES" w:eastAsia="es-MX"/>
        </w:rPr>
        <w:t>jurídico</w:t>
      </w:r>
      <w:proofErr w:type="gramEnd"/>
      <w:r w:rsidRPr="00682F7E">
        <w:rPr>
          <w:rFonts w:ascii="Palatino Linotype" w:eastAsia="Calibri" w:hAnsi="Palatino Linotype" w:cs="Arial"/>
          <w:i/>
          <w:sz w:val="20"/>
          <w:szCs w:val="20"/>
          <w:lang w:val="es-ES" w:eastAsia="es-MX"/>
        </w:rPr>
        <w:t xml:space="preserve"> colectiva identificada o identificable;</w:t>
      </w:r>
    </w:p>
    <w:p w14:paraId="707BB8F1" w14:textId="77777777" w:rsidR="00326BBB" w:rsidRPr="00682F7E" w:rsidRDefault="00326BBB" w:rsidP="00682F7E">
      <w:pPr>
        <w:autoSpaceDE w:val="0"/>
        <w:autoSpaceDN w:val="0"/>
        <w:adjustRightInd w:val="0"/>
        <w:spacing w:after="160" w:line="360" w:lineRule="auto"/>
        <w:ind w:left="567" w:right="1274"/>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La información confidencial no estará sujeta a temporalidad alguna y sólo podrán tener acceso a ella los titulares de la misma, sus representantes y los servidores públicos facultados para ello.</w:t>
      </w:r>
    </w:p>
    <w:p w14:paraId="5572F527" w14:textId="77777777" w:rsidR="00326BBB" w:rsidRDefault="00326BBB" w:rsidP="00682F7E">
      <w:pPr>
        <w:autoSpaceDE w:val="0"/>
        <w:autoSpaceDN w:val="0"/>
        <w:adjustRightInd w:val="0"/>
        <w:spacing w:after="160" w:line="360" w:lineRule="auto"/>
        <w:ind w:left="567" w:right="1274"/>
        <w:jc w:val="both"/>
        <w:rPr>
          <w:rFonts w:ascii="Palatino Linotype" w:eastAsia="Calibri" w:hAnsi="Palatino Linotype" w:cs="Arial"/>
          <w:i/>
          <w:sz w:val="20"/>
          <w:szCs w:val="20"/>
          <w:lang w:val="es-ES" w:eastAsia="es-MX"/>
        </w:rPr>
      </w:pPr>
      <w:r w:rsidRPr="00682F7E">
        <w:rPr>
          <w:rFonts w:ascii="Palatino Linotype" w:eastAsia="Calibri" w:hAnsi="Palatino Linotype" w:cs="Arial"/>
          <w:i/>
          <w:sz w:val="20"/>
          <w:szCs w:val="20"/>
          <w:lang w:val="es-ES" w:eastAsia="es-MX"/>
        </w:rPr>
        <w:t>No se considerará confidencial la información que se encuentre en los registros públicos o en fuentes de acceso público, ni tampoco la que sea considerada por la presente ley como información pública.</w:t>
      </w:r>
    </w:p>
    <w:p w14:paraId="2563EBC3" w14:textId="77777777" w:rsidR="00682F7E" w:rsidRPr="00682F7E" w:rsidRDefault="00682F7E" w:rsidP="00682F7E">
      <w:pPr>
        <w:autoSpaceDE w:val="0"/>
        <w:autoSpaceDN w:val="0"/>
        <w:adjustRightInd w:val="0"/>
        <w:spacing w:after="160" w:line="360" w:lineRule="auto"/>
        <w:ind w:left="567" w:right="1274"/>
        <w:jc w:val="both"/>
        <w:rPr>
          <w:rFonts w:ascii="Palatino Linotype" w:eastAsia="Calibri" w:hAnsi="Palatino Linotype" w:cs="Arial"/>
          <w:i/>
          <w:sz w:val="20"/>
          <w:szCs w:val="20"/>
          <w:lang w:val="es-ES" w:eastAsia="es-MX"/>
        </w:rPr>
      </w:pPr>
    </w:p>
    <w:p w14:paraId="3633BFE5"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558F27" w14:textId="77777777" w:rsidR="00326BBB" w:rsidRPr="00341003" w:rsidRDefault="00326BBB"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F61B8A3"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Como consecuencia de lo anterior, el sujeto obligado debe identificar claramente el tipo de información y hacer un juicio de subsunción o encaje</w:t>
      </w:r>
      <w:r w:rsidRPr="00341003">
        <w:rPr>
          <w:rStyle w:val="Refdenotaalpie"/>
          <w:rFonts w:ascii="Palatino Linotype" w:hAnsi="Palatino Linotype" w:cs="Arial"/>
        </w:rPr>
        <w:footnoteReference w:id="6"/>
      </w:r>
      <w:r w:rsidRPr="0034100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22F52D98"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32E2D4AB"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0583A8"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45988E36" w14:textId="77777777" w:rsidR="00326BBB" w:rsidRPr="00341003" w:rsidRDefault="00326BBB" w:rsidP="00341003">
      <w:pPr>
        <w:pStyle w:val="Ttulo3"/>
        <w:numPr>
          <w:ilvl w:val="0"/>
          <w:numId w:val="4"/>
        </w:numPr>
        <w:spacing w:line="360" w:lineRule="auto"/>
        <w:rPr>
          <w:rFonts w:ascii="Palatino Linotype" w:hAnsi="Palatino Linotype"/>
          <w:b/>
          <w:color w:val="auto"/>
        </w:rPr>
      </w:pPr>
      <w:bookmarkStart w:id="80" w:name="_Toc531859123"/>
      <w:bookmarkStart w:id="81" w:name="_Toc532385647"/>
      <w:bookmarkStart w:id="82" w:name="_Toc954275"/>
      <w:bookmarkStart w:id="83" w:name="_Toc1585435"/>
      <w:bookmarkStart w:id="84" w:name="_Toc4684443"/>
      <w:bookmarkStart w:id="85" w:name="_Toc9511347"/>
      <w:r w:rsidRPr="00341003">
        <w:rPr>
          <w:rFonts w:ascii="Palatino Linotype" w:hAnsi="Palatino Linotype"/>
          <w:b/>
          <w:color w:val="auto"/>
        </w:rPr>
        <w:t>La intervención del Comité de Transparencia.</w:t>
      </w:r>
      <w:bookmarkEnd w:id="80"/>
      <w:bookmarkEnd w:id="81"/>
      <w:bookmarkEnd w:id="82"/>
      <w:bookmarkEnd w:id="83"/>
      <w:bookmarkEnd w:id="84"/>
      <w:bookmarkEnd w:id="85"/>
    </w:p>
    <w:p w14:paraId="089480B7" w14:textId="77777777" w:rsidR="00326BBB" w:rsidRPr="00341003" w:rsidRDefault="00326BBB" w:rsidP="00341003">
      <w:pPr>
        <w:pStyle w:val="Ttulo4"/>
        <w:numPr>
          <w:ilvl w:val="1"/>
          <w:numId w:val="1"/>
        </w:numPr>
        <w:spacing w:line="360" w:lineRule="auto"/>
        <w:ind w:left="1800" w:hanging="720"/>
        <w:rPr>
          <w:rFonts w:ascii="Palatino Linotype" w:hAnsi="Palatino Linotype"/>
          <w:b/>
          <w:i w:val="0"/>
          <w:color w:val="auto"/>
        </w:rPr>
      </w:pPr>
      <w:r w:rsidRPr="00341003">
        <w:rPr>
          <w:rFonts w:ascii="Palatino Linotype" w:hAnsi="Palatino Linotype"/>
          <w:b/>
          <w:i w:val="0"/>
          <w:color w:val="auto"/>
        </w:rPr>
        <w:t>Formalidades para emitir el acuerdo de clasificación.</w:t>
      </w:r>
    </w:p>
    <w:p w14:paraId="441AB0D1" w14:textId="77777777" w:rsidR="00326BBB" w:rsidRPr="00341003" w:rsidRDefault="00326BBB" w:rsidP="00341003">
      <w:pPr>
        <w:spacing w:line="360" w:lineRule="auto"/>
        <w:rPr>
          <w:rFonts w:ascii="Palatino Linotype" w:hAnsi="Palatino Linotype"/>
          <w:lang w:val="es-MX" w:eastAsia="en-US"/>
        </w:rPr>
      </w:pPr>
    </w:p>
    <w:p w14:paraId="4EFE0E94"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 xml:space="preserve">El Comité de Transparencia, según lo dispuesto en los artículos 128 y 103 de la Ley Estatal y de la Ley General, respectivamente, y </w:t>
      </w:r>
      <w:r w:rsidRPr="00341003">
        <w:rPr>
          <w:rFonts w:ascii="Palatino Linotype" w:hAnsi="Palatino Linotype"/>
        </w:rPr>
        <w:t xml:space="preserve">la fracción III del numeral Segundo de los </w:t>
      </w:r>
      <w:r w:rsidRPr="0034100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41003">
        <w:rPr>
          <w:rFonts w:ascii="Palatino Linotype" w:hAnsi="Palatino Linotype"/>
        </w:rPr>
        <w:t xml:space="preserve"> </w:t>
      </w:r>
      <w:r w:rsidRPr="0034100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8216A4" w14:textId="77777777" w:rsidR="00326BBB" w:rsidRPr="00341003" w:rsidRDefault="00326BBB"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0AB4102"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4E9C2BE"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06E0C4C6"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8ECE4DD" w14:textId="77777777" w:rsidR="005D3CE5" w:rsidRPr="00341003" w:rsidRDefault="005D3CE5" w:rsidP="00341003">
      <w:pPr>
        <w:pStyle w:val="Prrafodelista"/>
        <w:spacing w:line="360" w:lineRule="auto"/>
        <w:rPr>
          <w:rFonts w:ascii="Palatino Linotype" w:eastAsia="Calibri" w:hAnsi="Palatino Linotype" w:cs="Arial"/>
          <w:lang w:val="es-ES" w:eastAsia="es-MX"/>
        </w:rPr>
      </w:pPr>
    </w:p>
    <w:p w14:paraId="376DCCFA" w14:textId="77777777" w:rsidR="005D3CE5" w:rsidRPr="00341003" w:rsidRDefault="005D3CE5"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7E999EC" w14:textId="77777777" w:rsidR="00326BBB" w:rsidRPr="00341003" w:rsidRDefault="00326BBB" w:rsidP="00341003">
      <w:pPr>
        <w:pStyle w:val="Ttulo4"/>
        <w:numPr>
          <w:ilvl w:val="0"/>
          <w:numId w:val="5"/>
        </w:numPr>
        <w:spacing w:line="360" w:lineRule="auto"/>
        <w:rPr>
          <w:rFonts w:ascii="Palatino Linotype" w:hAnsi="Palatino Linotype"/>
          <w:b/>
          <w:i w:val="0"/>
        </w:rPr>
      </w:pPr>
      <w:r w:rsidRPr="00341003">
        <w:rPr>
          <w:rFonts w:ascii="Palatino Linotype" w:hAnsi="Palatino Linotype"/>
          <w:b/>
          <w:i w:val="0"/>
          <w:color w:val="auto"/>
        </w:rPr>
        <w:t>Requisitos de fondo del acuerdo de clasificación</w:t>
      </w:r>
    </w:p>
    <w:p w14:paraId="57C2E333"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6A930E17"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6907E25" w14:textId="77777777" w:rsidR="00326BBB" w:rsidRPr="00341003" w:rsidRDefault="00326BBB" w:rsidP="003410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044199A"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791D1235"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1003">
        <w:rPr>
          <w:rStyle w:val="Refdenotaalpie"/>
          <w:rFonts w:ascii="Palatino Linotype" w:eastAsia="Times New Roman" w:hAnsi="Palatino Linotype" w:cs="Arial"/>
          <w:lang w:eastAsia="es-MX"/>
        </w:rPr>
        <w:footnoteReference w:id="7"/>
      </w:r>
    </w:p>
    <w:p w14:paraId="6B506427" w14:textId="77777777" w:rsidR="00326BBB" w:rsidRPr="00341003" w:rsidRDefault="00326BBB" w:rsidP="00341003">
      <w:pPr>
        <w:pStyle w:val="Prrafodelista"/>
        <w:spacing w:line="360" w:lineRule="auto"/>
        <w:rPr>
          <w:rFonts w:ascii="Palatino Linotype" w:eastAsia="Calibri" w:hAnsi="Palatino Linotype" w:cs="Arial"/>
          <w:lang w:val="es-ES" w:eastAsia="es-MX"/>
        </w:rPr>
      </w:pPr>
    </w:p>
    <w:p w14:paraId="061F1166" w14:textId="77777777" w:rsidR="00326BBB" w:rsidRPr="00341003" w:rsidRDefault="00326BBB" w:rsidP="003410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4100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EB38D0" w14:textId="77777777" w:rsidR="00326BBB" w:rsidRPr="00341003" w:rsidRDefault="00326BBB" w:rsidP="00682F7E">
      <w:pPr>
        <w:pStyle w:val="Prrafodelista"/>
        <w:spacing w:line="360" w:lineRule="auto"/>
        <w:ind w:right="1274"/>
        <w:rPr>
          <w:rFonts w:ascii="Palatino Linotype" w:eastAsia="Calibri" w:hAnsi="Palatino Linotype" w:cs="Arial"/>
          <w:lang w:val="es-ES" w:eastAsia="es-MX"/>
        </w:rPr>
      </w:pPr>
    </w:p>
    <w:p w14:paraId="0AEF7DB3" w14:textId="77777777" w:rsidR="00326BBB" w:rsidRPr="00682F7E" w:rsidRDefault="00326BBB" w:rsidP="00682F7E">
      <w:pPr>
        <w:spacing w:line="360" w:lineRule="auto"/>
        <w:ind w:left="567" w:right="1274"/>
        <w:contextualSpacing/>
        <w:jc w:val="both"/>
        <w:rPr>
          <w:rFonts w:ascii="Palatino Linotype" w:hAnsi="Palatino Linotype" w:cs="Arial"/>
          <w:i/>
          <w:sz w:val="20"/>
          <w:szCs w:val="20"/>
        </w:rPr>
      </w:pPr>
      <w:r w:rsidRPr="00682F7E">
        <w:rPr>
          <w:rFonts w:ascii="Palatino Linotype" w:hAnsi="Palatino Linotype" w:cs="Arial"/>
          <w:b/>
          <w:i/>
          <w:sz w:val="20"/>
          <w:szCs w:val="20"/>
        </w:rPr>
        <w:t>FUNDAMENTACIÓN Y MOTIVACIÓN.</w:t>
      </w:r>
      <w:r w:rsidRPr="00682F7E">
        <w:rPr>
          <w:rFonts w:ascii="Palatino Linotype" w:hAnsi="Palatino Linotype" w:cs="Arial"/>
          <w:i/>
          <w:sz w:val="20"/>
          <w:szCs w:val="20"/>
        </w:rPr>
        <w:t xml:space="preserve"> La </w:t>
      </w:r>
      <w:r w:rsidRPr="00682F7E">
        <w:rPr>
          <w:rFonts w:ascii="Palatino Linotype" w:hAnsi="Palatino Linotype" w:cs="Arial"/>
          <w:i/>
          <w:sz w:val="20"/>
          <w:szCs w:val="2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2F7E">
        <w:rPr>
          <w:rFonts w:ascii="Palatino Linotype" w:hAnsi="Palatino Linotype" w:cs="Arial"/>
          <w:i/>
          <w:sz w:val="20"/>
          <w:szCs w:val="20"/>
        </w:rPr>
        <w:t>.</w:t>
      </w:r>
    </w:p>
    <w:p w14:paraId="20B5F281" w14:textId="77777777" w:rsidR="00326BBB" w:rsidRPr="00682F7E" w:rsidRDefault="00326BBB" w:rsidP="00682F7E">
      <w:pPr>
        <w:spacing w:line="360" w:lineRule="auto"/>
        <w:ind w:left="567" w:right="1274"/>
        <w:contextualSpacing/>
        <w:jc w:val="both"/>
        <w:rPr>
          <w:rFonts w:ascii="Palatino Linotype" w:hAnsi="Palatino Linotype" w:cs="Arial"/>
          <w:i/>
          <w:sz w:val="20"/>
          <w:szCs w:val="20"/>
        </w:rPr>
      </w:pPr>
      <w:r w:rsidRPr="00682F7E">
        <w:rPr>
          <w:rFonts w:ascii="Palatino Linotype" w:hAnsi="Palatino Linotype" w:cs="Arial"/>
          <w:i/>
          <w:sz w:val="20"/>
          <w:szCs w:val="20"/>
        </w:rPr>
        <w:t>SEGUNDO TRIBUNAL COLEGIADO DEL SEXTO CIRCUITO.</w:t>
      </w:r>
    </w:p>
    <w:p w14:paraId="7F24F45C" w14:textId="77777777" w:rsidR="00326BBB" w:rsidRPr="00682F7E" w:rsidRDefault="00326BBB" w:rsidP="00682F7E">
      <w:pPr>
        <w:spacing w:line="360" w:lineRule="auto"/>
        <w:ind w:left="567" w:right="1274"/>
        <w:contextualSpacing/>
        <w:jc w:val="both"/>
        <w:rPr>
          <w:rFonts w:ascii="Palatino Linotype" w:hAnsi="Palatino Linotype" w:cs="Arial"/>
          <w:i/>
          <w:sz w:val="20"/>
          <w:szCs w:val="20"/>
        </w:rPr>
      </w:pPr>
      <w:r w:rsidRPr="00682F7E">
        <w:rPr>
          <w:rFonts w:ascii="Palatino Linotype" w:hAnsi="Palatino Linotype" w:cs="Arial"/>
          <w:i/>
          <w:sz w:val="20"/>
          <w:szCs w:val="20"/>
        </w:rPr>
        <w:t>Amparo directo 194/88. Bufete Industrial Construcciones, S.A. de C.V. 28 de junio de 1988. Unanimidad de votos. Ponente: Gustavo Calvillo Rangel. Secretario: Jorge Alberto González Álvarez.</w:t>
      </w:r>
    </w:p>
    <w:p w14:paraId="47BF61C9" w14:textId="77777777" w:rsidR="00326BBB" w:rsidRPr="00682F7E" w:rsidRDefault="00326BBB" w:rsidP="00682F7E">
      <w:pPr>
        <w:spacing w:line="360" w:lineRule="auto"/>
        <w:ind w:left="567" w:right="1274"/>
        <w:contextualSpacing/>
        <w:jc w:val="both"/>
        <w:rPr>
          <w:rFonts w:ascii="Palatino Linotype" w:hAnsi="Palatino Linotype" w:cs="Arial"/>
          <w:i/>
          <w:sz w:val="20"/>
          <w:szCs w:val="20"/>
        </w:rPr>
      </w:pPr>
      <w:r w:rsidRPr="00682F7E">
        <w:rPr>
          <w:rFonts w:ascii="Palatino Linotype" w:hAnsi="Palatino Linotype" w:cs="Arial"/>
          <w:i/>
          <w:sz w:val="20"/>
          <w:szCs w:val="20"/>
        </w:rPr>
        <w:t xml:space="preserve">Revisión fiscal 103/88. Instituto Mexicano del Seguro Social. 18 de octubre de 1988. Unanimidad de votos. Ponente: Arnoldo Nájera Virgen. Secretario: Alejandro </w:t>
      </w:r>
      <w:proofErr w:type="spellStart"/>
      <w:r w:rsidRPr="00682F7E">
        <w:rPr>
          <w:rFonts w:ascii="Palatino Linotype" w:hAnsi="Palatino Linotype" w:cs="Arial"/>
          <w:i/>
          <w:sz w:val="20"/>
          <w:szCs w:val="20"/>
        </w:rPr>
        <w:t>Esponda</w:t>
      </w:r>
      <w:proofErr w:type="spellEnd"/>
      <w:r w:rsidRPr="00682F7E">
        <w:rPr>
          <w:rFonts w:ascii="Palatino Linotype" w:hAnsi="Palatino Linotype" w:cs="Arial"/>
          <w:i/>
          <w:sz w:val="20"/>
          <w:szCs w:val="20"/>
        </w:rPr>
        <w:t xml:space="preserve"> Rincón.</w:t>
      </w:r>
    </w:p>
    <w:p w14:paraId="1417394F" w14:textId="77777777" w:rsidR="00326BBB" w:rsidRPr="00682F7E" w:rsidRDefault="00326BBB" w:rsidP="00682F7E">
      <w:pPr>
        <w:spacing w:line="360" w:lineRule="auto"/>
        <w:ind w:left="567" w:right="1274"/>
        <w:contextualSpacing/>
        <w:jc w:val="both"/>
        <w:rPr>
          <w:rFonts w:ascii="Palatino Linotype" w:hAnsi="Palatino Linotype" w:cs="Arial"/>
          <w:i/>
          <w:sz w:val="20"/>
          <w:szCs w:val="20"/>
        </w:rPr>
      </w:pPr>
      <w:r w:rsidRPr="00682F7E">
        <w:rPr>
          <w:rFonts w:ascii="Palatino Linotype" w:hAnsi="Palatino Linotype" w:cs="Arial"/>
          <w:i/>
          <w:sz w:val="20"/>
          <w:szCs w:val="20"/>
        </w:rPr>
        <w:t xml:space="preserve">Amparo en revisión 333/88. </w:t>
      </w:r>
      <w:proofErr w:type="spellStart"/>
      <w:r w:rsidRPr="00682F7E">
        <w:rPr>
          <w:rFonts w:ascii="Palatino Linotype" w:hAnsi="Palatino Linotype" w:cs="Arial"/>
          <w:i/>
          <w:sz w:val="20"/>
          <w:szCs w:val="20"/>
        </w:rPr>
        <w:t>Adilia</w:t>
      </w:r>
      <w:proofErr w:type="spellEnd"/>
      <w:r w:rsidRPr="00682F7E">
        <w:rPr>
          <w:rFonts w:ascii="Palatino Linotype" w:hAnsi="Palatino Linotype" w:cs="Arial"/>
          <w:i/>
          <w:sz w:val="20"/>
          <w:szCs w:val="20"/>
        </w:rPr>
        <w:t xml:space="preserve"> Romero. 26 de octubre de 1988. Unanimidad de votos. Ponente: Arnoldo Nájera Virgen. Secretario: Enrique Crispín Campos Ramírez.</w:t>
      </w:r>
    </w:p>
    <w:p w14:paraId="59FE44A5" w14:textId="77777777" w:rsidR="00326BBB" w:rsidRPr="00682F7E" w:rsidRDefault="00326BBB" w:rsidP="00682F7E">
      <w:pPr>
        <w:spacing w:line="360" w:lineRule="auto"/>
        <w:ind w:left="567" w:right="1416"/>
        <w:contextualSpacing/>
        <w:jc w:val="both"/>
        <w:rPr>
          <w:rFonts w:ascii="Palatino Linotype" w:hAnsi="Palatino Linotype" w:cs="Arial"/>
          <w:i/>
          <w:sz w:val="20"/>
          <w:szCs w:val="20"/>
        </w:rPr>
      </w:pPr>
      <w:r w:rsidRPr="00682F7E">
        <w:rPr>
          <w:rFonts w:ascii="Palatino Linotype" w:hAnsi="Palatino Linotype" w:cs="Arial"/>
          <w:i/>
          <w:sz w:val="20"/>
          <w:szCs w:val="20"/>
        </w:rPr>
        <w:t xml:space="preserve">Amparo en revisión 597/95. Emilio Maurer Bretón. 15 de noviembre de 1995. Unanimidad de votos. Ponente: Clementina Ramírez Moguel </w:t>
      </w:r>
      <w:proofErr w:type="spellStart"/>
      <w:r w:rsidRPr="00682F7E">
        <w:rPr>
          <w:rFonts w:ascii="Palatino Linotype" w:hAnsi="Palatino Linotype" w:cs="Arial"/>
          <w:i/>
          <w:sz w:val="20"/>
          <w:szCs w:val="20"/>
        </w:rPr>
        <w:t>Goyzueta</w:t>
      </w:r>
      <w:proofErr w:type="spellEnd"/>
      <w:r w:rsidRPr="00682F7E">
        <w:rPr>
          <w:rFonts w:ascii="Palatino Linotype" w:hAnsi="Palatino Linotype" w:cs="Arial"/>
          <w:i/>
          <w:sz w:val="20"/>
          <w:szCs w:val="20"/>
        </w:rPr>
        <w:t>. Secretario: Gonzalo Carrera Molina.</w:t>
      </w:r>
    </w:p>
    <w:p w14:paraId="0A9C4995" w14:textId="77777777" w:rsidR="00326BBB" w:rsidRPr="00682F7E" w:rsidRDefault="00326BBB" w:rsidP="00682F7E">
      <w:pPr>
        <w:spacing w:line="360" w:lineRule="auto"/>
        <w:ind w:left="567" w:right="1416"/>
        <w:contextualSpacing/>
        <w:jc w:val="both"/>
        <w:rPr>
          <w:rFonts w:ascii="Palatino Linotype" w:hAnsi="Palatino Linotype" w:cs="Arial"/>
          <w:i/>
          <w:sz w:val="20"/>
          <w:szCs w:val="20"/>
        </w:rPr>
      </w:pPr>
      <w:r w:rsidRPr="00682F7E">
        <w:rPr>
          <w:rFonts w:ascii="Palatino Linotype" w:hAnsi="Palatino Linotype" w:cs="Arial"/>
          <w:i/>
          <w:sz w:val="20"/>
          <w:szCs w:val="20"/>
        </w:rPr>
        <w:t xml:space="preserve">Amparo directo 7/96. Pedro Vicente López Miro. 21 de febrero de 1996. Unanimidad de votos. Ponente: María Eugenia Estela Martínez Cardiel. Secretario: Enrique </w:t>
      </w:r>
      <w:proofErr w:type="spellStart"/>
      <w:r w:rsidRPr="00682F7E">
        <w:rPr>
          <w:rFonts w:ascii="Palatino Linotype" w:hAnsi="Palatino Linotype" w:cs="Arial"/>
          <w:i/>
          <w:sz w:val="20"/>
          <w:szCs w:val="20"/>
        </w:rPr>
        <w:t>Baigts</w:t>
      </w:r>
      <w:proofErr w:type="spellEnd"/>
      <w:r w:rsidRPr="00682F7E">
        <w:rPr>
          <w:rFonts w:ascii="Palatino Linotype" w:hAnsi="Palatino Linotype" w:cs="Arial"/>
          <w:i/>
          <w:sz w:val="20"/>
          <w:szCs w:val="20"/>
        </w:rPr>
        <w:t xml:space="preserve"> Muñoz.</w:t>
      </w:r>
    </w:p>
    <w:p w14:paraId="28BF923A" w14:textId="77777777" w:rsidR="00326BBB" w:rsidRPr="00341003" w:rsidRDefault="00326BBB" w:rsidP="00341003">
      <w:pPr>
        <w:spacing w:line="360" w:lineRule="auto"/>
        <w:ind w:firstLine="1418"/>
        <w:contextualSpacing/>
        <w:jc w:val="both"/>
        <w:rPr>
          <w:rFonts w:ascii="Palatino Linotype" w:hAnsi="Palatino Linotype" w:cs="Arial"/>
          <w:lang w:val="es-ES"/>
        </w:rPr>
      </w:pPr>
    </w:p>
    <w:p w14:paraId="58597E48" w14:textId="77777777" w:rsidR="00326BBB" w:rsidRPr="00341003" w:rsidRDefault="00326BBB" w:rsidP="0034100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100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4E675F" w14:textId="77777777" w:rsidR="00326BBB" w:rsidRPr="00341003" w:rsidRDefault="00326BBB" w:rsidP="00341003">
      <w:pPr>
        <w:pStyle w:val="Prrafodelista"/>
        <w:shd w:val="clear" w:color="auto" w:fill="FFFFFF"/>
        <w:spacing w:line="360" w:lineRule="auto"/>
        <w:ind w:left="360"/>
        <w:jc w:val="both"/>
        <w:rPr>
          <w:rFonts w:ascii="Palatino Linotype" w:eastAsia="Times New Roman" w:hAnsi="Palatino Linotype" w:cs="Arial"/>
          <w:lang w:eastAsia="es-MX"/>
        </w:rPr>
      </w:pPr>
    </w:p>
    <w:p w14:paraId="66E091D5" w14:textId="77777777" w:rsidR="00326BBB" w:rsidRPr="00341003" w:rsidRDefault="00326BBB" w:rsidP="0034100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100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341003" w:rsidRDefault="00326BBB" w:rsidP="00341003">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341003" w:rsidRDefault="00326BBB" w:rsidP="0034100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100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53328F0" w14:textId="77777777" w:rsidR="00FA2E10" w:rsidRPr="00341003" w:rsidRDefault="00FA2E10" w:rsidP="00341003">
      <w:pPr>
        <w:pStyle w:val="Prrafodelista"/>
        <w:shd w:val="clear" w:color="auto" w:fill="FFFFFF"/>
        <w:spacing w:line="360" w:lineRule="auto"/>
        <w:ind w:left="0"/>
        <w:jc w:val="both"/>
        <w:rPr>
          <w:rFonts w:ascii="Palatino Linotype" w:eastAsia="Times New Roman" w:hAnsi="Palatino Linotype" w:cs="Arial"/>
          <w:lang w:eastAsia="es-MX"/>
        </w:rPr>
      </w:pPr>
    </w:p>
    <w:p w14:paraId="6F6E848E" w14:textId="77777777" w:rsidR="00326BBB" w:rsidRPr="00341003" w:rsidRDefault="00326BBB" w:rsidP="0034100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4100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341003">
        <w:rPr>
          <w:rFonts w:ascii="Palatino Linotype" w:hAnsi="Palatino Linotype"/>
        </w:rPr>
        <w:t xml:space="preserve"> </w:t>
      </w:r>
      <w:r w:rsidRPr="00341003">
        <w:rPr>
          <w:rFonts w:ascii="Palatino Linotype" w:eastAsia="Times New Roman" w:hAnsi="Palatino Linotype" w:cs="Arial"/>
          <w:lang w:eastAsia="es-MX"/>
        </w:rPr>
        <w:t>datos personales</w:t>
      </w:r>
      <w:r w:rsidRPr="00341003">
        <w:rPr>
          <w:rStyle w:val="Refdenotaalpie"/>
          <w:rFonts w:ascii="Palatino Linotype" w:eastAsia="Times New Roman" w:hAnsi="Palatino Linotype" w:cs="Arial"/>
          <w:lang w:eastAsia="es-MX"/>
        </w:rPr>
        <w:footnoteReference w:id="8"/>
      </w:r>
      <w:r w:rsidRPr="0034100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4100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341003" w:rsidRDefault="00326BBB" w:rsidP="00341003">
      <w:pPr>
        <w:pStyle w:val="Prrafodelista"/>
        <w:spacing w:line="360" w:lineRule="auto"/>
        <w:rPr>
          <w:rFonts w:ascii="Palatino Linotype" w:eastAsia="Times New Roman" w:hAnsi="Palatino Linotype" w:cs="Arial"/>
          <w:lang w:eastAsia="es-MX"/>
        </w:rPr>
      </w:pPr>
    </w:p>
    <w:p w14:paraId="1AD62F00" w14:textId="77777777" w:rsidR="00326BBB" w:rsidRPr="00341003" w:rsidRDefault="00326BBB" w:rsidP="0034100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4100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341003" w:rsidRDefault="00326BBB" w:rsidP="00341003">
      <w:pPr>
        <w:pStyle w:val="Prrafodelista"/>
        <w:spacing w:line="360" w:lineRule="auto"/>
        <w:rPr>
          <w:rFonts w:ascii="Palatino Linotype" w:eastAsia="Times New Roman" w:hAnsi="Palatino Linotype" w:cs="Arial"/>
          <w:lang w:eastAsia="es-MX"/>
        </w:rPr>
      </w:pPr>
    </w:p>
    <w:p w14:paraId="15D8803C" w14:textId="77777777" w:rsidR="00326BBB" w:rsidRPr="00341003" w:rsidRDefault="00326BBB" w:rsidP="0034100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4100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341003">
        <w:rPr>
          <w:rFonts w:ascii="Palatino Linotype" w:hAnsi="Palatino Linotype"/>
          <w:lang w:val="es-ES"/>
        </w:rPr>
        <w:t xml:space="preserve"> </w:t>
      </w:r>
    </w:p>
    <w:p w14:paraId="6EF0D1F1" w14:textId="77777777" w:rsidR="00D50E80" w:rsidRPr="00341003" w:rsidRDefault="00D50E80" w:rsidP="00341003">
      <w:pPr>
        <w:pStyle w:val="Prrafodelista"/>
        <w:spacing w:line="360" w:lineRule="auto"/>
        <w:rPr>
          <w:rFonts w:ascii="Palatino Linotype" w:hAnsi="Palatino Linotype"/>
          <w:lang w:val="es-ES"/>
        </w:rPr>
      </w:pPr>
    </w:p>
    <w:p w14:paraId="3DDD61BC" w14:textId="3DCDE3CA" w:rsidR="004532C9" w:rsidRPr="00341003" w:rsidRDefault="00326BBB" w:rsidP="00341003">
      <w:pPr>
        <w:pStyle w:val="Ttulo1"/>
        <w:spacing w:line="360" w:lineRule="auto"/>
        <w:rPr>
          <w:rFonts w:eastAsia="Calibri" w:cs="Times New Roman"/>
          <w:b/>
          <w:bCs/>
          <w:szCs w:val="24"/>
          <w:lang w:val="es-ES"/>
        </w:rPr>
      </w:pPr>
      <w:bookmarkStart w:id="86" w:name="_Toc9511348"/>
      <w:r w:rsidRPr="00341003">
        <w:rPr>
          <w:b/>
          <w:szCs w:val="24"/>
        </w:rPr>
        <w:t>SÉPTIMO</w:t>
      </w:r>
      <w:r w:rsidR="004532C9" w:rsidRPr="00341003">
        <w:rPr>
          <w:b/>
          <w:szCs w:val="24"/>
        </w:rPr>
        <w:t>. Vista al órgano de control interno</w:t>
      </w:r>
      <w:r w:rsidR="004532C9" w:rsidRPr="00341003">
        <w:rPr>
          <w:rFonts w:eastAsia="Calibri" w:cs="Times New Roman"/>
          <w:b/>
          <w:bCs/>
          <w:szCs w:val="24"/>
          <w:lang w:val="es-ES"/>
        </w:rPr>
        <w:t>.</w:t>
      </w:r>
      <w:bookmarkEnd w:id="86"/>
      <w:r w:rsidR="004532C9" w:rsidRPr="00341003">
        <w:rPr>
          <w:rFonts w:eastAsia="Calibri" w:cs="Times New Roman"/>
          <w:b/>
          <w:bCs/>
          <w:szCs w:val="24"/>
          <w:lang w:val="es-ES"/>
        </w:rPr>
        <w:t xml:space="preserve"> </w:t>
      </w:r>
    </w:p>
    <w:p w14:paraId="330FBF14" w14:textId="77777777" w:rsidR="005D3CE5" w:rsidRPr="00341003" w:rsidRDefault="005D3CE5" w:rsidP="00341003">
      <w:pPr>
        <w:pStyle w:val="Prrafodelista"/>
        <w:spacing w:line="360" w:lineRule="auto"/>
        <w:rPr>
          <w:rFonts w:ascii="Palatino Linotype" w:hAnsi="Palatino Linotype"/>
        </w:rPr>
      </w:pPr>
    </w:p>
    <w:p w14:paraId="45599A93" w14:textId="3E74DC61" w:rsidR="00326BBB" w:rsidRDefault="00326BBB" w:rsidP="00716A9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716A94">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716A94">
        <w:rPr>
          <w:rFonts w:ascii="Palatino Linotype" w:eastAsia="Times New Roman" w:hAnsi="Palatino Linotype"/>
          <w:b/>
          <w:u w:val="single"/>
        </w:rPr>
        <w:t>por la omisión de la entrega de información pública</w:t>
      </w:r>
      <w:r w:rsidRPr="00716A94">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16A94">
        <w:rPr>
          <w:rFonts w:ascii="Palatino Linotype" w:eastAsia="Times New Roman" w:hAnsi="Palatino Linotype"/>
          <w:b/>
        </w:rPr>
        <w:t>SUJETO OBLIGADO</w:t>
      </w:r>
      <w:r w:rsidRPr="00716A94">
        <w:rPr>
          <w:rFonts w:ascii="Palatino Linotype" w:eastAsia="Times New Roman" w:hAnsi="Palatino Linotype"/>
        </w:rPr>
        <w:t>.</w:t>
      </w:r>
    </w:p>
    <w:p w14:paraId="243745CA" w14:textId="77777777" w:rsidR="00716A94" w:rsidRPr="00716A94" w:rsidRDefault="00716A94" w:rsidP="00716A94">
      <w:pPr>
        <w:pStyle w:val="Prrafodelista"/>
        <w:tabs>
          <w:tab w:val="left" w:pos="0"/>
        </w:tabs>
        <w:spacing w:line="360" w:lineRule="auto"/>
        <w:ind w:left="0" w:right="49"/>
        <w:jc w:val="both"/>
        <w:rPr>
          <w:rFonts w:ascii="Palatino Linotype" w:eastAsia="Times New Roman" w:hAnsi="Palatino Linotype"/>
        </w:rPr>
      </w:pPr>
    </w:p>
    <w:p w14:paraId="24843F93" w14:textId="101D3E41" w:rsidR="00326BBB" w:rsidRDefault="00326BBB" w:rsidP="00716A94">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341003">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CE9EAF3" w14:textId="77777777" w:rsidR="00716A94" w:rsidRPr="00716A94" w:rsidRDefault="00716A94" w:rsidP="00716A94">
      <w:pPr>
        <w:tabs>
          <w:tab w:val="left" w:pos="0"/>
        </w:tabs>
        <w:spacing w:line="360" w:lineRule="auto"/>
        <w:ind w:right="49"/>
        <w:contextualSpacing/>
        <w:jc w:val="both"/>
        <w:rPr>
          <w:rFonts w:ascii="Palatino Linotype" w:eastAsia="Times New Roman" w:hAnsi="Palatino Linotype"/>
          <w:sz w:val="8"/>
        </w:rPr>
      </w:pPr>
    </w:p>
    <w:p w14:paraId="0087C37F" w14:textId="77777777" w:rsidR="00326BBB" w:rsidRPr="00716A94"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16A94">
        <w:rPr>
          <w:rFonts w:ascii="Palatino Linotype" w:eastAsia="Times New Roman" w:hAnsi="Palatino Linotype" w:cs="Times New Roman"/>
          <w:i/>
          <w:sz w:val="20"/>
          <w:szCs w:val="20"/>
        </w:rPr>
        <w:t>Artículo 36. El Instituto tendrá, en el ámbito de su competencia, las siguientes atribuciones:</w:t>
      </w:r>
    </w:p>
    <w:p w14:paraId="7363917C" w14:textId="77777777" w:rsidR="00326BBB" w:rsidRPr="00716A94"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16A94">
        <w:rPr>
          <w:rFonts w:ascii="Palatino Linotype" w:eastAsia="Times New Roman" w:hAnsi="Palatino Linotype" w:cs="Times New Roman"/>
          <w:i/>
          <w:sz w:val="20"/>
          <w:szCs w:val="20"/>
        </w:rPr>
        <w:t>(…)</w:t>
      </w:r>
    </w:p>
    <w:p w14:paraId="4DD144A6" w14:textId="77777777" w:rsidR="00326BBB" w:rsidRPr="00716A94"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16A94">
        <w:rPr>
          <w:rFonts w:ascii="Palatino Linotype" w:eastAsia="Times New Roman" w:hAnsi="Palatino Linotype" w:cs="Times New Roman"/>
          <w:i/>
          <w:sz w:val="20"/>
          <w:szCs w:val="20"/>
        </w:rPr>
        <w:t xml:space="preserve">X. Hacer del conocimiento del órgano de control interno o equivalente de cada Sujeto Obligado las infracciones a esta Ley; </w:t>
      </w:r>
    </w:p>
    <w:p w14:paraId="65559994" w14:textId="798D86A4" w:rsidR="00326BBB" w:rsidRDefault="00326BBB" w:rsidP="00716A94">
      <w:pPr>
        <w:spacing w:line="360" w:lineRule="auto"/>
        <w:ind w:left="567" w:right="567"/>
        <w:contextualSpacing/>
        <w:jc w:val="both"/>
        <w:rPr>
          <w:rFonts w:ascii="Palatino Linotype" w:eastAsia="Times New Roman" w:hAnsi="Palatino Linotype" w:cs="Times New Roman"/>
          <w:i/>
          <w:sz w:val="20"/>
          <w:szCs w:val="20"/>
        </w:rPr>
      </w:pPr>
      <w:r w:rsidRPr="00716A94">
        <w:rPr>
          <w:rFonts w:ascii="Palatino Linotype" w:eastAsia="Times New Roman" w:hAnsi="Palatino Linotype" w:cs="Times New Roman"/>
          <w:i/>
          <w:sz w:val="20"/>
          <w:szCs w:val="20"/>
        </w:rPr>
        <w:t>(…)</w:t>
      </w:r>
    </w:p>
    <w:p w14:paraId="45734634" w14:textId="77777777" w:rsidR="00716A94" w:rsidRPr="00716A94" w:rsidRDefault="00716A94" w:rsidP="00716A94">
      <w:pPr>
        <w:spacing w:line="360" w:lineRule="auto"/>
        <w:ind w:left="567" w:right="567"/>
        <w:contextualSpacing/>
        <w:jc w:val="both"/>
        <w:rPr>
          <w:rFonts w:ascii="Palatino Linotype" w:eastAsia="Times New Roman" w:hAnsi="Palatino Linotype" w:cs="Times New Roman"/>
          <w:i/>
          <w:sz w:val="20"/>
          <w:szCs w:val="20"/>
        </w:rPr>
      </w:pPr>
    </w:p>
    <w:p w14:paraId="1FF1AA65" w14:textId="77777777" w:rsidR="00326BBB" w:rsidRPr="00341003" w:rsidRDefault="00326BBB" w:rsidP="00716A94">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341003">
        <w:rPr>
          <w:rFonts w:ascii="Palatino Linotype" w:eastAsia="Times New Roman" w:hAnsi="Palatino Linotype"/>
        </w:rPr>
        <w:t xml:space="preserve">Asimismo, este Pleno hará del conocimiento del órgano de control de este Instituto de las infracciones en que el </w:t>
      </w:r>
      <w:r w:rsidRPr="00341003">
        <w:rPr>
          <w:rFonts w:ascii="Palatino Linotype" w:eastAsia="Times New Roman" w:hAnsi="Palatino Linotype"/>
          <w:b/>
        </w:rPr>
        <w:t>SUJETO OBLIGADO</w:t>
      </w:r>
      <w:r w:rsidRPr="00341003">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4100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A514E42" w14:textId="77777777" w:rsidR="00F8746F" w:rsidRPr="00773BCF" w:rsidRDefault="00F8746F" w:rsidP="00341003">
      <w:pPr>
        <w:spacing w:line="360" w:lineRule="auto"/>
        <w:ind w:left="567" w:right="567"/>
        <w:contextualSpacing/>
        <w:jc w:val="both"/>
        <w:rPr>
          <w:rFonts w:ascii="Palatino Linotype" w:eastAsia="Times New Roman" w:hAnsi="Palatino Linotype" w:cs="Times New Roman"/>
          <w:i/>
          <w:sz w:val="20"/>
          <w:szCs w:val="20"/>
        </w:rPr>
      </w:pPr>
    </w:p>
    <w:p w14:paraId="6C680D74" w14:textId="77777777" w:rsidR="00326BBB" w:rsidRPr="00773BCF"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73BCF">
        <w:rPr>
          <w:rFonts w:ascii="Palatino Linotype" w:eastAsia="Times New Roman" w:hAnsi="Palatino Linotype" w:cs="Times New Roman"/>
          <w:i/>
          <w:sz w:val="20"/>
          <w:szCs w:val="20"/>
        </w:rPr>
        <w:t>“</w:t>
      </w:r>
      <w:r w:rsidRPr="00773BCF">
        <w:rPr>
          <w:rFonts w:ascii="Palatino Linotype" w:eastAsia="Times New Roman" w:hAnsi="Palatino Linotype" w:cs="Times New Roman"/>
          <w:b/>
          <w:i/>
          <w:sz w:val="20"/>
          <w:szCs w:val="20"/>
        </w:rPr>
        <w:t>Artículo 190</w:t>
      </w:r>
      <w:r w:rsidRPr="00773BCF">
        <w:rPr>
          <w:rFonts w:ascii="Palatino Linotype" w:eastAsia="Times New Roman" w:hAnsi="Palatino Linotype" w:cs="Times New Roman"/>
          <w:i/>
          <w:sz w:val="20"/>
          <w:szCs w:val="20"/>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125224" w14:textId="77777777" w:rsidR="00326BBB" w:rsidRPr="00773BCF"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73BCF">
        <w:rPr>
          <w:rFonts w:ascii="Palatino Linotype" w:eastAsia="Times New Roman" w:hAnsi="Palatino Linotype" w:cs="Times New Roman"/>
          <w:b/>
          <w:i/>
          <w:sz w:val="20"/>
          <w:szCs w:val="20"/>
        </w:rPr>
        <w:t>“Artículo 222.</w:t>
      </w:r>
      <w:r w:rsidRPr="00773BCF">
        <w:rPr>
          <w:rFonts w:ascii="Palatino Linotype" w:eastAsia="Times New Roman" w:hAnsi="Palatino Linotype" w:cs="Times New Roman"/>
          <w:i/>
          <w:sz w:val="20"/>
          <w:szCs w:val="20"/>
        </w:rPr>
        <w:t xml:space="preserve"> Son causas de responsabilidad administrativa de los servidores públicos de los sujetos obligados, por incumplimiento de las obligaciones establecidas en la materia de la presente Ley, las siguientes:</w:t>
      </w:r>
    </w:p>
    <w:p w14:paraId="34E5DB5D" w14:textId="77777777" w:rsidR="00326BBB" w:rsidRPr="00773BCF"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73BCF">
        <w:rPr>
          <w:rFonts w:ascii="Palatino Linotype" w:eastAsia="Times New Roman" w:hAnsi="Palatino Linotype" w:cs="Times New Roman"/>
          <w:i/>
          <w:sz w:val="20"/>
          <w:szCs w:val="20"/>
        </w:rPr>
        <w:t>…</w:t>
      </w:r>
    </w:p>
    <w:p w14:paraId="711D3FAC" w14:textId="77777777" w:rsidR="00326BBB" w:rsidRPr="00773BCF"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73BCF">
        <w:rPr>
          <w:rFonts w:ascii="Palatino Linotype" w:eastAsia="Times New Roman" w:hAnsi="Palatino Linotype" w:cs="Times New Roman"/>
          <w:b/>
          <w:i/>
          <w:sz w:val="20"/>
          <w:szCs w:val="20"/>
        </w:rPr>
        <w:t>I. Cualquier acto u omisión que provoque la suspensión o deficiencia en la atención de las solicitudes de información</w:t>
      </w:r>
      <w:r w:rsidRPr="00773BCF">
        <w:rPr>
          <w:rFonts w:ascii="Palatino Linotype" w:eastAsia="Times New Roman" w:hAnsi="Palatino Linotype" w:cs="Times New Roman"/>
          <w:i/>
          <w:sz w:val="20"/>
          <w:szCs w:val="20"/>
        </w:rPr>
        <w:t>;</w:t>
      </w:r>
    </w:p>
    <w:p w14:paraId="0A208EDE" w14:textId="77777777" w:rsidR="00326BBB" w:rsidRPr="00773BCF"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73BCF">
        <w:rPr>
          <w:rFonts w:ascii="Palatino Linotype" w:eastAsia="Times New Roman" w:hAnsi="Palatino Linotype" w:cs="Times New Roman"/>
          <w:b/>
          <w:i/>
          <w:sz w:val="20"/>
          <w:szCs w:val="20"/>
        </w:rPr>
        <w:t>II. La falta de respuesta a las solicitudes de información en los plazos señalados en la normatividad aplicable</w:t>
      </w:r>
      <w:r w:rsidRPr="00773BCF">
        <w:rPr>
          <w:rFonts w:ascii="Palatino Linotype" w:eastAsia="Times New Roman" w:hAnsi="Palatino Linotype" w:cs="Times New Roman"/>
          <w:i/>
          <w:sz w:val="20"/>
          <w:szCs w:val="20"/>
        </w:rPr>
        <w:t>;</w:t>
      </w:r>
    </w:p>
    <w:p w14:paraId="1E1584FC" w14:textId="77777777" w:rsidR="00326BBB" w:rsidRPr="00773BCF" w:rsidRDefault="00326BBB" w:rsidP="00341003">
      <w:pPr>
        <w:spacing w:line="360" w:lineRule="auto"/>
        <w:ind w:left="567" w:right="567"/>
        <w:contextualSpacing/>
        <w:jc w:val="both"/>
        <w:rPr>
          <w:rFonts w:ascii="Palatino Linotype" w:eastAsia="Times New Roman" w:hAnsi="Palatino Linotype" w:cs="Times New Roman"/>
          <w:i/>
          <w:sz w:val="20"/>
          <w:szCs w:val="20"/>
        </w:rPr>
      </w:pPr>
      <w:r w:rsidRPr="00773BCF">
        <w:rPr>
          <w:rFonts w:ascii="Palatino Linotype" w:eastAsia="Times New Roman" w:hAnsi="Palatino Linotype" w:cs="Times New Roman"/>
          <w:i/>
          <w:sz w:val="20"/>
          <w:szCs w:val="20"/>
        </w:rPr>
        <w:t>…”</w:t>
      </w:r>
    </w:p>
    <w:p w14:paraId="3A9B8313" w14:textId="77777777" w:rsidR="00326BBB" w:rsidRPr="00773BCF" w:rsidRDefault="00326BBB" w:rsidP="00341003">
      <w:pPr>
        <w:spacing w:line="360" w:lineRule="auto"/>
        <w:ind w:left="567" w:right="567"/>
        <w:contextualSpacing/>
        <w:jc w:val="both"/>
        <w:rPr>
          <w:rFonts w:ascii="Palatino Linotype" w:hAnsi="Palatino Linotype"/>
          <w:i/>
          <w:sz w:val="20"/>
          <w:szCs w:val="20"/>
        </w:rPr>
      </w:pPr>
      <w:r w:rsidRPr="00773BCF">
        <w:rPr>
          <w:rFonts w:ascii="Palatino Linotype" w:eastAsia="Times New Roman" w:hAnsi="Palatino Linotype" w:cs="Times New Roman"/>
          <w:i/>
          <w:sz w:val="20"/>
          <w:szCs w:val="20"/>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73BCF">
        <w:rPr>
          <w:rFonts w:ascii="Palatino Linotype" w:hAnsi="Palatino Linotype"/>
          <w:i/>
          <w:sz w:val="20"/>
          <w:szCs w:val="20"/>
        </w:rPr>
        <w:t xml:space="preserve"> (De Acuerdo al Decreto N°207, Publicado el 30 de mayo de 2017)</w:t>
      </w:r>
    </w:p>
    <w:p w14:paraId="2BF1C66C" w14:textId="77777777" w:rsidR="00F8746F" w:rsidRPr="00341003" w:rsidRDefault="00F8746F" w:rsidP="00341003">
      <w:pPr>
        <w:spacing w:line="360" w:lineRule="auto"/>
        <w:ind w:left="567" w:right="567"/>
        <w:contextualSpacing/>
        <w:jc w:val="both"/>
        <w:rPr>
          <w:rFonts w:ascii="Palatino Linotype" w:hAnsi="Palatino Linotype"/>
          <w:i/>
        </w:rPr>
      </w:pPr>
    </w:p>
    <w:p w14:paraId="4342ADFB" w14:textId="77777777" w:rsidR="00A345A3" w:rsidRPr="00341003" w:rsidRDefault="00A345A3" w:rsidP="00341003">
      <w:pPr>
        <w:pStyle w:val="Ttulo1"/>
        <w:spacing w:line="360" w:lineRule="auto"/>
        <w:jc w:val="center"/>
        <w:rPr>
          <w:rFonts w:eastAsia="Calibri"/>
          <w:b/>
          <w:szCs w:val="24"/>
          <w:lang w:val="es-ES" w:eastAsia="es-ES"/>
        </w:rPr>
      </w:pPr>
      <w:bookmarkStart w:id="87" w:name="_Toc504500693"/>
      <w:bookmarkStart w:id="88" w:name="_Toc534742545"/>
      <w:bookmarkStart w:id="89" w:name="_Toc9511349"/>
      <w:r w:rsidRPr="00341003">
        <w:rPr>
          <w:rFonts w:eastAsia="Calibri"/>
          <w:b/>
          <w:szCs w:val="24"/>
          <w:lang w:val="es-ES" w:eastAsia="es-ES"/>
        </w:rPr>
        <w:t>R E S O L U T I V O S</w:t>
      </w:r>
      <w:bookmarkEnd w:id="87"/>
      <w:bookmarkEnd w:id="88"/>
      <w:bookmarkEnd w:id="89"/>
      <w:r w:rsidRPr="00341003">
        <w:rPr>
          <w:rFonts w:eastAsia="Calibri"/>
          <w:b/>
          <w:szCs w:val="24"/>
          <w:lang w:val="es-ES" w:eastAsia="es-ES"/>
        </w:rPr>
        <w:t xml:space="preserve"> </w:t>
      </w:r>
    </w:p>
    <w:p w14:paraId="70193EA3" w14:textId="77777777" w:rsidR="00A345A3" w:rsidRPr="00341003" w:rsidRDefault="00A345A3" w:rsidP="00341003">
      <w:pPr>
        <w:spacing w:line="360" w:lineRule="auto"/>
        <w:rPr>
          <w:rFonts w:ascii="Palatino Linotype" w:hAnsi="Palatino Linotype"/>
          <w:lang w:val="es-ES"/>
        </w:rPr>
      </w:pPr>
    </w:p>
    <w:p w14:paraId="2203406C" w14:textId="41C6EC51" w:rsidR="005D3CE5" w:rsidRPr="00341003" w:rsidRDefault="005D3CE5" w:rsidP="00341003">
      <w:pPr>
        <w:spacing w:line="360" w:lineRule="auto"/>
        <w:jc w:val="both"/>
        <w:rPr>
          <w:rFonts w:ascii="Palatino Linotype" w:eastAsia="Times New Roman" w:hAnsi="Palatino Linotype" w:cs="Times New Roman"/>
        </w:rPr>
      </w:pPr>
      <w:r w:rsidRPr="00341003">
        <w:rPr>
          <w:rFonts w:ascii="Palatino Linotype" w:eastAsia="Times New Roman" w:hAnsi="Palatino Linotype" w:cs="Arial"/>
          <w:b/>
        </w:rPr>
        <w:t xml:space="preserve">PRIMERO. </w:t>
      </w:r>
      <w:r w:rsidRPr="00341003">
        <w:rPr>
          <w:rFonts w:ascii="Palatino Linotype" w:eastAsia="Times New Roman" w:hAnsi="Palatino Linotype" w:cs="Arial"/>
        </w:rPr>
        <w:t>Resultan fundadas las</w:t>
      </w:r>
      <w:r w:rsidRPr="00341003">
        <w:rPr>
          <w:rFonts w:ascii="Palatino Linotype" w:eastAsia="Times New Roman" w:hAnsi="Palatino Linotype" w:cs="Arial"/>
          <w:b/>
        </w:rPr>
        <w:t xml:space="preserve"> </w:t>
      </w:r>
      <w:r w:rsidRPr="00341003">
        <w:rPr>
          <w:rFonts w:ascii="Palatino Linotype" w:eastAsia="Times New Roman" w:hAnsi="Palatino Linotype" w:cs="Arial"/>
          <w:lang w:val="es-ES"/>
        </w:rPr>
        <w:t xml:space="preserve">razones o motivos de inconformidad hechos valer </w:t>
      </w:r>
      <w:r w:rsidRPr="00341003">
        <w:rPr>
          <w:rFonts w:ascii="Palatino Linotype" w:eastAsia="Calibri" w:hAnsi="Palatino Linotype" w:cs="Arial"/>
          <w:lang w:val="es-ES"/>
        </w:rPr>
        <w:t xml:space="preserve">en el recurso de revisión </w:t>
      </w:r>
      <w:r w:rsidRPr="00341003">
        <w:rPr>
          <w:rFonts w:ascii="Palatino Linotype" w:hAnsi="Palatino Linotype" w:cs="Arial"/>
          <w:b/>
          <w:bCs/>
        </w:rPr>
        <w:t>0</w:t>
      </w:r>
      <w:r w:rsidR="00FA2E10" w:rsidRPr="00341003">
        <w:rPr>
          <w:rFonts w:ascii="Palatino Linotype" w:hAnsi="Palatino Linotype" w:cs="Arial"/>
          <w:b/>
          <w:bCs/>
        </w:rPr>
        <w:t>2528</w:t>
      </w:r>
      <w:r w:rsidRPr="00341003">
        <w:rPr>
          <w:rFonts w:ascii="Palatino Linotype" w:hAnsi="Palatino Linotype" w:cs="Arial"/>
          <w:b/>
          <w:bCs/>
        </w:rPr>
        <w:t>/INFOEM/IP/RR/2019</w:t>
      </w:r>
      <w:r w:rsidRPr="00341003">
        <w:rPr>
          <w:rFonts w:ascii="Palatino Linotype" w:hAnsi="Palatino Linotype" w:cs="Arial"/>
          <w:b/>
          <w:bCs/>
          <w:lang w:eastAsia="es-MX"/>
        </w:rPr>
        <w:t xml:space="preserve"> </w:t>
      </w:r>
      <w:r w:rsidRPr="00341003">
        <w:rPr>
          <w:rFonts w:ascii="Palatino Linotype" w:hAnsi="Palatino Linotype" w:cs="Arial"/>
          <w:bCs/>
          <w:lang w:eastAsia="es-MX"/>
        </w:rPr>
        <w:t>en términos de</w:t>
      </w:r>
      <w:r w:rsidR="00C3381E" w:rsidRPr="00341003">
        <w:rPr>
          <w:rFonts w:ascii="Palatino Linotype" w:hAnsi="Palatino Linotype" w:cs="Arial"/>
          <w:bCs/>
          <w:lang w:eastAsia="es-MX"/>
        </w:rPr>
        <w:t xml:space="preserve"> los</w:t>
      </w:r>
      <w:r w:rsidRPr="00341003">
        <w:rPr>
          <w:rFonts w:ascii="Palatino Linotype" w:hAnsi="Palatino Linotype" w:cs="Arial"/>
          <w:bCs/>
          <w:lang w:eastAsia="es-MX"/>
        </w:rPr>
        <w:t xml:space="preserve"> Considerando</w:t>
      </w:r>
      <w:r w:rsidR="00C3381E" w:rsidRPr="00341003">
        <w:rPr>
          <w:rFonts w:ascii="Palatino Linotype" w:hAnsi="Palatino Linotype" w:cs="Arial"/>
          <w:bCs/>
          <w:lang w:eastAsia="es-MX"/>
        </w:rPr>
        <w:t>s</w:t>
      </w:r>
      <w:r w:rsidRPr="00341003">
        <w:rPr>
          <w:rFonts w:ascii="Palatino Linotype" w:hAnsi="Palatino Linotype" w:cs="Arial"/>
          <w:b/>
          <w:bCs/>
          <w:lang w:eastAsia="es-MX"/>
        </w:rPr>
        <w:t xml:space="preserve"> QUINTO</w:t>
      </w:r>
      <w:r w:rsidR="00C3381E" w:rsidRPr="00341003">
        <w:rPr>
          <w:rFonts w:ascii="Palatino Linotype" w:hAnsi="Palatino Linotype" w:cs="Arial"/>
          <w:b/>
          <w:bCs/>
          <w:lang w:eastAsia="es-MX"/>
        </w:rPr>
        <w:t xml:space="preserve"> y SEXTO</w:t>
      </w:r>
      <w:r w:rsidRPr="00341003">
        <w:rPr>
          <w:rFonts w:ascii="Palatino Linotype" w:hAnsi="Palatino Linotype" w:cs="Arial"/>
          <w:b/>
          <w:bCs/>
          <w:lang w:eastAsia="es-MX"/>
        </w:rPr>
        <w:t xml:space="preserve"> </w:t>
      </w:r>
      <w:r w:rsidRPr="00341003">
        <w:rPr>
          <w:rFonts w:ascii="Palatino Linotype" w:hAnsi="Palatino Linotype" w:cs="Arial"/>
          <w:bCs/>
          <w:lang w:eastAsia="es-MX"/>
        </w:rPr>
        <w:t>de la presente resolución.</w:t>
      </w:r>
    </w:p>
    <w:p w14:paraId="71CB2A46" w14:textId="44BA38DE" w:rsidR="005D3CE5" w:rsidRPr="00341003" w:rsidRDefault="005D3CE5" w:rsidP="00341003">
      <w:pPr>
        <w:spacing w:before="240" w:after="240" w:line="360" w:lineRule="auto"/>
        <w:jc w:val="both"/>
        <w:rPr>
          <w:rFonts w:ascii="Palatino Linotype" w:hAnsi="Palatino Linotype" w:cs="Arial"/>
          <w:bCs/>
          <w:shd w:val="clear" w:color="auto" w:fill="FFFFFF"/>
        </w:rPr>
      </w:pPr>
      <w:r w:rsidRPr="00341003">
        <w:rPr>
          <w:rFonts w:ascii="Palatino Linotype" w:hAnsi="Palatino Linotype"/>
          <w:b/>
        </w:rPr>
        <w:t>SEGUNDO.</w:t>
      </w:r>
      <w:r w:rsidRPr="00341003">
        <w:rPr>
          <w:rStyle w:val="Ttulo2Car"/>
          <w:rFonts w:ascii="Palatino Linotype" w:hAnsi="Palatino Linotype"/>
          <w:b/>
          <w:sz w:val="24"/>
          <w:szCs w:val="24"/>
        </w:rPr>
        <w:t xml:space="preserve"> </w:t>
      </w:r>
      <w:r w:rsidRPr="00341003">
        <w:rPr>
          <w:rFonts w:ascii="Palatino Linotype" w:eastAsia="Calibri" w:hAnsi="Palatino Linotype" w:cs="Arial"/>
          <w:lang w:val="es-ES"/>
        </w:rPr>
        <w:t>Se</w:t>
      </w:r>
      <w:r w:rsidRPr="00341003">
        <w:rPr>
          <w:rFonts w:ascii="Palatino Linotype" w:eastAsia="Calibri" w:hAnsi="Palatino Linotype" w:cs="Arial"/>
          <w:b/>
          <w:lang w:val="es-ES"/>
        </w:rPr>
        <w:t xml:space="preserve"> ORDENA </w:t>
      </w:r>
      <w:r w:rsidRPr="00341003">
        <w:rPr>
          <w:rFonts w:ascii="Palatino Linotype" w:eastAsia="Calibri" w:hAnsi="Palatino Linotype" w:cs="Arial"/>
          <w:lang w:val="es-ES"/>
        </w:rPr>
        <w:t>al</w:t>
      </w:r>
      <w:r w:rsidRPr="00341003">
        <w:rPr>
          <w:rFonts w:ascii="Palatino Linotype" w:eastAsia="Calibri" w:hAnsi="Palatino Linotype" w:cs="Arial"/>
          <w:b/>
          <w:lang w:val="es-ES"/>
        </w:rPr>
        <w:t xml:space="preserve"> </w:t>
      </w:r>
      <w:r w:rsidR="00C441B2" w:rsidRPr="00341003">
        <w:rPr>
          <w:rFonts w:ascii="Palatino Linotype" w:hAnsi="Palatino Linotype"/>
          <w:b/>
          <w:bCs/>
        </w:rPr>
        <w:t>Partido Morena</w:t>
      </w:r>
      <w:r w:rsidRPr="00341003">
        <w:rPr>
          <w:rFonts w:ascii="Palatino Linotype" w:eastAsia="Times New Roman" w:hAnsi="Palatino Linotype" w:cs="Arial"/>
          <w:lang w:val="es-ES"/>
        </w:rPr>
        <w:t xml:space="preserve"> </w:t>
      </w:r>
      <w:r w:rsidRPr="00341003">
        <w:rPr>
          <w:rFonts w:ascii="Palatino Linotype" w:eastAsia="Calibri" w:hAnsi="Palatino Linotype" w:cs="Arial"/>
          <w:lang w:val="es-ES"/>
        </w:rPr>
        <w:t xml:space="preserve">entregar vía Sistema de Acceso a la Información Mexiquense </w:t>
      </w:r>
      <w:r w:rsidRPr="00341003">
        <w:rPr>
          <w:rFonts w:ascii="Palatino Linotype" w:eastAsia="Calibri" w:hAnsi="Palatino Linotype" w:cs="Arial"/>
          <w:b/>
          <w:lang w:val="es-ES"/>
        </w:rPr>
        <w:t>(SAIMEX)</w:t>
      </w:r>
      <w:r w:rsidRPr="00341003">
        <w:rPr>
          <w:rFonts w:ascii="Palatino Linotype" w:hAnsi="Palatino Linotype" w:cs="Arial"/>
          <w:bCs/>
          <w:shd w:val="clear" w:color="auto" w:fill="FFFFFF"/>
        </w:rPr>
        <w:t xml:space="preserve">, </w:t>
      </w:r>
      <w:r w:rsidR="00FA2E10" w:rsidRPr="00341003">
        <w:rPr>
          <w:rFonts w:ascii="Palatino Linotype" w:hAnsi="Palatino Linotype" w:cs="Arial"/>
          <w:bCs/>
          <w:shd w:val="clear" w:color="auto" w:fill="FFFFFF"/>
        </w:rPr>
        <w:t xml:space="preserve">de ser el caso, </w:t>
      </w:r>
      <w:r w:rsidRPr="00341003">
        <w:rPr>
          <w:rFonts w:ascii="Palatino Linotype" w:hAnsi="Palatino Linotype" w:cs="Arial"/>
          <w:bCs/>
          <w:shd w:val="clear" w:color="auto" w:fill="FFFFFF"/>
        </w:rPr>
        <w:t>en versión pública,</w:t>
      </w:r>
      <w:r w:rsidR="00C441B2" w:rsidRPr="00341003">
        <w:rPr>
          <w:rFonts w:ascii="Palatino Linotype" w:hAnsi="Palatino Linotype" w:cs="Arial"/>
          <w:bCs/>
          <w:shd w:val="clear" w:color="auto" w:fill="FFFFFF"/>
        </w:rPr>
        <w:t xml:space="preserve"> los documentos </w:t>
      </w:r>
      <w:r w:rsidR="00D42512" w:rsidRPr="00341003">
        <w:rPr>
          <w:rFonts w:ascii="Palatino Linotype" w:hAnsi="Palatino Linotype" w:cs="Arial"/>
          <w:bCs/>
          <w:shd w:val="clear" w:color="auto" w:fill="FFFFFF"/>
        </w:rPr>
        <w:t>donde</w:t>
      </w:r>
      <w:r w:rsidR="00C441B2" w:rsidRPr="00341003">
        <w:rPr>
          <w:rFonts w:ascii="Palatino Linotype" w:hAnsi="Palatino Linotype" w:cs="Arial"/>
          <w:bCs/>
          <w:shd w:val="clear" w:color="auto" w:fill="FFFFFF"/>
        </w:rPr>
        <w:t xml:space="preserve"> conste</w:t>
      </w:r>
      <w:r w:rsidRPr="00341003">
        <w:rPr>
          <w:rFonts w:ascii="Palatino Linotype" w:hAnsi="Palatino Linotype" w:cs="Arial"/>
          <w:bCs/>
          <w:shd w:val="clear" w:color="auto" w:fill="FFFFFF"/>
        </w:rPr>
        <w:t xml:space="preserve"> lo siguiente:</w:t>
      </w:r>
    </w:p>
    <w:p w14:paraId="0B5C88CE" w14:textId="59DC6DA2" w:rsidR="001F0B79" w:rsidRPr="00341003" w:rsidRDefault="001F0B79" w:rsidP="00341003">
      <w:pPr>
        <w:pStyle w:val="Prrafodelista"/>
        <w:numPr>
          <w:ilvl w:val="0"/>
          <w:numId w:val="15"/>
        </w:numPr>
        <w:tabs>
          <w:tab w:val="left" w:pos="0"/>
        </w:tabs>
        <w:spacing w:line="360" w:lineRule="auto"/>
        <w:ind w:right="49"/>
        <w:jc w:val="both"/>
        <w:rPr>
          <w:rFonts w:ascii="Palatino Linotype" w:eastAsia="MS Mincho" w:hAnsi="Palatino Linotype"/>
          <w:b/>
        </w:rPr>
      </w:pPr>
      <w:r w:rsidRPr="00341003">
        <w:rPr>
          <w:rFonts w:ascii="Palatino Linotype" w:eastAsia="MS Mincho" w:hAnsi="Palatino Linotype"/>
          <w:b/>
        </w:rPr>
        <w:t xml:space="preserve">Cantidad que el Partido Morena ha destinado para actividades específicas y ordinarias del uno (01) de enero al diecinueve (19) de marzo de 2019; </w:t>
      </w:r>
    </w:p>
    <w:p w14:paraId="3112D7FF" w14:textId="6C017084" w:rsidR="001F0B79" w:rsidRPr="00341003" w:rsidRDefault="001F0B79" w:rsidP="00341003">
      <w:pPr>
        <w:pStyle w:val="Prrafodelista"/>
        <w:numPr>
          <w:ilvl w:val="0"/>
          <w:numId w:val="15"/>
        </w:numPr>
        <w:tabs>
          <w:tab w:val="left" w:pos="0"/>
        </w:tabs>
        <w:spacing w:line="360" w:lineRule="auto"/>
        <w:ind w:right="49"/>
        <w:jc w:val="both"/>
        <w:rPr>
          <w:rFonts w:ascii="Palatino Linotype" w:eastAsia="MS Mincho" w:hAnsi="Palatino Linotype"/>
          <w:b/>
        </w:rPr>
      </w:pPr>
      <w:r w:rsidRPr="00341003">
        <w:rPr>
          <w:rFonts w:ascii="Palatino Linotype" w:eastAsia="MS Mincho" w:hAnsi="Palatino Linotype"/>
          <w:b/>
        </w:rPr>
        <w:t>Total de recursos pú</w:t>
      </w:r>
      <w:r w:rsidR="00C3381E" w:rsidRPr="00341003">
        <w:rPr>
          <w:rFonts w:ascii="Palatino Linotype" w:eastAsia="MS Mincho" w:hAnsi="Palatino Linotype"/>
          <w:b/>
        </w:rPr>
        <w:t>blicos presupuestados para los C</w:t>
      </w:r>
      <w:r w:rsidRPr="00341003">
        <w:rPr>
          <w:rFonts w:ascii="Palatino Linotype" w:eastAsia="MS Mincho" w:hAnsi="Palatino Linotype"/>
          <w:b/>
        </w:rPr>
        <w:t>omit</w:t>
      </w:r>
      <w:r w:rsidR="00C3381E" w:rsidRPr="00341003">
        <w:rPr>
          <w:rFonts w:ascii="Palatino Linotype" w:eastAsia="MS Mincho" w:hAnsi="Palatino Linotype"/>
          <w:b/>
        </w:rPr>
        <w:t>és M</w:t>
      </w:r>
      <w:r w:rsidRPr="00341003">
        <w:rPr>
          <w:rFonts w:ascii="Palatino Linotype" w:eastAsia="MS Mincho" w:hAnsi="Palatino Linotype"/>
          <w:b/>
        </w:rPr>
        <w:t xml:space="preserve">unicipales de </w:t>
      </w:r>
      <w:proofErr w:type="spellStart"/>
      <w:r w:rsidRPr="00341003">
        <w:rPr>
          <w:rFonts w:ascii="Palatino Linotype" w:eastAsia="MS Mincho" w:hAnsi="Palatino Linotype"/>
          <w:b/>
        </w:rPr>
        <w:t>Acambay</w:t>
      </w:r>
      <w:proofErr w:type="spellEnd"/>
      <w:r w:rsidRPr="00341003">
        <w:rPr>
          <w:rFonts w:ascii="Palatino Linotype" w:eastAsia="MS Mincho" w:hAnsi="Palatino Linotype"/>
          <w:b/>
        </w:rPr>
        <w:t xml:space="preserve">, Atlacomulco, El Oro, San Felipe del Progreso, </w:t>
      </w:r>
      <w:proofErr w:type="spellStart"/>
      <w:r w:rsidRPr="00341003">
        <w:rPr>
          <w:rFonts w:ascii="Palatino Linotype" w:eastAsia="MS Mincho" w:hAnsi="Palatino Linotype"/>
          <w:b/>
        </w:rPr>
        <w:t>Temascalcingo</w:t>
      </w:r>
      <w:proofErr w:type="spellEnd"/>
      <w:r w:rsidRPr="00341003">
        <w:rPr>
          <w:rFonts w:ascii="Palatino Linotype" w:eastAsia="MS Mincho" w:hAnsi="Palatino Linotype"/>
          <w:b/>
        </w:rPr>
        <w:t xml:space="preserve">, </w:t>
      </w:r>
      <w:proofErr w:type="spellStart"/>
      <w:r w:rsidRPr="00341003">
        <w:rPr>
          <w:rFonts w:ascii="Palatino Linotype" w:eastAsia="MS Mincho" w:hAnsi="Palatino Linotype"/>
          <w:b/>
        </w:rPr>
        <w:t>Jilotepec</w:t>
      </w:r>
      <w:proofErr w:type="spellEnd"/>
      <w:r w:rsidRPr="00341003">
        <w:rPr>
          <w:rFonts w:ascii="Palatino Linotype" w:eastAsia="MS Mincho" w:hAnsi="Palatino Linotype"/>
          <w:b/>
        </w:rPr>
        <w:t xml:space="preserve"> y </w:t>
      </w:r>
      <w:proofErr w:type="spellStart"/>
      <w:r w:rsidRPr="00341003">
        <w:rPr>
          <w:rFonts w:ascii="Palatino Linotype" w:eastAsia="MS Mincho" w:hAnsi="Palatino Linotype"/>
          <w:b/>
        </w:rPr>
        <w:t>Jocotitlán</w:t>
      </w:r>
      <w:proofErr w:type="spellEnd"/>
      <w:r w:rsidRPr="00341003">
        <w:rPr>
          <w:rFonts w:ascii="Palatino Linotype" w:eastAsia="MS Mincho" w:hAnsi="Palatino Linotype"/>
          <w:b/>
        </w:rPr>
        <w:t xml:space="preserve">; desglosado por municipio y actividad, de acuerdo a su cronograma de actividades; </w:t>
      </w:r>
      <w:r w:rsidR="008E40F3" w:rsidRPr="00341003">
        <w:rPr>
          <w:rFonts w:ascii="Palatino Linotype" w:eastAsia="MS Mincho" w:hAnsi="Palatino Linotype"/>
          <w:b/>
        </w:rPr>
        <w:t>y</w:t>
      </w:r>
    </w:p>
    <w:p w14:paraId="11069E11" w14:textId="03896834" w:rsidR="002C4316" w:rsidRPr="00341003" w:rsidRDefault="00C3381E" w:rsidP="00341003">
      <w:pPr>
        <w:pStyle w:val="Prrafodelista"/>
        <w:numPr>
          <w:ilvl w:val="0"/>
          <w:numId w:val="15"/>
        </w:numPr>
        <w:tabs>
          <w:tab w:val="left" w:pos="0"/>
        </w:tabs>
        <w:spacing w:before="240" w:after="240" w:line="360" w:lineRule="auto"/>
        <w:ind w:right="49"/>
        <w:jc w:val="both"/>
        <w:rPr>
          <w:rFonts w:ascii="Palatino Linotype" w:eastAsia="Calibri" w:hAnsi="Palatino Linotype" w:cs="Arial"/>
          <w:b/>
        </w:rPr>
      </w:pPr>
      <w:r w:rsidRPr="00341003">
        <w:rPr>
          <w:rFonts w:ascii="Palatino Linotype" w:hAnsi="Palatino Linotype" w:cs="Arial"/>
          <w:b/>
          <w:color w:val="000000" w:themeColor="text1"/>
        </w:rPr>
        <w:t>Directorio de los Comités M</w:t>
      </w:r>
      <w:r w:rsidR="001F0B79" w:rsidRPr="00341003">
        <w:rPr>
          <w:rFonts w:ascii="Palatino Linotype" w:hAnsi="Palatino Linotype" w:cs="Arial"/>
          <w:b/>
          <w:color w:val="000000" w:themeColor="text1"/>
        </w:rPr>
        <w:t xml:space="preserve">unicipales </w:t>
      </w:r>
      <w:r w:rsidR="002C4316" w:rsidRPr="00341003">
        <w:rPr>
          <w:rFonts w:ascii="Palatino Linotype" w:hAnsi="Palatino Linotype" w:cs="Arial"/>
          <w:b/>
          <w:color w:val="000000" w:themeColor="text1"/>
        </w:rPr>
        <w:t xml:space="preserve">de </w:t>
      </w:r>
      <w:proofErr w:type="spellStart"/>
      <w:r w:rsidR="002C4316" w:rsidRPr="00341003">
        <w:rPr>
          <w:rFonts w:ascii="Palatino Linotype" w:eastAsia="MS Mincho" w:hAnsi="Palatino Linotype"/>
          <w:b/>
        </w:rPr>
        <w:t>Acambay</w:t>
      </w:r>
      <w:proofErr w:type="spellEnd"/>
      <w:r w:rsidR="002C4316" w:rsidRPr="00341003">
        <w:rPr>
          <w:rFonts w:ascii="Palatino Linotype" w:eastAsia="MS Mincho" w:hAnsi="Palatino Linotype"/>
          <w:b/>
        </w:rPr>
        <w:t xml:space="preserve">, Atlacomulco, El Oro, San Felipe del Progreso, </w:t>
      </w:r>
      <w:proofErr w:type="spellStart"/>
      <w:r w:rsidR="002C4316" w:rsidRPr="00341003">
        <w:rPr>
          <w:rFonts w:ascii="Palatino Linotype" w:eastAsia="MS Mincho" w:hAnsi="Palatino Linotype"/>
          <w:b/>
        </w:rPr>
        <w:t>Temascalcingo</w:t>
      </w:r>
      <w:proofErr w:type="spellEnd"/>
      <w:r w:rsidR="002C4316" w:rsidRPr="00341003">
        <w:rPr>
          <w:rFonts w:ascii="Palatino Linotype" w:eastAsia="MS Mincho" w:hAnsi="Palatino Linotype"/>
          <w:b/>
        </w:rPr>
        <w:t xml:space="preserve">, </w:t>
      </w:r>
      <w:proofErr w:type="spellStart"/>
      <w:r w:rsidR="002C4316" w:rsidRPr="00341003">
        <w:rPr>
          <w:rFonts w:ascii="Palatino Linotype" w:eastAsia="MS Mincho" w:hAnsi="Palatino Linotype"/>
          <w:b/>
        </w:rPr>
        <w:t>Jilotepec</w:t>
      </w:r>
      <w:proofErr w:type="spellEnd"/>
      <w:r w:rsidR="002C4316" w:rsidRPr="00341003">
        <w:rPr>
          <w:rFonts w:ascii="Palatino Linotype" w:eastAsia="MS Mincho" w:hAnsi="Palatino Linotype"/>
          <w:b/>
        </w:rPr>
        <w:t xml:space="preserve"> y </w:t>
      </w:r>
      <w:proofErr w:type="spellStart"/>
      <w:r w:rsidR="002C4316" w:rsidRPr="00341003">
        <w:rPr>
          <w:rFonts w:ascii="Palatino Linotype" w:eastAsia="MS Mincho" w:hAnsi="Palatino Linotype"/>
          <w:b/>
        </w:rPr>
        <w:t>Jocotitlán</w:t>
      </w:r>
      <w:proofErr w:type="spellEnd"/>
      <w:r w:rsidR="002C4316" w:rsidRPr="00341003">
        <w:rPr>
          <w:rFonts w:ascii="Palatino Linotype" w:eastAsia="MS Mincho" w:hAnsi="Palatino Linotype"/>
          <w:b/>
        </w:rPr>
        <w:t>.</w:t>
      </w:r>
    </w:p>
    <w:p w14:paraId="33639D82" w14:textId="3F7445C2" w:rsidR="005D3CE5" w:rsidRPr="00341003" w:rsidRDefault="005D3CE5" w:rsidP="00341003">
      <w:pPr>
        <w:spacing w:before="240" w:after="240" w:line="360" w:lineRule="auto"/>
        <w:ind w:right="49"/>
        <w:jc w:val="both"/>
        <w:rPr>
          <w:rFonts w:ascii="Palatino Linotype" w:eastAsia="Calibri" w:hAnsi="Palatino Linotype" w:cs="Arial"/>
          <w:lang w:val="es-ES"/>
        </w:rPr>
      </w:pPr>
      <w:r w:rsidRPr="0034100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341003">
        <w:rPr>
          <w:rFonts w:ascii="Palatino Linotype" w:eastAsia="Calibri" w:hAnsi="Palatino Linotype" w:cs="Arial"/>
        </w:rPr>
        <w:t xml:space="preserve">l soporte documental respectivo </w:t>
      </w:r>
      <w:r w:rsidRPr="00341003">
        <w:rPr>
          <w:rFonts w:ascii="Palatino Linotype" w:eastAsia="Calibri" w:hAnsi="Palatino Linotype" w:cs="Arial"/>
        </w:rPr>
        <w:t>objeto de las ver</w:t>
      </w:r>
      <w:r w:rsidR="00C3381E" w:rsidRPr="00341003">
        <w:rPr>
          <w:rFonts w:ascii="Palatino Linotype" w:eastAsia="Calibri" w:hAnsi="Palatino Linotype" w:cs="Arial"/>
        </w:rPr>
        <w:t xml:space="preserve">siones públicas que se formulen y se pongan a disposición del </w:t>
      </w:r>
      <w:r w:rsidR="00C3381E" w:rsidRPr="00341003">
        <w:rPr>
          <w:rFonts w:ascii="Palatino Linotype" w:eastAsia="Calibri" w:hAnsi="Palatino Linotype" w:cs="Arial"/>
          <w:b/>
        </w:rPr>
        <w:t>RECURRENTE.</w:t>
      </w:r>
    </w:p>
    <w:p w14:paraId="0F9E4172" w14:textId="77777777" w:rsidR="005D3CE5" w:rsidRPr="00341003" w:rsidRDefault="005D3CE5" w:rsidP="00341003">
      <w:pPr>
        <w:tabs>
          <w:tab w:val="left" w:pos="8080"/>
        </w:tabs>
        <w:spacing w:line="360" w:lineRule="auto"/>
        <w:ind w:right="49"/>
        <w:contextualSpacing/>
        <w:jc w:val="both"/>
        <w:rPr>
          <w:rFonts w:ascii="Palatino Linotype" w:eastAsia="Palatino Linotype" w:hAnsi="Palatino Linotype" w:cs="Palatino Linotype"/>
          <w:b/>
        </w:rPr>
      </w:pPr>
    </w:p>
    <w:p w14:paraId="45417540" w14:textId="77777777" w:rsidR="005D3CE5" w:rsidRPr="00341003" w:rsidRDefault="005D3CE5" w:rsidP="00341003">
      <w:pPr>
        <w:tabs>
          <w:tab w:val="left" w:pos="8080"/>
        </w:tabs>
        <w:spacing w:line="360" w:lineRule="auto"/>
        <w:ind w:right="49"/>
        <w:contextualSpacing/>
        <w:jc w:val="both"/>
        <w:rPr>
          <w:rFonts w:ascii="Palatino Linotype" w:eastAsia="Palatino Linotype" w:hAnsi="Palatino Linotype" w:cs="Palatino Linotype"/>
          <w:b/>
        </w:rPr>
      </w:pPr>
      <w:r w:rsidRPr="00341003">
        <w:rPr>
          <w:rFonts w:ascii="Palatino Linotype" w:eastAsia="Palatino Linotype" w:hAnsi="Palatino Linotype" w:cs="Palatino Linotype"/>
          <w:b/>
        </w:rPr>
        <w:t xml:space="preserve">TERCERO. Notifíquese </w:t>
      </w:r>
      <w:r w:rsidRPr="00341003">
        <w:rPr>
          <w:rFonts w:ascii="Palatino Linotype" w:eastAsia="Palatino Linotype" w:hAnsi="Palatino Linotype" w:cs="Palatino Linotype"/>
        </w:rPr>
        <w:t xml:space="preserve">al Titular de la Unidad de Transparencia del </w:t>
      </w:r>
      <w:r w:rsidRPr="00341003">
        <w:rPr>
          <w:rFonts w:ascii="Palatino Linotype" w:eastAsia="Palatino Linotype" w:hAnsi="Palatino Linotype" w:cs="Palatino Linotype"/>
          <w:b/>
        </w:rPr>
        <w:t>SUJETO OBLIGADO</w:t>
      </w:r>
      <w:r w:rsidRPr="0034100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4100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341003" w:rsidRDefault="005D3CE5" w:rsidP="00341003">
      <w:pPr>
        <w:tabs>
          <w:tab w:val="left" w:pos="8080"/>
        </w:tabs>
        <w:spacing w:line="360" w:lineRule="auto"/>
        <w:ind w:right="49"/>
        <w:contextualSpacing/>
        <w:jc w:val="both"/>
        <w:rPr>
          <w:rFonts w:ascii="Palatino Linotype" w:eastAsia="Palatino Linotype" w:hAnsi="Palatino Linotype" w:cs="Palatino Linotype"/>
          <w:b/>
        </w:rPr>
      </w:pPr>
      <w:r w:rsidRPr="00341003">
        <w:rPr>
          <w:rFonts w:ascii="Palatino Linotype" w:eastAsia="Palatino Linotype" w:hAnsi="Palatino Linotype" w:cs="Palatino Linotype"/>
          <w:b/>
        </w:rPr>
        <w:tab/>
      </w:r>
    </w:p>
    <w:p w14:paraId="45E5AC7A" w14:textId="068474F8" w:rsidR="005D3CE5" w:rsidRPr="00341003" w:rsidRDefault="005D3CE5" w:rsidP="00341003">
      <w:pPr>
        <w:shd w:val="clear" w:color="auto" w:fill="FFFFFF"/>
        <w:spacing w:line="360" w:lineRule="auto"/>
        <w:jc w:val="both"/>
        <w:rPr>
          <w:rFonts w:ascii="Palatino Linotype" w:hAnsi="Palatino Linotype"/>
        </w:rPr>
      </w:pPr>
      <w:r w:rsidRPr="00341003">
        <w:rPr>
          <w:rFonts w:ascii="Palatino Linotype" w:eastAsia="Times New Roman" w:hAnsi="Palatino Linotype" w:cs="Arial"/>
          <w:b/>
        </w:rPr>
        <w:t xml:space="preserve">CUARTO. </w:t>
      </w:r>
      <w:r w:rsidRPr="00341003">
        <w:rPr>
          <w:rFonts w:ascii="Palatino Linotype" w:eastAsia="Times New Roman" w:hAnsi="Palatino Linotype" w:cs="Times New Roman"/>
          <w:b/>
          <w:bCs/>
          <w:color w:val="222222"/>
          <w:lang w:val="es-ES"/>
        </w:rPr>
        <w:t>Notifíquese</w:t>
      </w:r>
      <w:r w:rsidRPr="00341003">
        <w:rPr>
          <w:rFonts w:ascii="Palatino Linotype" w:eastAsia="Times New Roman" w:hAnsi="Palatino Linotype" w:cs="Times New Roman"/>
          <w:bCs/>
          <w:color w:val="222222"/>
          <w:lang w:val="es-ES"/>
        </w:rPr>
        <w:t xml:space="preserve"> a</w:t>
      </w:r>
      <w:r w:rsidRPr="00341003">
        <w:rPr>
          <w:rFonts w:ascii="Palatino Linotype" w:hAnsi="Palatino Linotype"/>
          <w:b/>
        </w:rPr>
        <w:t xml:space="preserve"> </w:t>
      </w:r>
      <w:r w:rsidR="00B4639F" w:rsidRPr="00B4639F">
        <w:rPr>
          <w:rFonts w:ascii="Palatino Linotype" w:hAnsi="Palatino Linotype"/>
          <w:b/>
          <w:highlight w:val="black"/>
        </w:rPr>
        <w:t>--------------------------------------------</w:t>
      </w:r>
      <w:r w:rsidRPr="00341003">
        <w:rPr>
          <w:rFonts w:ascii="Palatino Linotype" w:hAnsi="Palatino Linotype"/>
        </w:rPr>
        <w:t xml:space="preserve"> la presente</w:t>
      </w:r>
      <w:r w:rsidR="006E6EFC" w:rsidRPr="00341003">
        <w:rPr>
          <w:rFonts w:ascii="Palatino Linotype" w:hAnsi="Palatino Linotype"/>
        </w:rPr>
        <w:t xml:space="preserve"> resolución.</w:t>
      </w:r>
    </w:p>
    <w:p w14:paraId="171692C6" w14:textId="77777777" w:rsidR="005D3CE5" w:rsidRPr="00341003" w:rsidRDefault="005D3CE5" w:rsidP="00341003">
      <w:pPr>
        <w:shd w:val="clear" w:color="auto" w:fill="FFFFFF"/>
        <w:spacing w:line="360" w:lineRule="auto"/>
        <w:jc w:val="both"/>
        <w:rPr>
          <w:rFonts w:ascii="Palatino Linotype" w:hAnsi="Palatino Linotype"/>
        </w:rPr>
      </w:pPr>
    </w:p>
    <w:p w14:paraId="58097039" w14:textId="29A9AEC7" w:rsidR="005D3CE5" w:rsidRDefault="005D3CE5" w:rsidP="00341003">
      <w:pPr>
        <w:spacing w:line="360" w:lineRule="auto"/>
        <w:jc w:val="both"/>
        <w:rPr>
          <w:rFonts w:ascii="Palatino Linotype" w:eastAsia="MS Mincho" w:hAnsi="Palatino Linotype" w:cs="Times New Roman"/>
          <w:lang w:val="es-ES"/>
        </w:rPr>
      </w:pPr>
      <w:r w:rsidRPr="00341003">
        <w:rPr>
          <w:rFonts w:ascii="Palatino Linotype" w:eastAsia="MS Mincho" w:hAnsi="Palatino Linotype" w:cs="Times New Roman"/>
          <w:b/>
          <w:lang w:val="es-MX"/>
        </w:rPr>
        <w:t>QUINTO.</w:t>
      </w:r>
      <w:r w:rsidRPr="00341003">
        <w:rPr>
          <w:rFonts w:ascii="Palatino Linotype" w:eastAsia="MS Mincho" w:hAnsi="Palatino Linotype" w:cs="Times New Roman"/>
          <w:lang w:val="es-MX"/>
        </w:rPr>
        <w:t xml:space="preserve"> </w:t>
      </w:r>
      <w:r w:rsidRPr="00341003">
        <w:rPr>
          <w:rFonts w:ascii="Palatino Linotype" w:eastAsia="MS Mincho" w:hAnsi="Palatino Linotype" w:cs="Times New Roman"/>
          <w:lang w:val="es-ES"/>
        </w:rPr>
        <w:t xml:space="preserve">Se hace del conocimiento de </w:t>
      </w:r>
      <w:r w:rsidR="00B4639F" w:rsidRPr="00B4639F">
        <w:rPr>
          <w:rFonts w:ascii="Palatino Linotype" w:hAnsi="Palatino Linotype"/>
          <w:b/>
          <w:highlight w:val="black"/>
        </w:rPr>
        <w:t>--------------------------------------------</w:t>
      </w:r>
      <w:r w:rsidR="002C4316" w:rsidRPr="00341003">
        <w:rPr>
          <w:rFonts w:ascii="Palatino Linotype" w:hAnsi="Palatino Linotype"/>
        </w:rPr>
        <w:t xml:space="preserve"> </w:t>
      </w:r>
      <w:r w:rsidRPr="0034100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41003">
        <w:rPr>
          <w:rFonts w:ascii="Palatino Linotype" w:eastAsia="MS Mincho" w:hAnsi="Palatino Linotype" w:cs="Times New Roman"/>
          <w:bCs/>
          <w:lang w:val="es-ES"/>
        </w:rPr>
        <w:t>vía juicio de amparo</w:t>
      </w:r>
      <w:r w:rsidRPr="00341003">
        <w:rPr>
          <w:rFonts w:ascii="Palatino Linotype" w:eastAsia="MS Mincho" w:hAnsi="Palatino Linotype" w:cs="Times New Roman"/>
          <w:lang w:val="es-ES"/>
        </w:rPr>
        <w:t xml:space="preserve"> en los términos de las leyes aplicables.</w:t>
      </w:r>
    </w:p>
    <w:p w14:paraId="26DE7245" w14:textId="77777777" w:rsidR="00773BCF" w:rsidRDefault="00773BCF" w:rsidP="00341003">
      <w:pPr>
        <w:spacing w:line="360" w:lineRule="auto"/>
        <w:jc w:val="both"/>
        <w:rPr>
          <w:rFonts w:ascii="Palatino Linotype" w:eastAsia="MS Mincho" w:hAnsi="Palatino Linotype" w:cs="Times New Roman"/>
          <w:lang w:val="es-ES"/>
        </w:rPr>
      </w:pPr>
    </w:p>
    <w:p w14:paraId="3ED27990" w14:textId="77777777" w:rsidR="00773BCF" w:rsidRPr="00341003" w:rsidRDefault="00773BCF" w:rsidP="00341003">
      <w:pPr>
        <w:spacing w:line="360" w:lineRule="auto"/>
        <w:jc w:val="both"/>
        <w:rPr>
          <w:rFonts w:ascii="Palatino Linotype" w:eastAsia="MS Mincho" w:hAnsi="Palatino Linotype" w:cs="Times New Roman"/>
          <w:lang w:val="es-ES"/>
        </w:rPr>
      </w:pPr>
    </w:p>
    <w:p w14:paraId="7D2320AE" w14:textId="77777777" w:rsidR="005D3CE5" w:rsidRPr="00341003" w:rsidRDefault="005D3CE5" w:rsidP="00341003">
      <w:pPr>
        <w:spacing w:line="360" w:lineRule="auto"/>
        <w:jc w:val="both"/>
        <w:rPr>
          <w:rFonts w:ascii="Palatino Linotype" w:eastAsia="MS Mincho" w:hAnsi="Palatino Linotype" w:cs="Times New Roman"/>
          <w:lang w:val="es-ES"/>
        </w:rPr>
      </w:pPr>
    </w:p>
    <w:p w14:paraId="47A9BB95" w14:textId="77777777" w:rsidR="005D3CE5" w:rsidRPr="00773BCF" w:rsidRDefault="005D3CE5" w:rsidP="00341003">
      <w:pPr>
        <w:spacing w:line="360" w:lineRule="auto"/>
        <w:jc w:val="both"/>
        <w:rPr>
          <w:rFonts w:ascii="Palatino Linotype" w:eastAsia="MS Mincho" w:hAnsi="Palatino Linotype" w:cs="Times New Roman"/>
        </w:rPr>
      </w:pPr>
      <w:r w:rsidRPr="00341003">
        <w:rPr>
          <w:rFonts w:ascii="Palatino Linotype" w:eastAsia="MS Mincho" w:hAnsi="Palatino Linotype" w:cs="Times New Roman"/>
          <w:b/>
        </w:rPr>
        <w:t xml:space="preserve">SEXTO. </w:t>
      </w:r>
      <w:r w:rsidRPr="0034100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773BCF">
        <w:rPr>
          <w:rFonts w:ascii="Palatino Linotype" w:eastAsia="MS Mincho" w:hAnsi="Palatino Linotype" w:cs="Times New Roman"/>
        </w:rPr>
        <w:t>determine lo conducente en términos del Considerando</w:t>
      </w:r>
      <w:r w:rsidRPr="00773BCF">
        <w:rPr>
          <w:rFonts w:ascii="Palatino Linotype" w:eastAsia="MS Mincho" w:hAnsi="Palatino Linotype" w:cs="Times New Roman"/>
          <w:b/>
        </w:rPr>
        <w:t xml:space="preserve"> SÉPTIMO</w:t>
      </w:r>
      <w:r w:rsidRPr="00773BCF">
        <w:rPr>
          <w:rFonts w:ascii="Palatino Linotype" w:eastAsia="MS Mincho" w:hAnsi="Palatino Linotype" w:cs="Times New Roman"/>
        </w:rPr>
        <w:t>.</w:t>
      </w:r>
    </w:p>
    <w:p w14:paraId="558E0D15" w14:textId="77777777" w:rsidR="005D3CE5" w:rsidRPr="00773BCF" w:rsidRDefault="005D3CE5" w:rsidP="00341003">
      <w:pPr>
        <w:spacing w:line="360" w:lineRule="auto"/>
        <w:jc w:val="both"/>
        <w:rPr>
          <w:rFonts w:ascii="Palatino Linotype" w:eastAsia="MS Mincho" w:hAnsi="Palatino Linotype" w:cs="Times New Roman"/>
          <w:lang w:val="es-ES"/>
        </w:rPr>
      </w:pPr>
    </w:p>
    <w:bookmarkEnd w:id="38"/>
    <w:p w14:paraId="663BC45B" w14:textId="72A8F43E" w:rsidR="009157E2" w:rsidRPr="00341003" w:rsidRDefault="009157E2" w:rsidP="00341003">
      <w:pPr>
        <w:tabs>
          <w:tab w:val="left" w:pos="0"/>
        </w:tabs>
        <w:spacing w:line="360" w:lineRule="auto"/>
        <w:ind w:right="49"/>
        <w:jc w:val="both"/>
        <w:rPr>
          <w:rFonts w:ascii="Palatino Linotype" w:hAnsi="Palatino Linotype" w:cs="Arial"/>
        </w:rPr>
      </w:pPr>
      <w:r w:rsidRPr="00773BCF">
        <w:rPr>
          <w:rFonts w:ascii="Palatino Linotype" w:hAnsi="Palatino Linotype" w:cs="Arial"/>
        </w:rPr>
        <w:t>ASÍ LO RESUELVE, POR UNANIMIDAD DE VOTOS, EL PLENO DEL</w:t>
      </w:r>
      <w:r w:rsidRPr="00773BCF">
        <w:rPr>
          <w:rFonts w:ascii="Palatino Linotype" w:eastAsia="Arial Unicode MS" w:hAnsi="Palatino Linotype" w:cs="Arial"/>
        </w:rPr>
        <w:t xml:space="preserve"> INSTITUTO DE TRANSPARENCIA, ACCESO A LA INFORMACIÓN PÚBLICA Y PROTECCIÓN DE DATOS PERSONALES DEL ESTADO DE MÉXICO Y MUNICIPIOS</w:t>
      </w:r>
      <w:r w:rsidRPr="00773BCF">
        <w:rPr>
          <w:rFonts w:ascii="Palatino Linotype" w:hAnsi="Palatino Linotype" w:cs="Arial"/>
        </w:rPr>
        <w:t xml:space="preserve">, CONFORMADO POR LOS COMISIONADOS ZULEMA MARTÍNEZ </w:t>
      </w:r>
      <w:r w:rsidR="00D70F0E" w:rsidRPr="00773BCF">
        <w:rPr>
          <w:rFonts w:ascii="Palatino Linotype" w:hAnsi="Palatino Linotype" w:cs="Arial"/>
        </w:rPr>
        <w:t>SÁNCHEZ; EVA ABAID YAPUR; JOSÉ GUADALUPE LUNA HERNÁNDEZ; JAVIER MARTÍNEZ</w:t>
      </w:r>
      <w:r w:rsidR="00773BCF">
        <w:rPr>
          <w:rFonts w:ascii="Palatino Linotype" w:hAnsi="Palatino Linotype" w:cs="Arial"/>
        </w:rPr>
        <w:t xml:space="preserve"> CRUZ</w:t>
      </w:r>
      <w:r w:rsidR="00D70F0E" w:rsidRPr="00773BCF">
        <w:rPr>
          <w:rFonts w:ascii="Palatino Linotype" w:hAnsi="Palatino Linotype" w:cs="Arial"/>
        </w:rPr>
        <w:t xml:space="preserve"> Y LUIS GUSTAVO PARRA NORIEGA</w:t>
      </w:r>
      <w:r w:rsidR="00A345A3" w:rsidRPr="00773BCF">
        <w:rPr>
          <w:rFonts w:ascii="Palatino Linotype" w:hAnsi="Palatino Linotype" w:cs="Arial"/>
        </w:rPr>
        <w:t xml:space="preserve">; EN LA </w:t>
      </w:r>
      <w:r w:rsidR="00773BCF" w:rsidRPr="00773BCF">
        <w:rPr>
          <w:rFonts w:ascii="Palatino Linotype" w:hAnsi="Palatino Linotype" w:cs="Arial"/>
        </w:rPr>
        <w:t>VIGÉSIMA</w:t>
      </w:r>
      <w:r w:rsidR="002C4316" w:rsidRPr="00773BCF">
        <w:rPr>
          <w:rFonts w:ascii="Palatino Linotype" w:hAnsi="Palatino Linotype" w:cs="Arial"/>
        </w:rPr>
        <w:t xml:space="preserve"> CUARTA</w:t>
      </w:r>
      <w:r w:rsidR="00D70F0E" w:rsidRPr="00773BCF">
        <w:rPr>
          <w:rFonts w:ascii="Palatino Linotype" w:hAnsi="Palatino Linotype" w:cs="Arial"/>
        </w:rPr>
        <w:t xml:space="preserve"> SESIÓN </w:t>
      </w:r>
      <w:r w:rsidR="00A345A3" w:rsidRPr="00773BCF">
        <w:rPr>
          <w:rFonts w:ascii="Palatino Linotype" w:hAnsi="Palatino Linotype" w:cs="Arial"/>
        </w:rPr>
        <w:t xml:space="preserve">ORDINARIA CELEBRADA EL </w:t>
      </w:r>
      <w:r w:rsidR="00773BCF" w:rsidRPr="00773BCF">
        <w:rPr>
          <w:rFonts w:ascii="Palatino Linotype" w:hAnsi="Palatino Linotype" w:cs="Arial"/>
        </w:rPr>
        <w:t>VEINTISÉIS</w:t>
      </w:r>
      <w:r w:rsidR="00F77BB6" w:rsidRPr="00773BCF">
        <w:rPr>
          <w:rFonts w:ascii="Palatino Linotype" w:hAnsi="Palatino Linotype" w:cs="Arial"/>
        </w:rPr>
        <w:t xml:space="preserve"> DE </w:t>
      </w:r>
      <w:r w:rsidR="002C4316" w:rsidRPr="00773BCF">
        <w:rPr>
          <w:rFonts w:ascii="Palatino Linotype" w:hAnsi="Palatino Linotype" w:cs="Arial"/>
        </w:rPr>
        <w:t>JUNIO</w:t>
      </w:r>
      <w:r w:rsidR="00D70F0E" w:rsidRPr="00773BCF">
        <w:rPr>
          <w:rFonts w:ascii="Palatino Linotype" w:hAnsi="Palatino Linotype" w:cs="Arial"/>
        </w:rPr>
        <w:t xml:space="preserve"> DE DOS MIL DIECINUEVE, ANTE EL SECRETARIO TÉCNICO </w:t>
      </w:r>
      <w:r w:rsidRPr="00773BCF">
        <w:rPr>
          <w:rFonts w:ascii="Palatino Linotype" w:hAnsi="Palatino Linotype" w:cs="Arial"/>
        </w:rPr>
        <w:t xml:space="preserve">DEL PLENO, </w:t>
      </w:r>
      <w:r w:rsidRPr="00773BCF">
        <w:rPr>
          <w:rFonts w:ascii="Palatino Linotype" w:hAnsi="Palatino Linotype"/>
        </w:rPr>
        <w:t>ALEXIS TAPIA RAMÍREZ</w:t>
      </w:r>
      <w:r w:rsidRPr="00773BCF">
        <w:rPr>
          <w:rFonts w:ascii="Palatino Linotype" w:hAnsi="Palatino Linotype" w:cs="Arial"/>
        </w:rPr>
        <w:t>.</w:t>
      </w:r>
    </w:p>
    <w:p w14:paraId="2102BBB0" w14:textId="77777777" w:rsidR="002C4316" w:rsidRPr="00341003" w:rsidRDefault="002C4316" w:rsidP="00341003">
      <w:pPr>
        <w:tabs>
          <w:tab w:val="left" w:pos="0"/>
        </w:tabs>
        <w:spacing w:line="360" w:lineRule="auto"/>
        <w:ind w:right="49"/>
        <w:jc w:val="both"/>
        <w:rPr>
          <w:rFonts w:ascii="Palatino Linotype" w:hAnsi="Palatino Linotype" w:cs="Arial"/>
        </w:rPr>
      </w:pPr>
    </w:p>
    <w:p w14:paraId="00E70869" w14:textId="77777777" w:rsidR="002C4316" w:rsidRPr="00341003" w:rsidRDefault="002C4316" w:rsidP="00341003">
      <w:pPr>
        <w:tabs>
          <w:tab w:val="left" w:pos="0"/>
        </w:tabs>
        <w:spacing w:line="360" w:lineRule="auto"/>
        <w:ind w:right="49"/>
        <w:jc w:val="both"/>
        <w:rPr>
          <w:rFonts w:ascii="Palatino Linotype" w:hAnsi="Palatino Linotype" w:cs="Arial"/>
        </w:rPr>
      </w:pPr>
    </w:p>
    <w:p w14:paraId="0AC8C9DF" w14:textId="77777777" w:rsidR="002C4316" w:rsidRPr="00341003" w:rsidRDefault="002C4316" w:rsidP="0034100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41003" w14:paraId="605AB817" w14:textId="77777777" w:rsidTr="00E45562">
        <w:trPr>
          <w:jc w:val="center"/>
        </w:trPr>
        <w:tc>
          <w:tcPr>
            <w:tcW w:w="9918" w:type="dxa"/>
            <w:gridSpan w:val="2"/>
          </w:tcPr>
          <w:p w14:paraId="089F96A1" w14:textId="77777777" w:rsidR="009157E2" w:rsidRPr="00341003" w:rsidRDefault="009157E2" w:rsidP="00773BCF">
            <w:pPr>
              <w:tabs>
                <w:tab w:val="left" w:pos="0"/>
              </w:tabs>
              <w:spacing w:line="360" w:lineRule="auto"/>
              <w:rPr>
                <w:rFonts w:ascii="Palatino Linotype" w:hAnsi="Palatino Linotype" w:cs="Arial"/>
                <w:b/>
              </w:rPr>
            </w:pPr>
          </w:p>
          <w:p w14:paraId="6D624526"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Zulema Martínez Sánchez</w:t>
            </w:r>
          </w:p>
          <w:p w14:paraId="6E03B884"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rPr>
              <w:t>Comisionada Presidenta</w:t>
            </w:r>
          </w:p>
          <w:p w14:paraId="1FCA8795" w14:textId="498EACE3"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(R</w:t>
            </w:r>
            <w:r w:rsidR="0073321B" w:rsidRPr="00341003">
              <w:rPr>
                <w:rFonts w:ascii="Palatino Linotype" w:hAnsi="Palatino Linotype" w:cs="Arial"/>
                <w:b/>
              </w:rPr>
              <w:t>úbrica</w:t>
            </w:r>
            <w:r w:rsidRPr="00341003">
              <w:rPr>
                <w:rFonts w:ascii="Palatino Linotype" w:hAnsi="Palatino Linotype" w:cs="Arial"/>
                <w:b/>
              </w:rPr>
              <w:t xml:space="preserve">) </w:t>
            </w:r>
          </w:p>
          <w:p w14:paraId="57B943C3" w14:textId="77777777" w:rsidR="009157E2" w:rsidRPr="00341003" w:rsidRDefault="009157E2" w:rsidP="00341003">
            <w:pPr>
              <w:tabs>
                <w:tab w:val="left" w:pos="0"/>
              </w:tabs>
              <w:spacing w:line="360" w:lineRule="auto"/>
              <w:rPr>
                <w:rFonts w:ascii="Palatino Linotype" w:hAnsi="Palatino Linotype" w:cs="Arial"/>
                <w:b/>
              </w:rPr>
            </w:pPr>
          </w:p>
          <w:p w14:paraId="3E4753DF" w14:textId="77777777" w:rsidR="009157E2" w:rsidRPr="00341003" w:rsidRDefault="009157E2" w:rsidP="00341003">
            <w:pPr>
              <w:tabs>
                <w:tab w:val="left" w:pos="0"/>
              </w:tabs>
              <w:spacing w:line="360" w:lineRule="auto"/>
              <w:jc w:val="center"/>
              <w:rPr>
                <w:rFonts w:ascii="Palatino Linotype" w:hAnsi="Palatino Linotype" w:cs="Arial"/>
                <w:b/>
              </w:rPr>
            </w:pPr>
          </w:p>
          <w:p w14:paraId="79698686" w14:textId="77777777" w:rsidR="00F77BB6" w:rsidRPr="00341003" w:rsidRDefault="00F77BB6" w:rsidP="00341003">
            <w:pPr>
              <w:tabs>
                <w:tab w:val="left" w:pos="0"/>
              </w:tabs>
              <w:spacing w:line="360" w:lineRule="auto"/>
              <w:jc w:val="center"/>
              <w:rPr>
                <w:rFonts w:ascii="Palatino Linotype" w:hAnsi="Palatino Linotype" w:cs="Arial"/>
                <w:b/>
              </w:rPr>
            </w:pPr>
          </w:p>
        </w:tc>
      </w:tr>
      <w:tr w:rsidR="009157E2" w:rsidRPr="00341003" w14:paraId="50EE6E98" w14:textId="77777777" w:rsidTr="00E45562">
        <w:trPr>
          <w:jc w:val="center"/>
        </w:trPr>
        <w:tc>
          <w:tcPr>
            <w:tcW w:w="4905" w:type="dxa"/>
          </w:tcPr>
          <w:p w14:paraId="7E92E50F" w14:textId="77777777" w:rsidR="00E45562" w:rsidRPr="00341003" w:rsidRDefault="00E45562" w:rsidP="00341003">
            <w:pPr>
              <w:tabs>
                <w:tab w:val="left" w:pos="0"/>
              </w:tabs>
              <w:spacing w:line="360" w:lineRule="auto"/>
              <w:rPr>
                <w:rFonts w:ascii="Palatino Linotype" w:hAnsi="Palatino Linotype" w:cs="Arial"/>
                <w:b/>
              </w:rPr>
            </w:pPr>
          </w:p>
          <w:p w14:paraId="13553C79"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 xml:space="preserve">Eva </w:t>
            </w:r>
            <w:proofErr w:type="spellStart"/>
            <w:r w:rsidRPr="00341003">
              <w:rPr>
                <w:rFonts w:ascii="Palatino Linotype" w:hAnsi="Palatino Linotype" w:cs="Arial"/>
                <w:b/>
              </w:rPr>
              <w:t>Abaid</w:t>
            </w:r>
            <w:proofErr w:type="spellEnd"/>
            <w:r w:rsidRPr="00341003">
              <w:rPr>
                <w:rFonts w:ascii="Palatino Linotype" w:hAnsi="Palatino Linotype" w:cs="Arial"/>
                <w:b/>
              </w:rPr>
              <w:t xml:space="preserve"> </w:t>
            </w:r>
            <w:proofErr w:type="spellStart"/>
            <w:r w:rsidRPr="00341003">
              <w:rPr>
                <w:rFonts w:ascii="Palatino Linotype" w:hAnsi="Palatino Linotype" w:cs="Arial"/>
                <w:b/>
              </w:rPr>
              <w:t>Yapur</w:t>
            </w:r>
            <w:proofErr w:type="spellEnd"/>
          </w:p>
          <w:p w14:paraId="47FDB9EF" w14:textId="77777777" w:rsidR="009157E2" w:rsidRPr="00341003" w:rsidRDefault="009157E2" w:rsidP="00341003">
            <w:pPr>
              <w:tabs>
                <w:tab w:val="left" w:pos="0"/>
              </w:tabs>
              <w:spacing w:line="360" w:lineRule="auto"/>
              <w:jc w:val="center"/>
              <w:rPr>
                <w:rFonts w:ascii="Palatino Linotype" w:hAnsi="Palatino Linotype" w:cs="Arial"/>
              </w:rPr>
            </w:pPr>
            <w:r w:rsidRPr="00341003">
              <w:rPr>
                <w:rFonts w:ascii="Palatino Linotype" w:hAnsi="Palatino Linotype" w:cs="Arial"/>
              </w:rPr>
              <w:t>Comisionada</w:t>
            </w:r>
          </w:p>
          <w:p w14:paraId="6BD2E6B4" w14:textId="0F990A2D" w:rsidR="009157E2" w:rsidRPr="00341003" w:rsidRDefault="0073321B"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(Rúbrica</w:t>
            </w:r>
            <w:r w:rsidR="009157E2" w:rsidRPr="00341003">
              <w:rPr>
                <w:rFonts w:ascii="Palatino Linotype" w:hAnsi="Palatino Linotype" w:cs="Arial"/>
                <w:b/>
              </w:rPr>
              <w:t>)</w:t>
            </w:r>
          </w:p>
        </w:tc>
        <w:tc>
          <w:tcPr>
            <w:tcW w:w="5013" w:type="dxa"/>
          </w:tcPr>
          <w:p w14:paraId="0A162630" w14:textId="77777777" w:rsidR="00E45562" w:rsidRPr="00341003" w:rsidRDefault="00E45562" w:rsidP="00341003">
            <w:pPr>
              <w:tabs>
                <w:tab w:val="left" w:pos="0"/>
              </w:tabs>
              <w:spacing w:line="360" w:lineRule="auto"/>
              <w:rPr>
                <w:rFonts w:ascii="Palatino Linotype" w:hAnsi="Palatino Linotype" w:cs="Arial"/>
                <w:b/>
              </w:rPr>
            </w:pPr>
          </w:p>
          <w:p w14:paraId="14E98247"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José Guadalupe Luna Hernández</w:t>
            </w:r>
          </w:p>
          <w:p w14:paraId="5D378D12" w14:textId="77777777" w:rsidR="009157E2" w:rsidRPr="00341003" w:rsidRDefault="009157E2" w:rsidP="00341003">
            <w:pPr>
              <w:tabs>
                <w:tab w:val="left" w:pos="0"/>
              </w:tabs>
              <w:spacing w:line="360" w:lineRule="auto"/>
              <w:jc w:val="center"/>
              <w:rPr>
                <w:rFonts w:ascii="Palatino Linotype" w:hAnsi="Palatino Linotype" w:cs="Arial"/>
              </w:rPr>
            </w:pPr>
            <w:r w:rsidRPr="00341003">
              <w:rPr>
                <w:rFonts w:ascii="Palatino Linotype" w:hAnsi="Palatino Linotype" w:cs="Arial"/>
              </w:rPr>
              <w:t>Comisionado</w:t>
            </w:r>
          </w:p>
          <w:p w14:paraId="372BDCFB" w14:textId="00E7A113" w:rsidR="009157E2" w:rsidRPr="00341003" w:rsidRDefault="0073321B"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(Rúbrica</w:t>
            </w:r>
            <w:r w:rsidR="009157E2" w:rsidRPr="00341003">
              <w:rPr>
                <w:rFonts w:ascii="Palatino Linotype" w:hAnsi="Palatino Linotype" w:cs="Arial"/>
                <w:b/>
              </w:rPr>
              <w:t>)</w:t>
            </w:r>
          </w:p>
          <w:p w14:paraId="28C9632D" w14:textId="77777777" w:rsidR="009157E2" w:rsidRPr="00341003" w:rsidRDefault="009157E2" w:rsidP="00341003">
            <w:pPr>
              <w:tabs>
                <w:tab w:val="left" w:pos="0"/>
              </w:tabs>
              <w:spacing w:line="360" w:lineRule="auto"/>
              <w:jc w:val="center"/>
              <w:rPr>
                <w:rFonts w:ascii="Palatino Linotype" w:hAnsi="Palatino Linotype" w:cs="Arial"/>
                <w:b/>
              </w:rPr>
            </w:pPr>
          </w:p>
        </w:tc>
      </w:tr>
      <w:tr w:rsidR="009157E2" w:rsidRPr="00341003" w14:paraId="4B3FD288" w14:textId="77777777" w:rsidTr="00E45562">
        <w:trPr>
          <w:jc w:val="center"/>
        </w:trPr>
        <w:tc>
          <w:tcPr>
            <w:tcW w:w="4905" w:type="dxa"/>
          </w:tcPr>
          <w:p w14:paraId="2B3C66FE" w14:textId="77777777" w:rsidR="007003BF" w:rsidRPr="00341003" w:rsidRDefault="007003BF" w:rsidP="00773BCF">
            <w:pPr>
              <w:tabs>
                <w:tab w:val="left" w:pos="0"/>
              </w:tabs>
              <w:spacing w:line="360" w:lineRule="auto"/>
              <w:rPr>
                <w:rFonts w:ascii="Palatino Linotype" w:hAnsi="Palatino Linotype" w:cs="Arial"/>
                <w:b/>
              </w:rPr>
            </w:pPr>
          </w:p>
          <w:p w14:paraId="783A1423"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Javier Martínez Cruz</w:t>
            </w:r>
          </w:p>
          <w:p w14:paraId="672380BE" w14:textId="77777777" w:rsidR="009157E2" w:rsidRPr="00341003" w:rsidRDefault="009157E2" w:rsidP="00341003">
            <w:pPr>
              <w:tabs>
                <w:tab w:val="left" w:pos="0"/>
              </w:tabs>
              <w:spacing w:line="360" w:lineRule="auto"/>
              <w:jc w:val="center"/>
              <w:rPr>
                <w:rFonts w:ascii="Palatino Linotype" w:hAnsi="Palatino Linotype" w:cs="Arial"/>
              </w:rPr>
            </w:pPr>
            <w:r w:rsidRPr="00341003">
              <w:rPr>
                <w:rFonts w:ascii="Palatino Linotype" w:hAnsi="Palatino Linotype" w:cs="Arial"/>
              </w:rPr>
              <w:t>Comisionado</w:t>
            </w:r>
          </w:p>
          <w:p w14:paraId="580EE6F1" w14:textId="2746EC1C" w:rsidR="009157E2" w:rsidRPr="00341003" w:rsidRDefault="0073321B"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(Rúbrica</w:t>
            </w:r>
            <w:r w:rsidR="009157E2" w:rsidRPr="00341003">
              <w:rPr>
                <w:rFonts w:ascii="Palatino Linotype" w:hAnsi="Palatino Linotype" w:cs="Arial"/>
                <w:b/>
              </w:rPr>
              <w:t>)</w:t>
            </w:r>
          </w:p>
        </w:tc>
        <w:tc>
          <w:tcPr>
            <w:tcW w:w="5013" w:type="dxa"/>
          </w:tcPr>
          <w:p w14:paraId="2FF9C536" w14:textId="77777777" w:rsidR="007003BF" w:rsidRPr="00341003" w:rsidRDefault="007003BF" w:rsidP="00773BCF">
            <w:pPr>
              <w:tabs>
                <w:tab w:val="left" w:pos="0"/>
              </w:tabs>
              <w:spacing w:line="360" w:lineRule="auto"/>
              <w:rPr>
                <w:rFonts w:ascii="Palatino Linotype" w:hAnsi="Palatino Linotype" w:cs="Arial"/>
                <w:b/>
              </w:rPr>
            </w:pPr>
          </w:p>
          <w:p w14:paraId="00338DFF"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Luis Gustavo Parra Noriega</w:t>
            </w:r>
          </w:p>
          <w:p w14:paraId="54DB2582" w14:textId="77777777" w:rsidR="009157E2" w:rsidRPr="00341003" w:rsidRDefault="009157E2" w:rsidP="00341003">
            <w:pPr>
              <w:tabs>
                <w:tab w:val="left" w:pos="0"/>
              </w:tabs>
              <w:spacing w:line="360" w:lineRule="auto"/>
              <w:jc w:val="center"/>
              <w:rPr>
                <w:rFonts w:ascii="Palatino Linotype" w:hAnsi="Palatino Linotype" w:cs="Arial"/>
              </w:rPr>
            </w:pPr>
            <w:r w:rsidRPr="00341003">
              <w:rPr>
                <w:rFonts w:ascii="Palatino Linotype" w:hAnsi="Palatino Linotype" w:cs="Arial"/>
              </w:rPr>
              <w:t>Comisionado</w:t>
            </w:r>
          </w:p>
          <w:p w14:paraId="763ADD11" w14:textId="72A22EEA" w:rsidR="009157E2" w:rsidRPr="00341003" w:rsidRDefault="0073321B"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(Rúbrica</w:t>
            </w:r>
            <w:r w:rsidR="009157E2" w:rsidRPr="00341003">
              <w:rPr>
                <w:rFonts w:ascii="Palatino Linotype" w:hAnsi="Palatino Linotype" w:cs="Arial"/>
                <w:b/>
              </w:rPr>
              <w:t>)</w:t>
            </w:r>
          </w:p>
        </w:tc>
      </w:tr>
      <w:tr w:rsidR="009157E2" w:rsidRPr="00341003" w14:paraId="65A2A8C5" w14:textId="77777777" w:rsidTr="00E45562">
        <w:trPr>
          <w:jc w:val="center"/>
        </w:trPr>
        <w:tc>
          <w:tcPr>
            <w:tcW w:w="9918" w:type="dxa"/>
            <w:gridSpan w:val="2"/>
          </w:tcPr>
          <w:p w14:paraId="6A7C80E6" w14:textId="77777777" w:rsidR="009157E2" w:rsidRPr="00341003" w:rsidRDefault="009157E2" w:rsidP="00341003">
            <w:pPr>
              <w:tabs>
                <w:tab w:val="left" w:pos="0"/>
              </w:tabs>
              <w:spacing w:line="360" w:lineRule="auto"/>
              <w:jc w:val="center"/>
              <w:rPr>
                <w:rFonts w:ascii="Palatino Linotype" w:hAnsi="Palatino Linotype" w:cs="Arial"/>
                <w:b/>
              </w:rPr>
            </w:pPr>
          </w:p>
          <w:p w14:paraId="6B8808CC" w14:textId="77777777" w:rsidR="00166F03" w:rsidRPr="00341003" w:rsidRDefault="00166F03" w:rsidP="00773BCF">
            <w:pPr>
              <w:tabs>
                <w:tab w:val="left" w:pos="0"/>
              </w:tabs>
              <w:spacing w:line="360" w:lineRule="auto"/>
              <w:rPr>
                <w:rFonts w:ascii="Palatino Linotype" w:hAnsi="Palatino Linotype" w:cs="Arial"/>
                <w:b/>
              </w:rPr>
            </w:pPr>
          </w:p>
          <w:p w14:paraId="0D246BC2" w14:textId="77777777" w:rsidR="009157E2" w:rsidRPr="00341003" w:rsidRDefault="009157E2" w:rsidP="00341003">
            <w:pPr>
              <w:tabs>
                <w:tab w:val="left" w:pos="0"/>
              </w:tabs>
              <w:spacing w:line="360" w:lineRule="auto"/>
              <w:jc w:val="center"/>
              <w:rPr>
                <w:rFonts w:ascii="Palatino Linotype" w:hAnsi="Palatino Linotype" w:cs="Arial"/>
                <w:b/>
              </w:rPr>
            </w:pPr>
            <w:r w:rsidRPr="00341003">
              <w:rPr>
                <w:rFonts w:ascii="Palatino Linotype" w:hAnsi="Palatino Linotype" w:cs="Arial"/>
                <w:b/>
              </w:rPr>
              <w:t>Alexis Tapia Ramírez</w:t>
            </w:r>
          </w:p>
          <w:p w14:paraId="4946B270" w14:textId="77777777" w:rsidR="009157E2" w:rsidRPr="00341003" w:rsidRDefault="009157E2" w:rsidP="00341003">
            <w:pPr>
              <w:tabs>
                <w:tab w:val="left" w:pos="0"/>
              </w:tabs>
              <w:spacing w:line="360" w:lineRule="auto"/>
              <w:jc w:val="center"/>
              <w:rPr>
                <w:rFonts w:ascii="Palatino Linotype" w:hAnsi="Palatino Linotype" w:cs="Arial"/>
              </w:rPr>
            </w:pPr>
            <w:r w:rsidRPr="00341003">
              <w:rPr>
                <w:rFonts w:ascii="Palatino Linotype" w:hAnsi="Palatino Linotype" w:cs="Arial"/>
              </w:rPr>
              <w:t>Secretario Técnico del Pleno</w:t>
            </w:r>
          </w:p>
          <w:p w14:paraId="38385F09" w14:textId="56AED240" w:rsidR="00E45562" w:rsidRPr="00341003" w:rsidRDefault="0073321B" w:rsidP="00773BCF">
            <w:pPr>
              <w:tabs>
                <w:tab w:val="left" w:pos="0"/>
              </w:tabs>
              <w:spacing w:line="360" w:lineRule="auto"/>
              <w:jc w:val="center"/>
              <w:rPr>
                <w:rFonts w:ascii="Palatino Linotype" w:hAnsi="Palatino Linotype" w:cs="Arial"/>
                <w:b/>
              </w:rPr>
            </w:pPr>
            <w:r w:rsidRPr="00341003">
              <w:rPr>
                <w:rFonts w:ascii="Palatino Linotype" w:hAnsi="Palatino Linotype" w:cs="Arial"/>
                <w:b/>
              </w:rPr>
              <w:t>(Rúbrica</w:t>
            </w:r>
            <w:r w:rsidR="009157E2" w:rsidRPr="00341003">
              <w:rPr>
                <w:rFonts w:ascii="Palatino Linotype" w:hAnsi="Palatino Linotype" w:cs="Arial"/>
                <w:b/>
              </w:rPr>
              <w:t>)</w:t>
            </w:r>
          </w:p>
        </w:tc>
      </w:tr>
    </w:tbl>
    <w:p w14:paraId="750D3315" w14:textId="77777777" w:rsidR="00DB6374" w:rsidRPr="00341003" w:rsidRDefault="00DB6374" w:rsidP="00341003">
      <w:pPr>
        <w:tabs>
          <w:tab w:val="left" w:pos="0"/>
        </w:tabs>
        <w:spacing w:line="360" w:lineRule="auto"/>
        <w:jc w:val="both"/>
        <w:rPr>
          <w:rFonts w:ascii="Palatino Linotype" w:hAnsi="Palatino Linotype" w:cs="Arial"/>
        </w:rPr>
      </w:pPr>
    </w:p>
    <w:p w14:paraId="24986A6A" w14:textId="11C8396D" w:rsidR="00E45562" w:rsidRPr="00341003" w:rsidRDefault="009157E2" w:rsidP="00341003">
      <w:pPr>
        <w:tabs>
          <w:tab w:val="left" w:pos="0"/>
        </w:tabs>
        <w:spacing w:line="360" w:lineRule="auto"/>
        <w:jc w:val="both"/>
        <w:rPr>
          <w:rFonts w:ascii="Palatino Linotype" w:hAnsi="Palatino Linotype" w:cs="Arial"/>
          <w:i/>
        </w:rPr>
      </w:pPr>
      <w:r w:rsidRPr="00773BCF">
        <w:rPr>
          <w:rFonts w:ascii="Palatino Linotype" w:hAnsi="Palatino Linotype" w:cs="Arial"/>
        </w:rPr>
        <w:t xml:space="preserve">Esta hoja corresponde a la resolución de fecha </w:t>
      </w:r>
      <w:r w:rsidR="00DB6374" w:rsidRPr="00773BCF">
        <w:rPr>
          <w:rFonts w:ascii="Palatino Linotype" w:hAnsi="Palatino Linotype" w:cs="Arial"/>
        </w:rPr>
        <w:t>veinti</w:t>
      </w:r>
      <w:r w:rsidR="002C4316" w:rsidRPr="00773BCF">
        <w:rPr>
          <w:rFonts w:ascii="Palatino Linotype" w:hAnsi="Palatino Linotype" w:cs="Arial"/>
        </w:rPr>
        <w:t>séis</w:t>
      </w:r>
      <w:r w:rsidR="00A82CBB" w:rsidRPr="00773BCF">
        <w:rPr>
          <w:rFonts w:ascii="Palatino Linotype" w:hAnsi="Palatino Linotype" w:cs="Arial"/>
        </w:rPr>
        <w:t xml:space="preserve"> </w:t>
      </w:r>
      <w:r w:rsidR="00137045" w:rsidRPr="00773BCF">
        <w:rPr>
          <w:rFonts w:ascii="Palatino Linotype" w:hAnsi="Palatino Linotype" w:cs="Arial"/>
        </w:rPr>
        <w:t>(</w:t>
      </w:r>
      <w:r w:rsidR="00DB6374" w:rsidRPr="00773BCF">
        <w:rPr>
          <w:rFonts w:ascii="Palatino Linotype" w:hAnsi="Palatino Linotype" w:cs="Arial"/>
        </w:rPr>
        <w:t>2</w:t>
      </w:r>
      <w:r w:rsidR="002C4316" w:rsidRPr="00773BCF">
        <w:rPr>
          <w:rFonts w:ascii="Palatino Linotype" w:hAnsi="Palatino Linotype" w:cs="Arial"/>
        </w:rPr>
        <w:t>6</w:t>
      </w:r>
      <w:r w:rsidR="00137045" w:rsidRPr="00773BCF">
        <w:rPr>
          <w:rFonts w:ascii="Palatino Linotype" w:hAnsi="Palatino Linotype" w:cs="Arial"/>
        </w:rPr>
        <w:t xml:space="preserve">) </w:t>
      </w:r>
      <w:r w:rsidR="00A82CBB" w:rsidRPr="00773BCF">
        <w:rPr>
          <w:rFonts w:ascii="Palatino Linotype" w:hAnsi="Palatino Linotype" w:cs="Arial"/>
        </w:rPr>
        <w:t xml:space="preserve">de </w:t>
      </w:r>
      <w:r w:rsidR="002C4316" w:rsidRPr="00773BCF">
        <w:rPr>
          <w:rFonts w:ascii="Palatino Linotype" w:hAnsi="Palatino Linotype" w:cs="Arial"/>
        </w:rPr>
        <w:t>junio</w:t>
      </w:r>
      <w:r w:rsidR="00A82CBB" w:rsidRPr="00773BCF">
        <w:rPr>
          <w:rFonts w:ascii="Palatino Linotype" w:hAnsi="Palatino Linotype" w:cs="Arial"/>
        </w:rPr>
        <w:t xml:space="preserve"> de dos mil diecinueve</w:t>
      </w:r>
      <w:r w:rsidRPr="00773BCF">
        <w:rPr>
          <w:rFonts w:ascii="Palatino Linotype" w:hAnsi="Palatino Linotype" w:cs="Arial"/>
        </w:rPr>
        <w:t xml:space="preserve">, emitida en </w:t>
      </w:r>
      <w:bookmarkStart w:id="90" w:name="_GoBack"/>
      <w:bookmarkEnd w:id="90"/>
      <w:r w:rsidRPr="00773BCF">
        <w:rPr>
          <w:rFonts w:ascii="Palatino Linotype" w:hAnsi="Palatino Linotype" w:cs="Arial"/>
        </w:rPr>
        <w:t xml:space="preserve">el recurso de revisión </w:t>
      </w:r>
      <w:r w:rsidRPr="00773BCF">
        <w:rPr>
          <w:rFonts w:ascii="Palatino Linotype" w:hAnsi="Palatino Linotype" w:cs="Arial"/>
          <w:b/>
          <w:bCs/>
        </w:rPr>
        <w:t>0</w:t>
      </w:r>
      <w:r w:rsidR="002C4316" w:rsidRPr="00773BCF">
        <w:rPr>
          <w:rFonts w:ascii="Palatino Linotype" w:hAnsi="Palatino Linotype" w:cs="Arial"/>
          <w:b/>
          <w:bCs/>
        </w:rPr>
        <w:t>2528</w:t>
      </w:r>
      <w:r w:rsidRPr="00773BCF">
        <w:rPr>
          <w:rFonts w:ascii="Palatino Linotype" w:hAnsi="Palatino Linotype" w:cs="Arial"/>
          <w:b/>
          <w:bCs/>
        </w:rPr>
        <w:t>/INFOEM/IP/RR/201</w:t>
      </w:r>
      <w:r w:rsidR="00B439F4" w:rsidRPr="00773BCF">
        <w:rPr>
          <w:rFonts w:ascii="Palatino Linotype" w:hAnsi="Palatino Linotype" w:cs="Arial"/>
          <w:b/>
          <w:bCs/>
        </w:rPr>
        <w:t>9</w:t>
      </w:r>
      <w:r w:rsidRPr="00773BCF">
        <w:rPr>
          <w:rFonts w:ascii="Palatino Linotype" w:hAnsi="Palatino Linotype" w:cs="Arial"/>
          <w:b/>
          <w:bCs/>
        </w:rPr>
        <w:t>.</w:t>
      </w:r>
      <w:bookmarkEnd w:id="39"/>
      <w:bookmarkEnd w:id="40"/>
    </w:p>
    <w:sectPr w:rsidR="00E45562" w:rsidRPr="00341003" w:rsidSect="00341003">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326D3" w14:textId="77777777" w:rsidR="00E0191A" w:rsidRDefault="00E0191A" w:rsidP="00587366">
      <w:r>
        <w:separator/>
      </w:r>
    </w:p>
  </w:endnote>
  <w:endnote w:type="continuationSeparator" w:id="0">
    <w:p w14:paraId="712509DA" w14:textId="77777777" w:rsidR="00E0191A" w:rsidRDefault="00E0191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41003" w:rsidRPr="00883450" w:rsidRDefault="003410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328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3280">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341003" w:rsidRDefault="003410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41003" w:rsidRPr="00883450" w:rsidRDefault="003410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3280" w:rsidRPr="006B32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3280" w:rsidRPr="006B3280">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341003" w:rsidRPr="00883450" w:rsidRDefault="003410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53A0A" w14:textId="77777777" w:rsidR="00E0191A" w:rsidRDefault="00E0191A" w:rsidP="00587366">
      <w:r>
        <w:separator/>
      </w:r>
    </w:p>
  </w:footnote>
  <w:footnote w:type="continuationSeparator" w:id="0">
    <w:p w14:paraId="74DEB6A3" w14:textId="77777777" w:rsidR="00E0191A" w:rsidRDefault="00E0191A" w:rsidP="00587366">
      <w:r>
        <w:continuationSeparator/>
      </w:r>
    </w:p>
  </w:footnote>
  <w:footnote w:id="1">
    <w:p w14:paraId="4C486D65" w14:textId="77777777" w:rsidR="00341003" w:rsidRPr="000C61AA" w:rsidRDefault="00341003" w:rsidP="00963918">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11D7B505" w14:textId="77777777" w:rsidR="00341003" w:rsidRDefault="00341003" w:rsidP="00326BBB">
      <w:pPr>
        <w:pStyle w:val="Textonotapie"/>
      </w:pPr>
      <w:r>
        <w:rPr>
          <w:rStyle w:val="Refdenotaalpie"/>
        </w:rPr>
        <w:footnoteRef/>
      </w:r>
      <w:r>
        <w:t xml:space="preserve"> Convención Americana sobre Derechos Humanos. Artículo 13.</w:t>
      </w:r>
    </w:p>
  </w:footnote>
  <w:footnote w:id="3">
    <w:p w14:paraId="1B484ED2" w14:textId="77777777" w:rsidR="00341003" w:rsidRDefault="00341003" w:rsidP="00326BBB">
      <w:pPr>
        <w:pStyle w:val="Textonotapie"/>
      </w:pPr>
      <w:r>
        <w:rPr>
          <w:rStyle w:val="Refdenotaalpie"/>
        </w:rPr>
        <w:footnoteRef/>
      </w:r>
      <w:r>
        <w:t xml:space="preserve"> Constitución Política de los Estados Unidos Mexicanos. Artículo sexto, sección A, fracción I.</w:t>
      </w:r>
    </w:p>
  </w:footnote>
  <w:footnote w:id="4">
    <w:p w14:paraId="40048523" w14:textId="77777777" w:rsidR="00341003" w:rsidRDefault="00341003" w:rsidP="00326B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874680F" w14:textId="77777777" w:rsidR="00341003" w:rsidRDefault="00341003" w:rsidP="00326BBB">
      <w:pPr>
        <w:pStyle w:val="Textonotapie"/>
      </w:pPr>
      <w:r>
        <w:rPr>
          <w:rStyle w:val="Refdenotaalpie"/>
        </w:rPr>
        <w:footnoteRef/>
      </w:r>
      <w:r>
        <w:t xml:space="preserve"> Ibídem. </w:t>
      </w:r>
      <w:proofErr w:type="spellStart"/>
      <w:r>
        <w:t>Parr</w:t>
      </w:r>
      <w:proofErr w:type="spellEnd"/>
      <w:r>
        <w:t>. 87.</w:t>
      </w:r>
    </w:p>
  </w:footnote>
  <w:footnote w:id="6">
    <w:p w14:paraId="2DBC461B" w14:textId="77777777" w:rsidR="00341003" w:rsidRDefault="00341003" w:rsidP="00326B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DA3827" w14:textId="77777777" w:rsidR="00341003" w:rsidRDefault="00341003" w:rsidP="00326B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A8E871" w14:textId="77777777" w:rsidR="00341003" w:rsidRPr="001E1F95" w:rsidRDefault="00341003" w:rsidP="00326B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3AE9FA56" w14:textId="77777777" w:rsidR="00341003" w:rsidRPr="0037004E" w:rsidRDefault="00341003" w:rsidP="00326B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3D35936D" w14:textId="77777777" w:rsidR="00341003" w:rsidRDefault="00341003" w:rsidP="00326BBB">
      <w:pPr>
        <w:pStyle w:val="Textonotapie"/>
        <w:jc w:val="both"/>
      </w:pPr>
      <w:r>
        <w:rPr>
          <w:rStyle w:val="Refdenotaalpie"/>
        </w:rPr>
        <w:footnoteRef/>
      </w:r>
      <w:r>
        <w:t xml:space="preserve"> Artículo 3. Para los efectos de la presente Ley se entenderá por:</w:t>
      </w:r>
    </w:p>
    <w:p w14:paraId="4B65A2CD" w14:textId="77777777" w:rsidR="00341003" w:rsidRDefault="00341003" w:rsidP="00326BBB">
      <w:pPr>
        <w:pStyle w:val="Textonotapie"/>
        <w:jc w:val="both"/>
      </w:pPr>
      <w:r>
        <w:t xml:space="preserve"> (…)</w:t>
      </w:r>
    </w:p>
    <w:p w14:paraId="15236306" w14:textId="77777777" w:rsidR="00341003" w:rsidRDefault="00341003"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41003" w:rsidRDefault="00341003" w:rsidP="001C6012">
    <w:pPr>
      <w:pStyle w:val="Encabezado"/>
      <w:tabs>
        <w:tab w:val="clear" w:pos="4252"/>
        <w:tab w:val="clear" w:pos="8504"/>
        <w:tab w:val="left" w:pos="8460"/>
      </w:tabs>
    </w:pPr>
    <w:r>
      <w:tab/>
    </w:r>
  </w:p>
  <w:p w14:paraId="64F5F23E" w14:textId="390690E5" w:rsidR="00341003" w:rsidRDefault="0034100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41003" w:rsidRPr="00674A46" w14:paraId="07F2896E" w14:textId="77777777" w:rsidTr="00F3586F">
      <w:trPr>
        <w:trHeight w:val="138"/>
      </w:trPr>
      <w:tc>
        <w:tcPr>
          <w:tcW w:w="3544" w:type="dxa"/>
          <w:vAlign w:val="center"/>
        </w:tcPr>
        <w:p w14:paraId="4A5B1974" w14:textId="3B2AB4E0" w:rsidR="00341003" w:rsidRPr="00674A46" w:rsidRDefault="0034100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2D37AD6" w:rsidR="00341003" w:rsidRPr="0017265D" w:rsidRDefault="00341003" w:rsidP="00A37B1E">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2528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41003" w:rsidRPr="00674A46" w14:paraId="1B5D8690" w14:textId="77777777" w:rsidTr="00F3586F">
      <w:trPr>
        <w:trHeight w:val="233"/>
      </w:trPr>
      <w:tc>
        <w:tcPr>
          <w:tcW w:w="3544" w:type="dxa"/>
          <w:vAlign w:val="center"/>
        </w:tcPr>
        <w:p w14:paraId="3903F2C6" w14:textId="35D57A2C" w:rsidR="00341003" w:rsidRPr="00674A46" w:rsidRDefault="0034100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F8DFB8C" w:rsidR="00341003" w:rsidRPr="00B75F20" w:rsidRDefault="00341003" w:rsidP="00877086">
          <w:pPr>
            <w:pStyle w:val="Encabezado"/>
            <w:jc w:val="both"/>
            <w:rPr>
              <w:rFonts w:ascii="Palatino Linotype" w:hAnsi="Palatino Linotype"/>
              <w:b/>
              <w:sz w:val="22"/>
              <w:szCs w:val="22"/>
            </w:rPr>
          </w:pPr>
          <w:r>
            <w:rPr>
              <w:rFonts w:ascii="Palatino Linotype" w:hAnsi="Palatino Linotype"/>
              <w:b/>
              <w:sz w:val="22"/>
              <w:szCs w:val="22"/>
            </w:rPr>
            <w:t>Partido Morena</w:t>
          </w:r>
        </w:p>
      </w:tc>
    </w:tr>
    <w:tr w:rsidR="00341003" w:rsidRPr="00674A46" w14:paraId="095EB01B" w14:textId="77777777" w:rsidTr="00F3586F">
      <w:trPr>
        <w:trHeight w:val="321"/>
      </w:trPr>
      <w:tc>
        <w:tcPr>
          <w:tcW w:w="3544" w:type="dxa"/>
          <w:vAlign w:val="center"/>
        </w:tcPr>
        <w:p w14:paraId="6E000A51" w14:textId="25DCC1C7" w:rsidR="00341003" w:rsidRPr="00674A46" w:rsidRDefault="0034100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41003" w:rsidRPr="00674A46" w:rsidRDefault="003410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41003" w:rsidRDefault="0034100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41003" w:rsidRDefault="00341003"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41003" w:rsidRPr="00674A46" w14:paraId="0A3256F2" w14:textId="77777777" w:rsidTr="00F3586F">
      <w:trPr>
        <w:trHeight w:val="138"/>
      </w:trPr>
      <w:tc>
        <w:tcPr>
          <w:tcW w:w="3261" w:type="dxa"/>
          <w:vAlign w:val="center"/>
        </w:tcPr>
        <w:p w14:paraId="3D80769D" w14:textId="316F11F8" w:rsidR="00341003" w:rsidRPr="00674A46" w:rsidRDefault="0034100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BF7698E" w:rsidR="00341003" w:rsidRPr="00674A46" w:rsidRDefault="00341003" w:rsidP="00A37B1E">
          <w:pPr>
            <w:pStyle w:val="Encabezado"/>
            <w:rPr>
              <w:rFonts w:ascii="Palatino Linotype" w:hAnsi="Palatino Linotype"/>
              <w:b/>
              <w:sz w:val="22"/>
              <w:szCs w:val="22"/>
            </w:rPr>
          </w:pPr>
          <w:r>
            <w:rPr>
              <w:rFonts w:ascii="Palatino Linotype" w:hAnsi="Palatino Linotype" w:cs="Arial"/>
              <w:b/>
              <w:bCs/>
              <w:sz w:val="22"/>
              <w:szCs w:val="22"/>
              <w:lang w:eastAsia="es-MX"/>
            </w:rPr>
            <w:t>02528/INFOEM/IP/RR/2019</w:t>
          </w:r>
        </w:p>
      </w:tc>
    </w:tr>
    <w:tr w:rsidR="00341003" w:rsidRPr="00B75F20" w14:paraId="128C8B3C" w14:textId="77777777" w:rsidTr="00F3586F">
      <w:trPr>
        <w:trHeight w:val="233"/>
      </w:trPr>
      <w:tc>
        <w:tcPr>
          <w:tcW w:w="3261" w:type="dxa"/>
          <w:vAlign w:val="center"/>
        </w:tcPr>
        <w:p w14:paraId="483E3371" w14:textId="66B1BC74" w:rsidR="00341003" w:rsidRPr="00674A46" w:rsidRDefault="0034100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B1E19F4" w:rsidR="00341003" w:rsidRPr="00B75F20" w:rsidRDefault="00B4639F" w:rsidP="00F0190C">
          <w:pPr>
            <w:pStyle w:val="Encabezado"/>
            <w:ind w:right="234"/>
            <w:rPr>
              <w:rFonts w:ascii="Palatino Linotype" w:hAnsi="Palatino Linotype"/>
              <w:b/>
              <w:sz w:val="22"/>
              <w:szCs w:val="22"/>
            </w:rPr>
          </w:pPr>
          <w:r w:rsidRPr="00B4639F">
            <w:rPr>
              <w:rFonts w:ascii="Palatino Linotype" w:hAnsi="Palatino Linotype"/>
              <w:b/>
              <w:sz w:val="22"/>
              <w:szCs w:val="22"/>
              <w:highlight w:val="black"/>
            </w:rPr>
            <w:t>-----------------------------------------</w:t>
          </w:r>
        </w:p>
      </w:tc>
    </w:tr>
    <w:tr w:rsidR="00341003" w:rsidRPr="00674A46" w14:paraId="41BE0704" w14:textId="77777777" w:rsidTr="00F3586F">
      <w:trPr>
        <w:trHeight w:val="321"/>
      </w:trPr>
      <w:tc>
        <w:tcPr>
          <w:tcW w:w="3261" w:type="dxa"/>
          <w:vAlign w:val="center"/>
        </w:tcPr>
        <w:p w14:paraId="34C64148" w14:textId="10C6C8A9" w:rsidR="00341003" w:rsidRPr="00674A46" w:rsidRDefault="0034100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8512DC0" w:rsidR="00341003" w:rsidRPr="00674A46" w:rsidRDefault="00341003" w:rsidP="00877086">
          <w:pPr>
            <w:pStyle w:val="Encabezado"/>
            <w:jc w:val="both"/>
            <w:rPr>
              <w:rFonts w:ascii="Palatino Linotype" w:hAnsi="Palatino Linotype"/>
              <w:b/>
              <w:sz w:val="22"/>
              <w:szCs w:val="22"/>
            </w:rPr>
          </w:pPr>
          <w:r>
            <w:rPr>
              <w:rFonts w:ascii="Palatino Linotype" w:hAnsi="Palatino Linotype"/>
              <w:b/>
              <w:bCs/>
              <w:color w:val="000000"/>
              <w:sz w:val="22"/>
              <w:szCs w:val="22"/>
            </w:rPr>
            <w:t>Partido Morena</w:t>
          </w:r>
        </w:p>
      </w:tc>
    </w:tr>
    <w:tr w:rsidR="00341003" w:rsidRPr="00674A46" w14:paraId="0C8B6193" w14:textId="77777777" w:rsidTr="00F3586F">
      <w:trPr>
        <w:trHeight w:val="321"/>
      </w:trPr>
      <w:tc>
        <w:tcPr>
          <w:tcW w:w="3261" w:type="dxa"/>
          <w:vAlign w:val="center"/>
        </w:tcPr>
        <w:p w14:paraId="321FFAFF" w14:textId="40E5A678" w:rsidR="00341003" w:rsidRPr="00674A46" w:rsidRDefault="0034100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41003" w:rsidRPr="00674A46" w:rsidRDefault="003410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41003" w:rsidRDefault="003410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1FD0"/>
    <w:multiLevelType w:val="hybridMultilevel"/>
    <w:tmpl w:val="2B001F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DF83245"/>
    <w:multiLevelType w:val="hybridMultilevel"/>
    <w:tmpl w:val="04E4EEA4"/>
    <w:lvl w:ilvl="0" w:tplc="DE54DDC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E34C2D"/>
    <w:multiLevelType w:val="hybridMultilevel"/>
    <w:tmpl w:val="F88C991C"/>
    <w:lvl w:ilvl="0" w:tplc="3716D8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4CAB112E"/>
    <w:multiLevelType w:val="hybridMultilevel"/>
    <w:tmpl w:val="F8A2E6C8"/>
    <w:lvl w:ilvl="0" w:tplc="7A7C5018">
      <w:start w:val="1"/>
      <w:numFmt w:val="lowerLetter"/>
      <w:lvlText w:val="%1)"/>
      <w:lvlJc w:val="left"/>
      <w:pPr>
        <w:ind w:left="720" w:hanging="36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B17824"/>
    <w:multiLevelType w:val="hybridMultilevel"/>
    <w:tmpl w:val="4372DFFA"/>
    <w:lvl w:ilvl="0" w:tplc="247C15A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3B24E17"/>
    <w:multiLevelType w:val="hybridMultilevel"/>
    <w:tmpl w:val="5F50F5DA"/>
    <w:lvl w:ilvl="0" w:tplc="2A40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DC0A24"/>
    <w:multiLevelType w:val="hybridMultilevel"/>
    <w:tmpl w:val="6DB2B414"/>
    <w:lvl w:ilvl="0" w:tplc="06F64F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7E554D42"/>
    <w:multiLevelType w:val="hybridMultilevel"/>
    <w:tmpl w:val="3264747A"/>
    <w:lvl w:ilvl="0" w:tplc="5E7E9F2E">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nsid w:val="7E7E7654"/>
    <w:multiLevelType w:val="hybridMultilevel"/>
    <w:tmpl w:val="86DC5096"/>
    <w:lvl w:ilvl="0" w:tplc="080A000F">
      <w:start w:val="1"/>
      <w:numFmt w:val="decimal"/>
      <w:lvlText w:val="%1."/>
      <w:lvlJc w:val="left"/>
      <w:pPr>
        <w:ind w:left="1920" w:hanging="360"/>
      </w:pPr>
      <w:rPr>
        <w:rFonts w:hint="default"/>
      </w:rPr>
    </w:lvl>
    <w:lvl w:ilvl="1" w:tplc="080A0019" w:tentative="1">
      <w:start w:val="1"/>
      <w:numFmt w:val="lowerLetter"/>
      <w:lvlText w:val="%2."/>
      <w:lvlJc w:val="left"/>
      <w:pPr>
        <w:ind w:left="164" w:hanging="360"/>
      </w:pPr>
    </w:lvl>
    <w:lvl w:ilvl="2" w:tplc="080A001B" w:tentative="1">
      <w:start w:val="1"/>
      <w:numFmt w:val="lowerRoman"/>
      <w:lvlText w:val="%3."/>
      <w:lvlJc w:val="right"/>
      <w:pPr>
        <w:ind w:left="884" w:hanging="180"/>
      </w:pPr>
    </w:lvl>
    <w:lvl w:ilvl="3" w:tplc="080A000F" w:tentative="1">
      <w:start w:val="1"/>
      <w:numFmt w:val="decimal"/>
      <w:lvlText w:val="%4."/>
      <w:lvlJc w:val="left"/>
      <w:pPr>
        <w:ind w:left="1604" w:hanging="360"/>
      </w:pPr>
    </w:lvl>
    <w:lvl w:ilvl="4" w:tplc="080A0019" w:tentative="1">
      <w:start w:val="1"/>
      <w:numFmt w:val="lowerLetter"/>
      <w:lvlText w:val="%5."/>
      <w:lvlJc w:val="left"/>
      <w:pPr>
        <w:ind w:left="2324" w:hanging="360"/>
      </w:pPr>
    </w:lvl>
    <w:lvl w:ilvl="5" w:tplc="080A001B" w:tentative="1">
      <w:start w:val="1"/>
      <w:numFmt w:val="lowerRoman"/>
      <w:lvlText w:val="%6."/>
      <w:lvlJc w:val="right"/>
      <w:pPr>
        <w:ind w:left="3044" w:hanging="180"/>
      </w:pPr>
    </w:lvl>
    <w:lvl w:ilvl="6" w:tplc="080A000F" w:tentative="1">
      <w:start w:val="1"/>
      <w:numFmt w:val="decimal"/>
      <w:lvlText w:val="%7."/>
      <w:lvlJc w:val="left"/>
      <w:pPr>
        <w:ind w:left="3764" w:hanging="360"/>
      </w:pPr>
    </w:lvl>
    <w:lvl w:ilvl="7" w:tplc="080A0019" w:tentative="1">
      <w:start w:val="1"/>
      <w:numFmt w:val="lowerLetter"/>
      <w:lvlText w:val="%8."/>
      <w:lvlJc w:val="left"/>
      <w:pPr>
        <w:ind w:left="4484" w:hanging="360"/>
      </w:pPr>
    </w:lvl>
    <w:lvl w:ilvl="8" w:tplc="080A001B" w:tentative="1">
      <w:start w:val="1"/>
      <w:numFmt w:val="lowerRoman"/>
      <w:lvlText w:val="%9."/>
      <w:lvlJc w:val="right"/>
      <w:pPr>
        <w:ind w:left="5204" w:hanging="180"/>
      </w:pPr>
    </w:lvl>
  </w:abstractNum>
  <w:num w:numId="1">
    <w:abstractNumId w:val="5"/>
  </w:num>
  <w:num w:numId="2">
    <w:abstractNumId w:val="8"/>
  </w:num>
  <w:num w:numId="3">
    <w:abstractNumId w:val="12"/>
  </w:num>
  <w:num w:numId="4">
    <w:abstractNumId w:val="1"/>
  </w:num>
  <w:num w:numId="5">
    <w:abstractNumId w:val="4"/>
  </w:num>
  <w:num w:numId="6">
    <w:abstractNumId w:val="3"/>
  </w:num>
  <w:num w:numId="7">
    <w:abstractNumId w:val="2"/>
  </w:num>
  <w:num w:numId="8">
    <w:abstractNumId w:val="11"/>
  </w:num>
  <w:num w:numId="9">
    <w:abstractNumId w:val="0"/>
  </w:num>
  <w:num w:numId="10">
    <w:abstractNumId w:val="9"/>
  </w:num>
  <w:num w:numId="11">
    <w:abstractNumId w:val="10"/>
  </w:num>
  <w:num w:numId="12">
    <w:abstractNumId w:val="14"/>
  </w:num>
  <w:num w:numId="13">
    <w:abstractNumId w:val="7"/>
  </w:num>
  <w:num w:numId="14">
    <w:abstractNumId w:val="17"/>
  </w:num>
  <w:num w:numId="15">
    <w:abstractNumId w:val="13"/>
  </w:num>
  <w:num w:numId="16">
    <w:abstractNumId w:val="15"/>
  </w:num>
  <w:num w:numId="17">
    <w:abstractNumId w:val="6"/>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3A5F"/>
    <w:rsid w:val="00024833"/>
    <w:rsid w:val="00024C70"/>
    <w:rsid w:val="00024F35"/>
    <w:rsid w:val="000266F9"/>
    <w:rsid w:val="00026BE9"/>
    <w:rsid w:val="00027112"/>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19D"/>
    <w:rsid w:val="00091508"/>
    <w:rsid w:val="00093CF9"/>
    <w:rsid w:val="00094331"/>
    <w:rsid w:val="000944D8"/>
    <w:rsid w:val="00094F93"/>
    <w:rsid w:val="000955D2"/>
    <w:rsid w:val="000967AE"/>
    <w:rsid w:val="000A068D"/>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501"/>
    <w:rsid w:val="001069CE"/>
    <w:rsid w:val="00107499"/>
    <w:rsid w:val="00107557"/>
    <w:rsid w:val="001105B5"/>
    <w:rsid w:val="00110C9A"/>
    <w:rsid w:val="00110F5D"/>
    <w:rsid w:val="0011167C"/>
    <w:rsid w:val="001119B2"/>
    <w:rsid w:val="00112B02"/>
    <w:rsid w:val="00113930"/>
    <w:rsid w:val="00113BB3"/>
    <w:rsid w:val="00113BD3"/>
    <w:rsid w:val="00114097"/>
    <w:rsid w:val="00114A21"/>
    <w:rsid w:val="0011752F"/>
    <w:rsid w:val="0012006D"/>
    <w:rsid w:val="00121571"/>
    <w:rsid w:val="00121D9D"/>
    <w:rsid w:val="001227D9"/>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52C"/>
    <w:rsid w:val="00171D55"/>
    <w:rsid w:val="0017265D"/>
    <w:rsid w:val="00173DDB"/>
    <w:rsid w:val="00174509"/>
    <w:rsid w:val="0017653A"/>
    <w:rsid w:val="00176D98"/>
    <w:rsid w:val="001770B2"/>
    <w:rsid w:val="001775DF"/>
    <w:rsid w:val="00177CA5"/>
    <w:rsid w:val="00181E9E"/>
    <w:rsid w:val="0018435D"/>
    <w:rsid w:val="001843F5"/>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808"/>
    <w:rsid w:val="001E7B9E"/>
    <w:rsid w:val="001F025B"/>
    <w:rsid w:val="001F0B79"/>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0B55"/>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20E"/>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0D7"/>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316"/>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AC7"/>
    <w:rsid w:val="00301B41"/>
    <w:rsid w:val="00301D47"/>
    <w:rsid w:val="003030B1"/>
    <w:rsid w:val="00303717"/>
    <w:rsid w:val="00304013"/>
    <w:rsid w:val="00304137"/>
    <w:rsid w:val="003046AA"/>
    <w:rsid w:val="003049F3"/>
    <w:rsid w:val="0030529B"/>
    <w:rsid w:val="00305F6D"/>
    <w:rsid w:val="00306048"/>
    <w:rsid w:val="003064B8"/>
    <w:rsid w:val="00307227"/>
    <w:rsid w:val="00307D7B"/>
    <w:rsid w:val="003105D0"/>
    <w:rsid w:val="003105D6"/>
    <w:rsid w:val="00310D66"/>
    <w:rsid w:val="003116A6"/>
    <w:rsid w:val="00311874"/>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5F5F"/>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1003"/>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22D"/>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58EA"/>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8F0"/>
    <w:rsid w:val="00424AA3"/>
    <w:rsid w:val="00424E72"/>
    <w:rsid w:val="0042558A"/>
    <w:rsid w:val="00426847"/>
    <w:rsid w:val="00426D7C"/>
    <w:rsid w:val="00427D4D"/>
    <w:rsid w:val="004300ED"/>
    <w:rsid w:val="004305C0"/>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3B4"/>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45"/>
    <w:rsid w:val="00481A7B"/>
    <w:rsid w:val="00483667"/>
    <w:rsid w:val="0048386B"/>
    <w:rsid w:val="00483C14"/>
    <w:rsid w:val="004841FF"/>
    <w:rsid w:val="00484BCC"/>
    <w:rsid w:val="00485DB6"/>
    <w:rsid w:val="0048658E"/>
    <w:rsid w:val="004913B5"/>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D7D05"/>
    <w:rsid w:val="004E11D8"/>
    <w:rsid w:val="004E27E7"/>
    <w:rsid w:val="004E2B07"/>
    <w:rsid w:val="004E3C12"/>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5B24"/>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B7FDB"/>
    <w:rsid w:val="005C1A74"/>
    <w:rsid w:val="005C2E4E"/>
    <w:rsid w:val="005C3294"/>
    <w:rsid w:val="005C347F"/>
    <w:rsid w:val="005C42D3"/>
    <w:rsid w:val="005C5787"/>
    <w:rsid w:val="005C5875"/>
    <w:rsid w:val="005C6F55"/>
    <w:rsid w:val="005C79D8"/>
    <w:rsid w:val="005D0D97"/>
    <w:rsid w:val="005D2074"/>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388E"/>
    <w:rsid w:val="0061496C"/>
    <w:rsid w:val="00614DFF"/>
    <w:rsid w:val="006158DE"/>
    <w:rsid w:val="00617125"/>
    <w:rsid w:val="00617813"/>
    <w:rsid w:val="00620176"/>
    <w:rsid w:val="006206A3"/>
    <w:rsid w:val="006206CC"/>
    <w:rsid w:val="0062072F"/>
    <w:rsid w:val="00620812"/>
    <w:rsid w:val="00622B06"/>
    <w:rsid w:val="006237B4"/>
    <w:rsid w:val="006260B4"/>
    <w:rsid w:val="00626821"/>
    <w:rsid w:val="00627163"/>
    <w:rsid w:val="0062768A"/>
    <w:rsid w:val="0063265C"/>
    <w:rsid w:val="0063278F"/>
    <w:rsid w:val="006334A3"/>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2F08"/>
    <w:rsid w:val="00673695"/>
    <w:rsid w:val="00674701"/>
    <w:rsid w:val="00674A46"/>
    <w:rsid w:val="006752B0"/>
    <w:rsid w:val="00676959"/>
    <w:rsid w:val="00676C6B"/>
    <w:rsid w:val="00676E9D"/>
    <w:rsid w:val="006803DF"/>
    <w:rsid w:val="00680F25"/>
    <w:rsid w:val="0068158A"/>
    <w:rsid w:val="00682E8C"/>
    <w:rsid w:val="00682F7E"/>
    <w:rsid w:val="006832CC"/>
    <w:rsid w:val="006842C2"/>
    <w:rsid w:val="006850B3"/>
    <w:rsid w:val="00685386"/>
    <w:rsid w:val="00685689"/>
    <w:rsid w:val="006858EB"/>
    <w:rsid w:val="0068594B"/>
    <w:rsid w:val="0068628C"/>
    <w:rsid w:val="00686B04"/>
    <w:rsid w:val="00686F66"/>
    <w:rsid w:val="006874B5"/>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280"/>
    <w:rsid w:val="006B336C"/>
    <w:rsid w:val="006B5FE4"/>
    <w:rsid w:val="006B7A58"/>
    <w:rsid w:val="006C0831"/>
    <w:rsid w:val="006C0FFB"/>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6EFC"/>
    <w:rsid w:val="006E7637"/>
    <w:rsid w:val="006E7CC5"/>
    <w:rsid w:val="006F1E31"/>
    <w:rsid w:val="006F21C6"/>
    <w:rsid w:val="006F2B0A"/>
    <w:rsid w:val="006F2C12"/>
    <w:rsid w:val="006F2F92"/>
    <w:rsid w:val="006F6271"/>
    <w:rsid w:val="006F6BE4"/>
    <w:rsid w:val="006F729B"/>
    <w:rsid w:val="006F7E87"/>
    <w:rsid w:val="007003BF"/>
    <w:rsid w:val="0070160E"/>
    <w:rsid w:val="00701E19"/>
    <w:rsid w:val="00702887"/>
    <w:rsid w:val="0070499C"/>
    <w:rsid w:val="007049C8"/>
    <w:rsid w:val="007050B1"/>
    <w:rsid w:val="00707096"/>
    <w:rsid w:val="007116E3"/>
    <w:rsid w:val="007136BC"/>
    <w:rsid w:val="00714576"/>
    <w:rsid w:val="00715A04"/>
    <w:rsid w:val="00716A94"/>
    <w:rsid w:val="00721335"/>
    <w:rsid w:val="00721924"/>
    <w:rsid w:val="00721F55"/>
    <w:rsid w:val="00721F66"/>
    <w:rsid w:val="007221AE"/>
    <w:rsid w:val="00722B93"/>
    <w:rsid w:val="007234C4"/>
    <w:rsid w:val="00724166"/>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3F4"/>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2A67"/>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3BCF"/>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29E1"/>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189"/>
    <w:rsid w:val="0081794B"/>
    <w:rsid w:val="00817D8E"/>
    <w:rsid w:val="008200A3"/>
    <w:rsid w:val="00820BF2"/>
    <w:rsid w:val="00821A12"/>
    <w:rsid w:val="00821CED"/>
    <w:rsid w:val="00821D8E"/>
    <w:rsid w:val="00824C4E"/>
    <w:rsid w:val="008252B1"/>
    <w:rsid w:val="00825F72"/>
    <w:rsid w:val="008273C1"/>
    <w:rsid w:val="008320FF"/>
    <w:rsid w:val="00833E4C"/>
    <w:rsid w:val="008347A0"/>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3C1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A94"/>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5DD"/>
    <w:rsid w:val="008D3786"/>
    <w:rsid w:val="008D406E"/>
    <w:rsid w:val="008D432B"/>
    <w:rsid w:val="008D453D"/>
    <w:rsid w:val="008D4BD3"/>
    <w:rsid w:val="008D4E99"/>
    <w:rsid w:val="008D5066"/>
    <w:rsid w:val="008D59DA"/>
    <w:rsid w:val="008D5A97"/>
    <w:rsid w:val="008D6697"/>
    <w:rsid w:val="008D71E5"/>
    <w:rsid w:val="008D728C"/>
    <w:rsid w:val="008E0674"/>
    <w:rsid w:val="008E0C59"/>
    <w:rsid w:val="008E11CC"/>
    <w:rsid w:val="008E1B8F"/>
    <w:rsid w:val="008E40F3"/>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89C"/>
    <w:rsid w:val="00931924"/>
    <w:rsid w:val="00932354"/>
    <w:rsid w:val="0093416D"/>
    <w:rsid w:val="00935346"/>
    <w:rsid w:val="00936B46"/>
    <w:rsid w:val="00937F5A"/>
    <w:rsid w:val="00941D44"/>
    <w:rsid w:val="0094424D"/>
    <w:rsid w:val="009457AE"/>
    <w:rsid w:val="00945A61"/>
    <w:rsid w:val="00945BAD"/>
    <w:rsid w:val="00946D27"/>
    <w:rsid w:val="00947BC4"/>
    <w:rsid w:val="00950154"/>
    <w:rsid w:val="00950A03"/>
    <w:rsid w:val="00950B66"/>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18"/>
    <w:rsid w:val="00963968"/>
    <w:rsid w:val="009657F8"/>
    <w:rsid w:val="00970F70"/>
    <w:rsid w:val="00971056"/>
    <w:rsid w:val="00971588"/>
    <w:rsid w:val="00971D49"/>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146D"/>
    <w:rsid w:val="009B2EE9"/>
    <w:rsid w:val="009B4676"/>
    <w:rsid w:val="009B475C"/>
    <w:rsid w:val="009B4864"/>
    <w:rsid w:val="009B5504"/>
    <w:rsid w:val="009B5904"/>
    <w:rsid w:val="009B62D6"/>
    <w:rsid w:val="009B649B"/>
    <w:rsid w:val="009B6F16"/>
    <w:rsid w:val="009C05B5"/>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827"/>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5B6E"/>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37B1E"/>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860"/>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3D06"/>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66"/>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B007EA"/>
    <w:rsid w:val="00B016F7"/>
    <w:rsid w:val="00B018DA"/>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1B1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63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9B5"/>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D8B"/>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309D"/>
    <w:rsid w:val="00BE4D38"/>
    <w:rsid w:val="00BE545A"/>
    <w:rsid w:val="00BE54DD"/>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381E"/>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1B2"/>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45C"/>
    <w:rsid w:val="00C66CD8"/>
    <w:rsid w:val="00C66F26"/>
    <w:rsid w:val="00C70508"/>
    <w:rsid w:val="00C711D3"/>
    <w:rsid w:val="00C71858"/>
    <w:rsid w:val="00C722C5"/>
    <w:rsid w:val="00C72EEB"/>
    <w:rsid w:val="00C73C34"/>
    <w:rsid w:val="00C744AE"/>
    <w:rsid w:val="00C74781"/>
    <w:rsid w:val="00C7486D"/>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0C54"/>
    <w:rsid w:val="00CC2DE4"/>
    <w:rsid w:val="00CC360E"/>
    <w:rsid w:val="00CC46A9"/>
    <w:rsid w:val="00CC48D6"/>
    <w:rsid w:val="00CC76D0"/>
    <w:rsid w:val="00CD0FB2"/>
    <w:rsid w:val="00CD221B"/>
    <w:rsid w:val="00CD296A"/>
    <w:rsid w:val="00CD3D8C"/>
    <w:rsid w:val="00CD4D08"/>
    <w:rsid w:val="00CD4DB2"/>
    <w:rsid w:val="00CD5543"/>
    <w:rsid w:val="00CD5C04"/>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512"/>
    <w:rsid w:val="00D4287D"/>
    <w:rsid w:val="00D42957"/>
    <w:rsid w:val="00D4409E"/>
    <w:rsid w:val="00D47265"/>
    <w:rsid w:val="00D472EB"/>
    <w:rsid w:val="00D4793C"/>
    <w:rsid w:val="00D50E80"/>
    <w:rsid w:val="00D53F55"/>
    <w:rsid w:val="00D55346"/>
    <w:rsid w:val="00D57066"/>
    <w:rsid w:val="00D5757A"/>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58D"/>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A6F"/>
    <w:rsid w:val="00DB0C0B"/>
    <w:rsid w:val="00DB31E7"/>
    <w:rsid w:val="00DB3A66"/>
    <w:rsid w:val="00DB4240"/>
    <w:rsid w:val="00DB4BEF"/>
    <w:rsid w:val="00DB5DEE"/>
    <w:rsid w:val="00DB6374"/>
    <w:rsid w:val="00DB67EE"/>
    <w:rsid w:val="00DB78B2"/>
    <w:rsid w:val="00DC07E3"/>
    <w:rsid w:val="00DC1421"/>
    <w:rsid w:val="00DC230C"/>
    <w:rsid w:val="00DC2CE7"/>
    <w:rsid w:val="00DC301A"/>
    <w:rsid w:val="00DC31FF"/>
    <w:rsid w:val="00DC6AEA"/>
    <w:rsid w:val="00DC7377"/>
    <w:rsid w:val="00DD04C0"/>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0519"/>
    <w:rsid w:val="00DF13A5"/>
    <w:rsid w:val="00DF13EF"/>
    <w:rsid w:val="00DF1C93"/>
    <w:rsid w:val="00DF1E5D"/>
    <w:rsid w:val="00DF2ABA"/>
    <w:rsid w:val="00DF363D"/>
    <w:rsid w:val="00DF419C"/>
    <w:rsid w:val="00DF51C5"/>
    <w:rsid w:val="00DF72C7"/>
    <w:rsid w:val="00DF74FA"/>
    <w:rsid w:val="00E0100E"/>
    <w:rsid w:val="00E01358"/>
    <w:rsid w:val="00E0191A"/>
    <w:rsid w:val="00E01E64"/>
    <w:rsid w:val="00E03246"/>
    <w:rsid w:val="00E03508"/>
    <w:rsid w:val="00E03883"/>
    <w:rsid w:val="00E03C0E"/>
    <w:rsid w:val="00E05083"/>
    <w:rsid w:val="00E052B3"/>
    <w:rsid w:val="00E06CB1"/>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0AF"/>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6B5"/>
    <w:rsid w:val="00EF4C26"/>
    <w:rsid w:val="00EF50B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4C78"/>
    <w:rsid w:val="00F452C0"/>
    <w:rsid w:val="00F459E6"/>
    <w:rsid w:val="00F46070"/>
    <w:rsid w:val="00F50129"/>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97"/>
    <w:rsid w:val="00F75FD0"/>
    <w:rsid w:val="00F76657"/>
    <w:rsid w:val="00F77BB6"/>
    <w:rsid w:val="00F81136"/>
    <w:rsid w:val="00F81620"/>
    <w:rsid w:val="00F82323"/>
    <w:rsid w:val="00F827AD"/>
    <w:rsid w:val="00F84240"/>
    <w:rsid w:val="00F8429B"/>
    <w:rsid w:val="00F85237"/>
    <w:rsid w:val="00F85395"/>
    <w:rsid w:val="00F8564F"/>
    <w:rsid w:val="00F8587B"/>
    <w:rsid w:val="00F8746F"/>
    <w:rsid w:val="00F8749A"/>
    <w:rsid w:val="00F87DAE"/>
    <w:rsid w:val="00F9000A"/>
    <w:rsid w:val="00F9002A"/>
    <w:rsid w:val="00F90CC8"/>
    <w:rsid w:val="00F94E43"/>
    <w:rsid w:val="00F95F7E"/>
    <w:rsid w:val="00F97AFE"/>
    <w:rsid w:val="00FA0128"/>
    <w:rsid w:val="00FA14BA"/>
    <w:rsid w:val="00FA1786"/>
    <w:rsid w:val="00FA215F"/>
    <w:rsid w:val="00FA2E10"/>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693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37F5-1867-4111-B63D-2C6411B3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54</Pages>
  <Words>10913</Words>
  <Characters>60024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2019-01-21T23:42:00Z</cp:lastPrinted>
  <dcterms:created xsi:type="dcterms:W3CDTF">2019-07-31T01:06:00Z</dcterms:created>
  <dcterms:modified xsi:type="dcterms:W3CDTF">2019-08-01T17:29:00Z</dcterms:modified>
</cp:coreProperties>
</file>