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77777777"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415FD8" w:rsidRPr="00415FD8">
        <w:rPr>
          <w:rFonts w:ascii="Palatino Linotype" w:eastAsia="Times New Roman" w:hAnsi="Palatino Linotype" w:cs="Arial"/>
          <w:color w:val="000000"/>
          <w:sz w:val="24"/>
          <w:szCs w:val="24"/>
          <w:highlight w:val="yellow"/>
          <w:lang w:eastAsia="es-MX"/>
        </w:rPr>
        <w:t>diecinueve de febrero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6EB282E"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415FD8">
        <w:rPr>
          <w:rFonts w:ascii="Palatino Linotype" w:hAnsi="Palatino Linotype" w:cs="Arial"/>
          <w:b/>
          <w:bCs/>
          <w:sz w:val="24"/>
          <w:lang w:eastAsia="es-MX"/>
        </w:rPr>
        <w:t>10785</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415FD8">
        <w:rPr>
          <w:rFonts w:ascii="Palatino Linotype" w:hAnsi="Palatino Linotype" w:cs="Arial"/>
          <w:b/>
          <w:sz w:val="24"/>
          <w:szCs w:val="24"/>
        </w:rPr>
        <w:t xml:space="preserve">     </w:t>
      </w:r>
      <w:r w:rsidR="00E31F45">
        <w:rPr>
          <w:rFonts w:ascii="Palatino Linotype" w:hAnsi="Palatino Linotype" w:cs="Arial"/>
          <w:b/>
          <w:sz w:val="24"/>
          <w:szCs w:val="24"/>
        </w:rPr>
        <w:t>xxxx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15FD8" w:rsidRPr="00415FD8">
        <w:rPr>
          <w:rFonts w:ascii="Palatino Linotype" w:hAnsi="Palatino Linotype" w:cs="Arial"/>
          <w:b/>
          <w:sz w:val="24"/>
          <w:szCs w:val="24"/>
        </w:rPr>
        <w:t>Ayuntamiento de Isidro Fabela</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22FAEDF6"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415FD8">
        <w:rPr>
          <w:rFonts w:ascii="Palatino Linotype" w:hAnsi="Palatino Linotype" w:cs="Arial"/>
          <w:sz w:val="24"/>
        </w:rPr>
        <w:t>veintiséis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415FD8" w:rsidRPr="00415FD8">
        <w:rPr>
          <w:rFonts w:ascii="Palatino Linotype" w:hAnsi="Palatino Linotype" w:cs="Arial"/>
          <w:b/>
          <w:sz w:val="24"/>
        </w:rPr>
        <w:t>00565/ISIFABE/IP/2019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668C7AF6" w:rsidR="00A50811" w:rsidRDefault="006168E4" w:rsidP="00415FD8">
      <w:pPr>
        <w:spacing w:after="0" w:line="36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415FD8" w:rsidRPr="00415FD8">
        <w:rPr>
          <w:rFonts w:ascii="Palatino Linotype" w:hAnsi="Palatino Linotype"/>
          <w:i/>
          <w:color w:val="000000"/>
        </w:rPr>
        <w:t>Solicito el comprobante de donaciones que ha efectuado el municipio.</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w:t>
      </w:r>
      <w:r w:rsidRPr="00584718">
        <w:rPr>
          <w:rFonts w:ascii="Palatino Linotype" w:hAnsi="Palatino Linotype" w:cs="Arial"/>
          <w:sz w:val="24"/>
          <w:szCs w:val="24"/>
        </w:rPr>
        <w:lastRenderedPageBreak/>
        <w:t xml:space="preserve">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6D9C7ED9"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588EE3BF">
                <wp:simplePos x="0" y="0"/>
                <wp:positionH relativeFrom="column">
                  <wp:posOffset>120512</wp:posOffset>
                </wp:positionH>
                <wp:positionV relativeFrom="paragraph">
                  <wp:posOffset>814374</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F20CAC" id="Rectángulo 13" o:spid="_x0000_s1026" style="position:absolute;margin-left:9.5pt;margin-top:64.1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HPe9098AAAAKAQAADwAAAGRy&#10;cy9kb3ducmV2LnhtbEyPQUvDQBCF74L/YRnBi9iNUUsasyliEW8Fo9TrJDtNgtnZkN220V/veNLT&#10;8GYeb75XrGc3qCNNofds4GaRgCJuvO25NfD+9nydgQoR2eLgmQx8UYB1eX5WYG79iV/pWMVWSQiH&#10;HA10MY651qHpyGFY+JFYbns/OYwip1bbCU8S7gadJslSO+xZPnQ40lNHzWd1cAbq3Th87zfuY95V&#10;S8btyxZ5c2XM5cX8+AAq0hz/zPCLL+hQClPtD2yDGkSvpEqUmWYpKDFkq1vZ1AbS++wOdFno/xXK&#10;HwAAAP//AwBQSwECLQAUAAYACAAAACEAtoM4kv4AAADhAQAAEwAAAAAAAAAAAAAAAAAAAAAAW0Nv&#10;bnRlbnRfVHlwZXNdLnhtbFBLAQItABQABgAIAAAAIQA4/SH/1gAAAJQBAAALAAAAAAAAAAAAAAAA&#10;AC8BAABfcmVscy8ucmVsc1BLAQItABQABgAIAAAAIQCuznfXpQIAAJMFAAAOAAAAAAAAAAAAAAAA&#10;AC4CAABkcnMvZTJvRG9jLnhtbFBLAQItABQABgAIAAAAIQAc973T3wAAAAoBAAAPAAAAAAAAAAAA&#10;AAAAAP8EAABkcnMvZG93bnJldi54bWxQSwUGAAAAAAQABADzAAAACwYAAAAA&#10;" filled="f" strokecolor="red" strokeweight="2.25pt"/>
            </w:pict>
          </mc:Fallback>
        </mc:AlternateContent>
      </w:r>
      <w:r>
        <w:rPr>
          <w:noProof/>
          <w:lang w:eastAsia="es-MX"/>
        </w:rPr>
        <w:drawing>
          <wp:inline distT="0" distB="0" distL="0" distR="0" wp14:anchorId="338BE916" wp14:editId="3AA05B2C">
            <wp:extent cx="5756910" cy="27673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767330"/>
                    </a:xfrm>
                    <a:prstGeom prst="rect">
                      <a:avLst/>
                    </a:prstGeom>
                    <a:noFill/>
                    <a:ln>
                      <a:noFill/>
                    </a:ln>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75825C3B"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2813C0">
        <w:rPr>
          <w:rFonts w:ascii="Palatino Linotype" w:hAnsi="Palatino Linotype" w:cs="Arial"/>
          <w:sz w:val="24"/>
          <w:szCs w:val="24"/>
        </w:rPr>
        <w:t>dieciocho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2813C0">
        <w:rPr>
          <w:rFonts w:ascii="Palatino Linotype" w:hAnsi="Palatino Linotype" w:cs="Arial"/>
          <w:b/>
          <w:sz w:val="24"/>
          <w:szCs w:val="24"/>
        </w:rPr>
        <w:t>10785</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47E42016"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2813C0" w:rsidRPr="002813C0">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7BFB0606"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2813C0" w:rsidRPr="002813C0">
        <w:rPr>
          <w:rFonts w:ascii="Palatino Linotype" w:hAnsi="Palatino Linotype"/>
          <w:i/>
          <w:color w:val="000000"/>
        </w:rPr>
        <w:t>No atendieron mi solicitud</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lastRenderedPageBreak/>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4405315B"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2813C0">
        <w:rPr>
          <w:rFonts w:ascii="Palatino Linotype" w:hAnsi="Palatino Linotype" w:cs="Arial"/>
          <w:sz w:val="24"/>
          <w:szCs w:val="24"/>
        </w:rPr>
        <w:t>nueve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6435BE2"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6A0F9518" w14:textId="77777777" w:rsidR="002813C0" w:rsidRPr="00584718" w:rsidRDefault="002813C0" w:rsidP="00415FD8">
      <w:pPr>
        <w:spacing w:after="0" w:line="360" w:lineRule="auto"/>
        <w:jc w:val="both"/>
        <w:rPr>
          <w:rFonts w:ascii="Palatino Linotype" w:hAnsi="Palatino Linotype" w:cs="Arial"/>
          <w:sz w:val="24"/>
          <w:szCs w:val="24"/>
        </w:rPr>
      </w:pPr>
    </w:p>
    <w:p w14:paraId="42356B18" w14:textId="1E958B59" w:rsidR="000510FC" w:rsidRPr="002813C0" w:rsidRDefault="002813C0" w:rsidP="00415FD8">
      <w:pPr>
        <w:spacing w:after="0" w:line="360" w:lineRule="auto"/>
        <w:jc w:val="both"/>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207DA7C0" wp14:editId="520C2D0D">
            <wp:extent cx="5756910" cy="2393315"/>
            <wp:effectExtent l="0" t="0" r="0"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393315"/>
                    </a:xfrm>
                    <a:prstGeom prst="rect">
                      <a:avLst/>
                    </a:prstGeom>
                    <a:noFill/>
                    <a:ln>
                      <a:noFill/>
                    </a:ln>
                  </pic:spPr>
                </pic:pic>
              </a:graphicData>
            </a:graphic>
          </wp:inline>
        </w:drawing>
      </w:r>
    </w:p>
    <w:p w14:paraId="72D7A9A9" w14:textId="77777777" w:rsidR="002813C0" w:rsidRDefault="002813C0" w:rsidP="00415FD8">
      <w:pPr>
        <w:spacing w:after="0" w:line="360" w:lineRule="auto"/>
        <w:jc w:val="both"/>
        <w:rPr>
          <w:rFonts w:ascii="Palatino Linotype" w:hAnsi="Palatino Linotype" w:cs="Arial"/>
          <w:b/>
          <w:sz w:val="28"/>
        </w:rPr>
      </w:pP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2F738161"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2813C0">
        <w:rPr>
          <w:rFonts w:ascii="Palatino Linotype" w:hAnsi="Palatino Linotype" w:cs="Arial"/>
          <w:sz w:val="24"/>
          <w:szCs w:val="24"/>
        </w:rPr>
        <w:t>veintisiete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w:t>
      </w:r>
      <w:r w:rsidRPr="00584718">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584718">
        <w:rPr>
          <w:rFonts w:ascii="Palatino Linotype" w:hAnsi="Palatino Linotype" w:cs="Arial"/>
          <w:sz w:val="24"/>
          <w:szCs w:val="24"/>
        </w:rPr>
        <w:lastRenderedPageBreak/>
        <w:t>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 xml:space="preserve">solicitudes de acceso a la información pública conforme a </w:t>
      </w:r>
      <w:r w:rsidRPr="00161CE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lastRenderedPageBreak/>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161CEB">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161CEB">
        <w:rPr>
          <w:rFonts w:ascii="Palatino Linotype" w:hAnsi="Palatino Linotype"/>
          <w:i/>
          <w:sz w:val="22"/>
          <w:szCs w:val="22"/>
        </w:rPr>
        <w:lastRenderedPageBreak/>
        <w:t>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84718">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321C48C4"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2813C0" w:rsidRPr="002813C0">
        <w:rPr>
          <w:rFonts w:ascii="Palatino Linotype" w:hAnsi="Palatino Linotype"/>
          <w:b/>
          <w:sz w:val="24"/>
          <w:szCs w:val="24"/>
        </w:rPr>
        <w:t>00565/ISIFABE/IP/2019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23E80264" w:rsidR="00604860" w:rsidRPr="002813C0" w:rsidRDefault="005A0F33" w:rsidP="002813C0">
      <w:pPr>
        <w:ind w:left="567" w:right="567"/>
        <w:jc w:val="center"/>
        <w:rPr>
          <w:rFonts w:ascii="Palatino Linotype" w:hAnsi="Palatino Linotype" w:cs="Arial"/>
          <w:b/>
          <w:bCs/>
          <w:i/>
          <w:color w:val="000000"/>
          <w:sz w:val="24"/>
          <w:szCs w:val="24"/>
        </w:rPr>
      </w:pPr>
      <w:r w:rsidRPr="002813C0">
        <w:rPr>
          <w:rFonts w:ascii="Palatino Linotype" w:hAnsi="Palatino Linotype"/>
          <w:sz w:val="24"/>
          <w:szCs w:val="24"/>
        </w:rPr>
        <w:t>“</w:t>
      </w:r>
      <w:r w:rsidR="002813C0" w:rsidRPr="002813C0">
        <w:rPr>
          <w:rFonts w:ascii="Palatino Linotype" w:hAnsi="Palatino Linotype"/>
          <w:b/>
          <w:i/>
          <w:sz w:val="24"/>
          <w:szCs w:val="24"/>
        </w:rPr>
        <w:t>E</w:t>
      </w:r>
      <w:r w:rsidR="002813C0" w:rsidRPr="002813C0">
        <w:rPr>
          <w:rFonts w:ascii="Palatino Linotype" w:hAnsi="Palatino Linotype" w:cs="Arial"/>
          <w:b/>
          <w:bCs/>
          <w:i/>
          <w:color w:val="000000"/>
          <w:sz w:val="24"/>
          <w:szCs w:val="24"/>
        </w:rPr>
        <w:t>l comprobante de donaciones que ha efectuado el municipio.</w:t>
      </w:r>
      <w:r w:rsidRPr="002813C0">
        <w:rPr>
          <w:rFonts w:ascii="Palatino Linotype" w:hAnsi="Palatino Linotype" w:cs="Arial"/>
          <w:b/>
          <w:bCs/>
          <w:i/>
          <w:color w:val="000000"/>
          <w:sz w:val="24"/>
          <w:szCs w:val="24"/>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Default="004D3D74" w:rsidP="004D3D74">
      <w:pPr>
        <w:pStyle w:val="Sinespaciado"/>
        <w:rPr>
          <w:lang w:val="es-AR"/>
        </w:rPr>
      </w:pPr>
    </w:p>
    <w:p w14:paraId="55E66C1A"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r w:rsidRPr="005E52E9">
        <w:rPr>
          <w:rFonts w:ascii="Palatino Linotype" w:eastAsia="Calibri" w:hAnsi="Palatino Linotype" w:cs="Tahoma"/>
          <w:bCs/>
          <w:sz w:val="24"/>
          <w:szCs w:val="24"/>
        </w:rPr>
        <w:t>Primeramente, es importante señalar que de conformidad con los artículos 112 y 113 de la Constitución Política del Estado Libre y Soberano de México, la base de la organización política y administrativa de la Entidad será el municipio libre y éste será gobernado por el Ayuntamiento bajo los ordenamientos previstos.</w:t>
      </w:r>
    </w:p>
    <w:p w14:paraId="03CE09F9"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p>
    <w:p w14:paraId="126157D9"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r w:rsidRPr="005E52E9">
        <w:rPr>
          <w:rFonts w:ascii="Palatino Linotype" w:eastAsia="Calibri" w:hAnsi="Palatino Linotype" w:cs="Tahoma"/>
          <w:bCs/>
          <w:sz w:val="24"/>
          <w:szCs w:val="24"/>
        </w:rPr>
        <w:t>En este entendido, los artículos 125 y 129 de dicho ordenamiento señalan de manera puntual lo siguiente:</w:t>
      </w:r>
    </w:p>
    <w:p w14:paraId="3B73D0C3"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p>
    <w:p w14:paraId="651C93C4" w14:textId="77777777" w:rsidR="005E52E9" w:rsidRPr="005E52E9" w:rsidRDefault="005E52E9" w:rsidP="005E52E9">
      <w:pPr>
        <w:spacing w:after="0" w:line="240" w:lineRule="auto"/>
        <w:ind w:left="705" w:right="567"/>
        <w:jc w:val="both"/>
        <w:rPr>
          <w:rFonts w:ascii="Palatino Linotype" w:eastAsia="Calibri" w:hAnsi="Palatino Linotype" w:cs="Tahoma"/>
          <w:bCs/>
          <w:i/>
          <w:szCs w:val="24"/>
        </w:rPr>
      </w:pPr>
      <w:r w:rsidRPr="005E52E9">
        <w:rPr>
          <w:rFonts w:ascii="Palatino Linotype" w:eastAsia="Calibri" w:hAnsi="Palatino Linotype" w:cs="Tahoma"/>
          <w:b/>
          <w:bCs/>
          <w:i/>
          <w:szCs w:val="24"/>
        </w:rPr>
        <w:t>Artículo 125.-</w:t>
      </w:r>
      <w:r w:rsidRPr="005E52E9">
        <w:rPr>
          <w:rFonts w:ascii="Palatino Linotype" w:eastAsia="Calibri" w:hAnsi="Palatino Linotype" w:cs="Tahoma"/>
          <w:bCs/>
          <w:i/>
          <w:szCs w:val="24"/>
        </w:rPr>
        <w:t xml:space="preserve"> </w:t>
      </w:r>
      <w:r w:rsidRPr="005E52E9">
        <w:rPr>
          <w:rFonts w:ascii="Palatino Linotype" w:eastAsia="Calibri" w:hAnsi="Palatino Linotype" w:cs="Tahoma"/>
          <w:bCs/>
          <w:i/>
          <w:szCs w:val="24"/>
          <w:u w:val="single"/>
        </w:rPr>
        <w:t>Los municipios administrarán libremente su hacienda, la cual se formará de los rendimientos de los bienes que les pertenezcan, así como de las contribuciones y otros ingresos que la ley establezca, y en todo caso</w:t>
      </w:r>
      <w:r w:rsidRPr="005E52E9">
        <w:rPr>
          <w:rFonts w:ascii="Palatino Linotype" w:eastAsia="Calibri" w:hAnsi="Palatino Linotype" w:cs="Tahoma"/>
          <w:bCs/>
          <w:i/>
          <w:szCs w:val="24"/>
        </w:rPr>
        <w:t>:</w:t>
      </w:r>
    </w:p>
    <w:p w14:paraId="145DB89F" w14:textId="77777777" w:rsidR="005E52E9" w:rsidRPr="005E52E9" w:rsidRDefault="005E52E9" w:rsidP="005E52E9">
      <w:pPr>
        <w:spacing w:after="0" w:line="240" w:lineRule="auto"/>
        <w:ind w:right="567" w:firstLine="708"/>
        <w:jc w:val="both"/>
        <w:rPr>
          <w:rFonts w:ascii="Palatino Linotype" w:eastAsia="Calibri" w:hAnsi="Palatino Linotype" w:cs="Tahoma"/>
          <w:bCs/>
          <w:i/>
          <w:szCs w:val="24"/>
        </w:rPr>
      </w:pPr>
      <w:r w:rsidRPr="005E52E9">
        <w:rPr>
          <w:rFonts w:ascii="Palatino Linotype" w:eastAsia="Calibri" w:hAnsi="Palatino Linotype" w:cs="Tahoma"/>
          <w:bCs/>
          <w:i/>
          <w:szCs w:val="24"/>
        </w:rPr>
        <w:t>…</w:t>
      </w:r>
    </w:p>
    <w:p w14:paraId="6A806D3F" w14:textId="77777777" w:rsidR="005E52E9" w:rsidRPr="005E52E9" w:rsidRDefault="005E52E9" w:rsidP="005E52E9">
      <w:pPr>
        <w:spacing w:after="0" w:line="240" w:lineRule="auto"/>
        <w:ind w:left="708" w:right="567"/>
        <w:jc w:val="both"/>
        <w:rPr>
          <w:rFonts w:ascii="Palatino Linotype" w:eastAsia="Calibri" w:hAnsi="Palatino Linotype" w:cs="Tahoma"/>
          <w:bCs/>
          <w:i/>
          <w:szCs w:val="24"/>
        </w:rPr>
      </w:pPr>
      <w:r w:rsidRPr="005E52E9">
        <w:rPr>
          <w:rFonts w:ascii="Palatino Linotype" w:eastAsia="Calibri" w:hAnsi="Palatino Linotype" w:cs="Tahoma"/>
          <w:bCs/>
          <w:i/>
          <w:szCs w:val="24"/>
          <w:u w:val="single"/>
        </w:rPr>
        <w:lastRenderedPageBreak/>
        <w:t>Los recursos que integran la hacienda municipal serán ejercidos en forma directa por los ayuntamientos, o por quien ellos autoricen, conforme a la ley</w:t>
      </w:r>
      <w:r w:rsidRPr="005E52E9">
        <w:rPr>
          <w:rFonts w:ascii="Palatino Linotype" w:eastAsia="Calibri" w:hAnsi="Palatino Linotype" w:cs="Tahoma"/>
          <w:bCs/>
          <w:i/>
          <w:szCs w:val="24"/>
        </w:rPr>
        <w:t>.</w:t>
      </w:r>
    </w:p>
    <w:p w14:paraId="5BEC00A6" w14:textId="77777777" w:rsidR="005E52E9" w:rsidRPr="005E52E9" w:rsidRDefault="005E52E9" w:rsidP="005E52E9">
      <w:pPr>
        <w:spacing w:after="0" w:line="240" w:lineRule="auto"/>
        <w:ind w:left="708" w:right="567"/>
        <w:jc w:val="both"/>
        <w:rPr>
          <w:rFonts w:ascii="Palatino Linotype" w:eastAsia="Calibri" w:hAnsi="Palatino Linotype" w:cs="Tahoma"/>
          <w:bCs/>
          <w:i/>
          <w:szCs w:val="24"/>
        </w:rPr>
      </w:pPr>
      <w:r w:rsidRPr="005E52E9">
        <w:rPr>
          <w:rFonts w:ascii="Palatino Linotype" w:eastAsia="Calibri" w:hAnsi="Palatino Linotype" w:cs="Tahoma"/>
          <w:bCs/>
          <w:i/>
          <w:szCs w:val="24"/>
        </w:rPr>
        <w:t>…</w:t>
      </w:r>
    </w:p>
    <w:p w14:paraId="07E1B653" w14:textId="77777777" w:rsidR="005E52E9" w:rsidRPr="005E52E9" w:rsidRDefault="005E52E9" w:rsidP="005E52E9">
      <w:pPr>
        <w:spacing w:after="0" w:line="240" w:lineRule="auto"/>
        <w:ind w:right="567"/>
        <w:jc w:val="both"/>
        <w:rPr>
          <w:rFonts w:ascii="Palatino Linotype" w:eastAsia="Calibri" w:hAnsi="Palatino Linotype" w:cs="Tahoma"/>
          <w:bCs/>
          <w:szCs w:val="24"/>
        </w:rPr>
      </w:pPr>
    </w:p>
    <w:p w14:paraId="791C55B5" w14:textId="7DADEE8E" w:rsidR="005E52E9" w:rsidRPr="005E52E9" w:rsidRDefault="005E52E9" w:rsidP="005E52E9">
      <w:pPr>
        <w:spacing w:after="0" w:line="240" w:lineRule="auto"/>
        <w:ind w:left="705" w:right="567"/>
        <w:jc w:val="both"/>
        <w:rPr>
          <w:rFonts w:ascii="Palatino Linotype" w:eastAsia="Calibri" w:hAnsi="Palatino Linotype" w:cs="Tahoma"/>
          <w:bCs/>
          <w:i/>
          <w:szCs w:val="24"/>
          <w:u w:val="single"/>
        </w:rPr>
      </w:pPr>
      <w:r w:rsidRPr="005E52E9">
        <w:rPr>
          <w:rFonts w:ascii="Palatino Linotype" w:eastAsia="Calibri" w:hAnsi="Palatino Linotype" w:cs="Tahoma"/>
          <w:b/>
          <w:bCs/>
          <w:i/>
          <w:szCs w:val="24"/>
        </w:rPr>
        <w:t>Artículo 129.-</w:t>
      </w:r>
      <w:r w:rsidRPr="005E52E9">
        <w:rPr>
          <w:rFonts w:ascii="Palatino Linotype" w:eastAsia="Calibri" w:hAnsi="Palatino Linotype" w:cs="Tahoma"/>
          <w:bCs/>
          <w:i/>
          <w:szCs w:val="24"/>
        </w:rPr>
        <w:t xml:space="preserve"> </w:t>
      </w:r>
      <w:r w:rsidRPr="005E52E9">
        <w:rPr>
          <w:rFonts w:ascii="Palatino Linotype" w:eastAsia="Calibri" w:hAnsi="Palatino Linotype" w:cs="Tahoma"/>
          <w:bCs/>
          <w:i/>
          <w:szCs w:val="24"/>
          <w:u w:val="single"/>
        </w:rPr>
        <w:t>Los recursos económicos</w:t>
      </w:r>
      <w:r w:rsidRPr="005E52E9">
        <w:rPr>
          <w:rFonts w:ascii="Palatino Linotype" w:eastAsia="Calibri" w:hAnsi="Palatino Linotype" w:cs="Tahoma"/>
          <w:bCs/>
          <w:i/>
          <w:szCs w:val="24"/>
        </w:rPr>
        <w:t xml:space="preserve"> del Estado, de los municipios, así como de los organismos autónomos</w:t>
      </w:r>
      <w:r w:rsidRPr="005E52E9">
        <w:rPr>
          <w:rFonts w:ascii="Palatino Linotype" w:eastAsia="Calibri" w:hAnsi="Palatino Linotype" w:cs="Tahoma"/>
          <w:bCs/>
          <w:i/>
          <w:szCs w:val="24"/>
          <w:u w:val="single"/>
        </w:rPr>
        <w:t>, se administrarán con eficiencia, eficacia y honradez, para cumplir con los objetivos y programas a los que estén destinados</w:t>
      </w:r>
      <w:r w:rsidRPr="005E52E9">
        <w:rPr>
          <w:rFonts w:ascii="Palatino Linotype" w:eastAsia="Calibri" w:hAnsi="Palatino Linotype" w:cs="Tahoma"/>
          <w:bCs/>
          <w:i/>
          <w:szCs w:val="24"/>
        </w:rPr>
        <w:t>.</w:t>
      </w:r>
      <w:r w:rsidRPr="005E52E9">
        <w:rPr>
          <w:rFonts w:ascii="Palatino Linotype" w:eastAsia="Calibri" w:hAnsi="Palatino Linotype" w:cs="Tahoma"/>
          <w:bCs/>
          <w:i/>
          <w:szCs w:val="24"/>
        </w:rPr>
        <w:cr/>
      </w:r>
      <w:r>
        <w:rPr>
          <w:rFonts w:ascii="Palatino Linotype" w:eastAsia="Calibri" w:hAnsi="Palatino Linotype" w:cs="Tahoma"/>
          <w:bCs/>
          <w:i/>
          <w:szCs w:val="24"/>
        </w:rPr>
        <w:t>(</w:t>
      </w:r>
      <w:r w:rsidRPr="005E52E9">
        <w:rPr>
          <w:rFonts w:ascii="Palatino Linotype" w:eastAsia="Calibri" w:hAnsi="Palatino Linotype" w:cs="Tahoma"/>
          <w:bCs/>
          <w:i/>
          <w:szCs w:val="24"/>
        </w:rPr>
        <w:t>…</w:t>
      </w:r>
      <w:r>
        <w:rPr>
          <w:rFonts w:ascii="Palatino Linotype" w:eastAsia="Calibri" w:hAnsi="Palatino Linotype" w:cs="Tahoma"/>
          <w:bCs/>
          <w:i/>
          <w:szCs w:val="24"/>
        </w:rPr>
        <w:t>)</w:t>
      </w:r>
    </w:p>
    <w:p w14:paraId="4F10EC80" w14:textId="77777777" w:rsidR="005E52E9" w:rsidRPr="005E52E9" w:rsidRDefault="005E52E9" w:rsidP="005E52E9">
      <w:pPr>
        <w:spacing w:after="0" w:line="240" w:lineRule="auto"/>
        <w:ind w:left="705" w:right="567"/>
        <w:jc w:val="both"/>
        <w:rPr>
          <w:rFonts w:ascii="Palatino Linotype" w:hAnsi="Palatino Linotype"/>
          <w:i/>
          <w:szCs w:val="24"/>
          <w:u w:val="single"/>
        </w:rPr>
      </w:pPr>
      <w:r w:rsidRPr="005E52E9">
        <w:rPr>
          <w:rFonts w:ascii="Palatino Linotype" w:hAnsi="Palatino Linotype"/>
          <w:i/>
          <w:szCs w:val="24"/>
          <w:u w:val="single"/>
        </w:rPr>
        <w:t>Todos los pagos se harán mediante orden escrita en la que se expresará la partida del presupuesto a cargo de la cual se realicen.</w:t>
      </w:r>
    </w:p>
    <w:p w14:paraId="574DCC21" w14:textId="376E691C" w:rsidR="005E52E9" w:rsidRPr="005E52E9" w:rsidRDefault="005E52E9" w:rsidP="005E52E9">
      <w:pPr>
        <w:spacing w:after="0" w:line="240" w:lineRule="auto"/>
        <w:ind w:left="705" w:right="567"/>
        <w:jc w:val="both"/>
        <w:rPr>
          <w:rFonts w:ascii="Palatino Linotype" w:eastAsia="Calibri" w:hAnsi="Palatino Linotype" w:cs="Tahoma"/>
          <w:bCs/>
          <w:i/>
          <w:szCs w:val="24"/>
        </w:rPr>
      </w:pPr>
      <w:r>
        <w:rPr>
          <w:rFonts w:ascii="Palatino Linotype" w:hAnsi="Palatino Linotype"/>
          <w:i/>
          <w:szCs w:val="24"/>
        </w:rPr>
        <w:t>(</w:t>
      </w:r>
      <w:r w:rsidRPr="005E52E9">
        <w:rPr>
          <w:rFonts w:ascii="Palatino Linotype" w:hAnsi="Palatino Linotype"/>
          <w:i/>
          <w:szCs w:val="24"/>
        </w:rPr>
        <w:t>…</w:t>
      </w:r>
      <w:r>
        <w:rPr>
          <w:rFonts w:ascii="Palatino Linotype" w:hAnsi="Palatino Linotype"/>
          <w:i/>
          <w:szCs w:val="24"/>
        </w:rPr>
        <w:t>)</w:t>
      </w:r>
    </w:p>
    <w:p w14:paraId="5E9D01D3" w14:textId="77777777" w:rsidR="005E52E9" w:rsidRPr="005E52E9" w:rsidRDefault="005E52E9" w:rsidP="005E52E9">
      <w:pPr>
        <w:spacing w:after="0" w:line="240" w:lineRule="auto"/>
        <w:ind w:right="567"/>
        <w:jc w:val="right"/>
        <w:rPr>
          <w:rFonts w:ascii="Palatino Linotype" w:eastAsia="Calibri" w:hAnsi="Palatino Linotype" w:cs="Tahoma"/>
          <w:b/>
          <w:bCs/>
          <w:i/>
          <w:sz w:val="18"/>
          <w:szCs w:val="24"/>
        </w:rPr>
      </w:pPr>
      <w:r w:rsidRPr="005E52E9">
        <w:rPr>
          <w:rFonts w:ascii="Palatino Linotype" w:eastAsia="Calibri" w:hAnsi="Palatino Linotype" w:cs="Tahoma"/>
          <w:bCs/>
          <w:szCs w:val="24"/>
        </w:rPr>
        <w:tab/>
      </w:r>
      <w:r w:rsidRPr="005E52E9">
        <w:rPr>
          <w:rFonts w:ascii="Palatino Linotype" w:eastAsia="Calibri" w:hAnsi="Palatino Linotype" w:cs="Tahoma"/>
          <w:b/>
          <w:bCs/>
          <w:i/>
          <w:sz w:val="18"/>
          <w:szCs w:val="24"/>
        </w:rPr>
        <w:t>(Énfasis añadido)</w:t>
      </w:r>
    </w:p>
    <w:p w14:paraId="485BF4D0" w14:textId="77777777" w:rsidR="005E52E9" w:rsidRPr="005E52E9" w:rsidRDefault="005E52E9" w:rsidP="005E52E9">
      <w:pPr>
        <w:spacing w:after="0" w:line="360" w:lineRule="auto"/>
        <w:ind w:right="-93"/>
        <w:jc w:val="both"/>
        <w:rPr>
          <w:rFonts w:ascii="Palatino Linotype" w:eastAsia="Calibri" w:hAnsi="Palatino Linotype" w:cs="Tahoma"/>
          <w:b/>
          <w:bCs/>
          <w:sz w:val="24"/>
          <w:szCs w:val="24"/>
        </w:rPr>
      </w:pPr>
    </w:p>
    <w:p w14:paraId="0ACB9E64"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r w:rsidRPr="005E52E9">
        <w:rPr>
          <w:rFonts w:ascii="Palatino Linotype" w:eastAsia="Calibri" w:hAnsi="Palatino Linotype" w:cs="Tahoma"/>
          <w:bCs/>
          <w:sz w:val="24"/>
          <w:szCs w:val="24"/>
        </w:rPr>
        <w:t>De los preceptos citados, se observa que los Municipios cuentan con la atribución de administrar libremente su hacienda y, por ende, sus recursos.</w:t>
      </w:r>
    </w:p>
    <w:p w14:paraId="4088191A"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p>
    <w:p w14:paraId="4037CBD1" w14:textId="77777777" w:rsidR="005E52E9" w:rsidRPr="005E52E9" w:rsidRDefault="005E52E9" w:rsidP="005E52E9">
      <w:pPr>
        <w:spacing w:after="0" w:line="360" w:lineRule="auto"/>
        <w:ind w:right="-93"/>
        <w:jc w:val="both"/>
        <w:rPr>
          <w:rFonts w:ascii="Palatino Linotype" w:eastAsia="Calibri" w:hAnsi="Palatino Linotype" w:cs="Tahoma"/>
          <w:bCs/>
          <w:sz w:val="24"/>
          <w:szCs w:val="24"/>
        </w:rPr>
      </w:pPr>
      <w:r w:rsidRPr="005E52E9">
        <w:rPr>
          <w:rFonts w:ascii="Palatino Linotype" w:eastAsia="Calibri" w:hAnsi="Palatino Linotype" w:cs="Tahoma"/>
          <w:bCs/>
          <w:sz w:val="24"/>
          <w:szCs w:val="24"/>
        </w:rPr>
        <w:t>Bajo este mismo orden de ideas, la Ley Orgánica Municipal del Estado de México, señala en sus diversos artículos lo siguiente:</w:t>
      </w:r>
    </w:p>
    <w:p w14:paraId="3792F4CE" w14:textId="77777777" w:rsidR="005E52E9" w:rsidRPr="005E52E9" w:rsidRDefault="005E52E9" w:rsidP="005E52E9">
      <w:pPr>
        <w:pStyle w:val="Sinespaciado"/>
        <w:rPr>
          <w:rFonts w:eastAsia="Calibri"/>
        </w:rPr>
      </w:pPr>
    </w:p>
    <w:p w14:paraId="1BC6618C" w14:textId="77777777" w:rsidR="005E52E9" w:rsidRPr="005E52E9" w:rsidRDefault="005E52E9" w:rsidP="005E52E9">
      <w:pPr>
        <w:spacing w:after="0" w:line="240" w:lineRule="auto"/>
        <w:ind w:left="567" w:right="567"/>
        <w:jc w:val="both"/>
        <w:rPr>
          <w:rFonts w:ascii="Palatino Linotype" w:eastAsia="Calibri" w:hAnsi="Palatino Linotype" w:cs="Tahoma"/>
          <w:bCs/>
          <w:i/>
          <w:szCs w:val="24"/>
        </w:rPr>
      </w:pPr>
      <w:r w:rsidRPr="005E52E9">
        <w:rPr>
          <w:rFonts w:ascii="Palatino Linotype" w:eastAsia="Calibri" w:hAnsi="Palatino Linotype" w:cs="Tahoma"/>
          <w:bCs/>
          <w:sz w:val="24"/>
          <w:szCs w:val="24"/>
        </w:rPr>
        <w:tab/>
      </w:r>
      <w:r w:rsidRPr="005E52E9">
        <w:rPr>
          <w:rFonts w:ascii="Palatino Linotype" w:hAnsi="Palatino Linotype"/>
          <w:b/>
          <w:i/>
          <w:szCs w:val="24"/>
        </w:rPr>
        <w:t>Artículo 31.-</w:t>
      </w:r>
      <w:r w:rsidRPr="005E52E9">
        <w:rPr>
          <w:rFonts w:ascii="Palatino Linotype" w:hAnsi="Palatino Linotype"/>
          <w:i/>
          <w:szCs w:val="24"/>
        </w:rPr>
        <w:t xml:space="preserve"> </w:t>
      </w:r>
      <w:r w:rsidRPr="005E52E9">
        <w:rPr>
          <w:rFonts w:ascii="Palatino Linotype" w:hAnsi="Palatino Linotype"/>
          <w:i/>
          <w:szCs w:val="24"/>
          <w:u w:val="single"/>
        </w:rPr>
        <w:t>Son atribuciones de los ayuntamientos</w:t>
      </w:r>
      <w:r w:rsidRPr="005E52E9">
        <w:rPr>
          <w:rFonts w:ascii="Palatino Linotype" w:hAnsi="Palatino Linotype"/>
          <w:i/>
          <w:szCs w:val="24"/>
        </w:rPr>
        <w:t>:</w:t>
      </w:r>
    </w:p>
    <w:p w14:paraId="2499021E" w14:textId="560D3FE4" w:rsidR="005E52E9" w:rsidRPr="005E52E9" w:rsidRDefault="005E52E9" w:rsidP="005E52E9">
      <w:pPr>
        <w:spacing w:after="0" w:line="240" w:lineRule="auto"/>
        <w:ind w:left="567" w:right="567"/>
        <w:jc w:val="both"/>
        <w:rPr>
          <w:rFonts w:ascii="Palatino Linotype" w:eastAsia="Calibri" w:hAnsi="Palatino Linotype" w:cs="Tahoma"/>
          <w:bCs/>
          <w:i/>
          <w:szCs w:val="24"/>
        </w:rPr>
      </w:pPr>
      <w:r w:rsidRPr="005E52E9">
        <w:rPr>
          <w:rFonts w:ascii="Palatino Linotype" w:eastAsia="Calibri" w:hAnsi="Palatino Linotype" w:cs="Tahoma"/>
          <w:bCs/>
          <w:i/>
          <w:szCs w:val="24"/>
        </w:rPr>
        <w:tab/>
      </w:r>
      <w:r>
        <w:rPr>
          <w:rFonts w:ascii="Palatino Linotype" w:eastAsia="Calibri" w:hAnsi="Palatino Linotype" w:cs="Tahoma"/>
          <w:bCs/>
          <w:i/>
          <w:szCs w:val="24"/>
        </w:rPr>
        <w:t>(</w:t>
      </w:r>
      <w:r w:rsidRPr="005E52E9">
        <w:rPr>
          <w:rFonts w:ascii="Palatino Linotype" w:eastAsia="Calibri" w:hAnsi="Palatino Linotype" w:cs="Tahoma"/>
          <w:bCs/>
          <w:i/>
          <w:szCs w:val="24"/>
        </w:rPr>
        <w:t>…</w:t>
      </w:r>
      <w:r>
        <w:rPr>
          <w:rFonts w:ascii="Palatino Linotype" w:eastAsia="Calibri" w:hAnsi="Palatino Linotype" w:cs="Tahoma"/>
          <w:bCs/>
          <w:i/>
          <w:szCs w:val="24"/>
        </w:rPr>
        <w:t>)</w:t>
      </w:r>
    </w:p>
    <w:p w14:paraId="1CF2EC9A" w14:textId="77777777" w:rsidR="005E52E9" w:rsidRPr="005E52E9" w:rsidRDefault="005E52E9" w:rsidP="005E52E9">
      <w:pPr>
        <w:spacing w:after="0" w:line="240" w:lineRule="auto"/>
        <w:ind w:left="567" w:right="567"/>
        <w:jc w:val="both"/>
        <w:rPr>
          <w:rFonts w:ascii="Palatino Linotype" w:hAnsi="Palatino Linotype"/>
          <w:i/>
          <w:szCs w:val="24"/>
        </w:rPr>
      </w:pPr>
      <w:r w:rsidRPr="005E52E9">
        <w:rPr>
          <w:rFonts w:ascii="Palatino Linotype" w:hAnsi="Palatino Linotype"/>
          <w:b/>
          <w:i/>
          <w:szCs w:val="24"/>
        </w:rPr>
        <w:t>XVIII.</w:t>
      </w:r>
      <w:r w:rsidRPr="005E52E9">
        <w:rPr>
          <w:rFonts w:ascii="Palatino Linotype" w:hAnsi="Palatino Linotype"/>
          <w:i/>
          <w:szCs w:val="24"/>
        </w:rPr>
        <w:t xml:space="preserve"> </w:t>
      </w:r>
      <w:r w:rsidRPr="005E52E9">
        <w:rPr>
          <w:rFonts w:ascii="Palatino Linotype" w:hAnsi="Palatino Linotype"/>
          <w:b/>
          <w:i/>
          <w:szCs w:val="24"/>
          <w:u w:val="single"/>
        </w:rPr>
        <w:t>Administrar su hacienda en términos de ley, y controlar a través del presidente y síndico la aplicación del presupuesto de egresos del municipio</w:t>
      </w:r>
      <w:r w:rsidRPr="005E52E9">
        <w:rPr>
          <w:rFonts w:ascii="Palatino Linotype" w:hAnsi="Palatino Linotype"/>
          <w:i/>
          <w:szCs w:val="24"/>
        </w:rPr>
        <w:t>;</w:t>
      </w:r>
    </w:p>
    <w:p w14:paraId="2E6B9029" w14:textId="1DE562A1" w:rsidR="005E52E9" w:rsidRPr="005E52E9" w:rsidRDefault="005E52E9" w:rsidP="005E52E9">
      <w:pPr>
        <w:spacing w:after="0" w:line="240" w:lineRule="auto"/>
        <w:ind w:left="567" w:right="567"/>
        <w:jc w:val="both"/>
        <w:rPr>
          <w:rFonts w:ascii="Palatino Linotype" w:eastAsia="Calibri" w:hAnsi="Palatino Linotype" w:cs="Tahoma"/>
          <w:bCs/>
          <w:i/>
          <w:szCs w:val="24"/>
        </w:rPr>
      </w:pPr>
      <w:r>
        <w:rPr>
          <w:rFonts w:ascii="Palatino Linotype" w:hAnsi="Palatino Linotype"/>
          <w:b/>
          <w:i/>
          <w:szCs w:val="24"/>
        </w:rPr>
        <w:t>(</w:t>
      </w:r>
      <w:r w:rsidRPr="005E52E9">
        <w:rPr>
          <w:rFonts w:ascii="Palatino Linotype" w:hAnsi="Palatino Linotype"/>
          <w:b/>
          <w:i/>
          <w:szCs w:val="24"/>
        </w:rPr>
        <w:t>…</w:t>
      </w:r>
      <w:r>
        <w:rPr>
          <w:rFonts w:ascii="Palatino Linotype" w:hAnsi="Palatino Linotype"/>
          <w:b/>
          <w:i/>
          <w:szCs w:val="24"/>
        </w:rPr>
        <w:t>)</w:t>
      </w:r>
    </w:p>
    <w:p w14:paraId="6F8641EB" w14:textId="77777777" w:rsidR="005E52E9" w:rsidRPr="005E52E9" w:rsidRDefault="005E52E9" w:rsidP="005E52E9">
      <w:pPr>
        <w:spacing w:after="0" w:line="240" w:lineRule="auto"/>
        <w:ind w:left="567" w:right="567"/>
        <w:jc w:val="both"/>
        <w:rPr>
          <w:rFonts w:ascii="Palatino Linotype" w:eastAsia="Calibri" w:hAnsi="Palatino Linotype" w:cs="Tahoma"/>
          <w:bCs/>
          <w:szCs w:val="24"/>
        </w:rPr>
      </w:pPr>
    </w:p>
    <w:p w14:paraId="0C9BCA16" w14:textId="77777777" w:rsidR="005E52E9" w:rsidRDefault="005E52E9" w:rsidP="005E52E9">
      <w:pPr>
        <w:spacing w:after="0" w:line="240" w:lineRule="auto"/>
        <w:ind w:right="567" w:firstLine="567"/>
        <w:jc w:val="both"/>
        <w:rPr>
          <w:rFonts w:ascii="Palatino Linotype" w:hAnsi="Palatino Linotype"/>
          <w:i/>
          <w:szCs w:val="24"/>
        </w:rPr>
      </w:pPr>
      <w:r w:rsidRPr="005E52E9">
        <w:rPr>
          <w:rFonts w:ascii="Palatino Linotype" w:hAnsi="Palatino Linotype"/>
          <w:b/>
          <w:i/>
          <w:szCs w:val="24"/>
        </w:rPr>
        <w:t xml:space="preserve">Artículo 95.- </w:t>
      </w:r>
      <w:r w:rsidRPr="005E52E9">
        <w:rPr>
          <w:rFonts w:ascii="Palatino Linotype" w:hAnsi="Palatino Linotype"/>
          <w:i/>
          <w:szCs w:val="24"/>
          <w:u w:val="single"/>
        </w:rPr>
        <w:t>Son atribuciones del tesorero municipal</w:t>
      </w:r>
      <w:r w:rsidRPr="005E52E9">
        <w:rPr>
          <w:rFonts w:ascii="Palatino Linotype" w:hAnsi="Palatino Linotype"/>
          <w:i/>
          <w:szCs w:val="24"/>
        </w:rPr>
        <w:t>:</w:t>
      </w:r>
    </w:p>
    <w:p w14:paraId="0FE21A5A" w14:textId="77777777" w:rsidR="005E52E9" w:rsidRPr="005E52E9" w:rsidRDefault="005E52E9" w:rsidP="005E52E9">
      <w:pPr>
        <w:spacing w:after="0" w:line="240" w:lineRule="auto"/>
        <w:ind w:right="567" w:firstLine="567"/>
        <w:jc w:val="both"/>
        <w:rPr>
          <w:rFonts w:ascii="Palatino Linotype" w:hAnsi="Palatino Linotype"/>
          <w:i/>
          <w:szCs w:val="24"/>
          <w:u w:val="single"/>
        </w:rPr>
      </w:pPr>
    </w:p>
    <w:p w14:paraId="4FA46F41" w14:textId="77777777" w:rsidR="005E52E9" w:rsidRPr="005E52E9" w:rsidRDefault="005E52E9" w:rsidP="005E52E9">
      <w:pPr>
        <w:spacing w:after="0" w:line="240" w:lineRule="auto"/>
        <w:ind w:left="567" w:right="567"/>
        <w:jc w:val="both"/>
        <w:rPr>
          <w:rFonts w:ascii="Palatino Linotype" w:hAnsi="Palatino Linotype"/>
          <w:i/>
          <w:szCs w:val="24"/>
        </w:rPr>
      </w:pPr>
      <w:r w:rsidRPr="005E52E9">
        <w:rPr>
          <w:rFonts w:ascii="Palatino Linotype" w:hAnsi="Palatino Linotype"/>
          <w:i/>
          <w:szCs w:val="24"/>
        </w:rPr>
        <w:t xml:space="preserve">I. </w:t>
      </w:r>
      <w:r w:rsidRPr="005E52E9">
        <w:rPr>
          <w:rFonts w:ascii="Palatino Linotype" w:hAnsi="Palatino Linotype"/>
          <w:b/>
          <w:i/>
          <w:szCs w:val="24"/>
          <w:u w:val="single"/>
        </w:rPr>
        <w:t>Administrar la hacienda pública municipal, de conformidad con las disposiciones legales aplicables</w:t>
      </w:r>
      <w:r w:rsidRPr="005E52E9">
        <w:rPr>
          <w:rFonts w:ascii="Palatino Linotype" w:hAnsi="Palatino Linotype"/>
          <w:i/>
          <w:szCs w:val="24"/>
        </w:rPr>
        <w:t>;</w:t>
      </w:r>
    </w:p>
    <w:p w14:paraId="724CF278" w14:textId="6243CCC7" w:rsidR="005E52E9" w:rsidRPr="005E52E9" w:rsidRDefault="005E52E9" w:rsidP="005E52E9">
      <w:pPr>
        <w:spacing w:after="0" w:line="240" w:lineRule="auto"/>
        <w:ind w:right="567" w:firstLine="567"/>
        <w:jc w:val="both"/>
        <w:rPr>
          <w:rFonts w:ascii="Palatino Linotype" w:hAnsi="Palatino Linotype"/>
          <w:i/>
          <w:szCs w:val="24"/>
        </w:rPr>
      </w:pPr>
      <w:r>
        <w:rPr>
          <w:rFonts w:ascii="Palatino Linotype" w:hAnsi="Palatino Linotype"/>
          <w:i/>
          <w:szCs w:val="24"/>
        </w:rPr>
        <w:t>(</w:t>
      </w:r>
      <w:r w:rsidRPr="005E52E9">
        <w:rPr>
          <w:rFonts w:ascii="Palatino Linotype" w:hAnsi="Palatino Linotype"/>
          <w:i/>
          <w:szCs w:val="24"/>
        </w:rPr>
        <w:t>…</w:t>
      </w:r>
      <w:r>
        <w:rPr>
          <w:rFonts w:ascii="Palatino Linotype" w:hAnsi="Palatino Linotype"/>
          <w:i/>
          <w:szCs w:val="24"/>
        </w:rPr>
        <w:t>)</w:t>
      </w:r>
    </w:p>
    <w:p w14:paraId="254A8854" w14:textId="6C75B832" w:rsidR="005E52E9" w:rsidRPr="005E52E9" w:rsidRDefault="005E52E9" w:rsidP="005E52E9">
      <w:pPr>
        <w:spacing w:after="0" w:line="240" w:lineRule="auto"/>
        <w:ind w:left="567" w:right="567"/>
        <w:jc w:val="both"/>
        <w:rPr>
          <w:rFonts w:ascii="Palatino Linotype" w:hAnsi="Palatino Linotype"/>
          <w:b/>
          <w:i/>
          <w:szCs w:val="24"/>
          <w:u w:val="single"/>
        </w:rPr>
      </w:pPr>
      <w:r w:rsidRPr="005E52E9">
        <w:rPr>
          <w:rFonts w:ascii="Palatino Linotype" w:hAnsi="Palatino Linotype"/>
          <w:i/>
          <w:szCs w:val="24"/>
        </w:rPr>
        <w:t xml:space="preserve">IV. </w:t>
      </w:r>
      <w:r w:rsidRPr="005E52E9">
        <w:rPr>
          <w:rFonts w:ascii="Palatino Linotype" w:hAnsi="Palatino Linotype"/>
          <w:b/>
          <w:i/>
          <w:szCs w:val="24"/>
          <w:u w:val="single"/>
        </w:rPr>
        <w:t>Llevar los registros contables, financieros y administrativos de los ingresos, egresos, e</w:t>
      </w:r>
      <w:r>
        <w:rPr>
          <w:rFonts w:ascii="Palatino Linotype" w:hAnsi="Palatino Linotype"/>
          <w:b/>
          <w:i/>
          <w:szCs w:val="24"/>
          <w:u w:val="single"/>
        </w:rPr>
        <w:t xml:space="preserve"> </w:t>
      </w:r>
      <w:r w:rsidRPr="005E52E9">
        <w:rPr>
          <w:rFonts w:ascii="Palatino Linotype" w:hAnsi="Palatino Linotype"/>
          <w:b/>
          <w:i/>
          <w:szCs w:val="24"/>
          <w:u w:val="single"/>
        </w:rPr>
        <w:t>inventarios</w:t>
      </w:r>
      <w:r w:rsidRPr="005E52E9">
        <w:rPr>
          <w:rFonts w:ascii="Palatino Linotype" w:hAnsi="Palatino Linotype"/>
          <w:i/>
          <w:szCs w:val="24"/>
        </w:rPr>
        <w:t>;</w:t>
      </w:r>
    </w:p>
    <w:p w14:paraId="375CD56F" w14:textId="3847CE25" w:rsidR="005E52E9" w:rsidRPr="005E52E9" w:rsidRDefault="005E52E9" w:rsidP="005E52E9">
      <w:pPr>
        <w:spacing w:after="0" w:line="240" w:lineRule="auto"/>
        <w:ind w:right="567" w:firstLine="567"/>
        <w:jc w:val="both"/>
        <w:rPr>
          <w:rFonts w:ascii="Palatino Linotype" w:hAnsi="Palatino Linotype"/>
          <w:i/>
          <w:szCs w:val="24"/>
        </w:rPr>
      </w:pPr>
      <w:r>
        <w:rPr>
          <w:rFonts w:ascii="Palatino Linotype" w:hAnsi="Palatino Linotype"/>
          <w:i/>
          <w:szCs w:val="24"/>
        </w:rPr>
        <w:t>(</w:t>
      </w:r>
      <w:r w:rsidRPr="005E52E9">
        <w:rPr>
          <w:rFonts w:ascii="Palatino Linotype" w:hAnsi="Palatino Linotype"/>
          <w:i/>
          <w:szCs w:val="24"/>
        </w:rPr>
        <w:t>…</w:t>
      </w:r>
      <w:r>
        <w:rPr>
          <w:rFonts w:ascii="Palatino Linotype" w:hAnsi="Palatino Linotype"/>
          <w:i/>
          <w:szCs w:val="24"/>
        </w:rPr>
        <w:t>)</w:t>
      </w:r>
    </w:p>
    <w:p w14:paraId="7F74D1C5" w14:textId="77777777" w:rsidR="005E52E9" w:rsidRPr="005E52E9" w:rsidRDefault="005E52E9" w:rsidP="005E52E9">
      <w:pPr>
        <w:spacing w:after="0" w:line="240" w:lineRule="auto"/>
        <w:ind w:left="567" w:right="567" w:firstLine="708"/>
        <w:jc w:val="right"/>
        <w:rPr>
          <w:rFonts w:ascii="Palatino Linotype" w:eastAsia="Calibri" w:hAnsi="Palatino Linotype" w:cs="Tahoma"/>
          <w:b/>
          <w:bCs/>
          <w:i/>
          <w:sz w:val="18"/>
          <w:szCs w:val="24"/>
        </w:rPr>
      </w:pPr>
      <w:r w:rsidRPr="005E52E9">
        <w:rPr>
          <w:rFonts w:ascii="Palatino Linotype" w:eastAsia="Calibri" w:hAnsi="Palatino Linotype" w:cs="Tahoma"/>
          <w:b/>
          <w:bCs/>
          <w:i/>
          <w:sz w:val="18"/>
          <w:szCs w:val="24"/>
        </w:rPr>
        <w:t>(Énfasis añadido)</w:t>
      </w:r>
    </w:p>
    <w:p w14:paraId="3FA07996" w14:textId="77777777" w:rsidR="005E52E9" w:rsidRPr="005E52E9" w:rsidRDefault="005E52E9" w:rsidP="005E52E9">
      <w:pPr>
        <w:spacing w:after="0" w:line="360" w:lineRule="auto"/>
        <w:ind w:right="-93"/>
        <w:jc w:val="both"/>
        <w:rPr>
          <w:rFonts w:ascii="Palatino Linotype" w:hAnsi="Palatino Linotype"/>
          <w:sz w:val="24"/>
          <w:szCs w:val="24"/>
        </w:rPr>
      </w:pPr>
    </w:p>
    <w:p w14:paraId="0A65559F" w14:textId="77777777" w:rsidR="005E52E9" w:rsidRPr="005E52E9" w:rsidRDefault="005E52E9" w:rsidP="005E52E9">
      <w:pPr>
        <w:spacing w:after="0" w:line="360" w:lineRule="auto"/>
        <w:ind w:right="-93"/>
        <w:jc w:val="both"/>
        <w:rPr>
          <w:rFonts w:ascii="Palatino Linotype" w:hAnsi="Palatino Linotype"/>
          <w:sz w:val="24"/>
          <w:szCs w:val="24"/>
        </w:rPr>
      </w:pPr>
      <w:r w:rsidRPr="005E52E9">
        <w:rPr>
          <w:rFonts w:ascii="Palatino Linotype" w:hAnsi="Palatino Linotype"/>
          <w:sz w:val="24"/>
          <w:szCs w:val="24"/>
        </w:rPr>
        <w:lastRenderedPageBreak/>
        <w:t>En efecto, de la interpretación a los preceptos señalados, cualquier egreso, como en este caso las donaciones o donativos realizados por el Sujeto Obligado, deben estar debidamente asentados y registrados a través del servidor público designado para ello, en el marco normativo aplicable, dicha atribución corresponde al Tesorero Municipal.</w:t>
      </w:r>
    </w:p>
    <w:p w14:paraId="6C927E57" w14:textId="77777777" w:rsidR="005E52E9" w:rsidRPr="005E52E9" w:rsidRDefault="005E52E9" w:rsidP="005E52E9">
      <w:pPr>
        <w:spacing w:after="0" w:line="360" w:lineRule="auto"/>
        <w:ind w:right="-93"/>
        <w:jc w:val="both"/>
        <w:rPr>
          <w:rFonts w:ascii="Palatino Linotype" w:hAnsi="Palatino Linotype"/>
          <w:sz w:val="24"/>
          <w:szCs w:val="24"/>
        </w:rPr>
      </w:pPr>
    </w:p>
    <w:p w14:paraId="4B05B7AE" w14:textId="77777777" w:rsidR="005E52E9" w:rsidRPr="005E52E9" w:rsidRDefault="005E52E9" w:rsidP="005E52E9">
      <w:pPr>
        <w:spacing w:after="0" w:line="360" w:lineRule="auto"/>
        <w:ind w:right="-93"/>
        <w:jc w:val="both"/>
        <w:rPr>
          <w:rFonts w:ascii="Palatino Linotype" w:hAnsi="Palatino Linotype"/>
          <w:sz w:val="24"/>
          <w:szCs w:val="24"/>
        </w:rPr>
      </w:pPr>
      <w:r w:rsidRPr="005E52E9">
        <w:rPr>
          <w:rFonts w:ascii="Palatino Linotype" w:hAnsi="Palatino Linotype"/>
          <w:sz w:val="24"/>
          <w:szCs w:val="24"/>
        </w:rPr>
        <w:t>Asimismo, el Código Financiero del Estado de México, señala de manera muy clara en su artículo 344, lo siguiente:</w:t>
      </w:r>
    </w:p>
    <w:p w14:paraId="35647397" w14:textId="77777777" w:rsidR="005E52E9" w:rsidRPr="005E52E9" w:rsidRDefault="005E52E9" w:rsidP="005E52E9">
      <w:pPr>
        <w:spacing w:after="0" w:line="360" w:lineRule="auto"/>
        <w:ind w:right="-93"/>
        <w:jc w:val="both"/>
        <w:rPr>
          <w:rFonts w:ascii="Palatino Linotype" w:hAnsi="Palatino Linotype"/>
          <w:sz w:val="24"/>
          <w:szCs w:val="24"/>
        </w:rPr>
      </w:pPr>
    </w:p>
    <w:p w14:paraId="69B3387A" w14:textId="77777777" w:rsidR="005E52E9" w:rsidRPr="005E52E9" w:rsidRDefault="005E52E9" w:rsidP="005E52E9">
      <w:pPr>
        <w:spacing w:after="0" w:line="240" w:lineRule="auto"/>
        <w:ind w:left="567" w:right="567"/>
        <w:jc w:val="both"/>
        <w:rPr>
          <w:rFonts w:ascii="Palatino Linotype" w:hAnsi="Palatino Linotype"/>
          <w:i/>
          <w:szCs w:val="24"/>
        </w:rPr>
      </w:pPr>
      <w:r w:rsidRPr="005E52E9">
        <w:rPr>
          <w:rFonts w:ascii="Palatino Linotype" w:hAnsi="Palatino Linotype"/>
          <w:b/>
          <w:i/>
          <w:szCs w:val="24"/>
        </w:rPr>
        <w:t xml:space="preserve">Artículo 344.- </w:t>
      </w:r>
      <w:r w:rsidRPr="005E52E9">
        <w:rPr>
          <w:rFonts w:ascii="Palatino Linotype" w:hAnsi="Palatino Linotype"/>
          <w:b/>
          <w:i/>
          <w:szCs w:val="24"/>
          <w:u w:val="single"/>
        </w:rPr>
        <w:t>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r w:rsidRPr="005E52E9">
        <w:rPr>
          <w:rFonts w:ascii="Palatino Linotype" w:hAnsi="Palatino Linotype"/>
          <w:i/>
          <w:szCs w:val="24"/>
        </w:rPr>
        <w:t>.</w:t>
      </w:r>
    </w:p>
    <w:p w14:paraId="1B8A8B3F" w14:textId="77777777" w:rsidR="005E52E9" w:rsidRPr="005E52E9" w:rsidRDefault="005E52E9" w:rsidP="005E52E9">
      <w:pPr>
        <w:spacing w:after="0" w:line="240" w:lineRule="auto"/>
        <w:ind w:left="567" w:right="567"/>
        <w:jc w:val="both"/>
        <w:rPr>
          <w:rFonts w:ascii="Palatino Linotype" w:hAnsi="Palatino Linotype"/>
          <w:i/>
          <w:szCs w:val="24"/>
        </w:rPr>
      </w:pPr>
      <w:r w:rsidRPr="005E52E9">
        <w:rPr>
          <w:rFonts w:ascii="Palatino Linotype" w:hAnsi="Palatino Linotype"/>
          <w:i/>
          <w:szCs w:val="24"/>
        </w:rPr>
        <w:t>…</w:t>
      </w:r>
    </w:p>
    <w:p w14:paraId="2D0CAB15" w14:textId="77777777" w:rsidR="005E52E9" w:rsidRPr="005E52E9" w:rsidRDefault="005E52E9" w:rsidP="005E52E9">
      <w:pPr>
        <w:spacing w:after="0" w:line="240" w:lineRule="auto"/>
        <w:ind w:left="567" w:right="567"/>
        <w:jc w:val="both"/>
        <w:rPr>
          <w:rFonts w:ascii="Palatino Linotype" w:hAnsi="Palatino Linotype"/>
          <w:i/>
          <w:szCs w:val="24"/>
        </w:rPr>
      </w:pPr>
      <w:r w:rsidRPr="005E52E9">
        <w:rPr>
          <w:rFonts w:ascii="Palatino Linotype" w:hAnsi="Palatino Linotype"/>
          <w:b/>
          <w:i/>
          <w:szCs w:val="24"/>
          <w:u w:val="single"/>
        </w:rPr>
        <w:t>Todo registro contable y presupuestal deberá estar soportado con los documentos comprobatorios originales</w:t>
      </w:r>
      <w:r w:rsidRPr="005E52E9">
        <w:rPr>
          <w:rFonts w:ascii="Palatino Linotype" w:hAnsi="Palatino Linotype"/>
          <w:i/>
          <w:szCs w:val="24"/>
          <w:u w:val="single"/>
        </w:rPr>
        <w:t>,</w:t>
      </w:r>
      <w:r w:rsidRPr="005E52E9">
        <w:rPr>
          <w:rFonts w:ascii="Palatino Linotype" w:hAnsi="Palatino Linotype"/>
          <w:i/>
          <w:szCs w:val="24"/>
        </w:rPr>
        <w:t xml:space="preserve"> los que deberán permanecer en custodia y conservación de las dependencias, entidades públicas y unidades administrativas que ejercieron el gasto, y a disposición del Órgano Superior de Fiscalización del Estado de México y de los órganos de control interno, </w:t>
      </w:r>
      <w:r w:rsidRPr="005E52E9">
        <w:rPr>
          <w:rFonts w:ascii="Palatino Linotype" w:hAnsi="Palatino Linotype"/>
          <w:b/>
          <w:i/>
          <w:szCs w:val="24"/>
          <w:u w:val="single"/>
        </w:rPr>
        <w:t>por un término de cinco años</w:t>
      </w:r>
      <w:r w:rsidRPr="005E52E9">
        <w:rPr>
          <w:rFonts w:ascii="Palatino Linotype" w:hAnsi="Palatino Linotype"/>
          <w:i/>
          <w:szCs w:val="24"/>
        </w:rPr>
        <w:t xml:space="preserve"> contados a partir del ejercicio presupuestal siguiente al que corresponda, en el caso de los municipios se hará por la Tesorería.</w:t>
      </w:r>
    </w:p>
    <w:p w14:paraId="5A0C0B23" w14:textId="77777777" w:rsidR="005E52E9" w:rsidRPr="005E52E9" w:rsidRDefault="005E52E9" w:rsidP="005E52E9">
      <w:pPr>
        <w:spacing w:after="0" w:line="240" w:lineRule="auto"/>
        <w:ind w:left="567" w:right="567"/>
        <w:jc w:val="both"/>
        <w:rPr>
          <w:rFonts w:ascii="Palatino Linotype" w:eastAsia="Calibri" w:hAnsi="Palatino Linotype" w:cs="Tahoma"/>
          <w:bCs/>
          <w:szCs w:val="24"/>
        </w:rPr>
      </w:pPr>
      <w:r w:rsidRPr="005E52E9">
        <w:rPr>
          <w:rFonts w:ascii="Palatino Linotype" w:eastAsia="Calibri" w:hAnsi="Palatino Linotype" w:cs="Tahoma"/>
          <w:bCs/>
          <w:szCs w:val="24"/>
        </w:rPr>
        <w:tab/>
        <w:t>...</w:t>
      </w:r>
    </w:p>
    <w:p w14:paraId="1B1414A2" w14:textId="77777777" w:rsidR="005E52E9" w:rsidRPr="005E52E9" w:rsidRDefault="005E52E9" w:rsidP="005E52E9">
      <w:pPr>
        <w:spacing w:after="0" w:line="240" w:lineRule="auto"/>
        <w:ind w:left="567" w:right="567" w:firstLine="708"/>
        <w:jc w:val="right"/>
        <w:rPr>
          <w:rFonts w:ascii="Palatino Linotype" w:eastAsia="Calibri" w:hAnsi="Palatino Linotype" w:cs="Tahoma"/>
          <w:b/>
          <w:bCs/>
          <w:i/>
          <w:sz w:val="18"/>
          <w:szCs w:val="24"/>
        </w:rPr>
      </w:pPr>
      <w:r w:rsidRPr="005E52E9">
        <w:rPr>
          <w:rFonts w:ascii="Palatino Linotype" w:eastAsia="Calibri" w:hAnsi="Palatino Linotype" w:cs="Tahoma"/>
          <w:b/>
          <w:bCs/>
          <w:i/>
          <w:sz w:val="18"/>
          <w:szCs w:val="24"/>
        </w:rPr>
        <w:t>(Énfasis añadido)</w:t>
      </w:r>
    </w:p>
    <w:p w14:paraId="6C68594D" w14:textId="77777777" w:rsidR="005E52E9" w:rsidRPr="005E52E9" w:rsidRDefault="005E52E9" w:rsidP="005E52E9">
      <w:pPr>
        <w:spacing w:after="0" w:line="360" w:lineRule="auto"/>
        <w:ind w:right="-93" w:firstLine="708"/>
        <w:jc w:val="both"/>
        <w:rPr>
          <w:rFonts w:ascii="Palatino Linotype" w:eastAsia="Calibri" w:hAnsi="Palatino Linotype" w:cs="Tahoma"/>
          <w:b/>
          <w:bCs/>
          <w:sz w:val="24"/>
          <w:szCs w:val="24"/>
        </w:rPr>
      </w:pPr>
    </w:p>
    <w:p w14:paraId="3D687963" w14:textId="19237CAD" w:rsidR="005E52E9" w:rsidRPr="00AA17EB" w:rsidRDefault="005E52E9" w:rsidP="005E52E9">
      <w:pPr>
        <w:spacing w:after="0" w:line="360" w:lineRule="auto"/>
        <w:ind w:right="-93"/>
        <w:jc w:val="both"/>
        <w:rPr>
          <w:rFonts w:ascii="Palatino Linotype" w:eastAsia="Calibri" w:hAnsi="Palatino Linotype" w:cs="Tahoma"/>
          <w:bCs/>
          <w:sz w:val="24"/>
        </w:rPr>
      </w:pPr>
      <w:r w:rsidRPr="005E52E9">
        <w:rPr>
          <w:rFonts w:ascii="Palatino Linotype" w:eastAsia="Calibri" w:hAnsi="Palatino Linotype" w:cs="Tahoma"/>
          <w:bCs/>
          <w:sz w:val="24"/>
        </w:rPr>
        <w:t>Por lo tanto, todo registro contable, sea éste un egreso (como en el caso que nos ocupa), deberá estar debidamente soportado con la documentación original y además debe permanecer en custodia y conservación por el Sujeto Obliga</w:t>
      </w:r>
      <w:r>
        <w:rPr>
          <w:rFonts w:ascii="Palatino Linotype" w:eastAsia="Calibri" w:hAnsi="Palatino Linotype" w:cs="Tahoma"/>
          <w:bCs/>
          <w:sz w:val="24"/>
        </w:rPr>
        <w:t>do por un término de cinco años; a</w:t>
      </w:r>
      <w:r w:rsidRPr="005E52E9">
        <w:rPr>
          <w:rFonts w:ascii="Palatino Linotype" w:eastAsia="Calibri" w:hAnsi="Palatino Linotype" w:cs="Tahoma"/>
          <w:bCs/>
          <w:sz w:val="24"/>
        </w:rPr>
        <w:t xml:space="preserve">unado a lo anterior, es conveniente indicar que el </w:t>
      </w:r>
      <w:r w:rsidRPr="005E52E9">
        <w:rPr>
          <w:rFonts w:ascii="Palatino Linotype" w:hAnsi="Palatino Linotype"/>
          <w:sz w:val="24"/>
        </w:rPr>
        <w:t>Código Civil del Estado de México, indica que la donación es un contrato, por virtud del cual una persona llamada donante, transfiere en forma gratuita, una parte de sus bienes presentes, a otra llamada donataria quien acepta dicha liberalidad.</w:t>
      </w:r>
    </w:p>
    <w:p w14:paraId="6C0594FE" w14:textId="77777777" w:rsidR="005E52E9" w:rsidRPr="005E39E5" w:rsidRDefault="005E52E9" w:rsidP="005E52E9">
      <w:pPr>
        <w:spacing w:after="0" w:line="240" w:lineRule="auto"/>
        <w:ind w:left="567" w:right="567"/>
        <w:jc w:val="both"/>
        <w:rPr>
          <w:rFonts w:ascii="Palatino Linotype" w:hAnsi="Palatino Linotype"/>
          <w:i/>
        </w:rPr>
      </w:pPr>
      <w:r w:rsidRPr="005E39E5">
        <w:rPr>
          <w:rFonts w:ascii="Palatino Linotype" w:hAnsi="Palatino Linotype"/>
          <w:b/>
          <w:i/>
        </w:rPr>
        <w:lastRenderedPageBreak/>
        <w:t>Artículo 7.610.-</w:t>
      </w:r>
      <w:r w:rsidRPr="005E39E5">
        <w:rPr>
          <w:rFonts w:ascii="Palatino Linotype" w:hAnsi="Palatino Linotype"/>
          <w:i/>
        </w:rPr>
        <w:t xml:space="preserve"> La donación es un contrato, por virtud del cual una persona llamada donante, transfiere, en forma gratuita, una parte de sus bienes presentes, a otra llamada donataria quien acepta dicha liberalidad.</w:t>
      </w:r>
    </w:p>
    <w:p w14:paraId="2D31BFCC" w14:textId="77777777" w:rsidR="005E52E9" w:rsidRPr="005E39E5" w:rsidRDefault="005E52E9" w:rsidP="005E52E9">
      <w:pPr>
        <w:spacing w:after="0" w:line="360" w:lineRule="auto"/>
        <w:ind w:right="-93"/>
        <w:jc w:val="both"/>
        <w:rPr>
          <w:rFonts w:ascii="Palatino Linotype" w:eastAsia="Calibri" w:hAnsi="Palatino Linotype" w:cs="Tahoma"/>
          <w:bCs/>
          <w:i/>
        </w:rPr>
      </w:pPr>
      <w:r w:rsidRPr="005E39E5">
        <w:rPr>
          <w:rFonts w:ascii="Palatino Linotype" w:hAnsi="Palatino Linotype"/>
          <w:i/>
        </w:rPr>
        <w:tab/>
      </w:r>
    </w:p>
    <w:p w14:paraId="6897C1C2" w14:textId="77777777" w:rsidR="005E52E9" w:rsidRPr="005E52E9" w:rsidRDefault="005E52E9" w:rsidP="005E52E9">
      <w:pPr>
        <w:spacing w:after="0" w:line="360" w:lineRule="auto"/>
        <w:ind w:right="-93"/>
        <w:jc w:val="both"/>
        <w:rPr>
          <w:rFonts w:ascii="Palatino Linotype" w:eastAsia="Calibri" w:hAnsi="Palatino Linotype" w:cs="Tahoma"/>
          <w:bCs/>
          <w:sz w:val="24"/>
        </w:rPr>
      </w:pPr>
      <w:r w:rsidRPr="005E52E9">
        <w:rPr>
          <w:rFonts w:ascii="Palatino Linotype" w:eastAsia="Calibri" w:hAnsi="Palatino Linotype" w:cs="Tahoma"/>
          <w:bCs/>
          <w:sz w:val="24"/>
        </w:rPr>
        <w:t>De lo anterior, se tiene de manera general que las donaciones son transferencias gratuitas a un tercero y en este sentido, el Sujeto Obligado puede tanto recibir una donación, como otorgarla y en el caso que nos ocupa, en ésta última es la que será materia de estudio.</w:t>
      </w:r>
    </w:p>
    <w:p w14:paraId="20F128B6" w14:textId="77777777" w:rsidR="005E52E9" w:rsidRPr="005E52E9" w:rsidRDefault="005E52E9" w:rsidP="005E52E9">
      <w:pPr>
        <w:spacing w:after="0" w:line="360" w:lineRule="auto"/>
        <w:ind w:right="-93"/>
        <w:jc w:val="both"/>
        <w:rPr>
          <w:rFonts w:ascii="Palatino Linotype" w:eastAsia="Calibri" w:hAnsi="Palatino Linotype" w:cs="Tahoma"/>
          <w:bCs/>
          <w:sz w:val="24"/>
        </w:rPr>
      </w:pPr>
    </w:p>
    <w:p w14:paraId="5EB3A3E9" w14:textId="77777777" w:rsidR="005E52E9" w:rsidRPr="005E52E9" w:rsidRDefault="005E52E9" w:rsidP="005E52E9">
      <w:pPr>
        <w:spacing w:after="0" w:line="360" w:lineRule="auto"/>
        <w:ind w:right="-93"/>
        <w:jc w:val="both"/>
        <w:rPr>
          <w:rFonts w:ascii="Palatino Linotype" w:eastAsia="Calibri" w:hAnsi="Palatino Linotype" w:cs="Tahoma"/>
          <w:bCs/>
          <w:sz w:val="24"/>
        </w:rPr>
      </w:pPr>
      <w:r w:rsidRPr="005E52E9">
        <w:rPr>
          <w:rFonts w:ascii="Palatino Linotype" w:eastAsia="Calibri" w:hAnsi="Palatino Linotype" w:cs="Tahoma"/>
          <w:bCs/>
          <w:sz w:val="24"/>
        </w:rPr>
        <w:t>Aunado a lo anterior, el artículo 92, de la Ley de Transparencia y Acceso a la Información Pública del Estado de México y Municipios, indica lo siguiente:</w:t>
      </w:r>
    </w:p>
    <w:p w14:paraId="2CA3FAA9" w14:textId="77777777" w:rsidR="005E52E9" w:rsidRDefault="005E52E9" w:rsidP="005E52E9">
      <w:pPr>
        <w:pStyle w:val="Sinespaciado"/>
        <w:rPr>
          <w:rFonts w:eastAsia="Calibri"/>
        </w:rPr>
      </w:pPr>
    </w:p>
    <w:p w14:paraId="29D3F725" w14:textId="77777777" w:rsidR="005E52E9" w:rsidRPr="00E866F1" w:rsidRDefault="005E52E9" w:rsidP="005E52E9">
      <w:pPr>
        <w:spacing w:after="0" w:line="240" w:lineRule="auto"/>
        <w:ind w:left="567" w:right="567"/>
        <w:jc w:val="center"/>
        <w:rPr>
          <w:rFonts w:ascii="Palatino Linotype" w:hAnsi="Palatino Linotype"/>
          <w:b/>
          <w:i/>
        </w:rPr>
      </w:pPr>
      <w:r w:rsidRPr="00E866F1">
        <w:rPr>
          <w:rFonts w:ascii="Palatino Linotype" w:hAnsi="Palatino Linotype"/>
          <w:b/>
          <w:i/>
        </w:rPr>
        <w:t xml:space="preserve">Capítulo II De las Obligaciones de Transparencia Comunes </w:t>
      </w:r>
    </w:p>
    <w:p w14:paraId="43BD0070" w14:textId="77777777" w:rsidR="005E52E9" w:rsidRPr="00E866F1" w:rsidRDefault="005E52E9" w:rsidP="005E52E9">
      <w:pPr>
        <w:spacing w:after="0" w:line="240" w:lineRule="auto"/>
        <w:ind w:left="567" w:right="567"/>
        <w:jc w:val="both"/>
        <w:rPr>
          <w:rFonts w:ascii="Palatino Linotype" w:hAnsi="Palatino Linotype"/>
          <w:b/>
          <w:i/>
        </w:rPr>
      </w:pPr>
    </w:p>
    <w:p w14:paraId="44C692CB" w14:textId="77777777" w:rsidR="005E52E9" w:rsidRPr="00E866F1" w:rsidRDefault="005E52E9" w:rsidP="005E52E9">
      <w:pPr>
        <w:spacing w:after="0" w:line="240" w:lineRule="auto"/>
        <w:ind w:left="567" w:right="567"/>
        <w:jc w:val="both"/>
        <w:rPr>
          <w:rFonts w:ascii="Palatino Linotype" w:hAnsi="Palatino Linotype"/>
          <w:b/>
          <w:i/>
        </w:rPr>
      </w:pPr>
      <w:r w:rsidRPr="00E866F1">
        <w:rPr>
          <w:rFonts w:ascii="Palatino Linotype" w:hAnsi="Palatino Linotype"/>
          <w:b/>
          <w:i/>
        </w:rPr>
        <w:t>Artículo 92.</w:t>
      </w:r>
      <w:r w:rsidRPr="00E866F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FA41E0" w14:textId="7E316A4D" w:rsidR="005E52E9" w:rsidRPr="00E866F1" w:rsidRDefault="005E52E9" w:rsidP="005E52E9">
      <w:pPr>
        <w:spacing w:after="0" w:line="240" w:lineRule="auto"/>
        <w:ind w:left="567" w:right="567"/>
        <w:jc w:val="both"/>
        <w:rPr>
          <w:rFonts w:ascii="Palatino Linotype" w:eastAsia="Calibri" w:hAnsi="Palatino Linotype" w:cs="Tahoma"/>
          <w:bCs/>
          <w:i/>
        </w:rPr>
      </w:pPr>
      <w:r>
        <w:rPr>
          <w:rFonts w:ascii="Palatino Linotype" w:eastAsia="Calibri" w:hAnsi="Palatino Linotype" w:cs="Tahoma"/>
          <w:bCs/>
          <w:i/>
        </w:rPr>
        <w:tab/>
        <w:t>(…)</w:t>
      </w:r>
    </w:p>
    <w:p w14:paraId="6BBDF6D4" w14:textId="77777777" w:rsidR="005E52E9" w:rsidRDefault="005E52E9" w:rsidP="005E52E9">
      <w:pPr>
        <w:spacing w:after="0" w:line="240" w:lineRule="auto"/>
        <w:ind w:left="567" w:right="567"/>
        <w:jc w:val="both"/>
        <w:rPr>
          <w:rFonts w:ascii="Palatino Linotype" w:hAnsi="Palatino Linotype"/>
          <w:i/>
        </w:rPr>
      </w:pPr>
      <w:r w:rsidRPr="00E866F1">
        <w:rPr>
          <w:rFonts w:ascii="Palatino Linotype" w:eastAsia="Calibri" w:hAnsi="Palatino Linotype" w:cs="Tahoma"/>
          <w:bCs/>
          <w:i/>
        </w:rPr>
        <w:tab/>
      </w:r>
      <w:r w:rsidRPr="005E52E9">
        <w:rPr>
          <w:rFonts w:ascii="Palatino Linotype" w:hAnsi="Palatino Linotype"/>
          <w:b/>
          <w:i/>
        </w:rPr>
        <w:t xml:space="preserve">XLVIII. </w:t>
      </w:r>
      <w:r w:rsidRPr="00E866F1">
        <w:rPr>
          <w:rFonts w:ascii="Palatino Linotype" w:hAnsi="Palatino Linotype"/>
          <w:i/>
        </w:rPr>
        <w:t>Donaciones hechas a terceros en dinero o en especie;</w:t>
      </w:r>
    </w:p>
    <w:p w14:paraId="052B4599" w14:textId="77777777" w:rsidR="005E52E9" w:rsidRDefault="005E52E9" w:rsidP="00415FD8">
      <w:pPr>
        <w:spacing w:after="0" w:line="360" w:lineRule="auto"/>
        <w:contextualSpacing/>
        <w:jc w:val="both"/>
        <w:rPr>
          <w:rFonts w:ascii="Palatino Linotype" w:hAnsi="Palatino Linotype"/>
          <w:sz w:val="24"/>
          <w:lang w:val="es-AR"/>
        </w:rPr>
      </w:pPr>
    </w:p>
    <w:p w14:paraId="07A4B386" w14:textId="01157E3B" w:rsidR="005E52E9" w:rsidRDefault="005E52E9" w:rsidP="00AA17EB">
      <w:pPr>
        <w:spacing w:after="0" w:line="360" w:lineRule="auto"/>
        <w:ind w:right="-93"/>
        <w:jc w:val="both"/>
        <w:rPr>
          <w:rFonts w:ascii="Palatino Linotype" w:eastAsia="Calibri" w:hAnsi="Palatino Linotype" w:cs="Tahoma"/>
          <w:bCs/>
          <w:sz w:val="24"/>
        </w:rPr>
      </w:pPr>
      <w:r w:rsidRPr="005E52E9">
        <w:rPr>
          <w:rFonts w:ascii="Palatino Linotype" w:eastAsia="Calibri" w:hAnsi="Palatino Linotype" w:cs="Tahoma"/>
          <w:bCs/>
          <w:sz w:val="24"/>
        </w:rPr>
        <w:t xml:space="preserve">Por lo anteriormente analizado, se desprende que el </w:t>
      </w:r>
      <w:r w:rsidRPr="005E52E9">
        <w:rPr>
          <w:rFonts w:ascii="Palatino Linotype" w:eastAsia="Calibri" w:hAnsi="Palatino Linotype" w:cs="Tahoma"/>
          <w:b/>
          <w:bCs/>
          <w:sz w:val="24"/>
        </w:rPr>
        <w:t>Sujeto Obligado</w:t>
      </w:r>
      <w:r w:rsidRPr="005E52E9">
        <w:rPr>
          <w:rFonts w:ascii="Palatino Linotype" w:eastAsia="Calibri" w:hAnsi="Palatino Linotype" w:cs="Tahoma"/>
          <w:bCs/>
          <w:sz w:val="24"/>
        </w:rPr>
        <w:t xml:space="preserve"> tiene la obligación común impuesta por la Ley de la materia de regist</w:t>
      </w:r>
      <w:r w:rsidR="00AA17EB">
        <w:rPr>
          <w:rFonts w:ascii="Palatino Linotype" w:eastAsia="Calibri" w:hAnsi="Palatino Linotype" w:cs="Tahoma"/>
          <w:bCs/>
          <w:sz w:val="24"/>
        </w:rPr>
        <w:t xml:space="preserve">rar las donaciones que realice; así como, </w:t>
      </w:r>
      <w:r w:rsidR="00AA17EB" w:rsidRPr="00AA17EB">
        <w:rPr>
          <w:rFonts w:ascii="Palatino Linotype" w:eastAsia="Calibri" w:hAnsi="Palatino Linotype" w:cs="Tahoma"/>
          <w:bCs/>
          <w:sz w:val="24"/>
        </w:rPr>
        <w:t xml:space="preserve">tiene competencia para pronunciarse sobre la información requerida por el Particular. </w:t>
      </w:r>
    </w:p>
    <w:p w14:paraId="2ACBE955" w14:textId="77777777" w:rsidR="005016B8" w:rsidRDefault="005016B8" w:rsidP="00AA17EB">
      <w:pPr>
        <w:spacing w:after="0" w:line="360" w:lineRule="auto"/>
        <w:ind w:right="-93"/>
        <w:jc w:val="both"/>
        <w:rPr>
          <w:rFonts w:ascii="Palatino Linotype" w:eastAsia="Calibri" w:hAnsi="Palatino Linotype" w:cs="Tahoma"/>
          <w:bCs/>
          <w:sz w:val="24"/>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 xml:space="preserve">De la naturaleza de la información se desprende que para el caso de que la documentación a entregar contenga datos personales susceptibles clasificar como </w:t>
      </w:r>
      <w:r w:rsidRPr="00893282">
        <w:rPr>
          <w:rFonts w:ascii="Palatino Linotype" w:hAnsi="Palatino Linotype" w:cs="Arial"/>
          <w:sz w:val="24"/>
          <w:szCs w:val="24"/>
        </w:rPr>
        <w:lastRenderedPageBreak/>
        <w:t>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9328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0270D1B"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4D3D74" w:rsidRPr="004D3D74">
        <w:rPr>
          <w:rFonts w:ascii="Palatino Linotype" w:hAnsi="Palatino Linotype" w:cs="Arial"/>
          <w:b/>
          <w:sz w:val="24"/>
        </w:rPr>
        <w:t>00565/ISIFABE/IP/2019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6ACC0407"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4D3D74" w:rsidRPr="004D3D74">
        <w:rPr>
          <w:rFonts w:ascii="Palatino Linotype" w:hAnsi="Palatino Linotype" w:cs="Arial"/>
          <w:b/>
          <w:sz w:val="24"/>
          <w:szCs w:val="24"/>
        </w:rPr>
        <w:t>00565/ISIFABE/IP/2019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5016B8" w:rsidRPr="00CF5C44">
        <w:rPr>
          <w:rFonts w:ascii="Palatino Linotype" w:hAnsi="Palatino Linotype" w:cs="Arial"/>
          <w:sz w:val="24"/>
          <w:szCs w:val="24"/>
        </w:rPr>
        <w:t xml:space="preserve">y de ser </w:t>
      </w:r>
      <w:r w:rsidR="005016B8">
        <w:rPr>
          <w:rFonts w:ascii="Palatino Linotype" w:hAnsi="Palatino Linotype" w:cs="Arial"/>
          <w:sz w:val="24"/>
          <w:szCs w:val="24"/>
        </w:rPr>
        <w:t>procedente</w:t>
      </w:r>
      <w:r w:rsidR="005016B8" w:rsidRPr="00CF5C44">
        <w:rPr>
          <w:rFonts w:ascii="Palatino Linotype" w:hAnsi="Palatino Linotype" w:cs="Arial"/>
          <w:sz w:val="24"/>
          <w:szCs w:val="24"/>
        </w:rPr>
        <w:t xml:space="preserve"> en versión pública</w:t>
      </w:r>
      <w:r w:rsidR="005016B8">
        <w:rPr>
          <w:rFonts w:ascii="Palatino Linotype" w:eastAsia="Times New Roman" w:hAnsi="Palatino Linotype" w:cs="Arial"/>
          <w:sz w:val="24"/>
          <w:szCs w:val="24"/>
        </w:rPr>
        <w:t xml:space="preserve">, </w:t>
      </w:r>
      <w:r w:rsidR="000510FC">
        <w:rPr>
          <w:rFonts w:ascii="Palatino Linotype" w:eastAsia="Times New Roman" w:hAnsi="Palatino Linotype" w:cs="Arial"/>
          <w:sz w:val="24"/>
          <w:szCs w:val="24"/>
        </w:rPr>
        <w:t xml:space="preserve"> </w:t>
      </w:r>
      <w:r w:rsidR="00AA17EB">
        <w:rPr>
          <w:rFonts w:ascii="Palatino Linotype" w:eastAsia="Times New Roman" w:hAnsi="Palatino Linotype" w:cs="Arial"/>
          <w:sz w:val="24"/>
          <w:szCs w:val="24"/>
        </w:rPr>
        <w:t xml:space="preserve">haga entrega de la información solicitada, en términos del Considerando </w:t>
      </w:r>
      <w:r w:rsidR="00AA17EB" w:rsidRPr="00AA17EB">
        <w:rPr>
          <w:rFonts w:ascii="Palatino Linotype" w:eastAsia="Times New Roman" w:hAnsi="Palatino Linotype" w:cs="Arial"/>
          <w:b/>
          <w:sz w:val="24"/>
          <w:szCs w:val="24"/>
        </w:rPr>
        <w:t>QUINTO</w:t>
      </w:r>
      <w:r w:rsidR="00AA17EB">
        <w:rPr>
          <w:rFonts w:ascii="Palatino Linotype" w:eastAsia="Times New Roman" w:hAnsi="Palatino Linotype" w:cs="Arial"/>
          <w:sz w:val="24"/>
          <w:szCs w:val="24"/>
        </w:rPr>
        <w:t xml:space="preserve">,  </w:t>
      </w:r>
      <w:r w:rsidR="00AA17EB" w:rsidRPr="00584718">
        <w:rPr>
          <w:rFonts w:ascii="Palatino Linotype" w:eastAsia="Times New Roman" w:hAnsi="Palatino Linotype" w:cs="Arial"/>
          <w:sz w:val="24"/>
          <w:szCs w:val="24"/>
        </w:rPr>
        <w:t>a través del</w:t>
      </w:r>
      <w:r w:rsidR="00AA17EB">
        <w:rPr>
          <w:rFonts w:ascii="Palatino Linotype" w:hAnsi="Palatino Linotype" w:cs="Arial"/>
          <w:sz w:val="24"/>
          <w:szCs w:val="24"/>
        </w:rPr>
        <w:t xml:space="preserve"> 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4305F177" w14:textId="77777777" w:rsidR="005016B8" w:rsidRDefault="005016B8" w:rsidP="005016B8">
      <w:pPr>
        <w:pStyle w:val="Sinespaciado"/>
      </w:pPr>
    </w:p>
    <w:p w14:paraId="5402D901" w14:textId="77777777" w:rsidR="005016B8" w:rsidRPr="00CF5C44" w:rsidRDefault="005016B8" w:rsidP="005016B8">
      <w:pPr>
        <w:spacing w:after="0" w:line="240" w:lineRule="auto"/>
        <w:ind w:left="567" w:right="567"/>
        <w:jc w:val="both"/>
        <w:rPr>
          <w:rFonts w:ascii="Palatino Linotype" w:eastAsia="Times New Roman" w:hAnsi="Palatino Linotype" w:cs="Arial"/>
        </w:rPr>
      </w:pPr>
      <w:r w:rsidRPr="00CF5C44">
        <w:rPr>
          <w:rFonts w:ascii="Palatino Linotype" w:hAnsi="Palatino Linotype" w:cs="Arial"/>
          <w:i/>
        </w:rPr>
        <w:t xml:space="preserve">En caso de proceder la entrega de la documentación en versión pública, se deberá emitir el acuerdo de clasificación que la respalde, en términos de lo señalado en el </w:t>
      </w:r>
      <w:r w:rsidRPr="00CF5C44">
        <w:rPr>
          <w:rFonts w:ascii="Palatino Linotype" w:hAnsi="Palatino Linotype" w:cs="Arial"/>
          <w:b/>
          <w:i/>
        </w:rPr>
        <w:t>Considerando QUINTO</w:t>
      </w:r>
      <w:r w:rsidRPr="00CF5C44">
        <w:rPr>
          <w:rFonts w:ascii="Palatino Linotype" w:hAnsi="Palatino Linotype" w:cs="Arial"/>
          <w:i/>
        </w:rPr>
        <w:t xml:space="preserve"> y en los artículos 49, fracción VIII, 132, fracción II, de la Ley de Transparencia </w:t>
      </w:r>
      <w:r w:rsidRPr="00CF5C44">
        <w:rPr>
          <w:rFonts w:ascii="Palatino Linotype" w:hAnsi="Palatino Linotype" w:cs="Arial"/>
          <w:i/>
        </w:rPr>
        <w:lastRenderedPageBreak/>
        <w:t>y Acceso a la Información Pública del Estado de México y Municipios y demás normatividades aplicables.</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5275D1EF"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w:t>
      </w:r>
      <w:r w:rsidRPr="00584718">
        <w:rPr>
          <w:rFonts w:ascii="Palatino Linotype" w:eastAsia="Arial Unicode MS" w:hAnsi="Palatino Linotype" w:cs="Arial"/>
          <w:sz w:val="24"/>
          <w:szCs w:val="24"/>
        </w:rPr>
        <w:lastRenderedPageBreak/>
        <w:t>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6F69FE" w:rsidRPr="006F69FE">
        <w:rPr>
          <w:rFonts w:ascii="Palatino Linotype" w:hAnsi="Palatino Linotype" w:cs="Arial"/>
          <w:sz w:val="24"/>
          <w:szCs w:val="24"/>
          <w:highlight w:val="yellow"/>
        </w:rPr>
        <w:t>SEXTA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4D3D74" w:rsidRPr="004D3D74">
        <w:rPr>
          <w:rFonts w:ascii="Palatino Linotype" w:hAnsi="Palatino Linotype" w:cs="Arial"/>
          <w:sz w:val="24"/>
          <w:szCs w:val="24"/>
          <w:highlight w:val="yellow"/>
        </w:rPr>
        <w:t>DIECINUEVE DE FEBRERO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sidRPr="006A6C9D">
        <w:rPr>
          <w:rFonts w:ascii="Palatino Linotype" w:hAnsi="Palatino Linotype" w:cs="Arial"/>
          <w:sz w:val="24"/>
          <w:szCs w:val="24"/>
        </w:rPr>
        <w:t xml:space="preserve"> </w:t>
      </w:r>
      <w:r w:rsidR="005016B8">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4CEAE33D"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4D3D74" w:rsidRPr="004D3D74">
        <w:rPr>
          <w:rFonts w:ascii="Palatino Linotype" w:hAnsi="Palatino Linotype" w:cs="Arial"/>
          <w:sz w:val="16"/>
          <w:szCs w:val="16"/>
          <w:highlight w:val="yellow"/>
        </w:rPr>
        <w:t>diecinueve de febrero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4D3D74">
        <w:rPr>
          <w:rFonts w:ascii="Palatino Linotype" w:hAnsi="Palatino Linotype" w:cs="Arial"/>
          <w:b/>
          <w:bCs/>
          <w:sz w:val="16"/>
          <w:szCs w:val="16"/>
          <w:lang w:eastAsia="es-MX"/>
        </w:rPr>
        <w:t>10785</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ZMS/OSAM/jasm</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65CC8" w14:textId="77777777" w:rsidR="001C197A" w:rsidRDefault="001C197A" w:rsidP="006168E4">
      <w:pPr>
        <w:spacing w:after="0" w:line="240" w:lineRule="auto"/>
      </w:pPr>
      <w:r>
        <w:separator/>
      </w:r>
    </w:p>
  </w:endnote>
  <w:endnote w:type="continuationSeparator" w:id="0">
    <w:p w14:paraId="7542089E" w14:textId="77777777" w:rsidR="001C197A" w:rsidRDefault="001C197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1F4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1F4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1F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1F45">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8E414" w14:textId="77777777" w:rsidR="001C197A" w:rsidRDefault="001C197A" w:rsidP="006168E4">
      <w:pPr>
        <w:spacing w:after="0" w:line="240" w:lineRule="auto"/>
      </w:pPr>
      <w:r>
        <w:separator/>
      </w:r>
    </w:p>
  </w:footnote>
  <w:footnote w:type="continuationSeparator" w:id="0">
    <w:p w14:paraId="46EBB037" w14:textId="77777777" w:rsidR="001C197A" w:rsidRDefault="001C197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4D5CDF5A" w:rsidR="000510FC" w:rsidRPr="00B4142F" w:rsidRDefault="00415FD8"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10785</w:t>
          </w:r>
          <w:r w:rsidR="000510FC">
            <w:rPr>
              <w:rFonts w:ascii="Palatino Linotype" w:hAnsi="Palatino Linotype" w:cs="Arial"/>
              <w:bCs/>
              <w:sz w:val="24"/>
              <w:lang w:eastAsia="es-MX"/>
            </w:rPr>
            <w:t>/INFOEM/IP/RR/2019</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A539798"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Ayuntamiento de Isidro Fabela</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35ECA7A" w:rsidR="000510FC" w:rsidRPr="00B4142F" w:rsidRDefault="00415FD8"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10785</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50E4069" w:rsidR="000510FC" w:rsidRPr="00F06FED" w:rsidRDefault="00E31F45" w:rsidP="00B7426B">
          <w:pPr>
            <w:spacing w:after="0" w:line="276" w:lineRule="auto"/>
            <w:ind w:left="639" w:right="214"/>
            <w:jc w:val="right"/>
            <w:rPr>
              <w:rFonts w:ascii="Palatino Linotype" w:hAnsi="Palatino Linotype" w:cs="Arial"/>
            </w:rPr>
          </w:pPr>
          <w:r>
            <w:rPr>
              <w:rFonts w:ascii="Palatino Linotype" w:hAnsi="Palatino Linotype" w:cs="Arial"/>
            </w:rPr>
            <w:t>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69926997"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Ayuntamiento de Isidro Fabela</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FCC"/>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1F45"/>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BDCF-DF68-4414-AD42-DBD65985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29</Pages>
  <Words>7538</Words>
  <Characters>41459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6</cp:revision>
  <cp:lastPrinted>2017-07-07T18:23:00Z</cp:lastPrinted>
  <dcterms:created xsi:type="dcterms:W3CDTF">2020-02-05T20:27:00Z</dcterms:created>
  <dcterms:modified xsi:type="dcterms:W3CDTF">2020-04-22T18:33:00Z</dcterms:modified>
</cp:coreProperties>
</file>