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D8" w:rsidRDefault="00A37BD8"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w:t>
      </w:r>
      <w:r w:rsidR="005306D9" w:rsidRPr="005306D9">
        <w:rPr>
          <w:rFonts w:ascii="Palatino Linotype" w:eastAsia="Times New Roman" w:hAnsi="Palatino Linotype" w:cs="Arial"/>
          <w:color w:val="000000"/>
          <w:sz w:val="24"/>
          <w:szCs w:val="24"/>
          <w:lang w:eastAsia="es-MX"/>
        </w:rPr>
        <w:t>a diecinueve de septiembre de dos mil diecinueve.</w:t>
      </w: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AD2A55">
        <w:rPr>
          <w:rFonts w:ascii="Palatino Linotype" w:hAnsi="Palatino Linotype" w:cs="Arial"/>
          <w:b/>
          <w:bCs/>
          <w:sz w:val="24"/>
          <w:szCs w:val="24"/>
          <w:lang w:eastAsia="es-MX"/>
        </w:rPr>
        <w:t>0</w:t>
      </w:r>
      <w:r w:rsidR="00822864">
        <w:rPr>
          <w:rFonts w:ascii="Palatino Linotype" w:hAnsi="Palatino Linotype" w:cs="Arial"/>
          <w:b/>
          <w:bCs/>
          <w:sz w:val="24"/>
          <w:szCs w:val="24"/>
          <w:lang w:eastAsia="es-MX"/>
        </w:rPr>
        <w:t>5</w:t>
      </w:r>
      <w:r w:rsidR="0019678D">
        <w:rPr>
          <w:rFonts w:ascii="Palatino Linotype" w:hAnsi="Palatino Linotype" w:cs="Arial"/>
          <w:b/>
          <w:bCs/>
          <w:sz w:val="24"/>
          <w:szCs w:val="24"/>
          <w:lang w:eastAsia="es-MX"/>
        </w:rPr>
        <w:t>98</w:t>
      </w:r>
      <w:r w:rsidR="009457FC">
        <w:rPr>
          <w:rFonts w:ascii="Palatino Linotype" w:hAnsi="Palatino Linotype" w:cs="Arial"/>
          <w:b/>
          <w:bCs/>
          <w:sz w:val="24"/>
          <w:szCs w:val="24"/>
          <w:lang w:eastAsia="es-MX"/>
        </w:rPr>
        <w:t>0</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994F7A">
        <w:rPr>
          <w:rFonts w:ascii="Palatino Linotype" w:hAnsi="Palatino Linotype" w:cs="Arial"/>
          <w:sz w:val="24"/>
          <w:szCs w:val="24"/>
        </w:rPr>
        <w:t>e</w:t>
      </w:r>
      <w:r>
        <w:rPr>
          <w:rFonts w:ascii="Palatino Linotype" w:hAnsi="Palatino Linotype" w:cs="Arial"/>
          <w:sz w:val="24"/>
          <w:szCs w:val="24"/>
        </w:rPr>
        <w:t xml:space="preserv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0D2B9F">
        <w:rPr>
          <w:rFonts w:ascii="Palatino Linotype" w:hAnsi="Palatino Linotype" w:cs="Arial"/>
          <w:b/>
          <w:sz w:val="24"/>
          <w:szCs w:val="24"/>
        </w:rPr>
        <w:t>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del </w:t>
      </w:r>
      <w:r>
        <w:rPr>
          <w:rFonts w:ascii="Palatino Linotype" w:hAnsi="Palatino Linotype" w:cs="Arial"/>
          <w:b/>
          <w:sz w:val="24"/>
          <w:szCs w:val="24"/>
        </w:rPr>
        <w:t xml:space="preserve">Ayuntamiento de </w:t>
      </w:r>
      <w:r w:rsidR="0019678D" w:rsidRPr="0019678D">
        <w:rPr>
          <w:rFonts w:ascii="Palatino Linotype" w:hAnsi="Palatino Linotype" w:cs="Arial"/>
          <w:b/>
          <w:sz w:val="24"/>
          <w:szCs w:val="24"/>
        </w:rPr>
        <w:t>Almoloya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FA08FC" w:rsidRPr="00AD2A55" w:rsidRDefault="00FA08FC" w:rsidP="00FA08FC">
      <w:pPr>
        <w:tabs>
          <w:tab w:val="left" w:pos="1701"/>
        </w:tabs>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FA08FC" w:rsidRPr="00AD2A55" w:rsidRDefault="00FA08FC" w:rsidP="00FA08FC">
      <w:pPr>
        <w:spacing w:after="0" w:line="360" w:lineRule="auto"/>
        <w:jc w:val="center"/>
        <w:rPr>
          <w:rFonts w:ascii="Palatino Linotype" w:hAnsi="Palatino Linotype" w:cs="Arial"/>
          <w:b/>
          <w:sz w:val="24"/>
          <w:szCs w:val="24"/>
        </w:rPr>
      </w:pPr>
    </w:p>
    <w:p w:rsidR="00FA08FC"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A37BD8" w:rsidRPr="00AD2A55" w:rsidRDefault="00A37BD8" w:rsidP="00FA08FC">
      <w:pPr>
        <w:spacing w:after="0" w:line="360" w:lineRule="auto"/>
        <w:jc w:val="both"/>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47D87">
        <w:rPr>
          <w:rFonts w:ascii="Palatino Linotype" w:hAnsi="Palatino Linotype" w:cs="Arial"/>
          <w:sz w:val="24"/>
          <w:szCs w:val="24"/>
        </w:rPr>
        <w:t>siete</w:t>
      </w:r>
      <w:r w:rsidR="00E6268E">
        <w:rPr>
          <w:rFonts w:ascii="Palatino Linotype" w:hAnsi="Palatino Linotype" w:cs="Arial"/>
          <w:sz w:val="24"/>
          <w:szCs w:val="24"/>
        </w:rPr>
        <w:t xml:space="preserve"> </w:t>
      </w:r>
      <w:r>
        <w:rPr>
          <w:rFonts w:ascii="Palatino Linotype" w:hAnsi="Palatino Linotype" w:cs="Arial"/>
          <w:sz w:val="24"/>
          <w:szCs w:val="24"/>
        </w:rPr>
        <w:t xml:space="preserve">de </w:t>
      </w:r>
      <w:r w:rsidR="00C47D87">
        <w:rPr>
          <w:rFonts w:ascii="Palatino Linotype" w:hAnsi="Palatino Linotype" w:cs="Arial"/>
          <w:sz w:val="24"/>
          <w:szCs w:val="24"/>
        </w:rPr>
        <w:t>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l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00AD1C73" w:rsidRPr="00AD1C73">
        <w:rPr>
          <w:rFonts w:ascii="Palatino Linotype" w:hAnsi="Palatino Linotype" w:cs="Arial"/>
          <w:b/>
          <w:sz w:val="24"/>
          <w:szCs w:val="24"/>
        </w:rPr>
        <w:t>00</w:t>
      </w:r>
      <w:r w:rsidR="009457FC">
        <w:rPr>
          <w:rFonts w:ascii="Palatino Linotype" w:hAnsi="Palatino Linotype" w:cs="Arial"/>
          <w:b/>
          <w:sz w:val="24"/>
          <w:szCs w:val="24"/>
        </w:rPr>
        <w:t>1</w:t>
      </w:r>
      <w:r w:rsidR="0019678D">
        <w:rPr>
          <w:rFonts w:ascii="Palatino Linotype" w:hAnsi="Palatino Linotype" w:cs="Arial"/>
          <w:b/>
          <w:sz w:val="24"/>
          <w:szCs w:val="24"/>
        </w:rPr>
        <w:t>22</w:t>
      </w:r>
      <w:r w:rsidR="00AD1C73" w:rsidRPr="00AD1C73">
        <w:rPr>
          <w:rFonts w:ascii="Palatino Linotype" w:hAnsi="Palatino Linotype" w:cs="Arial"/>
          <w:b/>
          <w:sz w:val="24"/>
          <w:szCs w:val="24"/>
        </w:rPr>
        <w:t>/</w:t>
      </w:r>
      <w:r w:rsidR="0019678D">
        <w:rPr>
          <w:rFonts w:ascii="Palatino Linotype" w:hAnsi="Palatino Linotype" w:cs="Arial"/>
          <w:b/>
          <w:sz w:val="24"/>
          <w:szCs w:val="24"/>
        </w:rPr>
        <w:t>ALMOJU</w:t>
      </w:r>
      <w:r w:rsidR="00AD1C73" w:rsidRPr="00AD1C73">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A08FC" w:rsidRPr="00C47D87" w:rsidRDefault="00FA08FC" w:rsidP="00C47D87">
      <w:pPr>
        <w:ind w:left="851" w:right="850"/>
        <w:jc w:val="both"/>
        <w:rPr>
          <w:rFonts w:ascii="Palatino Linotype" w:hAnsi="Palatino Linotype"/>
          <w:i/>
          <w:color w:val="000000"/>
          <w:sz w:val="24"/>
          <w:szCs w:val="24"/>
        </w:rPr>
      </w:pPr>
      <w:bookmarkStart w:id="0" w:name="_GoBack"/>
      <w:bookmarkEnd w:id="0"/>
    </w:p>
    <w:p w:rsidR="00FA08FC" w:rsidRPr="0019678D" w:rsidRDefault="00FA08FC" w:rsidP="00A37BD8">
      <w:pPr>
        <w:spacing w:after="0" w:line="360" w:lineRule="auto"/>
        <w:ind w:left="1134" w:right="851"/>
        <w:jc w:val="both"/>
        <w:rPr>
          <w:rFonts w:ascii="Palatino Linotype" w:hAnsi="Palatino Linotype"/>
          <w:i/>
          <w:color w:val="000000"/>
          <w:sz w:val="24"/>
          <w:szCs w:val="24"/>
        </w:rPr>
      </w:pPr>
      <w:r w:rsidRPr="00BE7124">
        <w:rPr>
          <w:rFonts w:ascii="Palatino Linotype" w:hAnsi="Palatino Linotype"/>
          <w:i/>
          <w:color w:val="000000"/>
          <w:sz w:val="24"/>
          <w:szCs w:val="24"/>
        </w:rPr>
        <w:t>“</w:t>
      </w:r>
      <w:r w:rsidR="0019678D" w:rsidRPr="0019678D">
        <w:rPr>
          <w:rFonts w:ascii="Palatino Linotype" w:hAnsi="Palatino Linotype"/>
          <w:i/>
          <w:color w:val="000000"/>
          <w:sz w:val="24"/>
          <w:szCs w:val="24"/>
        </w:rPr>
        <w:t>Requiero se me proporcione todos los oficios emitidos por la Tesoreria Municipal de ese Ayuntamiento, mismos que deben de estar debidamente firmados por la Tesorera, por el periodo comprendido desde el 1 de enero al 31 de mayo del año en curso</w:t>
      </w:r>
      <w:r w:rsidRPr="00BE7124">
        <w:rPr>
          <w:rFonts w:ascii="Palatino Linotype" w:hAnsi="Palatino Linotype"/>
          <w:i/>
          <w:color w:val="000000"/>
          <w:sz w:val="24"/>
          <w:szCs w:val="24"/>
        </w:rPr>
        <w:t>.</w:t>
      </w:r>
      <w:r w:rsidRPr="0019678D">
        <w:rPr>
          <w:rFonts w:ascii="Palatino Linotype" w:hAnsi="Palatino Linotype"/>
          <w:i/>
          <w:color w:val="000000"/>
          <w:sz w:val="24"/>
          <w:szCs w:val="24"/>
        </w:rPr>
        <w:t>” (Sic).</w:t>
      </w:r>
    </w:p>
    <w:p w:rsidR="00FA08FC" w:rsidRPr="00CE6940" w:rsidRDefault="00FA08FC" w:rsidP="00CE6940">
      <w:pPr>
        <w:spacing w:after="0" w:line="360" w:lineRule="auto"/>
        <w:jc w:val="both"/>
        <w:rPr>
          <w:rFonts w:ascii="Palatino Linotype" w:hAnsi="Palatino Linotype" w:cs="Arial"/>
          <w:sz w:val="24"/>
          <w:szCs w:val="24"/>
        </w:rPr>
      </w:pPr>
    </w:p>
    <w:p w:rsidR="00A37BD8" w:rsidRDefault="00A37BD8" w:rsidP="00FA08FC">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Haciéndose constar que del acuse de solicitud de información contenida en el expediente electrónico del SAIMEX, se aprecia que </w:t>
      </w:r>
      <w:r w:rsidR="00FD1403">
        <w:rPr>
          <w:rFonts w:ascii="Palatino Linotype" w:hAnsi="Palatino Linotype" w:cs="Arial"/>
          <w:sz w:val="24"/>
          <w:szCs w:val="24"/>
        </w:rPr>
        <w:t>el</w:t>
      </w:r>
      <w:r w:rsidRPr="00201765">
        <w:rPr>
          <w:rFonts w:ascii="Palatino Linotype" w:hAnsi="Palatino Linotype" w:cs="Arial"/>
          <w:sz w:val="24"/>
          <w:szCs w:val="24"/>
        </w:rPr>
        <w:t xml:space="preserve">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43037F" w:rsidRDefault="0043037F" w:rsidP="00FA08FC">
      <w:pPr>
        <w:spacing w:after="0" w:line="360" w:lineRule="auto"/>
        <w:jc w:val="both"/>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 la respuesta del sujeto obligado. </w:t>
      </w:r>
    </w:p>
    <w:p w:rsidR="003A3C28" w:rsidRDefault="00FA08FC" w:rsidP="00FA08FC">
      <w:pPr>
        <w:spacing w:after="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el expediente electrónico del SAIMEX, se advierte que el Sujeto Obligado </w:t>
      </w:r>
      <w:r w:rsidR="003A3C28">
        <w:rPr>
          <w:rFonts w:ascii="Palatino Linotype" w:hAnsi="Palatino Linotype"/>
          <w:sz w:val="24"/>
          <w:szCs w:val="24"/>
        </w:rPr>
        <w:t xml:space="preserve">en fecha </w:t>
      </w:r>
      <w:r w:rsidR="0019678D">
        <w:rPr>
          <w:rFonts w:ascii="Palatino Linotype" w:hAnsi="Palatino Linotype"/>
          <w:sz w:val="24"/>
          <w:szCs w:val="24"/>
        </w:rPr>
        <w:t>veintiuno</w:t>
      </w:r>
      <w:r w:rsidR="003A3C28">
        <w:rPr>
          <w:rFonts w:ascii="Palatino Linotype" w:hAnsi="Palatino Linotype"/>
          <w:sz w:val="24"/>
          <w:szCs w:val="24"/>
        </w:rPr>
        <w:t xml:space="preserve"> de junio de dos mi</w:t>
      </w:r>
      <w:r w:rsidR="0019678D">
        <w:rPr>
          <w:rFonts w:ascii="Palatino Linotype" w:hAnsi="Palatino Linotype"/>
          <w:sz w:val="24"/>
          <w:szCs w:val="24"/>
        </w:rPr>
        <w:t xml:space="preserve">l </w:t>
      </w:r>
      <w:r w:rsidR="003A3C28">
        <w:rPr>
          <w:rFonts w:ascii="Palatino Linotype" w:hAnsi="Palatino Linotype"/>
          <w:sz w:val="24"/>
          <w:szCs w:val="24"/>
        </w:rPr>
        <w:t xml:space="preserve">diecinueve </w:t>
      </w:r>
      <w:r w:rsidR="0019678D">
        <w:rPr>
          <w:rFonts w:ascii="Palatino Linotype" w:hAnsi="Palatino Linotype"/>
          <w:sz w:val="24"/>
          <w:szCs w:val="24"/>
        </w:rPr>
        <w:t xml:space="preserve">dio respuesta, </w:t>
      </w:r>
      <w:r w:rsidR="003A3C28">
        <w:rPr>
          <w:rFonts w:ascii="Palatino Linotype" w:hAnsi="Palatino Linotype"/>
          <w:sz w:val="24"/>
          <w:szCs w:val="24"/>
        </w:rPr>
        <w:t>manifest</w:t>
      </w:r>
      <w:r w:rsidR="0019678D">
        <w:rPr>
          <w:rFonts w:ascii="Palatino Linotype" w:hAnsi="Palatino Linotype"/>
          <w:sz w:val="24"/>
          <w:szCs w:val="24"/>
        </w:rPr>
        <w:t>ando</w:t>
      </w:r>
      <w:r w:rsidR="003A3C28">
        <w:rPr>
          <w:rFonts w:ascii="Palatino Linotype" w:hAnsi="Palatino Linotype"/>
          <w:sz w:val="24"/>
          <w:szCs w:val="24"/>
        </w:rPr>
        <w:t>:</w:t>
      </w:r>
    </w:p>
    <w:p w:rsidR="003A3C28" w:rsidRDefault="003A3C28" w:rsidP="00FA08FC">
      <w:pPr>
        <w:spacing w:after="0" w:line="360" w:lineRule="auto"/>
        <w:jc w:val="both"/>
        <w:rPr>
          <w:rFonts w:ascii="Palatino Linotype" w:hAnsi="Palatino Linotype"/>
          <w:sz w:val="24"/>
          <w:szCs w:val="24"/>
        </w:rPr>
      </w:pPr>
    </w:p>
    <w:p w:rsidR="003A3C28" w:rsidRPr="003A3C28" w:rsidRDefault="003A3C28" w:rsidP="00A37BD8">
      <w:pPr>
        <w:spacing w:after="0" w:line="360" w:lineRule="auto"/>
        <w:ind w:left="1134" w:right="851"/>
        <w:jc w:val="both"/>
        <w:rPr>
          <w:rFonts w:ascii="Palatino Linotype" w:hAnsi="Palatino Linotype"/>
          <w:i/>
          <w:color w:val="000000"/>
          <w:sz w:val="24"/>
          <w:szCs w:val="24"/>
        </w:rPr>
      </w:pPr>
      <w:r>
        <w:rPr>
          <w:rFonts w:ascii="Palatino Linotype" w:hAnsi="Palatino Linotype"/>
          <w:i/>
          <w:color w:val="000000"/>
          <w:sz w:val="24"/>
          <w:szCs w:val="24"/>
        </w:rPr>
        <w:t>“</w:t>
      </w:r>
      <w:r w:rsidR="00A37BD8" w:rsidRPr="00A37BD8">
        <w:rPr>
          <w:rFonts w:ascii="Palatino Linotype" w:hAnsi="Palatino Linotype"/>
          <w:i/>
          <w:color w:val="000000"/>
          <w:sz w:val="24"/>
          <w:szCs w:val="24"/>
        </w:rPr>
        <w:t>Con fundamento en el artículo 53 fracciones II, V y VI de la Ley de Transparencia y Acceso a la Información Pública del Estado de México y Municipios, por este medio se hace entrega de respuesta emitida por la unidad administrativa que fue requerida para atender a su amable solicitud de información. De igual forma, hacemos oportuna la ocasión para recordarle, en términos de los artículos 176 y 177 de la Ley de Transparencia y Acceso a la Información Pública del Estado de México y Municipios, que cuenta con el término de quince días hábiles para presentar Recurso de Revisión en el supuesto caso de que la respuesta otorgada no se refiera a lo solicitado y con ello afecte o vulnere su garantía de derecho de acceso a la información. Nos reiteramos a sus apreciables órdenes</w:t>
      </w:r>
      <w:r>
        <w:rPr>
          <w:rFonts w:ascii="Palatino Linotype" w:hAnsi="Palatino Linotype"/>
          <w:i/>
          <w:color w:val="000000"/>
          <w:sz w:val="24"/>
          <w:szCs w:val="24"/>
        </w:rPr>
        <w:t>” (sic)</w:t>
      </w:r>
    </w:p>
    <w:p w:rsidR="003A3C28" w:rsidRDefault="003A3C28" w:rsidP="00FA08FC">
      <w:pPr>
        <w:spacing w:after="0" w:line="360" w:lineRule="auto"/>
        <w:jc w:val="both"/>
        <w:rPr>
          <w:rFonts w:ascii="Palatino Linotype" w:hAnsi="Palatino Linotype"/>
          <w:sz w:val="24"/>
          <w:szCs w:val="24"/>
        </w:rPr>
      </w:pPr>
    </w:p>
    <w:p w:rsidR="00A37BD8" w:rsidRDefault="00A37BD8" w:rsidP="00FA08FC">
      <w:pPr>
        <w:spacing w:after="0" w:line="360" w:lineRule="auto"/>
        <w:jc w:val="both"/>
        <w:rPr>
          <w:rFonts w:ascii="Palatino Linotype" w:hAnsi="Palatino Linotype"/>
          <w:sz w:val="24"/>
          <w:szCs w:val="24"/>
        </w:rPr>
      </w:pPr>
      <w:r>
        <w:rPr>
          <w:rFonts w:ascii="Palatino Linotype" w:hAnsi="Palatino Linotype"/>
          <w:sz w:val="24"/>
          <w:szCs w:val="24"/>
        </w:rPr>
        <w:t>Adjuntando para tal efecto el siguiente oficio:</w:t>
      </w:r>
    </w:p>
    <w:p w:rsidR="00A37BD8" w:rsidRDefault="00A37BD8" w:rsidP="00FA08FC">
      <w:pPr>
        <w:spacing w:after="0" w:line="360" w:lineRule="auto"/>
        <w:jc w:val="both"/>
        <w:rPr>
          <w:rFonts w:ascii="Palatino Linotype" w:hAnsi="Palatino Linotype"/>
          <w:sz w:val="24"/>
          <w:szCs w:val="24"/>
        </w:rPr>
      </w:pPr>
    </w:p>
    <w:p w:rsidR="00A37BD8" w:rsidRDefault="00A37BD8" w:rsidP="00FA08FC">
      <w:pPr>
        <w:spacing w:after="0" w:line="360" w:lineRule="auto"/>
        <w:jc w:val="both"/>
        <w:rPr>
          <w:rFonts w:ascii="Palatino Linotype" w:hAnsi="Palatino Linotype"/>
          <w:sz w:val="24"/>
          <w:szCs w:val="24"/>
        </w:rPr>
      </w:pPr>
    </w:p>
    <w:p w:rsidR="00A37BD8" w:rsidRDefault="00A37BD8" w:rsidP="00A37BD8">
      <w:pPr>
        <w:spacing w:after="0" w:line="360" w:lineRule="auto"/>
        <w:jc w:val="center"/>
        <w:rPr>
          <w:rFonts w:ascii="Palatino Linotype" w:hAnsi="Palatino Linotype"/>
          <w:sz w:val="24"/>
          <w:szCs w:val="24"/>
        </w:rPr>
      </w:pPr>
      <w:r>
        <w:rPr>
          <w:noProof/>
          <w:lang w:eastAsia="es-MX"/>
        </w:rPr>
        <w:drawing>
          <wp:inline distT="0" distB="0" distL="0" distR="0" wp14:anchorId="3263CA54" wp14:editId="7D92ED84">
            <wp:extent cx="5695950" cy="7010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399" t="13522" r="34524" b="10053"/>
                    <a:stretch/>
                  </pic:blipFill>
                  <pic:spPr bwMode="auto">
                    <a:xfrm>
                      <a:off x="0" y="0"/>
                      <a:ext cx="5695950" cy="7010400"/>
                    </a:xfrm>
                    <a:prstGeom prst="rect">
                      <a:avLst/>
                    </a:prstGeom>
                    <a:ln>
                      <a:noFill/>
                    </a:ln>
                    <a:extLst>
                      <a:ext uri="{53640926-AAD7-44D8-BBD7-CCE9431645EC}">
                        <a14:shadowObscured xmlns:a14="http://schemas.microsoft.com/office/drawing/2010/main"/>
                      </a:ext>
                    </a:extLst>
                  </pic:spPr>
                </pic:pic>
              </a:graphicData>
            </a:graphic>
          </wp:inline>
        </w:drawing>
      </w:r>
    </w:p>
    <w:p w:rsidR="00A37BD8" w:rsidRDefault="00A37BD8" w:rsidP="00FA08FC">
      <w:pPr>
        <w:spacing w:after="0" w:line="360" w:lineRule="auto"/>
        <w:jc w:val="both"/>
        <w:rPr>
          <w:rFonts w:ascii="Palatino Linotype" w:hAnsi="Palatino Linotype"/>
          <w:sz w:val="24"/>
          <w:szCs w:val="24"/>
        </w:rPr>
      </w:pPr>
    </w:p>
    <w:p w:rsidR="00A37BD8" w:rsidRDefault="00A37BD8"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A37BD8">
        <w:rPr>
          <w:rFonts w:ascii="Palatino Linotype" w:hAnsi="Palatino Linotype" w:cs="Arial"/>
          <w:sz w:val="24"/>
          <w:szCs w:val="24"/>
        </w:rPr>
        <w:t xml:space="preserve">dos </w:t>
      </w:r>
      <w:r>
        <w:rPr>
          <w:rFonts w:ascii="Palatino Linotype" w:hAnsi="Palatino Linotype" w:cs="Arial"/>
          <w:sz w:val="24"/>
          <w:szCs w:val="24"/>
        </w:rPr>
        <w:t xml:space="preserve">de </w:t>
      </w:r>
      <w:r w:rsidR="00CC2CA5">
        <w:rPr>
          <w:rFonts w:ascii="Palatino Linotype" w:hAnsi="Palatino Linotype" w:cs="Arial"/>
          <w:sz w:val="24"/>
          <w:szCs w:val="24"/>
        </w:rPr>
        <w:t>ju</w:t>
      </w:r>
      <w:r w:rsidR="00A37BD8">
        <w:rPr>
          <w:rFonts w:ascii="Palatino Linotype" w:hAnsi="Palatino Linotype" w:cs="Arial"/>
          <w:sz w:val="24"/>
          <w:szCs w:val="24"/>
        </w:rPr>
        <w:t>l</w:t>
      </w:r>
      <w:r w:rsidR="00CC2CA5">
        <w:rPr>
          <w:rFonts w:ascii="Palatino Linotype" w:hAnsi="Palatino Linotype" w:cs="Arial"/>
          <w:sz w:val="24"/>
          <w:szCs w:val="24"/>
        </w:rPr>
        <w:t>io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614B42">
        <w:rPr>
          <w:rFonts w:ascii="Palatino Linotype" w:hAnsi="Palatino Linotype" w:cs="Arial"/>
          <w:b/>
          <w:bCs/>
          <w:sz w:val="24"/>
          <w:szCs w:val="24"/>
          <w:lang w:eastAsia="es-MX"/>
        </w:rPr>
        <w:t>5</w:t>
      </w:r>
      <w:r w:rsidR="00A37BD8">
        <w:rPr>
          <w:rFonts w:ascii="Palatino Linotype" w:hAnsi="Palatino Linotype" w:cs="Arial"/>
          <w:b/>
          <w:bCs/>
          <w:sz w:val="24"/>
          <w:szCs w:val="24"/>
          <w:lang w:eastAsia="es-MX"/>
        </w:rPr>
        <w:t>98</w:t>
      </w:r>
      <w:r w:rsidR="00F42FEF">
        <w:rPr>
          <w:rFonts w:ascii="Palatino Linotype" w:hAnsi="Palatino Linotype" w:cs="Arial"/>
          <w:b/>
          <w:bCs/>
          <w:sz w:val="24"/>
          <w:szCs w:val="24"/>
          <w:lang w:eastAsia="es-MX"/>
        </w:rPr>
        <w:t>0</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w:t>
      </w:r>
      <w:r w:rsidR="00614B42">
        <w:rPr>
          <w:rFonts w:ascii="Palatino Linotype" w:hAnsi="Palatino Linotype" w:cs="Arial"/>
          <w:sz w:val="24"/>
          <w:szCs w:val="24"/>
        </w:rPr>
        <w:t xml:space="preserve"> las siguientes manifestaciones como </w:t>
      </w:r>
      <w:r w:rsidR="00614B42" w:rsidRPr="00614B42">
        <w:rPr>
          <w:rFonts w:ascii="Palatino Linotype" w:hAnsi="Palatino Linotype" w:cs="Arial"/>
          <w:sz w:val="24"/>
          <w:szCs w:val="24"/>
        </w:rPr>
        <w:t>a</w:t>
      </w:r>
      <w:r w:rsidRPr="00614B42">
        <w:rPr>
          <w:rFonts w:ascii="Palatino Linotype" w:hAnsi="Palatino Linotype" w:cs="Arial"/>
          <w:sz w:val="24"/>
          <w:szCs w:val="24"/>
        </w:rPr>
        <w:t xml:space="preserve">cto </w:t>
      </w:r>
      <w:r w:rsidR="00614B42" w:rsidRPr="00614B42">
        <w:rPr>
          <w:rFonts w:ascii="Palatino Linotype" w:hAnsi="Palatino Linotype" w:cs="Arial"/>
          <w:sz w:val="24"/>
          <w:szCs w:val="24"/>
        </w:rPr>
        <w:t>i</w:t>
      </w:r>
      <w:r w:rsidRPr="00614B42">
        <w:rPr>
          <w:rFonts w:ascii="Palatino Linotype" w:hAnsi="Palatino Linotype" w:cs="Arial"/>
          <w:sz w:val="24"/>
          <w:szCs w:val="24"/>
        </w:rPr>
        <w:t>mpugnado</w:t>
      </w:r>
      <w:r w:rsidR="00A37BD8">
        <w:rPr>
          <w:rFonts w:ascii="Palatino Linotype" w:hAnsi="Palatino Linotype" w:cs="Arial"/>
          <w:sz w:val="24"/>
          <w:szCs w:val="24"/>
        </w:rPr>
        <w:t>: “</w:t>
      </w:r>
      <w:r w:rsidR="00A37BD8" w:rsidRPr="00A37BD8">
        <w:rPr>
          <w:rFonts w:ascii="Palatino Linotype" w:hAnsi="Palatino Linotype" w:cs="Arial"/>
          <w:i/>
          <w:sz w:val="24"/>
          <w:szCs w:val="24"/>
        </w:rPr>
        <w:t>La negativa de información</w:t>
      </w:r>
      <w:r w:rsidR="00A37BD8">
        <w:rPr>
          <w:rFonts w:ascii="Palatino Linotype" w:hAnsi="Palatino Linotype" w:cs="Arial"/>
          <w:sz w:val="24"/>
          <w:szCs w:val="24"/>
        </w:rPr>
        <w:t>”</w:t>
      </w:r>
      <w:r w:rsidR="00F42FEF">
        <w:rPr>
          <w:rFonts w:ascii="Palatino Linotype" w:hAnsi="Palatino Linotype" w:cs="Arial"/>
          <w:sz w:val="24"/>
          <w:szCs w:val="24"/>
        </w:rPr>
        <w:t xml:space="preserve"> y como </w:t>
      </w:r>
      <w:r w:rsidR="00F42FEF" w:rsidRPr="00614B42">
        <w:rPr>
          <w:rFonts w:ascii="Palatino Linotype" w:hAnsi="Palatino Linotype" w:cs="Arial"/>
          <w:sz w:val="24"/>
          <w:szCs w:val="24"/>
        </w:rPr>
        <w:t>Razones o Motivos de Inconformidad</w:t>
      </w:r>
      <w:r w:rsidRPr="00614B42">
        <w:rPr>
          <w:rFonts w:ascii="Palatino Linotype" w:hAnsi="Palatino Linotype" w:cs="Arial"/>
          <w:sz w:val="24"/>
          <w:szCs w:val="24"/>
        </w:rPr>
        <w:t>:</w:t>
      </w:r>
      <w:r w:rsidR="00614B42" w:rsidRPr="00614B42">
        <w:rPr>
          <w:rFonts w:ascii="Palatino Linotype" w:hAnsi="Palatino Linotype" w:cs="Arial"/>
          <w:sz w:val="24"/>
          <w:szCs w:val="24"/>
        </w:rPr>
        <w:t xml:space="preserve"> “</w:t>
      </w:r>
      <w:r w:rsidR="00A37BD8" w:rsidRPr="00A37BD8">
        <w:rPr>
          <w:rFonts w:ascii="Palatino Linotype" w:hAnsi="Palatino Linotype" w:cs="Arial"/>
          <w:i/>
          <w:sz w:val="24"/>
          <w:szCs w:val="24"/>
        </w:rPr>
        <w:t>No se me proporciona la información solicitada alegando que no se especifica que oficios deben de proporcionar, cuando requeri todos los emitidos, sin hacer una distinción especifica, aunado a que no resulta lógica su respuesta de que no se especifica, puesto que pudo solicitar una aclaración, sin embargo únicamente demuestra la falta de transparencia de esa unidad administrativa del ayuntamiento de almoloya de juarez</w:t>
      </w:r>
      <w:r w:rsidR="00614B42">
        <w:rPr>
          <w:rFonts w:ascii="Palatino Linotype" w:hAnsi="Palatino Linotype" w:cs="Arial"/>
          <w:sz w:val="24"/>
          <w:szCs w:val="24"/>
        </w:rPr>
        <w:t>”</w:t>
      </w:r>
      <w:r w:rsidR="00F42FEF">
        <w:rPr>
          <w:rFonts w:ascii="Palatino Linotype" w:hAnsi="Palatino Linotype" w:cs="Arial"/>
          <w:sz w:val="24"/>
          <w:szCs w:val="24"/>
        </w:rPr>
        <w:t>.</w:t>
      </w:r>
    </w:p>
    <w:p w:rsidR="008A3CFC" w:rsidRDefault="008A3C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37BD8">
        <w:rPr>
          <w:rFonts w:ascii="Palatino Linotype" w:hAnsi="Palatino Linotype" w:cs="Arial"/>
          <w:sz w:val="24"/>
          <w:szCs w:val="24"/>
        </w:rPr>
        <w:t>ocho</w:t>
      </w:r>
      <w:r w:rsidR="002F4CB0">
        <w:rPr>
          <w:rFonts w:ascii="Palatino Linotype" w:hAnsi="Palatino Linotype" w:cs="Arial"/>
          <w:sz w:val="24"/>
          <w:szCs w:val="24"/>
        </w:rPr>
        <w:t xml:space="preserve"> </w:t>
      </w:r>
      <w:r>
        <w:rPr>
          <w:rFonts w:ascii="Palatino Linotype" w:hAnsi="Palatino Linotype" w:cs="Arial"/>
          <w:sz w:val="24"/>
          <w:szCs w:val="24"/>
        </w:rPr>
        <w:t xml:space="preserve">de </w:t>
      </w:r>
      <w:r w:rsidR="00C033D6">
        <w:rPr>
          <w:rFonts w:ascii="Palatino Linotype" w:hAnsi="Palatino Linotype" w:cs="Arial"/>
          <w:sz w:val="24"/>
          <w:szCs w:val="24"/>
        </w:rPr>
        <w:t>ju</w:t>
      </w:r>
      <w:r w:rsidR="002F4CB0">
        <w:rPr>
          <w:rFonts w:ascii="Palatino Linotype" w:hAnsi="Palatino Linotype" w:cs="Arial"/>
          <w:sz w:val="24"/>
          <w:szCs w:val="24"/>
        </w:rPr>
        <w:t>l</w:t>
      </w:r>
      <w:r w:rsidR="00C033D6">
        <w:rPr>
          <w:rFonts w:ascii="Palatino Linotype" w:hAnsi="Palatino Linotype" w:cs="Arial"/>
          <w:sz w:val="24"/>
          <w:szCs w:val="24"/>
        </w:rPr>
        <w:t>io</w:t>
      </w:r>
      <w:r>
        <w:rPr>
          <w:rFonts w:ascii="Palatino Linotype" w:hAnsi="Palatino Linotype" w:cs="Arial"/>
          <w:sz w:val="24"/>
          <w:szCs w:val="24"/>
        </w:rPr>
        <w:t xml:space="preserve"> </w:t>
      </w:r>
      <w:r w:rsidRPr="00AD2A55">
        <w:rPr>
          <w:rFonts w:ascii="Palatino Linotype" w:hAnsi="Palatino Linotype" w:cs="Arial"/>
          <w:sz w:val="24"/>
          <w:szCs w:val="24"/>
        </w:rPr>
        <w:t xml:space="preserve">de </w:t>
      </w:r>
      <w:r w:rsidR="002F4CB0">
        <w:rPr>
          <w:rFonts w:ascii="Palatino Linotype" w:hAnsi="Palatino Linotype" w:cs="Arial"/>
          <w:sz w:val="24"/>
          <w:szCs w:val="24"/>
        </w:rPr>
        <w:t>dos mil nueve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FA08FC" w:rsidRPr="00AD2A55" w:rsidRDefault="00FA08FC" w:rsidP="00FA08FC">
      <w:pPr>
        <w:spacing w:after="0" w:line="360" w:lineRule="auto"/>
        <w:jc w:val="both"/>
        <w:rPr>
          <w:rFonts w:ascii="Palatino Linotype" w:hAnsi="Palatino Linotype" w:cs="Arial"/>
          <w:sz w:val="24"/>
          <w:szCs w:val="24"/>
        </w:rPr>
      </w:pPr>
    </w:p>
    <w:p w:rsidR="00FA08FC" w:rsidRPr="00D23F59" w:rsidRDefault="00FA08FC" w:rsidP="00FA08FC">
      <w:pPr>
        <w:spacing w:after="0" w:line="360" w:lineRule="auto"/>
        <w:jc w:val="both"/>
        <w:rPr>
          <w:rFonts w:ascii="Palatino Linotype" w:hAnsi="Palatino Linotype" w:cs="Arial"/>
          <w:b/>
          <w:sz w:val="24"/>
          <w:szCs w:val="24"/>
        </w:rPr>
      </w:pPr>
      <w:r w:rsidRPr="00D23F59">
        <w:rPr>
          <w:rFonts w:ascii="Palatino Linotype" w:hAnsi="Palatino Linotype" w:cs="Arial"/>
          <w:b/>
          <w:sz w:val="24"/>
          <w:szCs w:val="24"/>
        </w:rPr>
        <w:t xml:space="preserve">QUINTO. De la etapa de </w:t>
      </w:r>
      <w:r w:rsidR="00D23F59">
        <w:rPr>
          <w:rFonts w:ascii="Palatino Linotype" w:hAnsi="Palatino Linotype" w:cs="Arial"/>
          <w:b/>
          <w:sz w:val="24"/>
          <w:szCs w:val="24"/>
        </w:rPr>
        <w:t>instrucción</w:t>
      </w:r>
      <w:r w:rsidRPr="00D23F59">
        <w:rPr>
          <w:rFonts w:ascii="Palatino Linotype" w:hAnsi="Palatino Linotype" w:cs="Arial"/>
          <w:b/>
          <w:sz w:val="24"/>
          <w:szCs w:val="24"/>
        </w:rPr>
        <w:t>.</w:t>
      </w:r>
    </w:p>
    <w:p w:rsidR="00FA08FC" w:rsidRDefault="00FA08FC" w:rsidP="00FA08FC">
      <w:pPr>
        <w:spacing w:after="0" w:line="360" w:lineRule="auto"/>
        <w:jc w:val="both"/>
        <w:rPr>
          <w:rFonts w:ascii="Palatino Linotype" w:hAnsi="Palatino Linotype" w:cs="Arial"/>
          <w:sz w:val="24"/>
          <w:szCs w:val="24"/>
        </w:rPr>
      </w:pPr>
      <w:r w:rsidRPr="00D23F59">
        <w:rPr>
          <w:rFonts w:ascii="Palatino Linotype" w:hAnsi="Palatino Linotype" w:cs="Arial"/>
          <w:sz w:val="24"/>
          <w:szCs w:val="24"/>
        </w:rPr>
        <w:t>Así, una vez transcurrido el término legal referido se destaca que el Sujeto Obligado</w:t>
      </w:r>
      <w:r w:rsidR="00D23F59" w:rsidRPr="00D23F59">
        <w:rPr>
          <w:rFonts w:ascii="Palatino Linotype" w:hAnsi="Palatino Linotype" w:cs="Arial"/>
          <w:sz w:val="24"/>
          <w:szCs w:val="24"/>
        </w:rPr>
        <w:t xml:space="preserve"> </w:t>
      </w:r>
      <w:r w:rsidR="008F532E">
        <w:rPr>
          <w:rFonts w:ascii="Palatino Linotype" w:hAnsi="Palatino Linotype" w:cs="Arial"/>
          <w:sz w:val="24"/>
          <w:szCs w:val="24"/>
        </w:rPr>
        <w:t>no ofreció prueba ni manifestó lo que a su derecho conviniera</w:t>
      </w:r>
      <w:r w:rsidR="00D23F59">
        <w:rPr>
          <w:rFonts w:ascii="Palatino Linotype" w:hAnsi="Palatino Linotype" w:cs="Arial"/>
          <w:sz w:val="24"/>
          <w:szCs w:val="24"/>
        </w:rPr>
        <w:t xml:space="preserve">, también se hizo constar que </w:t>
      </w:r>
      <w:r>
        <w:rPr>
          <w:rFonts w:ascii="Palatino Linotype" w:hAnsi="Palatino Linotype" w:cs="Arial"/>
          <w:sz w:val="24"/>
          <w:szCs w:val="24"/>
        </w:rPr>
        <w:t>el Recurrente no emiti</w:t>
      </w:r>
      <w:r w:rsidR="00D23F59">
        <w:rPr>
          <w:rFonts w:ascii="Palatino Linotype" w:hAnsi="Palatino Linotype" w:cs="Arial"/>
          <w:sz w:val="24"/>
          <w:szCs w:val="24"/>
        </w:rPr>
        <w:t>ó</w:t>
      </w:r>
      <w:r>
        <w:rPr>
          <w:rFonts w:ascii="Palatino Linotype" w:hAnsi="Palatino Linotype" w:cs="Arial"/>
          <w:sz w:val="24"/>
          <w:szCs w:val="24"/>
        </w:rPr>
        <w:t xml:space="preserve"> manifestaciones,</w:t>
      </w:r>
      <w:r w:rsidR="00D23F59">
        <w:rPr>
          <w:rFonts w:ascii="Palatino Linotype" w:hAnsi="Palatino Linotype" w:cs="Arial"/>
          <w:sz w:val="24"/>
          <w:szCs w:val="24"/>
        </w:rPr>
        <w:t xml:space="preserve"> ni ofreció pruebas de su parte.</w:t>
      </w:r>
    </w:p>
    <w:p w:rsidR="00FA08FC" w:rsidRDefault="00FA08FC" w:rsidP="00FA08FC">
      <w:pPr>
        <w:tabs>
          <w:tab w:val="left" w:pos="3206"/>
        </w:tabs>
        <w:spacing w:after="0" w:line="360" w:lineRule="auto"/>
        <w:jc w:val="both"/>
        <w:rPr>
          <w:rFonts w:ascii="Palatino Linotype" w:hAnsi="Palatino Linotype" w:cs="Arial"/>
          <w:b/>
          <w:sz w:val="24"/>
          <w:szCs w:val="24"/>
        </w:rPr>
      </w:pPr>
    </w:p>
    <w:p w:rsidR="00FA08FC" w:rsidRPr="00AD2A55" w:rsidRDefault="00D23F59" w:rsidP="00FA08FC">
      <w:pPr>
        <w:tabs>
          <w:tab w:val="left" w:pos="3206"/>
        </w:tabs>
        <w:spacing w:after="0" w:line="360" w:lineRule="auto"/>
        <w:jc w:val="both"/>
        <w:rPr>
          <w:rFonts w:ascii="Palatino Linotype" w:hAnsi="Palatino Linotype" w:cs="Arial"/>
          <w:b/>
          <w:sz w:val="24"/>
          <w:szCs w:val="24"/>
        </w:rPr>
      </w:pPr>
      <w:r>
        <w:rPr>
          <w:rFonts w:ascii="Palatino Linotype" w:hAnsi="Palatino Linotype" w:cs="Arial"/>
          <w:b/>
          <w:sz w:val="24"/>
          <w:szCs w:val="24"/>
        </w:rPr>
        <w:t>Del cierre de instrucción.</w:t>
      </w: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sidR="00D23F59">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A37BD8">
        <w:rPr>
          <w:rFonts w:ascii="Palatino Linotype" w:hAnsi="Palatino Linotype" w:cs="Arial"/>
          <w:sz w:val="24"/>
          <w:szCs w:val="24"/>
        </w:rPr>
        <w:t>primero</w:t>
      </w:r>
      <w:r>
        <w:rPr>
          <w:rFonts w:ascii="Palatino Linotype" w:hAnsi="Palatino Linotype" w:cs="Arial"/>
          <w:sz w:val="24"/>
          <w:szCs w:val="24"/>
        </w:rPr>
        <w:t xml:space="preserve"> de </w:t>
      </w:r>
      <w:r w:rsidR="00A37BD8">
        <w:rPr>
          <w:rFonts w:ascii="Palatino Linotype" w:hAnsi="Palatino Linotype" w:cs="Arial"/>
          <w:sz w:val="24"/>
          <w:szCs w:val="24"/>
        </w:rPr>
        <w:t>agosto</w:t>
      </w:r>
      <w:r>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w:t>
      </w:r>
      <w:r w:rsidR="00860EDE">
        <w:rPr>
          <w:rFonts w:ascii="Palatino Linotype" w:hAnsi="Palatino Linotype" w:cs="Arial"/>
          <w:sz w:val="24"/>
          <w:szCs w:val="24"/>
        </w:rPr>
        <w:t xml:space="preserve"> en el cual se hizo constar que ni el sujeto obligado ni el hoy recurrente presentaron manifestaciones de su parte, ni ofrecieron pruebas o alegatos que estimaran convenientes, por lo que se</w:t>
      </w:r>
      <w:r w:rsidRPr="00AD2A55">
        <w:rPr>
          <w:rFonts w:ascii="Palatino Linotype" w:hAnsi="Palatino Linotype" w:cs="Arial"/>
          <w:sz w:val="24"/>
          <w:szCs w:val="24"/>
        </w:rPr>
        <w:t xml:space="preserve"> </w:t>
      </w:r>
      <w:r w:rsidR="00860EDE">
        <w:rPr>
          <w:rFonts w:ascii="Palatino Linotype" w:hAnsi="Palatino Linotype" w:cs="Arial"/>
          <w:sz w:val="24"/>
          <w:szCs w:val="24"/>
        </w:rPr>
        <w:t xml:space="preserve">inició </w:t>
      </w:r>
      <w:r w:rsidRPr="00AD2A55">
        <w:rPr>
          <w:rFonts w:ascii="Palatino Linotype" w:hAnsi="Palatino Linotype" w:cs="Arial"/>
          <w:sz w:val="24"/>
          <w:szCs w:val="24"/>
        </w:rPr>
        <w:t>el término legal para dictar r</w:t>
      </w:r>
      <w:r w:rsidR="0043037F">
        <w:rPr>
          <w:rFonts w:ascii="Palatino Linotype" w:hAnsi="Palatino Linotype" w:cs="Arial"/>
          <w:sz w:val="24"/>
          <w:szCs w:val="24"/>
        </w:rPr>
        <w:t>esolución definitiva del asunto, asimismo, e</w:t>
      </w:r>
      <w:r w:rsidRPr="00A96462">
        <w:rPr>
          <w:rFonts w:ascii="Palatino Linotype" w:hAnsi="Palatino Linotype" w:cs="Arial"/>
          <w:sz w:val="24"/>
          <w:szCs w:val="24"/>
        </w:rPr>
        <w:t xml:space="preserve">n fecha </w:t>
      </w:r>
      <w:r w:rsidR="00A37BD8">
        <w:rPr>
          <w:rFonts w:ascii="Palatino Linotype" w:hAnsi="Palatino Linotype" w:cs="Arial"/>
          <w:sz w:val="24"/>
          <w:szCs w:val="24"/>
        </w:rPr>
        <w:t>dos</w:t>
      </w:r>
      <w:r w:rsidR="002F4CB0">
        <w:rPr>
          <w:rFonts w:ascii="Palatino Linotype" w:hAnsi="Palatino Linotype" w:cs="Arial"/>
          <w:sz w:val="24"/>
          <w:szCs w:val="24"/>
        </w:rPr>
        <w:t xml:space="preserve"> </w:t>
      </w:r>
      <w:r>
        <w:rPr>
          <w:rFonts w:ascii="Palatino Linotype" w:hAnsi="Palatino Linotype" w:cs="Arial"/>
          <w:sz w:val="24"/>
          <w:szCs w:val="24"/>
        </w:rPr>
        <w:t xml:space="preserve">de </w:t>
      </w:r>
      <w:r w:rsidR="00A37BD8">
        <w:rPr>
          <w:rFonts w:ascii="Palatino Linotype" w:hAnsi="Palatino Linotype" w:cs="Arial"/>
          <w:sz w:val="24"/>
          <w:szCs w:val="24"/>
        </w:rPr>
        <w:t>septiembre</w:t>
      </w:r>
      <w:r>
        <w:rPr>
          <w:rFonts w:ascii="Palatino Linotype" w:hAnsi="Palatino Linotype" w:cs="Arial"/>
          <w:sz w:val="24"/>
          <w:szCs w:val="24"/>
        </w:rPr>
        <w:t xml:space="preserve"> de </w:t>
      </w:r>
      <w:r w:rsidRPr="00A96462">
        <w:rPr>
          <w:rFonts w:ascii="Palatino Linotype" w:hAnsi="Palatino Linotype" w:cs="Arial"/>
          <w:sz w:val="24"/>
          <w:szCs w:val="24"/>
        </w:rPr>
        <w:t>dos mil diecinueve, se remitió a las partes el acuerdo de ampliación del plazo para resolver el presente recurso de revisión en términos del artículo 181 de la Ley de Transparencia y Acceso a la Información Pública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C033D6">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sidR="00C033D6">
        <w:rPr>
          <w:rFonts w:ascii="Palatino Linotype" w:hAnsi="Palatino Linotype" w:cs="Arial"/>
          <w:sz w:val="24"/>
          <w:szCs w:val="24"/>
        </w:rPr>
        <w:t>tercero</w:t>
      </w:r>
      <w:r w:rsidRPr="00AD2A55">
        <w:rPr>
          <w:rFonts w:ascii="Palatino Linotype" w:hAnsi="Palatino Linotype" w:cs="Arial"/>
          <w:sz w:val="24"/>
          <w:szCs w:val="24"/>
        </w:rPr>
        <w:t xml:space="preserve"> y vigésimo </w:t>
      </w:r>
      <w:r w:rsidR="00C033D6">
        <w:rPr>
          <w:rFonts w:ascii="Palatino Linotype" w:hAnsi="Palatino Linotype" w:cs="Arial"/>
          <w:sz w:val="24"/>
          <w:szCs w:val="24"/>
        </w:rPr>
        <w:t>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9, fracciones I y XXIV y 11 del Reglamento </w:t>
      </w:r>
      <w:r w:rsidRPr="00AD2A55">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7707AC" w:rsidRDefault="007707AC" w:rsidP="00FA08FC">
      <w:pPr>
        <w:autoSpaceDE w:val="0"/>
        <w:autoSpaceDN w:val="0"/>
        <w:adjustRightInd w:val="0"/>
        <w:spacing w:after="0" w:line="360" w:lineRule="auto"/>
        <w:jc w:val="both"/>
        <w:rPr>
          <w:rFonts w:ascii="Palatino Linotype" w:hAnsi="Palatino Linotype" w:cs="Arial"/>
          <w:b/>
          <w:sz w:val="24"/>
          <w:szCs w:val="24"/>
        </w:rPr>
      </w:pPr>
    </w:p>
    <w:p w:rsidR="00FA08FC" w:rsidRPr="00AD2A55"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FA08FC" w:rsidRPr="00AD2A55" w:rsidRDefault="00FA08FC" w:rsidP="00FA08F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rsidR="00FA08FC" w:rsidRPr="00AD2A55" w:rsidRDefault="00FA08FC" w:rsidP="00FA08FC">
      <w:pPr>
        <w:pStyle w:val="Prrafodelista"/>
        <w:autoSpaceDE w:val="0"/>
        <w:autoSpaceDN w:val="0"/>
        <w:adjustRightInd w:val="0"/>
        <w:spacing w:line="360" w:lineRule="auto"/>
        <w:ind w:right="850"/>
        <w:jc w:val="both"/>
        <w:rPr>
          <w:rFonts w:ascii="Palatino Linotype" w:hAnsi="Palatino Linotype" w:cs="Arial"/>
          <w:i/>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FA08FC" w:rsidRPr="00F64316" w:rsidRDefault="00FA08FC" w:rsidP="00FA08FC">
      <w:pPr>
        <w:spacing w:after="0" w:line="360" w:lineRule="auto"/>
        <w:jc w:val="both"/>
        <w:rPr>
          <w:rFonts w:ascii="Palatino Linotype" w:hAnsi="Palatino Linotype"/>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FA08FC" w:rsidRPr="002E35AF" w:rsidRDefault="00FA08FC" w:rsidP="00FA08FC">
      <w:pPr>
        <w:spacing w:after="0" w:line="360" w:lineRule="auto"/>
        <w:jc w:val="both"/>
        <w:rPr>
          <w:rFonts w:ascii="Palatino Linotype" w:hAnsi="Palatino Linotype" w:cs="Arial"/>
          <w:color w:val="000000" w:themeColor="text1"/>
          <w:sz w:val="24"/>
          <w:szCs w:val="24"/>
        </w:rPr>
      </w:pP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FA08FC" w:rsidRPr="002E35AF" w:rsidRDefault="00FA08FC" w:rsidP="00FA08F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FA08FC" w:rsidRPr="002E35AF" w:rsidRDefault="00FA08FC" w:rsidP="00FA08FC">
      <w:pPr>
        <w:spacing w:after="0" w:line="360" w:lineRule="auto"/>
        <w:ind w:left="851" w:right="851"/>
        <w:jc w:val="both"/>
        <w:rPr>
          <w:rFonts w:ascii="Palatino Linotype" w:hAnsi="Palatino Linotype" w:cs="Arial"/>
          <w:i/>
          <w:color w:val="000000" w:themeColor="text1"/>
        </w:rPr>
      </w:pPr>
    </w:p>
    <w:p w:rsidR="00FA08FC" w:rsidRPr="00FE2D6D" w:rsidRDefault="00FA08FC" w:rsidP="00FE2D6D">
      <w:pPr>
        <w:spacing w:after="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A08FC" w:rsidRDefault="00FA08FC" w:rsidP="00FA08FC">
      <w:pPr>
        <w:spacing w:after="0" w:line="360" w:lineRule="auto"/>
        <w:jc w:val="both"/>
        <w:rPr>
          <w:rFonts w:ascii="Palatino Linotype" w:hAnsi="Palatino Linotype" w:cs="Arial"/>
          <w:color w:val="000000" w:themeColor="text1"/>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967895">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w:t>
      </w:r>
      <w:r w:rsidR="00812913">
        <w:rPr>
          <w:rFonts w:ascii="Palatino Linotype" w:hAnsi="Palatino Linotype" w:cs="Arial"/>
          <w:sz w:val="24"/>
          <w:szCs w:val="24"/>
        </w:rPr>
        <w:t>strar la información solicitada, consistente en:</w:t>
      </w:r>
    </w:p>
    <w:p w:rsidR="00812913" w:rsidRDefault="00812913" w:rsidP="00FA08FC">
      <w:pPr>
        <w:autoSpaceDE w:val="0"/>
        <w:autoSpaceDN w:val="0"/>
        <w:adjustRightInd w:val="0"/>
        <w:spacing w:after="0" w:line="360" w:lineRule="auto"/>
        <w:jc w:val="both"/>
        <w:rPr>
          <w:rFonts w:ascii="Palatino Linotype" w:hAnsi="Palatino Linotype" w:cs="Arial"/>
          <w:sz w:val="24"/>
          <w:szCs w:val="24"/>
        </w:rPr>
      </w:pPr>
    </w:p>
    <w:p w:rsidR="00812913" w:rsidRPr="00424F56" w:rsidRDefault="00424F56" w:rsidP="00424F56">
      <w:pPr>
        <w:autoSpaceDE w:val="0"/>
        <w:autoSpaceDN w:val="0"/>
        <w:adjustRightInd w:val="0"/>
        <w:spacing w:after="0" w:line="36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Pr="00424F56">
        <w:rPr>
          <w:rFonts w:ascii="Palatino Linotype" w:hAnsi="Palatino Linotype" w:cs="Arial"/>
          <w:i/>
          <w:sz w:val="24"/>
          <w:szCs w:val="24"/>
        </w:rPr>
        <w:t>Requiero se me proporcione todos los oficios emitidos por la Tesoreria Municipal de ese Ayuntamiento, mismos que deben de estar debidamente firmados por la Tesorera, por el periodo comprendido desde el 1 de enero al 31 de mayo del año en curso</w:t>
      </w:r>
      <w:r>
        <w:rPr>
          <w:rFonts w:ascii="Palatino Linotype" w:hAnsi="Palatino Linotype" w:cs="Arial"/>
          <w:i/>
          <w:sz w:val="24"/>
          <w:szCs w:val="24"/>
        </w:rPr>
        <w:t>” (sic)</w:t>
      </w:r>
    </w:p>
    <w:p w:rsidR="00FD3D80" w:rsidRPr="00FD3D80" w:rsidRDefault="00FD3D80" w:rsidP="00FD3D80">
      <w:pPr>
        <w:autoSpaceDE w:val="0"/>
        <w:autoSpaceDN w:val="0"/>
        <w:adjustRightInd w:val="0"/>
        <w:spacing w:after="0" w:line="360" w:lineRule="auto"/>
        <w:jc w:val="both"/>
        <w:rPr>
          <w:rFonts w:ascii="Palatino Linotype" w:hAnsi="Palatino Linotype" w:cs="Arial"/>
          <w:sz w:val="24"/>
          <w:szCs w:val="24"/>
        </w:rPr>
      </w:pPr>
    </w:p>
    <w:p w:rsidR="00FA7D2E" w:rsidRDefault="00FD3D80" w:rsidP="00FD3D80">
      <w:pPr>
        <w:autoSpaceDE w:val="0"/>
        <w:autoSpaceDN w:val="0"/>
        <w:adjustRightInd w:val="0"/>
        <w:spacing w:after="0" w:line="360" w:lineRule="auto"/>
        <w:jc w:val="both"/>
        <w:rPr>
          <w:rFonts w:ascii="Palatino Linotype" w:hAnsi="Palatino Linotype"/>
          <w:i/>
          <w:color w:val="000000"/>
          <w:sz w:val="24"/>
          <w:szCs w:val="24"/>
        </w:rPr>
      </w:pPr>
      <w:r w:rsidRPr="00FD3D80">
        <w:rPr>
          <w:rFonts w:ascii="Palatino Linotype" w:hAnsi="Palatino Linotype" w:cs="Arial"/>
          <w:sz w:val="24"/>
          <w:szCs w:val="24"/>
        </w:rPr>
        <w:t>Para lo cual el sujeto obligado a través de la Unidad de Transparencia manifestó de forma económica a tra</w:t>
      </w:r>
      <w:r w:rsidR="00FA7D2E">
        <w:rPr>
          <w:rFonts w:ascii="Palatino Linotype" w:hAnsi="Palatino Linotype" w:cs="Arial"/>
          <w:sz w:val="24"/>
          <w:szCs w:val="24"/>
        </w:rPr>
        <w:t xml:space="preserve">vés del SAIMEX, lo siguiente: </w:t>
      </w:r>
    </w:p>
    <w:p w:rsidR="00FA7D2E" w:rsidRDefault="00FA7D2E" w:rsidP="00FD3D80">
      <w:pPr>
        <w:autoSpaceDE w:val="0"/>
        <w:autoSpaceDN w:val="0"/>
        <w:adjustRightInd w:val="0"/>
        <w:spacing w:after="0" w:line="360" w:lineRule="auto"/>
        <w:jc w:val="both"/>
        <w:rPr>
          <w:rFonts w:ascii="Palatino Linotype" w:hAnsi="Palatino Linotype"/>
          <w:i/>
          <w:color w:val="000000"/>
          <w:sz w:val="24"/>
          <w:szCs w:val="24"/>
        </w:rPr>
      </w:pPr>
    </w:p>
    <w:p w:rsidR="00FA7D2E" w:rsidRDefault="00FA7D2E" w:rsidP="00FD3D80">
      <w:pPr>
        <w:autoSpaceDE w:val="0"/>
        <w:autoSpaceDN w:val="0"/>
        <w:adjustRightInd w:val="0"/>
        <w:spacing w:after="0" w:line="360" w:lineRule="auto"/>
        <w:jc w:val="both"/>
        <w:rPr>
          <w:rFonts w:ascii="Palatino Linotype" w:hAnsi="Palatino Linotype"/>
          <w:i/>
          <w:color w:val="000000"/>
          <w:sz w:val="24"/>
          <w:szCs w:val="24"/>
        </w:rPr>
      </w:pPr>
      <w:r>
        <w:rPr>
          <w:noProof/>
          <w:lang w:eastAsia="es-MX"/>
        </w:rPr>
        <w:drawing>
          <wp:inline distT="0" distB="0" distL="0" distR="0" wp14:anchorId="1F450DC9" wp14:editId="65A5C073">
            <wp:extent cx="5829300" cy="1485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416" t="42328" r="30060" b="47678"/>
                    <a:stretch/>
                  </pic:blipFill>
                  <pic:spPr bwMode="auto">
                    <a:xfrm>
                      <a:off x="0" y="0"/>
                      <a:ext cx="5829300" cy="1485900"/>
                    </a:xfrm>
                    <a:prstGeom prst="rect">
                      <a:avLst/>
                    </a:prstGeom>
                    <a:ln>
                      <a:noFill/>
                    </a:ln>
                    <a:extLst>
                      <a:ext uri="{53640926-AAD7-44D8-BBD7-CCE9431645EC}">
                        <a14:shadowObscured xmlns:a14="http://schemas.microsoft.com/office/drawing/2010/main"/>
                      </a:ext>
                    </a:extLst>
                  </pic:spPr>
                </pic:pic>
              </a:graphicData>
            </a:graphic>
          </wp:inline>
        </w:drawing>
      </w:r>
    </w:p>
    <w:p w:rsidR="00FA7D2E" w:rsidRPr="002417E2" w:rsidRDefault="00FA7D2E" w:rsidP="00FD3D80">
      <w:pPr>
        <w:autoSpaceDE w:val="0"/>
        <w:autoSpaceDN w:val="0"/>
        <w:adjustRightInd w:val="0"/>
        <w:spacing w:after="0" w:line="360" w:lineRule="auto"/>
        <w:jc w:val="both"/>
        <w:rPr>
          <w:rFonts w:ascii="Palatino Linotype" w:hAnsi="Palatino Linotype" w:cs="Arial"/>
          <w:sz w:val="24"/>
          <w:szCs w:val="24"/>
        </w:rPr>
      </w:pPr>
    </w:p>
    <w:p w:rsidR="00F207BC" w:rsidRDefault="00B03715" w:rsidP="002417E2">
      <w:pPr>
        <w:autoSpaceDE w:val="0"/>
        <w:autoSpaceDN w:val="0"/>
        <w:adjustRightInd w:val="0"/>
        <w:spacing w:after="0" w:line="360" w:lineRule="auto"/>
        <w:jc w:val="both"/>
        <w:rPr>
          <w:rFonts w:ascii="Palatino Linotype" w:hAnsi="Palatino Linotype" w:cs="Arial"/>
          <w:sz w:val="24"/>
          <w:szCs w:val="24"/>
        </w:rPr>
      </w:pPr>
      <w:r w:rsidRPr="002417E2">
        <w:rPr>
          <w:rFonts w:ascii="Palatino Linotype" w:hAnsi="Palatino Linotype" w:cs="Arial"/>
          <w:sz w:val="24"/>
          <w:szCs w:val="24"/>
        </w:rPr>
        <w:t xml:space="preserve">Especial mención </w:t>
      </w:r>
      <w:r w:rsidR="00386A61">
        <w:rPr>
          <w:rFonts w:ascii="Palatino Linotype" w:hAnsi="Palatino Linotype" w:cs="Arial"/>
          <w:sz w:val="24"/>
          <w:szCs w:val="24"/>
        </w:rPr>
        <w:t>requiere</w:t>
      </w:r>
      <w:r w:rsidRPr="002417E2">
        <w:rPr>
          <w:rFonts w:ascii="Palatino Linotype" w:hAnsi="Palatino Linotype" w:cs="Arial"/>
          <w:sz w:val="24"/>
          <w:szCs w:val="24"/>
        </w:rPr>
        <w:t xml:space="preserve"> la presente contestación, pues de forma clara, notoria y manifiesta</w:t>
      </w:r>
      <w:r w:rsidR="002417E2" w:rsidRPr="002417E2">
        <w:rPr>
          <w:rFonts w:ascii="Palatino Linotype" w:hAnsi="Palatino Linotype" w:cs="Arial"/>
          <w:sz w:val="24"/>
          <w:szCs w:val="24"/>
        </w:rPr>
        <w:t xml:space="preserve">, el sujeto obligado </w:t>
      </w:r>
      <w:r w:rsidRPr="002417E2">
        <w:rPr>
          <w:rFonts w:ascii="Palatino Linotype" w:hAnsi="Palatino Linotype" w:cs="Arial"/>
          <w:sz w:val="24"/>
          <w:szCs w:val="24"/>
        </w:rPr>
        <w:t xml:space="preserve">está negando el derecho de acceso a la </w:t>
      </w:r>
      <w:r w:rsidR="002417E2" w:rsidRPr="002417E2">
        <w:rPr>
          <w:rFonts w:ascii="Palatino Linotype" w:hAnsi="Palatino Linotype" w:cs="Arial"/>
          <w:sz w:val="24"/>
          <w:szCs w:val="24"/>
        </w:rPr>
        <w:t>información</w:t>
      </w:r>
      <w:r w:rsidRPr="002417E2">
        <w:rPr>
          <w:rFonts w:ascii="Palatino Linotype" w:hAnsi="Palatino Linotype" w:cs="Arial"/>
          <w:sz w:val="24"/>
          <w:szCs w:val="24"/>
        </w:rPr>
        <w:t xml:space="preserve"> pública al hoy recurrente, </w:t>
      </w:r>
      <w:r w:rsidR="00386A61">
        <w:rPr>
          <w:rFonts w:ascii="Palatino Linotype" w:hAnsi="Palatino Linotype" w:cs="Arial"/>
          <w:sz w:val="24"/>
          <w:szCs w:val="24"/>
        </w:rPr>
        <w:t>no obstante</w:t>
      </w:r>
      <w:r w:rsidRPr="002417E2">
        <w:rPr>
          <w:rFonts w:ascii="Palatino Linotype" w:hAnsi="Palatino Linotype" w:cs="Arial"/>
          <w:sz w:val="24"/>
          <w:szCs w:val="24"/>
        </w:rPr>
        <w:t xml:space="preserve"> que acepta</w:t>
      </w:r>
      <w:r w:rsidR="00386A61">
        <w:rPr>
          <w:rFonts w:ascii="Palatino Linotype" w:hAnsi="Palatino Linotype" w:cs="Arial"/>
          <w:sz w:val="24"/>
          <w:szCs w:val="24"/>
        </w:rPr>
        <w:t xml:space="preserve"> de forma expresa</w:t>
      </w:r>
      <w:r w:rsidRPr="002417E2">
        <w:rPr>
          <w:rFonts w:ascii="Palatino Linotype" w:hAnsi="Palatino Linotype" w:cs="Arial"/>
          <w:sz w:val="24"/>
          <w:szCs w:val="24"/>
        </w:rPr>
        <w:t xml:space="preserve"> contar con la información que se le solicita</w:t>
      </w:r>
      <w:r w:rsidR="00386A61">
        <w:rPr>
          <w:rFonts w:ascii="Palatino Linotype" w:hAnsi="Palatino Linotype" w:cs="Arial"/>
          <w:sz w:val="24"/>
          <w:szCs w:val="24"/>
        </w:rPr>
        <w:t xml:space="preserve">, por ende no se entra al estudio de la fuente obligacional </w:t>
      </w:r>
      <w:r w:rsidR="00386A61">
        <w:rPr>
          <w:rFonts w:ascii="Palatino Linotype" w:hAnsi="Palatino Linotype" w:cs="Arial"/>
          <w:sz w:val="24"/>
          <w:szCs w:val="24"/>
        </w:rPr>
        <w:lastRenderedPageBreak/>
        <w:t>de si el sujeto obligado genera, posee o administra la información requerida o no, pues el sujeto obligado al referir “…</w:t>
      </w:r>
      <w:r w:rsidR="00386A61" w:rsidRPr="00386A61">
        <w:rPr>
          <w:rFonts w:ascii="Palatino Linotype" w:hAnsi="Palatino Linotype" w:cs="Arial"/>
          <w:i/>
          <w:sz w:val="24"/>
          <w:szCs w:val="24"/>
        </w:rPr>
        <w:t>esta Tesorería a diario gira oficios a diferentes dependencias y unidades administrativas</w:t>
      </w:r>
      <w:r w:rsidR="00386A61">
        <w:rPr>
          <w:rFonts w:ascii="Palatino Linotype" w:hAnsi="Palatino Linotype" w:cs="Arial"/>
          <w:sz w:val="24"/>
          <w:szCs w:val="24"/>
        </w:rPr>
        <w:t xml:space="preserve">…”, </w:t>
      </w:r>
      <w:r w:rsidR="00F775C2">
        <w:rPr>
          <w:rFonts w:ascii="Palatino Linotype" w:hAnsi="Palatino Linotype" w:cs="Arial"/>
          <w:sz w:val="24"/>
          <w:szCs w:val="24"/>
        </w:rPr>
        <w:t>nos hace caer en la cuenta que si tiene la información que requiere el hoy recurrente.</w:t>
      </w:r>
    </w:p>
    <w:p w:rsidR="00F775C2" w:rsidRDefault="00F775C2" w:rsidP="002417E2">
      <w:pPr>
        <w:autoSpaceDE w:val="0"/>
        <w:autoSpaceDN w:val="0"/>
        <w:adjustRightInd w:val="0"/>
        <w:spacing w:after="0" w:line="360" w:lineRule="auto"/>
        <w:jc w:val="both"/>
        <w:rPr>
          <w:rFonts w:ascii="Palatino Linotype" w:hAnsi="Palatino Linotype" w:cs="Arial"/>
          <w:sz w:val="24"/>
          <w:szCs w:val="24"/>
        </w:rPr>
      </w:pPr>
    </w:p>
    <w:p w:rsidR="00F775C2" w:rsidRPr="002417E2" w:rsidRDefault="00F775C2" w:rsidP="002417E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ello a efecto de resarcir el derecho humano y fundamental del hoy recurrente por parte del sujeto obligado deberá entregar a través del SAIMEX </w:t>
      </w:r>
      <w:r w:rsidRPr="00F775C2">
        <w:rPr>
          <w:rFonts w:ascii="Palatino Linotype" w:hAnsi="Palatino Linotype" w:cs="Arial"/>
          <w:sz w:val="24"/>
          <w:szCs w:val="24"/>
        </w:rPr>
        <w:t xml:space="preserve">todos los oficios emitidos por la </w:t>
      </w:r>
      <w:r>
        <w:rPr>
          <w:rFonts w:ascii="Palatino Linotype" w:hAnsi="Palatino Linotype" w:cs="Arial"/>
          <w:sz w:val="24"/>
          <w:szCs w:val="24"/>
        </w:rPr>
        <w:t xml:space="preserve">Titular de la </w:t>
      </w:r>
      <w:r w:rsidRPr="00F775C2">
        <w:rPr>
          <w:rFonts w:ascii="Palatino Linotype" w:hAnsi="Palatino Linotype" w:cs="Arial"/>
          <w:sz w:val="24"/>
          <w:szCs w:val="24"/>
        </w:rPr>
        <w:t>Tesorería Municipal de</w:t>
      </w:r>
      <w:r>
        <w:rPr>
          <w:rFonts w:ascii="Palatino Linotype" w:hAnsi="Palatino Linotype" w:cs="Arial"/>
          <w:sz w:val="24"/>
          <w:szCs w:val="24"/>
        </w:rPr>
        <w:t>l sujeto obligado</w:t>
      </w:r>
      <w:r w:rsidRPr="00F775C2">
        <w:rPr>
          <w:rFonts w:ascii="Palatino Linotype" w:hAnsi="Palatino Linotype" w:cs="Arial"/>
          <w:sz w:val="24"/>
          <w:szCs w:val="24"/>
        </w:rPr>
        <w:t xml:space="preserve">, por el periodo comprendido desde el 1 de enero al 31 de mayo del año </w:t>
      </w:r>
      <w:r>
        <w:rPr>
          <w:rFonts w:ascii="Palatino Linotype" w:hAnsi="Palatino Linotype" w:cs="Arial"/>
          <w:sz w:val="24"/>
          <w:szCs w:val="24"/>
        </w:rPr>
        <w:t>dos mil diecinueve, en versión pública de ser el caso.</w:t>
      </w:r>
    </w:p>
    <w:p w:rsidR="008D6BAF" w:rsidRPr="00F775C2" w:rsidRDefault="008D6BAF" w:rsidP="00F775C2">
      <w:pPr>
        <w:autoSpaceDE w:val="0"/>
        <w:autoSpaceDN w:val="0"/>
        <w:adjustRightInd w:val="0"/>
        <w:spacing w:after="0" w:line="360" w:lineRule="auto"/>
        <w:jc w:val="both"/>
        <w:rPr>
          <w:rFonts w:ascii="Palatino Linotype" w:hAnsi="Palatino Linotype" w:cs="Arial"/>
          <w:sz w:val="24"/>
          <w:szCs w:val="24"/>
        </w:rPr>
      </w:pPr>
    </w:p>
    <w:p w:rsidR="00FD3D80" w:rsidRPr="00620984" w:rsidRDefault="00FD3D80" w:rsidP="00620984">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FD3D80" w:rsidRPr="00620984" w:rsidRDefault="00FD3D80" w:rsidP="00620984">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FD3D80" w:rsidRPr="00620984" w:rsidRDefault="00FD3D80" w:rsidP="00620984">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FD3D80" w:rsidRPr="00620984" w:rsidRDefault="00FD3D80" w:rsidP="00620984">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IX. Datos personales: La información concerniente a una persona, identificada o identificable según lo dispuesto por la Ley de Protección de Datos Personales del Estado de México;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w:t>
      </w:r>
      <w:r w:rsidR="007E4CCA" w:rsidRPr="007E4CCA">
        <w:rPr>
          <w:rFonts w:ascii="Palatino Linotype" w:eastAsia="Arial Unicode MS" w:hAnsi="Palatino Linotype" w:cs="Arial"/>
          <w:sz w:val="24"/>
        </w:rPr>
        <w:t>la calidad de servidor público</w:t>
      </w:r>
      <w:r w:rsidRPr="007E4CCA">
        <w:rPr>
          <w:rFonts w:ascii="Palatino Linotype" w:eastAsia="Arial Unicode MS" w:hAnsi="Palatino Linotype" w:cs="Arial"/>
          <w:sz w:val="24"/>
        </w:rPr>
        <w:t>, entre otros considerados como datos personales en términos de la normatividad aplicable.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alcriterio número 18/17 de la segunda época, el cual refiere: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la misma, como lo son su nombre, apellidos, fecha de nacimiento, lugar de nacimiento y sexo. </w:t>
      </w:r>
      <w:r w:rsidRPr="005A0459">
        <w:rPr>
          <w:rFonts w:ascii="Palatino Linotype" w:hAnsi="Palatino Linotype"/>
          <w:i/>
          <w:iCs/>
          <w:color w:val="222222"/>
          <w:lang w:eastAsia="es-MX"/>
        </w:rPr>
        <w:lastRenderedPageBreak/>
        <w:t>Dichos datos, constituyen información que distingue plenamente a una persona física del resto de los habitantes del país, por lo que la CURP está considerada como información confidencial.</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olor w:val="222222"/>
          <w:lang w:eastAsia="es-MX"/>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84. </w:t>
      </w:r>
      <w:r w:rsidRPr="005A0459">
        <w:rPr>
          <w:rFonts w:ascii="Palatino Linotype" w:hAnsi="Palatino Linotype"/>
          <w:i/>
          <w:iCs/>
          <w:color w:val="222222"/>
          <w:lang w:eastAsia="es-MX"/>
        </w:rPr>
        <w:t>Sólo podrán hacerse retenciones, descuentos o deducciones al sueldo de los servidores públicos por concepto de:</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 Gravámenes fiscales relacionados con el sueldo;</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 Deudas contraídas con las instituciones públicas o dependencias por concepto de anticipos de sueldo, pagos hechos con exceso, errores o pérdidas debidamente comprobados;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III. Cuotas sindicales;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IV. Cuotas de aportación a fondos para la constitución de cooperativas y de cajas de ahorro, siempre que el servidor público hubiese manifestado previamente, de manera expresa, su conformidad;</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V. Descuentos ordenados por el Instituto de Seguridad Social del Estado de México y Municipios, con motivo de cuotas y obligaciones contraídas con éste por los servidores públicos;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 Obligaciones a cargo del servidor público con las que haya consentido, derivadas de la adquisición o del uso de habitaciones consideradas como de interés social;</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VII. Faltas de puntualidad o de asistencia injustificadas;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VIII. Pensiones alimenticias ordenadas por la autoridad judicial;</w:t>
      </w:r>
      <w:r w:rsidRPr="005A0459">
        <w:rPr>
          <w:rFonts w:ascii="Palatino Linotype" w:hAnsi="Palatino Linotype"/>
          <w:i/>
          <w:iCs/>
          <w:color w:val="222222"/>
          <w:lang w:eastAsia="es-MX"/>
        </w:rPr>
        <w:t> o</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Cualquier otro convenido con instituciones de servicios y aceptado por el servidor público.</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D3D80" w:rsidRPr="005A0459" w:rsidRDefault="00FD3D80" w:rsidP="00FD3D80">
      <w:pPr>
        <w:shd w:val="clear" w:color="auto" w:fill="FFFFFF"/>
        <w:spacing w:line="360" w:lineRule="auto"/>
        <w:ind w:left="567" w:right="567"/>
        <w:rPr>
          <w:rFonts w:ascii="Palatino Linotype" w:hAnsi="Palatino Linotype"/>
          <w:color w:val="222222"/>
          <w:lang w:eastAsia="es-MX"/>
        </w:rPr>
      </w:pPr>
      <w:r w:rsidRPr="005A0459">
        <w:rPr>
          <w:rFonts w:ascii="Palatino Linotype" w:hAnsi="Palatino Linotype"/>
          <w:color w:val="222222"/>
          <w:lang w:eastAsia="es-MX"/>
        </w:rPr>
        <w:t>(Énfasis añadido)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olor w:val="222222"/>
          <w:lang w:eastAsia="es-MX"/>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FD3D80" w:rsidRPr="005A0459" w:rsidRDefault="00FD3D80" w:rsidP="005306D9">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FD3D80" w:rsidRPr="005A0459" w:rsidRDefault="00FD3D80" w:rsidP="005306D9">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FD3D80" w:rsidRPr="005A0459" w:rsidRDefault="00FD3D80" w:rsidP="005306D9">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FD3D80" w:rsidRPr="005A0459" w:rsidRDefault="00FD3D80" w:rsidP="005306D9">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FD3D80" w:rsidRPr="005A0459" w:rsidRDefault="00FD3D80" w:rsidP="005306D9">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FD3D80" w:rsidRDefault="00FD3D80" w:rsidP="007E4CCA">
      <w:pPr>
        <w:tabs>
          <w:tab w:val="left" w:pos="7938"/>
        </w:tabs>
        <w:spacing w:after="0" w:line="360" w:lineRule="auto"/>
        <w:jc w:val="both"/>
        <w:rPr>
          <w:rFonts w:ascii="Palatino Linotype" w:eastAsia="Arial Unicode MS" w:hAnsi="Palatino Linotype" w:cs="Arial"/>
          <w:sz w:val="24"/>
        </w:rPr>
      </w:pP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Por último, hemos de decir que las razones o motivos de inconformidad son fundadas por las razones y motivos anteriormente expuestos en el cuerpo de la presente resolución.</w:t>
      </w:r>
    </w:p>
    <w:p w:rsidR="00F207BC" w:rsidRDefault="00F207BC" w:rsidP="00DB673C">
      <w:pPr>
        <w:spacing w:after="0" w:line="360" w:lineRule="auto"/>
        <w:ind w:right="51"/>
        <w:jc w:val="both"/>
        <w:rPr>
          <w:rFonts w:ascii="Palatino Linotype" w:eastAsia="Times New Roman" w:hAnsi="Palatino Linotype" w:cs="Times New Roman"/>
          <w:sz w:val="24"/>
          <w:szCs w:val="24"/>
          <w:lang w:val="es-ES_tradnl" w:eastAsia="es-ES"/>
        </w:rPr>
      </w:pPr>
    </w:p>
    <w:p w:rsidR="00DB673C" w:rsidRPr="00DB673C" w:rsidRDefault="00DB673C" w:rsidP="00DB673C">
      <w:pPr>
        <w:spacing w:after="0" w:line="360" w:lineRule="auto"/>
        <w:ind w:right="51"/>
        <w:jc w:val="both"/>
        <w:rPr>
          <w:rFonts w:ascii="Palatino Linotype" w:eastAsia="Calibri" w:hAnsi="Palatino Linotype" w:cs="Arial"/>
          <w:sz w:val="24"/>
          <w:szCs w:val="24"/>
        </w:rPr>
      </w:pPr>
      <w:r w:rsidRPr="00DB673C">
        <w:rPr>
          <w:rFonts w:ascii="Palatino Linotype" w:eastAsia="MS Mincho" w:hAnsi="Palatino Linotype" w:cs="Arial"/>
          <w:sz w:val="24"/>
          <w:szCs w:val="24"/>
        </w:rPr>
        <w:t>Así, en mérito</w:t>
      </w:r>
      <w:r w:rsidRPr="00DB673C">
        <w:rPr>
          <w:rFonts w:ascii="Palatino Linotype" w:eastAsia="Calibri" w:hAnsi="Palatino Linotype" w:cs="Arial"/>
          <w:sz w:val="24"/>
          <w:szCs w:val="24"/>
        </w:rPr>
        <w:t xml:space="preserve"> de lo expuesto en líneas anteriores </w:t>
      </w:r>
      <w:r w:rsidR="008B0DFA">
        <w:rPr>
          <w:rFonts w:ascii="Palatino Linotype" w:eastAsia="Calibri" w:hAnsi="Palatino Linotype" w:cs="Arial"/>
          <w:sz w:val="24"/>
          <w:szCs w:val="24"/>
        </w:rPr>
        <w:t xml:space="preserve">y al </w:t>
      </w:r>
      <w:r w:rsidRPr="00DB673C">
        <w:rPr>
          <w:rFonts w:ascii="Palatino Linotype" w:eastAsia="Calibri" w:hAnsi="Palatino Linotype"/>
          <w:noProof/>
          <w:sz w:val="24"/>
          <w:szCs w:val="24"/>
          <w:lang w:eastAsia="es-MX"/>
        </w:rPr>
        <w:t>resulta</w:t>
      </w:r>
      <w:r w:rsidR="008B0DFA">
        <w:rPr>
          <w:rFonts w:ascii="Palatino Linotype" w:eastAsia="Calibri" w:hAnsi="Palatino Linotype"/>
          <w:noProof/>
          <w:sz w:val="24"/>
          <w:szCs w:val="24"/>
          <w:lang w:eastAsia="es-MX"/>
        </w:rPr>
        <w:t>r</w:t>
      </w:r>
      <w:r w:rsidRPr="00DB673C">
        <w:rPr>
          <w:rFonts w:ascii="Palatino Linotype" w:eastAsia="Calibri" w:hAnsi="Palatino Linotype"/>
          <w:noProof/>
          <w:sz w:val="24"/>
          <w:szCs w:val="24"/>
          <w:lang w:eastAsia="es-MX"/>
        </w:rPr>
        <w:t xml:space="preserve"> </w:t>
      </w:r>
      <w:r w:rsidRPr="00DB673C">
        <w:rPr>
          <w:rFonts w:ascii="Palatino Linotype" w:eastAsia="Calibri" w:hAnsi="Palatino Linotype"/>
          <w:b/>
          <w:i/>
          <w:noProof/>
          <w:sz w:val="24"/>
          <w:szCs w:val="24"/>
          <w:lang w:eastAsia="es-MX"/>
        </w:rPr>
        <w:t xml:space="preserve">fundadas </w:t>
      </w:r>
      <w:r w:rsidRPr="00DB673C">
        <w:rPr>
          <w:rFonts w:ascii="Palatino Linotype" w:eastAsia="Calibri" w:hAnsi="Palatino Linotype"/>
          <w:noProof/>
          <w:sz w:val="24"/>
          <w:szCs w:val="24"/>
          <w:lang w:eastAsia="es-MX"/>
        </w:rPr>
        <w:t xml:space="preserve">las razones o motivos de inconformidad que arguye el </w:t>
      </w:r>
      <w:r w:rsidRPr="00DB673C">
        <w:rPr>
          <w:rFonts w:ascii="Palatino Linotype" w:eastAsia="Calibri" w:hAnsi="Palatino Linotype"/>
          <w:b/>
          <w:noProof/>
          <w:sz w:val="24"/>
          <w:szCs w:val="24"/>
          <w:lang w:eastAsia="es-MX"/>
        </w:rPr>
        <w:t>Recurrente</w:t>
      </w:r>
      <w:r w:rsidRPr="00DB673C">
        <w:rPr>
          <w:rFonts w:ascii="Palatino Linotype" w:eastAsia="Calibri" w:hAnsi="Palatino Linotype"/>
          <w:noProof/>
          <w:sz w:val="24"/>
          <w:szCs w:val="24"/>
          <w:lang w:eastAsia="es-MX"/>
        </w:rPr>
        <w:t xml:space="preserve">, </w:t>
      </w:r>
      <w:r w:rsidRPr="00DB673C">
        <w:rPr>
          <w:rFonts w:ascii="Palatino Linotype" w:eastAsia="Calibri" w:hAnsi="Palatino Linotype" w:cs="Arial"/>
          <w:sz w:val="24"/>
          <w:szCs w:val="24"/>
        </w:rPr>
        <w:t xml:space="preserve">por ello con fundamento en el artículo 186, fracción III, de la Ley de Transparencia y Acceso a la Información Pública del Estado de México y Municipios, se </w:t>
      </w:r>
      <w:r w:rsidRPr="00DB673C">
        <w:rPr>
          <w:rFonts w:ascii="Palatino Linotype" w:eastAsia="Calibri" w:hAnsi="Palatino Linotype" w:cs="Arial"/>
          <w:b/>
          <w:sz w:val="24"/>
          <w:szCs w:val="24"/>
        </w:rPr>
        <w:t>REVOCA</w:t>
      </w:r>
      <w:r w:rsidRPr="00DB673C">
        <w:rPr>
          <w:rFonts w:ascii="Palatino Linotype" w:eastAsia="Calibri" w:hAnsi="Palatino Linotype" w:cs="Arial"/>
          <w:sz w:val="24"/>
          <w:szCs w:val="24"/>
        </w:rPr>
        <w:t xml:space="preserve"> la respuesta a la solicitud de información pública número: </w:t>
      </w:r>
      <w:r w:rsidR="006E427E" w:rsidRPr="00AD1C73">
        <w:rPr>
          <w:rFonts w:ascii="Palatino Linotype" w:hAnsi="Palatino Linotype" w:cs="Arial"/>
          <w:b/>
          <w:sz w:val="24"/>
          <w:szCs w:val="24"/>
        </w:rPr>
        <w:t>00</w:t>
      </w:r>
      <w:r w:rsidR="006E427E">
        <w:rPr>
          <w:rFonts w:ascii="Palatino Linotype" w:hAnsi="Palatino Linotype" w:cs="Arial"/>
          <w:b/>
          <w:sz w:val="24"/>
          <w:szCs w:val="24"/>
        </w:rPr>
        <w:t>122</w:t>
      </w:r>
      <w:r w:rsidR="006E427E" w:rsidRPr="00AD1C73">
        <w:rPr>
          <w:rFonts w:ascii="Palatino Linotype" w:hAnsi="Palatino Linotype" w:cs="Arial"/>
          <w:b/>
          <w:sz w:val="24"/>
          <w:szCs w:val="24"/>
        </w:rPr>
        <w:t>/</w:t>
      </w:r>
      <w:r w:rsidR="006E427E">
        <w:rPr>
          <w:rFonts w:ascii="Palatino Linotype" w:hAnsi="Palatino Linotype" w:cs="Arial"/>
          <w:b/>
          <w:sz w:val="24"/>
          <w:szCs w:val="24"/>
        </w:rPr>
        <w:t>ALMOJU</w:t>
      </w:r>
      <w:r w:rsidR="006E427E" w:rsidRPr="00AD1C73">
        <w:rPr>
          <w:rFonts w:ascii="Palatino Linotype" w:hAnsi="Palatino Linotype" w:cs="Arial"/>
          <w:b/>
          <w:sz w:val="24"/>
          <w:szCs w:val="24"/>
        </w:rPr>
        <w:t>/IP/2019</w:t>
      </w:r>
      <w:r w:rsidRPr="00DB673C">
        <w:rPr>
          <w:rFonts w:ascii="Palatino Linotype" w:eastAsia="Calibri" w:hAnsi="Palatino Linotype" w:cs="Arial"/>
          <w:sz w:val="24"/>
          <w:szCs w:val="24"/>
        </w:rPr>
        <w:t xml:space="preserve">; </w:t>
      </w:r>
      <w:r w:rsidRPr="00DB673C">
        <w:rPr>
          <w:rFonts w:ascii="Palatino Linotype" w:eastAsia="Calibri" w:hAnsi="Palatino Linotype"/>
          <w:sz w:val="24"/>
          <w:szCs w:val="24"/>
        </w:rPr>
        <w:t>que ha sido materia del presente fallo, p</w:t>
      </w:r>
      <w:r w:rsidRPr="00DB673C">
        <w:rPr>
          <w:rFonts w:ascii="Palatino Linotype" w:hAnsi="Palatino Linotype" w:cs="Arial"/>
          <w:sz w:val="24"/>
          <w:szCs w:val="24"/>
        </w:rPr>
        <w:t xml:space="preserve">or lo antes </w:t>
      </w:r>
      <w:r w:rsidRPr="00DB673C">
        <w:rPr>
          <w:rFonts w:ascii="Palatino Linotype" w:eastAsia="Calibri" w:hAnsi="Palatino Linotype" w:cs="Arial"/>
          <w:sz w:val="24"/>
          <w:szCs w:val="24"/>
        </w:rPr>
        <w:t>expuesto y fundado es de resolverse y</w:t>
      </w:r>
    </w:p>
    <w:p w:rsidR="00FA08FC" w:rsidRDefault="00FA08FC" w:rsidP="00DB673C">
      <w:pPr>
        <w:spacing w:after="0" w:line="360" w:lineRule="auto"/>
        <w:ind w:right="51"/>
        <w:jc w:val="both"/>
        <w:rPr>
          <w:rFonts w:ascii="Palatino Linotype" w:eastAsia="Calibri" w:hAnsi="Palatino Linotype" w:cs="Arial"/>
          <w:sz w:val="24"/>
          <w:szCs w:val="24"/>
        </w:rPr>
      </w:pPr>
    </w:p>
    <w:p w:rsidR="00FA08FC" w:rsidRDefault="00FA08FC" w:rsidP="00FA08FC">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rsidR="00FA08FC" w:rsidRPr="00434359" w:rsidRDefault="00FA08FC" w:rsidP="00FA08FC">
      <w:pPr>
        <w:spacing w:after="0" w:line="360" w:lineRule="auto"/>
        <w:jc w:val="center"/>
        <w:rPr>
          <w:rFonts w:ascii="Palatino Linotype" w:eastAsia="Times New Roman" w:hAnsi="Palatino Linotype"/>
          <w:b/>
          <w:bCs/>
          <w:spacing w:val="60"/>
          <w:sz w:val="24"/>
          <w:szCs w:val="24"/>
          <w:lang w:val="es-ES_tradnl"/>
        </w:rPr>
      </w:pPr>
    </w:p>
    <w:p w:rsidR="00434359" w:rsidRPr="00434359" w:rsidRDefault="00434359" w:rsidP="00434359">
      <w:pPr>
        <w:spacing w:line="360" w:lineRule="auto"/>
        <w:jc w:val="both"/>
        <w:rPr>
          <w:rFonts w:ascii="Palatino Linotype" w:hAnsi="Palatino Linotype" w:cs="Arial"/>
          <w:b/>
          <w:sz w:val="24"/>
          <w:szCs w:val="24"/>
        </w:rPr>
      </w:pPr>
      <w:r w:rsidRPr="00434359">
        <w:rPr>
          <w:rFonts w:ascii="Palatino Linotype" w:hAnsi="Palatino Linotype" w:cs="Arial"/>
          <w:b/>
          <w:sz w:val="24"/>
          <w:szCs w:val="24"/>
          <w:lang w:val="es-ES_tradnl"/>
        </w:rPr>
        <w:t>PRIMERO.</w:t>
      </w:r>
      <w:r w:rsidRPr="00434359">
        <w:rPr>
          <w:rFonts w:ascii="Palatino Linotype" w:hAnsi="Palatino Linotype" w:cs="Arial"/>
          <w:sz w:val="24"/>
          <w:szCs w:val="24"/>
          <w:lang w:val="es-ES_tradnl"/>
        </w:rPr>
        <w:t xml:space="preserve"> </w:t>
      </w:r>
      <w:r w:rsidRPr="00434359">
        <w:rPr>
          <w:rFonts w:ascii="Palatino Linotype" w:eastAsia="Arial Unicode MS" w:hAnsi="Palatino Linotype" w:cs="Arial"/>
          <w:sz w:val="24"/>
          <w:szCs w:val="24"/>
        </w:rPr>
        <w:t>Se</w:t>
      </w:r>
      <w:r w:rsidRPr="00434359">
        <w:rPr>
          <w:rFonts w:ascii="Palatino Linotype" w:hAnsi="Palatino Linotype" w:cs="Arial"/>
          <w:sz w:val="24"/>
          <w:szCs w:val="24"/>
          <w:lang w:val="es-ES_tradnl"/>
        </w:rPr>
        <w:t xml:space="preserve"> </w:t>
      </w:r>
      <w:r w:rsidRPr="00434359">
        <w:rPr>
          <w:rFonts w:ascii="Palatino Linotype" w:hAnsi="Palatino Linotype" w:cs="Arial"/>
          <w:b/>
          <w:sz w:val="24"/>
          <w:szCs w:val="24"/>
          <w:lang w:val="es-ES_tradnl"/>
        </w:rPr>
        <w:t>REVOCA</w:t>
      </w:r>
      <w:r w:rsidRPr="00434359">
        <w:rPr>
          <w:rFonts w:ascii="Palatino Linotype" w:hAnsi="Palatino Linotype" w:cs="Arial"/>
          <w:sz w:val="24"/>
          <w:szCs w:val="24"/>
          <w:lang w:val="es-ES_tradnl"/>
        </w:rPr>
        <w:t xml:space="preserve"> </w:t>
      </w:r>
      <w:r w:rsidRPr="00434359">
        <w:rPr>
          <w:rFonts w:ascii="Palatino Linotype" w:eastAsia="Arial Unicode MS" w:hAnsi="Palatino Linotype" w:cs="Arial"/>
          <w:sz w:val="24"/>
          <w:szCs w:val="24"/>
        </w:rPr>
        <w:t xml:space="preserve">la respuesta entregada por </w:t>
      </w:r>
      <w:r w:rsidRPr="00434359">
        <w:rPr>
          <w:rFonts w:ascii="Palatino Linotype" w:eastAsia="Arial Unicode MS" w:hAnsi="Palatino Linotype" w:cs="Arial"/>
          <w:b/>
          <w:sz w:val="24"/>
          <w:szCs w:val="24"/>
        </w:rPr>
        <w:t xml:space="preserve">el Sujeto Obligado </w:t>
      </w:r>
      <w:r w:rsidRPr="00434359">
        <w:rPr>
          <w:rFonts w:ascii="Palatino Linotype" w:eastAsia="Arial Unicode MS" w:hAnsi="Palatino Linotype" w:cs="Arial"/>
          <w:sz w:val="24"/>
          <w:szCs w:val="24"/>
        </w:rPr>
        <w:t xml:space="preserve">a la solicitud de información número </w:t>
      </w:r>
      <w:r w:rsidR="001B736A" w:rsidRPr="00AD1C73">
        <w:rPr>
          <w:rFonts w:ascii="Palatino Linotype" w:hAnsi="Palatino Linotype" w:cs="Arial"/>
          <w:b/>
          <w:sz w:val="24"/>
          <w:szCs w:val="24"/>
        </w:rPr>
        <w:t>00</w:t>
      </w:r>
      <w:r w:rsidR="001B736A">
        <w:rPr>
          <w:rFonts w:ascii="Palatino Linotype" w:hAnsi="Palatino Linotype" w:cs="Arial"/>
          <w:b/>
          <w:sz w:val="24"/>
          <w:szCs w:val="24"/>
        </w:rPr>
        <w:t>1</w:t>
      </w:r>
      <w:r w:rsidR="00A1364E">
        <w:rPr>
          <w:rFonts w:ascii="Palatino Linotype" w:hAnsi="Palatino Linotype" w:cs="Arial"/>
          <w:b/>
          <w:sz w:val="24"/>
          <w:szCs w:val="24"/>
        </w:rPr>
        <w:t>22</w:t>
      </w:r>
      <w:r w:rsidR="001B736A" w:rsidRPr="00AD1C73">
        <w:rPr>
          <w:rFonts w:ascii="Palatino Linotype" w:hAnsi="Palatino Linotype" w:cs="Arial"/>
          <w:b/>
          <w:sz w:val="24"/>
          <w:szCs w:val="24"/>
        </w:rPr>
        <w:t>/</w:t>
      </w:r>
      <w:r w:rsidR="001B736A">
        <w:rPr>
          <w:rFonts w:ascii="Palatino Linotype" w:hAnsi="Palatino Linotype" w:cs="Arial"/>
          <w:b/>
          <w:sz w:val="24"/>
          <w:szCs w:val="24"/>
        </w:rPr>
        <w:t>A</w:t>
      </w:r>
      <w:r w:rsidR="00A1364E">
        <w:rPr>
          <w:rFonts w:ascii="Palatino Linotype" w:hAnsi="Palatino Linotype" w:cs="Arial"/>
          <w:b/>
          <w:sz w:val="24"/>
          <w:szCs w:val="24"/>
        </w:rPr>
        <w:t>LMOJU</w:t>
      </w:r>
      <w:r w:rsidR="001B736A" w:rsidRPr="00AD1C73">
        <w:rPr>
          <w:rFonts w:ascii="Palatino Linotype" w:hAnsi="Palatino Linotype" w:cs="Arial"/>
          <w:b/>
          <w:sz w:val="24"/>
          <w:szCs w:val="24"/>
        </w:rPr>
        <w:t>/IP/2019</w:t>
      </w:r>
      <w:r w:rsidRPr="00434359">
        <w:rPr>
          <w:rFonts w:ascii="Palatino Linotype" w:hAnsi="Palatino Linotype" w:cs="Arial"/>
          <w:sz w:val="24"/>
          <w:szCs w:val="24"/>
        </w:rPr>
        <w:t xml:space="preserve">, ya que </w:t>
      </w:r>
      <w:r w:rsidRPr="00434359">
        <w:rPr>
          <w:rFonts w:ascii="Palatino Linotype" w:hAnsi="Palatino Linotype" w:cs="Arial"/>
          <w:sz w:val="24"/>
          <w:szCs w:val="24"/>
          <w:lang w:val="es-ES_tradnl"/>
        </w:rPr>
        <w:t xml:space="preserve">resultan fundadas las razones o motivos de inconformidad </w:t>
      </w:r>
      <w:r w:rsidRPr="00434359">
        <w:rPr>
          <w:rFonts w:ascii="Palatino Linotype" w:eastAsia="Arial Unicode MS" w:hAnsi="Palatino Linotype" w:cs="Arial"/>
          <w:sz w:val="24"/>
          <w:szCs w:val="24"/>
        </w:rPr>
        <w:t xml:space="preserve">que arguye el recurrente, en términos del </w:t>
      </w:r>
      <w:r w:rsidRPr="00434359">
        <w:rPr>
          <w:rFonts w:ascii="Palatino Linotype" w:hAnsi="Palatino Linotype" w:cs="Arial"/>
          <w:sz w:val="24"/>
          <w:szCs w:val="24"/>
        </w:rPr>
        <w:t>Considerando Cuarto de la presente resolución.</w:t>
      </w:r>
    </w:p>
    <w:p w:rsidR="00434359" w:rsidRPr="00434359" w:rsidRDefault="00434359" w:rsidP="00434359">
      <w:pPr>
        <w:spacing w:line="360" w:lineRule="auto"/>
        <w:jc w:val="both"/>
        <w:rPr>
          <w:rFonts w:ascii="Palatino Linotype" w:hAnsi="Palatino Linotype" w:cs="Arial"/>
          <w:sz w:val="24"/>
          <w:szCs w:val="24"/>
        </w:rPr>
      </w:pPr>
    </w:p>
    <w:p w:rsidR="00434359" w:rsidRPr="00434359" w:rsidRDefault="00434359" w:rsidP="00434359">
      <w:pPr>
        <w:autoSpaceDE w:val="0"/>
        <w:autoSpaceDN w:val="0"/>
        <w:adjustRightInd w:val="0"/>
        <w:spacing w:line="360" w:lineRule="auto"/>
        <w:ind w:right="49"/>
        <w:jc w:val="both"/>
        <w:rPr>
          <w:rFonts w:ascii="Palatino Linotype" w:hAnsi="Palatino Linotype" w:cs="Arial"/>
          <w:sz w:val="24"/>
          <w:szCs w:val="24"/>
        </w:rPr>
      </w:pPr>
      <w:r w:rsidRPr="00434359">
        <w:rPr>
          <w:rFonts w:ascii="Palatino Linotype" w:hAnsi="Palatino Linotype"/>
          <w:b/>
          <w:sz w:val="24"/>
          <w:szCs w:val="24"/>
        </w:rPr>
        <w:t>SEGUNDO.</w:t>
      </w:r>
      <w:r w:rsidRPr="00434359">
        <w:rPr>
          <w:rFonts w:ascii="Palatino Linotype" w:hAnsi="Palatino Linotype" w:cs="Arial"/>
          <w:sz w:val="24"/>
          <w:szCs w:val="24"/>
        </w:rPr>
        <w:t xml:space="preserve"> Se ordena al Sujeto Obligado previa búsqueda</w:t>
      </w:r>
      <w:r w:rsidR="007B500A">
        <w:rPr>
          <w:rFonts w:ascii="Palatino Linotype" w:hAnsi="Palatino Linotype" w:cs="Arial"/>
          <w:sz w:val="24"/>
          <w:szCs w:val="24"/>
        </w:rPr>
        <w:t xml:space="preserve"> exhaustiva y razonable</w:t>
      </w:r>
      <w:r w:rsidR="00DB673C">
        <w:rPr>
          <w:rFonts w:ascii="Palatino Linotype" w:hAnsi="Palatino Linotype" w:cs="Arial"/>
          <w:sz w:val="24"/>
          <w:szCs w:val="24"/>
        </w:rPr>
        <w:t>,</w:t>
      </w:r>
      <w:r w:rsidRPr="00434359">
        <w:rPr>
          <w:rFonts w:ascii="Palatino Linotype" w:hAnsi="Palatino Linotype" w:cs="Arial"/>
          <w:sz w:val="24"/>
          <w:szCs w:val="24"/>
        </w:rPr>
        <w:t xml:space="preserve"> haga entrega al recurrente en términos del Considerando Cuarto de la presente resolución,</w:t>
      </w:r>
      <w:r w:rsidR="003712D2">
        <w:rPr>
          <w:rFonts w:ascii="Palatino Linotype" w:hAnsi="Palatino Linotype" w:cs="Arial"/>
          <w:sz w:val="24"/>
          <w:szCs w:val="24"/>
        </w:rPr>
        <w:t xml:space="preserve"> de ser procedente en versión pública,</w:t>
      </w:r>
      <w:r w:rsidRPr="00434359">
        <w:rPr>
          <w:rFonts w:ascii="Palatino Linotype" w:hAnsi="Palatino Linotype" w:cs="Arial"/>
          <w:sz w:val="24"/>
          <w:szCs w:val="24"/>
        </w:rPr>
        <w:t xml:space="preserve"> a través del SAIMEX, de lo siguiente:</w:t>
      </w:r>
    </w:p>
    <w:p w:rsidR="00DB673C" w:rsidRDefault="00DB673C" w:rsidP="0042512C">
      <w:pPr>
        <w:spacing w:after="0" w:line="360" w:lineRule="auto"/>
        <w:jc w:val="both"/>
        <w:rPr>
          <w:rFonts w:ascii="Palatino Linotype" w:eastAsia="Times New Roman" w:hAnsi="Palatino Linotype" w:cs="Arial"/>
          <w:sz w:val="24"/>
          <w:szCs w:val="24"/>
          <w:lang w:val="es-ES" w:eastAsia="es-ES"/>
        </w:rPr>
      </w:pPr>
    </w:p>
    <w:p w:rsidR="00DC7D89" w:rsidRPr="001B736A" w:rsidRDefault="002130AF" w:rsidP="00DC7D89">
      <w:pPr>
        <w:pStyle w:val="Prrafodelista"/>
        <w:numPr>
          <w:ilvl w:val="0"/>
          <w:numId w:val="3"/>
        </w:numPr>
        <w:spacing w:line="360" w:lineRule="auto"/>
        <w:jc w:val="both"/>
        <w:rPr>
          <w:rFonts w:ascii="Palatino Linotype" w:hAnsi="Palatino Linotype"/>
          <w:color w:val="000000"/>
        </w:rPr>
      </w:pPr>
      <w:r>
        <w:rPr>
          <w:rFonts w:ascii="Palatino Linotype" w:hAnsi="Palatino Linotype" w:cs="Arial"/>
        </w:rPr>
        <w:t xml:space="preserve">Los </w:t>
      </w:r>
      <w:r w:rsidR="006909F0">
        <w:rPr>
          <w:rFonts w:ascii="Palatino Linotype" w:hAnsi="Palatino Linotype" w:cs="Arial"/>
        </w:rPr>
        <w:t>oficios emitidos por la Titular de la Tesorería Municipal del sujeto obligado, por el periodo comprendido desde el 1 de enero al 31 de mayo del año dos mil diecinueve.</w:t>
      </w:r>
    </w:p>
    <w:p w:rsidR="00DC7D89" w:rsidRPr="00DC7D89" w:rsidRDefault="00DC7D89" w:rsidP="00DC7D89">
      <w:pPr>
        <w:pStyle w:val="Prrafodelista"/>
        <w:spacing w:line="360" w:lineRule="auto"/>
        <w:ind w:left="720"/>
        <w:jc w:val="both"/>
        <w:rPr>
          <w:rFonts w:ascii="Palatino Linotype" w:hAnsi="Palatino Linotype"/>
          <w:color w:val="000000"/>
        </w:rPr>
      </w:pPr>
    </w:p>
    <w:p w:rsidR="00DC7D89" w:rsidRPr="00DC7D89" w:rsidRDefault="00DC7D89" w:rsidP="00DC7D89">
      <w:pPr>
        <w:pStyle w:val="Prrafodelista"/>
        <w:spacing w:line="360" w:lineRule="auto"/>
        <w:ind w:left="720"/>
        <w:jc w:val="both"/>
        <w:rPr>
          <w:rFonts w:ascii="Palatino Linotype" w:hAnsi="Palatino Linotype"/>
          <w:color w:val="000000"/>
        </w:rPr>
      </w:pPr>
      <w:r w:rsidRPr="00DC7D89">
        <w:rPr>
          <w:rFonts w:ascii="Palatino Linotype" w:hAnsi="Palatino Linotype"/>
          <w:color w:val="000000"/>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DB673C" w:rsidRDefault="00DB673C" w:rsidP="0042512C">
      <w:pPr>
        <w:spacing w:after="0" w:line="360" w:lineRule="auto"/>
        <w:jc w:val="both"/>
        <w:rPr>
          <w:rFonts w:ascii="Palatino Linotype" w:eastAsia="Times New Roman" w:hAnsi="Palatino Linotype" w:cs="Arial"/>
          <w:sz w:val="24"/>
          <w:szCs w:val="24"/>
          <w:lang w:val="es-ES" w:eastAsia="es-ES"/>
        </w:rPr>
      </w:pPr>
    </w:p>
    <w:p w:rsidR="00FA08FC" w:rsidRPr="004209CE" w:rsidRDefault="00FA08FC" w:rsidP="0042512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A08FC" w:rsidRDefault="00FA08FC" w:rsidP="00FA08FC">
      <w:pPr>
        <w:spacing w:after="0" w:line="360" w:lineRule="auto"/>
        <w:jc w:val="both"/>
        <w:rPr>
          <w:rFonts w:ascii="Palatino Linotype" w:eastAsia="Times New Roman" w:hAnsi="Palatino Linotype" w:cs="Arial"/>
        </w:rPr>
      </w:pPr>
    </w:p>
    <w:p w:rsidR="00FA08FC" w:rsidRDefault="00FA08FC" w:rsidP="00FA08F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A08FC" w:rsidRDefault="00FA08FC" w:rsidP="00FA08FC">
      <w:pPr>
        <w:spacing w:after="0" w:line="360" w:lineRule="auto"/>
        <w:jc w:val="both"/>
        <w:rPr>
          <w:rFonts w:ascii="Palatino Linotype" w:hAnsi="Palatino Linotype" w:cs="Arial"/>
          <w:bCs/>
          <w:sz w:val="24"/>
          <w:szCs w:val="24"/>
        </w:rPr>
      </w:pPr>
    </w:p>
    <w:p w:rsidR="00FA08FC" w:rsidRDefault="00FA08FC" w:rsidP="00FA08FC">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Pr>
          <w:rFonts w:ascii="Palatino Linotype" w:hAnsi="Palatino Linotype" w:cs="Arial"/>
          <w:sz w:val="24"/>
          <w:szCs w:val="24"/>
        </w:rPr>
        <w:t xml:space="preserve"> Y LUIS GUSTAVO PARRA NORIEGA, </w:t>
      </w:r>
      <w:r w:rsidR="005306D9" w:rsidRPr="005306D9">
        <w:rPr>
          <w:rFonts w:ascii="Palatino Linotype" w:hAnsi="Palatino Linotype" w:cs="Arial"/>
          <w:sz w:val="24"/>
          <w:szCs w:val="24"/>
        </w:rPr>
        <w:t>EN LA TRIGÉSIMA CUARTA SESIÓN ORDINARIA CELEBRADA EL DIECINUEVE DE SEPTIEMBRE DE DOS MIL DIECINUEVE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p>
    <w:p w:rsidR="00FA08FC" w:rsidRDefault="00FA08FC" w:rsidP="00FA08FC">
      <w:pPr>
        <w:spacing w:after="0" w:line="360" w:lineRule="auto"/>
        <w:jc w:val="both"/>
        <w:rPr>
          <w:rFonts w:ascii="Palatino Linotype" w:hAnsi="Palatino Linotype"/>
          <w:sz w:val="24"/>
          <w:szCs w:val="24"/>
        </w:rPr>
      </w:pPr>
    </w:p>
    <w:p w:rsidR="005306D9" w:rsidRDefault="005306D9"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887275D" wp14:editId="63FDD8D3">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016AF3" w:rsidRDefault="00FA08FC" w:rsidP="00FA08F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275D"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016AF3" w:rsidRDefault="00FA08FC" w:rsidP="00FA08FC">
                      <w:pPr>
                        <w:spacing w:line="240" w:lineRule="auto"/>
                        <w:jc w:val="center"/>
                        <w:rPr>
                          <w:rFonts w:ascii="Palatino Linotype" w:hAnsi="Palatino Linotype"/>
                          <w:b/>
                          <w:sz w:val="24"/>
                          <w:szCs w:val="24"/>
                        </w:rPr>
                      </w:pPr>
                    </w:p>
                  </w:txbxContent>
                </v:textbox>
                <w10:wrap anchorx="page"/>
              </v:shape>
            </w:pict>
          </mc:Fallback>
        </mc:AlternateContent>
      </w:r>
    </w:p>
    <w:p w:rsidR="00FA08FC" w:rsidRPr="00AD2A55" w:rsidRDefault="00FA08FC" w:rsidP="00FA08FC">
      <w:pPr>
        <w:spacing w:after="0" w:line="360" w:lineRule="auto"/>
        <w:jc w:val="center"/>
        <w:rPr>
          <w:rFonts w:ascii="Palatino Linotype" w:hAnsi="Palatino Linotype"/>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546882" w:rsidRDefault="00FA08FC" w:rsidP="00FA08FC">
      <w:pPr>
        <w:spacing w:after="0" w:line="360" w:lineRule="auto"/>
        <w:rPr>
          <w:rFonts w:ascii="Palatino Linotype" w:hAnsi="Palatino Linotype"/>
          <w:b/>
          <w:sz w:val="20"/>
          <w:szCs w:val="24"/>
        </w:rPr>
      </w:pPr>
    </w:p>
    <w:p w:rsidR="00FA08FC"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C73FFC7" wp14:editId="2928491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A08FC"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797B31" w:rsidRDefault="00FA08FC" w:rsidP="00FA08F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FC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A08FC"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797B31" w:rsidRDefault="00FA08FC" w:rsidP="00FA08FC">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987C781" wp14:editId="38FD476D">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781"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FA08FC" w:rsidRPr="00EF2FC0" w:rsidRDefault="00FA08FC" w:rsidP="00FA08F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pPr>
                    </w:p>
                  </w:txbxContent>
                </v:textbox>
                <w10:wrap anchorx="margin"/>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0"/>
          <w:szCs w:val="24"/>
        </w:rPr>
      </w:pPr>
    </w:p>
    <w:p w:rsidR="00FA08FC" w:rsidRPr="00D701CA" w:rsidRDefault="00FA08FC" w:rsidP="00FA08FC">
      <w:pPr>
        <w:spacing w:after="0" w:line="360" w:lineRule="auto"/>
        <w:rPr>
          <w:rFonts w:ascii="Palatino Linotype" w:hAnsi="Palatino Linotype"/>
          <w:b/>
          <w:sz w:val="20"/>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67A9F6D7" wp14:editId="7E6F7290">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F6D7"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48B0410" wp14:editId="34279621">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0410"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v:textbox>
                <w10:wrap anchorx="page"/>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sz w:val="24"/>
          <w:szCs w:val="24"/>
        </w:rPr>
      </w:pPr>
    </w:p>
    <w:p w:rsidR="00FA08FC" w:rsidRPr="00546882" w:rsidRDefault="00FA08FC" w:rsidP="00FA08FC">
      <w:pPr>
        <w:spacing w:after="0" w:line="360" w:lineRule="auto"/>
        <w:rPr>
          <w:rFonts w:ascii="Palatino Linotype" w:hAnsi="Palatino Linotype"/>
          <w:sz w:val="20"/>
          <w:szCs w:val="24"/>
        </w:rPr>
      </w:pPr>
    </w:p>
    <w:p w:rsidR="00FA08FC" w:rsidRPr="00AD2A55" w:rsidRDefault="00FA08FC" w:rsidP="00FA08F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DB7524B" wp14:editId="2CDCED13">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7F6133" w:rsidRDefault="00FA08F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rPr>
                                <w:rFonts w:ascii="Palatino Linotype" w:hAnsi="Palatino Linotype"/>
                                <w:sz w:val="24"/>
                                <w:szCs w:val="24"/>
                              </w:rPr>
                            </w:pPr>
                          </w:p>
                          <w:p w:rsidR="00FA08FC" w:rsidRPr="00EF2FC0" w:rsidRDefault="00FA08FC" w:rsidP="00FA08FC">
                            <w:pPr>
                              <w:jc w:val="center"/>
                              <w:rPr>
                                <w:rFonts w:ascii="Palatino Linotype" w:hAnsi="Palatino Linotype"/>
                                <w:sz w:val="24"/>
                                <w:szCs w:val="24"/>
                              </w:rPr>
                            </w:pPr>
                          </w:p>
                          <w:p w:rsidR="00FA08FC"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524B"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rsidR="00FA08FC" w:rsidRPr="007F6133" w:rsidRDefault="00FA08F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rPr>
                          <w:rFonts w:ascii="Palatino Linotype" w:hAnsi="Palatino Linotype"/>
                          <w:sz w:val="24"/>
                          <w:szCs w:val="24"/>
                        </w:rPr>
                      </w:pPr>
                    </w:p>
                    <w:p w:rsidR="00FA08FC" w:rsidRPr="00EF2FC0" w:rsidRDefault="00FA08FC" w:rsidP="00FA08FC">
                      <w:pPr>
                        <w:jc w:val="center"/>
                        <w:rPr>
                          <w:rFonts w:ascii="Palatino Linotype" w:hAnsi="Palatino Linotype"/>
                          <w:sz w:val="24"/>
                          <w:szCs w:val="24"/>
                        </w:rPr>
                      </w:pPr>
                    </w:p>
                    <w:p w:rsidR="00FA08FC" w:rsidRDefault="00FA08FC" w:rsidP="00FA08FC"/>
                  </w:txbxContent>
                </v:textbox>
                <w10:wrap anchorx="page"/>
              </v:shape>
            </w:pict>
          </mc:Fallback>
        </mc:AlternateConten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sz w:val="24"/>
          <w:szCs w:val="24"/>
        </w:rPr>
      </w:pPr>
    </w:p>
    <w:p w:rsidR="00FA08FC" w:rsidRPr="00546882" w:rsidRDefault="00FA08FC" w:rsidP="00FA08FC">
      <w:pPr>
        <w:spacing w:after="0" w:line="360" w:lineRule="auto"/>
        <w:jc w:val="both"/>
        <w:rPr>
          <w:rFonts w:ascii="Palatino Linotype" w:hAnsi="Palatino Linotype" w:cs="Arial"/>
          <w:sz w:val="18"/>
          <w:szCs w:val="24"/>
        </w:rPr>
      </w:pPr>
    </w:p>
    <w:p w:rsidR="00FA08FC" w:rsidRDefault="00FA08FC" w:rsidP="00FA08FC">
      <w:pPr>
        <w:spacing w:after="0" w:line="240" w:lineRule="auto"/>
        <w:jc w:val="both"/>
        <w:rPr>
          <w:rFonts w:ascii="Palatino Linotype" w:hAnsi="Palatino Linotype" w:cs="Arial"/>
          <w:sz w:val="20"/>
          <w:szCs w:val="20"/>
        </w:rPr>
      </w:pPr>
    </w:p>
    <w:p w:rsidR="00FA08FC" w:rsidRPr="00D701CA" w:rsidRDefault="00FA08FC" w:rsidP="00FA08FC">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fecha </w:t>
      </w:r>
      <w:r w:rsidR="005306D9">
        <w:rPr>
          <w:rFonts w:ascii="Palatino Linotype" w:hAnsi="Palatino Linotype" w:cs="Arial"/>
          <w:sz w:val="20"/>
          <w:szCs w:val="20"/>
        </w:rPr>
        <w:t>diecinueve de septiembre</w:t>
      </w:r>
      <w:r w:rsidR="005306D9">
        <w:rPr>
          <w:rFonts w:ascii="Palatino Linotype" w:hAnsi="Palatino Linotype" w:cs="Arial"/>
          <w:color w:val="000000"/>
          <w:sz w:val="20"/>
          <w:szCs w:val="20"/>
          <w:lang w:eastAsia="es-MX"/>
        </w:rPr>
        <w:t xml:space="preserve"> </w:t>
      </w:r>
      <w:r w:rsidR="005306D9">
        <w:rPr>
          <w:rFonts w:ascii="Palatino Linotype" w:hAnsi="Palatino Linotype" w:cs="Arial"/>
          <w:sz w:val="20"/>
          <w:szCs w:val="20"/>
        </w:rPr>
        <w:t>dos mil diecinueve</w:t>
      </w:r>
      <w:r w:rsidRPr="00D701CA">
        <w:rPr>
          <w:rFonts w:ascii="Palatino Linotype" w:hAnsi="Palatino Linotype" w:cs="Arial"/>
          <w:sz w:val="20"/>
          <w:szCs w:val="20"/>
        </w:rPr>
        <w:t xml:space="preserve">, emitida en el recurso de revisión </w:t>
      </w:r>
      <w:r w:rsidRPr="00D701CA">
        <w:rPr>
          <w:rFonts w:ascii="Palatino Linotype" w:hAnsi="Palatino Linotype" w:cs="Arial"/>
          <w:bCs/>
          <w:sz w:val="20"/>
          <w:szCs w:val="20"/>
          <w:lang w:eastAsia="es-MX"/>
        </w:rPr>
        <w:t>0</w:t>
      </w:r>
      <w:r w:rsidR="005306D9">
        <w:rPr>
          <w:rFonts w:ascii="Palatino Linotype" w:hAnsi="Palatino Linotype" w:cs="Arial"/>
          <w:bCs/>
          <w:sz w:val="20"/>
          <w:szCs w:val="20"/>
          <w:lang w:eastAsia="es-MX"/>
        </w:rPr>
        <w:t>5980</w:t>
      </w:r>
      <w:r w:rsidRPr="00D701CA">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D701CA">
        <w:rPr>
          <w:rFonts w:ascii="Palatino Linotype" w:hAnsi="Palatino Linotype" w:cs="Arial"/>
          <w:sz w:val="20"/>
          <w:szCs w:val="20"/>
        </w:rPr>
        <w:t>.</w:t>
      </w:r>
    </w:p>
    <w:p w:rsidR="007813F8" w:rsidRPr="005306D9" w:rsidRDefault="00FA08FC" w:rsidP="005306D9">
      <w:pPr>
        <w:spacing w:after="0" w:line="240" w:lineRule="auto"/>
        <w:rPr>
          <w:rFonts w:ascii="Palatino Linotype" w:hAnsi="Palatino Linotype"/>
          <w:sz w:val="20"/>
          <w:szCs w:val="20"/>
        </w:rPr>
      </w:pPr>
      <w:r w:rsidRPr="00D701CA">
        <w:rPr>
          <w:rFonts w:ascii="Palatino Linotype" w:hAnsi="Palatino Linotype"/>
          <w:sz w:val="20"/>
          <w:szCs w:val="20"/>
        </w:rPr>
        <w:t>OSAM/</w:t>
      </w:r>
      <w:r w:rsidR="005306D9">
        <w:rPr>
          <w:rFonts w:ascii="Palatino Linotype" w:hAnsi="Palatino Linotype"/>
          <w:sz w:val="20"/>
          <w:szCs w:val="20"/>
        </w:rPr>
        <w:t>ROA</w:t>
      </w:r>
    </w:p>
    <w:sectPr w:rsidR="007813F8" w:rsidRPr="005306D9"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9C" w:rsidRDefault="00D37A9C" w:rsidP="00FA08FC">
      <w:pPr>
        <w:spacing w:after="0" w:line="240" w:lineRule="auto"/>
      </w:pPr>
      <w:r>
        <w:separator/>
      </w:r>
    </w:p>
  </w:endnote>
  <w:endnote w:type="continuationSeparator" w:id="0">
    <w:p w:rsidR="00D37A9C" w:rsidRDefault="00D37A9C" w:rsidP="00FA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842FF" w:rsidRPr="002D6DD8" w:rsidRDefault="00DA284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A7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85A77">
              <w:rPr>
                <w:rFonts w:ascii="Palatino Linotype" w:hAnsi="Palatino Linotype"/>
                <w:bCs/>
                <w:noProof/>
                <w:sz w:val="20"/>
              </w:rPr>
              <w:t>22</w:t>
            </w:r>
            <w:r>
              <w:rPr>
                <w:rFonts w:ascii="Palatino Linotype" w:hAnsi="Palatino Linotype"/>
                <w:bCs/>
                <w:noProof/>
                <w:sz w:val="20"/>
              </w:rPr>
              <w:fldChar w:fldCharType="end"/>
            </w:r>
          </w:p>
        </w:sdtContent>
      </w:sdt>
    </w:sdtContent>
  </w:sdt>
  <w:p w:rsidR="004842FF" w:rsidRDefault="00385A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F" w:rsidRPr="000B69FA" w:rsidRDefault="00DA284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2B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2B9F">
      <w:rPr>
        <w:rFonts w:ascii="Palatino Linotype" w:hAnsi="Palatino Linotype"/>
        <w:bCs/>
        <w:noProof/>
        <w:sz w:val="20"/>
      </w:rPr>
      <w:t>22</w:t>
    </w:r>
    <w:r>
      <w:rPr>
        <w:rFonts w:ascii="Palatino Linotype" w:hAnsi="Palatino Linotype"/>
        <w:bCs/>
        <w:noProof/>
        <w:sz w:val="20"/>
      </w:rPr>
      <w:fldChar w:fldCharType="end"/>
    </w:r>
  </w:p>
  <w:p w:rsidR="004842FF" w:rsidRDefault="00385A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9C" w:rsidRDefault="00D37A9C" w:rsidP="00FA08FC">
      <w:pPr>
        <w:spacing w:after="0" w:line="240" w:lineRule="auto"/>
      </w:pPr>
      <w:r>
        <w:separator/>
      </w:r>
    </w:p>
  </w:footnote>
  <w:footnote w:type="continuationSeparator" w:id="0">
    <w:p w:rsidR="00D37A9C" w:rsidRDefault="00D37A9C" w:rsidP="00FA0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6380"/>
      <w:gridCol w:w="4110"/>
    </w:tblGrid>
    <w:tr w:rsidR="004842FF" w:rsidTr="0019678D">
      <w:trPr>
        <w:trHeight w:val="227"/>
      </w:trPr>
      <w:tc>
        <w:tcPr>
          <w:tcW w:w="6380" w:type="dxa"/>
          <w:hideMark/>
        </w:tcPr>
        <w:p w:rsidR="004842FF" w:rsidRDefault="00DA2845" w:rsidP="000300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4842FF" w:rsidRDefault="00DA2845" w:rsidP="0019678D">
          <w:pPr>
            <w:spacing w:after="120" w:line="256" w:lineRule="auto"/>
            <w:ind w:left="-207" w:right="214" w:firstLine="207"/>
            <w:jc w:val="right"/>
            <w:rPr>
              <w:rFonts w:ascii="Palatino Linotype" w:hAnsi="Palatino Linotype" w:cs="Arial"/>
              <w:szCs w:val="20"/>
            </w:rPr>
          </w:pPr>
          <w:r>
            <w:rPr>
              <w:rFonts w:ascii="Palatino Linotype" w:hAnsi="Palatino Linotype" w:cs="Arial"/>
              <w:bCs/>
              <w:sz w:val="24"/>
              <w:lang w:eastAsia="es-MX"/>
            </w:rPr>
            <w:t>0</w:t>
          </w:r>
          <w:r w:rsidR="000561F4">
            <w:rPr>
              <w:rFonts w:ascii="Palatino Linotype" w:hAnsi="Palatino Linotype" w:cs="Arial"/>
              <w:bCs/>
              <w:sz w:val="24"/>
              <w:lang w:eastAsia="es-MX"/>
            </w:rPr>
            <w:t>5</w:t>
          </w:r>
          <w:r w:rsidR="0019678D">
            <w:rPr>
              <w:rFonts w:ascii="Palatino Linotype" w:hAnsi="Palatino Linotype" w:cs="Arial"/>
              <w:bCs/>
              <w:sz w:val="24"/>
              <w:lang w:eastAsia="es-MX"/>
            </w:rPr>
            <w:t>980</w:t>
          </w:r>
          <w:r>
            <w:rPr>
              <w:rFonts w:ascii="Palatino Linotype" w:hAnsi="Palatino Linotype" w:cs="Arial"/>
              <w:bCs/>
              <w:sz w:val="24"/>
              <w:lang w:eastAsia="es-MX"/>
            </w:rPr>
            <w:t>/INFOEM/IP/RR/2019</w:t>
          </w:r>
        </w:p>
      </w:tc>
    </w:tr>
    <w:tr w:rsidR="004842FF" w:rsidTr="0019678D">
      <w:trPr>
        <w:trHeight w:val="242"/>
      </w:trPr>
      <w:tc>
        <w:tcPr>
          <w:tcW w:w="6380" w:type="dxa"/>
          <w:hideMark/>
        </w:tcPr>
        <w:p w:rsidR="004842FF" w:rsidRDefault="00DA2845" w:rsidP="000300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4842FF" w:rsidRDefault="00DA2845" w:rsidP="009457FC">
          <w:pPr>
            <w:spacing w:after="120" w:line="256" w:lineRule="auto"/>
            <w:ind w:left="-207" w:right="214" w:firstLine="207"/>
            <w:jc w:val="right"/>
            <w:rPr>
              <w:rFonts w:ascii="Palatino Linotype" w:hAnsi="Palatino Linotype" w:cs="Arial"/>
              <w:szCs w:val="20"/>
            </w:rPr>
          </w:pPr>
          <w:r>
            <w:rPr>
              <w:rFonts w:ascii="Palatino Linotype" w:hAnsi="Palatino Linotype" w:cs="Arial"/>
              <w:szCs w:val="20"/>
            </w:rPr>
            <w:t xml:space="preserve">Ayuntamiento de </w:t>
          </w:r>
          <w:r w:rsidR="0019678D">
            <w:rPr>
              <w:rFonts w:ascii="Palatino Linotype" w:hAnsi="Palatino Linotype" w:cs="Arial"/>
              <w:szCs w:val="20"/>
            </w:rPr>
            <w:t>Almoloya de Juárez</w:t>
          </w:r>
        </w:p>
      </w:tc>
    </w:tr>
    <w:tr w:rsidR="004842FF" w:rsidTr="0019678D">
      <w:trPr>
        <w:trHeight w:val="342"/>
      </w:trPr>
      <w:tc>
        <w:tcPr>
          <w:tcW w:w="6380" w:type="dxa"/>
          <w:hideMark/>
        </w:tcPr>
        <w:p w:rsidR="004842FF" w:rsidRDefault="00DA2845"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4842FF" w:rsidRDefault="00DA2845" w:rsidP="00014B9D">
          <w:pPr>
            <w:spacing w:after="120" w:line="256" w:lineRule="auto"/>
            <w:ind w:left="-207" w:right="214" w:firstLine="207"/>
            <w:jc w:val="right"/>
            <w:rPr>
              <w:rFonts w:ascii="Palatino Linotype" w:hAnsi="Palatino Linotype" w:cs="Arial"/>
              <w:szCs w:val="20"/>
            </w:rPr>
          </w:pPr>
          <w:r>
            <w:rPr>
              <w:rFonts w:ascii="Palatino Linotype" w:hAnsi="Palatino Linotype" w:cs="Arial"/>
              <w:szCs w:val="20"/>
            </w:rPr>
            <w:t>Zulema Martínez Sánchez</w:t>
          </w:r>
        </w:p>
      </w:tc>
    </w:tr>
  </w:tbl>
  <w:p w:rsidR="004842FF" w:rsidRDefault="00DA2845"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096"/>
      <w:gridCol w:w="4111"/>
    </w:tblGrid>
    <w:tr w:rsidR="004842FF" w:rsidTr="0019678D">
      <w:trPr>
        <w:trHeight w:val="227"/>
      </w:trPr>
      <w:tc>
        <w:tcPr>
          <w:tcW w:w="6096" w:type="dxa"/>
          <w:hideMark/>
        </w:tcPr>
        <w:p w:rsidR="004842FF" w:rsidRDefault="00DA2845" w:rsidP="00044747">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4842FF" w:rsidRDefault="00DA2845" w:rsidP="0019678D">
          <w:pPr>
            <w:spacing w:after="120" w:line="256" w:lineRule="auto"/>
            <w:ind w:left="-486" w:right="214" w:firstLine="486"/>
            <w:jc w:val="right"/>
            <w:rPr>
              <w:rFonts w:ascii="Palatino Linotype" w:hAnsi="Palatino Linotype" w:cs="Arial"/>
              <w:szCs w:val="20"/>
            </w:rPr>
          </w:pPr>
          <w:r>
            <w:rPr>
              <w:rFonts w:ascii="Palatino Linotype" w:hAnsi="Palatino Linotype" w:cs="Arial"/>
              <w:bCs/>
              <w:sz w:val="24"/>
              <w:lang w:eastAsia="es-MX"/>
            </w:rPr>
            <w:t>0</w:t>
          </w:r>
          <w:r w:rsidR="000561F4">
            <w:rPr>
              <w:rFonts w:ascii="Palatino Linotype" w:hAnsi="Palatino Linotype" w:cs="Arial"/>
              <w:bCs/>
              <w:sz w:val="24"/>
              <w:lang w:eastAsia="es-MX"/>
            </w:rPr>
            <w:t>5</w:t>
          </w:r>
          <w:r w:rsidR="0019678D">
            <w:rPr>
              <w:rFonts w:ascii="Palatino Linotype" w:hAnsi="Palatino Linotype" w:cs="Arial"/>
              <w:bCs/>
              <w:sz w:val="24"/>
              <w:lang w:eastAsia="es-MX"/>
            </w:rPr>
            <w:t>980</w:t>
          </w:r>
          <w:r>
            <w:rPr>
              <w:rFonts w:ascii="Palatino Linotype" w:hAnsi="Palatino Linotype" w:cs="Arial"/>
              <w:bCs/>
              <w:sz w:val="24"/>
              <w:lang w:eastAsia="es-MX"/>
            </w:rPr>
            <w:t>/INFOEM/IP/RR/2019</w:t>
          </w:r>
        </w:p>
      </w:tc>
    </w:tr>
    <w:tr w:rsidR="004842FF" w:rsidTr="0019678D">
      <w:trPr>
        <w:trHeight w:val="242"/>
      </w:trPr>
      <w:tc>
        <w:tcPr>
          <w:tcW w:w="6096" w:type="dxa"/>
          <w:hideMark/>
        </w:tcPr>
        <w:p w:rsidR="004842FF" w:rsidRDefault="00DA2845" w:rsidP="00044747">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4842FF" w:rsidRDefault="00DA2845" w:rsidP="0019678D">
          <w:pPr>
            <w:spacing w:after="120" w:line="256" w:lineRule="auto"/>
            <w:ind w:left="-486" w:right="214" w:firstLine="486"/>
            <w:jc w:val="right"/>
            <w:rPr>
              <w:rFonts w:ascii="Palatino Linotype" w:hAnsi="Palatino Linotype" w:cs="Arial"/>
              <w:szCs w:val="20"/>
            </w:rPr>
          </w:pPr>
          <w:r>
            <w:rPr>
              <w:rFonts w:ascii="Palatino Linotype" w:hAnsi="Palatino Linotype" w:cs="Arial"/>
              <w:szCs w:val="20"/>
            </w:rPr>
            <w:t xml:space="preserve">Ayuntamiento de </w:t>
          </w:r>
          <w:r w:rsidR="0019678D">
            <w:rPr>
              <w:rFonts w:ascii="Palatino Linotype" w:hAnsi="Palatino Linotype" w:cs="Arial"/>
              <w:szCs w:val="20"/>
            </w:rPr>
            <w:t>Almoloya de Juárez</w:t>
          </w:r>
        </w:p>
      </w:tc>
    </w:tr>
    <w:tr w:rsidR="004842FF" w:rsidTr="0019678D">
      <w:trPr>
        <w:trHeight w:val="342"/>
      </w:trPr>
      <w:tc>
        <w:tcPr>
          <w:tcW w:w="6096" w:type="dxa"/>
        </w:tcPr>
        <w:p w:rsidR="004842FF" w:rsidRDefault="00DA2845" w:rsidP="00044747">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Recurrente:</w:t>
          </w:r>
        </w:p>
      </w:tc>
      <w:tc>
        <w:tcPr>
          <w:tcW w:w="4111" w:type="dxa"/>
        </w:tcPr>
        <w:p w:rsidR="004842FF" w:rsidRPr="003D23D7" w:rsidRDefault="000D2B9F" w:rsidP="000561F4">
          <w:pPr>
            <w:spacing w:after="120" w:line="256" w:lineRule="auto"/>
            <w:ind w:left="-486" w:right="214" w:firstLine="486"/>
            <w:jc w:val="right"/>
            <w:rPr>
              <w:rFonts w:ascii="Palatino Linotype" w:hAnsi="Palatino Linotype" w:cs="Arial"/>
            </w:rPr>
          </w:pPr>
          <w:r>
            <w:rPr>
              <w:rFonts w:ascii="Palatino Linotype" w:hAnsi="Palatino Linotype" w:cs="Arial"/>
            </w:rPr>
            <w:t>xxxxxxxxxxxxx</w:t>
          </w:r>
        </w:p>
      </w:tc>
    </w:tr>
    <w:tr w:rsidR="004842FF" w:rsidTr="0019678D">
      <w:trPr>
        <w:trHeight w:val="342"/>
      </w:trPr>
      <w:tc>
        <w:tcPr>
          <w:tcW w:w="6096" w:type="dxa"/>
        </w:tcPr>
        <w:p w:rsidR="004842FF" w:rsidRDefault="00DA2845" w:rsidP="00044747">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4111" w:type="dxa"/>
        </w:tcPr>
        <w:p w:rsidR="004842FF" w:rsidRDefault="00DA2845" w:rsidP="00044747">
          <w:pPr>
            <w:spacing w:after="120" w:line="256" w:lineRule="auto"/>
            <w:ind w:left="-486" w:right="214" w:firstLine="486"/>
            <w:jc w:val="right"/>
            <w:rPr>
              <w:rFonts w:ascii="Palatino Linotype" w:hAnsi="Palatino Linotype" w:cs="Arial"/>
              <w:szCs w:val="20"/>
            </w:rPr>
          </w:pPr>
          <w:r>
            <w:rPr>
              <w:rFonts w:ascii="Palatino Linotype" w:hAnsi="Palatino Linotype" w:cs="Arial"/>
              <w:szCs w:val="20"/>
            </w:rPr>
            <w:t>Zulema Martínez Sánchez</w:t>
          </w:r>
        </w:p>
      </w:tc>
    </w:tr>
  </w:tbl>
  <w:p w:rsidR="004842FF" w:rsidRDefault="00385A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BEA767F"/>
    <w:multiLevelType w:val="hybridMultilevel"/>
    <w:tmpl w:val="8C6EC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C"/>
    <w:rsid w:val="00004FD9"/>
    <w:rsid w:val="00031570"/>
    <w:rsid w:val="000379CA"/>
    <w:rsid w:val="000561F4"/>
    <w:rsid w:val="00073EB5"/>
    <w:rsid w:val="00082BAE"/>
    <w:rsid w:val="00084449"/>
    <w:rsid w:val="000A59D7"/>
    <w:rsid w:val="000D2B9F"/>
    <w:rsid w:val="000D4AF2"/>
    <w:rsid w:val="000E1CDD"/>
    <w:rsid w:val="000E31E8"/>
    <w:rsid w:val="000E6CDE"/>
    <w:rsid w:val="00144D35"/>
    <w:rsid w:val="001464F9"/>
    <w:rsid w:val="001647D3"/>
    <w:rsid w:val="00187FA6"/>
    <w:rsid w:val="0019678D"/>
    <w:rsid w:val="001A3E01"/>
    <w:rsid w:val="001A487F"/>
    <w:rsid w:val="001B736A"/>
    <w:rsid w:val="001D3E7D"/>
    <w:rsid w:val="002130AF"/>
    <w:rsid w:val="00225915"/>
    <w:rsid w:val="00234599"/>
    <w:rsid w:val="002417E2"/>
    <w:rsid w:val="00252670"/>
    <w:rsid w:val="00290541"/>
    <w:rsid w:val="002F4CB0"/>
    <w:rsid w:val="003138FF"/>
    <w:rsid w:val="00340F98"/>
    <w:rsid w:val="0037015F"/>
    <w:rsid w:val="003712D2"/>
    <w:rsid w:val="00385633"/>
    <w:rsid w:val="00385A77"/>
    <w:rsid w:val="00386A61"/>
    <w:rsid w:val="003A3C28"/>
    <w:rsid w:val="003D6D36"/>
    <w:rsid w:val="003F6A0F"/>
    <w:rsid w:val="00416647"/>
    <w:rsid w:val="00424F56"/>
    <w:rsid w:val="0042512C"/>
    <w:rsid w:val="0043037F"/>
    <w:rsid w:val="00433567"/>
    <w:rsid w:val="00434359"/>
    <w:rsid w:val="00443C43"/>
    <w:rsid w:val="0046035F"/>
    <w:rsid w:val="00491B96"/>
    <w:rsid w:val="004E03B3"/>
    <w:rsid w:val="004F2BC7"/>
    <w:rsid w:val="005306D9"/>
    <w:rsid w:val="005411E0"/>
    <w:rsid w:val="00590DD9"/>
    <w:rsid w:val="005A63A0"/>
    <w:rsid w:val="005B5C28"/>
    <w:rsid w:val="005B7B2A"/>
    <w:rsid w:val="005C45E7"/>
    <w:rsid w:val="005D781A"/>
    <w:rsid w:val="005F56E4"/>
    <w:rsid w:val="00600210"/>
    <w:rsid w:val="00614B42"/>
    <w:rsid w:val="00620984"/>
    <w:rsid w:val="00631459"/>
    <w:rsid w:val="006443F5"/>
    <w:rsid w:val="0067359C"/>
    <w:rsid w:val="006909F0"/>
    <w:rsid w:val="006916C7"/>
    <w:rsid w:val="006A78AC"/>
    <w:rsid w:val="006A7C2D"/>
    <w:rsid w:val="006B62BF"/>
    <w:rsid w:val="006D7593"/>
    <w:rsid w:val="006E427E"/>
    <w:rsid w:val="00752D14"/>
    <w:rsid w:val="007707AC"/>
    <w:rsid w:val="00771F78"/>
    <w:rsid w:val="007813F8"/>
    <w:rsid w:val="007B500A"/>
    <w:rsid w:val="007D5176"/>
    <w:rsid w:val="007E4CCA"/>
    <w:rsid w:val="007F7EC4"/>
    <w:rsid w:val="008041C1"/>
    <w:rsid w:val="00812913"/>
    <w:rsid w:val="00822864"/>
    <w:rsid w:val="00825761"/>
    <w:rsid w:val="00830E3E"/>
    <w:rsid w:val="0084578F"/>
    <w:rsid w:val="008528A2"/>
    <w:rsid w:val="00860EDE"/>
    <w:rsid w:val="0086489F"/>
    <w:rsid w:val="00875665"/>
    <w:rsid w:val="008A2582"/>
    <w:rsid w:val="008A3CFC"/>
    <w:rsid w:val="008B0DFA"/>
    <w:rsid w:val="008D6BAF"/>
    <w:rsid w:val="008D7C44"/>
    <w:rsid w:val="008F532E"/>
    <w:rsid w:val="00903865"/>
    <w:rsid w:val="009157D8"/>
    <w:rsid w:val="00925698"/>
    <w:rsid w:val="00937D5D"/>
    <w:rsid w:val="009457FC"/>
    <w:rsid w:val="00947B70"/>
    <w:rsid w:val="00994F7A"/>
    <w:rsid w:val="00996B01"/>
    <w:rsid w:val="009A2B89"/>
    <w:rsid w:val="009D22D1"/>
    <w:rsid w:val="009E7B5A"/>
    <w:rsid w:val="009F3CEC"/>
    <w:rsid w:val="00A1364E"/>
    <w:rsid w:val="00A2527E"/>
    <w:rsid w:val="00A37BD8"/>
    <w:rsid w:val="00A43D30"/>
    <w:rsid w:val="00A64808"/>
    <w:rsid w:val="00A75E8B"/>
    <w:rsid w:val="00A91471"/>
    <w:rsid w:val="00A94118"/>
    <w:rsid w:val="00AD1C73"/>
    <w:rsid w:val="00B03715"/>
    <w:rsid w:val="00B157B3"/>
    <w:rsid w:val="00B426E3"/>
    <w:rsid w:val="00B60DE2"/>
    <w:rsid w:val="00BA7FF6"/>
    <w:rsid w:val="00BB2946"/>
    <w:rsid w:val="00BC1017"/>
    <w:rsid w:val="00BD5A7A"/>
    <w:rsid w:val="00BE1A08"/>
    <w:rsid w:val="00BE42C2"/>
    <w:rsid w:val="00BE7124"/>
    <w:rsid w:val="00BF1476"/>
    <w:rsid w:val="00C033D6"/>
    <w:rsid w:val="00C04E04"/>
    <w:rsid w:val="00C23A0C"/>
    <w:rsid w:val="00C33547"/>
    <w:rsid w:val="00C47D87"/>
    <w:rsid w:val="00C52404"/>
    <w:rsid w:val="00C64F28"/>
    <w:rsid w:val="00C67713"/>
    <w:rsid w:val="00CC2CA5"/>
    <w:rsid w:val="00CC4A5D"/>
    <w:rsid w:val="00CD450F"/>
    <w:rsid w:val="00CE3752"/>
    <w:rsid w:val="00CE6940"/>
    <w:rsid w:val="00CE74E2"/>
    <w:rsid w:val="00D20308"/>
    <w:rsid w:val="00D23F59"/>
    <w:rsid w:val="00D37A9C"/>
    <w:rsid w:val="00DA2845"/>
    <w:rsid w:val="00DB673C"/>
    <w:rsid w:val="00DC7D89"/>
    <w:rsid w:val="00DD0B83"/>
    <w:rsid w:val="00DD61C4"/>
    <w:rsid w:val="00DF4503"/>
    <w:rsid w:val="00E6268E"/>
    <w:rsid w:val="00E80EBE"/>
    <w:rsid w:val="00E812EF"/>
    <w:rsid w:val="00EA39E1"/>
    <w:rsid w:val="00EA53DB"/>
    <w:rsid w:val="00EC27C6"/>
    <w:rsid w:val="00EE1D86"/>
    <w:rsid w:val="00EE396B"/>
    <w:rsid w:val="00EF472B"/>
    <w:rsid w:val="00F207BC"/>
    <w:rsid w:val="00F24371"/>
    <w:rsid w:val="00F4017F"/>
    <w:rsid w:val="00F40AB7"/>
    <w:rsid w:val="00F42FEF"/>
    <w:rsid w:val="00F775C2"/>
    <w:rsid w:val="00F8582E"/>
    <w:rsid w:val="00F913A9"/>
    <w:rsid w:val="00FA08FC"/>
    <w:rsid w:val="00FA26C9"/>
    <w:rsid w:val="00FA7D2E"/>
    <w:rsid w:val="00FD1403"/>
    <w:rsid w:val="00FD3D80"/>
    <w:rsid w:val="00FE2D6D"/>
    <w:rsid w:val="00FF0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F7796-CBD2-487A-880E-F43E80E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0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08F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08F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08F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A08F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A08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A08F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A08F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A08FC"/>
    <w:rPr>
      <w:color w:val="0563C1" w:themeColor="hyperlink"/>
      <w:u w:val="single"/>
    </w:rPr>
  </w:style>
  <w:style w:type="character" w:styleId="Refdecomentario">
    <w:name w:val="annotation reference"/>
    <w:basedOn w:val="Fuentedeprrafopredeter"/>
    <w:uiPriority w:val="99"/>
    <w:semiHidden/>
    <w:unhideWhenUsed/>
    <w:rsid w:val="00FA08FC"/>
    <w:rPr>
      <w:sz w:val="16"/>
      <w:szCs w:val="16"/>
    </w:rPr>
  </w:style>
  <w:style w:type="paragraph" w:styleId="Textocomentario">
    <w:name w:val="annotation text"/>
    <w:basedOn w:val="Normal"/>
    <w:link w:val="TextocomentarioCar"/>
    <w:uiPriority w:val="99"/>
    <w:semiHidden/>
    <w:unhideWhenUsed/>
    <w:rsid w:val="00FA08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08FC"/>
    <w:rPr>
      <w:sz w:val="20"/>
      <w:szCs w:val="20"/>
    </w:rPr>
  </w:style>
  <w:style w:type="paragraph" w:styleId="Textodeglobo">
    <w:name w:val="Balloon Text"/>
    <w:basedOn w:val="Normal"/>
    <w:link w:val="TextodegloboCar"/>
    <w:uiPriority w:val="99"/>
    <w:semiHidden/>
    <w:unhideWhenUsed/>
    <w:rsid w:val="00FA08F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A08F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2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5A90-CEAC-440B-BFF0-43AC9FE2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4988</Words>
  <Characters>27436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2019-09-23T19:17:00Z</cp:lastPrinted>
  <dcterms:created xsi:type="dcterms:W3CDTF">2019-09-27T18:50:00Z</dcterms:created>
  <dcterms:modified xsi:type="dcterms:W3CDTF">2019-09-27T18:50:00Z</dcterms:modified>
</cp:coreProperties>
</file>