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F1" w:rsidRDefault="00946DF1"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D544D0">
        <w:rPr>
          <w:rFonts w:ascii="Palatino Linotype" w:hAnsi="Palatino Linotype"/>
          <w:b/>
          <w:bCs/>
          <w:sz w:val="24"/>
          <w:szCs w:val="24"/>
          <w:lang w:eastAsia="es-MX"/>
        </w:rPr>
        <w:t>11</w:t>
      </w:r>
      <w:r w:rsidR="009649F9">
        <w:rPr>
          <w:rFonts w:ascii="Palatino Linotype" w:hAnsi="Palatino Linotype"/>
          <w:b/>
          <w:bCs/>
          <w:sz w:val="24"/>
          <w:szCs w:val="24"/>
          <w:lang w:eastAsia="es-MX"/>
        </w:rPr>
        <w:t>9</w:t>
      </w:r>
      <w:r w:rsidR="00B76728">
        <w:rPr>
          <w:rFonts w:ascii="Palatino Linotype" w:hAnsi="Palatino Linotype"/>
          <w:b/>
          <w:bCs/>
          <w:sz w:val="24"/>
          <w:szCs w:val="24"/>
          <w:lang w:eastAsia="es-MX"/>
        </w:rPr>
        <w:t>45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13133D">
        <w:rPr>
          <w:rFonts w:ascii="Palatino Linotype" w:hAnsi="Palatino Linotype" w:cs="Arial"/>
          <w:b/>
          <w:sz w:val="24"/>
          <w:szCs w:val="24"/>
        </w:rPr>
        <w:t>xxxxx</w:t>
      </w:r>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B76728">
        <w:rPr>
          <w:rFonts w:ascii="Palatino Linotype" w:hAnsi="Palatino Linotype"/>
          <w:b/>
          <w:sz w:val="24"/>
          <w:szCs w:val="24"/>
        </w:rPr>
        <w:t>Zumpahuacán</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06C23">
        <w:rPr>
          <w:rFonts w:ascii="Palatino Linotype" w:hAnsi="Palatino Linotype"/>
          <w:sz w:val="24"/>
          <w:szCs w:val="24"/>
        </w:rPr>
        <w:t>veinte</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D544D0">
        <w:rPr>
          <w:rFonts w:ascii="Palatino Linotype" w:hAnsi="Palatino Linotype"/>
          <w:sz w:val="24"/>
          <w:szCs w:val="24"/>
        </w:rPr>
        <w:t>e</w:t>
      </w:r>
      <w:r w:rsidR="00BD7B15">
        <w:rPr>
          <w:rFonts w:ascii="Palatino Linotype" w:hAnsi="Palatino Linotype"/>
          <w:sz w:val="24"/>
          <w:szCs w:val="24"/>
        </w:rPr>
        <w:t>l</w:t>
      </w:r>
      <w:r w:rsidRPr="00C35F18">
        <w:rPr>
          <w:rFonts w:ascii="Palatino Linotype" w:hAnsi="Palatino Linotype"/>
          <w:sz w:val="24"/>
          <w:szCs w:val="24"/>
        </w:rPr>
        <w:t xml:space="preserve"> número de </w:t>
      </w:r>
      <w:r w:rsidRPr="007D3CC1">
        <w:rPr>
          <w:rFonts w:ascii="Palatino Linotype" w:hAnsi="Palatino Linotype"/>
          <w:sz w:val="24"/>
          <w:szCs w:val="24"/>
        </w:rPr>
        <w:t>expediente</w:t>
      </w:r>
      <w:r w:rsidR="007D3CC1" w:rsidRPr="00B76728">
        <w:rPr>
          <w:rFonts w:ascii="Palatino Linotype" w:hAnsi="Palatino Linotype"/>
          <w:sz w:val="24"/>
          <w:szCs w:val="24"/>
        </w:rPr>
        <w:t xml:space="preserve"> </w:t>
      </w:r>
      <w:r w:rsidR="00B76728" w:rsidRPr="00B76728">
        <w:rPr>
          <w:rFonts w:ascii="Palatino Linotype" w:hAnsi="Palatino Linotype"/>
          <w:b/>
          <w:sz w:val="24"/>
          <w:szCs w:val="24"/>
        </w:rPr>
        <w:t>00</w:t>
      </w:r>
      <w:r w:rsidR="00206C23">
        <w:rPr>
          <w:rFonts w:ascii="Palatino Linotype" w:hAnsi="Palatino Linotype"/>
          <w:b/>
          <w:sz w:val="24"/>
          <w:szCs w:val="24"/>
        </w:rPr>
        <w:t>28</w:t>
      </w:r>
      <w:r w:rsidR="00B76728" w:rsidRPr="00B76728">
        <w:rPr>
          <w:rFonts w:ascii="Palatino Linotype" w:hAnsi="Palatino Linotype"/>
          <w:b/>
          <w:sz w:val="24"/>
          <w:szCs w:val="24"/>
        </w:rPr>
        <w:t>6/ZUMPAHUA/IP/2019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206C23" w:rsidRPr="00206C23">
        <w:rPr>
          <w:rFonts w:ascii="Palatino Linotype" w:hAnsi="Palatino Linotype"/>
          <w:i/>
          <w:sz w:val="24"/>
          <w:szCs w:val="24"/>
        </w:rPr>
        <w:t>Quiero saber los cuadrantes establecidos para el ejercicio de funciones</w:t>
      </w:r>
      <w:r w:rsidR="00D544D0" w:rsidRPr="00D544D0">
        <w:rPr>
          <w:rFonts w:ascii="Palatino Linotype" w:hAnsi="Palatino Linotype"/>
          <w:i/>
          <w:sz w:val="24"/>
          <w:szCs w:val="24"/>
        </w:rPr>
        <w:t>.</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 xml:space="preserve">Modalidad de entrega: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946DF1" w:rsidRDefault="00946DF1" w:rsidP="004737E6">
      <w:pPr>
        <w:pStyle w:val="Sinespaciado"/>
        <w:spacing w:line="360" w:lineRule="auto"/>
        <w:jc w:val="both"/>
        <w:rPr>
          <w:rFonts w:ascii="Palatino Linotype" w:hAnsi="Palatino Linotype"/>
          <w:b/>
          <w:sz w:val="26"/>
          <w:szCs w:val="26"/>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946DF1">
        <w:rPr>
          <w:rFonts w:ascii="Palatino Linotype" w:hAnsi="Palatino Linotype"/>
          <w:b/>
          <w:sz w:val="24"/>
        </w:rPr>
        <w:t>once</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946DF1" w:rsidRPr="00946DF1">
        <w:rPr>
          <w:rFonts w:ascii="Palatino Linotype" w:hAnsi="Palatino Linotype"/>
          <w:i/>
          <w:sz w:val="24"/>
          <w:szCs w:val="24"/>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946DF1" w:rsidRDefault="00946DF1" w:rsidP="00A16988">
      <w:pPr>
        <w:pStyle w:val="Sinespaciado"/>
        <w:spacing w:line="360" w:lineRule="auto"/>
        <w:ind w:left="567" w:right="567"/>
        <w:jc w:val="both"/>
        <w:rPr>
          <w:rFonts w:ascii="Palatino Linotype" w:hAnsi="Palatino Linotype"/>
          <w:i/>
          <w:sz w:val="24"/>
          <w:szCs w:val="24"/>
        </w:rPr>
      </w:pPr>
    </w:p>
    <w:p w:rsidR="00946DF1" w:rsidRPr="00F72A70" w:rsidRDefault="00946DF1" w:rsidP="00A16988">
      <w:pPr>
        <w:pStyle w:val="Sinespaciado"/>
        <w:spacing w:line="360" w:lineRule="auto"/>
        <w:ind w:left="567" w:right="567"/>
        <w:jc w:val="both"/>
        <w:rPr>
          <w:rFonts w:ascii="Palatino Linotype" w:hAnsi="Palatino Linotype"/>
          <w:i/>
          <w:sz w:val="24"/>
          <w:szCs w:val="24"/>
        </w:rPr>
      </w:pPr>
      <w:r w:rsidRPr="00946DF1">
        <w:rPr>
          <w:rFonts w:ascii="Palatino Linotype" w:hAnsi="Palatino Linotype"/>
          <w:i/>
          <w:sz w:val="24"/>
          <w:szCs w:val="24"/>
        </w:rPr>
        <w:t>NO SE ESPECIFICA EL AÑO FISCAL DE LO SOLICITADO</w:t>
      </w:r>
      <w:r>
        <w:rPr>
          <w:rFonts w:ascii="Verdana" w:hAnsi="Verdana"/>
          <w:color w:val="000000"/>
          <w:sz w:val="18"/>
          <w:szCs w:val="18"/>
        </w:rPr>
        <w:t>.”</w:t>
      </w:r>
    </w:p>
    <w:p w:rsidR="00D544D0" w:rsidRDefault="00D544D0" w:rsidP="00D017F5">
      <w:pPr>
        <w:pStyle w:val="Sinespaciado"/>
        <w:spacing w:line="360" w:lineRule="auto"/>
        <w:jc w:val="both"/>
        <w:rPr>
          <w:rFonts w:ascii="Palatino Linotype" w:hAnsi="Palatino Linotype"/>
          <w:sz w:val="24"/>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F72A70">
        <w:rPr>
          <w:rFonts w:ascii="Palatino Linotype" w:hAnsi="Palatino Linotype"/>
          <w:b/>
          <w:sz w:val="24"/>
          <w:szCs w:val="24"/>
        </w:rPr>
        <w:t>die</w:t>
      </w:r>
      <w:r w:rsidR="001D1285">
        <w:rPr>
          <w:rFonts w:ascii="Palatino Linotype" w:hAnsi="Palatino Linotype"/>
          <w:b/>
          <w:sz w:val="24"/>
          <w:szCs w:val="24"/>
        </w:rPr>
        <w:t>ci</w:t>
      </w:r>
      <w:r w:rsidR="00946DF1">
        <w:rPr>
          <w:rFonts w:ascii="Palatino Linotype" w:hAnsi="Palatino Linotype"/>
          <w:b/>
          <w:sz w:val="24"/>
          <w:szCs w:val="24"/>
        </w:rPr>
        <w:t>nueve</w:t>
      </w:r>
      <w:r w:rsidR="00F72A70">
        <w:rPr>
          <w:rFonts w:ascii="Palatino Linotype" w:hAnsi="Palatino Linotype"/>
          <w:b/>
          <w:sz w:val="24"/>
          <w:szCs w:val="24"/>
        </w:rPr>
        <w:t xml:space="preserve"> </w:t>
      </w:r>
      <w:r w:rsidR="00BA6922" w:rsidRPr="00CC2A3A">
        <w:rPr>
          <w:rFonts w:ascii="Palatino Linotype" w:hAnsi="Palatino Linotype"/>
          <w:b/>
          <w:sz w:val="24"/>
          <w:szCs w:val="24"/>
        </w:rPr>
        <w:t xml:space="preserve">de </w:t>
      </w:r>
      <w:r w:rsidR="00F72A70">
        <w:rPr>
          <w:rFonts w:ascii="Palatino Linotype" w:hAnsi="Palatino Linotype"/>
          <w:b/>
          <w:sz w:val="24"/>
          <w:szCs w:val="24"/>
        </w:rPr>
        <w:t>diciembre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 </w:t>
      </w:r>
      <w:r w:rsidR="00122DC2">
        <w:rPr>
          <w:rFonts w:ascii="Palatino Linotype" w:hAnsi="Palatino Linotype"/>
          <w:b/>
          <w:bCs/>
          <w:sz w:val="24"/>
          <w:szCs w:val="24"/>
          <w:lang w:eastAsia="es-MX"/>
        </w:rPr>
        <w:t>11</w:t>
      </w:r>
      <w:r w:rsidR="00946DF1">
        <w:rPr>
          <w:rFonts w:ascii="Palatino Linotype" w:hAnsi="Palatino Linotype"/>
          <w:b/>
          <w:bCs/>
          <w:sz w:val="24"/>
          <w:szCs w:val="24"/>
          <w:lang w:eastAsia="es-MX"/>
        </w:rPr>
        <w:t>9</w:t>
      </w:r>
      <w:r w:rsidR="00122DC2">
        <w:rPr>
          <w:rFonts w:ascii="Palatino Linotype" w:hAnsi="Palatino Linotype"/>
          <w:b/>
          <w:bCs/>
          <w:sz w:val="24"/>
          <w:szCs w:val="24"/>
          <w:lang w:eastAsia="es-MX"/>
        </w:rPr>
        <w:t>45</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946DF1"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p>
    <w:p w:rsidR="00946DF1" w:rsidRPr="002E697B" w:rsidRDefault="00946DF1" w:rsidP="00946DF1">
      <w:pPr>
        <w:pStyle w:val="Sinespaciado"/>
        <w:spacing w:line="360" w:lineRule="auto"/>
        <w:ind w:left="284"/>
        <w:jc w:val="both"/>
        <w:rPr>
          <w:rFonts w:ascii="Palatino Linotype" w:hAnsi="Palatino Linotype"/>
          <w:i/>
          <w:sz w:val="24"/>
          <w:szCs w:val="24"/>
        </w:rPr>
      </w:pPr>
    </w:p>
    <w:p w:rsidR="00065879"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946DF1" w:rsidRPr="00946DF1">
        <w:rPr>
          <w:rFonts w:ascii="Palatino Linotype" w:hAnsi="Palatino Linotype"/>
          <w:i/>
          <w:sz w:val="24"/>
          <w:szCs w:val="24"/>
        </w:rPr>
        <w:t>La solicitud que ingrese no fue contestada con los principios y apegados a la Ley de Transparencia</w:t>
      </w:r>
      <w:r w:rsidRPr="00065879">
        <w:rPr>
          <w:rFonts w:ascii="Palatino Linotype" w:hAnsi="Palatino Linotype"/>
          <w:i/>
          <w:sz w:val="24"/>
          <w:szCs w:val="24"/>
        </w:rPr>
        <w:t>”</w:t>
      </w:r>
      <w:r w:rsidR="00065879" w:rsidRPr="005E6B88">
        <w:rPr>
          <w:rFonts w:ascii="Palatino Linotype" w:hAnsi="Palatino Linotype"/>
          <w:i/>
          <w:sz w:val="24"/>
          <w:szCs w:val="24"/>
        </w:rPr>
        <w:t>.</w:t>
      </w:r>
    </w:p>
    <w:p w:rsidR="001D1285" w:rsidRDefault="001D1285" w:rsidP="002E697B">
      <w:pPr>
        <w:pStyle w:val="Sinespaciado"/>
        <w:spacing w:line="360" w:lineRule="auto"/>
        <w:ind w:left="567" w:right="567"/>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946DF1" w:rsidRPr="00946DF1">
        <w:rPr>
          <w:rFonts w:ascii="Palatino Linotype" w:hAnsi="Palatino Linotype"/>
          <w:i/>
          <w:sz w:val="24"/>
          <w:szCs w:val="24"/>
        </w:rPr>
        <w:t>Los archivos adjuntados por el SO no contienen la información que he solicitado, hay archivos que no sean requeridos.</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FA4B12">
        <w:rPr>
          <w:rFonts w:ascii="Palatino Linotype" w:hAnsi="Palatino Linotype"/>
          <w:b/>
          <w:sz w:val="24"/>
          <w:szCs w:val="24"/>
        </w:rPr>
        <w:t>diez</w:t>
      </w:r>
      <w:r w:rsidR="00CF505E" w:rsidRPr="006A729B">
        <w:rPr>
          <w:rFonts w:ascii="Palatino Linotype" w:hAnsi="Palatino Linotype"/>
          <w:b/>
          <w:sz w:val="24"/>
          <w:szCs w:val="24"/>
        </w:rPr>
        <w:t xml:space="preserve"> de </w:t>
      </w:r>
      <w:r w:rsidR="001D1285">
        <w:rPr>
          <w:rFonts w:ascii="Palatino Linotype" w:hAnsi="Palatino Linotype"/>
          <w:b/>
          <w:sz w:val="24"/>
          <w:szCs w:val="24"/>
        </w:rPr>
        <w:t>enero</w:t>
      </w:r>
      <w:r w:rsidR="00F72A70">
        <w:rPr>
          <w:rFonts w:ascii="Palatino Linotype" w:hAnsi="Palatino Linotype"/>
          <w:b/>
          <w:sz w:val="24"/>
          <w:szCs w:val="24"/>
        </w:rPr>
        <w:t xml:space="preserv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FA4B12">
        <w:rPr>
          <w:rFonts w:ascii="Palatino Linotype" w:hAnsi="Palatino Linotype"/>
          <w:b/>
          <w:sz w:val="24"/>
          <w:szCs w:val="24"/>
        </w:rPr>
        <w:t>treinta y uno</w:t>
      </w:r>
      <w:r w:rsidR="004D4AEE">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F72A70">
        <w:rPr>
          <w:rFonts w:ascii="Palatino Linotype" w:hAnsi="Palatino Linotype"/>
          <w:b/>
          <w:sz w:val="24"/>
          <w:szCs w:val="24"/>
        </w:rPr>
        <w:t>enero</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xml:space="preserve">, en términos del artículo 185 Fracción </w:t>
      </w:r>
      <w:r w:rsidRPr="00136A4D">
        <w:rPr>
          <w:rFonts w:ascii="Palatino Linotype" w:hAnsi="Palatino Linotype"/>
          <w:sz w:val="24"/>
          <w:szCs w:val="24"/>
        </w:rPr>
        <w:lastRenderedPageBreak/>
        <w:t>VI de la Ley de Transparencia y Acceso a la Información Pública del Estado de México y Municipios, iniciando el término legal para dictar resolución definitiva del asunto.</w:t>
      </w:r>
    </w:p>
    <w:p w:rsidR="00122DC2" w:rsidRDefault="00122DC2" w:rsidP="00541B17">
      <w:pPr>
        <w:pStyle w:val="Sinespaciado"/>
        <w:spacing w:line="360" w:lineRule="auto"/>
        <w:rPr>
          <w:rFonts w:ascii="Palatino Linotype" w:hAnsi="Palatino Linotype"/>
          <w:b/>
          <w:sz w:val="24"/>
          <w:szCs w:val="24"/>
        </w:rPr>
      </w:pPr>
    </w:p>
    <w:p w:rsidR="0065519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sidR="00FA4B12">
        <w:rPr>
          <w:rFonts w:ascii="Palatino Linotype" w:hAnsi="Palatino Linotype"/>
          <w:b/>
          <w:sz w:val="24"/>
          <w:szCs w:val="24"/>
        </w:rPr>
        <w:t>veinticuatro</w:t>
      </w:r>
      <w:r>
        <w:rPr>
          <w:rFonts w:ascii="Palatino Linotype" w:hAnsi="Palatino Linotype"/>
          <w:b/>
          <w:sz w:val="24"/>
          <w:szCs w:val="24"/>
        </w:rPr>
        <w:t xml:space="preserve"> </w:t>
      </w:r>
      <w:r w:rsidR="005D6173" w:rsidRPr="000D26E6">
        <w:rPr>
          <w:rFonts w:ascii="Palatino Linotype" w:hAnsi="Palatino Linotype"/>
          <w:b/>
          <w:sz w:val="24"/>
          <w:szCs w:val="24"/>
        </w:rPr>
        <w:t>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D1285" w:rsidRDefault="001D1285" w:rsidP="0014447C">
      <w:pPr>
        <w:pStyle w:val="Sinespaciado"/>
        <w:spacing w:line="360" w:lineRule="auto"/>
        <w:jc w:val="both"/>
        <w:rPr>
          <w:rFonts w:ascii="Palatino Linotype" w:hAnsi="Palatino Linotype"/>
          <w:sz w:val="24"/>
          <w:szCs w:val="24"/>
        </w:rPr>
      </w:pPr>
    </w:p>
    <w:p w:rsidR="00122DC2" w:rsidRPr="00344583" w:rsidRDefault="00122DC2"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344583">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w:t>
      </w:r>
      <w:r w:rsidRPr="00344583">
        <w:rPr>
          <w:rFonts w:ascii="Palatino Linotype" w:hAnsi="Palatino Linotype" w:cs="Arial"/>
          <w:sz w:val="24"/>
          <w:szCs w:val="24"/>
        </w:rPr>
        <w:lastRenderedPageBreak/>
        <w:t>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lastRenderedPageBreak/>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 xml:space="preserve">“Artículo 5.  … </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 .</w:t>
      </w: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El derecho a la información será garantizado por el Estado.</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La ley establecerá las previsiones que permitan asegurar la protección, el respeto y la difusión de este derecho.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Este derecho se regirá por los principios y bases siguientes: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w:t>
      </w:r>
      <w:r w:rsidRPr="00EE4963">
        <w:rPr>
          <w:rFonts w:ascii="Palatino Linotype" w:hAnsi="Palatino Linotype" w:cs="Arial"/>
          <w:i/>
          <w:iCs/>
          <w:color w:val="222222"/>
          <w:sz w:val="24"/>
          <w:szCs w:val="24"/>
        </w:rPr>
        <w:t xml:space="preserve"> </w:t>
      </w:r>
      <w:r w:rsidRPr="00EE4963">
        <w:rPr>
          <w:rFonts w:ascii="Palatino Linotype" w:hAnsi="Palatino Linotype" w:cs="Arial"/>
          <w:b/>
          <w:bCs/>
          <w:i/>
          <w:iCs/>
          <w:color w:val="222222"/>
          <w:sz w:val="24"/>
          <w:szCs w:val="24"/>
        </w:rPr>
        <w:t xml:space="preserve">Toda la información en posesión de </w:t>
      </w:r>
      <w:r w:rsidRPr="00EE4963">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EE4963">
        <w:rPr>
          <w:rFonts w:ascii="Palatino Linotype" w:hAnsi="Palatino Linotype" w:cs="Arial"/>
          <w:i/>
          <w:iCs/>
          <w:color w:val="222222"/>
          <w:sz w:val="24"/>
          <w:szCs w:val="24"/>
        </w:rPr>
        <w:t xml:space="preserve">, así como del gobierno y de la administración pública municipal y sus organismos descentralizados, asimismo de </w:t>
      </w:r>
      <w:r w:rsidRPr="00EE4963">
        <w:rPr>
          <w:rFonts w:ascii="Palatino Linotype" w:hAnsi="Palatino Linotype" w:cs="Arial"/>
          <w:b/>
          <w:i/>
          <w:iCs/>
          <w:color w:val="222222"/>
          <w:sz w:val="24"/>
          <w:szCs w:val="24"/>
        </w:rPr>
        <w:t>cualquier</w:t>
      </w:r>
      <w:r w:rsidRPr="00EE4963">
        <w:rPr>
          <w:rFonts w:ascii="Palatino Linotype" w:hAnsi="Palatino Linotype" w:cs="Arial"/>
          <w:i/>
          <w:iCs/>
          <w:color w:val="222222"/>
          <w:sz w:val="24"/>
          <w:szCs w:val="24"/>
        </w:rPr>
        <w:t xml:space="preserve"> persona física, jurídica colectiva o </w:t>
      </w:r>
      <w:r w:rsidRPr="00EE4963">
        <w:rPr>
          <w:rFonts w:ascii="Palatino Linotype" w:hAnsi="Palatino Linotype" w:cs="Arial"/>
          <w:b/>
          <w:i/>
          <w:iCs/>
          <w:color w:val="222222"/>
          <w:sz w:val="24"/>
          <w:szCs w:val="24"/>
        </w:rPr>
        <w:t xml:space="preserve">sindicato que reciba y ejerza recursos </w:t>
      </w:r>
      <w:r w:rsidRPr="00EE4963">
        <w:rPr>
          <w:rFonts w:ascii="Palatino Linotype" w:hAnsi="Palatino Linotype" w:cs="Arial"/>
          <w:b/>
          <w:i/>
          <w:sz w:val="24"/>
          <w:szCs w:val="24"/>
        </w:rPr>
        <w:t>públicos</w:t>
      </w:r>
      <w:r w:rsidRPr="00EE4963">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w:t>
      </w:r>
      <w:r w:rsidRPr="00EE4963">
        <w:rPr>
          <w:rFonts w:ascii="Palatino Linotype" w:hAnsi="Palatino Linotype" w:cs="Arial"/>
          <w:i/>
          <w:iCs/>
          <w:color w:val="222222"/>
          <w:sz w:val="24"/>
          <w:szCs w:val="24"/>
        </w:rPr>
        <w:lastRenderedPageBreak/>
        <w:t>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E4963" w:rsidRPr="00EE4963" w:rsidRDefault="00EE4963" w:rsidP="00344583">
      <w:pPr>
        <w:spacing w:after="0" w:line="240" w:lineRule="auto"/>
        <w:ind w:left="851" w:right="851"/>
        <w:jc w:val="both"/>
        <w:rPr>
          <w:rFonts w:ascii="Palatino Linotype" w:hAnsi="Palatino Linotype" w:cs="Arial"/>
          <w:b/>
          <w:i/>
          <w:iCs/>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III.</w:t>
      </w:r>
      <w:r w:rsidRPr="00EE4963">
        <w:rPr>
          <w:rFonts w:ascii="Palatino Linotype" w:hAnsi="Palatino Linotype"/>
          <w:i/>
          <w:color w:val="222222"/>
          <w:sz w:val="24"/>
          <w:szCs w:val="24"/>
        </w:rPr>
        <w:t xml:space="preserve"> </w:t>
      </w:r>
      <w:r w:rsidRPr="00EE4963">
        <w:rPr>
          <w:rFonts w:ascii="Palatino Linotype" w:hAnsi="Palatino Linotype" w:cs="Arial"/>
          <w:i/>
          <w:iCs/>
          <w:color w:val="222222"/>
          <w:sz w:val="24"/>
          <w:szCs w:val="24"/>
        </w:rPr>
        <w:t xml:space="preserve">Toda </w:t>
      </w:r>
      <w:r w:rsidRPr="00EE4963">
        <w:rPr>
          <w:rFonts w:ascii="Palatino Linotype" w:hAnsi="Palatino Linotype" w:cs="Arial"/>
          <w:i/>
          <w:sz w:val="24"/>
          <w:szCs w:val="24"/>
        </w:rPr>
        <w:t>persona</w:t>
      </w:r>
      <w:r w:rsidRPr="00EE4963">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rsidR="00EE4963" w:rsidRPr="00EE4963" w:rsidRDefault="00EE4963" w:rsidP="00344583">
      <w:pPr>
        <w:spacing w:after="0" w:line="240" w:lineRule="auto"/>
        <w:ind w:left="851" w:right="851"/>
        <w:jc w:val="both"/>
        <w:rPr>
          <w:rFonts w:ascii="Palatino Linotype" w:hAnsi="Palatino Linotype" w:cs="Arial"/>
          <w:i/>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color w:val="222222"/>
          <w:sz w:val="24"/>
          <w:szCs w:val="24"/>
        </w:rPr>
      </w:pPr>
      <w:r w:rsidRPr="00EE4963">
        <w:rPr>
          <w:rFonts w:ascii="Palatino Linotype" w:hAnsi="Palatino Linotype" w:cs="Arial"/>
          <w:b/>
          <w:i/>
          <w:iCs/>
          <w:color w:val="222222"/>
          <w:sz w:val="24"/>
          <w:szCs w:val="24"/>
        </w:rPr>
        <w:t xml:space="preserve">IV. </w:t>
      </w:r>
      <w:r w:rsidRPr="00EE4963">
        <w:rPr>
          <w:rFonts w:ascii="Palatino Linotype" w:hAnsi="Palatino Linotype" w:cs="Arial"/>
          <w:i/>
          <w:iCs/>
          <w:color w:val="222222"/>
          <w:sz w:val="24"/>
          <w:szCs w:val="24"/>
        </w:rPr>
        <w:t xml:space="preserve">Se establecerán mecanismos de acceso a la información y procedimientos de revisión expeditos que se </w:t>
      </w:r>
      <w:r w:rsidRPr="00EE4963">
        <w:rPr>
          <w:rFonts w:ascii="Palatino Linotype" w:hAnsi="Palatino Linotype" w:cs="Arial"/>
          <w:i/>
          <w:sz w:val="24"/>
          <w:szCs w:val="24"/>
        </w:rPr>
        <w:t>sustanciarán</w:t>
      </w:r>
      <w:r w:rsidRPr="00EE4963">
        <w:rPr>
          <w:rFonts w:ascii="Palatino Linotype" w:hAnsi="Palatino Linotype" w:cs="Arial"/>
          <w:i/>
          <w:iCs/>
          <w:color w:val="222222"/>
          <w:sz w:val="24"/>
          <w:szCs w:val="24"/>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122DC2" w:rsidRDefault="00122DC2" w:rsidP="00122DC2">
      <w:pPr>
        <w:pStyle w:val="Sinespaciado"/>
        <w:spacing w:line="360" w:lineRule="auto"/>
        <w:ind w:left="567" w:right="567"/>
        <w:jc w:val="both"/>
        <w:rPr>
          <w:i/>
        </w:rPr>
      </w:pPr>
      <w:r>
        <w:rPr>
          <w:rFonts w:ascii="Palatino Linotype" w:hAnsi="Palatino Linotype"/>
          <w:i/>
          <w:sz w:val="24"/>
          <w:szCs w:val="24"/>
        </w:rPr>
        <w:t>“</w:t>
      </w:r>
      <w:r w:rsidR="004B5310">
        <w:rPr>
          <w:rFonts w:ascii="Palatino Linotype" w:hAnsi="Palatino Linotype"/>
          <w:i/>
          <w:sz w:val="24"/>
          <w:szCs w:val="24"/>
        </w:rPr>
        <w:t>Quiero saber los cuadrantes establecidos para el ejercicio de funciones</w:t>
      </w:r>
      <w:r>
        <w:rPr>
          <w:i/>
        </w:rPr>
        <w:t>.” (sic)</w:t>
      </w:r>
    </w:p>
    <w:p w:rsidR="0094180B" w:rsidRPr="00176A49" w:rsidRDefault="0094180B" w:rsidP="0094180B">
      <w:pPr>
        <w:spacing w:line="360" w:lineRule="auto"/>
        <w:jc w:val="both"/>
        <w:rPr>
          <w:rFonts w:ascii="Palatino Linotype" w:hAnsi="Palatino Linotype"/>
        </w:rPr>
      </w:pPr>
    </w:p>
    <w:p w:rsidR="0094180B" w:rsidRPr="00176A49" w:rsidRDefault="0094180B" w:rsidP="0094180B">
      <w:pPr>
        <w:spacing w:line="360" w:lineRule="auto"/>
        <w:jc w:val="both"/>
        <w:rPr>
          <w:rFonts w:ascii="Palatino Linotype" w:hAnsi="Palatino Linotype"/>
        </w:rPr>
      </w:pPr>
      <w:r w:rsidRPr="00176A49">
        <w:rPr>
          <w:rFonts w:ascii="Palatino Linotype" w:hAnsi="Palatino Linotype"/>
        </w:rPr>
        <w:t>Para lo cual el sujeto obligado a manifestó de forma económica a través del SAIMEX, lo siguiente: “…</w:t>
      </w:r>
      <w:r>
        <w:rPr>
          <w:rFonts w:ascii="Palatino Linotype" w:hAnsi="Palatino Linotype"/>
          <w:i/>
          <w:color w:val="000000"/>
        </w:rPr>
        <w:t xml:space="preserve">“NO SE ESPECIFICA EL AÑO FISCAL DE LO SOLICITADO… En virtud de lo </w:t>
      </w:r>
      <w:r>
        <w:rPr>
          <w:rFonts w:ascii="Palatino Linotype" w:hAnsi="Palatino Linotype"/>
          <w:i/>
          <w:color w:val="000000"/>
        </w:rPr>
        <w:lastRenderedPageBreak/>
        <w:t>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Pr>
          <w:i/>
          <w:lang w:eastAsia="es-MX"/>
        </w:rPr>
        <w:t>”</w:t>
      </w:r>
      <w:r w:rsidRPr="00176A49">
        <w:rPr>
          <w:rFonts w:ascii="Palatino Linotype" w:hAnsi="Palatino Linotype"/>
        </w:rPr>
        <w:t xml:space="preserve"> (sic).</w:t>
      </w:r>
    </w:p>
    <w:p w:rsidR="0094180B" w:rsidRDefault="0094180B" w:rsidP="0094180B">
      <w:pPr>
        <w:tabs>
          <w:tab w:val="left" w:pos="7938"/>
        </w:tabs>
        <w:spacing w:line="360" w:lineRule="auto"/>
        <w:jc w:val="both"/>
        <w:rPr>
          <w:rFonts w:ascii="Palatino Linotype" w:hAnsi="Palatino Linotype" w:cs="Arial"/>
        </w:rPr>
      </w:pPr>
    </w:p>
    <w:p w:rsidR="0094180B" w:rsidRDefault="0094180B" w:rsidP="0094180B">
      <w:pPr>
        <w:tabs>
          <w:tab w:val="left" w:pos="7938"/>
        </w:tabs>
        <w:spacing w:line="360" w:lineRule="auto"/>
        <w:jc w:val="both"/>
        <w:rPr>
          <w:rFonts w:ascii="Palatino Linotype" w:hAnsi="Palatino Linotype" w:cs="Arial"/>
        </w:rPr>
      </w:pPr>
      <w:r>
        <w:rPr>
          <w:rFonts w:ascii="Palatino Linotype" w:hAnsi="Palatino Linotype" w:cs="Arial"/>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0D3560" w:rsidRDefault="0094180B" w:rsidP="0094180B">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94180B" w:rsidRPr="00430FD2" w:rsidRDefault="0094180B" w:rsidP="0094180B">
      <w:pPr>
        <w:tabs>
          <w:tab w:val="left" w:pos="709"/>
        </w:tabs>
        <w:ind w:left="851" w:right="760"/>
        <w:jc w:val="both"/>
        <w:rPr>
          <w:rFonts w:ascii="Palatino Linotype" w:hAnsi="Palatino Linotype" w:cs="Arial"/>
          <w:i/>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430FD2">
        <w:rPr>
          <w:rFonts w:ascii="Palatino Linotype" w:hAnsi="Palatino Linotype" w:cs="Arial"/>
          <w:b/>
          <w:i/>
          <w:u w:val="single"/>
          <w:lang w:eastAsia="es-MX"/>
        </w:rPr>
        <w:t>Dicha Unidad será la encargada de tramitar internamente la solicitud de información</w:t>
      </w:r>
      <w:r w:rsidRPr="00430FD2">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lastRenderedPageBreak/>
        <w:t>Artículo 53. Las Unidades de Transparencia tendrán las siguientes funciones:</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II. Recibir, tramitar y dar respuesta a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b/>
          <w:i/>
          <w:u w:val="single"/>
          <w:lang w:eastAsia="es-MX"/>
        </w:rPr>
      </w:pPr>
      <w:r w:rsidRPr="00430FD2">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V. Entregar, en su caso, a los particulares la información solicitada;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VI. Efectuar las notificaciones a los solicitantes;”</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Lo anterior es así ya que derivado de la solicitud número </w:t>
      </w:r>
      <w:r w:rsidRPr="00381B46">
        <w:rPr>
          <w:rFonts w:ascii="Palatino Linotype" w:hAnsi="Palatino Linotype"/>
          <w:b/>
          <w:sz w:val="24"/>
          <w:szCs w:val="24"/>
        </w:rPr>
        <w:t>00286/ZUMPAHUA/IP/2019</w:t>
      </w:r>
      <w:r w:rsidRPr="00381B46">
        <w:rPr>
          <w:rFonts w:ascii="Palatino Linotype" w:hAnsi="Palatino Linotype" w:cs="Arial"/>
          <w:sz w:val="24"/>
          <w:szCs w:val="24"/>
        </w:rPr>
        <w:t xml:space="preserve"> (en la que se resuelve), se aprecia en el sistema SAIMEX, que la servidora pública en comento, no tramitó ante las instancias del Ayuntamiento, que pudieran tener lo solicitado (derivado de sus funciones) lo requerido por el particular, sino que de </w:t>
      </w:r>
      <w:r w:rsidRPr="00381B46">
        <w:rPr>
          <w:rFonts w:ascii="Palatino Linotype" w:hAnsi="Palatino Linotype" w:cs="Arial"/>
          <w:i/>
          <w:sz w:val="24"/>
          <w:szCs w:val="24"/>
        </w:rPr>
        <w:t>motu proprio (por propia iniciativa)</w:t>
      </w:r>
      <w:r w:rsidRPr="00381B46">
        <w:rPr>
          <w:rFonts w:ascii="Palatino Linotype" w:hAnsi="Palatino Linotype" w:cs="Arial"/>
          <w:sz w:val="24"/>
          <w:szCs w:val="24"/>
        </w:rPr>
        <w:t xml:space="preserve"> respondió, sin que exista certeza de que las áreas que pudieran tener dicha información dieran cuenta de la atención a la solicitud antes citada.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De la anterior evidencia, se advierte el hecho de que 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lastRenderedPageBreak/>
        <w:t xml:space="preserve">En otro orden de ideas, para esta ponencia, no pasa desapercibido lo que refiere el sujeto obligado en su contestación, ya que no refiere no contar con las atribuciones para generar </w:t>
      </w:r>
      <w:r w:rsidR="00206DED">
        <w:rPr>
          <w:rFonts w:ascii="Palatino Linotype" w:hAnsi="Palatino Linotype" w:cs="Arial"/>
          <w:sz w:val="24"/>
          <w:szCs w:val="24"/>
        </w:rPr>
        <w:t>los cuadrantes de vigilancia</w:t>
      </w:r>
      <w:r w:rsidRPr="00381B46">
        <w:rPr>
          <w:rFonts w:ascii="Palatino Linotype" w:hAnsi="Palatino Linotype" w:cs="Arial"/>
          <w:sz w:val="24"/>
          <w:szCs w:val="24"/>
        </w:rPr>
        <w:t>, no refiere tampoco que sea incompetente o que no conoce del asunto, no, claro que no, lo que refiere es que: “</w:t>
      </w:r>
      <w:r w:rsidRPr="00381B46">
        <w:rPr>
          <w:rFonts w:ascii="Palatino Linotype" w:hAnsi="Palatino Linotype" w:cs="Arial"/>
          <w:i/>
          <w:sz w:val="24"/>
          <w:szCs w:val="24"/>
        </w:rPr>
        <w:t>NO SE ESPECIFICA EL AÑO FISCAL DE LO SOLICITADO</w:t>
      </w:r>
      <w:r w:rsidRPr="00381B46">
        <w:rPr>
          <w:rFonts w:ascii="Palatino Linotype" w:hAnsi="Palatino Linotype" w:cs="Arial"/>
          <w:sz w:val="24"/>
          <w:szCs w:val="24"/>
        </w:rPr>
        <w:t>”, es decir, de forma expresa admite tener la información solicitada, ya que si le hubiera especificado el año, el sujeto obligado en ese orden de ideas, hubiera entregado la información, ya que lo único que le impidió entregarla era que el particular le especificara el año del cual pedía información, es por ello que no se entra al estudio si el sujeto obligado cuenta o no con las funciones para generar, administrar o poseer la información solicitada, pues como ya se mencionó el sujeto obligado no refiere que no cuenta con las atribuciones para generarla.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Por lo que se considera que el sujeto obligado puede contar con la información solicitada, 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las funciones de la Dirección de Seguridad Pública de forma específica, (ya que es evidente que el recurrente se refiere a los cuadrantes de operación de los elementos de seguridad pública.) da cabida a que no se lleve a cabo el procedimiento de acceso a la información, ya que en todo caso la autoridad encargada o que de acuerdo a sus funciones le corresponde emitir dicho pronunciamiento es a la Dirección de Seguridad </w:t>
      </w:r>
      <w:r w:rsidRPr="00381B46">
        <w:rPr>
          <w:rFonts w:ascii="Palatino Linotype" w:hAnsi="Palatino Linotype" w:cs="Arial"/>
          <w:sz w:val="24"/>
          <w:szCs w:val="24"/>
        </w:rPr>
        <w:lastRenderedPageBreak/>
        <w:t>Pública, Bomberos, o cualquier otra dependencia que ejerza sus funciones en vía pública, de acuerdo a los artículos antes trascrito.</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pStyle w:val="Prrafodelista"/>
        <w:spacing w:line="360" w:lineRule="auto"/>
        <w:ind w:left="0"/>
        <w:jc w:val="both"/>
        <w:rPr>
          <w:rFonts w:ascii="Palatino Linotype" w:hAnsi="Palatino Linotype" w:cs="Arial"/>
        </w:rPr>
      </w:pPr>
      <w:r w:rsidRPr="00381B46">
        <w:rPr>
          <w:rFonts w:ascii="Palatino Linotype" w:hAnsi="Palatino Linotype" w:cs="Arial"/>
          <w:lang w:eastAsia="es-MX"/>
        </w:rPr>
        <w:t xml:space="preserve">Por todo lo anterior es que se considera revocar la respuestas del sujeto obligado a efecto que dé atención a la solitud de información número </w:t>
      </w:r>
      <w:r w:rsidRPr="00381B46">
        <w:rPr>
          <w:rFonts w:ascii="Palatino Linotype" w:hAnsi="Palatino Linotype"/>
          <w:b/>
        </w:rPr>
        <w:t>00286/ZUMPAHUA/IP/2019</w:t>
      </w:r>
      <w:r w:rsidRPr="00381B46">
        <w:rPr>
          <w:rFonts w:ascii="Palatino Linotype" w:hAnsi="Palatino Linotype" w:cs="Arial"/>
          <w:b/>
        </w:rPr>
        <w:t xml:space="preserve">, </w:t>
      </w:r>
      <w:r w:rsidRPr="00381B46">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94180B" w:rsidRPr="00381B46" w:rsidRDefault="0094180B" w:rsidP="00381B46">
      <w:pPr>
        <w:pStyle w:val="Prrafodelista"/>
        <w:spacing w:line="360" w:lineRule="auto"/>
        <w:ind w:left="0"/>
        <w:jc w:val="both"/>
        <w:rPr>
          <w:rFonts w:ascii="Palatino Linotype" w:hAnsi="Palatino Linotype" w:cs="Arial"/>
        </w:rPr>
      </w:pPr>
    </w:p>
    <w:p w:rsidR="0094180B" w:rsidRPr="00381B46" w:rsidRDefault="0094180B" w:rsidP="00381B46">
      <w:pPr>
        <w:tabs>
          <w:tab w:val="left" w:pos="7938"/>
        </w:tabs>
        <w:spacing w:after="0" w:line="360" w:lineRule="auto"/>
        <w:ind w:left="851" w:right="902"/>
        <w:jc w:val="both"/>
        <w:rPr>
          <w:rFonts w:ascii="Palatino Linotype" w:hAnsi="Palatino Linotype"/>
          <w:i/>
          <w:sz w:val="24"/>
          <w:szCs w:val="24"/>
        </w:rPr>
      </w:pPr>
      <w:r w:rsidRPr="00381B46">
        <w:rPr>
          <w:rFonts w:ascii="Palatino Linotype" w:hAnsi="Palatino Linotype"/>
          <w:i/>
          <w:sz w:val="24"/>
          <w:szCs w:val="24"/>
        </w:rPr>
        <w:t xml:space="preserve">“Artículo 162. Las unidades de transparencia deberán garantizar que las solicitudes </w:t>
      </w:r>
      <w:r w:rsidRPr="00381B46">
        <w:rPr>
          <w:rFonts w:ascii="Palatino Linotype" w:hAnsi="Palatino Linotype"/>
          <w:b/>
          <w:i/>
          <w:sz w:val="24"/>
          <w:szCs w:val="24"/>
          <w:u w:val="single"/>
        </w:rPr>
        <w:t>se turnen a todas las Áreas</w:t>
      </w:r>
      <w:r w:rsidRPr="00381B46">
        <w:rPr>
          <w:rFonts w:ascii="Palatino Linotype" w:hAnsi="Palatino Linotype"/>
          <w:i/>
          <w:sz w:val="24"/>
          <w:szCs w:val="24"/>
        </w:rPr>
        <w:t xml:space="preserve"> competentes que cuenten con la información o deban tenerla de acuerdo a sus facultades, competencias y funciones, </w:t>
      </w:r>
      <w:r w:rsidRPr="00381B46">
        <w:rPr>
          <w:rFonts w:ascii="Palatino Linotype" w:hAnsi="Palatino Linotype"/>
          <w:b/>
          <w:i/>
          <w:sz w:val="24"/>
          <w:szCs w:val="24"/>
          <w:u w:val="single"/>
        </w:rPr>
        <w:t>con el objeto de que realicen una búsqueda exhaustiva y razonable</w:t>
      </w:r>
      <w:r w:rsidRPr="00381B46">
        <w:rPr>
          <w:rFonts w:ascii="Palatino Linotype" w:hAnsi="Palatino Linotype"/>
          <w:i/>
          <w:sz w:val="24"/>
          <w:szCs w:val="24"/>
        </w:rPr>
        <w:t xml:space="preserve"> de la información solicitada.”(Énfasis añadido)</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Pr="00381B46" w:rsidRDefault="0094180B" w:rsidP="00381B46">
      <w:pPr>
        <w:pStyle w:val="Prrafodelista"/>
        <w:spacing w:line="360" w:lineRule="auto"/>
        <w:ind w:left="0"/>
        <w:jc w:val="both"/>
        <w:rPr>
          <w:rFonts w:ascii="Palatino Linotype" w:hAnsi="Palatino Linotype" w:cs="Arial"/>
          <w:lang w:eastAsia="es-MX"/>
        </w:rPr>
      </w:pPr>
      <w:r w:rsidRPr="00381B46">
        <w:rPr>
          <w:rFonts w:ascii="Palatino Linotype" w:hAnsi="Palatino Linotype" w:cs="Arial"/>
          <w:lang w:eastAsia="es-MX"/>
        </w:rPr>
        <w:t xml:space="preserve">Como se puede apreciar, la Titular de la Unidad de Transparencia deberá garantizar que la solicitud de información se turne a todas las Áreas del Ayuntamiento que cuenten con la información o deban tenerla de acuerdo a sus facultades, competencias </w:t>
      </w:r>
      <w:r w:rsidRPr="00381B46">
        <w:rPr>
          <w:rFonts w:ascii="Palatino Linotype" w:hAnsi="Palatino Linotype" w:cs="Arial"/>
          <w:lang w:eastAsia="es-MX"/>
        </w:rPr>
        <w:lastRenderedPageBreak/>
        <w:t>y funciones, quienes a su vez deberán realizar una búsqueda exhaustiva y razonable de la información solicitada en los archivos de las unidades administrativas de las que formen parte.</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En suma el sujeto obligado literalmente niega la información al hoy recurrente, ya que a su decir no se conoció en periodo en específico, sin embargo, en términos del artículo 159 de la </w:t>
      </w:r>
      <w:r w:rsidRPr="00381B46">
        <w:rPr>
          <w:rFonts w:ascii="Palatino Linotype" w:eastAsia="Arial Unicode MS" w:hAnsi="Palatino Linotype" w:cs="Arial"/>
          <w:sz w:val="24"/>
          <w:szCs w:val="24"/>
        </w:rPr>
        <w:t>Ley de Transparencia y Acceso a la Información Pública del Estado de México y Municipios, que establece:</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94180B" w:rsidRPr="00381B46" w:rsidRDefault="0094180B" w:rsidP="00381B46">
      <w:pPr>
        <w:autoSpaceDE w:val="0"/>
        <w:autoSpaceDN w:val="0"/>
        <w:adjustRightInd w:val="0"/>
        <w:spacing w:after="0" w:line="360" w:lineRule="auto"/>
        <w:ind w:left="851" w:right="850"/>
        <w:jc w:val="both"/>
        <w:rPr>
          <w:rFonts w:ascii="Palatino Linotype" w:hAnsi="Palatino Linotype"/>
          <w:i/>
          <w:sz w:val="24"/>
          <w:szCs w:val="24"/>
        </w:rPr>
      </w:pPr>
      <w:r w:rsidRPr="00381B46">
        <w:rPr>
          <w:rFonts w:ascii="Palatino Linotype" w:hAnsi="Palatino Linotype"/>
          <w:i/>
          <w:sz w:val="24"/>
          <w:szCs w:val="24"/>
        </w:rPr>
        <w:t>“</w:t>
      </w:r>
      <w:r w:rsidRPr="00381B46">
        <w:rPr>
          <w:rFonts w:ascii="Palatino Linotype" w:hAnsi="Palatino Linotype"/>
          <w:b/>
          <w:i/>
          <w:sz w:val="24"/>
          <w:szCs w:val="24"/>
        </w:rPr>
        <w:t>Artículo 159</w:t>
      </w:r>
      <w:r w:rsidRPr="00381B46">
        <w:rPr>
          <w:rFonts w:ascii="Palatino Linotype" w:hAnsi="Palatino Linotype"/>
          <w:i/>
          <w:sz w:val="24"/>
          <w:szCs w:val="24"/>
        </w:rPr>
        <w:t xml:space="preserve">. Cuando los detalles proporcionados para localizar los documentos resulten insuficientes, incompletos o sean erróneos, </w:t>
      </w:r>
      <w:r w:rsidRPr="00381B46">
        <w:rPr>
          <w:rFonts w:ascii="Palatino Linotype" w:hAnsi="Palatino Linotype"/>
          <w:b/>
          <w:i/>
          <w:sz w:val="24"/>
          <w:szCs w:val="24"/>
          <w:u w:val="single"/>
        </w:rPr>
        <w:t>la Unidad de Transparencia podrá requerir al solicitante</w:t>
      </w:r>
      <w:r w:rsidRPr="00381B46">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381B46">
        <w:rPr>
          <w:rFonts w:ascii="Palatino Linotype" w:hAnsi="Palatino Linotype"/>
          <w:b/>
          <w:i/>
          <w:sz w:val="24"/>
          <w:szCs w:val="24"/>
          <w:u w:val="single"/>
        </w:rPr>
        <w:t>indique otros elementos que complementen, corrijan o amplíen los datos proporcionados o bien, precise uno o varios requerimientos de información</w:t>
      </w:r>
      <w:r w:rsidRPr="00381B46">
        <w:rPr>
          <w:rFonts w:ascii="Palatino Linotype" w:hAnsi="Palatino Linotype"/>
          <w:i/>
          <w:sz w:val="24"/>
          <w:szCs w:val="24"/>
        </w:rPr>
        <w:t>.”</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t>Como podemos apreciar, el sujeto obligado contó con un término legal a efecto de solicitar aclaración, respecto de a qué presidente municipal se refería, si del actual o alguno de administraciones anteriores, sin embargo, no ocurrió así, el sujeto obligado se limitó a decir que no se especificaba el año.</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lastRenderedPageBreak/>
        <w:t>Aunado a lo anterior, el sujeto obligado no hace la clasificación de la información correspondiente, no hay Acuerdo del Comité de Transparencia donde se aprecie la clasificación de la información, por ende el sujeto obligado deberá hacer una búsqueda exhaustiva y razonable en los archivos del sujeto obligado y en caso de contar con ella, deberá emitir el Acuerdo que clasifique como confidencial o reservada dicha información.</w:t>
      </w:r>
    </w:p>
    <w:p w:rsidR="00381B46" w:rsidRPr="00381B46" w:rsidRDefault="00381B46" w:rsidP="00381B46">
      <w:pPr>
        <w:pStyle w:val="Prrafodelista"/>
        <w:spacing w:line="360" w:lineRule="auto"/>
        <w:ind w:left="0"/>
        <w:jc w:val="both"/>
        <w:rPr>
          <w:rFonts w:ascii="Palatino Linotype" w:hAnsi="Palatino Linotype" w:cs="Arial"/>
          <w:lang w:eastAsia="es-MX"/>
        </w:rPr>
      </w:pPr>
    </w:p>
    <w:p w:rsidR="00381B46" w:rsidRPr="00BB2EBF" w:rsidRDefault="00381B46" w:rsidP="00381B46">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381B46" w:rsidRPr="00BB2EBF" w:rsidRDefault="00381B46" w:rsidP="00381B46">
      <w:pPr>
        <w:pStyle w:val="Sinespaciado"/>
        <w:spacing w:line="360" w:lineRule="auto"/>
        <w:jc w:val="both"/>
        <w:rPr>
          <w:rFonts w:ascii="Palatino Linotype" w:hAnsi="Palatino Linotype"/>
          <w:sz w:val="24"/>
          <w:szCs w:val="24"/>
        </w:rPr>
      </w:pPr>
    </w:p>
    <w:p w:rsidR="00381B46" w:rsidRPr="00BB2EBF" w:rsidRDefault="00381B46" w:rsidP="00381B46">
      <w:pPr>
        <w:pStyle w:val="Sinespaciado"/>
        <w:spacing w:line="360" w:lineRule="auto"/>
        <w:jc w:val="both"/>
        <w:rPr>
          <w:rFonts w:ascii="Palatino Linotype" w:hAnsi="Palatino Linotype"/>
          <w:sz w:val="24"/>
          <w:szCs w:val="24"/>
        </w:rPr>
      </w:pPr>
      <w:r w:rsidRPr="00BB2EBF">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381B46" w:rsidRPr="00381B46" w:rsidRDefault="00381B46" w:rsidP="00381B46">
      <w:pPr>
        <w:pStyle w:val="Sinespaciado"/>
        <w:jc w:val="both"/>
        <w:rPr>
          <w:rFonts w:ascii="Palatino Linotype" w:hAnsi="Palatino Linotype"/>
        </w:rPr>
      </w:pP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lastRenderedPageBreak/>
        <w:t xml:space="preserve">Artículo 122. </w:t>
      </w:r>
      <w:r w:rsidRPr="00381B46">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i/>
        </w:rPr>
        <w:t xml:space="preserve"> </w:t>
      </w: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381B46" w:rsidRPr="00381B46" w:rsidRDefault="00381B46" w:rsidP="00381B46">
      <w:pPr>
        <w:pStyle w:val="Sinespaciado"/>
        <w:ind w:left="567" w:right="567"/>
        <w:jc w:val="both"/>
        <w:rPr>
          <w:rFonts w:ascii="Palatino Linotype" w:hAnsi="Palatino Linotype"/>
          <w:i/>
        </w:rPr>
      </w:pP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381B46" w:rsidRPr="00381B46" w:rsidRDefault="00381B46" w:rsidP="00381B46">
      <w:pPr>
        <w:pStyle w:val="Sinespaciado"/>
        <w:ind w:left="567" w:right="567"/>
        <w:jc w:val="both"/>
        <w:rPr>
          <w:rFonts w:ascii="Palatino Linotype"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125. </w:t>
      </w:r>
      <w:r w:rsidRPr="00381B46">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381B46">
        <w:rPr>
          <w:rFonts w:ascii="Palatino Linotype" w:eastAsia="Calibri" w:hAnsi="Palatino Linotype"/>
          <w:i/>
        </w:rPr>
        <w:t xml:space="preserve">, salvaguardando el interés público protegido y tomarán en cuenta las razones que justifican el periodo de reserva establecido.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381B46">
        <w:rPr>
          <w:rFonts w:ascii="Palatino Linotype" w:eastAsia="Calibri" w:hAnsi="Palatino Linotype"/>
          <w:i/>
        </w:rPr>
        <w:t xml:space="preserve"> a su clasificación, mediante la aplicación de una prueba de daño.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126. </w:t>
      </w:r>
      <w:r w:rsidRPr="00381B46">
        <w:rPr>
          <w:rFonts w:ascii="Palatino Linotype" w:eastAsia="Calibri" w:hAnsi="Palatino Linotype"/>
          <w:i/>
        </w:rPr>
        <w:t xml:space="preserve">Cada área del sujeto obligado elaborará un índice de los expedientes clasificados como reservados, por área responsable de la información y tema.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127. </w:t>
      </w:r>
      <w:r w:rsidRPr="00381B46">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En ningún caso el índice será considerado como información reservada.</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128. </w:t>
      </w:r>
      <w:r w:rsidRPr="00381B46">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Para motivar la clasificación de la información y la ampliación del plazo de reserva</w:t>
      </w:r>
      <w:r w:rsidRPr="00381B46">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381B46">
        <w:rPr>
          <w:rFonts w:ascii="Palatino Linotype" w:eastAsia="Calibri" w:hAnsi="Palatino Linotype"/>
          <w:b/>
          <w:i/>
          <w:u w:val="single"/>
        </w:rPr>
        <w:t>el sujeto obligado deberá, en todo momento, aplicar una prueba de daño</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Tratándose de aquélla información que actualice los supuestos de clasificación, deberá señalarse el plazo al que estará sujeto la reserva</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129. </w:t>
      </w:r>
      <w:r w:rsidRPr="00381B46">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381B46">
        <w:rPr>
          <w:rFonts w:ascii="Palatino Linotype" w:eastAsia="Calibri" w:hAnsi="Palatino Linotype"/>
          <w:i/>
        </w:rPr>
        <w:t xml:space="preserve">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 </w:t>
      </w:r>
      <w:r w:rsidRPr="00381B46">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II. </w:t>
      </w:r>
      <w:r w:rsidRPr="00381B46">
        <w:rPr>
          <w:rFonts w:ascii="Palatino Linotype" w:eastAsia="Calibri" w:hAnsi="Palatino Linotype"/>
          <w:b/>
          <w:i/>
          <w:u w:val="single"/>
        </w:rPr>
        <w:t>El riesgo de perjuicio que supondría la divulgación supera el interés público general de que se difunda</w:t>
      </w:r>
      <w:r w:rsidRPr="00381B46">
        <w:rPr>
          <w:rFonts w:ascii="Palatino Linotype" w:eastAsia="Calibri" w:hAnsi="Palatino Linotype"/>
          <w:i/>
        </w:rPr>
        <w:t xml:space="preserve">; y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III. </w:t>
      </w:r>
      <w:r w:rsidRPr="00381B46">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lastRenderedPageBreak/>
        <w:t xml:space="preserve">Artículo 130. </w:t>
      </w:r>
      <w:r w:rsidRPr="00381B46">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131. </w:t>
      </w:r>
      <w:r w:rsidRPr="00381B46">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381B46">
        <w:rPr>
          <w:rFonts w:ascii="Palatino Linotype" w:eastAsia="Calibri" w:hAnsi="Palatino Linotype"/>
          <w:i/>
        </w:rPr>
        <w:t xml:space="preserve">; en tal caso deberá fundar y motivar debidamente la clasificación de la información, de conformidad con lo previsto en la presente Ley.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132. </w:t>
      </w:r>
      <w:r w:rsidRPr="00381B46">
        <w:rPr>
          <w:rFonts w:ascii="Palatino Linotype" w:eastAsia="Calibri" w:hAnsi="Palatino Linotype"/>
          <w:b/>
          <w:i/>
          <w:u w:val="single"/>
        </w:rPr>
        <w:t>La clasificación de la información se llevará a cabo en el momento en que</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 </w:t>
      </w:r>
      <w:r w:rsidRPr="00381B46">
        <w:rPr>
          <w:rFonts w:ascii="Palatino Linotype" w:eastAsia="Calibri" w:hAnsi="Palatino Linotype"/>
          <w:i/>
        </w:rPr>
        <w:t xml:space="preserve">Se reciba una solicitud de acceso a la información;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II. </w:t>
      </w:r>
      <w:r w:rsidRPr="00381B46">
        <w:rPr>
          <w:rFonts w:ascii="Palatino Linotype" w:eastAsia="Calibri" w:hAnsi="Palatino Linotype"/>
          <w:b/>
          <w:i/>
          <w:u w:val="single"/>
        </w:rPr>
        <w:t>Se determine mediante resolución de autoridad competente</w:t>
      </w:r>
      <w:r w:rsidRPr="00381B46">
        <w:rPr>
          <w:rFonts w:ascii="Palatino Linotype" w:eastAsia="Calibri" w:hAnsi="Palatino Linotype"/>
          <w:i/>
        </w:rPr>
        <w:t xml:space="preserve">; o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III. </w:t>
      </w:r>
      <w:r w:rsidRPr="00381B46">
        <w:rPr>
          <w:rFonts w:ascii="Palatino Linotype" w:eastAsia="Calibri" w:hAnsi="Palatino Linotype"/>
          <w:i/>
        </w:rPr>
        <w:t xml:space="preserve">Se generen versiones públicas para dar cumplimiento a las obligaciones de transparencia previstas en esta Ley.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133. </w:t>
      </w:r>
      <w:r w:rsidRPr="00381B46">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134. </w:t>
      </w:r>
      <w:r w:rsidRPr="00381B46">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En ningún caso se podrán clasificar documentos antes de que se genere la información.</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i/>
          <w:u w:val="single"/>
        </w:rPr>
        <w:t>La clasificación de información se realizará conforme a un análisis caso por caso, mediante la aplicación de la prueba de daño</w:t>
      </w:r>
      <w:r w:rsidRPr="00381B46">
        <w:rPr>
          <w:rFonts w:ascii="Palatino Linotype" w:eastAsia="Calibri" w:hAnsi="Palatino Linotype"/>
          <w:i/>
        </w:rPr>
        <w:t xml:space="preserve">. </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lastRenderedPageBreak/>
        <w:t xml:space="preserve">Artículo 135. </w:t>
      </w:r>
      <w:r w:rsidRPr="00381B46">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spacing w:after="0" w:line="240" w:lineRule="auto"/>
        <w:ind w:left="567" w:right="567"/>
        <w:jc w:val="both"/>
        <w:rPr>
          <w:rFonts w:ascii="Palatino Linotype" w:eastAsia="Calibri" w:hAnsi="Palatino Linotype"/>
          <w:i/>
        </w:rPr>
      </w:pPr>
      <w:r w:rsidRPr="00381B46">
        <w:rPr>
          <w:rFonts w:ascii="Palatino Linotype" w:eastAsia="Calibri" w:hAnsi="Palatino Linotype"/>
          <w:b/>
          <w:bCs/>
          <w:i/>
        </w:rPr>
        <w:t xml:space="preserve">Artículo 137. </w:t>
      </w:r>
      <w:r w:rsidRPr="00381B46">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t xml:space="preserve">Artículo 140. </w:t>
      </w:r>
      <w:r w:rsidRPr="00381B46">
        <w:rPr>
          <w:rFonts w:ascii="Palatino Linotype" w:hAnsi="Palatino Linotype"/>
          <w:b/>
          <w:i/>
          <w:u w:val="single"/>
        </w:rPr>
        <w:t>El acceso a la información pública será restringido excepcionalmente, cuando por razones de interés público,</w:t>
      </w:r>
      <w:r w:rsidRPr="00381B46">
        <w:rPr>
          <w:rFonts w:ascii="Palatino Linotype" w:hAnsi="Palatino Linotype"/>
          <w:i/>
        </w:rPr>
        <w:t xml:space="preserve"> </w:t>
      </w:r>
      <w:r w:rsidRPr="00381B46">
        <w:rPr>
          <w:rFonts w:ascii="Palatino Linotype" w:hAnsi="Palatino Linotype"/>
          <w:b/>
          <w:i/>
          <w:u w:val="single"/>
        </w:rPr>
        <w:t>ésta sea clasificada como reservada</w:t>
      </w:r>
      <w:r w:rsidRPr="00381B46">
        <w:rPr>
          <w:rFonts w:ascii="Palatino Linotype" w:hAnsi="Palatino Linotype"/>
          <w:i/>
        </w:rPr>
        <w:t>, conforme a los criterios siguientes:</w:t>
      </w:r>
    </w:p>
    <w:p w:rsidR="00381B46" w:rsidRPr="00381B46" w:rsidRDefault="00381B46" w:rsidP="00381B46">
      <w:pPr>
        <w:spacing w:after="0" w:line="240" w:lineRule="auto"/>
        <w:ind w:left="567" w:right="567"/>
        <w:jc w:val="both"/>
        <w:rPr>
          <w:rFonts w:ascii="Palatino Linotype" w:hAnsi="Palatino Linotype"/>
          <w:i/>
        </w:rPr>
      </w:pPr>
      <w:r w:rsidRPr="00381B46">
        <w:rPr>
          <w:rFonts w:ascii="Palatino Linotype" w:hAnsi="Palatino Linotype"/>
          <w:i/>
        </w:rPr>
        <w:t>(…)</w:t>
      </w:r>
    </w:p>
    <w:p w:rsidR="00381B46" w:rsidRPr="00381B46" w:rsidRDefault="00381B46" w:rsidP="00381B46">
      <w:pPr>
        <w:spacing w:after="0" w:line="240" w:lineRule="auto"/>
        <w:ind w:left="567" w:right="567"/>
        <w:jc w:val="both"/>
        <w:rPr>
          <w:rFonts w:ascii="Palatino Linotype" w:hAnsi="Palatino Linotype"/>
          <w:i/>
        </w:rPr>
      </w:pPr>
      <w:r w:rsidRPr="00381B46">
        <w:rPr>
          <w:rFonts w:ascii="Palatino Linotype" w:hAnsi="Palatino Linotype"/>
          <w:b/>
          <w:bCs/>
          <w:i/>
        </w:rPr>
        <w:t xml:space="preserve">VI. </w:t>
      </w:r>
      <w:r w:rsidRPr="00381B46">
        <w:rPr>
          <w:rFonts w:ascii="Palatino Linotype" w:hAnsi="Palatino Linotype"/>
          <w:i/>
        </w:rPr>
        <w:t xml:space="preserve">Pueda causar daño u obstruya la prevención o persecución de los delitos, altere el proceso de investigación de las carpetas de investigación, </w:t>
      </w:r>
      <w:r w:rsidRPr="00381B46">
        <w:rPr>
          <w:rFonts w:ascii="Palatino Linotype" w:hAnsi="Palatino Linotype"/>
          <w:b/>
          <w:i/>
          <w:u w:val="single"/>
        </w:rPr>
        <w:t>afecte o vulnere la conducción o los derechos del debido proceso en los procedimientos judiciales</w:t>
      </w:r>
      <w:r w:rsidRPr="00381B46">
        <w:rPr>
          <w:rFonts w:ascii="Palatino Linotype" w:hAnsi="Palatino Linotype"/>
          <w:i/>
        </w:rPr>
        <w:t xml:space="preserve"> o administrativos, incluidos los de quejas, denuncias, inconformidades, responsabilidades administrativas y resarcitorias </w:t>
      </w:r>
      <w:r w:rsidRPr="00381B46">
        <w:rPr>
          <w:rFonts w:ascii="Palatino Linotype" w:hAnsi="Palatino Linotype"/>
          <w:b/>
          <w:i/>
          <w:u w:val="single"/>
        </w:rPr>
        <w:t>en tanto no hayan quedado firmes o afecte la administración de justicia o la seguridad de un denunciante, querellante o testigo, así como sus familias, en los términos de las disposiciones jurídicas aplicables</w:t>
      </w:r>
      <w:r w:rsidRPr="00381B46">
        <w:rPr>
          <w:rFonts w:ascii="Palatino Linotype" w:hAnsi="Palatino Linotype"/>
          <w:i/>
        </w:rPr>
        <w:t>;</w:t>
      </w:r>
    </w:p>
    <w:p w:rsidR="00381B46" w:rsidRPr="00381B46" w:rsidRDefault="00381B46" w:rsidP="00381B46">
      <w:pPr>
        <w:spacing w:after="0" w:line="240" w:lineRule="auto"/>
        <w:ind w:left="567" w:right="567"/>
        <w:jc w:val="both"/>
        <w:rPr>
          <w:rFonts w:ascii="Palatino Linotype" w:hAnsi="Palatino Linotype"/>
          <w:b/>
          <w:bCs/>
          <w:i/>
        </w:rPr>
      </w:pPr>
      <w:r w:rsidRPr="00381B46">
        <w:rPr>
          <w:rFonts w:ascii="Palatino Linotype" w:hAnsi="Palatino Linotype"/>
          <w:b/>
          <w:bCs/>
          <w:i/>
        </w:rPr>
        <w:t>(…)</w:t>
      </w:r>
    </w:p>
    <w:p w:rsidR="00381B46" w:rsidRPr="00381B46" w:rsidRDefault="00381B46" w:rsidP="00381B46">
      <w:pPr>
        <w:spacing w:after="0" w:line="240" w:lineRule="auto"/>
        <w:ind w:left="567" w:right="567"/>
        <w:jc w:val="both"/>
        <w:rPr>
          <w:rFonts w:ascii="Palatino Linotype" w:hAnsi="Palatino Linotype"/>
          <w:b/>
          <w:bCs/>
          <w:i/>
        </w:rPr>
      </w:pPr>
      <w:r w:rsidRPr="00381B46">
        <w:rPr>
          <w:rFonts w:ascii="Palatino Linotype" w:hAnsi="Palatino Linotype"/>
          <w:b/>
          <w:bCs/>
          <w:i/>
        </w:rPr>
        <w:t xml:space="preserve">VIII. </w:t>
      </w:r>
      <w:r w:rsidRPr="00381B46">
        <w:rPr>
          <w:rFonts w:ascii="Palatino Linotype" w:hAnsi="Palatino Linotype"/>
          <w:b/>
          <w:bCs/>
          <w:i/>
          <w:u w:val="single"/>
        </w:rPr>
        <w:t>Vulnere la conducción de los expedientes judiciales o de los procedimientos administrativos seguidos en forma de juicios, en tanto n no hayan quedado firmes;</w:t>
      </w:r>
    </w:p>
    <w:p w:rsidR="00381B46" w:rsidRPr="00381B46" w:rsidRDefault="00381B46" w:rsidP="00381B46">
      <w:pPr>
        <w:spacing w:after="0" w:line="240" w:lineRule="auto"/>
        <w:ind w:left="567" w:right="567"/>
        <w:jc w:val="both"/>
        <w:rPr>
          <w:rFonts w:ascii="Palatino Linotype" w:hAnsi="Palatino Linotype"/>
          <w:i/>
        </w:rPr>
      </w:pPr>
      <w:r w:rsidRPr="00381B46">
        <w:rPr>
          <w:rFonts w:ascii="Palatino Linotype" w:hAnsi="Palatino Linotype"/>
          <w:i/>
        </w:rPr>
        <w:t>(…)</w:t>
      </w:r>
    </w:p>
    <w:p w:rsidR="00381B46" w:rsidRPr="00381B46" w:rsidRDefault="00381B46" w:rsidP="00381B46">
      <w:pPr>
        <w:spacing w:after="0" w:line="240" w:lineRule="auto"/>
        <w:ind w:left="567" w:right="567"/>
        <w:jc w:val="both"/>
        <w:rPr>
          <w:rFonts w:ascii="Palatino Linotype" w:eastAsia="Calibri" w:hAnsi="Palatino Linotype"/>
          <w:i/>
        </w:rPr>
      </w:pPr>
    </w:p>
    <w:p w:rsidR="00381B46" w:rsidRPr="00381B46" w:rsidRDefault="00381B46" w:rsidP="00381B46">
      <w:pPr>
        <w:pStyle w:val="Sinespaciado"/>
        <w:ind w:left="567" w:right="567"/>
        <w:jc w:val="both"/>
        <w:rPr>
          <w:rFonts w:ascii="Palatino Linotype" w:hAnsi="Palatino Linotype"/>
          <w:i/>
        </w:rPr>
      </w:pPr>
      <w:r w:rsidRPr="00381B46">
        <w:rPr>
          <w:rFonts w:ascii="Palatino Linotype" w:eastAsia="Calibri" w:hAnsi="Palatino Linotype"/>
          <w:b/>
          <w:bCs/>
          <w:i/>
        </w:rPr>
        <w:t xml:space="preserve">Artículo 141. </w:t>
      </w:r>
      <w:r w:rsidRPr="00381B46">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381B46">
        <w:rPr>
          <w:rFonts w:ascii="Palatino Linotype" w:eastAsia="Calibri" w:hAnsi="Palatino Linotype"/>
          <w:i/>
        </w:rPr>
        <w:t>.</w:t>
      </w:r>
    </w:p>
    <w:p w:rsidR="00381B46" w:rsidRPr="00381B46" w:rsidRDefault="00381B46" w:rsidP="00381B46">
      <w:pPr>
        <w:pStyle w:val="Sinespaciado"/>
        <w:ind w:left="567" w:right="567"/>
        <w:jc w:val="both"/>
        <w:rPr>
          <w:rFonts w:ascii="Palatino Linotype" w:hAnsi="Palatino Linotype"/>
          <w:i/>
        </w:rPr>
      </w:pP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t xml:space="preserve">Artículo 142. </w:t>
      </w:r>
      <w:r w:rsidRPr="00381B46">
        <w:rPr>
          <w:rFonts w:ascii="Palatino Linotype" w:hAnsi="Palatino Linotype"/>
          <w:i/>
        </w:rPr>
        <w:t xml:space="preserve">Bajo ninguna circunstancia podrá invocarse el carácter de reservado cuando: </w:t>
      </w: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t xml:space="preserve">I. </w:t>
      </w:r>
      <w:r w:rsidRPr="00381B46">
        <w:rPr>
          <w:rFonts w:ascii="Palatino Linotype" w:hAnsi="Palatino Linotype"/>
          <w:i/>
        </w:rPr>
        <w:t xml:space="preserve">Se trate de violaciones graves de derechos humanos, calificada así por autoridad competente; </w:t>
      </w: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t xml:space="preserve">II. </w:t>
      </w:r>
      <w:r w:rsidRPr="00381B46">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381B46" w:rsidRPr="00381B46" w:rsidRDefault="00381B46" w:rsidP="00381B46">
      <w:pPr>
        <w:pStyle w:val="Sinespaciado"/>
        <w:ind w:left="567" w:right="567"/>
        <w:jc w:val="both"/>
        <w:rPr>
          <w:rFonts w:ascii="Palatino Linotype" w:hAnsi="Palatino Linotype"/>
          <w:i/>
        </w:rPr>
      </w:pPr>
      <w:r w:rsidRPr="00381B46">
        <w:rPr>
          <w:rFonts w:ascii="Palatino Linotype" w:hAnsi="Palatino Linotype"/>
          <w:b/>
          <w:bCs/>
          <w:i/>
        </w:rPr>
        <w:lastRenderedPageBreak/>
        <w:t xml:space="preserve">III. </w:t>
      </w:r>
      <w:r w:rsidRPr="00381B46">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381B46" w:rsidRPr="00381B46" w:rsidRDefault="00381B46" w:rsidP="00381B46">
      <w:pPr>
        <w:pStyle w:val="Sinespaciado"/>
        <w:ind w:left="709" w:right="567" w:hanging="142"/>
        <w:jc w:val="both"/>
        <w:rPr>
          <w:rFonts w:ascii="Palatino Linotype" w:hAnsi="Palatino Linotype"/>
          <w:i/>
        </w:rPr>
      </w:pPr>
      <w:r w:rsidRPr="00381B46">
        <w:rPr>
          <w:rFonts w:ascii="Palatino Linotype" w:hAnsi="Palatino Linotype"/>
          <w:b/>
          <w:bCs/>
          <w:i/>
        </w:rPr>
        <w:t xml:space="preserve">IV. </w:t>
      </w:r>
      <w:r w:rsidRPr="00381B46">
        <w:rPr>
          <w:rFonts w:ascii="Palatino Linotype" w:hAnsi="Palatino Linotype"/>
          <w:i/>
        </w:rPr>
        <w:t xml:space="preserve">Se trate de información relacionada con actos de corrupción de conformidad con las disposiciones jurídicas aplicables. </w:t>
      </w:r>
    </w:p>
    <w:p w:rsidR="00381B46" w:rsidRPr="00381B46" w:rsidRDefault="00381B46" w:rsidP="00381B46">
      <w:pPr>
        <w:pStyle w:val="Sinespaciado"/>
        <w:spacing w:line="360" w:lineRule="auto"/>
        <w:ind w:right="567"/>
        <w:jc w:val="both"/>
        <w:rPr>
          <w:rFonts w:ascii="Palatino Linotype" w:hAnsi="Palatino Linotype"/>
          <w:sz w:val="24"/>
          <w:szCs w:val="24"/>
        </w:rPr>
      </w:pPr>
    </w:p>
    <w:p w:rsidR="00381B46" w:rsidRPr="00381B46" w:rsidRDefault="00381B46" w:rsidP="00381B46">
      <w:pPr>
        <w:pStyle w:val="Sinespaciado"/>
        <w:spacing w:line="360" w:lineRule="auto"/>
        <w:jc w:val="both"/>
        <w:rPr>
          <w:rFonts w:ascii="Palatino Linotype" w:hAnsi="Palatino Linotype"/>
          <w:sz w:val="24"/>
          <w:szCs w:val="24"/>
        </w:rPr>
      </w:pPr>
      <w:r w:rsidRPr="00381B46">
        <w:rPr>
          <w:rFonts w:ascii="Palatino Linotype" w:hAnsi="Palatino Linotype"/>
          <w:sz w:val="24"/>
          <w:szCs w:val="24"/>
        </w:rPr>
        <w:t xml:space="preserve">Así como lo dispuesto por los </w:t>
      </w:r>
      <w:r w:rsidRPr="00381B46">
        <w:rPr>
          <w:rFonts w:ascii="Palatino Linotype" w:hAnsi="Palatino Linotype"/>
          <w:i/>
          <w:sz w:val="24"/>
          <w:szCs w:val="24"/>
        </w:rPr>
        <w:t>Lineamientos Generales en materia de Clasificación y Desclasificación de la Información, así como para la Elaboración de Versiones Públicas</w:t>
      </w:r>
      <w:r w:rsidRPr="00381B46">
        <w:rPr>
          <w:rFonts w:ascii="Palatino Linotype" w:hAnsi="Palatino Linotype"/>
          <w:sz w:val="24"/>
          <w:szCs w:val="24"/>
        </w:rPr>
        <w:t>, atendiendo a lo dispuesto en los identificados como Décimo Tercero, Décimo Cuarto, Trigésimo, Quincuagésimo Primero, Quincuagésimo Segundo y Quincuagésimo Tercero.</w:t>
      </w:r>
    </w:p>
    <w:p w:rsidR="00381B46" w:rsidRPr="00381B46" w:rsidRDefault="00381B46" w:rsidP="00381B46">
      <w:pPr>
        <w:pStyle w:val="Sinespaciado"/>
        <w:spacing w:line="360" w:lineRule="auto"/>
        <w:ind w:left="567" w:right="567"/>
        <w:jc w:val="both"/>
        <w:rPr>
          <w:rFonts w:ascii="Palatino Linotype" w:hAnsi="Palatino Linotype"/>
          <w:sz w:val="24"/>
          <w:szCs w:val="24"/>
        </w:rPr>
      </w:pPr>
    </w:p>
    <w:p w:rsidR="00381B46" w:rsidRPr="00381B46" w:rsidRDefault="00381B46" w:rsidP="00381B46">
      <w:pPr>
        <w:pStyle w:val="Sinespaciado"/>
        <w:spacing w:line="360" w:lineRule="auto"/>
        <w:jc w:val="both"/>
        <w:rPr>
          <w:rFonts w:ascii="Palatino Linotype" w:hAnsi="Palatino Linotype"/>
          <w:sz w:val="24"/>
          <w:szCs w:val="24"/>
        </w:rPr>
      </w:pPr>
      <w:r w:rsidRPr="00381B46">
        <w:rPr>
          <w:rFonts w:ascii="Palatino Linotype" w:hAnsi="Palatino Linotype"/>
          <w:sz w:val="24"/>
          <w:szCs w:val="24"/>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381B46" w:rsidRPr="00381B46" w:rsidRDefault="00381B46" w:rsidP="00381B46">
      <w:pPr>
        <w:pStyle w:val="Sinespaciado"/>
        <w:spacing w:line="360" w:lineRule="auto"/>
        <w:jc w:val="both"/>
        <w:rPr>
          <w:rFonts w:ascii="Palatino Linotype" w:hAnsi="Palatino Linotype"/>
          <w:sz w:val="24"/>
          <w:szCs w:val="24"/>
        </w:rPr>
      </w:pPr>
    </w:p>
    <w:p w:rsidR="00381B46" w:rsidRPr="00381B46" w:rsidRDefault="00381B46" w:rsidP="00381B46">
      <w:pPr>
        <w:spacing w:after="0" w:line="360" w:lineRule="auto"/>
        <w:jc w:val="both"/>
        <w:rPr>
          <w:rFonts w:ascii="Palatino Linotype" w:hAnsi="Palatino Linotype"/>
          <w:sz w:val="24"/>
          <w:szCs w:val="24"/>
        </w:rPr>
      </w:pPr>
      <w:r w:rsidRPr="00381B46">
        <w:rPr>
          <w:rFonts w:ascii="Palatino Linotype" w:hAnsi="Palatino Linotype"/>
          <w:sz w:val="24"/>
          <w:szCs w:val="24"/>
        </w:rPr>
        <w:lastRenderedPageBreak/>
        <w:t>Adicionalmente, se debe señalar que el Sujeto Obligado debe establecer el plazo de reserva de la información, con el propósito de generar al particular 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consecuentemente, se debe establecer explícitamente en el Acuerdo de Clasificación el periodo de reserva, nuevamente con el propósito de generar certeza jurídica conforme a la clasificación de la información solicitada por el Recurrente.</w:t>
      </w:r>
    </w:p>
    <w:p w:rsidR="00381B46" w:rsidRPr="00381B46" w:rsidRDefault="00381B46" w:rsidP="00381B46">
      <w:pPr>
        <w:spacing w:after="0" w:line="360" w:lineRule="auto"/>
        <w:jc w:val="both"/>
        <w:rPr>
          <w:rFonts w:ascii="Palatino Linotype" w:hAnsi="Palatino Linotype"/>
          <w:sz w:val="24"/>
          <w:szCs w:val="24"/>
        </w:rPr>
      </w:pPr>
    </w:p>
    <w:p w:rsidR="00381B46" w:rsidRPr="00381B46" w:rsidRDefault="00381B46" w:rsidP="00381B46">
      <w:pPr>
        <w:spacing w:after="0" w:line="360" w:lineRule="auto"/>
        <w:jc w:val="both"/>
        <w:rPr>
          <w:rFonts w:ascii="Palatino Linotype" w:hAnsi="Palatino Linotype"/>
          <w:sz w:val="24"/>
          <w:szCs w:val="24"/>
        </w:rPr>
      </w:pPr>
      <w:r w:rsidRPr="00381B46">
        <w:rPr>
          <w:rFonts w:ascii="Palatino Linotype" w:hAnsi="Palatino Linotype"/>
          <w:sz w:val="24"/>
          <w:szCs w:val="24"/>
        </w:rPr>
        <w:t xml:space="preserve">Por lo anterior, este Órgano Garante considera que los motivos de inconformidad planteados por el Recurrente son fundados, por lo que es procedente revocar la respuesta del Sujeto Obligado y ordenar la entrega de las denuncias penales presentadas por la Contraloría Municipal en representación del Presidente Municipal que hayan quedado firmes en el periodo comprendido de veintisiete de noviembre de dos mil dieciocho al veintisiete de noviembre de dos mil diecinueve, en versión pública; en el supuesto de que algunas de esas denuncias penales se encuentren en tramitación, se deberá hacer entrega del acuerdo de clasificación que emita el Comité de Transparencia del Sujeto Obligado, el cual deberá estar fundado y motivado conforme a la normatividad relativa y aplicable. </w:t>
      </w:r>
    </w:p>
    <w:p w:rsidR="00381B46" w:rsidRPr="00381B46" w:rsidRDefault="00381B46" w:rsidP="00381B46">
      <w:pPr>
        <w:spacing w:after="0" w:line="360" w:lineRule="auto"/>
        <w:jc w:val="both"/>
        <w:rPr>
          <w:rFonts w:ascii="Palatino Linotype" w:hAnsi="Palatino Linotype"/>
          <w:sz w:val="24"/>
          <w:szCs w:val="24"/>
        </w:rPr>
      </w:pPr>
    </w:p>
    <w:p w:rsidR="00381B46" w:rsidRPr="00BF26D3" w:rsidRDefault="00381B46" w:rsidP="00381B46">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 xml:space="preserve">Respecto de la temporalidad, toda vez que el recurrente no refiere un plazo, la información deberá ser de un año a partir </w:t>
      </w:r>
      <w:r w:rsidRPr="00574995">
        <w:rPr>
          <w:rFonts w:ascii="Palatino Linotype" w:hAnsi="Palatino Linotype" w:cs="Arial"/>
          <w:lang w:eastAsia="es-MX"/>
        </w:rPr>
        <w:t xml:space="preserve">de la solicitud de información, es decir, del </w:t>
      </w:r>
      <w:r>
        <w:rPr>
          <w:rFonts w:ascii="Palatino Linotype" w:hAnsi="Palatino Linotype" w:cs="Arial"/>
          <w:lang w:eastAsia="es-MX"/>
        </w:rPr>
        <w:t>20</w:t>
      </w:r>
      <w:r w:rsidRPr="00574995">
        <w:rPr>
          <w:rFonts w:ascii="Palatino Linotype" w:hAnsi="Palatino Linotype" w:cs="Arial"/>
          <w:lang w:eastAsia="es-MX"/>
        </w:rPr>
        <w:t xml:space="preserve"> de noviembre de 2018 al </w:t>
      </w:r>
      <w:r>
        <w:rPr>
          <w:rFonts w:ascii="Palatino Linotype" w:hAnsi="Palatino Linotype" w:cs="Arial"/>
          <w:lang w:eastAsia="es-MX"/>
        </w:rPr>
        <w:t>20</w:t>
      </w:r>
      <w:r w:rsidRPr="00574995">
        <w:rPr>
          <w:rFonts w:ascii="Palatino Linotype" w:hAnsi="Palatino Linotype" w:cs="Arial"/>
          <w:lang w:eastAsia="es-MX"/>
        </w:rPr>
        <w:t xml:space="preserve"> de noviembre de 2019</w:t>
      </w:r>
      <w:r>
        <w:rPr>
          <w:rFonts w:ascii="Palatino Linotype" w:hAnsi="Palatino Linotype" w:cs="Arial"/>
          <w:lang w:eastAsia="es-MX"/>
        </w:rPr>
        <w:t>.</w:t>
      </w:r>
    </w:p>
    <w:p w:rsidR="00381B46" w:rsidRPr="00754063" w:rsidRDefault="00381B46" w:rsidP="00381B46">
      <w:pPr>
        <w:pStyle w:val="Prrafodelista"/>
        <w:spacing w:line="360" w:lineRule="auto"/>
        <w:ind w:left="0"/>
        <w:jc w:val="both"/>
        <w:rPr>
          <w:rFonts w:ascii="Palatino Linotype" w:hAnsi="Palatino Linotype" w:cs="Arial"/>
          <w:lang w:eastAsia="es-MX"/>
        </w:rPr>
      </w:pPr>
    </w:p>
    <w:p w:rsidR="00381B46" w:rsidRPr="002438E8" w:rsidRDefault="00381B46" w:rsidP="00381B46">
      <w:pPr>
        <w:pStyle w:val="Prrafodelista"/>
        <w:spacing w:line="360" w:lineRule="auto"/>
        <w:ind w:left="0"/>
        <w:jc w:val="both"/>
        <w:rPr>
          <w:rFonts w:ascii="Palatino Linotype" w:hAnsi="Palatino Linotype" w:cs="Arial"/>
          <w:lang w:eastAsia="es-MX"/>
        </w:rPr>
      </w:pPr>
      <w:r w:rsidRPr="00754063">
        <w:rPr>
          <w:rFonts w:ascii="Palatino Linotype" w:hAnsi="Palatino Linotype" w:cs="Arial"/>
          <w:lang w:eastAsia="es-MX"/>
        </w:rPr>
        <w:t>Por lo tanto, la información de la que deberá hacer búsqueda exhaustiva y razonable el sujeto obligado es respecto del</w:t>
      </w:r>
      <w:r>
        <w:rPr>
          <w:rFonts w:ascii="Palatino Linotype" w:hAnsi="Palatino Linotype" w:cs="Arial"/>
          <w:lang w:eastAsia="es-MX"/>
        </w:rPr>
        <w:t xml:space="preserve"> documento o documentos donde consten </w:t>
      </w:r>
      <w:r w:rsidRPr="00381B46">
        <w:rPr>
          <w:rFonts w:ascii="Palatino Linotype" w:hAnsi="Palatino Linotype" w:cs="Arial"/>
          <w:lang w:eastAsia="es-MX"/>
        </w:rPr>
        <w:t>los cuadrantes establecidos para el ejercicio de funciones</w:t>
      </w:r>
      <w:r>
        <w:rPr>
          <w:rFonts w:ascii="Palatino Linotype" w:hAnsi="Palatino Linotype" w:cs="Arial"/>
          <w:lang w:eastAsia="es-MX"/>
        </w:rPr>
        <w:t>, por el periodo del 20</w:t>
      </w:r>
      <w:r w:rsidRPr="00574995">
        <w:rPr>
          <w:rFonts w:ascii="Palatino Linotype" w:hAnsi="Palatino Linotype" w:cs="Arial"/>
          <w:lang w:eastAsia="es-MX"/>
        </w:rPr>
        <w:t xml:space="preserve"> de noviembre de 2018 al </w:t>
      </w:r>
      <w:r>
        <w:rPr>
          <w:rFonts w:ascii="Palatino Linotype" w:hAnsi="Palatino Linotype" w:cs="Arial"/>
          <w:lang w:eastAsia="es-MX"/>
        </w:rPr>
        <w:t>20</w:t>
      </w:r>
      <w:r w:rsidRPr="00574995">
        <w:rPr>
          <w:rFonts w:ascii="Palatino Linotype" w:hAnsi="Palatino Linotype" w:cs="Arial"/>
          <w:lang w:eastAsia="es-MX"/>
        </w:rPr>
        <w:t xml:space="preserve"> de noviembre de 2019</w:t>
      </w:r>
      <w:r>
        <w:rPr>
          <w:rFonts w:ascii="Palatino Linotype" w:hAnsi="Palatino Linotype" w:cs="Arial"/>
          <w:lang w:eastAsia="es-MX"/>
        </w:rPr>
        <w:t xml:space="preserve">. </w:t>
      </w:r>
    </w:p>
    <w:p w:rsidR="00381B46" w:rsidRDefault="00381B46" w:rsidP="00381B46">
      <w:pPr>
        <w:pStyle w:val="Prrafodelista"/>
        <w:spacing w:line="360" w:lineRule="auto"/>
        <w:ind w:left="0"/>
        <w:jc w:val="both"/>
        <w:rPr>
          <w:rFonts w:ascii="Palatino Linotype" w:hAnsi="Palatino Linotype" w:cs="Arial"/>
          <w:lang w:eastAsia="es-MX"/>
        </w:rPr>
      </w:pPr>
    </w:p>
    <w:p w:rsidR="00381B46" w:rsidRDefault="00381B46" w:rsidP="00381B46">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hasta ahora se ha analizado, la facultad de constituir comisiones, de acuerdo al artículo 69 de la Ley Orgánica Municipal del Estado de México, es de carácter meramente potestativa, en ese mismo tenor, puede ser el caso, que después de que la Titular de la Unidad de Transparencia del sujeto obligado haya turnado la solicitud a la unidad administrativa que por sus funciones deba tener la información, y ésta después de una búsqueda razonable y exhaustiva no encuentre la información solicitada de dichas comisiones por que no se constituyeron, bastara que éstas así lo informen. </w:t>
      </w:r>
    </w:p>
    <w:p w:rsidR="00381B46" w:rsidRPr="005A0459" w:rsidRDefault="00381B46" w:rsidP="00381B46">
      <w:pPr>
        <w:pStyle w:val="Prrafodelista"/>
        <w:spacing w:line="360" w:lineRule="auto"/>
        <w:ind w:left="0"/>
        <w:jc w:val="both"/>
        <w:rPr>
          <w:rFonts w:ascii="Palatino Linotype" w:hAnsi="Palatino Linotype" w:cs="Arial"/>
          <w:lang w:eastAsia="es-MX"/>
        </w:rPr>
      </w:pPr>
    </w:p>
    <w:p w:rsidR="00381B46" w:rsidRPr="005A0459" w:rsidRDefault="00381B46" w:rsidP="00381B46">
      <w:pPr>
        <w:shd w:val="clear" w:color="auto" w:fill="FFFFFF"/>
        <w:spacing w:line="360" w:lineRule="auto"/>
        <w:ind w:left="720"/>
        <w:jc w:val="both"/>
        <w:rPr>
          <w:rFonts w:ascii="Palatino Linotype" w:hAnsi="Palatino Linotype"/>
          <w:color w:val="222222"/>
          <w:lang w:eastAsia="es-MX"/>
        </w:rPr>
      </w:pPr>
      <w:r w:rsidRPr="005A0459">
        <w:rPr>
          <w:rFonts w:ascii="Palatino Linotype" w:hAnsi="Palatino Linotype"/>
          <w:b/>
          <w:bCs/>
          <w:i/>
          <w:iCs/>
          <w:color w:val="222222"/>
          <w:lang w:eastAsia="es-MX"/>
        </w:rPr>
        <w:t>De la versión pública.</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Pr>
          <w:rFonts w:ascii="Palatino Linotype" w:hAnsi="Palatino Linotype"/>
          <w:color w:val="222222"/>
          <w:lang w:eastAsia="es-MX"/>
        </w:rPr>
        <w:t>Derivado de que la información requerida “</w:t>
      </w:r>
      <w:r>
        <w:rPr>
          <w:rFonts w:ascii="Palatino Linotype" w:hAnsi="Palatino Linotype" w:cs="Arial"/>
        </w:rPr>
        <w:t>denuncias penales que ha presentado el contralor en representación del presidente</w:t>
      </w:r>
      <w:r>
        <w:rPr>
          <w:rFonts w:ascii="Palatino Linotype" w:hAnsi="Palatino Linotype"/>
          <w:color w:val="222222"/>
          <w:lang w:eastAsia="es-MX"/>
        </w:rPr>
        <w:t>” pudiera ser el caso que el sujeto obligado pretenda dar cumplimiento entregando algún documento donde consten otros datos, como denunciado, victimas, etc. en ese caso e</w:t>
      </w:r>
      <w:r w:rsidRPr="005A0459">
        <w:rPr>
          <w:rFonts w:ascii="Palatino Linotype" w:hAnsi="Palatino Linotype"/>
          <w:color w:val="222222"/>
          <w:lang w:eastAsia="es-MX"/>
        </w:rPr>
        <w:t xml:space="preserve">s insoslayable, resaltar que la información puede contener datos personales susceptibles de clasificar, ello es así ya que la excepción de publicidad, es aquella </w:t>
      </w:r>
      <w:r w:rsidRPr="005A0459">
        <w:rPr>
          <w:rFonts w:ascii="Palatino Linotype" w:hAnsi="Palatino Linotype"/>
          <w:color w:val="222222"/>
          <w:lang w:eastAsia="es-MX"/>
        </w:rPr>
        <w:lastRenderedPageBreak/>
        <w:t>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5A0459">
        <w:rPr>
          <w:rFonts w:ascii="Palatino Linotype" w:hAnsi="Palatino Linotype"/>
          <w:b/>
          <w:bCs/>
          <w:color w:val="222222"/>
          <w:lang w:eastAsia="es-MX"/>
        </w:rPr>
        <w:t>su entrega deberá ser en versión pública;</w:t>
      </w:r>
      <w:r w:rsidRPr="005A0459">
        <w:rPr>
          <w:rFonts w:ascii="Palatino Linotype" w:hAnsi="Palatino Linotype"/>
          <w:color w:val="222222"/>
          <w:lang w:eastAsia="es-MX"/>
        </w:rPr>
        <w:t> referencia cuyo fundamento legal aplicable se encuentra inmerso en los numerales de la Ley de la materia, que a la letra esgrimen:</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w:t>
      </w:r>
      <w:r w:rsidRPr="005A0459">
        <w:rPr>
          <w:rFonts w:ascii="Palatino Linotype" w:hAnsi="Palatino Linotype"/>
          <w:b/>
          <w:bCs/>
          <w:i/>
          <w:iCs/>
          <w:color w:val="222222"/>
          <w:lang w:eastAsia="es-MX"/>
        </w:rPr>
        <w:lastRenderedPageBreak/>
        <w:t>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381B46" w:rsidRPr="005A0459" w:rsidRDefault="00381B46" w:rsidP="00381B46">
      <w:pPr>
        <w:shd w:val="clear" w:color="auto" w:fill="FFFFFF"/>
        <w:spacing w:line="360" w:lineRule="auto"/>
        <w:ind w:left="851" w:right="851"/>
        <w:jc w:val="both"/>
        <w:rPr>
          <w:rFonts w:ascii="Palatino Linotype" w:hAnsi="Palatino Linotype"/>
          <w:color w:val="222222"/>
          <w:lang w:eastAsia="es-MX"/>
        </w:rPr>
      </w:pP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Verbigracia, previo a poner a disposición la información correspondiente debe considerarse que tiene carácter de confidencial el Registro Federal de Contribuyentes </w:t>
      </w:r>
      <w:r w:rsidRPr="005A0459">
        <w:rPr>
          <w:rFonts w:ascii="Palatino Linotype" w:hAnsi="Palatino Linotype"/>
          <w:b/>
          <w:bCs/>
          <w:color w:val="222222"/>
          <w:lang w:eastAsia="es-MX"/>
        </w:rPr>
        <w:t>(RFC) </w:t>
      </w:r>
      <w:r w:rsidRPr="005A0459">
        <w:rPr>
          <w:rFonts w:ascii="Palatino Linotype" w:hAnsi="Palatino Linotype"/>
          <w:color w:val="222222"/>
          <w:lang w:eastAsia="es-MX"/>
        </w:rPr>
        <w:t>que no sean de proveedores, cuenta bancaria, la Clave Única de Registro de Población (</w:t>
      </w:r>
      <w:r w:rsidRPr="005A0459">
        <w:rPr>
          <w:rFonts w:ascii="Palatino Linotype" w:hAnsi="Palatino Linotype"/>
          <w:b/>
          <w:bCs/>
          <w:color w:val="222222"/>
          <w:lang w:eastAsia="es-MX"/>
        </w:rPr>
        <w:t>CURP</w:t>
      </w:r>
      <w:r w:rsidRPr="005A0459">
        <w:rPr>
          <w:rFonts w:ascii="Palatino Linotype" w:hAnsi="Palatino Linotype"/>
          <w:color w:val="222222"/>
          <w:lang w:eastAsia="es-MX"/>
        </w:rPr>
        <w:t>), clave de seguridad social </w:t>
      </w:r>
      <w:r w:rsidRPr="005A0459">
        <w:rPr>
          <w:rFonts w:ascii="Palatino Linotype" w:hAnsi="Palatino Linotype"/>
          <w:b/>
          <w:bCs/>
          <w:color w:val="222222"/>
          <w:lang w:eastAsia="es-MX"/>
        </w:rPr>
        <w:t>ISSEMYM</w:t>
      </w:r>
      <w:r w:rsidRPr="005A0459">
        <w:rPr>
          <w:rFonts w:ascii="Palatino Linotype" w:hAnsi="Palatino Linotype"/>
          <w:color w:val="222222"/>
          <w:lang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381B46" w:rsidRPr="005A0459" w:rsidRDefault="00381B46" w:rsidP="00381B46">
      <w:pPr>
        <w:shd w:val="clear" w:color="auto" w:fill="FFFFFF"/>
        <w:spacing w:line="360" w:lineRule="auto"/>
        <w:ind w:left="567" w:right="850"/>
        <w:jc w:val="both"/>
        <w:rPr>
          <w:rFonts w:ascii="Palatino Linotype" w:hAnsi="Palatino Linotype"/>
          <w:color w:val="222222"/>
          <w:lang w:eastAsia="es-MX"/>
        </w:rPr>
      </w:pPr>
      <w:r w:rsidRPr="005A0459">
        <w:rPr>
          <w:rFonts w:ascii="Palatino Linotype" w:hAnsi="Palatino Linotype"/>
          <w:i/>
          <w:iCs/>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xml:space="preserve">En ese entendido, en los supuestos de entregarse el soporte documental del tipo nómina de personal donde se advierta el Código Bidimensional QR, así como las cadenas de seguridad, estos elementos deben clasificarse, atendiendo a que los mismos al ser leídos a través de </w:t>
      </w:r>
      <w:r w:rsidRPr="005A0459">
        <w:rPr>
          <w:rFonts w:ascii="Palatino Linotype" w:hAnsi="Palatino Linotype"/>
          <w:color w:val="222222"/>
          <w:lang w:eastAsia="es-MX"/>
        </w:rPr>
        <w:lastRenderedPageBreak/>
        <w:t>herramientas tecnológicas, pueden obtenerse los RFC de los servidores públicos, los cuales ya quedo claramente establecido, se deben clasificar como confidenciales.</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Argumento que es compartido por el </w:t>
      </w:r>
      <w:r w:rsidRPr="005A0459">
        <w:rPr>
          <w:rFonts w:ascii="Palatino Linotype" w:hAnsi="Palatino Linotype"/>
          <w:b/>
          <w:bCs/>
          <w:color w:val="222222"/>
          <w:lang w:eastAsia="es-MX"/>
        </w:rPr>
        <w:t>Instituto Nacional de Transparencia, Acceso a la Información Pública y Protección de Datos Personales, conforme al</w:t>
      </w:r>
      <w:r w:rsidRPr="005A0459">
        <w:rPr>
          <w:rFonts w:ascii="Palatino Linotype" w:hAnsi="Palatino Linotype"/>
          <w:color w:val="222222"/>
          <w:lang w:eastAsia="es-MX"/>
        </w:rPr>
        <w:t>criterio número 18/17 de la segunda época, el cual refiere:</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381B46" w:rsidRPr="005A0459" w:rsidRDefault="00381B46" w:rsidP="00381B46">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RRA 0478/17. Secretaría de Relaciones Exteriores. 26 de abril de 2017. Por unanimidad. Comisionada Ponente Areli Cano Guadiana.” (sic)</w:t>
      </w:r>
    </w:p>
    <w:p w:rsidR="00381B46" w:rsidRPr="005A0459" w:rsidRDefault="00381B46" w:rsidP="00381B46">
      <w:pPr>
        <w:shd w:val="clear" w:color="auto" w:fill="FFFFFF"/>
        <w:spacing w:line="360" w:lineRule="auto"/>
        <w:ind w:left="567" w:right="284"/>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 Descuentos ordenados por el Instituto de Seguridad Social del Estado de México y Municipios, con motivo de cuotas y obligaciones contraídas con éste por los servidores públicos;</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 Obligaciones a cargo del servidor público con las que haya consentido, derivadas de la adquisición o del uso de habitaciones consideradas como de interés social;</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VII. Faltas de puntualidad o de asistencia injustificadas;</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rsidR="00381B46" w:rsidRPr="005A0459" w:rsidRDefault="00381B46" w:rsidP="00381B46">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81B46" w:rsidRPr="005A0459" w:rsidRDefault="00381B46" w:rsidP="00381B46">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381B46" w:rsidRPr="005A0459" w:rsidRDefault="00381B46" w:rsidP="00381B46">
      <w:pPr>
        <w:shd w:val="clear" w:color="auto" w:fill="FFFFFF"/>
        <w:spacing w:line="360" w:lineRule="auto"/>
        <w:ind w:right="51"/>
        <w:jc w:val="both"/>
        <w:rPr>
          <w:rFonts w:ascii="Palatino Linotype" w:hAnsi="Palatino Linotype"/>
          <w:color w:val="222222"/>
          <w:lang w:eastAsia="es-MX"/>
        </w:rPr>
      </w:pPr>
      <w:r w:rsidRPr="005A0459">
        <w:rPr>
          <w:rFonts w:ascii="Palatino Linotype" w:hAnsi="Palatino Linotype"/>
          <w:color w:val="222222"/>
          <w:lang w:eastAsia="es-MX"/>
        </w:rPr>
        <w:t> </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381B46" w:rsidRPr="005A0459" w:rsidRDefault="00381B46" w:rsidP="00381B46">
      <w:pPr>
        <w:shd w:val="clear" w:color="auto" w:fill="FFFFFF"/>
        <w:spacing w:line="360" w:lineRule="auto"/>
        <w:jc w:val="both"/>
        <w:rPr>
          <w:rFonts w:ascii="Palatino Linotype" w:hAnsi="Palatino Linotype"/>
          <w:color w:val="222222"/>
          <w:lang w:eastAsia="es-MX"/>
        </w:rPr>
      </w:pPr>
      <w:r w:rsidRPr="005A0459">
        <w:rPr>
          <w:rFonts w:ascii="Palatino Linotype" w:hAnsi="Palatino Linotype"/>
          <w:color w:val="222222"/>
          <w:lang w:eastAsia="es-MX"/>
        </w:rPr>
        <w:lastRenderedPageBreak/>
        <w:t> </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SEGUNDO TRIBUNAL COLEGIADO DEL SEXTO CIRCUITO.</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381B46" w:rsidRPr="005A0459" w:rsidRDefault="00381B46" w:rsidP="00381B46">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t> </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t> </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lastRenderedPageBreak/>
        <w:t> </w:t>
      </w:r>
    </w:p>
    <w:p w:rsidR="00381B46" w:rsidRPr="00381B46" w:rsidRDefault="00381B46" w:rsidP="00381B46">
      <w:pPr>
        <w:shd w:val="clear" w:color="auto" w:fill="FFFFFF"/>
        <w:spacing w:after="0" w:line="360" w:lineRule="auto"/>
        <w:jc w:val="both"/>
        <w:rPr>
          <w:rFonts w:ascii="Palatino Linotype" w:hAnsi="Palatino Linotype" w:cs="Arial"/>
          <w:color w:val="222222"/>
          <w:sz w:val="24"/>
          <w:szCs w:val="24"/>
          <w:lang w:eastAsia="es-MX"/>
        </w:rPr>
      </w:pPr>
      <w:r w:rsidRPr="00381B46">
        <w:rPr>
          <w:rFonts w:ascii="Palatino Linotype" w:hAnsi="Palatino Linotype" w:cs="Arial"/>
          <w:color w:val="222222"/>
          <w:sz w:val="24"/>
          <w:szCs w:val="24"/>
          <w:lang w:eastAsia="es-MX"/>
        </w:rPr>
        <w:t>En este sentido, el numeral trigésimo tercero fracción V de los Lineamientos Generales, precisa que para motivar la clasificación se deben acreditar las circunstancias de tiempo, modo y lugar.</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pStyle w:val="Prrafodelista"/>
        <w:tabs>
          <w:tab w:val="left" w:pos="7938"/>
        </w:tabs>
        <w:spacing w:line="360" w:lineRule="auto"/>
        <w:ind w:left="1080"/>
        <w:jc w:val="both"/>
        <w:rPr>
          <w:rFonts w:ascii="Palatino Linotype" w:eastAsia="Arial Unicode MS" w:hAnsi="Palatino Linotype" w:cs="Arial"/>
          <w:b/>
        </w:rPr>
      </w:pPr>
      <w:r w:rsidRPr="00381B46">
        <w:rPr>
          <w:rFonts w:ascii="Palatino Linotype" w:eastAsia="Arial Unicode MS" w:hAnsi="Palatino Linotype" w:cs="Arial"/>
          <w:b/>
        </w:rPr>
        <w:t>De la Información Reservada</w:t>
      </w:r>
    </w:p>
    <w:p w:rsidR="00381B46" w:rsidRPr="00381B46" w:rsidRDefault="00381B46" w:rsidP="00381B46">
      <w:pPr>
        <w:spacing w:after="0" w:line="360" w:lineRule="auto"/>
        <w:jc w:val="both"/>
        <w:rPr>
          <w:rFonts w:ascii="Palatino Linotype" w:eastAsia="Arial Unicode MS" w:hAnsi="Palatino Linotype" w:cs="Arial"/>
          <w:sz w:val="24"/>
          <w:szCs w:val="24"/>
        </w:rPr>
      </w:pPr>
      <w:r w:rsidRPr="00381B46">
        <w:rPr>
          <w:rFonts w:ascii="Palatino Linotype" w:eastAsia="Arial Unicode MS" w:hAnsi="Palatino Linotype" w:cs="Arial"/>
          <w:sz w:val="24"/>
          <w:szCs w:val="24"/>
        </w:rPr>
        <w:t>Ahora bien para el caso de que las quejas solicitadas aún se encuentren en investigación o en su caso en substanciación el sujeto obligado deberá realizar un acuerdo de reserva de información de acuerdo a las particularidades que contenga el expediente en que obren, y motivar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al sujeto obligado que el expediente o expedientes en que se encuentren las actas administrativas que se solicitó, son de índole reservado.</w:t>
      </w:r>
    </w:p>
    <w:p w:rsidR="00381B46" w:rsidRPr="00381B46" w:rsidRDefault="00381B46" w:rsidP="00381B46">
      <w:pPr>
        <w:spacing w:after="0" w:line="360" w:lineRule="auto"/>
        <w:jc w:val="both"/>
        <w:rPr>
          <w:rFonts w:ascii="Palatino Linotype" w:eastAsia="Arial Unicode MS" w:hAnsi="Palatino Linotype" w:cs="Arial"/>
          <w:sz w:val="24"/>
          <w:szCs w:val="24"/>
        </w:rPr>
      </w:pPr>
    </w:p>
    <w:p w:rsidR="00381B46" w:rsidRPr="00381B46" w:rsidRDefault="00381B46" w:rsidP="00381B46">
      <w:pPr>
        <w:spacing w:after="0" w:line="360" w:lineRule="auto"/>
        <w:jc w:val="both"/>
        <w:rPr>
          <w:rFonts w:ascii="Palatino Linotype" w:eastAsia="Arial Unicode MS" w:hAnsi="Palatino Linotype" w:cs="Arial"/>
          <w:sz w:val="24"/>
          <w:szCs w:val="24"/>
        </w:rPr>
      </w:pPr>
      <w:r w:rsidRPr="00381B46">
        <w:rPr>
          <w:rFonts w:ascii="Palatino Linotype" w:eastAsia="Arial Unicode MS" w:hAnsi="Palatino Linotype" w:cs="Arial"/>
          <w:sz w:val="24"/>
          <w:szCs w:val="24"/>
        </w:rPr>
        <w:t>De ahí que se consideran fundadas las razones o motivos de inconformidad ya que para el hoy recurrente simple y llanamente el sujeto obligado le está negando la información, por lo que el sujeto obligado al momento de atender la presente solicitud de información deberá ponderar y analizar diligentemente, si el o los expedientes de queja ya quedaron firmes, o en su caso, se archivaron, pues de ser el caso deberá hacer entrega de dicho expediente en versión pública, y para el caso de que no, entonces sí, procede el acuerdo de clasificación como reservado, pero dicho acuerdo deberá atender las particularidades de los expedientes en comento.</w:t>
      </w:r>
    </w:p>
    <w:p w:rsidR="00381B46" w:rsidRPr="00381B46" w:rsidRDefault="00381B46" w:rsidP="00381B46">
      <w:pPr>
        <w:spacing w:after="0" w:line="360" w:lineRule="auto"/>
        <w:jc w:val="both"/>
        <w:rPr>
          <w:rFonts w:ascii="Palatino Linotype" w:eastAsia="Arial Unicode MS" w:hAnsi="Palatino Linotype" w:cs="Arial"/>
          <w:sz w:val="24"/>
          <w:szCs w:val="24"/>
        </w:rPr>
      </w:pPr>
    </w:p>
    <w:p w:rsidR="00381B46" w:rsidRPr="00381B46" w:rsidRDefault="00381B46" w:rsidP="00381B46">
      <w:pPr>
        <w:spacing w:after="0" w:line="360" w:lineRule="auto"/>
        <w:jc w:val="both"/>
        <w:rPr>
          <w:rFonts w:ascii="Palatino Linotype" w:eastAsia="Arial Unicode MS" w:hAnsi="Palatino Linotype" w:cs="Arial"/>
          <w:sz w:val="24"/>
          <w:szCs w:val="24"/>
        </w:rPr>
      </w:pPr>
      <w:r w:rsidRPr="00381B46">
        <w:rPr>
          <w:rFonts w:ascii="Palatino Linotype" w:eastAsia="Arial Unicode MS" w:hAnsi="Palatino Linotype" w:cs="Arial"/>
          <w:sz w:val="24"/>
          <w:szCs w:val="24"/>
        </w:rPr>
        <w:t>Por último, hemos de decir que las razones o motivos de inconformidad son fundadas por las razones y motivos anteriormente expuestos en el cuerpo de la presente resolución.</w:t>
      </w:r>
    </w:p>
    <w:p w:rsidR="00381B46" w:rsidRPr="00381B46" w:rsidRDefault="00381B46" w:rsidP="00381B46">
      <w:pPr>
        <w:spacing w:after="0" w:line="360" w:lineRule="auto"/>
        <w:jc w:val="both"/>
        <w:rPr>
          <w:rFonts w:ascii="Palatino Linotype" w:eastAsia="Arial Unicode MS"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381B46">
        <w:rPr>
          <w:rFonts w:ascii="Palatino Linotype" w:hAnsi="Palatino Linotype" w:cs="Arial"/>
          <w:b/>
          <w:sz w:val="24"/>
          <w:szCs w:val="24"/>
        </w:rPr>
        <w:t>REVOCA</w:t>
      </w:r>
      <w:r w:rsidRPr="00381B46">
        <w:rPr>
          <w:rFonts w:ascii="Palatino Linotype" w:hAnsi="Palatino Linotype" w:cs="Arial"/>
          <w:sz w:val="24"/>
          <w:szCs w:val="24"/>
        </w:rPr>
        <w:t xml:space="preserve"> la respuesta del sujeto obligado a la solicitud de información número </w:t>
      </w:r>
      <w:r>
        <w:rPr>
          <w:rFonts w:ascii="Palatino Linotype" w:hAnsi="Palatino Linotype"/>
          <w:b/>
          <w:sz w:val="24"/>
          <w:szCs w:val="24"/>
        </w:rPr>
        <w:t>00286/ZUMPAHUA/IP/2019</w:t>
      </w:r>
      <w:r w:rsidRPr="00381B46">
        <w:rPr>
          <w:rFonts w:ascii="Palatino Linotype" w:hAnsi="Palatino Linotype" w:cs="Arial"/>
          <w:b/>
          <w:sz w:val="24"/>
          <w:szCs w:val="24"/>
        </w:rPr>
        <w:t xml:space="preserve"> </w:t>
      </w:r>
      <w:r w:rsidRPr="00381B46">
        <w:rPr>
          <w:rFonts w:ascii="Palatino Linotype" w:hAnsi="Palatino Linotype" w:cs="Arial"/>
          <w:sz w:val="24"/>
          <w:szCs w:val="24"/>
        </w:rPr>
        <w:t>que han sido materia del presente fallo.</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t>Por lo antes expuesto y fundado es de resolverse y;</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jc w:val="center"/>
        <w:rPr>
          <w:rFonts w:ascii="Palatino Linotype" w:hAnsi="Palatino Linotype"/>
          <w:b/>
          <w:bCs/>
          <w:spacing w:val="60"/>
          <w:sz w:val="24"/>
          <w:szCs w:val="24"/>
          <w:lang w:val="es-ES_tradnl"/>
        </w:rPr>
      </w:pPr>
      <w:r w:rsidRPr="00381B46">
        <w:rPr>
          <w:rFonts w:ascii="Palatino Linotype" w:hAnsi="Palatino Linotype"/>
          <w:b/>
          <w:bCs/>
          <w:spacing w:val="60"/>
          <w:sz w:val="24"/>
          <w:szCs w:val="24"/>
          <w:lang w:val="es-ES_tradnl"/>
        </w:rPr>
        <w:t>SE    RESUELVE</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cs="Arial"/>
          <w:sz w:val="24"/>
          <w:szCs w:val="24"/>
        </w:rPr>
      </w:pPr>
      <w:r w:rsidRPr="00381B46">
        <w:rPr>
          <w:rFonts w:ascii="Palatino Linotype" w:hAnsi="Palatino Linotype" w:cs="Arial"/>
          <w:b/>
          <w:sz w:val="24"/>
          <w:szCs w:val="24"/>
          <w:lang w:val="es-ES_tradnl"/>
        </w:rPr>
        <w:t>PRIMERO.</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Se</w:t>
      </w:r>
      <w:r w:rsidRPr="00381B46">
        <w:rPr>
          <w:rFonts w:ascii="Palatino Linotype" w:hAnsi="Palatino Linotype" w:cs="Arial"/>
          <w:sz w:val="24"/>
          <w:szCs w:val="24"/>
          <w:lang w:val="es-ES_tradnl"/>
        </w:rPr>
        <w:t xml:space="preserve"> </w:t>
      </w:r>
      <w:r w:rsidRPr="00381B46">
        <w:rPr>
          <w:rFonts w:ascii="Palatino Linotype" w:hAnsi="Palatino Linotype" w:cs="Arial"/>
          <w:b/>
          <w:sz w:val="24"/>
          <w:szCs w:val="24"/>
          <w:lang w:val="es-ES_tradnl"/>
        </w:rPr>
        <w:t>REVOCA</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 xml:space="preserve">la respuesta entregada por </w:t>
      </w:r>
      <w:r w:rsidRPr="00381B46">
        <w:rPr>
          <w:rFonts w:ascii="Palatino Linotype" w:eastAsia="Arial Unicode MS" w:hAnsi="Palatino Linotype" w:cs="Arial"/>
          <w:b/>
          <w:sz w:val="24"/>
          <w:szCs w:val="24"/>
        </w:rPr>
        <w:t xml:space="preserve">el Sujeto Obligado </w:t>
      </w:r>
      <w:r w:rsidRPr="00381B46">
        <w:rPr>
          <w:rFonts w:ascii="Palatino Linotype" w:eastAsia="Arial Unicode MS" w:hAnsi="Palatino Linotype" w:cs="Arial"/>
          <w:sz w:val="24"/>
          <w:szCs w:val="24"/>
        </w:rPr>
        <w:t xml:space="preserve">a la solicitud de información número </w:t>
      </w:r>
      <w:r>
        <w:rPr>
          <w:rFonts w:ascii="Palatino Linotype" w:hAnsi="Palatino Linotype"/>
          <w:b/>
          <w:sz w:val="24"/>
          <w:szCs w:val="24"/>
        </w:rPr>
        <w:t>00286/ZUMPAHUA/IP/2019</w:t>
      </w:r>
      <w:r w:rsidRPr="00381B46">
        <w:rPr>
          <w:rFonts w:ascii="Palatino Linotype" w:hAnsi="Palatino Linotype" w:cs="Arial"/>
          <w:sz w:val="24"/>
          <w:szCs w:val="24"/>
        </w:rPr>
        <w:t xml:space="preserve">, ya que </w:t>
      </w:r>
      <w:r w:rsidRPr="00381B46">
        <w:rPr>
          <w:rFonts w:ascii="Palatino Linotype" w:hAnsi="Palatino Linotype" w:cs="Arial"/>
          <w:sz w:val="24"/>
          <w:szCs w:val="24"/>
          <w:lang w:val="es-ES_tradnl"/>
        </w:rPr>
        <w:t xml:space="preserve">resultan fundadas las razones o motivos de inconformidad </w:t>
      </w:r>
      <w:r w:rsidRPr="00381B46">
        <w:rPr>
          <w:rFonts w:ascii="Palatino Linotype" w:eastAsia="Arial Unicode MS" w:hAnsi="Palatino Linotype" w:cs="Arial"/>
          <w:sz w:val="24"/>
          <w:szCs w:val="24"/>
        </w:rPr>
        <w:t xml:space="preserve">que arguye el recurrente, en términos del </w:t>
      </w:r>
      <w:r w:rsidRPr="00381B46">
        <w:rPr>
          <w:rFonts w:ascii="Palatino Linotype" w:hAnsi="Palatino Linotype" w:cs="Arial"/>
          <w:sz w:val="24"/>
          <w:szCs w:val="24"/>
        </w:rPr>
        <w:t>Considerando Cuarto de la presente resolución.</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r w:rsidRPr="00381B46">
        <w:rPr>
          <w:rFonts w:ascii="Palatino Linotype" w:hAnsi="Palatino Linotype"/>
          <w:b/>
          <w:sz w:val="24"/>
          <w:szCs w:val="24"/>
        </w:rPr>
        <w:t>SEGUNDO.</w:t>
      </w:r>
      <w:r w:rsidRPr="00381B46">
        <w:rPr>
          <w:rFonts w:ascii="Palatino Linotype" w:hAnsi="Palatino Linotype" w:cs="Arial"/>
          <w:sz w:val="24"/>
          <w:szCs w:val="24"/>
        </w:rPr>
        <w:t xml:space="preserve"> Se ordena al Sujeto Obligado previa búsqueda exhaustiva y razonable haga entrega al recurrente en términos del Considerando Cuarto de la presente resolución, a través del SAIMEX, de ser procedente en versión pública, lo siguiente:</w:t>
      </w: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p>
    <w:p w:rsidR="00381B46" w:rsidRDefault="00381B46" w:rsidP="00381B46">
      <w:pPr>
        <w:pStyle w:val="Prrafodelista"/>
        <w:numPr>
          <w:ilvl w:val="0"/>
          <w:numId w:val="3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lang w:eastAsia="es-MX"/>
        </w:rPr>
        <w:t>Documento o documentos donde consten los cuadrantes establecidos para el ejercicio de funciones de las dependencias del Ayuntamiento de Zumpahuacán que realicen operativos en vía pública, por el periodo del 20 de noviembre de 2018 al 20 de noviembre de 2019</w:t>
      </w:r>
      <w:r w:rsidRPr="00381B46">
        <w:rPr>
          <w:rFonts w:ascii="Palatino Linotype" w:hAnsi="Palatino Linotype" w:cs="Arial"/>
        </w:rPr>
        <w:t>.</w:t>
      </w: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cs="Arial"/>
          <w:sz w:val="24"/>
          <w:szCs w:val="24"/>
        </w:rPr>
      </w:pPr>
      <w:r w:rsidRPr="00381B46">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w:t>
      </w:r>
      <w:r>
        <w:rPr>
          <w:rFonts w:ascii="Palatino Linotype" w:hAnsi="Palatino Linotype" w:cs="Arial"/>
          <w:sz w:val="24"/>
          <w:szCs w:val="24"/>
        </w:rPr>
        <w:t xml:space="preserve"> </w:t>
      </w:r>
      <w:r w:rsidRPr="00381B46">
        <w:rPr>
          <w:rFonts w:ascii="Palatino Linotype" w:hAnsi="Palatino Linotype" w:cs="Arial"/>
          <w:sz w:val="24"/>
          <w:szCs w:val="24"/>
        </w:rPr>
        <w:t>y Municipios, en el que funde y motive las razones sobre los datos que se supriman o eliminen dentro del soporte documental respectivo.</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sz w:val="24"/>
          <w:szCs w:val="24"/>
        </w:rPr>
      </w:pPr>
      <w:r w:rsidRPr="00381B46">
        <w:rPr>
          <w:rFonts w:ascii="Palatino Linotype" w:hAnsi="Palatino Linotype" w:cs="Arial"/>
          <w:sz w:val="24"/>
          <w:szCs w:val="24"/>
        </w:rPr>
        <w:t xml:space="preserve">En el supuesto de que </w:t>
      </w:r>
      <w:r>
        <w:rPr>
          <w:rFonts w:ascii="Palatino Linotype" w:hAnsi="Palatino Linotype" w:cs="Arial"/>
          <w:sz w:val="24"/>
          <w:szCs w:val="24"/>
        </w:rPr>
        <w:t>dicha información encuadre en alguna hipótesis contenida en el artículo 140 de la Ley de Transparencia local</w:t>
      </w:r>
      <w:r w:rsidRPr="00381B46">
        <w:rPr>
          <w:rFonts w:ascii="Palatino Linotype" w:hAnsi="Palatino Linotype" w:cs="Arial"/>
          <w:sz w:val="24"/>
          <w:szCs w:val="24"/>
        </w:rPr>
        <w:t>, el Sujeto Obligado deberá hacer entrega del Acuerdo de Clasificación de la Información que para tal efecto emita su Comité de Transparencia, el cual deberá estar debidamente fundado y motivado en términos de la normatividad aplicable.</w:t>
      </w:r>
    </w:p>
    <w:p w:rsidR="00381B46" w:rsidRPr="00381B46" w:rsidRDefault="00381B46" w:rsidP="00381B46">
      <w:pPr>
        <w:spacing w:after="0" w:line="360" w:lineRule="auto"/>
        <w:ind w:right="49"/>
        <w:jc w:val="both"/>
        <w:rPr>
          <w:rFonts w:ascii="Palatino Linotype" w:hAnsi="Palatino Linotype"/>
          <w:bCs/>
          <w:sz w:val="24"/>
          <w:szCs w:val="24"/>
        </w:rPr>
      </w:pP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TERCERO. Notifíquese</w:t>
      </w:r>
      <w:r w:rsidRPr="00381B46">
        <w:rPr>
          <w:rFonts w:ascii="Palatino Linotype" w:hAnsi="Palatino Linotype" w:cs="Arial"/>
          <w:b/>
          <w:i/>
          <w:sz w:val="24"/>
          <w:szCs w:val="24"/>
        </w:rPr>
        <w:t xml:space="preserve"> </w:t>
      </w:r>
      <w:r w:rsidRPr="00381B46">
        <w:rPr>
          <w:rFonts w:ascii="Palatino Linotype" w:hAnsi="Palatino Linotype" w:cs="Arial"/>
          <w:sz w:val="24"/>
          <w:szCs w:val="24"/>
        </w:rPr>
        <w:t>al Titular de la Unidad de Transparencia del</w:t>
      </w:r>
      <w:r w:rsidRPr="00381B46">
        <w:rPr>
          <w:rFonts w:ascii="Palatino Linotype" w:hAnsi="Palatino Linotype" w:cs="Arial"/>
          <w:b/>
          <w:sz w:val="24"/>
          <w:szCs w:val="24"/>
        </w:rPr>
        <w:t xml:space="preserve"> SUJETO OBLIGADO</w:t>
      </w:r>
      <w:r w:rsidRPr="00381B4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p>
    <w:p w:rsidR="00356E90"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CUARTO</w:t>
      </w:r>
      <w:r w:rsidRPr="00381B46">
        <w:rPr>
          <w:rFonts w:ascii="Palatino Linotype" w:hAnsi="Palatino Linotype" w:cs="Arial"/>
          <w:sz w:val="24"/>
          <w:szCs w:val="24"/>
        </w:rPr>
        <w:t xml:space="preserve">. </w:t>
      </w:r>
      <w:r w:rsidRPr="00381B46">
        <w:rPr>
          <w:rFonts w:ascii="Palatino Linotype" w:hAnsi="Palatino Linotype" w:cs="Arial"/>
          <w:b/>
          <w:bCs/>
          <w:color w:val="222222"/>
          <w:sz w:val="24"/>
          <w:szCs w:val="24"/>
          <w:shd w:val="clear" w:color="auto" w:fill="FFFFFF"/>
        </w:rPr>
        <w:t>Notifíquese</w:t>
      </w:r>
      <w:r w:rsidRPr="00381B46">
        <w:rPr>
          <w:rFonts w:ascii="Palatino Linotype" w:hAnsi="Palatino Linotype" w:cs="Arial"/>
          <w:sz w:val="24"/>
          <w:szCs w:val="24"/>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r w:rsidR="00356E90" w:rsidRPr="00381B46">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CUADRAGÉSIMA 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pBdr>
          <w:bottom w:val="double" w:sz="6" w:space="1" w:color="auto"/>
        </w:pBd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13133D" w:rsidRPr="0013133D" w:rsidRDefault="0013133D" w:rsidP="0013133D">
      <w:pPr>
        <w:spacing w:after="0" w:line="360" w:lineRule="auto"/>
        <w:jc w:val="both"/>
        <w:rPr>
          <w:rFonts w:ascii="Palatino Linotype" w:hAnsi="Palatino Linotype" w:cs="Arial"/>
          <w:sz w:val="24"/>
          <w:szCs w:val="24"/>
        </w:rPr>
      </w:pPr>
      <w:bookmarkStart w:id="0" w:name="_GoBack"/>
      <w:bookmarkEnd w:id="0"/>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0C0566">
        <w:rPr>
          <w:rFonts w:ascii="Palatino Linotype" w:hAnsi="Palatino Linotype" w:cs="Arial"/>
          <w:bCs/>
          <w:sz w:val="20"/>
          <w:szCs w:val="20"/>
          <w:lang w:eastAsia="es-MX"/>
        </w:rPr>
        <w:t>7655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F81" w:rsidRDefault="00C90F81" w:rsidP="007E2E80">
      <w:pPr>
        <w:spacing w:after="0" w:line="240" w:lineRule="auto"/>
      </w:pPr>
      <w:r>
        <w:separator/>
      </w:r>
    </w:p>
  </w:endnote>
  <w:endnote w:type="continuationSeparator" w:id="0">
    <w:p w:rsidR="00C90F81" w:rsidRDefault="00C90F8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133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133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13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133D">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F81" w:rsidRDefault="00C90F81" w:rsidP="007E2E80">
      <w:pPr>
        <w:spacing w:after="0" w:line="240" w:lineRule="auto"/>
      </w:pPr>
      <w:r>
        <w:separator/>
      </w:r>
    </w:p>
  </w:footnote>
  <w:footnote w:type="continuationSeparator" w:id="0">
    <w:p w:rsidR="00C90F81" w:rsidRDefault="00C90F81"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663"/>
      <w:gridCol w:w="3827"/>
    </w:tblGrid>
    <w:tr w:rsidR="00295503" w:rsidTr="00B76728">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295503" w:rsidRDefault="00D544D0" w:rsidP="009649F9">
          <w:pPr>
            <w:spacing w:after="120" w:line="256" w:lineRule="auto"/>
            <w:ind w:right="72"/>
            <w:rPr>
              <w:rFonts w:ascii="Palatino Linotype" w:hAnsi="Palatino Linotype" w:cs="Arial"/>
              <w:szCs w:val="20"/>
            </w:rPr>
          </w:pPr>
          <w:r>
            <w:rPr>
              <w:rFonts w:ascii="Palatino Linotype" w:hAnsi="Palatino Linotype" w:cs="Arial"/>
              <w:bCs/>
              <w:sz w:val="24"/>
              <w:lang w:eastAsia="es-MX"/>
            </w:rPr>
            <w:t>11</w:t>
          </w:r>
          <w:r w:rsidR="009649F9">
            <w:rPr>
              <w:rFonts w:ascii="Palatino Linotype" w:hAnsi="Palatino Linotype" w:cs="Arial"/>
              <w:bCs/>
              <w:sz w:val="24"/>
              <w:lang w:eastAsia="es-MX"/>
            </w:rPr>
            <w:t>9</w:t>
          </w:r>
          <w:r w:rsidR="00B76728">
            <w:rPr>
              <w:rFonts w:ascii="Palatino Linotype" w:hAnsi="Palatino Linotype" w:cs="Arial"/>
              <w:bCs/>
              <w:sz w:val="24"/>
              <w:lang w:eastAsia="es-MX"/>
            </w:rPr>
            <w:t>4</w:t>
          </w:r>
          <w:r>
            <w:rPr>
              <w:rFonts w:ascii="Palatino Linotype" w:hAnsi="Palatino Linotype" w:cs="Arial"/>
              <w:bCs/>
              <w:sz w:val="24"/>
              <w:lang w:eastAsia="es-MX"/>
            </w:rPr>
            <w:t>5</w:t>
          </w:r>
          <w:r w:rsidR="005353A8">
            <w:rPr>
              <w:rFonts w:ascii="Palatino Linotype" w:hAnsi="Palatino Linotype" w:cs="Arial"/>
              <w:bCs/>
              <w:sz w:val="24"/>
              <w:lang w:eastAsia="es-MX"/>
            </w:rPr>
            <w:t xml:space="preserve">/INFOEM/IP/RR/2019 </w:t>
          </w:r>
        </w:p>
      </w:tc>
    </w:tr>
    <w:tr w:rsidR="00295503" w:rsidTr="00B76728">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295503" w:rsidRDefault="000B01FC" w:rsidP="00B76728">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B76728">
            <w:rPr>
              <w:rFonts w:ascii="Palatino Linotype" w:hAnsi="Palatino Linotype" w:cs="Arial"/>
              <w:bCs/>
              <w:sz w:val="24"/>
              <w:lang w:eastAsia="es-MX"/>
            </w:rPr>
            <w:t>Zumpahuacán</w:t>
          </w:r>
        </w:p>
      </w:tc>
    </w:tr>
    <w:tr w:rsidR="00295503" w:rsidTr="00B76728">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675"/>
      <w:gridCol w:w="3828"/>
    </w:tblGrid>
    <w:tr w:rsidR="00295503" w:rsidTr="00B76728">
      <w:trPr>
        <w:trHeight w:val="227"/>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828" w:type="dxa"/>
          <w:hideMark/>
        </w:tcPr>
        <w:p w:rsidR="001B082D" w:rsidRPr="000B01FC" w:rsidRDefault="00D544D0" w:rsidP="009649F9">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11</w:t>
          </w:r>
          <w:r w:rsidR="009649F9">
            <w:rPr>
              <w:rFonts w:ascii="Palatino Linotype" w:hAnsi="Palatino Linotype" w:cs="Arial"/>
              <w:bCs/>
              <w:sz w:val="24"/>
              <w:lang w:eastAsia="es-MX"/>
            </w:rPr>
            <w:t>9</w:t>
          </w:r>
          <w:r w:rsidR="00B76728">
            <w:rPr>
              <w:rFonts w:ascii="Palatino Linotype" w:hAnsi="Palatino Linotype" w:cs="Arial"/>
              <w:bCs/>
              <w:sz w:val="24"/>
              <w:lang w:eastAsia="es-MX"/>
            </w:rPr>
            <w:t>45</w:t>
          </w:r>
          <w:r w:rsidR="00295503">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w:t>
          </w:r>
        </w:p>
      </w:tc>
    </w:tr>
    <w:tr w:rsidR="00295503" w:rsidTr="00B76728">
      <w:trPr>
        <w:trHeight w:val="196"/>
      </w:trPr>
      <w:tc>
        <w:tcPr>
          <w:tcW w:w="5675"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828" w:type="dxa"/>
          <w:hideMark/>
        </w:tcPr>
        <w:p w:rsidR="00295503" w:rsidRPr="00F06FED" w:rsidRDefault="0013133D"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B76728">
      <w:trPr>
        <w:trHeight w:val="242"/>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828" w:type="dxa"/>
          <w:hideMark/>
        </w:tcPr>
        <w:p w:rsidR="00295503" w:rsidRPr="00BD7B15" w:rsidRDefault="000B01FC" w:rsidP="00B76728">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Ayuntamiento de</w:t>
          </w:r>
          <w:r w:rsidR="00B76728">
            <w:rPr>
              <w:rFonts w:ascii="Palatino Linotype" w:hAnsi="Palatino Linotype" w:cs="Arial"/>
              <w:bCs/>
              <w:sz w:val="24"/>
              <w:lang w:eastAsia="es-MX"/>
            </w:rPr>
            <w:t xml:space="preserve"> Zumpahuacán</w:t>
          </w:r>
        </w:p>
      </w:tc>
    </w:tr>
    <w:tr w:rsidR="00295503" w:rsidTr="00B76728">
      <w:trPr>
        <w:trHeight w:val="342"/>
      </w:trPr>
      <w:tc>
        <w:tcPr>
          <w:tcW w:w="5675"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828"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075C22"/>
    <w:multiLevelType w:val="hybridMultilevel"/>
    <w:tmpl w:val="800AA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2"/>
  </w:num>
  <w:num w:numId="5">
    <w:abstractNumId w:val="5"/>
  </w:num>
  <w:num w:numId="6">
    <w:abstractNumId w:val="4"/>
  </w:num>
  <w:num w:numId="7">
    <w:abstractNumId w:val="22"/>
  </w:num>
  <w:num w:numId="8">
    <w:abstractNumId w:val="20"/>
  </w:num>
  <w:num w:numId="9">
    <w:abstractNumId w:val="29"/>
  </w:num>
  <w:num w:numId="10">
    <w:abstractNumId w:val="6"/>
  </w:num>
  <w:num w:numId="11">
    <w:abstractNumId w:val="30"/>
  </w:num>
  <w:num w:numId="12">
    <w:abstractNumId w:val="24"/>
  </w:num>
  <w:num w:numId="13">
    <w:abstractNumId w:val="23"/>
  </w:num>
  <w:num w:numId="14">
    <w:abstractNumId w:val="16"/>
  </w:num>
  <w:num w:numId="15">
    <w:abstractNumId w:val="3"/>
  </w:num>
  <w:num w:numId="16">
    <w:abstractNumId w:val="8"/>
  </w:num>
  <w:num w:numId="17">
    <w:abstractNumId w:val="19"/>
  </w:num>
  <w:num w:numId="18">
    <w:abstractNumId w:val="28"/>
  </w:num>
  <w:num w:numId="19">
    <w:abstractNumId w:val="26"/>
  </w:num>
  <w:num w:numId="20">
    <w:abstractNumId w:val="17"/>
  </w:num>
  <w:num w:numId="21">
    <w:abstractNumId w:val="10"/>
  </w:num>
  <w:num w:numId="22">
    <w:abstractNumId w:val="18"/>
  </w:num>
  <w:num w:numId="23">
    <w:abstractNumId w:val="14"/>
  </w:num>
  <w:num w:numId="24">
    <w:abstractNumId w:val="21"/>
  </w:num>
  <w:num w:numId="25">
    <w:abstractNumId w:val="12"/>
  </w:num>
  <w:num w:numId="26">
    <w:abstractNumId w:val="9"/>
  </w:num>
  <w:num w:numId="27">
    <w:abstractNumId w:val="15"/>
  </w:num>
  <w:num w:numId="28">
    <w:abstractNumId w:val="33"/>
  </w:num>
  <w:num w:numId="29">
    <w:abstractNumId w:val="25"/>
  </w:num>
  <w:num w:numId="30">
    <w:abstractNumId w:val="13"/>
  </w:num>
  <w:num w:numId="31">
    <w:abstractNumId w:val="27"/>
  </w:num>
  <w:num w:numId="32">
    <w:abstractNumId w:val="11"/>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762"/>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45261"/>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C55C8"/>
    <w:rsid w:val="000D203E"/>
    <w:rsid w:val="000D26E6"/>
    <w:rsid w:val="000D47AB"/>
    <w:rsid w:val="000D65BE"/>
    <w:rsid w:val="000D6982"/>
    <w:rsid w:val="000D756B"/>
    <w:rsid w:val="000E48EE"/>
    <w:rsid w:val="000E7C0A"/>
    <w:rsid w:val="000F199E"/>
    <w:rsid w:val="000F3722"/>
    <w:rsid w:val="000F4BD5"/>
    <w:rsid w:val="000F50B2"/>
    <w:rsid w:val="000F5647"/>
    <w:rsid w:val="000F74DE"/>
    <w:rsid w:val="001001E8"/>
    <w:rsid w:val="0010112C"/>
    <w:rsid w:val="00104868"/>
    <w:rsid w:val="001050A6"/>
    <w:rsid w:val="00106160"/>
    <w:rsid w:val="001110E1"/>
    <w:rsid w:val="00114C3C"/>
    <w:rsid w:val="00116B4C"/>
    <w:rsid w:val="00121FB5"/>
    <w:rsid w:val="00122CD0"/>
    <w:rsid w:val="00122DC2"/>
    <w:rsid w:val="0012508A"/>
    <w:rsid w:val="0013112A"/>
    <w:rsid w:val="0013133D"/>
    <w:rsid w:val="001324C5"/>
    <w:rsid w:val="00132E9F"/>
    <w:rsid w:val="0013321E"/>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090A"/>
    <w:rsid w:val="001D1285"/>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6C23"/>
    <w:rsid w:val="00206DED"/>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7C4"/>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3743"/>
    <w:rsid w:val="00336EDF"/>
    <w:rsid w:val="0033729E"/>
    <w:rsid w:val="00344583"/>
    <w:rsid w:val="00347674"/>
    <w:rsid w:val="00353E3E"/>
    <w:rsid w:val="00356E90"/>
    <w:rsid w:val="00363308"/>
    <w:rsid w:val="00365ADF"/>
    <w:rsid w:val="00366574"/>
    <w:rsid w:val="003666BD"/>
    <w:rsid w:val="00366D3F"/>
    <w:rsid w:val="00374450"/>
    <w:rsid w:val="00375FF5"/>
    <w:rsid w:val="0037690F"/>
    <w:rsid w:val="00381B46"/>
    <w:rsid w:val="0038385D"/>
    <w:rsid w:val="003908F4"/>
    <w:rsid w:val="003919AC"/>
    <w:rsid w:val="003938B0"/>
    <w:rsid w:val="00394D50"/>
    <w:rsid w:val="00395C1A"/>
    <w:rsid w:val="00396FB9"/>
    <w:rsid w:val="003A13D2"/>
    <w:rsid w:val="003A3096"/>
    <w:rsid w:val="003A5FDC"/>
    <w:rsid w:val="003A666F"/>
    <w:rsid w:val="003B2BFE"/>
    <w:rsid w:val="003B5524"/>
    <w:rsid w:val="003B5DB2"/>
    <w:rsid w:val="003B7801"/>
    <w:rsid w:val="003C3124"/>
    <w:rsid w:val="003C33A6"/>
    <w:rsid w:val="003C4FE7"/>
    <w:rsid w:val="003C6B46"/>
    <w:rsid w:val="003C71D4"/>
    <w:rsid w:val="003C74AF"/>
    <w:rsid w:val="003D2672"/>
    <w:rsid w:val="003D2A1C"/>
    <w:rsid w:val="003D3420"/>
    <w:rsid w:val="003D5FBE"/>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B5310"/>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0FC3"/>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958"/>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0A5A"/>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42AD"/>
    <w:rsid w:val="009272C6"/>
    <w:rsid w:val="00930F68"/>
    <w:rsid w:val="009339EC"/>
    <w:rsid w:val="00936CE7"/>
    <w:rsid w:val="0093743A"/>
    <w:rsid w:val="009375FB"/>
    <w:rsid w:val="0094180B"/>
    <w:rsid w:val="00942349"/>
    <w:rsid w:val="00943711"/>
    <w:rsid w:val="00943B37"/>
    <w:rsid w:val="0094428C"/>
    <w:rsid w:val="00946DF1"/>
    <w:rsid w:val="00950ABA"/>
    <w:rsid w:val="00954DC1"/>
    <w:rsid w:val="00960D8F"/>
    <w:rsid w:val="0096284F"/>
    <w:rsid w:val="0096359D"/>
    <w:rsid w:val="00963E20"/>
    <w:rsid w:val="009649F9"/>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6B6C"/>
    <w:rsid w:val="009F7B22"/>
    <w:rsid w:val="00A008BF"/>
    <w:rsid w:val="00A01F59"/>
    <w:rsid w:val="00A06551"/>
    <w:rsid w:val="00A066AD"/>
    <w:rsid w:val="00A10000"/>
    <w:rsid w:val="00A10775"/>
    <w:rsid w:val="00A112EB"/>
    <w:rsid w:val="00A16988"/>
    <w:rsid w:val="00A2199B"/>
    <w:rsid w:val="00A22440"/>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C3701"/>
    <w:rsid w:val="00AC5A2A"/>
    <w:rsid w:val="00AD0168"/>
    <w:rsid w:val="00AD066A"/>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5665E"/>
    <w:rsid w:val="00B649E6"/>
    <w:rsid w:val="00B75842"/>
    <w:rsid w:val="00B76728"/>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0F81"/>
    <w:rsid w:val="00C911DE"/>
    <w:rsid w:val="00C921D5"/>
    <w:rsid w:val="00C93EEE"/>
    <w:rsid w:val="00C95F13"/>
    <w:rsid w:val="00CA2ED9"/>
    <w:rsid w:val="00CA3DD3"/>
    <w:rsid w:val="00CA5EC1"/>
    <w:rsid w:val="00CC2A3A"/>
    <w:rsid w:val="00CD1397"/>
    <w:rsid w:val="00CD410A"/>
    <w:rsid w:val="00CD4230"/>
    <w:rsid w:val="00CD5D9E"/>
    <w:rsid w:val="00CE15C8"/>
    <w:rsid w:val="00CE36B2"/>
    <w:rsid w:val="00CE5503"/>
    <w:rsid w:val="00CF27C6"/>
    <w:rsid w:val="00CF505E"/>
    <w:rsid w:val="00CF66C4"/>
    <w:rsid w:val="00CF7E3D"/>
    <w:rsid w:val="00D017F5"/>
    <w:rsid w:val="00D01B24"/>
    <w:rsid w:val="00D020E2"/>
    <w:rsid w:val="00D033C3"/>
    <w:rsid w:val="00D04234"/>
    <w:rsid w:val="00D04E44"/>
    <w:rsid w:val="00D0540D"/>
    <w:rsid w:val="00D0673B"/>
    <w:rsid w:val="00D0685A"/>
    <w:rsid w:val="00D11558"/>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4D0"/>
    <w:rsid w:val="00D54889"/>
    <w:rsid w:val="00D57072"/>
    <w:rsid w:val="00D57A8D"/>
    <w:rsid w:val="00D57C7A"/>
    <w:rsid w:val="00D61A59"/>
    <w:rsid w:val="00D633B6"/>
    <w:rsid w:val="00D64F6D"/>
    <w:rsid w:val="00D70758"/>
    <w:rsid w:val="00D72377"/>
    <w:rsid w:val="00D75DD0"/>
    <w:rsid w:val="00D760EF"/>
    <w:rsid w:val="00D7709F"/>
    <w:rsid w:val="00D77F62"/>
    <w:rsid w:val="00D80239"/>
    <w:rsid w:val="00D8226B"/>
    <w:rsid w:val="00D82C3F"/>
    <w:rsid w:val="00D849BC"/>
    <w:rsid w:val="00D84D1B"/>
    <w:rsid w:val="00D85C97"/>
    <w:rsid w:val="00D867E7"/>
    <w:rsid w:val="00D90CC8"/>
    <w:rsid w:val="00DA0E70"/>
    <w:rsid w:val="00DA1B7C"/>
    <w:rsid w:val="00DA21DB"/>
    <w:rsid w:val="00DA5A00"/>
    <w:rsid w:val="00DA6917"/>
    <w:rsid w:val="00DB01B2"/>
    <w:rsid w:val="00DB07E3"/>
    <w:rsid w:val="00DB3486"/>
    <w:rsid w:val="00DB5FF7"/>
    <w:rsid w:val="00DB73C0"/>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115F"/>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4963"/>
    <w:rsid w:val="00EE5CE9"/>
    <w:rsid w:val="00EE6964"/>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2A70"/>
    <w:rsid w:val="00F75079"/>
    <w:rsid w:val="00F7667E"/>
    <w:rsid w:val="00F80CF6"/>
    <w:rsid w:val="00F83F9F"/>
    <w:rsid w:val="00F8521C"/>
    <w:rsid w:val="00F86466"/>
    <w:rsid w:val="00F8666D"/>
    <w:rsid w:val="00F91340"/>
    <w:rsid w:val="00F92D09"/>
    <w:rsid w:val="00F96AD5"/>
    <w:rsid w:val="00FA0A04"/>
    <w:rsid w:val="00FA47E2"/>
    <w:rsid w:val="00FA4B12"/>
    <w:rsid w:val="00FB2F77"/>
    <w:rsid w:val="00FB55E9"/>
    <w:rsid w:val="00FB59DF"/>
    <w:rsid w:val="00FC716A"/>
    <w:rsid w:val="00FC7D8B"/>
    <w:rsid w:val="00FD27EA"/>
    <w:rsid w:val="00FD3A3C"/>
    <w:rsid w:val="00FD4EB1"/>
    <w:rsid w:val="00FD5ADC"/>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FD5A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FD5AD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D5ADC"/>
    <w:rPr>
      <w:rFonts w:ascii="Courier New" w:eastAsia="Times New Roman" w:hAnsi="Courier New" w:cs="Times New Roman"/>
      <w:sz w:val="20"/>
      <w:szCs w:val="20"/>
      <w:lang w:val="es-ES" w:eastAsia="es-ES"/>
    </w:rPr>
  </w:style>
  <w:style w:type="character" w:customStyle="1" w:styleId="TextoCar">
    <w:name w:val="Texto Car"/>
    <w:link w:val="Texto"/>
    <w:locked/>
    <w:rsid w:val="00FD5AD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942">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614554341">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28056665">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0119816">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2413299">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54087953">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62245994">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75581-A0D0-4A92-AB60-DFF324E3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36</Pages>
  <Words>8446</Words>
  <Characters>46458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220</cp:revision>
  <cp:lastPrinted>2019-08-09T18:01:00Z</cp:lastPrinted>
  <dcterms:created xsi:type="dcterms:W3CDTF">2019-09-04T18:37:00Z</dcterms:created>
  <dcterms:modified xsi:type="dcterms:W3CDTF">2020-04-23T07:05:00Z</dcterms:modified>
</cp:coreProperties>
</file>