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AA1CB9" w:rsidRDefault="002A5BA4" w:rsidP="00AA1CB9">
      <w:pPr>
        <w:spacing w:line="360" w:lineRule="auto"/>
        <w:jc w:val="center"/>
        <w:rPr>
          <w:rFonts w:ascii="Palatino Linotype" w:eastAsia="Times New Roman" w:hAnsi="Palatino Linotype" w:cs="Times New Roman"/>
          <w:b/>
        </w:rPr>
      </w:pPr>
      <w:r w:rsidRPr="00AA1CB9">
        <w:rPr>
          <w:rFonts w:ascii="Palatino Linotype" w:eastAsia="Times New Roman" w:hAnsi="Palatino Linotype" w:cs="Times New Roman"/>
          <w:b/>
        </w:rPr>
        <w:t>LÍNEAS ARGUMENTATIVAS</w:t>
      </w:r>
    </w:p>
    <w:p w:rsidR="00B258AA" w:rsidRPr="00AA1CB9" w:rsidRDefault="00B258AA" w:rsidP="00AA1CB9">
      <w:pPr>
        <w:spacing w:before="240" w:after="240" w:line="360" w:lineRule="auto"/>
        <w:jc w:val="both"/>
        <w:rPr>
          <w:rFonts w:ascii="Palatino Linotype" w:eastAsia="MS Mincho" w:hAnsi="Palatino Linotype" w:cs="Times New Roman"/>
        </w:rPr>
      </w:pPr>
      <w:r w:rsidRPr="00AA1CB9">
        <w:rPr>
          <w:rFonts w:ascii="Palatino Linotype" w:eastAsia="MS Mincho" w:hAnsi="Palatino Linotype" w:cs="Times New Roman"/>
          <w:b/>
        </w:rPr>
        <w:t xml:space="preserve">DERECHO DE ACCESO A LA INFORMACIÓN PÚBLICA. </w:t>
      </w:r>
      <w:r w:rsidRPr="00AA1CB9">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9A2BB4" w:rsidRPr="00AA1CB9" w:rsidRDefault="009A2BB4" w:rsidP="00AA1CB9">
      <w:pPr>
        <w:spacing w:line="360" w:lineRule="auto"/>
        <w:jc w:val="both"/>
        <w:rPr>
          <w:rFonts w:ascii="Palatino Linotype" w:hAnsi="Palatino Linotype"/>
        </w:rPr>
      </w:pPr>
      <w:r w:rsidRPr="00AA1CB9">
        <w:rPr>
          <w:rFonts w:ascii="Palatino Linotype" w:hAnsi="Palatino Linotype"/>
          <w:b/>
        </w:rPr>
        <w:t xml:space="preserve">DE LA SUPLENCIA DE LA QUEJA. </w:t>
      </w:r>
      <w:r w:rsidRPr="00AA1CB9">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AA1CB9">
        <w:rPr>
          <w:rFonts w:ascii="Palatino Linotype" w:hAnsi="Palatino Linotype"/>
        </w:rPr>
        <w:t>promovente</w:t>
      </w:r>
      <w:proofErr w:type="spellEnd"/>
      <w:r w:rsidRPr="00AA1CB9">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AA1CB9">
        <w:rPr>
          <w:rFonts w:ascii="Palatino Linotype" w:hAnsi="Palatino Linotype"/>
        </w:rPr>
        <w:t>pro</w:t>
      </w:r>
      <w:proofErr w:type="spellEnd"/>
      <w:r w:rsidRPr="00AA1CB9">
        <w:rPr>
          <w:rFonts w:ascii="Palatino Linotype" w:hAnsi="Palatino Linotype"/>
        </w:rPr>
        <w:t xml:space="preserve"> persona</w:t>
      </w:r>
      <w:r w:rsidR="008267C9" w:rsidRPr="00AA1CB9">
        <w:rPr>
          <w:rFonts w:ascii="Palatino Linotype" w:hAnsi="Palatino Linotype"/>
        </w:rPr>
        <w:t>.</w:t>
      </w:r>
    </w:p>
    <w:p w:rsidR="008267C9" w:rsidRPr="00AA1CB9" w:rsidRDefault="00AA1CB9" w:rsidP="00AA1CB9">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64923</wp:posOffset>
                </wp:positionH>
                <wp:positionV relativeFrom="paragraph">
                  <wp:posOffset>25675</wp:posOffset>
                </wp:positionV>
                <wp:extent cx="5445211" cy="2924432"/>
                <wp:effectExtent l="19050" t="19050" r="22225" b="28575"/>
                <wp:wrapNone/>
                <wp:docPr id="4" name="Conector recto 4"/>
                <wp:cNvGraphicFramePr/>
                <a:graphic xmlns:a="http://schemas.openxmlformats.org/drawingml/2006/main">
                  <a:graphicData uri="http://schemas.microsoft.com/office/word/2010/wordprocessingShape">
                    <wps:wsp>
                      <wps:cNvCnPr/>
                      <wps:spPr>
                        <a:xfrm>
                          <a:off x="0" y="0"/>
                          <a:ext cx="5445211" cy="29244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FABFB"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pt,2pt" to="433.85pt,2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" strokecolor="#5b9bd5 [3204]" strokeweight="3pt">
                <v:stroke joinstyle="miter"/>
              </v:line>
            </w:pict>
          </mc:Fallback>
        </mc:AlternateContent>
      </w:r>
    </w:p>
    <w:p w:rsidR="008267C9" w:rsidRPr="00AA1CB9" w:rsidRDefault="008267C9" w:rsidP="00AA1CB9">
      <w:pPr>
        <w:spacing w:line="360" w:lineRule="auto"/>
        <w:jc w:val="both"/>
        <w:rPr>
          <w:rFonts w:ascii="Palatino Linotype" w:hAnsi="Palatino Linotype"/>
        </w:rPr>
      </w:pPr>
    </w:p>
    <w:p w:rsidR="008267C9" w:rsidRPr="00AA1CB9" w:rsidRDefault="008267C9" w:rsidP="00AA1CB9">
      <w:pPr>
        <w:spacing w:line="360" w:lineRule="auto"/>
        <w:jc w:val="both"/>
        <w:rPr>
          <w:rFonts w:ascii="Palatino Linotype" w:hAnsi="Palatino Linotype"/>
        </w:rPr>
      </w:pPr>
    </w:p>
    <w:p w:rsidR="008267C9" w:rsidRPr="00AA1CB9" w:rsidRDefault="008267C9" w:rsidP="00AA1CB9">
      <w:pPr>
        <w:spacing w:line="360" w:lineRule="auto"/>
        <w:jc w:val="both"/>
        <w:rPr>
          <w:rFonts w:ascii="Palatino Linotype" w:hAnsi="Palatino Linotype"/>
        </w:rPr>
      </w:pPr>
    </w:p>
    <w:p w:rsidR="008267C9" w:rsidRPr="00AA1CB9" w:rsidRDefault="008267C9" w:rsidP="00AA1CB9">
      <w:pPr>
        <w:spacing w:line="360" w:lineRule="auto"/>
        <w:jc w:val="both"/>
        <w:rPr>
          <w:rFonts w:ascii="Palatino Linotype" w:hAnsi="Palatino Linotype"/>
        </w:rPr>
      </w:pPr>
    </w:p>
    <w:p w:rsidR="008267C9" w:rsidRPr="00AA1CB9" w:rsidRDefault="008267C9" w:rsidP="00AA1CB9">
      <w:pPr>
        <w:spacing w:line="360" w:lineRule="auto"/>
        <w:jc w:val="both"/>
        <w:rPr>
          <w:rFonts w:ascii="Palatino Linotype" w:hAnsi="Palatino Linotype"/>
        </w:rPr>
      </w:pPr>
    </w:p>
    <w:p w:rsidR="008267C9" w:rsidRPr="00AA1CB9" w:rsidRDefault="008267C9" w:rsidP="00AA1CB9">
      <w:pPr>
        <w:spacing w:line="360" w:lineRule="auto"/>
        <w:jc w:val="both"/>
        <w:rPr>
          <w:rFonts w:ascii="Palatino Linotype" w:hAnsi="Palatino Linotype"/>
        </w:rPr>
      </w:pPr>
    </w:p>
    <w:p w:rsidR="002A5BA4" w:rsidRPr="00AA1CB9" w:rsidRDefault="002A5BA4" w:rsidP="00AA1CB9">
      <w:pPr>
        <w:spacing w:before="240" w:after="240" w:line="360" w:lineRule="auto"/>
        <w:jc w:val="center"/>
        <w:rPr>
          <w:rFonts w:ascii="Palatino Linotype" w:hAnsi="Palatino Linotype"/>
        </w:rPr>
      </w:pPr>
      <w:r w:rsidRPr="00AA1CB9">
        <w:rPr>
          <w:rFonts w:ascii="Palatino Linotype" w:hAnsi="Palatino Linotype"/>
          <w:b/>
        </w:rPr>
        <w:lastRenderedPageBreak/>
        <w:t>Índice</w:t>
      </w:r>
      <w:r w:rsidRPr="00AA1CB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AA1CB9" w:rsidRDefault="002A5BA4" w:rsidP="00C464D8">
          <w:pPr>
            <w:pStyle w:val="TtulodeTDC"/>
            <w:spacing w:before="0" w:line="360" w:lineRule="auto"/>
            <w:rPr>
              <w:szCs w:val="24"/>
            </w:rPr>
          </w:pPr>
        </w:p>
        <w:p w:rsidR="001614FF" w:rsidRPr="00AA1CB9" w:rsidRDefault="002A5BA4" w:rsidP="00C464D8">
          <w:pPr>
            <w:pStyle w:val="TDC1"/>
            <w:tabs>
              <w:tab w:val="right" w:leader="dot" w:pos="8779"/>
            </w:tabs>
            <w:spacing w:line="360" w:lineRule="auto"/>
            <w:rPr>
              <w:rFonts w:ascii="Palatino Linotype" w:hAnsi="Palatino Linotype"/>
              <w:noProof/>
              <w:lang w:val="es-MX" w:eastAsia="es-MX"/>
            </w:rPr>
          </w:pPr>
          <w:r w:rsidRPr="00AA1CB9">
            <w:rPr>
              <w:rFonts w:ascii="Palatino Linotype" w:hAnsi="Palatino Linotype"/>
              <w:b/>
            </w:rPr>
            <w:fldChar w:fldCharType="begin"/>
          </w:r>
          <w:r w:rsidRPr="00AA1CB9">
            <w:rPr>
              <w:rFonts w:ascii="Palatino Linotype" w:hAnsi="Palatino Linotype"/>
              <w:b/>
            </w:rPr>
            <w:instrText xml:space="preserve"> TOC \o "1-3" \h \z \u </w:instrText>
          </w:r>
          <w:r w:rsidRPr="00AA1CB9">
            <w:rPr>
              <w:rFonts w:ascii="Palatino Linotype" w:hAnsi="Palatino Linotype"/>
              <w:b/>
            </w:rPr>
            <w:fldChar w:fldCharType="separate"/>
          </w:r>
          <w:hyperlink w:anchor="_Toc3295480" w:history="1">
            <w:r w:rsidR="001614FF" w:rsidRPr="00AA1CB9">
              <w:rPr>
                <w:rStyle w:val="Hipervnculo"/>
                <w:rFonts w:ascii="Palatino Linotype" w:hAnsi="Palatino Linotype"/>
                <w:noProof/>
              </w:rPr>
              <w:t>ANTECEDENTES</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_Toc3295480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3</w:t>
            </w:r>
            <w:r w:rsidR="001614FF" w:rsidRPr="00AA1CB9">
              <w:rPr>
                <w:rFonts w:ascii="Palatino Linotype" w:hAnsi="Palatino Linotype"/>
                <w:noProof/>
                <w:webHidden/>
              </w:rPr>
              <w:fldChar w:fldCharType="end"/>
            </w:r>
          </w:hyperlink>
        </w:p>
        <w:p w:rsidR="001614FF" w:rsidRPr="00AA1CB9" w:rsidRDefault="00715018" w:rsidP="00C464D8">
          <w:pPr>
            <w:pStyle w:val="TDC1"/>
            <w:tabs>
              <w:tab w:val="right" w:leader="dot" w:pos="8779"/>
            </w:tabs>
            <w:spacing w:line="360" w:lineRule="auto"/>
            <w:rPr>
              <w:rFonts w:ascii="Palatino Linotype" w:hAnsi="Palatino Linotype"/>
              <w:noProof/>
              <w:lang w:val="es-MX" w:eastAsia="es-MX"/>
            </w:rPr>
          </w:pPr>
          <w:hyperlink w:anchor="_Toc3295481" w:history="1">
            <w:r w:rsidR="001614FF" w:rsidRPr="00AA1CB9">
              <w:rPr>
                <w:rStyle w:val="Hipervnculo"/>
                <w:rFonts w:ascii="Palatino Linotype" w:hAnsi="Palatino Linotype"/>
                <w:noProof/>
              </w:rPr>
              <w:t>CONSIDERANDO</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_Toc3295481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8</w:t>
            </w:r>
            <w:r w:rsidR="001614FF" w:rsidRPr="00AA1CB9">
              <w:rPr>
                <w:rFonts w:ascii="Palatino Linotype" w:hAnsi="Palatino Linotype"/>
                <w:noProof/>
                <w:webHidden/>
              </w:rPr>
              <w:fldChar w:fldCharType="end"/>
            </w:r>
          </w:hyperlink>
        </w:p>
        <w:p w:rsidR="001614FF" w:rsidRPr="00AA1CB9" w:rsidRDefault="00715018" w:rsidP="00C464D8">
          <w:pPr>
            <w:pStyle w:val="TDC2"/>
            <w:rPr>
              <w:noProof/>
              <w:lang w:val="es-MX" w:eastAsia="es-MX"/>
            </w:rPr>
          </w:pPr>
          <w:hyperlink w:anchor="_Toc3295482" w:history="1">
            <w:r w:rsidR="001614FF" w:rsidRPr="00AA1CB9">
              <w:rPr>
                <w:rStyle w:val="Hipervnculo"/>
                <w:rFonts w:ascii="Palatino Linotype" w:hAnsi="Palatino Linotype"/>
                <w:b/>
                <w:noProof/>
              </w:rPr>
              <w:t>PRIMERO. De la competencia</w:t>
            </w:r>
            <w:r w:rsidR="001614FF" w:rsidRPr="00AA1CB9">
              <w:rPr>
                <w:noProof/>
                <w:webHidden/>
              </w:rPr>
              <w:tab/>
            </w:r>
            <w:r w:rsidR="001614FF" w:rsidRPr="00AA1CB9">
              <w:rPr>
                <w:noProof/>
                <w:webHidden/>
              </w:rPr>
              <w:fldChar w:fldCharType="begin"/>
            </w:r>
            <w:r w:rsidR="001614FF" w:rsidRPr="00AA1CB9">
              <w:rPr>
                <w:noProof/>
                <w:webHidden/>
              </w:rPr>
              <w:instrText xml:space="preserve"> PAGEREF _Toc3295482 \h </w:instrText>
            </w:r>
            <w:r w:rsidR="001614FF" w:rsidRPr="00AA1CB9">
              <w:rPr>
                <w:noProof/>
                <w:webHidden/>
              </w:rPr>
            </w:r>
            <w:r w:rsidR="001614FF" w:rsidRPr="00AA1CB9">
              <w:rPr>
                <w:noProof/>
                <w:webHidden/>
              </w:rPr>
              <w:fldChar w:fldCharType="separate"/>
            </w:r>
            <w:r w:rsidR="00C464D8">
              <w:rPr>
                <w:noProof/>
                <w:webHidden/>
              </w:rPr>
              <w:t>8</w:t>
            </w:r>
            <w:r w:rsidR="001614FF" w:rsidRPr="00AA1CB9">
              <w:rPr>
                <w:noProof/>
                <w:webHidden/>
              </w:rPr>
              <w:fldChar w:fldCharType="end"/>
            </w:r>
          </w:hyperlink>
        </w:p>
        <w:p w:rsidR="001614FF" w:rsidRPr="00AA1CB9" w:rsidRDefault="00715018" w:rsidP="00C464D8">
          <w:pPr>
            <w:pStyle w:val="TDC2"/>
            <w:rPr>
              <w:noProof/>
              <w:lang w:val="es-MX" w:eastAsia="es-MX"/>
            </w:rPr>
          </w:pPr>
          <w:hyperlink w:anchor="_Toc3295483" w:history="1">
            <w:r w:rsidR="001614FF" w:rsidRPr="00AA1CB9">
              <w:rPr>
                <w:rStyle w:val="Hipervnculo"/>
                <w:rFonts w:ascii="Palatino Linotype" w:hAnsi="Palatino Linotype"/>
                <w:b/>
                <w:noProof/>
              </w:rPr>
              <w:t>SEGUNDO. De la oportunidad y procedencia.</w:t>
            </w:r>
            <w:r w:rsidR="001614FF" w:rsidRPr="00AA1CB9">
              <w:rPr>
                <w:noProof/>
                <w:webHidden/>
              </w:rPr>
              <w:tab/>
            </w:r>
            <w:r w:rsidR="001614FF" w:rsidRPr="00AA1CB9">
              <w:rPr>
                <w:noProof/>
                <w:webHidden/>
              </w:rPr>
              <w:fldChar w:fldCharType="begin"/>
            </w:r>
            <w:r w:rsidR="001614FF" w:rsidRPr="00AA1CB9">
              <w:rPr>
                <w:noProof/>
                <w:webHidden/>
              </w:rPr>
              <w:instrText xml:space="preserve"> PAGEREF _Toc3295483 \h </w:instrText>
            </w:r>
            <w:r w:rsidR="001614FF" w:rsidRPr="00AA1CB9">
              <w:rPr>
                <w:noProof/>
                <w:webHidden/>
              </w:rPr>
            </w:r>
            <w:r w:rsidR="001614FF" w:rsidRPr="00AA1CB9">
              <w:rPr>
                <w:noProof/>
                <w:webHidden/>
              </w:rPr>
              <w:fldChar w:fldCharType="separate"/>
            </w:r>
            <w:r w:rsidR="00C464D8">
              <w:rPr>
                <w:noProof/>
                <w:webHidden/>
              </w:rPr>
              <w:t>9</w:t>
            </w:r>
            <w:r w:rsidR="001614FF" w:rsidRPr="00AA1CB9">
              <w:rPr>
                <w:noProof/>
                <w:webHidden/>
              </w:rPr>
              <w:fldChar w:fldCharType="end"/>
            </w:r>
          </w:hyperlink>
        </w:p>
        <w:p w:rsidR="001614FF" w:rsidRPr="00AA1CB9" w:rsidRDefault="00715018" w:rsidP="00C464D8">
          <w:pPr>
            <w:pStyle w:val="TDC1"/>
            <w:tabs>
              <w:tab w:val="right" w:leader="dot" w:pos="8779"/>
            </w:tabs>
            <w:spacing w:line="360" w:lineRule="auto"/>
            <w:rPr>
              <w:rFonts w:ascii="Palatino Linotype" w:hAnsi="Palatino Linotype"/>
              <w:noProof/>
              <w:lang w:val="es-MX" w:eastAsia="es-MX"/>
            </w:rPr>
          </w:pPr>
          <w:hyperlink w:anchor="_Toc3295484" w:history="1">
            <w:r w:rsidR="001614FF" w:rsidRPr="00AA1CB9">
              <w:rPr>
                <w:rStyle w:val="Hipervnculo"/>
                <w:rFonts w:ascii="Palatino Linotype" w:hAnsi="Palatino Linotype"/>
                <w:noProof/>
                <w:lang w:eastAsia="es-MX"/>
              </w:rPr>
              <w:t>TERCERO. Planteamiento de la Litis</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_Toc3295484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10</w:t>
            </w:r>
            <w:r w:rsidR="001614FF" w:rsidRPr="00AA1CB9">
              <w:rPr>
                <w:rFonts w:ascii="Palatino Linotype" w:hAnsi="Palatino Linotype"/>
                <w:noProof/>
                <w:webHidden/>
              </w:rPr>
              <w:fldChar w:fldCharType="end"/>
            </w:r>
          </w:hyperlink>
        </w:p>
        <w:p w:rsidR="001614FF" w:rsidRPr="00AA1CB9" w:rsidRDefault="00715018" w:rsidP="00C464D8">
          <w:pPr>
            <w:pStyle w:val="TDC1"/>
            <w:tabs>
              <w:tab w:val="right" w:leader="dot" w:pos="8779"/>
            </w:tabs>
            <w:spacing w:line="360" w:lineRule="auto"/>
            <w:rPr>
              <w:rFonts w:ascii="Palatino Linotype" w:hAnsi="Palatino Linotype"/>
              <w:noProof/>
              <w:lang w:val="es-MX" w:eastAsia="es-MX"/>
            </w:rPr>
          </w:pPr>
          <w:hyperlink w:anchor="_Toc3295485" w:history="1">
            <w:r w:rsidR="001614FF" w:rsidRPr="00AA1CB9">
              <w:rPr>
                <w:rStyle w:val="Hipervnculo"/>
                <w:rFonts w:ascii="Palatino Linotype" w:hAnsi="Palatino Linotype"/>
                <w:noProof/>
              </w:rPr>
              <w:t>CUARTO. Análisis y resolución del asunto</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_Toc3295485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11</w:t>
            </w:r>
            <w:r w:rsidR="001614FF" w:rsidRPr="00AA1CB9">
              <w:rPr>
                <w:rFonts w:ascii="Palatino Linotype" w:hAnsi="Palatino Linotype"/>
                <w:noProof/>
                <w:webHidden/>
              </w:rPr>
              <w:fldChar w:fldCharType="end"/>
            </w:r>
          </w:hyperlink>
        </w:p>
        <w:p w:rsidR="001614FF" w:rsidRPr="00AA1CB9" w:rsidRDefault="00715018" w:rsidP="00C464D8">
          <w:pPr>
            <w:pStyle w:val="TDC3"/>
            <w:tabs>
              <w:tab w:val="left" w:pos="1100"/>
              <w:tab w:val="right" w:leader="dot" w:pos="8779"/>
            </w:tabs>
            <w:spacing w:line="360" w:lineRule="auto"/>
            <w:rPr>
              <w:rFonts w:ascii="Palatino Linotype" w:hAnsi="Palatino Linotype"/>
              <w:noProof/>
              <w:lang w:val="es-MX" w:eastAsia="es-MX"/>
            </w:rPr>
          </w:pPr>
          <w:hyperlink w:anchor="_Toc3295486" w:history="1">
            <w:r w:rsidR="001614FF" w:rsidRPr="00AA1CB9">
              <w:rPr>
                <w:rStyle w:val="Hipervnculo"/>
                <w:rFonts w:ascii="Palatino Linotype" w:hAnsi="Palatino Linotype"/>
                <w:b/>
                <w:noProof/>
              </w:rPr>
              <w:t>A)</w:t>
            </w:r>
            <w:r w:rsidR="001614FF" w:rsidRPr="00AA1CB9">
              <w:rPr>
                <w:rFonts w:ascii="Palatino Linotype" w:hAnsi="Palatino Linotype"/>
                <w:noProof/>
                <w:lang w:val="es-MX" w:eastAsia="es-MX"/>
              </w:rPr>
              <w:tab/>
            </w:r>
            <w:r w:rsidR="001614FF" w:rsidRPr="00AA1CB9">
              <w:rPr>
                <w:rStyle w:val="Hipervnculo"/>
                <w:rFonts w:ascii="Palatino Linotype" w:hAnsi="Palatino Linotype"/>
                <w:b/>
                <w:noProof/>
              </w:rPr>
              <w:t>De la fuente obligacional.</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_Toc3295486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11</w:t>
            </w:r>
            <w:r w:rsidR="001614FF" w:rsidRPr="00AA1CB9">
              <w:rPr>
                <w:rFonts w:ascii="Palatino Linotype" w:hAnsi="Palatino Linotype"/>
                <w:noProof/>
                <w:webHidden/>
              </w:rPr>
              <w:fldChar w:fldCharType="end"/>
            </w:r>
          </w:hyperlink>
        </w:p>
        <w:p w:rsidR="001614FF" w:rsidRPr="00AA1CB9" w:rsidRDefault="00715018" w:rsidP="00C464D8">
          <w:pPr>
            <w:pStyle w:val="TDC2"/>
            <w:rPr>
              <w:noProof/>
              <w:lang w:val="es-MX" w:eastAsia="es-MX"/>
            </w:rPr>
          </w:pPr>
          <w:hyperlink w:anchor="_Toc3295487" w:history="1">
            <w:r w:rsidR="001614FF" w:rsidRPr="00AA1CB9">
              <w:rPr>
                <w:rStyle w:val="Hipervnculo"/>
                <w:rFonts w:ascii="Palatino Linotype" w:hAnsi="Palatino Linotype"/>
                <w:b/>
                <w:noProof/>
              </w:rPr>
              <w:t>B)</w:t>
            </w:r>
            <w:r w:rsidR="001614FF" w:rsidRPr="00AA1CB9">
              <w:rPr>
                <w:noProof/>
                <w:lang w:val="es-MX" w:eastAsia="es-MX"/>
              </w:rPr>
              <w:tab/>
            </w:r>
            <w:r w:rsidR="001614FF" w:rsidRPr="00AA1CB9">
              <w:rPr>
                <w:rStyle w:val="Hipervnculo"/>
                <w:rFonts w:ascii="Palatino Linotype" w:hAnsi="Palatino Linotype"/>
                <w:b/>
                <w:noProof/>
              </w:rPr>
              <w:t>De la suplencia.</w:t>
            </w:r>
            <w:r w:rsidR="001614FF" w:rsidRPr="00AA1CB9">
              <w:rPr>
                <w:noProof/>
                <w:webHidden/>
              </w:rPr>
              <w:tab/>
            </w:r>
            <w:r w:rsidR="001614FF" w:rsidRPr="00AA1CB9">
              <w:rPr>
                <w:noProof/>
                <w:webHidden/>
              </w:rPr>
              <w:fldChar w:fldCharType="begin"/>
            </w:r>
            <w:r w:rsidR="001614FF" w:rsidRPr="00AA1CB9">
              <w:rPr>
                <w:noProof/>
                <w:webHidden/>
              </w:rPr>
              <w:instrText xml:space="preserve"> PAGEREF _Toc3295487 \h </w:instrText>
            </w:r>
            <w:r w:rsidR="001614FF" w:rsidRPr="00AA1CB9">
              <w:rPr>
                <w:noProof/>
                <w:webHidden/>
              </w:rPr>
            </w:r>
            <w:r w:rsidR="001614FF" w:rsidRPr="00AA1CB9">
              <w:rPr>
                <w:noProof/>
                <w:webHidden/>
              </w:rPr>
              <w:fldChar w:fldCharType="separate"/>
            </w:r>
            <w:r w:rsidR="00C464D8">
              <w:rPr>
                <w:noProof/>
                <w:webHidden/>
              </w:rPr>
              <w:t>12</w:t>
            </w:r>
            <w:r w:rsidR="001614FF" w:rsidRPr="00AA1CB9">
              <w:rPr>
                <w:noProof/>
                <w:webHidden/>
              </w:rPr>
              <w:fldChar w:fldCharType="end"/>
            </w:r>
          </w:hyperlink>
        </w:p>
        <w:p w:rsidR="001614FF" w:rsidRPr="00AA1CB9" w:rsidRDefault="00715018" w:rsidP="00C464D8">
          <w:pPr>
            <w:pStyle w:val="TDC2"/>
            <w:rPr>
              <w:noProof/>
              <w:lang w:val="es-MX" w:eastAsia="es-MX"/>
            </w:rPr>
          </w:pPr>
          <w:hyperlink w:anchor="_Toc3295488" w:history="1">
            <w:r w:rsidR="001614FF" w:rsidRPr="00AA1CB9">
              <w:rPr>
                <w:rStyle w:val="Hipervnculo"/>
                <w:rFonts w:ascii="Palatino Linotype" w:eastAsia="Calibri" w:hAnsi="Palatino Linotype"/>
                <w:b/>
                <w:noProof/>
              </w:rPr>
              <w:t>C)</w:t>
            </w:r>
            <w:r w:rsidR="001614FF" w:rsidRPr="00AA1CB9">
              <w:rPr>
                <w:noProof/>
                <w:lang w:val="es-MX" w:eastAsia="es-MX"/>
              </w:rPr>
              <w:tab/>
            </w:r>
            <w:r w:rsidR="001614FF" w:rsidRPr="00AA1CB9">
              <w:rPr>
                <w:rStyle w:val="Hipervnculo"/>
                <w:rFonts w:ascii="Palatino Linotype" w:eastAsia="Calibri" w:hAnsi="Palatino Linotype"/>
                <w:b/>
                <w:noProof/>
              </w:rPr>
              <w:t>De las versiones públicas.</w:t>
            </w:r>
            <w:r w:rsidR="001614FF" w:rsidRPr="00AA1CB9">
              <w:rPr>
                <w:noProof/>
                <w:webHidden/>
              </w:rPr>
              <w:tab/>
            </w:r>
            <w:r w:rsidR="001614FF" w:rsidRPr="00AA1CB9">
              <w:rPr>
                <w:noProof/>
                <w:webHidden/>
              </w:rPr>
              <w:fldChar w:fldCharType="begin"/>
            </w:r>
            <w:r w:rsidR="001614FF" w:rsidRPr="00AA1CB9">
              <w:rPr>
                <w:noProof/>
                <w:webHidden/>
              </w:rPr>
              <w:instrText xml:space="preserve"> PAGEREF _Toc3295488 \h </w:instrText>
            </w:r>
            <w:r w:rsidR="001614FF" w:rsidRPr="00AA1CB9">
              <w:rPr>
                <w:noProof/>
                <w:webHidden/>
              </w:rPr>
            </w:r>
            <w:r w:rsidR="001614FF" w:rsidRPr="00AA1CB9">
              <w:rPr>
                <w:noProof/>
                <w:webHidden/>
              </w:rPr>
              <w:fldChar w:fldCharType="separate"/>
            </w:r>
            <w:r w:rsidR="00C464D8">
              <w:rPr>
                <w:noProof/>
                <w:webHidden/>
              </w:rPr>
              <w:t>16</w:t>
            </w:r>
            <w:r w:rsidR="001614FF" w:rsidRPr="00AA1CB9">
              <w:rPr>
                <w:noProof/>
                <w:webHidden/>
              </w:rPr>
              <w:fldChar w:fldCharType="end"/>
            </w:r>
          </w:hyperlink>
        </w:p>
        <w:p w:rsidR="001614FF" w:rsidRPr="00AA1CB9" w:rsidRDefault="00715018" w:rsidP="00C464D8">
          <w:pPr>
            <w:pStyle w:val="TDC2"/>
            <w:rPr>
              <w:noProof/>
              <w:lang w:val="es-MX" w:eastAsia="es-MX"/>
            </w:rPr>
          </w:pPr>
          <w:hyperlink w:anchor="_Toc3295489" w:history="1">
            <w:r w:rsidR="001614FF" w:rsidRPr="00AA1CB9">
              <w:rPr>
                <w:rStyle w:val="Hipervnculo"/>
                <w:rFonts w:ascii="Palatino Linotype" w:eastAsia="Calibri" w:hAnsi="Palatino Linotype"/>
                <w:b/>
                <w:noProof/>
              </w:rPr>
              <w:t>D)</w:t>
            </w:r>
            <w:r w:rsidR="001614FF" w:rsidRPr="00AA1CB9">
              <w:rPr>
                <w:noProof/>
                <w:lang w:val="es-MX" w:eastAsia="es-MX"/>
              </w:rPr>
              <w:tab/>
            </w:r>
            <w:r w:rsidR="001614FF" w:rsidRPr="00AA1CB9">
              <w:rPr>
                <w:rStyle w:val="Hipervnculo"/>
                <w:rFonts w:ascii="Palatino Linotype" w:eastAsia="Calibri" w:hAnsi="Palatino Linotype"/>
                <w:b/>
                <w:noProof/>
              </w:rPr>
              <w:t>De la clasificación de la información.</w:t>
            </w:r>
            <w:r w:rsidR="001614FF" w:rsidRPr="00AA1CB9">
              <w:rPr>
                <w:noProof/>
                <w:webHidden/>
              </w:rPr>
              <w:tab/>
            </w:r>
            <w:r w:rsidR="001614FF" w:rsidRPr="00AA1CB9">
              <w:rPr>
                <w:noProof/>
                <w:webHidden/>
              </w:rPr>
              <w:fldChar w:fldCharType="begin"/>
            </w:r>
            <w:r w:rsidR="001614FF" w:rsidRPr="00AA1CB9">
              <w:rPr>
                <w:noProof/>
                <w:webHidden/>
              </w:rPr>
              <w:instrText xml:space="preserve"> PAGEREF _Toc3295489 \h </w:instrText>
            </w:r>
            <w:r w:rsidR="001614FF" w:rsidRPr="00AA1CB9">
              <w:rPr>
                <w:noProof/>
                <w:webHidden/>
              </w:rPr>
            </w:r>
            <w:r w:rsidR="001614FF" w:rsidRPr="00AA1CB9">
              <w:rPr>
                <w:noProof/>
                <w:webHidden/>
              </w:rPr>
              <w:fldChar w:fldCharType="separate"/>
            </w:r>
            <w:r w:rsidR="00C464D8">
              <w:rPr>
                <w:noProof/>
                <w:webHidden/>
              </w:rPr>
              <w:t>21</w:t>
            </w:r>
            <w:r w:rsidR="001614FF" w:rsidRPr="00AA1CB9">
              <w:rPr>
                <w:noProof/>
                <w:webHidden/>
              </w:rPr>
              <w:fldChar w:fldCharType="end"/>
            </w:r>
          </w:hyperlink>
        </w:p>
        <w:p w:rsidR="001614FF" w:rsidRPr="00AA1CB9" w:rsidRDefault="00715018" w:rsidP="00C464D8">
          <w:pPr>
            <w:pStyle w:val="TDC3"/>
            <w:tabs>
              <w:tab w:val="left" w:pos="880"/>
              <w:tab w:val="right" w:leader="dot" w:pos="8779"/>
            </w:tabs>
            <w:spacing w:line="360" w:lineRule="auto"/>
            <w:rPr>
              <w:rFonts w:ascii="Palatino Linotype" w:hAnsi="Palatino Linotype"/>
              <w:noProof/>
              <w:lang w:val="es-MX" w:eastAsia="es-MX"/>
            </w:rPr>
          </w:pPr>
          <w:hyperlink w:anchor="_Toc3295490" w:history="1">
            <w:r w:rsidR="001614FF" w:rsidRPr="00AA1CB9">
              <w:rPr>
                <w:rStyle w:val="Hipervnculo"/>
                <w:rFonts w:ascii="Palatino Linotype" w:hAnsi="Palatino Linotype"/>
                <w:b/>
                <w:noProof/>
              </w:rPr>
              <w:t>I.</w:t>
            </w:r>
            <w:r w:rsidR="001614FF" w:rsidRPr="00AA1CB9">
              <w:rPr>
                <w:rFonts w:ascii="Palatino Linotype" w:hAnsi="Palatino Linotype"/>
                <w:noProof/>
                <w:lang w:val="es-MX" w:eastAsia="es-MX"/>
              </w:rPr>
              <w:tab/>
            </w:r>
            <w:r w:rsidR="001614FF" w:rsidRPr="00AA1CB9">
              <w:rPr>
                <w:rStyle w:val="Hipervnculo"/>
                <w:rFonts w:ascii="Palatino Linotype" w:hAnsi="Palatino Linotype"/>
                <w:b/>
                <w:noProof/>
              </w:rPr>
              <w:t>Supuestos de clasificación</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_Toc3295490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23</w:t>
            </w:r>
            <w:r w:rsidR="001614FF" w:rsidRPr="00AA1CB9">
              <w:rPr>
                <w:rFonts w:ascii="Palatino Linotype" w:hAnsi="Palatino Linotype"/>
                <w:noProof/>
                <w:webHidden/>
              </w:rPr>
              <w:fldChar w:fldCharType="end"/>
            </w:r>
          </w:hyperlink>
        </w:p>
        <w:p w:rsidR="001614FF" w:rsidRPr="00AA1CB9" w:rsidRDefault="00715018" w:rsidP="00C464D8">
          <w:pPr>
            <w:pStyle w:val="TDC3"/>
            <w:tabs>
              <w:tab w:val="left" w:pos="1100"/>
              <w:tab w:val="right" w:leader="dot" w:pos="8779"/>
            </w:tabs>
            <w:spacing w:line="360" w:lineRule="auto"/>
            <w:rPr>
              <w:rFonts w:ascii="Palatino Linotype" w:hAnsi="Palatino Linotype"/>
              <w:noProof/>
              <w:lang w:val="es-MX" w:eastAsia="es-MX"/>
            </w:rPr>
          </w:pPr>
          <w:hyperlink w:anchor="_Toc3295491" w:history="1">
            <w:r w:rsidR="001614FF" w:rsidRPr="00AA1CB9">
              <w:rPr>
                <w:rStyle w:val="Hipervnculo"/>
                <w:rFonts w:ascii="Palatino Linotype" w:hAnsi="Palatino Linotype"/>
                <w:b/>
                <w:noProof/>
              </w:rPr>
              <w:t>II.</w:t>
            </w:r>
            <w:r w:rsidR="001614FF" w:rsidRPr="00AA1CB9">
              <w:rPr>
                <w:rFonts w:ascii="Palatino Linotype" w:hAnsi="Palatino Linotype"/>
                <w:noProof/>
                <w:lang w:val="es-MX" w:eastAsia="es-MX"/>
              </w:rPr>
              <w:tab/>
            </w:r>
            <w:r w:rsidR="001614FF" w:rsidRPr="00AA1CB9">
              <w:rPr>
                <w:rStyle w:val="Hipervnculo"/>
                <w:rFonts w:ascii="Palatino Linotype" w:hAnsi="Palatino Linotype"/>
                <w:b/>
                <w:noProof/>
              </w:rPr>
              <w:t>Excepciones a los supuestos de clasificación de la información como reservada</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_Toc3295491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30</w:t>
            </w:r>
            <w:r w:rsidR="001614FF" w:rsidRPr="00AA1CB9">
              <w:rPr>
                <w:rFonts w:ascii="Palatino Linotype" w:hAnsi="Palatino Linotype"/>
                <w:noProof/>
                <w:webHidden/>
              </w:rPr>
              <w:fldChar w:fldCharType="end"/>
            </w:r>
          </w:hyperlink>
        </w:p>
        <w:p w:rsidR="001614FF" w:rsidRPr="00AA1CB9" w:rsidRDefault="00715018" w:rsidP="00C464D8">
          <w:pPr>
            <w:pStyle w:val="TDC3"/>
            <w:tabs>
              <w:tab w:val="left" w:pos="1100"/>
              <w:tab w:val="right" w:leader="dot" w:pos="8779"/>
            </w:tabs>
            <w:spacing w:line="360" w:lineRule="auto"/>
            <w:rPr>
              <w:rFonts w:ascii="Palatino Linotype" w:hAnsi="Palatino Linotype"/>
              <w:noProof/>
              <w:lang w:val="es-MX" w:eastAsia="es-MX"/>
            </w:rPr>
          </w:pPr>
          <w:hyperlink w:anchor="_Toc3295492" w:history="1">
            <w:r w:rsidR="001614FF" w:rsidRPr="00AA1CB9">
              <w:rPr>
                <w:rStyle w:val="Hipervnculo"/>
                <w:rFonts w:ascii="Palatino Linotype" w:hAnsi="Palatino Linotype"/>
                <w:b/>
                <w:noProof/>
              </w:rPr>
              <w:t>III.</w:t>
            </w:r>
            <w:r w:rsidR="001614FF" w:rsidRPr="00AA1CB9">
              <w:rPr>
                <w:rFonts w:ascii="Palatino Linotype" w:hAnsi="Palatino Linotype"/>
                <w:noProof/>
                <w:lang w:val="es-MX" w:eastAsia="es-MX"/>
              </w:rPr>
              <w:tab/>
            </w:r>
            <w:r w:rsidR="001614FF" w:rsidRPr="00AA1CB9">
              <w:rPr>
                <w:rStyle w:val="Hipervnculo"/>
                <w:rFonts w:ascii="Palatino Linotype" w:hAnsi="Palatino Linotype"/>
                <w:b/>
                <w:noProof/>
              </w:rPr>
              <w:t>Condiciones especiales de la clasificación de la información como reservada</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_Toc3295492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31</w:t>
            </w:r>
            <w:r w:rsidR="001614FF" w:rsidRPr="00AA1CB9">
              <w:rPr>
                <w:rFonts w:ascii="Palatino Linotype" w:hAnsi="Palatino Linotype"/>
                <w:noProof/>
                <w:webHidden/>
              </w:rPr>
              <w:fldChar w:fldCharType="end"/>
            </w:r>
          </w:hyperlink>
        </w:p>
        <w:p w:rsidR="001614FF" w:rsidRPr="00AA1CB9" w:rsidRDefault="00715018" w:rsidP="00C464D8">
          <w:pPr>
            <w:pStyle w:val="TDC3"/>
            <w:tabs>
              <w:tab w:val="left" w:pos="1100"/>
              <w:tab w:val="right" w:leader="dot" w:pos="8779"/>
            </w:tabs>
            <w:spacing w:line="360" w:lineRule="auto"/>
            <w:rPr>
              <w:rFonts w:ascii="Palatino Linotype" w:hAnsi="Palatino Linotype"/>
              <w:noProof/>
              <w:lang w:val="es-MX" w:eastAsia="es-MX"/>
            </w:rPr>
          </w:pPr>
          <w:hyperlink w:anchor="_Toc3295493" w:history="1">
            <w:r w:rsidR="001614FF" w:rsidRPr="00AA1CB9">
              <w:rPr>
                <w:rStyle w:val="Hipervnculo"/>
                <w:rFonts w:ascii="Palatino Linotype" w:hAnsi="Palatino Linotype"/>
                <w:b/>
                <w:noProof/>
              </w:rPr>
              <w:t>IV.</w:t>
            </w:r>
            <w:r w:rsidR="001614FF" w:rsidRPr="00AA1CB9">
              <w:rPr>
                <w:rFonts w:ascii="Palatino Linotype" w:hAnsi="Palatino Linotype"/>
                <w:noProof/>
                <w:lang w:val="es-MX" w:eastAsia="es-MX"/>
              </w:rPr>
              <w:tab/>
            </w:r>
            <w:r w:rsidR="001614FF" w:rsidRPr="00AA1CB9">
              <w:rPr>
                <w:rStyle w:val="Hipervnculo"/>
                <w:rFonts w:ascii="Palatino Linotype" w:hAnsi="Palatino Linotype"/>
                <w:b/>
                <w:noProof/>
              </w:rPr>
              <w:t>La clasificación de la información reservada debe ser de manera temporal.</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_Toc3295493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35</w:t>
            </w:r>
            <w:r w:rsidR="001614FF" w:rsidRPr="00AA1CB9">
              <w:rPr>
                <w:rFonts w:ascii="Palatino Linotype" w:hAnsi="Palatino Linotype"/>
                <w:noProof/>
                <w:webHidden/>
              </w:rPr>
              <w:fldChar w:fldCharType="end"/>
            </w:r>
          </w:hyperlink>
        </w:p>
        <w:p w:rsidR="001614FF" w:rsidRPr="00AA1CB9" w:rsidRDefault="00715018" w:rsidP="00C464D8">
          <w:pPr>
            <w:pStyle w:val="TDC2"/>
            <w:rPr>
              <w:noProof/>
              <w:lang w:val="es-MX" w:eastAsia="es-MX"/>
            </w:rPr>
          </w:pPr>
          <w:hyperlink w:anchor="_Toc3295494" w:history="1">
            <w:r w:rsidR="001614FF" w:rsidRPr="00AA1CB9">
              <w:rPr>
                <w:rStyle w:val="Hipervnculo"/>
                <w:rFonts w:ascii="Palatino Linotype" w:eastAsia="Calibri" w:hAnsi="Palatino Linotype"/>
                <w:b/>
                <w:noProof/>
              </w:rPr>
              <w:t>E)</w:t>
            </w:r>
            <w:r w:rsidR="001614FF" w:rsidRPr="00AA1CB9">
              <w:rPr>
                <w:noProof/>
                <w:lang w:val="es-MX" w:eastAsia="es-MX"/>
              </w:rPr>
              <w:tab/>
            </w:r>
            <w:r w:rsidR="001614FF" w:rsidRPr="00AA1CB9">
              <w:rPr>
                <w:rStyle w:val="Hipervnculo"/>
                <w:rFonts w:ascii="Palatino Linotype" w:eastAsia="Calibri" w:hAnsi="Palatino Linotype"/>
                <w:b/>
                <w:noProof/>
              </w:rPr>
              <w:t>Causales de desclasificación.</w:t>
            </w:r>
            <w:r w:rsidR="001614FF" w:rsidRPr="00AA1CB9">
              <w:rPr>
                <w:noProof/>
                <w:webHidden/>
              </w:rPr>
              <w:tab/>
            </w:r>
            <w:r w:rsidR="001614FF" w:rsidRPr="00AA1CB9">
              <w:rPr>
                <w:noProof/>
                <w:webHidden/>
              </w:rPr>
              <w:fldChar w:fldCharType="begin"/>
            </w:r>
            <w:r w:rsidR="001614FF" w:rsidRPr="00AA1CB9">
              <w:rPr>
                <w:noProof/>
                <w:webHidden/>
              </w:rPr>
              <w:instrText xml:space="preserve"> PAGEREF _Toc3295494 \h </w:instrText>
            </w:r>
            <w:r w:rsidR="001614FF" w:rsidRPr="00AA1CB9">
              <w:rPr>
                <w:noProof/>
                <w:webHidden/>
              </w:rPr>
            </w:r>
            <w:r w:rsidR="001614FF" w:rsidRPr="00AA1CB9">
              <w:rPr>
                <w:noProof/>
                <w:webHidden/>
              </w:rPr>
              <w:fldChar w:fldCharType="separate"/>
            </w:r>
            <w:r w:rsidR="00C464D8">
              <w:rPr>
                <w:noProof/>
                <w:webHidden/>
              </w:rPr>
              <w:t>42</w:t>
            </w:r>
            <w:r w:rsidR="001614FF" w:rsidRPr="00AA1CB9">
              <w:rPr>
                <w:noProof/>
                <w:webHidden/>
              </w:rPr>
              <w:fldChar w:fldCharType="end"/>
            </w:r>
          </w:hyperlink>
        </w:p>
        <w:p w:rsidR="001614FF" w:rsidRPr="00AA1CB9" w:rsidRDefault="00715018" w:rsidP="00C464D8">
          <w:pPr>
            <w:pStyle w:val="TDC1"/>
            <w:tabs>
              <w:tab w:val="right" w:leader="dot" w:pos="8779"/>
            </w:tabs>
            <w:spacing w:line="360" w:lineRule="auto"/>
            <w:rPr>
              <w:rFonts w:ascii="Palatino Linotype" w:hAnsi="Palatino Linotype"/>
              <w:noProof/>
              <w:lang w:val="es-MX" w:eastAsia="es-MX"/>
            </w:rPr>
          </w:pPr>
          <w:hyperlink w:anchor="_Toc3295495" w:history="1">
            <w:r w:rsidR="001614FF" w:rsidRPr="00AA1CB9">
              <w:rPr>
                <w:rStyle w:val="Hipervnculo"/>
                <w:rFonts w:ascii="Palatino Linotype" w:eastAsia="Times New Roman" w:hAnsi="Palatino Linotype" w:cstheme="majorBidi"/>
                <w:b/>
                <w:bCs/>
                <w:noProof/>
              </w:rPr>
              <w:t>R E S O L U T I V O S</w:t>
            </w:r>
            <w:r w:rsidR="001614FF" w:rsidRPr="00AA1CB9">
              <w:rPr>
                <w:rFonts w:ascii="Palatino Linotype" w:hAnsi="Palatino Linotype"/>
                <w:noProof/>
                <w:webHidden/>
              </w:rPr>
              <w:tab/>
            </w:r>
            <w:r w:rsidR="001614FF" w:rsidRPr="00AA1CB9">
              <w:rPr>
                <w:rFonts w:ascii="Palatino Linotype" w:hAnsi="Palatino Linotype"/>
                <w:noProof/>
                <w:webHidden/>
              </w:rPr>
              <w:fldChar w:fldCharType="begin"/>
            </w:r>
            <w:r w:rsidR="001614FF" w:rsidRPr="00AA1CB9">
              <w:rPr>
                <w:rFonts w:ascii="Palatino Linotype" w:hAnsi="Palatino Linotype"/>
                <w:noProof/>
                <w:webHidden/>
              </w:rPr>
              <w:instrText xml:space="preserve"> PAGEREF _Toc3295495 \h </w:instrText>
            </w:r>
            <w:r w:rsidR="001614FF" w:rsidRPr="00AA1CB9">
              <w:rPr>
                <w:rFonts w:ascii="Palatino Linotype" w:hAnsi="Palatino Linotype"/>
                <w:noProof/>
                <w:webHidden/>
              </w:rPr>
            </w:r>
            <w:r w:rsidR="001614FF" w:rsidRPr="00AA1CB9">
              <w:rPr>
                <w:rFonts w:ascii="Palatino Linotype" w:hAnsi="Palatino Linotype"/>
                <w:noProof/>
                <w:webHidden/>
              </w:rPr>
              <w:fldChar w:fldCharType="separate"/>
            </w:r>
            <w:r w:rsidR="00C464D8">
              <w:rPr>
                <w:rFonts w:ascii="Palatino Linotype" w:hAnsi="Palatino Linotype"/>
                <w:noProof/>
                <w:webHidden/>
              </w:rPr>
              <w:t>55</w:t>
            </w:r>
            <w:r w:rsidR="001614FF" w:rsidRPr="00AA1CB9">
              <w:rPr>
                <w:rFonts w:ascii="Palatino Linotype" w:hAnsi="Palatino Linotype"/>
                <w:noProof/>
                <w:webHidden/>
              </w:rPr>
              <w:fldChar w:fldCharType="end"/>
            </w:r>
          </w:hyperlink>
        </w:p>
        <w:p w:rsidR="008267C9" w:rsidRPr="00AA1CB9" w:rsidRDefault="002A5BA4" w:rsidP="00C464D8">
          <w:pPr>
            <w:spacing w:line="360" w:lineRule="auto"/>
            <w:rPr>
              <w:rFonts w:ascii="Palatino Linotype" w:hAnsi="Palatino Linotype"/>
            </w:rPr>
          </w:pPr>
          <w:r w:rsidRPr="00AA1CB9">
            <w:rPr>
              <w:rFonts w:ascii="Palatino Linotype" w:hAnsi="Palatino Linotype"/>
              <w:b/>
              <w:bCs/>
              <w:lang w:val="es-ES"/>
            </w:rPr>
            <w:fldChar w:fldCharType="end"/>
          </w:r>
        </w:p>
      </w:sdtContent>
    </w:sdt>
    <w:p w:rsidR="002A5BA4" w:rsidRPr="00AA1CB9" w:rsidRDefault="002A5BA4" w:rsidP="00C464D8">
      <w:pPr>
        <w:spacing w:after="240" w:line="360" w:lineRule="auto"/>
        <w:jc w:val="both"/>
        <w:rPr>
          <w:rFonts w:ascii="Palatino Linotype" w:hAnsi="Palatino Linotype"/>
        </w:rPr>
      </w:pPr>
      <w:r w:rsidRPr="00AA1CB9">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934DB8" w:rsidRPr="00AA1CB9">
        <w:rPr>
          <w:rFonts w:ascii="Palatino Linotype" w:hAnsi="Palatino Linotype"/>
        </w:rPr>
        <w:t xml:space="preserve"> </w:t>
      </w:r>
      <w:r w:rsidR="008642DB" w:rsidRPr="00AA1CB9">
        <w:rPr>
          <w:rFonts w:ascii="Palatino Linotype" w:hAnsi="Palatino Linotype"/>
        </w:rPr>
        <w:t xml:space="preserve">trece (13) </w:t>
      </w:r>
      <w:r w:rsidRPr="00AA1CB9">
        <w:rPr>
          <w:rFonts w:ascii="Palatino Linotype" w:hAnsi="Palatino Linotype"/>
        </w:rPr>
        <w:t xml:space="preserve">de </w:t>
      </w:r>
      <w:r w:rsidR="00C464D8">
        <w:rPr>
          <w:rFonts w:ascii="Palatino Linotype" w:hAnsi="Palatino Linotype"/>
        </w:rPr>
        <w:t xml:space="preserve">marzo de </w:t>
      </w:r>
      <w:r w:rsidRPr="00AA1CB9">
        <w:rPr>
          <w:rFonts w:ascii="Palatino Linotype" w:hAnsi="Palatino Linotype"/>
        </w:rPr>
        <w:t xml:space="preserve">dos mil </w:t>
      </w:r>
      <w:r w:rsidR="008642DB" w:rsidRPr="00AA1CB9">
        <w:rPr>
          <w:rFonts w:ascii="Palatino Linotype" w:eastAsia="Calibri" w:hAnsi="Palatino Linotype" w:cs="Arial"/>
          <w:lang w:val="es-ES"/>
        </w:rPr>
        <w:t>diecinueve.</w:t>
      </w:r>
    </w:p>
    <w:p w:rsidR="002A5BA4" w:rsidRPr="00AA1CB9" w:rsidRDefault="002A5BA4" w:rsidP="00C464D8">
      <w:pPr>
        <w:spacing w:after="360" w:line="360" w:lineRule="auto"/>
        <w:jc w:val="both"/>
        <w:rPr>
          <w:rFonts w:ascii="Palatino Linotype" w:hAnsi="Palatino Linotype"/>
        </w:rPr>
      </w:pPr>
      <w:r w:rsidRPr="00AA1CB9">
        <w:rPr>
          <w:rFonts w:ascii="Palatino Linotype" w:hAnsi="Palatino Linotype"/>
          <w:b/>
        </w:rPr>
        <w:t>VISTO</w:t>
      </w:r>
      <w:r w:rsidR="00C464D8">
        <w:rPr>
          <w:rFonts w:ascii="Palatino Linotype" w:hAnsi="Palatino Linotype"/>
        </w:rPr>
        <w:t xml:space="preserve"> el</w:t>
      </w:r>
      <w:r w:rsidRPr="00AA1CB9">
        <w:rPr>
          <w:rFonts w:ascii="Palatino Linotype" w:hAnsi="Palatino Linotype"/>
        </w:rPr>
        <w:t xml:space="preserve"> expediente electrónico formado con motivo del recurso de revisión </w:t>
      </w:r>
      <w:r w:rsidR="006573BC" w:rsidRPr="00AA1CB9">
        <w:rPr>
          <w:rFonts w:ascii="Palatino Linotype" w:hAnsi="Palatino Linotype" w:cs="Arial"/>
          <w:b/>
          <w:bCs/>
        </w:rPr>
        <w:t>0</w:t>
      </w:r>
      <w:r w:rsidR="002D2465" w:rsidRPr="00AA1CB9">
        <w:rPr>
          <w:rFonts w:ascii="Palatino Linotype" w:hAnsi="Palatino Linotype" w:cs="Arial"/>
          <w:b/>
          <w:bCs/>
        </w:rPr>
        <w:t>0018</w:t>
      </w:r>
      <w:r w:rsidR="000404FD" w:rsidRPr="00AA1CB9">
        <w:rPr>
          <w:rFonts w:ascii="Palatino Linotype" w:hAnsi="Palatino Linotype" w:cs="Arial"/>
          <w:b/>
          <w:bCs/>
        </w:rPr>
        <w:t>/INFOEM/IP/RR/201</w:t>
      </w:r>
      <w:r w:rsidR="002D2465" w:rsidRPr="00AA1CB9">
        <w:rPr>
          <w:rFonts w:ascii="Palatino Linotype" w:hAnsi="Palatino Linotype" w:cs="Arial"/>
          <w:b/>
          <w:bCs/>
        </w:rPr>
        <w:t>9</w:t>
      </w:r>
      <w:r w:rsidR="00934DB8" w:rsidRPr="00AA1CB9">
        <w:rPr>
          <w:rFonts w:ascii="Palatino Linotype" w:hAnsi="Palatino Linotype" w:cs="Arial"/>
          <w:b/>
          <w:bCs/>
        </w:rPr>
        <w:t xml:space="preserve">, </w:t>
      </w:r>
      <w:r w:rsidRPr="00AA1CB9">
        <w:rPr>
          <w:rFonts w:ascii="Palatino Linotype" w:hAnsi="Palatino Linotype"/>
        </w:rPr>
        <w:t xml:space="preserve">promovido por </w:t>
      </w:r>
      <w:r w:rsidR="00F93171" w:rsidRPr="00F93171">
        <w:rPr>
          <w:rFonts w:ascii="Palatino Linotype" w:hAnsi="Palatino Linotype"/>
          <w:b/>
          <w:highlight w:val="black"/>
        </w:rPr>
        <w:t>---------------------------</w:t>
      </w:r>
      <w:r w:rsidR="00141DF6" w:rsidRPr="00AA1CB9">
        <w:rPr>
          <w:rFonts w:ascii="Palatino Linotype" w:hAnsi="Palatino Linotype"/>
          <w:b/>
        </w:rPr>
        <w:t>,</w:t>
      </w:r>
      <w:r w:rsidRPr="00AA1CB9">
        <w:rPr>
          <w:rFonts w:ascii="Palatino Linotype" w:hAnsi="Palatino Linotype"/>
          <w:b/>
        </w:rPr>
        <w:t xml:space="preserve"> </w:t>
      </w:r>
      <w:r w:rsidRPr="00AA1CB9">
        <w:rPr>
          <w:rFonts w:ascii="Palatino Linotype" w:hAnsi="Palatino Linotype" w:cs="Arial"/>
        </w:rPr>
        <w:t xml:space="preserve">en su calidad de </w:t>
      </w:r>
      <w:r w:rsidRPr="00AA1CB9">
        <w:rPr>
          <w:rFonts w:ascii="Palatino Linotype" w:hAnsi="Palatino Linotype" w:cs="Arial"/>
          <w:b/>
        </w:rPr>
        <w:t>RECURRENTE</w:t>
      </w:r>
      <w:r w:rsidRPr="00AA1CB9">
        <w:rPr>
          <w:rFonts w:ascii="Palatino Linotype" w:hAnsi="Palatino Linotype" w:cs="Arial"/>
        </w:rPr>
        <w:t>, en contra de la respuesta de</w:t>
      </w:r>
      <w:r w:rsidR="009A66DF" w:rsidRPr="00AA1CB9">
        <w:rPr>
          <w:rFonts w:ascii="Palatino Linotype" w:hAnsi="Palatino Linotype" w:cs="Arial"/>
        </w:rPr>
        <w:t xml:space="preserve"> </w:t>
      </w:r>
      <w:r w:rsidRPr="00AA1CB9">
        <w:rPr>
          <w:rFonts w:ascii="Palatino Linotype" w:hAnsi="Palatino Linotype" w:cs="Arial"/>
        </w:rPr>
        <w:t>l</w:t>
      </w:r>
      <w:r w:rsidR="009A66DF" w:rsidRPr="00AA1CB9">
        <w:rPr>
          <w:rFonts w:ascii="Palatino Linotype" w:hAnsi="Palatino Linotype" w:cs="Arial"/>
        </w:rPr>
        <w:t>a</w:t>
      </w:r>
      <w:r w:rsidRPr="00AA1CB9">
        <w:rPr>
          <w:rFonts w:ascii="Palatino Linotype" w:hAnsi="Palatino Linotype" w:cs="Arial"/>
        </w:rPr>
        <w:t xml:space="preserve"> </w:t>
      </w:r>
      <w:r w:rsidR="00B85C3A" w:rsidRPr="00AA1CB9">
        <w:rPr>
          <w:rFonts w:ascii="Palatino Linotype" w:hAnsi="Palatino Linotype" w:cs="Arial"/>
          <w:b/>
        </w:rPr>
        <w:t>Secretaría de Seguridad</w:t>
      </w:r>
      <w:r w:rsidRPr="00AA1CB9">
        <w:rPr>
          <w:rFonts w:ascii="Palatino Linotype" w:hAnsi="Palatino Linotype" w:cs="Arial"/>
        </w:rPr>
        <w:t>,</w:t>
      </w:r>
      <w:r w:rsidRPr="00AA1CB9">
        <w:rPr>
          <w:rFonts w:ascii="Palatino Linotype" w:hAnsi="Palatino Linotype"/>
          <w:b/>
        </w:rPr>
        <w:t xml:space="preserve"> </w:t>
      </w:r>
      <w:r w:rsidRPr="00AA1CB9">
        <w:rPr>
          <w:rFonts w:ascii="Palatino Linotype" w:hAnsi="Palatino Linotype"/>
        </w:rPr>
        <w:t>en lo sucesivo el</w:t>
      </w:r>
      <w:r w:rsidRPr="00AA1CB9">
        <w:rPr>
          <w:rFonts w:ascii="Palatino Linotype" w:hAnsi="Palatino Linotype"/>
          <w:b/>
        </w:rPr>
        <w:t xml:space="preserve"> SUJETO OBLIGADO, </w:t>
      </w:r>
      <w:r w:rsidRPr="00AA1CB9">
        <w:rPr>
          <w:rFonts w:ascii="Palatino Linotype" w:hAnsi="Palatino Linotype"/>
        </w:rPr>
        <w:t xml:space="preserve">se procede a dictar la presente resolución, con base en los siguientes: </w:t>
      </w:r>
    </w:p>
    <w:p w:rsidR="002A5BA4" w:rsidRPr="00C464D8" w:rsidRDefault="002A5BA4" w:rsidP="00C464D8">
      <w:pPr>
        <w:pStyle w:val="Ttulo1"/>
        <w:spacing w:before="0" w:line="360" w:lineRule="auto"/>
        <w:jc w:val="center"/>
        <w:rPr>
          <w:sz w:val="22"/>
          <w:szCs w:val="24"/>
        </w:rPr>
      </w:pPr>
      <w:bookmarkStart w:id="0" w:name="_Toc3295480"/>
      <w:r w:rsidRPr="00C464D8">
        <w:rPr>
          <w:sz w:val="22"/>
          <w:szCs w:val="24"/>
        </w:rPr>
        <w:t>ANTECEDENTES</w:t>
      </w:r>
      <w:bookmarkEnd w:id="0"/>
    </w:p>
    <w:p w:rsidR="00E26459" w:rsidRPr="00C464D8" w:rsidRDefault="00E26459" w:rsidP="00C464D8">
      <w:pPr>
        <w:spacing w:line="360" w:lineRule="auto"/>
        <w:rPr>
          <w:rFonts w:ascii="Palatino Linotype" w:hAnsi="Palatino Linotype"/>
          <w:sz w:val="22"/>
          <w:lang w:val="es-MX" w:eastAsia="en-US"/>
        </w:rPr>
      </w:pPr>
    </w:p>
    <w:p w:rsidR="00E26459" w:rsidRPr="00C464D8" w:rsidRDefault="00E26459" w:rsidP="00C464D8">
      <w:pPr>
        <w:pStyle w:val="Prrafodelista"/>
        <w:numPr>
          <w:ilvl w:val="0"/>
          <w:numId w:val="1"/>
        </w:numPr>
        <w:spacing w:line="360" w:lineRule="auto"/>
        <w:ind w:left="0" w:firstLine="0"/>
        <w:jc w:val="both"/>
        <w:rPr>
          <w:rFonts w:ascii="Palatino Linotype" w:eastAsia="Times New Roman" w:hAnsi="Palatino Linotype" w:cs="Arial"/>
          <w:sz w:val="23"/>
          <w:szCs w:val="23"/>
          <w:lang w:val="es-ES"/>
        </w:rPr>
      </w:pPr>
      <w:r w:rsidRPr="00C464D8">
        <w:rPr>
          <w:rFonts w:ascii="Palatino Linotype" w:eastAsia="Calibri" w:hAnsi="Palatino Linotype" w:cs="Arial"/>
          <w:sz w:val="23"/>
          <w:szCs w:val="23"/>
          <w:lang w:val="es-ES"/>
        </w:rPr>
        <w:t xml:space="preserve">El día </w:t>
      </w:r>
      <w:r w:rsidR="00B85C3A" w:rsidRPr="00C464D8">
        <w:rPr>
          <w:rFonts w:ascii="Palatino Linotype" w:eastAsia="Calibri" w:hAnsi="Palatino Linotype" w:cs="Arial"/>
          <w:sz w:val="23"/>
          <w:szCs w:val="23"/>
          <w:lang w:val="es-ES"/>
        </w:rPr>
        <w:t>veintidós</w:t>
      </w:r>
      <w:r w:rsidRPr="00C464D8">
        <w:rPr>
          <w:rFonts w:ascii="Palatino Linotype" w:eastAsia="Calibri" w:hAnsi="Palatino Linotype" w:cs="Times New Roman"/>
          <w:sz w:val="23"/>
          <w:szCs w:val="23"/>
          <w:lang w:val="es-ES"/>
        </w:rPr>
        <w:t xml:space="preserve"> (</w:t>
      </w:r>
      <w:r w:rsidR="00B85C3A" w:rsidRPr="00C464D8">
        <w:rPr>
          <w:rFonts w:ascii="Palatino Linotype" w:eastAsia="Calibri" w:hAnsi="Palatino Linotype" w:cs="Times New Roman"/>
          <w:sz w:val="23"/>
          <w:szCs w:val="23"/>
          <w:lang w:val="es-ES"/>
        </w:rPr>
        <w:t>22</w:t>
      </w:r>
      <w:r w:rsidRPr="00C464D8">
        <w:rPr>
          <w:rFonts w:ascii="Palatino Linotype" w:eastAsia="Calibri" w:hAnsi="Palatino Linotype" w:cs="Times New Roman"/>
          <w:sz w:val="23"/>
          <w:szCs w:val="23"/>
          <w:lang w:val="es-ES"/>
        </w:rPr>
        <w:t xml:space="preserve">) de </w:t>
      </w:r>
      <w:r w:rsidR="002D2465" w:rsidRPr="00C464D8">
        <w:rPr>
          <w:rFonts w:ascii="Palatino Linotype" w:eastAsia="Calibri" w:hAnsi="Palatino Linotype" w:cs="Times New Roman"/>
          <w:sz w:val="23"/>
          <w:szCs w:val="23"/>
          <w:lang w:val="es-ES"/>
        </w:rPr>
        <w:t>noviembre</w:t>
      </w:r>
      <w:r w:rsidRPr="00C464D8">
        <w:rPr>
          <w:rFonts w:ascii="Palatino Linotype" w:eastAsia="Calibri" w:hAnsi="Palatino Linotype" w:cs="Times New Roman"/>
          <w:sz w:val="23"/>
          <w:szCs w:val="23"/>
          <w:lang w:val="es-ES"/>
        </w:rPr>
        <w:t xml:space="preserve"> de dos mil dieciocho</w:t>
      </w:r>
      <w:r w:rsidRPr="00C464D8">
        <w:rPr>
          <w:rFonts w:ascii="Palatino Linotype" w:eastAsia="Calibri" w:hAnsi="Palatino Linotype" w:cs="Arial"/>
          <w:sz w:val="23"/>
          <w:szCs w:val="23"/>
          <w:lang w:val="es-ES"/>
        </w:rPr>
        <w:t>,</w:t>
      </w:r>
      <w:r w:rsidRPr="00C464D8">
        <w:rPr>
          <w:rFonts w:ascii="Palatino Linotype" w:eastAsia="Calibri" w:hAnsi="Palatino Linotype" w:cs="Times New Roman"/>
          <w:sz w:val="23"/>
          <w:szCs w:val="23"/>
          <w:lang w:val="es-ES"/>
        </w:rPr>
        <w:t xml:space="preserve"> </w:t>
      </w:r>
      <w:r w:rsidR="00F93171" w:rsidRPr="00F93171">
        <w:rPr>
          <w:rFonts w:ascii="Palatino Linotype" w:hAnsi="Palatino Linotype"/>
          <w:b/>
          <w:sz w:val="23"/>
          <w:szCs w:val="23"/>
          <w:highlight w:val="black"/>
        </w:rPr>
        <w:t>------------------------------</w:t>
      </w:r>
      <w:r w:rsidR="00B85C3A" w:rsidRPr="00C464D8">
        <w:rPr>
          <w:rFonts w:ascii="Palatino Linotype" w:eastAsia="Calibri" w:hAnsi="Palatino Linotype" w:cs="Arial"/>
          <w:sz w:val="23"/>
          <w:szCs w:val="23"/>
          <w:lang w:val="es-ES"/>
        </w:rPr>
        <w:t xml:space="preserve"> </w:t>
      </w:r>
      <w:r w:rsidRPr="00C464D8">
        <w:rPr>
          <w:rFonts w:ascii="Palatino Linotype" w:eastAsia="Calibri" w:hAnsi="Palatino Linotype" w:cs="Arial"/>
          <w:sz w:val="23"/>
          <w:szCs w:val="23"/>
          <w:lang w:val="es-ES"/>
        </w:rPr>
        <w:t xml:space="preserve">ante el </w:t>
      </w:r>
      <w:r w:rsidRPr="00C464D8">
        <w:rPr>
          <w:rFonts w:ascii="Palatino Linotype" w:eastAsia="Calibri" w:hAnsi="Palatino Linotype" w:cs="Arial"/>
          <w:b/>
          <w:sz w:val="23"/>
          <w:szCs w:val="23"/>
          <w:lang w:val="es-ES"/>
        </w:rPr>
        <w:t>SUJETO OBLIGADO</w:t>
      </w:r>
      <w:r w:rsidRPr="00C464D8">
        <w:rPr>
          <w:rFonts w:ascii="Palatino Linotype" w:eastAsia="Calibri" w:hAnsi="Palatino Linotype" w:cs="Arial"/>
          <w:sz w:val="23"/>
          <w:szCs w:val="23"/>
        </w:rPr>
        <w:t xml:space="preserve"> vía </w:t>
      </w:r>
      <w:r w:rsidRPr="00C464D8">
        <w:rPr>
          <w:rFonts w:ascii="Palatino Linotype" w:eastAsia="Calibri" w:hAnsi="Palatino Linotype" w:cs="Arial"/>
          <w:sz w:val="23"/>
          <w:szCs w:val="23"/>
          <w:lang w:val="es-ES"/>
        </w:rPr>
        <w:t>Sistema de Acceso a la Información Mexiquense (</w:t>
      </w:r>
      <w:r w:rsidRPr="00C464D8">
        <w:rPr>
          <w:rFonts w:ascii="Palatino Linotype" w:eastAsia="Calibri" w:hAnsi="Palatino Linotype" w:cs="Arial"/>
          <w:b/>
          <w:sz w:val="23"/>
          <w:szCs w:val="23"/>
          <w:lang w:val="es-ES"/>
        </w:rPr>
        <w:t>SAIMEX)</w:t>
      </w:r>
      <w:r w:rsidR="002D2465" w:rsidRPr="00C464D8">
        <w:rPr>
          <w:rFonts w:ascii="Palatino Linotype" w:eastAsia="Calibri" w:hAnsi="Palatino Linotype" w:cs="Arial"/>
          <w:sz w:val="23"/>
          <w:szCs w:val="23"/>
          <w:lang w:val="es-ES"/>
        </w:rPr>
        <w:t>, presentó la solicitud</w:t>
      </w:r>
      <w:r w:rsidRPr="00C464D8">
        <w:rPr>
          <w:rFonts w:ascii="Palatino Linotype" w:eastAsia="Calibri" w:hAnsi="Palatino Linotype" w:cs="Arial"/>
          <w:sz w:val="23"/>
          <w:szCs w:val="23"/>
          <w:lang w:val="es-ES"/>
        </w:rPr>
        <w:t xml:space="preserve"> de información pública registrada con </w:t>
      </w:r>
      <w:r w:rsidR="002D2465" w:rsidRPr="00C464D8">
        <w:rPr>
          <w:rFonts w:ascii="Palatino Linotype" w:eastAsia="Calibri" w:hAnsi="Palatino Linotype" w:cs="Arial"/>
          <w:sz w:val="23"/>
          <w:szCs w:val="23"/>
          <w:lang w:val="es-ES"/>
        </w:rPr>
        <w:t>el</w:t>
      </w:r>
      <w:r w:rsidRPr="00C464D8">
        <w:rPr>
          <w:rFonts w:ascii="Palatino Linotype" w:eastAsia="Calibri" w:hAnsi="Palatino Linotype" w:cs="Arial"/>
          <w:sz w:val="23"/>
          <w:szCs w:val="23"/>
          <w:lang w:val="es-ES"/>
        </w:rPr>
        <w:t xml:space="preserve"> número </w:t>
      </w:r>
      <w:r w:rsidR="00B85C3A" w:rsidRPr="00C464D8">
        <w:rPr>
          <w:rFonts w:ascii="Palatino Linotype" w:eastAsia="Calibri" w:hAnsi="Palatino Linotype" w:cs="Arial"/>
          <w:b/>
          <w:sz w:val="23"/>
          <w:szCs w:val="23"/>
          <w:lang w:val="es-ES"/>
        </w:rPr>
        <w:t>00</w:t>
      </w:r>
      <w:r w:rsidR="002D2465" w:rsidRPr="00C464D8">
        <w:rPr>
          <w:rFonts w:ascii="Palatino Linotype" w:eastAsia="Calibri" w:hAnsi="Palatino Linotype" w:cs="Arial"/>
          <w:b/>
          <w:sz w:val="23"/>
          <w:szCs w:val="23"/>
          <w:lang w:val="es-ES"/>
        </w:rPr>
        <w:t>462/</w:t>
      </w:r>
      <w:r w:rsidR="00B85C3A" w:rsidRPr="00C464D8">
        <w:rPr>
          <w:rFonts w:ascii="Palatino Linotype" w:eastAsia="Calibri" w:hAnsi="Palatino Linotype" w:cs="Arial"/>
          <w:b/>
          <w:sz w:val="23"/>
          <w:szCs w:val="23"/>
          <w:lang w:val="es-ES"/>
        </w:rPr>
        <w:t>SSEM/IP/2018</w:t>
      </w:r>
      <w:r w:rsidR="00934DB8" w:rsidRPr="00C464D8">
        <w:rPr>
          <w:rFonts w:ascii="Palatino Linotype" w:hAnsi="Palatino Linotype"/>
          <w:b/>
          <w:sz w:val="23"/>
          <w:szCs w:val="23"/>
        </w:rPr>
        <w:t xml:space="preserve">, </w:t>
      </w:r>
      <w:r w:rsidRPr="00C464D8">
        <w:rPr>
          <w:rFonts w:ascii="Palatino Linotype" w:eastAsia="Calibri" w:hAnsi="Palatino Linotype" w:cs="Arial"/>
          <w:sz w:val="23"/>
          <w:szCs w:val="23"/>
          <w:lang w:val="es-ES"/>
        </w:rPr>
        <w:t>mediante la cual solicitó lo siguiente:</w:t>
      </w:r>
    </w:p>
    <w:p w:rsidR="00C464D8" w:rsidRPr="00C464D8" w:rsidRDefault="00C464D8" w:rsidP="00C464D8">
      <w:pPr>
        <w:pStyle w:val="Prrafodelista"/>
        <w:spacing w:line="360" w:lineRule="auto"/>
        <w:ind w:left="0"/>
        <w:jc w:val="both"/>
        <w:rPr>
          <w:rFonts w:ascii="Palatino Linotype" w:eastAsia="Times New Roman" w:hAnsi="Palatino Linotype" w:cs="Arial"/>
          <w:sz w:val="22"/>
          <w:lang w:val="es-ES"/>
        </w:rPr>
      </w:pPr>
    </w:p>
    <w:p w:rsidR="00283550" w:rsidRPr="00AA1CB9" w:rsidRDefault="002D2465" w:rsidP="00C464D8">
      <w:pPr>
        <w:spacing w:after="240" w:line="360" w:lineRule="auto"/>
        <w:ind w:left="567" w:right="567"/>
        <w:jc w:val="both"/>
        <w:rPr>
          <w:rFonts w:ascii="Palatino Linotype" w:eastAsia="Calibri" w:hAnsi="Palatino Linotype" w:cs="Arial"/>
          <w:i/>
          <w:lang w:val="es-ES"/>
        </w:rPr>
      </w:pPr>
      <w:r w:rsidRPr="00AA1CB9">
        <w:rPr>
          <w:rFonts w:ascii="Palatino Linotype" w:eastAsia="Calibri" w:hAnsi="Palatino Linotype" w:cs="Arial"/>
          <w:i/>
          <w:lang w:val="es-ES"/>
        </w:rPr>
        <w:t xml:space="preserve"> </w:t>
      </w:r>
      <w:r w:rsidR="00283550" w:rsidRPr="00AA1CB9">
        <w:rPr>
          <w:rFonts w:ascii="Palatino Linotype" w:eastAsia="Calibri" w:hAnsi="Palatino Linotype" w:cs="Arial"/>
          <w:i/>
          <w:lang w:val="es-ES"/>
        </w:rPr>
        <w:t>“</w:t>
      </w:r>
      <w:r w:rsidRPr="00AA1CB9">
        <w:rPr>
          <w:rFonts w:ascii="Palatino Linotype" w:eastAsia="Calibri" w:hAnsi="Palatino Linotype" w:cs="Arial"/>
          <w:i/>
          <w:lang w:val="es-ES"/>
        </w:rPr>
        <w:t xml:space="preserve">copia de los pagos realizados a la arrendadora integra arrendadora y marca modelo año, del vehículo y equipo policial de todos cada uno de los vehículos </w:t>
      </w:r>
      <w:r w:rsidRPr="00AA1CB9">
        <w:rPr>
          <w:rFonts w:ascii="Palatino Linotype" w:eastAsia="Calibri" w:hAnsi="Palatino Linotype" w:cs="Arial"/>
          <w:i/>
          <w:lang w:val="es-ES"/>
        </w:rPr>
        <w:lastRenderedPageBreak/>
        <w:t xml:space="preserve">rentados / costo de renta de cada uno con marca modelo del vehículo y del equipo policial de las patrullas / ya que esta información viene en las bases no procede su reserva y acciones que tomo el representante de la </w:t>
      </w:r>
      <w:proofErr w:type="spellStart"/>
      <w:r w:rsidRPr="00AA1CB9">
        <w:rPr>
          <w:rFonts w:ascii="Palatino Linotype" w:eastAsia="Calibri" w:hAnsi="Palatino Linotype" w:cs="Arial"/>
          <w:i/>
          <w:lang w:val="es-ES"/>
        </w:rPr>
        <w:t>contraloria</w:t>
      </w:r>
      <w:proofErr w:type="spellEnd"/>
      <w:r w:rsidRPr="00AA1CB9">
        <w:rPr>
          <w:rFonts w:ascii="Palatino Linotype" w:eastAsia="Calibri" w:hAnsi="Palatino Linotype" w:cs="Arial"/>
          <w:i/>
          <w:lang w:val="es-ES"/>
        </w:rPr>
        <w:t xml:space="preserve"> y </w:t>
      </w:r>
      <w:proofErr w:type="spellStart"/>
      <w:r w:rsidRPr="00AA1CB9">
        <w:rPr>
          <w:rFonts w:ascii="Palatino Linotype" w:eastAsia="Calibri" w:hAnsi="Palatino Linotype" w:cs="Arial"/>
          <w:i/>
          <w:lang w:val="es-ES"/>
        </w:rPr>
        <w:t>esta</w:t>
      </w:r>
      <w:proofErr w:type="spellEnd"/>
      <w:r w:rsidRPr="00AA1CB9">
        <w:rPr>
          <w:rFonts w:ascii="Palatino Linotype" w:eastAsia="Calibri" w:hAnsi="Palatino Linotype" w:cs="Arial"/>
          <w:i/>
          <w:lang w:val="es-ES"/>
        </w:rPr>
        <w:t xml:space="preserve"> a la revisión de bases direccionadas a marca de vehículo y equipo policial en el caso de patrullas / copia de la requisición ejemplo la CA-0031-2018 </w:t>
      </w:r>
      <w:proofErr w:type="spellStart"/>
      <w:r w:rsidRPr="00AA1CB9">
        <w:rPr>
          <w:rFonts w:ascii="Palatino Linotype" w:eastAsia="Calibri" w:hAnsi="Palatino Linotype" w:cs="Arial"/>
          <w:i/>
          <w:lang w:val="es-ES"/>
        </w:rPr>
        <w:t>asi</w:t>
      </w:r>
      <w:proofErr w:type="spellEnd"/>
      <w:r w:rsidRPr="00AA1CB9">
        <w:rPr>
          <w:rFonts w:ascii="Palatino Linotype" w:eastAsia="Calibri" w:hAnsi="Palatino Linotype" w:cs="Arial"/>
          <w:i/>
          <w:lang w:val="es-ES"/>
        </w:rPr>
        <w:t xml:space="preserve"> como de todas con sus soportes anexos de estas</w:t>
      </w:r>
      <w:r w:rsidR="00283550" w:rsidRPr="00AA1CB9">
        <w:rPr>
          <w:rFonts w:ascii="Palatino Linotype" w:eastAsia="Calibri" w:hAnsi="Palatino Linotype" w:cs="Arial"/>
          <w:i/>
          <w:lang w:val="es-ES"/>
        </w:rPr>
        <w:t>” (sic)</w:t>
      </w:r>
    </w:p>
    <w:p w:rsidR="002D2465" w:rsidRPr="00AA1CB9" w:rsidRDefault="002D2465" w:rsidP="00AA1CB9">
      <w:pPr>
        <w:pStyle w:val="Prrafodelista"/>
        <w:numPr>
          <w:ilvl w:val="0"/>
          <w:numId w:val="41"/>
        </w:numPr>
        <w:spacing w:before="240" w:after="240" w:line="360" w:lineRule="auto"/>
        <w:ind w:left="426" w:right="567"/>
        <w:jc w:val="both"/>
        <w:rPr>
          <w:rFonts w:ascii="Palatino Linotype" w:eastAsia="Calibri" w:hAnsi="Palatino Linotype" w:cs="Arial"/>
          <w:lang w:val="es-ES"/>
        </w:rPr>
      </w:pPr>
      <w:r w:rsidRPr="00AA1CB9">
        <w:rPr>
          <w:rFonts w:ascii="Palatino Linotype" w:eastAsia="Calibri" w:hAnsi="Palatino Linotype" w:cs="Arial"/>
          <w:lang w:val="es-ES"/>
        </w:rPr>
        <w:t xml:space="preserve">Adjunto a la solicitud, se encuentra el documento electrónico denominado </w:t>
      </w:r>
      <w:r w:rsidRPr="00AA1CB9">
        <w:rPr>
          <w:rFonts w:ascii="Palatino Linotype" w:eastAsia="Calibri" w:hAnsi="Palatino Linotype" w:cs="Arial"/>
          <w:b/>
          <w:i/>
          <w:lang w:val="es-ES"/>
        </w:rPr>
        <w:t>10.- FALLO DE ADJUDICACIÓN.pdf</w:t>
      </w:r>
      <w:r w:rsidRPr="00AA1CB9">
        <w:rPr>
          <w:rFonts w:ascii="Palatino Linotype" w:eastAsia="Calibri" w:hAnsi="Palatino Linotype" w:cs="Arial"/>
          <w:lang w:val="es-ES"/>
        </w:rPr>
        <w:t xml:space="preserve"> el cual se integra por veintiocho páginas. Contiene el Fallo de adjudicación contratación del servicio de arrendamiento de vehículos de la Licitación Pública Nacional Presencial Número LPNP-017-2018. </w:t>
      </w:r>
    </w:p>
    <w:p w:rsidR="002D2465" w:rsidRPr="00AA1CB9" w:rsidRDefault="002D2465" w:rsidP="00AA1CB9">
      <w:pPr>
        <w:pStyle w:val="Prrafodelista"/>
        <w:spacing w:before="240" w:after="240" w:line="360" w:lineRule="auto"/>
        <w:ind w:left="426" w:right="567"/>
        <w:jc w:val="both"/>
        <w:rPr>
          <w:rFonts w:ascii="Palatino Linotype" w:eastAsia="Calibri" w:hAnsi="Palatino Linotype" w:cs="Arial"/>
          <w:lang w:val="es-ES"/>
        </w:rPr>
      </w:pPr>
    </w:p>
    <w:p w:rsidR="00FC5D9F" w:rsidRPr="00AA1CB9" w:rsidRDefault="00FC5D9F" w:rsidP="00AA1CB9">
      <w:pPr>
        <w:pStyle w:val="Prrafodelista"/>
        <w:numPr>
          <w:ilvl w:val="0"/>
          <w:numId w:val="1"/>
        </w:numPr>
        <w:spacing w:line="360" w:lineRule="auto"/>
        <w:ind w:left="0" w:firstLine="0"/>
        <w:jc w:val="both"/>
        <w:rPr>
          <w:rFonts w:ascii="Palatino Linotype" w:eastAsia="Times New Roman" w:hAnsi="Palatino Linotype" w:cs="Arial"/>
          <w:lang w:val="es-ES"/>
        </w:rPr>
      </w:pPr>
      <w:r w:rsidRPr="00AA1CB9">
        <w:rPr>
          <w:rFonts w:ascii="Palatino Linotype" w:eastAsia="Times New Roman" w:hAnsi="Palatino Linotype" w:cs="Arial"/>
          <w:lang w:val="es-ES"/>
        </w:rPr>
        <w:t>Señaló como modalidad de entrega de la información</w:t>
      </w:r>
      <w:r w:rsidRPr="00AA1CB9">
        <w:rPr>
          <w:rFonts w:ascii="Palatino Linotype" w:eastAsia="Times New Roman" w:hAnsi="Palatino Linotype" w:cs="Arial"/>
          <w:b/>
          <w:lang w:val="es-ES"/>
        </w:rPr>
        <w:t>:</w:t>
      </w:r>
      <w:r w:rsidRPr="00AA1CB9">
        <w:rPr>
          <w:rFonts w:ascii="Palatino Linotype" w:eastAsia="Times New Roman" w:hAnsi="Palatino Linotype" w:cs="Arial"/>
          <w:lang w:val="es-ES"/>
        </w:rPr>
        <w:t xml:space="preserve"> a través del </w:t>
      </w:r>
      <w:r w:rsidRPr="00AA1CB9">
        <w:rPr>
          <w:rFonts w:ascii="Palatino Linotype" w:eastAsia="Times New Roman" w:hAnsi="Palatino Linotype" w:cs="Arial"/>
          <w:b/>
          <w:lang w:val="es-ES"/>
        </w:rPr>
        <w:t>SAIMEX.</w:t>
      </w:r>
    </w:p>
    <w:p w:rsidR="00FC5D9F" w:rsidRPr="00AA1CB9" w:rsidRDefault="00FC5D9F" w:rsidP="00AA1CB9">
      <w:pPr>
        <w:pStyle w:val="Prrafodelista"/>
        <w:spacing w:before="240" w:after="240" w:line="360" w:lineRule="auto"/>
        <w:ind w:left="0"/>
        <w:jc w:val="both"/>
        <w:rPr>
          <w:rFonts w:ascii="Palatino Linotype" w:hAnsi="Palatino Linotype"/>
        </w:rPr>
      </w:pPr>
    </w:p>
    <w:p w:rsidR="002A5BA4" w:rsidRPr="00AA1CB9" w:rsidRDefault="00FE77F7" w:rsidP="00AA1CB9">
      <w:pPr>
        <w:pStyle w:val="Prrafodelista"/>
        <w:numPr>
          <w:ilvl w:val="0"/>
          <w:numId w:val="1"/>
        </w:numPr>
        <w:spacing w:before="240" w:after="240" w:line="360" w:lineRule="auto"/>
        <w:ind w:left="0" w:firstLine="0"/>
        <w:jc w:val="both"/>
        <w:rPr>
          <w:rFonts w:ascii="Palatino Linotype" w:hAnsi="Palatino Linotype"/>
        </w:rPr>
      </w:pPr>
      <w:r w:rsidRPr="00AA1CB9">
        <w:rPr>
          <w:rFonts w:ascii="Palatino Linotype" w:eastAsia="Calibri" w:hAnsi="Palatino Linotype" w:cs="Times New Roman"/>
          <w:lang w:val="es-ES"/>
        </w:rPr>
        <w:t>E</w:t>
      </w:r>
      <w:r w:rsidR="00283550" w:rsidRPr="00AA1CB9">
        <w:rPr>
          <w:rFonts w:ascii="Palatino Linotype" w:eastAsia="Calibri" w:hAnsi="Palatino Linotype" w:cs="Times New Roman"/>
          <w:lang w:val="es-ES"/>
        </w:rPr>
        <w:t xml:space="preserve">l día </w:t>
      </w:r>
      <w:r w:rsidR="00A63528" w:rsidRPr="00AA1CB9">
        <w:rPr>
          <w:rFonts w:ascii="Palatino Linotype" w:eastAsia="Calibri" w:hAnsi="Palatino Linotype" w:cs="Times New Roman"/>
          <w:lang w:val="es-ES"/>
        </w:rPr>
        <w:t>trece</w:t>
      </w:r>
      <w:r w:rsidRPr="00AA1CB9">
        <w:rPr>
          <w:rFonts w:ascii="Palatino Linotype" w:eastAsia="Calibri" w:hAnsi="Palatino Linotype" w:cs="Times New Roman"/>
          <w:lang w:val="es-ES"/>
        </w:rPr>
        <w:t xml:space="preserve"> (</w:t>
      </w:r>
      <w:r w:rsidR="00A63528" w:rsidRPr="00AA1CB9">
        <w:rPr>
          <w:rFonts w:ascii="Palatino Linotype" w:eastAsia="Calibri" w:hAnsi="Palatino Linotype" w:cs="Times New Roman"/>
          <w:lang w:val="es-ES"/>
        </w:rPr>
        <w:t>13</w:t>
      </w:r>
      <w:r w:rsidRPr="00AA1CB9">
        <w:rPr>
          <w:rFonts w:ascii="Palatino Linotype" w:eastAsia="Calibri" w:hAnsi="Palatino Linotype" w:cs="Times New Roman"/>
          <w:lang w:val="es-ES"/>
        </w:rPr>
        <w:t xml:space="preserve">) </w:t>
      </w:r>
      <w:r w:rsidR="00C82ADE" w:rsidRPr="00AA1CB9">
        <w:rPr>
          <w:rFonts w:ascii="Palatino Linotype" w:eastAsia="Calibri" w:hAnsi="Palatino Linotype" w:cs="Times New Roman"/>
          <w:lang w:val="es-ES"/>
        </w:rPr>
        <w:t xml:space="preserve">de </w:t>
      </w:r>
      <w:r w:rsidR="00A63528" w:rsidRPr="00AA1CB9">
        <w:rPr>
          <w:rFonts w:ascii="Palatino Linotype" w:eastAsia="Calibri" w:hAnsi="Palatino Linotype" w:cs="Times New Roman"/>
          <w:lang w:val="es-ES"/>
        </w:rPr>
        <w:t>diciembre</w:t>
      </w:r>
      <w:r w:rsidR="00C82ADE" w:rsidRPr="00AA1CB9">
        <w:rPr>
          <w:rFonts w:ascii="Palatino Linotype" w:eastAsia="Calibri" w:hAnsi="Palatino Linotype" w:cs="Times New Roman"/>
          <w:lang w:val="es-ES"/>
        </w:rPr>
        <w:t xml:space="preserve"> de dos mil dieciocho, e</w:t>
      </w:r>
      <w:r w:rsidR="002A5BA4" w:rsidRPr="00AA1CB9">
        <w:rPr>
          <w:rFonts w:ascii="Palatino Linotype" w:eastAsia="Calibri" w:hAnsi="Palatino Linotype" w:cs="Times New Roman"/>
          <w:lang w:val="es-ES"/>
        </w:rPr>
        <w:t xml:space="preserve">l </w:t>
      </w:r>
      <w:r w:rsidR="002A5BA4" w:rsidRPr="00AA1CB9">
        <w:rPr>
          <w:rFonts w:ascii="Palatino Linotype" w:eastAsia="Calibri" w:hAnsi="Palatino Linotype" w:cs="Arial"/>
          <w:b/>
          <w:lang w:val="es-AR"/>
        </w:rPr>
        <w:t>SUJETO OBLIGADO</w:t>
      </w:r>
      <w:r w:rsidR="002A5BA4" w:rsidRPr="00AA1CB9">
        <w:rPr>
          <w:rFonts w:ascii="Palatino Linotype" w:eastAsia="Calibri" w:hAnsi="Palatino Linotype" w:cs="Arial"/>
          <w:b/>
          <w:i/>
          <w:lang w:val="es-AR"/>
        </w:rPr>
        <w:t xml:space="preserve"> </w:t>
      </w:r>
      <w:r w:rsidR="002A5BA4" w:rsidRPr="00AA1CB9">
        <w:rPr>
          <w:rFonts w:ascii="Palatino Linotype" w:eastAsia="Times New Roman" w:hAnsi="Palatino Linotype" w:cs="Arial"/>
          <w:lang w:val="es-ES"/>
        </w:rPr>
        <w:t>dio respuesta a la solicitud</w:t>
      </w:r>
      <w:r w:rsidR="00A63528" w:rsidRPr="00AA1CB9">
        <w:rPr>
          <w:rFonts w:ascii="Palatino Linotype" w:eastAsia="Times New Roman" w:hAnsi="Palatino Linotype" w:cs="Arial"/>
          <w:lang w:val="es-ES"/>
        </w:rPr>
        <w:t xml:space="preserve"> anexando los documentos electrónicos denominados </w:t>
      </w:r>
      <w:r w:rsidR="00A63528" w:rsidRPr="00AA1CB9">
        <w:rPr>
          <w:rFonts w:ascii="Palatino Linotype" w:eastAsia="Times New Roman" w:hAnsi="Palatino Linotype" w:cs="Arial"/>
          <w:b/>
          <w:lang w:val="es-ES"/>
        </w:rPr>
        <w:t>1.pdf; 462.pdf; y 2.pdf</w:t>
      </w:r>
      <w:r w:rsidR="00A63528" w:rsidRPr="00AA1CB9">
        <w:rPr>
          <w:rFonts w:ascii="Palatino Linotype" w:eastAsia="Times New Roman" w:hAnsi="Palatino Linotype" w:cs="Arial"/>
          <w:lang w:val="es-ES"/>
        </w:rPr>
        <w:t xml:space="preserve"> y en los siguientes </w:t>
      </w:r>
      <w:r w:rsidR="00C82ADE" w:rsidRPr="00AA1CB9">
        <w:rPr>
          <w:rFonts w:ascii="Palatino Linotype" w:eastAsia="Times New Roman" w:hAnsi="Palatino Linotype" w:cs="Arial"/>
          <w:lang w:val="es-ES"/>
        </w:rPr>
        <w:t>términos:</w:t>
      </w:r>
    </w:p>
    <w:p w:rsidR="00C82ADE" w:rsidRPr="00AA1CB9" w:rsidRDefault="00C82ADE" w:rsidP="00AA1CB9">
      <w:pPr>
        <w:pStyle w:val="Prrafodelista"/>
        <w:spacing w:line="360" w:lineRule="auto"/>
        <w:rPr>
          <w:rFonts w:ascii="Palatino Linotype" w:hAnsi="Palatino Linotype"/>
        </w:rPr>
      </w:pPr>
    </w:p>
    <w:p w:rsidR="001624FE" w:rsidRPr="00AA1CB9" w:rsidRDefault="00A63528" w:rsidP="00AA1CB9">
      <w:pPr>
        <w:pStyle w:val="Prrafodelista"/>
        <w:spacing w:before="240" w:after="240" w:line="360" w:lineRule="auto"/>
        <w:ind w:left="567" w:right="567"/>
        <w:jc w:val="both"/>
        <w:rPr>
          <w:rFonts w:ascii="Palatino Linotype" w:eastAsia="Times New Roman" w:hAnsi="Palatino Linotype" w:cs="Arial"/>
          <w:i/>
          <w:sz w:val="22"/>
          <w:lang w:val="es-ES"/>
        </w:rPr>
      </w:pPr>
      <w:r w:rsidRPr="00AA1CB9">
        <w:rPr>
          <w:rFonts w:ascii="Palatino Linotype" w:eastAsia="Times New Roman" w:hAnsi="Palatino Linotype" w:cs="Arial"/>
          <w:i/>
          <w:sz w:val="22"/>
          <w:lang w:val="es-ES"/>
        </w:rPr>
        <w:t xml:space="preserve">“SE ANEXA RESPUESTA EN FORMATO PDF, EN CASO DE PRESENTAR PROBLEMAS CON LA RECEPCIÓN DE LA MISMA, LE PEDIMOS SE COMUNIQUE A LA UNIDAD DE TRANSPARENCIA DE LA SECRETARÍA DE </w:t>
      </w:r>
      <w:r w:rsidRPr="00AA1CB9">
        <w:rPr>
          <w:rFonts w:ascii="Palatino Linotype" w:eastAsia="Times New Roman" w:hAnsi="Palatino Linotype" w:cs="Arial"/>
          <w:i/>
          <w:sz w:val="22"/>
          <w:lang w:val="es-ES"/>
        </w:rPr>
        <w:lastRenderedPageBreak/>
        <w:t>SEGURIDAD DEL ESTADO DE MÉXICO, AL TELÉFONO 722 2 79 62 00 EXT. 4187, DE LUNES A VIERNES, EN UN HORARIO DE 9:00 A 18:00 HRS.” (Sic)</w:t>
      </w:r>
    </w:p>
    <w:p w:rsidR="00A63528" w:rsidRPr="00AA1CB9" w:rsidRDefault="00A63528" w:rsidP="00AA1CB9">
      <w:pPr>
        <w:pStyle w:val="Prrafodelista"/>
        <w:spacing w:before="240" w:after="240" w:line="360" w:lineRule="auto"/>
        <w:ind w:left="567" w:right="567"/>
        <w:jc w:val="both"/>
        <w:rPr>
          <w:rFonts w:ascii="Palatino Linotype" w:eastAsia="Times New Roman" w:hAnsi="Palatino Linotype" w:cs="Arial"/>
          <w:b/>
          <w:lang w:val="es-ES"/>
        </w:rPr>
      </w:pPr>
    </w:p>
    <w:p w:rsidR="00A63528" w:rsidRPr="00AA1CB9" w:rsidRDefault="00A63528" w:rsidP="00AA1CB9">
      <w:pPr>
        <w:pStyle w:val="Prrafodelista"/>
        <w:numPr>
          <w:ilvl w:val="0"/>
          <w:numId w:val="23"/>
        </w:numPr>
        <w:spacing w:before="240" w:after="240" w:line="360" w:lineRule="auto"/>
        <w:ind w:right="567"/>
        <w:jc w:val="both"/>
        <w:rPr>
          <w:rFonts w:ascii="Palatino Linotype" w:eastAsia="Calibri" w:hAnsi="Palatino Linotype" w:cs="Arial"/>
          <w:lang w:val="es-ES"/>
        </w:rPr>
      </w:pPr>
      <w:r w:rsidRPr="00AA1CB9">
        <w:rPr>
          <w:rFonts w:ascii="Palatino Linotype" w:eastAsia="Times New Roman" w:hAnsi="Palatino Linotype" w:cs="Arial"/>
          <w:b/>
          <w:lang w:val="es-ES"/>
        </w:rPr>
        <w:t xml:space="preserve">1. </w:t>
      </w:r>
      <w:proofErr w:type="spellStart"/>
      <w:r w:rsidRPr="00AA1CB9">
        <w:rPr>
          <w:rFonts w:ascii="Palatino Linotype" w:eastAsia="Times New Roman" w:hAnsi="Palatino Linotype" w:cs="Arial"/>
          <w:b/>
          <w:lang w:val="es-ES"/>
        </w:rPr>
        <w:t>pdf</w:t>
      </w:r>
      <w:proofErr w:type="spellEnd"/>
      <w:r w:rsidRPr="00AA1CB9">
        <w:rPr>
          <w:rFonts w:ascii="Palatino Linotype" w:eastAsia="Times New Roman" w:hAnsi="Palatino Linotype" w:cs="Arial"/>
          <w:b/>
          <w:lang w:val="es-ES"/>
        </w:rPr>
        <w:t xml:space="preserve">: </w:t>
      </w:r>
      <w:r w:rsidRPr="00AA1CB9">
        <w:rPr>
          <w:rFonts w:ascii="Palatino Linotype" w:eastAsia="Times New Roman" w:hAnsi="Palatino Linotype" w:cs="Arial"/>
          <w:lang w:val="es-ES"/>
        </w:rPr>
        <w:t>Documento integrado por un total de 60 páginas. Contiene la solicitud de adquisición de bienes y servicios con número de control CA-00131-2018 con el anexo uno que contiene el No de partida, clave de verificación, especificaciones de bienes y servicios, unidad de medida, cantidad solicitada y precio estimado.</w:t>
      </w:r>
    </w:p>
    <w:p w:rsidR="00A63528" w:rsidRPr="00AA1CB9" w:rsidRDefault="00A63528" w:rsidP="00AA1CB9">
      <w:pPr>
        <w:pStyle w:val="Prrafodelista"/>
        <w:spacing w:before="240" w:after="240" w:line="360" w:lineRule="auto"/>
        <w:ind w:right="567"/>
        <w:jc w:val="both"/>
        <w:rPr>
          <w:rFonts w:ascii="Palatino Linotype" w:eastAsia="Calibri" w:hAnsi="Palatino Linotype" w:cs="Arial"/>
          <w:lang w:val="es-ES"/>
        </w:rPr>
      </w:pPr>
    </w:p>
    <w:p w:rsidR="00A63528" w:rsidRPr="00AA1CB9" w:rsidRDefault="00A63528" w:rsidP="00AA1CB9">
      <w:pPr>
        <w:pStyle w:val="Prrafodelista"/>
        <w:numPr>
          <w:ilvl w:val="0"/>
          <w:numId w:val="23"/>
        </w:numPr>
        <w:spacing w:before="240" w:after="240" w:line="360" w:lineRule="auto"/>
        <w:ind w:right="567"/>
        <w:jc w:val="both"/>
        <w:rPr>
          <w:rFonts w:ascii="Palatino Linotype" w:eastAsia="Calibri" w:hAnsi="Palatino Linotype" w:cs="Arial"/>
          <w:lang w:val="es-ES"/>
        </w:rPr>
      </w:pPr>
      <w:r w:rsidRPr="00AA1CB9">
        <w:rPr>
          <w:rFonts w:ascii="Palatino Linotype" w:eastAsia="Times New Roman" w:hAnsi="Palatino Linotype" w:cs="Arial"/>
          <w:b/>
          <w:lang w:val="es-ES"/>
        </w:rPr>
        <w:t xml:space="preserve">462.pdf: </w:t>
      </w:r>
      <w:r w:rsidRPr="00AA1CB9">
        <w:rPr>
          <w:rFonts w:ascii="Palatino Linotype" w:eastAsia="Times New Roman" w:hAnsi="Palatino Linotype" w:cs="Arial"/>
          <w:lang w:val="es-ES"/>
        </w:rPr>
        <w:t>Documento suscrito por la Titular de la Unidad de Transparencia en el cual medularmente refiere lo siguiente:</w:t>
      </w:r>
      <w:r w:rsidRPr="00AA1CB9">
        <w:rPr>
          <w:rFonts w:ascii="Palatino Linotype" w:eastAsia="Times New Roman" w:hAnsi="Palatino Linotype" w:cs="Arial"/>
          <w:b/>
          <w:lang w:val="es-ES"/>
        </w:rPr>
        <w:t xml:space="preserve"> </w:t>
      </w:r>
    </w:p>
    <w:p w:rsidR="00A63528" w:rsidRPr="00AA1CB9" w:rsidRDefault="00A63528" w:rsidP="00AA1CB9">
      <w:pPr>
        <w:pStyle w:val="Prrafodelista"/>
        <w:spacing w:line="360" w:lineRule="auto"/>
        <w:rPr>
          <w:rFonts w:ascii="Palatino Linotype" w:eastAsia="Calibri" w:hAnsi="Palatino Linotype" w:cs="Arial"/>
          <w:lang w:val="es-ES"/>
        </w:rPr>
      </w:pPr>
    </w:p>
    <w:p w:rsidR="00A63528" w:rsidRPr="00AA1CB9" w:rsidRDefault="00A63528" w:rsidP="00AA1CB9">
      <w:pPr>
        <w:pStyle w:val="Prrafodelista"/>
        <w:numPr>
          <w:ilvl w:val="0"/>
          <w:numId w:val="42"/>
        </w:numPr>
        <w:spacing w:before="240" w:after="240" w:line="360" w:lineRule="auto"/>
        <w:ind w:right="567"/>
        <w:jc w:val="both"/>
        <w:rPr>
          <w:rFonts w:ascii="Palatino Linotype" w:eastAsia="Calibri" w:hAnsi="Palatino Linotype" w:cs="Arial"/>
          <w:lang w:val="es-ES"/>
        </w:rPr>
      </w:pPr>
      <w:r w:rsidRPr="00AA1CB9">
        <w:rPr>
          <w:rFonts w:ascii="Palatino Linotype" w:eastAsia="Calibri" w:hAnsi="Palatino Linotype" w:cs="Arial"/>
          <w:lang w:val="es-ES"/>
        </w:rPr>
        <w:t>Los pagos se realizarán por mes vencido</w:t>
      </w:r>
      <w:r w:rsidR="003D18AF" w:rsidRPr="00AA1CB9">
        <w:rPr>
          <w:rFonts w:ascii="Palatino Linotype" w:eastAsia="Calibri" w:hAnsi="Palatino Linotype" w:cs="Arial"/>
          <w:lang w:val="es-ES"/>
        </w:rPr>
        <w:t xml:space="preserve"> una vez entregadas las unidades vehiculares a entera satisfacción de los órganos usuarios dentro de los 45 días hábiles posteriores a la fecha de ingreso a la Dirección General de Tesorería, de los documentos debidam</w:t>
      </w:r>
      <w:r w:rsidR="00D16907" w:rsidRPr="00AA1CB9">
        <w:rPr>
          <w:rFonts w:ascii="Palatino Linotype" w:eastAsia="Calibri" w:hAnsi="Palatino Linotype" w:cs="Arial"/>
          <w:lang w:val="es-ES"/>
        </w:rPr>
        <w:t xml:space="preserve">ente soportados y </w:t>
      </w:r>
      <w:proofErr w:type="spellStart"/>
      <w:r w:rsidR="00D16907" w:rsidRPr="00AA1CB9">
        <w:rPr>
          <w:rFonts w:ascii="Palatino Linotype" w:eastAsia="Calibri" w:hAnsi="Palatino Linotype" w:cs="Arial"/>
          <w:lang w:val="es-ES"/>
        </w:rPr>
        <w:t>requisitados</w:t>
      </w:r>
      <w:proofErr w:type="spellEnd"/>
      <w:r w:rsidR="00D16907" w:rsidRPr="00AA1CB9">
        <w:rPr>
          <w:rFonts w:ascii="Palatino Linotype" w:eastAsia="Calibri" w:hAnsi="Palatino Linotype" w:cs="Arial"/>
          <w:lang w:val="es-ES"/>
        </w:rPr>
        <w:t>. El 5 de diciembre de ingresaron los documentos para trámite de contra-recibo. No se omite mencionar que los pagos son responsabilidad de la Secretaría de Finanzas.</w:t>
      </w:r>
    </w:p>
    <w:p w:rsidR="00D16907" w:rsidRPr="00AA1CB9" w:rsidRDefault="00D16907" w:rsidP="00AA1CB9">
      <w:pPr>
        <w:pStyle w:val="Prrafodelista"/>
        <w:numPr>
          <w:ilvl w:val="0"/>
          <w:numId w:val="42"/>
        </w:numPr>
        <w:spacing w:before="240" w:after="240" w:line="360" w:lineRule="auto"/>
        <w:ind w:right="567"/>
        <w:jc w:val="both"/>
        <w:rPr>
          <w:rFonts w:ascii="Palatino Linotype" w:eastAsia="Calibri" w:hAnsi="Palatino Linotype" w:cs="Arial"/>
          <w:lang w:val="es-ES"/>
        </w:rPr>
      </w:pPr>
      <w:r w:rsidRPr="00AA1CB9">
        <w:rPr>
          <w:rFonts w:ascii="Palatino Linotype" w:eastAsia="Calibri" w:hAnsi="Palatino Linotype" w:cs="Arial"/>
          <w:lang w:val="es-ES"/>
        </w:rPr>
        <w:t>Se adjuntó nota informativa donde se aprecia el modelo, marca, año, equipo policial y costo de renta.</w:t>
      </w:r>
    </w:p>
    <w:p w:rsidR="00D16907" w:rsidRPr="00AA1CB9" w:rsidRDefault="00D16907" w:rsidP="00AA1CB9">
      <w:pPr>
        <w:pStyle w:val="Prrafodelista"/>
        <w:numPr>
          <w:ilvl w:val="0"/>
          <w:numId w:val="42"/>
        </w:numPr>
        <w:spacing w:before="240" w:after="240" w:line="360" w:lineRule="auto"/>
        <w:ind w:right="567"/>
        <w:jc w:val="both"/>
        <w:rPr>
          <w:rFonts w:ascii="Palatino Linotype" w:eastAsia="Calibri" w:hAnsi="Palatino Linotype" w:cs="Arial"/>
          <w:lang w:val="es-ES"/>
        </w:rPr>
      </w:pPr>
      <w:r w:rsidRPr="00AA1CB9">
        <w:rPr>
          <w:rFonts w:ascii="Palatino Linotype" w:eastAsia="Calibri" w:hAnsi="Palatino Linotype" w:cs="Arial"/>
          <w:lang w:val="es-ES"/>
        </w:rPr>
        <w:lastRenderedPageBreak/>
        <w:t>Se adjunta en versión pública la solicitud de adquisición de bienes y servicios con No de control CA-00131-2018</w:t>
      </w:r>
    </w:p>
    <w:p w:rsidR="00A63528" w:rsidRPr="00AA1CB9" w:rsidRDefault="00A63528" w:rsidP="00AA1CB9">
      <w:pPr>
        <w:pStyle w:val="Prrafodelista"/>
        <w:spacing w:line="360" w:lineRule="auto"/>
        <w:rPr>
          <w:rFonts w:ascii="Palatino Linotype" w:eastAsia="Calibri" w:hAnsi="Palatino Linotype" w:cs="Arial"/>
          <w:lang w:val="es-ES"/>
        </w:rPr>
      </w:pPr>
    </w:p>
    <w:p w:rsidR="00A63528" w:rsidRPr="00AA1CB9" w:rsidRDefault="00A63528" w:rsidP="00AA1CB9">
      <w:pPr>
        <w:pStyle w:val="Prrafodelista"/>
        <w:numPr>
          <w:ilvl w:val="0"/>
          <w:numId w:val="23"/>
        </w:numPr>
        <w:spacing w:before="240" w:after="240" w:line="360" w:lineRule="auto"/>
        <w:ind w:right="567"/>
        <w:jc w:val="both"/>
        <w:rPr>
          <w:rFonts w:ascii="Palatino Linotype" w:eastAsia="Calibri" w:hAnsi="Palatino Linotype" w:cs="Arial"/>
          <w:lang w:val="es-ES"/>
        </w:rPr>
      </w:pPr>
      <w:r w:rsidRPr="00AA1CB9">
        <w:rPr>
          <w:rFonts w:ascii="Palatino Linotype" w:eastAsia="Times New Roman" w:hAnsi="Palatino Linotype" w:cs="Arial"/>
          <w:b/>
          <w:lang w:val="es-ES"/>
        </w:rPr>
        <w:t>2.pdf:</w:t>
      </w:r>
      <w:r w:rsidR="00D16907" w:rsidRPr="00AA1CB9">
        <w:rPr>
          <w:rFonts w:ascii="Palatino Linotype" w:eastAsia="Times New Roman" w:hAnsi="Palatino Linotype" w:cs="Arial"/>
          <w:b/>
          <w:lang w:val="es-ES"/>
        </w:rPr>
        <w:t xml:space="preserve"> </w:t>
      </w:r>
      <w:r w:rsidR="00D16907" w:rsidRPr="00AA1CB9">
        <w:rPr>
          <w:rFonts w:ascii="Palatino Linotype" w:eastAsia="Times New Roman" w:hAnsi="Palatino Linotype" w:cs="Arial"/>
          <w:lang w:val="es-ES"/>
        </w:rPr>
        <w:t>Oficio No. 2325000/OM/1526/2018</w:t>
      </w:r>
      <w:r w:rsidR="000A53C4" w:rsidRPr="00AA1CB9">
        <w:rPr>
          <w:rFonts w:ascii="Palatino Linotype" w:eastAsia="Times New Roman" w:hAnsi="Palatino Linotype" w:cs="Arial"/>
          <w:lang w:val="es-ES"/>
        </w:rPr>
        <w:t xml:space="preserve"> suscrito por el Oficial Mayor mediante el cual se le hace de conocimiento al Director de Servicios Generales y Apoyo Logístico que se cuenta con la suficiencia presupuestal para el arrendamiento de vehículos de la Secretaría de Seguridad.</w:t>
      </w:r>
    </w:p>
    <w:p w:rsidR="00E611D8" w:rsidRPr="00AA1CB9" w:rsidRDefault="00E611D8" w:rsidP="00AA1CB9">
      <w:pPr>
        <w:pStyle w:val="Prrafodelista"/>
        <w:spacing w:before="240" w:after="240" w:line="360" w:lineRule="auto"/>
        <w:ind w:right="567"/>
        <w:jc w:val="both"/>
        <w:rPr>
          <w:rFonts w:ascii="Palatino Linotype" w:eastAsia="Calibri" w:hAnsi="Palatino Linotype" w:cs="Arial"/>
          <w:lang w:val="es-ES"/>
        </w:rPr>
      </w:pPr>
    </w:p>
    <w:p w:rsidR="002A5BA4" w:rsidRPr="00AA1CB9" w:rsidRDefault="00812C54" w:rsidP="00AA1CB9">
      <w:pPr>
        <w:pStyle w:val="Prrafodelista"/>
        <w:numPr>
          <w:ilvl w:val="0"/>
          <w:numId w:val="1"/>
        </w:numPr>
        <w:spacing w:before="240" w:after="240" w:line="360" w:lineRule="auto"/>
        <w:ind w:left="0" w:firstLine="0"/>
        <w:jc w:val="both"/>
        <w:rPr>
          <w:rFonts w:ascii="Palatino Linotype" w:hAnsi="Palatino Linotype" w:cs="Arial"/>
          <w:i/>
        </w:rPr>
      </w:pPr>
      <w:r w:rsidRPr="00AA1CB9">
        <w:rPr>
          <w:rFonts w:ascii="Palatino Linotype" w:eastAsia="Calibri" w:hAnsi="Palatino Linotype" w:cs="Arial"/>
          <w:lang w:val="es-AR"/>
        </w:rPr>
        <w:t>El día</w:t>
      </w:r>
      <w:r w:rsidR="00F51FCD" w:rsidRPr="00AA1CB9">
        <w:rPr>
          <w:rFonts w:ascii="Palatino Linotype" w:eastAsia="Times New Roman" w:hAnsi="Palatino Linotype" w:cs="Arial"/>
          <w:lang w:val="es-ES"/>
        </w:rPr>
        <w:t xml:space="preserve"> </w:t>
      </w:r>
      <w:r w:rsidR="000A53C4" w:rsidRPr="00AA1CB9">
        <w:rPr>
          <w:rFonts w:ascii="Palatino Linotype" w:eastAsia="Times New Roman" w:hAnsi="Palatino Linotype" w:cs="Arial"/>
          <w:lang w:val="es-ES"/>
        </w:rPr>
        <w:t xml:space="preserve">siete </w:t>
      </w:r>
      <w:r w:rsidR="002A5BA4" w:rsidRPr="00AA1CB9">
        <w:rPr>
          <w:rFonts w:ascii="Palatino Linotype" w:eastAsia="Times New Roman" w:hAnsi="Palatino Linotype" w:cs="Arial"/>
          <w:lang w:val="es-ES"/>
        </w:rPr>
        <w:t>(</w:t>
      </w:r>
      <w:r w:rsidR="000A53C4" w:rsidRPr="00AA1CB9">
        <w:rPr>
          <w:rFonts w:ascii="Palatino Linotype" w:eastAsia="Times New Roman" w:hAnsi="Palatino Linotype" w:cs="Arial"/>
          <w:lang w:val="es-ES"/>
        </w:rPr>
        <w:t>7</w:t>
      </w:r>
      <w:r w:rsidR="002A5BA4" w:rsidRPr="00AA1CB9">
        <w:rPr>
          <w:rFonts w:ascii="Palatino Linotype" w:eastAsia="Times New Roman" w:hAnsi="Palatino Linotype" w:cs="Arial"/>
          <w:lang w:val="es-ES"/>
        </w:rPr>
        <w:t xml:space="preserve">) de </w:t>
      </w:r>
      <w:r w:rsidR="000A53C4" w:rsidRPr="00AA1CB9">
        <w:rPr>
          <w:rFonts w:ascii="Palatino Linotype" w:eastAsia="Times New Roman" w:hAnsi="Palatino Linotype" w:cs="Arial"/>
          <w:lang w:val="es-ES"/>
        </w:rPr>
        <w:t>enero</w:t>
      </w:r>
      <w:r w:rsidR="00941F93" w:rsidRPr="00AA1CB9">
        <w:rPr>
          <w:rFonts w:ascii="Palatino Linotype" w:eastAsia="Times New Roman" w:hAnsi="Palatino Linotype" w:cs="Arial"/>
          <w:lang w:val="es-ES"/>
        </w:rPr>
        <w:t xml:space="preserve"> </w:t>
      </w:r>
      <w:r w:rsidR="002A5BA4" w:rsidRPr="00AA1CB9">
        <w:rPr>
          <w:rFonts w:ascii="Palatino Linotype" w:eastAsia="Times New Roman" w:hAnsi="Palatino Linotype" w:cs="Arial"/>
          <w:lang w:val="es-ES"/>
        </w:rPr>
        <w:t>de dos mil dieci</w:t>
      </w:r>
      <w:r w:rsidR="002D2465" w:rsidRPr="00AA1CB9">
        <w:rPr>
          <w:rFonts w:ascii="Palatino Linotype" w:eastAsia="Times New Roman" w:hAnsi="Palatino Linotype" w:cs="Arial"/>
          <w:lang w:val="es-ES"/>
        </w:rPr>
        <w:t>nueve</w:t>
      </w:r>
      <w:r w:rsidR="002A5BA4" w:rsidRPr="00AA1CB9">
        <w:rPr>
          <w:rFonts w:ascii="Palatino Linotype" w:eastAsia="Times New Roman" w:hAnsi="Palatino Linotype" w:cs="Arial"/>
          <w:lang w:val="es-ES"/>
        </w:rPr>
        <w:t xml:space="preserve">, </w:t>
      </w:r>
      <w:r w:rsidR="00F93171" w:rsidRPr="00F93171">
        <w:rPr>
          <w:rFonts w:ascii="Palatino Linotype" w:hAnsi="Palatino Linotype"/>
          <w:b/>
          <w:highlight w:val="black"/>
        </w:rPr>
        <w:t>----------------------------------</w:t>
      </w:r>
      <w:r w:rsidR="002A5BA4" w:rsidRPr="00AA1CB9">
        <w:rPr>
          <w:rFonts w:ascii="Palatino Linotype" w:eastAsia="Times New Roman" w:hAnsi="Palatino Linotype" w:cs="Arial"/>
          <w:b/>
          <w:lang w:val="es-ES"/>
        </w:rPr>
        <w:t>,</w:t>
      </w:r>
      <w:r w:rsidR="00FB61C7" w:rsidRPr="00AA1CB9">
        <w:rPr>
          <w:rFonts w:ascii="Palatino Linotype" w:eastAsia="Times New Roman" w:hAnsi="Palatino Linotype" w:cs="Arial"/>
          <w:lang w:val="es-ES"/>
        </w:rPr>
        <w:t xml:space="preserve"> interpuso </w:t>
      </w:r>
      <w:r w:rsidR="000A53C4" w:rsidRPr="00AA1CB9">
        <w:rPr>
          <w:rFonts w:ascii="Palatino Linotype" w:eastAsia="Times New Roman" w:hAnsi="Palatino Linotype" w:cs="Arial"/>
          <w:lang w:val="es-ES"/>
        </w:rPr>
        <w:t xml:space="preserve">el recurso de revisión, </w:t>
      </w:r>
      <w:r w:rsidR="002A5BA4" w:rsidRPr="00AA1CB9">
        <w:rPr>
          <w:rFonts w:ascii="Palatino Linotype" w:eastAsia="Times New Roman" w:hAnsi="Palatino Linotype" w:cs="Arial"/>
          <w:lang w:val="es-ES"/>
        </w:rPr>
        <w:t>en contra de la</w:t>
      </w:r>
      <w:r w:rsidR="00685C1F" w:rsidRPr="00AA1CB9">
        <w:rPr>
          <w:rFonts w:ascii="Palatino Linotype" w:eastAsia="Times New Roman" w:hAnsi="Palatino Linotype" w:cs="Arial"/>
          <w:lang w:val="es-ES"/>
        </w:rPr>
        <w:t>s</w:t>
      </w:r>
      <w:r w:rsidR="002A5BA4" w:rsidRPr="00AA1CB9">
        <w:rPr>
          <w:rFonts w:ascii="Palatino Linotype" w:eastAsia="Times New Roman" w:hAnsi="Palatino Linotype" w:cs="Arial"/>
          <w:lang w:val="es-ES"/>
        </w:rPr>
        <w:t xml:space="preserve"> respuesta</w:t>
      </w:r>
      <w:r w:rsidR="00FB61C7" w:rsidRPr="00AA1CB9">
        <w:rPr>
          <w:rFonts w:ascii="Palatino Linotype" w:eastAsia="Times New Roman" w:hAnsi="Palatino Linotype" w:cs="Arial"/>
          <w:lang w:val="es-ES"/>
        </w:rPr>
        <w:t>s</w:t>
      </w:r>
      <w:r w:rsidR="002A5BA4" w:rsidRPr="00AA1CB9">
        <w:rPr>
          <w:rFonts w:ascii="Palatino Linotype" w:eastAsia="Times New Roman" w:hAnsi="Palatino Linotype" w:cs="Arial"/>
          <w:lang w:val="es-ES"/>
        </w:rPr>
        <w:t>, señalando como:</w:t>
      </w:r>
      <w:bookmarkStart w:id="1" w:name="_Toc462307683"/>
      <w:bookmarkStart w:id="2" w:name="_Toc472427085"/>
      <w:bookmarkStart w:id="3" w:name="_Toc472500652"/>
    </w:p>
    <w:p w:rsidR="000E053C" w:rsidRPr="00AA1CB9" w:rsidRDefault="000E053C" w:rsidP="00AA1CB9">
      <w:pPr>
        <w:pStyle w:val="Prrafodelista"/>
        <w:spacing w:line="360" w:lineRule="auto"/>
        <w:rPr>
          <w:rFonts w:ascii="Palatino Linotype" w:hAnsi="Palatino Linotype" w:cs="Arial"/>
          <w:i/>
        </w:rPr>
      </w:pPr>
    </w:p>
    <w:p w:rsidR="000E053C" w:rsidRPr="00AA1CB9" w:rsidRDefault="000E053C" w:rsidP="00AA1CB9">
      <w:pPr>
        <w:pStyle w:val="Prrafodelista"/>
        <w:spacing w:line="360" w:lineRule="auto"/>
        <w:jc w:val="both"/>
        <w:rPr>
          <w:rFonts w:ascii="Palatino Linotype" w:hAnsi="Palatino Linotype" w:cs="Arial"/>
          <w:sz w:val="22"/>
        </w:rPr>
      </w:pPr>
      <w:r w:rsidRPr="00AA1CB9">
        <w:rPr>
          <w:rFonts w:ascii="Palatino Linotype" w:hAnsi="Palatino Linotype"/>
          <w:b/>
        </w:rPr>
        <w:t>Acto impugnado:</w:t>
      </w:r>
      <w:r w:rsidRPr="00AA1CB9">
        <w:rPr>
          <w:rStyle w:val="Ttulo2Car"/>
          <w:rFonts w:ascii="Palatino Linotype" w:hAnsi="Palatino Linotype"/>
          <w:b/>
          <w:i/>
          <w:color w:val="auto"/>
          <w:sz w:val="24"/>
          <w:szCs w:val="24"/>
          <w:lang w:val="es-ES"/>
        </w:rPr>
        <w:t xml:space="preserve"> </w:t>
      </w:r>
      <w:r w:rsidRPr="00AA1CB9">
        <w:rPr>
          <w:rFonts w:ascii="Palatino Linotype" w:hAnsi="Palatino Linotype"/>
          <w:sz w:val="22"/>
        </w:rPr>
        <w:t>“</w:t>
      </w:r>
      <w:r w:rsidR="000A53C4" w:rsidRPr="00AA1CB9">
        <w:rPr>
          <w:rFonts w:ascii="Palatino Linotype" w:hAnsi="Palatino Linotype"/>
          <w:i/>
          <w:sz w:val="22"/>
        </w:rPr>
        <w:t xml:space="preserve">la SSP entrega todo </w:t>
      </w:r>
      <w:proofErr w:type="spellStart"/>
      <w:r w:rsidR="000A53C4" w:rsidRPr="00AA1CB9">
        <w:rPr>
          <w:rFonts w:ascii="Palatino Linotype" w:hAnsi="Palatino Linotype"/>
          <w:i/>
          <w:sz w:val="22"/>
        </w:rPr>
        <w:t>tachoneado</w:t>
      </w:r>
      <w:proofErr w:type="spellEnd"/>
      <w:r w:rsidR="000A53C4" w:rsidRPr="00AA1CB9">
        <w:rPr>
          <w:rFonts w:ascii="Palatino Linotype" w:hAnsi="Palatino Linotype"/>
          <w:i/>
          <w:sz w:val="22"/>
        </w:rPr>
        <w:t xml:space="preserve"> cuando esta </w:t>
      </w:r>
      <w:proofErr w:type="spellStart"/>
      <w:r w:rsidR="000A53C4" w:rsidRPr="00AA1CB9">
        <w:rPr>
          <w:rFonts w:ascii="Palatino Linotype" w:hAnsi="Palatino Linotype"/>
          <w:i/>
          <w:sz w:val="22"/>
        </w:rPr>
        <w:t>infiormacion</w:t>
      </w:r>
      <w:proofErr w:type="spellEnd"/>
      <w:r w:rsidR="000A53C4" w:rsidRPr="00AA1CB9">
        <w:rPr>
          <w:rFonts w:ascii="Palatino Linotype" w:hAnsi="Palatino Linotype"/>
          <w:i/>
          <w:sz w:val="22"/>
        </w:rPr>
        <w:t xml:space="preserve"> es publica en sus bases y junta de aclaraciones y el INFOEM ya se </w:t>
      </w:r>
      <w:proofErr w:type="spellStart"/>
      <w:r w:rsidR="000A53C4" w:rsidRPr="00AA1CB9">
        <w:rPr>
          <w:rFonts w:ascii="Palatino Linotype" w:hAnsi="Palatino Linotype"/>
          <w:i/>
          <w:sz w:val="22"/>
        </w:rPr>
        <w:t>pronuncio</w:t>
      </w:r>
      <w:proofErr w:type="spellEnd"/>
      <w:r w:rsidR="000A53C4" w:rsidRPr="00AA1CB9">
        <w:rPr>
          <w:rFonts w:ascii="Palatino Linotype" w:hAnsi="Palatino Linotype"/>
          <w:i/>
          <w:sz w:val="22"/>
        </w:rPr>
        <w:t xml:space="preserve"> por la entrega</w:t>
      </w:r>
      <w:r w:rsidRPr="00AA1CB9">
        <w:rPr>
          <w:rFonts w:ascii="Palatino Linotype" w:hAnsi="Palatino Linotype"/>
          <w:sz w:val="22"/>
        </w:rPr>
        <w:t>"</w:t>
      </w:r>
      <w:r w:rsidRPr="00AA1CB9">
        <w:rPr>
          <w:rFonts w:ascii="Palatino Linotype" w:eastAsia="Calibri" w:hAnsi="Palatino Linotype" w:cs="Arial"/>
          <w:sz w:val="22"/>
          <w:lang w:val="es-ES"/>
        </w:rPr>
        <w:t xml:space="preserve"> (Sic); Y</w:t>
      </w:r>
    </w:p>
    <w:p w:rsidR="000E053C" w:rsidRPr="00AA1CB9" w:rsidRDefault="000E053C" w:rsidP="00AA1CB9">
      <w:pPr>
        <w:pStyle w:val="Prrafodelista"/>
        <w:spacing w:line="360" w:lineRule="auto"/>
        <w:jc w:val="both"/>
        <w:rPr>
          <w:rFonts w:ascii="Palatino Linotype" w:hAnsi="Palatino Linotype" w:cs="Arial"/>
          <w:sz w:val="22"/>
        </w:rPr>
      </w:pPr>
      <w:r w:rsidRPr="00AA1CB9">
        <w:rPr>
          <w:rFonts w:ascii="Palatino Linotype" w:hAnsi="Palatino Linotype"/>
          <w:b/>
          <w:sz w:val="22"/>
        </w:rPr>
        <w:t>Razones o Motivos de inconformidad:</w:t>
      </w:r>
      <w:r w:rsidRPr="00AA1CB9">
        <w:rPr>
          <w:rStyle w:val="Ttulo2Car"/>
          <w:rFonts w:ascii="Palatino Linotype" w:hAnsi="Palatino Linotype"/>
          <w:b/>
          <w:sz w:val="22"/>
          <w:szCs w:val="24"/>
          <w:lang w:val="es-ES"/>
        </w:rPr>
        <w:t xml:space="preserve"> </w:t>
      </w:r>
      <w:r w:rsidRPr="00AA1CB9">
        <w:rPr>
          <w:rFonts w:ascii="Palatino Linotype" w:hAnsi="Palatino Linotype"/>
          <w:i/>
          <w:sz w:val="22"/>
        </w:rPr>
        <w:t>“</w:t>
      </w:r>
      <w:r w:rsidR="000A53C4" w:rsidRPr="00AA1CB9">
        <w:rPr>
          <w:rFonts w:ascii="Palatino Linotype" w:hAnsi="Palatino Linotype"/>
          <w:i/>
          <w:sz w:val="22"/>
        </w:rPr>
        <w:t xml:space="preserve">la SSP entrega todo </w:t>
      </w:r>
      <w:proofErr w:type="spellStart"/>
      <w:r w:rsidR="000A53C4" w:rsidRPr="00AA1CB9">
        <w:rPr>
          <w:rFonts w:ascii="Palatino Linotype" w:hAnsi="Palatino Linotype"/>
          <w:i/>
          <w:sz w:val="22"/>
        </w:rPr>
        <w:t>tachoneado</w:t>
      </w:r>
      <w:proofErr w:type="spellEnd"/>
      <w:r w:rsidR="000A53C4" w:rsidRPr="00AA1CB9">
        <w:rPr>
          <w:rFonts w:ascii="Palatino Linotype" w:hAnsi="Palatino Linotype"/>
          <w:i/>
          <w:sz w:val="22"/>
        </w:rPr>
        <w:t xml:space="preserve"> cuando esta </w:t>
      </w:r>
      <w:proofErr w:type="spellStart"/>
      <w:r w:rsidR="000A53C4" w:rsidRPr="00AA1CB9">
        <w:rPr>
          <w:rFonts w:ascii="Palatino Linotype" w:hAnsi="Palatino Linotype"/>
          <w:i/>
          <w:sz w:val="22"/>
        </w:rPr>
        <w:t>infiormacion</w:t>
      </w:r>
      <w:proofErr w:type="spellEnd"/>
      <w:r w:rsidR="000A53C4" w:rsidRPr="00AA1CB9">
        <w:rPr>
          <w:rFonts w:ascii="Palatino Linotype" w:hAnsi="Palatino Linotype"/>
          <w:i/>
          <w:sz w:val="22"/>
        </w:rPr>
        <w:t xml:space="preserve"> es publica en sus bases y junta de aclaraciones y el INFOEM ya se </w:t>
      </w:r>
      <w:proofErr w:type="spellStart"/>
      <w:r w:rsidR="000A53C4" w:rsidRPr="00AA1CB9">
        <w:rPr>
          <w:rFonts w:ascii="Palatino Linotype" w:hAnsi="Palatino Linotype"/>
          <w:i/>
          <w:sz w:val="22"/>
        </w:rPr>
        <w:t>pronuncio</w:t>
      </w:r>
      <w:proofErr w:type="spellEnd"/>
      <w:r w:rsidR="000A53C4" w:rsidRPr="00AA1CB9">
        <w:rPr>
          <w:rFonts w:ascii="Palatino Linotype" w:hAnsi="Palatino Linotype"/>
          <w:i/>
          <w:sz w:val="22"/>
        </w:rPr>
        <w:t xml:space="preserve"> por la entrega</w:t>
      </w:r>
      <w:r w:rsidRPr="00AA1CB9">
        <w:rPr>
          <w:rFonts w:ascii="Palatino Linotype" w:hAnsi="Palatino Linotype"/>
          <w:i/>
          <w:sz w:val="22"/>
        </w:rPr>
        <w:t xml:space="preserve">” </w:t>
      </w:r>
      <w:r w:rsidRPr="00AA1CB9">
        <w:rPr>
          <w:rFonts w:ascii="Palatino Linotype" w:hAnsi="Palatino Linotype" w:cs="Arial"/>
          <w:i/>
          <w:sz w:val="22"/>
        </w:rPr>
        <w:t>(Sic)</w:t>
      </w:r>
      <w:r w:rsidRPr="00AA1CB9">
        <w:rPr>
          <w:rFonts w:ascii="Palatino Linotype" w:hAnsi="Palatino Linotype" w:cs="Arial"/>
          <w:sz w:val="22"/>
        </w:rPr>
        <w:t xml:space="preserve"> </w:t>
      </w:r>
    </w:p>
    <w:p w:rsidR="006650CC" w:rsidRPr="00AA1CB9" w:rsidRDefault="006650CC" w:rsidP="00AA1CB9">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AA1CB9" w:rsidRDefault="002A5BA4" w:rsidP="00AA1CB9">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A1CB9">
        <w:rPr>
          <w:rFonts w:ascii="Palatino Linotype" w:eastAsia="Calibri" w:hAnsi="Palatino Linotype" w:cs="Arial"/>
          <w:lang w:val="es-AR"/>
        </w:rPr>
        <w:t xml:space="preserve"> </w:t>
      </w:r>
      <w:r w:rsidR="000A53C4" w:rsidRPr="00AA1CB9">
        <w:rPr>
          <w:rFonts w:ascii="Palatino Linotype" w:eastAsia="Times New Roman" w:hAnsi="Palatino Linotype" w:cs="Arial"/>
          <w:lang w:val="es-ES"/>
        </w:rPr>
        <w:t>Se registró</w:t>
      </w:r>
      <w:r w:rsidRPr="00AA1CB9">
        <w:rPr>
          <w:rFonts w:ascii="Palatino Linotype" w:eastAsia="Times New Roman" w:hAnsi="Palatino Linotype" w:cs="Arial"/>
          <w:lang w:val="es-ES"/>
        </w:rPr>
        <w:t xml:space="preserve"> </w:t>
      </w:r>
      <w:r w:rsidR="000A53C4" w:rsidRPr="00AA1CB9">
        <w:rPr>
          <w:rFonts w:ascii="Palatino Linotype" w:eastAsia="Times New Roman" w:hAnsi="Palatino Linotype" w:cs="Arial"/>
          <w:lang w:val="es-ES"/>
        </w:rPr>
        <w:t>el</w:t>
      </w:r>
      <w:r w:rsidRPr="00AA1CB9">
        <w:rPr>
          <w:rFonts w:ascii="Palatino Linotype" w:eastAsia="Times New Roman" w:hAnsi="Palatino Linotype" w:cs="Arial"/>
          <w:lang w:val="es-ES"/>
        </w:rPr>
        <w:t xml:space="preserve"> recurso de revisión bajo </w:t>
      </w:r>
      <w:r w:rsidR="000A53C4" w:rsidRPr="00AA1CB9">
        <w:rPr>
          <w:rFonts w:ascii="Palatino Linotype" w:eastAsia="Times New Roman" w:hAnsi="Palatino Linotype" w:cs="Arial"/>
          <w:lang w:val="es-ES"/>
        </w:rPr>
        <w:t>el</w:t>
      </w:r>
      <w:r w:rsidRPr="00AA1CB9">
        <w:rPr>
          <w:rFonts w:ascii="Palatino Linotype" w:eastAsia="Times New Roman" w:hAnsi="Palatino Linotype" w:cs="Arial"/>
          <w:lang w:val="es-ES"/>
        </w:rPr>
        <w:t xml:space="preserve"> número de expediente </w:t>
      </w:r>
      <w:r w:rsidR="00CA1E43" w:rsidRPr="00AA1CB9">
        <w:rPr>
          <w:rFonts w:ascii="Palatino Linotype" w:hAnsi="Palatino Linotype" w:cs="Arial"/>
          <w:bCs/>
        </w:rPr>
        <w:t>al rubro indicado</w:t>
      </w:r>
      <w:r w:rsidRPr="00AA1CB9">
        <w:rPr>
          <w:rFonts w:ascii="Palatino Linotype" w:hAnsi="Palatino Linotype" w:cs="Arial"/>
          <w:bCs/>
        </w:rPr>
        <w:t xml:space="preserve">, asimismo con fundamento en lo dispuesto por el </w:t>
      </w:r>
      <w:r w:rsidRPr="00AA1CB9">
        <w:rPr>
          <w:rFonts w:ascii="Palatino Linotype" w:eastAsia="Calibri" w:hAnsi="Palatino Linotype" w:cs="Arial"/>
          <w:lang w:val="es-ES"/>
        </w:rPr>
        <w:t xml:space="preserve">artículo 185 fracción I de la </w:t>
      </w:r>
      <w:r w:rsidRPr="00AA1CB9">
        <w:rPr>
          <w:rFonts w:ascii="Palatino Linotype" w:eastAsia="Calibri" w:hAnsi="Palatino Linotype" w:cs="Arial"/>
          <w:b/>
          <w:lang w:val="es-ES"/>
        </w:rPr>
        <w:t xml:space="preserve">Ley de Transparencia y Acceso a la Información Pública del Estado de México </w:t>
      </w:r>
      <w:r w:rsidRPr="00AA1CB9">
        <w:rPr>
          <w:rFonts w:ascii="Palatino Linotype" w:eastAsia="Calibri" w:hAnsi="Palatino Linotype" w:cs="Arial"/>
          <w:b/>
          <w:lang w:val="es-ES"/>
        </w:rPr>
        <w:lastRenderedPageBreak/>
        <w:t xml:space="preserve">y Municipios </w:t>
      </w:r>
      <w:r w:rsidRPr="00AA1CB9">
        <w:rPr>
          <w:rFonts w:ascii="Palatino Linotype" w:eastAsia="Times New Roman" w:hAnsi="Palatino Linotype" w:cs="Arial"/>
          <w:lang w:val="es-ES"/>
        </w:rPr>
        <w:t>se turn</w:t>
      </w:r>
      <w:r w:rsidR="000A53C4" w:rsidRPr="00AA1CB9">
        <w:rPr>
          <w:rFonts w:ascii="Palatino Linotype" w:eastAsia="Times New Roman" w:hAnsi="Palatino Linotype" w:cs="Arial"/>
          <w:lang w:val="es-ES"/>
        </w:rPr>
        <w:t>ó</w:t>
      </w:r>
      <w:r w:rsidRPr="00AA1CB9">
        <w:rPr>
          <w:rFonts w:ascii="Palatino Linotype" w:eastAsia="Times New Roman" w:hAnsi="Palatino Linotype" w:cs="Arial"/>
          <w:lang w:val="es-ES"/>
        </w:rPr>
        <w:t xml:space="preserve"> al </w:t>
      </w:r>
      <w:r w:rsidRPr="00AA1CB9">
        <w:rPr>
          <w:rFonts w:ascii="Palatino Linotype" w:eastAsia="Times New Roman" w:hAnsi="Palatino Linotype" w:cs="Arial"/>
          <w:b/>
          <w:lang w:val="es-ES"/>
        </w:rPr>
        <w:t xml:space="preserve">Comisionado José Guadalupe Luna Hernández, </w:t>
      </w:r>
      <w:r w:rsidRPr="00AA1CB9">
        <w:rPr>
          <w:rFonts w:ascii="Palatino Linotype" w:eastAsia="Times New Roman" w:hAnsi="Palatino Linotype" w:cs="Arial"/>
          <w:lang w:val="es-ES"/>
        </w:rPr>
        <w:t xml:space="preserve">con el objeto de </w:t>
      </w:r>
      <w:r w:rsidRPr="00AA1CB9">
        <w:rPr>
          <w:rFonts w:ascii="Palatino Linotype" w:eastAsia="Times New Roman" w:hAnsi="Palatino Linotype" w:cs="Arial"/>
          <w:lang w:val="es-MX"/>
        </w:rPr>
        <w:t xml:space="preserve">su análisis. </w:t>
      </w:r>
    </w:p>
    <w:p w:rsidR="002A5BA4" w:rsidRPr="00AA1CB9" w:rsidRDefault="002A5BA4" w:rsidP="00AA1CB9">
      <w:pPr>
        <w:pStyle w:val="Prrafodelista"/>
        <w:spacing w:line="360" w:lineRule="auto"/>
        <w:ind w:left="0"/>
        <w:rPr>
          <w:rFonts w:ascii="Palatino Linotype" w:hAnsi="Palatino Linotype"/>
          <w:i/>
          <w:color w:val="000000"/>
        </w:rPr>
      </w:pPr>
    </w:p>
    <w:p w:rsidR="002A5BA4" w:rsidRPr="00AA1CB9" w:rsidRDefault="002A5BA4" w:rsidP="00AA1CB9">
      <w:pPr>
        <w:pStyle w:val="Prrafodelista"/>
        <w:numPr>
          <w:ilvl w:val="0"/>
          <w:numId w:val="1"/>
        </w:numPr>
        <w:spacing w:before="240" w:after="240" w:line="360" w:lineRule="auto"/>
        <w:ind w:left="0" w:firstLine="0"/>
        <w:jc w:val="both"/>
        <w:rPr>
          <w:rFonts w:ascii="Palatino Linotype" w:hAnsi="Palatino Linotype"/>
          <w:i/>
          <w:color w:val="000000"/>
        </w:rPr>
      </w:pPr>
      <w:r w:rsidRPr="00AA1CB9">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A53C4" w:rsidRPr="00AA1CB9">
        <w:rPr>
          <w:rFonts w:ascii="Palatino Linotype" w:eastAsia="Calibri" w:hAnsi="Palatino Linotype" w:cs="Arial"/>
          <w:lang w:val="es-ES"/>
        </w:rPr>
        <w:t>once</w:t>
      </w:r>
      <w:r w:rsidR="00812C54" w:rsidRPr="00AA1CB9">
        <w:rPr>
          <w:rFonts w:ascii="Palatino Linotype" w:eastAsia="Calibri" w:hAnsi="Palatino Linotype" w:cs="Arial"/>
          <w:lang w:val="es-ES"/>
        </w:rPr>
        <w:t xml:space="preserve"> (</w:t>
      </w:r>
      <w:r w:rsidR="000A53C4" w:rsidRPr="00AA1CB9">
        <w:rPr>
          <w:rFonts w:ascii="Palatino Linotype" w:eastAsia="Calibri" w:hAnsi="Palatino Linotype" w:cs="Arial"/>
          <w:lang w:val="es-ES"/>
        </w:rPr>
        <w:t>11</w:t>
      </w:r>
      <w:r w:rsidR="00812C54" w:rsidRPr="00AA1CB9">
        <w:rPr>
          <w:rFonts w:ascii="Palatino Linotype" w:eastAsia="Calibri" w:hAnsi="Palatino Linotype" w:cs="Arial"/>
          <w:lang w:val="es-ES"/>
        </w:rPr>
        <w:t>)</w:t>
      </w:r>
      <w:r w:rsidR="00EF2C7E" w:rsidRPr="00AA1CB9">
        <w:rPr>
          <w:rFonts w:ascii="Palatino Linotype" w:eastAsia="Calibri" w:hAnsi="Palatino Linotype" w:cs="Arial"/>
          <w:lang w:val="es-ES"/>
        </w:rPr>
        <w:t xml:space="preserve"> </w:t>
      </w:r>
      <w:r w:rsidRPr="00AA1CB9">
        <w:rPr>
          <w:rFonts w:ascii="Palatino Linotype" w:eastAsia="Calibri" w:hAnsi="Palatino Linotype" w:cs="Arial"/>
          <w:lang w:val="es-ES"/>
        </w:rPr>
        <w:t xml:space="preserve">de </w:t>
      </w:r>
      <w:r w:rsidR="000A53C4" w:rsidRPr="00AA1CB9">
        <w:rPr>
          <w:rFonts w:ascii="Palatino Linotype" w:eastAsia="Calibri" w:hAnsi="Palatino Linotype" w:cs="Arial"/>
          <w:lang w:val="es-ES"/>
        </w:rPr>
        <w:t>enero</w:t>
      </w:r>
      <w:r w:rsidRPr="00AA1CB9">
        <w:rPr>
          <w:rFonts w:ascii="Palatino Linotype" w:eastAsia="Calibri" w:hAnsi="Palatino Linotype" w:cs="Arial"/>
          <w:lang w:val="es-ES"/>
        </w:rPr>
        <w:t xml:space="preserve"> de dos mil </w:t>
      </w:r>
      <w:r w:rsidR="000E053C" w:rsidRPr="00AA1CB9">
        <w:rPr>
          <w:rFonts w:ascii="Palatino Linotype" w:eastAsia="Calibri" w:hAnsi="Palatino Linotype" w:cs="Arial"/>
          <w:lang w:val="es-ES"/>
        </w:rPr>
        <w:t>dieci</w:t>
      </w:r>
      <w:r w:rsidR="000A53C4" w:rsidRPr="00AA1CB9">
        <w:rPr>
          <w:rFonts w:ascii="Palatino Linotype" w:eastAsia="Calibri" w:hAnsi="Palatino Linotype" w:cs="Arial"/>
          <w:lang w:val="es-ES"/>
        </w:rPr>
        <w:t>nueve</w:t>
      </w:r>
      <w:r w:rsidRPr="00AA1CB9">
        <w:rPr>
          <w:rFonts w:ascii="Palatino Linotype" w:eastAsia="Calibri" w:hAnsi="Palatino Linotype" w:cs="Arial"/>
          <w:lang w:val="es-ES"/>
        </w:rPr>
        <w:t xml:space="preserve">, puso a disposición de las partes </w:t>
      </w:r>
      <w:r w:rsidR="000A53C4" w:rsidRPr="00AA1CB9">
        <w:rPr>
          <w:rFonts w:ascii="Palatino Linotype" w:eastAsia="Calibri" w:hAnsi="Palatino Linotype" w:cs="Arial"/>
          <w:lang w:val="es-ES"/>
        </w:rPr>
        <w:t>el</w:t>
      </w:r>
      <w:r w:rsidRPr="00AA1CB9">
        <w:rPr>
          <w:rFonts w:ascii="Palatino Linotype" w:eastAsia="Calibri" w:hAnsi="Palatino Linotype" w:cs="Arial"/>
          <w:lang w:val="es-ES"/>
        </w:rPr>
        <w:t xml:space="preserve"> expediente electrónico </w:t>
      </w:r>
      <w:r w:rsidRPr="00AA1CB9">
        <w:rPr>
          <w:rFonts w:ascii="Palatino Linotype" w:eastAsia="Calibri" w:hAnsi="Palatino Linotype" w:cs="Arial"/>
        </w:rPr>
        <w:t xml:space="preserve">vía </w:t>
      </w:r>
      <w:r w:rsidRPr="00AA1CB9">
        <w:rPr>
          <w:rFonts w:ascii="Palatino Linotype" w:eastAsia="Calibri" w:hAnsi="Palatino Linotype" w:cs="Arial"/>
          <w:b/>
          <w:lang w:val="es-ES"/>
        </w:rPr>
        <w:t xml:space="preserve">SAIMEX </w:t>
      </w:r>
      <w:r w:rsidRPr="00AA1CB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A1CB9">
        <w:rPr>
          <w:rFonts w:ascii="Palatino Linotype" w:eastAsia="Calibri" w:hAnsi="Palatino Linotype" w:cs="Arial"/>
          <w:b/>
          <w:lang w:val="es-ES"/>
        </w:rPr>
        <w:t>SUJETO OBLIGADO</w:t>
      </w:r>
      <w:r w:rsidR="000A53C4" w:rsidRPr="00AA1CB9">
        <w:rPr>
          <w:rFonts w:ascii="Palatino Linotype" w:eastAsia="Calibri" w:hAnsi="Palatino Linotype" w:cs="Arial"/>
          <w:lang w:val="es-ES"/>
        </w:rPr>
        <w:t xml:space="preserve"> presentará el</w:t>
      </w:r>
      <w:r w:rsidRPr="00AA1CB9">
        <w:rPr>
          <w:rFonts w:ascii="Palatino Linotype" w:eastAsia="Calibri" w:hAnsi="Palatino Linotype" w:cs="Arial"/>
          <w:lang w:val="es-ES"/>
        </w:rPr>
        <w:t xml:space="preserve"> Informe Justificado procedente</w:t>
      </w:r>
      <w:r w:rsidR="00812C54" w:rsidRPr="00AA1CB9">
        <w:rPr>
          <w:rFonts w:ascii="Palatino Linotype" w:eastAsia="Calibri" w:hAnsi="Palatino Linotype" w:cs="Arial"/>
          <w:lang w:val="es-ES"/>
        </w:rPr>
        <w:t>.</w:t>
      </w:r>
    </w:p>
    <w:p w:rsidR="00500D9A" w:rsidRPr="00AA1CB9" w:rsidRDefault="00500D9A" w:rsidP="00AA1CB9">
      <w:pPr>
        <w:pStyle w:val="Prrafodelista"/>
        <w:spacing w:line="360" w:lineRule="auto"/>
        <w:rPr>
          <w:rFonts w:ascii="Palatino Linotype" w:hAnsi="Palatino Linotype"/>
          <w:i/>
          <w:color w:val="000000"/>
        </w:rPr>
      </w:pPr>
    </w:p>
    <w:p w:rsidR="000A53C4" w:rsidRPr="00AA1CB9" w:rsidRDefault="000A53C4" w:rsidP="00AA1CB9">
      <w:pPr>
        <w:pStyle w:val="Prrafodelista"/>
        <w:numPr>
          <w:ilvl w:val="0"/>
          <w:numId w:val="1"/>
        </w:numPr>
        <w:spacing w:before="240" w:after="240" w:line="360" w:lineRule="auto"/>
        <w:ind w:left="0" w:hanging="11"/>
        <w:jc w:val="both"/>
        <w:rPr>
          <w:rFonts w:ascii="Palatino Linotype" w:hAnsi="Palatino Linotype"/>
        </w:rPr>
      </w:pPr>
      <w:r w:rsidRPr="00AA1CB9">
        <w:rPr>
          <w:rFonts w:ascii="Palatino Linotype" w:eastAsia="Calibri" w:hAnsi="Palatino Linotype" w:cs="Arial"/>
          <w:lang w:val="es-ES"/>
        </w:rPr>
        <w:t xml:space="preserve">El dieciocho </w:t>
      </w:r>
      <w:r w:rsidR="00ED2E65" w:rsidRPr="00AA1CB9">
        <w:rPr>
          <w:rFonts w:ascii="Palatino Linotype" w:eastAsia="Calibri" w:hAnsi="Palatino Linotype" w:cs="Arial"/>
          <w:lang w:val="es-ES"/>
        </w:rPr>
        <w:t>(</w:t>
      </w:r>
      <w:r w:rsidRPr="00AA1CB9">
        <w:rPr>
          <w:rFonts w:ascii="Palatino Linotype" w:eastAsia="Calibri" w:hAnsi="Palatino Linotype" w:cs="Arial"/>
          <w:lang w:val="es-ES"/>
        </w:rPr>
        <w:t>18</w:t>
      </w:r>
      <w:r w:rsidR="0021398B" w:rsidRPr="00AA1CB9">
        <w:rPr>
          <w:rFonts w:ascii="Palatino Linotype" w:eastAsia="Calibri" w:hAnsi="Palatino Linotype" w:cs="Arial"/>
          <w:lang w:val="es-ES"/>
        </w:rPr>
        <w:t xml:space="preserve">) de </w:t>
      </w:r>
      <w:r w:rsidRPr="00AA1CB9">
        <w:rPr>
          <w:rFonts w:ascii="Palatino Linotype" w:eastAsia="Calibri" w:hAnsi="Palatino Linotype" w:cs="Arial"/>
          <w:lang w:val="es-ES"/>
        </w:rPr>
        <w:t xml:space="preserve">enero </w:t>
      </w:r>
      <w:r w:rsidR="00ED2E65" w:rsidRPr="00AA1CB9">
        <w:rPr>
          <w:rFonts w:ascii="Palatino Linotype" w:eastAsia="Calibri" w:hAnsi="Palatino Linotype" w:cs="Arial"/>
          <w:lang w:val="es-ES"/>
        </w:rPr>
        <w:t>de dos mil dieci</w:t>
      </w:r>
      <w:r w:rsidRPr="00AA1CB9">
        <w:rPr>
          <w:rFonts w:ascii="Palatino Linotype" w:eastAsia="Calibri" w:hAnsi="Palatino Linotype" w:cs="Arial"/>
          <w:lang w:val="es-ES"/>
        </w:rPr>
        <w:t>nueve</w:t>
      </w:r>
      <w:r w:rsidR="00ED2E65" w:rsidRPr="00AA1CB9">
        <w:rPr>
          <w:rFonts w:ascii="Palatino Linotype" w:eastAsia="Calibri" w:hAnsi="Palatino Linotype" w:cs="Arial"/>
          <w:lang w:val="es-ES"/>
        </w:rPr>
        <w:t xml:space="preserve">, el </w:t>
      </w:r>
      <w:r w:rsidR="002A5BA4" w:rsidRPr="00AA1CB9">
        <w:rPr>
          <w:rFonts w:ascii="Palatino Linotype" w:eastAsia="Calibri" w:hAnsi="Palatino Linotype" w:cs="Arial"/>
          <w:b/>
          <w:lang w:val="es-ES"/>
        </w:rPr>
        <w:t xml:space="preserve">SUJETO OBLIGADO </w:t>
      </w:r>
      <w:r w:rsidR="00ED2E65" w:rsidRPr="00AA1CB9">
        <w:rPr>
          <w:rFonts w:ascii="Palatino Linotype" w:eastAsia="Calibri" w:hAnsi="Palatino Linotype" w:cs="Arial"/>
          <w:lang w:val="es-ES"/>
        </w:rPr>
        <w:t xml:space="preserve">rindió </w:t>
      </w:r>
      <w:r w:rsidRPr="00AA1CB9">
        <w:rPr>
          <w:rFonts w:ascii="Palatino Linotype" w:eastAsia="Calibri" w:hAnsi="Palatino Linotype" w:cs="Arial"/>
          <w:lang w:val="es-ES"/>
        </w:rPr>
        <w:t>el</w:t>
      </w:r>
      <w:r w:rsidR="00ED2E65" w:rsidRPr="00AA1CB9">
        <w:rPr>
          <w:rFonts w:ascii="Palatino Linotype" w:eastAsia="Calibri" w:hAnsi="Palatino Linotype" w:cs="Arial"/>
          <w:lang w:val="es-ES"/>
        </w:rPr>
        <w:t xml:space="preserve"> correspondiente infor</w:t>
      </w:r>
      <w:r w:rsidRPr="00AA1CB9">
        <w:rPr>
          <w:rFonts w:ascii="Palatino Linotype" w:eastAsia="Calibri" w:hAnsi="Palatino Linotype" w:cs="Arial"/>
          <w:lang w:val="es-ES"/>
        </w:rPr>
        <w:t>me justificado</w:t>
      </w:r>
      <w:r w:rsidR="0007491E" w:rsidRPr="00AA1CB9">
        <w:rPr>
          <w:rFonts w:ascii="Palatino Linotype" w:eastAsia="Calibri" w:hAnsi="Palatino Linotype" w:cs="Arial"/>
          <w:lang w:val="es-ES"/>
        </w:rPr>
        <w:t>,</w:t>
      </w:r>
      <w:r w:rsidRPr="00AA1CB9">
        <w:rPr>
          <w:rFonts w:ascii="Palatino Linotype" w:eastAsia="Calibri" w:hAnsi="Palatino Linotype" w:cs="Arial"/>
          <w:lang w:val="es-ES"/>
        </w:rPr>
        <w:t xml:space="preserve"> a través del documento electrónico denominado </w:t>
      </w:r>
      <w:r w:rsidRPr="00AA1CB9">
        <w:rPr>
          <w:rFonts w:ascii="Palatino Linotype" w:eastAsia="Calibri" w:hAnsi="Palatino Linotype" w:cs="Arial"/>
          <w:b/>
          <w:lang w:val="es-ES"/>
        </w:rPr>
        <w:t xml:space="preserve">18.pdf, </w:t>
      </w:r>
      <w:r w:rsidRPr="00AA1CB9">
        <w:rPr>
          <w:rFonts w:ascii="Palatino Linotype" w:eastAsia="Calibri" w:hAnsi="Palatino Linotype" w:cs="Arial"/>
          <w:lang w:val="es-ES"/>
        </w:rPr>
        <w:t>mismo que ya es de conocimiento del particular; sin embargo, se procede a describir su contenido medular, siendo el siguiente:</w:t>
      </w:r>
    </w:p>
    <w:p w:rsidR="000A53C4" w:rsidRPr="00AA1CB9" w:rsidRDefault="000A53C4" w:rsidP="00AA1CB9">
      <w:pPr>
        <w:pStyle w:val="Prrafodelista"/>
        <w:spacing w:line="360" w:lineRule="auto"/>
        <w:rPr>
          <w:rFonts w:ascii="Palatino Linotype" w:hAnsi="Palatino Linotype"/>
        </w:rPr>
      </w:pPr>
    </w:p>
    <w:p w:rsidR="000A53C4" w:rsidRPr="00AA1CB9" w:rsidRDefault="00622380" w:rsidP="00AA1CB9">
      <w:pPr>
        <w:pStyle w:val="Prrafodelista"/>
        <w:numPr>
          <w:ilvl w:val="0"/>
          <w:numId w:val="23"/>
        </w:numPr>
        <w:spacing w:before="240" w:after="240" w:line="360" w:lineRule="auto"/>
        <w:jc w:val="both"/>
        <w:rPr>
          <w:rFonts w:ascii="Palatino Linotype" w:hAnsi="Palatino Linotype"/>
          <w:b/>
        </w:rPr>
      </w:pPr>
      <w:r w:rsidRPr="00AA1CB9">
        <w:rPr>
          <w:rFonts w:ascii="Palatino Linotype" w:hAnsi="Palatino Linotype"/>
          <w:b/>
        </w:rPr>
        <w:t xml:space="preserve">18. </w:t>
      </w:r>
      <w:proofErr w:type="spellStart"/>
      <w:r w:rsidRPr="00AA1CB9">
        <w:rPr>
          <w:rFonts w:ascii="Palatino Linotype" w:hAnsi="Palatino Linotype"/>
          <w:b/>
        </w:rPr>
        <w:t>pdf</w:t>
      </w:r>
      <w:proofErr w:type="spellEnd"/>
      <w:r w:rsidRPr="00AA1CB9">
        <w:rPr>
          <w:rFonts w:ascii="Palatino Linotype" w:hAnsi="Palatino Linotype"/>
          <w:b/>
        </w:rPr>
        <w:t xml:space="preserve">: </w:t>
      </w:r>
      <w:r w:rsidRPr="00AA1CB9">
        <w:rPr>
          <w:rFonts w:ascii="Palatino Linotype" w:hAnsi="Palatino Linotype"/>
        </w:rPr>
        <w:t>Oficio No. 232310000/UIPPE/0102/2019 suscrito por la Titular de la Unidad de Transparencia mediante el cual se confirma su respuesta, al mismo tiempo refiere que, los documentos remitidos ya fueron del conocimiento del particular en cumplimiento a los recursos de revisión 03392/INFOEM/IP/RR/2018 Y 03393/INFOEM/IP/RR/2018 y, en dichos recursos no se inconformó por las versiones públicas.</w:t>
      </w:r>
    </w:p>
    <w:p w:rsidR="000A53C4" w:rsidRPr="00AA1CB9" w:rsidRDefault="000A53C4" w:rsidP="00AA1CB9">
      <w:pPr>
        <w:pStyle w:val="Prrafodelista"/>
        <w:spacing w:line="360" w:lineRule="auto"/>
        <w:rPr>
          <w:rFonts w:ascii="Palatino Linotype" w:eastAsia="Calibri" w:hAnsi="Palatino Linotype" w:cs="Arial"/>
          <w:lang w:val="es-ES"/>
        </w:rPr>
      </w:pPr>
    </w:p>
    <w:p w:rsidR="00CF0879" w:rsidRPr="00AA1CB9" w:rsidRDefault="00CF0879" w:rsidP="00AA1CB9">
      <w:pPr>
        <w:pStyle w:val="Prrafodelista"/>
        <w:numPr>
          <w:ilvl w:val="0"/>
          <w:numId w:val="1"/>
        </w:numPr>
        <w:spacing w:line="360" w:lineRule="auto"/>
        <w:ind w:left="0" w:hanging="11"/>
        <w:jc w:val="both"/>
        <w:rPr>
          <w:rFonts w:ascii="Palatino Linotype" w:hAnsi="Palatino Linotype"/>
          <w:b/>
          <w:u w:val="single"/>
        </w:rPr>
      </w:pPr>
      <w:r w:rsidRPr="00AA1CB9">
        <w:rPr>
          <w:rFonts w:ascii="Palatino Linotype" w:hAnsi="Palatino Linotype"/>
        </w:rPr>
        <w:t>El Comisionado Ponente decretó el cierre de instrucción</w:t>
      </w:r>
      <w:r w:rsidRPr="00AA1CB9">
        <w:rPr>
          <w:rFonts w:ascii="Palatino Linotype" w:hAnsi="Palatino Linotype" w:cs="Arial"/>
        </w:rPr>
        <w:t xml:space="preserve"> </w:t>
      </w:r>
      <w:r w:rsidRPr="00AA1CB9">
        <w:rPr>
          <w:rFonts w:ascii="Palatino Linotype" w:hAnsi="Palatino Linotype"/>
        </w:rPr>
        <w:t xml:space="preserve">mediante acuerdo de fecha </w:t>
      </w:r>
      <w:r w:rsidR="00622380" w:rsidRPr="00AA1CB9">
        <w:rPr>
          <w:rFonts w:ascii="Palatino Linotype" w:hAnsi="Palatino Linotype"/>
        </w:rPr>
        <w:t>veintisiete</w:t>
      </w:r>
      <w:r w:rsidRPr="00AA1CB9">
        <w:rPr>
          <w:rFonts w:ascii="Palatino Linotype" w:hAnsi="Palatino Linotype"/>
        </w:rPr>
        <w:t xml:space="preserve"> (</w:t>
      </w:r>
      <w:r w:rsidR="00622380" w:rsidRPr="00AA1CB9">
        <w:rPr>
          <w:rFonts w:ascii="Palatino Linotype" w:hAnsi="Palatino Linotype"/>
        </w:rPr>
        <w:t>27</w:t>
      </w:r>
      <w:r w:rsidRPr="00AA1CB9">
        <w:rPr>
          <w:rFonts w:ascii="Palatino Linotype" w:hAnsi="Palatino Linotype"/>
        </w:rPr>
        <w:t xml:space="preserve">) de </w:t>
      </w:r>
      <w:r w:rsidR="00622380" w:rsidRPr="00AA1CB9">
        <w:rPr>
          <w:rFonts w:ascii="Palatino Linotype" w:hAnsi="Palatino Linotype"/>
        </w:rPr>
        <w:t>febrero</w:t>
      </w:r>
      <w:r w:rsidRPr="00AA1CB9">
        <w:rPr>
          <w:rFonts w:ascii="Palatino Linotype" w:hAnsi="Palatino Linotype"/>
        </w:rPr>
        <w:t xml:space="preserve"> de dos mil dieci</w:t>
      </w:r>
      <w:r w:rsidR="00622380" w:rsidRPr="00AA1CB9">
        <w:rPr>
          <w:rFonts w:ascii="Palatino Linotype" w:hAnsi="Palatino Linotype"/>
        </w:rPr>
        <w:t>nueve</w:t>
      </w:r>
      <w:r w:rsidRPr="00AA1CB9">
        <w:rPr>
          <w:rFonts w:ascii="Palatino Linotype" w:hAnsi="Palatino Linotype"/>
        </w:rPr>
        <w:t>.</w:t>
      </w:r>
      <w:r w:rsidRPr="00AA1CB9">
        <w:rPr>
          <w:rFonts w:ascii="Palatino Linotype" w:hAnsi="Palatino Linotype" w:cs="Arial"/>
        </w:rPr>
        <w:t xml:space="preserve"> </w:t>
      </w:r>
      <w:r w:rsidRPr="00AA1CB9">
        <w:rPr>
          <w:rFonts w:ascii="Palatino Linotype" w:hAnsi="Palatino Linotype"/>
          <w:color w:val="000000" w:themeColor="text1"/>
        </w:rPr>
        <w:t xml:space="preserve">Posteriormente, el </w:t>
      </w:r>
      <w:r w:rsidR="00A359C0" w:rsidRPr="00AA1CB9">
        <w:rPr>
          <w:rFonts w:ascii="Palatino Linotype" w:hAnsi="Palatino Linotype"/>
          <w:color w:val="000000" w:themeColor="text1"/>
        </w:rPr>
        <w:t>siete</w:t>
      </w:r>
      <w:r w:rsidRPr="00AA1CB9">
        <w:rPr>
          <w:rFonts w:ascii="Palatino Linotype" w:hAnsi="Palatino Linotype"/>
          <w:color w:val="000000" w:themeColor="text1"/>
        </w:rPr>
        <w:t xml:space="preserve"> (</w:t>
      </w:r>
      <w:r w:rsidR="00A359C0" w:rsidRPr="00AA1CB9">
        <w:rPr>
          <w:rFonts w:ascii="Palatino Linotype" w:hAnsi="Palatino Linotype"/>
          <w:color w:val="000000" w:themeColor="text1"/>
        </w:rPr>
        <w:t>7</w:t>
      </w:r>
      <w:r w:rsidRPr="00AA1CB9">
        <w:rPr>
          <w:rFonts w:ascii="Palatino Linotype" w:hAnsi="Palatino Linotype"/>
          <w:color w:val="000000" w:themeColor="text1"/>
        </w:rPr>
        <w:t xml:space="preserve">) de </w:t>
      </w:r>
      <w:r w:rsidR="00622380" w:rsidRPr="00AA1CB9">
        <w:rPr>
          <w:rFonts w:ascii="Palatino Linotype" w:hAnsi="Palatino Linotype"/>
          <w:color w:val="000000" w:themeColor="text1"/>
        </w:rPr>
        <w:t>marzo</w:t>
      </w:r>
      <w:r w:rsidRPr="00AA1CB9">
        <w:rPr>
          <w:rFonts w:ascii="Palatino Linotype" w:hAnsi="Palatino Linotype"/>
          <w:color w:val="000000" w:themeColor="text1"/>
        </w:rPr>
        <w:t xml:space="preserve"> del año en curso, se amplió el plazo de treinta (30) días para resolver el recurso de revisión, </w:t>
      </w:r>
      <w:r w:rsidRPr="00AA1CB9">
        <w:rPr>
          <w:rFonts w:ascii="Palatino Linotype" w:hAnsi="Palatino Linotype" w:cs="Arial"/>
          <w:color w:val="000000" w:themeColor="text1"/>
        </w:rPr>
        <w:t xml:space="preserve">por lo que ordenó turnar el expediente para su resolución, misma que ahora se pronuncia; y  - - - - - - - - - - - </w:t>
      </w:r>
      <w:r w:rsidRPr="00AA1CB9">
        <w:rPr>
          <w:rFonts w:ascii="Palatino Linotype" w:hAnsi="Palatino Linotype" w:cs="Arial"/>
        </w:rPr>
        <w:t xml:space="preserve">- - - - - - - - - - - - -- - - - - </w:t>
      </w:r>
      <w:r w:rsidR="00622380" w:rsidRPr="00AA1CB9">
        <w:rPr>
          <w:rFonts w:ascii="Palatino Linotype" w:hAnsi="Palatino Linotype" w:cs="Arial"/>
        </w:rPr>
        <w:t>- - - - - - - - -</w:t>
      </w:r>
    </w:p>
    <w:p w:rsidR="00274D1E" w:rsidRPr="00AA1CB9" w:rsidRDefault="00274D1E" w:rsidP="00AA1CB9">
      <w:pPr>
        <w:pStyle w:val="Prrafodelista"/>
        <w:spacing w:before="240" w:after="240" w:line="360" w:lineRule="auto"/>
        <w:ind w:left="0"/>
        <w:jc w:val="both"/>
        <w:rPr>
          <w:rFonts w:ascii="Palatino Linotype" w:eastAsia="Calibri" w:hAnsi="Palatino Linotype" w:cs="Arial"/>
          <w:lang w:val="es-ES"/>
        </w:rPr>
      </w:pPr>
    </w:p>
    <w:p w:rsidR="00AA1CB9" w:rsidRDefault="002A5BA4" w:rsidP="00AA1CB9">
      <w:pPr>
        <w:pStyle w:val="Ttulo1"/>
        <w:spacing w:line="360" w:lineRule="auto"/>
        <w:jc w:val="center"/>
        <w:rPr>
          <w:szCs w:val="24"/>
        </w:rPr>
      </w:pPr>
      <w:bookmarkStart w:id="4" w:name="_Toc3295481"/>
      <w:r w:rsidRPr="00AA1CB9">
        <w:rPr>
          <w:szCs w:val="24"/>
        </w:rPr>
        <w:t>CONSIDERANDO</w:t>
      </w:r>
      <w:bookmarkEnd w:id="4"/>
      <w:r w:rsidR="005E6C51" w:rsidRPr="00AA1CB9">
        <w:rPr>
          <w:szCs w:val="24"/>
        </w:rPr>
        <w:t xml:space="preserve"> </w:t>
      </w:r>
    </w:p>
    <w:p w:rsidR="00AA1CB9" w:rsidRPr="00AA1CB9" w:rsidRDefault="00AA1CB9" w:rsidP="00AA1CB9">
      <w:pPr>
        <w:rPr>
          <w:lang w:val="es-MX" w:eastAsia="en-US"/>
        </w:rPr>
      </w:pPr>
    </w:p>
    <w:p w:rsidR="002A5BA4" w:rsidRPr="00AA1CB9" w:rsidRDefault="002A5BA4" w:rsidP="00AA1CB9">
      <w:pPr>
        <w:pStyle w:val="Ttulo2"/>
        <w:spacing w:line="360" w:lineRule="auto"/>
        <w:rPr>
          <w:rFonts w:ascii="Palatino Linotype" w:hAnsi="Palatino Linotype"/>
          <w:b/>
          <w:bCs/>
          <w:color w:val="auto"/>
          <w:spacing w:val="60"/>
          <w:sz w:val="24"/>
          <w:szCs w:val="24"/>
        </w:rPr>
      </w:pPr>
      <w:bookmarkStart w:id="5" w:name="_Toc3295482"/>
      <w:r w:rsidRPr="00AA1CB9">
        <w:rPr>
          <w:rFonts w:ascii="Palatino Linotype" w:hAnsi="Palatino Linotype"/>
          <w:b/>
          <w:color w:val="auto"/>
          <w:sz w:val="24"/>
          <w:szCs w:val="24"/>
        </w:rPr>
        <w:t>PRIMERO. De la competencia</w:t>
      </w:r>
      <w:bookmarkEnd w:id="5"/>
    </w:p>
    <w:p w:rsidR="002A5BA4" w:rsidRPr="00AA1CB9" w:rsidRDefault="002A5BA4" w:rsidP="00AA1CB9">
      <w:pPr>
        <w:pStyle w:val="Prrafodelista"/>
        <w:numPr>
          <w:ilvl w:val="0"/>
          <w:numId w:val="1"/>
        </w:numPr>
        <w:spacing w:before="240" w:after="240" w:line="360" w:lineRule="auto"/>
        <w:ind w:left="0" w:firstLine="0"/>
        <w:jc w:val="both"/>
        <w:rPr>
          <w:rFonts w:ascii="Palatino Linotype" w:hAnsi="Palatino Linotype"/>
        </w:rPr>
      </w:pPr>
      <w:r w:rsidRPr="00AA1CB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A1CB9">
        <w:rPr>
          <w:rFonts w:ascii="Palatino Linotype" w:eastAsia="Calibri" w:hAnsi="Palatino Linotype" w:cs="Times New Roman"/>
          <w:b/>
          <w:lang w:val="es-ES"/>
        </w:rPr>
        <w:t>Constitución Política de los Estados Unidos Mexicanos</w:t>
      </w:r>
      <w:r w:rsidRPr="00AA1CB9">
        <w:rPr>
          <w:rFonts w:ascii="Palatino Linotype" w:eastAsia="Calibri" w:hAnsi="Palatino Linotype" w:cs="Times New Roman"/>
          <w:lang w:val="es-ES"/>
        </w:rPr>
        <w:t xml:space="preserve">; 5, párrafos </w:t>
      </w:r>
      <w:r w:rsidRPr="00AA1CB9">
        <w:rPr>
          <w:rFonts w:ascii="Palatino Linotype" w:hAnsi="Palatino Linotype" w:cs="Arial"/>
          <w:bCs/>
          <w:color w:val="222222"/>
          <w:lang w:val="es-ES"/>
        </w:rPr>
        <w:t xml:space="preserve">vigésimo, vigésimo primero y vigésimo segundo </w:t>
      </w:r>
      <w:r w:rsidRPr="00AA1CB9">
        <w:rPr>
          <w:rFonts w:ascii="Palatino Linotype" w:eastAsia="Calibri" w:hAnsi="Palatino Linotype" w:cs="Times New Roman"/>
          <w:lang w:val="es-ES"/>
        </w:rPr>
        <w:t xml:space="preserve">fracciones IV y V de la </w:t>
      </w:r>
      <w:r w:rsidRPr="00AA1CB9">
        <w:rPr>
          <w:rFonts w:ascii="Palatino Linotype" w:eastAsia="Calibri" w:hAnsi="Palatino Linotype" w:cs="Times New Roman"/>
          <w:b/>
          <w:lang w:val="es-ES"/>
        </w:rPr>
        <w:t>Constitución Política del Estado Libre y Soberano de México</w:t>
      </w:r>
      <w:r w:rsidRPr="00AA1CB9">
        <w:rPr>
          <w:rFonts w:ascii="Palatino Linotype" w:eastAsia="Calibri" w:hAnsi="Palatino Linotype" w:cs="Times New Roman"/>
          <w:lang w:val="es-ES"/>
        </w:rPr>
        <w:t xml:space="preserve">; artículos 1, 2 fracción II, 13, 29, 36 fracciones I y II, 176, 178, 179, 181 párrafo tercero y 185 </w:t>
      </w:r>
      <w:r w:rsidRPr="00AA1CB9">
        <w:rPr>
          <w:rFonts w:ascii="Palatino Linotype" w:eastAsia="Calibri" w:hAnsi="Palatino Linotype" w:cs="Arial"/>
          <w:lang w:val="es-ES"/>
        </w:rPr>
        <w:t xml:space="preserve">de la </w:t>
      </w:r>
      <w:r w:rsidRPr="00AA1CB9">
        <w:rPr>
          <w:rFonts w:ascii="Palatino Linotype" w:eastAsia="Calibri" w:hAnsi="Palatino Linotype" w:cs="Arial"/>
          <w:b/>
          <w:lang w:val="es-ES"/>
        </w:rPr>
        <w:t>Ley de Transparencia y Acceso a la Información Pública del Estado de México y Municipios</w:t>
      </w:r>
      <w:r w:rsidRPr="00AA1CB9">
        <w:rPr>
          <w:rFonts w:ascii="Palatino Linotype" w:eastAsia="Calibri" w:hAnsi="Palatino Linotype" w:cs="Arial"/>
          <w:lang w:val="es-ES"/>
        </w:rPr>
        <w:t xml:space="preserve">; y 7, 9 fracciones I y XXIV, y 11 del </w:t>
      </w:r>
      <w:r w:rsidRPr="00AA1CB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A1CB9">
        <w:rPr>
          <w:rFonts w:ascii="Palatino Linotype" w:hAnsi="Palatino Linotype"/>
        </w:rPr>
        <w:t>.</w:t>
      </w:r>
    </w:p>
    <w:p w:rsidR="002A5BA4" w:rsidRDefault="002A5BA4" w:rsidP="00AA1CB9">
      <w:pPr>
        <w:pStyle w:val="Ttulo2"/>
        <w:spacing w:line="360" w:lineRule="auto"/>
        <w:rPr>
          <w:rFonts w:ascii="Palatino Linotype" w:hAnsi="Palatino Linotype"/>
          <w:b/>
          <w:color w:val="auto"/>
          <w:sz w:val="24"/>
          <w:szCs w:val="24"/>
        </w:rPr>
      </w:pPr>
      <w:bookmarkStart w:id="6" w:name="_Toc3295483"/>
      <w:r w:rsidRPr="00AA1CB9">
        <w:rPr>
          <w:rFonts w:ascii="Palatino Linotype" w:hAnsi="Palatino Linotype"/>
          <w:b/>
          <w:color w:val="auto"/>
          <w:sz w:val="24"/>
          <w:szCs w:val="24"/>
        </w:rPr>
        <w:lastRenderedPageBreak/>
        <w:t>SEGUNDO. De la oportunidad y procedencia.</w:t>
      </w:r>
      <w:bookmarkEnd w:id="6"/>
    </w:p>
    <w:p w:rsidR="00AA1CB9" w:rsidRPr="00AA1CB9" w:rsidRDefault="00AA1CB9" w:rsidP="00AA1CB9">
      <w:pPr>
        <w:rPr>
          <w:lang w:val="es-MX" w:eastAsia="en-US"/>
        </w:rPr>
      </w:pPr>
    </w:p>
    <w:p w:rsidR="001C1F82" w:rsidRPr="00AA1CB9" w:rsidRDefault="001C1F82" w:rsidP="00AA1CB9">
      <w:pPr>
        <w:pStyle w:val="Prrafodelista"/>
        <w:numPr>
          <w:ilvl w:val="0"/>
          <w:numId w:val="1"/>
        </w:numPr>
        <w:spacing w:before="240" w:after="240" w:line="360" w:lineRule="auto"/>
        <w:ind w:left="0" w:right="49" w:firstLine="0"/>
        <w:jc w:val="both"/>
        <w:rPr>
          <w:rFonts w:ascii="Palatino Linotype" w:hAnsi="Palatino Linotype"/>
        </w:rPr>
      </w:pPr>
      <w:r w:rsidRPr="00AA1CB9">
        <w:rPr>
          <w:rFonts w:ascii="Palatino Linotype" w:eastAsia="Calibri" w:hAnsi="Palatino Linotype" w:cs="Arial"/>
        </w:rPr>
        <w:t xml:space="preserve">El medio de impugnación fue presentado a través del </w:t>
      </w:r>
      <w:r w:rsidRPr="00AA1CB9">
        <w:rPr>
          <w:rFonts w:ascii="Palatino Linotype" w:eastAsia="Calibri" w:hAnsi="Palatino Linotype" w:cs="Arial"/>
          <w:b/>
        </w:rPr>
        <w:t>SAIMEX,</w:t>
      </w:r>
      <w:r w:rsidRPr="00AA1CB9">
        <w:rPr>
          <w:rFonts w:ascii="Palatino Linotype" w:eastAsia="Calibri" w:hAnsi="Palatino Linotype" w:cs="Arial"/>
        </w:rPr>
        <w:t xml:space="preserve"> en el formato previamente aprobado para tal efecto y dentro del plazo legal de quince días hábiles otorgados; siendo así que el </w:t>
      </w:r>
      <w:r w:rsidRPr="00AA1CB9">
        <w:rPr>
          <w:rFonts w:ascii="Palatino Linotype" w:eastAsia="Calibri" w:hAnsi="Palatino Linotype" w:cs="Arial"/>
          <w:b/>
        </w:rPr>
        <w:t>SUJETO OBLIGADO</w:t>
      </w:r>
      <w:r w:rsidRPr="00AA1CB9">
        <w:rPr>
          <w:rFonts w:ascii="Palatino Linotype" w:eastAsia="Calibri" w:hAnsi="Palatino Linotype" w:cs="Arial"/>
        </w:rPr>
        <w:t xml:space="preserve"> entregó respuesta </w:t>
      </w:r>
      <w:r w:rsidR="009472D4" w:rsidRPr="00AA1CB9">
        <w:rPr>
          <w:rFonts w:ascii="Palatino Linotype" w:eastAsia="Calibri" w:hAnsi="Palatino Linotype" w:cs="Arial"/>
        </w:rPr>
        <w:t>a l</w:t>
      </w:r>
      <w:r w:rsidR="0005331A" w:rsidRPr="00AA1CB9">
        <w:rPr>
          <w:rFonts w:ascii="Palatino Linotype" w:eastAsia="Calibri" w:hAnsi="Palatino Linotype" w:cs="Arial"/>
        </w:rPr>
        <w:t>a</w:t>
      </w:r>
      <w:r w:rsidR="00622380" w:rsidRPr="00AA1CB9">
        <w:rPr>
          <w:rFonts w:ascii="Palatino Linotype" w:eastAsia="Calibri" w:hAnsi="Palatino Linotype" w:cs="Arial"/>
        </w:rPr>
        <w:t xml:space="preserve"> solicitud</w:t>
      </w:r>
      <w:r w:rsidR="0005331A" w:rsidRPr="00AA1CB9">
        <w:rPr>
          <w:rFonts w:ascii="Palatino Linotype" w:eastAsia="Calibri" w:hAnsi="Palatino Linotype" w:cs="Arial"/>
        </w:rPr>
        <w:t xml:space="preserve"> el día</w:t>
      </w:r>
      <w:r w:rsidR="004E0C1F" w:rsidRPr="00AA1CB9">
        <w:rPr>
          <w:rFonts w:ascii="Palatino Linotype" w:eastAsia="Calibri" w:hAnsi="Palatino Linotype" w:cs="Arial"/>
        </w:rPr>
        <w:t xml:space="preserve"> </w:t>
      </w:r>
      <w:r w:rsidR="00622380" w:rsidRPr="00AA1CB9">
        <w:rPr>
          <w:rFonts w:ascii="Palatino Linotype" w:eastAsia="Calibri" w:hAnsi="Palatino Linotype" w:cs="Arial"/>
        </w:rPr>
        <w:t>trece</w:t>
      </w:r>
      <w:r w:rsidR="009472D4" w:rsidRPr="00AA1CB9">
        <w:rPr>
          <w:rFonts w:ascii="Palatino Linotype" w:eastAsia="Calibri" w:hAnsi="Palatino Linotype" w:cs="Arial"/>
        </w:rPr>
        <w:t xml:space="preserve"> (</w:t>
      </w:r>
      <w:r w:rsidR="00BB68F4" w:rsidRPr="00AA1CB9">
        <w:rPr>
          <w:rFonts w:ascii="Palatino Linotype" w:eastAsia="Calibri" w:hAnsi="Palatino Linotype" w:cs="Arial"/>
        </w:rPr>
        <w:t>1</w:t>
      </w:r>
      <w:r w:rsidR="00622380" w:rsidRPr="00AA1CB9">
        <w:rPr>
          <w:rFonts w:ascii="Palatino Linotype" w:eastAsia="Calibri" w:hAnsi="Palatino Linotype" w:cs="Arial"/>
        </w:rPr>
        <w:t>3</w:t>
      </w:r>
      <w:r w:rsidR="009472D4" w:rsidRPr="00AA1CB9">
        <w:rPr>
          <w:rFonts w:ascii="Palatino Linotype" w:eastAsia="Calibri" w:hAnsi="Palatino Linotype" w:cs="Arial"/>
        </w:rPr>
        <w:t xml:space="preserve">) de </w:t>
      </w:r>
      <w:r w:rsidR="00622380" w:rsidRPr="00AA1CB9">
        <w:rPr>
          <w:rFonts w:ascii="Palatino Linotype" w:eastAsia="Calibri" w:hAnsi="Palatino Linotype" w:cs="Arial"/>
        </w:rPr>
        <w:t>dici</w:t>
      </w:r>
      <w:r w:rsidR="0005331A" w:rsidRPr="00AA1CB9">
        <w:rPr>
          <w:rFonts w:ascii="Palatino Linotype" w:eastAsia="Calibri" w:hAnsi="Palatino Linotype" w:cs="Arial"/>
        </w:rPr>
        <w:t>embre</w:t>
      </w:r>
      <w:r w:rsidR="009472D4" w:rsidRPr="00AA1CB9">
        <w:rPr>
          <w:rFonts w:ascii="Palatino Linotype" w:eastAsia="Calibri" w:hAnsi="Palatino Linotype" w:cs="Arial"/>
        </w:rPr>
        <w:t xml:space="preserve"> </w:t>
      </w:r>
      <w:r w:rsidRPr="00AA1CB9">
        <w:rPr>
          <w:rFonts w:ascii="Palatino Linotype" w:eastAsia="Calibri" w:hAnsi="Palatino Linotype" w:cs="Arial"/>
        </w:rPr>
        <w:t xml:space="preserve">de dos mil dieciocho, </w:t>
      </w:r>
      <w:r w:rsidRPr="00AA1CB9">
        <w:rPr>
          <w:rFonts w:ascii="Palatino Linotype" w:hAnsi="Palatino Linotype" w:cs="Arial"/>
        </w:rPr>
        <w:t xml:space="preserve">de tal forma que </w:t>
      </w:r>
      <w:r w:rsidR="00294EEE" w:rsidRPr="00AA1CB9">
        <w:rPr>
          <w:rFonts w:ascii="Palatino Linotype" w:hAnsi="Palatino Linotype" w:cs="Arial"/>
        </w:rPr>
        <w:t>el</w:t>
      </w:r>
      <w:r w:rsidRPr="00AA1CB9">
        <w:rPr>
          <w:rFonts w:ascii="Palatino Linotype" w:hAnsi="Palatino Linotype" w:cs="Arial"/>
        </w:rPr>
        <w:t xml:space="preserve"> plazo para interponer </w:t>
      </w:r>
      <w:r w:rsidR="000C5D85" w:rsidRPr="00AA1CB9">
        <w:rPr>
          <w:rFonts w:ascii="Palatino Linotype" w:hAnsi="Palatino Linotype" w:cs="Arial"/>
        </w:rPr>
        <w:t>el</w:t>
      </w:r>
      <w:r w:rsidRPr="00AA1CB9">
        <w:rPr>
          <w:rFonts w:ascii="Palatino Linotype" w:hAnsi="Palatino Linotype" w:cs="Arial"/>
        </w:rPr>
        <w:t xml:space="preserve"> recurso de revisión</w:t>
      </w:r>
      <w:r w:rsidR="00AF0D0E" w:rsidRPr="00AA1CB9">
        <w:rPr>
          <w:rFonts w:ascii="Palatino Linotype" w:hAnsi="Palatino Linotype" w:cs="Arial"/>
        </w:rPr>
        <w:t xml:space="preserve"> transcurri</w:t>
      </w:r>
      <w:r w:rsidR="00294EEE" w:rsidRPr="00AA1CB9">
        <w:rPr>
          <w:rFonts w:ascii="Palatino Linotype" w:hAnsi="Palatino Linotype" w:cs="Arial"/>
        </w:rPr>
        <w:t>ó</w:t>
      </w:r>
      <w:r w:rsidR="00AF0D0E" w:rsidRPr="00AA1CB9">
        <w:rPr>
          <w:rFonts w:ascii="Palatino Linotype" w:hAnsi="Palatino Linotype" w:cs="Arial"/>
        </w:rPr>
        <w:t xml:space="preserve"> de</w:t>
      </w:r>
      <w:r w:rsidR="004E0C1F" w:rsidRPr="00AA1CB9">
        <w:rPr>
          <w:rFonts w:ascii="Palatino Linotype" w:hAnsi="Palatino Linotype" w:cs="Arial"/>
        </w:rPr>
        <w:t>l</w:t>
      </w:r>
      <w:r w:rsidR="009472D4" w:rsidRPr="00AA1CB9">
        <w:rPr>
          <w:rFonts w:ascii="Palatino Linotype" w:hAnsi="Palatino Linotype" w:cs="Arial"/>
        </w:rPr>
        <w:t xml:space="preserve"> </w:t>
      </w:r>
      <w:r w:rsidR="000C5D85" w:rsidRPr="00AA1CB9">
        <w:rPr>
          <w:rFonts w:ascii="Palatino Linotype" w:hAnsi="Palatino Linotype" w:cs="Arial"/>
        </w:rPr>
        <w:t>catorce</w:t>
      </w:r>
      <w:r w:rsidR="009472D4" w:rsidRPr="00AA1CB9">
        <w:rPr>
          <w:rFonts w:ascii="Palatino Linotype" w:hAnsi="Palatino Linotype" w:cs="Arial"/>
        </w:rPr>
        <w:t xml:space="preserve"> (</w:t>
      </w:r>
      <w:r w:rsidR="000C5D85" w:rsidRPr="00AA1CB9">
        <w:rPr>
          <w:rFonts w:ascii="Palatino Linotype" w:hAnsi="Palatino Linotype" w:cs="Arial"/>
        </w:rPr>
        <w:t>14</w:t>
      </w:r>
      <w:r w:rsidR="009472D4" w:rsidRPr="00AA1CB9">
        <w:rPr>
          <w:rFonts w:ascii="Palatino Linotype" w:hAnsi="Palatino Linotype" w:cs="Arial"/>
        </w:rPr>
        <w:t>)</w:t>
      </w:r>
      <w:r w:rsidR="008D59C7" w:rsidRPr="00AA1CB9">
        <w:rPr>
          <w:rFonts w:ascii="Palatino Linotype" w:hAnsi="Palatino Linotype" w:cs="Arial"/>
        </w:rPr>
        <w:t xml:space="preserve"> </w:t>
      </w:r>
      <w:r w:rsidR="0056738A" w:rsidRPr="00AA1CB9">
        <w:rPr>
          <w:rFonts w:ascii="Palatino Linotype" w:hAnsi="Palatino Linotype" w:cs="Arial"/>
        </w:rPr>
        <w:t xml:space="preserve">de </w:t>
      </w:r>
      <w:r w:rsidR="000C5D85" w:rsidRPr="00AA1CB9">
        <w:rPr>
          <w:rFonts w:ascii="Palatino Linotype" w:hAnsi="Palatino Linotype" w:cs="Arial"/>
        </w:rPr>
        <w:t>diciembre de dos mil dieciocho</w:t>
      </w:r>
      <w:r w:rsidR="00BB68F4" w:rsidRPr="00AA1CB9">
        <w:rPr>
          <w:rFonts w:ascii="Palatino Linotype" w:hAnsi="Palatino Linotype" w:cs="Arial"/>
        </w:rPr>
        <w:t xml:space="preserve"> </w:t>
      </w:r>
      <w:r w:rsidR="0005331A" w:rsidRPr="00AA1CB9">
        <w:rPr>
          <w:rFonts w:ascii="Palatino Linotype" w:hAnsi="Palatino Linotype" w:cs="Arial"/>
        </w:rPr>
        <w:t xml:space="preserve">al día </w:t>
      </w:r>
      <w:r w:rsidR="000C5D85" w:rsidRPr="00AA1CB9">
        <w:rPr>
          <w:rFonts w:ascii="Palatino Linotype" w:hAnsi="Palatino Linotype" w:cs="Arial"/>
        </w:rPr>
        <w:t>veintiuno</w:t>
      </w:r>
      <w:r w:rsidR="00BB68F4" w:rsidRPr="00AA1CB9">
        <w:rPr>
          <w:rFonts w:ascii="Palatino Linotype" w:hAnsi="Palatino Linotype" w:cs="Arial"/>
        </w:rPr>
        <w:t xml:space="preserve"> </w:t>
      </w:r>
      <w:r w:rsidR="0005331A" w:rsidRPr="00AA1CB9">
        <w:rPr>
          <w:rFonts w:ascii="Palatino Linotype" w:hAnsi="Palatino Linotype" w:cs="Arial"/>
        </w:rPr>
        <w:t>(</w:t>
      </w:r>
      <w:r w:rsidR="000C5D85" w:rsidRPr="00AA1CB9">
        <w:rPr>
          <w:rFonts w:ascii="Palatino Linotype" w:hAnsi="Palatino Linotype" w:cs="Arial"/>
        </w:rPr>
        <w:t>21</w:t>
      </w:r>
      <w:r w:rsidR="0005331A" w:rsidRPr="00AA1CB9">
        <w:rPr>
          <w:rFonts w:ascii="Palatino Linotype" w:hAnsi="Palatino Linotype" w:cs="Arial"/>
        </w:rPr>
        <w:t xml:space="preserve">) de </w:t>
      </w:r>
      <w:r w:rsidR="000C5D85" w:rsidRPr="00AA1CB9">
        <w:rPr>
          <w:rFonts w:ascii="Palatino Linotype" w:hAnsi="Palatino Linotype" w:cs="Arial"/>
        </w:rPr>
        <w:t>enero</w:t>
      </w:r>
      <w:r w:rsidR="009472D4" w:rsidRPr="00AA1CB9">
        <w:rPr>
          <w:rFonts w:ascii="Palatino Linotype" w:hAnsi="Palatino Linotype" w:cs="Arial"/>
        </w:rPr>
        <w:t xml:space="preserve"> </w:t>
      </w:r>
      <w:r w:rsidR="0005331A" w:rsidRPr="00AA1CB9">
        <w:rPr>
          <w:rFonts w:ascii="Palatino Linotype" w:hAnsi="Palatino Linotype" w:cs="Arial"/>
        </w:rPr>
        <w:t xml:space="preserve">de </w:t>
      </w:r>
      <w:r w:rsidR="00E6663B" w:rsidRPr="00AA1CB9">
        <w:rPr>
          <w:rFonts w:ascii="Palatino Linotype" w:hAnsi="Palatino Linotype" w:cs="Arial"/>
        </w:rPr>
        <w:t>dos mil dieci</w:t>
      </w:r>
      <w:r w:rsidR="000C5D85" w:rsidRPr="00AA1CB9">
        <w:rPr>
          <w:rFonts w:ascii="Palatino Linotype" w:hAnsi="Palatino Linotype" w:cs="Arial"/>
        </w:rPr>
        <w:t>nueve</w:t>
      </w:r>
      <w:r w:rsidRPr="00AA1CB9">
        <w:rPr>
          <w:rFonts w:ascii="Palatino Linotype" w:hAnsi="Palatino Linotype" w:cs="Arial"/>
        </w:rPr>
        <w:t xml:space="preserve">; en consecuencia, presentó su inconformidad </w:t>
      </w:r>
      <w:r w:rsidR="008D59C7" w:rsidRPr="00AA1CB9">
        <w:rPr>
          <w:rFonts w:ascii="Palatino Linotype" w:hAnsi="Palatino Linotype" w:cs="Arial"/>
        </w:rPr>
        <w:t xml:space="preserve">el </w:t>
      </w:r>
      <w:r w:rsidR="000C5D85" w:rsidRPr="00AA1CB9">
        <w:rPr>
          <w:rFonts w:ascii="Palatino Linotype" w:hAnsi="Palatino Linotype" w:cs="Arial"/>
        </w:rPr>
        <w:t>día siete</w:t>
      </w:r>
      <w:r w:rsidR="009472D4" w:rsidRPr="00AA1CB9">
        <w:rPr>
          <w:rFonts w:ascii="Palatino Linotype" w:hAnsi="Palatino Linotype" w:cs="Arial"/>
        </w:rPr>
        <w:t xml:space="preserve"> </w:t>
      </w:r>
      <w:r w:rsidR="00E6663B" w:rsidRPr="00AA1CB9">
        <w:rPr>
          <w:rFonts w:ascii="Palatino Linotype" w:hAnsi="Palatino Linotype" w:cs="Arial"/>
        </w:rPr>
        <w:t>(</w:t>
      </w:r>
      <w:r w:rsidR="000C5D85" w:rsidRPr="00AA1CB9">
        <w:rPr>
          <w:rFonts w:ascii="Palatino Linotype" w:hAnsi="Palatino Linotype" w:cs="Arial"/>
        </w:rPr>
        <w:t>7</w:t>
      </w:r>
      <w:r w:rsidR="00E6663B" w:rsidRPr="00AA1CB9">
        <w:rPr>
          <w:rFonts w:ascii="Palatino Linotype" w:hAnsi="Palatino Linotype" w:cs="Arial"/>
        </w:rPr>
        <w:t>)</w:t>
      </w:r>
      <w:r w:rsidR="00294EEE" w:rsidRPr="00AA1CB9">
        <w:rPr>
          <w:rFonts w:ascii="Palatino Linotype" w:hAnsi="Palatino Linotype" w:cs="Arial"/>
        </w:rPr>
        <w:t xml:space="preserve"> de</w:t>
      </w:r>
      <w:r w:rsidR="00E6663B" w:rsidRPr="00AA1CB9">
        <w:rPr>
          <w:rFonts w:ascii="Palatino Linotype" w:hAnsi="Palatino Linotype" w:cs="Arial"/>
        </w:rPr>
        <w:t xml:space="preserve"> </w:t>
      </w:r>
      <w:r w:rsidR="000C5D85" w:rsidRPr="00AA1CB9">
        <w:rPr>
          <w:rFonts w:ascii="Palatino Linotype" w:hAnsi="Palatino Linotype" w:cs="Arial"/>
        </w:rPr>
        <w:t xml:space="preserve">enero </w:t>
      </w:r>
      <w:r w:rsidRPr="00AA1CB9">
        <w:rPr>
          <w:rFonts w:ascii="Palatino Linotype" w:hAnsi="Palatino Linotype" w:cs="Arial"/>
        </w:rPr>
        <w:t>de dos mil dieci</w:t>
      </w:r>
      <w:r w:rsidR="000C5D85" w:rsidRPr="00AA1CB9">
        <w:rPr>
          <w:rFonts w:ascii="Palatino Linotype" w:hAnsi="Palatino Linotype" w:cs="Arial"/>
        </w:rPr>
        <w:t>nueve</w:t>
      </w:r>
      <w:r w:rsidRPr="00AA1CB9">
        <w:rPr>
          <w:rFonts w:ascii="Palatino Linotype" w:hAnsi="Palatino Linotype" w:cs="Arial"/>
        </w:rPr>
        <w:t xml:space="preserve">, por lo que se encuentra dentro de los márgenes temporales previstos en el artículo 178 de la </w:t>
      </w:r>
      <w:r w:rsidRPr="00AA1CB9">
        <w:rPr>
          <w:rFonts w:ascii="Palatino Linotype" w:hAnsi="Palatino Linotype" w:cs="Arial"/>
          <w:b/>
        </w:rPr>
        <w:t xml:space="preserve">Ley de Transparencia y Acceso a la Información Pública del Estado de México y Municipios </w:t>
      </w:r>
      <w:r w:rsidRPr="00AA1CB9">
        <w:rPr>
          <w:rFonts w:ascii="Palatino Linotype" w:hAnsi="Palatino Linotype" w:cs="Arial"/>
        </w:rPr>
        <w:t>vigente.</w:t>
      </w:r>
    </w:p>
    <w:p w:rsidR="001C1F82" w:rsidRPr="00AA1CB9" w:rsidRDefault="001C1F82" w:rsidP="00AA1CB9">
      <w:pPr>
        <w:pStyle w:val="Prrafodelista"/>
        <w:spacing w:before="240" w:after="240" w:line="360" w:lineRule="auto"/>
        <w:ind w:left="0" w:right="49"/>
        <w:jc w:val="both"/>
        <w:rPr>
          <w:rFonts w:ascii="Palatino Linotype" w:hAnsi="Palatino Linotype"/>
        </w:rPr>
      </w:pPr>
    </w:p>
    <w:p w:rsidR="001C1F82" w:rsidRPr="00AA1CB9" w:rsidRDefault="001C1F82" w:rsidP="00AA1CB9">
      <w:pPr>
        <w:pStyle w:val="Prrafodelista"/>
        <w:numPr>
          <w:ilvl w:val="0"/>
          <w:numId w:val="1"/>
        </w:numPr>
        <w:spacing w:before="240" w:after="240" w:line="360" w:lineRule="auto"/>
        <w:ind w:left="0" w:right="49" w:firstLine="0"/>
        <w:jc w:val="both"/>
        <w:rPr>
          <w:rFonts w:ascii="Palatino Linotype" w:hAnsi="Palatino Linotype"/>
        </w:rPr>
      </w:pPr>
      <w:r w:rsidRPr="00AA1CB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D59C7" w:rsidRPr="00AA1CB9" w:rsidRDefault="008D59C7" w:rsidP="00AA1CB9">
      <w:pPr>
        <w:pStyle w:val="Prrafodelista"/>
        <w:spacing w:line="360" w:lineRule="auto"/>
        <w:rPr>
          <w:rFonts w:ascii="Palatino Linotype" w:hAnsi="Palatino Linotype"/>
        </w:rPr>
      </w:pPr>
    </w:p>
    <w:p w:rsidR="002A5BA4" w:rsidRPr="00AA1CB9" w:rsidRDefault="002A5BA4" w:rsidP="00AA1CB9">
      <w:pPr>
        <w:pStyle w:val="Ttulo1"/>
        <w:spacing w:line="360" w:lineRule="auto"/>
        <w:rPr>
          <w:b w:val="0"/>
          <w:color w:val="000000" w:themeColor="text1"/>
          <w:szCs w:val="24"/>
          <w:lang w:eastAsia="es-MX"/>
        </w:rPr>
      </w:pPr>
      <w:bookmarkStart w:id="7" w:name="_Toc486525253"/>
      <w:bookmarkStart w:id="8" w:name="_Toc3295484"/>
      <w:r w:rsidRPr="00AA1CB9">
        <w:rPr>
          <w:color w:val="000000" w:themeColor="text1"/>
          <w:szCs w:val="24"/>
          <w:lang w:eastAsia="es-MX"/>
        </w:rPr>
        <w:lastRenderedPageBreak/>
        <w:t xml:space="preserve">TERCERO. </w:t>
      </w:r>
      <w:bookmarkEnd w:id="7"/>
      <w:r w:rsidR="006E4CE1" w:rsidRPr="00AA1CB9">
        <w:rPr>
          <w:color w:val="000000" w:themeColor="text1"/>
          <w:szCs w:val="24"/>
          <w:lang w:eastAsia="es-MX"/>
        </w:rPr>
        <w:t>Planteamiento de la Litis</w:t>
      </w:r>
      <w:bookmarkEnd w:id="8"/>
    </w:p>
    <w:p w:rsidR="000C5D85" w:rsidRPr="00AA1CB9" w:rsidRDefault="006E4CE1" w:rsidP="00AA1CB9">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AA1CB9">
        <w:rPr>
          <w:rFonts w:ascii="Palatino Linotype" w:hAnsi="Palatino Linotype" w:cs="Arial"/>
        </w:rPr>
        <w:t>Se solicitó a</w:t>
      </w:r>
      <w:r w:rsidR="000C5D85" w:rsidRPr="00AA1CB9">
        <w:rPr>
          <w:rFonts w:ascii="Palatino Linotype" w:hAnsi="Palatino Linotype" w:cs="Arial"/>
        </w:rPr>
        <w:t>l Sujeto Obligado, de la licitación LPNP-017-2018 la siguiente información:</w:t>
      </w:r>
    </w:p>
    <w:p w:rsidR="000C5D85" w:rsidRPr="00AA1CB9" w:rsidRDefault="000C5D85" w:rsidP="00AA1CB9">
      <w:pPr>
        <w:pStyle w:val="Prrafodelista"/>
        <w:numPr>
          <w:ilvl w:val="0"/>
          <w:numId w:val="23"/>
        </w:numPr>
        <w:spacing w:before="240" w:after="240" w:line="360" w:lineRule="auto"/>
        <w:jc w:val="both"/>
        <w:rPr>
          <w:rFonts w:ascii="Palatino Linotype" w:hAnsi="Palatino Linotype" w:cs="Arial"/>
        </w:rPr>
      </w:pPr>
      <w:r w:rsidRPr="00AA1CB9">
        <w:rPr>
          <w:rFonts w:ascii="Palatino Linotype" w:hAnsi="Palatino Linotype" w:cs="Arial"/>
        </w:rPr>
        <w:t>Pagos realizados;</w:t>
      </w:r>
    </w:p>
    <w:p w:rsidR="000C5D85" w:rsidRPr="00AA1CB9" w:rsidRDefault="000C5D85" w:rsidP="00AA1CB9">
      <w:pPr>
        <w:pStyle w:val="Prrafodelista"/>
        <w:numPr>
          <w:ilvl w:val="0"/>
          <w:numId w:val="23"/>
        </w:numPr>
        <w:spacing w:before="240" w:after="240" w:line="360" w:lineRule="auto"/>
        <w:jc w:val="both"/>
        <w:rPr>
          <w:rFonts w:ascii="Palatino Linotype" w:hAnsi="Palatino Linotype" w:cs="Arial"/>
        </w:rPr>
      </w:pPr>
      <w:r w:rsidRPr="00AA1CB9">
        <w:rPr>
          <w:rFonts w:ascii="Palatino Linotype" w:hAnsi="Palatino Linotype" w:cs="Arial"/>
        </w:rPr>
        <w:t>Marca, modelo y año de los vehículos arrendados;</w:t>
      </w:r>
    </w:p>
    <w:p w:rsidR="000C5D85" w:rsidRPr="00AA1CB9" w:rsidRDefault="000C5D85" w:rsidP="00AA1CB9">
      <w:pPr>
        <w:pStyle w:val="Prrafodelista"/>
        <w:numPr>
          <w:ilvl w:val="0"/>
          <w:numId w:val="23"/>
        </w:numPr>
        <w:spacing w:before="240" w:after="240" w:line="360" w:lineRule="auto"/>
        <w:jc w:val="both"/>
        <w:rPr>
          <w:rFonts w:ascii="Palatino Linotype" w:hAnsi="Palatino Linotype" w:cs="Arial"/>
        </w:rPr>
      </w:pPr>
      <w:r w:rsidRPr="00AA1CB9">
        <w:rPr>
          <w:rFonts w:ascii="Palatino Linotype" w:hAnsi="Palatino Linotype" w:cs="Arial"/>
        </w:rPr>
        <w:t>Costo del arrendamiento;</w:t>
      </w:r>
    </w:p>
    <w:p w:rsidR="000C5D85" w:rsidRPr="00AA1CB9" w:rsidRDefault="000C5D85" w:rsidP="00AA1CB9">
      <w:pPr>
        <w:pStyle w:val="Prrafodelista"/>
        <w:numPr>
          <w:ilvl w:val="0"/>
          <w:numId w:val="23"/>
        </w:numPr>
        <w:spacing w:before="240" w:after="240" w:line="360" w:lineRule="auto"/>
        <w:jc w:val="both"/>
        <w:rPr>
          <w:rFonts w:ascii="Palatino Linotype" w:hAnsi="Palatino Linotype" w:cs="Arial"/>
        </w:rPr>
      </w:pPr>
      <w:r w:rsidRPr="00AA1CB9">
        <w:rPr>
          <w:rFonts w:ascii="Palatino Linotype" w:hAnsi="Palatino Linotype" w:cs="Arial"/>
        </w:rPr>
        <w:t>Acciones que tomó el representante de la contraloría en la revisión de las bases;</w:t>
      </w:r>
    </w:p>
    <w:p w:rsidR="000C5D85" w:rsidRPr="00AA1CB9" w:rsidRDefault="000C5D85" w:rsidP="00AA1CB9">
      <w:pPr>
        <w:pStyle w:val="Prrafodelista"/>
        <w:numPr>
          <w:ilvl w:val="0"/>
          <w:numId w:val="23"/>
        </w:numPr>
        <w:spacing w:before="240" w:after="240" w:line="360" w:lineRule="auto"/>
        <w:jc w:val="both"/>
        <w:rPr>
          <w:rFonts w:ascii="Palatino Linotype" w:hAnsi="Palatino Linotype" w:cs="Arial"/>
        </w:rPr>
      </w:pPr>
      <w:r w:rsidRPr="00AA1CB9">
        <w:rPr>
          <w:rFonts w:ascii="Palatino Linotype" w:hAnsi="Palatino Linotype" w:cs="Arial"/>
        </w:rPr>
        <w:t>Copia de la requisición CA-0031-2018 con sus soportes anexos.</w:t>
      </w:r>
    </w:p>
    <w:p w:rsidR="000C5D85" w:rsidRPr="00AA1CB9" w:rsidRDefault="000C5D85" w:rsidP="00AA1CB9">
      <w:pPr>
        <w:pStyle w:val="Prrafodelista"/>
        <w:spacing w:before="240" w:after="240" w:line="360" w:lineRule="auto"/>
        <w:ind w:left="0"/>
        <w:jc w:val="both"/>
        <w:rPr>
          <w:rFonts w:ascii="Palatino Linotype" w:hAnsi="Palatino Linotype" w:cs="Arial"/>
        </w:rPr>
      </w:pPr>
    </w:p>
    <w:p w:rsidR="000C5D85" w:rsidRPr="00AA1CB9" w:rsidRDefault="00764F51" w:rsidP="00AA1CB9">
      <w:pPr>
        <w:pStyle w:val="Prrafodelista"/>
        <w:numPr>
          <w:ilvl w:val="0"/>
          <w:numId w:val="1"/>
        </w:numPr>
        <w:spacing w:line="360" w:lineRule="auto"/>
        <w:ind w:left="0" w:firstLine="0"/>
        <w:jc w:val="both"/>
        <w:rPr>
          <w:rFonts w:ascii="Palatino Linotype" w:hAnsi="Palatino Linotype" w:cs="Arial"/>
        </w:rPr>
      </w:pPr>
      <w:r w:rsidRPr="00AA1CB9">
        <w:rPr>
          <w:rFonts w:ascii="Palatino Linotype" w:hAnsi="Palatino Linotype" w:cs="Arial"/>
        </w:rPr>
        <w:t>E</w:t>
      </w:r>
      <w:r w:rsidR="0018112B" w:rsidRPr="00AA1CB9">
        <w:rPr>
          <w:rFonts w:ascii="Palatino Linotype" w:hAnsi="Palatino Linotype" w:cs="Arial"/>
        </w:rPr>
        <w:t xml:space="preserve">n respuesta se indicó </w:t>
      </w:r>
      <w:r w:rsidR="000C5D85" w:rsidRPr="00AA1CB9">
        <w:rPr>
          <w:rFonts w:ascii="Palatino Linotype" w:hAnsi="Palatino Linotype" w:cs="Arial"/>
        </w:rPr>
        <w:t>lo siguiente:</w:t>
      </w:r>
    </w:p>
    <w:p w:rsidR="000C5D85" w:rsidRPr="00AA1CB9" w:rsidRDefault="000C5D85" w:rsidP="00AA1CB9">
      <w:pPr>
        <w:pStyle w:val="Prrafodelista"/>
        <w:spacing w:line="360" w:lineRule="auto"/>
        <w:ind w:left="0"/>
        <w:jc w:val="both"/>
        <w:rPr>
          <w:rFonts w:ascii="Palatino Linotype" w:hAnsi="Palatino Linotype" w:cs="Arial"/>
        </w:rPr>
      </w:pPr>
    </w:p>
    <w:p w:rsidR="000C5D85" w:rsidRPr="00AA1CB9" w:rsidRDefault="000C5D85" w:rsidP="00AA1CB9">
      <w:pPr>
        <w:pStyle w:val="Prrafodelista"/>
        <w:numPr>
          <w:ilvl w:val="0"/>
          <w:numId w:val="42"/>
        </w:numPr>
        <w:spacing w:before="240" w:after="240" w:line="360" w:lineRule="auto"/>
        <w:ind w:left="567" w:right="567"/>
        <w:jc w:val="both"/>
        <w:rPr>
          <w:rFonts w:ascii="Palatino Linotype" w:eastAsia="Calibri" w:hAnsi="Palatino Linotype" w:cs="Arial"/>
          <w:lang w:val="es-ES"/>
        </w:rPr>
      </w:pPr>
      <w:r w:rsidRPr="00AA1CB9">
        <w:rPr>
          <w:rFonts w:ascii="Palatino Linotype" w:eastAsia="Calibri" w:hAnsi="Palatino Linotype" w:cs="Arial"/>
          <w:lang w:val="es-ES"/>
        </w:rPr>
        <w:t xml:space="preserve">Los pagos se realizarán por mes vencido una vez entregadas las unidades vehiculares a entera satisfacción de los órganos usuarios dentro de los 45 días hábiles posteriores a la fecha de ingreso a la Dirección General de Tesorería, de los documentos debidamente soportados y </w:t>
      </w:r>
      <w:proofErr w:type="spellStart"/>
      <w:r w:rsidRPr="00AA1CB9">
        <w:rPr>
          <w:rFonts w:ascii="Palatino Linotype" w:eastAsia="Calibri" w:hAnsi="Palatino Linotype" w:cs="Arial"/>
          <w:lang w:val="es-ES"/>
        </w:rPr>
        <w:t>requisitados</w:t>
      </w:r>
      <w:proofErr w:type="spellEnd"/>
      <w:r w:rsidRPr="00AA1CB9">
        <w:rPr>
          <w:rFonts w:ascii="Palatino Linotype" w:eastAsia="Calibri" w:hAnsi="Palatino Linotype" w:cs="Arial"/>
          <w:lang w:val="es-ES"/>
        </w:rPr>
        <w:t>. El 5 de diciembre de ingresaron los documentos para trámite de contra-recibo. No se omite mencionar que los pagos son responsabilidad de la Secretaría de Finanzas.</w:t>
      </w:r>
    </w:p>
    <w:p w:rsidR="000C5D85" w:rsidRPr="00AA1CB9" w:rsidRDefault="000C5D85" w:rsidP="00AA1CB9">
      <w:pPr>
        <w:pStyle w:val="Prrafodelista"/>
        <w:numPr>
          <w:ilvl w:val="0"/>
          <w:numId w:val="42"/>
        </w:numPr>
        <w:spacing w:before="240" w:after="240" w:line="360" w:lineRule="auto"/>
        <w:ind w:left="567" w:right="567"/>
        <w:jc w:val="both"/>
        <w:rPr>
          <w:rFonts w:ascii="Palatino Linotype" w:eastAsia="Calibri" w:hAnsi="Palatino Linotype" w:cs="Arial"/>
          <w:lang w:val="es-ES"/>
        </w:rPr>
      </w:pPr>
      <w:r w:rsidRPr="00AA1CB9">
        <w:rPr>
          <w:rFonts w:ascii="Palatino Linotype" w:eastAsia="Calibri" w:hAnsi="Palatino Linotype" w:cs="Arial"/>
          <w:lang w:val="es-ES"/>
        </w:rPr>
        <w:t>Se adjuntó nota informativa donde se aprecia el modelo, marca, año, equipo policial y costo de renta.</w:t>
      </w:r>
    </w:p>
    <w:p w:rsidR="000C5D85" w:rsidRPr="00AA1CB9" w:rsidRDefault="000C5D85" w:rsidP="00AA1CB9">
      <w:pPr>
        <w:pStyle w:val="Prrafodelista"/>
        <w:numPr>
          <w:ilvl w:val="0"/>
          <w:numId w:val="42"/>
        </w:numPr>
        <w:spacing w:before="240" w:after="240" w:line="360" w:lineRule="auto"/>
        <w:ind w:left="567" w:right="567"/>
        <w:jc w:val="both"/>
        <w:rPr>
          <w:rFonts w:ascii="Palatino Linotype" w:eastAsia="Calibri" w:hAnsi="Palatino Linotype" w:cs="Arial"/>
          <w:lang w:val="es-ES"/>
        </w:rPr>
      </w:pPr>
      <w:r w:rsidRPr="00AA1CB9">
        <w:rPr>
          <w:rFonts w:ascii="Palatino Linotype" w:eastAsia="Calibri" w:hAnsi="Palatino Linotype" w:cs="Arial"/>
          <w:lang w:val="es-ES"/>
        </w:rPr>
        <w:lastRenderedPageBreak/>
        <w:t>Se adjunta en versión pública la solicitud de adquisición de bienes y servicios con No de control CA-00131-2018</w:t>
      </w:r>
    </w:p>
    <w:p w:rsidR="0018112B" w:rsidRPr="00AA1CB9" w:rsidRDefault="0018112B" w:rsidP="00AA1CB9">
      <w:pPr>
        <w:pStyle w:val="Prrafodelista"/>
        <w:spacing w:line="360" w:lineRule="auto"/>
        <w:rPr>
          <w:rFonts w:ascii="Palatino Linotype" w:hAnsi="Palatino Linotype" w:cs="Arial"/>
        </w:rPr>
      </w:pPr>
    </w:p>
    <w:p w:rsidR="000C5D85" w:rsidRPr="00AA1CB9" w:rsidRDefault="0018112B" w:rsidP="00AA1CB9">
      <w:pPr>
        <w:pStyle w:val="Prrafodelista"/>
        <w:numPr>
          <w:ilvl w:val="0"/>
          <w:numId w:val="1"/>
        </w:numPr>
        <w:spacing w:line="360" w:lineRule="auto"/>
        <w:ind w:left="0" w:firstLine="0"/>
        <w:jc w:val="both"/>
        <w:rPr>
          <w:rFonts w:ascii="Palatino Linotype" w:hAnsi="Palatino Linotype" w:cs="Arial"/>
        </w:rPr>
      </w:pPr>
      <w:r w:rsidRPr="00AA1CB9">
        <w:rPr>
          <w:rFonts w:ascii="Palatino Linotype" w:hAnsi="Palatino Linotype" w:cs="Arial"/>
        </w:rPr>
        <w:t xml:space="preserve">La parte recurrente </w:t>
      </w:r>
      <w:r w:rsidR="000C5D85" w:rsidRPr="00AA1CB9">
        <w:rPr>
          <w:rFonts w:ascii="Palatino Linotype" w:hAnsi="Palatino Linotype" w:cs="Arial"/>
        </w:rPr>
        <w:t>se inconformó porque la información se entregó en versión pública.</w:t>
      </w:r>
    </w:p>
    <w:p w:rsidR="0010609C" w:rsidRPr="00AA1CB9" w:rsidRDefault="000C5D85" w:rsidP="00AA1CB9">
      <w:pPr>
        <w:pStyle w:val="Prrafodelista"/>
        <w:spacing w:line="360" w:lineRule="auto"/>
        <w:ind w:left="0"/>
        <w:jc w:val="both"/>
        <w:rPr>
          <w:rFonts w:ascii="Palatino Linotype" w:hAnsi="Palatino Linotype" w:cs="Arial"/>
        </w:rPr>
      </w:pPr>
      <w:r w:rsidRPr="00AA1CB9">
        <w:rPr>
          <w:rFonts w:ascii="Palatino Linotype" w:hAnsi="Palatino Linotype" w:cs="Arial"/>
        </w:rPr>
        <w:t xml:space="preserve"> </w:t>
      </w:r>
    </w:p>
    <w:p w:rsidR="00296EF2" w:rsidRPr="00AA1CB9" w:rsidRDefault="00296EF2" w:rsidP="00AA1CB9">
      <w:pPr>
        <w:pStyle w:val="Prrafodelista"/>
        <w:numPr>
          <w:ilvl w:val="0"/>
          <w:numId w:val="1"/>
        </w:numPr>
        <w:spacing w:line="360" w:lineRule="auto"/>
        <w:ind w:left="0" w:firstLine="0"/>
        <w:jc w:val="both"/>
        <w:rPr>
          <w:rFonts w:ascii="Palatino Linotype" w:eastAsia="MS Mincho" w:hAnsi="Palatino Linotype" w:cs="Arial"/>
        </w:rPr>
      </w:pPr>
      <w:r w:rsidRPr="00AA1CB9">
        <w:rPr>
          <w:rFonts w:ascii="Palatino Linotype" w:eastAsia="Times New Roman" w:hAnsi="Palatino Linotype" w:cs="Arial"/>
        </w:rPr>
        <w:t xml:space="preserve">En dichas condiciones, la </w:t>
      </w:r>
      <w:proofErr w:type="spellStart"/>
      <w:r w:rsidRPr="00AA1CB9">
        <w:rPr>
          <w:rFonts w:ascii="Palatino Linotype" w:eastAsia="Times New Roman" w:hAnsi="Palatino Linotype" w:cs="Arial"/>
          <w:i/>
        </w:rPr>
        <w:t>litis</w:t>
      </w:r>
      <w:proofErr w:type="spellEnd"/>
      <w:r w:rsidRPr="00AA1CB9">
        <w:rPr>
          <w:rFonts w:ascii="Palatino Linotype" w:eastAsia="Times New Roman" w:hAnsi="Palatino Linotype" w:cs="Arial"/>
        </w:rPr>
        <w:t xml:space="preserve"> a resolver en este recurso se circunscribe a determinar si </w:t>
      </w:r>
      <w:r w:rsidRPr="00AA1CB9">
        <w:rPr>
          <w:rFonts w:ascii="Palatino Linotype" w:eastAsia="MS Mincho" w:hAnsi="Palatino Linotype" w:cs="Arial"/>
        </w:rPr>
        <w:t xml:space="preserve">se actualiza la causal de procedencia prevista en el artículo 179, fracción </w:t>
      </w:r>
      <w:r w:rsidR="00612F33" w:rsidRPr="00AA1CB9">
        <w:rPr>
          <w:rFonts w:ascii="Palatino Linotype" w:eastAsia="MS Mincho" w:hAnsi="Palatino Linotype" w:cs="Arial"/>
        </w:rPr>
        <w:t>I</w:t>
      </w:r>
      <w:r w:rsidR="000C5D85" w:rsidRPr="00AA1CB9">
        <w:rPr>
          <w:rFonts w:ascii="Palatino Linotype" w:eastAsia="MS Mincho" w:hAnsi="Palatino Linotype" w:cs="Arial"/>
        </w:rPr>
        <w:t>I</w:t>
      </w:r>
      <w:r w:rsidR="00612F33" w:rsidRPr="00AA1CB9">
        <w:rPr>
          <w:rFonts w:ascii="Palatino Linotype" w:eastAsia="MS Mincho" w:hAnsi="Palatino Linotype" w:cs="Arial"/>
        </w:rPr>
        <w:t xml:space="preserve"> </w:t>
      </w:r>
      <w:r w:rsidRPr="00AA1CB9">
        <w:rPr>
          <w:rFonts w:ascii="Palatino Linotype" w:eastAsia="MS Mincho" w:hAnsi="Palatino Linotype" w:cs="Arial"/>
        </w:rPr>
        <w:t>de la Ley de Transparencia y Acceso a la Información Pública del Estado de México y Municipios.</w:t>
      </w:r>
      <w:r w:rsidR="00721DFC" w:rsidRPr="00AA1CB9">
        <w:rPr>
          <w:rFonts w:ascii="Palatino Linotype" w:eastAsia="MS Mincho" w:hAnsi="Palatino Linotype" w:cs="Arial"/>
        </w:rPr>
        <w:t xml:space="preserve"> </w:t>
      </w:r>
    </w:p>
    <w:p w:rsidR="002A5BA4" w:rsidRPr="00AA1CB9" w:rsidRDefault="002A5BA4" w:rsidP="00AA1CB9">
      <w:pPr>
        <w:pStyle w:val="Ttulo1"/>
        <w:spacing w:line="360" w:lineRule="auto"/>
        <w:rPr>
          <w:b w:val="0"/>
          <w:color w:val="000000" w:themeColor="text1"/>
          <w:szCs w:val="24"/>
        </w:rPr>
      </w:pPr>
      <w:bookmarkStart w:id="12" w:name="_Toc486525254"/>
      <w:bookmarkStart w:id="13" w:name="_Toc3295485"/>
      <w:r w:rsidRPr="00AA1CB9">
        <w:rPr>
          <w:color w:val="000000" w:themeColor="text1"/>
          <w:szCs w:val="24"/>
        </w:rPr>
        <w:t>CUARTO. Análisis y resolución del asunto</w:t>
      </w:r>
      <w:bookmarkEnd w:id="12"/>
      <w:bookmarkEnd w:id="13"/>
    </w:p>
    <w:p w:rsidR="002A5BA4" w:rsidRPr="00AA1CB9" w:rsidRDefault="002A5BA4" w:rsidP="00AA1CB9">
      <w:pPr>
        <w:spacing w:line="360" w:lineRule="auto"/>
        <w:jc w:val="both"/>
        <w:rPr>
          <w:rFonts w:ascii="Palatino Linotype" w:hAnsi="Palatino Linotype" w:cs="Arial"/>
        </w:rPr>
      </w:pPr>
    </w:p>
    <w:p w:rsidR="002A5BA4" w:rsidRPr="00AA1CB9" w:rsidRDefault="00C5704C" w:rsidP="00AA1CB9">
      <w:pPr>
        <w:pStyle w:val="Ttulo3"/>
        <w:numPr>
          <w:ilvl w:val="0"/>
          <w:numId w:val="40"/>
        </w:numPr>
        <w:spacing w:line="360" w:lineRule="auto"/>
        <w:rPr>
          <w:rFonts w:ascii="Palatino Linotype" w:hAnsi="Palatino Linotype"/>
          <w:b/>
          <w:color w:val="auto"/>
        </w:rPr>
      </w:pPr>
      <w:bookmarkStart w:id="14" w:name="_Toc3295486"/>
      <w:r w:rsidRPr="00AA1CB9">
        <w:rPr>
          <w:rFonts w:ascii="Palatino Linotype" w:hAnsi="Palatino Linotype"/>
          <w:b/>
          <w:color w:val="auto"/>
        </w:rPr>
        <w:t>De la fuente obligacional.</w:t>
      </w:r>
      <w:bookmarkEnd w:id="14"/>
    </w:p>
    <w:p w:rsidR="002A5BA4" w:rsidRPr="00AA1CB9" w:rsidRDefault="002A5BA4" w:rsidP="00AA1CB9">
      <w:pPr>
        <w:pStyle w:val="Prrafodelista"/>
        <w:spacing w:line="360" w:lineRule="auto"/>
        <w:ind w:left="0"/>
        <w:jc w:val="both"/>
        <w:rPr>
          <w:rFonts w:ascii="Palatino Linotype" w:hAnsi="Palatino Linotype" w:cs="Arial"/>
        </w:rPr>
      </w:pPr>
    </w:p>
    <w:p w:rsidR="00C5704C" w:rsidRPr="00AA1CB9" w:rsidRDefault="00C5704C"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 al arrendamiento de vehículos de la licitación LPNP-017-2018.</w:t>
      </w:r>
    </w:p>
    <w:p w:rsidR="00C5704C" w:rsidRPr="00AA1CB9" w:rsidRDefault="00C5704C" w:rsidP="00AA1CB9">
      <w:pPr>
        <w:pStyle w:val="Prrafodelista"/>
        <w:spacing w:line="360" w:lineRule="auto"/>
        <w:ind w:left="0"/>
        <w:jc w:val="both"/>
        <w:rPr>
          <w:rFonts w:ascii="Palatino Linotype" w:eastAsia="Calibri" w:hAnsi="Palatino Linotype" w:cs="Arial"/>
        </w:rPr>
      </w:pPr>
      <w:r w:rsidRPr="00AA1CB9">
        <w:rPr>
          <w:rFonts w:ascii="Palatino Linotype" w:eastAsia="Calibri" w:hAnsi="Palatino Linotype" w:cs="Arial"/>
        </w:rPr>
        <w:t xml:space="preserve"> </w:t>
      </w:r>
    </w:p>
    <w:p w:rsidR="00C5704C" w:rsidRPr="00AA1CB9" w:rsidRDefault="00C5704C" w:rsidP="00AA1CB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1CB9">
        <w:rPr>
          <w:rFonts w:ascii="Palatino Linotype" w:eastAsia="Calibri" w:hAnsi="Palatino Linotype" w:cs="Arial"/>
        </w:rPr>
        <w:t xml:space="preserve">Una vez mencionado lo anterior, cabe señalar que el estudio y análisis de la fuente obligacional se realiza para determinar si el Sujeto Obligado genera, </w:t>
      </w:r>
      <w:r w:rsidRPr="00AA1CB9">
        <w:rPr>
          <w:rFonts w:ascii="Palatino Linotype" w:eastAsia="Calibri" w:hAnsi="Palatino Linotype" w:cs="Arial"/>
        </w:rPr>
        <w:lastRenderedPageBreak/>
        <w:t>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entregó parte de la información en versión pública.</w:t>
      </w:r>
      <w:r w:rsidRPr="00AA1CB9">
        <w:rPr>
          <w:rFonts w:ascii="Palatino Linotype" w:hAnsi="Palatino Linotype"/>
          <w:lang w:val="es-ES"/>
        </w:rPr>
        <w:t xml:space="preserve"> </w:t>
      </w:r>
      <w:r w:rsidRPr="00AA1CB9">
        <w:rPr>
          <w:rFonts w:ascii="Palatino Linotype" w:eastAsia="Calibri" w:hAnsi="Palatino Linotype" w:cs="Arial"/>
        </w:rPr>
        <w:t>Bajo dicho pronunciamiento se entiende que el Sujeto Obligado genera, posee y administra la información solicitada.</w:t>
      </w:r>
    </w:p>
    <w:p w:rsidR="00C5704C" w:rsidRPr="00AA1CB9" w:rsidRDefault="00C5704C" w:rsidP="00AA1CB9">
      <w:pPr>
        <w:pStyle w:val="Prrafodelista"/>
        <w:spacing w:line="360" w:lineRule="auto"/>
        <w:rPr>
          <w:rFonts w:ascii="Palatino Linotype" w:hAnsi="Palatino Linotype"/>
          <w:lang w:val="es-ES"/>
        </w:rPr>
      </w:pPr>
    </w:p>
    <w:p w:rsidR="00C5704C" w:rsidRPr="00AA1CB9" w:rsidRDefault="00C5704C"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El recurrente se inconformó porque la información se le proporcionó </w:t>
      </w:r>
      <w:proofErr w:type="spellStart"/>
      <w:r w:rsidRPr="00AA1CB9">
        <w:rPr>
          <w:rFonts w:ascii="Palatino Linotype" w:eastAsia="Calibri" w:hAnsi="Palatino Linotype" w:cs="Arial"/>
        </w:rPr>
        <w:t>tachoneada</w:t>
      </w:r>
      <w:proofErr w:type="spellEnd"/>
      <w:r w:rsidRPr="00AA1CB9">
        <w:rPr>
          <w:rFonts w:ascii="Palatino Linotype" w:eastAsia="Calibri" w:hAnsi="Palatino Linotype" w:cs="Arial"/>
        </w:rPr>
        <w:t>, cuando debe ser pública por encontrarse en las bases y junta de aclaraciones.</w:t>
      </w:r>
    </w:p>
    <w:p w:rsidR="00C5704C" w:rsidRPr="00AA1CB9" w:rsidRDefault="00C5704C" w:rsidP="00AA1CB9">
      <w:pPr>
        <w:pStyle w:val="Prrafodelista"/>
        <w:spacing w:line="360" w:lineRule="auto"/>
        <w:rPr>
          <w:rFonts w:ascii="Palatino Linotype" w:eastAsia="Calibri" w:hAnsi="Palatino Linotype" w:cs="Arial"/>
        </w:rPr>
      </w:pPr>
    </w:p>
    <w:p w:rsidR="00C5704C" w:rsidRPr="00AA1CB9" w:rsidRDefault="00C5704C"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Mientras que en el informe justificado, el Sujeto Obligado ratifica su respuesta.</w:t>
      </w:r>
    </w:p>
    <w:p w:rsidR="00454B14" w:rsidRPr="00AA1CB9" w:rsidRDefault="00454B14" w:rsidP="00AA1CB9">
      <w:pPr>
        <w:pStyle w:val="Prrafodelista"/>
        <w:spacing w:line="360" w:lineRule="auto"/>
        <w:rPr>
          <w:rFonts w:ascii="Palatino Linotype" w:hAnsi="Palatino Linotype"/>
        </w:rPr>
      </w:pPr>
    </w:p>
    <w:p w:rsidR="00454B14" w:rsidRPr="00AA1CB9" w:rsidRDefault="00454B14" w:rsidP="00AA1CB9">
      <w:pPr>
        <w:pStyle w:val="Ttulo2"/>
        <w:numPr>
          <w:ilvl w:val="0"/>
          <w:numId w:val="40"/>
        </w:numPr>
        <w:spacing w:line="360" w:lineRule="auto"/>
        <w:rPr>
          <w:rFonts w:ascii="Palatino Linotype" w:hAnsi="Palatino Linotype"/>
          <w:b/>
          <w:color w:val="auto"/>
          <w:sz w:val="24"/>
          <w:szCs w:val="24"/>
        </w:rPr>
      </w:pPr>
      <w:bookmarkStart w:id="15" w:name="_Toc3295487"/>
      <w:r w:rsidRPr="00AA1CB9">
        <w:rPr>
          <w:rFonts w:ascii="Palatino Linotype" w:hAnsi="Palatino Linotype"/>
          <w:b/>
          <w:color w:val="auto"/>
          <w:sz w:val="24"/>
          <w:szCs w:val="24"/>
        </w:rPr>
        <w:t>De la suplencia.</w:t>
      </w:r>
      <w:bookmarkEnd w:id="15"/>
    </w:p>
    <w:p w:rsidR="00454B14" w:rsidRPr="00AA1CB9" w:rsidRDefault="00454B14" w:rsidP="00AA1CB9">
      <w:pPr>
        <w:pStyle w:val="Prrafodelista"/>
        <w:spacing w:line="360" w:lineRule="auto"/>
        <w:rPr>
          <w:rFonts w:ascii="Palatino Linotype" w:hAnsi="Palatino Linotype"/>
          <w:b/>
        </w:rPr>
      </w:pPr>
    </w:p>
    <w:p w:rsidR="00454B14" w:rsidRPr="00AA1CB9" w:rsidRDefault="00454B14" w:rsidP="00AA1CB9">
      <w:pPr>
        <w:pStyle w:val="Prrafodelista"/>
        <w:numPr>
          <w:ilvl w:val="0"/>
          <w:numId w:val="1"/>
        </w:numPr>
        <w:spacing w:after="160" w:line="360" w:lineRule="auto"/>
        <w:ind w:left="0" w:firstLine="0"/>
        <w:jc w:val="both"/>
        <w:rPr>
          <w:rFonts w:ascii="Palatino Linotype" w:hAnsi="Palatino Linotype"/>
          <w:b/>
        </w:rPr>
      </w:pPr>
      <w:r w:rsidRPr="00AA1CB9">
        <w:rPr>
          <w:rFonts w:ascii="Palatino Linotype" w:hAnsi="Palatino Linotype"/>
        </w:rPr>
        <w:t>Debemos recordar que el ejercicio del derecho de acceso a la información prevé la posibilidad de que los recurrente puedan ejercer su derecho sin necesidad de acudir a un especialista que los represente durante la sustanciación del procedimiento, pues los artículos</w:t>
      </w:r>
      <w:r w:rsidRPr="00AA1CB9">
        <w:rPr>
          <w:rFonts w:ascii="Palatino Linotype" w:hAnsi="Palatino Linotype"/>
          <w:b/>
        </w:rPr>
        <w:t xml:space="preserve"> </w:t>
      </w:r>
      <w:r w:rsidRPr="00AA1CB9">
        <w:rPr>
          <w:rFonts w:ascii="Palatino Linotype" w:hAnsi="Palatino Linotype"/>
          <w:lang w:val="es-ES"/>
        </w:rPr>
        <w:t xml:space="preserve">152 y 178  de la Ley de Transparencia y Acceso a la Información Pública del Estado de México y Municipios establecen que cualquier </w:t>
      </w:r>
      <w:r w:rsidRPr="00AA1CB9">
        <w:rPr>
          <w:rFonts w:ascii="Palatino Linotype" w:hAnsi="Palatino Linotype"/>
          <w:lang w:val="es-ES"/>
        </w:rPr>
        <w:lastRenderedPageBreak/>
        <w:t xml:space="preserve">persona podrá </w:t>
      </w:r>
      <w:r w:rsidRPr="00AA1CB9">
        <w:rPr>
          <w:rFonts w:ascii="Palatino Linotype" w:hAnsi="Palatino Linotype"/>
          <w:u w:val="single"/>
          <w:lang w:val="es-ES"/>
        </w:rPr>
        <w:t>por sí mismo o a través de un representante</w:t>
      </w:r>
      <w:r w:rsidRPr="00AA1CB9">
        <w:rPr>
          <w:rFonts w:ascii="Palatino Linotype" w:hAnsi="Palatino Linotype"/>
          <w:lang w:val="es-ES"/>
        </w:rPr>
        <w:t xml:space="preserve"> </w:t>
      </w:r>
      <w:r w:rsidRPr="00AA1CB9">
        <w:rPr>
          <w:rFonts w:ascii="Palatino Linotype" w:hAnsi="Palatino Linotype"/>
          <w:u w:val="single"/>
          <w:lang w:val="es-ES"/>
        </w:rPr>
        <w:t>formular una solicitud de información e interponer el recurso</w:t>
      </w:r>
      <w:r w:rsidRPr="00AA1CB9">
        <w:rPr>
          <w:rFonts w:ascii="Palatino Linotype" w:hAnsi="Palatino Linotype"/>
          <w:lang w:val="es-ES"/>
        </w:rPr>
        <w:t xml:space="preserve"> de revisión respectivamente.</w:t>
      </w:r>
    </w:p>
    <w:p w:rsidR="00454B14" w:rsidRPr="00AA1CB9" w:rsidRDefault="00454B14" w:rsidP="00AA1CB9">
      <w:pPr>
        <w:pStyle w:val="Prrafodelista"/>
        <w:spacing w:line="360" w:lineRule="auto"/>
        <w:ind w:left="0"/>
        <w:jc w:val="both"/>
        <w:rPr>
          <w:rFonts w:ascii="Palatino Linotype" w:hAnsi="Palatino Linotype"/>
          <w:lang w:val="es-ES"/>
        </w:rPr>
      </w:pPr>
    </w:p>
    <w:p w:rsidR="00454B14" w:rsidRPr="00AA1CB9" w:rsidRDefault="00454B14" w:rsidP="00AA1CB9">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A1CB9">
        <w:rPr>
          <w:rFonts w:ascii="Palatino Linotype" w:hAnsi="Palatino Linotype"/>
          <w:lang w:val="es-ES"/>
        </w:rPr>
        <w:t>En base a lo anterior no se tiene certeza de que los particulares realicen sus actuaciones mediante un representante, en consecuencia, cabe la posibilidad de que los recurrentes no sean expertos en la materia. Entonces, bajo un estricto apego al principio de eficacia y con fundamento en los artículos 13</w:t>
      </w:r>
      <w:r w:rsidRPr="00AA1CB9">
        <w:rPr>
          <w:rStyle w:val="Refdenotaalpie"/>
          <w:rFonts w:ascii="Palatino Linotype" w:hAnsi="Palatino Linotype"/>
          <w:lang w:val="es-ES"/>
        </w:rPr>
        <w:footnoteReference w:id="1"/>
      </w:r>
      <w:r w:rsidRPr="00AA1CB9">
        <w:rPr>
          <w:rFonts w:ascii="Palatino Linotype" w:hAnsi="Palatino Linotype"/>
          <w:lang w:val="es-ES"/>
        </w:rPr>
        <w:t xml:space="preserve"> y 181</w:t>
      </w:r>
      <w:r w:rsidRPr="00AA1CB9">
        <w:rPr>
          <w:rStyle w:val="Refdenotaalpie"/>
          <w:rFonts w:ascii="Palatino Linotype" w:hAnsi="Palatino Linotype"/>
          <w:lang w:val="es-ES"/>
        </w:rPr>
        <w:footnoteReference w:id="2"/>
      </w:r>
      <w:r w:rsidRPr="00AA1CB9">
        <w:rPr>
          <w:rFonts w:ascii="Palatino Linotype" w:hAnsi="Palatino Linotype"/>
          <w:lang w:val="es-ES"/>
        </w:rPr>
        <w:t xml:space="preserve"> penúltimo párrafo de la Ley de Transparencia y Acceso a la Información Pública del Estado de México y Municipios deberá suplir dicha deficiencia a favor del recurrente y analizar todos y cada uno de los puntos solicitados, aún y cuando éstos no hayan sido recurridos al momento de presentar el recurso de revisión.</w:t>
      </w:r>
    </w:p>
    <w:p w:rsidR="00CA1E43" w:rsidRPr="00AA1CB9" w:rsidRDefault="00CA1E43" w:rsidP="00AA1CB9">
      <w:pPr>
        <w:pStyle w:val="Prrafodelista"/>
        <w:spacing w:line="360" w:lineRule="auto"/>
        <w:rPr>
          <w:rFonts w:ascii="Palatino Linotype" w:eastAsia="Times New Roman" w:hAnsi="Palatino Linotype" w:cs="Arial"/>
          <w:lang w:eastAsia="es-MX"/>
        </w:rPr>
      </w:pPr>
    </w:p>
    <w:p w:rsidR="00454B14" w:rsidRPr="00AA1CB9" w:rsidRDefault="00454B14" w:rsidP="00AA1CB9">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Si bien es cierto, el recurrente solo se inconformó por las versiones públicas que le fueron proporcionadas, pero también lo es que, la falta de impugnación de los demás puntos, no impide a este Órgano Garante que bajo una correcta tutela del derecho accionado, verifique si fueron colmados totalmente.</w:t>
      </w:r>
    </w:p>
    <w:p w:rsidR="00454B14" w:rsidRPr="00AA1CB9" w:rsidRDefault="00454B14" w:rsidP="00AA1CB9">
      <w:pPr>
        <w:pStyle w:val="Prrafodelista"/>
        <w:spacing w:line="360" w:lineRule="auto"/>
        <w:rPr>
          <w:rFonts w:ascii="Palatino Linotype" w:eastAsia="Times New Roman" w:hAnsi="Palatino Linotype" w:cs="Arial"/>
          <w:lang w:eastAsia="es-MX"/>
        </w:rPr>
      </w:pPr>
    </w:p>
    <w:p w:rsidR="00454B14" w:rsidRPr="00AA1CB9" w:rsidRDefault="00454B14" w:rsidP="00AA1CB9">
      <w:pPr>
        <w:pStyle w:val="Prrafodelista"/>
        <w:numPr>
          <w:ilvl w:val="0"/>
          <w:numId w:val="1"/>
        </w:numPr>
        <w:autoSpaceDE w:val="0"/>
        <w:autoSpaceDN w:val="0"/>
        <w:adjustRightInd w:val="0"/>
        <w:spacing w:line="360" w:lineRule="auto"/>
        <w:ind w:left="0" w:firstLine="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lastRenderedPageBreak/>
        <w:t>Para un mejor entendimiento de las actuaciones realizadas en el expediente electrónico que obra en el SAIMEX, es necesario realizar el siguiente recuadro:</w:t>
      </w:r>
    </w:p>
    <w:p w:rsidR="00454B14" w:rsidRPr="00AA1CB9" w:rsidRDefault="00454B14" w:rsidP="00AA1CB9">
      <w:pPr>
        <w:pStyle w:val="Prrafodelista"/>
        <w:spacing w:line="360" w:lineRule="auto"/>
        <w:rPr>
          <w:rFonts w:ascii="Palatino Linotype" w:eastAsia="Times New Roman" w:hAnsi="Palatino Linotype" w:cs="Arial"/>
          <w:lang w:eastAsia="es-MX"/>
        </w:rPr>
      </w:pPr>
    </w:p>
    <w:tbl>
      <w:tblPr>
        <w:tblStyle w:val="Tablaconcuadrcula"/>
        <w:tblW w:w="8755" w:type="dxa"/>
        <w:tblLook w:val="04A0" w:firstRow="1" w:lastRow="0" w:firstColumn="1" w:lastColumn="0" w:noHBand="0" w:noVBand="1"/>
      </w:tblPr>
      <w:tblGrid>
        <w:gridCol w:w="687"/>
        <w:gridCol w:w="2002"/>
        <w:gridCol w:w="2693"/>
        <w:gridCol w:w="1272"/>
        <w:gridCol w:w="2101"/>
      </w:tblGrid>
      <w:tr w:rsidR="00454B14" w:rsidRPr="00AA1CB9" w:rsidTr="00307B32">
        <w:tc>
          <w:tcPr>
            <w:tcW w:w="687" w:type="dxa"/>
          </w:tcPr>
          <w:p w:rsidR="00454B14" w:rsidRPr="00AA1CB9" w:rsidRDefault="00454B14" w:rsidP="00AA1CB9">
            <w:pPr>
              <w:pStyle w:val="Prrafodelista"/>
              <w:autoSpaceDE w:val="0"/>
              <w:autoSpaceDN w:val="0"/>
              <w:adjustRightInd w:val="0"/>
              <w:spacing w:line="360" w:lineRule="auto"/>
              <w:ind w:left="0"/>
              <w:jc w:val="center"/>
              <w:rPr>
                <w:rFonts w:ascii="Palatino Linotype" w:eastAsia="Times New Roman" w:hAnsi="Palatino Linotype" w:cs="Arial"/>
                <w:b/>
                <w:lang w:eastAsia="es-MX"/>
              </w:rPr>
            </w:pPr>
            <w:r w:rsidRPr="00AA1CB9">
              <w:rPr>
                <w:rFonts w:ascii="Palatino Linotype" w:eastAsia="Times New Roman" w:hAnsi="Palatino Linotype" w:cs="Arial"/>
                <w:b/>
                <w:lang w:eastAsia="es-MX"/>
              </w:rPr>
              <w:t>No</w:t>
            </w:r>
          </w:p>
        </w:tc>
        <w:tc>
          <w:tcPr>
            <w:tcW w:w="2002" w:type="dxa"/>
          </w:tcPr>
          <w:p w:rsidR="00454B14" w:rsidRPr="00AA1CB9" w:rsidRDefault="00454B14" w:rsidP="00AA1CB9">
            <w:pPr>
              <w:pStyle w:val="Prrafodelista"/>
              <w:autoSpaceDE w:val="0"/>
              <w:autoSpaceDN w:val="0"/>
              <w:adjustRightInd w:val="0"/>
              <w:spacing w:line="360" w:lineRule="auto"/>
              <w:ind w:left="0"/>
              <w:jc w:val="center"/>
              <w:rPr>
                <w:rFonts w:ascii="Palatino Linotype" w:eastAsia="Times New Roman" w:hAnsi="Palatino Linotype" w:cs="Arial"/>
                <w:b/>
                <w:lang w:eastAsia="es-MX"/>
              </w:rPr>
            </w:pPr>
            <w:r w:rsidRPr="00AA1CB9">
              <w:rPr>
                <w:rFonts w:ascii="Palatino Linotype" w:eastAsia="Times New Roman" w:hAnsi="Palatino Linotype" w:cs="Arial"/>
                <w:b/>
                <w:lang w:eastAsia="es-MX"/>
              </w:rPr>
              <w:t>De la Licitación LPNP-017-2018, se solicitó lo siguiente:</w:t>
            </w:r>
          </w:p>
        </w:tc>
        <w:tc>
          <w:tcPr>
            <w:tcW w:w="2693" w:type="dxa"/>
          </w:tcPr>
          <w:p w:rsidR="00454B14" w:rsidRPr="00AA1CB9" w:rsidRDefault="00454B14" w:rsidP="00AA1CB9">
            <w:pPr>
              <w:pStyle w:val="Prrafodelista"/>
              <w:autoSpaceDE w:val="0"/>
              <w:autoSpaceDN w:val="0"/>
              <w:adjustRightInd w:val="0"/>
              <w:spacing w:line="360" w:lineRule="auto"/>
              <w:ind w:left="0"/>
              <w:jc w:val="center"/>
              <w:rPr>
                <w:rFonts w:ascii="Palatino Linotype" w:eastAsia="Times New Roman" w:hAnsi="Palatino Linotype" w:cs="Arial"/>
                <w:b/>
                <w:lang w:eastAsia="es-MX"/>
              </w:rPr>
            </w:pPr>
            <w:r w:rsidRPr="00AA1CB9">
              <w:rPr>
                <w:rFonts w:ascii="Palatino Linotype" w:eastAsia="Times New Roman" w:hAnsi="Palatino Linotype" w:cs="Arial"/>
                <w:b/>
                <w:lang w:eastAsia="es-MX"/>
              </w:rPr>
              <w:t>Información proporcionada.</w:t>
            </w:r>
          </w:p>
        </w:tc>
        <w:tc>
          <w:tcPr>
            <w:tcW w:w="1272" w:type="dxa"/>
          </w:tcPr>
          <w:p w:rsidR="00454B14" w:rsidRPr="00AA1CB9" w:rsidRDefault="00454B14" w:rsidP="00AA1CB9">
            <w:pPr>
              <w:pStyle w:val="Prrafodelista"/>
              <w:autoSpaceDE w:val="0"/>
              <w:autoSpaceDN w:val="0"/>
              <w:adjustRightInd w:val="0"/>
              <w:spacing w:line="360" w:lineRule="auto"/>
              <w:ind w:left="0"/>
              <w:jc w:val="center"/>
              <w:rPr>
                <w:rFonts w:ascii="Palatino Linotype" w:eastAsia="Times New Roman" w:hAnsi="Palatino Linotype" w:cs="Arial"/>
                <w:b/>
                <w:lang w:eastAsia="es-MX"/>
              </w:rPr>
            </w:pPr>
            <w:r w:rsidRPr="00AA1CB9">
              <w:rPr>
                <w:rFonts w:ascii="Palatino Linotype" w:eastAsia="Times New Roman" w:hAnsi="Palatino Linotype" w:cs="Arial"/>
                <w:b/>
                <w:lang w:eastAsia="es-MX"/>
              </w:rPr>
              <w:t>Colma.</w:t>
            </w:r>
          </w:p>
        </w:tc>
        <w:tc>
          <w:tcPr>
            <w:tcW w:w="2101" w:type="dxa"/>
          </w:tcPr>
          <w:p w:rsidR="00454B14" w:rsidRPr="00AA1CB9" w:rsidRDefault="00454B14" w:rsidP="00AA1CB9">
            <w:pPr>
              <w:pStyle w:val="Prrafodelista"/>
              <w:autoSpaceDE w:val="0"/>
              <w:autoSpaceDN w:val="0"/>
              <w:adjustRightInd w:val="0"/>
              <w:spacing w:line="360" w:lineRule="auto"/>
              <w:ind w:left="0"/>
              <w:jc w:val="center"/>
              <w:rPr>
                <w:rFonts w:ascii="Palatino Linotype" w:eastAsia="Times New Roman" w:hAnsi="Palatino Linotype" w:cs="Arial"/>
                <w:b/>
                <w:lang w:eastAsia="es-MX"/>
              </w:rPr>
            </w:pPr>
            <w:r w:rsidRPr="00AA1CB9">
              <w:rPr>
                <w:rFonts w:ascii="Palatino Linotype" w:eastAsia="Times New Roman" w:hAnsi="Palatino Linotype" w:cs="Arial"/>
                <w:b/>
                <w:lang w:eastAsia="es-MX"/>
              </w:rPr>
              <w:t>Observaciones</w:t>
            </w:r>
          </w:p>
        </w:tc>
      </w:tr>
      <w:tr w:rsidR="00454B14" w:rsidRPr="00AA1CB9" w:rsidTr="00307B32">
        <w:tc>
          <w:tcPr>
            <w:tcW w:w="687" w:type="dxa"/>
          </w:tcPr>
          <w:p w:rsidR="00454B14" w:rsidRPr="00AA1CB9" w:rsidRDefault="00454B14" w:rsidP="00AA1CB9">
            <w:pPr>
              <w:pStyle w:val="Prrafodelista"/>
              <w:autoSpaceDE w:val="0"/>
              <w:autoSpaceDN w:val="0"/>
              <w:adjustRightInd w:val="0"/>
              <w:spacing w:line="360" w:lineRule="auto"/>
              <w:ind w:left="0"/>
              <w:jc w:val="center"/>
              <w:rPr>
                <w:rFonts w:ascii="Palatino Linotype" w:eastAsia="Times New Roman" w:hAnsi="Palatino Linotype" w:cs="Arial"/>
                <w:lang w:eastAsia="es-MX"/>
              </w:rPr>
            </w:pPr>
            <w:r w:rsidRPr="00AA1CB9">
              <w:rPr>
                <w:rFonts w:ascii="Palatino Linotype" w:eastAsia="Times New Roman" w:hAnsi="Palatino Linotype" w:cs="Arial"/>
                <w:lang w:eastAsia="es-MX"/>
              </w:rPr>
              <w:t>1</w:t>
            </w:r>
          </w:p>
        </w:tc>
        <w:tc>
          <w:tcPr>
            <w:tcW w:w="2002" w:type="dxa"/>
          </w:tcPr>
          <w:p w:rsidR="00454B14" w:rsidRPr="00AA1CB9" w:rsidRDefault="00454B14" w:rsidP="00AA1CB9">
            <w:pPr>
              <w:spacing w:before="240" w:after="240" w:line="360" w:lineRule="auto"/>
              <w:jc w:val="both"/>
              <w:rPr>
                <w:rFonts w:ascii="Palatino Linotype" w:hAnsi="Palatino Linotype" w:cs="Arial"/>
              </w:rPr>
            </w:pPr>
            <w:r w:rsidRPr="00AA1CB9">
              <w:rPr>
                <w:rFonts w:ascii="Palatino Linotype" w:hAnsi="Palatino Linotype" w:cs="Arial"/>
              </w:rPr>
              <w:t>Pagos realizados.</w:t>
            </w:r>
          </w:p>
        </w:tc>
        <w:tc>
          <w:tcPr>
            <w:tcW w:w="2693"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 xml:space="preserve">Refirió que se realizarán pagos por mes vencido, una vez entregadas las unidades vehiculares a entera satisfacción de los órganos usuarios dentro de los 45 días hábiles posteriores a la fecha de ingreso a la Dirección General de Tesorería, de los documentos </w:t>
            </w:r>
            <w:proofErr w:type="spellStart"/>
            <w:r w:rsidRPr="00AA1CB9">
              <w:rPr>
                <w:rFonts w:ascii="Palatino Linotype" w:eastAsia="Times New Roman" w:hAnsi="Palatino Linotype" w:cs="Arial"/>
                <w:lang w:eastAsia="es-MX"/>
              </w:rPr>
              <w:t>requisitados</w:t>
            </w:r>
            <w:proofErr w:type="spellEnd"/>
            <w:r w:rsidRPr="00AA1CB9">
              <w:rPr>
                <w:rFonts w:ascii="Palatino Linotype" w:eastAsia="Times New Roman" w:hAnsi="Palatino Linotype" w:cs="Arial"/>
                <w:lang w:eastAsia="es-MX"/>
              </w:rPr>
              <w:t xml:space="preserve">. </w:t>
            </w:r>
            <w:r w:rsidRPr="00AA1CB9">
              <w:rPr>
                <w:rFonts w:ascii="Palatino Linotype" w:eastAsia="Times New Roman" w:hAnsi="Palatino Linotype" w:cs="Arial"/>
                <w:b/>
                <w:lang w:eastAsia="es-MX"/>
              </w:rPr>
              <w:t xml:space="preserve">Los documentos fueron </w:t>
            </w:r>
            <w:r w:rsidRPr="00AA1CB9">
              <w:rPr>
                <w:rFonts w:ascii="Palatino Linotype" w:eastAsia="Times New Roman" w:hAnsi="Palatino Linotype" w:cs="Arial"/>
                <w:b/>
                <w:lang w:eastAsia="es-MX"/>
              </w:rPr>
              <w:lastRenderedPageBreak/>
              <w:t>presentados el 5 de diciembre de 2018.</w:t>
            </w:r>
          </w:p>
        </w:tc>
        <w:tc>
          <w:tcPr>
            <w:tcW w:w="1272"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lastRenderedPageBreak/>
              <w:t>Si colma.</w:t>
            </w:r>
          </w:p>
        </w:tc>
        <w:tc>
          <w:tcPr>
            <w:tcW w:w="2101"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 xml:space="preserve">Contando los 45 días hábiles para expedir los pagos, se tiene que los contra-recibos serían emitidos el día 25 de febrero de 2019, mientras que la solicitud de información fue ingresada el día 22 de noviembre d2 2018. En </w:t>
            </w:r>
            <w:r w:rsidRPr="00AA1CB9">
              <w:rPr>
                <w:rFonts w:ascii="Palatino Linotype" w:eastAsia="Times New Roman" w:hAnsi="Palatino Linotype" w:cs="Arial"/>
                <w:lang w:eastAsia="es-MX"/>
              </w:rPr>
              <w:lastRenderedPageBreak/>
              <w:t>consecuencia, este punto queda atendido porque materialmente a la fecha de la solicitud no se contaba con las facturas correspondientes y no se había generado pago alguno.</w:t>
            </w:r>
          </w:p>
        </w:tc>
      </w:tr>
      <w:tr w:rsidR="00454B14" w:rsidRPr="00AA1CB9" w:rsidTr="00307B32">
        <w:tc>
          <w:tcPr>
            <w:tcW w:w="687" w:type="dxa"/>
          </w:tcPr>
          <w:p w:rsidR="00454B14" w:rsidRPr="00AA1CB9" w:rsidRDefault="00454B14" w:rsidP="00AA1CB9">
            <w:pPr>
              <w:pStyle w:val="Prrafodelista"/>
              <w:autoSpaceDE w:val="0"/>
              <w:autoSpaceDN w:val="0"/>
              <w:adjustRightInd w:val="0"/>
              <w:spacing w:line="360" w:lineRule="auto"/>
              <w:ind w:left="0"/>
              <w:jc w:val="center"/>
              <w:rPr>
                <w:rFonts w:ascii="Palatino Linotype" w:eastAsia="Times New Roman" w:hAnsi="Palatino Linotype" w:cs="Arial"/>
                <w:lang w:eastAsia="es-MX"/>
              </w:rPr>
            </w:pPr>
            <w:r w:rsidRPr="00AA1CB9">
              <w:rPr>
                <w:rFonts w:ascii="Palatino Linotype" w:eastAsia="Times New Roman" w:hAnsi="Palatino Linotype" w:cs="Arial"/>
                <w:lang w:eastAsia="es-MX"/>
              </w:rPr>
              <w:lastRenderedPageBreak/>
              <w:t>2</w:t>
            </w:r>
          </w:p>
        </w:tc>
        <w:tc>
          <w:tcPr>
            <w:tcW w:w="2002" w:type="dxa"/>
          </w:tcPr>
          <w:p w:rsidR="00454B14" w:rsidRPr="00AA1CB9" w:rsidRDefault="00454B14" w:rsidP="00AA1CB9">
            <w:pPr>
              <w:spacing w:before="240" w:after="240" w:line="360" w:lineRule="auto"/>
              <w:jc w:val="both"/>
              <w:rPr>
                <w:rFonts w:ascii="Palatino Linotype" w:hAnsi="Palatino Linotype" w:cs="Arial"/>
              </w:rPr>
            </w:pPr>
            <w:r w:rsidRPr="00AA1CB9">
              <w:rPr>
                <w:rFonts w:ascii="Palatino Linotype" w:hAnsi="Palatino Linotype" w:cs="Arial"/>
              </w:rPr>
              <w:t>Marca, modelo, año y costo de arrendamiento de los vehículos arrendados.</w:t>
            </w:r>
          </w:p>
        </w:tc>
        <w:tc>
          <w:tcPr>
            <w:tcW w:w="2693"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Entregó una nota informativa en donde se aprecia la marca de los vehículos, modelo, año, equipo policial y el costo de renta.</w:t>
            </w:r>
          </w:p>
        </w:tc>
        <w:tc>
          <w:tcPr>
            <w:tcW w:w="1272"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Si colma.</w:t>
            </w:r>
          </w:p>
        </w:tc>
        <w:tc>
          <w:tcPr>
            <w:tcW w:w="2101"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p>
        </w:tc>
      </w:tr>
      <w:tr w:rsidR="00454B14" w:rsidRPr="00AA1CB9" w:rsidTr="00307B32">
        <w:tc>
          <w:tcPr>
            <w:tcW w:w="687" w:type="dxa"/>
          </w:tcPr>
          <w:p w:rsidR="00454B14" w:rsidRPr="00AA1CB9" w:rsidRDefault="00454B14" w:rsidP="00AA1CB9">
            <w:pPr>
              <w:pStyle w:val="Prrafodelista"/>
              <w:autoSpaceDE w:val="0"/>
              <w:autoSpaceDN w:val="0"/>
              <w:adjustRightInd w:val="0"/>
              <w:spacing w:line="360" w:lineRule="auto"/>
              <w:ind w:left="0"/>
              <w:jc w:val="center"/>
              <w:rPr>
                <w:rFonts w:ascii="Palatino Linotype" w:eastAsia="Times New Roman" w:hAnsi="Palatino Linotype" w:cs="Arial"/>
                <w:lang w:eastAsia="es-MX"/>
              </w:rPr>
            </w:pPr>
            <w:r w:rsidRPr="00AA1CB9">
              <w:rPr>
                <w:rFonts w:ascii="Palatino Linotype" w:eastAsia="Times New Roman" w:hAnsi="Palatino Linotype" w:cs="Arial"/>
                <w:lang w:eastAsia="es-MX"/>
              </w:rPr>
              <w:t>4</w:t>
            </w:r>
          </w:p>
        </w:tc>
        <w:tc>
          <w:tcPr>
            <w:tcW w:w="2002" w:type="dxa"/>
          </w:tcPr>
          <w:p w:rsidR="00454B14" w:rsidRPr="00AA1CB9" w:rsidRDefault="00454B14" w:rsidP="00AA1CB9">
            <w:pPr>
              <w:spacing w:before="240" w:after="240" w:line="360" w:lineRule="auto"/>
              <w:jc w:val="both"/>
              <w:rPr>
                <w:rFonts w:ascii="Palatino Linotype" w:hAnsi="Palatino Linotype" w:cs="Arial"/>
              </w:rPr>
            </w:pPr>
            <w:r w:rsidRPr="00AA1CB9">
              <w:rPr>
                <w:rFonts w:ascii="Palatino Linotype" w:hAnsi="Palatino Linotype" w:cs="Arial"/>
              </w:rPr>
              <w:t xml:space="preserve">Acciones que tomó el representante de </w:t>
            </w:r>
            <w:r w:rsidRPr="00AA1CB9">
              <w:rPr>
                <w:rFonts w:ascii="Palatino Linotype" w:hAnsi="Palatino Linotype" w:cs="Arial"/>
              </w:rPr>
              <w:lastRenderedPageBreak/>
              <w:t>la contraloría en la revisión de las bases.</w:t>
            </w:r>
          </w:p>
        </w:tc>
        <w:tc>
          <w:tcPr>
            <w:tcW w:w="2693"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lastRenderedPageBreak/>
              <w:t>No se pronunció al respecto.</w:t>
            </w:r>
          </w:p>
        </w:tc>
        <w:tc>
          <w:tcPr>
            <w:tcW w:w="1272"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No colma.</w:t>
            </w:r>
          </w:p>
        </w:tc>
        <w:tc>
          <w:tcPr>
            <w:tcW w:w="2101"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p>
        </w:tc>
      </w:tr>
      <w:tr w:rsidR="00454B14" w:rsidRPr="00AA1CB9" w:rsidTr="00307B32">
        <w:tc>
          <w:tcPr>
            <w:tcW w:w="687" w:type="dxa"/>
          </w:tcPr>
          <w:p w:rsidR="00454B14" w:rsidRPr="00AA1CB9" w:rsidRDefault="00454B14" w:rsidP="00AA1CB9">
            <w:pPr>
              <w:pStyle w:val="Prrafodelista"/>
              <w:autoSpaceDE w:val="0"/>
              <w:autoSpaceDN w:val="0"/>
              <w:adjustRightInd w:val="0"/>
              <w:spacing w:line="360" w:lineRule="auto"/>
              <w:ind w:left="0"/>
              <w:jc w:val="center"/>
              <w:rPr>
                <w:rFonts w:ascii="Palatino Linotype" w:eastAsia="Times New Roman" w:hAnsi="Palatino Linotype" w:cs="Arial"/>
                <w:lang w:eastAsia="es-MX"/>
              </w:rPr>
            </w:pPr>
            <w:r w:rsidRPr="00AA1CB9">
              <w:rPr>
                <w:rFonts w:ascii="Palatino Linotype" w:eastAsia="Times New Roman" w:hAnsi="Palatino Linotype" w:cs="Arial"/>
                <w:lang w:eastAsia="es-MX"/>
              </w:rPr>
              <w:lastRenderedPageBreak/>
              <w:t>5</w:t>
            </w:r>
          </w:p>
        </w:tc>
        <w:tc>
          <w:tcPr>
            <w:tcW w:w="2002" w:type="dxa"/>
          </w:tcPr>
          <w:p w:rsidR="00454B14" w:rsidRPr="00AA1CB9" w:rsidRDefault="00454B14" w:rsidP="00AA1CB9">
            <w:pPr>
              <w:spacing w:before="240" w:after="240" w:line="360" w:lineRule="auto"/>
              <w:jc w:val="both"/>
              <w:rPr>
                <w:rFonts w:ascii="Palatino Linotype" w:hAnsi="Palatino Linotype" w:cs="Arial"/>
              </w:rPr>
            </w:pPr>
            <w:r w:rsidRPr="00AA1CB9">
              <w:rPr>
                <w:rFonts w:ascii="Palatino Linotype" w:hAnsi="Palatino Linotype" w:cs="Arial"/>
              </w:rPr>
              <w:t>Copia de la requisición CA-0031-2018 con sus soportes anexos.</w:t>
            </w:r>
          </w:p>
        </w:tc>
        <w:tc>
          <w:tcPr>
            <w:tcW w:w="2693" w:type="dxa"/>
          </w:tcPr>
          <w:p w:rsidR="00454B14" w:rsidRPr="00AA1CB9" w:rsidRDefault="00454B14"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Remitió copia de la requisición y anexos en versiones públicas.</w:t>
            </w:r>
          </w:p>
        </w:tc>
        <w:tc>
          <w:tcPr>
            <w:tcW w:w="1272" w:type="dxa"/>
          </w:tcPr>
          <w:p w:rsidR="00454B14" w:rsidRPr="00AA1CB9" w:rsidRDefault="00CD111E"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No colma</w:t>
            </w:r>
          </w:p>
        </w:tc>
        <w:tc>
          <w:tcPr>
            <w:tcW w:w="2101" w:type="dxa"/>
          </w:tcPr>
          <w:p w:rsidR="00454B14" w:rsidRPr="00AA1CB9" w:rsidRDefault="00CD111E" w:rsidP="00AA1CB9">
            <w:pPr>
              <w:pStyle w:val="Prrafodelista"/>
              <w:autoSpaceDE w:val="0"/>
              <w:autoSpaceDN w:val="0"/>
              <w:adjustRightInd w:val="0"/>
              <w:spacing w:line="360" w:lineRule="auto"/>
              <w:ind w:left="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La información proporcionada no debe ser reservada.</w:t>
            </w:r>
          </w:p>
        </w:tc>
      </w:tr>
    </w:tbl>
    <w:p w:rsidR="00454B14" w:rsidRPr="00AA1CB9" w:rsidRDefault="00454B14" w:rsidP="00AA1CB9">
      <w:pPr>
        <w:spacing w:line="360" w:lineRule="auto"/>
        <w:jc w:val="both"/>
        <w:rPr>
          <w:rFonts w:ascii="Palatino Linotype" w:eastAsia="Calibri" w:hAnsi="Palatino Linotype" w:cs="Arial"/>
        </w:rPr>
      </w:pPr>
    </w:p>
    <w:p w:rsidR="00C5704C" w:rsidRPr="00AA1CB9" w:rsidRDefault="00C5704C" w:rsidP="00AA1CB9">
      <w:pPr>
        <w:pStyle w:val="Ttulo2"/>
        <w:numPr>
          <w:ilvl w:val="0"/>
          <w:numId w:val="40"/>
        </w:numPr>
        <w:spacing w:line="360" w:lineRule="auto"/>
        <w:rPr>
          <w:rFonts w:ascii="Palatino Linotype" w:eastAsia="Calibri" w:hAnsi="Palatino Linotype"/>
          <w:b/>
          <w:color w:val="auto"/>
          <w:sz w:val="24"/>
          <w:szCs w:val="24"/>
        </w:rPr>
      </w:pPr>
      <w:bookmarkStart w:id="16" w:name="_Toc3295488"/>
      <w:r w:rsidRPr="00AA1CB9">
        <w:rPr>
          <w:rFonts w:ascii="Palatino Linotype" w:eastAsia="Calibri" w:hAnsi="Palatino Linotype"/>
          <w:b/>
          <w:color w:val="auto"/>
          <w:sz w:val="24"/>
          <w:szCs w:val="24"/>
        </w:rPr>
        <w:t>De las versiones públicas.</w:t>
      </w:r>
      <w:bookmarkEnd w:id="16"/>
    </w:p>
    <w:p w:rsidR="00C5704C" w:rsidRPr="00AA1CB9" w:rsidRDefault="00C5704C" w:rsidP="00AA1CB9">
      <w:pPr>
        <w:spacing w:line="360" w:lineRule="auto"/>
        <w:rPr>
          <w:rFonts w:ascii="Palatino Linotype" w:hAnsi="Palatino Linotype"/>
          <w:lang w:val="es-MX" w:eastAsia="en-US"/>
        </w:rPr>
      </w:pPr>
    </w:p>
    <w:p w:rsidR="00C5704C" w:rsidRPr="00AA1CB9" w:rsidRDefault="00C5704C"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El Sujeto Obligado para dar respuesta a la solicitud, proporcionó diversos documentos testando información, como lo es, un correo electrónico </w:t>
      </w:r>
      <w:r w:rsidR="005417A2" w:rsidRPr="00AA1CB9">
        <w:rPr>
          <w:rFonts w:ascii="Palatino Linotype" w:eastAsia="Calibri" w:hAnsi="Palatino Linotype" w:cs="Arial"/>
        </w:rPr>
        <w:t xml:space="preserve">del oficial mayor </w:t>
      </w:r>
      <w:r w:rsidRPr="00AA1CB9">
        <w:rPr>
          <w:rFonts w:ascii="Palatino Linotype" w:eastAsia="Calibri" w:hAnsi="Palatino Linotype" w:cs="Arial"/>
        </w:rPr>
        <w:t xml:space="preserve">e información relativa a las </w:t>
      </w:r>
      <w:r w:rsidR="00C1632F" w:rsidRPr="00AA1CB9">
        <w:rPr>
          <w:rFonts w:ascii="Palatino Linotype" w:eastAsia="Calibri" w:hAnsi="Palatino Linotype" w:cs="Arial"/>
        </w:rPr>
        <w:t>especificaciones de los vehículos arrendados.</w:t>
      </w:r>
    </w:p>
    <w:p w:rsidR="00C5704C" w:rsidRPr="00AA1CB9" w:rsidRDefault="00C5704C" w:rsidP="00AA1CB9">
      <w:pPr>
        <w:pStyle w:val="Prrafodelista"/>
        <w:spacing w:line="360" w:lineRule="auto"/>
        <w:ind w:left="0"/>
        <w:jc w:val="both"/>
        <w:rPr>
          <w:rFonts w:ascii="Palatino Linotype" w:eastAsia="Calibri" w:hAnsi="Palatino Linotype" w:cs="Arial"/>
        </w:rPr>
      </w:pPr>
    </w:p>
    <w:p w:rsidR="00C5704C" w:rsidRPr="00AA1CB9" w:rsidRDefault="00C1632F"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No debemos perder de vista que el derecho de acceso a la información es </w:t>
      </w:r>
      <w:r w:rsidRPr="00AA1CB9">
        <w:rPr>
          <w:rFonts w:ascii="Palatino Linotype" w:eastAsia="Times New Roman" w:hAnsi="Palatino Linotype" w:cs="Arial"/>
          <w:color w:val="000000" w:themeColor="text1"/>
          <w:lang w:eastAsia="es-MX"/>
        </w:rPr>
        <w:t xml:space="preserve">la </w:t>
      </w:r>
      <w:r w:rsidRPr="00AA1CB9">
        <w:rPr>
          <w:rFonts w:ascii="Palatino Linotype" w:eastAsia="MS Mincho" w:hAnsi="Palatino Linotype" w:cs="Times New Roman"/>
          <w:i/>
        </w:rPr>
        <w:t>igualdad de oportunidades para recibir, buscar e impartir información</w:t>
      </w:r>
      <w:r w:rsidRPr="00AA1CB9">
        <w:rPr>
          <w:rStyle w:val="Refdenotaalpie"/>
          <w:rFonts w:ascii="Palatino Linotype" w:eastAsia="MS Mincho" w:hAnsi="Palatino Linotype" w:cs="Times New Roman"/>
          <w:i/>
        </w:rPr>
        <w:footnoteReference w:id="3"/>
      </w:r>
      <w:r w:rsidRPr="00AA1CB9">
        <w:rPr>
          <w:rFonts w:ascii="Palatino Linotype" w:eastAsia="MS Mincho" w:hAnsi="Palatino Linotype" w:cs="Times New Roman"/>
          <w:i/>
        </w:rPr>
        <w:t xml:space="preserve"> en posesión de cualquier autoridad, entidad, órgano y organismo de los poderes Ejecutivo, Legislativo y Judicial, órganos autónomos, </w:t>
      </w:r>
      <w:r w:rsidRPr="00AA1CB9">
        <w:rPr>
          <w:rFonts w:ascii="Palatino Linotype" w:eastAsia="MS Mincho" w:hAnsi="Palatino Linotype" w:cs="Times New Roman"/>
          <w:b/>
          <w:i/>
        </w:rPr>
        <w:t>partidos políticos</w:t>
      </w:r>
      <w:r w:rsidRPr="00AA1CB9">
        <w:rPr>
          <w:rFonts w:ascii="Palatino Linotype" w:eastAsia="MS Mincho" w:hAnsi="Palatino Linotype" w:cs="Times New Roman"/>
          <w:i/>
        </w:rPr>
        <w:t xml:space="preserve">, fideicomisos, y fondos públicos, así como </w:t>
      </w:r>
      <w:r w:rsidRPr="00AA1CB9">
        <w:rPr>
          <w:rFonts w:ascii="Palatino Linotype" w:eastAsia="MS Mincho" w:hAnsi="Palatino Linotype" w:cs="Times New Roman"/>
          <w:i/>
        </w:rPr>
        <w:lastRenderedPageBreak/>
        <w:t>de cualquier persona física, moral o sindicato que reciba y ejerza recursos públicos o realice actos de autoridad en el ámbito federal, estatal y municipal</w:t>
      </w:r>
      <w:r w:rsidRPr="00AA1CB9">
        <w:rPr>
          <w:rStyle w:val="Refdenotaalpie"/>
          <w:rFonts w:ascii="Palatino Linotype" w:eastAsia="MS Mincho" w:hAnsi="Palatino Linotype" w:cs="Times New Roman"/>
        </w:rPr>
        <w:footnoteReference w:id="4"/>
      </w:r>
      <w:r w:rsidRPr="00AA1CB9">
        <w:rPr>
          <w:rFonts w:ascii="Palatino Linotype" w:eastAsia="MS Mincho" w:hAnsi="Palatino Linotype" w:cs="Times New Roman"/>
          <w:i/>
        </w:rPr>
        <w:t xml:space="preserve"> </w:t>
      </w:r>
      <w:r w:rsidRPr="00AA1CB9">
        <w:rPr>
          <w:rFonts w:ascii="Palatino Linotype" w:eastAsia="MS Mincho" w:hAnsi="Palatino Linotype" w:cs="Times New Roman"/>
        </w:rPr>
        <w:t xml:space="preserve">que se constituye como una herramienta fundamental para </w:t>
      </w:r>
      <w:r w:rsidRPr="00AA1CB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AA1CB9">
        <w:rPr>
          <w:rStyle w:val="Refdenotaalpie"/>
          <w:rFonts w:ascii="Palatino Linotype" w:eastAsia="MS Mincho" w:hAnsi="Palatino Linotype" w:cs="Times New Roman"/>
          <w:i/>
        </w:rPr>
        <w:footnoteReference w:id="5"/>
      </w:r>
      <w:r w:rsidRPr="00AA1CB9">
        <w:rPr>
          <w:rFonts w:ascii="Palatino Linotype" w:eastAsia="MS Mincho" w:hAnsi="Palatino Linotype" w:cs="Times New Roman"/>
        </w:rPr>
        <w:t>fomentando</w:t>
      </w:r>
      <w:r w:rsidRPr="00AA1CB9">
        <w:rPr>
          <w:rFonts w:ascii="Palatino Linotype" w:eastAsia="MS Mincho" w:hAnsi="Palatino Linotype" w:cs="Times New Roman"/>
          <w:i/>
        </w:rPr>
        <w:t xml:space="preserve"> la transparencia de las actividades estatales y</w:t>
      </w:r>
      <w:r w:rsidRPr="00AA1CB9">
        <w:rPr>
          <w:rFonts w:ascii="Palatino Linotype" w:eastAsia="MS Mincho" w:hAnsi="Palatino Linotype" w:cs="Times New Roman"/>
        </w:rPr>
        <w:t xml:space="preserve"> promoviendo</w:t>
      </w:r>
      <w:r w:rsidRPr="00AA1CB9">
        <w:rPr>
          <w:rFonts w:ascii="Palatino Linotype" w:eastAsia="MS Mincho" w:hAnsi="Palatino Linotype" w:cs="Times New Roman"/>
          <w:i/>
        </w:rPr>
        <w:t xml:space="preserve"> la responsabilidad de los funcionarios sobre su gestión pública</w:t>
      </w:r>
      <w:r w:rsidRPr="00AA1CB9">
        <w:rPr>
          <w:rStyle w:val="Refdenotaalpie"/>
          <w:rFonts w:ascii="Palatino Linotype" w:eastAsia="MS Mincho" w:hAnsi="Palatino Linotype" w:cs="Times New Roman"/>
          <w:i/>
        </w:rPr>
        <w:footnoteReference w:id="6"/>
      </w:r>
      <w:r w:rsidRPr="00AA1CB9">
        <w:rPr>
          <w:rFonts w:ascii="Palatino Linotype" w:eastAsia="MS Mincho" w:hAnsi="Palatino Linotype" w:cs="Times New Roman"/>
          <w:i/>
        </w:rPr>
        <w:t xml:space="preserve"> </w:t>
      </w:r>
      <w:r w:rsidRPr="00AA1CB9">
        <w:rPr>
          <w:rFonts w:ascii="Palatino Linotype" w:eastAsia="MS Mincho" w:hAnsi="Palatino Linotype" w:cs="Times New Roman"/>
        </w:rPr>
        <w:t>que permite</w:t>
      </w:r>
      <w:r w:rsidRPr="00AA1CB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AA1CB9">
        <w:rPr>
          <w:rStyle w:val="Refdenotaalpie"/>
          <w:rFonts w:ascii="Palatino Linotype" w:eastAsia="MS Mincho" w:hAnsi="Palatino Linotype" w:cs="Times New Roman"/>
          <w:i/>
        </w:rPr>
        <w:footnoteReference w:id="7"/>
      </w:r>
      <w:r w:rsidRPr="00AA1CB9">
        <w:rPr>
          <w:rFonts w:ascii="Palatino Linotype" w:eastAsia="MS Mincho" w:hAnsi="Palatino Linotype" w:cs="Times New Roman"/>
        </w:rPr>
        <w:t xml:space="preserve"> ”.</w:t>
      </w:r>
    </w:p>
    <w:p w:rsidR="00C1632F" w:rsidRPr="00AA1CB9" w:rsidRDefault="00C1632F" w:rsidP="00AA1CB9">
      <w:pPr>
        <w:pStyle w:val="Prrafodelista"/>
        <w:spacing w:line="360" w:lineRule="auto"/>
        <w:rPr>
          <w:rFonts w:ascii="Palatino Linotype" w:eastAsia="Calibri" w:hAnsi="Palatino Linotype" w:cs="Arial"/>
        </w:rPr>
      </w:pPr>
    </w:p>
    <w:p w:rsidR="00C1632F" w:rsidRPr="00AA1CB9" w:rsidRDefault="00C1632F"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E</w:t>
      </w:r>
      <w:r w:rsidRPr="00AA1CB9">
        <w:rPr>
          <w:rFonts w:ascii="Palatino Linotype" w:eastAsia="MS Mincho" w:hAnsi="Palatino Linotype"/>
        </w:rPr>
        <w:t xml:space="preserve">l acceso a la información es un derecho humano constitucional y convencionalmente reconocido y para tal efecto </w:t>
      </w:r>
      <w:r w:rsidRPr="00AA1CB9">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A1CB9">
        <w:rPr>
          <w:rFonts w:ascii="Palatino Linotype" w:eastAsia="Calibri" w:hAnsi="Palatino Linotype"/>
          <w:i/>
          <w:lang w:val="es-ES"/>
        </w:rPr>
        <w:t xml:space="preserve">en el ámbito de sus atribuciones, de promover, respetar, proteger y </w:t>
      </w:r>
      <w:r w:rsidRPr="00AA1CB9">
        <w:rPr>
          <w:rFonts w:ascii="Palatino Linotype" w:eastAsia="Calibri" w:hAnsi="Palatino Linotype"/>
          <w:b/>
          <w:i/>
          <w:lang w:val="es-ES"/>
        </w:rPr>
        <w:t>garantizar</w:t>
      </w:r>
      <w:r w:rsidRPr="00AA1CB9">
        <w:rPr>
          <w:rFonts w:ascii="Palatino Linotype" w:eastAsia="Calibri" w:hAnsi="Palatino Linotype"/>
          <w:i/>
          <w:lang w:val="es-ES"/>
        </w:rPr>
        <w:t xml:space="preserve"> los derechos humanos. </w:t>
      </w:r>
      <w:r w:rsidRPr="00AA1CB9">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A1CB9">
        <w:rPr>
          <w:rFonts w:ascii="Palatino Linotype" w:eastAsia="Calibri" w:hAnsi="Palatino Linotype"/>
          <w:b/>
          <w:i/>
          <w:lang w:val="es-ES"/>
        </w:rPr>
        <w:t xml:space="preserve"> e</w:t>
      </w:r>
      <w:r w:rsidRPr="00AA1CB9">
        <w:rPr>
          <w:rFonts w:ascii="Palatino Linotype" w:hAnsi="Palatino Linotype"/>
          <w:i/>
        </w:rPr>
        <w:t xml:space="preserve">l procedimiento de acceso a la información </w:t>
      </w:r>
      <w:r w:rsidRPr="00AA1CB9">
        <w:rPr>
          <w:rFonts w:ascii="Palatino Linotype" w:hAnsi="Palatino Linotype"/>
          <w:i/>
        </w:rPr>
        <w:lastRenderedPageBreak/>
        <w:t>es la garantía primaria del derecho en cuestión y se rige por los principios de simplicidad, rapidez y gratuidad del procedimiento, auxilio y orientación a los particulares</w:t>
      </w:r>
      <w:r w:rsidRPr="00AA1CB9">
        <w:rPr>
          <w:rStyle w:val="Refdenotaalpie"/>
          <w:rFonts w:ascii="Palatino Linotype" w:hAnsi="Palatino Linotype"/>
          <w:i/>
        </w:rPr>
        <w:footnoteReference w:id="8"/>
      </w:r>
      <w:r w:rsidRPr="00AA1CB9">
        <w:rPr>
          <w:rFonts w:ascii="Palatino Linotype" w:hAnsi="Palatino Linotype"/>
          <w:i/>
        </w:rPr>
        <w:t xml:space="preserve">, </w:t>
      </w:r>
      <w:r w:rsidRPr="00AA1CB9">
        <w:rPr>
          <w:rFonts w:ascii="Palatino Linotype" w:hAnsi="Palatino Linotype"/>
        </w:rPr>
        <w:t>asimismo establece</w:t>
      </w:r>
      <w:r w:rsidRPr="00AA1CB9">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1632F" w:rsidRPr="00AA1CB9" w:rsidRDefault="00C1632F" w:rsidP="00AA1CB9">
      <w:pPr>
        <w:spacing w:line="360" w:lineRule="auto"/>
        <w:jc w:val="both"/>
        <w:rPr>
          <w:rFonts w:ascii="Palatino Linotype" w:eastAsia="Calibri" w:hAnsi="Palatino Linotype" w:cs="Arial"/>
        </w:rPr>
      </w:pPr>
    </w:p>
    <w:p w:rsidR="00FC495E" w:rsidRPr="00AA1CB9" w:rsidRDefault="00B20329"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El derecho de acceso a la información </w:t>
      </w:r>
      <w:r w:rsidR="008D59ED" w:rsidRPr="00AA1CB9">
        <w:rPr>
          <w:rFonts w:ascii="Palatino Linotype" w:eastAsia="Calibri" w:hAnsi="Palatino Linotype" w:cs="Arial"/>
        </w:rPr>
        <w:t>no es absoluto y puede ser restringido en algunas excepciones, como lo es la clasificación de la información como confidencial o reservada. Dicha clasificación debe estar estrictamente fundada y motivada para que tenga validez. Toda vez que lo que se pretende con la clasificación de la información es causar una restricción o molestia al recurrente</w:t>
      </w:r>
      <w:r w:rsidR="00FC495E" w:rsidRPr="00AA1CB9">
        <w:rPr>
          <w:rFonts w:ascii="Palatino Linotype" w:eastAsia="Calibri" w:hAnsi="Palatino Linotype" w:cs="Arial"/>
        </w:rPr>
        <w:t>, la cual debe estar debidamente fundada y motivada,</w:t>
      </w:r>
      <w:r w:rsidR="008D59ED" w:rsidRPr="00AA1CB9">
        <w:rPr>
          <w:rFonts w:ascii="Palatino Linotype" w:eastAsia="Calibri" w:hAnsi="Palatino Linotype" w:cs="Arial"/>
        </w:rPr>
        <w:t xml:space="preserve"> de acuerdo al </w:t>
      </w:r>
      <w:r w:rsidR="00FC495E" w:rsidRPr="00AA1CB9">
        <w:rPr>
          <w:rFonts w:ascii="Palatino Linotype" w:eastAsia="Calibri" w:hAnsi="Palatino Linotype" w:cs="Arial"/>
        </w:rPr>
        <w:t>primer pár</w:t>
      </w:r>
      <w:r w:rsidR="00CA1E43" w:rsidRPr="00AA1CB9">
        <w:rPr>
          <w:rFonts w:ascii="Palatino Linotype" w:eastAsia="Calibri" w:hAnsi="Palatino Linotype" w:cs="Arial"/>
        </w:rPr>
        <w:t>r</w:t>
      </w:r>
      <w:r w:rsidR="00FC495E" w:rsidRPr="00AA1CB9">
        <w:rPr>
          <w:rFonts w:ascii="Palatino Linotype" w:eastAsia="Calibri" w:hAnsi="Palatino Linotype" w:cs="Arial"/>
        </w:rPr>
        <w:t xml:space="preserve">afo del </w:t>
      </w:r>
      <w:r w:rsidR="008D59ED" w:rsidRPr="00AA1CB9">
        <w:rPr>
          <w:rFonts w:ascii="Palatino Linotype" w:eastAsia="Calibri" w:hAnsi="Palatino Linotype" w:cs="Arial"/>
        </w:rPr>
        <w:t>artículo 16 de la Constitución Política de los Estados Unidos M</w:t>
      </w:r>
      <w:r w:rsidR="00FC495E" w:rsidRPr="00AA1CB9">
        <w:rPr>
          <w:rFonts w:ascii="Palatino Linotype" w:eastAsia="Calibri" w:hAnsi="Palatino Linotype" w:cs="Arial"/>
        </w:rPr>
        <w:t>exicano, el cual refiere lo siguiente:</w:t>
      </w:r>
    </w:p>
    <w:p w:rsidR="00FC495E" w:rsidRPr="00AA1CB9" w:rsidRDefault="00FC495E" w:rsidP="00AA1CB9">
      <w:pPr>
        <w:pStyle w:val="Prrafodelista"/>
        <w:spacing w:line="360" w:lineRule="auto"/>
        <w:rPr>
          <w:rFonts w:ascii="Palatino Linotype" w:eastAsia="Calibri" w:hAnsi="Palatino Linotype" w:cs="Arial"/>
        </w:rPr>
      </w:pPr>
    </w:p>
    <w:p w:rsidR="008D59ED" w:rsidRPr="00AA1CB9" w:rsidRDefault="00FC495E" w:rsidP="00AA1CB9">
      <w:pPr>
        <w:pStyle w:val="Prrafodelista"/>
        <w:spacing w:line="360" w:lineRule="auto"/>
        <w:ind w:left="567" w:right="567"/>
        <w:jc w:val="both"/>
        <w:rPr>
          <w:rFonts w:ascii="Palatino Linotype" w:eastAsia="Calibri" w:hAnsi="Palatino Linotype" w:cs="Arial"/>
          <w:i/>
        </w:rPr>
      </w:pPr>
      <w:r w:rsidRPr="00AA1CB9">
        <w:rPr>
          <w:rFonts w:ascii="Palatino Linotype" w:hAnsi="Palatino Linotype"/>
          <w:i/>
        </w:rPr>
        <w:t xml:space="preserve">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w:t>
      </w:r>
      <w:r w:rsidRPr="00AA1CB9">
        <w:rPr>
          <w:rFonts w:ascii="Palatino Linotype" w:hAnsi="Palatino Linotype"/>
          <w:i/>
        </w:rPr>
        <w:lastRenderedPageBreak/>
        <w:t>oralidad, bastará con que quede constancia de ellos en cualquier medio que dé certeza de su contenido y del cumplimiento de lo previsto en este párrafo.</w:t>
      </w:r>
    </w:p>
    <w:p w:rsidR="008D59ED" w:rsidRPr="00AA1CB9" w:rsidRDefault="008D59ED" w:rsidP="00AA1CB9">
      <w:pPr>
        <w:spacing w:line="360" w:lineRule="auto"/>
        <w:jc w:val="both"/>
        <w:rPr>
          <w:rFonts w:ascii="Palatino Linotype" w:eastAsia="Calibri" w:hAnsi="Palatino Linotype" w:cs="Arial"/>
        </w:rPr>
      </w:pPr>
    </w:p>
    <w:p w:rsidR="0036064A" w:rsidRPr="00AA1CB9" w:rsidRDefault="0036064A" w:rsidP="00AA1CB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AA1CB9">
        <w:rPr>
          <w:rFonts w:ascii="Palatino Linotype" w:eastAsia="Calibri" w:hAnsi="Palatino Linotype" w:cs="Arial"/>
        </w:rPr>
        <w:t xml:space="preserve">Sirve de sustento el siguiente criterio del </w:t>
      </w:r>
      <w:r w:rsidRPr="00AA1CB9">
        <w:rPr>
          <w:rFonts w:ascii="Palatino Linotype" w:hAnsi="Palatino Linotype" w:cs="Times New Roman"/>
        </w:rPr>
        <w:t>Segundo Tribunal Colegiado del Sexto Circuito.</w:t>
      </w:r>
    </w:p>
    <w:p w:rsidR="0036064A" w:rsidRPr="00AA1CB9" w:rsidRDefault="0036064A" w:rsidP="00AA1CB9">
      <w:pPr>
        <w:spacing w:line="360" w:lineRule="auto"/>
        <w:ind w:left="426" w:hanging="426"/>
        <w:jc w:val="both"/>
        <w:rPr>
          <w:rFonts w:ascii="Palatino Linotype" w:eastAsia="Calibri" w:hAnsi="Palatino Linotype" w:cs="Arial"/>
        </w:rPr>
      </w:pPr>
    </w:p>
    <w:p w:rsidR="0036064A" w:rsidRPr="00AA1CB9" w:rsidRDefault="0036064A" w:rsidP="00AA1CB9">
      <w:pPr>
        <w:tabs>
          <w:tab w:val="left" w:pos="284"/>
        </w:tabs>
        <w:autoSpaceDE w:val="0"/>
        <w:autoSpaceDN w:val="0"/>
        <w:adjustRightInd w:val="0"/>
        <w:spacing w:line="360" w:lineRule="auto"/>
        <w:ind w:left="567" w:right="567"/>
        <w:jc w:val="both"/>
        <w:rPr>
          <w:rFonts w:ascii="Palatino Linotype" w:hAnsi="Palatino Linotype" w:cs="Times New Roman"/>
          <w:i/>
        </w:rPr>
      </w:pPr>
      <w:r w:rsidRPr="00AA1CB9">
        <w:rPr>
          <w:rFonts w:ascii="Palatino Linotype" w:hAnsi="Palatino Linotype" w:cs="Times New Roman"/>
          <w:b/>
          <w:i/>
        </w:rPr>
        <w:t>FUNDAMENTACION Y MOTIVACION DE LOS ACTOS ADMINISTRATIVOS</w:t>
      </w:r>
      <w:r w:rsidRPr="00AA1CB9">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w:t>
      </w:r>
      <w:r w:rsidRPr="00AA1CB9">
        <w:rPr>
          <w:rFonts w:ascii="Palatino Linotype" w:hAnsi="Palatino Linotype" w:cs="Times New Roman"/>
          <w:i/>
        </w:rPr>
        <w:lastRenderedPageBreak/>
        <w:t xml:space="preserve">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AA1CB9">
        <w:rPr>
          <w:rFonts w:ascii="Palatino Linotype" w:hAnsi="Palatino Linotype" w:cs="Times New Roman"/>
          <w:i/>
        </w:rPr>
        <w:t>subincisos</w:t>
      </w:r>
      <w:proofErr w:type="spellEnd"/>
      <w:r w:rsidRPr="00AA1CB9">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8D59ED" w:rsidRPr="00AA1CB9" w:rsidRDefault="008D59ED" w:rsidP="00AA1CB9">
      <w:pPr>
        <w:spacing w:line="360" w:lineRule="auto"/>
        <w:ind w:left="567" w:right="618"/>
        <w:contextualSpacing/>
        <w:jc w:val="both"/>
        <w:rPr>
          <w:rFonts w:ascii="Palatino Linotype" w:hAnsi="Palatino Linotype" w:cs="Arial"/>
          <w:i/>
        </w:rPr>
      </w:pPr>
    </w:p>
    <w:p w:rsidR="008D59ED" w:rsidRPr="00AA1CB9" w:rsidRDefault="008D59ED" w:rsidP="00AA1CB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A1CB9">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D59ED" w:rsidRPr="00AA1CB9" w:rsidRDefault="008D59ED" w:rsidP="00AA1CB9">
      <w:pPr>
        <w:spacing w:line="360" w:lineRule="auto"/>
        <w:jc w:val="both"/>
        <w:rPr>
          <w:rFonts w:ascii="Palatino Linotype" w:eastAsia="Calibri" w:hAnsi="Palatino Linotype" w:cs="Arial"/>
        </w:rPr>
      </w:pPr>
    </w:p>
    <w:p w:rsidR="00B85F0B" w:rsidRPr="00AA1CB9" w:rsidRDefault="00B85F0B"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Es preciso mencionar que el Sujeto Obligado remitió documentos en los cuales se testó información como correo electrónico</w:t>
      </w:r>
      <w:r w:rsidR="005417A2" w:rsidRPr="00AA1CB9">
        <w:rPr>
          <w:rFonts w:ascii="Palatino Linotype" w:eastAsia="Calibri" w:hAnsi="Palatino Linotype" w:cs="Arial"/>
        </w:rPr>
        <w:t xml:space="preserve"> del oficial mayor</w:t>
      </w:r>
      <w:r w:rsidRPr="00AA1CB9">
        <w:rPr>
          <w:rFonts w:ascii="Palatino Linotype" w:eastAsia="Calibri" w:hAnsi="Palatino Linotype" w:cs="Arial"/>
        </w:rPr>
        <w:t xml:space="preserve">, y especificaciones de los bienes arrendados; sin embargo, fue omiso en remitir el acuerdo que sustenta las versiones públicas. </w:t>
      </w:r>
    </w:p>
    <w:p w:rsidR="00B85F0B" w:rsidRPr="00AA1CB9" w:rsidRDefault="00B85F0B" w:rsidP="00AA1CB9">
      <w:pPr>
        <w:pStyle w:val="Prrafodelista"/>
        <w:spacing w:line="360" w:lineRule="auto"/>
        <w:rPr>
          <w:rFonts w:ascii="Palatino Linotype" w:eastAsia="Calibri" w:hAnsi="Palatino Linotype" w:cs="Arial"/>
        </w:rPr>
      </w:pPr>
    </w:p>
    <w:p w:rsidR="007D4871" w:rsidRPr="00AA1CB9" w:rsidRDefault="00B85F0B"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Aún y cuando en informe justificado señaló que los documentos que envió en respuesta fueron materia del cumplimiento de un recurso de revisión que se resolvió con anterioridad, es necesario mencionar que </w:t>
      </w:r>
      <w:r w:rsidR="00454B14" w:rsidRPr="00AA1CB9">
        <w:rPr>
          <w:rFonts w:ascii="Palatino Linotype" w:eastAsia="Calibri" w:hAnsi="Palatino Linotype" w:cs="Arial"/>
        </w:rPr>
        <w:t xml:space="preserve">dicha manifestación </w:t>
      </w:r>
      <w:r w:rsidRPr="00AA1CB9">
        <w:rPr>
          <w:rFonts w:ascii="Palatino Linotype" w:eastAsia="Calibri" w:hAnsi="Palatino Linotype" w:cs="Arial"/>
        </w:rPr>
        <w:t>no es suficiente</w:t>
      </w:r>
      <w:r w:rsidR="00454B14" w:rsidRPr="00AA1CB9">
        <w:rPr>
          <w:rFonts w:ascii="Palatino Linotype" w:eastAsia="Calibri" w:hAnsi="Palatino Linotype" w:cs="Arial"/>
        </w:rPr>
        <w:t>,</w:t>
      </w:r>
      <w:r w:rsidRPr="00AA1CB9">
        <w:rPr>
          <w:rFonts w:ascii="Palatino Linotype" w:eastAsia="Calibri" w:hAnsi="Palatino Linotype" w:cs="Arial"/>
        </w:rPr>
        <w:t xml:space="preserve"> ni mucho menos es causa justificada para dejar de adjuntar un acuerdo de clasificación a documentos que son entregados en versión pública. Dichas </w:t>
      </w:r>
      <w:r w:rsidRPr="00AA1CB9">
        <w:rPr>
          <w:rFonts w:ascii="Palatino Linotype" w:eastAsia="Calibri" w:hAnsi="Palatino Linotype" w:cs="Arial"/>
        </w:rPr>
        <w:lastRenderedPageBreak/>
        <w:t>acciones se traducen en una legítima afectación al derecho accionado por la parte recurrente, afectación que debe ser reparada mediante el ejercicio de la garantía secundaria del derecho de acceso a la información, es decir, el recurso de revisión.</w:t>
      </w:r>
    </w:p>
    <w:p w:rsidR="007D4871" w:rsidRPr="00AA1CB9" w:rsidRDefault="007D4871" w:rsidP="00AA1CB9">
      <w:pPr>
        <w:pStyle w:val="Prrafodelista"/>
        <w:spacing w:line="360" w:lineRule="auto"/>
        <w:rPr>
          <w:rFonts w:ascii="Palatino Linotype" w:eastAsia="Calibri" w:hAnsi="Palatino Linotype" w:cs="Arial"/>
        </w:rPr>
      </w:pPr>
    </w:p>
    <w:p w:rsidR="007D4871" w:rsidRPr="00AA1CB9" w:rsidRDefault="007D4871" w:rsidP="00AA1CB9">
      <w:pPr>
        <w:pStyle w:val="Ttulo2"/>
        <w:numPr>
          <w:ilvl w:val="0"/>
          <w:numId w:val="40"/>
        </w:numPr>
        <w:spacing w:line="360" w:lineRule="auto"/>
        <w:rPr>
          <w:rFonts w:ascii="Palatino Linotype" w:eastAsia="Calibri" w:hAnsi="Palatino Linotype"/>
          <w:b/>
          <w:color w:val="auto"/>
          <w:sz w:val="24"/>
          <w:szCs w:val="24"/>
        </w:rPr>
      </w:pPr>
      <w:bookmarkStart w:id="17" w:name="_Toc3295489"/>
      <w:r w:rsidRPr="00AA1CB9">
        <w:rPr>
          <w:rFonts w:ascii="Palatino Linotype" w:eastAsia="Calibri" w:hAnsi="Palatino Linotype"/>
          <w:b/>
          <w:color w:val="auto"/>
          <w:sz w:val="24"/>
          <w:szCs w:val="24"/>
        </w:rPr>
        <w:t>De la clasificación de la información.</w:t>
      </w:r>
      <w:bookmarkEnd w:id="17"/>
    </w:p>
    <w:p w:rsidR="007D4871" w:rsidRPr="00AA1CB9" w:rsidRDefault="007D4871" w:rsidP="00AA1CB9">
      <w:pPr>
        <w:pStyle w:val="Prrafodelista"/>
        <w:spacing w:line="360" w:lineRule="auto"/>
        <w:ind w:left="0"/>
        <w:jc w:val="both"/>
        <w:rPr>
          <w:rFonts w:ascii="Palatino Linotype" w:eastAsia="Calibri" w:hAnsi="Palatino Linotype" w:cs="Arial"/>
        </w:rPr>
      </w:pPr>
    </w:p>
    <w:p w:rsidR="007D4871" w:rsidRPr="00AA1CB9" w:rsidRDefault="007D4871"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Como se ha dicho anteriormente, el Sujeto Obligado remitió documentos en los cuales testó parte de la información, y </w:t>
      </w:r>
      <w:r w:rsidR="0036064A" w:rsidRPr="00AA1CB9">
        <w:rPr>
          <w:rFonts w:ascii="Palatino Linotype" w:eastAsia="Calibri" w:hAnsi="Palatino Linotype" w:cs="Arial"/>
        </w:rPr>
        <w:t xml:space="preserve">en </w:t>
      </w:r>
      <w:r w:rsidRPr="00AA1CB9">
        <w:rPr>
          <w:rFonts w:ascii="Palatino Linotype" w:eastAsia="Calibri" w:hAnsi="Palatino Linotype" w:cs="Arial"/>
        </w:rPr>
        <w:t>el informe justificado manifestó que la información fue testada por a</w:t>
      </w:r>
      <w:r w:rsidR="0036064A" w:rsidRPr="00AA1CB9">
        <w:rPr>
          <w:rFonts w:ascii="Palatino Linotype" w:eastAsia="Calibri" w:hAnsi="Palatino Linotype" w:cs="Arial"/>
        </w:rPr>
        <w:t xml:space="preserve">ctualizar una causal de reserva, asimismo, mencionó que se emitió </w:t>
      </w:r>
      <w:r w:rsidRPr="00AA1CB9">
        <w:rPr>
          <w:rFonts w:ascii="Palatino Linotype" w:eastAsia="Calibri" w:hAnsi="Palatino Linotype" w:cs="Arial"/>
        </w:rPr>
        <w:t xml:space="preserve">un acuerdo de clasificación para dar cumplimiento al recurso de revisión </w:t>
      </w:r>
      <w:r w:rsidRPr="00AA1CB9">
        <w:rPr>
          <w:rFonts w:ascii="Palatino Linotype" w:eastAsia="Calibri" w:hAnsi="Palatino Linotype" w:cs="Arial"/>
          <w:b/>
        </w:rPr>
        <w:t>03392/INFOEM/IP/RR/2018 y 03393/INFOEM/IP/RR/2018 acumulados</w:t>
      </w:r>
      <w:r w:rsidR="004846AA" w:rsidRPr="00AA1CB9">
        <w:rPr>
          <w:rFonts w:ascii="Palatino Linotype" w:eastAsia="Calibri" w:hAnsi="Palatino Linotype" w:cs="Arial"/>
          <w:b/>
        </w:rPr>
        <w:t>.</w:t>
      </w:r>
    </w:p>
    <w:p w:rsidR="00B53EFD" w:rsidRPr="00AA1CB9" w:rsidRDefault="00B53EFD" w:rsidP="00AA1CB9">
      <w:pPr>
        <w:pStyle w:val="Prrafodelista"/>
        <w:spacing w:line="360" w:lineRule="auto"/>
        <w:ind w:left="0"/>
        <w:jc w:val="both"/>
        <w:rPr>
          <w:rFonts w:ascii="Palatino Linotype" w:eastAsia="Calibri" w:hAnsi="Palatino Linotype" w:cs="Arial"/>
        </w:rPr>
      </w:pPr>
    </w:p>
    <w:p w:rsidR="00B53EFD" w:rsidRPr="00AA1CB9" w:rsidRDefault="00D31E4C"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L</w:t>
      </w:r>
      <w:r w:rsidR="00B53EFD" w:rsidRPr="00AA1CB9">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B53EFD" w:rsidRPr="00AA1CB9">
        <w:rPr>
          <w:rStyle w:val="Refdenotaalpie"/>
          <w:rFonts w:ascii="Palatino Linotype" w:hAnsi="Palatino Linotype"/>
        </w:rPr>
        <w:footnoteReference w:id="9"/>
      </w:r>
      <w:r w:rsidR="00B53EFD" w:rsidRPr="00AA1CB9">
        <w:rPr>
          <w:rFonts w:ascii="Palatino Linotype" w:hAnsi="Palatino Linotype"/>
        </w:rPr>
        <w:t xml:space="preserve"> aunque cualquier límite o </w:t>
      </w:r>
      <w:r w:rsidR="00B53EFD" w:rsidRPr="00AA1CB9">
        <w:rPr>
          <w:rFonts w:ascii="Palatino Linotype" w:hAnsi="Palatino Linotype"/>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B53EFD" w:rsidRPr="00AA1CB9">
        <w:rPr>
          <w:rStyle w:val="Refdenotaalpie"/>
          <w:rFonts w:ascii="Palatino Linotype" w:hAnsi="Palatino Linotype"/>
        </w:rPr>
        <w:footnoteReference w:id="10"/>
      </w:r>
      <w:r w:rsidR="00B53EFD" w:rsidRPr="00AA1CB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B53EFD" w:rsidRPr="00AA1CB9" w:rsidRDefault="00B53EFD" w:rsidP="00AA1CB9">
      <w:pPr>
        <w:pStyle w:val="Prrafodelista"/>
        <w:spacing w:line="360" w:lineRule="auto"/>
        <w:ind w:left="0"/>
        <w:jc w:val="both"/>
        <w:rPr>
          <w:rFonts w:ascii="Palatino Linotype" w:hAnsi="Palatino Linotype"/>
        </w:rPr>
      </w:pPr>
      <w:r w:rsidRPr="00AA1CB9">
        <w:rPr>
          <w:rFonts w:ascii="Palatino Linotype" w:hAnsi="Palatino Linotype"/>
        </w:rPr>
        <w:lastRenderedPageBreak/>
        <w:t xml:space="preserve"> </w:t>
      </w:r>
    </w:p>
    <w:p w:rsidR="00CA1E43" w:rsidRDefault="00D31E4C"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La ley en materia señala</w:t>
      </w:r>
      <w:r w:rsidR="00B53EFD" w:rsidRPr="00AA1CB9">
        <w:rPr>
          <w:rFonts w:ascii="Palatino Linotype" w:hAnsi="Palatino Linotype"/>
        </w:rPr>
        <w:t xml:space="preserve"> los pasos, requisitos y formalidades que deben de cumplirse, en general, los acuerdos de clasificación de la información que emiten los sujetos obligados</w:t>
      </w:r>
      <w:r w:rsidRPr="00AA1CB9">
        <w:rPr>
          <w:rFonts w:ascii="Palatino Linotype" w:hAnsi="Palatino Linotype"/>
        </w:rPr>
        <w:t>.</w:t>
      </w:r>
    </w:p>
    <w:p w:rsidR="00AA1CB9" w:rsidRPr="00AA1CB9" w:rsidRDefault="00AA1CB9" w:rsidP="00AA1CB9">
      <w:pPr>
        <w:pStyle w:val="Prrafodelista"/>
        <w:spacing w:after="160" w:line="360" w:lineRule="auto"/>
        <w:ind w:left="0"/>
        <w:jc w:val="both"/>
        <w:rPr>
          <w:rFonts w:ascii="Palatino Linotype" w:hAnsi="Palatino Linotype"/>
        </w:rPr>
      </w:pPr>
    </w:p>
    <w:p w:rsidR="00B53EFD" w:rsidRPr="00AA1CB9" w:rsidRDefault="00B53EFD" w:rsidP="00AA1CB9">
      <w:pPr>
        <w:pStyle w:val="Ttulo3"/>
        <w:numPr>
          <w:ilvl w:val="1"/>
          <w:numId w:val="1"/>
        </w:numPr>
        <w:spacing w:line="360" w:lineRule="auto"/>
        <w:ind w:left="851"/>
        <w:rPr>
          <w:rFonts w:ascii="Palatino Linotype" w:hAnsi="Palatino Linotype"/>
          <w:b/>
          <w:color w:val="auto"/>
        </w:rPr>
      </w:pPr>
      <w:bookmarkStart w:id="18" w:name="_Toc3295490"/>
      <w:r w:rsidRPr="00AA1CB9">
        <w:rPr>
          <w:rFonts w:ascii="Palatino Linotype" w:hAnsi="Palatino Linotype"/>
          <w:b/>
          <w:color w:val="auto"/>
        </w:rPr>
        <w:t>Supuestos de clasificación</w:t>
      </w:r>
      <w:bookmarkEnd w:id="18"/>
    </w:p>
    <w:p w:rsidR="00B53EFD" w:rsidRPr="00AA1CB9" w:rsidRDefault="00B53EFD" w:rsidP="00AA1CB9">
      <w:pPr>
        <w:pStyle w:val="Prrafodelista"/>
        <w:spacing w:line="360" w:lineRule="auto"/>
        <w:ind w:left="0"/>
        <w:jc w:val="both"/>
        <w:rPr>
          <w:rFonts w:ascii="Palatino Linotype" w:hAnsi="Palatino Linotype"/>
          <w:b/>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cs="Arial"/>
          <w:color w:val="000000" w:themeColor="text1"/>
        </w:rPr>
      </w:pPr>
      <w:r w:rsidRPr="00AA1CB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B53EFD" w:rsidRPr="00AA1CB9" w:rsidRDefault="00B53EFD" w:rsidP="00AA1CB9">
      <w:pPr>
        <w:pStyle w:val="Prrafodelista"/>
        <w:spacing w:line="360" w:lineRule="auto"/>
        <w:ind w:left="0"/>
        <w:jc w:val="both"/>
        <w:rPr>
          <w:rFonts w:ascii="Palatino Linotype" w:hAnsi="Palatino Linotype" w:cs="Arial"/>
          <w:color w:val="000000" w:themeColor="text1"/>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cs="Arial"/>
          <w:color w:val="000000" w:themeColor="text1"/>
        </w:rPr>
      </w:pPr>
      <w:r w:rsidRPr="00AA1CB9">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tbl>
      <w:tblPr>
        <w:tblStyle w:val="Tablanormal1"/>
        <w:tblW w:w="0" w:type="auto"/>
        <w:tblInd w:w="688" w:type="dxa"/>
        <w:tblLook w:val="04A0" w:firstRow="1" w:lastRow="0" w:firstColumn="1" w:lastColumn="0" w:noHBand="0" w:noVBand="1"/>
      </w:tblPr>
      <w:tblGrid>
        <w:gridCol w:w="3726"/>
        <w:gridCol w:w="4089"/>
      </w:tblGrid>
      <w:tr w:rsidR="00B53EFD" w:rsidRPr="00AA1CB9" w:rsidTr="00F430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b w:val="0"/>
              </w:rPr>
            </w:pPr>
            <w:r w:rsidRPr="00AA1CB9">
              <w:rPr>
                <w:rFonts w:ascii="Palatino Linotype" w:hAnsi="Palatino Linotype" w:cs="Gill Sans,Bold"/>
                <w:b w:val="0"/>
              </w:rPr>
              <w:t>LEY ESTATAL</w:t>
            </w:r>
          </w:p>
        </w:tc>
        <w:tc>
          <w:tcPr>
            <w:tcW w:w="4089" w:type="dxa"/>
          </w:tcPr>
          <w:p w:rsidR="00B53EFD" w:rsidRPr="00AA1CB9" w:rsidRDefault="00B53EFD" w:rsidP="00AA1CB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rPr>
            </w:pPr>
            <w:r w:rsidRPr="00AA1CB9">
              <w:rPr>
                <w:rFonts w:ascii="Palatino Linotype" w:hAnsi="Palatino Linotype"/>
                <w:b w:val="0"/>
              </w:rPr>
              <w:t>LEY GENERAL</w:t>
            </w:r>
          </w:p>
        </w:tc>
      </w:tr>
      <w:tr w:rsidR="00B53EFD" w:rsidRPr="00AA1CB9" w:rsidTr="00F43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t>I. Comprometa la seguridad pública y cuente con un propósito genuino y un efecto demostrable;</w:t>
            </w:r>
          </w:p>
          <w:p w:rsidR="00B53EFD" w:rsidRPr="00AA1CB9" w:rsidRDefault="00B53EFD" w:rsidP="00AA1CB9">
            <w:pPr>
              <w:spacing w:line="360" w:lineRule="auto"/>
              <w:jc w:val="both"/>
              <w:rPr>
                <w:rFonts w:ascii="Palatino Linotype" w:hAnsi="Palatino Linotype"/>
                <w:b w:val="0"/>
              </w:rPr>
            </w:pPr>
          </w:p>
        </w:tc>
        <w:tc>
          <w:tcPr>
            <w:tcW w:w="4089" w:type="dxa"/>
          </w:tcPr>
          <w:p w:rsidR="00B53EFD" w:rsidRPr="00AA1CB9" w:rsidRDefault="00B53EFD" w:rsidP="00AA1CB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I.</w:t>
            </w:r>
            <w:r w:rsidRPr="00AA1CB9">
              <w:rPr>
                <w:rFonts w:ascii="Palatino Linotype" w:hAnsi="Palatino Linotype"/>
                <w:lang w:val="es-ES"/>
              </w:rPr>
              <w:tab/>
              <w:t>Comprometa la seguridad nacional, la seguridad pública o la defensa nacional y cuente con un propósito genuino y un efecto demostrable;</w:t>
            </w:r>
          </w:p>
        </w:tc>
      </w:tr>
      <w:tr w:rsidR="00B53EFD" w:rsidRPr="00AA1CB9" w:rsidTr="00F43056">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lastRenderedPageBreak/>
              <w:t>II. Pueda menoscabar la conducción de las negociaciones y relaciones internacionales;</w:t>
            </w:r>
          </w:p>
        </w:tc>
        <w:tc>
          <w:tcPr>
            <w:tcW w:w="4089" w:type="dxa"/>
          </w:tcPr>
          <w:p w:rsidR="00B53EFD" w:rsidRPr="00AA1CB9" w:rsidRDefault="00B53EFD" w:rsidP="00AA1CB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II.</w:t>
            </w:r>
            <w:r w:rsidRPr="00AA1CB9">
              <w:rPr>
                <w:rFonts w:ascii="Palatino Linotype" w:hAnsi="Palatino Linotype"/>
                <w:lang w:val="es-ES"/>
              </w:rPr>
              <w:tab/>
              <w:t>Pueda menoscabar la conducción de las negociaciones y relaciones internacionales;</w:t>
            </w:r>
          </w:p>
        </w:tc>
      </w:tr>
      <w:tr w:rsidR="00B53EFD" w:rsidRPr="00AA1CB9" w:rsidTr="00F43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rsidR="00B53EFD" w:rsidRPr="00AA1CB9" w:rsidRDefault="00B53EFD" w:rsidP="00AA1CB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III.</w:t>
            </w:r>
            <w:r w:rsidRPr="00AA1CB9">
              <w:rPr>
                <w:rFonts w:ascii="Palatino Linotype" w:hAnsi="Palatino Linotype"/>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B53EFD" w:rsidRPr="00AA1CB9" w:rsidTr="00F43056">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bCs w:val="0"/>
              </w:rPr>
            </w:pPr>
          </w:p>
        </w:tc>
        <w:tc>
          <w:tcPr>
            <w:tcW w:w="4089" w:type="dxa"/>
          </w:tcPr>
          <w:p w:rsidR="00B53EFD" w:rsidRPr="00AA1CB9" w:rsidRDefault="00B53EFD" w:rsidP="00AA1CB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IV.</w:t>
            </w:r>
            <w:r w:rsidRPr="00AA1CB9">
              <w:rPr>
                <w:rFonts w:ascii="Palatino Linotype" w:hAnsi="Palatino Linotype"/>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w:t>
            </w:r>
            <w:r w:rsidRPr="00AA1CB9">
              <w:rPr>
                <w:rFonts w:ascii="Palatino Linotype" w:hAnsi="Palatino Linotype"/>
                <w:lang w:val="es-ES"/>
              </w:rPr>
              <w:lastRenderedPageBreak/>
              <w:t>comprometer la seguridad en la provisión de moneda nacional al país, o pueda incrementar el costo de operaciones financieras que realicen los sujetos obligados del sector público federal;</w:t>
            </w:r>
          </w:p>
        </w:tc>
      </w:tr>
      <w:tr w:rsidR="00B53EFD" w:rsidRPr="00AA1CB9" w:rsidTr="00F43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lastRenderedPageBreak/>
              <w:t>IV. Ponga en riesgo la vida, la seguridad o la salud de una persona física;</w:t>
            </w:r>
          </w:p>
        </w:tc>
        <w:tc>
          <w:tcPr>
            <w:tcW w:w="4089" w:type="dxa"/>
          </w:tcPr>
          <w:p w:rsidR="00B53EFD" w:rsidRPr="00AA1CB9" w:rsidRDefault="00B53EFD" w:rsidP="00AA1CB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V.</w:t>
            </w:r>
            <w:r w:rsidRPr="00AA1CB9">
              <w:rPr>
                <w:rFonts w:ascii="Palatino Linotype" w:hAnsi="Palatino Linotype"/>
                <w:lang w:val="es-ES"/>
              </w:rPr>
              <w:tab/>
              <w:t>Pueda poner en riesgo la vida, seguridad o salud de una persona física;</w:t>
            </w:r>
          </w:p>
        </w:tc>
      </w:tr>
      <w:tr w:rsidR="00B53EFD" w:rsidRPr="00AA1CB9" w:rsidTr="00F43056">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t>V. Aquella cuya divulgación obstruya o pueda causar un serio perjuicio a:</w:t>
            </w:r>
          </w:p>
          <w:p w:rsidR="00B53EFD" w:rsidRPr="00AA1CB9" w:rsidRDefault="00B53EFD" w:rsidP="00AA1CB9">
            <w:pPr>
              <w:autoSpaceDE w:val="0"/>
              <w:autoSpaceDN w:val="0"/>
              <w:adjustRightInd w:val="0"/>
              <w:spacing w:line="360" w:lineRule="auto"/>
              <w:jc w:val="both"/>
              <w:rPr>
                <w:rFonts w:ascii="Palatino Linotype" w:hAnsi="Palatino Linotype" w:cs="Arial"/>
                <w:b w:val="0"/>
              </w:rPr>
            </w:pPr>
          </w:p>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t>1. Las actividades de fiscalización, verificación, inspección, comprobación y auditoría sobre el cumplimiento de las Leyes; o</w:t>
            </w:r>
          </w:p>
          <w:p w:rsidR="00B53EFD" w:rsidRPr="00AA1CB9" w:rsidRDefault="00B53EFD" w:rsidP="00AA1CB9">
            <w:pPr>
              <w:autoSpaceDE w:val="0"/>
              <w:autoSpaceDN w:val="0"/>
              <w:adjustRightInd w:val="0"/>
              <w:spacing w:line="360" w:lineRule="auto"/>
              <w:jc w:val="both"/>
              <w:rPr>
                <w:rFonts w:ascii="Palatino Linotype" w:hAnsi="Palatino Linotype" w:cs="Arial"/>
                <w:b w:val="0"/>
              </w:rPr>
            </w:pPr>
          </w:p>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t>2. La recaudación de las contribuciones.</w:t>
            </w:r>
          </w:p>
        </w:tc>
        <w:tc>
          <w:tcPr>
            <w:tcW w:w="4089" w:type="dxa"/>
          </w:tcPr>
          <w:p w:rsidR="00B53EFD" w:rsidRPr="00AA1CB9" w:rsidRDefault="00B53EFD" w:rsidP="00AA1CB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VI.</w:t>
            </w:r>
            <w:r w:rsidRPr="00AA1CB9">
              <w:rPr>
                <w:rFonts w:ascii="Palatino Linotype" w:hAnsi="Palatino Linotype"/>
                <w:lang w:val="es-ES"/>
              </w:rPr>
              <w:tab/>
              <w:t>Obstruya las actividades de verificación, inspección y auditoría relativas al cumplimiento de las leyes o afecte la recaudación de contribuciones;</w:t>
            </w:r>
          </w:p>
          <w:p w:rsidR="00B53EFD" w:rsidRPr="00AA1CB9" w:rsidRDefault="00B53EFD" w:rsidP="00AA1CB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p>
          <w:p w:rsidR="00B53EFD" w:rsidRPr="00AA1CB9" w:rsidRDefault="00B53EFD" w:rsidP="00AA1CB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B53EFD" w:rsidRPr="00AA1CB9" w:rsidTr="00F43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4089" w:type="dxa"/>
          </w:tcPr>
          <w:p w:rsidR="00B53EFD" w:rsidRPr="00AA1CB9" w:rsidRDefault="00B53EFD" w:rsidP="00AA1CB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VII.</w:t>
            </w:r>
            <w:r w:rsidRPr="00AA1CB9">
              <w:rPr>
                <w:rFonts w:ascii="Palatino Linotype" w:hAnsi="Palatino Linotype"/>
                <w:lang w:val="es-ES"/>
              </w:rPr>
              <w:tab/>
              <w:t>Obstruya la prevención o persecución de los delitos;</w:t>
            </w:r>
          </w:p>
          <w:p w:rsidR="00B53EFD" w:rsidRPr="00AA1CB9" w:rsidRDefault="00B53EFD" w:rsidP="00AA1CB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p>
          <w:p w:rsidR="00B53EFD" w:rsidRPr="00AA1CB9" w:rsidRDefault="00B53EFD" w:rsidP="00AA1CB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B53EFD" w:rsidRPr="00AA1CB9" w:rsidTr="00F43056">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t xml:space="preserve">VII. La que contengan las opiniones, recomendaciones o </w:t>
            </w:r>
            <w:r w:rsidRPr="00AA1CB9">
              <w:rPr>
                <w:rFonts w:ascii="Palatino Linotype" w:hAnsi="Palatino Linotype" w:cs="Arial"/>
                <w:b w:val="0"/>
              </w:rPr>
              <w:lastRenderedPageBreak/>
              <w:t>puntos de vista que formen parte del proceso deliberativo de los servidores públicos, hasta en tanto sea adoptada la decisión definitiva, la cual deberá estar documentada;</w:t>
            </w:r>
          </w:p>
        </w:tc>
        <w:tc>
          <w:tcPr>
            <w:tcW w:w="4089" w:type="dxa"/>
          </w:tcPr>
          <w:p w:rsidR="00B53EFD" w:rsidRPr="00AA1CB9" w:rsidRDefault="00B53EFD" w:rsidP="00AA1CB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lastRenderedPageBreak/>
              <w:t>VIII.</w:t>
            </w:r>
            <w:r w:rsidRPr="00AA1CB9">
              <w:rPr>
                <w:rFonts w:ascii="Palatino Linotype" w:hAnsi="Palatino Linotype"/>
                <w:lang w:val="es-ES"/>
              </w:rPr>
              <w:tab/>
              <w:t xml:space="preserve">La que contenga las opiniones, recomendaciones o </w:t>
            </w:r>
            <w:r w:rsidRPr="00AA1CB9">
              <w:rPr>
                <w:rFonts w:ascii="Palatino Linotype" w:hAnsi="Palatino Linotype"/>
                <w:lang w:val="es-ES"/>
              </w:rPr>
              <w:lastRenderedPageBreak/>
              <w:t>puntos de vista que formen parte del proceso deliberativo de los servidores públicos, hasta en tanto no sea adoptada la decisión definitiva, la cual deberá estar documentada;</w:t>
            </w:r>
          </w:p>
        </w:tc>
      </w:tr>
      <w:tr w:rsidR="00B53EFD" w:rsidRPr="00AA1CB9" w:rsidTr="00F43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bCs w:val="0"/>
              </w:rPr>
            </w:pPr>
          </w:p>
        </w:tc>
        <w:tc>
          <w:tcPr>
            <w:tcW w:w="4089" w:type="dxa"/>
          </w:tcPr>
          <w:p w:rsidR="00B53EFD" w:rsidRPr="00AA1CB9" w:rsidRDefault="00B53EFD" w:rsidP="00AA1CB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IX.</w:t>
            </w:r>
            <w:r w:rsidRPr="00AA1CB9">
              <w:rPr>
                <w:rFonts w:ascii="Palatino Linotype" w:hAnsi="Palatino Linotype"/>
                <w:lang w:val="es-ES"/>
              </w:rPr>
              <w:tab/>
              <w:t>Obstruya los procedimientos para fincar responsabilidad a los Servidores Públicos, en tanto no se haya dictado la resolución administrativa;</w:t>
            </w:r>
          </w:p>
        </w:tc>
      </w:tr>
      <w:tr w:rsidR="00B53EFD" w:rsidRPr="00AA1CB9" w:rsidTr="00F43056">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bCs w:val="0"/>
              </w:rPr>
            </w:pPr>
          </w:p>
        </w:tc>
        <w:tc>
          <w:tcPr>
            <w:tcW w:w="4089" w:type="dxa"/>
          </w:tcPr>
          <w:p w:rsidR="00B53EFD" w:rsidRPr="00AA1CB9" w:rsidRDefault="00B53EFD" w:rsidP="00AA1CB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X.</w:t>
            </w:r>
            <w:r w:rsidRPr="00AA1CB9">
              <w:rPr>
                <w:rFonts w:ascii="Palatino Linotype" w:hAnsi="Palatino Linotype"/>
                <w:lang w:val="es-ES"/>
              </w:rPr>
              <w:tab/>
              <w:t>Afecte los derechos del debido proceso;</w:t>
            </w:r>
          </w:p>
        </w:tc>
      </w:tr>
      <w:tr w:rsidR="00B53EFD" w:rsidRPr="00AA1CB9" w:rsidTr="00F43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bCs w:val="0"/>
              </w:rPr>
            </w:pPr>
            <w:r w:rsidRPr="00AA1CB9">
              <w:rPr>
                <w:rFonts w:ascii="Palatino Linotype" w:hAnsi="Palatino Linotype" w:cs="Arial"/>
                <w:b w:val="0"/>
              </w:rPr>
              <w:t>VIII. Vulnere la conducción de los expedientes judiciales o de los procedimientos administrativos seguidos en forma de juicio, en tanto no hayan quedado firmes;</w:t>
            </w:r>
          </w:p>
        </w:tc>
        <w:tc>
          <w:tcPr>
            <w:tcW w:w="4089" w:type="dxa"/>
          </w:tcPr>
          <w:p w:rsidR="00B53EFD" w:rsidRPr="00AA1CB9" w:rsidRDefault="00B53EFD" w:rsidP="00AA1CB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XI.</w:t>
            </w:r>
            <w:r w:rsidRPr="00AA1CB9">
              <w:rPr>
                <w:rFonts w:ascii="Palatino Linotype" w:hAnsi="Palatino Linotype"/>
                <w:lang w:val="es-ES"/>
              </w:rPr>
              <w:tab/>
              <w:t>Vulnere la conducción de los Expedientes judiciales o de los procedimientos administrativos seguidos en forma de juicio, en tanto no hayan causado estado;</w:t>
            </w:r>
          </w:p>
        </w:tc>
      </w:tr>
      <w:tr w:rsidR="00B53EFD" w:rsidRPr="00AA1CB9" w:rsidTr="00F43056">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t xml:space="preserve">IX. Se encuentre contenida dentro de las investigaciones de hechos que la Ley señale como </w:t>
            </w:r>
            <w:r w:rsidRPr="00AA1CB9">
              <w:rPr>
                <w:rFonts w:ascii="Palatino Linotype" w:hAnsi="Palatino Linotype" w:cs="Arial"/>
                <w:b w:val="0"/>
              </w:rPr>
              <w:lastRenderedPageBreak/>
              <w:t>delitos y se tramiten ante el Ministerio Público;</w:t>
            </w:r>
          </w:p>
        </w:tc>
        <w:tc>
          <w:tcPr>
            <w:tcW w:w="4089" w:type="dxa"/>
          </w:tcPr>
          <w:p w:rsidR="00B53EFD" w:rsidRPr="00AA1CB9" w:rsidRDefault="00B53EFD" w:rsidP="00AA1CB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lastRenderedPageBreak/>
              <w:t>XII.</w:t>
            </w:r>
            <w:r w:rsidRPr="00AA1CB9">
              <w:rPr>
                <w:rFonts w:ascii="Palatino Linotype" w:hAnsi="Palatino Linotype"/>
                <w:lang w:val="es-ES"/>
              </w:rPr>
              <w:tab/>
              <w:t xml:space="preserve">Se encuentre contenida dentro de las investigaciones de hechos que la ley señale como delitos </w:t>
            </w:r>
            <w:r w:rsidRPr="00AA1CB9">
              <w:rPr>
                <w:rFonts w:ascii="Palatino Linotype" w:hAnsi="Palatino Linotype"/>
                <w:lang w:val="es-ES"/>
              </w:rPr>
              <w:lastRenderedPageBreak/>
              <w:t>y se tramiten ante el Ministerio Público, y</w:t>
            </w:r>
          </w:p>
        </w:tc>
      </w:tr>
      <w:tr w:rsidR="00B53EFD" w:rsidRPr="00AA1CB9" w:rsidTr="00F430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53EFD" w:rsidRPr="00AA1CB9" w:rsidRDefault="00B53EFD" w:rsidP="00AA1CB9">
            <w:pPr>
              <w:autoSpaceDE w:val="0"/>
              <w:autoSpaceDN w:val="0"/>
              <w:adjustRightInd w:val="0"/>
              <w:spacing w:line="360" w:lineRule="auto"/>
              <w:jc w:val="both"/>
              <w:rPr>
                <w:rFonts w:ascii="Palatino Linotype" w:hAnsi="Palatino Linotype" w:cs="Arial"/>
                <w:b w:val="0"/>
              </w:rPr>
            </w:pPr>
            <w:r w:rsidRPr="00AA1CB9">
              <w:rPr>
                <w:rFonts w:ascii="Palatino Linotype" w:hAnsi="Palatino Linotype" w:cs="Arial"/>
                <w:b w:val="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4089" w:type="dxa"/>
          </w:tcPr>
          <w:p w:rsidR="00B53EFD" w:rsidRPr="00AA1CB9" w:rsidRDefault="00B53EFD" w:rsidP="00AA1CB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p>
        </w:tc>
      </w:tr>
      <w:tr w:rsidR="00B53EFD" w:rsidRPr="00AA1CB9" w:rsidTr="00F43056">
        <w:tc>
          <w:tcPr>
            <w:cnfStyle w:val="001000000000" w:firstRow="0" w:lastRow="0" w:firstColumn="1" w:lastColumn="0" w:oddVBand="0" w:evenVBand="0" w:oddHBand="0" w:evenHBand="0" w:firstRowFirstColumn="0" w:firstRowLastColumn="0" w:lastRowFirstColumn="0" w:lastRowLastColumn="0"/>
            <w:tcW w:w="3726" w:type="dxa"/>
          </w:tcPr>
          <w:p w:rsidR="00B53EFD" w:rsidRPr="00AA1CB9" w:rsidRDefault="00B53EFD" w:rsidP="00AA1CB9">
            <w:pPr>
              <w:spacing w:line="360" w:lineRule="auto"/>
              <w:jc w:val="both"/>
              <w:rPr>
                <w:rFonts w:ascii="Palatino Linotype" w:hAnsi="Palatino Linotype"/>
                <w:b w:val="0"/>
              </w:rPr>
            </w:pPr>
            <w:r w:rsidRPr="00AA1CB9">
              <w:rPr>
                <w:rFonts w:ascii="Palatino Linotype" w:hAnsi="Palatino Linotype" w:cs="Arial"/>
                <w:b w:val="0"/>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rsidR="00B53EFD" w:rsidRPr="00AA1CB9" w:rsidRDefault="00B53EFD" w:rsidP="00AA1CB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ES"/>
              </w:rPr>
            </w:pPr>
            <w:r w:rsidRPr="00AA1CB9">
              <w:rPr>
                <w:rFonts w:ascii="Palatino Linotype" w:hAnsi="Palatino Linotype"/>
                <w:lang w:val="es-ES"/>
              </w:rPr>
              <w:t>XIII.</w:t>
            </w:r>
            <w:r w:rsidRPr="00AA1CB9">
              <w:rPr>
                <w:rFonts w:ascii="Palatino Linotype" w:hAnsi="Palatino Linotype"/>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rsidR="00B53EFD" w:rsidRPr="00AA1CB9" w:rsidRDefault="00B53EFD" w:rsidP="00AA1CB9">
      <w:pPr>
        <w:spacing w:line="360" w:lineRule="auto"/>
        <w:jc w:val="both"/>
        <w:rPr>
          <w:rFonts w:ascii="Palatino Linotype" w:hAnsi="Palatino Linotype" w:cs="Arial"/>
          <w:color w:val="000000" w:themeColor="text1"/>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cs="Arial"/>
          <w:color w:val="000000" w:themeColor="text1"/>
        </w:rPr>
      </w:pPr>
      <w:r w:rsidRPr="00AA1CB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53EFD" w:rsidRPr="00AA1CB9" w:rsidRDefault="00B53EFD" w:rsidP="00AA1CB9">
      <w:pPr>
        <w:pStyle w:val="Prrafodelista"/>
        <w:spacing w:line="360" w:lineRule="auto"/>
        <w:ind w:left="0"/>
        <w:jc w:val="both"/>
        <w:rPr>
          <w:rFonts w:ascii="Palatino Linotype" w:hAnsi="Palatino Linotype" w:cs="Arial"/>
          <w:color w:val="000000" w:themeColor="text1"/>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cs="Arial"/>
          <w:color w:val="000000" w:themeColor="text1"/>
        </w:rPr>
      </w:pPr>
      <w:r w:rsidRPr="00AA1CB9">
        <w:rPr>
          <w:rFonts w:ascii="Palatino Linotype" w:hAnsi="Palatino Linotype" w:cs="Arial"/>
          <w:color w:val="000000" w:themeColor="text1"/>
        </w:rPr>
        <w:t>Como consecuencia de lo anterior, el sujeto obligado debe identificar claramente el tipo de información y hacer un juicio de subsunción o encaje</w:t>
      </w:r>
      <w:r w:rsidRPr="00AA1CB9">
        <w:rPr>
          <w:rStyle w:val="Refdenotaalpie"/>
          <w:rFonts w:ascii="Palatino Linotype" w:hAnsi="Palatino Linotype" w:cs="Arial"/>
          <w:color w:val="000000" w:themeColor="text1"/>
        </w:rPr>
        <w:footnoteReference w:id="11"/>
      </w:r>
      <w:r w:rsidRPr="00AA1CB9">
        <w:rPr>
          <w:rFonts w:ascii="Palatino Linotype" w:hAnsi="Palatino Linotype" w:cs="Arial"/>
          <w:color w:val="000000" w:themeColor="text1"/>
        </w:rPr>
        <w:t xml:space="preserve"> para </w:t>
      </w:r>
      <w:r w:rsidRPr="00AA1CB9">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rsidR="00B53EFD" w:rsidRPr="00AA1CB9" w:rsidRDefault="00B53EFD" w:rsidP="00AA1CB9">
      <w:pPr>
        <w:pStyle w:val="Prrafodelista"/>
        <w:spacing w:line="360" w:lineRule="auto"/>
        <w:ind w:left="0"/>
        <w:jc w:val="both"/>
        <w:rPr>
          <w:rFonts w:ascii="Palatino Linotype" w:hAnsi="Palatino Linotype" w:cs="Arial"/>
          <w:color w:val="000000" w:themeColor="text1"/>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cs="Arial"/>
          <w:color w:val="000000" w:themeColor="text1"/>
        </w:rPr>
      </w:pPr>
      <w:r w:rsidRPr="00AA1CB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B53EFD" w:rsidRPr="00AA1CB9" w:rsidRDefault="00B53EFD" w:rsidP="00AA1CB9">
      <w:pPr>
        <w:pStyle w:val="Prrafodelista"/>
        <w:spacing w:line="360" w:lineRule="auto"/>
        <w:ind w:left="0"/>
        <w:jc w:val="both"/>
        <w:rPr>
          <w:rFonts w:ascii="Palatino Linotype" w:hAnsi="Palatino Linotype"/>
          <w:b/>
        </w:rPr>
      </w:pPr>
    </w:p>
    <w:p w:rsidR="00B53EFD" w:rsidRPr="00AA1CB9" w:rsidRDefault="00B53EFD" w:rsidP="00AA1CB9">
      <w:pPr>
        <w:pStyle w:val="Ttulo3"/>
        <w:numPr>
          <w:ilvl w:val="0"/>
          <w:numId w:val="48"/>
        </w:numPr>
        <w:spacing w:line="360" w:lineRule="auto"/>
        <w:rPr>
          <w:rFonts w:ascii="Palatino Linotype" w:hAnsi="Palatino Linotype"/>
          <w:b/>
        </w:rPr>
      </w:pPr>
      <w:bookmarkStart w:id="19" w:name="_Toc3295491"/>
      <w:r w:rsidRPr="00AA1CB9">
        <w:rPr>
          <w:rFonts w:ascii="Palatino Linotype" w:hAnsi="Palatino Linotype"/>
          <w:b/>
          <w:color w:val="auto"/>
        </w:rPr>
        <w:t>Excepciones a los supuestos de clasificación de la información como reservada</w:t>
      </w:r>
      <w:bookmarkEnd w:id="19"/>
    </w:p>
    <w:p w:rsidR="00B53EFD" w:rsidRPr="00AA1CB9" w:rsidRDefault="00B53EFD" w:rsidP="00AA1CB9">
      <w:pPr>
        <w:pStyle w:val="NormalWeb"/>
        <w:numPr>
          <w:ilvl w:val="0"/>
          <w:numId w:val="1"/>
        </w:numPr>
        <w:spacing w:line="360" w:lineRule="auto"/>
        <w:ind w:left="0" w:firstLine="0"/>
        <w:jc w:val="both"/>
        <w:rPr>
          <w:rFonts w:ascii="Palatino Linotype" w:hAnsi="Palatino Linotype"/>
        </w:rPr>
      </w:pPr>
      <w:r w:rsidRPr="00AA1CB9">
        <w:rPr>
          <w:rFonts w:ascii="Palatino Linotype" w:hAnsi="Palatino Linotype"/>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AA1CB9">
        <w:rPr>
          <w:rFonts w:ascii="Palatino Linotype" w:hAnsi="Palatino Linotype"/>
        </w:rPr>
        <w:t>lessa</w:t>
      </w:r>
      <w:proofErr w:type="spellEnd"/>
      <w:r w:rsidRPr="00AA1CB9">
        <w:rPr>
          <w:rFonts w:ascii="Palatino Linotype" w:hAnsi="Palatino Linotype"/>
        </w:rPr>
        <w:t xml:space="preserve"> humanidad y los </w:t>
      </w:r>
      <w:r w:rsidRPr="00AA1CB9">
        <w:rPr>
          <w:rFonts w:ascii="Palatino Linotype" w:hAnsi="Palatino Linotype"/>
        </w:rPr>
        <w:lastRenderedPageBreak/>
        <w:t>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rsidR="00B53EFD" w:rsidRPr="00AA1CB9" w:rsidRDefault="00B53EFD" w:rsidP="00AA1CB9">
      <w:pPr>
        <w:pStyle w:val="Ttulo3"/>
        <w:numPr>
          <w:ilvl w:val="0"/>
          <w:numId w:val="48"/>
        </w:numPr>
        <w:spacing w:line="360" w:lineRule="auto"/>
        <w:rPr>
          <w:rFonts w:ascii="Palatino Linotype" w:hAnsi="Palatino Linotype"/>
          <w:b/>
          <w:color w:val="auto"/>
        </w:rPr>
      </w:pPr>
      <w:bookmarkStart w:id="20" w:name="_Toc485891457"/>
      <w:bookmarkStart w:id="21" w:name="_Toc273079"/>
      <w:bookmarkStart w:id="22" w:name="_Toc3295492"/>
      <w:r w:rsidRPr="00AA1CB9">
        <w:rPr>
          <w:rFonts w:ascii="Palatino Linotype" w:hAnsi="Palatino Linotype"/>
          <w:b/>
          <w:color w:val="auto"/>
        </w:rPr>
        <w:t>Condiciones especiales de la clasificación de la información como reservada</w:t>
      </w:r>
      <w:bookmarkEnd w:id="20"/>
      <w:bookmarkEnd w:id="21"/>
      <w:bookmarkEnd w:id="22"/>
      <w:r w:rsidRPr="00AA1CB9">
        <w:rPr>
          <w:rFonts w:ascii="Palatino Linotype" w:hAnsi="Palatino Linotype"/>
          <w:b/>
          <w:color w:val="auto"/>
        </w:rPr>
        <w:t xml:space="preserve"> </w:t>
      </w:r>
    </w:p>
    <w:p w:rsidR="00B53EFD" w:rsidRPr="00AA1CB9" w:rsidRDefault="00B53EFD" w:rsidP="00AA1CB9">
      <w:pPr>
        <w:pStyle w:val="Prrafodelista"/>
        <w:spacing w:line="360" w:lineRule="auto"/>
        <w:ind w:left="0"/>
        <w:jc w:val="both"/>
        <w:rPr>
          <w:rFonts w:ascii="Palatino Linotype" w:hAnsi="Palatino Linotype" w:cs="Arial"/>
          <w:b/>
          <w:color w:val="000000" w:themeColor="text1"/>
        </w:rPr>
      </w:pPr>
    </w:p>
    <w:p w:rsidR="00B53EFD" w:rsidRPr="00AA1CB9" w:rsidRDefault="00B53EFD" w:rsidP="00AA1CB9">
      <w:pPr>
        <w:pStyle w:val="Prrafodelista"/>
        <w:numPr>
          <w:ilvl w:val="0"/>
          <w:numId w:val="46"/>
        </w:numPr>
        <w:spacing w:line="360" w:lineRule="auto"/>
        <w:rPr>
          <w:rFonts w:ascii="Palatino Linotype" w:hAnsi="Palatino Linotype"/>
          <w:b/>
        </w:rPr>
      </w:pPr>
      <w:r w:rsidRPr="00AA1CB9">
        <w:rPr>
          <w:rFonts w:ascii="Palatino Linotype" w:hAnsi="Palatino Linotype"/>
          <w:b/>
        </w:rPr>
        <w:t>La fundamentación específica</w:t>
      </w:r>
    </w:p>
    <w:p w:rsidR="00B53EFD" w:rsidRPr="00AA1CB9" w:rsidRDefault="00B53EFD" w:rsidP="00AA1CB9">
      <w:pPr>
        <w:pStyle w:val="Prrafodelista"/>
        <w:spacing w:line="360" w:lineRule="auto"/>
        <w:ind w:left="0"/>
        <w:jc w:val="both"/>
        <w:rPr>
          <w:rFonts w:ascii="Palatino Linotype" w:hAnsi="Palatino Linotype" w:cs="Arial"/>
          <w:color w:val="000000" w:themeColor="text1"/>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cs="Arial"/>
          <w:color w:val="000000" w:themeColor="text1"/>
        </w:rPr>
      </w:pPr>
      <w:r w:rsidRPr="00AA1CB9">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w:t>
      </w:r>
      <w:r w:rsidRPr="00AA1CB9">
        <w:rPr>
          <w:rFonts w:ascii="Palatino Linotype" w:hAnsi="Palatino Linotype" w:cs="Arial"/>
          <w:color w:val="000000" w:themeColor="text1"/>
        </w:rPr>
        <w:lastRenderedPageBreak/>
        <w:t>mismo que repetir el supuesto de hecho y la hipótesis normativa, sino que se debe generar un juicio demostrativo, no uno autorreferencial en el que primero se dice algo, después se dice lo mismo y al final exactamente lo mismo, cambiando sólo el orden de las palabras.</w:t>
      </w:r>
    </w:p>
    <w:p w:rsidR="00CA1E43" w:rsidRPr="00AA1CB9" w:rsidRDefault="00CA1E43" w:rsidP="00AA1CB9">
      <w:pPr>
        <w:pStyle w:val="Prrafodelista"/>
        <w:spacing w:after="160" w:line="360" w:lineRule="auto"/>
        <w:ind w:left="0"/>
        <w:jc w:val="both"/>
        <w:rPr>
          <w:rFonts w:ascii="Palatino Linotype" w:hAnsi="Palatino Linotype" w:cs="Arial"/>
          <w:color w:val="000000" w:themeColor="text1"/>
        </w:rPr>
      </w:pPr>
    </w:p>
    <w:p w:rsidR="00B53EFD" w:rsidRPr="00AA1CB9" w:rsidRDefault="00B53EFD" w:rsidP="00AA1CB9">
      <w:pPr>
        <w:pStyle w:val="Prrafodelista"/>
        <w:numPr>
          <w:ilvl w:val="0"/>
          <w:numId w:val="46"/>
        </w:numPr>
        <w:spacing w:line="360" w:lineRule="auto"/>
        <w:rPr>
          <w:rFonts w:ascii="Palatino Linotype" w:hAnsi="Palatino Linotype"/>
          <w:b/>
        </w:rPr>
      </w:pPr>
      <w:r w:rsidRPr="00AA1CB9">
        <w:rPr>
          <w:rFonts w:ascii="Palatino Linotype" w:hAnsi="Palatino Linotype"/>
          <w:b/>
        </w:rPr>
        <w:t>La prueba de daño</w:t>
      </w:r>
    </w:p>
    <w:p w:rsidR="00B53EFD" w:rsidRPr="00AA1CB9" w:rsidRDefault="00B53EFD" w:rsidP="00AA1CB9">
      <w:pPr>
        <w:pStyle w:val="Prrafodelista"/>
        <w:spacing w:line="360" w:lineRule="auto"/>
        <w:ind w:left="0"/>
        <w:jc w:val="both"/>
        <w:rPr>
          <w:rFonts w:ascii="Palatino Linotype" w:hAnsi="Palatino Linotype"/>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B53EFD" w:rsidRPr="00AA1CB9" w:rsidRDefault="00B53EFD" w:rsidP="00AA1CB9">
      <w:pPr>
        <w:pStyle w:val="Prrafodelista"/>
        <w:spacing w:line="360" w:lineRule="auto"/>
        <w:ind w:left="0"/>
        <w:jc w:val="both"/>
        <w:rPr>
          <w:rFonts w:ascii="Palatino Linotype" w:hAnsi="Palatino Linotype"/>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Para aplicar la prueba de daño, se deberán de precisar la razones objetivas por las que la apertura genera una afectación, acreditando que:</w:t>
      </w:r>
    </w:p>
    <w:p w:rsidR="00B53EFD" w:rsidRPr="00AA1CB9" w:rsidRDefault="00B53EFD" w:rsidP="00AA1CB9">
      <w:pPr>
        <w:widowControl w:val="0"/>
        <w:autoSpaceDE w:val="0"/>
        <w:autoSpaceDN w:val="0"/>
        <w:adjustRightInd w:val="0"/>
        <w:spacing w:after="240" w:line="360" w:lineRule="auto"/>
        <w:ind w:left="284" w:right="333"/>
        <w:jc w:val="both"/>
        <w:rPr>
          <w:rFonts w:ascii="Palatino Linotype" w:hAnsi="Palatino Linotype" w:cs="Times"/>
          <w:color w:val="000000"/>
        </w:rPr>
      </w:pPr>
      <w:r w:rsidRPr="00AA1CB9">
        <w:rPr>
          <w:rFonts w:ascii="Palatino Linotype" w:hAnsi="Palatino Linotype" w:cs="Bookman Old Style"/>
          <w:bCs/>
          <w:color w:val="000000"/>
        </w:rPr>
        <w:t xml:space="preserve">I. </w:t>
      </w:r>
      <w:r w:rsidRPr="00AA1CB9">
        <w:rPr>
          <w:rFonts w:ascii="Palatino Linotype" w:hAnsi="Palatino Linotype" w:cs="Bookman Old Style"/>
          <w:color w:val="000000"/>
        </w:rPr>
        <w:t xml:space="preserve">La divulgación de la información representa un riesgo real, demostrable e identificable del perjuicio significativo al interés público o a la seguridad </w:t>
      </w:r>
      <w:r w:rsidRPr="00AA1CB9">
        <w:rPr>
          <w:rFonts w:ascii="Palatino Linotype" w:hAnsi="Palatino Linotype" w:cs="Bookman Old Style"/>
          <w:color w:val="000000"/>
        </w:rPr>
        <w:lastRenderedPageBreak/>
        <w:t xml:space="preserve">pública; </w:t>
      </w:r>
    </w:p>
    <w:p w:rsidR="00B53EFD" w:rsidRPr="00AA1CB9" w:rsidRDefault="00B53EFD" w:rsidP="00AA1CB9">
      <w:pPr>
        <w:widowControl w:val="0"/>
        <w:autoSpaceDE w:val="0"/>
        <w:autoSpaceDN w:val="0"/>
        <w:adjustRightInd w:val="0"/>
        <w:spacing w:after="240" w:line="360" w:lineRule="auto"/>
        <w:ind w:left="284" w:right="333"/>
        <w:jc w:val="both"/>
        <w:rPr>
          <w:rFonts w:ascii="Palatino Linotype" w:hAnsi="Palatino Linotype" w:cs="Times"/>
          <w:color w:val="000000"/>
        </w:rPr>
      </w:pPr>
      <w:r w:rsidRPr="00AA1CB9">
        <w:rPr>
          <w:rFonts w:ascii="Palatino Linotype" w:hAnsi="Palatino Linotype" w:cs="Bookman Old Style"/>
          <w:bCs/>
          <w:color w:val="000000"/>
        </w:rPr>
        <w:t xml:space="preserve">II. </w:t>
      </w:r>
      <w:r w:rsidRPr="00AA1CB9">
        <w:rPr>
          <w:rFonts w:ascii="Palatino Linotype" w:hAnsi="Palatino Linotype" w:cs="Bookman Old Style"/>
          <w:color w:val="000000"/>
        </w:rPr>
        <w:t xml:space="preserve">El riesgo de perjuicio que supondría la divulgación supera el interés público general de que se difunda; y </w:t>
      </w:r>
    </w:p>
    <w:p w:rsidR="00B53EFD" w:rsidRPr="00AA1CB9" w:rsidRDefault="00B53EFD" w:rsidP="00AA1CB9">
      <w:pPr>
        <w:widowControl w:val="0"/>
        <w:autoSpaceDE w:val="0"/>
        <w:autoSpaceDN w:val="0"/>
        <w:adjustRightInd w:val="0"/>
        <w:spacing w:after="240" w:line="360" w:lineRule="auto"/>
        <w:ind w:left="284" w:right="333"/>
        <w:jc w:val="both"/>
        <w:rPr>
          <w:rFonts w:ascii="Palatino Linotype" w:hAnsi="Palatino Linotype" w:cs="Times"/>
          <w:color w:val="000000"/>
        </w:rPr>
      </w:pPr>
      <w:r w:rsidRPr="00AA1CB9">
        <w:rPr>
          <w:rFonts w:ascii="Palatino Linotype" w:hAnsi="Palatino Linotype" w:cs="Bookman Old Style"/>
          <w:bCs/>
          <w:color w:val="000000"/>
        </w:rPr>
        <w:t xml:space="preserve">III. </w:t>
      </w:r>
      <w:r w:rsidRPr="00AA1CB9">
        <w:rPr>
          <w:rFonts w:ascii="Palatino Linotype" w:hAnsi="Palatino Linotype" w:cs="Bookman Old Style"/>
          <w:color w:val="000000"/>
        </w:rPr>
        <w:t xml:space="preserve">La limitación se adecua al principio de proporcionalidad y representa el medio menos restrictivo disponible para evitar el perjuicio. </w:t>
      </w:r>
    </w:p>
    <w:p w:rsidR="00B53EFD" w:rsidRPr="00AA1CB9" w:rsidRDefault="00B53EFD" w:rsidP="00AA1CB9">
      <w:pPr>
        <w:pStyle w:val="j"/>
        <w:numPr>
          <w:ilvl w:val="0"/>
          <w:numId w:val="1"/>
        </w:numPr>
        <w:shd w:val="clear" w:color="auto" w:fill="FFFFFF"/>
        <w:suppressAutoHyphens/>
        <w:spacing w:line="360" w:lineRule="auto"/>
        <w:ind w:left="0" w:firstLine="0"/>
        <w:jc w:val="both"/>
        <w:textAlignment w:val="baseline"/>
        <w:rPr>
          <w:rFonts w:ascii="Palatino Linotype" w:hAnsi="Palatino Linotype"/>
        </w:rPr>
      </w:pPr>
      <w:r w:rsidRPr="00AA1CB9">
        <w:rPr>
          <w:rFonts w:ascii="Palatino Linotype" w:hAnsi="Palatino Linotype"/>
        </w:rPr>
        <w:t>Sobre el primer supuesto consideremos que según el diccionario del español jurídico, por riesgo podemos entender “la contingencia o proximidad de un daño”,</w:t>
      </w:r>
      <w:r w:rsidRPr="00AA1CB9">
        <w:rPr>
          <w:rStyle w:val="Refdenotaalpie"/>
          <w:rFonts w:ascii="Palatino Linotype" w:hAnsi="Palatino Linotype"/>
        </w:rPr>
        <w:footnoteReference w:id="12"/>
      </w:r>
      <w:r w:rsidRPr="00AA1CB9">
        <w:rPr>
          <w:rFonts w:ascii="Palatino Linotype" w:hAnsi="Palatino Linotype"/>
        </w:rPr>
        <w:t xml:space="preserve"> mientras que el daño es considerado como un “perjuicio o lesión”</w:t>
      </w:r>
      <w:r w:rsidRPr="00AA1CB9">
        <w:rPr>
          <w:rStyle w:val="Refdenotaalpie"/>
          <w:rFonts w:ascii="Palatino Linotype" w:hAnsi="Palatino Linotype"/>
        </w:rPr>
        <w:footnoteReference w:id="13"/>
      </w:r>
      <w:r w:rsidRPr="00AA1CB9">
        <w:rPr>
          <w:rFonts w:ascii="Palatino Linotype" w:hAnsi="Palatino Linotype"/>
        </w:rPr>
        <w:t>, mientras que según el Diccionario de la Lengua Española, lo real es</w:t>
      </w:r>
      <w:r w:rsidRPr="00AA1CB9">
        <w:rPr>
          <w:rFonts w:ascii="Palatino Linotype" w:eastAsia="Arial Unicode MS" w:hAnsi="Palatino Linotype" w:cs="Arial Unicode MS"/>
          <w:color w:val="000000"/>
          <w:spacing w:val="4"/>
          <w:shd w:val="clear" w:color="auto" w:fill="FFFFFF"/>
        </w:rPr>
        <w:t> lo “</w:t>
      </w:r>
      <w:r w:rsidRPr="00AA1CB9">
        <w:rPr>
          <w:rFonts w:ascii="Palatino Linotype" w:eastAsia="Times New Roman" w:hAnsi="Palatino Linotype"/>
        </w:rPr>
        <w:t>(q</w:t>
      </w:r>
      <w:proofErr w:type="gramStart"/>
      <w:r w:rsidRPr="00AA1CB9">
        <w:rPr>
          <w:rFonts w:ascii="Palatino Linotype" w:eastAsia="Times New Roman" w:hAnsi="Palatino Linotype"/>
        </w:rPr>
        <w:t>)</w:t>
      </w:r>
      <w:proofErr w:type="spellStart"/>
      <w:r w:rsidRPr="00AA1CB9">
        <w:rPr>
          <w:rFonts w:ascii="Palatino Linotype" w:eastAsia="Times New Roman" w:hAnsi="Palatino Linotype"/>
        </w:rPr>
        <w:t>ue</w:t>
      </w:r>
      <w:proofErr w:type="spellEnd"/>
      <w:proofErr w:type="gramEnd"/>
      <w:r w:rsidRPr="00AA1CB9">
        <w:rPr>
          <w:rFonts w:ascii="Palatino Linotype" w:eastAsia="Arial Unicode MS" w:hAnsi="Palatino Linotype" w:cs="Arial Unicode MS"/>
          <w:color w:val="000000"/>
          <w:spacing w:val="4"/>
          <w:shd w:val="clear" w:color="auto" w:fill="FFFFFF"/>
        </w:rPr>
        <w:t> </w:t>
      </w:r>
      <w:r w:rsidRPr="00AA1CB9">
        <w:rPr>
          <w:rFonts w:ascii="Palatino Linotype" w:eastAsia="Times New Roman" w:hAnsi="Palatino Linotype"/>
        </w:rPr>
        <w:t>tiene</w:t>
      </w:r>
      <w:r w:rsidRPr="00AA1CB9">
        <w:rPr>
          <w:rFonts w:ascii="Palatino Linotype" w:eastAsia="Arial Unicode MS" w:hAnsi="Palatino Linotype" w:cs="Arial Unicode MS"/>
          <w:color w:val="000000"/>
          <w:spacing w:val="4"/>
          <w:shd w:val="clear" w:color="auto" w:fill="FFFFFF"/>
        </w:rPr>
        <w:t> </w:t>
      </w:r>
      <w:r w:rsidRPr="00AA1CB9">
        <w:rPr>
          <w:rFonts w:ascii="Palatino Linotype" w:eastAsia="Times New Roman" w:hAnsi="Palatino Linotype"/>
        </w:rPr>
        <w:t>existencia</w:t>
      </w:r>
      <w:r w:rsidRPr="00AA1CB9">
        <w:rPr>
          <w:rFonts w:ascii="Palatino Linotype" w:eastAsia="Arial Unicode MS" w:hAnsi="Palatino Linotype" w:cs="Arial Unicode MS"/>
          <w:color w:val="000000"/>
          <w:spacing w:val="4"/>
          <w:shd w:val="clear" w:color="auto" w:fill="FFFFFF"/>
        </w:rPr>
        <w:t> </w:t>
      </w:r>
      <w:r w:rsidRPr="00AA1CB9">
        <w:rPr>
          <w:rFonts w:ascii="Palatino Linotype" w:eastAsia="Times New Roman" w:hAnsi="Palatino Linotype"/>
        </w:rPr>
        <w:t>objetiva”,</w:t>
      </w:r>
      <w:r w:rsidRPr="00AA1CB9">
        <w:rPr>
          <w:rStyle w:val="Refdenotaalpie"/>
          <w:rFonts w:ascii="Palatino Linotype" w:eastAsia="Times New Roman" w:hAnsi="Palatino Linotype"/>
        </w:rPr>
        <w:footnoteReference w:id="14"/>
      </w:r>
      <w:r w:rsidRPr="00AA1CB9">
        <w:rPr>
          <w:rFonts w:ascii="Palatino Linotype" w:eastAsia="Times New Roman" w:hAnsi="Palatino Linotype"/>
        </w:rPr>
        <w:t xml:space="preserve"> </w:t>
      </w:r>
      <w:r w:rsidRPr="00AA1CB9">
        <w:rPr>
          <w:rFonts w:ascii="Palatino Linotype" w:eastAsia="Arial Unicode MS" w:hAnsi="Palatino Linotype" w:cs="Arial Unicode MS"/>
          <w:color w:val="000000"/>
          <w:spacing w:val="4"/>
          <w:shd w:val="clear" w:color="auto" w:fill="FFFFFF"/>
        </w:rPr>
        <w:t>mientras que lo demostrables es, según la misma fuente, aquello que se puede demostrar,</w:t>
      </w:r>
      <w:r w:rsidRPr="00AA1CB9">
        <w:rPr>
          <w:rStyle w:val="Refdenotaalpie"/>
          <w:rFonts w:ascii="Palatino Linotype" w:eastAsia="Arial Unicode MS" w:hAnsi="Palatino Linotype" w:cs="Arial Unicode MS"/>
          <w:color w:val="000000"/>
          <w:spacing w:val="4"/>
          <w:shd w:val="clear" w:color="auto" w:fill="FFFFFF"/>
        </w:rPr>
        <w:footnoteReference w:id="15"/>
      </w:r>
      <w:r w:rsidRPr="00AA1CB9">
        <w:rPr>
          <w:rFonts w:ascii="Palatino Linotype" w:eastAsia="Arial Unicode MS" w:hAnsi="Palatino Linotype" w:cs="Arial Unicode MS"/>
          <w:color w:val="000000"/>
          <w:spacing w:val="4"/>
          <w:shd w:val="clear" w:color="auto" w:fill="FFFFFF"/>
        </w:rPr>
        <w:t xml:space="preserve"> es decir, </w:t>
      </w:r>
      <w:r w:rsidRPr="00AA1CB9">
        <w:rPr>
          <w:rFonts w:ascii="Palatino Linotype" w:hAnsi="Palatino Linotype" w:cstheme="minorBidi"/>
          <w:lang w:val="es-MX" w:eastAsia="en-US"/>
        </w:rPr>
        <w:t>“(m)anifestar, declarar. Probar, sirviéndose de cualquier género de demostración, </w:t>
      </w:r>
      <w:hyperlink r:id="rId8" w:anchor="6nAyKjE" w:history="1">
        <w:r w:rsidRPr="00AA1CB9">
          <w:rPr>
            <w:rFonts w:ascii="Palatino Linotype" w:hAnsi="Palatino Linotype" w:cstheme="minorBidi"/>
            <w:lang w:val="es-MX" w:eastAsia="en-US"/>
          </w:rPr>
          <w:t>enseñar</w:t>
        </w:r>
      </w:hyperlink>
      <w:r w:rsidRPr="00AA1CB9">
        <w:rPr>
          <w:rFonts w:ascii="Palatino Linotype" w:hAnsi="Palatino Linotype" w:cstheme="minorBidi"/>
          <w:lang w:val="es-MX" w:eastAsia="en-US"/>
        </w:rPr>
        <w:t> mostrar o exponer algo)”.</w:t>
      </w:r>
      <w:r w:rsidRPr="00AA1CB9">
        <w:rPr>
          <w:rStyle w:val="Refdenotaalpie"/>
          <w:rFonts w:ascii="Palatino Linotype" w:hAnsi="Palatino Linotype" w:cstheme="minorBidi"/>
          <w:lang w:val="es-MX" w:eastAsia="en-US"/>
        </w:rPr>
        <w:footnoteReference w:id="16"/>
      </w:r>
      <w:r w:rsidRPr="00AA1CB9">
        <w:rPr>
          <w:rFonts w:ascii="Palatino Linotype" w:hAnsi="Palatino Linotype" w:cstheme="minorBidi"/>
          <w:lang w:val="es-MX" w:eastAsia="en-US"/>
        </w:rPr>
        <w:t xml:space="preserve"> Mientras que lo identificable es lo que puede ser identificado,</w:t>
      </w:r>
      <w:r w:rsidRPr="00AA1CB9">
        <w:rPr>
          <w:rStyle w:val="Refdenotaalpie"/>
          <w:rFonts w:ascii="Palatino Linotype" w:hAnsi="Palatino Linotype" w:cstheme="minorBidi"/>
          <w:lang w:val="es-MX" w:eastAsia="en-US"/>
        </w:rPr>
        <w:footnoteReference w:id="17"/>
      </w:r>
      <w:r w:rsidRPr="00AA1CB9">
        <w:rPr>
          <w:rFonts w:ascii="Palatino Linotype" w:hAnsi="Palatino Linotype" w:cstheme="minorBidi"/>
          <w:lang w:val="es-MX" w:eastAsia="en-US"/>
        </w:rPr>
        <w:t xml:space="preserve"> esto es,</w:t>
      </w:r>
      <w:r w:rsidRPr="00AA1CB9">
        <w:rPr>
          <w:rFonts w:ascii="Palatino Linotype" w:hAnsi="Palatino Linotype" w:cstheme="minorBidi"/>
        </w:rPr>
        <w:t>  “(d</w:t>
      </w:r>
      <w:proofErr w:type="gramStart"/>
      <w:r w:rsidRPr="00AA1CB9">
        <w:rPr>
          <w:rFonts w:ascii="Palatino Linotype" w:hAnsi="Palatino Linotype" w:cstheme="minorBidi"/>
        </w:rPr>
        <w:t>)</w:t>
      </w:r>
      <w:proofErr w:type="spellStart"/>
      <w:r w:rsidRPr="00AA1CB9">
        <w:rPr>
          <w:rFonts w:ascii="Palatino Linotype" w:hAnsi="Palatino Linotype" w:cstheme="minorBidi"/>
        </w:rPr>
        <w:t>ar</w:t>
      </w:r>
      <w:proofErr w:type="spellEnd"/>
      <w:proofErr w:type="gramEnd"/>
      <w:r w:rsidRPr="00AA1CB9">
        <w:rPr>
          <w:rFonts w:ascii="Palatino Linotype" w:hAnsi="Palatino Linotype" w:cstheme="minorBidi"/>
        </w:rPr>
        <w:t> los datos necesarios para ser reconocido”.</w:t>
      </w:r>
      <w:r w:rsidRPr="00AA1CB9">
        <w:rPr>
          <w:rStyle w:val="Refdenotaalpie"/>
          <w:rFonts w:ascii="Palatino Linotype" w:hAnsi="Palatino Linotype" w:cstheme="minorBidi"/>
        </w:rPr>
        <w:footnoteReference w:id="18"/>
      </w:r>
    </w:p>
    <w:p w:rsidR="00B53EFD" w:rsidRPr="00AA1CB9" w:rsidRDefault="00B53EFD" w:rsidP="00AA1CB9">
      <w:pPr>
        <w:pStyle w:val="Prrafodelista"/>
        <w:spacing w:line="360" w:lineRule="auto"/>
        <w:ind w:left="0"/>
        <w:jc w:val="both"/>
        <w:rPr>
          <w:rFonts w:ascii="Palatino Linotype" w:hAnsi="Palatino Linotype"/>
        </w:rPr>
      </w:pPr>
    </w:p>
    <w:p w:rsidR="00B53EFD"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AA1CB9" w:rsidRPr="00AA1CB9" w:rsidRDefault="00AA1CB9" w:rsidP="00AA1CB9">
      <w:pPr>
        <w:pStyle w:val="Prrafodelista"/>
        <w:spacing w:after="160" w:line="360" w:lineRule="auto"/>
        <w:ind w:left="0"/>
        <w:jc w:val="both"/>
        <w:rPr>
          <w:rFonts w:ascii="Palatino Linotype" w:hAnsi="Palatino Linotype"/>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 xml:space="preserve">Identificado ese riesgo, se debe demostrar que el mismo supera el interés público general porque se difunda dicha información. </w:t>
      </w:r>
    </w:p>
    <w:p w:rsidR="00B53EFD" w:rsidRPr="00AA1CB9" w:rsidRDefault="00B53EFD" w:rsidP="00AA1CB9">
      <w:pPr>
        <w:pStyle w:val="Prrafodelista"/>
        <w:spacing w:line="360" w:lineRule="auto"/>
        <w:ind w:left="0"/>
        <w:jc w:val="both"/>
        <w:rPr>
          <w:rFonts w:ascii="Palatino Linotype" w:hAnsi="Palatino Linotype"/>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Y, por último,  que la limitación es acorde con el principio de proporcionalidad, para ello, se sugiere emplear los tres juicios propuestos por la Corte Constitucional Colombiana</w:t>
      </w:r>
      <w:r w:rsidRPr="00AA1CB9">
        <w:rPr>
          <w:rStyle w:val="Refdenotaalpie"/>
          <w:rFonts w:ascii="Palatino Linotype" w:hAnsi="Palatino Linotype"/>
        </w:rPr>
        <w:footnoteReference w:id="19"/>
      </w:r>
      <w:r w:rsidRPr="00AA1CB9">
        <w:rPr>
          <w:rFonts w:ascii="Palatino Linotype" w:hAnsi="Palatino Linotype"/>
        </w:rPr>
        <w:t xml:space="preserve">, siguiendo el principio de ponderación </w:t>
      </w:r>
      <w:r w:rsidRPr="00AA1CB9">
        <w:rPr>
          <w:rFonts w:ascii="Palatino Linotype" w:hAnsi="Palatino Linotype"/>
        </w:rPr>
        <w:lastRenderedPageBreak/>
        <w:t>propuesto por el Tribunal Constitucional Alemán,</w:t>
      </w:r>
      <w:r w:rsidRPr="00AA1CB9">
        <w:rPr>
          <w:rStyle w:val="Refdenotaalpie"/>
          <w:rFonts w:ascii="Palatino Linotype" w:hAnsi="Palatino Linotype"/>
        </w:rPr>
        <w:footnoteReference w:id="20"/>
      </w:r>
      <w:r w:rsidRPr="00AA1CB9">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B53EFD" w:rsidRPr="00AA1CB9" w:rsidRDefault="00B53EFD" w:rsidP="00AA1CB9">
      <w:pPr>
        <w:pStyle w:val="Prrafodelista"/>
        <w:spacing w:line="360" w:lineRule="auto"/>
        <w:ind w:left="0"/>
        <w:rPr>
          <w:rFonts w:ascii="Palatino Linotype" w:hAnsi="Palatino Linotype"/>
        </w:rPr>
      </w:pPr>
    </w:p>
    <w:p w:rsidR="00B53EFD" w:rsidRPr="00AA1CB9" w:rsidRDefault="00B53EFD" w:rsidP="00AA1CB9">
      <w:pPr>
        <w:pStyle w:val="Ttulo3"/>
        <w:numPr>
          <w:ilvl w:val="0"/>
          <w:numId w:val="48"/>
        </w:numPr>
        <w:spacing w:line="360" w:lineRule="auto"/>
        <w:rPr>
          <w:rFonts w:ascii="Palatino Linotype" w:hAnsi="Palatino Linotype"/>
          <w:b/>
          <w:color w:val="auto"/>
        </w:rPr>
      </w:pPr>
      <w:bookmarkStart w:id="23" w:name="_Toc3295493"/>
      <w:r w:rsidRPr="00AA1CB9">
        <w:rPr>
          <w:rFonts w:ascii="Palatino Linotype" w:hAnsi="Palatino Linotype"/>
          <w:b/>
          <w:color w:val="auto"/>
        </w:rPr>
        <w:t>La clasificación de la información reservada debe ser de manera temporal.</w:t>
      </w:r>
      <w:bookmarkEnd w:id="23"/>
    </w:p>
    <w:p w:rsidR="00B53EFD" w:rsidRPr="00AA1CB9" w:rsidRDefault="00B53EFD" w:rsidP="00AA1CB9">
      <w:pPr>
        <w:spacing w:line="360" w:lineRule="auto"/>
        <w:rPr>
          <w:rFonts w:ascii="Palatino Linotype" w:hAnsi="Palatino Linotype"/>
          <w:b/>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B53EFD" w:rsidRPr="00AA1CB9" w:rsidRDefault="00B53EFD" w:rsidP="00AA1CB9">
      <w:pPr>
        <w:pStyle w:val="Prrafodelista"/>
        <w:spacing w:line="360" w:lineRule="auto"/>
        <w:ind w:left="0"/>
        <w:jc w:val="both"/>
        <w:rPr>
          <w:rFonts w:ascii="Palatino Linotype" w:hAnsi="Palatino Linotype"/>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w:t>
      </w:r>
      <w:r w:rsidRPr="00AA1CB9">
        <w:rPr>
          <w:rFonts w:ascii="Palatino Linotype" w:hAnsi="Palatino Linotype"/>
        </w:rPr>
        <w:lastRenderedPageBreak/>
        <w:t xml:space="preserve">cumplimiento del periodo de restricción, dejaran de existir los motivos de su reserva. </w:t>
      </w:r>
    </w:p>
    <w:p w:rsidR="000E027C" w:rsidRPr="00AA1CB9" w:rsidRDefault="000E027C" w:rsidP="00AA1CB9">
      <w:pPr>
        <w:pStyle w:val="Prrafodelista"/>
        <w:spacing w:line="360" w:lineRule="auto"/>
        <w:rPr>
          <w:rFonts w:ascii="Palatino Linotype" w:hAnsi="Palatino Linotype"/>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B53EFD" w:rsidRPr="00AA1CB9" w:rsidRDefault="00B53EFD" w:rsidP="00AA1CB9">
      <w:pPr>
        <w:pStyle w:val="Prrafodelista"/>
        <w:spacing w:line="360" w:lineRule="auto"/>
        <w:ind w:left="0"/>
        <w:rPr>
          <w:rFonts w:ascii="Palatino Linotype" w:hAnsi="Palatino Linotype"/>
          <w:b/>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De</w:t>
      </w:r>
      <w:r w:rsidRPr="00AA1CB9">
        <w:rPr>
          <w:rFonts w:ascii="Palatino Linotype" w:hAnsi="Palatino Linotype"/>
          <w:b/>
        </w:rPr>
        <w:t xml:space="preserve"> </w:t>
      </w:r>
      <w:r w:rsidRPr="00AA1CB9">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B53EFD" w:rsidRPr="00AA1CB9" w:rsidRDefault="00B53EFD" w:rsidP="00AA1CB9">
      <w:pPr>
        <w:pStyle w:val="Prrafodelista"/>
        <w:spacing w:line="360" w:lineRule="auto"/>
        <w:ind w:left="0"/>
        <w:rPr>
          <w:rFonts w:ascii="Palatino Linotype" w:hAnsi="Palatino Linotype"/>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w:t>
      </w:r>
      <w:r w:rsidRPr="00AA1CB9">
        <w:rPr>
          <w:rFonts w:ascii="Palatino Linotype" w:hAnsi="Palatino Linotype"/>
        </w:rPr>
        <w:lastRenderedPageBreak/>
        <w:t>de daño y señalando el plazo de reserva, por lo menos con tres meses de anticipación al vencimiento del periodo.</w:t>
      </w:r>
    </w:p>
    <w:p w:rsidR="00B53EFD" w:rsidRPr="00AA1CB9" w:rsidRDefault="00B53EFD" w:rsidP="00AA1CB9">
      <w:pPr>
        <w:pStyle w:val="Prrafodelista"/>
        <w:spacing w:line="360" w:lineRule="auto"/>
        <w:ind w:left="0"/>
        <w:rPr>
          <w:rFonts w:ascii="Palatino Linotype" w:hAnsi="Palatino Linotype"/>
        </w:rPr>
      </w:pPr>
    </w:p>
    <w:p w:rsidR="00AA1CB9"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Ahora bien, al caso en particular, se debe estar atento a lo que contiene el artículo 132 y 106 de la Ley Estatal y Ley General respectivamente los cuales establecen lo siguiente:</w:t>
      </w:r>
    </w:p>
    <w:p w:rsidR="00B53EFD" w:rsidRPr="00AA1CB9" w:rsidRDefault="00B53EFD" w:rsidP="00AA1CB9">
      <w:pPr>
        <w:autoSpaceDE w:val="0"/>
        <w:autoSpaceDN w:val="0"/>
        <w:adjustRightInd w:val="0"/>
        <w:spacing w:line="360" w:lineRule="auto"/>
        <w:ind w:left="567" w:right="616"/>
        <w:jc w:val="both"/>
        <w:rPr>
          <w:rFonts w:ascii="Palatino Linotype" w:hAnsi="Palatino Linotype" w:cs="Bookman Old Style"/>
          <w:i/>
          <w:lang w:val="es-ES"/>
        </w:rPr>
      </w:pPr>
      <w:r w:rsidRPr="00AA1CB9">
        <w:rPr>
          <w:rFonts w:ascii="Palatino Linotype" w:hAnsi="Palatino Linotype" w:cs="Bookman Old Style,Bold"/>
          <w:b/>
          <w:bCs/>
          <w:i/>
          <w:lang w:val="es-ES"/>
        </w:rPr>
        <w:t xml:space="preserve">Artículo 132. </w:t>
      </w:r>
      <w:r w:rsidRPr="00AA1CB9">
        <w:rPr>
          <w:rFonts w:ascii="Palatino Linotype" w:hAnsi="Palatino Linotype" w:cs="Bookman Old Style"/>
          <w:i/>
          <w:lang w:val="es-ES"/>
        </w:rPr>
        <w:t>La clasificación de la información se llevará a cabo en el momento en que:</w:t>
      </w:r>
    </w:p>
    <w:p w:rsidR="00B53EFD" w:rsidRPr="00AA1CB9" w:rsidRDefault="00B53EFD" w:rsidP="00AA1CB9">
      <w:pPr>
        <w:autoSpaceDE w:val="0"/>
        <w:autoSpaceDN w:val="0"/>
        <w:adjustRightInd w:val="0"/>
        <w:spacing w:line="360" w:lineRule="auto"/>
        <w:ind w:left="567" w:right="616"/>
        <w:jc w:val="both"/>
        <w:rPr>
          <w:rFonts w:ascii="Palatino Linotype" w:hAnsi="Palatino Linotype" w:cs="Bookman Old Style"/>
          <w:i/>
          <w:lang w:val="es-ES"/>
        </w:rPr>
      </w:pPr>
    </w:p>
    <w:p w:rsidR="00B53EFD" w:rsidRPr="00AA1CB9" w:rsidRDefault="00B53EFD" w:rsidP="00AA1CB9">
      <w:pPr>
        <w:autoSpaceDE w:val="0"/>
        <w:autoSpaceDN w:val="0"/>
        <w:adjustRightInd w:val="0"/>
        <w:spacing w:line="360" w:lineRule="auto"/>
        <w:ind w:left="567" w:right="616"/>
        <w:jc w:val="both"/>
        <w:rPr>
          <w:rFonts w:ascii="Palatino Linotype" w:hAnsi="Palatino Linotype" w:cs="Bookman Old Style"/>
          <w:i/>
          <w:lang w:val="es-ES"/>
        </w:rPr>
      </w:pPr>
      <w:r w:rsidRPr="00AA1CB9">
        <w:rPr>
          <w:rFonts w:ascii="Palatino Linotype" w:hAnsi="Palatino Linotype" w:cs="Bookman Old Style,Bold"/>
          <w:b/>
          <w:bCs/>
          <w:i/>
          <w:lang w:val="es-ES"/>
        </w:rPr>
        <w:t xml:space="preserve">I. </w:t>
      </w:r>
      <w:r w:rsidRPr="00AA1CB9">
        <w:rPr>
          <w:rFonts w:ascii="Palatino Linotype" w:hAnsi="Palatino Linotype" w:cs="Bookman Old Style"/>
          <w:i/>
          <w:lang w:val="es-ES"/>
        </w:rPr>
        <w:t>Se reciba una solicitud de acceso a la información;</w:t>
      </w:r>
    </w:p>
    <w:p w:rsidR="00B53EFD" w:rsidRPr="00AA1CB9" w:rsidRDefault="00B53EFD" w:rsidP="00AA1CB9">
      <w:pPr>
        <w:autoSpaceDE w:val="0"/>
        <w:autoSpaceDN w:val="0"/>
        <w:adjustRightInd w:val="0"/>
        <w:spacing w:line="360" w:lineRule="auto"/>
        <w:ind w:left="567" w:right="616"/>
        <w:jc w:val="both"/>
        <w:rPr>
          <w:rFonts w:ascii="Palatino Linotype" w:hAnsi="Palatino Linotype" w:cs="Bookman Old Style"/>
          <w:i/>
          <w:lang w:val="es-ES"/>
        </w:rPr>
      </w:pPr>
      <w:r w:rsidRPr="00AA1CB9">
        <w:rPr>
          <w:rFonts w:ascii="Palatino Linotype" w:hAnsi="Palatino Linotype" w:cs="Bookman Old Style,Bold"/>
          <w:b/>
          <w:bCs/>
          <w:i/>
          <w:lang w:val="es-ES"/>
        </w:rPr>
        <w:t xml:space="preserve">II. </w:t>
      </w:r>
      <w:r w:rsidRPr="00AA1CB9">
        <w:rPr>
          <w:rFonts w:ascii="Palatino Linotype" w:hAnsi="Palatino Linotype" w:cs="Bookman Old Style"/>
          <w:i/>
          <w:lang w:val="es-ES"/>
        </w:rPr>
        <w:t>Se determine mediante resolución de autoridad competente; o</w:t>
      </w:r>
    </w:p>
    <w:p w:rsidR="00B53EFD" w:rsidRPr="00AA1CB9" w:rsidRDefault="00B53EFD" w:rsidP="00AA1CB9">
      <w:pPr>
        <w:autoSpaceDE w:val="0"/>
        <w:autoSpaceDN w:val="0"/>
        <w:adjustRightInd w:val="0"/>
        <w:spacing w:line="360" w:lineRule="auto"/>
        <w:ind w:left="567" w:right="616"/>
        <w:jc w:val="both"/>
        <w:rPr>
          <w:rFonts w:ascii="Palatino Linotype" w:hAnsi="Palatino Linotype" w:cs="Bookman Old Style"/>
          <w:i/>
          <w:lang w:val="es-ES"/>
        </w:rPr>
      </w:pPr>
      <w:r w:rsidRPr="00AA1CB9">
        <w:rPr>
          <w:rFonts w:ascii="Palatino Linotype" w:hAnsi="Palatino Linotype" w:cs="Bookman Old Style,Bold"/>
          <w:b/>
          <w:bCs/>
          <w:i/>
          <w:lang w:val="es-ES"/>
        </w:rPr>
        <w:t xml:space="preserve">III. </w:t>
      </w:r>
      <w:r w:rsidRPr="00AA1CB9">
        <w:rPr>
          <w:rFonts w:ascii="Palatino Linotype" w:hAnsi="Palatino Linotype" w:cs="Bookman Old Style"/>
          <w:i/>
          <w:lang w:val="es-ES"/>
        </w:rPr>
        <w:t>Se generen versiones públicas para dar cumplimiento a las obligaciones de transparencia previstas en esta Ley.</w:t>
      </w:r>
    </w:p>
    <w:p w:rsidR="00B53EFD" w:rsidRPr="00AA1CB9" w:rsidRDefault="00B53EFD" w:rsidP="00AA1CB9">
      <w:pPr>
        <w:autoSpaceDE w:val="0"/>
        <w:autoSpaceDN w:val="0"/>
        <w:adjustRightInd w:val="0"/>
        <w:spacing w:line="360" w:lineRule="auto"/>
        <w:ind w:left="567" w:right="616"/>
        <w:jc w:val="both"/>
        <w:rPr>
          <w:rFonts w:ascii="Palatino Linotype" w:hAnsi="Palatino Linotype" w:cs="Bookman Old Style"/>
          <w:i/>
          <w:lang w:val="es-ES"/>
        </w:rPr>
      </w:pPr>
    </w:p>
    <w:p w:rsidR="00B53EFD" w:rsidRPr="00AA1CB9" w:rsidRDefault="00B53EFD" w:rsidP="00AA1CB9">
      <w:pPr>
        <w:autoSpaceDE w:val="0"/>
        <w:autoSpaceDN w:val="0"/>
        <w:adjustRightInd w:val="0"/>
        <w:spacing w:line="360" w:lineRule="auto"/>
        <w:ind w:left="567" w:right="616"/>
        <w:jc w:val="both"/>
        <w:rPr>
          <w:rFonts w:ascii="Palatino Linotype" w:hAnsi="Palatino Linotype" w:cs="Bookman Old Style"/>
          <w:i/>
          <w:lang w:val="es-ES"/>
        </w:rPr>
      </w:pPr>
      <w:r w:rsidRPr="00AA1CB9">
        <w:rPr>
          <w:rFonts w:ascii="Palatino Linotype" w:hAnsi="Palatino Linotype" w:cs="Bookman Old Style"/>
          <w:i/>
          <w:lang w:val="es-ES"/>
        </w:rPr>
        <w:t>Tratándose de información reservada, los titulares de las áreas deberán revisar la clasificación al momento de la recepción de una solicitud, para verificar si subsisten las causas que le dieron origen.</w:t>
      </w:r>
    </w:p>
    <w:p w:rsidR="00B53EFD" w:rsidRPr="00AA1CB9" w:rsidRDefault="00B53EFD" w:rsidP="00AA1CB9">
      <w:pPr>
        <w:autoSpaceDE w:val="0"/>
        <w:autoSpaceDN w:val="0"/>
        <w:adjustRightInd w:val="0"/>
        <w:spacing w:line="360" w:lineRule="auto"/>
        <w:ind w:left="567" w:right="616"/>
        <w:jc w:val="both"/>
        <w:rPr>
          <w:rFonts w:ascii="Palatino Linotype" w:hAnsi="Palatino Linotype"/>
          <w:i/>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 xml:space="preserve">En ese sentido, resulta importante señalar actuando conforme a derecho, la clasificación de la información es dable al momento de recibir una solicitud de información, o en su defecto, </w:t>
      </w:r>
      <w:r w:rsidRPr="00AA1CB9">
        <w:rPr>
          <w:rFonts w:ascii="Palatino Linotype" w:hAnsi="Palatino Linotype"/>
          <w:b/>
        </w:rPr>
        <w:t xml:space="preserve">si ya anteriormente la información fue clasificada como reservada, las áreas deberán revisar si aún subsisten las causas que le dieron </w:t>
      </w:r>
      <w:r w:rsidRPr="00AA1CB9">
        <w:rPr>
          <w:rFonts w:ascii="Palatino Linotype" w:hAnsi="Palatino Linotype"/>
          <w:b/>
        </w:rPr>
        <w:lastRenderedPageBreak/>
        <w:t xml:space="preserve">origen. </w:t>
      </w:r>
      <w:r w:rsidRPr="00AA1CB9">
        <w:rPr>
          <w:rFonts w:ascii="Palatino Linotype" w:hAnsi="Palatino Linotype"/>
        </w:rPr>
        <w:t>En otras palabras, la clasificación de la información no puede ser efectuada en el momento en que la autoridad lo desee, sino a menos que exista un elemento que active el análisis de la información y derivado a la naturaleza de la información nos conduzca a su clasificación.</w:t>
      </w:r>
    </w:p>
    <w:p w:rsidR="00B53EFD" w:rsidRPr="00AA1CB9" w:rsidRDefault="00B53EFD" w:rsidP="00AA1CB9">
      <w:pPr>
        <w:pStyle w:val="Prrafodelista"/>
        <w:spacing w:line="360" w:lineRule="auto"/>
        <w:ind w:left="0"/>
        <w:jc w:val="both"/>
        <w:rPr>
          <w:rFonts w:ascii="Palatino Linotype" w:hAnsi="Palatino Linotype"/>
        </w:rPr>
      </w:pPr>
    </w:p>
    <w:p w:rsidR="00B53EFD" w:rsidRPr="00AA1CB9" w:rsidRDefault="00B53EFD"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No obstante, existen bastos supuestos en los que la clasificación de la información como reservada debe ser efectuada, sin embargo, en todos los casos debe ser generada cuando se aprecien elementos concretos que nos ayuden a tener certeza de que se está llevando a cabo una correcta clasificación de la información conforme a lo establecido en la Ley Estatal y Ley General de Transparencia.</w:t>
      </w:r>
    </w:p>
    <w:p w:rsidR="008538D7" w:rsidRPr="00AA1CB9" w:rsidRDefault="008538D7" w:rsidP="00AA1CB9">
      <w:pPr>
        <w:pStyle w:val="Prrafodelista"/>
        <w:spacing w:line="360" w:lineRule="auto"/>
        <w:rPr>
          <w:rFonts w:ascii="Palatino Linotype" w:hAnsi="Palatino Linotype"/>
        </w:rPr>
      </w:pPr>
    </w:p>
    <w:p w:rsidR="008538D7" w:rsidRPr="00AA1CB9" w:rsidRDefault="008538D7" w:rsidP="00AA1CB9">
      <w:pPr>
        <w:pStyle w:val="Prrafodelista"/>
        <w:numPr>
          <w:ilvl w:val="0"/>
          <w:numId w:val="1"/>
        </w:numPr>
        <w:spacing w:after="160" w:line="360" w:lineRule="auto"/>
        <w:ind w:left="0" w:firstLine="0"/>
        <w:jc w:val="both"/>
        <w:rPr>
          <w:rFonts w:ascii="Palatino Linotype" w:hAnsi="Palatino Linotype"/>
        </w:rPr>
      </w:pPr>
      <w:r w:rsidRPr="00AA1CB9">
        <w:rPr>
          <w:rFonts w:ascii="Palatino Linotype" w:hAnsi="Palatino Linotype"/>
        </w:rPr>
        <w:t xml:space="preserve">Es así que, al tratarse de información sobre las especificaciones con las que cuentan los vehículos arrendados para ser usadas como patrullas, </w:t>
      </w:r>
      <w:r w:rsidR="00454B14" w:rsidRPr="00AA1CB9">
        <w:rPr>
          <w:rFonts w:ascii="Palatino Linotype" w:hAnsi="Palatino Linotype"/>
          <w:b/>
        </w:rPr>
        <w:t>pudiera</w:t>
      </w:r>
      <w:r w:rsidR="00454B14" w:rsidRPr="00AA1CB9">
        <w:rPr>
          <w:rFonts w:ascii="Palatino Linotype" w:hAnsi="Palatino Linotype"/>
        </w:rPr>
        <w:t xml:space="preserve"> </w:t>
      </w:r>
      <w:r w:rsidRPr="00AA1CB9">
        <w:rPr>
          <w:rFonts w:ascii="Palatino Linotype" w:hAnsi="Palatino Linotype"/>
        </w:rPr>
        <w:t>actualiza</w:t>
      </w:r>
      <w:r w:rsidR="00454B14" w:rsidRPr="00AA1CB9">
        <w:rPr>
          <w:rFonts w:ascii="Palatino Linotype" w:hAnsi="Palatino Linotype"/>
        </w:rPr>
        <w:t>r</w:t>
      </w:r>
      <w:r w:rsidRPr="00AA1CB9">
        <w:rPr>
          <w:rFonts w:ascii="Palatino Linotype" w:hAnsi="Palatino Linotype"/>
        </w:rPr>
        <w:t xml:space="preserve"> la hipótesis jurídica contenida en el artículo 140 fracción I, toda vez que la Secretaría de Seguri</w:t>
      </w:r>
      <w:r w:rsidR="00F43056" w:rsidRPr="00AA1CB9">
        <w:rPr>
          <w:rFonts w:ascii="Palatino Linotype" w:hAnsi="Palatino Linotype"/>
        </w:rPr>
        <w:t>dad cuenta con un “Estado de Fuerza” que puede ser definido como la capacidad que tiene el Estado de México para defenderse y evitar exponer de cualquier peligro o daño, a los elementos esenciales que lo integran, con el objeto de mantener su soberanía, identidad, independencia, autonomía, integridad y funcionamiento ante fuerzas hostiles y conductas contrarias a Derecho, protegiendo y garantizando los valores e intereses de su población.</w:t>
      </w:r>
    </w:p>
    <w:p w:rsidR="00F43056" w:rsidRPr="00AA1CB9" w:rsidRDefault="00F43056" w:rsidP="00AA1CB9">
      <w:pPr>
        <w:pStyle w:val="Prrafodelista"/>
        <w:spacing w:line="360" w:lineRule="auto"/>
        <w:rPr>
          <w:rFonts w:ascii="Palatino Linotype" w:hAnsi="Palatino Linotype"/>
        </w:rPr>
      </w:pPr>
    </w:p>
    <w:p w:rsidR="003B5687" w:rsidRPr="00AA1CB9" w:rsidRDefault="003B5687"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lastRenderedPageBreak/>
        <w:t xml:space="preserve">Por otro lado, no debemos perder de vista que el recurrente manifestó que el Sujeto Obligado entregó la información testada, cuando ésta se encuentra visible en las bases y junta de aclaraciones de la propia licitación. </w:t>
      </w:r>
    </w:p>
    <w:p w:rsidR="003B5687" w:rsidRPr="00AA1CB9" w:rsidRDefault="003B5687" w:rsidP="00AA1CB9">
      <w:pPr>
        <w:pStyle w:val="Prrafodelista"/>
        <w:spacing w:line="360" w:lineRule="auto"/>
        <w:rPr>
          <w:rFonts w:ascii="Palatino Linotype" w:eastAsia="Calibri" w:hAnsi="Palatino Linotype" w:cs="Arial"/>
        </w:rPr>
      </w:pPr>
    </w:p>
    <w:p w:rsidR="003B5687" w:rsidRPr="00AA1CB9" w:rsidRDefault="00AA1CB9" w:rsidP="00AA1CB9">
      <w:pPr>
        <w:pStyle w:val="Prrafodelista"/>
        <w:numPr>
          <w:ilvl w:val="0"/>
          <w:numId w:val="1"/>
        </w:numPr>
        <w:spacing w:line="360" w:lineRule="auto"/>
        <w:ind w:left="0" w:firstLine="0"/>
        <w:jc w:val="both"/>
        <w:rPr>
          <w:rFonts w:ascii="Palatino Linotype" w:eastAsia="Calibri"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34050</wp:posOffset>
                </wp:positionH>
                <wp:positionV relativeFrom="paragraph">
                  <wp:posOffset>1848303</wp:posOffset>
                </wp:positionV>
                <wp:extent cx="5563240" cy="4510527"/>
                <wp:effectExtent l="19050" t="19050" r="37465" b="23495"/>
                <wp:wrapNone/>
                <wp:docPr id="12" name="Conector recto 12"/>
                <wp:cNvGraphicFramePr/>
                <a:graphic xmlns:a="http://schemas.openxmlformats.org/drawingml/2006/main">
                  <a:graphicData uri="http://schemas.microsoft.com/office/word/2010/wordprocessingShape">
                    <wps:wsp>
                      <wps:cNvCnPr/>
                      <wps:spPr>
                        <a:xfrm>
                          <a:off x="0" y="0"/>
                          <a:ext cx="5563240" cy="4510527"/>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9AA3C" id="Conector recto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145.55pt" to="440.75pt,5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" strokecolor="#5b9bd5 [3204]" strokeweight="3pt">
                <v:stroke joinstyle="miter"/>
              </v:line>
            </w:pict>
          </mc:Fallback>
        </mc:AlternateContent>
      </w:r>
      <w:r w:rsidR="00EA03F6" w:rsidRPr="00AA1CB9">
        <w:rPr>
          <w:rFonts w:ascii="Palatino Linotype" w:eastAsia="Calibri" w:hAnsi="Palatino Linotype" w:cs="Arial"/>
        </w:rPr>
        <w:t xml:space="preserve">Derivado de las </w:t>
      </w:r>
      <w:r w:rsidR="003B5687" w:rsidRPr="00AA1CB9">
        <w:rPr>
          <w:rFonts w:ascii="Palatino Linotype" w:eastAsia="Calibri" w:hAnsi="Palatino Linotype" w:cs="Arial"/>
        </w:rPr>
        <w:t xml:space="preserve">manifestaciones realizadas por el recurrente, éste Órgano Garante se dio a la tarea de verificar la información, encontrando que la dirección electrónica </w:t>
      </w:r>
      <w:hyperlink r:id="rId9" w:history="1">
        <w:r w:rsidR="003B5687" w:rsidRPr="00AA1CB9">
          <w:rPr>
            <w:rStyle w:val="Hipervnculo"/>
            <w:rFonts w:ascii="Palatino Linotype" w:hAnsi="Palatino Linotype"/>
          </w:rPr>
          <w:t>http://compramex.edomex.gob.mx/015-2018</w:t>
        </w:r>
      </w:hyperlink>
      <w:r w:rsidR="003B5687" w:rsidRPr="00AA1CB9">
        <w:rPr>
          <w:rStyle w:val="Hipervnculo"/>
          <w:rFonts w:ascii="Palatino Linotype" w:eastAsia="Calibri" w:hAnsi="Palatino Linotype" w:cs="Arial"/>
          <w:color w:val="auto"/>
          <w:u w:val="none"/>
        </w:rPr>
        <w:t xml:space="preserve"> n</w:t>
      </w:r>
      <w:r w:rsidR="003B5687" w:rsidRPr="00AA1CB9">
        <w:rPr>
          <w:rFonts w:ascii="Palatino Linotype" w:eastAsia="Calibri" w:hAnsi="Palatino Linotype" w:cs="Arial"/>
        </w:rPr>
        <w:t>os dirige a la página “</w:t>
      </w:r>
      <w:proofErr w:type="spellStart"/>
      <w:r w:rsidR="003B5687" w:rsidRPr="00AA1CB9">
        <w:rPr>
          <w:rFonts w:ascii="Palatino Linotype" w:eastAsia="Calibri" w:hAnsi="Palatino Linotype" w:cs="Arial"/>
        </w:rPr>
        <w:t>compramex</w:t>
      </w:r>
      <w:proofErr w:type="spellEnd"/>
      <w:r w:rsidR="003B5687" w:rsidRPr="00AA1CB9">
        <w:rPr>
          <w:rFonts w:ascii="Palatino Linotype" w:eastAsia="Calibri" w:hAnsi="Palatino Linotype" w:cs="Arial"/>
        </w:rPr>
        <w:t>” en donde se encuentran publicadas la convocatoria, las bases, junta de aclaraciones, presentación y apertura de propuestas, contra oferta y fallo, se inserta imagen de referencia:</w:t>
      </w:r>
    </w:p>
    <w:p w:rsidR="003B5687" w:rsidRPr="00AA1CB9" w:rsidRDefault="00AA1CB9" w:rsidP="00AA1CB9">
      <w:pPr>
        <w:pStyle w:val="Prrafodelista"/>
        <w:spacing w:line="360" w:lineRule="auto"/>
        <w:rPr>
          <w:rFonts w:ascii="Palatino Linotype" w:eastAsia="Calibri" w:hAnsi="Palatino Linotype" w:cs="Arial"/>
        </w:rPr>
      </w:pPr>
      <w:r>
        <w:rPr>
          <w:rFonts w:ascii="Palatino Linotype" w:eastAsia="Calibri" w:hAnsi="Palatino Linotype" w:cs="Arial"/>
          <w:noProof/>
          <w:lang w:val="es-MX" w:eastAsia="es-MX"/>
        </w:rPr>
        <w:lastRenderedPageBreak/>
        <w:drawing>
          <wp:inline distT="0" distB="0" distL="0" distR="0" wp14:anchorId="33AE3A2D">
            <wp:extent cx="4645660" cy="498094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5660" cy="4980940"/>
                    </a:xfrm>
                    <a:prstGeom prst="rect">
                      <a:avLst/>
                    </a:prstGeom>
                    <a:noFill/>
                  </pic:spPr>
                </pic:pic>
              </a:graphicData>
            </a:graphic>
          </wp:inline>
        </w:drawing>
      </w:r>
    </w:p>
    <w:p w:rsidR="003B5687" w:rsidRPr="00AA1CB9" w:rsidRDefault="003B5687" w:rsidP="00AA1CB9">
      <w:pPr>
        <w:pStyle w:val="Prrafodelista"/>
        <w:spacing w:line="360" w:lineRule="auto"/>
        <w:ind w:left="0"/>
        <w:jc w:val="both"/>
        <w:rPr>
          <w:rFonts w:ascii="Palatino Linotype" w:eastAsia="Calibri" w:hAnsi="Palatino Linotype" w:cs="Arial"/>
        </w:rPr>
      </w:pPr>
    </w:p>
    <w:p w:rsidR="003B5687" w:rsidRPr="00AA1CB9" w:rsidRDefault="003B5687" w:rsidP="00AA1CB9">
      <w:pPr>
        <w:pStyle w:val="Prrafodelista"/>
        <w:spacing w:line="360" w:lineRule="auto"/>
        <w:ind w:left="0"/>
        <w:jc w:val="both"/>
        <w:rPr>
          <w:rFonts w:ascii="Palatino Linotype" w:eastAsia="Calibri" w:hAnsi="Palatino Linotype" w:cs="Arial"/>
        </w:rPr>
      </w:pPr>
      <w:r w:rsidRPr="00AA1CB9">
        <w:rPr>
          <w:rFonts w:ascii="Palatino Linotype" w:eastAsia="Calibri" w:hAnsi="Palatino Linotype" w:cs="Arial"/>
        </w:rPr>
        <w:t xml:space="preserve"> </w:t>
      </w:r>
    </w:p>
    <w:p w:rsidR="003B5687" w:rsidRPr="00AA1CB9" w:rsidRDefault="003B5687"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Al presionar en el apartado “bases” </w:t>
      </w:r>
      <w:r w:rsidR="006F3557" w:rsidRPr="00AA1CB9">
        <w:rPr>
          <w:rFonts w:ascii="Palatino Linotype" w:eastAsia="Calibri" w:hAnsi="Palatino Linotype" w:cs="Arial"/>
        </w:rPr>
        <w:t xml:space="preserve">descarga un documento de 520 páginas y, de la página 22 en adelante, se aprecia la clave de verificación y servicios solicitados/especificaciones, en donde de manera detallada se describen los </w:t>
      </w:r>
      <w:r w:rsidR="006F3557" w:rsidRPr="00AA1CB9">
        <w:rPr>
          <w:rFonts w:ascii="Palatino Linotype" w:eastAsia="Calibri" w:hAnsi="Palatino Linotype" w:cs="Arial"/>
        </w:rPr>
        <w:lastRenderedPageBreak/>
        <w:t>elementos que deben contener cada uno de los veh</w:t>
      </w:r>
      <w:r w:rsidR="00232019" w:rsidRPr="00AA1CB9">
        <w:rPr>
          <w:rFonts w:ascii="Palatino Linotype" w:eastAsia="Calibri" w:hAnsi="Palatino Linotype" w:cs="Arial"/>
        </w:rPr>
        <w:t>ículos arrendados, se inserta imagen</w:t>
      </w:r>
      <w:r w:rsidR="006F3557" w:rsidRPr="00AA1CB9">
        <w:rPr>
          <w:rFonts w:ascii="Palatino Linotype" w:eastAsia="Calibri" w:hAnsi="Palatino Linotype" w:cs="Arial"/>
        </w:rPr>
        <w:t xml:space="preserve"> de referencia:</w:t>
      </w:r>
    </w:p>
    <w:p w:rsidR="006F3557" w:rsidRPr="00AA1CB9" w:rsidRDefault="006F3557" w:rsidP="00AA1CB9">
      <w:pPr>
        <w:pStyle w:val="Prrafodelista"/>
        <w:spacing w:line="360" w:lineRule="auto"/>
        <w:ind w:left="0"/>
        <w:jc w:val="both"/>
        <w:rPr>
          <w:rFonts w:ascii="Palatino Linotype" w:eastAsia="Calibri" w:hAnsi="Palatino Linotype" w:cs="Arial"/>
        </w:rPr>
      </w:pPr>
    </w:p>
    <w:p w:rsidR="003B5687" w:rsidRDefault="006F3557" w:rsidP="00AA1CB9">
      <w:pPr>
        <w:pStyle w:val="Prrafodelista"/>
        <w:spacing w:line="360" w:lineRule="auto"/>
        <w:ind w:left="0"/>
        <w:jc w:val="both"/>
        <w:rPr>
          <w:rFonts w:ascii="Palatino Linotype" w:eastAsia="Calibri" w:hAnsi="Palatino Linotype" w:cs="Arial"/>
        </w:rPr>
      </w:pPr>
      <w:bookmarkStart w:id="24" w:name="_GoBack"/>
      <w:r w:rsidRPr="00AA1CB9">
        <w:rPr>
          <w:rFonts w:ascii="Palatino Linotype" w:hAnsi="Palatino Linotype"/>
          <w:noProof/>
          <w:lang w:val="es-MX" w:eastAsia="es-MX"/>
        </w:rPr>
        <w:drawing>
          <wp:inline distT="0" distB="0" distL="0" distR="0" wp14:anchorId="25F4759F" wp14:editId="7B25F533">
            <wp:extent cx="5591175" cy="431966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552" t="14564" r="21663" b="10194"/>
                    <a:stretch/>
                  </pic:blipFill>
                  <pic:spPr bwMode="auto">
                    <a:xfrm>
                      <a:off x="0" y="0"/>
                      <a:ext cx="5610545" cy="4334627"/>
                    </a:xfrm>
                    <a:prstGeom prst="rect">
                      <a:avLst/>
                    </a:prstGeom>
                    <a:ln>
                      <a:noFill/>
                    </a:ln>
                    <a:extLst>
                      <a:ext uri="{53640926-AAD7-44D8-BBD7-CCE9431645EC}">
                        <a14:shadowObscured xmlns:a14="http://schemas.microsoft.com/office/drawing/2010/main"/>
                      </a:ext>
                    </a:extLst>
                  </pic:spPr>
                </pic:pic>
              </a:graphicData>
            </a:graphic>
          </wp:inline>
        </w:drawing>
      </w:r>
      <w:bookmarkEnd w:id="24"/>
    </w:p>
    <w:p w:rsidR="00CD7514" w:rsidRPr="00AA1CB9" w:rsidRDefault="00CD7514" w:rsidP="00AA1CB9">
      <w:pPr>
        <w:pStyle w:val="Prrafodelista"/>
        <w:spacing w:line="360" w:lineRule="auto"/>
        <w:ind w:left="0"/>
        <w:jc w:val="both"/>
        <w:rPr>
          <w:rFonts w:ascii="Palatino Linotype" w:eastAsia="Calibri" w:hAnsi="Palatino Linotype" w:cs="Arial"/>
        </w:rPr>
      </w:pPr>
    </w:p>
    <w:p w:rsidR="00232019" w:rsidRPr="00AA1CB9" w:rsidRDefault="006C530A"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Es así que, en las bases de la convocatoria que se encuentran publicados en la página “</w:t>
      </w:r>
      <w:proofErr w:type="spellStart"/>
      <w:r w:rsidRPr="00AA1CB9">
        <w:rPr>
          <w:rFonts w:ascii="Palatino Linotype" w:eastAsia="Calibri" w:hAnsi="Palatino Linotype" w:cs="Arial"/>
          <w:b/>
        </w:rPr>
        <w:t>compramex</w:t>
      </w:r>
      <w:proofErr w:type="spellEnd"/>
      <w:r w:rsidRPr="00AA1CB9">
        <w:rPr>
          <w:rFonts w:ascii="Palatino Linotype" w:eastAsia="Calibri" w:hAnsi="Palatino Linotype" w:cs="Arial"/>
        </w:rPr>
        <w:t>” se puede conocer de manera detallada el estado de fuerza de los vehículos tipo patrulla que fueron adquiridos.</w:t>
      </w:r>
    </w:p>
    <w:p w:rsidR="00375A9D" w:rsidRPr="00AA1CB9" w:rsidRDefault="00375A9D" w:rsidP="00AA1CB9">
      <w:pPr>
        <w:pStyle w:val="Prrafodelista"/>
        <w:spacing w:line="360" w:lineRule="auto"/>
        <w:ind w:left="0"/>
        <w:jc w:val="both"/>
        <w:rPr>
          <w:rFonts w:ascii="Palatino Linotype" w:eastAsia="Calibri" w:hAnsi="Palatino Linotype" w:cs="Arial"/>
        </w:rPr>
      </w:pPr>
    </w:p>
    <w:p w:rsidR="006C530A" w:rsidRPr="00AA1CB9" w:rsidRDefault="00CA1E43" w:rsidP="00AA1CB9">
      <w:pPr>
        <w:pStyle w:val="Ttulo2"/>
        <w:numPr>
          <w:ilvl w:val="0"/>
          <w:numId w:val="40"/>
        </w:numPr>
        <w:spacing w:line="360" w:lineRule="auto"/>
        <w:rPr>
          <w:rFonts w:ascii="Palatino Linotype" w:eastAsia="Calibri" w:hAnsi="Palatino Linotype"/>
          <w:b/>
          <w:color w:val="auto"/>
          <w:sz w:val="24"/>
          <w:szCs w:val="24"/>
        </w:rPr>
      </w:pPr>
      <w:bookmarkStart w:id="25" w:name="_Toc3295494"/>
      <w:r w:rsidRPr="00AA1CB9">
        <w:rPr>
          <w:rFonts w:ascii="Palatino Linotype" w:eastAsia="Calibri" w:hAnsi="Palatino Linotype"/>
          <w:b/>
          <w:color w:val="auto"/>
          <w:sz w:val="24"/>
          <w:szCs w:val="24"/>
        </w:rPr>
        <w:lastRenderedPageBreak/>
        <w:t>Causales de desclasificación.</w:t>
      </w:r>
      <w:bookmarkEnd w:id="25"/>
    </w:p>
    <w:p w:rsidR="00375A9D" w:rsidRPr="00AA1CB9" w:rsidRDefault="00CA1E43" w:rsidP="00AA1CB9">
      <w:pPr>
        <w:tabs>
          <w:tab w:val="left" w:pos="1122"/>
        </w:tabs>
        <w:spacing w:line="360" w:lineRule="auto"/>
        <w:rPr>
          <w:rFonts w:ascii="Palatino Linotype" w:hAnsi="Palatino Linotype"/>
          <w:lang w:val="es-MX" w:eastAsia="en-US"/>
        </w:rPr>
      </w:pPr>
      <w:r w:rsidRPr="00AA1CB9">
        <w:rPr>
          <w:rFonts w:ascii="Palatino Linotype" w:hAnsi="Palatino Linotype"/>
          <w:lang w:val="es-MX" w:eastAsia="en-US"/>
        </w:rPr>
        <w:tab/>
      </w:r>
    </w:p>
    <w:p w:rsidR="006C530A" w:rsidRPr="00AA1CB9" w:rsidRDefault="006C530A"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El tema que hoy tratamos ha sido discutido en diversos recursos de revisión que se han resuelto por el Pleno de este Órgano Garante, por poner un ejemplo, los recursos de revisión </w:t>
      </w:r>
      <w:r w:rsidRPr="00AA1CB9">
        <w:rPr>
          <w:rFonts w:ascii="Palatino Linotype" w:eastAsia="Calibri" w:hAnsi="Palatino Linotype" w:cs="Arial"/>
          <w:b/>
        </w:rPr>
        <w:t>03392/INFOEM/IP/RR/2018 y acumulado</w:t>
      </w:r>
      <w:r w:rsidRPr="00AA1CB9">
        <w:rPr>
          <w:rFonts w:ascii="Palatino Linotype" w:eastAsia="Calibri" w:hAnsi="Palatino Linotype" w:cs="Arial"/>
        </w:rPr>
        <w:t xml:space="preserve"> en contra de la Secretaría de Seguridad; </w:t>
      </w:r>
      <w:r w:rsidRPr="00AA1CB9">
        <w:rPr>
          <w:rFonts w:ascii="Palatino Linotype" w:eastAsia="Calibri" w:hAnsi="Palatino Linotype" w:cs="Arial"/>
          <w:b/>
        </w:rPr>
        <w:t>03759/INFOEM/IP/RR/2018 Y Acumulados</w:t>
      </w:r>
      <w:r w:rsidRPr="00AA1CB9">
        <w:rPr>
          <w:rFonts w:ascii="Palatino Linotype" w:eastAsia="Calibri" w:hAnsi="Palatino Linotype" w:cs="Arial"/>
        </w:rPr>
        <w:t xml:space="preserve"> en contra de la Secretaría General de Gobierno y otros sujetos obligados.</w:t>
      </w:r>
    </w:p>
    <w:p w:rsidR="006C530A" w:rsidRPr="00AA1CB9" w:rsidRDefault="006C530A" w:rsidP="00AA1CB9">
      <w:pPr>
        <w:pStyle w:val="Prrafodelista"/>
        <w:spacing w:line="360" w:lineRule="auto"/>
        <w:ind w:left="0"/>
        <w:jc w:val="both"/>
        <w:rPr>
          <w:rFonts w:ascii="Palatino Linotype" w:eastAsia="Calibri" w:hAnsi="Palatino Linotype" w:cs="Arial"/>
        </w:rPr>
      </w:pPr>
    </w:p>
    <w:p w:rsidR="00E551A2" w:rsidRPr="00AA1CB9" w:rsidRDefault="006C530A"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Aunado a los recursos de revisión en relación con el tema de la licitación LPNP-017-2018, </w:t>
      </w:r>
      <w:r w:rsidR="00E551A2" w:rsidRPr="00AA1CB9">
        <w:rPr>
          <w:rFonts w:ascii="Palatino Linotype" w:eastAsia="Calibri" w:hAnsi="Palatino Linotype" w:cs="Arial"/>
        </w:rPr>
        <w:t>existieron varias denuncias que dieron origen a que se iniciara una investigación para determinar si durante el proceso de la licitación existieron irregularidades.</w:t>
      </w:r>
    </w:p>
    <w:p w:rsidR="00E551A2" w:rsidRPr="00AA1CB9" w:rsidRDefault="00E551A2" w:rsidP="00AA1CB9">
      <w:pPr>
        <w:pStyle w:val="Prrafodelista"/>
        <w:spacing w:line="360" w:lineRule="auto"/>
        <w:ind w:left="0"/>
        <w:jc w:val="both"/>
        <w:rPr>
          <w:rFonts w:ascii="Palatino Linotype" w:eastAsia="Calibri" w:hAnsi="Palatino Linotype" w:cs="Arial"/>
        </w:rPr>
      </w:pPr>
    </w:p>
    <w:p w:rsidR="00E551A2" w:rsidRPr="00AA1CB9" w:rsidRDefault="00EA03F6" w:rsidP="00AA1CB9">
      <w:pPr>
        <w:pStyle w:val="Prrafodelista"/>
        <w:numPr>
          <w:ilvl w:val="0"/>
          <w:numId w:val="1"/>
        </w:numPr>
        <w:spacing w:before="240" w:after="240" w:line="360" w:lineRule="auto"/>
        <w:ind w:left="0" w:firstLine="0"/>
        <w:jc w:val="both"/>
        <w:rPr>
          <w:rFonts w:ascii="Palatino Linotype" w:eastAsia="MS Mincho" w:hAnsi="Palatino Linotype"/>
          <w:color w:val="000000"/>
        </w:rPr>
      </w:pPr>
      <w:r w:rsidRPr="00AA1CB9">
        <w:rPr>
          <w:rFonts w:ascii="Palatino Linotype" w:eastAsia="MS Mincho" w:hAnsi="Palatino Linotype"/>
          <w:color w:val="000000"/>
        </w:rPr>
        <w:t xml:space="preserve">Resulta necesario precisar que </w:t>
      </w:r>
      <w:r w:rsidR="00E551A2" w:rsidRPr="00AA1CB9">
        <w:rPr>
          <w:rFonts w:ascii="Palatino Linotype" w:eastAsia="MS Mincho" w:hAnsi="Palatino Linotype"/>
          <w:color w:val="000000"/>
        </w:rPr>
        <w:t>el derecho de acceso a la información no sólo se basa en buscar, recabar y difundir la información que generan, poseen y/o administran los Sujetos Obligados, sino que también tiene como objetivo ser una herramienta funcional de control y vigilancia de los gobernados, ya que puede permitir evaluar la probable comisión de hechos constitutivos de corrupción, o de ser el caso comprobarla.</w:t>
      </w:r>
    </w:p>
    <w:p w:rsidR="00E551A2" w:rsidRPr="00AA1CB9" w:rsidRDefault="00E551A2" w:rsidP="00AA1CB9">
      <w:pPr>
        <w:pStyle w:val="Prrafodelista"/>
        <w:spacing w:before="240" w:after="240" w:line="360" w:lineRule="auto"/>
        <w:ind w:left="0"/>
        <w:jc w:val="both"/>
        <w:rPr>
          <w:rFonts w:ascii="Palatino Linotype" w:eastAsia="MS Mincho" w:hAnsi="Palatino Linotype"/>
          <w:color w:val="000000"/>
        </w:rPr>
      </w:pPr>
    </w:p>
    <w:p w:rsidR="00E551A2" w:rsidRPr="00AA1CB9" w:rsidRDefault="00E551A2" w:rsidP="00AA1CB9">
      <w:pPr>
        <w:pStyle w:val="Prrafodelista"/>
        <w:numPr>
          <w:ilvl w:val="0"/>
          <w:numId w:val="1"/>
        </w:numPr>
        <w:spacing w:before="240" w:after="240" w:line="360" w:lineRule="auto"/>
        <w:ind w:left="0" w:firstLine="0"/>
        <w:jc w:val="both"/>
        <w:rPr>
          <w:rFonts w:ascii="Palatino Linotype" w:eastAsia="MS Mincho" w:hAnsi="Palatino Linotype"/>
          <w:color w:val="000000"/>
        </w:rPr>
      </w:pPr>
      <w:r w:rsidRPr="00AA1CB9">
        <w:rPr>
          <w:rFonts w:ascii="Palatino Linotype" w:eastAsia="MS Mincho" w:hAnsi="Palatino Linotype"/>
          <w:color w:val="000000"/>
        </w:rPr>
        <w:lastRenderedPageBreak/>
        <w:t>Han sido del dominio público, múltiples notas periodísticas emitidas por los medios de comunicación convencionales, que dan cuenta de probables hechos de corrupción en licitaciones.</w:t>
      </w:r>
    </w:p>
    <w:p w:rsidR="00E551A2" w:rsidRPr="00AA1CB9" w:rsidRDefault="00E551A2" w:rsidP="00AA1CB9">
      <w:pPr>
        <w:pStyle w:val="Prrafodelista"/>
        <w:spacing w:before="240" w:after="240" w:line="360" w:lineRule="auto"/>
        <w:ind w:left="0"/>
        <w:jc w:val="both"/>
        <w:rPr>
          <w:rFonts w:ascii="Palatino Linotype" w:eastAsia="MS Mincho" w:hAnsi="Palatino Linotype"/>
          <w:color w:val="000000"/>
        </w:rPr>
      </w:pPr>
    </w:p>
    <w:p w:rsidR="00E551A2" w:rsidRPr="00AA1CB9" w:rsidRDefault="00E551A2" w:rsidP="00AA1CB9">
      <w:pPr>
        <w:pStyle w:val="Prrafodelista"/>
        <w:numPr>
          <w:ilvl w:val="0"/>
          <w:numId w:val="1"/>
        </w:numPr>
        <w:spacing w:before="240" w:after="240" w:line="360" w:lineRule="auto"/>
        <w:ind w:left="0" w:firstLine="0"/>
        <w:jc w:val="both"/>
        <w:rPr>
          <w:rFonts w:ascii="Palatino Linotype" w:eastAsia="MS Mincho" w:hAnsi="Palatino Linotype"/>
          <w:color w:val="000000"/>
        </w:rPr>
      </w:pPr>
      <w:r w:rsidRPr="00AA1CB9">
        <w:rPr>
          <w:rFonts w:ascii="Palatino Linotype" w:eastAsia="MS Mincho" w:hAnsi="Palatino Linotype"/>
          <w:color w:val="000000"/>
        </w:rPr>
        <w:t>La corrupción en las contrataciones públicas, eventualmente impide la entrada a empresas responsables, anula la confianza y agrava el deterioro de las instituciones públicas. Es por ello, que el derecho de acceso a la información que tutela este Instituto, debe convertirse en un fuerte disuasivo para las conductas indebidas.</w:t>
      </w:r>
    </w:p>
    <w:p w:rsidR="00E551A2" w:rsidRPr="00AA1CB9" w:rsidRDefault="00E551A2" w:rsidP="00AA1CB9">
      <w:pPr>
        <w:pStyle w:val="Prrafodelista"/>
        <w:spacing w:line="360" w:lineRule="auto"/>
        <w:ind w:left="0"/>
        <w:rPr>
          <w:rFonts w:ascii="Palatino Linotype" w:eastAsia="MS Mincho" w:hAnsi="Palatino Linotype"/>
          <w:color w:val="000000"/>
        </w:rPr>
      </w:pPr>
    </w:p>
    <w:p w:rsidR="00E551A2" w:rsidRPr="00AA1CB9" w:rsidRDefault="00E551A2" w:rsidP="00AA1CB9">
      <w:pPr>
        <w:pStyle w:val="Prrafodelista"/>
        <w:numPr>
          <w:ilvl w:val="0"/>
          <w:numId w:val="1"/>
        </w:numPr>
        <w:spacing w:before="240" w:after="240" w:line="360" w:lineRule="auto"/>
        <w:ind w:left="0" w:firstLine="0"/>
        <w:jc w:val="both"/>
        <w:rPr>
          <w:rFonts w:ascii="Palatino Linotype" w:eastAsia="MS Mincho" w:hAnsi="Palatino Linotype"/>
          <w:color w:val="000000"/>
        </w:rPr>
      </w:pPr>
      <w:r w:rsidRPr="00AA1CB9">
        <w:rPr>
          <w:rFonts w:ascii="Palatino Linotype" w:eastAsia="MS Mincho" w:hAnsi="Palatino Linotype"/>
          <w:color w:val="000000"/>
        </w:rPr>
        <w:t>Ha sido postura reiterada de esta Ponencia que resuelve, de incentivar al gobernado para que ejerza su derecho de acceso a la información también desde una óptica de contraloría ciudadana, que de observancia a probables actos de corrupción para comenzar a cambiar los incentivos.</w:t>
      </w:r>
    </w:p>
    <w:p w:rsidR="00E551A2" w:rsidRPr="00AA1CB9" w:rsidRDefault="00E551A2" w:rsidP="00AA1CB9">
      <w:pPr>
        <w:pStyle w:val="Prrafodelista"/>
        <w:spacing w:before="240" w:after="240" w:line="360" w:lineRule="auto"/>
        <w:ind w:left="0"/>
        <w:jc w:val="both"/>
        <w:rPr>
          <w:rFonts w:ascii="Palatino Linotype" w:eastAsia="MS Mincho" w:hAnsi="Palatino Linotype"/>
          <w:color w:val="000000"/>
        </w:rPr>
      </w:pPr>
    </w:p>
    <w:p w:rsidR="00E551A2" w:rsidRPr="00AA1CB9" w:rsidRDefault="00E551A2" w:rsidP="00AA1CB9">
      <w:pPr>
        <w:pStyle w:val="Prrafodelista"/>
        <w:numPr>
          <w:ilvl w:val="0"/>
          <w:numId w:val="1"/>
        </w:numPr>
        <w:spacing w:before="240" w:after="240" w:line="360" w:lineRule="auto"/>
        <w:ind w:left="0" w:firstLine="0"/>
        <w:jc w:val="both"/>
        <w:rPr>
          <w:rFonts w:ascii="Palatino Linotype" w:eastAsia="MS Mincho" w:hAnsi="Palatino Linotype"/>
          <w:color w:val="000000"/>
        </w:rPr>
      </w:pPr>
      <w:r w:rsidRPr="00AA1CB9">
        <w:rPr>
          <w:rFonts w:ascii="Palatino Linotype" w:eastAsia="MS Mincho" w:hAnsi="Palatino Linotype"/>
          <w:color w:val="000000"/>
        </w:rPr>
        <w:t>La corrupción es un fenómeno multifactorial. Por lo mismo, su combate exige soluciones y acciones por múltiples frentes, lo cual es especialmente cierto en el terreno de la contratación pública. En este sentido, se considera que solicitudes de información como la de mérito ciertamente propician aspectos como:</w:t>
      </w:r>
    </w:p>
    <w:p w:rsidR="00E551A2" w:rsidRPr="00AA1CB9" w:rsidRDefault="00E551A2" w:rsidP="00AA1CB9">
      <w:pPr>
        <w:pStyle w:val="Prrafodelista"/>
        <w:spacing w:before="240" w:after="240" w:line="360" w:lineRule="auto"/>
        <w:ind w:left="0"/>
        <w:jc w:val="both"/>
        <w:rPr>
          <w:rFonts w:ascii="Palatino Linotype" w:eastAsia="MS Mincho" w:hAnsi="Palatino Linotype"/>
          <w:color w:val="000000"/>
        </w:rPr>
      </w:pPr>
    </w:p>
    <w:p w:rsidR="00E551A2" w:rsidRPr="00AA1CB9" w:rsidRDefault="00E551A2" w:rsidP="00AA1CB9">
      <w:pPr>
        <w:pStyle w:val="Prrafodelista"/>
        <w:spacing w:before="240" w:after="240" w:line="360" w:lineRule="auto"/>
        <w:ind w:left="567"/>
        <w:jc w:val="both"/>
        <w:rPr>
          <w:rFonts w:ascii="Palatino Linotype" w:eastAsia="MS Mincho" w:hAnsi="Palatino Linotype"/>
          <w:color w:val="000000"/>
        </w:rPr>
      </w:pPr>
      <w:r w:rsidRPr="00AA1CB9">
        <w:rPr>
          <w:rFonts w:ascii="Palatino Linotype" w:eastAsia="MS Mincho" w:hAnsi="Palatino Linotype"/>
          <w:color w:val="000000"/>
        </w:rPr>
        <w:t>• Intensificar los mecanismos de transparencia y rendición de cuentas, en los procesos de contratación pública;</w:t>
      </w:r>
    </w:p>
    <w:p w:rsidR="00E551A2" w:rsidRPr="00AA1CB9" w:rsidRDefault="00E551A2" w:rsidP="00AA1CB9">
      <w:pPr>
        <w:pStyle w:val="Prrafodelista"/>
        <w:spacing w:before="240" w:after="240" w:line="360" w:lineRule="auto"/>
        <w:ind w:left="567"/>
        <w:jc w:val="both"/>
        <w:rPr>
          <w:rFonts w:ascii="Palatino Linotype" w:eastAsia="MS Mincho" w:hAnsi="Palatino Linotype"/>
          <w:color w:val="000000"/>
        </w:rPr>
      </w:pPr>
    </w:p>
    <w:p w:rsidR="00E551A2" w:rsidRPr="00AA1CB9" w:rsidRDefault="00E551A2" w:rsidP="00AA1CB9">
      <w:pPr>
        <w:pStyle w:val="Prrafodelista"/>
        <w:spacing w:before="240" w:after="240" w:line="360" w:lineRule="auto"/>
        <w:ind w:left="567"/>
        <w:jc w:val="both"/>
        <w:rPr>
          <w:rFonts w:ascii="Palatino Linotype" w:eastAsia="MS Mincho" w:hAnsi="Palatino Linotype"/>
          <w:color w:val="000000"/>
        </w:rPr>
      </w:pPr>
      <w:r w:rsidRPr="00AA1CB9">
        <w:rPr>
          <w:rFonts w:ascii="Palatino Linotype" w:eastAsia="MS Mincho" w:hAnsi="Palatino Linotype"/>
          <w:color w:val="000000"/>
        </w:rPr>
        <w:t>• Involucra y acerca más a la sociedad civil, lo que contribuye a recurrir con mayor frecuencia a las consultas públicas;</w:t>
      </w:r>
    </w:p>
    <w:p w:rsidR="00E551A2" w:rsidRPr="00AA1CB9" w:rsidRDefault="00E551A2" w:rsidP="00AA1CB9">
      <w:pPr>
        <w:pStyle w:val="Prrafodelista"/>
        <w:spacing w:before="240" w:after="240" w:line="360" w:lineRule="auto"/>
        <w:ind w:left="567"/>
        <w:jc w:val="both"/>
        <w:rPr>
          <w:rFonts w:ascii="Palatino Linotype" w:eastAsia="MS Mincho" w:hAnsi="Palatino Linotype"/>
          <w:color w:val="000000"/>
        </w:rPr>
      </w:pPr>
    </w:p>
    <w:p w:rsidR="00E551A2" w:rsidRPr="00AA1CB9" w:rsidRDefault="00E551A2" w:rsidP="00AA1CB9">
      <w:pPr>
        <w:pStyle w:val="Prrafodelista"/>
        <w:spacing w:before="240" w:after="240" w:line="360" w:lineRule="auto"/>
        <w:ind w:left="567"/>
        <w:jc w:val="both"/>
        <w:rPr>
          <w:rFonts w:ascii="Palatino Linotype" w:eastAsia="MS Mincho" w:hAnsi="Palatino Linotype"/>
          <w:color w:val="000000"/>
        </w:rPr>
      </w:pPr>
      <w:r w:rsidRPr="00AA1CB9">
        <w:rPr>
          <w:rFonts w:ascii="Palatino Linotype" w:eastAsia="MS Mincho" w:hAnsi="Palatino Linotype"/>
          <w:color w:val="000000"/>
        </w:rPr>
        <w:t>• Promueven, mecanismos de evaluación transparentes;</w:t>
      </w:r>
    </w:p>
    <w:p w:rsidR="00E551A2" w:rsidRPr="00AA1CB9" w:rsidRDefault="00E551A2" w:rsidP="00AA1CB9">
      <w:pPr>
        <w:pStyle w:val="Prrafodelista"/>
        <w:spacing w:before="240" w:after="240" w:line="360" w:lineRule="auto"/>
        <w:ind w:left="567"/>
        <w:jc w:val="both"/>
        <w:rPr>
          <w:rFonts w:ascii="Palatino Linotype" w:eastAsia="MS Mincho" w:hAnsi="Palatino Linotype"/>
          <w:color w:val="000000"/>
        </w:rPr>
      </w:pPr>
    </w:p>
    <w:p w:rsidR="00E551A2" w:rsidRPr="00AA1CB9" w:rsidRDefault="00E551A2" w:rsidP="00AA1CB9">
      <w:pPr>
        <w:pStyle w:val="Prrafodelista"/>
        <w:spacing w:before="240" w:after="240" w:line="360" w:lineRule="auto"/>
        <w:ind w:left="567"/>
        <w:jc w:val="both"/>
        <w:rPr>
          <w:rFonts w:ascii="Palatino Linotype" w:eastAsia="MS Mincho" w:hAnsi="Palatino Linotype"/>
          <w:color w:val="000000"/>
        </w:rPr>
      </w:pPr>
      <w:r w:rsidRPr="00AA1CB9">
        <w:rPr>
          <w:rFonts w:ascii="Palatino Linotype" w:eastAsia="MS Mincho" w:hAnsi="Palatino Linotype"/>
          <w:color w:val="000000"/>
        </w:rPr>
        <w:t xml:space="preserve">• Se aprovechan los avances tecnológicos, como lo es el Sistema de Acceso a la Información Mexiquense, como un sistema de control ciudadano, que permita allegarse a los gobernados de información que permita detectar riesgos asociados a la corrupción; información que puede concurrir a las denuncias que haya lugar, lo que permitirá mitigar hechos probables de corrupción; </w:t>
      </w:r>
    </w:p>
    <w:p w:rsidR="00E551A2" w:rsidRPr="00AA1CB9" w:rsidRDefault="00E551A2" w:rsidP="00AA1CB9">
      <w:pPr>
        <w:pStyle w:val="Prrafodelista"/>
        <w:spacing w:before="240" w:after="240" w:line="360" w:lineRule="auto"/>
        <w:ind w:left="0"/>
        <w:jc w:val="both"/>
        <w:rPr>
          <w:rFonts w:ascii="Palatino Linotype" w:eastAsia="MS Mincho" w:hAnsi="Palatino Linotype"/>
          <w:color w:val="000000"/>
        </w:rPr>
      </w:pPr>
    </w:p>
    <w:p w:rsidR="00E551A2" w:rsidRPr="00AA1CB9" w:rsidRDefault="00E551A2" w:rsidP="00AA1CB9">
      <w:pPr>
        <w:pStyle w:val="Prrafodelista"/>
        <w:numPr>
          <w:ilvl w:val="0"/>
          <w:numId w:val="1"/>
        </w:numPr>
        <w:spacing w:before="240" w:after="240" w:line="360" w:lineRule="auto"/>
        <w:ind w:left="0" w:firstLine="0"/>
        <w:jc w:val="both"/>
        <w:rPr>
          <w:rFonts w:ascii="Palatino Linotype" w:eastAsia="MS Mincho" w:hAnsi="Palatino Linotype"/>
          <w:color w:val="000000"/>
        </w:rPr>
      </w:pPr>
      <w:r w:rsidRPr="00AA1CB9">
        <w:rPr>
          <w:rFonts w:ascii="Palatino Linotype" w:eastAsia="MS Mincho" w:hAnsi="Palatino Linotype"/>
          <w:color w:val="000000"/>
        </w:rPr>
        <w:t>En conclusión, el derecho de acceso a la información, puede servir también como herramienta para combatir la corrupción, al ser un medio que permite el acceso a la información que dé cuenta de tales hechos que laceran el bienestar social.</w:t>
      </w:r>
    </w:p>
    <w:p w:rsidR="00E551A2" w:rsidRPr="00AA1CB9" w:rsidRDefault="00E551A2" w:rsidP="00AA1CB9">
      <w:pPr>
        <w:pStyle w:val="Prrafodelista"/>
        <w:spacing w:before="240" w:after="240" w:line="360" w:lineRule="auto"/>
        <w:ind w:left="0"/>
        <w:jc w:val="both"/>
        <w:rPr>
          <w:rFonts w:ascii="Palatino Linotype" w:eastAsia="MS Mincho" w:hAnsi="Palatino Linotype"/>
        </w:rPr>
      </w:pPr>
    </w:p>
    <w:p w:rsidR="00A17EFD" w:rsidRPr="00AA1CB9" w:rsidRDefault="00EA03F6"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Con lo anterior solo se demuestra que existe un interés de la sociedad de conocer la manera en que se llevó a cabo el procedimiento de licitación. </w:t>
      </w:r>
      <w:r w:rsidR="00A17EFD" w:rsidRPr="00AA1CB9">
        <w:rPr>
          <w:rFonts w:ascii="Palatino Linotype" w:eastAsia="Calibri" w:hAnsi="Palatino Linotype" w:cs="Arial"/>
        </w:rPr>
        <w:t xml:space="preserve">Además de lo mencionado, debemos recordar que las bases de la licitación ya se encuentran disponibles en un lugar de acceso público sin ningún tipo de restricción. Con estos dos elementos, podemos determinar que el pretender clasificar la información </w:t>
      </w:r>
      <w:r w:rsidR="00A17EFD" w:rsidRPr="00AA1CB9">
        <w:rPr>
          <w:rFonts w:ascii="Palatino Linotype" w:eastAsia="Calibri" w:hAnsi="Palatino Linotype" w:cs="Arial"/>
        </w:rPr>
        <w:lastRenderedPageBreak/>
        <w:t xml:space="preserve">relacionada con las características técnicas y específicas con las que cuentan los vehículos arrendados como información reservada, ocasionaría una afectación directa al derecho de acceso a la información. Toda vez la información se encuentra al alcance de cualquier persona en la página electrónica </w:t>
      </w:r>
      <w:r w:rsidR="00A17EFD" w:rsidRPr="00AA1CB9">
        <w:rPr>
          <w:rFonts w:ascii="Palatino Linotype" w:eastAsia="Calibri" w:hAnsi="Palatino Linotype" w:cs="Arial"/>
          <w:b/>
        </w:rPr>
        <w:t>“</w:t>
      </w:r>
      <w:proofErr w:type="spellStart"/>
      <w:r w:rsidR="00A17EFD" w:rsidRPr="00AA1CB9">
        <w:rPr>
          <w:rFonts w:ascii="Palatino Linotype" w:eastAsia="Calibri" w:hAnsi="Palatino Linotype" w:cs="Arial"/>
          <w:b/>
        </w:rPr>
        <w:t>compramex</w:t>
      </w:r>
      <w:proofErr w:type="spellEnd"/>
      <w:r w:rsidR="00A17EFD" w:rsidRPr="00AA1CB9">
        <w:rPr>
          <w:rFonts w:ascii="Palatino Linotype" w:eastAsia="Calibri" w:hAnsi="Palatino Linotype" w:cs="Arial"/>
          <w:b/>
        </w:rPr>
        <w:t>”</w:t>
      </w:r>
      <w:r w:rsidR="00B44876" w:rsidRPr="00AA1CB9">
        <w:rPr>
          <w:rFonts w:ascii="Palatino Linotype" w:eastAsia="Calibri" w:hAnsi="Palatino Linotype" w:cs="Arial"/>
          <w:b/>
        </w:rPr>
        <w:t>.</w:t>
      </w:r>
      <w:r w:rsidR="00B44876" w:rsidRPr="00AA1CB9">
        <w:rPr>
          <w:rFonts w:ascii="Palatino Linotype" w:eastAsia="Calibri" w:hAnsi="Palatino Linotype" w:cs="Arial"/>
        </w:rPr>
        <w:t xml:space="preserve"> </w:t>
      </w:r>
    </w:p>
    <w:p w:rsidR="00307B32" w:rsidRPr="00AA1CB9" w:rsidRDefault="00307B32" w:rsidP="00AA1CB9">
      <w:pPr>
        <w:pStyle w:val="Prrafodelista"/>
        <w:spacing w:line="360" w:lineRule="auto"/>
        <w:ind w:left="0"/>
        <w:jc w:val="both"/>
        <w:rPr>
          <w:rFonts w:ascii="Palatino Linotype" w:eastAsia="Calibri" w:hAnsi="Palatino Linotype" w:cs="Arial"/>
        </w:rPr>
      </w:pPr>
    </w:p>
    <w:p w:rsidR="00B44876" w:rsidRPr="00AA1CB9" w:rsidRDefault="00B44876"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Entonces, aún y cuando la naturaleza jurídica de la información </w:t>
      </w:r>
      <w:r w:rsidR="009E1B6E" w:rsidRPr="00AA1CB9">
        <w:rPr>
          <w:rFonts w:ascii="Palatino Linotype" w:eastAsia="Calibri" w:hAnsi="Palatino Linotype" w:cs="Arial"/>
        </w:rPr>
        <w:t xml:space="preserve">pudiera actualizar una </w:t>
      </w:r>
      <w:r w:rsidR="00CD4915" w:rsidRPr="00AA1CB9">
        <w:rPr>
          <w:rFonts w:ascii="Palatino Linotype" w:eastAsia="Calibri" w:hAnsi="Palatino Linotype" w:cs="Arial"/>
        </w:rPr>
        <w:t xml:space="preserve">causal de reserva, </w:t>
      </w:r>
      <w:r w:rsidRPr="00AA1CB9">
        <w:rPr>
          <w:rFonts w:ascii="Palatino Linotype" w:eastAsia="Calibri" w:hAnsi="Palatino Linotype" w:cs="Arial"/>
        </w:rPr>
        <w:t>este Órgano Garante se encuentra imposibilitado de conceder la pretendida clasificación a la que hace alusión el Sujeto Obligado</w:t>
      </w:r>
      <w:r w:rsidR="00307B32" w:rsidRPr="00AA1CB9">
        <w:rPr>
          <w:rFonts w:ascii="Palatino Linotype" w:eastAsia="Calibri" w:hAnsi="Palatino Linotype" w:cs="Arial"/>
        </w:rPr>
        <w:t xml:space="preserve"> </w:t>
      </w:r>
      <w:r w:rsidRPr="00AA1CB9">
        <w:rPr>
          <w:rFonts w:ascii="Palatino Linotype" w:eastAsia="Calibri" w:hAnsi="Palatino Linotype" w:cs="Arial"/>
        </w:rPr>
        <w:t>tanto en respuesta como en informe justificado. En raz</w:t>
      </w:r>
      <w:r w:rsidR="00307B32" w:rsidRPr="00AA1CB9">
        <w:rPr>
          <w:rFonts w:ascii="Palatino Linotype" w:eastAsia="Calibri" w:hAnsi="Palatino Linotype" w:cs="Arial"/>
        </w:rPr>
        <w:t>ón de que, al ser pública</w:t>
      </w:r>
      <w:r w:rsidRPr="00AA1CB9">
        <w:rPr>
          <w:rFonts w:ascii="Palatino Linotype" w:eastAsia="Calibri" w:hAnsi="Palatino Linotype" w:cs="Arial"/>
        </w:rPr>
        <w:t xml:space="preserve"> en una dirección electrónica sin ningún tipo de restricción, demuestra que la divulgación de la misma no podría generar </w:t>
      </w:r>
      <w:r w:rsidR="00F01E76" w:rsidRPr="00AA1CB9">
        <w:rPr>
          <w:rFonts w:ascii="Palatino Linotype" w:eastAsia="Calibri" w:hAnsi="Palatino Linotype" w:cs="Arial"/>
        </w:rPr>
        <w:t>ningún daño o vulnerar</w:t>
      </w:r>
      <w:r w:rsidR="00CD4915" w:rsidRPr="00AA1CB9">
        <w:rPr>
          <w:rFonts w:ascii="Palatino Linotype" w:eastAsia="Calibri" w:hAnsi="Palatino Linotype" w:cs="Arial"/>
        </w:rPr>
        <w:t xml:space="preserve"> la seguridad del</w:t>
      </w:r>
      <w:r w:rsidRPr="00AA1CB9">
        <w:rPr>
          <w:rFonts w:ascii="Palatino Linotype" w:eastAsia="Calibri" w:hAnsi="Palatino Linotype" w:cs="Arial"/>
        </w:rPr>
        <w:t xml:space="preserve"> Estado, puesto que de lo contrario, antes de hacer públicas las bases y documentos relacionados con la licitación, se debieron tomar las medidas necesarias previendo cualquier eventualidad o afectación que pudiera surgir por la divulgación de las documentales.</w:t>
      </w:r>
    </w:p>
    <w:p w:rsidR="00A17EFD" w:rsidRPr="00AA1CB9" w:rsidRDefault="00A17EFD" w:rsidP="00AA1CB9">
      <w:pPr>
        <w:pStyle w:val="Prrafodelista"/>
        <w:spacing w:line="360" w:lineRule="auto"/>
        <w:ind w:left="0"/>
        <w:jc w:val="both"/>
        <w:rPr>
          <w:rFonts w:ascii="Palatino Linotype" w:eastAsia="Calibri" w:hAnsi="Palatino Linotype" w:cs="Arial"/>
        </w:rPr>
      </w:pPr>
    </w:p>
    <w:p w:rsidR="00B44876" w:rsidRPr="00AA1CB9" w:rsidRDefault="00B44876"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A falta de restricción para allegarse de la información relacionada con las características técnicas y especificas con las que cuentan las unidades vehiculares arrendadas para patrullas, este Órgano Garante determina que no es procedente la clasificación de la información, puesto que, a nada practico nos conduciría restringir el derecho ejercido por el recurrente, en el presente recurso de revisión, cuando </w:t>
      </w:r>
      <w:r w:rsidRPr="00AA1CB9">
        <w:rPr>
          <w:rFonts w:ascii="Palatino Linotype" w:eastAsia="Calibri" w:hAnsi="Palatino Linotype" w:cs="Arial"/>
        </w:rPr>
        <w:lastRenderedPageBreak/>
        <w:t xml:space="preserve">puede acceder a las documentales, de manera íntegra en la dirección electrónica de </w:t>
      </w:r>
      <w:r w:rsidRPr="00AA1CB9">
        <w:rPr>
          <w:rFonts w:ascii="Palatino Linotype" w:eastAsia="Calibri" w:hAnsi="Palatino Linotype" w:cs="Arial"/>
          <w:b/>
        </w:rPr>
        <w:t>“</w:t>
      </w:r>
      <w:proofErr w:type="spellStart"/>
      <w:r w:rsidRPr="00AA1CB9">
        <w:rPr>
          <w:rFonts w:ascii="Palatino Linotype" w:eastAsia="Calibri" w:hAnsi="Palatino Linotype" w:cs="Arial"/>
          <w:b/>
        </w:rPr>
        <w:t>compramex</w:t>
      </w:r>
      <w:proofErr w:type="spellEnd"/>
      <w:r w:rsidRPr="00AA1CB9">
        <w:rPr>
          <w:rFonts w:ascii="Palatino Linotype" w:eastAsia="Calibri" w:hAnsi="Palatino Linotype" w:cs="Arial"/>
          <w:b/>
        </w:rPr>
        <w:t>”.</w:t>
      </w:r>
    </w:p>
    <w:p w:rsidR="00B44876" w:rsidRPr="00AA1CB9" w:rsidRDefault="00B44876" w:rsidP="00AA1CB9">
      <w:pPr>
        <w:pStyle w:val="Prrafodelista"/>
        <w:spacing w:line="360" w:lineRule="auto"/>
        <w:rPr>
          <w:rFonts w:ascii="Palatino Linotype" w:eastAsia="Calibri" w:hAnsi="Palatino Linotype" w:cs="Arial"/>
        </w:rPr>
      </w:pPr>
    </w:p>
    <w:p w:rsidR="00CD4915" w:rsidRPr="00CD7514" w:rsidRDefault="00CD4915" w:rsidP="00AA1CB9">
      <w:pPr>
        <w:pStyle w:val="Prrafodelista"/>
        <w:numPr>
          <w:ilvl w:val="0"/>
          <w:numId w:val="1"/>
        </w:numPr>
        <w:spacing w:line="360" w:lineRule="auto"/>
        <w:ind w:left="0" w:firstLine="0"/>
        <w:jc w:val="both"/>
        <w:rPr>
          <w:rFonts w:ascii="Palatino Linotype" w:eastAsia="Calibri" w:hAnsi="Palatino Linotype" w:cs="Arial"/>
        </w:rPr>
      </w:pPr>
      <w:r w:rsidRPr="00CD7514">
        <w:rPr>
          <w:rFonts w:ascii="Palatino Linotype" w:eastAsia="Calibri" w:hAnsi="Palatino Linotype" w:cs="Arial"/>
        </w:rPr>
        <w:t>Por lo que corresponde al correo electrónico del Oficial Mayor, el Sujeto Obligado en su respuesta manifestó que se compone de letras y números que se relacionan directamente con su titular; sin embargo, en ningún momento hace referencia a que se trata de un correo electrónico personal, o bien, si se trata de un correo electr</w:t>
      </w:r>
      <w:r w:rsidR="009655B5" w:rsidRPr="00CD7514">
        <w:rPr>
          <w:rFonts w:ascii="Palatino Linotype" w:eastAsia="Calibri" w:hAnsi="Palatino Linotype" w:cs="Arial"/>
        </w:rPr>
        <w:t>ónico institucional, por lo que se procedió a su clasificación sin brindar más detalles de la información.</w:t>
      </w:r>
    </w:p>
    <w:p w:rsidR="009655B5" w:rsidRPr="00CD7514" w:rsidRDefault="009655B5" w:rsidP="00AA1CB9">
      <w:pPr>
        <w:pStyle w:val="Prrafodelista"/>
        <w:spacing w:line="360" w:lineRule="auto"/>
        <w:rPr>
          <w:rFonts w:ascii="Palatino Linotype" w:eastAsia="Calibri" w:hAnsi="Palatino Linotype" w:cs="Arial"/>
        </w:rPr>
      </w:pPr>
    </w:p>
    <w:p w:rsidR="00F01E76" w:rsidRPr="00CD7514" w:rsidRDefault="009655B5" w:rsidP="00AA1CB9">
      <w:pPr>
        <w:pStyle w:val="Prrafodelista"/>
        <w:numPr>
          <w:ilvl w:val="0"/>
          <w:numId w:val="1"/>
        </w:numPr>
        <w:spacing w:line="360" w:lineRule="auto"/>
        <w:ind w:left="0" w:firstLine="0"/>
        <w:jc w:val="both"/>
        <w:rPr>
          <w:rFonts w:ascii="Palatino Linotype" w:eastAsia="Calibri" w:hAnsi="Palatino Linotype" w:cs="Arial"/>
        </w:rPr>
      </w:pPr>
      <w:r w:rsidRPr="00CD7514">
        <w:rPr>
          <w:rFonts w:ascii="Palatino Linotype" w:eastAsia="Calibri" w:hAnsi="Palatino Linotype" w:cs="Arial"/>
        </w:rPr>
        <w:t xml:space="preserve">Debemos enfatizar que el correo electrónico </w:t>
      </w:r>
      <w:r w:rsidR="00F01E76" w:rsidRPr="00CD7514">
        <w:rPr>
          <w:rFonts w:ascii="Palatino Linotype" w:eastAsia="Calibri" w:hAnsi="Palatino Linotype" w:cs="Arial"/>
        </w:rPr>
        <w:t xml:space="preserve">del Oficial Mayor </w:t>
      </w:r>
      <w:r w:rsidRPr="00CD7514">
        <w:rPr>
          <w:rFonts w:ascii="Palatino Linotype" w:eastAsia="Calibri" w:hAnsi="Palatino Linotype" w:cs="Arial"/>
        </w:rPr>
        <w:t>se encuentra en una solicitud de adquisición de bienes, misma que es parte de un proceso de licitación. Asimi</w:t>
      </w:r>
      <w:r w:rsidR="00F01E76" w:rsidRPr="00CD7514">
        <w:rPr>
          <w:rFonts w:ascii="Palatino Linotype" w:eastAsia="Calibri" w:hAnsi="Palatino Linotype" w:cs="Arial"/>
        </w:rPr>
        <w:t>smo, debemos señalar que al ser utilizado en e</w:t>
      </w:r>
      <w:r w:rsidRPr="00CD7514">
        <w:rPr>
          <w:rFonts w:ascii="Palatino Linotype" w:eastAsia="Calibri" w:hAnsi="Palatino Linotype" w:cs="Arial"/>
        </w:rPr>
        <w:t xml:space="preserve">l ejercicio de sus funciones, atribuciones y competencias como servidor público, el correo electrónico inmerso en las documentales remitidas en respuesta, no podría ser clasificado como confidencial, </w:t>
      </w:r>
      <w:r w:rsidR="00F01E76" w:rsidRPr="00CD7514">
        <w:rPr>
          <w:rFonts w:ascii="Palatino Linotype" w:eastAsia="Calibri" w:hAnsi="Palatino Linotype" w:cs="Arial"/>
        </w:rPr>
        <w:t xml:space="preserve">toda vez que </w:t>
      </w:r>
      <w:r w:rsidRPr="00CD7514">
        <w:rPr>
          <w:rFonts w:ascii="Palatino Linotype" w:eastAsia="Calibri" w:hAnsi="Palatino Linotype" w:cs="Arial"/>
        </w:rPr>
        <w:t xml:space="preserve">podría ser materia de solicitudes de acceso a la información. </w:t>
      </w:r>
    </w:p>
    <w:p w:rsidR="00F01E76" w:rsidRPr="00CD7514" w:rsidRDefault="00F01E76" w:rsidP="00AA1CB9">
      <w:pPr>
        <w:pStyle w:val="Prrafodelista"/>
        <w:spacing w:line="360" w:lineRule="auto"/>
        <w:rPr>
          <w:rFonts w:ascii="Palatino Linotype" w:eastAsia="Calibri" w:hAnsi="Palatino Linotype" w:cs="Arial"/>
        </w:rPr>
      </w:pPr>
    </w:p>
    <w:p w:rsidR="009655B5" w:rsidRPr="00CD7514" w:rsidRDefault="009655B5" w:rsidP="00AA1CB9">
      <w:pPr>
        <w:pStyle w:val="Prrafodelista"/>
        <w:numPr>
          <w:ilvl w:val="0"/>
          <w:numId w:val="1"/>
        </w:numPr>
        <w:spacing w:line="360" w:lineRule="auto"/>
        <w:ind w:left="0" w:firstLine="0"/>
        <w:jc w:val="both"/>
        <w:rPr>
          <w:rFonts w:ascii="Palatino Linotype" w:eastAsia="Calibri" w:hAnsi="Palatino Linotype" w:cs="Arial"/>
        </w:rPr>
      </w:pPr>
      <w:r w:rsidRPr="00CD7514">
        <w:rPr>
          <w:rFonts w:ascii="Palatino Linotype" w:eastAsia="Calibri" w:hAnsi="Palatino Linotype" w:cs="Arial"/>
        </w:rPr>
        <w:t>Los servidores públicos no deberían utilizar correos electrónicos personales en asuntos que se deriven directamente del ejercicio de sus funciones y, de ser el caso de que se hayan utilizado, no podrían ser clasificados como confidenciales.</w:t>
      </w:r>
    </w:p>
    <w:p w:rsidR="009655B5" w:rsidRPr="00CD7514" w:rsidRDefault="009655B5" w:rsidP="00AA1CB9">
      <w:pPr>
        <w:pStyle w:val="Prrafodelista"/>
        <w:spacing w:line="360" w:lineRule="auto"/>
        <w:rPr>
          <w:rFonts w:ascii="Palatino Linotype" w:eastAsia="Calibri" w:hAnsi="Palatino Linotype" w:cs="Arial"/>
        </w:rPr>
      </w:pPr>
    </w:p>
    <w:p w:rsidR="009655B5" w:rsidRPr="00CD7514" w:rsidRDefault="009655B5" w:rsidP="00AA1CB9">
      <w:pPr>
        <w:pStyle w:val="Prrafodelista"/>
        <w:numPr>
          <w:ilvl w:val="0"/>
          <w:numId w:val="1"/>
        </w:numPr>
        <w:spacing w:line="360" w:lineRule="auto"/>
        <w:ind w:left="0" w:firstLine="0"/>
        <w:jc w:val="both"/>
        <w:rPr>
          <w:rFonts w:ascii="Palatino Linotype" w:eastAsia="Calibri" w:hAnsi="Palatino Linotype" w:cs="Arial"/>
        </w:rPr>
      </w:pPr>
      <w:r w:rsidRPr="00CD7514">
        <w:rPr>
          <w:rFonts w:ascii="Palatino Linotype" w:hAnsi="Palatino Linotype" w:cs="Arial"/>
        </w:rPr>
        <w:lastRenderedPageBreak/>
        <w:t>Lo anterior, se robustece con lo plasmado en el criterio</w:t>
      </w:r>
      <w:r w:rsidRPr="00CD7514">
        <w:rPr>
          <w:rFonts w:ascii="Palatino Linotype" w:hAnsi="Palatino Linotype"/>
        </w:rPr>
        <w:t xml:space="preserve"> 8-10 emitido por el entonces Instituto Federal de Acceso a la Información y Protección de Datos (IFAI) ahora Instituto Nacional de Transparencia, Acceso a la Información, y Protección de Datos Personales (INAI),  que lleva por rubro y texto los siguientes: </w:t>
      </w:r>
    </w:p>
    <w:p w:rsidR="009655B5" w:rsidRPr="00CD7514" w:rsidRDefault="009655B5" w:rsidP="00AA1CB9">
      <w:pPr>
        <w:spacing w:before="240" w:after="240" w:line="360" w:lineRule="auto"/>
        <w:ind w:left="851" w:right="902"/>
        <w:jc w:val="both"/>
        <w:rPr>
          <w:rFonts w:ascii="Palatino Linotype" w:hAnsi="Palatino Linotype"/>
          <w:i/>
          <w:sz w:val="22"/>
        </w:rPr>
      </w:pPr>
      <w:r w:rsidRPr="00CD7514">
        <w:rPr>
          <w:rFonts w:ascii="Palatino Linotype" w:hAnsi="Palatino Linotype"/>
          <w:i/>
          <w:sz w:val="22"/>
        </w:rPr>
        <w:t>“</w:t>
      </w:r>
      <w:r w:rsidRPr="00CD7514">
        <w:rPr>
          <w:rFonts w:ascii="Palatino Linotype" w:hAnsi="Palatino Linotype"/>
          <w:b/>
          <w:i/>
          <w:sz w:val="22"/>
        </w:rPr>
        <w:t xml:space="preserve">Correos electrónicos que constituyen documentos susceptibles de acceso a la información. </w:t>
      </w:r>
      <w:r w:rsidRPr="00CD7514">
        <w:rPr>
          <w:rFonts w:ascii="Palatino Linotype" w:hAnsi="Palatino Linotype"/>
          <w:i/>
          <w:sz w:val="22"/>
        </w:rPr>
        <w:t>Las comunicaciones enviadas y recibidas a través de correos electrónicos institucionales, incluidos los archivos adjuntos, que registran 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 (Sic)</w:t>
      </w:r>
    </w:p>
    <w:p w:rsidR="009655B5" w:rsidRPr="00CD7514" w:rsidRDefault="00B44876" w:rsidP="00AA1CB9">
      <w:pPr>
        <w:pStyle w:val="Prrafodelista"/>
        <w:numPr>
          <w:ilvl w:val="0"/>
          <w:numId w:val="1"/>
        </w:numPr>
        <w:spacing w:line="360" w:lineRule="auto"/>
        <w:ind w:left="0" w:firstLine="0"/>
        <w:jc w:val="both"/>
        <w:rPr>
          <w:rFonts w:ascii="Palatino Linotype" w:eastAsia="Calibri" w:hAnsi="Palatino Linotype" w:cs="Arial"/>
        </w:rPr>
      </w:pPr>
      <w:r w:rsidRPr="00CD7514">
        <w:rPr>
          <w:rFonts w:ascii="Palatino Linotype" w:eastAsia="Calibri" w:hAnsi="Palatino Linotype" w:cs="Arial"/>
        </w:rPr>
        <w:t xml:space="preserve">Por lo anteriormente mencionado, este Instituto ORDENA hacer entrega de </w:t>
      </w:r>
      <w:r w:rsidR="007E298D" w:rsidRPr="00CD7514">
        <w:rPr>
          <w:rFonts w:ascii="Palatino Linotype" w:eastAsia="Calibri" w:hAnsi="Palatino Linotype" w:cs="Arial"/>
        </w:rPr>
        <w:t>los do</w:t>
      </w:r>
      <w:r w:rsidR="009655B5" w:rsidRPr="00CD7514">
        <w:rPr>
          <w:rFonts w:ascii="Palatino Linotype" w:eastAsia="Calibri" w:hAnsi="Palatino Linotype" w:cs="Arial"/>
        </w:rPr>
        <w:t>cumentos remitidos en respuesta,</w:t>
      </w:r>
      <w:r w:rsidR="00F01E76" w:rsidRPr="00CD7514">
        <w:rPr>
          <w:rFonts w:ascii="Palatino Linotype" w:eastAsia="Calibri" w:hAnsi="Palatino Linotype" w:cs="Arial"/>
        </w:rPr>
        <w:t xml:space="preserve"> mismos que son identificados como </w:t>
      </w:r>
      <w:r w:rsidR="00F01E76" w:rsidRPr="00CD7514">
        <w:rPr>
          <w:rFonts w:ascii="Palatino Linotype" w:eastAsia="Calibri" w:hAnsi="Palatino Linotype" w:cs="Arial"/>
          <w:b/>
        </w:rPr>
        <w:t>1.pdf; 462.pdf; y 2.pdf,</w:t>
      </w:r>
      <w:r w:rsidR="00F01E76" w:rsidRPr="00CD7514">
        <w:rPr>
          <w:rFonts w:ascii="Palatino Linotype" w:eastAsia="Calibri" w:hAnsi="Palatino Linotype" w:cs="Arial"/>
        </w:rPr>
        <w:t xml:space="preserve"> éstos deberán ser proporcionados</w:t>
      </w:r>
      <w:r w:rsidR="009655B5" w:rsidRPr="00CD7514">
        <w:rPr>
          <w:rFonts w:ascii="Palatino Linotype" w:eastAsia="Calibri" w:hAnsi="Palatino Linotype" w:cs="Arial"/>
        </w:rPr>
        <w:t xml:space="preserve"> de manera </w:t>
      </w:r>
      <w:r w:rsidR="00F01E76" w:rsidRPr="00CD7514">
        <w:rPr>
          <w:rFonts w:ascii="Palatino Linotype" w:eastAsia="Calibri" w:hAnsi="Palatino Linotype" w:cs="Arial"/>
        </w:rPr>
        <w:t>íntegra, es decir, sin clasificar ningún dato.</w:t>
      </w:r>
    </w:p>
    <w:p w:rsidR="006E1DEE" w:rsidRPr="00AA1CB9" w:rsidRDefault="009655B5" w:rsidP="00AA1CB9">
      <w:pPr>
        <w:pStyle w:val="Prrafodelista"/>
        <w:spacing w:line="360" w:lineRule="auto"/>
        <w:ind w:left="0"/>
        <w:jc w:val="both"/>
        <w:rPr>
          <w:rFonts w:ascii="Palatino Linotype" w:eastAsia="Calibri" w:hAnsi="Palatino Linotype" w:cs="Arial"/>
        </w:rPr>
      </w:pPr>
      <w:r w:rsidRPr="00AA1CB9">
        <w:rPr>
          <w:rFonts w:ascii="Palatino Linotype" w:eastAsia="Calibri" w:hAnsi="Palatino Linotype" w:cs="Arial"/>
        </w:rPr>
        <w:lastRenderedPageBreak/>
        <w:t xml:space="preserve"> </w:t>
      </w:r>
      <w:r w:rsidR="006E1DEE" w:rsidRPr="00AA1CB9">
        <w:rPr>
          <w:rFonts w:ascii="Palatino Linotype" w:eastAsia="Calibri" w:hAnsi="Palatino Linotype" w:cs="Arial"/>
        </w:rPr>
        <w:t xml:space="preserve">Por otra parte, el Sujeto Obligado fue omiso en pronunciarse sobre las </w:t>
      </w:r>
      <w:r w:rsidR="006E1DEE" w:rsidRPr="00AA1CB9">
        <w:rPr>
          <w:rFonts w:ascii="Palatino Linotype" w:eastAsia="Calibri" w:hAnsi="Palatino Linotype" w:cs="Arial"/>
          <w:b/>
        </w:rPr>
        <w:t>acciones que tomó el representante de la Contraloría en la revisión de las bases direccionadas a marca de vehículo y equipo policial.</w:t>
      </w:r>
    </w:p>
    <w:p w:rsidR="006E1DEE" w:rsidRPr="00AA1CB9" w:rsidRDefault="006E1DEE" w:rsidP="00AA1CB9">
      <w:pPr>
        <w:pStyle w:val="Prrafodelista"/>
        <w:spacing w:line="360" w:lineRule="auto"/>
        <w:rPr>
          <w:rFonts w:ascii="Palatino Linotype" w:eastAsia="Calibri" w:hAnsi="Palatino Linotype" w:cs="Arial"/>
        </w:rPr>
      </w:pPr>
    </w:p>
    <w:p w:rsidR="006E1DEE" w:rsidRPr="00AA1CB9" w:rsidRDefault="006E1DEE"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Entonces, aún y cuando no haya sido un punto controvertido por el particular, este Órgano Garante no pasó desapercibido que el Sujeto Obligado fue omiso</w:t>
      </w:r>
      <w:r w:rsidR="00EE305C" w:rsidRPr="00AA1CB9">
        <w:rPr>
          <w:rFonts w:ascii="Palatino Linotype" w:eastAsia="Calibri" w:hAnsi="Palatino Linotype" w:cs="Arial"/>
        </w:rPr>
        <w:t xml:space="preserve"> en atender este requerimiento, en consecuencia es necesario referir que el Manual de Organización de la Secretaría de Seguridad</w:t>
      </w:r>
      <w:r w:rsidR="00EE305C" w:rsidRPr="00AA1CB9">
        <w:rPr>
          <w:rStyle w:val="Refdenotaalpie"/>
          <w:rFonts w:ascii="Palatino Linotype" w:eastAsia="Calibri" w:hAnsi="Palatino Linotype" w:cs="Arial"/>
        </w:rPr>
        <w:footnoteReference w:id="21"/>
      </w:r>
      <w:r w:rsidR="00EE305C" w:rsidRPr="00AA1CB9">
        <w:rPr>
          <w:rFonts w:ascii="Palatino Linotype" w:eastAsia="Calibri" w:hAnsi="Palatino Linotype" w:cs="Arial"/>
        </w:rPr>
        <w:t xml:space="preserve"> establece que la Contraloría Interna debe </w:t>
      </w:r>
      <w:r w:rsidR="00EE305C" w:rsidRPr="00AA1CB9">
        <w:rPr>
          <w:rFonts w:ascii="Palatino Linotype" w:hAnsi="Palatino Linotype"/>
          <w:i/>
        </w:rPr>
        <w:t xml:space="preserve">Vigilar, revisar y evaluar que las funciones encomendadas a la Secretaría de Seguridad Ciudadana se realicen de conformidad con las disposiciones jurídico-administrativas que las regulan, mediante la ejecución de acciones y observaciones de control y evaluación y el desahogo de procedimientos administrativos, así como recibir, tramitar y dar seguimiento a las quejas o denuncias e instrumentar y resolver los procedimientos administrativos de su competencia en términos de la Ley de Responsabilidades de los Servidores Públicos del Estado y Municipios y, </w:t>
      </w:r>
      <w:r w:rsidR="00EE305C" w:rsidRPr="00AA1CB9">
        <w:rPr>
          <w:rFonts w:ascii="Palatino Linotype" w:hAnsi="Palatino Linotype"/>
        </w:rPr>
        <w:t>entre sus funciones se encuentran las siguientes:</w:t>
      </w:r>
    </w:p>
    <w:p w:rsidR="00EE305C" w:rsidRPr="00AA1CB9" w:rsidRDefault="00EE305C" w:rsidP="00AA1CB9">
      <w:pPr>
        <w:pStyle w:val="Prrafodelista"/>
        <w:spacing w:line="360" w:lineRule="auto"/>
        <w:rPr>
          <w:rFonts w:ascii="Palatino Linotype" w:eastAsia="Calibri" w:hAnsi="Palatino Linotype" w:cs="Arial"/>
        </w:rPr>
      </w:pPr>
    </w:p>
    <w:p w:rsidR="00EE305C" w:rsidRPr="00AA1CB9" w:rsidRDefault="00EE305C" w:rsidP="00AA1CB9">
      <w:pPr>
        <w:pStyle w:val="Prrafodelista"/>
        <w:numPr>
          <w:ilvl w:val="0"/>
          <w:numId w:val="49"/>
        </w:numPr>
        <w:spacing w:line="360" w:lineRule="auto"/>
        <w:ind w:right="567"/>
        <w:jc w:val="both"/>
        <w:rPr>
          <w:rFonts w:ascii="Palatino Linotype" w:hAnsi="Palatino Linotype"/>
          <w:i/>
        </w:rPr>
      </w:pPr>
      <w:r w:rsidRPr="00AA1CB9">
        <w:rPr>
          <w:rFonts w:ascii="Palatino Linotype" w:hAnsi="Palatino Linotype"/>
          <w:i/>
        </w:rPr>
        <w:t xml:space="preserve">Realizar revisiones administrativas, contables, operacionales, técnicas y jurídicas a las unidades administrativas de la Secretaría, tendientes a </w:t>
      </w:r>
      <w:r w:rsidRPr="00AA1CB9">
        <w:rPr>
          <w:rFonts w:ascii="Palatino Linotype" w:hAnsi="Palatino Linotype"/>
          <w:i/>
        </w:rPr>
        <w:lastRenderedPageBreak/>
        <w:t>verificar el cumplimiento de las normas y disposiciones relacionadas con los sistemas de registro, contabilidad, contratación y pago de personal, contratación de servicios, obra pública, adquisiciones, arrendamiento, conservación, uso, destino, afectación, enajenación y baja de bienes y demás activos asignados.</w:t>
      </w:r>
    </w:p>
    <w:p w:rsidR="00EE305C" w:rsidRPr="00AA1CB9" w:rsidRDefault="00EE305C" w:rsidP="00AA1CB9">
      <w:pPr>
        <w:pStyle w:val="Prrafodelista"/>
        <w:spacing w:line="360" w:lineRule="auto"/>
        <w:ind w:left="567" w:right="567"/>
        <w:jc w:val="both"/>
        <w:rPr>
          <w:rFonts w:ascii="Palatino Linotype" w:hAnsi="Palatino Linotype"/>
          <w:i/>
        </w:rPr>
      </w:pPr>
    </w:p>
    <w:p w:rsidR="00EE305C" w:rsidRPr="00AA1CB9" w:rsidRDefault="00EE305C" w:rsidP="00AA1CB9">
      <w:pPr>
        <w:pStyle w:val="Prrafodelista"/>
        <w:numPr>
          <w:ilvl w:val="0"/>
          <w:numId w:val="49"/>
        </w:numPr>
        <w:spacing w:line="360" w:lineRule="auto"/>
        <w:ind w:right="567"/>
        <w:jc w:val="both"/>
        <w:rPr>
          <w:rFonts w:ascii="Palatino Linotype" w:hAnsi="Palatino Linotype"/>
          <w:b/>
          <w:i/>
        </w:rPr>
      </w:pPr>
      <w:r w:rsidRPr="00AA1CB9">
        <w:rPr>
          <w:rFonts w:ascii="Palatino Linotype" w:hAnsi="Palatino Linotype"/>
          <w:b/>
          <w:i/>
        </w:rPr>
        <w:t>Participar, directamente o a través de un representante, en actos adquisitivos de bienes y servicios, así como en todos aquellos de carácter administrativo que celebren o en los que participen las unidades administrativas de la Secretaría.</w:t>
      </w:r>
    </w:p>
    <w:p w:rsidR="00EE305C" w:rsidRPr="00AA1CB9" w:rsidRDefault="00EE305C" w:rsidP="00AA1CB9">
      <w:pPr>
        <w:pStyle w:val="Prrafodelista"/>
        <w:spacing w:line="360" w:lineRule="auto"/>
        <w:ind w:left="567" w:right="567"/>
        <w:jc w:val="both"/>
        <w:rPr>
          <w:rFonts w:ascii="Palatino Linotype" w:hAnsi="Palatino Linotype"/>
          <w:i/>
        </w:rPr>
      </w:pPr>
    </w:p>
    <w:p w:rsidR="00EE305C" w:rsidRPr="00AA1CB9" w:rsidRDefault="00EE305C" w:rsidP="00AA1CB9">
      <w:pPr>
        <w:pStyle w:val="Prrafodelista"/>
        <w:numPr>
          <w:ilvl w:val="0"/>
          <w:numId w:val="49"/>
        </w:numPr>
        <w:spacing w:line="360" w:lineRule="auto"/>
        <w:ind w:right="567"/>
        <w:jc w:val="both"/>
        <w:rPr>
          <w:rFonts w:ascii="Palatino Linotype" w:eastAsia="Calibri" w:hAnsi="Palatino Linotype" w:cs="Arial"/>
          <w:i/>
        </w:rPr>
      </w:pPr>
      <w:r w:rsidRPr="00AA1CB9">
        <w:rPr>
          <w:rFonts w:ascii="Palatino Linotype" w:hAnsi="Palatino Linotype"/>
          <w:i/>
        </w:rPr>
        <w:t>Vigilar, en la esfera de su competencia, el cumplimiento de las obligaciones adquiridas por la Dependencia con los proveedores y contratistas, así como solicitar la información relacionada con las operaciones que realicen, a efecto de identificar las responsabilidades administrativas que, en su caso, procedan.</w:t>
      </w:r>
    </w:p>
    <w:p w:rsidR="00EE305C" w:rsidRPr="00AA1CB9" w:rsidRDefault="00EE305C" w:rsidP="00AA1CB9">
      <w:pPr>
        <w:pStyle w:val="Prrafodelista"/>
        <w:spacing w:line="360" w:lineRule="auto"/>
        <w:rPr>
          <w:rFonts w:ascii="Palatino Linotype" w:eastAsia="Calibri" w:hAnsi="Palatino Linotype" w:cs="Arial"/>
        </w:rPr>
      </w:pPr>
    </w:p>
    <w:p w:rsidR="00EE305C" w:rsidRPr="00AA1CB9" w:rsidRDefault="00F0764D"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eastAsia="Calibri" w:hAnsi="Palatino Linotype" w:cs="Arial"/>
        </w:rPr>
        <w:t xml:space="preserve">Entonces, se tiene que, si bien es cierto, la Secretaría de Seguridad no realizó la licitación LPNP-017-2018, pero también lo es que, tiene su participación como área usuaria en el sentido de que solicitó vehículos a la Secretaría de Seguridad, en consecuencia se tiene acreditada la participación en la adquisición de los bienes </w:t>
      </w:r>
      <w:r w:rsidRPr="00AA1CB9">
        <w:rPr>
          <w:rFonts w:ascii="Palatino Linotype" w:eastAsia="Calibri" w:hAnsi="Palatino Linotype" w:cs="Arial"/>
        </w:rPr>
        <w:lastRenderedPageBreak/>
        <w:t xml:space="preserve">arrendados, por lo que </w:t>
      </w:r>
      <w:r w:rsidR="00B314EE" w:rsidRPr="00AA1CB9">
        <w:rPr>
          <w:rFonts w:ascii="Palatino Linotype" w:eastAsia="Calibri" w:hAnsi="Palatino Linotype" w:cs="Arial"/>
        </w:rPr>
        <w:t>en estricto sentido, la Contraloría Interna debió realizar revisiones a los procesos de la licitación entre los que se encuentran las bases.</w:t>
      </w:r>
    </w:p>
    <w:p w:rsidR="00B314EE" w:rsidRPr="00AA1CB9" w:rsidRDefault="00B314EE" w:rsidP="00AA1CB9">
      <w:pPr>
        <w:pStyle w:val="Prrafodelista"/>
        <w:spacing w:line="360" w:lineRule="auto"/>
        <w:ind w:left="0"/>
        <w:jc w:val="both"/>
        <w:rPr>
          <w:rFonts w:ascii="Palatino Linotype" w:eastAsia="Calibri" w:hAnsi="Palatino Linotype" w:cs="Arial"/>
        </w:rPr>
      </w:pPr>
    </w:p>
    <w:p w:rsidR="008C2AE6" w:rsidRPr="00AA1CB9" w:rsidRDefault="008C2AE6" w:rsidP="00AA1CB9">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rPr>
      </w:pPr>
      <w:r w:rsidRPr="00AA1CB9">
        <w:rPr>
          <w:rFonts w:ascii="Palatino Linotype" w:hAnsi="Palatino Linotype"/>
          <w:color w:val="000000" w:themeColor="text1"/>
        </w:rPr>
        <w:t xml:space="preserve">Es necesario referir que, el </w:t>
      </w:r>
      <w:r w:rsidRPr="00AA1CB9">
        <w:rPr>
          <w:rFonts w:ascii="Palatino Linotype" w:eastAsia="Calibri" w:hAnsi="Palatino Linotype" w:cs="Arial"/>
        </w:rPr>
        <w:t>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desde su origen la eventual publicidad y reutilización de la información que generen, posean o administren.</w:t>
      </w:r>
    </w:p>
    <w:p w:rsidR="00AA1CB9" w:rsidRPr="00AA1CB9" w:rsidRDefault="00AA1CB9" w:rsidP="00AA1CB9">
      <w:pPr>
        <w:pStyle w:val="Prrafodelista"/>
        <w:tabs>
          <w:tab w:val="left" w:pos="426"/>
        </w:tabs>
        <w:spacing w:before="240" w:after="360" w:line="360" w:lineRule="auto"/>
        <w:ind w:left="0"/>
        <w:jc w:val="both"/>
        <w:rPr>
          <w:rFonts w:ascii="Palatino Linotype" w:hAnsi="Palatino Linotype" w:cs="Arial"/>
          <w:i/>
          <w:color w:val="000000" w:themeColor="text1"/>
        </w:rPr>
      </w:pPr>
    </w:p>
    <w:p w:rsidR="008C2AE6" w:rsidRPr="00AA1CB9" w:rsidRDefault="008C2AE6" w:rsidP="00AA1CB9">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AA1CB9">
        <w:rPr>
          <w:rFonts w:ascii="Palatino Linotype" w:eastAsia="Times New Roman" w:hAnsi="Palatino Linotype" w:cs="Arial"/>
          <w:color w:val="000000"/>
        </w:rPr>
        <w:t>Asimismo, debemos tomar en cuenta los artículos 4 y 12, de la Ley de Transparencia y Acceso a la Información Pública del Estado de México y Municipios, los cuales establecen lo siguiente:</w:t>
      </w:r>
    </w:p>
    <w:p w:rsidR="008C2AE6" w:rsidRPr="00AA1CB9" w:rsidRDefault="008C2AE6" w:rsidP="00AA1CB9">
      <w:pPr>
        <w:pStyle w:val="Prrafodelista"/>
        <w:spacing w:line="360" w:lineRule="auto"/>
        <w:rPr>
          <w:rFonts w:ascii="Palatino Linotype" w:eastAsia="Times New Roman" w:hAnsi="Palatino Linotype" w:cs="Arial"/>
          <w:color w:val="000000"/>
        </w:rPr>
      </w:pPr>
    </w:p>
    <w:p w:rsidR="008C2AE6" w:rsidRPr="00AA1CB9" w:rsidRDefault="008C2AE6" w:rsidP="00AA1CB9">
      <w:pPr>
        <w:autoSpaceDE w:val="0"/>
        <w:autoSpaceDN w:val="0"/>
        <w:adjustRightInd w:val="0"/>
        <w:spacing w:line="360" w:lineRule="auto"/>
        <w:ind w:left="567" w:right="567"/>
        <w:jc w:val="both"/>
        <w:rPr>
          <w:rFonts w:ascii="Palatino Linotype" w:hAnsi="Palatino Linotype" w:cs="Bookman Old Style"/>
          <w:i/>
          <w:lang w:val="es-MX"/>
        </w:rPr>
      </w:pPr>
      <w:r w:rsidRPr="00AA1CB9">
        <w:rPr>
          <w:rFonts w:ascii="Palatino Linotype" w:hAnsi="Palatino Linotype" w:cs="Bookman Old Style,Bold"/>
          <w:b/>
          <w:bCs/>
          <w:i/>
          <w:lang w:val="es-MX"/>
        </w:rPr>
        <w:t xml:space="preserve">Artículo 4. </w:t>
      </w:r>
      <w:r w:rsidRPr="00AA1CB9">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8C2AE6" w:rsidRPr="00AA1CB9" w:rsidRDefault="008C2AE6" w:rsidP="00AA1CB9">
      <w:pPr>
        <w:autoSpaceDE w:val="0"/>
        <w:autoSpaceDN w:val="0"/>
        <w:adjustRightInd w:val="0"/>
        <w:spacing w:line="360" w:lineRule="auto"/>
        <w:ind w:left="567" w:right="567"/>
        <w:jc w:val="both"/>
        <w:rPr>
          <w:rFonts w:ascii="Palatino Linotype" w:hAnsi="Palatino Linotype" w:cs="Bookman Old Style"/>
          <w:i/>
          <w:lang w:val="es-MX"/>
        </w:rPr>
      </w:pPr>
    </w:p>
    <w:p w:rsidR="008C2AE6" w:rsidRPr="00AA1CB9" w:rsidRDefault="008C2AE6" w:rsidP="00AA1CB9">
      <w:pPr>
        <w:autoSpaceDE w:val="0"/>
        <w:autoSpaceDN w:val="0"/>
        <w:adjustRightInd w:val="0"/>
        <w:spacing w:line="360" w:lineRule="auto"/>
        <w:ind w:left="567" w:right="567"/>
        <w:jc w:val="both"/>
        <w:rPr>
          <w:rFonts w:ascii="Palatino Linotype" w:hAnsi="Palatino Linotype" w:cs="Bookman Old Style"/>
          <w:i/>
          <w:lang w:val="es-MX"/>
        </w:rPr>
      </w:pPr>
      <w:r w:rsidRPr="00AA1CB9">
        <w:rPr>
          <w:rFonts w:ascii="Palatino Linotype" w:hAnsi="Palatino Linotype" w:cs="Bookman Old Style"/>
          <w:i/>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C2AE6" w:rsidRPr="00AA1CB9" w:rsidRDefault="008C2AE6" w:rsidP="00AA1CB9">
      <w:pPr>
        <w:autoSpaceDE w:val="0"/>
        <w:autoSpaceDN w:val="0"/>
        <w:adjustRightInd w:val="0"/>
        <w:spacing w:line="360" w:lineRule="auto"/>
        <w:ind w:left="567" w:right="567"/>
        <w:jc w:val="both"/>
        <w:rPr>
          <w:rFonts w:ascii="Palatino Linotype" w:hAnsi="Palatino Linotype" w:cs="Bookman Old Style"/>
          <w:i/>
          <w:lang w:val="es-MX"/>
        </w:rPr>
      </w:pPr>
    </w:p>
    <w:p w:rsidR="008C2AE6" w:rsidRPr="00AA1CB9" w:rsidRDefault="008C2AE6" w:rsidP="00AA1CB9">
      <w:pPr>
        <w:autoSpaceDE w:val="0"/>
        <w:autoSpaceDN w:val="0"/>
        <w:adjustRightInd w:val="0"/>
        <w:spacing w:line="360" w:lineRule="auto"/>
        <w:ind w:left="567" w:right="567"/>
        <w:jc w:val="both"/>
        <w:rPr>
          <w:rFonts w:ascii="Palatino Linotype" w:hAnsi="Palatino Linotype" w:cs="Bookman Old Style"/>
          <w:i/>
          <w:lang w:val="es-MX"/>
        </w:rPr>
      </w:pPr>
      <w:r w:rsidRPr="00AA1CB9">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8C2AE6" w:rsidRPr="00AA1CB9" w:rsidRDefault="008C2AE6" w:rsidP="00AA1CB9">
      <w:pPr>
        <w:autoSpaceDE w:val="0"/>
        <w:autoSpaceDN w:val="0"/>
        <w:adjustRightInd w:val="0"/>
        <w:spacing w:line="360" w:lineRule="auto"/>
        <w:ind w:right="567"/>
        <w:jc w:val="both"/>
        <w:rPr>
          <w:rFonts w:ascii="Palatino Linotype" w:eastAsia="Times New Roman" w:hAnsi="Palatino Linotype" w:cs="Arial"/>
          <w:i/>
          <w:color w:val="000000"/>
        </w:rPr>
      </w:pPr>
    </w:p>
    <w:p w:rsidR="008C2AE6" w:rsidRPr="00AA1CB9" w:rsidRDefault="008C2AE6" w:rsidP="00AA1CB9">
      <w:pPr>
        <w:autoSpaceDE w:val="0"/>
        <w:autoSpaceDN w:val="0"/>
        <w:adjustRightInd w:val="0"/>
        <w:spacing w:line="360" w:lineRule="auto"/>
        <w:ind w:left="567" w:right="567"/>
        <w:jc w:val="both"/>
        <w:rPr>
          <w:rFonts w:ascii="Palatino Linotype" w:hAnsi="Palatino Linotype" w:cs="Bookman Old Style"/>
          <w:i/>
          <w:lang w:val="es-MX"/>
        </w:rPr>
      </w:pPr>
      <w:r w:rsidRPr="00AA1CB9">
        <w:rPr>
          <w:rFonts w:ascii="Palatino Linotype" w:hAnsi="Palatino Linotype" w:cs="Bookman Old Style,Bold"/>
          <w:b/>
          <w:bCs/>
          <w:i/>
          <w:lang w:val="es-MX"/>
        </w:rPr>
        <w:t xml:space="preserve">Artículo 12. </w:t>
      </w:r>
      <w:r w:rsidRPr="00AA1CB9">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8C2AE6" w:rsidRPr="00AA1CB9" w:rsidRDefault="008C2AE6" w:rsidP="00AA1CB9">
      <w:pPr>
        <w:autoSpaceDE w:val="0"/>
        <w:autoSpaceDN w:val="0"/>
        <w:adjustRightInd w:val="0"/>
        <w:spacing w:line="360" w:lineRule="auto"/>
        <w:ind w:left="567" w:right="567"/>
        <w:jc w:val="both"/>
        <w:rPr>
          <w:rFonts w:ascii="Palatino Linotype" w:hAnsi="Palatino Linotype" w:cs="Bookman Old Style"/>
          <w:i/>
          <w:lang w:val="es-MX"/>
        </w:rPr>
      </w:pPr>
    </w:p>
    <w:p w:rsidR="008C2AE6" w:rsidRPr="00AA1CB9" w:rsidRDefault="008C2AE6" w:rsidP="00AA1CB9">
      <w:pPr>
        <w:autoSpaceDE w:val="0"/>
        <w:autoSpaceDN w:val="0"/>
        <w:adjustRightInd w:val="0"/>
        <w:spacing w:line="360" w:lineRule="auto"/>
        <w:ind w:left="567" w:right="567"/>
        <w:jc w:val="both"/>
        <w:rPr>
          <w:rFonts w:ascii="Palatino Linotype" w:hAnsi="Palatino Linotype" w:cs="Bookman Old Style"/>
          <w:i/>
          <w:lang w:val="es-MX"/>
        </w:rPr>
      </w:pPr>
      <w:r w:rsidRPr="00AA1CB9">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AA1CB9">
        <w:rPr>
          <w:rFonts w:ascii="Palatino Linotype" w:hAnsi="Palatino Linotype" w:cs="Bookman Old Style"/>
          <w:i/>
          <w:lang w:val="es-MX"/>
        </w:rPr>
        <w:lastRenderedPageBreak/>
        <w:t>misma, ni el presentarla conforme al interés del solicitante; no estarán obligados a generarla, resumirla, efectuar cálculos o practicar investigaciones.</w:t>
      </w:r>
    </w:p>
    <w:p w:rsidR="008C2AE6" w:rsidRPr="00AA1CB9" w:rsidRDefault="008C2AE6" w:rsidP="00AA1CB9">
      <w:pPr>
        <w:autoSpaceDE w:val="0"/>
        <w:autoSpaceDN w:val="0"/>
        <w:adjustRightInd w:val="0"/>
        <w:spacing w:line="360" w:lineRule="auto"/>
        <w:ind w:left="567" w:right="567"/>
        <w:jc w:val="both"/>
        <w:rPr>
          <w:rFonts w:ascii="Palatino Linotype" w:eastAsia="Times New Roman" w:hAnsi="Palatino Linotype" w:cs="Arial"/>
          <w:i/>
          <w:color w:val="000000"/>
        </w:rPr>
      </w:pPr>
    </w:p>
    <w:p w:rsidR="008C2AE6" w:rsidRPr="00AA1CB9" w:rsidRDefault="008C2AE6" w:rsidP="00AA1CB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1CB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w:t>
      </w:r>
    </w:p>
    <w:p w:rsidR="008C2AE6" w:rsidRPr="00AA1CB9" w:rsidRDefault="008C2AE6" w:rsidP="00AA1CB9">
      <w:pPr>
        <w:pStyle w:val="Prrafodelista"/>
        <w:tabs>
          <w:tab w:val="left" w:pos="851"/>
        </w:tabs>
        <w:spacing w:line="360" w:lineRule="auto"/>
        <w:ind w:left="0" w:right="49"/>
        <w:jc w:val="both"/>
        <w:rPr>
          <w:rFonts w:ascii="Palatino Linotype" w:hAnsi="Palatino Linotype"/>
          <w:highlight w:val="cyan"/>
          <w:lang w:val="es-ES"/>
        </w:rPr>
      </w:pPr>
    </w:p>
    <w:p w:rsidR="008C2AE6" w:rsidRPr="00AA1CB9" w:rsidRDefault="008C2AE6" w:rsidP="00AA1CB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1CB9">
        <w:rPr>
          <w:rFonts w:ascii="Palatino Linotype" w:hAnsi="Palatino Linotype"/>
          <w:lang w:val="es-ES"/>
        </w:rPr>
        <w:t>Aunado a lo anterior, los Sujetos Obligado deben adoptar buenas prácticas en el ejercicio de sus funciones, atribuciones y competencias, y en cuanto al derecho de acceso a la información, deben apegar su actuar bajo los principios de eficacia</w:t>
      </w:r>
      <w:r w:rsidRPr="00AA1CB9">
        <w:rPr>
          <w:rStyle w:val="Refdenotaalpie"/>
          <w:rFonts w:ascii="Palatino Linotype" w:hAnsi="Palatino Linotype"/>
          <w:lang w:val="es-ES"/>
        </w:rPr>
        <w:footnoteReference w:id="22"/>
      </w:r>
      <w:r w:rsidRPr="00AA1CB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8C2AE6" w:rsidRPr="00AA1CB9" w:rsidRDefault="008C2AE6" w:rsidP="00AA1CB9">
      <w:pPr>
        <w:pStyle w:val="Prrafodelista"/>
        <w:tabs>
          <w:tab w:val="left" w:pos="851"/>
        </w:tabs>
        <w:spacing w:line="360" w:lineRule="auto"/>
        <w:ind w:left="0" w:right="49"/>
        <w:jc w:val="both"/>
        <w:rPr>
          <w:rFonts w:ascii="Palatino Linotype" w:hAnsi="Palatino Linotype"/>
          <w:lang w:val="es-ES"/>
        </w:rPr>
      </w:pPr>
    </w:p>
    <w:p w:rsidR="008C2AE6" w:rsidRPr="00AA1CB9" w:rsidRDefault="008C2AE6" w:rsidP="00AA1CB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1CB9">
        <w:rPr>
          <w:rFonts w:ascii="Palatino Linotype" w:hAnsi="Palatino Linotype"/>
          <w:lang w:val="es-ES"/>
        </w:rPr>
        <w:t xml:space="preserve">Robustece lo anterior la Tesis aislada identificada con la clave I.4º.A.40 A del Cuarto Tribunal colegiado en Materia Administrativa del Primer Circuito, </w:t>
      </w:r>
      <w:r w:rsidRPr="00AA1CB9">
        <w:rPr>
          <w:rFonts w:ascii="Palatino Linotype" w:hAnsi="Palatino Linotype"/>
          <w:lang w:val="es-ES"/>
        </w:rPr>
        <w:lastRenderedPageBreak/>
        <w:t>publicada en el Seminario Judicial de la Federación y su Gaceta en el libro XVIII, Marzo 2013, Página 1899.</w:t>
      </w:r>
    </w:p>
    <w:p w:rsidR="008C2AE6" w:rsidRPr="00AA1CB9" w:rsidRDefault="008C2AE6" w:rsidP="00AA1CB9">
      <w:pPr>
        <w:pStyle w:val="Prrafodelista"/>
        <w:spacing w:line="360" w:lineRule="auto"/>
        <w:rPr>
          <w:rFonts w:ascii="Palatino Linotype" w:hAnsi="Palatino Linotype"/>
          <w:lang w:val="es-ES"/>
        </w:rPr>
      </w:pPr>
    </w:p>
    <w:p w:rsidR="008C2AE6" w:rsidRPr="00AA1CB9" w:rsidRDefault="008C2AE6" w:rsidP="00AA1CB9">
      <w:pPr>
        <w:pStyle w:val="Prrafodelista"/>
        <w:tabs>
          <w:tab w:val="left" w:pos="851"/>
        </w:tabs>
        <w:spacing w:line="360" w:lineRule="auto"/>
        <w:ind w:left="567" w:right="567"/>
        <w:jc w:val="both"/>
        <w:rPr>
          <w:rFonts w:ascii="Palatino Linotype" w:hAnsi="Palatino Linotype"/>
          <w:i/>
        </w:rPr>
      </w:pPr>
      <w:r w:rsidRPr="00AA1CB9">
        <w:rPr>
          <w:rFonts w:ascii="Palatino Linotype" w:hAnsi="Palatino Linotype"/>
          <w:b/>
          <w:i/>
        </w:rPr>
        <w:t>ACCESO A LA INFORMACIÓN. IMPLICACIÓN DEL PRINCIPIO DE MÁXIMA PUBLICIDAD EN EL DERECHO FUNDAMENTAL RELATIVO.</w:t>
      </w:r>
      <w:r w:rsidRPr="00AA1CB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w:t>
      </w:r>
      <w:r w:rsidRPr="00AA1CB9">
        <w:rPr>
          <w:rFonts w:ascii="Palatino Linotype" w:hAnsi="Palatino Linotype"/>
          <w:i/>
        </w:rPr>
        <w:lastRenderedPageBreak/>
        <w:t xml:space="preserve">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8C2AE6" w:rsidRPr="00AA1CB9" w:rsidRDefault="008C2AE6" w:rsidP="00AA1CB9">
      <w:pPr>
        <w:pStyle w:val="Prrafodelista"/>
        <w:tabs>
          <w:tab w:val="left" w:pos="851"/>
        </w:tabs>
        <w:spacing w:line="360" w:lineRule="auto"/>
        <w:ind w:left="567" w:right="567"/>
        <w:jc w:val="both"/>
        <w:rPr>
          <w:rFonts w:ascii="Palatino Linotype" w:hAnsi="Palatino Linotype"/>
          <w:i/>
        </w:rPr>
      </w:pPr>
    </w:p>
    <w:p w:rsidR="008C2AE6" w:rsidRPr="00AA1CB9" w:rsidRDefault="008C2AE6" w:rsidP="00AA1CB9">
      <w:pPr>
        <w:pStyle w:val="Prrafodelista"/>
        <w:tabs>
          <w:tab w:val="left" w:pos="851"/>
        </w:tabs>
        <w:spacing w:line="360" w:lineRule="auto"/>
        <w:ind w:left="567" w:right="567"/>
        <w:jc w:val="both"/>
        <w:rPr>
          <w:rFonts w:ascii="Palatino Linotype" w:hAnsi="Palatino Linotype"/>
          <w:i/>
        </w:rPr>
      </w:pPr>
      <w:r w:rsidRPr="00AA1CB9">
        <w:rPr>
          <w:rFonts w:ascii="Palatino Linotype" w:hAnsi="Palatino Linotype"/>
          <w:i/>
        </w:rPr>
        <w:t xml:space="preserve">CUARTO TRIBUNAL COLEGIADO EN MATERIA ADMINISTRATIVA DEL PRIMER CIRCUITO. </w:t>
      </w:r>
    </w:p>
    <w:p w:rsidR="008C2AE6" w:rsidRPr="00AA1CB9" w:rsidRDefault="008C2AE6" w:rsidP="00AA1CB9">
      <w:pPr>
        <w:pStyle w:val="Prrafodelista"/>
        <w:tabs>
          <w:tab w:val="left" w:pos="851"/>
        </w:tabs>
        <w:spacing w:line="360" w:lineRule="auto"/>
        <w:ind w:left="567" w:right="567"/>
        <w:jc w:val="both"/>
        <w:rPr>
          <w:rFonts w:ascii="Palatino Linotype" w:hAnsi="Palatino Linotype"/>
          <w:i/>
        </w:rPr>
      </w:pPr>
    </w:p>
    <w:p w:rsidR="008C2AE6" w:rsidRPr="00AA1CB9" w:rsidRDefault="008C2AE6" w:rsidP="00AA1CB9">
      <w:pPr>
        <w:pStyle w:val="Prrafodelista"/>
        <w:tabs>
          <w:tab w:val="left" w:pos="851"/>
        </w:tabs>
        <w:spacing w:line="360" w:lineRule="auto"/>
        <w:ind w:left="567" w:right="567"/>
        <w:jc w:val="both"/>
        <w:rPr>
          <w:rFonts w:ascii="Palatino Linotype" w:hAnsi="Palatino Linotype"/>
          <w:i/>
          <w:lang w:val="es-ES"/>
        </w:rPr>
      </w:pPr>
      <w:r w:rsidRPr="00AA1CB9">
        <w:rPr>
          <w:rFonts w:ascii="Palatino Linotype" w:hAnsi="Palatino Linotype"/>
          <w:i/>
        </w:rPr>
        <w:t xml:space="preserve">Amparo en revisión 257/2012. Ruth Corona Muñoz. 6 de diciembre de 2012. Unanimidad de votos. Ponente: Jean Claude </w:t>
      </w:r>
      <w:proofErr w:type="spellStart"/>
      <w:r w:rsidRPr="00AA1CB9">
        <w:rPr>
          <w:rFonts w:ascii="Palatino Linotype" w:hAnsi="Palatino Linotype"/>
          <w:i/>
        </w:rPr>
        <w:t>Tron</w:t>
      </w:r>
      <w:proofErr w:type="spellEnd"/>
      <w:r w:rsidRPr="00AA1CB9">
        <w:rPr>
          <w:rFonts w:ascii="Palatino Linotype" w:hAnsi="Palatino Linotype"/>
          <w:i/>
        </w:rPr>
        <w:t xml:space="preserve"> </w:t>
      </w:r>
      <w:proofErr w:type="spellStart"/>
      <w:r w:rsidRPr="00AA1CB9">
        <w:rPr>
          <w:rFonts w:ascii="Palatino Linotype" w:hAnsi="Palatino Linotype"/>
          <w:i/>
        </w:rPr>
        <w:t>Petit</w:t>
      </w:r>
      <w:proofErr w:type="spellEnd"/>
      <w:r w:rsidRPr="00AA1CB9">
        <w:rPr>
          <w:rFonts w:ascii="Palatino Linotype" w:hAnsi="Palatino Linotype"/>
          <w:i/>
        </w:rPr>
        <w:t>. Secretaria: Mayra Susana Martínez López.</w:t>
      </w:r>
    </w:p>
    <w:p w:rsidR="008C2AE6" w:rsidRPr="00AA1CB9" w:rsidRDefault="008C2AE6" w:rsidP="00AA1CB9">
      <w:pPr>
        <w:pStyle w:val="Prrafodelista"/>
        <w:spacing w:line="360" w:lineRule="auto"/>
        <w:rPr>
          <w:rFonts w:ascii="Palatino Linotype" w:hAnsi="Palatino Linotype"/>
          <w:lang w:val="es-ES"/>
        </w:rPr>
      </w:pPr>
    </w:p>
    <w:p w:rsidR="008C2AE6" w:rsidRPr="00AA1CB9" w:rsidRDefault="008C2AE6" w:rsidP="00AA1CB9">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AA1CB9">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8C2AE6" w:rsidRPr="00AA1CB9" w:rsidRDefault="008C2AE6" w:rsidP="00AA1CB9">
      <w:pPr>
        <w:autoSpaceDE w:val="0"/>
        <w:autoSpaceDN w:val="0"/>
        <w:adjustRightInd w:val="0"/>
        <w:spacing w:line="360" w:lineRule="auto"/>
        <w:ind w:left="567" w:right="567"/>
        <w:jc w:val="both"/>
        <w:rPr>
          <w:rFonts w:ascii="Palatino Linotype" w:hAnsi="Palatino Linotype"/>
          <w:i/>
          <w:lang w:val="es-ES"/>
        </w:rPr>
      </w:pPr>
      <w:r w:rsidRPr="00AA1CB9">
        <w:rPr>
          <w:rFonts w:ascii="Palatino Linotype" w:eastAsiaTheme="minorHAnsi" w:hAnsi="Palatino Linotype" w:cs="Bookman Old Style,Bold"/>
          <w:b/>
          <w:bCs/>
          <w:i/>
          <w:lang w:val="es-MX" w:eastAsia="en-US"/>
        </w:rPr>
        <w:t xml:space="preserve">XI. Documento: </w:t>
      </w:r>
      <w:r w:rsidRPr="00AA1CB9">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AA1CB9">
        <w:rPr>
          <w:rFonts w:ascii="Palatino Linotype" w:eastAsiaTheme="minorHAnsi" w:hAnsi="Palatino Linotype" w:cs="Bookman Old Style"/>
          <w:b/>
          <w:i/>
          <w:lang w:val="es-MX" w:eastAsia="en-US"/>
        </w:rPr>
        <w:t xml:space="preserve">cualquier otro </w:t>
      </w:r>
      <w:r w:rsidRPr="00AA1CB9">
        <w:rPr>
          <w:rFonts w:ascii="Palatino Linotype" w:eastAsiaTheme="minorHAnsi" w:hAnsi="Palatino Linotype" w:cs="Bookman Old Style"/>
          <w:b/>
          <w:i/>
          <w:lang w:val="es-MX" w:eastAsia="en-US"/>
        </w:rPr>
        <w:lastRenderedPageBreak/>
        <w:t>registro</w:t>
      </w:r>
      <w:r w:rsidRPr="00AA1CB9">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C2AE6" w:rsidRPr="00AA1CB9" w:rsidRDefault="008C2AE6" w:rsidP="00AA1CB9">
      <w:pPr>
        <w:pStyle w:val="Prrafodelista"/>
        <w:tabs>
          <w:tab w:val="left" w:pos="851"/>
        </w:tabs>
        <w:spacing w:line="360" w:lineRule="auto"/>
        <w:ind w:left="0" w:right="49"/>
        <w:jc w:val="both"/>
        <w:rPr>
          <w:rFonts w:ascii="Palatino Linotype" w:hAnsi="Palatino Linotype"/>
          <w:lang w:val="es-ES"/>
        </w:rPr>
      </w:pPr>
    </w:p>
    <w:p w:rsidR="008C2AE6" w:rsidRPr="00AA1CB9" w:rsidRDefault="008C2AE6" w:rsidP="00AA1CB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A1CB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8C2AE6" w:rsidRPr="00AA1CB9" w:rsidRDefault="008C2AE6" w:rsidP="00AA1CB9">
      <w:pPr>
        <w:pStyle w:val="Prrafodelista"/>
        <w:tabs>
          <w:tab w:val="left" w:pos="851"/>
        </w:tabs>
        <w:spacing w:line="360" w:lineRule="auto"/>
        <w:ind w:left="0" w:right="49"/>
        <w:jc w:val="both"/>
        <w:rPr>
          <w:rFonts w:ascii="Palatino Linotype" w:hAnsi="Palatino Linotype"/>
          <w:lang w:val="es-ES"/>
        </w:rPr>
      </w:pPr>
    </w:p>
    <w:p w:rsidR="008C2AE6" w:rsidRPr="00AA1CB9" w:rsidRDefault="008C2AE6" w:rsidP="00AA1CB9">
      <w:pPr>
        <w:pStyle w:val="Prrafodelista"/>
        <w:numPr>
          <w:ilvl w:val="0"/>
          <w:numId w:val="1"/>
        </w:numPr>
        <w:spacing w:line="360" w:lineRule="auto"/>
        <w:ind w:left="0" w:firstLine="0"/>
        <w:jc w:val="both"/>
        <w:rPr>
          <w:rFonts w:ascii="Palatino Linotype" w:eastAsia="Calibri" w:hAnsi="Palatino Linotype" w:cs="Arial"/>
        </w:rPr>
      </w:pPr>
      <w:r w:rsidRPr="00AA1CB9">
        <w:rPr>
          <w:rFonts w:ascii="Palatino Linotype" w:hAnsi="Palatino Linotype"/>
          <w:lang w:val="es-ES"/>
        </w:rPr>
        <w:t xml:space="preserve">Por lo anterior, se ordena hacer entrega del documento en donde consten las </w:t>
      </w:r>
      <w:r w:rsidRPr="00AA1CB9">
        <w:rPr>
          <w:rFonts w:ascii="Palatino Linotype" w:eastAsia="Calibri" w:hAnsi="Palatino Linotype" w:cs="Arial"/>
          <w:b/>
        </w:rPr>
        <w:t>acciones que tomó el representante de la Contraloría en la revisión de las bases direccionadas a marca de vehículo y equipo policial.</w:t>
      </w:r>
    </w:p>
    <w:p w:rsidR="0049508E" w:rsidRPr="00AA1CB9" w:rsidRDefault="0049508E" w:rsidP="00AA1CB9">
      <w:pPr>
        <w:pStyle w:val="Prrafodelista"/>
        <w:spacing w:line="360" w:lineRule="auto"/>
        <w:rPr>
          <w:rFonts w:ascii="Palatino Linotype" w:hAnsi="Palatino Linotype"/>
          <w:lang w:val="es-ES"/>
        </w:rPr>
      </w:pPr>
    </w:p>
    <w:p w:rsidR="002A5BA4" w:rsidRPr="00AA1CB9" w:rsidRDefault="002A5BA4" w:rsidP="00AA1CB9">
      <w:pPr>
        <w:pStyle w:val="Prrafodelista"/>
        <w:numPr>
          <w:ilvl w:val="0"/>
          <w:numId w:val="1"/>
        </w:numPr>
        <w:spacing w:before="240" w:after="240" w:line="360" w:lineRule="auto"/>
        <w:ind w:left="0" w:firstLine="0"/>
        <w:jc w:val="both"/>
        <w:rPr>
          <w:rFonts w:ascii="Palatino Linotype" w:hAnsi="Palatino Linotype" w:cs="Arial"/>
        </w:rPr>
      </w:pPr>
      <w:r w:rsidRPr="00AA1CB9">
        <w:rPr>
          <w:rFonts w:ascii="Palatino Linotype" w:hAnsi="Palatino Linotype"/>
          <w:color w:val="000000"/>
          <w:lang w:val="es-ES" w:eastAsia="es-MX"/>
        </w:rPr>
        <w:t xml:space="preserve">Por lo anteriormente expuesto y fundado, este </w:t>
      </w:r>
      <w:r w:rsidRPr="00AA1CB9">
        <w:rPr>
          <w:rFonts w:ascii="Palatino Linotype" w:hAnsi="Palatino Linotype"/>
          <w:b/>
          <w:bCs/>
          <w:color w:val="000000"/>
          <w:lang w:val="es-ES" w:eastAsia="es-MX"/>
        </w:rPr>
        <w:t>ÓRGANO GARANTE</w:t>
      </w:r>
      <w:r w:rsidRPr="00AA1CB9">
        <w:rPr>
          <w:rFonts w:ascii="Palatino Linotype" w:hAnsi="Palatino Linotype"/>
          <w:color w:val="000000"/>
          <w:lang w:val="es-ES" w:eastAsia="es-MX"/>
        </w:rPr>
        <w:t xml:space="preserve"> emite los siguientes:</w:t>
      </w:r>
    </w:p>
    <w:p w:rsidR="002A5BA4" w:rsidRPr="00AA1CB9" w:rsidRDefault="002A5BA4" w:rsidP="00AA1CB9">
      <w:pPr>
        <w:keepNext/>
        <w:keepLines/>
        <w:spacing w:line="360" w:lineRule="auto"/>
        <w:jc w:val="center"/>
        <w:outlineLvl w:val="0"/>
        <w:rPr>
          <w:rFonts w:ascii="Palatino Linotype" w:eastAsia="Times New Roman" w:hAnsi="Palatino Linotype" w:cstheme="majorBidi"/>
          <w:b/>
          <w:bCs/>
        </w:rPr>
      </w:pPr>
      <w:bookmarkStart w:id="26" w:name="_Toc447699324"/>
      <w:bookmarkStart w:id="27" w:name="_Toc445745148"/>
      <w:bookmarkStart w:id="28" w:name="_Toc486525261"/>
      <w:bookmarkStart w:id="29" w:name="_Toc3295495"/>
      <w:r w:rsidRPr="00AA1CB9">
        <w:rPr>
          <w:rFonts w:ascii="Palatino Linotype" w:eastAsia="Times New Roman" w:hAnsi="Palatino Linotype" w:cstheme="majorBidi"/>
          <w:b/>
          <w:bCs/>
        </w:rPr>
        <w:t>R E S O L U T I V O S</w:t>
      </w:r>
      <w:bookmarkEnd w:id="26"/>
      <w:bookmarkEnd w:id="27"/>
      <w:bookmarkEnd w:id="28"/>
      <w:bookmarkEnd w:id="29"/>
    </w:p>
    <w:p w:rsidR="004D60FB" w:rsidRPr="00AA1CB9" w:rsidRDefault="004D60FB" w:rsidP="00AA1CB9">
      <w:pPr>
        <w:keepNext/>
        <w:keepLines/>
        <w:spacing w:line="360" w:lineRule="auto"/>
        <w:jc w:val="center"/>
        <w:outlineLvl w:val="0"/>
        <w:rPr>
          <w:rFonts w:ascii="Palatino Linotype" w:eastAsia="Times New Roman" w:hAnsi="Palatino Linotype" w:cstheme="majorBidi"/>
          <w:b/>
          <w:bCs/>
        </w:rPr>
      </w:pPr>
    </w:p>
    <w:p w:rsidR="00E81879" w:rsidRPr="00AA1CB9" w:rsidRDefault="00E81879" w:rsidP="00AA1CB9">
      <w:pPr>
        <w:spacing w:line="360" w:lineRule="auto"/>
        <w:jc w:val="both"/>
        <w:rPr>
          <w:rFonts w:ascii="Palatino Linotype" w:hAnsi="Palatino Linotype" w:cs="Arial"/>
          <w:bCs/>
        </w:rPr>
      </w:pPr>
      <w:r w:rsidRPr="00AA1CB9">
        <w:rPr>
          <w:rFonts w:ascii="Palatino Linotype" w:eastAsia="Times New Roman" w:hAnsi="Palatino Linotype" w:cs="Arial"/>
          <w:b/>
        </w:rPr>
        <w:t xml:space="preserve">PRIMERO. </w:t>
      </w:r>
      <w:r w:rsidRPr="00AA1CB9">
        <w:rPr>
          <w:rFonts w:ascii="Palatino Linotype" w:eastAsia="Times New Roman" w:hAnsi="Palatino Linotype" w:cs="Arial"/>
        </w:rPr>
        <w:t xml:space="preserve">Resultan </w:t>
      </w:r>
      <w:r w:rsidR="00ED70A8" w:rsidRPr="00AA1CB9">
        <w:rPr>
          <w:rFonts w:ascii="Palatino Linotype" w:eastAsia="Times New Roman" w:hAnsi="Palatino Linotype" w:cs="Arial"/>
        </w:rPr>
        <w:t xml:space="preserve">fundadas </w:t>
      </w:r>
      <w:r w:rsidRPr="00AA1CB9">
        <w:rPr>
          <w:rFonts w:ascii="Palatino Linotype" w:eastAsia="Times New Roman" w:hAnsi="Palatino Linotype" w:cs="Arial"/>
        </w:rPr>
        <w:t>las</w:t>
      </w:r>
      <w:r w:rsidRPr="00AA1CB9">
        <w:rPr>
          <w:rFonts w:ascii="Palatino Linotype" w:eastAsia="Times New Roman" w:hAnsi="Palatino Linotype" w:cs="Arial"/>
          <w:b/>
        </w:rPr>
        <w:t xml:space="preserve"> </w:t>
      </w:r>
      <w:r w:rsidRPr="00AA1CB9">
        <w:rPr>
          <w:rFonts w:ascii="Palatino Linotype" w:eastAsia="Times New Roman" w:hAnsi="Palatino Linotype" w:cs="Arial"/>
          <w:lang w:val="es-ES"/>
        </w:rPr>
        <w:t xml:space="preserve">razones o motivos de inconformidad hechos valer </w:t>
      </w:r>
      <w:r w:rsidRPr="00AA1CB9">
        <w:rPr>
          <w:rFonts w:ascii="Palatino Linotype" w:eastAsia="Calibri" w:hAnsi="Palatino Linotype" w:cs="Arial"/>
          <w:lang w:val="es-ES"/>
        </w:rPr>
        <w:t xml:space="preserve">en </w:t>
      </w:r>
      <w:r w:rsidR="002D2465" w:rsidRPr="00AA1CB9">
        <w:rPr>
          <w:rFonts w:ascii="Palatino Linotype" w:eastAsia="Calibri" w:hAnsi="Palatino Linotype" w:cs="Arial"/>
          <w:lang w:val="es-ES"/>
        </w:rPr>
        <w:t>el</w:t>
      </w:r>
      <w:r w:rsidRPr="00AA1CB9">
        <w:rPr>
          <w:rFonts w:ascii="Palatino Linotype" w:eastAsia="Calibri" w:hAnsi="Palatino Linotype" w:cs="Arial"/>
          <w:lang w:val="es-ES"/>
        </w:rPr>
        <w:t xml:space="preserve"> recurso</w:t>
      </w:r>
      <w:r w:rsidR="002D2465" w:rsidRPr="00AA1CB9">
        <w:rPr>
          <w:rFonts w:ascii="Palatino Linotype" w:eastAsia="Calibri" w:hAnsi="Palatino Linotype" w:cs="Arial"/>
          <w:lang w:val="es-ES"/>
        </w:rPr>
        <w:t xml:space="preserve"> </w:t>
      </w:r>
      <w:r w:rsidRPr="00AA1CB9">
        <w:rPr>
          <w:rFonts w:ascii="Palatino Linotype" w:eastAsia="Calibri" w:hAnsi="Palatino Linotype" w:cs="Arial"/>
          <w:lang w:val="es-ES"/>
        </w:rPr>
        <w:t xml:space="preserve">de revisión </w:t>
      </w:r>
      <w:r w:rsidR="002D2465" w:rsidRPr="00AA1CB9">
        <w:rPr>
          <w:rFonts w:ascii="Palatino Linotype" w:hAnsi="Palatino Linotype" w:cs="Arial"/>
          <w:b/>
          <w:bCs/>
        </w:rPr>
        <w:t>00018</w:t>
      </w:r>
      <w:r w:rsidR="00425185" w:rsidRPr="00AA1CB9">
        <w:rPr>
          <w:rFonts w:ascii="Palatino Linotype" w:hAnsi="Palatino Linotype" w:cs="Arial"/>
          <w:b/>
          <w:bCs/>
        </w:rPr>
        <w:t>/INFOEM/IP/RR/201</w:t>
      </w:r>
      <w:r w:rsidR="002D2465" w:rsidRPr="00AA1CB9">
        <w:rPr>
          <w:rFonts w:ascii="Palatino Linotype" w:hAnsi="Palatino Linotype" w:cs="Arial"/>
          <w:b/>
          <w:bCs/>
        </w:rPr>
        <w:t>9</w:t>
      </w:r>
      <w:r w:rsidR="00425185" w:rsidRPr="00AA1CB9">
        <w:rPr>
          <w:rFonts w:ascii="Palatino Linotype" w:hAnsi="Palatino Linotype" w:cs="Arial"/>
          <w:b/>
          <w:bCs/>
        </w:rPr>
        <w:t xml:space="preserve"> </w:t>
      </w:r>
      <w:r w:rsidR="009A66DF" w:rsidRPr="00AA1CB9">
        <w:rPr>
          <w:rFonts w:ascii="Palatino Linotype" w:hAnsi="Palatino Linotype" w:cs="Arial"/>
          <w:bCs/>
        </w:rPr>
        <w:t xml:space="preserve">en términos del considerando </w:t>
      </w:r>
      <w:r w:rsidR="009A66DF" w:rsidRPr="00AA1CB9">
        <w:rPr>
          <w:rFonts w:ascii="Palatino Linotype" w:hAnsi="Palatino Linotype" w:cs="Arial"/>
          <w:b/>
          <w:bCs/>
        </w:rPr>
        <w:t>CUARTO</w:t>
      </w:r>
      <w:r w:rsidR="009C1E84" w:rsidRPr="00AA1CB9">
        <w:rPr>
          <w:rFonts w:ascii="Palatino Linotype" w:hAnsi="Palatino Linotype" w:cs="Arial"/>
          <w:bCs/>
        </w:rPr>
        <w:t xml:space="preserve"> </w:t>
      </w:r>
      <w:r w:rsidR="009A66DF" w:rsidRPr="00AA1CB9">
        <w:rPr>
          <w:rFonts w:ascii="Palatino Linotype" w:hAnsi="Palatino Linotype" w:cs="Arial"/>
          <w:bCs/>
        </w:rPr>
        <w:t>de la presente resolución.</w:t>
      </w:r>
    </w:p>
    <w:p w:rsidR="002E2041" w:rsidRPr="00AA1CB9" w:rsidRDefault="009C1E84" w:rsidP="00AA1CB9">
      <w:pPr>
        <w:spacing w:before="240" w:after="240" w:line="360" w:lineRule="auto"/>
        <w:jc w:val="both"/>
        <w:rPr>
          <w:rFonts w:ascii="Palatino Linotype" w:eastAsiaTheme="majorEastAsia" w:hAnsi="Palatino Linotype" w:cstheme="majorBidi"/>
          <w:b/>
          <w:color w:val="2E74B5" w:themeColor="accent1" w:themeShade="BF"/>
        </w:rPr>
      </w:pPr>
      <w:r w:rsidRPr="00AA1CB9">
        <w:rPr>
          <w:rFonts w:ascii="Palatino Linotype" w:hAnsi="Palatino Linotype"/>
          <w:b/>
        </w:rPr>
        <w:lastRenderedPageBreak/>
        <w:t>SEGUNDO.</w:t>
      </w:r>
      <w:r w:rsidRPr="00AA1CB9">
        <w:rPr>
          <w:rStyle w:val="Ttulo2Car"/>
          <w:rFonts w:ascii="Palatino Linotype" w:hAnsi="Palatino Linotype"/>
          <w:b/>
          <w:sz w:val="24"/>
          <w:szCs w:val="24"/>
        </w:rPr>
        <w:t xml:space="preserve"> </w:t>
      </w:r>
      <w:r w:rsidR="00AF2781" w:rsidRPr="00AA1CB9">
        <w:rPr>
          <w:rFonts w:ascii="Palatino Linotype" w:eastAsia="Calibri" w:hAnsi="Palatino Linotype" w:cs="Arial"/>
          <w:lang w:val="es-ES"/>
        </w:rPr>
        <w:t>Se</w:t>
      </w:r>
      <w:r w:rsidRPr="00AA1CB9">
        <w:rPr>
          <w:rFonts w:ascii="Palatino Linotype" w:eastAsia="Calibri" w:hAnsi="Palatino Linotype" w:cs="Arial"/>
          <w:lang w:val="es-ES"/>
        </w:rPr>
        <w:t xml:space="preserve"> </w:t>
      </w:r>
      <w:r w:rsidR="002D2465" w:rsidRPr="00AA1CB9">
        <w:rPr>
          <w:rFonts w:ascii="Palatino Linotype" w:eastAsia="Calibri" w:hAnsi="Palatino Linotype" w:cs="Arial"/>
          <w:b/>
          <w:lang w:val="es-ES"/>
        </w:rPr>
        <w:t>MODIFICA</w:t>
      </w:r>
      <w:r w:rsidRPr="00AA1CB9">
        <w:rPr>
          <w:rFonts w:ascii="Palatino Linotype" w:eastAsia="Calibri" w:hAnsi="Palatino Linotype" w:cs="Arial"/>
          <w:lang w:val="es-ES"/>
        </w:rPr>
        <w:t xml:space="preserve"> </w:t>
      </w:r>
      <w:r w:rsidR="00AF2781" w:rsidRPr="00AA1CB9">
        <w:rPr>
          <w:rFonts w:ascii="Palatino Linotype" w:eastAsia="Calibri" w:hAnsi="Palatino Linotype" w:cs="Arial"/>
          <w:lang w:val="es-ES"/>
        </w:rPr>
        <w:t>la respuesta</w:t>
      </w:r>
      <w:r w:rsidRPr="00AA1CB9">
        <w:rPr>
          <w:rFonts w:ascii="Palatino Linotype" w:eastAsia="Calibri" w:hAnsi="Palatino Linotype" w:cs="Arial"/>
          <w:lang w:val="es-ES"/>
        </w:rPr>
        <w:t xml:space="preserve"> emitida</w:t>
      </w:r>
      <w:r w:rsidR="00AF2781" w:rsidRPr="00AA1CB9">
        <w:rPr>
          <w:rFonts w:ascii="Palatino Linotype" w:eastAsia="Calibri" w:hAnsi="Palatino Linotype" w:cs="Arial"/>
          <w:lang w:val="es-ES"/>
        </w:rPr>
        <w:t xml:space="preserve"> por la </w:t>
      </w:r>
      <w:r w:rsidR="002D2465" w:rsidRPr="00AA1CB9">
        <w:rPr>
          <w:rFonts w:ascii="Palatino Linotype" w:eastAsia="Calibri" w:hAnsi="Palatino Linotype" w:cs="Arial"/>
          <w:b/>
          <w:lang w:val="es-ES"/>
        </w:rPr>
        <w:t>Secretar</w:t>
      </w:r>
      <w:r w:rsidR="00161684" w:rsidRPr="00AA1CB9">
        <w:rPr>
          <w:rFonts w:ascii="Palatino Linotype" w:eastAsia="Calibri" w:hAnsi="Palatino Linotype" w:cs="Arial"/>
          <w:b/>
          <w:lang w:val="es-ES"/>
        </w:rPr>
        <w:t>ía</w:t>
      </w:r>
      <w:r w:rsidR="002D2465" w:rsidRPr="00AA1CB9">
        <w:rPr>
          <w:rFonts w:ascii="Palatino Linotype" w:eastAsia="Calibri" w:hAnsi="Palatino Linotype" w:cs="Arial"/>
          <w:b/>
          <w:lang w:val="es-ES"/>
        </w:rPr>
        <w:t xml:space="preserve"> de Seguridad</w:t>
      </w:r>
      <w:r w:rsidR="00AF2781" w:rsidRPr="00AA1CB9">
        <w:rPr>
          <w:rFonts w:ascii="Palatino Linotype" w:eastAsia="Calibri" w:hAnsi="Palatino Linotype" w:cs="Arial"/>
          <w:lang w:val="es-ES"/>
        </w:rPr>
        <w:t xml:space="preserve"> y se </w:t>
      </w:r>
      <w:r w:rsidR="00AF2781" w:rsidRPr="00AA1CB9">
        <w:rPr>
          <w:rFonts w:ascii="Palatino Linotype" w:eastAsia="Calibri" w:hAnsi="Palatino Linotype" w:cs="Arial"/>
          <w:b/>
          <w:lang w:val="es-ES"/>
        </w:rPr>
        <w:t>ORDENA</w:t>
      </w:r>
      <w:r w:rsidR="00AF2781" w:rsidRPr="00AA1CB9">
        <w:rPr>
          <w:rFonts w:ascii="Palatino Linotype" w:eastAsia="Calibri" w:hAnsi="Palatino Linotype" w:cs="Arial"/>
          <w:lang w:val="es-ES"/>
        </w:rPr>
        <w:t xml:space="preserve"> entregar </w:t>
      </w:r>
      <w:r w:rsidR="005A62D5" w:rsidRPr="00AA1CB9">
        <w:rPr>
          <w:rFonts w:ascii="Palatino Linotype" w:hAnsi="Palatino Linotype"/>
          <w:bCs/>
        </w:rPr>
        <w:t>vía Sistema de Acceso a la Información Mexiquense</w:t>
      </w:r>
      <w:r w:rsidR="005A62D5" w:rsidRPr="00AA1CB9">
        <w:rPr>
          <w:rFonts w:ascii="Palatino Linotype" w:eastAsia="Calibri" w:hAnsi="Palatino Linotype" w:cs="Arial"/>
          <w:b/>
          <w:lang w:val="es-ES"/>
        </w:rPr>
        <w:t xml:space="preserve"> (SAIMEX), </w:t>
      </w:r>
      <w:r w:rsidR="00425185" w:rsidRPr="00AA1CB9">
        <w:rPr>
          <w:rFonts w:ascii="Palatino Linotype" w:eastAsia="Calibri" w:hAnsi="Palatino Linotype" w:cs="Arial"/>
          <w:lang w:val="es-ES"/>
        </w:rPr>
        <w:t>la siguiente información:</w:t>
      </w:r>
    </w:p>
    <w:p w:rsidR="008C2AE6" w:rsidRPr="00AA1CB9" w:rsidRDefault="008C2AE6" w:rsidP="00AA1CB9">
      <w:pPr>
        <w:pStyle w:val="Prrafodelista"/>
        <w:numPr>
          <w:ilvl w:val="0"/>
          <w:numId w:val="34"/>
        </w:numPr>
        <w:spacing w:before="240" w:after="240" w:line="360" w:lineRule="auto"/>
        <w:jc w:val="both"/>
        <w:rPr>
          <w:rFonts w:ascii="Palatino Linotype" w:eastAsia="Calibri" w:hAnsi="Palatino Linotype" w:cs="Arial"/>
          <w:b/>
          <w:strike/>
          <w:lang w:val="es-ES"/>
        </w:rPr>
      </w:pPr>
      <w:bookmarkStart w:id="30" w:name="_Toc460947013"/>
      <w:r w:rsidRPr="00AA1CB9">
        <w:rPr>
          <w:rFonts w:ascii="Palatino Linotype" w:eastAsia="Calibri" w:hAnsi="Palatino Linotype" w:cs="Arial"/>
          <w:b/>
          <w:lang w:val="es-ES"/>
        </w:rPr>
        <w:t>Documentos remitidos en respuesta a la solicitud 00462/SSEM/IP/2018</w:t>
      </w:r>
      <w:r w:rsidR="006E63FB" w:rsidRPr="00AA1CB9">
        <w:rPr>
          <w:rFonts w:ascii="Palatino Linotype" w:eastAsia="Calibri" w:hAnsi="Palatino Linotype" w:cs="Arial"/>
          <w:b/>
          <w:lang w:val="es-ES"/>
        </w:rPr>
        <w:t xml:space="preserve"> de manera íntegra</w:t>
      </w:r>
      <w:r w:rsidR="00F3737A" w:rsidRPr="00AA1CB9">
        <w:rPr>
          <w:rFonts w:ascii="Palatino Linotype" w:eastAsia="Calibri" w:hAnsi="Palatino Linotype" w:cs="Arial"/>
          <w:b/>
          <w:lang w:val="es-ES"/>
        </w:rPr>
        <w:t>; y</w:t>
      </w:r>
    </w:p>
    <w:p w:rsidR="008C2AE6" w:rsidRPr="00AA1CB9" w:rsidRDefault="008C2AE6" w:rsidP="00AA1CB9">
      <w:pPr>
        <w:pStyle w:val="Prrafodelista"/>
        <w:numPr>
          <w:ilvl w:val="0"/>
          <w:numId w:val="34"/>
        </w:numPr>
        <w:spacing w:before="240" w:after="240" w:line="360" w:lineRule="auto"/>
        <w:jc w:val="both"/>
        <w:rPr>
          <w:rFonts w:ascii="Palatino Linotype" w:eastAsia="Calibri" w:hAnsi="Palatino Linotype" w:cs="Arial"/>
          <w:b/>
          <w:lang w:val="es-ES"/>
        </w:rPr>
      </w:pPr>
      <w:r w:rsidRPr="00AA1CB9">
        <w:rPr>
          <w:rFonts w:ascii="Palatino Linotype" w:eastAsia="Calibri" w:hAnsi="Palatino Linotype" w:cs="Arial"/>
          <w:b/>
        </w:rPr>
        <w:t xml:space="preserve">Acciones </w:t>
      </w:r>
      <w:r w:rsidR="00161684" w:rsidRPr="00AA1CB9">
        <w:rPr>
          <w:rFonts w:ascii="Palatino Linotype" w:eastAsia="Calibri" w:hAnsi="Palatino Linotype" w:cs="Arial"/>
          <w:b/>
        </w:rPr>
        <w:t xml:space="preserve">de la </w:t>
      </w:r>
      <w:r w:rsidRPr="00AA1CB9">
        <w:rPr>
          <w:rFonts w:ascii="Palatino Linotype" w:eastAsia="Calibri" w:hAnsi="Palatino Linotype" w:cs="Arial"/>
          <w:b/>
        </w:rPr>
        <w:t xml:space="preserve">Contraloría </w:t>
      </w:r>
      <w:r w:rsidR="00CD4915" w:rsidRPr="00AA1CB9">
        <w:rPr>
          <w:rFonts w:ascii="Palatino Linotype" w:eastAsia="Calibri" w:hAnsi="Palatino Linotype" w:cs="Arial"/>
          <w:b/>
        </w:rPr>
        <w:t>Interna</w:t>
      </w:r>
      <w:r w:rsidR="00161684" w:rsidRPr="00AA1CB9">
        <w:rPr>
          <w:rFonts w:ascii="Palatino Linotype" w:eastAsia="Calibri" w:hAnsi="Palatino Linotype" w:cs="Arial"/>
          <w:b/>
        </w:rPr>
        <w:t xml:space="preserve"> </w:t>
      </w:r>
      <w:r w:rsidRPr="00AA1CB9">
        <w:rPr>
          <w:rFonts w:ascii="Palatino Linotype" w:eastAsia="Calibri" w:hAnsi="Palatino Linotype" w:cs="Arial"/>
          <w:b/>
        </w:rPr>
        <w:t>en la revisión de las bases de la licitación LPNP-017-2018.</w:t>
      </w:r>
    </w:p>
    <w:p w:rsidR="00E81879" w:rsidRPr="00AA1CB9" w:rsidRDefault="00F83708" w:rsidP="00AA1CB9">
      <w:pPr>
        <w:tabs>
          <w:tab w:val="left" w:pos="8080"/>
        </w:tabs>
        <w:spacing w:line="360" w:lineRule="auto"/>
        <w:ind w:right="49"/>
        <w:contextualSpacing/>
        <w:jc w:val="both"/>
        <w:rPr>
          <w:rFonts w:ascii="Palatino Linotype" w:eastAsia="Palatino Linotype" w:hAnsi="Palatino Linotype" w:cs="Palatino Linotype"/>
          <w:b/>
        </w:rPr>
      </w:pPr>
      <w:r w:rsidRPr="00AA1CB9">
        <w:rPr>
          <w:rFonts w:ascii="Palatino Linotype" w:eastAsia="Palatino Linotype" w:hAnsi="Palatino Linotype" w:cs="Palatino Linotype"/>
          <w:b/>
        </w:rPr>
        <w:t>TERCERO</w:t>
      </w:r>
      <w:r w:rsidR="00710E1F" w:rsidRPr="00AA1CB9">
        <w:rPr>
          <w:rFonts w:ascii="Palatino Linotype" w:eastAsia="Palatino Linotype" w:hAnsi="Palatino Linotype" w:cs="Palatino Linotype"/>
          <w:b/>
        </w:rPr>
        <w:t xml:space="preserve">. </w:t>
      </w:r>
      <w:r w:rsidR="00E81879" w:rsidRPr="00AA1CB9">
        <w:rPr>
          <w:rFonts w:ascii="Palatino Linotype" w:eastAsia="Palatino Linotype" w:hAnsi="Palatino Linotype" w:cs="Palatino Linotype"/>
          <w:b/>
        </w:rPr>
        <w:t xml:space="preserve">Notifíquese </w:t>
      </w:r>
      <w:r w:rsidR="00E81879" w:rsidRPr="00AA1CB9">
        <w:rPr>
          <w:rFonts w:ascii="Palatino Linotype" w:eastAsia="Palatino Linotype" w:hAnsi="Palatino Linotype" w:cs="Palatino Linotype"/>
        </w:rPr>
        <w:t xml:space="preserve">al Titular de la Unidad de Transparencia del </w:t>
      </w:r>
      <w:r w:rsidR="00E81879" w:rsidRPr="00AA1CB9">
        <w:rPr>
          <w:rFonts w:ascii="Palatino Linotype" w:eastAsia="Palatino Linotype" w:hAnsi="Palatino Linotype" w:cs="Palatino Linotype"/>
          <w:b/>
        </w:rPr>
        <w:t>SUJETO OBLIGADO</w:t>
      </w:r>
      <w:r w:rsidR="00E81879" w:rsidRPr="00AA1CB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AA1CB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AA1CB9" w:rsidRDefault="00E81879" w:rsidP="00AA1CB9">
      <w:pPr>
        <w:shd w:val="clear" w:color="auto" w:fill="FFFFFF"/>
        <w:spacing w:line="360" w:lineRule="auto"/>
        <w:jc w:val="both"/>
        <w:rPr>
          <w:rFonts w:ascii="Palatino Linotype" w:eastAsia="Times New Roman" w:hAnsi="Palatino Linotype" w:cs="Arial"/>
          <w:b/>
        </w:rPr>
      </w:pPr>
    </w:p>
    <w:p w:rsidR="00E81879" w:rsidRPr="00AA1CB9" w:rsidRDefault="00F83708" w:rsidP="00AA1CB9">
      <w:pPr>
        <w:shd w:val="clear" w:color="auto" w:fill="FFFFFF"/>
        <w:spacing w:line="360" w:lineRule="auto"/>
        <w:jc w:val="both"/>
        <w:rPr>
          <w:rFonts w:ascii="Palatino Linotype" w:hAnsi="Palatino Linotype"/>
        </w:rPr>
      </w:pPr>
      <w:r w:rsidRPr="00AA1CB9">
        <w:rPr>
          <w:rFonts w:ascii="Palatino Linotype" w:eastAsia="Times New Roman" w:hAnsi="Palatino Linotype" w:cs="Arial"/>
          <w:b/>
        </w:rPr>
        <w:t>CUAR</w:t>
      </w:r>
      <w:r w:rsidR="00FC55B2" w:rsidRPr="00AA1CB9">
        <w:rPr>
          <w:rFonts w:ascii="Palatino Linotype" w:eastAsia="Times New Roman" w:hAnsi="Palatino Linotype" w:cs="Arial"/>
          <w:b/>
        </w:rPr>
        <w:t>TO</w:t>
      </w:r>
      <w:r w:rsidR="00E81879" w:rsidRPr="00AA1CB9">
        <w:rPr>
          <w:rFonts w:ascii="Palatino Linotype" w:eastAsia="Times New Roman" w:hAnsi="Palatino Linotype" w:cs="Arial"/>
          <w:b/>
        </w:rPr>
        <w:t xml:space="preserve">. </w:t>
      </w:r>
      <w:r w:rsidR="00E81879" w:rsidRPr="00AA1CB9">
        <w:rPr>
          <w:rFonts w:ascii="Palatino Linotype" w:eastAsia="Times New Roman" w:hAnsi="Palatino Linotype" w:cs="Times New Roman"/>
          <w:b/>
          <w:bCs/>
          <w:color w:val="222222"/>
          <w:lang w:val="es-ES"/>
        </w:rPr>
        <w:t>Notifíquese a</w:t>
      </w:r>
      <w:r w:rsidR="00E81879" w:rsidRPr="00AA1CB9">
        <w:rPr>
          <w:rFonts w:ascii="Palatino Linotype" w:hAnsi="Palatino Linotype"/>
          <w:b/>
        </w:rPr>
        <w:t xml:space="preserve"> </w:t>
      </w:r>
      <w:r w:rsidR="00F93171" w:rsidRPr="00F93171">
        <w:rPr>
          <w:rFonts w:ascii="Palatino Linotype" w:hAnsi="Palatino Linotype"/>
          <w:b/>
          <w:highlight w:val="black"/>
        </w:rPr>
        <w:t>--------------------------------</w:t>
      </w:r>
      <w:r w:rsidR="00B85C3A" w:rsidRPr="00AA1CB9">
        <w:rPr>
          <w:rFonts w:ascii="Palatino Linotype" w:hAnsi="Palatino Linotype"/>
        </w:rPr>
        <w:t xml:space="preserve"> </w:t>
      </w:r>
      <w:r w:rsidR="00E81879" w:rsidRPr="00AA1CB9">
        <w:rPr>
          <w:rFonts w:ascii="Palatino Linotype" w:hAnsi="Palatino Linotype"/>
        </w:rPr>
        <w:t>la presente resolución</w:t>
      </w:r>
      <w:r w:rsidR="005417A2" w:rsidRPr="00AA1CB9">
        <w:rPr>
          <w:rFonts w:ascii="Palatino Linotype" w:hAnsi="Palatino Linotype"/>
        </w:rPr>
        <w:t>.</w:t>
      </w:r>
    </w:p>
    <w:p w:rsidR="004D60FB" w:rsidRPr="00AA1CB9" w:rsidRDefault="004D60FB" w:rsidP="00AA1CB9">
      <w:pPr>
        <w:shd w:val="clear" w:color="auto" w:fill="FFFFFF"/>
        <w:spacing w:line="360" w:lineRule="auto"/>
        <w:jc w:val="both"/>
        <w:rPr>
          <w:rFonts w:ascii="Palatino Linotype" w:hAnsi="Palatino Linotype"/>
        </w:rPr>
      </w:pPr>
    </w:p>
    <w:bookmarkEnd w:id="30"/>
    <w:p w:rsidR="002A5BA4" w:rsidRPr="00AA1CB9" w:rsidRDefault="00F83708" w:rsidP="00AA1CB9">
      <w:pPr>
        <w:spacing w:line="360" w:lineRule="auto"/>
        <w:jc w:val="both"/>
        <w:rPr>
          <w:rFonts w:ascii="Palatino Linotype" w:eastAsia="MS Mincho" w:hAnsi="Palatino Linotype" w:cs="Times New Roman"/>
          <w:lang w:val="es-ES"/>
        </w:rPr>
      </w:pPr>
      <w:r w:rsidRPr="00AA1CB9">
        <w:rPr>
          <w:rFonts w:ascii="Palatino Linotype" w:eastAsia="MS Mincho" w:hAnsi="Palatino Linotype" w:cs="Times New Roman"/>
          <w:b/>
          <w:lang w:val="es-MX"/>
        </w:rPr>
        <w:t>QUINT</w:t>
      </w:r>
      <w:r w:rsidR="00FC55B2" w:rsidRPr="00AA1CB9">
        <w:rPr>
          <w:rFonts w:ascii="Palatino Linotype" w:eastAsia="MS Mincho" w:hAnsi="Palatino Linotype" w:cs="Times New Roman"/>
          <w:b/>
          <w:lang w:val="es-MX"/>
        </w:rPr>
        <w:t>O</w:t>
      </w:r>
      <w:r w:rsidR="00E81879" w:rsidRPr="00AA1CB9">
        <w:rPr>
          <w:rFonts w:ascii="Palatino Linotype" w:eastAsia="MS Mincho" w:hAnsi="Palatino Linotype" w:cs="Times New Roman"/>
          <w:b/>
          <w:lang w:val="es-MX"/>
        </w:rPr>
        <w:t>.</w:t>
      </w:r>
      <w:r w:rsidR="00E81879" w:rsidRPr="00AA1CB9">
        <w:rPr>
          <w:rFonts w:ascii="Palatino Linotype" w:eastAsia="MS Mincho" w:hAnsi="Palatino Linotype" w:cs="Times New Roman"/>
          <w:lang w:val="es-MX"/>
        </w:rPr>
        <w:t xml:space="preserve"> </w:t>
      </w:r>
      <w:r w:rsidR="00E81879" w:rsidRPr="00AA1CB9">
        <w:rPr>
          <w:rFonts w:ascii="Palatino Linotype" w:eastAsia="MS Mincho" w:hAnsi="Palatino Linotype" w:cs="Times New Roman"/>
          <w:lang w:val="es-ES"/>
        </w:rPr>
        <w:t xml:space="preserve">Se hace del conocimiento de </w:t>
      </w:r>
      <w:r w:rsidR="00F93171" w:rsidRPr="00F93171">
        <w:rPr>
          <w:rFonts w:ascii="Palatino Linotype" w:hAnsi="Palatino Linotype"/>
          <w:b/>
          <w:highlight w:val="black"/>
        </w:rPr>
        <w:t>------------------------------</w:t>
      </w:r>
      <w:r w:rsidR="00B85C3A" w:rsidRPr="00AA1CB9">
        <w:rPr>
          <w:rFonts w:ascii="Palatino Linotype" w:eastAsia="MS Mincho" w:hAnsi="Palatino Linotype" w:cs="Times New Roman"/>
          <w:lang w:val="es-ES"/>
        </w:rPr>
        <w:t xml:space="preserve"> </w:t>
      </w:r>
      <w:r w:rsidR="00E81879" w:rsidRPr="00AA1CB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AA1CB9">
        <w:rPr>
          <w:rFonts w:ascii="Palatino Linotype" w:eastAsia="MS Mincho" w:hAnsi="Palatino Linotype" w:cs="Times New Roman"/>
          <w:bCs/>
          <w:lang w:val="es-ES"/>
        </w:rPr>
        <w:t>vía juicio de amparo</w:t>
      </w:r>
      <w:r w:rsidR="00E81879" w:rsidRPr="00AA1CB9">
        <w:rPr>
          <w:rFonts w:ascii="Palatino Linotype" w:eastAsia="MS Mincho" w:hAnsi="Palatino Linotype" w:cs="Times New Roman"/>
          <w:lang w:val="es-ES"/>
        </w:rPr>
        <w:t> en los términos de las leyes aplicables.</w:t>
      </w:r>
    </w:p>
    <w:bookmarkEnd w:id="9"/>
    <w:bookmarkEnd w:id="10"/>
    <w:bookmarkEnd w:id="11"/>
    <w:p w:rsidR="00216C93" w:rsidRPr="00AA1CB9" w:rsidRDefault="00EE6378" w:rsidP="00AA1CB9">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26366</wp:posOffset>
                </wp:positionH>
                <wp:positionV relativeFrom="paragraph">
                  <wp:posOffset>2813166</wp:posOffset>
                </wp:positionV>
                <wp:extent cx="5486400" cy="4725681"/>
                <wp:effectExtent l="19050" t="19050" r="19050" b="36830"/>
                <wp:wrapNone/>
                <wp:docPr id="13" name="Conector recto 13"/>
                <wp:cNvGraphicFramePr/>
                <a:graphic xmlns:a="http://schemas.openxmlformats.org/drawingml/2006/main">
                  <a:graphicData uri="http://schemas.microsoft.com/office/word/2010/wordprocessingShape">
                    <wps:wsp>
                      <wps:cNvCnPr/>
                      <wps:spPr>
                        <a:xfrm>
                          <a:off x="0" y="0"/>
                          <a:ext cx="5486400" cy="472568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B6C93" id="Conector recto 1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pt,221.5pt" to="434.1pt,5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" strokecolor="#5b9bd5 [3204]" strokeweight="3pt">
                <v:stroke joinstyle="miter"/>
              </v:line>
            </w:pict>
          </mc:Fallback>
        </mc:AlternateContent>
      </w:r>
      <w:r w:rsidR="00216C93" w:rsidRPr="00AA1CB9">
        <w:rPr>
          <w:rFonts w:ascii="Palatino Linotype" w:hAnsi="Palatino Linotype" w:cs="Arial"/>
        </w:rPr>
        <w:t xml:space="preserve">ASÍ LO RESUELVE, POR </w:t>
      </w:r>
      <w:r w:rsidR="00216C93" w:rsidRPr="00EE6378">
        <w:rPr>
          <w:rFonts w:ascii="Palatino Linotype" w:hAnsi="Palatino Linotype" w:cs="Arial"/>
        </w:rPr>
        <w:t>UNANIMIDAD</w:t>
      </w:r>
      <w:r w:rsidR="00216C93" w:rsidRPr="00AA1CB9">
        <w:rPr>
          <w:rFonts w:ascii="Palatino Linotype" w:hAnsi="Palatino Linotype" w:cs="Arial"/>
        </w:rPr>
        <w:t xml:space="preserve"> DE VOTOS, EL PLENO DEL</w:t>
      </w:r>
      <w:r w:rsidR="00216C93" w:rsidRPr="00AA1CB9">
        <w:rPr>
          <w:rFonts w:ascii="Palatino Linotype" w:eastAsia="Arial Unicode MS" w:hAnsi="Palatino Linotype" w:cs="Arial"/>
        </w:rPr>
        <w:t xml:space="preserve"> INSTITUTO DE TRANSPARENCIA, ACCESO A LA INFORMACIÓN PÚBLICA Y PROTECCIÓN DE DATOS PERSONALES DEL ESTADO DE MÉXICO Y MUNICIPIOS</w:t>
      </w:r>
      <w:r w:rsidR="00216C93" w:rsidRPr="00AA1CB9">
        <w:rPr>
          <w:rFonts w:ascii="Palatino Linotype" w:hAnsi="Palatino Linotype" w:cs="Arial"/>
        </w:rPr>
        <w:t>, CONFORMADO POR LOS COMISIONADOS ZULEMA MARTÍNEZ SÁNCHEZ; EVA ABAID YAPUR; JOSÉ GUADALUPE LUNA HERNÁNDEZ; JAVIER MARTÍNEZ CRUZ Y LU</w:t>
      </w:r>
      <w:r>
        <w:rPr>
          <w:rFonts w:ascii="Palatino Linotype" w:hAnsi="Palatino Linotype" w:cs="Arial"/>
        </w:rPr>
        <w:t>IS GUSTAVO PARRA NORIEGA; EN LA DECIMA</w:t>
      </w:r>
      <w:r w:rsidR="00216C93" w:rsidRPr="00EE6378">
        <w:rPr>
          <w:rFonts w:ascii="Palatino Linotype" w:hAnsi="Palatino Linotype" w:cs="Arial"/>
        </w:rPr>
        <w:t xml:space="preserve"> SESIÓN ORDINARIA CELEBRADA EL </w:t>
      </w:r>
      <w:r w:rsidRPr="00EE6378">
        <w:rPr>
          <w:rFonts w:ascii="Palatino Linotype" w:hAnsi="Palatino Linotype" w:cs="Arial"/>
        </w:rPr>
        <w:t xml:space="preserve">TRECE (13) </w:t>
      </w:r>
      <w:r w:rsidR="00CF0879" w:rsidRPr="00EE6378">
        <w:rPr>
          <w:rFonts w:ascii="Palatino Linotype" w:hAnsi="Palatino Linotype" w:cs="Arial"/>
        </w:rPr>
        <w:t xml:space="preserve"> DE</w:t>
      </w:r>
      <w:r w:rsidRPr="00EE6378">
        <w:rPr>
          <w:rFonts w:ascii="Palatino Linotype" w:hAnsi="Palatino Linotype" w:cs="Arial"/>
        </w:rPr>
        <w:t xml:space="preserve"> MARZO DE DOS MIL DIECINUEVE</w:t>
      </w:r>
      <w:r w:rsidR="00216C93" w:rsidRPr="00AA1CB9">
        <w:rPr>
          <w:rFonts w:ascii="Palatino Linotype" w:hAnsi="Palatino Linotype" w:cs="Arial"/>
        </w:rPr>
        <w:t xml:space="preserve">, ANTE EL SECRETARIO TÉCNICO DEL PLENO, </w:t>
      </w:r>
      <w:r w:rsidR="00216C93" w:rsidRPr="00AA1CB9">
        <w:rPr>
          <w:rFonts w:ascii="Palatino Linotype" w:hAnsi="Palatino Linotype"/>
        </w:rPr>
        <w:t>ALEXIS TAPIA RAMÍREZ</w:t>
      </w:r>
      <w:r w:rsidR="00216C93" w:rsidRPr="00AA1CB9">
        <w:rPr>
          <w:rFonts w:ascii="Palatino Linotype" w:hAnsi="Palatino Linotype" w:cs="Arial"/>
        </w:rPr>
        <w:t>.</w:t>
      </w:r>
    </w:p>
    <w:p w:rsidR="005417A2" w:rsidRPr="00AA1CB9" w:rsidRDefault="005417A2" w:rsidP="00AA1CB9">
      <w:pPr>
        <w:spacing w:before="100" w:beforeAutospacing="1" w:after="100" w:afterAutospacing="1" w:line="360" w:lineRule="auto"/>
        <w:ind w:right="49"/>
        <w:jc w:val="both"/>
        <w:rPr>
          <w:rFonts w:ascii="Palatino Linotype" w:hAnsi="Palatino Linotype" w:cs="Arial"/>
        </w:rPr>
      </w:pPr>
    </w:p>
    <w:p w:rsidR="005417A2" w:rsidRPr="00AA1CB9" w:rsidRDefault="005417A2" w:rsidP="00AA1CB9">
      <w:pPr>
        <w:spacing w:before="100" w:beforeAutospacing="1" w:after="100" w:afterAutospacing="1" w:line="360" w:lineRule="auto"/>
        <w:ind w:right="49"/>
        <w:jc w:val="both"/>
        <w:rPr>
          <w:rFonts w:ascii="Palatino Linotype" w:hAnsi="Palatino Linotype" w:cs="Arial"/>
        </w:rPr>
      </w:pPr>
    </w:p>
    <w:p w:rsidR="00A55208" w:rsidRDefault="00A55208" w:rsidP="00AA1CB9">
      <w:pPr>
        <w:spacing w:before="100" w:beforeAutospacing="1" w:after="100" w:afterAutospacing="1" w:line="360" w:lineRule="auto"/>
        <w:ind w:right="49"/>
        <w:jc w:val="both"/>
        <w:rPr>
          <w:rFonts w:ascii="Palatino Linotype" w:hAnsi="Palatino Linotype" w:cs="Arial"/>
        </w:rPr>
      </w:pPr>
    </w:p>
    <w:p w:rsidR="00EE6378" w:rsidRDefault="00EE6378" w:rsidP="00AA1CB9">
      <w:pPr>
        <w:spacing w:before="100" w:beforeAutospacing="1" w:after="100" w:afterAutospacing="1" w:line="360" w:lineRule="auto"/>
        <w:ind w:right="49"/>
        <w:jc w:val="both"/>
        <w:rPr>
          <w:rFonts w:ascii="Palatino Linotype" w:hAnsi="Palatino Linotype" w:cs="Arial"/>
        </w:rPr>
      </w:pPr>
    </w:p>
    <w:p w:rsidR="00EE6378" w:rsidRDefault="00EE6378" w:rsidP="00AA1CB9">
      <w:pPr>
        <w:spacing w:before="100" w:beforeAutospacing="1" w:after="100" w:afterAutospacing="1" w:line="360" w:lineRule="auto"/>
        <w:ind w:right="49"/>
        <w:jc w:val="both"/>
        <w:rPr>
          <w:rFonts w:ascii="Palatino Linotype" w:hAnsi="Palatino Linotype" w:cs="Arial"/>
        </w:rPr>
      </w:pPr>
    </w:p>
    <w:p w:rsidR="00EE6378" w:rsidRDefault="00EE6378" w:rsidP="00AA1CB9">
      <w:pPr>
        <w:spacing w:before="100" w:beforeAutospacing="1" w:after="100" w:afterAutospacing="1" w:line="360" w:lineRule="auto"/>
        <w:ind w:right="49"/>
        <w:jc w:val="both"/>
        <w:rPr>
          <w:rFonts w:ascii="Palatino Linotype" w:hAnsi="Palatino Linotype" w:cs="Arial"/>
        </w:rPr>
      </w:pPr>
    </w:p>
    <w:p w:rsidR="00EE6378" w:rsidRDefault="00EE6378" w:rsidP="00AA1CB9">
      <w:pPr>
        <w:spacing w:before="100" w:beforeAutospacing="1" w:after="100" w:afterAutospacing="1" w:line="360" w:lineRule="auto"/>
        <w:ind w:right="49"/>
        <w:jc w:val="both"/>
        <w:rPr>
          <w:rFonts w:ascii="Palatino Linotype" w:hAnsi="Palatino Linotype" w:cs="Arial"/>
        </w:rPr>
      </w:pPr>
    </w:p>
    <w:p w:rsidR="00EE6378" w:rsidRPr="00AA1CB9" w:rsidRDefault="00EE6378" w:rsidP="00AA1CB9">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AA1CB9" w:rsidTr="00EE6378">
        <w:trPr>
          <w:jc w:val="center"/>
        </w:trPr>
        <w:tc>
          <w:tcPr>
            <w:tcW w:w="10368" w:type="dxa"/>
            <w:gridSpan w:val="2"/>
          </w:tcPr>
          <w:p w:rsidR="00EE6378" w:rsidRDefault="00EE6378" w:rsidP="00AA1CB9">
            <w:pPr>
              <w:spacing w:line="360" w:lineRule="auto"/>
              <w:jc w:val="center"/>
              <w:rPr>
                <w:rFonts w:ascii="Palatino Linotype" w:hAnsi="Palatino Linotype" w:cs="Arial"/>
                <w:b/>
              </w:rPr>
            </w:pP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Zulema Martínez Sánchez</w:t>
            </w: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rPr>
              <w:t>Comisionada Presidenta</w:t>
            </w: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 xml:space="preserve">(RÚBRICA) </w:t>
            </w:r>
          </w:p>
          <w:p w:rsidR="00307B32" w:rsidRPr="00AA1CB9" w:rsidRDefault="00307B32" w:rsidP="00EE6378">
            <w:pPr>
              <w:spacing w:line="360" w:lineRule="auto"/>
              <w:rPr>
                <w:rFonts w:ascii="Palatino Linotype" w:hAnsi="Palatino Linotype" w:cs="Arial"/>
                <w:b/>
              </w:rPr>
            </w:pPr>
          </w:p>
        </w:tc>
      </w:tr>
      <w:tr w:rsidR="00216C93" w:rsidRPr="00AA1CB9" w:rsidTr="00EE6378">
        <w:trPr>
          <w:jc w:val="center"/>
        </w:trPr>
        <w:tc>
          <w:tcPr>
            <w:tcW w:w="5184" w:type="dxa"/>
          </w:tcPr>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 xml:space="preserve">Eva </w:t>
            </w:r>
            <w:proofErr w:type="spellStart"/>
            <w:r w:rsidRPr="00AA1CB9">
              <w:rPr>
                <w:rFonts w:ascii="Palatino Linotype" w:hAnsi="Palatino Linotype" w:cs="Arial"/>
                <w:b/>
              </w:rPr>
              <w:t>Abaid</w:t>
            </w:r>
            <w:proofErr w:type="spellEnd"/>
            <w:r w:rsidRPr="00AA1CB9">
              <w:rPr>
                <w:rFonts w:ascii="Palatino Linotype" w:hAnsi="Palatino Linotype" w:cs="Arial"/>
                <w:b/>
              </w:rPr>
              <w:t xml:space="preserve"> </w:t>
            </w:r>
            <w:proofErr w:type="spellStart"/>
            <w:r w:rsidRPr="00AA1CB9">
              <w:rPr>
                <w:rFonts w:ascii="Palatino Linotype" w:hAnsi="Palatino Linotype" w:cs="Arial"/>
                <w:b/>
              </w:rPr>
              <w:t>Yapur</w:t>
            </w:r>
            <w:proofErr w:type="spellEnd"/>
          </w:p>
          <w:p w:rsidR="00216C93" w:rsidRPr="00AA1CB9" w:rsidRDefault="00216C93" w:rsidP="00AA1CB9">
            <w:pPr>
              <w:spacing w:line="360" w:lineRule="auto"/>
              <w:jc w:val="center"/>
              <w:rPr>
                <w:rFonts w:ascii="Palatino Linotype" w:hAnsi="Palatino Linotype" w:cs="Arial"/>
              </w:rPr>
            </w:pPr>
            <w:r w:rsidRPr="00AA1CB9">
              <w:rPr>
                <w:rFonts w:ascii="Palatino Linotype" w:hAnsi="Palatino Linotype" w:cs="Arial"/>
              </w:rPr>
              <w:t>Comisionada</w:t>
            </w: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(RÚBRICA)</w:t>
            </w:r>
          </w:p>
        </w:tc>
        <w:tc>
          <w:tcPr>
            <w:tcW w:w="5184" w:type="dxa"/>
          </w:tcPr>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José Guadalupe Luna Hernández</w:t>
            </w:r>
          </w:p>
          <w:p w:rsidR="00216C93" w:rsidRPr="00AA1CB9" w:rsidRDefault="00216C93" w:rsidP="00AA1CB9">
            <w:pPr>
              <w:spacing w:line="360" w:lineRule="auto"/>
              <w:jc w:val="center"/>
              <w:rPr>
                <w:rFonts w:ascii="Palatino Linotype" w:hAnsi="Palatino Linotype" w:cs="Arial"/>
              </w:rPr>
            </w:pPr>
            <w:r w:rsidRPr="00AA1CB9">
              <w:rPr>
                <w:rFonts w:ascii="Palatino Linotype" w:hAnsi="Palatino Linotype" w:cs="Arial"/>
              </w:rPr>
              <w:t>Comisionado</w:t>
            </w: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(RÚBRICA)</w:t>
            </w:r>
          </w:p>
          <w:p w:rsidR="00216C93" w:rsidRPr="00AA1CB9" w:rsidRDefault="00216C93" w:rsidP="00AA1CB9">
            <w:pPr>
              <w:spacing w:line="360" w:lineRule="auto"/>
              <w:jc w:val="center"/>
              <w:rPr>
                <w:rFonts w:ascii="Palatino Linotype" w:hAnsi="Palatino Linotype" w:cs="Arial"/>
                <w:b/>
              </w:rPr>
            </w:pPr>
          </w:p>
        </w:tc>
      </w:tr>
      <w:tr w:rsidR="00216C93" w:rsidRPr="00AA1CB9" w:rsidTr="00EE6378">
        <w:trPr>
          <w:jc w:val="center"/>
        </w:trPr>
        <w:tc>
          <w:tcPr>
            <w:tcW w:w="5184" w:type="dxa"/>
          </w:tcPr>
          <w:p w:rsidR="00216C93" w:rsidRPr="00AA1CB9" w:rsidRDefault="00216C93" w:rsidP="00EE6378">
            <w:pPr>
              <w:spacing w:line="360" w:lineRule="auto"/>
              <w:rPr>
                <w:rFonts w:ascii="Palatino Linotype" w:hAnsi="Palatino Linotype" w:cs="Arial"/>
                <w:b/>
              </w:rPr>
            </w:pP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Javier Martínez Cruz</w:t>
            </w:r>
          </w:p>
          <w:p w:rsidR="00216C93" w:rsidRPr="00AA1CB9" w:rsidRDefault="00216C93" w:rsidP="00AA1CB9">
            <w:pPr>
              <w:spacing w:line="360" w:lineRule="auto"/>
              <w:jc w:val="center"/>
              <w:rPr>
                <w:rFonts w:ascii="Palatino Linotype" w:hAnsi="Palatino Linotype" w:cs="Arial"/>
              </w:rPr>
            </w:pPr>
            <w:r w:rsidRPr="00AA1CB9">
              <w:rPr>
                <w:rFonts w:ascii="Palatino Linotype" w:hAnsi="Palatino Linotype" w:cs="Arial"/>
              </w:rPr>
              <w:t>Comisionado</w:t>
            </w: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(RÚBRICA)</w:t>
            </w:r>
          </w:p>
        </w:tc>
        <w:tc>
          <w:tcPr>
            <w:tcW w:w="5184" w:type="dxa"/>
          </w:tcPr>
          <w:p w:rsidR="00216C93" w:rsidRPr="00AA1CB9" w:rsidRDefault="00216C93" w:rsidP="00EE6378">
            <w:pPr>
              <w:spacing w:line="360" w:lineRule="auto"/>
              <w:rPr>
                <w:rFonts w:ascii="Palatino Linotype" w:hAnsi="Palatino Linotype" w:cs="Arial"/>
                <w:b/>
              </w:rPr>
            </w:pP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Luis Gustavo Parra Noriega</w:t>
            </w:r>
          </w:p>
          <w:p w:rsidR="00216C93" w:rsidRPr="00AA1CB9" w:rsidRDefault="00216C93" w:rsidP="00AA1CB9">
            <w:pPr>
              <w:spacing w:line="360" w:lineRule="auto"/>
              <w:jc w:val="center"/>
              <w:rPr>
                <w:rFonts w:ascii="Palatino Linotype" w:hAnsi="Palatino Linotype" w:cs="Arial"/>
              </w:rPr>
            </w:pPr>
            <w:r w:rsidRPr="00AA1CB9">
              <w:rPr>
                <w:rFonts w:ascii="Palatino Linotype" w:hAnsi="Palatino Linotype" w:cs="Arial"/>
              </w:rPr>
              <w:t>Comisionado</w:t>
            </w: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(RÚBRICA)</w:t>
            </w:r>
          </w:p>
        </w:tc>
      </w:tr>
      <w:tr w:rsidR="00216C93" w:rsidRPr="00AA1CB9" w:rsidTr="00EE6378">
        <w:trPr>
          <w:jc w:val="center"/>
        </w:trPr>
        <w:tc>
          <w:tcPr>
            <w:tcW w:w="10368" w:type="dxa"/>
            <w:gridSpan w:val="2"/>
          </w:tcPr>
          <w:p w:rsidR="00EE6378" w:rsidRDefault="00EE6378" w:rsidP="00EE6378">
            <w:pPr>
              <w:spacing w:line="360" w:lineRule="auto"/>
              <w:jc w:val="center"/>
              <w:rPr>
                <w:rFonts w:ascii="Palatino Linotype" w:hAnsi="Palatino Linotype" w:cs="Arial"/>
                <w:b/>
              </w:rPr>
            </w:pPr>
          </w:p>
          <w:p w:rsidR="00216C93" w:rsidRPr="00AA1CB9" w:rsidRDefault="00216C93" w:rsidP="00EE6378">
            <w:pPr>
              <w:spacing w:line="360" w:lineRule="auto"/>
              <w:jc w:val="center"/>
              <w:rPr>
                <w:rFonts w:ascii="Palatino Linotype" w:hAnsi="Palatino Linotype" w:cs="Arial"/>
                <w:b/>
              </w:rPr>
            </w:pPr>
            <w:r w:rsidRPr="00AA1CB9">
              <w:rPr>
                <w:rFonts w:ascii="Palatino Linotype" w:hAnsi="Palatino Linotype" w:cs="Arial"/>
                <w:b/>
              </w:rPr>
              <w:t>Alexis Tapia Ramírez</w:t>
            </w:r>
          </w:p>
          <w:p w:rsidR="00216C93" w:rsidRPr="00AA1CB9" w:rsidRDefault="00216C93" w:rsidP="00AA1CB9">
            <w:pPr>
              <w:spacing w:line="360" w:lineRule="auto"/>
              <w:jc w:val="center"/>
              <w:rPr>
                <w:rFonts w:ascii="Palatino Linotype" w:hAnsi="Palatino Linotype" w:cs="Arial"/>
              </w:rPr>
            </w:pPr>
            <w:r w:rsidRPr="00AA1CB9">
              <w:rPr>
                <w:rFonts w:ascii="Palatino Linotype" w:hAnsi="Palatino Linotype" w:cs="Arial"/>
              </w:rPr>
              <w:t>Secretario Técnico del Pleno</w:t>
            </w:r>
          </w:p>
          <w:p w:rsidR="00216C93" w:rsidRPr="00AA1CB9" w:rsidRDefault="00216C93" w:rsidP="00AA1CB9">
            <w:pPr>
              <w:spacing w:line="360" w:lineRule="auto"/>
              <w:jc w:val="center"/>
              <w:rPr>
                <w:rFonts w:ascii="Palatino Linotype" w:hAnsi="Palatino Linotype" w:cs="Arial"/>
                <w:b/>
              </w:rPr>
            </w:pPr>
            <w:r w:rsidRPr="00AA1CB9">
              <w:rPr>
                <w:rFonts w:ascii="Palatino Linotype" w:hAnsi="Palatino Linotype" w:cs="Arial"/>
                <w:b/>
              </w:rPr>
              <w:t>(RÚBRICA)</w:t>
            </w:r>
          </w:p>
          <w:p w:rsidR="00216C93" w:rsidRPr="00AA1CB9" w:rsidRDefault="00216C93" w:rsidP="00AA1CB9">
            <w:pPr>
              <w:spacing w:line="360" w:lineRule="auto"/>
              <w:rPr>
                <w:rFonts w:ascii="Palatino Linotype" w:hAnsi="Palatino Linotype" w:cs="Arial"/>
              </w:rPr>
            </w:pPr>
          </w:p>
        </w:tc>
      </w:tr>
    </w:tbl>
    <w:p w:rsidR="00EE6378" w:rsidRDefault="00EE6378" w:rsidP="00EE6378">
      <w:pPr>
        <w:spacing w:line="360" w:lineRule="auto"/>
        <w:jc w:val="both"/>
        <w:rPr>
          <w:rFonts w:ascii="Palatino Linotype" w:hAnsi="Palatino Linotype" w:cs="Arial"/>
        </w:rPr>
      </w:pPr>
    </w:p>
    <w:p w:rsidR="002248D3" w:rsidRPr="00AA1CB9" w:rsidRDefault="00216C93" w:rsidP="00EE6378">
      <w:pPr>
        <w:spacing w:line="360" w:lineRule="auto"/>
        <w:jc w:val="both"/>
        <w:rPr>
          <w:rFonts w:ascii="Palatino Linotype" w:hAnsi="Palatino Linotype"/>
        </w:rPr>
      </w:pPr>
      <w:r w:rsidRPr="00AA1CB9">
        <w:rPr>
          <w:rFonts w:ascii="Palatino Linotype" w:hAnsi="Palatino Linotype" w:cs="Arial"/>
        </w:rPr>
        <w:t>Esta hoja corre</w:t>
      </w:r>
      <w:r w:rsidR="00EE6378">
        <w:rPr>
          <w:rFonts w:ascii="Palatino Linotype" w:hAnsi="Palatino Linotype" w:cs="Arial"/>
        </w:rPr>
        <w:t>sponde a la resolución de fecha trece (13) de marzo de dos mil diecinueve</w:t>
      </w:r>
      <w:r w:rsidRPr="00AA1CB9">
        <w:rPr>
          <w:rFonts w:ascii="Palatino Linotype" w:hAnsi="Palatino Linotype" w:cs="Arial"/>
        </w:rPr>
        <w:t xml:space="preserve">, emitida en el recurso de revisión </w:t>
      </w:r>
      <w:r w:rsidRPr="00AA1CB9">
        <w:rPr>
          <w:rFonts w:ascii="Palatino Linotype" w:hAnsi="Palatino Linotype" w:cs="Arial"/>
          <w:b/>
          <w:bCs/>
        </w:rPr>
        <w:t>0</w:t>
      </w:r>
      <w:r w:rsidR="00307B32" w:rsidRPr="00AA1CB9">
        <w:rPr>
          <w:rFonts w:ascii="Palatino Linotype" w:hAnsi="Palatino Linotype" w:cs="Arial"/>
          <w:b/>
          <w:bCs/>
        </w:rPr>
        <w:t>0018</w:t>
      </w:r>
      <w:r w:rsidR="00EE6378">
        <w:rPr>
          <w:rFonts w:ascii="Palatino Linotype" w:hAnsi="Palatino Linotype" w:cs="Arial"/>
          <w:b/>
          <w:bCs/>
        </w:rPr>
        <w:t>/INFOEM/IP/RR/2019</w:t>
      </w:r>
      <w:r w:rsidR="00307B32" w:rsidRPr="00AA1CB9">
        <w:rPr>
          <w:rFonts w:ascii="Palatino Linotype" w:hAnsi="Palatino Linotype" w:cs="Arial"/>
          <w:b/>
          <w:bCs/>
        </w:rPr>
        <w:t>.</w:t>
      </w:r>
      <w:r w:rsidRPr="00AA1CB9">
        <w:rPr>
          <w:rFonts w:ascii="Palatino Linotype" w:hAnsi="Palatino Linotype" w:cs="Arial"/>
          <w:bCs/>
        </w:rPr>
        <w:t xml:space="preserve"> </w:t>
      </w:r>
    </w:p>
    <w:sectPr w:rsidR="002248D3" w:rsidRPr="00AA1CB9" w:rsidSect="00AA1CB9">
      <w:headerReference w:type="default" r:id="rId12"/>
      <w:footerReference w:type="default" r:id="rId13"/>
      <w:headerReference w:type="first" r:id="rId14"/>
      <w:footerReference w:type="first" r:id="rId15"/>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280" w:rsidRDefault="00885280" w:rsidP="008B6F5F">
      <w:r>
        <w:separator/>
      </w:r>
    </w:p>
  </w:endnote>
  <w:endnote w:type="continuationSeparator" w:id="0">
    <w:p w:rsidR="00885280" w:rsidRDefault="00885280"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AA1CB9" w:rsidRPr="000A2541" w:rsidRDefault="00AA1CB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15018">
              <w:rPr>
                <w:rFonts w:ascii="Palatino Linotype" w:hAnsi="Palatino Linotype"/>
                <w:b/>
                <w:bCs/>
                <w:noProof/>
              </w:rPr>
              <w:t>56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15018">
              <w:rPr>
                <w:rFonts w:ascii="Palatino Linotype" w:hAnsi="Palatino Linotype"/>
                <w:b/>
                <w:bCs/>
                <w:noProof/>
              </w:rPr>
              <w:t>58</w:t>
            </w:r>
            <w:r w:rsidRPr="000A2541">
              <w:rPr>
                <w:rFonts w:ascii="Palatino Linotype" w:hAnsi="Palatino Linotype"/>
                <w:b/>
                <w:bCs/>
              </w:rPr>
              <w:fldChar w:fldCharType="end"/>
            </w:r>
          </w:p>
        </w:sdtContent>
      </w:sdt>
    </w:sdtContent>
  </w:sdt>
  <w:p w:rsidR="00AA1CB9" w:rsidRDefault="00AA1C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CB9" w:rsidRPr="00883450" w:rsidRDefault="00AA1CB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15018" w:rsidRPr="0071501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15018" w:rsidRPr="00715018">
      <w:rPr>
        <w:rFonts w:ascii="Palatino Linotype" w:hAnsi="Palatino Linotype"/>
        <w:noProof/>
        <w:sz w:val="22"/>
        <w:szCs w:val="22"/>
        <w:lang w:val="es-ES"/>
      </w:rPr>
      <w:t>58</w:t>
    </w:r>
    <w:r w:rsidRPr="00883450">
      <w:rPr>
        <w:rFonts w:ascii="Palatino Linotype" w:hAnsi="Palatino Linotype"/>
        <w:sz w:val="22"/>
        <w:szCs w:val="22"/>
      </w:rPr>
      <w:fldChar w:fldCharType="end"/>
    </w:r>
  </w:p>
  <w:p w:rsidR="00AA1CB9" w:rsidRPr="00883450" w:rsidRDefault="00AA1CB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280" w:rsidRDefault="00885280" w:rsidP="008B6F5F">
      <w:r>
        <w:separator/>
      </w:r>
    </w:p>
  </w:footnote>
  <w:footnote w:type="continuationSeparator" w:id="0">
    <w:p w:rsidR="00885280" w:rsidRDefault="00885280" w:rsidP="008B6F5F">
      <w:r>
        <w:continuationSeparator/>
      </w:r>
    </w:p>
  </w:footnote>
  <w:footnote w:id="1">
    <w:p w:rsidR="00AA1CB9" w:rsidRPr="00547FFB" w:rsidRDefault="00AA1CB9" w:rsidP="00454B14">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2">
    <w:p w:rsidR="00AA1CB9" w:rsidRPr="00547FFB" w:rsidRDefault="00AA1CB9" w:rsidP="00454B14">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AA1CB9" w:rsidRPr="00547FFB" w:rsidRDefault="00AA1CB9" w:rsidP="00454B14">
      <w:pPr>
        <w:autoSpaceDE w:val="0"/>
        <w:autoSpaceDN w:val="0"/>
        <w:adjustRightInd w:val="0"/>
        <w:jc w:val="both"/>
        <w:rPr>
          <w:sz w:val="20"/>
          <w:szCs w:val="20"/>
        </w:rPr>
      </w:pPr>
      <w:r w:rsidRPr="00547FFB">
        <w:rPr>
          <w:sz w:val="20"/>
          <w:szCs w:val="20"/>
        </w:rPr>
        <w:t>…</w:t>
      </w:r>
    </w:p>
    <w:p w:rsidR="00AA1CB9" w:rsidRDefault="00AA1CB9" w:rsidP="00454B14">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AA1CB9" w:rsidRDefault="00AA1CB9" w:rsidP="00C1632F">
      <w:pPr>
        <w:pStyle w:val="Textonotapie"/>
      </w:pPr>
      <w:r>
        <w:rPr>
          <w:rStyle w:val="Refdenotaalpie"/>
        </w:rPr>
        <w:footnoteRef/>
      </w:r>
      <w:r>
        <w:t xml:space="preserve"> Convención Americana sobre Derechos Humanos. Artículo 13.</w:t>
      </w:r>
    </w:p>
  </w:footnote>
  <w:footnote w:id="4">
    <w:p w:rsidR="00AA1CB9" w:rsidRDefault="00AA1CB9" w:rsidP="00C1632F">
      <w:pPr>
        <w:pStyle w:val="Textonotapie"/>
      </w:pPr>
      <w:r>
        <w:rPr>
          <w:rStyle w:val="Refdenotaalpie"/>
        </w:rPr>
        <w:footnoteRef/>
      </w:r>
      <w:r>
        <w:t xml:space="preserve"> Constitución Política de los Estados Unidos Mexicanos. Artículo sexto, sección A, Fracción I.</w:t>
      </w:r>
    </w:p>
  </w:footnote>
  <w:footnote w:id="5">
    <w:p w:rsidR="00AA1CB9" w:rsidRDefault="00AA1CB9" w:rsidP="00C1632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AA1CB9" w:rsidRDefault="00AA1CB9" w:rsidP="00C1632F">
      <w:pPr>
        <w:pStyle w:val="Textonotapie"/>
      </w:pPr>
      <w:r>
        <w:rPr>
          <w:rStyle w:val="Refdenotaalpie"/>
        </w:rPr>
        <w:footnoteRef/>
      </w:r>
      <w:r>
        <w:t xml:space="preserve"> Ibídem. Párr. 87.</w:t>
      </w:r>
    </w:p>
  </w:footnote>
  <w:footnote w:id="7">
    <w:p w:rsidR="00AA1CB9" w:rsidRDefault="00AA1CB9" w:rsidP="00C1632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8">
    <w:p w:rsidR="00AA1CB9" w:rsidRDefault="00AA1CB9" w:rsidP="00C1632F">
      <w:pPr>
        <w:pStyle w:val="Textonotapie"/>
      </w:pPr>
      <w:r>
        <w:rPr>
          <w:rStyle w:val="Refdenotaalpie"/>
        </w:rPr>
        <w:footnoteRef/>
      </w:r>
      <w:r>
        <w:t xml:space="preserve"> Artículo 150. Ley de Transparencia y Acceso a la Información Pública del Estado de México y Municipios.</w:t>
      </w:r>
    </w:p>
    <w:p w:rsidR="00AA1CB9" w:rsidRDefault="00AA1CB9" w:rsidP="00C1632F">
      <w:pPr>
        <w:pStyle w:val="Textonotapie"/>
      </w:pPr>
      <w:r>
        <w:t>Artículo 151. Ibídem.</w:t>
      </w:r>
    </w:p>
  </w:footnote>
  <w:footnote w:id="9">
    <w:p w:rsidR="00AA1CB9" w:rsidRDefault="00AA1CB9" w:rsidP="00B53EFD">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AA1CB9" w:rsidRPr="00266430" w:rsidRDefault="00AA1CB9" w:rsidP="00B53EFD">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10">
    <w:p w:rsidR="00AA1CB9" w:rsidRPr="00A870EF" w:rsidRDefault="00AA1CB9" w:rsidP="00B53EFD">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1">
    <w:p w:rsidR="00AA1CB9" w:rsidRDefault="00AA1CB9" w:rsidP="00B53EF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AA1CB9" w:rsidRDefault="00AA1CB9" w:rsidP="00B53EF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AA1CB9" w:rsidRPr="001E1F95" w:rsidRDefault="00AA1CB9" w:rsidP="00B53EF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AA1CB9" w:rsidRPr="00ED2A04" w:rsidRDefault="00AA1CB9" w:rsidP="00B53EFD">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13">
    <w:p w:rsidR="00AA1CB9" w:rsidRPr="00ED2A04" w:rsidRDefault="00AA1CB9" w:rsidP="00B53EFD">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14">
    <w:p w:rsidR="00AA1CB9" w:rsidRPr="000406A4" w:rsidRDefault="00AA1CB9" w:rsidP="00B53EFD">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15">
    <w:p w:rsidR="00AA1CB9" w:rsidRPr="000406A4" w:rsidRDefault="00AA1CB9" w:rsidP="00B53EFD">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16">
    <w:p w:rsidR="00AA1CB9" w:rsidRPr="000406A4" w:rsidRDefault="00AA1CB9" w:rsidP="00B53EFD">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17">
    <w:p w:rsidR="00AA1CB9" w:rsidRPr="000406A4" w:rsidRDefault="00AA1CB9" w:rsidP="00B53EFD">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18">
    <w:p w:rsidR="00AA1CB9" w:rsidRPr="000406A4" w:rsidRDefault="00AA1CB9" w:rsidP="00B53EFD">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19">
    <w:p w:rsidR="00AA1CB9" w:rsidRPr="00AF123A" w:rsidRDefault="00AA1CB9" w:rsidP="00B53EFD">
      <w:pPr>
        <w:jc w:val="both"/>
        <w:rPr>
          <w:rFonts w:ascii="Times New Roman" w:eastAsia="Times New Roman" w:hAnsi="Times New Roman" w:cs="Times New Roman"/>
          <w:lang w:eastAsia="es-ES_tradnl"/>
        </w:rPr>
      </w:pPr>
      <w:r>
        <w:rPr>
          <w:rStyle w:val="Refdenotaalpie"/>
        </w:rPr>
        <w:footnoteRef/>
      </w:r>
      <w:r>
        <w:t xml:space="preserve"> </w:t>
      </w:r>
      <w:r>
        <w:rPr>
          <w:lang w:val="es-ES"/>
        </w:rPr>
        <w:t>“</w:t>
      </w:r>
      <w:r w:rsidRPr="00AF123A">
        <w:rPr>
          <w:rFonts w:ascii="Arial" w:eastAsia="Times New Roman" w:hAnsi="Arial" w:cs="Arial"/>
          <w:color w:val="333333"/>
          <w:sz w:val="18"/>
          <w:szCs w:val="18"/>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F123A">
        <w:rPr>
          <w:rFonts w:ascii="Arial" w:eastAsia="Times New Roman" w:hAnsi="Arial" w:cs="Arial"/>
          <w:color w:val="333333"/>
          <w:sz w:val="18"/>
          <w:szCs w:val="18"/>
          <w:lang w:eastAsia="es-ES_tradnl"/>
        </w:rPr>
        <w:t>tests</w:t>
      </w:r>
      <w:proofErr w:type="spellEnd"/>
      <w:r w:rsidRPr="00AF123A">
        <w:rPr>
          <w:rFonts w:ascii="Arial" w:eastAsia="Times New Roman" w:hAnsi="Arial" w:cs="Arial"/>
          <w:color w:val="333333"/>
          <w:sz w:val="18"/>
          <w:szCs w:val="18"/>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w:t>
      </w:r>
      <w:r>
        <w:rPr>
          <w:rFonts w:ascii="Arial" w:eastAsia="Times New Roman" w:hAnsi="Arial" w:cs="Arial"/>
          <w:color w:val="333333"/>
          <w:sz w:val="18"/>
          <w:szCs w:val="18"/>
          <w:lang w:eastAsia="es-ES_tradnl"/>
        </w:rPr>
        <w:t xml:space="preserve">” Citado en Corte Interamericana de Derechos Humanos. Caso Gonzales </w:t>
      </w:r>
      <w:proofErr w:type="spellStart"/>
      <w:r>
        <w:rPr>
          <w:rFonts w:ascii="Arial" w:eastAsia="Times New Roman" w:hAnsi="Arial" w:cs="Arial"/>
          <w:color w:val="333333"/>
          <w:sz w:val="18"/>
          <w:szCs w:val="18"/>
          <w:lang w:eastAsia="es-ES_tradnl"/>
        </w:rPr>
        <w:t>Lluy</w:t>
      </w:r>
      <w:proofErr w:type="spellEnd"/>
      <w:r>
        <w:rPr>
          <w:rFonts w:ascii="Arial" w:eastAsia="Times New Roman" w:hAnsi="Arial" w:cs="Arial"/>
          <w:color w:val="333333"/>
          <w:sz w:val="18"/>
          <w:szCs w:val="18"/>
          <w:lang w:eastAsia="es-ES_tradnl"/>
        </w:rPr>
        <w:t xml:space="preserve"> y otros contra Ecuador. Excepciones preliminares, fondo, reparaciones y costas. Sentencia del 01 de septiembre de 2015. Párr. 256. </w:t>
      </w:r>
      <w:r w:rsidRPr="00AF123A">
        <w:rPr>
          <w:rFonts w:ascii="Arial" w:eastAsia="Times New Roman" w:hAnsi="Arial" w:cs="Arial"/>
          <w:color w:val="333333"/>
          <w:sz w:val="18"/>
          <w:szCs w:val="18"/>
          <w:lang w:eastAsia="es-ES_tradnl"/>
        </w:rPr>
        <w:t> </w:t>
      </w:r>
    </w:p>
  </w:footnote>
  <w:footnote w:id="20">
    <w:p w:rsidR="00AA1CB9" w:rsidRPr="00A4142C" w:rsidRDefault="00AA1CB9" w:rsidP="00B53EFD">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21">
    <w:p w:rsidR="00AA1CB9" w:rsidRPr="00EE305C" w:rsidRDefault="00AA1CB9">
      <w:pPr>
        <w:pStyle w:val="Textonotapie"/>
        <w:rPr>
          <w:lang w:val="es-MX"/>
        </w:rPr>
      </w:pPr>
      <w:r>
        <w:rPr>
          <w:rStyle w:val="Refdenotaalpie"/>
        </w:rPr>
        <w:footnoteRef/>
      </w:r>
      <w:r>
        <w:t xml:space="preserve"> </w:t>
      </w:r>
      <w:r>
        <w:rPr>
          <w:lang w:val="es-MX"/>
        </w:rPr>
        <w:t xml:space="preserve">Disponible para su consulta en </w:t>
      </w:r>
      <w:hyperlink r:id="rId9" w:history="1">
        <w:r w:rsidRPr="00A61EE6">
          <w:rPr>
            <w:rStyle w:val="Hipervnculo"/>
            <w:lang w:val="es-MX"/>
          </w:rPr>
          <w:t>http://sseguridad.edomex.gob.mx/sites/sseguridad.edomex.gob.mx/files/files/01%20Acerca%20de/Marco%20Juri%CC%81dico/09%20Manuales%20de%20organizaci%C3%B3n/01%20Manual%20General%20de%20Organizaci%C3%B3n%20de%20la%20Secretar%C3%ADa%20de%20Seguridad%20Ciudadana.pdf</w:t>
        </w:r>
      </w:hyperlink>
    </w:p>
  </w:footnote>
  <w:footnote w:id="22">
    <w:p w:rsidR="00AA1CB9" w:rsidRDefault="00AA1CB9" w:rsidP="008C2AE6">
      <w:pPr>
        <w:pStyle w:val="Textonotapie"/>
      </w:pPr>
      <w:r>
        <w:rPr>
          <w:rStyle w:val="Refdenotaalpie"/>
        </w:rPr>
        <w:footnoteRef/>
      </w:r>
      <w:r>
        <w:t xml:space="preserve"> Ley de Transparencia y Acceso a la Información Pública del Estado de México y Municipios. Artículo 9. …</w:t>
      </w:r>
    </w:p>
    <w:p w:rsidR="00AA1CB9" w:rsidRDefault="00AA1CB9" w:rsidP="008C2AE6">
      <w:pPr>
        <w:pStyle w:val="Textonotapie"/>
      </w:pPr>
      <w:r>
        <w:t>II. Eficacia: Obligación del Instituto para tutelar, de manera efectiva, el derecho de acceso a la información;</w:t>
      </w:r>
    </w:p>
    <w:p w:rsidR="00AA1CB9" w:rsidRDefault="00AA1CB9" w:rsidP="008C2AE6">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A1CB9" w:rsidRPr="00EF13C1" w:rsidTr="00646380">
      <w:trPr>
        <w:trHeight w:val="138"/>
        <w:jc w:val="right"/>
      </w:trPr>
      <w:tc>
        <w:tcPr>
          <w:tcW w:w="2552" w:type="dxa"/>
          <w:vAlign w:val="center"/>
        </w:tcPr>
        <w:p w:rsidR="00AA1CB9" w:rsidRPr="00EF13C1" w:rsidRDefault="00AA1CB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AA1CB9" w:rsidRPr="00EF13C1" w:rsidRDefault="00AA1CB9" w:rsidP="002D2465">
          <w:pPr>
            <w:pStyle w:val="Encabezado"/>
            <w:jc w:val="right"/>
            <w:rPr>
              <w:rFonts w:ascii="Palatino Linotype" w:hAnsi="Palatino Linotype"/>
              <w:b/>
              <w:sz w:val="22"/>
              <w:szCs w:val="22"/>
            </w:rPr>
          </w:pPr>
          <w:r>
            <w:rPr>
              <w:rFonts w:ascii="Palatino Linotype" w:hAnsi="Palatino Linotype" w:cs="Arial"/>
              <w:b/>
              <w:bCs/>
              <w:sz w:val="22"/>
              <w:szCs w:val="22"/>
              <w:lang w:eastAsia="es-MX"/>
            </w:rPr>
            <w:t>00018/INFOEM/IP/RR/2019</w:t>
          </w:r>
        </w:p>
      </w:tc>
    </w:tr>
    <w:tr w:rsidR="00AA1CB9" w:rsidRPr="00EF13C1" w:rsidTr="00646380">
      <w:trPr>
        <w:trHeight w:val="233"/>
        <w:jc w:val="right"/>
      </w:trPr>
      <w:tc>
        <w:tcPr>
          <w:tcW w:w="2552" w:type="dxa"/>
          <w:vAlign w:val="center"/>
        </w:tcPr>
        <w:p w:rsidR="00AA1CB9" w:rsidRPr="00EF13C1" w:rsidRDefault="00AA1CB9" w:rsidP="00646380">
          <w:pPr>
            <w:rPr>
              <w:rFonts w:ascii="Palatino Linotype" w:hAnsi="Palatino Linotype"/>
              <w:b/>
              <w:sz w:val="22"/>
              <w:szCs w:val="22"/>
            </w:rPr>
          </w:pPr>
        </w:p>
      </w:tc>
      <w:tc>
        <w:tcPr>
          <w:tcW w:w="3826" w:type="dxa"/>
          <w:vAlign w:val="center"/>
        </w:tcPr>
        <w:p w:rsidR="00AA1CB9" w:rsidRPr="00EF13C1" w:rsidRDefault="00AA1CB9" w:rsidP="00141DF6">
          <w:pPr>
            <w:pStyle w:val="Encabezado"/>
            <w:jc w:val="center"/>
            <w:rPr>
              <w:rFonts w:ascii="Palatino Linotype" w:hAnsi="Palatino Linotype"/>
              <w:b/>
              <w:sz w:val="22"/>
              <w:szCs w:val="22"/>
            </w:rPr>
          </w:pPr>
        </w:p>
      </w:tc>
    </w:tr>
    <w:tr w:rsidR="00AA1CB9" w:rsidRPr="00EF13C1" w:rsidTr="00646380">
      <w:trPr>
        <w:trHeight w:val="321"/>
        <w:jc w:val="right"/>
      </w:trPr>
      <w:tc>
        <w:tcPr>
          <w:tcW w:w="2552" w:type="dxa"/>
          <w:vAlign w:val="center"/>
        </w:tcPr>
        <w:p w:rsidR="00AA1CB9" w:rsidRPr="00EF13C1" w:rsidRDefault="00AA1CB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AA1CB9" w:rsidRPr="00EF13C1" w:rsidRDefault="00AA1CB9" w:rsidP="00FB61C7">
          <w:pPr>
            <w:pStyle w:val="Encabezado"/>
            <w:jc w:val="right"/>
            <w:rPr>
              <w:rFonts w:ascii="Palatino Linotype" w:hAnsi="Palatino Linotype"/>
              <w:b/>
              <w:sz w:val="22"/>
              <w:szCs w:val="22"/>
            </w:rPr>
          </w:pPr>
          <w:r>
            <w:rPr>
              <w:rFonts w:ascii="Palatino Linotype" w:hAnsi="Palatino Linotype"/>
              <w:b/>
              <w:bCs/>
              <w:sz w:val="22"/>
              <w:szCs w:val="22"/>
            </w:rPr>
            <w:t>Secretaría de Seguridad</w:t>
          </w:r>
          <w:r w:rsidRPr="00EF13C1">
            <w:rPr>
              <w:rFonts w:ascii="Palatino Linotype" w:hAnsi="Palatino Linotype"/>
              <w:b/>
              <w:sz w:val="22"/>
              <w:szCs w:val="22"/>
            </w:rPr>
            <w:t xml:space="preserve">    </w:t>
          </w:r>
        </w:p>
      </w:tc>
    </w:tr>
    <w:tr w:rsidR="00AA1CB9" w:rsidRPr="00EF13C1" w:rsidTr="00646380">
      <w:trPr>
        <w:trHeight w:val="321"/>
        <w:jc w:val="right"/>
      </w:trPr>
      <w:tc>
        <w:tcPr>
          <w:tcW w:w="2552" w:type="dxa"/>
          <w:vAlign w:val="center"/>
        </w:tcPr>
        <w:p w:rsidR="00AA1CB9" w:rsidRPr="00EF13C1" w:rsidRDefault="00AA1CB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AA1CB9" w:rsidRPr="00EF13C1" w:rsidRDefault="00AA1CB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A1CB9" w:rsidRDefault="00AA1CB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AA1CB9" w:rsidRPr="00182113" w:rsidTr="00141DF6">
      <w:trPr>
        <w:trHeight w:val="138"/>
      </w:trPr>
      <w:tc>
        <w:tcPr>
          <w:tcW w:w="2532" w:type="dxa"/>
          <w:vAlign w:val="center"/>
        </w:tcPr>
        <w:p w:rsidR="00AA1CB9" w:rsidRPr="00EF13C1" w:rsidRDefault="00AA1CB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AA1CB9" w:rsidRPr="00EF13C1" w:rsidRDefault="00AA1CB9" w:rsidP="002D2465">
          <w:pPr>
            <w:pStyle w:val="Encabezado"/>
            <w:jc w:val="right"/>
            <w:rPr>
              <w:rFonts w:ascii="Palatino Linotype" w:hAnsi="Palatino Linotype"/>
              <w:b/>
              <w:sz w:val="22"/>
              <w:szCs w:val="22"/>
            </w:rPr>
          </w:pPr>
          <w:r>
            <w:rPr>
              <w:rFonts w:ascii="Palatino Linotype" w:hAnsi="Palatino Linotype" w:cs="Arial"/>
              <w:b/>
              <w:bCs/>
              <w:sz w:val="22"/>
              <w:szCs w:val="22"/>
              <w:lang w:eastAsia="es-MX"/>
            </w:rPr>
            <w:t>00018/INFOEM/IP/RR/2019</w:t>
          </w:r>
        </w:p>
      </w:tc>
      <w:tc>
        <w:tcPr>
          <w:tcW w:w="2532" w:type="dxa"/>
          <w:vAlign w:val="center"/>
        </w:tcPr>
        <w:p w:rsidR="00AA1CB9" w:rsidRPr="00182113" w:rsidRDefault="00AA1CB9" w:rsidP="00141DF6">
          <w:pPr>
            <w:rPr>
              <w:rFonts w:ascii="Palatino Linotype" w:hAnsi="Palatino Linotype"/>
              <w:b/>
              <w:sz w:val="22"/>
              <w:szCs w:val="22"/>
            </w:rPr>
          </w:pPr>
        </w:p>
      </w:tc>
      <w:tc>
        <w:tcPr>
          <w:tcW w:w="236" w:type="dxa"/>
          <w:vAlign w:val="center"/>
        </w:tcPr>
        <w:p w:rsidR="00AA1CB9" w:rsidRPr="00182113" w:rsidRDefault="00AA1CB9" w:rsidP="00141DF6">
          <w:pPr>
            <w:pStyle w:val="Encabezado"/>
            <w:jc w:val="center"/>
            <w:rPr>
              <w:rFonts w:ascii="Palatino Linotype" w:hAnsi="Palatino Linotype"/>
              <w:b/>
              <w:sz w:val="22"/>
              <w:szCs w:val="22"/>
            </w:rPr>
          </w:pPr>
        </w:p>
      </w:tc>
      <w:tc>
        <w:tcPr>
          <w:tcW w:w="3261" w:type="dxa"/>
          <w:vAlign w:val="center"/>
        </w:tcPr>
        <w:p w:rsidR="00AA1CB9" w:rsidRPr="00182113" w:rsidRDefault="00AA1CB9" w:rsidP="00141DF6">
          <w:pPr>
            <w:pStyle w:val="Encabezado"/>
            <w:rPr>
              <w:rFonts w:ascii="Palatino Linotype" w:hAnsi="Palatino Linotype"/>
              <w:b/>
              <w:sz w:val="22"/>
              <w:szCs w:val="22"/>
            </w:rPr>
          </w:pPr>
        </w:p>
      </w:tc>
    </w:tr>
    <w:tr w:rsidR="00AA1CB9" w:rsidRPr="00182113" w:rsidTr="00141DF6">
      <w:trPr>
        <w:trHeight w:val="227"/>
      </w:trPr>
      <w:tc>
        <w:tcPr>
          <w:tcW w:w="2532" w:type="dxa"/>
          <w:vAlign w:val="center"/>
        </w:tcPr>
        <w:p w:rsidR="00AA1CB9" w:rsidRPr="00EF13C1" w:rsidRDefault="00AA1CB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AA1CB9" w:rsidRPr="00EF13C1" w:rsidRDefault="00F93171" w:rsidP="00141DF6">
          <w:pPr>
            <w:pStyle w:val="Encabezado"/>
            <w:jc w:val="right"/>
            <w:rPr>
              <w:rFonts w:ascii="Palatino Linotype" w:hAnsi="Palatino Linotype"/>
              <w:b/>
              <w:sz w:val="22"/>
              <w:szCs w:val="22"/>
            </w:rPr>
          </w:pPr>
          <w:r w:rsidRPr="00F93171">
            <w:rPr>
              <w:rFonts w:ascii="Palatino Linotype" w:hAnsi="Palatino Linotype"/>
              <w:b/>
              <w:sz w:val="22"/>
              <w:szCs w:val="22"/>
              <w:highlight w:val="black"/>
            </w:rPr>
            <w:t>----------------------------------</w:t>
          </w:r>
        </w:p>
      </w:tc>
      <w:tc>
        <w:tcPr>
          <w:tcW w:w="2532" w:type="dxa"/>
          <w:vAlign w:val="center"/>
        </w:tcPr>
        <w:p w:rsidR="00AA1CB9" w:rsidRPr="00182113" w:rsidRDefault="00AA1CB9" w:rsidP="00141DF6">
          <w:pPr>
            <w:rPr>
              <w:rFonts w:ascii="Palatino Linotype" w:hAnsi="Palatino Linotype"/>
              <w:b/>
              <w:sz w:val="22"/>
              <w:szCs w:val="22"/>
            </w:rPr>
          </w:pPr>
        </w:p>
      </w:tc>
      <w:tc>
        <w:tcPr>
          <w:tcW w:w="236" w:type="dxa"/>
          <w:vAlign w:val="center"/>
        </w:tcPr>
        <w:p w:rsidR="00AA1CB9" w:rsidRPr="00182113" w:rsidRDefault="00AA1CB9" w:rsidP="00141DF6">
          <w:pPr>
            <w:pStyle w:val="Encabezado"/>
            <w:jc w:val="center"/>
            <w:rPr>
              <w:rFonts w:ascii="Palatino Linotype" w:hAnsi="Palatino Linotype"/>
              <w:b/>
              <w:sz w:val="22"/>
              <w:szCs w:val="22"/>
            </w:rPr>
          </w:pPr>
        </w:p>
      </w:tc>
      <w:tc>
        <w:tcPr>
          <w:tcW w:w="3261" w:type="dxa"/>
          <w:vAlign w:val="center"/>
        </w:tcPr>
        <w:p w:rsidR="00AA1CB9" w:rsidRPr="00182113" w:rsidRDefault="00AA1CB9" w:rsidP="00141DF6">
          <w:pPr>
            <w:pStyle w:val="Encabezado"/>
            <w:rPr>
              <w:rFonts w:ascii="Palatino Linotype" w:hAnsi="Palatino Linotype"/>
              <w:b/>
              <w:sz w:val="22"/>
              <w:szCs w:val="22"/>
            </w:rPr>
          </w:pPr>
        </w:p>
      </w:tc>
    </w:tr>
    <w:tr w:rsidR="00AA1CB9" w:rsidRPr="00182113" w:rsidTr="00141DF6">
      <w:trPr>
        <w:trHeight w:val="232"/>
      </w:trPr>
      <w:tc>
        <w:tcPr>
          <w:tcW w:w="2532" w:type="dxa"/>
          <w:vAlign w:val="center"/>
        </w:tcPr>
        <w:p w:rsidR="00AA1CB9" w:rsidRPr="00EF13C1" w:rsidRDefault="00AA1CB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AA1CB9" w:rsidRPr="00EF13C1" w:rsidRDefault="00AA1CB9" w:rsidP="00FB61C7">
          <w:pPr>
            <w:pStyle w:val="Encabezado"/>
            <w:jc w:val="right"/>
            <w:rPr>
              <w:rFonts w:ascii="Palatino Linotype" w:hAnsi="Palatino Linotype"/>
              <w:b/>
              <w:sz w:val="22"/>
              <w:szCs w:val="22"/>
            </w:rPr>
          </w:pPr>
          <w:r>
            <w:rPr>
              <w:rFonts w:ascii="Palatino Linotype" w:hAnsi="Palatino Linotype"/>
              <w:b/>
              <w:bCs/>
              <w:sz w:val="22"/>
              <w:szCs w:val="22"/>
            </w:rPr>
            <w:t>Secretaría de Seguridad</w:t>
          </w:r>
          <w:r w:rsidRPr="00EF13C1">
            <w:rPr>
              <w:rFonts w:ascii="Palatino Linotype" w:hAnsi="Palatino Linotype"/>
              <w:b/>
              <w:sz w:val="22"/>
              <w:szCs w:val="22"/>
            </w:rPr>
            <w:t xml:space="preserve"> </w:t>
          </w:r>
        </w:p>
      </w:tc>
      <w:tc>
        <w:tcPr>
          <w:tcW w:w="2532" w:type="dxa"/>
          <w:vAlign w:val="center"/>
        </w:tcPr>
        <w:p w:rsidR="00AA1CB9" w:rsidRPr="00182113" w:rsidRDefault="00AA1CB9" w:rsidP="00141DF6">
          <w:pPr>
            <w:rPr>
              <w:rFonts w:ascii="Palatino Linotype" w:hAnsi="Palatino Linotype"/>
              <w:b/>
              <w:sz w:val="22"/>
              <w:szCs w:val="22"/>
            </w:rPr>
          </w:pPr>
        </w:p>
      </w:tc>
      <w:tc>
        <w:tcPr>
          <w:tcW w:w="236" w:type="dxa"/>
          <w:vAlign w:val="center"/>
        </w:tcPr>
        <w:p w:rsidR="00AA1CB9" w:rsidRPr="00182113" w:rsidRDefault="00AA1CB9" w:rsidP="00141DF6">
          <w:pPr>
            <w:pStyle w:val="Encabezado"/>
            <w:jc w:val="center"/>
            <w:rPr>
              <w:rFonts w:ascii="Palatino Linotype" w:hAnsi="Palatino Linotype"/>
              <w:b/>
              <w:sz w:val="22"/>
              <w:szCs w:val="22"/>
            </w:rPr>
          </w:pPr>
        </w:p>
      </w:tc>
      <w:tc>
        <w:tcPr>
          <w:tcW w:w="3261" w:type="dxa"/>
          <w:vAlign w:val="center"/>
        </w:tcPr>
        <w:p w:rsidR="00AA1CB9" w:rsidRPr="00182113" w:rsidRDefault="00AA1CB9" w:rsidP="00141DF6">
          <w:pPr>
            <w:pStyle w:val="Encabezado"/>
            <w:rPr>
              <w:rFonts w:ascii="Palatino Linotype" w:hAnsi="Palatino Linotype"/>
              <w:b/>
              <w:sz w:val="22"/>
              <w:szCs w:val="22"/>
            </w:rPr>
          </w:pPr>
        </w:p>
      </w:tc>
    </w:tr>
    <w:tr w:rsidR="00AA1CB9" w:rsidRPr="00182113" w:rsidTr="00141DF6">
      <w:trPr>
        <w:trHeight w:val="320"/>
      </w:trPr>
      <w:tc>
        <w:tcPr>
          <w:tcW w:w="2532" w:type="dxa"/>
          <w:vAlign w:val="center"/>
        </w:tcPr>
        <w:p w:rsidR="00AA1CB9" w:rsidRPr="00EF13C1" w:rsidRDefault="00AA1CB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AA1CB9" w:rsidRPr="00EF13C1" w:rsidRDefault="00AA1CB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AA1CB9" w:rsidRPr="00182113" w:rsidRDefault="00AA1CB9" w:rsidP="00141DF6">
          <w:pPr>
            <w:rPr>
              <w:rFonts w:ascii="Palatino Linotype" w:hAnsi="Palatino Linotype"/>
              <w:b/>
              <w:sz w:val="22"/>
              <w:szCs w:val="22"/>
            </w:rPr>
          </w:pPr>
        </w:p>
      </w:tc>
      <w:tc>
        <w:tcPr>
          <w:tcW w:w="236" w:type="dxa"/>
          <w:vAlign w:val="center"/>
        </w:tcPr>
        <w:p w:rsidR="00AA1CB9" w:rsidRPr="00182113" w:rsidRDefault="00AA1CB9" w:rsidP="00141DF6">
          <w:pPr>
            <w:pStyle w:val="Encabezado"/>
            <w:jc w:val="center"/>
            <w:rPr>
              <w:rFonts w:ascii="Palatino Linotype" w:hAnsi="Palatino Linotype"/>
              <w:b/>
              <w:sz w:val="22"/>
              <w:szCs w:val="22"/>
            </w:rPr>
          </w:pPr>
        </w:p>
      </w:tc>
      <w:tc>
        <w:tcPr>
          <w:tcW w:w="3261" w:type="dxa"/>
          <w:vAlign w:val="center"/>
        </w:tcPr>
        <w:p w:rsidR="00AA1CB9" w:rsidRPr="00182113" w:rsidRDefault="00AA1CB9" w:rsidP="00141DF6">
          <w:pPr>
            <w:pStyle w:val="Encabezado"/>
            <w:rPr>
              <w:rFonts w:ascii="Palatino Linotype" w:hAnsi="Palatino Linotype"/>
              <w:b/>
              <w:sz w:val="22"/>
              <w:szCs w:val="22"/>
            </w:rPr>
          </w:pPr>
        </w:p>
      </w:tc>
    </w:tr>
  </w:tbl>
  <w:p w:rsidR="00AA1CB9" w:rsidRDefault="00AA1C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B70856D6"/>
    <w:lvl w:ilvl="0" w:tplc="E842BFA6">
      <w:start w:val="1"/>
      <w:numFmt w:val="lowerLetter"/>
      <w:lvlText w:val="%1)"/>
      <w:lvlJc w:val="left"/>
      <w:pPr>
        <w:ind w:left="720" w:hanging="360"/>
      </w:pPr>
      <w:rPr>
        <w:rFonts w:hint="default"/>
        <w:strike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DFA5EAE"/>
    <w:multiLevelType w:val="hybridMultilevel"/>
    <w:tmpl w:val="00D4164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7A603A1"/>
    <w:multiLevelType w:val="hybridMultilevel"/>
    <w:tmpl w:val="8A00CC1E"/>
    <w:lvl w:ilvl="0" w:tplc="E2DE1AF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7A4A2E"/>
    <w:multiLevelType w:val="hybridMultilevel"/>
    <w:tmpl w:val="DDB89D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C2A6FF0"/>
    <w:multiLevelType w:val="hybridMultilevel"/>
    <w:tmpl w:val="6C8E0C8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2673899"/>
    <w:multiLevelType w:val="hybridMultilevel"/>
    <w:tmpl w:val="0570D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7845600"/>
    <w:multiLevelType w:val="hybridMultilevel"/>
    <w:tmpl w:val="32AAF162"/>
    <w:lvl w:ilvl="0" w:tplc="1300258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DE63A9C"/>
    <w:multiLevelType w:val="hybridMultilevel"/>
    <w:tmpl w:val="460EFA02"/>
    <w:lvl w:ilvl="0" w:tplc="9C6E91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1AF7F25"/>
    <w:multiLevelType w:val="hybridMultilevel"/>
    <w:tmpl w:val="107CE52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6">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5C7B1E75"/>
    <w:multiLevelType w:val="hybridMultilevel"/>
    <w:tmpl w:val="0A5A8A20"/>
    <w:lvl w:ilvl="0" w:tplc="64963546">
      <w:start w:val="6"/>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5024E11"/>
    <w:multiLevelType w:val="hybridMultilevel"/>
    <w:tmpl w:val="2FA2E55E"/>
    <w:lvl w:ilvl="0" w:tplc="ADB8E2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C3447BC"/>
    <w:multiLevelType w:val="hybridMultilevel"/>
    <w:tmpl w:val="0ED8B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9EA4C16"/>
    <w:multiLevelType w:val="hybridMultilevel"/>
    <w:tmpl w:val="441A2588"/>
    <w:lvl w:ilvl="0" w:tplc="4AC8291E">
      <w:start w:val="2"/>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D5E43BD"/>
    <w:multiLevelType w:val="hybridMultilevel"/>
    <w:tmpl w:val="E38CF2E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1"/>
  </w:num>
  <w:num w:numId="2">
    <w:abstractNumId w:val="12"/>
  </w:num>
  <w:num w:numId="3">
    <w:abstractNumId w:val="33"/>
  </w:num>
  <w:num w:numId="4">
    <w:abstractNumId w:val="35"/>
  </w:num>
  <w:num w:numId="5">
    <w:abstractNumId w:val="25"/>
  </w:num>
  <w:num w:numId="6">
    <w:abstractNumId w:val="15"/>
  </w:num>
  <w:num w:numId="7">
    <w:abstractNumId w:val="37"/>
  </w:num>
  <w:num w:numId="8">
    <w:abstractNumId w:val="3"/>
  </w:num>
  <w:num w:numId="9">
    <w:abstractNumId w:val="6"/>
  </w:num>
  <w:num w:numId="10">
    <w:abstractNumId w:val="4"/>
  </w:num>
  <w:num w:numId="11">
    <w:abstractNumId w:val="27"/>
  </w:num>
  <w:num w:numId="12">
    <w:abstractNumId w:val="16"/>
  </w:num>
  <w:num w:numId="13">
    <w:abstractNumId w:val="24"/>
  </w:num>
  <w:num w:numId="14">
    <w:abstractNumId w:val="10"/>
  </w:num>
  <w:num w:numId="15">
    <w:abstractNumId w:val="22"/>
  </w:num>
  <w:num w:numId="16">
    <w:abstractNumId w:val="20"/>
  </w:num>
  <w:num w:numId="17">
    <w:abstractNumId w:val="40"/>
  </w:num>
  <w:num w:numId="18">
    <w:abstractNumId w:val="17"/>
  </w:num>
  <w:num w:numId="19">
    <w:abstractNumId w:val="1"/>
  </w:num>
  <w:num w:numId="20">
    <w:abstractNumId w:val="23"/>
  </w:num>
  <w:num w:numId="21">
    <w:abstractNumId w:val="28"/>
  </w:num>
  <w:num w:numId="22">
    <w:abstractNumId w:val="45"/>
  </w:num>
  <w:num w:numId="23">
    <w:abstractNumId w:val="26"/>
  </w:num>
  <w:num w:numId="24">
    <w:abstractNumId w:val="47"/>
  </w:num>
  <w:num w:numId="25">
    <w:abstractNumId w:val="36"/>
  </w:num>
  <w:num w:numId="26">
    <w:abstractNumId w:val="31"/>
  </w:num>
  <w:num w:numId="27">
    <w:abstractNumId w:val="11"/>
  </w:num>
  <w:num w:numId="28">
    <w:abstractNumId w:val="14"/>
  </w:num>
  <w:num w:numId="29">
    <w:abstractNumId w:val="44"/>
  </w:num>
  <w:num w:numId="30">
    <w:abstractNumId w:val="8"/>
  </w:num>
  <w:num w:numId="31">
    <w:abstractNumId w:val="2"/>
  </w:num>
  <w:num w:numId="32">
    <w:abstractNumId w:val="30"/>
  </w:num>
  <w:num w:numId="33">
    <w:abstractNumId w:val="41"/>
  </w:num>
  <w:num w:numId="34">
    <w:abstractNumId w:val="0"/>
  </w:num>
  <w:num w:numId="35">
    <w:abstractNumId w:val="5"/>
  </w:num>
  <w:num w:numId="36">
    <w:abstractNumId w:val="42"/>
  </w:num>
  <w:num w:numId="37">
    <w:abstractNumId w:val="43"/>
  </w:num>
  <w:num w:numId="38">
    <w:abstractNumId w:val="29"/>
  </w:num>
  <w:num w:numId="39">
    <w:abstractNumId w:val="19"/>
  </w:num>
  <w:num w:numId="40">
    <w:abstractNumId w:val="39"/>
  </w:num>
  <w:num w:numId="41">
    <w:abstractNumId w:val="7"/>
  </w:num>
  <w:num w:numId="42">
    <w:abstractNumId w:val="48"/>
  </w:num>
  <w:num w:numId="43">
    <w:abstractNumId w:val="18"/>
  </w:num>
  <w:num w:numId="44">
    <w:abstractNumId w:val="9"/>
  </w:num>
  <w:num w:numId="45">
    <w:abstractNumId w:val="13"/>
  </w:num>
  <w:num w:numId="46">
    <w:abstractNumId w:val="32"/>
  </w:num>
  <w:num w:numId="47">
    <w:abstractNumId w:val="38"/>
  </w:num>
  <w:num w:numId="48">
    <w:abstractNumId w:val="46"/>
  </w:num>
  <w:num w:numId="49">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2ED4"/>
    <w:rsid w:val="00036E69"/>
    <w:rsid w:val="000404FD"/>
    <w:rsid w:val="0004269C"/>
    <w:rsid w:val="00045D8E"/>
    <w:rsid w:val="000471A3"/>
    <w:rsid w:val="00052D32"/>
    <w:rsid w:val="0005331A"/>
    <w:rsid w:val="000550E9"/>
    <w:rsid w:val="00057046"/>
    <w:rsid w:val="00057C2D"/>
    <w:rsid w:val="00065A5E"/>
    <w:rsid w:val="00065DF2"/>
    <w:rsid w:val="0007491E"/>
    <w:rsid w:val="00075A4C"/>
    <w:rsid w:val="000837C5"/>
    <w:rsid w:val="00091880"/>
    <w:rsid w:val="000A2541"/>
    <w:rsid w:val="000A46A2"/>
    <w:rsid w:val="000A53C4"/>
    <w:rsid w:val="000A79E0"/>
    <w:rsid w:val="000C37A1"/>
    <w:rsid w:val="000C5D85"/>
    <w:rsid w:val="000E027C"/>
    <w:rsid w:val="000E053C"/>
    <w:rsid w:val="000E244C"/>
    <w:rsid w:val="000E43C9"/>
    <w:rsid w:val="000E4F0E"/>
    <w:rsid w:val="000F3174"/>
    <w:rsid w:val="00100FB3"/>
    <w:rsid w:val="00101488"/>
    <w:rsid w:val="001019CA"/>
    <w:rsid w:val="00103D99"/>
    <w:rsid w:val="001046DE"/>
    <w:rsid w:val="00105A38"/>
    <w:rsid w:val="0010609C"/>
    <w:rsid w:val="001168F4"/>
    <w:rsid w:val="00121044"/>
    <w:rsid w:val="00123610"/>
    <w:rsid w:val="001308F8"/>
    <w:rsid w:val="00130B1E"/>
    <w:rsid w:val="001319DC"/>
    <w:rsid w:val="00132F24"/>
    <w:rsid w:val="00133272"/>
    <w:rsid w:val="001336BF"/>
    <w:rsid w:val="00140005"/>
    <w:rsid w:val="00141DF6"/>
    <w:rsid w:val="001520C4"/>
    <w:rsid w:val="00156CB7"/>
    <w:rsid w:val="001614FF"/>
    <w:rsid w:val="00161684"/>
    <w:rsid w:val="001624FE"/>
    <w:rsid w:val="00166171"/>
    <w:rsid w:val="0017048B"/>
    <w:rsid w:val="00170DEE"/>
    <w:rsid w:val="001715AF"/>
    <w:rsid w:val="0018112B"/>
    <w:rsid w:val="00182731"/>
    <w:rsid w:val="001846A4"/>
    <w:rsid w:val="00190184"/>
    <w:rsid w:val="001A556A"/>
    <w:rsid w:val="001B0E38"/>
    <w:rsid w:val="001B3D20"/>
    <w:rsid w:val="001B3DAD"/>
    <w:rsid w:val="001C0763"/>
    <w:rsid w:val="001C0F74"/>
    <w:rsid w:val="001C1F82"/>
    <w:rsid w:val="001C2925"/>
    <w:rsid w:val="001C2C74"/>
    <w:rsid w:val="001C7C47"/>
    <w:rsid w:val="001D29AC"/>
    <w:rsid w:val="001D5D25"/>
    <w:rsid w:val="001D5F4A"/>
    <w:rsid w:val="001D6496"/>
    <w:rsid w:val="001E0229"/>
    <w:rsid w:val="001F1A61"/>
    <w:rsid w:val="001F2B1D"/>
    <w:rsid w:val="001F6878"/>
    <w:rsid w:val="001F7B29"/>
    <w:rsid w:val="00201C80"/>
    <w:rsid w:val="0021062B"/>
    <w:rsid w:val="00210D51"/>
    <w:rsid w:val="002119A1"/>
    <w:rsid w:val="0021398B"/>
    <w:rsid w:val="00216C93"/>
    <w:rsid w:val="0022089E"/>
    <w:rsid w:val="00220C8D"/>
    <w:rsid w:val="0022251B"/>
    <w:rsid w:val="002248D3"/>
    <w:rsid w:val="00231FF4"/>
    <w:rsid w:val="00232019"/>
    <w:rsid w:val="002456EB"/>
    <w:rsid w:val="00256D0A"/>
    <w:rsid w:val="00260E8C"/>
    <w:rsid w:val="00262949"/>
    <w:rsid w:val="00264359"/>
    <w:rsid w:val="00266D19"/>
    <w:rsid w:val="00266F04"/>
    <w:rsid w:val="002748FD"/>
    <w:rsid w:val="00274D1E"/>
    <w:rsid w:val="002770B1"/>
    <w:rsid w:val="0027779A"/>
    <w:rsid w:val="00283550"/>
    <w:rsid w:val="0028469E"/>
    <w:rsid w:val="00294EEE"/>
    <w:rsid w:val="00295127"/>
    <w:rsid w:val="00296E48"/>
    <w:rsid w:val="00296EF2"/>
    <w:rsid w:val="002A3EC2"/>
    <w:rsid w:val="002A4249"/>
    <w:rsid w:val="002A5BA4"/>
    <w:rsid w:val="002B0636"/>
    <w:rsid w:val="002B48BE"/>
    <w:rsid w:val="002C51AA"/>
    <w:rsid w:val="002D2177"/>
    <w:rsid w:val="002D21B7"/>
    <w:rsid w:val="002D2465"/>
    <w:rsid w:val="002E01F3"/>
    <w:rsid w:val="002E0682"/>
    <w:rsid w:val="002E2041"/>
    <w:rsid w:val="002F1198"/>
    <w:rsid w:val="002F37F6"/>
    <w:rsid w:val="002F41D4"/>
    <w:rsid w:val="002F4E9B"/>
    <w:rsid w:val="00302FF6"/>
    <w:rsid w:val="00307B32"/>
    <w:rsid w:val="00322592"/>
    <w:rsid w:val="00323479"/>
    <w:rsid w:val="003243D0"/>
    <w:rsid w:val="003337B5"/>
    <w:rsid w:val="00334972"/>
    <w:rsid w:val="0033655A"/>
    <w:rsid w:val="00337F7A"/>
    <w:rsid w:val="003438A7"/>
    <w:rsid w:val="0034618B"/>
    <w:rsid w:val="00347B80"/>
    <w:rsid w:val="003520B3"/>
    <w:rsid w:val="00352F58"/>
    <w:rsid w:val="003573CE"/>
    <w:rsid w:val="0036064A"/>
    <w:rsid w:val="0036737F"/>
    <w:rsid w:val="0036741F"/>
    <w:rsid w:val="00375A9D"/>
    <w:rsid w:val="00385622"/>
    <w:rsid w:val="003977F2"/>
    <w:rsid w:val="003A1075"/>
    <w:rsid w:val="003A22A5"/>
    <w:rsid w:val="003A3A45"/>
    <w:rsid w:val="003A75A4"/>
    <w:rsid w:val="003A7F47"/>
    <w:rsid w:val="003B0404"/>
    <w:rsid w:val="003B4809"/>
    <w:rsid w:val="003B5687"/>
    <w:rsid w:val="003B74F2"/>
    <w:rsid w:val="003C1FBE"/>
    <w:rsid w:val="003C2170"/>
    <w:rsid w:val="003C53A5"/>
    <w:rsid w:val="003C7AB3"/>
    <w:rsid w:val="003D18AF"/>
    <w:rsid w:val="003D233D"/>
    <w:rsid w:val="003D2560"/>
    <w:rsid w:val="003D59AE"/>
    <w:rsid w:val="003E000F"/>
    <w:rsid w:val="003E1AB3"/>
    <w:rsid w:val="003E6D13"/>
    <w:rsid w:val="003E7FE7"/>
    <w:rsid w:val="003F4747"/>
    <w:rsid w:val="003F688E"/>
    <w:rsid w:val="0041566F"/>
    <w:rsid w:val="004208B9"/>
    <w:rsid w:val="004246CF"/>
    <w:rsid w:val="00425185"/>
    <w:rsid w:val="00426C8A"/>
    <w:rsid w:val="00443C87"/>
    <w:rsid w:val="004454F5"/>
    <w:rsid w:val="00446859"/>
    <w:rsid w:val="00454B14"/>
    <w:rsid w:val="00457FE4"/>
    <w:rsid w:val="004649E1"/>
    <w:rsid w:val="00465214"/>
    <w:rsid w:val="0046559A"/>
    <w:rsid w:val="004663F1"/>
    <w:rsid w:val="00473FB2"/>
    <w:rsid w:val="00475B56"/>
    <w:rsid w:val="004817DA"/>
    <w:rsid w:val="004821E3"/>
    <w:rsid w:val="00483E81"/>
    <w:rsid w:val="004846AA"/>
    <w:rsid w:val="00490A69"/>
    <w:rsid w:val="004915E2"/>
    <w:rsid w:val="0049508E"/>
    <w:rsid w:val="004A18C9"/>
    <w:rsid w:val="004A2C19"/>
    <w:rsid w:val="004A52A6"/>
    <w:rsid w:val="004A7BB6"/>
    <w:rsid w:val="004B019D"/>
    <w:rsid w:val="004B4FC5"/>
    <w:rsid w:val="004B5E61"/>
    <w:rsid w:val="004C6DD1"/>
    <w:rsid w:val="004C775C"/>
    <w:rsid w:val="004D60FB"/>
    <w:rsid w:val="004D6254"/>
    <w:rsid w:val="004D6310"/>
    <w:rsid w:val="004D65D4"/>
    <w:rsid w:val="004E0C1F"/>
    <w:rsid w:val="004E1E1B"/>
    <w:rsid w:val="004E747E"/>
    <w:rsid w:val="004F2039"/>
    <w:rsid w:val="004F6C8A"/>
    <w:rsid w:val="004F7EE3"/>
    <w:rsid w:val="00500D9A"/>
    <w:rsid w:val="0050618A"/>
    <w:rsid w:val="00513071"/>
    <w:rsid w:val="00513336"/>
    <w:rsid w:val="0051509C"/>
    <w:rsid w:val="0052012D"/>
    <w:rsid w:val="005212A5"/>
    <w:rsid w:val="005234DE"/>
    <w:rsid w:val="00524962"/>
    <w:rsid w:val="00525475"/>
    <w:rsid w:val="00525F8D"/>
    <w:rsid w:val="00532505"/>
    <w:rsid w:val="005417A2"/>
    <w:rsid w:val="00546D26"/>
    <w:rsid w:val="005540A0"/>
    <w:rsid w:val="0056331C"/>
    <w:rsid w:val="0056738A"/>
    <w:rsid w:val="005703BB"/>
    <w:rsid w:val="0057190B"/>
    <w:rsid w:val="00571A57"/>
    <w:rsid w:val="005725FF"/>
    <w:rsid w:val="005750AA"/>
    <w:rsid w:val="00583AB6"/>
    <w:rsid w:val="00584E82"/>
    <w:rsid w:val="00585CCF"/>
    <w:rsid w:val="005933EC"/>
    <w:rsid w:val="005940C1"/>
    <w:rsid w:val="005A1327"/>
    <w:rsid w:val="005A62D5"/>
    <w:rsid w:val="005B02E5"/>
    <w:rsid w:val="005B0AB7"/>
    <w:rsid w:val="005B3C42"/>
    <w:rsid w:val="005C0C5A"/>
    <w:rsid w:val="005C1F74"/>
    <w:rsid w:val="005C5C3E"/>
    <w:rsid w:val="005C6A6F"/>
    <w:rsid w:val="005D182C"/>
    <w:rsid w:val="005D31E4"/>
    <w:rsid w:val="005E06DC"/>
    <w:rsid w:val="005E10C3"/>
    <w:rsid w:val="005E1D42"/>
    <w:rsid w:val="005E36DE"/>
    <w:rsid w:val="005E6C51"/>
    <w:rsid w:val="005F53F8"/>
    <w:rsid w:val="005F5547"/>
    <w:rsid w:val="006027FD"/>
    <w:rsid w:val="00604915"/>
    <w:rsid w:val="0060769D"/>
    <w:rsid w:val="00612F33"/>
    <w:rsid w:val="00615D50"/>
    <w:rsid w:val="0061760D"/>
    <w:rsid w:val="00621D34"/>
    <w:rsid w:val="00622380"/>
    <w:rsid w:val="00630DD2"/>
    <w:rsid w:val="00642937"/>
    <w:rsid w:val="00644191"/>
    <w:rsid w:val="00646380"/>
    <w:rsid w:val="0065568B"/>
    <w:rsid w:val="006573BC"/>
    <w:rsid w:val="0066037B"/>
    <w:rsid w:val="00660D0F"/>
    <w:rsid w:val="006650CC"/>
    <w:rsid w:val="00666AB0"/>
    <w:rsid w:val="00671EE2"/>
    <w:rsid w:val="006740AD"/>
    <w:rsid w:val="00684855"/>
    <w:rsid w:val="00685022"/>
    <w:rsid w:val="00685C1F"/>
    <w:rsid w:val="00693768"/>
    <w:rsid w:val="00695DD2"/>
    <w:rsid w:val="006A5CB3"/>
    <w:rsid w:val="006B1786"/>
    <w:rsid w:val="006B1CCF"/>
    <w:rsid w:val="006B22CF"/>
    <w:rsid w:val="006B4C4D"/>
    <w:rsid w:val="006C084A"/>
    <w:rsid w:val="006C37D6"/>
    <w:rsid w:val="006C3D1D"/>
    <w:rsid w:val="006C43CD"/>
    <w:rsid w:val="006C47AA"/>
    <w:rsid w:val="006C530A"/>
    <w:rsid w:val="006D3F8E"/>
    <w:rsid w:val="006E1DEE"/>
    <w:rsid w:val="006E4CE1"/>
    <w:rsid w:val="006E5B19"/>
    <w:rsid w:val="006E63FB"/>
    <w:rsid w:val="006E7D30"/>
    <w:rsid w:val="006F3557"/>
    <w:rsid w:val="007026C3"/>
    <w:rsid w:val="00703F6F"/>
    <w:rsid w:val="00704F63"/>
    <w:rsid w:val="007064B0"/>
    <w:rsid w:val="00710E1F"/>
    <w:rsid w:val="00714B9B"/>
    <w:rsid w:val="00715018"/>
    <w:rsid w:val="007164D3"/>
    <w:rsid w:val="0071694F"/>
    <w:rsid w:val="0072022F"/>
    <w:rsid w:val="007215DD"/>
    <w:rsid w:val="00721DFC"/>
    <w:rsid w:val="007319FB"/>
    <w:rsid w:val="007401AD"/>
    <w:rsid w:val="007473A6"/>
    <w:rsid w:val="00761C0D"/>
    <w:rsid w:val="00764F51"/>
    <w:rsid w:val="00775BFA"/>
    <w:rsid w:val="007845B7"/>
    <w:rsid w:val="00785E37"/>
    <w:rsid w:val="00787F60"/>
    <w:rsid w:val="00795D3A"/>
    <w:rsid w:val="00795EA1"/>
    <w:rsid w:val="00796727"/>
    <w:rsid w:val="00796D7E"/>
    <w:rsid w:val="007B40B0"/>
    <w:rsid w:val="007B726B"/>
    <w:rsid w:val="007C2EBB"/>
    <w:rsid w:val="007D4871"/>
    <w:rsid w:val="007D49CC"/>
    <w:rsid w:val="007D75A9"/>
    <w:rsid w:val="007E298D"/>
    <w:rsid w:val="007E43F9"/>
    <w:rsid w:val="007F1B7C"/>
    <w:rsid w:val="007F27B2"/>
    <w:rsid w:val="007F611D"/>
    <w:rsid w:val="007F7C18"/>
    <w:rsid w:val="00801CB0"/>
    <w:rsid w:val="0081044D"/>
    <w:rsid w:val="00811F2A"/>
    <w:rsid w:val="00812C54"/>
    <w:rsid w:val="00813D10"/>
    <w:rsid w:val="00821599"/>
    <w:rsid w:val="008267C9"/>
    <w:rsid w:val="00826DBC"/>
    <w:rsid w:val="00835853"/>
    <w:rsid w:val="00840C2D"/>
    <w:rsid w:val="008427BB"/>
    <w:rsid w:val="00843D41"/>
    <w:rsid w:val="00844254"/>
    <w:rsid w:val="00846E21"/>
    <w:rsid w:val="00847AFB"/>
    <w:rsid w:val="008538D7"/>
    <w:rsid w:val="008642DB"/>
    <w:rsid w:val="00872FF9"/>
    <w:rsid w:val="00873B93"/>
    <w:rsid w:val="00876952"/>
    <w:rsid w:val="008820EB"/>
    <w:rsid w:val="00885280"/>
    <w:rsid w:val="00890622"/>
    <w:rsid w:val="00897A58"/>
    <w:rsid w:val="008A4423"/>
    <w:rsid w:val="008B257C"/>
    <w:rsid w:val="008B48E5"/>
    <w:rsid w:val="008B575A"/>
    <w:rsid w:val="008B6A29"/>
    <w:rsid w:val="008B6F5F"/>
    <w:rsid w:val="008C1660"/>
    <w:rsid w:val="008C2AE6"/>
    <w:rsid w:val="008C40D3"/>
    <w:rsid w:val="008C5A5B"/>
    <w:rsid w:val="008D11BC"/>
    <w:rsid w:val="008D16C1"/>
    <w:rsid w:val="008D59C7"/>
    <w:rsid w:val="008D59ED"/>
    <w:rsid w:val="008D5FE3"/>
    <w:rsid w:val="008D6200"/>
    <w:rsid w:val="008E5C56"/>
    <w:rsid w:val="008E78E7"/>
    <w:rsid w:val="008F0DCD"/>
    <w:rsid w:val="008F6153"/>
    <w:rsid w:val="00916432"/>
    <w:rsid w:val="00916C74"/>
    <w:rsid w:val="0092505E"/>
    <w:rsid w:val="0092772E"/>
    <w:rsid w:val="00933B2F"/>
    <w:rsid w:val="00934DB8"/>
    <w:rsid w:val="0094169D"/>
    <w:rsid w:val="00941F93"/>
    <w:rsid w:val="009472D4"/>
    <w:rsid w:val="009479DA"/>
    <w:rsid w:val="00954B5F"/>
    <w:rsid w:val="009603EC"/>
    <w:rsid w:val="009637DD"/>
    <w:rsid w:val="00964973"/>
    <w:rsid w:val="009655B5"/>
    <w:rsid w:val="0096784D"/>
    <w:rsid w:val="00970964"/>
    <w:rsid w:val="00970F94"/>
    <w:rsid w:val="00971105"/>
    <w:rsid w:val="0097488D"/>
    <w:rsid w:val="0097619A"/>
    <w:rsid w:val="00976E5F"/>
    <w:rsid w:val="0097749D"/>
    <w:rsid w:val="00981905"/>
    <w:rsid w:val="009947E6"/>
    <w:rsid w:val="009A2BB4"/>
    <w:rsid w:val="009A30B5"/>
    <w:rsid w:val="009A66DF"/>
    <w:rsid w:val="009B154D"/>
    <w:rsid w:val="009B240E"/>
    <w:rsid w:val="009B2A2C"/>
    <w:rsid w:val="009B4CE0"/>
    <w:rsid w:val="009B4DA9"/>
    <w:rsid w:val="009C06E9"/>
    <w:rsid w:val="009C1832"/>
    <w:rsid w:val="009C1E84"/>
    <w:rsid w:val="009C234C"/>
    <w:rsid w:val="009C3642"/>
    <w:rsid w:val="009C5336"/>
    <w:rsid w:val="009C5BE9"/>
    <w:rsid w:val="009D6F6A"/>
    <w:rsid w:val="009E1B6E"/>
    <w:rsid w:val="009E2DBA"/>
    <w:rsid w:val="009F2ACF"/>
    <w:rsid w:val="009F5288"/>
    <w:rsid w:val="00A15FF5"/>
    <w:rsid w:val="00A16D92"/>
    <w:rsid w:val="00A17EFD"/>
    <w:rsid w:val="00A22BE6"/>
    <w:rsid w:val="00A25F73"/>
    <w:rsid w:val="00A27C85"/>
    <w:rsid w:val="00A349F8"/>
    <w:rsid w:val="00A359C0"/>
    <w:rsid w:val="00A470A3"/>
    <w:rsid w:val="00A47E1E"/>
    <w:rsid w:val="00A516EA"/>
    <w:rsid w:val="00A53B90"/>
    <w:rsid w:val="00A55208"/>
    <w:rsid w:val="00A57BB3"/>
    <w:rsid w:val="00A57ED5"/>
    <w:rsid w:val="00A611DC"/>
    <w:rsid w:val="00A63528"/>
    <w:rsid w:val="00A736DC"/>
    <w:rsid w:val="00A77DFC"/>
    <w:rsid w:val="00A828E4"/>
    <w:rsid w:val="00A9637C"/>
    <w:rsid w:val="00AA1CB9"/>
    <w:rsid w:val="00AB3101"/>
    <w:rsid w:val="00AB3D5A"/>
    <w:rsid w:val="00AB6C1E"/>
    <w:rsid w:val="00AB7F40"/>
    <w:rsid w:val="00AC15E9"/>
    <w:rsid w:val="00AC371A"/>
    <w:rsid w:val="00AC6FC5"/>
    <w:rsid w:val="00AD1539"/>
    <w:rsid w:val="00AE094B"/>
    <w:rsid w:val="00AE5ED3"/>
    <w:rsid w:val="00AF0D0E"/>
    <w:rsid w:val="00AF2781"/>
    <w:rsid w:val="00AF69BB"/>
    <w:rsid w:val="00B01407"/>
    <w:rsid w:val="00B024CD"/>
    <w:rsid w:val="00B1149A"/>
    <w:rsid w:val="00B13BA4"/>
    <w:rsid w:val="00B14EF2"/>
    <w:rsid w:val="00B16FB2"/>
    <w:rsid w:val="00B1749F"/>
    <w:rsid w:val="00B20329"/>
    <w:rsid w:val="00B247C4"/>
    <w:rsid w:val="00B258AA"/>
    <w:rsid w:val="00B314EE"/>
    <w:rsid w:val="00B34623"/>
    <w:rsid w:val="00B363CB"/>
    <w:rsid w:val="00B37C23"/>
    <w:rsid w:val="00B37F3E"/>
    <w:rsid w:val="00B416B6"/>
    <w:rsid w:val="00B44876"/>
    <w:rsid w:val="00B45B15"/>
    <w:rsid w:val="00B476EC"/>
    <w:rsid w:val="00B5361E"/>
    <w:rsid w:val="00B53EFD"/>
    <w:rsid w:val="00B62DE1"/>
    <w:rsid w:val="00B74A03"/>
    <w:rsid w:val="00B82B69"/>
    <w:rsid w:val="00B85C3A"/>
    <w:rsid w:val="00B85F0B"/>
    <w:rsid w:val="00B868DB"/>
    <w:rsid w:val="00B91D5C"/>
    <w:rsid w:val="00B9311E"/>
    <w:rsid w:val="00B95C98"/>
    <w:rsid w:val="00BB383B"/>
    <w:rsid w:val="00BB4217"/>
    <w:rsid w:val="00BB68F4"/>
    <w:rsid w:val="00BB7073"/>
    <w:rsid w:val="00BB7618"/>
    <w:rsid w:val="00BC1315"/>
    <w:rsid w:val="00BC259E"/>
    <w:rsid w:val="00BE3B9E"/>
    <w:rsid w:val="00BE3DFF"/>
    <w:rsid w:val="00BE7859"/>
    <w:rsid w:val="00BF6C4E"/>
    <w:rsid w:val="00BF7759"/>
    <w:rsid w:val="00C00901"/>
    <w:rsid w:val="00C06C23"/>
    <w:rsid w:val="00C07E0A"/>
    <w:rsid w:val="00C11558"/>
    <w:rsid w:val="00C11AF8"/>
    <w:rsid w:val="00C1632F"/>
    <w:rsid w:val="00C20958"/>
    <w:rsid w:val="00C306D3"/>
    <w:rsid w:val="00C36247"/>
    <w:rsid w:val="00C366FF"/>
    <w:rsid w:val="00C37948"/>
    <w:rsid w:val="00C4140A"/>
    <w:rsid w:val="00C434DD"/>
    <w:rsid w:val="00C43B58"/>
    <w:rsid w:val="00C45590"/>
    <w:rsid w:val="00C464D8"/>
    <w:rsid w:val="00C509A4"/>
    <w:rsid w:val="00C5704C"/>
    <w:rsid w:val="00C57119"/>
    <w:rsid w:val="00C572EF"/>
    <w:rsid w:val="00C61C2B"/>
    <w:rsid w:val="00C61F9C"/>
    <w:rsid w:val="00C63AA8"/>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1E43"/>
    <w:rsid w:val="00CA30C4"/>
    <w:rsid w:val="00CA7174"/>
    <w:rsid w:val="00CA7849"/>
    <w:rsid w:val="00CC0101"/>
    <w:rsid w:val="00CC1066"/>
    <w:rsid w:val="00CC4B02"/>
    <w:rsid w:val="00CD111E"/>
    <w:rsid w:val="00CD2148"/>
    <w:rsid w:val="00CD4915"/>
    <w:rsid w:val="00CD5823"/>
    <w:rsid w:val="00CD7514"/>
    <w:rsid w:val="00CD7977"/>
    <w:rsid w:val="00CE31FE"/>
    <w:rsid w:val="00CF0879"/>
    <w:rsid w:val="00CF3FB8"/>
    <w:rsid w:val="00CF6839"/>
    <w:rsid w:val="00CF71EA"/>
    <w:rsid w:val="00CF79AF"/>
    <w:rsid w:val="00D0182A"/>
    <w:rsid w:val="00D01B0C"/>
    <w:rsid w:val="00D070DD"/>
    <w:rsid w:val="00D1135F"/>
    <w:rsid w:val="00D11E1D"/>
    <w:rsid w:val="00D125BF"/>
    <w:rsid w:val="00D16907"/>
    <w:rsid w:val="00D2528D"/>
    <w:rsid w:val="00D31E4C"/>
    <w:rsid w:val="00D345F4"/>
    <w:rsid w:val="00D35DE2"/>
    <w:rsid w:val="00D37229"/>
    <w:rsid w:val="00D41D69"/>
    <w:rsid w:val="00D448BC"/>
    <w:rsid w:val="00D531AE"/>
    <w:rsid w:val="00D632FB"/>
    <w:rsid w:val="00D6467C"/>
    <w:rsid w:val="00D70F0F"/>
    <w:rsid w:val="00D73A8B"/>
    <w:rsid w:val="00D75159"/>
    <w:rsid w:val="00D7583A"/>
    <w:rsid w:val="00D765E3"/>
    <w:rsid w:val="00D76CEA"/>
    <w:rsid w:val="00D81D71"/>
    <w:rsid w:val="00D84193"/>
    <w:rsid w:val="00D96E14"/>
    <w:rsid w:val="00D971A5"/>
    <w:rsid w:val="00DA2093"/>
    <w:rsid w:val="00DA47E8"/>
    <w:rsid w:val="00DA5156"/>
    <w:rsid w:val="00DA618C"/>
    <w:rsid w:val="00DB60B7"/>
    <w:rsid w:val="00DD0BF3"/>
    <w:rsid w:val="00DD2B67"/>
    <w:rsid w:val="00DD764A"/>
    <w:rsid w:val="00DE11CF"/>
    <w:rsid w:val="00DE2265"/>
    <w:rsid w:val="00DE422B"/>
    <w:rsid w:val="00E02044"/>
    <w:rsid w:val="00E1743B"/>
    <w:rsid w:val="00E174E5"/>
    <w:rsid w:val="00E17F9A"/>
    <w:rsid w:val="00E22A84"/>
    <w:rsid w:val="00E2530E"/>
    <w:rsid w:val="00E26459"/>
    <w:rsid w:val="00E27412"/>
    <w:rsid w:val="00E30414"/>
    <w:rsid w:val="00E345A7"/>
    <w:rsid w:val="00E361D0"/>
    <w:rsid w:val="00E37012"/>
    <w:rsid w:val="00E40062"/>
    <w:rsid w:val="00E551A2"/>
    <w:rsid w:val="00E55AA1"/>
    <w:rsid w:val="00E60771"/>
    <w:rsid w:val="00E611D8"/>
    <w:rsid w:val="00E632D0"/>
    <w:rsid w:val="00E64135"/>
    <w:rsid w:val="00E6663B"/>
    <w:rsid w:val="00E81879"/>
    <w:rsid w:val="00E83746"/>
    <w:rsid w:val="00E87BD5"/>
    <w:rsid w:val="00E90EBF"/>
    <w:rsid w:val="00E95C7C"/>
    <w:rsid w:val="00EA03F6"/>
    <w:rsid w:val="00EA37D7"/>
    <w:rsid w:val="00EA4D64"/>
    <w:rsid w:val="00EA5687"/>
    <w:rsid w:val="00EA59B6"/>
    <w:rsid w:val="00EA606F"/>
    <w:rsid w:val="00EB1032"/>
    <w:rsid w:val="00EC1FDB"/>
    <w:rsid w:val="00ED0266"/>
    <w:rsid w:val="00ED222B"/>
    <w:rsid w:val="00ED2E65"/>
    <w:rsid w:val="00ED3549"/>
    <w:rsid w:val="00ED6F71"/>
    <w:rsid w:val="00ED70A8"/>
    <w:rsid w:val="00EE177E"/>
    <w:rsid w:val="00EE305C"/>
    <w:rsid w:val="00EE6378"/>
    <w:rsid w:val="00EE7803"/>
    <w:rsid w:val="00EF292B"/>
    <w:rsid w:val="00EF2C7E"/>
    <w:rsid w:val="00F01334"/>
    <w:rsid w:val="00F01E76"/>
    <w:rsid w:val="00F05345"/>
    <w:rsid w:val="00F06B7E"/>
    <w:rsid w:val="00F0764D"/>
    <w:rsid w:val="00F151C9"/>
    <w:rsid w:val="00F20760"/>
    <w:rsid w:val="00F31162"/>
    <w:rsid w:val="00F31D98"/>
    <w:rsid w:val="00F36511"/>
    <w:rsid w:val="00F3737A"/>
    <w:rsid w:val="00F43056"/>
    <w:rsid w:val="00F4517B"/>
    <w:rsid w:val="00F47C32"/>
    <w:rsid w:val="00F51FCD"/>
    <w:rsid w:val="00F55213"/>
    <w:rsid w:val="00F6180D"/>
    <w:rsid w:val="00F66D06"/>
    <w:rsid w:val="00F67B5B"/>
    <w:rsid w:val="00F77D9B"/>
    <w:rsid w:val="00F811F5"/>
    <w:rsid w:val="00F816E8"/>
    <w:rsid w:val="00F81FEE"/>
    <w:rsid w:val="00F83708"/>
    <w:rsid w:val="00F85B3C"/>
    <w:rsid w:val="00F918B8"/>
    <w:rsid w:val="00F93171"/>
    <w:rsid w:val="00F94E78"/>
    <w:rsid w:val="00FA204E"/>
    <w:rsid w:val="00FA5A1C"/>
    <w:rsid w:val="00FB4F8E"/>
    <w:rsid w:val="00FB61C7"/>
    <w:rsid w:val="00FB6647"/>
    <w:rsid w:val="00FC495E"/>
    <w:rsid w:val="00FC55B2"/>
    <w:rsid w:val="00FC5D9F"/>
    <w:rsid w:val="00FC7633"/>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C464D8"/>
    <w:pPr>
      <w:tabs>
        <w:tab w:val="left" w:pos="480"/>
        <w:tab w:val="right" w:leader="dot" w:pos="8779"/>
      </w:tabs>
      <w:spacing w:after="100" w:line="360" w:lineRule="auto"/>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paragraph" w:styleId="NormalWeb">
    <w:name w:val="Normal (Web)"/>
    <w:basedOn w:val="Normal"/>
    <w:uiPriority w:val="99"/>
    <w:unhideWhenUsed/>
    <w:rsid w:val="00B53EFD"/>
    <w:pPr>
      <w:spacing w:before="100" w:beforeAutospacing="1" w:after="100" w:afterAutospacing="1"/>
    </w:pPr>
    <w:rPr>
      <w:rFonts w:ascii="Times New Roman" w:hAnsi="Times New Roman" w:cs="Times New Roman"/>
      <w:lang w:val="es-MX" w:eastAsia="es-MX"/>
    </w:rPr>
  </w:style>
  <w:style w:type="paragraph" w:customStyle="1" w:styleId="j">
    <w:name w:val="j"/>
    <w:basedOn w:val="Normal"/>
    <w:rsid w:val="00B53EFD"/>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B53EF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F373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737A"/>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8826309">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594235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60351814">
      <w:bodyDiv w:val="1"/>
      <w:marLeft w:val="0"/>
      <w:marRight w:val="0"/>
      <w:marTop w:val="0"/>
      <w:marBottom w:val="0"/>
      <w:divBdr>
        <w:top w:val="none" w:sz="0" w:space="0" w:color="auto"/>
        <w:left w:val="none" w:sz="0" w:space="0" w:color="auto"/>
        <w:bottom w:val="none" w:sz="0" w:space="0" w:color="auto"/>
        <w:right w:val="none" w:sz="0" w:space="0" w:color="auto"/>
      </w:divBdr>
      <w:divsChild>
        <w:div w:id="551648678">
          <w:marLeft w:val="0"/>
          <w:marRight w:val="0"/>
          <w:marTop w:val="0"/>
          <w:marBottom w:val="0"/>
          <w:divBdr>
            <w:top w:val="none" w:sz="0" w:space="0" w:color="auto"/>
            <w:left w:val="none" w:sz="0" w:space="0" w:color="auto"/>
            <w:bottom w:val="none" w:sz="0" w:space="0" w:color="auto"/>
            <w:right w:val="none" w:sz="0" w:space="0" w:color="auto"/>
          </w:divBdr>
        </w:div>
        <w:div w:id="1224482769">
          <w:marLeft w:val="0"/>
          <w:marRight w:val="0"/>
          <w:marTop w:val="0"/>
          <w:marBottom w:val="0"/>
          <w:divBdr>
            <w:top w:val="none" w:sz="0" w:space="0" w:color="auto"/>
            <w:left w:val="none" w:sz="0" w:space="0" w:color="auto"/>
            <w:bottom w:val="none" w:sz="0" w:space="0" w:color="auto"/>
            <w:right w:val="none" w:sz="0" w:space="0" w:color="auto"/>
          </w:divBdr>
          <w:divsChild>
            <w:div w:id="960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395157043">
      <w:bodyDiv w:val="1"/>
      <w:marLeft w:val="0"/>
      <w:marRight w:val="0"/>
      <w:marTop w:val="0"/>
      <w:marBottom w:val="0"/>
      <w:divBdr>
        <w:top w:val="none" w:sz="0" w:space="0" w:color="auto"/>
        <w:left w:val="none" w:sz="0" w:space="0" w:color="auto"/>
        <w:bottom w:val="none" w:sz="0" w:space="0" w:color="auto"/>
        <w:right w:val="none" w:sz="0" w:space="0" w:color="auto"/>
      </w:divBdr>
    </w:div>
    <w:div w:id="1424037519">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compramex.edomex.gob.mx/015-2018"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 Id="rId9" Type="http://schemas.openxmlformats.org/officeDocument/2006/relationships/hyperlink" Target="http://sseguridad.edomex.gob.mx/sites/sseguridad.edomex.gob.mx/files/files/01%20Acerca%20de/Marco%20Juri%CC%81dico/09%20Manuales%20de%20organizaci%C3%B3n/01%20Manual%20General%20de%20Organizaci%C3%B3n%20de%20la%20Secretar%C3%ADa%20de%20Seguridad%20Ciudadana.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B8AA2-10C9-488D-BE0C-1BEAAE18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58</Pages>
  <Words>9539</Words>
  <Characters>52469</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2019-03-15T20:45:00Z</cp:lastPrinted>
  <dcterms:created xsi:type="dcterms:W3CDTF">2019-03-14T19:05:00Z</dcterms:created>
  <dcterms:modified xsi:type="dcterms:W3CDTF">2019-04-22T15:47:00Z</dcterms:modified>
</cp:coreProperties>
</file>