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9C0D07" w:rsidRDefault="001B26AA" w:rsidP="004E1461">
      <w:pPr>
        <w:tabs>
          <w:tab w:val="left" w:pos="567"/>
        </w:tabs>
        <w:spacing w:line="360" w:lineRule="auto"/>
        <w:jc w:val="center"/>
        <w:rPr>
          <w:rFonts w:ascii="Palatino Linotype" w:eastAsia="Times New Roman" w:hAnsi="Palatino Linotype" w:cs="Times New Roman"/>
          <w:b/>
        </w:rPr>
      </w:pPr>
      <w:bookmarkStart w:id="0" w:name="_GoBack"/>
      <w:bookmarkEnd w:id="0"/>
      <w:r w:rsidRPr="009C0D07">
        <w:rPr>
          <w:rFonts w:ascii="Palatino Linotype" w:eastAsia="Times New Roman" w:hAnsi="Palatino Linotype" w:cs="Times New Roman"/>
          <w:b/>
        </w:rPr>
        <w:t>LÍNEAS ARGUMENTATIVAS</w:t>
      </w:r>
    </w:p>
    <w:p w14:paraId="7B893EAF" w14:textId="77777777" w:rsidR="0000092F" w:rsidRPr="009C0D07" w:rsidRDefault="0000092F" w:rsidP="004E1461">
      <w:pPr>
        <w:tabs>
          <w:tab w:val="left" w:pos="567"/>
        </w:tabs>
        <w:spacing w:line="360" w:lineRule="auto"/>
        <w:jc w:val="center"/>
        <w:rPr>
          <w:rFonts w:ascii="Palatino Linotype" w:eastAsia="Times New Roman" w:hAnsi="Palatino Linotype" w:cs="Times New Roman"/>
          <w:b/>
        </w:rPr>
      </w:pPr>
    </w:p>
    <w:p w14:paraId="3A0891EB" w14:textId="77777777" w:rsidR="0094711A" w:rsidRPr="009C0D07" w:rsidRDefault="0094711A" w:rsidP="0094711A">
      <w:pPr>
        <w:tabs>
          <w:tab w:val="left" w:pos="567"/>
        </w:tabs>
        <w:spacing w:line="360" w:lineRule="auto"/>
        <w:jc w:val="both"/>
        <w:rPr>
          <w:rFonts w:ascii="Palatino Linotype" w:hAnsi="Palatino Linotype"/>
          <w:lang w:eastAsia="es-MX"/>
        </w:rPr>
      </w:pPr>
      <w:r w:rsidRPr="009C0D07">
        <w:rPr>
          <w:rFonts w:ascii="Palatino Linotype" w:hAnsi="Palatino Linotype"/>
          <w:b/>
        </w:rPr>
        <w:t xml:space="preserve">RESPUESTAS IMPRECISAS O INCOMPLETAS, DEBER DE REPARACIÓN. </w:t>
      </w:r>
      <w:r w:rsidRPr="009C0D07">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26AF8061" w14:textId="3A10E50D" w:rsidR="008826F4" w:rsidRPr="009C0D07" w:rsidRDefault="009C0D07" w:rsidP="00566997">
      <w:pPr>
        <w:tabs>
          <w:tab w:val="left" w:pos="567"/>
        </w:tabs>
        <w:spacing w:line="360" w:lineRule="auto"/>
        <w:rPr>
          <w:rFonts w:ascii="Palatino Linotype" w:eastAsia="Times New Roman" w:hAnsi="Palatino Linotype" w:cs="Times New Roman"/>
          <w:b/>
        </w:rPr>
      </w:pPr>
      <w:r w:rsidRPr="009C0D07">
        <w:rPr>
          <w:rFonts w:ascii="Palatino Linotype" w:eastAsia="Times New Roman" w:hAnsi="Palatino Linotype" w:cs="Times New Roman"/>
          <w:b/>
          <w:noProof/>
          <w:lang w:val="es-MX" w:eastAsia="es-MX"/>
        </w:rPr>
        <mc:AlternateContent>
          <mc:Choice Requires="wps">
            <w:drawing>
              <wp:anchor distT="0" distB="0" distL="114300" distR="114300" simplePos="0" relativeHeight="251670528" behindDoc="0" locked="0" layoutInCell="1" allowOverlap="1" wp14:anchorId="353005CE" wp14:editId="2EA3CBDA">
                <wp:simplePos x="0" y="0"/>
                <wp:positionH relativeFrom="column">
                  <wp:posOffset>-1962</wp:posOffset>
                </wp:positionH>
                <wp:positionV relativeFrom="paragraph">
                  <wp:posOffset>22699</wp:posOffset>
                </wp:positionV>
                <wp:extent cx="5500048" cy="4790364"/>
                <wp:effectExtent l="38100" t="19050" r="62865" b="86995"/>
                <wp:wrapNone/>
                <wp:docPr id="1" name="Conector recto 1"/>
                <wp:cNvGraphicFramePr/>
                <a:graphic xmlns:a="http://schemas.openxmlformats.org/drawingml/2006/main">
                  <a:graphicData uri="http://schemas.microsoft.com/office/word/2010/wordprocessingShape">
                    <wps:wsp>
                      <wps:cNvCnPr/>
                      <wps:spPr>
                        <a:xfrm>
                          <a:off x="0" y="0"/>
                          <a:ext cx="5500048" cy="47903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4A747B" id="Conector recto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pt,1.8pt" to="432.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FvAEAAMUDAAAOAAAAZHJzL2Uyb0RvYy54bWysU8tu2zAQvBfoPxC815IdJ20Fyzk4aC9B&#10;azTpBzDU0iLAF5asJf99l5StFG2AAEUupEjuzO7Mrja3ozXsCBi1dy1fLmrOwEnfaXdo+c/HLx8+&#10;cRaTcJ0w3kHLTxD57fb9u80QGlj53psOkBGJi80QWt6nFJqqirIHK+LCB3D0qDxakeiIh6pDMRC7&#10;NdWqrm+qwWMX0EuIkW7vpke+LfxKgUzflYqQmGk51ZbKimV9ymu13YjmgCL0Wp7LEP9RhRXaUdKZ&#10;6k4kwX6h/ofKaok+epUW0tvKK6UlFA2kZln/peahFwGKFjInhtmm+Ha08ttxj0x31DvOnLDUoh01&#10;SiaPDPPGltmjIcSGQnduj+dTDHvMgkeFNu8khY3F19PsK4yJSbq8vq7rek2TIOlt/fFzfXWzzqzV&#10;MzxgTF/BW5Y/Wm60y8JFI473MU2hlxDC5XKmAspXOhnIwcb9AEViKOWqoMsYwc4gOwoaACEluFQE&#10;UeoSnWFKGzMD69eB5/gMhTJiM3j5OnhGlMzepRlstfP4EkEaLyWrKf7iwKQ7W/Dku1NpTbGGZqWY&#10;e57rPIx/ngv8+e/b/gYAAP//AwBQSwMEFAAGAAgAAAAhAODbE/vbAAAABwEAAA8AAABkcnMvZG93&#10;bnJldi54bWxMjztPw0AQhHsk/sNpkeiSM45ijPE6QkhIlMRQUJ59ix/4HvJdYuffs1RQjmY08015&#10;WM0kzjSHwVmEu20Cgmzr9GA7hI/3l00OIkRltZqcJYQLBThU11elKrRb7JHOdewEl9hQKIQ+Rl9I&#10;GdqejApb58my9+VmoyLLuZN6VguXm0mmSZJJowbLC73y9NxT+12fDMLn3Izp62XxqRuz+mH0lL4d&#10;CfH2Zn16BBFpjX9h+MVndKiYqXEnq4OYEDY7DiLsMhDs5tmejzQI9/s8AVmV8j9/9QMAAP//AwBQ&#10;SwECLQAUAAYACAAAACEAtoM4kv4AAADhAQAAEwAAAAAAAAAAAAAAAAAAAAAAW0NvbnRlbnRfVHlw&#10;ZXNdLnhtbFBLAQItABQABgAIAAAAIQA4/SH/1gAAAJQBAAALAAAAAAAAAAAAAAAAAC8BAABfcmVs&#10;cy8ucmVsc1BLAQItABQABgAIAAAAIQCjCR+FvAEAAMUDAAAOAAAAAAAAAAAAAAAAAC4CAABkcnMv&#10;ZTJvRG9jLnhtbFBLAQItABQABgAIAAAAIQDg2xP72wAAAAcBAAAPAAAAAAAAAAAAAAAAABYEAABk&#10;cnMvZG93bnJldi54bWxQSwUGAAAAAAQABADzAAAAHgUAAAAA&#10;" strokecolor="#4f81bd [3204]" strokeweight="2pt">
                <v:shadow on="t" color="black" opacity="24903f" origin=",.5" offset="0,.55556mm"/>
              </v:line>
            </w:pict>
          </mc:Fallback>
        </mc:AlternateContent>
      </w:r>
    </w:p>
    <w:p w14:paraId="35DCC688" w14:textId="77777777" w:rsidR="008826F4" w:rsidRPr="009C0D07" w:rsidRDefault="008826F4" w:rsidP="00566997">
      <w:pPr>
        <w:tabs>
          <w:tab w:val="left" w:pos="567"/>
        </w:tabs>
        <w:spacing w:line="360" w:lineRule="auto"/>
        <w:rPr>
          <w:rFonts w:ascii="Palatino Linotype" w:eastAsia="Times New Roman" w:hAnsi="Palatino Linotype" w:cs="Times New Roman"/>
          <w:b/>
        </w:rPr>
      </w:pPr>
    </w:p>
    <w:p w14:paraId="276D6D69" w14:textId="77777777" w:rsidR="00743C9C" w:rsidRPr="009C0D07" w:rsidRDefault="00743C9C" w:rsidP="00566997">
      <w:pPr>
        <w:tabs>
          <w:tab w:val="left" w:pos="567"/>
        </w:tabs>
        <w:spacing w:line="360" w:lineRule="auto"/>
        <w:rPr>
          <w:rFonts w:ascii="Palatino Linotype" w:eastAsia="Times New Roman" w:hAnsi="Palatino Linotype" w:cs="Times New Roman"/>
          <w:b/>
        </w:rPr>
      </w:pPr>
    </w:p>
    <w:p w14:paraId="2C0B0C12" w14:textId="77777777" w:rsidR="00743C9C" w:rsidRPr="009C0D07" w:rsidRDefault="00743C9C" w:rsidP="00566997">
      <w:pPr>
        <w:tabs>
          <w:tab w:val="left" w:pos="567"/>
        </w:tabs>
        <w:spacing w:line="360" w:lineRule="auto"/>
        <w:rPr>
          <w:rFonts w:ascii="Palatino Linotype" w:eastAsia="Times New Roman" w:hAnsi="Palatino Linotype" w:cs="Times New Roman"/>
          <w:b/>
        </w:rPr>
      </w:pPr>
    </w:p>
    <w:p w14:paraId="3EDAC77C" w14:textId="77777777" w:rsidR="00743C9C" w:rsidRPr="009C0D07" w:rsidRDefault="00743C9C" w:rsidP="00566997">
      <w:pPr>
        <w:tabs>
          <w:tab w:val="left" w:pos="567"/>
        </w:tabs>
        <w:spacing w:line="360" w:lineRule="auto"/>
        <w:rPr>
          <w:rFonts w:ascii="Palatino Linotype" w:eastAsia="Times New Roman" w:hAnsi="Palatino Linotype" w:cs="Times New Roman"/>
          <w:b/>
        </w:rPr>
      </w:pPr>
    </w:p>
    <w:p w14:paraId="3820B62E" w14:textId="77777777" w:rsidR="00D172C0" w:rsidRPr="009C0D07" w:rsidRDefault="00D172C0" w:rsidP="00566997">
      <w:pPr>
        <w:tabs>
          <w:tab w:val="left" w:pos="567"/>
        </w:tabs>
        <w:spacing w:line="360" w:lineRule="auto"/>
        <w:rPr>
          <w:rFonts w:ascii="Palatino Linotype" w:eastAsia="Times New Roman" w:hAnsi="Palatino Linotype" w:cs="Times New Roman"/>
          <w:b/>
        </w:rPr>
      </w:pPr>
    </w:p>
    <w:p w14:paraId="5863F2D0" w14:textId="77777777" w:rsidR="00265381" w:rsidRPr="009C0D07" w:rsidRDefault="00265381" w:rsidP="00566997">
      <w:pPr>
        <w:tabs>
          <w:tab w:val="left" w:pos="567"/>
        </w:tabs>
        <w:spacing w:line="360" w:lineRule="auto"/>
        <w:rPr>
          <w:rFonts w:ascii="Palatino Linotype" w:eastAsia="Times New Roman" w:hAnsi="Palatino Linotype" w:cs="Times New Roman"/>
          <w:b/>
        </w:rPr>
      </w:pPr>
    </w:p>
    <w:p w14:paraId="285727B8" w14:textId="77777777" w:rsidR="00C00255" w:rsidRPr="009C0D07" w:rsidRDefault="00C00255" w:rsidP="00566997">
      <w:pPr>
        <w:tabs>
          <w:tab w:val="left" w:pos="567"/>
        </w:tabs>
        <w:spacing w:line="360" w:lineRule="auto"/>
        <w:rPr>
          <w:rFonts w:ascii="Palatino Linotype" w:eastAsia="Times New Roman" w:hAnsi="Palatino Linotype" w:cs="Times New Roman"/>
          <w:b/>
        </w:rPr>
      </w:pPr>
    </w:p>
    <w:p w14:paraId="329B731E" w14:textId="77777777" w:rsidR="00C00255" w:rsidRPr="009C0D07" w:rsidRDefault="00C00255" w:rsidP="00566997">
      <w:pPr>
        <w:tabs>
          <w:tab w:val="left" w:pos="567"/>
        </w:tabs>
        <w:spacing w:line="360" w:lineRule="auto"/>
        <w:rPr>
          <w:rFonts w:ascii="Palatino Linotype" w:eastAsia="Times New Roman" w:hAnsi="Palatino Linotype" w:cs="Times New Roman"/>
          <w:b/>
        </w:rPr>
      </w:pPr>
    </w:p>
    <w:p w14:paraId="109C255C" w14:textId="77777777" w:rsidR="00C00255" w:rsidRPr="009C0D07" w:rsidRDefault="00C00255" w:rsidP="00566997">
      <w:pPr>
        <w:tabs>
          <w:tab w:val="left" w:pos="567"/>
        </w:tabs>
        <w:spacing w:line="360" w:lineRule="auto"/>
        <w:rPr>
          <w:rFonts w:ascii="Palatino Linotype" w:eastAsia="Times New Roman" w:hAnsi="Palatino Linotype" w:cs="Times New Roman"/>
          <w:b/>
        </w:rPr>
      </w:pPr>
    </w:p>
    <w:p w14:paraId="5151FDA2" w14:textId="77777777" w:rsidR="00C00255" w:rsidRPr="009C0D07" w:rsidRDefault="00C00255" w:rsidP="00566997">
      <w:pPr>
        <w:tabs>
          <w:tab w:val="left" w:pos="567"/>
        </w:tabs>
        <w:spacing w:line="360" w:lineRule="auto"/>
        <w:rPr>
          <w:rFonts w:ascii="Palatino Linotype" w:eastAsia="Times New Roman" w:hAnsi="Palatino Linotype" w:cs="Times New Roman"/>
          <w:b/>
        </w:rPr>
      </w:pPr>
    </w:p>
    <w:p w14:paraId="517C0711" w14:textId="77777777" w:rsidR="00C00255" w:rsidRPr="009C0D07" w:rsidRDefault="00C00255" w:rsidP="00566997">
      <w:pPr>
        <w:tabs>
          <w:tab w:val="left" w:pos="567"/>
        </w:tabs>
        <w:spacing w:line="360" w:lineRule="auto"/>
        <w:rPr>
          <w:rFonts w:ascii="Palatino Linotype" w:eastAsia="Times New Roman" w:hAnsi="Palatino Linotype" w:cs="Times New Roman"/>
          <w:b/>
        </w:rPr>
      </w:pPr>
    </w:p>
    <w:p w14:paraId="1E280180" w14:textId="77777777" w:rsidR="00C00255" w:rsidRPr="009C0D07" w:rsidRDefault="00C00255" w:rsidP="00566997">
      <w:pPr>
        <w:tabs>
          <w:tab w:val="left" w:pos="567"/>
        </w:tabs>
        <w:spacing w:line="360" w:lineRule="auto"/>
        <w:rPr>
          <w:rFonts w:ascii="Palatino Linotype" w:eastAsia="Times New Roman" w:hAnsi="Palatino Linotype" w:cs="Times New Roman"/>
          <w:b/>
        </w:rPr>
      </w:pPr>
    </w:p>
    <w:p w14:paraId="7FCE5BAB" w14:textId="77777777" w:rsidR="00C00255" w:rsidRPr="009C0D07" w:rsidRDefault="00C00255" w:rsidP="00566997">
      <w:pPr>
        <w:tabs>
          <w:tab w:val="left" w:pos="567"/>
        </w:tabs>
        <w:spacing w:line="360" w:lineRule="auto"/>
        <w:rPr>
          <w:rFonts w:ascii="Palatino Linotype" w:eastAsia="Times New Roman" w:hAnsi="Palatino Linotype" w:cs="Times New Roman"/>
          <w:b/>
        </w:rPr>
      </w:pPr>
    </w:p>
    <w:p w14:paraId="3A037364" w14:textId="77777777" w:rsidR="00D17209" w:rsidRPr="009C0D07" w:rsidRDefault="00D17209"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54D7BD84" w14:textId="7D525E04" w:rsidR="008826F4" w:rsidRPr="009C0D07" w:rsidRDefault="00445F8F" w:rsidP="00445F8F">
          <w:pPr>
            <w:pStyle w:val="TtulodeTDC"/>
            <w:jc w:val="center"/>
            <w:rPr>
              <w:szCs w:val="24"/>
              <w:lang w:val="es-ES"/>
            </w:rPr>
          </w:pPr>
          <w:r w:rsidRPr="009C0D07">
            <w:rPr>
              <w:szCs w:val="24"/>
              <w:lang w:val="es-ES"/>
            </w:rPr>
            <w:t>ÍNDICE</w:t>
          </w:r>
        </w:p>
        <w:p w14:paraId="6526C7A4" w14:textId="77777777" w:rsidR="009C0D07" w:rsidRPr="009C0D07" w:rsidRDefault="0011338C">
          <w:pPr>
            <w:pStyle w:val="TDC1"/>
            <w:rPr>
              <w:noProof/>
              <w:sz w:val="22"/>
              <w:szCs w:val="22"/>
              <w:lang w:val="es-MX" w:eastAsia="es-MX"/>
            </w:rPr>
          </w:pPr>
          <w:r w:rsidRPr="009C0D07">
            <w:fldChar w:fldCharType="begin"/>
          </w:r>
          <w:r w:rsidRPr="009C0D07">
            <w:instrText xml:space="preserve"> TOC \o "1-3" \h \z \u </w:instrText>
          </w:r>
          <w:r w:rsidRPr="009C0D07">
            <w:fldChar w:fldCharType="separate"/>
          </w:r>
          <w:hyperlink w:anchor="_Toc33192134" w:history="1">
            <w:r w:rsidR="009C0D07" w:rsidRPr="009C0D07">
              <w:rPr>
                <w:rStyle w:val="Hipervnculo"/>
                <w:noProof/>
              </w:rPr>
              <w:t>ANTECEDENTES</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_Toc33192134 \h </w:instrText>
            </w:r>
            <w:r w:rsidR="009C0D07" w:rsidRPr="009C0D07">
              <w:rPr>
                <w:noProof/>
                <w:webHidden/>
              </w:rPr>
            </w:r>
            <w:r w:rsidR="009C0D07" w:rsidRPr="009C0D07">
              <w:rPr>
                <w:noProof/>
                <w:webHidden/>
              </w:rPr>
              <w:fldChar w:fldCharType="separate"/>
            </w:r>
            <w:r w:rsidR="00FA6650">
              <w:rPr>
                <w:noProof/>
                <w:webHidden/>
              </w:rPr>
              <w:t>3</w:t>
            </w:r>
            <w:r w:rsidR="009C0D07" w:rsidRPr="009C0D07">
              <w:rPr>
                <w:noProof/>
                <w:webHidden/>
              </w:rPr>
              <w:fldChar w:fldCharType="end"/>
            </w:r>
          </w:hyperlink>
        </w:p>
        <w:p w14:paraId="1BC5D5A4" w14:textId="77777777" w:rsidR="009C0D07" w:rsidRPr="009C0D07" w:rsidRDefault="006234CC">
          <w:pPr>
            <w:pStyle w:val="TDC2"/>
            <w:rPr>
              <w:noProof/>
              <w:sz w:val="22"/>
              <w:szCs w:val="22"/>
              <w:lang w:val="es-MX" w:eastAsia="es-MX"/>
            </w:rPr>
          </w:pPr>
          <w:hyperlink w:anchor="_Toc33192135" w:history="1">
            <w:r w:rsidR="009C0D07" w:rsidRPr="009C0D07">
              <w:rPr>
                <w:rStyle w:val="Hipervnculo"/>
                <w:noProof/>
                <w:lang w:val="es-ES"/>
              </w:rPr>
              <w:t>a) Acto impugnado:</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_Toc33192135 \h </w:instrText>
            </w:r>
            <w:r w:rsidR="009C0D07" w:rsidRPr="009C0D07">
              <w:rPr>
                <w:noProof/>
                <w:webHidden/>
              </w:rPr>
            </w:r>
            <w:r w:rsidR="009C0D07" w:rsidRPr="009C0D07">
              <w:rPr>
                <w:noProof/>
                <w:webHidden/>
              </w:rPr>
              <w:fldChar w:fldCharType="separate"/>
            </w:r>
            <w:r w:rsidR="00FA6650">
              <w:rPr>
                <w:noProof/>
                <w:webHidden/>
              </w:rPr>
              <w:t>5</w:t>
            </w:r>
            <w:r w:rsidR="009C0D07" w:rsidRPr="009C0D07">
              <w:rPr>
                <w:noProof/>
                <w:webHidden/>
              </w:rPr>
              <w:fldChar w:fldCharType="end"/>
            </w:r>
          </w:hyperlink>
        </w:p>
        <w:p w14:paraId="0FA1C01C" w14:textId="77777777" w:rsidR="009C0D07" w:rsidRPr="009C0D07" w:rsidRDefault="006234CC">
          <w:pPr>
            <w:pStyle w:val="TDC2"/>
            <w:rPr>
              <w:noProof/>
              <w:sz w:val="22"/>
              <w:szCs w:val="22"/>
              <w:lang w:val="es-MX" w:eastAsia="es-MX"/>
            </w:rPr>
          </w:pPr>
          <w:hyperlink w:anchor="_Toc33192136" w:history="1">
            <w:r w:rsidR="009C0D07" w:rsidRPr="009C0D07">
              <w:rPr>
                <w:rStyle w:val="Hipervnculo"/>
                <w:noProof/>
                <w:lang w:val="es-ES"/>
              </w:rPr>
              <w:t>b) Razones o Motivos de inconformidad:</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_Toc33192136 \h </w:instrText>
            </w:r>
            <w:r w:rsidR="009C0D07" w:rsidRPr="009C0D07">
              <w:rPr>
                <w:noProof/>
                <w:webHidden/>
              </w:rPr>
            </w:r>
            <w:r w:rsidR="009C0D07" w:rsidRPr="009C0D07">
              <w:rPr>
                <w:noProof/>
                <w:webHidden/>
              </w:rPr>
              <w:fldChar w:fldCharType="separate"/>
            </w:r>
            <w:r w:rsidR="00FA6650">
              <w:rPr>
                <w:noProof/>
                <w:webHidden/>
              </w:rPr>
              <w:t>5</w:t>
            </w:r>
            <w:r w:rsidR="009C0D07" w:rsidRPr="009C0D07">
              <w:rPr>
                <w:noProof/>
                <w:webHidden/>
              </w:rPr>
              <w:fldChar w:fldCharType="end"/>
            </w:r>
          </w:hyperlink>
        </w:p>
        <w:p w14:paraId="4B53A93E" w14:textId="77777777" w:rsidR="009C0D07" w:rsidRPr="009C0D07" w:rsidRDefault="006234CC">
          <w:pPr>
            <w:pStyle w:val="TDC1"/>
            <w:rPr>
              <w:noProof/>
              <w:sz w:val="22"/>
              <w:szCs w:val="22"/>
              <w:lang w:val="es-MX" w:eastAsia="es-MX"/>
            </w:rPr>
          </w:pPr>
          <w:hyperlink w:anchor="_Toc33192137" w:history="1">
            <w:r w:rsidR="009C0D07" w:rsidRPr="009C0D07">
              <w:rPr>
                <w:rStyle w:val="Hipervnculo"/>
                <w:noProof/>
              </w:rPr>
              <w:t>CONSIDERANDO</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_Toc33192137 \h </w:instrText>
            </w:r>
            <w:r w:rsidR="009C0D07" w:rsidRPr="009C0D07">
              <w:rPr>
                <w:noProof/>
                <w:webHidden/>
              </w:rPr>
            </w:r>
            <w:r w:rsidR="009C0D07" w:rsidRPr="009C0D07">
              <w:rPr>
                <w:noProof/>
                <w:webHidden/>
              </w:rPr>
              <w:fldChar w:fldCharType="separate"/>
            </w:r>
            <w:r w:rsidR="00FA6650">
              <w:rPr>
                <w:noProof/>
                <w:webHidden/>
              </w:rPr>
              <w:t>8</w:t>
            </w:r>
            <w:r w:rsidR="009C0D07" w:rsidRPr="009C0D07">
              <w:rPr>
                <w:noProof/>
                <w:webHidden/>
              </w:rPr>
              <w:fldChar w:fldCharType="end"/>
            </w:r>
          </w:hyperlink>
        </w:p>
        <w:p w14:paraId="63909CC4" w14:textId="77777777" w:rsidR="009C0D07" w:rsidRPr="009C0D07" w:rsidRDefault="006234CC">
          <w:pPr>
            <w:pStyle w:val="TDC1"/>
            <w:rPr>
              <w:noProof/>
              <w:sz w:val="22"/>
              <w:szCs w:val="22"/>
              <w:lang w:val="es-MX" w:eastAsia="es-MX"/>
            </w:rPr>
          </w:pPr>
          <w:hyperlink w:anchor="_Toc33192138" w:history="1">
            <w:r w:rsidR="009C0D07" w:rsidRPr="009C0D07">
              <w:rPr>
                <w:rStyle w:val="Hipervnculo"/>
                <w:noProof/>
              </w:rPr>
              <w:t>PRIMERO. De la competencia</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_Toc33192138 \h </w:instrText>
            </w:r>
            <w:r w:rsidR="009C0D07" w:rsidRPr="009C0D07">
              <w:rPr>
                <w:noProof/>
                <w:webHidden/>
              </w:rPr>
            </w:r>
            <w:r w:rsidR="009C0D07" w:rsidRPr="009C0D07">
              <w:rPr>
                <w:noProof/>
                <w:webHidden/>
              </w:rPr>
              <w:fldChar w:fldCharType="separate"/>
            </w:r>
            <w:r w:rsidR="00FA6650">
              <w:rPr>
                <w:noProof/>
                <w:webHidden/>
              </w:rPr>
              <w:t>8</w:t>
            </w:r>
            <w:r w:rsidR="009C0D07" w:rsidRPr="009C0D07">
              <w:rPr>
                <w:noProof/>
                <w:webHidden/>
              </w:rPr>
              <w:fldChar w:fldCharType="end"/>
            </w:r>
          </w:hyperlink>
        </w:p>
        <w:p w14:paraId="3DDB04F6" w14:textId="77777777" w:rsidR="009C0D07" w:rsidRPr="009C0D07" w:rsidRDefault="006234CC">
          <w:pPr>
            <w:pStyle w:val="TDC1"/>
            <w:rPr>
              <w:noProof/>
              <w:sz w:val="22"/>
              <w:szCs w:val="22"/>
              <w:lang w:val="es-MX" w:eastAsia="es-MX"/>
            </w:rPr>
          </w:pPr>
          <w:hyperlink w:anchor="_Toc33192139" w:history="1">
            <w:r w:rsidR="009C0D07" w:rsidRPr="009C0D07">
              <w:rPr>
                <w:rStyle w:val="Hipervnculo"/>
                <w:noProof/>
              </w:rPr>
              <w:t>SEGUNDO. De la oportunidad y procedencia.</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_Toc33192139 \h </w:instrText>
            </w:r>
            <w:r w:rsidR="009C0D07" w:rsidRPr="009C0D07">
              <w:rPr>
                <w:noProof/>
                <w:webHidden/>
              </w:rPr>
            </w:r>
            <w:r w:rsidR="009C0D07" w:rsidRPr="009C0D07">
              <w:rPr>
                <w:noProof/>
                <w:webHidden/>
              </w:rPr>
              <w:fldChar w:fldCharType="separate"/>
            </w:r>
            <w:r w:rsidR="00FA6650">
              <w:rPr>
                <w:noProof/>
                <w:webHidden/>
              </w:rPr>
              <w:t>9</w:t>
            </w:r>
            <w:r w:rsidR="009C0D07" w:rsidRPr="009C0D07">
              <w:rPr>
                <w:noProof/>
                <w:webHidden/>
              </w:rPr>
              <w:fldChar w:fldCharType="end"/>
            </w:r>
          </w:hyperlink>
        </w:p>
        <w:p w14:paraId="165A3194" w14:textId="77777777" w:rsidR="009C0D07" w:rsidRPr="009C0D07" w:rsidRDefault="006234CC">
          <w:pPr>
            <w:pStyle w:val="TDC2"/>
            <w:rPr>
              <w:noProof/>
              <w:sz w:val="22"/>
              <w:szCs w:val="22"/>
              <w:lang w:val="es-MX" w:eastAsia="es-MX"/>
            </w:rPr>
          </w:pPr>
          <w:hyperlink w:anchor="_Toc33192140" w:history="1">
            <w:r w:rsidR="009C0D07" w:rsidRPr="009C0D07">
              <w:rPr>
                <w:rStyle w:val="Hipervnculo"/>
                <w:noProof/>
              </w:rPr>
              <w:t>TERCERO. Del planteamiento de la litis.</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_Toc33192140 \h </w:instrText>
            </w:r>
            <w:r w:rsidR="009C0D07" w:rsidRPr="009C0D07">
              <w:rPr>
                <w:noProof/>
                <w:webHidden/>
              </w:rPr>
            </w:r>
            <w:r w:rsidR="009C0D07" w:rsidRPr="009C0D07">
              <w:rPr>
                <w:noProof/>
                <w:webHidden/>
              </w:rPr>
              <w:fldChar w:fldCharType="separate"/>
            </w:r>
            <w:r w:rsidR="00FA6650">
              <w:rPr>
                <w:noProof/>
                <w:webHidden/>
              </w:rPr>
              <w:t>12</w:t>
            </w:r>
            <w:r w:rsidR="009C0D07" w:rsidRPr="009C0D07">
              <w:rPr>
                <w:noProof/>
                <w:webHidden/>
              </w:rPr>
              <w:fldChar w:fldCharType="end"/>
            </w:r>
          </w:hyperlink>
        </w:p>
        <w:p w14:paraId="1D2CB6EF" w14:textId="77777777" w:rsidR="009C0D07" w:rsidRPr="009C0D07" w:rsidRDefault="006234CC">
          <w:pPr>
            <w:pStyle w:val="TDC1"/>
            <w:rPr>
              <w:noProof/>
              <w:sz w:val="22"/>
              <w:szCs w:val="22"/>
              <w:lang w:val="es-MX" w:eastAsia="es-MX"/>
            </w:rPr>
          </w:pPr>
          <w:hyperlink w:anchor="_Toc33192141" w:history="1">
            <w:r w:rsidR="009C0D07" w:rsidRPr="009C0D07">
              <w:rPr>
                <w:rStyle w:val="Hipervnculo"/>
                <w:noProof/>
              </w:rPr>
              <w:t>CUARTO. Del estudio y resolución del asunto.</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_Toc33192141 \h </w:instrText>
            </w:r>
            <w:r w:rsidR="009C0D07" w:rsidRPr="009C0D07">
              <w:rPr>
                <w:noProof/>
                <w:webHidden/>
              </w:rPr>
            </w:r>
            <w:r w:rsidR="009C0D07" w:rsidRPr="009C0D07">
              <w:rPr>
                <w:noProof/>
                <w:webHidden/>
              </w:rPr>
              <w:fldChar w:fldCharType="separate"/>
            </w:r>
            <w:r w:rsidR="00FA6650">
              <w:rPr>
                <w:noProof/>
                <w:webHidden/>
              </w:rPr>
              <w:t>12</w:t>
            </w:r>
            <w:r w:rsidR="009C0D07" w:rsidRPr="009C0D07">
              <w:rPr>
                <w:noProof/>
                <w:webHidden/>
              </w:rPr>
              <w:fldChar w:fldCharType="end"/>
            </w:r>
          </w:hyperlink>
        </w:p>
        <w:p w14:paraId="5772C331" w14:textId="77777777" w:rsidR="009C0D07" w:rsidRPr="009C0D07" w:rsidRDefault="006234CC">
          <w:pPr>
            <w:pStyle w:val="TDC2"/>
            <w:rPr>
              <w:noProof/>
              <w:sz w:val="22"/>
              <w:szCs w:val="22"/>
              <w:lang w:val="es-MX" w:eastAsia="es-MX"/>
            </w:rPr>
          </w:pPr>
          <w:hyperlink w:anchor="_Toc33192142" w:history="1">
            <w:r w:rsidR="009C0D07" w:rsidRPr="009C0D07">
              <w:rPr>
                <w:rStyle w:val="Hipervnculo"/>
                <w:noProof/>
              </w:rPr>
              <w:t>I. De la deficiencia de la respuesta enviada por el SUJETO OBLIGADO.</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_Toc33192142 \h </w:instrText>
            </w:r>
            <w:r w:rsidR="009C0D07" w:rsidRPr="009C0D07">
              <w:rPr>
                <w:noProof/>
                <w:webHidden/>
              </w:rPr>
            </w:r>
            <w:r w:rsidR="009C0D07" w:rsidRPr="009C0D07">
              <w:rPr>
                <w:noProof/>
                <w:webHidden/>
              </w:rPr>
              <w:fldChar w:fldCharType="separate"/>
            </w:r>
            <w:r w:rsidR="00FA6650">
              <w:rPr>
                <w:noProof/>
                <w:webHidden/>
              </w:rPr>
              <w:t>13</w:t>
            </w:r>
            <w:r w:rsidR="009C0D07" w:rsidRPr="009C0D07">
              <w:rPr>
                <w:noProof/>
                <w:webHidden/>
              </w:rPr>
              <w:fldChar w:fldCharType="end"/>
            </w:r>
          </w:hyperlink>
        </w:p>
        <w:p w14:paraId="68B71CDE" w14:textId="77777777" w:rsidR="009C0D07" w:rsidRPr="009C0D07" w:rsidRDefault="006234CC">
          <w:pPr>
            <w:pStyle w:val="TDC2"/>
            <w:rPr>
              <w:noProof/>
              <w:sz w:val="22"/>
              <w:szCs w:val="22"/>
              <w:lang w:val="es-MX" w:eastAsia="es-MX"/>
            </w:rPr>
          </w:pPr>
          <w:hyperlink w:anchor="_Toc33192143" w:history="1">
            <w:r w:rsidR="009C0D07" w:rsidRPr="009C0D07">
              <w:rPr>
                <w:rStyle w:val="Hipervnculo"/>
                <w:noProof/>
              </w:rPr>
              <w:t>II. De las atribuciones del SUJETO OBLIGADO.</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_Toc33192143 \h </w:instrText>
            </w:r>
            <w:r w:rsidR="009C0D07" w:rsidRPr="009C0D07">
              <w:rPr>
                <w:noProof/>
                <w:webHidden/>
              </w:rPr>
            </w:r>
            <w:r w:rsidR="009C0D07" w:rsidRPr="009C0D07">
              <w:rPr>
                <w:noProof/>
                <w:webHidden/>
              </w:rPr>
              <w:fldChar w:fldCharType="separate"/>
            </w:r>
            <w:r w:rsidR="00FA6650">
              <w:rPr>
                <w:noProof/>
                <w:webHidden/>
              </w:rPr>
              <w:t>20</w:t>
            </w:r>
            <w:r w:rsidR="009C0D07" w:rsidRPr="009C0D07">
              <w:rPr>
                <w:noProof/>
                <w:webHidden/>
              </w:rPr>
              <w:fldChar w:fldCharType="end"/>
            </w:r>
          </w:hyperlink>
        </w:p>
        <w:p w14:paraId="53DB6A55" w14:textId="77777777" w:rsidR="009C0D07" w:rsidRPr="009C0D07" w:rsidRDefault="006234CC">
          <w:pPr>
            <w:pStyle w:val="TDC1"/>
            <w:rPr>
              <w:noProof/>
              <w:sz w:val="22"/>
              <w:szCs w:val="22"/>
              <w:lang w:val="es-MX" w:eastAsia="es-MX"/>
            </w:rPr>
          </w:pPr>
          <w:hyperlink w:anchor="_Toc33192144" w:history="1">
            <w:r w:rsidR="009C0D07" w:rsidRPr="009C0D07">
              <w:rPr>
                <w:rStyle w:val="Hipervnculo"/>
                <w:noProof/>
              </w:rPr>
              <w:t>III. De la procedencia del cambio de modalidad a consulta directa “in situ”</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_Toc33192144 \h </w:instrText>
            </w:r>
            <w:r w:rsidR="009C0D07" w:rsidRPr="009C0D07">
              <w:rPr>
                <w:noProof/>
                <w:webHidden/>
              </w:rPr>
            </w:r>
            <w:r w:rsidR="009C0D07" w:rsidRPr="009C0D07">
              <w:rPr>
                <w:noProof/>
                <w:webHidden/>
              </w:rPr>
              <w:fldChar w:fldCharType="separate"/>
            </w:r>
            <w:r w:rsidR="00FA6650">
              <w:rPr>
                <w:noProof/>
                <w:webHidden/>
              </w:rPr>
              <w:t>57</w:t>
            </w:r>
            <w:r w:rsidR="009C0D07" w:rsidRPr="009C0D07">
              <w:rPr>
                <w:noProof/>
                <w:webHidden/>
              </w:rPr>
              <w:fldChar w:fldCharType="end"/>
            </w:r>
          </w:hyperlink>
        </w:p>
        <w:p w14:paraId="238B181F" w14:textId="77777777" w:rsidR="009C0D07" w:rsidRPr="009C0D07" w:rsidRDefault="006234CC">
          <w:pPr>
            <w:pStyle w:val="TDC2"/>
            <w:rPr>
              <w:noProof/>
              <w:sz w:val="22"/>
              <w:szCs w:val="22"/>
              <w:lang w:val="es-MX" w:eastAsia="es-MX"/>
            </w:rPr>
          </w:pPr>
          <w:hyperlink w:anchor="_Toc33192145" w:history="1">
            <w:r w:rsidR="009C0D07" w:rsidRPr="009C0D07">
              <w:rPr>
                <w:rStyle w:val="Hipervnculo"/>
                <w:noProof/>
              </w:rPr>
              <w:t>QUINTO. De la versión pública.</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_Toc33192145 \h </w:instrText>
            </w:r>
            <w:r w:rsidR="009C0D07" w:rsidRPr="009C0D07">
              <w:rPr>
                <w:noProof/>
                <w:webHidden/>
              </w:rPr>
            </w:r>
            <w:r w:rsidR="009C0D07" w:rsidRPr="009C0D07">
              <w:rPr>
                <w:noProof/>
                <w:webHidden/>
              </w:rPr>
              <w:fldChar w:fldCharType="separate"/>
            </w:r>
            <w:r w:rsidR="00FA6650">
              <w:rPr>
                <w:noProof/>
                <w:webHidden/>
              </w:rPr>
              <w:t>61</w:t>
            </w:r>
            <w:r w:rsidR="009C0D07" w:rsidRPr="009C0D07">
              <w:rPr>
                <w:noProof/>
                <w:webHidden/>
              </w:rPr>
              <w:fldChar w:fldCharType="end"/>
            </w:r>
          </w:hyperlink>
        </w:p>
        <w:p w14:paraId="2A291D8D" w14:textId="77777777" w:rsidR="009C0D07" w:rsidRPr="009C0D07" w:rsidRDefault="006234CC">
          <w:pPr>
            <w:pStyle w:val="TDC2"/>
            <w:rPr>
              <w:noProof/>
              <w:sz w:val="22"/>
              <w:szCs w:val="22"/>
              <w:lang w:val="es-MX" w:eastAsia="es-MX"/>
            </w:rPr>
          </w:pPr>
          <w:hyperlink w:anchor="_Toc33192146" w:history="1">
            <w:r w:rsidR="009C0D07" w:rsidRPr="009C0D07">
              <w:rPr>
                <w:rStyle w:val="Hipervnculo"/>
                <w:noProof/>
              </w:rPr>
              <w:t>I. Requisitos previos.</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_Toc33192146 \h </w:instrText>
            </w:r>
            <w:r w:rsidR="009C0D07" w:rsidRPr="009C0D07">
              <w:rPr>
                <w:noProof/>
                <w:webHidden/>
              </w:rPr>
            </w:r>
            <w:r w:rsidR="009C0D07" w:rsidRPr="009C0D07">
              <w:rPr>
                <w:noProof/>
                <w:webHidden/>
              </w:rPr>
              <w:fldChar w:fldCharType="separate"/>
            </w:r>
            <w:r w:rsidR="00FA6650">
              <w:rPr>
                <w:noProof/>
                <w:webHidden/>
              </w:rPr>
              <w:t>63</w:t>
            </w:r>
            <w:r w:rsidR="009C0D07" w:rsidRPr="009C0D07">
              <w:rPr>
                <w:noProof/>
                <w:webHidden/>
              </w:rPr>
              <w:fldChar w:fldCharType="end"/>
            </w:r>
          </w:hyperlink>
        </w:p>
        <w:p w14:paraId="065F7E39" w14:textId="77777777" w:rsidR="009C0D07" w:rsidRPr="009C0D07" w:rsidRDefault="006234CC">
          <w:pPr>
            <w:pStyle w:val="TDC2"/>
            <w:rPr>
              <w:noProof/>
              <w:sz w:val="22"/>
              <w:szCs w:val="22"/>
              <w:lang w:val="es-MX" w:eastAsia="es-MX"/>
            </w:rPr>
          </w:pPr>
          <w:hyperlink w:anchor="_Toc33192147" w:history="1">
            <w:r w:rsidR="009C0D07" w:rsidRPr="009C0D07">
              <w:rPr>
                <w:rStyle w:val="Hipervnculo"/>
                <w:noProof/>
              </w:rPr>
              <w:t xml:space="preserve">II. </w:t>
            </w:r>
            <w:r w:rsidR="009C0D07" w:rsidRPr="009C0D07">
              <w:rPr>
                <w:rStyle w:val="Hipervnculo"/>
                <w:rFonts w:eastAsia="MS Mincho" w:cs="Times New Roman"/>
                <w:noProof/>
              </w:rPr>
              <w:t>Supuestos de clasificación.</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_Toc33192147 \h </w:instrText>
            </w:r>
            <w:r w:rsidR="009C0D07" w:rsidRPr="009C0D07">
              <w:rPr>
                <w:noProof/>
                <w:webHidden/>
              </w:rPr>
            </w:r>
            <w:r w:rsidR="009C0D07" w:rsidRPr="009C0D07">
              <w:rPr>
                <w:noProof/>
                <w:webHidden/>
              </w:rPr>
              <w:fldChar w:fldCharType="separate"/>
            </w:r>
            <w:r w:rsidR="00FA6650">
              <w:rPr>
                <w:noProof/>
                <w:webHidden/>
              </w:rPr>
              <w:t>65</w:t>
            </w:r>
            <w:r w:rsidR="009C0D07" w:rsidRPr="009C0D07">
              <w:rPr>
                <w:noProof/>
                <w:webHidden/>
              </w:rPr>
              <w:fldChar w:fldCharType="end"/>
            </w:r>
          </w:hyperlink>
        </w:p>
        <w:p w14:paraId="1879F593" w14:textId="77777777" w:rsidR="009C0D07" w:rsidRPr="009C0D07" w:rsidRDefault="006234CC">
          <w:pPr>
            <w:pStyle w:val="TDC2"/>
            <w:rPr>
              <w:noProof/>
              <w:sz w:val="22"/>
              <w:szCs w:val="22"/>
              <w:lang w:val="es-MX" w:eastAsia="es-MX"/>
            </w:rPr>
          </w:pPr>
          <w:hyperlink w:anchor="_Toc33192148" w:history="1">
            <w:r w:rsidR="009C0D07" w:rsidRPr="009C0D07">
              <w:rPr>
                <w:rStyle w:val="Hipervnculo"/>
                <w:noProof/>
              </w:rPr>
              <w:t>III. La intervención del Comité de Transparencia.</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_Toc33192148 \h </w:instrText>
            </w:r>
            <w:r w:rsidR="009C0D07" w:rsidRPr="009C0D07">
              <w:rPr>
                <w:noProof/>
                <w:webHidden/>
              </w:rPr>
            </w:r>
            <w:r w:rsidR="009C0D07" w:rsidRPr="009C0D07">
              <w:rPr>
                <w:noProof/>
                <w:webHidden/>
              </w:rPr>
              <w:fldChar w:fldCharType="separate"/>
            </w:r>
            <w:r w:rsidR="00FA6650">
              <w:rPr>
                <w:noProof/>
                <w:webHidden/>
              </w:rPr>
              <w:t>67</w:t>
            </w:r>
            <w:r w:rsidR="009C0D07" w:rsidRPr="009C0D07">
              <w:rPr>
                <w:noProof/>
                <w:webHidden/>
              </w:rPr>
              <w:fldChar w:fldCharType="end"/>
            </w:r>
          </w:hyperlink>
        </w:p>
        <w:p w14:paraId="19CEC9F8" w14:textId="77777777" w:rsidR="009C0D07" w:rsidRPr="009C0D07" w:rsidRDefault="006234CC">
          <w:pPr>
            <w:pStyle w:val="TDC3"/>
            <w:tabs>
              <w:tab w:val="right" w:leader="dot" w:pos="8779"/>
            </w:tabs>
            <w:rPr>
              <w:noProof/>
              <w:sz w:val="22"/>
              <w:szCs w:val="22"/>
              <w:lang w:val="es-MX" w:eastAsia="es-MX"/>
            </w:rPr>
          </w:pPr>
          <w:hyperlink w:anchor="_Toc33192149" w:history="1">
            <w:r w:rsidR="009C0D07" w:rsidRPr="009C0D07">
              <w:rPr>
                <w:rStyle w:val="Hipervnculo"/>
                <w:rFonts w:ascii="Palatino Linotype" w:hAnsi="Palatino Linotype"/>
                <w:b/>
                <w:noProof/>
                <w:lang w:val="es-MX" w:eastAsia="en-US"/>
              </w:rPr>
              <w:t>A. Formalidades para emitir el acuerdo de clasificación.</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_Toc33192149 \h </w:instrText>
            </w:r>
            <w:r w:rsidR="009C0D07" w:rsidRPr="009C0D07">
              <w:rPr>
                <w:noProof/>
                <w:webHidden/>
              </w:rPr>
            </w:r>
            <w:r w:rsidR="009C0D07" w:rsidRPr="009C0D07">
              <w:rPr>
                <w:noProof/>
                <w:webHidden/>
              </w:rPr>
              <w:fldChar w:fldCharType="separate"/>
            </w:r>
            <w:r w:rsidR="00FA6650">
              <w:rPr>
                <w:noProof/>
                <w:webHidden/>
              </w:rPr>
              <w:t>67</w:t>
            </w:r>
            <w:r w:rsidR="009C0D07" w:rsidRPr="009C0D07">
              <w:rPr>
                <w:noProof/>
                <w:webHidden/>
              </w:rPr>
              <w:fldChar w:fldCharType="end"/>
            </w:r>
          </w:hyperlink>
        </w:p>
        <w:p w14:paraId="2D26E019" w14:textId="77777777" w:rsidR="009C0D07" w:rsidRPr="009C0D07" w:rsidRDefault="006234CC">
          <w:pPr>
            <w:pStyle w:val="TDC3"/>
            <w:tabs>
              <w:tab w:val="right" w:leader="dot" w:pos="8779"/>
            </w:tabs>
            <w:rPr>
              <w:noProof/>
              <w:sz w:val="22"/>
              <w:szCs w:val="22"/>
              <w:lang w:val="es-MX" w:eastAsia="es-MX"/>
            </w:rPr>
          </w:pPr>
          <w:hyperlink w:anchor="_Toc33192150" w:history="1">
            <w:r w:rsidR="009C0D07" w:rsidRPr="009C0D07">
              <w:rPr>
                <w:rStyle w:val="Hipervnculo"/>
                <w:rFonts w:ascii="Palatino Linotype" w:hAnsi="Palatino Linotype"/>
                <w:b/>
                <w:noProof/>
              </w:rPr>
              <w:t>B. Requisitos de fondo del acuerdo de clasificación.</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_Toc33192150 \h </w:instrText>
            </w:r>
            <w:r w:rsidR="009C0D07" w:rsidRPr="009C0D07">
              <w:rPr>
                <w:noProof/>
                <w:webHidden/>
              </w:rPr>
            </w:r>
            <w:r w:rsidR="009C0D07" w:rsidRPr="009C0D07">
              <w:rPr>
                <w:noProof/>
                <w:webHidden/>
              </w:rPr>
              <w:fldChar w:fldCharType="separate"/>
            </w:r>
            <w:r w:rsidR="00FA6650">
              <w:rPr>
                <w:noProof/>
                <w:webHidden/>
              </w:rPr>
              <w:t>68</w:t>
            </w:r>
            <w:r w:rsidR="009C0D07" w:rsidRPr="009C0D07">
              <w:rPr>
                <w:noProof/>
                <w:webHidden/>
              </w:rPr>
              <w:fldChar w:fldCharType="end"/>
            </w:r>
          </w:hyperlink>
        </w:p>
        <w:p w14:paraId="476FF0FB" w14:textId="77777777" w:rsidR="009C0D07" w:rsidRPr="009C0D07" w:rsidRDefault="006234CC">
          <w:pPr>
            <w:pStyle w:val="TDC1"/>
            <w:rPr>
              <w:noProof/>
              <w:sz w:val="22"/>
              <w:szCs w:val="22"/>
              <w:lang w:val="es-MX" w:eastAsia="es-MX"/>
            </w:rPr>
          </w:pPr>
          <w:hyperlink w:anchor="_Toc33192151" w:history="1">
            <w:r w:rsidR="009C0D07" w:rsidRPr="009C0D07">
              <w:rPr>
                <w:rStyle w:val="Hipervnculo"/>
                <w:rFonts w:eastAsia="Calibri"/>
                <w:noProof/>
                <w:lang w:val="es-ES"/>
              </w:rPr>
              <w:t>R E S O L U T I V O S</w:t>
            </w:r>
            <w:r w:rsidR="009C0D07" w:rsidRPr="009C0D07">
              <w:rPr>
                <w:noProof/>
                <w:webHidden/>
              </w:rPr>
              <w:tab/>
            </w:r>
            <w:r w:rsidR="009C0D07" w:rsidRPr="009C0D07">
              <w:rPr>
                <w:noProof/>
                <w:webHidden/>
              </w:rPr>
              <w:fldChar w:fldCharType="begin"/>
            </w:r>
            <w:r w:rsidR="009C0D07" w:rsidRPr="009C0D07">
              <w:rPr>
                <w:noProof/>
                <w:webHidden/>
              </w:rPr>
              <w:instrText xml:space="preserve"> PAGEREF _Toc33192151 \h </w:instrText>
            </w:r>
            <w:r w:rsidR="009C0D07" w:rsidRPr="009C0D07">
              <w:rPr>
                <w:noProof/>
                <w:webHidden/>
              </w:rPr>
            </w:r>
            <w:r w:rsidR="009C0D07" w:rsidRPr="009C0D07">
              <w:rPr>
                <w:noProof/>
                <w:webHidden/>
              </w:rPr>
              <w:fldChar w:fldCharType="separate"/>
            </w:r>
            <w:r w:rsidR="00FA6650">
              <w:rPr>
                <w:noProof/>
                <w:webHidden/>
              </w:rPr>
              <w:t>74</w:t>
            </w:r>
            <w:r w:rsidR="009C0D07" w:rsidRPr="009C0D07">
              <w:rPr>
                <w:noProof/>
                <w:webHidden/>
              </w:rPr>
              <w:fldChar w:fldCharType="end"/>
            </w:r>
          </w:hyperlink>
        </w:p>
        <w:p w14:paraId="11357A76" w14:textId="77777777" w:rsidR="004B2AFF" w:rsidRPr="009C0D07" w:rsidRDefault="0011338C" w:rsidP="00AC19BA">
          <w:pPr>
            <w:rPr>
              <w:rFonts w:ascii="Palatino Linotype" w:hAnsi="Palatino Linotype"/>
              <w:bCs/>
              <w:lang w:val="es-ES"/>
            </w:rPr>
          </w:pPr>
          <w:r w:rsidRPr="009C0D07">
            <w:rPr>
              <w:rFonts w:ascii="Palatino Linotype" w:hAnsi="Palatino Linotype"/>
              <w:bCs/>
              <w:lang w:val="es-ES"/>
            </w:rPr>
            <w:fldChar w:fldCharType="end"/>
          </w:r>
        </w:p>
        <w:p w14:paraId="7D08F6C4" w14:textId="77777777" w:rsidR="004B2AFF" w:rsidRPr="009C0D07" w:rsidRDefault="004B2AFF" w:rsidP="00AC19BA">
          <w:pPr>
            <w:rPr>
              <w:rFonts w:ascii="Palatino Linotype" w:hAnsi="Palatino Linotype"/>
              <w:bCs/>
              <w:lang w:val="es-ES"/>
            </w:rPr>
          </w:pPr>
        </w:p>
        <w:p w14:paraId="72666972" w14:textId="77777777" w:rsidR="00802928" w:rsidRPr="009C0D07" w:rsidRDefault="00802928" w:rsidP="00AC19BA">
          <w:pPr>
            <w:rPr>
              <w:rFonts w:ascii="Palatino Linotype" w:hAnsi="Palatino Linotype"/>
              <w:bCs/>
              <w:lang w:val="es-ES"/>
            </w:rPr>
          </w:pPr>
        </w:p>
        <w:p w14:paraId="5046F528" w14:textId="77777777" w:rsidR="00802928" w:rsidRPr="009C0D07" w:rsidRDefault="00802928" w:rsidP="00AC19BA">
          <w:pPr>
            <w:rPr>
              <w:rFonts w:ascii="Palatino Linotype" w:hAnsi="Palatino Linotype"/>
              <w:bCs/>
              <w:lang w:val="es-ES"/>
            </w:rPr>
          </w:pPr>
        </w:p>
        <w:p w14:paraId="4D37E61C" w14:textId="77777777" w:rsidR="00802928" w:rsidRPr="009C0D07" w:rsidRDefault="00802928" w:rsidP="00AC19BA">
          <w:pPr>
            <w:rPr>
              <w:rFonts w:ascii="Palatino Linotype" w:hAnsi="Palatino Linotype"/>
              <w:bCs/>
              <w:lang w:val="es-ES"/>
            </w:rPr>
          </w:pPr>
        </w:p>
        <w:p w14:paraId="74838D32" w14:textId="77777777" w:rsidR="00802928" w:rsidRPr="009C0D07" w:rsidRDefault="00802928" w:rsidP="00AC19BA">
          <w:pPr>
            <w:rPr>
              <w:rFonts w:ascii="Palatino Linotype" w:hAnsi="Palatino Linotype"/>
              <w:bCs/>
              <w:lang w:val="es-ES"/>
            </w:rPr>
          </w:pPr>
        </w:p>
        <w:p w14:paraId="32D2BD27" w14:textId="4BA7BCF6" w:rsidR="00F41E88" w:rsidRPr="009C0D07" w:rsidRDefault="006234CC" w:rsidP="00AC19BA">
          <w:pPr>
            <w:rPr>
              <w:rFonts w:ascii="Palatino Linotype" w:hAnsi="Palatino Linotype"/>
              <w:bCs/>
              <w:lang w:val="es-ES"/>
            </w:rPr>
          </w:pPr>
        </w:p>
      </w:sdtContent>
    </w:sdt>
    <w:p w14:paraId="7BA9DE57" w14:textId="630D2B62" w:rsidR="00EB4847" w:rsidRPr="009C0D07" w:rsidRDefault="001B26AA" w:rsidP="004E1461">
      <w:pPr>
        <w:tabs>
          <w:tab w:val="left" w:pos="567"/>
        </w:tabs>
        <w:spacing w:before="240" w:after="240" w:line="360" w:lineRule="auto"/>
        <w:jc w:val="both"/>
        <w:rPr>
          <w:rFonts w:ascii="Palatino Linotype" w:hAnsi="Palatino Linotype"/>
          <w:lang w:val="es-MX"/>
        </w:rPr>
      </w:pPr>
      <w:r w:rsidRPr="009C0D07">
        <w:rPr>
          <w:rFonts w:ascii="Palatino Linotype" w:hAnsi="Palatino Linotype"/>
        </w:rPr>
        <w:lastRenderedPageBreak/>
        <w:t>R</w:t>
      </w:r>
      <w:r w:rsidR="00662C69" w:rsidRPr="009C0D07">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084FD5" w:rsidRPr="009C0D07">
        <w:rPr>
          <w:rFonts w:ascii="Palatino Linotype" w:hAnsi="Palatino Linotype"/>
          <w:lang w:val="es-MX"/>
        </w:rPr>
        <w:t xml:space="preserve">fecha </w:t>
      </w:r>
      <w:r w:rsidR="001B37D2" w:rsidRPr="009C0D07">
        <w:rPr>
          <w:rFonts w:ascii="Palatino Linotype" w:hAnsi="Palatino Linotype"/>
          <w:lang w:val="es-MX"/>
        </w:rPr>
        <w:t xml:space="preserve">diecinueve (19) </w:t>
      </w:r>
      <w:r w:rsidR="00D755D6" w:rsidRPr="009C0D07">
        <w:rPr>
          <w:rFonts w:ascii="Palatino Linotype" w:hAnsi="Palatino Linotype"/>
          <w:lang w:val="es-MX"/>
        </w:rPr>
        <w:t xml:space="preserve">de </w:t>
      </w:r>
      <w:r w:rsidR="001B37D2" w:rsidRPr="009C0D07">
        <w:rPr>
          <w:rFonts w:ascii="Palatino Linotype" w:hAnsi="Palatino Linotype"/>
          <w:lang w:val="es-MX"/>
        </w:rPr>
        <w:t xml:space="preserve">febrero </w:t>
      </w:r>
      <w:r w:rsidR="00662C69" w:rsidRPr="009C0D07">
        <w:rPr>
          <w:rFonts w:ascii="Palatino Linotype" w:hAnsi="Palatino Linotype"/>
          <w:lang w:val="es-MX"/>
        </w:rPr>
        <w:t xml:space="preserve">de dos mil </w:t>
      </w:r>
      <w:r w:rsidR="000725E0" w:rsidRPr="009C0D07">
        <w:rPr>
          <w:rFonts w:ascii="Palatino Linotype" w:hAnsi="Palatino Linotype"/>
          <w:lang w:val="es-MX"/>
        </w:rPr>
        <w:t>veinte</w:t>
      </w:r>
      <w:r w:rsidR="00662C69" w:rsidRPr="009C0D07">
        <w:rPr>
          <w:rFonts w:ascii="Palatino Linotype" w:hAnsi="Palatino Linotype"/>
          <w:lang w:val="es-MX"/>
        </w:rPr>
        <w:t>.</w:t>
      </w:r>
    </w:p>
    <w:p w14:paraId="678D20AB" w14:textId="37816D71" w:rsidR="009B359D" w:rsidRPr="009C0D07" w:rsidRDefault="00924CEA" w:rsidP="008D6C8D">
      <w:pPr>
        <w:pStyle w:val="Encabezado"/>
        <w:spacing w:line="360" w:lineRule="auto"/>
        <w:jc w:val="both"/>
        <w:rPr>
          <w:rFonts w:ascii="Palatino Linotype" w:eastAsia="Times New Roman" w:hAnsi="Palatino Linotype" w:cs="Times New Roman"/>
        </w:rPr>
      </w:pPr>
      <w:r w:rsidRPr="009C0D07">
        <w:rPr>
          <w:rFonts w:ascii="Palatino Linotype" w:eastAsia="Times New Roman" w:hAnsi="Palatino Linotype" w:cs="Times New Roman"/>
          <w:b/>
        </w:rPr>
        <w:t>VISTO</w:t>
      </w:r>
      <w:r w:rsidR="003122CE" w:rsidRPr="009C0D07">
        <w:rPr>
          <w:rFonts w:ascii="Palatino Linotype" w:eastAsia="Times New Roman" w:hAnsi="Palatino Linotype" w:cs="Times New Roman"/>
        </w:rPr>
        <w:t xml:space="preserve"> </w:t>
      </w:r>
      <w:r w:rsidRPr="009C0D07">
        <w:rPr>
          <w:rFonts w:ascii="Palatino Linotype" w:eastAsia="Times New Roman" w:hAnsi="Palatino Linotype" w:cs="Times New Roman"/>
        </w:rPr>
        <w:t>el expediente</w:t>
      </w:r>
      <w:r w:rsidR="003122CE" w:rsidRPr="009C0D07">
        <w:rPr>
          <w:rFonts w:ascii="Palatino Linotype" w:eastAsia="Times New Roman" w:hAnsi="Palatino Linotype" w:cs="Times New Roman"/>
        </w:rPr>
        <w:t xml:space="preserve"> electrón</w:t>
      </w:r>
      <w:r w:rsidRPr="009C0D07">
        <w:rPr>
          <w:rFonts w:ascii="Palatino Linotype" w:eastAsia="Times New Roman" w:hAnsi="Palatino Linotype" w:cs="Times New Roman"/>
        </w:rPr>
        <w:t>ico formado</w:t>
      </w:r>
      <w:r w:rsidR="00417E0F" w:rsidRPr="009C0D07">
        <w:rPr>
          <w:rFonts w:ascii="Palatino Linotype" w:eastAsia="Times New Roman" w:hAnsi="Palatino Linotype" w:cs="Times New Roman"/>
        </w:rPr>
        <w:t xml:space="preserve"> con motivo del recurso de revisión número</w:t>
      </w:r>
      <w:r w:rsidRPr="009C0D07">
        <w:rPr>
          <w:rFonts w:ascii="Palatino Linotype" w:eastAsia="Times New Roman" w:hAnsi="Palatino Linotype" w:cs="Times New Roman"/>
        </w:rPr>
        <w:t xml:space="preserve"> </w:t>
      </w:r>
      <w:r w:rsidR="00206E7D" w:rsidRPr="009C0D07">
        <w:rPr>
          <w:rFonts w:ascii="Palatino Linotype" w:hAnsi="Palatino Linotype" w:cs="Arial"/>
          <w:b/>
          <w:bCs/>
          <w:lang w:eastAsia="es-MX"/>
        </w:rPr>
        <w:t>08973/INFOEM/IP/RR/2019</w:t>
      </w:r>
      <w:r w:rsidR="003122CE" w:rsidRPr="009C0D07">
        <w:rPr>
          <w:rFonts w:ascii="Palatino Linotype" w:eastAsia="Times New Roman" w:hAnsi="Palatino Linotype" w:cs="Arial"/>
          <w:bCs/>
        </w:rPr>
        <w:t xml:space="preserve">, </w:t>
      </w:r>
      <w:r w:rsidR="00417E0F" w:rsidRPr="009C0D07">
        <w:rPr>
          <w:rFonts w:ascii="Palatino Linotype" w:eastAsia="Times New Roman" w:hAnsi="Palatino Linotype" w:cs="Times New Roman"/>
        </w:rPr>
        <w:t>promovido</w:t>
      </w:r>
      <w:r w:rsidR="003122CE" w:rsidRPr="009C0D07">
        <w:rPr>
          <w:rFonts w:ascii="Palatino Linotype" w:eastAsia="Times New Roman" w:hAnsi="Palatino Linotype" w:cs="Times New Roman"/>
        </w:rPr>
        <w:t xml:space="preserve"> por</w:t>
      </w:r>
      <w:r w:rsidR="008D6C8D" w:rsidRPr="009C0D07">
        <w:rPr>
          <w:rFonts w:ascii="Palatino Linotype" w:eastAsia="Times New Roman" w:hAnsi="Palatino Linotype" w:cs="Times New Roman"/>
        </w:rPr>
        <w:t xml:space="preserve"> </w:t>
      </w:r>
      <w:r w:rsidR="00A31117" w:rsidRPr="00A31117">
        <w:rPr>
          <w:rFonts w:ascii="Palatino Linotype" w:eastAsia="Times New Roman" w:hAnsi="Palatino Linotype" w:cs="Times New Roman"/>
          <w:b/>
          <w:highlight w:val="black"/>
        </w:rPr>
        <w:t>-----------------</w:t>
      </w:r>
      <w:r w:rsidR="003122CE" w:rsidRPr="009C0D07">
        <w:rPr>
          <w:rFonts w:ascii="Palatino Linotype" w:eastAsia="Times New Roman" w:hAnsi="Palatino Linotype" w:cs="Times New Roman"/>
          <w:b/>
        </w:rPr>
        <w:t xml:space="preserve">, </w:t>
      </w:r>
      <w:r w:rsidR="003122CE" w:rsidRPr="009C0D07">
        <w:rPr>
          <w:rFonts w:ascii="Palatino Linotype" w:eastAsia="Times New Roman" w:hAnsi="Palatino Linotype" w:cs="Arial"/>
        </w:rPr>
        <w:t xml:space="preserve">en su calidad de </w:t>
      </w:r>
      <w:r w:rsidR="003122CE" w:rsidRPr="009C0D07">
        <w:rPr>
          <w:rFonts w:ascii="Palatino Linotype" w:eastAsia="Times New Roman" w:hAnsi="Palatino Linotype" w:cs="Arial"/>
          <w:b/>
        </w:rPr>
        <w:t>RECURRENTE</w:t>
      </w:r>
      <w:r w:rsidR="003122CE" w:rsidRPr="009C0D07">
        <w:rPr>
          <w:rFonts w:ascii="Palatino Linotype" w:eastAsia="Times New Roman" w:hAnsi="Palatino Linotype" w:cs="Arial"/>
        </w:rPr>
        <w:t>, en contra de la respuesta</w:t>
      </w:r>
      <w:r w:rsidRPr="009C0D07">
        <w:rPr>
          <w:rFonts w:ascii="Palatino Linotype" w:eastAsia="Times New Roman" w:hAnsi="Palatino Linotype" w:cs="Arial"/>
        </w:rPr>
        <w:t xml:space="preserve"> </w:t>
      </w:r>
      <w:r w:rsidR="002C30ED" w:rsidRPr="009C0D07">
        <w:rPr>
          <w:rFonts w:ascii="Palatino Linotype" w:eastAsia="Times New Roman" w:hAnsi="Palatino Linotype" w:cs="Arial"/>
        </w:rPr>
        <w:t>de</w:t>
      </w:r>
      <w:r w:rsidR="00C25E3C" w:rsidRPr="009C0D07">
        <w:rPr>
          <w:rFonts w:ascii="Palatino Linotype" w:eastAsia="Times New Roman" w:hAnsi="Palatino Linotype" w:cs="Arial"/>
        </w:rPr>
        <w:t>l</w:t>
      </w:r>
      <w:r w:rsidR="00F523D6" w:rsidRPr="009C0D07">
        <w:rPr>
          <w:rFonts w:ascii="Palatino Linotype" w:eastAsia="Times New Roman" w:hAnsi="Palatino Linotype" w:cs="Arial"/>
        </w:rPr>
        <w:t xml:space="preserve"> </w:t>
      </w:r>
      <w:r w:rsidR="00206E7D" w:rsidRPr="009C0D07">
        <w:rPr>
          <w:rFonts w:ascii="Palatino Linotype" w:eastAsia="Times New Roman" w:hAnsi="Palatino Linotype" w:cs="Arial"/>
          <w:b/>
        </w:rPr>
        <w:t>Ayuntamiento de Atizapán de Zaragoza</w:t>
      </w:r>
      <w:r w:rsidR="003122CE" w:rsidRPr="009C0D07">
        <w:rPr>
          <w:rFonts w:ascii="Palatino Linotype" w:eastAsia="Calibri" w:hAnsi="Palatino Linotype" w:cs="Arial"/>
          <w:lang w:val="es-ES"/>
        </w:rPr>
        <w:t xml:space="preserve">, </w:t>
      </w:r>
      <w:r w:rsidR="003122CE" w:rsidRPr="009C0D07">
        <w:rPr>
          <w:rFonts w:ascii="Palatino Linotype" w:eastAsia="Times New Roman" w:hAnsi="Palatino Linotype" w:cs="Times New Roman"/>
        </w:rPr>
        <w:t>en lo sucesivo el</w:t>
      </w:r>
      <w:r w:rsidR="003122CE" w:rsidRPr="009C0D07">
        <w:rPr>
          <w:rFonts w:ascii="Palatino Linotype" w:eastAsia="Times New Roman" w:hAnsi="Palatino Linotype" w:cs="Times New Roman"/>
          <w:b/>
        </w:rPr>
        <w:t xml:space="preserve"> SUJETO OBLIGADO, </w:t>
      </w:r>
      <w:r w:rsidR="003122CE" w:rsidRPr="009C0D07">
        <w:rPr>
          <w:rFonts w:ascii="Palatino Linotype" w:eastAsia="Times New Roman" w:hAnsi="Palatino Linotype" w:cs="Times New Roman"/>
        </w:rPr>
        <w:t>se procede a dictar la presente resolución, con base en los siguientes:</w:t>
      </w:r>
      <w:bookmarkStart w:id="1" w:name="_Toc466418172"/>
      <w:bookmarkStart w:id="2" w:name="_Toc462402153"/>
    </w:p>
    <w:p w14:paraId="6477A332" w14:textId="77777777" w:rsidR="00206E7D" w:rsidRPr="009C0D07" w:rsidRDefault="00206E7D" w:rsidP="008D6C8D">
      <w:pPr>
        <w:pStyle w:val="Encabezado"/>
        <w:spacing w:line="360" w:lineRule="auto"/>
        <w:jc w:val="both"/>
        <w:rPr>
          <w:rFonts w:ascii="Palatino Linotype" w:eastAsia="Times New Roman" w:hAnsi="Palatino Linotype" w:cs="Times New Roman"/>
        </w:rPr>
      </w:pPr>
    </w:p>
    <w:p w14:paraId="02320B65" w14:textId="77777777" w:rsidR="00F34201" w:rsidRPr="009C0D07" w:rsidRDefault="00F34201" w:rsidP="004E1461">
      <w:pPr>
        <w:pStyle w:val="Ttulo1"/>
        <w:tabs>
          <w:tab w:val="left" w:pos="567"/>
        </w:tabs>
        <w:jc w:val="center"/>
        <w:rPr>
          <w:b w:val="0"/>
          <w:color w:val="auto"/>
        </w:rPr>
      </w:pPr>
      <w:bookmarkStart w:id="3" w:name="_Toc473812222"/>
      <w:bookmarkStart w:id="4" w:name="_Toc495430765"/>
      <w:bookmarkStart w:id="5" w:name="_Toc33192134"/>
      <w:r w:rsidRPr="009C0D07">
        <w:rPr>
          <w:color w:val="auto"/>
        </w:rPr>
        <w:t>ANTECEDENTES</w:t>
      </w:r>
      <w:bookmarkEnd w:id="3"/>
      <w:bookmarkEnd w:id="4"/>
      <w:bookmarkEnd w:id="5"/>
    </w:p>
    <w:p w14:paraId="54EBC941" w14:textId="77777777" w:rsidR="00F34201" w:rsidRPr="009C0D07" w:rsidRDefault="00F34201" w:rsidP="004E1461">
      <w:pPr>
        <w:tabs>
          <w:tab w:val="left" w:pos="567"/>
        </w:tabs>
        <w:rPr>
          <w:rFonts w:ascii="Palatino Linotype" w:hAnsi="Palatino Linotype"/>
          <w:lang w:val="es-MX" w:eastAsia="en-US"/>
        </w:rPr>
      </w:pPr>
    </w:p>
    <w:p w14:paraId="749498DB" w14:textId="5F314D22" w:rsidR="00F34201" w:rsidRPr="009C0D07"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C0D07">
        <w:rPr>
          <w:rFonts w:ascii="Palatino Linotype" w:eastAsia="Calibri" w:hAnsi="Palatino Linotype" w:cs="Arial"/>
          <w:color w:val="000000" w:themeColor="text1"/>
          <w:lang w:val="es-ES"/>
        </w:rPr>
        <w:t xml:space="preserve">El día </w:t>
      </w:r>
      <w:r w:rsidR="000725E0" w:rsidRPr="009C0D07">
        <w:rPr>
          <w:rFonts w:ascii="Palatino Linotype" w:eastAsia="Calibri" w:hAnsi="Palatino Linotype" w:cs="Arial"/>
          <w:color w:val="000000" w:themeColor="text1"/>
          <w:lang w:val="es-ES"/>
        </w:rPr>
        <w:t>veinti</w:t>
      </w:r>
      <w:r w:rsidR="001C1147" w:rsidRPr="009C0D07">
        <w:rPr>
          <w:rFonts w:ascii="Palatino Linotype" w:eastAsia="Calibri" w:hAnsi="Palatino Linotype" w:cs="Arial"/>
          <w:color w:val="000000" w:themeColor="text1"/>
          <w:lang w:val="es-ES"/>
        </w:rPr>
        <w:t xml:space="preserve">uno </w:t>
      </w:r>
      <w:r w:rsidRPr="009C0D07">
        <w:rPr>
          <w:rFonts w:ascii="Palatino Linotype" w:eastAsia="Calibri" w:hAnsi="Palatino Linotype" w:cs="Arial"/>
          <w:color w:val="000000" w:themeColor="text1"/>
          <w:lang w:val="es-ES"/>
        </w:rPr>
        <w:t>(</w:t>
      </w:r>
      <w:r w:rsidR="000725E0" w:rsidRPr="009C0D07">
        <w:rPr>
          <w:rFonts w:ascii="Palatino Linotype" w:eastAsia="Calibri" w:hAnsi="Palatino Linotype" w:cs="Arial"/>
          <w:color w:val="000000" w:themeColor="text1"/>
          <w:lang w:val="es-ES"/>
        </w:rPr>
        <w:t>2</w:t>
      </w:r>
      <w:r w:rsidR="001C1147" w:rsidRPr="009C0D07">
        <w:rPr>
          <w:rFonts w:ascii="Palatino Linotype" w:eastAsia="Calibri" w:hAnsi="Palatino Linotype" w:cs="Arial"/>
          <w:color w:val="000000" w:themeColor="text1"/>
          <w:lang w:val="es-ES"/>
        </w:rPr>
        <w:t>1</w:t>
      </w:r>
      <w:r w:rsidRPr="009C0D07">
        <w:rPr>
          <w:rFonts w:ascii="Palatino Linotype" w:eastAsia="Calibri" w:hAnsi="Palatino Linotype" w:cs="Arial"/>
          <w:color w:val="000000" w:themeColor="text1"/>
          <w:lang w:val="es-ES"/>
        </w:rPr>
        <w:t xml:space="preserve">) de </w:t>
      </w:r>
      <w:r w:rsidR="001C1147" w:rsidRPr="009C0D07">
        <w:rPr>
          <w:rFonts w:ascii="Palatino Linotype" w:eastAsia="Calibri" w:hAnsi="Palatino Linotype" w:cs="Arial"/>
          <w:color w:val="000000" w:themeColor="text1"/>
          <w:lang w:val="es-ES"/>
        </w:rPr>
        <w:t>octubre</w:t>
      </w:r>
      <w:r w:rsidRPr="009C0D07">
        <w:rPr>
          <w:rFonts w:ascii="Palatino Linotype" w:eastAsia="Calibri" w:hAnsi="Palatino Linotype" w:cs="Arial"/>
          <w:color w:val="000000" w:themeColor="text1"/>
          <w:lang w:val="es-ES"/>
        </w:rPr>
        <w:t xml:space="preserve"> de </w:t>
      </w:r>
      <w:r w:rsidR="00E91B4E" w:rsidRPr="009C0D07">
        <w:rPr>
          <w:rFonts w:ascii="Palatino Linotype" w:eastAsia="Calibri" w:hAnsi="Palatino Linotype" w:cs="Arial"/>
          <w:color w:val="000000" w:themeColor="text1"/>
          <w:lang w:val="es-ES"/>
        </w:rPr>
        <w:t>dos mil diecinueve</w:t>
      </w:r>
      <w:r w:rsidRPr="009C0D07">
        <w:rPr>
          <w:rFonts w:ascii="Palatino Linotype" w:eastAsia="Calibri" w:hAnsi="Palatino Linotype" w:cs="Arial"/>
          <w:color w:val="000000" w:themeColor="text1"/>
          <w:lang w:val="es-ES"/>
        </w:rPr>
        <w:t>,</w:t>
      </w:r>
      <w:r w:rsidRPr="009C0D07">
        <w:rPr>
          <w:rFonts w:ascii="Palatino Linotype" w:eastAsia="Calibri" w:hAnsi="Palatino Linotype" w:cs="Times New Roman"/>
          <w:color w:val="000000" w:themeColor="text1"/>
          <w:lang w:val="es-ES"/>
        </w:rPr>
        <w:t xml:space="preserve"> </w:t>
      </w:r>
      <w:r w:rsidR="00F523D6" w:rsidRPr="009C0D07">
        <w:rPr>
          <w:rFonts w:ascii="Palatino Linotype" w:eastAsia="Calibri" w:hAnsi="Palatino Linotype" w:cs="Arial"/>
          <w:lang w:val="es-ES"/>
        </w:rPr>
        <w:t>se</w:t>
      </w:r>
      <w:r w:rsidR="002F768F" w:rsidRPr="009C0D07">
        <w:rPr>
          <w:rFonts w:ascii="Palatino Linotype" w:eastAsia="Calibri" w:hAnsi="Palatino Linotype" w:cs="Arial"/>
          <w:b/>
          <w:lang w:val="es-ES"/>
        </w:rPr>
        <w:t xml:space="preserve"> </w:t>
      </w:r>
      <w:r w:rsidRPr="009C0D07">
        <w:rPr>
          <w:rFonts w:ascii="Palatino Linotype" w:hAnsi="Palatino Linotype"/>
          <w:color w:val="000000" w:themeColor="text1"/>
        </w:rPr>
        <w:t>presentó</w:t>
      </w:r>
      <w:r w:rsidRPr="009C0D07">
        <w:rPr>
          <w:rFonts w:ascii="Palatino Linotype" w:hAnsi="Palatino Linotype"/>
          <w:b/>
          <w:color w:val="000000" w:themeColor="text1"/>
        </w:rPr>
        <w:t xml:space="preserve"> </w:t>
      </w:r>
      <w:r w:rsidRPr="009C0D07">
        <w:rPr>
          <w:rFonts w:ascii="Palatino Linotype" w:eastAsia="Calibri" w:hAnsi="Palatino Linotype" w:cs="Arial"/>
          <w:color w:val="000000" w:themeColor="text1"/>
        </w:rPr>
        <w:t xml:space="preserve">vía </w:t>
      </w:r>
      <w:r w:rsidRPr="009C0D07">
        <w:rPr>
          <w:rFonts w:ascii="Palatino Linotype" w:eastAsia="Calibri" w:hAnsi="Palatino Linotype" w:cs="Arial"/>
          <w:color w:val="000000" w:themeColor="text1"/>
          <w:lang w:val="es-ES"/>
        </w:rPr>
        <w:t xml:space="preserve">Sistema de Acceso a la Información Mexiquense </w:t>
      </w:r>
      <w:r w:rsidRPr="009C0D07">
        <w:rPr>
          <w:rFonts w:ascii="Palatino Linotype" w:eastAsia="Calibri" w:hAnsi="Palatino Linotype" w:cs="Arial"/>
          <w:b/>
          <w:color w:val="000000" w:themeColor="text1"/>
          <w:lang w:val="es-ES"/>
        </w:rPr>
        <w:t>(SAIMEX)</w:t>
      </w:r>
      <w:r w:rsidRPr="009C0D07">
        <w:rPr>
          <w:rFonts w:ascii="Palatino Linotype" w:eastAsia="Calibri" w:hAnsi="Palatino Linotype" w:cs="Arial"/>
          <w:color w:val="000000" w:themeColor="text1"/>
          <w:lang w:val="es-ES"/>
        </w:rPr>
        <w:t>, la solicitud de información p</w:t>
      </w:r>
      <w:r w:rsidR="00924CEA" w:rsidRPr="009C0D07">
        <w:rPr>
          <w:rFonts w:ascii="Palatino Linotype" w:eastAsia="Calibri" w:hAnsi="Palatino Linotype" w:cs="Arial"/>
          <w:color w:val="000000" w:themeColor="text1"/>
          <w:lang w:val="es-ES"/>
        </w:rPr>
        <w:t>ública registrada con el número</w:t>
      </w:r>
      <w:r w:rsidR="00305279" w:rsidRPr="009C0D07">
        <w:rPr>
          <w:rFonts w:ascii="Palatino Linotype" w:hAnsi="Palatino Linotype"/>
          <w:b/>
          <w:bCs/>
          <w:color w:val="000000" w:themeColor="text1"/>
        </w:rPr>
        <w:t xml:space="preserve"> </w:t>
      </w:r>
      <w:r w:rsidR="00D17209" w:rsidRPr="009C0D07">
        <w:rPr>
          <w:rFonts w:ascii="Palatino Linotype" w:eastAsia="Calibri" w:hAnsi="Palatino Linotype" w:cs="Arial"/>
          <w:b/>
          <w:color w:val="000000" w:themeColor="text1"/>
          <w:lang w:val="es-ES"/>
        </w:rPr>
        <w:t>00837/ATIZARA/IP/2019</w:t>
      </w:r>
      <w:r w:rsidRPr="009C0D07">
        <w:rPr>
          <w:rFonts w:ascii="Palatino Linotype" w:hAnsi="Palatino Linotype"/>
          <w:b/>
          <w:bCs/>
          <w:color w:val="000000" w:themeColor="text1"/>
        </w:rPr>
        <w:t>,</w:t>
      </w:r>
      <w:r w:rsidRPr="009C0D07">
        <w:rPr>
          <w:rFonts w:ascii="Palatino Linotype" w:eastAsia="Calibri" w:hAnsi="Palatino Linotype" w:cs="Arial"/>
          <w:color w:val="000000" w:themeColor="text1"/>
          <w:lang w:val="es-ES"/>
        </w:rPr>
        <w:t xml:space="preserve"> mediante la cual </w:t>
      </w:r>
      <w:r w:rsidR="00097D8A" w:rsidRPr="009C0D07">
        <w:rPr>
          <w:rFonts w:ascii="Palatino Linotype" w:eastAsia="Calibri" w:hAnsi="Palatino Linotype" w:cs="Arial"/>
          <w:color w:val="000000" w:themeColor="text1"/>
          <w:lang w:val="es-ES"/>
        </w:rPr>
        <w:t xml:space="preserve">se </w:t>
      </w:r>
      <w:r w:rsidR="00924CEA" w:rsidRPr="009C0D07">
        <w:rPr>
          <w:rFonts w:ascii="Palatino Linotype" w:eastAsia="Calibri" w:hAnsi="Palatino Linotype" w:cs="Arial"/>
          <w:color w:val="000000" w:themeColor="text1"/>
          <w:lang w:val="es-ES"/>
        </w:rPr>
        <w:t>requirió</w:t>
      </w:r>
      <w:r w:rsidRPr="009C0D07">
        <w:rPr>
          <w:rFonts w:ascii="Palatino Linotype" w:eastAsia="Calibri" w:hAnsi="Palatino Linotype" w:cs="Arial"/>
          <w:color w:val="000000" w:themeColor="text1"/>
          <w:lang w:val="es-ES"/>
        </w:rPr>
        <w:t>:</w:t>
      </w:r>
    </w:p>
    <w:p w14:paraId="19533DEC" w14:textId="77777777" w:rsidR="00D17209" w:rsidRPr="009C0D07" w:rsidRDefault="00D17209" w:rsidP="000725E0">
      <w:pPr>
        <w:pStyle w:val="Encabezado"/>
        <w:spacing w:line="360" w:lineRule="auto"/>
        <w:jc w:val="both"/>
        <w:rPr>
          <w:rFonts w:ascii="Palatino Linotype" w:eastAsia="Times New Roman" w:hAnsi="Palatino Linotype" w:cs="Times New Roman"/>
        </w:rPr>
      </w:pPr>
    </w:p>
    <w:p w14:paraId="67F79196" w14:textId="2D8ADD78" w:rsidR="008440CB" w:rsidRPr="009C0D07" w:rsidRDefault="00252C4D" w:rsidP="006B77BE">
      <w:pPr>
        <w:tabs>
          <w:tab w:val="left" w:pos="567"/>
        </w:tabs>
        <w:spacing w:line="360" w:lineRule="auto"/>
        <w:ind w:left="567" w:right="567"/>
        <w:jc w:val="both"/>
        <w:rPr>
          <w:rFonts w:ascii="Palatino Linotype" w:eastAsia="Times New Roman" w:hAnsi="Palatino Linotype" w:cs="Times New Roman"/>
          <w:i/>
          <w:sz w:val="22"/>
          <w:szCs w:val="22"/>
          <w:lang w:val="es-MX" w:eastAsia="es-MX"/>
        </w:rPr>
      </w:pPr>
      <w:r w:rsidRPr="009C0D07">
        <w:rPr>
          <w:rFonts w:ascii="Palatino Linotype" w:hAnsi="Palatino Linotype"/>
          <w:i/>
          <w:color w:val="000000"/>
          <w:sz w:val="22"/>
          <w:szCs w:val="22"/>
        </w:rPr>
        <w:t>“</w:t>
      </w:r>
      <w:r w:rsidR="000725E0" w:rsidRPr="009C0D07">
        <w:rPr>
          <w:rFonts w:ascii="Palatino Linotype" w:hAnsi="Palatino Linotype"/>
          <w:i/>
          <w:color w:val="000000"/>
          <w:sz w:val="22"/>
          <w:szCs w:val="22"/>
        </w:rPr>
        <w:t>de los recursos federales recibidos este año se les solicita as facturas contratos de los bienes comprados rentados para seguridad incluidas patrullas radios uniformes, así como de recursos locales</w:t>
      </w:r>
      <w:r w:rsidRPr="009C0D07">
        <w:rPr>
          <w:rFonts w:ascii="Palatino Linotype" w:hAnsi="Palatino Linotype"/>
          <w:i/>
          <w:color w:val="000000"/>
          <w:sz w:val="22"/>
          <w:szCs w:val="22"/>
        </w:rPr>
        <w:t>”</w:t>
      </w:r>
      <w:r w:rsidR="00F34201" w:rsidRPr="009C0D07">
        <w:rPr>
          <w:rFonts w:ascii="Palatino Linotype" w:hAnsi="Palatino Linotype"/>
          <w:i/>
          <w:color w:val="000000"/>
          <w:sz w:val="22"/>
          <w:szCs w:val="22"/>
        </w:rPr>
        <w:t xml:space="preserve"> (Sic)</w:t>
      </w:r>
    </w:p>
    <w:p w14:paraId="633ABC0A" w14:textId="77777777" w:rsidR="00826130" w:rsidRPr="009C0D07" w:rsidRDefault="00826130" w:rsidP="000725E0">
      <w:pPr>
        <w:pStyle w:val="Encabezado"/>
        <w:spacing w:line="360" w:lineRule="auto"/>
        <w:jc w:val="both"/>
        <w:rPr>
          <w:rFonts w:ascii="Palatino Linotype" w:eastAsia="Times New Roman" w:hAnsi="Palatino Linotype" w:cs="Times New Roman"/>
        </w:rPr>
      </w:pPr>
    </w:p>
    <w:p w14:paraId="53EAD726" w14:textId="77777777" w:rsidR="00916840" w:rsidRPr="009C0D07" w:rsidRDefault="00916840" w:rsidP="00864B40">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9C0D07">
        <w:rPr>
          <w:rFonts w:ascii="Palatino Linotype" w:hAnsi="Palatino Linotype" w:cs="Arial"/>
          <w:color w:val="000000" w:themeColor="text1"/>
        </w:rPr>
        <w:t xml:space="preserve">Se hace constar que </w:t>
      </w:r>
      <w:r w:rsidRPr="009C0D07">
        <w:rPr>
          <w:rFonts w:ascii="Palatino Linotype" w:eastAsia="Times New Roman" w:hAnsi="Palatino Linotype" w:cs="Arial"/>
          <w:color w:val="000000" w:themeColor="text1"/>
          <w:lang w:val="es-ES"/>
        </w:rPr>
        <w:t>se señaló como modalidad de entrega de la información</w:t>
      </w:r>
      <w:r w:rsidRPr="009C0D07">
        <w:rPr>
          <w:rFonts w:ascii="Palatino Linotype" w:eastAsia="Times New Roman" w:hAnsi="Palatino Linotype" w:cs="Arial"/>
          <w:b/>
          <w:color w:val="000000" w:themeColor="text1"/>
          <w:lang w:val="es-ES"/>
        </w:rPr>
        <w:t>:</w:t>
      </w:r>
      <w:r w:rsidRPr="009C0D07">
        <w:rPr>
          <w:rFonts w:ascii="Palatino Linotype" w:eastAsia="Times New Roman" w:hAnsi="Palatino Linotype" w:cs="Arial"/>
          <w:color w:val="000000" w:themeColor="text1"/>
          <w:lang w:val="es-ES"/>
        </w:rPr>
        <w:t xml:space="preserve"> a través </w:t>
      </w:r>
      <w:r w:rsidRPr="009C0D07">
        <w:rPr>
          <w:rFonts w:ascii="Palatino Linotype" w:hAnsi="Palatino Linotype"/>
          <w:color w:val="000000" w:themeColor="text1"/>
        </w:rPr>
        <w:t xml:space="preserve">del </w:t>
      </w:r>
      <w:r w:rsidRPr="009C0D07">
        <w:rPr>
          <w:rFonts w:ascii="Palatino Linotype" w:eastAsia="Calibri" w:hAnsi="Palatino Linotype" w:cs="Arial"/>
          <w:color w:val="000000" w:themeColor="text1"/>
          <w:lang w:val="es-ES"/>
        </w:rPr>
        <w:t xml:space="preserve">Sistema de Acceso a la Información Mexiquense </w:t>
      </w:r>
      <w:r w:rsidRPr="009C0D07">
        <w:rPr>
          <w:rFonts w:ascii="Palatino Linotype" w:eastAsia="Calibri" w:hAnsi="Palatino Linotype" w:cs="Arial"/>
          <w:b/>
          <w:color w:val="000000" w:themeColor="text1"/>
          <w:lang w:val="es-ES"/>
        </w:rPr>
        <w:t>(SAIMEX).</w:t>
      </w:r>
    </w:p>
    <w:p w14:paraId="477BA272" w14:textId="77777777" w:rsidR="00826130" w:rsidRPr="009C0D07" w:rsidRDefault="00826130" w:rsidP="00826130">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FD67B37" w14:textId="2995BBB0" w:rsidR="000C02ED" w:rsidRPr="009C0D07" w:rsidRDefault="00770B33" w:rsidP="0082613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C0D07">
        <w:rPr>
          <w:rFonts w:ascii="Palatino Linotype" w:eastAsia="Calibri" w:hAnsi="Palatino Linotype" w:cs="Arial"/>
          <w:lang w:val="es-AR"/>
        </w:rPr>
        <w:t xml:space="preserve">El día </w:t>
      </w:r>
      <w:r w:rsidR="00864B40" w:rsidRPr="009C0D07">
        <w:rPr>
          <w:rFonts w:ascii="Palatino Linotype" w:eastAsia="Calibri" w:hAnsi="Palatino Linotype" w:cs="Arial"/>
          <w:lang w:val="es-AR"/>
        </w:rPr>
        <w:t>once</w:t>
      </w:r>
      <w:r w:rsidR="00A34054" w:rsidRPr="009C0D07">
        <w:rPr>
          <w:rFonts w:ascii="Palatino Linotype" w:eastAsia="Calibri" w:hAnsi="Palatino Linotype" w:cs="Arial"/>
          <w:lang w:val="es-AR"/>
        </w:rPr>
        <w:t xml:space="preserve"> </w:t>
      </w:r>
      <w:r w:rsidRPr="009C0D07">
        <w:rPr>
          <w:rFonts w:ascii="Palatino Linotype" w:eastAsia="Calibri" w:hAnsi="Palatino Linotype" w:cs="Arial"/>
          <w:lang w:val="es-AR"/>
        </w:rPr>
        <w:t>(</w:t>
      </w:r>
      <w:r w:rsidR="00864B40" w:rsidRPr="009C0D07">
        <w:rPr>
          <w:rFonts w:ascii="Palatino Linotype" w:eastAsia="Calibri" w:hAnsi="Palatino Linotype" w:cs="Arial"/>
          <w:lang w:val="es-AR"/>
        </w:rPr>
        <w:t>11</w:t>
      </w:r>
      <w:r w:rsidR="00D549D9" w:rsidRPr="009C0D07">
        <w:rPr>
          <w:rFonts w:ascii="Palatino Linotype" w:eastAsia="Calibri" w:hAnsi="Palatino Linotype" w:cs="Arial"/>
          <w:lang w:val="es-AR"/>
        </w:rPr>
        <w:t>)</w:t>
      </w:r>
      <w:r w:rsidRPr="009C0D07">
        <w:rPr>
          <w:rFonts w:ascii="Palatino Linotype" w:hAnsi="Palatino Linotype"/>
          <w:i/>
        </w:rPr>
        <w:t xml:space="preserve"> </w:t>
      </w:r>
      <w:r w:rsidRPr="009C0D07">
        <w:rPr>
          <w:rFonts w:ascii="Palatino Linotype" w:hAnsi="Palatino Linotype"/>
        </w:rPr>
        <w:t xml:space="preserve">de </w:t>
      </w:r>
      <w:r w:rsidR="00864B40" w:rsidRPr="009C0D07">
        <w:rPr>
          <w:rFonts w:ascii="Palatino Linotype" w:hAnsi="Palatino Linotype"/>
        </w:rPr>
        <w:t>noviembre</w:t>
      </w:r>
      <w:r w:rsidRPr="009C0D07">
        <w:rPr>
          <w:rFonts w:ascii="Palatino Linotype" w:hAnsi="Palatino Linotype"/>
        </w:rPr>
        <w:t xml:space="preserve"> de </w:t>
      </w:r>
      <w:r w:rsidR="00E91B4E" w:rsidRPr="009C0D07">
        <w:rPr>
          <w:rFonts w:ascii="Palatino Linotype" w:hAnsi="Palatino Linotype"/>
        </w:rPr>
        <w:t>dos mil diecinueve</w:t>
      </w:r>
      <w:r w:rsidRPr="009C0D07">
        <w:rPr>
          <w:rFonts w:ascii="Palatino Linotype" w:eastAsia="Times New Roman" w:hAnsi="Palatino Linotype" w:cs="Arial"/>
          <w:lang w:val="es-ES"/>
        </w:rPr>
        <w:t xml:space="preserve">, el </w:t>
      </w:r>
      <w:r w:rsidRPr="009C0D07">
        <w:rPr>
          <w:rFonts w:ascii="Palatino Linotype" w:eastAsia="Times New Roman" w:hAnsi="Palatino Linotype" w:cs="Arial"/>
          <w:b/>
          <w:lang w:val="es-ES"/>
        </w:rPr>
        <w:t xml:space="preserve">SUJETO OBLIGADO </w:t>
      </w:r>
      <w:r w:rsidR="00864B40" w:rsidRPr="009C0D07">
        <w:rPr>
          <w:rFonts w:ascii="Palatino Linotype" w:eastAsia="Times New Roman" w:hAnsi="Palatino Linotype" w:cs="Arial"/>
          <w:lang w:val="es-ES"/>
        </w:rPr>
        <w:t>hizo del conocimiento del particular que</w:t>
      </w:r>
      <w:r w:rsidR="000C02ED" w:rsidRPr="009C0D07">
        <w:rPr>
          <w:rFonts w:ascii="Palatino Linotype" w:eastAsia="Times New Roman" w:hAnsi="Palatino Linotype" w:cs="Arial"/>
          <w:lang w:val="es-ES"/>
        </w:rPr>
        <w:t xml:space="preserve"> el plazo de 15 días hábiles para atender la solicitud de información había sido prorrogado por siete días más</w:t>
      </w:r>
      <w:r w:rsidR="00405138" w:rsidRPr="009C0D07">
        <w:rPr>
          <w:rFonts w:ascii="Palatino Linotype" w:eastAsia="Times New Roman" w:hAnsi="Palatino Linotype" w:cs="Arial"/>
          <w:lang w:val="es-ES"/>
        </w:rPr>
        <w:t>,</w:t>
      </w:r>
      <w:r w:rsidR="000C02ED" w:rsidRPr="009C0D07">
        <w:rPr>
          <w:rFonts w:ascii="Palatino Linotype" w:eastAsia="Times New Roman" w:hAnsi="Palatino Linotype" w:cs="Arial"/>
          <w:lang w:val="es-ES"/>
        </w:rPr>
        <w:t xml:space="preserve"> argumentando lo siguiente: “</w:t>
      </w:r>
      <w:r w:rsidR="000C02ED" w:rsidRPr="009C0D07">
        <w:rPr>
          <w:rFonts w:ascii="Palatino Linotype" w:hAnsi="Palatino Linotype"/>
          <w:i/>
          <w:color w:val="000000"/>
        </w:rPr>
        <w:t>Se aprueba prórroga por medio del Comité de Transparencia</w:t>
      </w:r>
      <w:r w:rsidR="000C02ED" w:rsidRPr="009C0D07">
        <w:rPr>
          <w:rFonts w:ascii="Palatino Linotype" w:eastAsia="Times New Roman" w:hAnsi="Palatino Linotype" w:cs="Arial"/>
          <w:lang w:val="es-ES"/>
        </w:rPr>
        <w:t>”</w:t>
      </w:r>
    </w:p>
    <w:p w14:paraId="0D46D129" w14:textId="77777777" w:rsidR="00864B40" w:rsidRPr="009C0D07" w:rsidRDefault="00864B40" w:rsidP="00405138">
      <w:pPr>
        <w:pStyle w:val="Prrafodelista"/>
        <w:ind w:left="0"/>
        <w:rPr>
          <w:rFonts w:ascii="Palatino Linotype" w:eastAsia="Times New Roman" w:hAnsi="Palatino Linotype" w:cs="Arial"/>
          <w:color w:val="000000" w:themeColor="text1"/>
          <w:lang w:val="es-ES"/>
        </w:rPr>
      </w:pPr>
    </w:p>
    <w:p w14:paraId="651CDEF1" w14:textId="23332499" w:rsidR="00FF36E1" w:rsidRPr="009C0D07" w:rsidRDefault="000C02ED" w:rsidP="0082613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C0D07">
        <w:rPr>
          <w:rFonts w:ascii="Palatino Linotype" w:eastAsia="Calibri" w:hAnsi="Palatino Linotype" w:cs="Arial"/>
          <w:lang w:val="es-AR"/>
        </w:rPr>
        <w:t>El día veintiuno (21)</w:t>
      </w:r>
      <w:r w:rsidRPr="009C0D07">
        <w:rPr>
          <w:rFonts w:ascii="Palatino Linotype" w:hAnsi="Palatino Linotype"/>
          <w:i/>
        </w:rPr>
        <w:t xml:space="preserve"> </w:t>
      </w:r>
      <w:r w:rsidRPr="009C0D07">
        <w:rPr>
          <w:rFonts w:ascii="Palatino Linotype" w:hAnsi="Palatino Linotype"/>
        </w:rPr>
        <w:t>de noviembre de dos mil diecinueve</w:t>
      </w:r>
      <w:r w:rsidRPr="009C0D07">
        <w:rPr>
          <w:rFonts w:ascii="Palatino Linotype" w:eastAsia="Times New Roman" w:hAnsi="Palatino Linotype" w:cs="Arial"/>
          <w:lang w:val="es-ES"/>
        </w:rPr>
        <w:t xml:space="preserve">, el </w:t>
      </w:r>
      <w:r w:rsidRPr="009C0D07">
        <w:rPr>
          <w:rFonts w:ascii="Palatino Linotype" w:eastAsia="Times New Roman" w:hAnsi="Palatino Linotype" w:cs="Arial"/>
          <w:b/>
          <w:lang w:val="es-ES"/>
        </w:rPr>
        <w:t xml:space="preserve">SUJETO OBLIGADO </w:t>
      </w:r>
      <w:r w:rsidR="00B90D3C" w:rsidRPr="009C0D07">
        <w:rPr>
          <w:rFonts w:ascii="Palatino Linotype" w:eastAsia="Times New Roman" w:hAnsi="Palatino Linotype" w:cs="Arial"/>
          <w:color w:val="000000" w:themeColor="text1"/>
          <w:lang w:val="es-ES"/>
        </w:rPr>
        <w:t>respondi</w:t>
      </w:r>
      <w:r w:rsidR="00EB1460" w:rsidRPr="009C0D07">
        <w:rPr>
          <w:rFonts w:ascii="Palatino Linotype" w:eastAsia="Times New Roman" w:hAnsi="Palatino Linotype" w:cs="Arial"/>
          <w:color w:val="000000" w:themeColor="text1"/>
          <w:lang w:val="es-ES"/>
        </w:rPr>
        <w:t>ó a la solicitud de información</w:t>
      </w:r>
      <w:r w:rsidR="00FF36E1" w:rsidRPr="009C0D07">
        <w:rPr>
          <w:rFonts w:ascii="Palatino Linotype" w:eastAsia="Times New Roman" w:hAnsi="Palatino Linotype" w:cs="Arial"/>
          <w:color w:val="000000" w:themeColor="text1"/>
          <w:lang w:val="es-ES"/>
        </w:rPr>
        <w:t xml:space="preserve"> en los términos siguientes:</w:t>
      </w:r>
    </w:p>
    <w:p w14:paraId="0D7299E0" w14:textId="0FBA4A46" w:rsidR="001C1147" w:rsidRPr="009C0D07" w:rsidRDefault="001C1147" w:rsidP="000C02ED">
      <w:pPr>
        <w:pStyle w:val="Prrafodelista"/>
        <w:ind w:left="0"/>
        <w:rPr>
          <w:rFonts w:ascii="Palatino Linotype" w:eastAsia="Times New Roman" w:hAnsi="Palatino Linotype" w:cs="Arial"/>
          <w:color w:val="000000" w:themeColor="text1"/>
          <w:lang w:val="es-ES"/>
        </w:rPr>
      </w:pPr>
    </w:p>
    <w:p w14:paraId="330BEF42" w14:textId="2B3CD725" w:rsidR="00FF36E1" w:rsidRPr="009C0D07" w:rsidRDefault="001C1147" w:rsidP="004B2AFF">
      <w:pPr>
        <w:pStyle w:val="Prrafodelista"/>
        <w:spacing w:line="360" w:lineRule="auto"/>
        <w:ind w:left="567" w:right="567"/>
        <w:jc w:val="both"/>
        <w:rPr>
          <w:rFonts w:ascii="Palatino Linotype" w:eastAsia="Times New Roman" w:hAnsi="Palatino Linotype" w:cs="Times New Roman"/>
          <w:i/>
          <w:sz w:val="22"/>
          <w:szCs w:val="22"/>
          <w:lang w:val="es-MX" w:eastAsia="es-MX"/>
        </w:rPr>
      </w:pPr>
      <w:r w:rsidRPr="009C0D07">
        <w:rPr>
          <w:rFonts w:ascii="Palatino Linotype" w:hAnsi="Palatino Linotype"/>
          <w:i/>
          <w:color w:val="000000"/>
          <w:sz w:val="22"/>
          <w:szCs w:val="22"/>
        </w:rPr>
        <w:t>“</w:t>
      </w:r>
      <w:r w:rsidR="000C02ED" w:rsidRPr="009C0D07">
        <w:rPr>
          <w:rFonts w:ascii="Palatino Linotype" w:hAnsi="Palatino Linotype"/>
          <w:i/>
          <w:color w:val="000000"/>
          <w:sz w:val="22"/>
          <w:szCs w:val="22"/>
        </w:rPr>
        <w:t>SE ANEXA RESPUESTA SE ANEXA RESPUESTA SE ANEXA RESPUESTA SE ANEXA RESPUESTA SE ANEXA RESPUESTA SE ANEXA RESPUESTA</w:t>
      </w:r>
      <w:r w:rsidR="00FF36E1" w:rsidRPr="009C0D07">
        <w:rPr>
          <w:rFonts w:ascii="Palatino Linotype" w:eastAsia="Times New Roman" w:hAnsi="Palatino Linotype" w:cs="Times New Roman"/>
          <w:i/>
          <w:sz w:val="22"/>
          <w:szCs w:val="22"/>
          <w:lang w:val="es-MX" w:eastAsia="es-MX"/>
        </w:rPr>
        <w:t>.”</w:t>
      </w:r>
      <w:r w:rsidR="000C02ED" w:rsidRPr="009C0D07">
        <w:rPr>
          <w:rFonts w:ascii="Palatino Linotype" w:eastAsia="Times New Roman" w:hAnsi="Palatino Linotype" w:cs="Times New Roman"/>
          <w:i/>
          <w:sz w:val="22"/>
          <w:szCs w:val="22"/>
          <w:lang w:val="es-MX" w:eastAsia="es-MX"/>
        </w:rPr>
        <w:t>(Sic)</w:t>
      </w:r>
    </w:p>
    <w:p w14:paraId="5D9C6FA0" w14:textId="50D210A4" w:rsidR="00826130" w:rsidRPr="009C0D07" w:rsidRDefault="00826130" w:rsidP="00E057B0">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2D37559" w14:textId="231AA204" w:rsidR="00EF71D8" w:rsidRPr="009C0D07" w:rsidRDefault="000C02ED" w:rsidP="00EF71D8">
      <w:pPr>
        <w:pStyle w:val="Prrafodelista"/>
        <w:numPr>
          <w:ilvl w:val="0"/>
          <w:numId w:val="1"/>
        </w:numPr>
        <w:tabs>
          <w:tab w:val="left" w:pos="426"/>
          <w:tab w:val="left" w:pos="567"/>
        </w:tabs>
        <w:spacing w:line="360" w:lineRule="auto"/>
        <w:ind w:left="0" w:firstLine="0"/>
        <w:jc w:val="both"/>
        <w:rPr>
          <w:rFonts w:ascii="Palatino Linotype" w:hAnsi="Palatino Linotype" w:cs="Arial"/>
          <w:i/>
          <w:color w:val="000000" w:themeColor="text1"/>
        </w:rPr>
      </w:pPr>
      <w:r w:rsidRPr="009C0D07">
        <w:rPr>
          <w:rFonts w:ascii="Palatino Linotype" w:hAnsi="Palatino Linotype" w:cs="Arial"/>
          <w:color w:val="000000" w:themeColor="text1"/>
        </w:rPr>
        <w:t>A su respuesta anexó los archivos electrónicos “</w:t>
      </w:r>
      <w:hyperlink r:id="rId8" w:tgtFrame="_blank" w:history="1">
        <w:r w:rsidRPr="009C0D07">
          <w:rPr>
            <w:rStyle w:val="Hipervnculo"/>
            <w:rFonts w:ascii="Palatino Linotype" w:hAnsi="Palatino Linotype" w:cs="Arial"/>
            <w:b/>
            <w:bCs/>
            <w:i/>
            <w:color w:val="000000" w:themeColor="text1"/>
            <w:u w:val="none"/>
          </w:rPr>
          <w:t>837-3347-2019.pdf</w:t>
        </w:r>
      </w:hyperlink>
      <w:r w:rsidRPr="009C0D07">
        <w:rPr>
          <w:rFonts w:ascii="Palatino Linotype" w:hAnsi="Palatino Linotype" w:cs="Arial"/>
          <w:b/>
          <w:bCs/>
          <w:i/>
          <w:color w:val="000000" w:themeColor="text1"/>
        </w:rPr>
        <w:t xml:space="preserve">, </w:t>
      </w:r>
      <w:hyperlink r:id="rId9" w:tgtFrame="_blank" w:history="1">
        <w:r w:rsidRPr="009C0D07">
          <w:rPr>
            <w:rStyle w:val="Hipervnculo"/>
            <w:rFonts w:ascii="Palatino Linotype" w:hAnsi="Palatino Linotype" w:cs="Arial"/>
            <w:b/>
            <w:bCs/>
            <w:i/>
            <w:color w:val="000000" w:themeColor="text1"/>
            <w:u w:val="none"/>
          </w:rPr>
          <w:t>837-3347-2019.pdf</w:t>
        </w:r>
      </w:hyperlink>
      <w:r w:rsidRPr="009C0D07">
        <w:rPr>
          <w:rFonts w:ascii="Palatino Linotype" w:hAnsi="Palatino Linotype" w:cs="Arial"/>
          <w:b/>
          <w:bCs/>
          <w:i/>
          <w:color w:val="000000" w:themeColor="text1"/>
        </w:rPr>
        <w:t xml:space="preserve">, </w:t>
      </w:r>
      <w:hyperlink r:id="rId10" w:tgtFrame="_blank" w:history="1">
        <w:r w:rsidRPr="009C0D07">
          <w:rPr>
            <w:rStyle w:val="Hipervnculo"/>
            <w:rFonts w:ascii="Palatino Linotype" w:hAnsi="Palatino Linotype" w:cs="Arial"/>
            <w:b/>
            <w:bCs/>
            <w:i/>
            <w:color w:val="000000" w:themeColor="text1"/>
            <w:u w:val="none"/>
          </w:rPr>
          <w:t>837-3347-2019.pdf</w:t>
        </w:r>
      </w:hyperlink>
      <w:r w:rsidRPr="009C0D07">
        <w:rPr>
          <w:rFonts w:ascii="Palatino Linotype" w:hAnsi="Palatino Linotype" w:cs="Arial"/>
          <w:b/>
          <w:bCs/>
          <w:i/>
          <w:color w:val="000000" w:themeColor="text1"/>
        </w:rPr>
        <w:t xml:space="preserve">, </w:t>
      </w:r>
      <w:hyperlink r:id="rId11" w:tgtFrame="_blank" w:history="1">
        <w:r w:rsidRPr="009C0D07">
          <w:rPr>
            <w:rStyle w:val="Hipervnculo"/>
            <w:rFonts w:ascii="Palatino Linotype" w:hAnsi="Palatino Linotype" w:cs="Arial"/>
            <w:b/>
            <w:bCs/>
            <w:i/>
            <w:color w:val="000000" w:themeColor="text1"/>
            <w:u w:val="none"/>
          </w:rPr>
          <w:t>837-3347-2019.pdf</w:t>
        </w:r>
      </w:hyperlink>
      <w:r w:rsidRPr="009C0D07">
        <w:rPr>
          <w:rFonts w:ascii="Palatino Linotype" w:hAnsi="Palatino Linotype" w:cs="Arial"/>
          <w:b/>
          <w:bCs/>
          <w:i/>
          <w:color w:val="000000" w:themeColor="text1"/>
        </w:rPr>
        <w:t xml:space="preserve">, </w:t>
      </w:r>
      <w:hyperlink r:id="rId12" w:tgtFrame="_blank" w:history="1">
        <w:r w:rsidRPr="009C0D07">
          <w:rPr>
            <w:rStyle w:val="Hipervnculo"/>
            <w:rFonts w:ascii="Palatino Linotype" w:hAnsi="Palatino Linotype" w:cs="Arial"/>
            <w:b/>
            <w:bCs/>
            <w:i/>
            <w:color w:val="000000" w:themeColor="text1"/>
            <w:u w:val="none"/>
          </w:rPr>
          <w:t>837-3347-2019.pdf</w:t>
        </w:r>
      </w:hyperlink>
      <w:r w:rsidRPr="009C0D07">
        <w:rPr>
          <w:rFonts w:ascii="Palatino Linotype" w:hAnsi="Palatino Linotype" w:cs="Arial"/>
          <w:b/>
          <w:bCs/>
          <w:i/>
          <w:color w:val="000000" w:themeColor="text1"/>
        </w:rPr>
        <w:t xml:space="preserve">, </w:t>
      </w:r>
      <w:hyperlink r:id="rId13" w:tgtFrame="_blank" w:history="1">
        <w:r w:rsidRPr="009C0D07">
          <w:rPr>
            <w:rStyle w:val="Hipervnculo"/>
            <w:rFonts w:ascii="Palatino Linotype" w:hAnsi="Palatino Linotype" w:cs="Arial"/>
            <w:b/>
            <w:bCs/>
            <w:i/>
            <w:color w:val="000000" w:themeColor="text1"/>
            <w:u w:val="none"/>
          </w:rPr>
          <w:t>837-3347-2019.pdf</w:t>
        </w:r>
      </w:hyperlink>
      <w:r w:rsidR="00941AE7" w:rsidRPr="009C0D07">
        <w:rPr>
          <w:rFonts w:ascii="Palatino Linotype" w:hAnsi="Palatino Linotype"/>
          <w:b/>
          <w:i/>
          <w:color w:val="000000" w:themeColor="text1"/>
        </w:rPr>
        <w:t xml:space="preserve">”, </w:t>
      </w:r>
      <w:r w:rsidR="00EF71D8" w:rsidRPr="009C0D07">
        <w:rPr>
          <w:rFonts w:ascii="Palatino Linotype" w:hAnsi="Palatino Linotype"/>
          <w:color w:val="000000" w:themeColor="text1"/>
        </w:rPr>
        <w:t xml:space="preserve">en </w:t>
      </w:r>
      <w:r w:rsidR="00941AE7" w:rsidRPr="009C0D07">
        <w:rPr>
          <w:rFonts w:ascii="Palatino Linotype" w:hAnsi="Palatino Linotype"/>
          <w:color w:val="000000" w:themeColor="text1"/>
        </w:rPr>
        <w:t xml:space="preserve">cuyo contenido se aprecia el mismo documento, </w:t>
      </w:r>
      <w:r w:rsidR="00EF71D8" w:rsidRPr="009C0D07">
        <w:rPr>
          <w:rFonts w:ascii="Palatino Linotype" w:hAnsi="Palatino Linotype"/>
          <w:color w:val="000000" w:themeColor="text1"/>
        </w:rPr>
        <w:t xml:space="preserve">mismo que ya es del conocimiento de las partes, </w:t>
      </w:r>
      <w:r w:rsidR="00941AE7" w:rsidRPr="009C0D07">
        <w:rPr>
          <w:rFonts w:ascii="Palatino Linotype" w:hAnsi="Palatino Linotype"/>
          <w:color w:val="000000" w:themeColor="text1"/>
        </w:rPr>
        <w:t xml:space="preserve">sin </w:t>
      </w:r>
      <w:r w:rsidR="00546084" w:rsidRPr="009C0D07">
        <w:rPr>
          <w:rFonts w:ascii="Palatino Linotype" w:hAnsi="Palatino Linotype"/>
          <w:color w:val="000000" w:themeColor="text1"/>
        </w:rPr>
        <w:t>embargo</w:t>
      </w:r>
      <w:r w:rsidR="00941AE7" w:rsidRPr="009C0D07">
        <w:rPr>
          <w:rFonts w:ascii="Palatino Linotype" w:hAnsi="Palatino Linotype"/>
          <w:color w:val="000000" w:themeColor="text1"/>
        </w:rPr>
        <w:t xml:space="preserve"> </w:t>
      </w:r>
      <w:r w:rsidR="00236932" w:rsidRPr="009C0D07">
        <w:rPr>
          <w:rFonts w:ascii="Palatino Linotype" w:hAnsi="Palatino Linotype"/>
          <w:color w:val="000000" w:themeColor="text1"/>
        </w:rPr>
        <w:t xml:space="preserve">a fin de que no exista opacidad </w:t>
      </w:r>
      <w:r w:rsidR="00EF71D8" w:rsidRPr="009C0D07">
        <w:rPr>
          <w:rFonts w:ascii="Palatino Linotype" w:hAnsi="Palatino Linotype"/>
          <w:color w:val="000000" w:themeColor="text1"/>
        </w:rPr>
        <w:t>se inserta un extracto a continuación:</w:t>
      </w:r>
    </w:p>
    <w:p w14:paraId="7549B54A" w14:textId="42BEA783" w:rsidR="00EF71D8" w:rsidRPr="009C0D07" w:rsidRDefault="00405138" w:rsidP="00405138">
      <w:pPr>
        <w:pStyle w:val="Prrafodelista"/>
        <w:tabs>
          <w:tab w:val="left" w:pos="426"/>
          <w:tab w:val="left" w:pos="567"/>
        </w:tabs>
        <w:spacing w:line="360" w:lineRule="auto"/>
        <w:ind w:left="567"/>
        <w:jc w:val="both"/>
        <w:rPr>
          <w:rFonts w:ascii="Palatino Linotype" w:hAnsi="Palatino Linotype" w:cs="Arial"/>
          <w:color w:val="000000" w:themeColor="text1"/>
        </w:rPr>
      </w:pPr>
      <w:r w:rsidRPr="009C0D07">
        <w:rPr>
          <w:rFonts w:ascii="Palatino Linotype" w:hAnsi="Palatino Linotype" w:cs="Arial"/>
          <w:noProof/>
          <w:color w:val="000000" w:themeColor="text1"/>
          <w:lang w:val="es-MX" w:eastAsia="es-MX"/>
        </w:rPr>
        <w:drawing>
          <wp:inline distT="0" distB="0" distL="0" distR="0" wp14:anchorId="01ECCE0C" wp14:editId="632A973C">
            <wp:extent cx="4686300" cy="19144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902"/>
                    <a:stretch/>
                  </pic:blipFill>
                  <pic:spPr bwMode="auto">
                    <a:xfrm>
                      <a:off x="0" y="0"/>
                      <a:ext cx="4697363" cy="1918960"/>
                    </a:xfrm>
                    <a:prstGeom prst="rect">
                      <a:avLst/>
                    </a:prstGeom>
                    <a:noFill/>
                    <a:ln>
                      <a:noFill/>
                    </a:ln>
                    <a:extLst>
                      <a:ext uri="{53640926-AAD7-44D8-BBD7-CCE9431645EC}">
                        <a14:shadowObscured xmlns:a14="http://schemas.microsoft.com/office/drawing/2010/main"/>
                      </a:ext>
                    </a:extLst>
                  </pic:spPr>
                </pic:pic>
              </a:graphicData>
            </a:graphic>
          </wp:inline>
        </w:drawing>
      </w:r>
    </w:p>
    <w:p w14:paraId="1183854C" w14:textId="77777777" w:rsidR="000C02ED" w:rsidRPr="009C0D07" w:rsidRDefault="000C02ED" w:rsidP="000C02ED">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6A75EFD5" w:rsidR="00F34201" w:rsidRPr="009C0D07"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9C0D07">
        <w:rPr>
          <w:rFonts w:ascii="Palatino Linotype" w:eastAsia="Times New Roman" w:hAnsi="Palatino Linotype" w:cs="Arial"/>
          <w:lang w:val="es-ES"/>
        </w:rPr>
        <w:lastRenderedPageBreak/>
        <w:t xml:space="preserve">El día </w:t>
      </w:r>
      <w:r w:rsidR="001C1147" w:rsidRPr="009C0D07">
        <w:rPr>
          <w:rFonts w:ascii="Palatino Linotype" w:eastAsia="Times New Roman" w:hAnsi="Palatino Linotype" w:cs="Arial"/>
          <w:lang w:val="es-ES"/>
        </w:rPr>
        <w:t>veintiocho</w:t>
      </w:r>
      <w:r w:rsidR="00280260" w:rsidRPr="009C0D07">
        <w:rPr>
          <w:rFonts w:ascii="Palatino Linotype" w:eastAsia="Times New Roman" w:hAnsi="Palatino Linotype" w:cs="Arial"/>
          <w:lang w:val="es-ES"/>
        </w:rPr>
        <w:t xml:space="preserve"> </w:t>
      </w:r>
      <w:r w:rsidR="00E239DF" w:rsidRPr="009C0D07">
        <w:rPr>
          <w:rFonts w:ascii="Palatino Linotype" w:eastAsia="Times New Roman" w:hAnsi="Palatino Linotype" w:cs="Arial"/>
          <w:lang w:val="es-ES"/>
        </w:rPr>
        <w:t>(</w:t>
      </w:r>
      <w:r w:rsidR="001C1147" w:rsidRPr="009C0D07">
        <w:rPr>
          <w:rFonts w:ascii="Palatino Linotype" w:eastAsia="Times New Roman" w:hAnsi="Palatino Linotype" w:cs="Arial"/>
          <w:lang w:val="es-ES"/>
        </w:rPr>
        <w:t>28</w:t>
      </w:r>
      <w:r w:rsidR="00E239DF" w:rsidRPr="009C0D07">
        <w:rPr>
          <w:rFonts w:ascii="Palatino Linotype" w:eastAsia="Times New Roman" w:hAnsi="Palatino Linotype" w:cs="Arial"/>
          <w:lang w:val="es-ES"/>
        </w:rPr>
        <w:t xml:space="preserve">) de </w:t>
      </w:r>
      <w:r w:rsidR="004B2AFF" w:rsidRPr="009C0D07">
        <w:rPr>
          <w:rFonts w:ascii="Palatino Linotype" w:eastAsia="Times New Roman" w:hAnsi="Palatino Linotype" w:cs="Arial"/>
          <w:lang w:val="es-ES"/>
        </w:rPr>
        <w:t>octubre</w:t>
      </w:r>
      <w:r w:rsidR="00DC6FF3" w:rsidRPr="009C0D07">
        <w:rPr>
          <w:rFonts w:ascii="Palatino Linotype" w:eastAsia="Times New Roman" w:hAnsi="Palatino Linotype" w:cs="Arial"/>
          <w:lang w:val="es-ES"/>
        </w:rPr>
        <w:t xml:space="preserve"> </w:t>
      </w:r>
      <w:r w:rsidR="00E239DF" w:rsidRPr="009C0D07">
        <w:rPr>
          <w:rFonts w:ascii="Palatino Linotype" w:eastAsia="Times New Roman" w:hAnsi="Palatino Linotype" w:cs="Arial"/>
          <w:lang w:val="es-ES"/>
        </w:rPr>
        <w:t xml:space="preserve">de </w:t>
      </w:r>
      <w:r w:rsidR="00E91B4E" w:rsidRPr="009C0D07">
        <w:rPr>
          <w:rFonts w:ascii="Palatino Linotype" w:eastAsia="Times New Roman" w:hAnsi="Palatino Linotype" w:cs="Arial"/>
          <w:lang w:val="es-ES"/>
        </w:rPr>
        <w:t>dos mil diecinueve</w:t>
      </w:r>
      <w:r w:rsidRPr="009C0D07">
        <w:rPr>
          <w:rFonts w:ascii="Palatino Linotype" w:eastAsia="Times New Roman" w:hAnsi="Palatino Linotype" w:cs="Arial"/>
          <w:lang w:val="es-ES"/>
        </w:rPr>
        <w:t xml:space="preserve">, en tiempo y forma </w:t>
      </w:r>
      <w:r w:rsidR="00797148" w:rsidRPr="009C0D07">
        <w:rPr>
          <w:rFonts w:ascii="Palatino Linotype" w:hAnsi="Palatino Linotype"/>
          <w:color w:val="000000"/>
        </w:rPr>
        <w:t>se</w:t>
      </w:r>
      <w:r w:rsidR="00C15336" w:rsidRPr="009C0D07">
        <w:rPr>
          <w:rFonts w:ascii="Palatino Linotype" w:hAnsi="Palatino Linotype"/>
          <w:color w:val="000000"/>
        </w:rPr>
        <w:t xml:space="preserve"> </w:t>
      </w:r>
      <w:r w:rsidRPr="009C0D07">
        <w:rPr>
          <w:rFonts w:ascii="Palatino Linotype" w:eastAsia="Times New Roman" w:hAnsi="Palatino Linotype" w:cs="Arial"/>
          <w:lang w:val="es-ES"/>
        </w:rPr>
        <w:t xml:space="preserve">interpuso el recurso de revisión, en contra de la respuesta </w:t>
      </w:r>
      <w:r w:rsidR="00826130" w:rsidRPr="009C0D07">
        <w:rPr>
          <w:rFonts w:ascii="Palatino Linotype" w:eastAsia="Times New Roman" w:hAnsi="Palatino Linotype" w:cs="Arial"/>
          <w:lang w:val="es-ES"/>
        </w:rPr>
        <w:t xml:space="preserve">emitida por el </w:t>
      </w:r>
      <w:r w:rsidR="00826130" w:rsidRPr="009C0D07">
        <w:rPr>
          <w:rFonts w:ascii="Palatino Linotype" w:eastAsia="Times New Roman" w:hAnsi="Palatino Linotype" w:cs="Arial"/>
          <w:b/>
          <w:lang w:val="es-ES"/>
        </w:rPr>
        <w:t>SUJETO OBLIGADO</w:t>
      </w:r>
      <w:r w:rsidRPr="009C0D07">
        <w:rPr>
          <w:rFonts w:ascii="Palatino Linotype" w:eastAsia="Times New Roman" w:hAnsi="Palatino Linotype" w:cs="Arial"/>
          <w:lang w:val="es-ES"/>
        </w:rPr>
        <w:t>, señalando como:</w:t>
      </w:r>
    </w:p>
    <w:p w14:paraId="5D195D9E" w14:textId="77777777" w:rsidR="00C15336" w:rsidRPr="009C0D07" w:rsidRDefault="00C15336" w:rsidP="00950808">
      <w:pPr>
        <w:pStyle w:val="Prrafodelista"/>
        <w:tabs>
          <w:tab w:val="left" w:pos="567"/>
        </w:tabs>
        <w:spacing w:line="360" w:lineRule="auto"/>
        <w:ind w:left="0" w:right="567"/>
        <w:jc w:val="both"/>
        <w:rPr>
          <w:rFonts w:ascii="Palatino Linotype" w:hAnsi="Palatino Linotype"/>
        </w:rPr>
      </w:pPr>
    </w:p>
    <w:p w14:paraId="59970600" w14:textId="2E8B0E34" w:rsidR="00F34201" w:rsidRPr="009C0D07" w:rsidRDefault="006711DB" w:rsidP="00950808">
      <w:pPr>
        <w:spacing w:line="360" w:lineRule="auto"/>
        <w:ind w:left="567" w:right="567"/>
        <w:jc w:val="both"/>
        <w:rPr>
          <w:rFonts w:ascii="Palatino Linotype" w:eastAsia="Calibri" w:hAnsi="Palatino Linotype" w:cs="Arial"/>
          <w:i/>
          <w:sz w:val="22"/>
          <w:szCs w:val="22"/>
          <w:lang w:val="es-ES"/>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33192135"/>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Pr="009C0D07">
        <w:rPr>
          <w:rStyle w:val="Ttulo2Car"/>
          <w:color w:val="auto"/>
          <w:sz w:val="22"/>
          <w:szCs w:val="22"/>
          <w:lang w:val="es-ES"/>
        </w:rPr>
        <w:t xml:space="preserve">a) </w:t>
      </w:r>
      <w:r w:rsidR="00F34201" w:rsidRPr="009C0D07">
        <w:rPr>
          <w:rStyle w:val="Ttulo2Car"/>
          <w:color w:val="auto"/>
          <w:sz w:val="22"/>
          <w:szCs w:val="22"/>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9C0D07">
        <w:rPr>
          <w:rStyle w:val="Ttulo2Car"/>
          <w:color w:val="auto"/>
          <w:sz w:val="22"/>
          <w:szCs w:val="22"/>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0860" w:rsidRPr="009C0D07">
        <w:rPr>
          <w:rFonts w:ascii="Palatino Linotype" w:hAnsi="Palatino Linotype"/>
          <w:i/>
          <w:sz w:val="22"/>
          <w:szCs w:val="22"/>
        </w:rPr>
        <w:t>“</w:t>
      </w:r>
      <w:r w:rsidR="00530C99" w:rsidRPr="009C0D07">
        <w:rPr>
          <w:rFonts w:ascii="Palatino Linotype" w:hAnsi="Palatino Linotype"/>
          <w:i/>
          <w:color w:val="000000"/>
          <w:sz w:val="22"/>
          <w:szCs w:val="22"/>
        </w:rPr>
        <w:t>Pues el tesorero dio 7 respuestas iguales, que dicen no entregamos nada porque hay corrupción evidente y no les conviene y por ello no se atenderá la solicitud de información, porque no cumplen con la ley de transparencia del estado, a pesar de que el INFOEM ya resolvió la entrega de todo lo solicitado en todos los municipios</w:t>
      </w:r>
      <w:r w:rsidR="004B2AFF" w:rsidRPr="009C0D07">
        <w:rPr>
          <w:rFonts w:ascii="Palatino Linotype" w:hAnsi="Palatino Linotype"/>
          <w:i/>
          <w:color w:val="000000"/>
          <w:sz w:val="22"/>
          <w:szCs w:val="22"/>
        </w:rPr>
        <w:t>.</w:t>
      </w:r>
      <w:r w:rsidR="00451EB6" w:rsidRPr="009C0D07">
        <w:rPr>
          <w:rFonts w:ascii="Palatino Linotype" w:eastAsia="Times New Roman" w:hAnsi="Palatino Linotype" w:cs="Times New Roman"/>
          <w:i/>
          <w:sz w:val="22"/>
          <w:szCs w:val="22"/>
          <w:lang w:val="es-MX" w:eastAsia="es-MX"/>
        </w:rPr>
        <w:t>"</w:t>
      </w:r>
      <w:r w:rsidR="00451EB6" w:rsidRPr="009C0D07">
        <w:rPr>
          <w:rFonts w:ascii="Palatino Linotype" w:eastAsia="Calibri" w:hAnsi="Palatino Linotype" w:cs="Arial"/>
          <w:i/>
          <w:sz w:val="22"/>
          <w:szCs w:val="22"/>
          <w:lang w:val="es-ES"/>
        </w:rPr>
        <w:t xml:space="preserve"> </w:t>
      </w:r>
      <w:r w:rsidR="00AC6585" w:rsidRPr="009C0D07">
        <w:rPr>
          <w:rFonts w:ascii="Palatino Linotype" w:eastAsia="Calibri" w:hAnsi="Palatino Linotype" w:cs="Arial"/>
          <w:i/>
          <w:sz w:val="22"/>
          <w:szCs w:val="22"/>
          <w:lang w:val="es-ES"/>
        </w:rPr>
        <w:t>(Sic)</w:t>
      </w:r>
    </w:p>
    <w:p w14:paraId="49011773" w14:textId="77777777" w:rsidR="009F65DD" w:rsidRPr="009C0D07" w:rsidRDefault="009F65DD" w:rsidP="00950808">
      <w:pPr>
        <w:spacing w:line="360" w:lineRule="auto"/>
        <w:ind w:right="567"/>
        <w:jc w:val="both"/>
        <w:rPr>
          <w:rStyle w:val="Ttulo2Car"/>
          <w:b w:val="0"/>
          <w:color w:val="auto"/>
          <w:sz w:val="22"/>
          <w:szCs w:val="22"/>
          <w:lang w:val="es-ES"/>
        </w:rPr>
      </w:pPr>
    </w:p>
    <w:p w14:paraId="5DF021EB" w14:textId="5C176277" w:rsidR="00B33884" w:rsidRPr="009C0D07" w:rsidRDefault="006711DB" w:rsidP="00950808">
      <w:pPr>
        <w:spacing w:line="360" w:lineRule="auto"/>
        <w:ind w:left="567" w:right="567"/>
        <w:jc w:val="both"/>
        <w:rPr>
          <w:rFonts w:ascii="Palatino Linotype" w:hAnsi="Palatino Linotype"/>
          <w:i/>
          <w:color w:val="000000"/>
          <w:sz w:val="22"/>
          <w:szCs w:val="22"/>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33192136"/>
      <w:r w:rsidRPr="009C0D07">
        <w:rPr>
          <w:rStyle w:val="Ttulo2Car"/>
          <w:color w:val="auto"/>
          <w:sz w:val="22"/>
          <w:szCs w:val="22"/>
          <w:lang w:val="es-ES"/>
        </w:rPr>
        <w:t xml:space="preserve">b) </w:t>
      </w:r>
      <w:r w:rsidR="00F34201" w:rsidRPr="009C0D07">
        <w:rPr>
          <w:rStyle w:val="Ttulo2Car"/>
          <w:color w:val="auto"/>
          <w:sz w:val="22"/>
          <w:szCs w:val="22"/>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9C0D07">
        <w:rPr>
          <w:rFonts w:ascii="Palatino Linotype" w:hAnsi="Palatino Linotype"/>
          <w:sz w:val="22"/>
          <w:szCs w:val="22"/>
        </w:rPr>
        <w:t xml:space="preserve"> </w:t>
      </w:r>
      <w:r w:rsidR="00F34201" w:rsidRPr="009C0D07">
        <w:rPr>
          <w:rFonts w:ascii="Palatino Linotype" w:hAnsi="Palatino Linotype"/>
          <w:i/>
          <w:sz w:val="22"/>
          <w:szCs w:val="22"/>
        </w:rPr>
        <w:t>“</w:t>
      </w:r>
      <w:r w:rsidR="00530C99" w:rsidRPr="009C0D07">
        <w:rPr>
          <w:rFonts w:ascii="Palatino Linotype" w:hAnsi="Palatino Linotype"/>
          <w:i/>
          <w:color w:val="000000"/>
          <w:sz w:val="22"/>
          <w:szCs w:val="22"/>
        </w:rPr>
        <w:t xml:space="preserve">para vista de la contraloría </w:t>
      </w:r>
      <w:r w:rsidR="00950808" w:rsidRPr="009C0D07">
        <w:rPr>
          <w:rFonts w:ascii="Palatino Linotype" w:hAnsi="Palatino Linotype"/>
          <w:i/>
          <w:color w:val="000000"/>
          <w:sz w:val="22"/>
          <w:szCs w:val="22"/>
        </w:rPr>
        <w:t>"</w:t>
      </w:r>
      <w:r w:rsidR="00F34201" w:rsidRPr="009C0D07">
        <w:rPr>
          <w:rFonts w:ascii="Palatino Linotype" w:hAnsi="Palatino Linotype"/>
          <w:i/>
          <w:color w:val="000000"/>
          <w:sz w:val="22"/>
          <w:szCs w:val="22"/>
        </w:rPr>
        <w:t>(Sic)</w:t>
      </w:r>
    </w:p>
    <w:p w14:paraId="55E1E2F9" w14:textId="77777777" w:rsidR="005122A8" w:rsidRPr="009C0D07" w:rsidRDefault="005122A8" w:rsidP="00826AAA">
      <w:pPr>
        <w:pStyle w:val="Prrafodelista"/>
        <w:tabs>
          <w:tab w:val="left" w:pos="426"/>
          <w:tab w:val="left" w:pos="567"/>
        </w:tabs>
        <w:spacing w:line="360" w:lineRule="auto"/>
        <w:ind w:left="0"/>
        <w:jc w:val="both"/>
        <w:rPr>
          <w:b/>
          <w:color w:val="000000"/>
        </w:rPr>
      </w:pPr>
    </w:p>
    <w:p w14:paraId="6EAD69D3" w14:textId="0EC2B52E" w:rsidR="00F34201" w:rsidRPr="009C0D07"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C0D07">
        <w:rPr>
          <w:rFonts w:ascii="Palatino Linotype" w:eastAsia="Times New Roman" w:hAnsi="Palatino Linotype" w:cs="Arial"/>
          <w:lang w:val="es-ES"/>
        </w:rPr>
        <w:t xml:space="preserve">Se registró el recurso de revisión bajo el número de expediente </w:t>
      </w:r>
      <w:r w:rsidRPr="009C0D07">
        <w:rPr>
          <w:rFonts w:ascii="Palatino Linotype" w:hAnsi="Palatino Linotype" w:cs="Arial"/>
          <w:bCs/>
        </w:rPr>
        <w:t xml:space="preserve">al rubro indicado, así mismo con fundamento en lo dispuesto por el </w:t>
      </w:r>
      <w:r w:rsidRPr="009C0D07">
        <w:rPr>
          <w:rFonts w:ascii="Palatino Linotype" w:eastAsia="Calibri" w:hAnsi="Palatino Linotype" w:cs="Arial"/>
          <w:lang w:val="es-ES"/>
        </w:rPr>
        <w:t xml:space="preserve">artículo 185 fracción I de la </w:t>
      </w:r>
      <w:r w:rsidRPr="009C0D07">
        <w:rPr>
          <w:rFonts w:ascii="Palatino Linotype" w:eastAsia="Calibri" w:hAnsi="Palatino Linotype" w:cs="Arial"/>
          <w:b/>
          <w:lang w:val="es-ES"/>
        </w:rPr>
        <w:t xml:space="preserve">Ley de Transparencia y Acceso a la Información Pública del Estado de México y Municipios </w:t>
      </w:r>
      <w:r w:rsidRPr="009C0D07">
        <w:rPr>
          <w:rFonts w:ascii="Palatino Linotype" w:eastAsia="Times New Roman" w:hAnsi="Palatino Linotype" w:cs="Arial"/>
          <w:lang w:val="es-ES"/>
        </w:rPr>
        <w:t xml:space="preserve">se turnó al </w:t>
      </w:r>
      <w:r w:rsidRPr="009C0D07">
        <w:rPr>
          <w:rFonts w:ascii="Palatino Linotype" w:eastAsia="Times New Roman" w:hAnsi="Palatino Linotype" w:cs="Arial"/>
          <w:b/>
          <w:lang w:val="es-ES"/>
        </w:rPr>
        <w:t xml:space="preserve">Comisionado José Guadalupe Luna Hernández, </w:t>
      </w:r>
      <w:r w:rsidRPr="009C0D07">
        <w:rPr>
          <w:rFonts w:ascii="Palatino Linotype" w:eastAsia="Times New Roman" w:hAnsi="Palatino Linotype" w:cs="Arial"/>
          <w:lang w:val="es-ES"/>
        </w:rPr>
        <w:t xml:space="preserve">con el objeto de </w:t>
      </w:r>
      <w:r w:rsidRPr="009C0D07">
        <w:rPr>
          <w:rFonts w:ascii="Palatino Linotype" w:eastAsia="Times New Roman" w:hAnsi="Palatino Linotype" w:cs="Arial"/>
          <w:lang w:val="es-MX"/>
        </w:rPr>
        <w:t>su análisis.</w:t>
      </w:r>
    </w:p>
    <w:p w14:paraId="17513FB7" w14:textId="77777777" w:rsidR="003B7B65" w:rsidRPr="009C0D07"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3C9E0CA2" w14:textId="366B3237" w:rsidR="003B7B65" w:rsidRPr="009C0D07" w:rsidRDefault="00F34201" w:rsidP="007F5F5B">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C0D07">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1F14BE" w:rsidRPr="009C0D07">
        <w:rPr>
          <w:rFonts w:ascii="Palatino Linotype" w:eastAsia="Calibri" w:hAnsi="Palatino Linotype" w:cs="Arial"/>
          <w:lang w:val="es-ES"/>
        </w:rPr>
        <w:t xml:space="preserve">tres </w:t>
      </w:r>
      <w:r w:rsidRPr="009C0D07">
        <w:rPr>
          <w:rFonts w:ascii="Palatino Linotype" w:eastAsia="Calibri" w:hAnsi="Palatino Linotype" w:cs="Arial"/>
          <w:lang w:val="es-ES"/>
        </w:rPr>
        <w:t>(</w:t>
      </w:r>
      <w:r w:rsidR="002345B1" w:rsidRPr="009C0D07">
        <w:rPr>
          <w:rFonts w:ascii="Palatino Linotype" w:eastAsia="Calibri" w:hAnsi="Palatino Linotype" w:cs="Arial"/>
          <w:lang w:val="es-ES"/>
        </w:rPr>
        <w:t>0</w:t>
      </w:r>
      <w:r w:rsidR="001F14BE" w:rsidRPr="009C0D07">
        <w:rPr>
          <w:rFonts w:ascii="Palatino Linotype" w:eastAsia="Calibri" w:hAnsi="Palatino Linotype" w:cs="Arial"/>
          <w:lang w:val="es-ES"/>
        </w:rPr>
        <w:t>3</w:t>
      </w:r>
      <w:r w:rsidRPr="009C0D07">
        <w:rPr>
          <w:rFonts w:ascii="Palatino Linotype" w:eastAsia="Calibri" w:hAnsi="Palatino Linotype" w:cs="Arial"/>
          <w:lang w:val="es-ES"/>
        </w:rPr>
        <w:t xml:space="preserve">) </w:t>
      </w:r>
      <w:r w:rsidR="002345B1" w:rsidRPr="009C0D07">
        <w:rPr>
          <w:rFonts w:ascii="Palatino Linotype" w:eastAsia="Times New Roman" w:hAnsi="Palatino Linotype" w:cs="Arial"/>
          <w:lang w:val="es-ES"/>
        </w:rPr>
        <w:t xml:space="preserve">de </w:t>
      </w:r>
      <w:r w:rsidR="001F14BE" w:rsidRPr="009C0D07">
        <w:rPr>
          <w:rFonts w:ascii="Palatino Linotype" w:eastAsia="Times New Roman" w:hAnsi="Palatino Linotype" w:cs="Arial"/>
          <w:lang w:val="es-ES"/>
        </w:rPr>
        <w:t>dic</w:t>
      </w:r>
      <w:r w:rsidR="001C1147" w:rsidRPr="009C0D07">
        <w:rPr>
          <w:rFonts w:ascii="Palatino Linotype" w:eastAsia="Times New Roman" w:hAnsi="Palatino Linotype" w:cs="Arial"/>
          <w:lang w:val="es-ES"/>
        </w:rPr>
        <w:t>iembre</w:t>
      </w:r>
      <w:r w:rsidR="005508E5" w:rsidRPr="009C0D07">
        <w:rPr>
          <w:rFonts w:ascii="Palatino Linotype" w:eastAsia="Times New Roman" w:hAnsi="Palatino Linotype" w:cs="Arial"/>
          <w:lang w:val="es-ES"/>
        </w:rPr>
        <w:t xml:space="preserve"> de dos mil diecinueve</w:t>
      </w:r>
      <w:r w:rsidRPr="009C0D07">
        <w:rPr>
          <w:rFonts w:ascii="Palatino Linotype" w:eastAsia="Calibri" w:hAnsi="Palatino Linotype" w:cs="Arial"/>
          <w:lang w:val="es-ES"/>
        </w:rPr>
        <w:t xml:space="preserve">, puso a disposición de las partes el expediente electrónico </w:t>
      </w:r>
      <w:r w:rsidRPr="009C0D07">
        <w:rPr>
          <w:rFonts w:ascii="Palatino Linotype" w:eastAsia="Calibri" w:hAnsi="Palatino Linotype" w:cs="Arial"/>
        </w:rPr>
        <w:t xml:space="preserve">vía </w:t>
      </w:r>
      <w:r w:rsidRPr="009C0D07">
        <w:rPr>
          <w:rFonts w:ascii="Palatino Linotype" w:eastAsia="Calibri" w:hAnsi="Palatino Linotype" w:cs="Arial"/>
          <w:lang w:val="es-ES"/>
        </w:rPr>
        <w:t xml:space="preserve">Sistema de Acceso a la Información Mexiquense </w:t>
      </w:r>
      <w:r w:rsidRPr="009C0D07">
        <w:rPr>
          <w:rFonts w:ascii="Palatino Linotype" w:eastAsia="Calibri" w:hAnsi="Palatino Linotype" w:cs="Arial"/>
          <w:b/>
          <w:lang w:val="es-ES"/>
        </w:rPr>
        <w:t xml:space="preserve">(SAIMEX) </w:t>
      </w:r>
      <w:r w:rsidRPr="009C0D07">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9C0D07">
        <w:rPr>
          <w:rFonts w:ascii="Palatino Linotype" w:eastAsia="Calibri" w:hAnsi="Palatino Linotype" w:cs="Arial"/>
          <w:lang w:val="es-ES"/>
        </w:rPr>
        <w:t>.</w:t>
      </w:r>
    </w:p>
    <w:p w14:paraId="012C967D" w14:textId="77777777" w:rsidR="001C5CBD" w:rsidRPr="009C0D07" w:rsidRDefault="001C5CBD" w:rsidP="005122A8">
      <w:pPr>
        <w:pStyle w:val="Prrafodelista"/>
        <w:tabs>
          <w:tab w:val="left" w:pos="426"/>
          <w:tab w:val="left" w:pos="567"/>
        </w:tabs>
        <w:spacing w:line="360" w:lineRule="auto"/>
        <w:ind w:left="0"/>
        <w:jc w:val="both"/>
        <w:rPr>
          <w:rFonts w:ascii="Palatino Linotype" w:hAnsi="Palatino Linotype"/>
          <w:color w:val="000000"/>
        </w:rPr>
      </w:pPr>
    </w:p>
    <w:p w14:paraId="20F8BA79" w14:textId="7682383B" w:rsidR="005664C4" w:rsidRPr="009C0D07" w:rsidRDefault="003B7B65" w:rsidP="00382121">
      <w:pPr>
        <w:pStyle w:val="Prrafodelista"/>
        <w:numPr>
          <w:ilvl w:val="0"/>
          <w:numId w:val="1"/>
        </w:numPr>
        <w:tabs>
          <w:tab w:val="left" w:pos="426"/>
          <w:tab w:val="left" w:pos="567"/>
        </w:tabs>
        <w:spacing w:before="240" w:after="240" w:line="360" w:lineRule="auto"/>
        <w:ind w:left="0" w:firstLine="0"/>
        <w:jc w:val="both"/>
        <w:rPr>
          <w:color w:val="000000" w:themeColor="text1"/>
        </w:rPr>
      </w:pPr>
      <w:r w:rsidRPr="009C0D07">
        <w:rPr>
          <w:rFonts w:ascii="Palatino Linotype" w:eastAsia="Calibri" w:hAnsi="Palatino Linotype" w:cs="Arial"/>
          <w:lang w:val="es-ES"/>
        </w:rPr>
        <w:t xml:space="preserve">El </w:t>
      </w:r>
      <w:r w:rsidR="00826AAA" w:rsidRPr="009C0D07">
        <w:rPr>
          <w:rFonts w:ascii="Palatino Linotype" w:hAnsi="Palatino Linotype"/>
        </w:rPr>
        <w:t xml:space="preserve">día </w:t>
      </w:r>
      <w:r w:rsidR="001F14BE" w:rsidRPr="009C0D07">
        <w:rPr>
          <w:rFonts w:ascii="Palatino Linotype" w:hAnsi="Palatino Linotype"/>
        </w:rPr>
        <w:t>seis (06) de diciembre de dos mil veinte</w:t>
      </w:r>
      <w:r w:rsidR="00826AAA" w:rsidRPr="009C0D07">
        <w:rPr>
          <w:rFonts w:ascii="Palatino Linotype" w:eastAsia="Calibri" w:hAnsi="Palatino Linotype" w:cs="Arial"/>
          <w:b/>
          <w:lang w:val="es-ES"/>
        </w:rPr>
        <w:t xml:space="preserve">, </w:t>
      </w:r>
      <w:r w:rsidR="00826AAA" w:rsidRPr="009C0D07">
        <w:rPr>
          <w:rFonts w:ascii="Palatino Linotype" w:eastAsia="Calibri" w:hAnsi="Palatino Linotype" w:cs="Arial"/>
          <w:lang w:val="es-ES"/>
        </w:rPr>
        <w:t xml:space="preserve">el </w:t>
      </w:r>
      <w:r w:rsidR="00CD3580" w:rsidRPr="009C0D07">
        <w:rPr>
          <w:rFonts w:ascii="Palatino Linotype" w:eastAsia="Calibri" w:hAnsi="Palatino Linotype" w:cs="Arial"/>
          <w:b/>
          <w:lang w:val="es-ES"/>
        </w:rPr>
        <w:t xml:space="preserve">SUJETO OBLIGADO </w:t>
      </w:r>
      <w:r w:rsidR="00CD3580" w:rsidRPr="009C0D07">
        <w:rPr>
          <w:rFonts w:ascii="Palatino Linotype" w:eastAsia="Calibri" w:hAnsi="Palatino Linotype" w:cs="Arial"/>
          <w:lang w:val="es-ES"/>
        </w:rPr>
        <w:t>rindió su informe justificado para manifestar lo que a su derecho le asistiera y</w:t>
      </w:r>
      <w:r w:rsidR="00BE5F02" w:rsidRPr="009C0D07">
        <w:rPr>
          <w:rFonts w:ascii="Palatino Linotype" w:eastAsia="Calibri" w:hAnsi="Palatino Linotype" w:cs="Arial"/>
          <w:lang w:val="es-ES"/>
        </w:rPr>
        <w:t xml:space="preserve"> </w:t>
      </w:r>
      <w:r w:rsidR="00CD3580" w:rsidRPr="009C0D07">
        <w:rPr>
          <w:rFonts w:ascii="Palatino Linotype" w:eastAsia="Calibri" w:hAnsi="Palatino Linotype" w:cs="Arial"/>
          <w:lang w:val="es-ES"/>
        </w:rPr>
        <w:t>conviniera</w:t>
      </w:r>
      <w:r w:rsidR="00826AAA" w:rsidRPr="009C0D07">
        <w:rPr>
          <w:rFonts w:ascii="Palatino Linotype" w:eastAsia="Calibri" w:hAnsi="Palatino Linotype" w:cs="Arial"/>
          <w:lang w:val="es-ES"/>
        </w:rPr>
        <w:t xml:space="preserve">, </w:t>
      </w:r>
      <w:r w:rsidR="00A124D9" w:rsidRPr="009C0D07">
        <w:rPr>
          <w:rFonts w:ascii="Palatino Linotype" w:eastAsia="Calibri" w:hAnsi="Palatino Linotype" w:cs="Arial"/>
          <w:lang w:val="es-ES"/>
        </w:rPr>
        <w:t>en el apartado que obra en el Sistema de Acceso a la Información Mexiquense (SAIMEX)</w:t>
      </w:r>
      <w:r w:rsidR="00B71674" w:rsidRPr="009C0D07">
        <w:rPr>
          <w:rFonts w:ascii="Palatino Linotype" w:eastAsia="Calibri" w:hAnsi="Palatino Linotype" w:cs="Arial"/>
          <w:lang w:val="es-ES"/>
        </w:rPr>
        <w:t xml:space="preserve"> argumentando “</w:t>
      </w:r>
      <w:r w:rsidR="00B71674" w:rsidRPr="009C0D07">
        <w:rPr>
          <w:rFonts w:ascii="Palatino Linotype" w:hAnsi="Palatino Linotype" w:cs="Arial"/>
          <w:i/>
          <w:sz w:val="22"/>
          <w:szCs w:val="22"/>
        </w:rPr>
        <w:t>En atención al Recurso de Revisión con No. de folio 08973/INFOEM/IP/RR/2019, derivado de la Solicitud de Información con No. de folio 00837/ATIZARA/IP/2019 se servirá encontrar en archivo electrónico adjunto el Informe de Justificación correspondiente</w:t>
      </w:r>
      <w:r w:rsidR="00B71674" w:rsidRPr="009C0D07">
        <w:rPr>
          <w:rFonts w:ascii="Palatino Linotype" w:eastAsia="Calibri" w:hAnsi="Palatino Linotype" w:cs="Arial"/>
          <w:lang w:val="es-ES"/>
        </w:rPr>
        <w:t>” y “</w:t>
      </w:r>
      <w:r w:rsidR="005664C4" w:rsidRPr="009C0D07">
        <w:rPr>
          <w:rFonts w:ascii="Palatino Linotype" w:hAnsi="Palatino Linotype" w:cs="Arial"/>
          <w:i/>
          <w:color w:val="000000" w:themeColor="text1"/>
          <w:sz w:val="22"/>
          <w:szCs w:val="22"/>
        </w:rPr>
        <w:t>LE ENVIÓ UN CORDIAL SALUDO Y LE INFORMO QUE SE SOLICITÓ EL CAMBIO DE MODALIDAD, MISMA QUE FUE APROBADA POR EL ÁREA DE INFORMÁTICA DEL INFOEM, DERIVADO DE QUE NO SE CUENTA CON LOS RECURSOS MATERIALES, TÉCNICOS Y HUMANOS NI CON LA CAPACIDAD PARA PODERLA ENVIAR YA QUE CONTIENE UN PESO QU EXCEDE LA CAPACIDAD DE GB, POR LO ANTERIOR MENTE EXPUESTO LE INFORMO QUE PUEDE ACUDIR A LA UNIDAD DE TRANSPARENCIA DE LUNES A VIERNES DE 09:00 A 18:00 HORAS EN DÍAS HÁBILES UBICADA EN BLVD. ADOLFO LÓPEZ MATEOS N° 91, COL. EL POTRERO ATIZAPÁN DE ZARAGOZA TEL: 36 22 27 64, PARA PONER A DISPOSICIÓN LO SOLICITADO GRACIAS.</w:t>
      </w:r>
      <w:r w:rsidR="00B71674" w:rsidRPr="009C0D07">
        <w:rPr>
          <w:rFonts w:ascii="Palatino Linotype" w:eastAsia="Calibri" w:hAnsi="Palatino Linotype" w:cs="Arial"/>
          <w:lang w:val="es-ES"/>
        </w:rPr>
        <w:t>”</w:t>
      </w:r>
      <w:r w:rsidR="005664C4" w:rsidRPr="009C0D07">
        <w:rPr>
          <w:rFonts w:ascii="Palatino Linotype" w:eastAsia="Calibri" w:hAnsi="Palatino Linotype" w:cs="Arial"/>
          <w:lang w:val="es-ES"/>
        </w:rPr>
        <w:t>.</w:t>
      </w:r>
    </w:p>
    <w:p w14:paraId="16B2D0B0" w14:textId="77777777" w:rsidR="005664C4" w:rsidRPr="009C0D07" w:rsidRDefault="005664C4" w:rsidP="005664C4">
      <w:pPr>
        <w:pStyle w:val="Prrafodelista"/>
        <w:tabs>
          <w:tab w:val="left" w:pos="426"/>
          <w:tab w:val="left" w:pos="567"/>
        </w:tabs>
        <w:spacing w:before="240" w:after="240" w:line="360" w:lineRule="auto"/>
        <w:ind w:left="0"/>
        <w:jc w:val="both"/>
        <w:rPr>
          <w:color w:val="000000" w:themeColor="text1"/>
        </w:rPr>
      </w:pPr>
    </w:p>
    <w:p w14:paraId="3D7E0A45" w14:textId="494EC9FA" w:rsidR="001C5CBD" w:rsidRPr="009C0D07" w:rsidRDefault="005664C4" w:rsidP="00382121">
      <w:pPr>
        <w:pStyle w:val="Prrafodelista"/>
        <w:numPr>
          <w:ilvl w:val="0"/>
          <w:numId w:val="1"/>
        </w:numPr>
        <w:tabs>
          <w:tab w:val="left" w:pos="426"/>
          <w:tab w:val="left" w:pos="567"/>
        </w:tabs>
        <w:spacing w:before="240" w:after="240" w:line="360" w:lineRule="auto"/>
        <w:ind w:left="0" w:firstLine="0"/>
        <w:jc w:val="both"/>
        <w:rPr>
          <w:rStyle w:val="Hipervnculo"/>
          <w:color w:val="000000" w:themeColor="text1"/>
          <w:u w:val="none"/>
        </w:rPr>
      </w:pPr>
      <w:r w:rsidRPr="009C0D07">
        <w:rPr>
          <w:rFonts w:ascii="Palatino Linotype" w:eastAsia="Calibri" w:hAnsi="Palatino Linotype" w:cs="Arial"/>
          <w:lang w:val="es-ES"/>
        </w:rPr>
        <w:t>A su informe justificado adjuntó</w:t>
      </w:r>
      <w:r w:rsidR="00826AAA" w:rsidRPr="009C0D07">
        <w:rPr>
          <w:rFonts w:ascii="Palatino Linotype" w:eastAsia="Calibri" w:hAnsi="Palatino Linotype" w:cs="Arial"/>
          <w:lang w:val="es-ES"/>
        </w:rPr>
        <w:t xml:space="preserve"> </w:t>
      </w:r>
      <w:r w:rsidR="00826AAA" w:rsidRPr="009C0D07">
        <w:rPr>
          <w:rFonts w:ascii="Palatino Linotype" w:hAnsi="Palatino Linotype" w:cs="Arial"/>
          <w:color w:val="000000" w:themeColor="text1"/>
        </w:rPr>
        <w:t xml:space="preserve">los archivos electrónicos </w:t>
      </w:r>
      <w:r w:rsidR="00826AAA" w:rsidRPr="009C0D07">
        <w:rPr>
          <w:rFonts w:ascii="Palatino Linotype" w:hAnsi="Palatino Linotype" w:cs="Arial"/>
          <w:b/>
          <w:color w:val="000000" w:themeColor="text1"/>
        </w:rPr>
        <w:t>“</w:t>
      </w:r>
      <w:hyperlink r:id="rId15" w:history="1">
        <w:r w:rsidR="00A124D9" w:rsidRPr="009C0D07">
          <w:rPr>
            <w:rStyle w:val="Hipervnculo"/>
            <w:rFonts w:ascii="Palatino Linotype" w:hAnsi="Palatino Linotype" w:cs="Arial"/>
            <w:b/>
            <w:bCs/>
            <w:i/>
            <w:color w:val="000000" w:themeColor="text1"/>
            <w:u w:val="none"/>
          </w:rPr>
          <w:t>R.R. 8973.pdf</w:t>
        </w:r>
      </w:hyperlink>
      <w:r w:rsidR="00826AAA" w:rsidRPr="009C0D07">
        <w:rPr>
          <w:rFonts w:ascii="Palatino Linotype" w:hAnsi="Palatino Linotype"/>
          <w:b/>
          <w:i/>
          <w:color w:val="000000" w:themeColor="text1"/>
        </w:rPr>
        <w:t>”</w:t>
      </w:r>
      <w:r w:rsidR="00A124D9" w:rsidRPr="009C0D07">
        <w:rPr>
          <w:rFonts w:ascii="Palatino Linotype" w:hAnsi="Palatino Linotype"/>
          <w:b/>
          <w:i/>
          <w:color w:val="000000" w:themeColor="text1"/>
        </w:rPr>
        <w:t xml:space="preserve"> </w:t>
      </w:r>
      <w:r w:rsidR="00A124D9" w:rsidRPr="009C0D07">
        <w:rPr>
          <w:rFonts w:ascii="Palatino Linotype" w:hAnsi="Palatino Linotype"/>
          <w:color w:val="000000" w:themeColor="text1"/>
        </w:rPr>
        <w:t xml:space="preserve">y </w:t>
      </w:r>
      <w:r w:rsidR="00A124D9" w:rsidRPr="009C0D07">
        <w:rPr>
          <w:rFonts w:ascii="Palatino Linotype" w:hAnsi="Palatino Linotype"/>
          <w:b/>
          <w:i/>
          <w:color w:val="000000" w:themeColor="text1"/>
        </w:rPr>
        <w:t>“</w:t>
      </w:r>
      <w:hyperlink r:id="rId16" w:history="1">
        <w:r w:rsidR="00A124D9" w:rsidRPr="009C0D07">
          <w:rPr>
            <w:rStyle w:val="Hipervnculo"/>
            <w:rFonts w:ascii="Palatino Linotype" w:hAnsi="Palatino Linotype" w:cs="Arial"/>
            <w:b/>
            <w:bCs/>
            <w:i/>
            <w:color w:val="000000" w:themeColor="text1"/>
            <w:u w:val="none"/>
          </w:rPr>
          <w:t>R.R. 8973.pdf</w:t>
        </w:r>
      </w:hyperlink>
      <w:r w:rsidR="00A124D9" w:rsidRPr="009C0D07">
        <w:rPr>
          <w:rStyle w:val="Hipervnculo"/>
          <w:rFonts w:ascii="Palatino Linotype" w:hAnsi="Palatino Linotype"/>
          <w:b/>
          <w:bCs/>
          <w:i/>
          <w:color w:val="000000" w:themeColor="text1"/>
          <w:u w:val="none"/>
        </w:rPr>
        <w:t>”</w:t>
      </w:r>
      <w:r w:rsidR="00826AAA" w:rsidRPr="009C0D07">
        <w:rPr>
          <w:rFonts w:ascii="Palatino Linotype" w:hAnsi="Palatino Linotype"/>
          <w:b/>
          <w:i/>
          <w:color w:val="000000" w:themeColor="text1"/>
        </w:rPr>
        <w:t xml:space="preserve">, </w:t>
      </w:r>
      <w:r w:rsidR="00826AAA" w:rsidRPr="009C0D07">
        <w:rPr>
          <w:rFonts w:ascii="Palatino Linotype" w:hAnsi="Palatino Linotype"/>
          <w:color w:val="000000" w:themeColor="text1"/>
        </w:rPr>
        <w:t>en cuyo contenido se aprecia</w:t>
      </w:r>
      <w:r w:rsidR="00A124D9" w:rsidRPr="009C0D07">
        <w:rPr>
          <w:rStyle w:val="Hipervnculo"/>
          <w:rFonts w:ascii="Palatino Linotype" w:hAnsi="Palatino Linotype"/>
          <w:b/>
          <w:bCs/>
          <w:i/>
          <w:color w:val="000000" w:themeColor="text1"/>
          <w:u w:val="none"/>
        </w:rPr>
        <w:t xml:space="preserve"> </w:t>
      </w:r>
      <w:r w:rsidR="00A124D9" w:rsidRPr="009C0D07">
        <w:rPr>
          <w:rStyle w:val="Hipervnculo"/>
          <w:rFonts w:ascii="Palatino Linotype" w:hAnsi="Palatino Linotype"/>
          <w:bCs/>
          <w:color w:val="000000" w:themeColor="text1"/>
          <w:u w:val="none"/>
        </w:rPr>
        <w:t>de nueva cuenta el mismo documento en ambos archivos,</w:t>
      </w:r>
      <w:r w:rsidRPr="009C0D07">
        <w:rPr>
          <w:rStyle w:val="Hipervnculo"/>
          <w:rFonts w:ascii="Palatino Linotype" w:hAnsi="Palatino Linotype"/>
          <w:bCs/>
          <w:color w:val="000000" w:themeColor="text1"/>
          <w:u w:val="none"/>
        </w:rPr>
        <w:t xml:space="preserve"> mismo que ya fue puesto a disposición del particular, sin embargo se inserta un extracto a fin de que no exista opacidad:</w:t>
      </w:r>
    </w:p>
    <w:p w14:paraId="26992E88" w14:textId="040F2D97" w:rsidR="005664C4" w:rsidRPr="009C0D07" w:rsidRDefault="00D0642A" w:rsidP="005664C4">
      <w:pPr>
        <w:pStyle w:val="Prrafodelista"/>
        <w:rPr>
          <w:rStyle w:val="Hipervnculo"/>
          <w:color w:val="000000" w:themeColor="text1"/>
          <w:u w:val="none"/>
        </w:rPr>
      </w:pPr>
      <w:r w:rsidRPr="009C0D07">
        <w:rPr>
          <w:rStyle w:val="Hipervnculo"/>
          <w:noProof/>
          <w:color w:val="000000" w:themeColor="text1"/>
          <w:u w:val="none"/>
          <w:lang w:val="es-MX" w:eastAsia="es-MX"/>
        </w:rPr>
        <w:lastRenderedPageBreak/>
        <w:drawing>
          <wp:inline distT="0" distB="0" distL="0" distR="0" wp14:anchorId="5A93F8A4" wp14:editId="1B32E647">
            <wp:extent cx="4857750" cy="69181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9909" cy="6921265"/>
                    </a:xfrm>
                    <a:prstGeom prst="rect">
                      <a:avLst/>
                    </a:prstGeom>
                    <a:noFill/>
                    <a:ln>
                      <a:noFill/>
                    </a:ln>
                  </pic:spPr>
                </pic:pic>
              </a:graphicData>
            </a:graphic>
          </wp:inline>
        </w:drawing>
      </w:r>
    </w:p>
    <w:p w14:paraId="6EA7634B" w14:textId="77777777" w:rsidR="005664C4" w:rsidRPr="009C0D07" w:rsidRDefault="005664C4" w:rsidP="00FD3E87">
      <w:pPr>
        <w:pStyle w:val="Prrafodelista"/>
        <w:tabs>
          <w:tab w:val="left" w:pos="426"/>
          <w:tab w:val="left" w:pos="567"/>
        </w:tabs>
        <w:spacing w:before="240" w:after="240" w:line="360" w:lineRule="auto"/>
        <w:ind w:left="0"/>
        <w:jc w:val="both"/>
        <w:rPr>
          <w:rStyle w:val="Hipervnculo"/>
          <w:color w:val="000000" w:themeColor="text1"/>
          <w:u w:val="none"/>
        </w:rPr>
      </w:pPr>
    </w:p>
    <w:p w14:paraId="12E506D5" w14:textId="77777777" w:rsidR="00A64EAC" w:rsidRPr="009C0D07" w:rsidRDefault="00A64EAC" w:rsidP="00A64EAC">
      <w:pPr>
        <w:pStyle w:val="Prrafodelista"/>
        <w:tabs>
          <w:tab w:val="left" w:pos="426"/>
          <w:tab w:val="left" w:pos="567"/>
        </w:tabs>
        <w:spacing w:before="240" w:after="240" w:line="360" w:lineRule="auto"/>
        <w:ind w:left="0"/>
        <w:jc w:val="both"/>
        <w:rPr>
          <w:rFonts w:ascii="Palatino Linotype" w:hAnsi="Palatino Linotype" w:cs="Arial"/>
          <w:bCs/>
          <w:color w:val="000000" w:themeColor="text1"/>
        </w:rPr>
      </w:pPr>
    </w:p>
    <w:p w14:paraId="6ED2667B" w14:textId="0B284F3C" w:rsidR="00530693" w:rsidRPr="009C0D07" w:rsidRDefault="00444CFD" w:rsidP="005122A8">
      <w:pPr>
        <w:pStyle w:val="Prrafodelista"/>
        <w:numPr>
          <w:ilvl w:val="0"/>
          <w:numId w:val="1"/>
        </w:numPr>
        <w:tabs>
          <w:tab w:val="left" w:pos="426"/>
        </w:tabs>
        <w:spacing w:before="240" w:after="240" w:line="360" w:lineRule="auto"/>
        <w:ind w:left="0" w:hanging="11"/>
        <w:jc w:val="both"/>
        <w:rPr>
          <w:rFonts w:ascii="Palatino Linotype" w:hAnsi="Palatino Linotype"/>
        </w:rPr>
      </w:pPr>
      <w:r w:rsidRPr="009C0D07">
        <w:rPr>
          <w:rFonts w:ascii="Palatino Linotype" w:hAnsi="Palatino Linotype"/>
        </w:rPr>
        <w:t xml:space="preserve">El día </w:t>
      </w:r>
      <w:r w:rsidR="00530693" w:rsidRPr="009C0D07">
        <w:rPr>
          <w:rFonts w:ascii="Palatino Linotype" w:hAnsi="Palatino Linotype"/>
        </w:rPr>
        <w:t xml:space="preserve">once (11) de febrero de dos mil veinte, fue puesto a disposición del recurrente el informe justificado rendido por el </w:t>
      </w:r>
      <w:r w:rsidR="00530693" w:rsidRPr="009C0D07">
        <w:rPr>
          <w:rFonts w:ascii="Palatino Linotype" w:hAnsi="Palatino Linotype"/>
          <w:b/>
        </w:rPr>
        <w:t>SUJETO OBLIGADO</w:t>
      </w:r>
      <w:r w:rsidR="00530693" w:rsidRPr="009C0D07">
        <w:rPr>
          <w:rFonts w:ascii="Palatino Linotype" w:hAnsi="Palatino Linotype"/>
        </w:rPr>
        <w:t xml:space="preserve"> a efecto de que en un plazo de tres días hábiles manifestara lo que a su derecho asistiera y conviniera, sin que hubiera pronunciamiento alguno al respecto. </w:t>
      </w:r>
    </w:p>
    <w:p w14:paraId="4B01AAAE" w14:textId="77777777" w:rsidR="00530693" w:rsidRPr="009C0D07" w:rsidRDefault="00530693" w:rsidP="00530693">
      <w:pPr>
        <w:pStyle w:val="Prrafodelista"/>
        <w:tabs>
          <w:tab w:val="left" w:pos="426"/>
        </w:tabs>
        <w:spacing w:before="240" w:after="240" w:line="360" w:lineRule="auto"/>
        <w:ind w:left="0"/>
        <w:jc w:val="both"/>
        <w:rPr>
          <w:rFonts w:ascii="Palatino Linotype" w:hAnsi="Palatino Linotype"/>
        </w:rPr>
      </w:pPr>
    </w:p>
    <w:p w14:paraId="03D88103" w14:textId="364CCF65" w:rsidR="00444CFD" w:rsidRPr="009C0D07" w:rsidRDefault="00530693" w:rsidP="00530693">
      <w:pPr>
        <w:pStyle w:val="Prrafodelista"/>
        <w:numPr>
          <w:ilvl w:val="0"/>
          <w:numId w:val="1"/>
        </w:numPr>
        <w:tabs>
          <w:tab w:val="left" w:pos="426"/>
        </w:tabs>
        <w:spacing w:before="240" w:after="240" w:line="360" w:lineRule="auto"/>
        <w:ind w:left="0" w:hanging="11"/>
        <w:jc w:val="both"/>
        <w:rPr>
          <w:rFonts w:ascii="Palatino Linotype" w:hAnsi="Palatino Linotype"/>
        </w:rPr>
      </w:pPr>
      <w:r w:rsidRPr="009C0D07">
        <w:rPr>
          <w:rFonts w:ascii="Palatino Linotype" w:hAnsi="Palatino Linotype"/>
        </w:rPr>
        <w:t xml:space="preserve">El día </w:t>
      </w:r>
      <w:r w:rsidR="00A7539F" w:rsidRPr="009C0D07">
        <w:rPr>
          <w:rFonts w:ascii="Palatino Linotype" w:hAnsi="Palatino Linotype"/>
        </w:rPr>
        <w:t>seis</w:t>
      </w:r>
      <w:r w:rsidR="00444CFD" w:rsidRPr="009C0D07">
        <w:rPr>
          <w:rFonts w:ascii="Palatino Linotype" w:hAnsi="Palatino Linotype"/>
        </w:rPr>
        <w:t xml:space="preserve"> (</w:t>
      </w:r>
      <w:r w:rsidR="001C1147" w:rsidRPr="009C0D07">
        <w:rPr>
          <w:rFonts w:ascii="Palatino Linotype" w:hAnsi="Palatino Linotype"/>
        </w:rPr>
        <w:t>0</w:t>
      </w:r>
      <w:r w:rsidR="00A7539F" w:rsidRPr="009C0D07">
        <w:rPr>
          <w:rFonts w:ascii="Palatino Linotype" w:hAnsi="Palatino Linotype"/>
        </w:rPr>
        <w:t>6</w:t>
      </w:r>
      <w:r w:rsidR="00444CFD" w:rsidRPr="009C0D07">
        <w:rPr>
          <w:rFonts w:ascii="Palatino Linotype" w:hAnsi="Palatino Linotype"/>
        </w:rPr>
        <w:t xml:space="preserve">) </w:t>
      </w:r>
      <w:r w:rsidR="00A64EAC" w:rsidRPr="009C0D07">
        <w:rPr>
          <w:rFonts w:ascii="Palatino Linotype" w:hAnsi="Palatino Linotype"/>
        </w:rPr>
        <w:t xml:space="preserve">de </w:t>
      </w:r>
      <w:r w:rsidR="00A7539F" w:rsidRPr="009C0D07">
        <w:rPr>
          <w:rFonts w:ascii="Palatino Linotype" w:hAnsi="Palatino Linotype"/>
        </w:rPr>
        <w:t>febr</w:t>
      </w:r>
      <w:r w:rsidR="001C1147" w:rsidRPr="009C0D07">
        <w:rPr>
          <w:rFonts w:ascii="Palatino Linotype" w:hAnsi="Palatino Linotype"/>
        </w:rPr>
        <w:t>ero</w:t>
      </w:r>
      <w:r w:rsidR="00A64EAC" w:rsidRPr="009C0D07">
        <w:rPr>
          <w:rFonts w:ascii="Palatino Linotype" w:hAnsi="Palatino Linotype"/>
        </w:rPr>
        <w:t xml:space="preserve"> </w:t>
      </w:r>
      <w:r w:rsidR="00444CFD" w:rsidRPr="009C0D07">
        <w:rPr>
          <w:rFonts w:ascii="Palatino Linotype" w:eastAsia="Calibri" w:hAnsi="Palatino Linotype" w:cs="Arial"/>
          <w:lang w:val="es-ES"/>
        </w:rPr>
        <w:t xml:space="preserve">de dos mil </w:t>
      </w:r>
      <w:r w:rsidR="001C1147" w:rsidRPr="009C0D07">
        <w:rPr>
          <w:rFonts w:ascii="Palatino Linotype" w:eastAsia="Calibri" w:hAnsi="Palatino Linotype" w:cs="Arial"/>
          <w:lang w:val="es-ES"/>
        </w:rPr>
        <w:t>veinte</w:t>
      </w:r>
      <w:r w:rsidR="00444CFD" w:rsidRPr="009C0D07">
        <w:rPr>
          <w:rFonts w:ascii="Palatino Linotype" w:eastAsia="Calibri" w:hAnsi="Palatino Linotype" w:cs="Arial"/>
          <w:lang w:val="es-ES"/>
        </w:rPr>
        <w:t xml:space="preserve">, </w:t>
      </w:r>
      <w:r w:rsidR="00444CFD" w:rsidRPr="009C0D07">
        <w:rPr>
          <w:rFonts w:ascii="Palatino Linotype" w:hAnsi="Palatino Linotype"/>
        </w:rPr>
        <w:t xml:space="preserve">con fundamento en el artículo 181 tercer párrafo de la Ley de Transparencia y Acceso a la Información Pública del Estado de México y Municipios, se notificó que plazo de 30 días para resolver </w:t>
      </w:r>
      <w:r w:rsidR="00A64EAC" w:rsidRPr="009C0D07">
        <w:rPr>
          <w:rFonts w:ascii="Palatino Linotype" w:hAnsi="Palatino Linotype"/>
        </w:rPr>
        <w:t>el</w:t>
      </w:r>
      <w:r w:rsidR="00444CFD" w:rsidRPr="009C0D07">
        <w:rPr>
          <w:rFonts w:ascii="Palatino Linotype" w:hAnsi="Palatino Linotype"/>
        </w:rPr>
        <w:t xml:space="preserve"> recurso de revisión, sería ampliado por un periodo de 15 días hábiles adicionales; para un mejor estudio.</w:t>
      </w:r>
    </w:p>
    <w:p w14:paraId="2C0EB417" w14:textId="77777777" w:rsidR="005122A8" w:rsidRPr="009C0D07" w:rsidRDefault="005122A8" w:rsidP="005122A8">
      <w:pPr>
        <w:pStyle w:val="Prrafodelista"/>
        <w:spacing w:before="240" w:after="240" w:line="360" w:lineRule="auto"/>
        <w:ind w:left="0"/>
        <w:rPr>
          <w:rFonts w:ascii="Palatino Linotype" w:hAnsi="Palatino Linotype"/>
        </w:rPr>
      </w:pPr>
    </w:p>
    <w:p w14:paraId="177436C4" w14:textId="50701188" w:rsidR="002077BE" w:rsidRPr="009C0D07" w:rsidRDefault="00B36C00" w:rsidP="005122A8">
      <w:pPr>
        <w:pStyle w:val="Prrafodelista"/>
        <w:numPr>
          <w:ilvl w:val="0"/>
          <w:numId w:val="1"/>
        </w:numPr>
        <w:tabs>
          <w:tab w:val="left" w:pos="426"/>
        </w:tabs>
        <w:spacing w:before="240" w:after="240" w:line="360" w:lineRule="auto"/>
        <w:ind w:left="0" w:hanging="11"/>
        <w:jc w:val="both"/>
        <w:rPr>
          <w:rFonts w:ascii="Palatino Linotype" w:hAnsi="Palatino Linotype"/>
        </w:rPr>
      </w:pPr>
      <w:r w:rsidRPr="009C0D07">
        <w:rPr>
          <w:rFonts w:ascii="Palatino Linotype" w:hAnsi="Palatino Linotype"/>
        </w:rPr>
        <w:t xml:space="preserve">El </w:t>
      </w:r>
      <w:r w:rsidR="00F34201" w:rsidRPr="009C0D07">
        <w:rPr>
          <w:rFonts w:ascii="Palatino Linotype" w:hAnsi="Palatino Linotype"/>
        </w:rPr>
        <w:t>Comisionado Ponente decretó el cierre de instrucción</w:t>
      </w:r>
      <w:r w:rsidR="00F34201" w:rsidRPr="009C0D07">
        <w:rPr>
          <w:rFonts w:ascii="Palatino Linotype" w:hAnsi="Palatino Linotype" w:cs="Arial"/>
        </w:rPr>
        <w:t xml:space="preserve"> </w:t>
      </w:r>
      <w:r w:rsidR="00F34201" w:rsidRPr="009C0D07">
        <w:rPr>
          <w:rFonts w:ascii="Palatino Linotype" w:hAnsi="Palatino Linotype"/>
        </w:rPr>
        <w:t xml:space="preserve">mediante acuerdo de fecha </w:t>
      </w:r>
      <w:r w:rsidR="00A7539F" w:rsidRPr="009C0D07">
        <w:rPr>
          <w:rFonts w:ascii="Palatino Linotype" w:hAnsi="Palatino Linotype"/>
        </w:rPr>
        <w:t>diecisiete</w:t>
      </w:r>
      <w:r w:rsidR="001C1147" w:rsidRPr="009C0D07">
        <w:rPr>
          <w:rFonts w:ascii="Palatino Linotype" w:hAnsi="Palatino Linotype"/>
        </w:rPr>
        <w:t xml:space="preserve"> (</w:t>
      </w:r>
      <w:r w:rsidR="00A7539F" w:rsidRPr="009C0D07">
        <w:rPr>
          <w:rFonts w:ascii="Palatino Linotype" w:hAnsi="Palatino Linotype"/>
        </w:rPr>
        <w:t>17</w:t>
      </w:r>
      <w:r w:rsidR="001C1147" w:rsidRPr="009C0D07">
        <w:rPr>
          <w:rFonts w:ascii="Palatino Linotype" w:hAnsi="Palatino Linotype"/>
        </w:rPr>
        <w:t xml:space="preserve">) de </w:t>
      </w:r>
      <w:r w:rsidR="00A7539F" w:rsidRPr="009C0D07">
        <w:rPr>
          <w:rFonts w:ascii="Palatino Linotype" w:hAnsi="Palatino Linotype"/>
        </w:rPr>
        <w:t>febrero</w:t>
      </w:r>
      <w:r w:rsidR="001C1147" w:rsidRPr="009C0D07">
        <w:rPr>
          <w:rFonts w:ascii="Palatino Linotype" w:hAnsi="Palatino Linotype"/>
        </w:rPr>
        <w:t xml:space="preserve"> </w:t>
      </w:r>
      <w:r w:rsidR="001C1147" w:rsidRPr="009C0D07">
        <w:rPr>
          <w:rFonts w:ascii="Palatino Linotype" w:eastAsia="Calibri" w:hAnsi="Palatino Linotype" w:cs="Arial"/>
          <w:lang w:val="es-ES"/>
        </w:rPr>
        <w:t>de dos mil veinte</w:t>
      </w:r>
      <w:r w:rsidR="00F34201" w:rsidRPr="009C0D07">
        <w:rPr>
          <w:rFonts w:ascii="Palatino Linotype" w:hAnsi="Palatino Linotype"/>
        </w:rPr>
        <w:t xml:space="preserve">, </w:t>
      </w:r>
      <w:r w:rsidR="00F34201" w:rsidRPr="009C0D07">
        <w:rPr>
          <w:rFonts w:ascii="Palatino Linotype" w:hAnsi="Palatino Linotype" w:cs="Arial"/>
        </w:rPr>
        <w:t>por lo que</w:t>
      </w:r>
      <w:r w:rsidR="00A81509" w:rsidRPr="009C0D07">
        <w:rPr>
          <w:rFonts w:ascii="Palatino Linotype" w:hAnsi="Palatino Linotype" w:cs="Arial"/>
        </w:rPr>
        <w:t xml:space="preserve"> </w:t>
      </w:r>
      <w:r w:rsidR="00F34201" w:rsidRPr="009C0D07">
        <w:rPr>
          <w:rFonts w:ascii="Palatino Linotype" w:hAnsi="Palatino Linotype" w:cs="Arial"/>
        </w:rPr>
        <w:t>ordenó t</w:t>
      </w:r>
      <w:r w:rsidR="00086A19" w:rsidRPr="009C0D07">
        <w:rPr>
          <w:rFonts w:ascii="Palatino Linotype" w:hAnsi="Palatino Linotype" w:cs="Arial"/>
        </w:rPr>
        <w:t>u</w:t>
      </w:r>
      <w:r w:rsidR="009017D1" w:rsidRPr="009C0D07">
        <w:rPr>
          <w:rFonts w:ascii="Palatino Linotype" w:hAnsi="Palatino Linotype" w:cs="Arial"/>
        </w:rPr>
        <w:t>rnar el expediente a resolución</w:t>
      </w:r>
      <w:r w:rsidR="002E22A4" w:rsidRPr="009C0D07">
        <w:rPr>
          <w:rFonts w:ascii="Palatino Linotype" w:hAnsi="Palatino Linotype" w:cs="Arial"/>
        </w:rPr>
        <w:t>, misma que ahora se pronuncia.</w:t>
      </w:r>
    </w:p>
    <w:p w14:paraId="1851CF62" w14:textId="77777777" w:rsidR="003A7153" w:rsidRPr="009C0D07" w:rsidRDefault="003A7153" w:rsidP="002E4871">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9C0D07" w:rsidRDefault="00962E79" w:rsidP="005122A8">
      <w:pPr>
        <w:pStyle w:val="Ttulo1"/>
        <w:tabs>
          <w:tab w:val="left" w:pos="567"/>
        </w:tabs>
        <w:spacing w:after="240"/>
        <w:jc w:val="center"/>
        <w:rPr>
          <w:b w:val="0"/>
          <w:szCs w:val="24"/>
        </w:rPr>
      </w:pPr>
      <w:bookmarkStart w:id="57" w:name="_Toc495430768"/>
      <w:bookmarkStart w:id="58" w:name="_Toc33192137"/>
      <w:r w:rsidRPr="009C0D07">
        <w:rPr>
          <w:szCs w:val="24"/>
        </w:rPr>
        <w:t>CONSIDERANDO</w:t>
      </w:r>
      <w:bookmarkEnd w:id="57"/>
      <w:bookmarkEnd w:id="58"/>
    </w:p>
    <w:p w14:paraId="1C754B23" w14:textId="77777777" w:rsidR="00962E79" w:rsidRPr="009C0D07" w:rsidRDefault="00962E79" w:rsidP="004E1461">
      <w:pPr>
        <w:pStyle w:val="Ttulo1"/>
        <w:tabs>
          <w:tab w:val="left" w:pos="567"/>
        </w:tabs>
        <w:rPr>
          <w:b w:val="0"/>
          <w:bCs/>
          <w:spacing w:val="60"/>
        </w:rPr>
      </w:pPr>
      <w:bookmarkStart w:id="59" w:name="_Toc473812224"/>
      <w:bookmarkStart w:id="60" w:name="_Toc495430769"/>
      <w:bookmarkStart w:id="61" w:name="_Toc33192138"/>
      <w:r w:rsidRPr="009C0D07">
        <w:t>PRIMERO. De la competencia</w:t>
      </w:r>
      <w:bookmarkEnd w:id="59"/>
      <w:bookmarkEnd w:id="60"/>
      <w:bookmarkEnd w:id="61"/>
    </w:p>
    <w:p w14:paraId="5DFB4714" w14:textId="77777777" w:rsidR="00962E79" w:rsidRPr="009C0D07" w:rsidRDefault="00962E79" w:rsidP="004E1461">
      <w:pPr>
        <w:pStyle w:val="Prrafodelista"/>
        <w:tabs>
          <w:tab w:val="left" w:pos="567"/>
        </w:tabs>
        <w:spacing w:line="360" w:lineRule="auto"/>
        <w:ind w:left="0"/>
        <w:jc w:val="both"/>
        <w:rPr>
          <w:rFonts w:ascii="Palatino Linotype" w:hAnsi="Palatino Linotype"/>
          <w:color w:val="000000"/>
        </w:rPr>
      </w:pPr>
    </w:p>
    <w:p w14:paraId="0873CBF9" w14:textId="78F2959B" w:rsidR="00DA59C7" w:rsidRPr="009C0D07" w:rsidRDefault="00F34201" w:rsidP="00701F2C">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9C0D0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C0D07">
        <w:rPr>
          <w:rFonts w:ascii="Palatino Linotype" w:eastAsia="Calibri" w:hAnsi="Palatino Linotype" w:cs="Times New Roman"/>
          <w:b/>
          <w:lang w:val="es-ES"/>
        </w:rPr>
        <w:t>Constitución Política de los Estados Unidos Mexicanos</w:t>
      </w:r>
      <w:r w:rsidRPr="009C0D07">
        <w:rPr>
          <w:rFonts w:ascii="Palatino Linotype" w:eastAsia="Calibri" w:hAnsi="Palatino Linotype" w:cs="Times New Roman"/>
          <w:lang w:val="es-ES"/>
        </w:rPr>
        <w:t xml:space="preserve">; 5, </w:t>
      </w:r>
      <w:r w:rsidRPr="009C0D07">
        <w:rPr>
          <w:rFonts w:ascii="Palatino Linotype" w:eastAsia="Calibri" w:hAnsi="Palatino Linotype" w:cs="Times New Roman"/>
          <w:lang w:val="es-ES"/>
        </w:rPr>
        <w:lastRenderedPageBreak/>
        <w:t xml:space="preserve">párrafos </w:t>
      </w:r>
      <w:r w:rsidR="00011036" w:rsidRPr="009C0D07">
        <w:rPr>
          <w:rFonts w:ascii="Palatino Linotype" w:eastAsia="Calibri" w:hAnsi="Palatino Linotype" w:cs="Times New Roman"/>
          <w:lang w:val="es-ES"/>
        </w:rPr>
        <w:t>vigésimo primero y vigésimo segundo</w:t>
      </w:r>
      <w:r w:rsidRPr="009C0D07">
        <w:rPr>
          <w:rFonts w:ascii="Palatino Linotype" w:eastAsia="Calibri" w:hAnsi="Palatino Linotype" w:cs="Times New Roman"/>
          <w:lang w:val="es-ES"/>
        </w:rPr>
        <w:t xml:space="preserve"> fracciones IV y V de la </w:t>
      </w:r>
      <w:r w:rsidRPr="009C0D07">
        <w:rPr>
          <w:rFonts w:ascii="Palatino Linotype" w:eastAsia="Calibri" w:hAnsi="Palatino Linotype" w:cs="Times New Roman"/>
          <w:b/>
          <w:lang w:val="es-ES"/>
        </w:rPr>
        <w:t>Constitución Política del Estado Libre y Soberano de México</w:t>
      </w:r>
      <w:r w:rsidRPr="009C0D07">
        <w:rPr>
          <w:rFonts w:ascii="Palatino Linotype" w:eastAsia="Calibri" w:hAnsi="Palatino Linotype" w:cs="Times New Roman"/>
          <w:lang w:val="es-ES"/>
        </w:rPr>
        <w:t xml:space="preserve">; artículos 1, 2 fracción II, 13, 29, 36 fracciones I y II, 176, 178, 179, 181 párrafo tercero y 185 </w:t>
      </w:r>
      <w:r w:rsidRPr="009C0D07">
        <w:rPr>
          <w:rFonts w:ascii="Palatino Linotype" w:eastAsia="Calibri" w:hAnsi="Palatino Linotype" w:cs="Arial"/>
          <w:lang w:val="es-ES"/>
        </w:rPr>
        <w:t xml:space="preserve">de la </w:t>
      </w:r>
      <w:r w:rsidRPr="009C0D07">
        <w:rPr>
          <w:rFonts w:ascii="Palatino Linotype" w:eastAsia="Calibri" w:hAnsi="Palatino Linotype" w:cs="Arial"/>
          <w:b/>
          <w:lang w:val="es-ES"/>
        </w:rPr>
        <w:t>Ley de Transparencia y Acceso a la Información Pública del Estado de México y Municipios</w:t>
      </w:r>
      <w:r w:rsidRPr="009C0D07">
        <w:rPr>
          <w:rFonts w:ascii="Palatino Linotype" w:eastAsia="Calibri" w:hAnsi="Palatino Linotype" w:cs="Arial"/>
          <w:lang w:val="es-ES"/>
        </w:rPr>
        <w:t xml:space="preserve">; y </w:t>
      </w:r>
      <w:r w:rsidR="00011036" w:rsidRPr="009C0D07">
        <w:rPr>
          <w:rFonts w:ascii="Palatino Linotype" w:eastAsia="Calibri" w:hAnsi="Palatino Linotype" w:cs="Arial"/>
          <w:lang w:val="es-ES"/>
        </w:rPr>
        <w:t xml:space="preserve">10, </w:t>
      </w:r>
      <w:r w:rsidRPr="009C0D07">
        <w:rPr>
          <w:rFonts w:ascii="Palatino Linotype" w:eastAsia="Calibri" w:hAnsi="Palatino Linotype" w:cs="Arial"/>
          <w:lang w:val="es-ES"/>
        </w:rPr>
        <w:t xml:space="preserve">7, 9 fracciones I y XXIV, y 11 del </w:t>
      </w:r>
      <w:r w:rsidRPr="009C0D0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C0D07">
        <w:rPr>
          <w:rFonts w:ascii="Palatino Linotype" w:hAnsi="Palatino Linotype"/>
        </w:rPr>
        <w:t>.</w:t>
      </w:r>
    </w:p>
    <w:p w14:paraId="166521D6" w14:textId="77777777" w:rsidR="00A64EAC" w:rsidRPr="009C0D07" w:rsidRDefault="00A64EAC"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9C0D07" w:rsidRDefault="00F34201" w:rsidP="00CF0074">
      <w:pPr>
        <w:pStyle w:val="Ttulo1"/>
        <w:tabs>
          <w:tab w:val="left" w:pos="567"/>
        </w:tabs>
        <w:spacing w:before="0"/>
      </w:pPr>
      <w:bookmarkStart w:id="62" w:name="_Toc471845444"/>
      <w:bookmarkStart w:id="63" w:name="_Toc473812225"/>
      <w:bookmarkStart w:id="64" w:name="_Toc495430770"/>
      <w:bookmarkStart w:id="65" w:name="_Toc33192139"/>
      <w:r w:rsidRPr="009C0D07">
        <w:t>SEGUNDO. De la oportunidad y proced</w:t>
      </w:r>
      <w:r w:rsidR="00903242" w:rsidRPr="009C0D07">
        <w:t>encia</w:t>
      </w:r>
      <w:r w:rsidRPr="009C0D07">
        <w:t>.</w:t>
      </w:r>
      <w:bookmarkEnd w:id="62"/>
      <w:bookmarkEnd w:id="63"/>
      <w:bookmarkEnd w:id="64"/>
      <w:bookmarkEnd w:id="65"/>
    </w:p>
    <w:p w14:paraId="195EC81A" w14:textId="2891151F" w:rsidR="00F34201" w:rsidRPr="009C0D07"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3113817C" w14:textId="790E4EC3" w:rsidR="00BD051E" w:rsidRPr="009C0D07" w:rsidRDefault="00F34201" w:rsidP="00BD051E">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6" w:name="_Toc463524052"/>
      <w:r w:rsidRPr="009C0D07">
        <w:rPr>
          <w:rFonts w:ascii="Palatino Linotype" w:eastAsia="Calibri" w:hAnsi="Palatino Linotype" w:cs="Arial"/>
        </w:rPr>
        <w:t>El medio de impugnación fue presentado a través del Sistema de Acceso a la Información Mexiquense (SAIMEX)</w:t>
      </w:r>
      <w:r w:rsidRPr="009C0D07">
        <w:rPr>
          <w:rFonts w:ascii="Palatino Linotype" w:eastAsia="Calibri" w:hAnsi="Palatino Linotype" w:cs="Arial"/>
          <w:b/>
        </w:rPr>
        <w:t>,</w:t>
      </w:r>
      <w:r w:rsidRPr="009C0D07">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9C0D07">
        <w:rPr>
          <w:rFonts w:ascii="Palatino Linotype" w:eastAsia="Calibri" w:hAnsi="Palatino Linotype" w:cs="Arial"/>
          <w:b/>
        </w:rPr>
        <w:t>SUJETO OBLIGADO</w:t>
      </w:r>
      <w:r w:rsidRPr="009C0D07">
        <w:rPr>
          <w:rFonts w:ascii="Palatino Linotype" w:eastAsia="Calibri" w:hAnsi="Palatino Linotype" w:cs="Arial"/>
        </w:rPr>
        <w:t xml:space="preserve"> entregó respuesta el </w:t>
      </w:r>
      <w:bookmarkStart w:id="67" w:name="_Toc468394898"/>
      <w:r w:rsidR="002E22A4" w:rsidRPr="009C0D07">
        <w:rPr>
          <w:rFonts w:ascii="Palatino Linotype" w:eastAsia="Calibri" w:hAnsi="Palatino Linotype" w:cs="Arial"/>
        </w:rPr>
        <w:t>día</w:t>
      </w:r>
      <w:r w:rsidR="005122A8" w:rsidRPr="009C0D07">
        <w:rPr>
          <w:rFonts w:ascii="Palatino Linotype" w:eastAsia="Calibri" w:hAnsi="Palatino Linotype" w:cs="Arial"/>
        </w:rPr>
        <w:t xml:space="preserve"> </w:t>
      </w:r>
      <w:r w:rsidR="00A84A48" w:rsidRPr="009C0D07">
        <w:rPr>
          <w:rFonts w:ascii="Palatino Linotype" w:eastAsia="Calibri" w:hAnsi="Palatino Linotype" w:cs="Arial"/>
        </w:rPr>
        <w:t>veinti</w:t>
      </w:r>
      <w:r w:rsidR="00826768" w:rsidRPr="009C0D07">
        <w:rPr>
          <w:rFonts w:ascii="Palatino Linotype" w:eastAsia="Calibri" w:hAnsi="Palatino Linotype" w:cs="Arial"/>
        </w:rPr>
        <w:t>uno</w:t>
      </w:r>
      <w:r w:rsidR="005122A8" w:rsidRPr="009C0D07">
        <w:rPr>
          <w:rFonts w:ascii="Palatino Linotype" w:eastAsia="Calibri" w:hAnsi="Palatino Linotype" w:cs="Arial"/>
        </w:rPr>
        <w:t xml:space="preserve"> (</w:t>
      </w:r>
      <w:r w:rsidR="00A84A48" w:rsidRPr="009C0D07">
        <w:rPr>
          <w:rFonts w:ascii="Palatino Linotype" w:eastAsia="Calibri" w:hAnsi="Palatino Linotype" w:cs="Arial"/>
        </w:rPr>
        <w:t>2</w:t>
      </w:r>
      <w:r w:rsidR="00826768" w:rsidRPr="009C0D07">
        <w:rPr>
          <w:rFonts w:ascii="Palatino Linotype" w:eastAsia="Calibri" w:hAnsi="Palatino Linotype" w:cs="Arial"/>
        </w:rPr>
        <w:t>1</w:t>
      </w:r>
      <w:r w:rsidR="005122A8" w:rsidRPr="009C0D07">
        <w:rPr>
          <w:rFonts w:ascii="Palatino Linotype" w:eastAsia="Calibri" w:hAnsi="Palatino Linotype" w:cs="Arial"/>
        </w:rPr>
        <w:t>)</w:t>
      </w:r>
      <w:r w:rsidR="005122A8" w:rsidRPr="009C0D07">
        <w:rPr>
          <w:rFonts w:ascii="Palatino Linotype" w:hAnsi="Palatino Linotype" w:cs="Arial"/>
        </w:rPr>
        <w:t xml:space="preserve"> </w:t>
      </w:r>
      <w:r w:rsidR="005122A8" w:rsidRPr="009C0D07">
        <w:rPr>
          <w:rFonts w:ascii="Palatino Linotype" w:hAnsi="Palatino Linotype"/>
        </w:rPr>
        <w:t xml:space="preserve">de </w:t>
      </w:r>
      <w:r w:rsidR="00826768" w:rsidRPr="009C0D07">
        <w:rPr>
          <w:rFonts w:ascii="Palatino Linotype" w:hAnsi="Palatino Linotype"/>
        </w:rPr>
        <w:t>noviembre</w:t>
      </w:r>
      <w:r w:rsidR="002E22A4" w:rsidRPr="009C0D07">
        <w:rPr>
          <w:rFonts w:ascii="Palatino Linotype" w:eastAsia="Calibri" w:hAnsi="Palatino Linotype" w:cs="Arial"/>
        </w:rPr>
        <w:t xml:space="preserve"> </w:t>
      </w:r>
      <w:r w:rsidR="00807ED7" w:rsidRPr="009C0D07">
        <w:rPr>
          <w:rFonts w:ascii="Palatino Linotype" w:hAnsi="Palatino Linotype"/>
        </w:rPr>
        <w:t xml:space="preserve">de </w:t>
      </w:r>
      <w:r w:rsidR="00E91B4E" w:rsidRPr="009C0D07">
        <w:rPr>
          <w:rFonts w:ascii="Palatino Linotype" w:hAnsi="Palatino Linotype"/>
        </w:rPr>
        <w:t>dos mil diecinueve</w:t>
      </w:r>
      <w:r w:rsidR="00807ED7" w:rsidRPr="009C0D07">
        <w:rPr>
          <w:rFonts w:ascii="Palatino Linotype" w:eastAsia="Calibri" w:hAnsi="Palatino Linotype" w:cs="Arial"/>
        </w:rPr>
        <w:t xml:space="preserve">, </w:t>
      </w:r>
      <w:r w:rsidR="00807ED7" w:rsidRPr="009C0D07">
        <w:rPr>
          <w:rFonts w:ascii="Palatino Linotype" w:hAnsi="Palatino Linotype" w:cs="Arial"/>
        </w:rPr>
        <w:t>de tal forma que el plazo para interponer el recurso de revisión transcurrió del día</w:t>
      </w:r>
      <w:r w:rsidR="00A84A48" w:rsidRPr="009C0D07">
        <w:rPr>
          <w:rFonts w:ascii="Palatino Linotype" w:hAnsi="Palatino Linotype" w:cs="Arial"/>
        </w:rPr>
        <w:t xml:space="preserve"> veinti</w:t>
      </w:r>
      <w:r w:rsidR="00826768" w:rsidRPr="009C0D07">
        <w:rPr>
          <w:rFonts w:ascii="Palatino Linotype" w:hAnsi="Palatino Linotype" w:cs="Arial"/>
        </w:rPr>
        <w:t xml:space="preserve">dós </w:t>
      </w:r>
      <w:r w:rsidR="005122A8" w:rsidRPr="009C0D07">
        <w:rPr>
          <w:rFonts w:ascii="Palatino Linotype" w:eastAsia="Calibri" w:hAnsi="Palatino Linotype" w:cs="Arial"/>
          <w:lang w:val="es-AR"/>
        </w:rPr>
        <w:t>(</w:t>
      </w:r>
      <w:r w:rsidR="00A84A48" w:rsidRPr="009C0D07">
        <w:rPr>
          <w:rFonts w:ascii="Palatino Linotype" w:eastAsia="Calibri" w:hAnsi="Palatino Linotype" w:cs="Arial"/>
          <w:lang w:val="es-AR"/>
        </w:rPr>
        <w:t>2</w:t>
      </w:r>
      <w:r w:rsidR="00826768" w:rsidRPr="009C0D07">
        <w:rPr>
          <w:rFonts w:ascii="Palatino Linotype" w:eastAsia="Calibri" w:hAnsi="Palatino Linotype" w:cs="Arial"/>
          <w:lang w:val="es-AR"/>
        </w:rPr>
        <w:t>2</w:t>
      </w:r>
      <w:r w:rsidR="005122A8" w:rsidRPr="009C0D07">
        <w:rPr>
          <w:rFonts w:ascii="Palatino Linotype" w:hAnsi="Palatino Linotype"/>
          <w:i/>
        </w:rPr>
        <w:t xml:space="preserve">) </w:t>
      </w:r>
      <w:r w:rsidR="00826768" w:rsidRPr="009C0D07">
        <w:rPr>
          <w:rFonts w:ascii="Palatino Linotype" w:hAnsi="Palatino Linotype"/>
        </w:rPr>
        <w:t>noviembre</w:t>
      </w:r>
      <w:r w:rsidR="00826768" w:rsidRPr="009C0D07">
        <w:rPr>
          <w:rFonts w:ascii="Palatino Linotype" w:eastAsia="Calibri" w:hAnsi="Palatino Linotype" w:cs="Arial"/>
        </w:rPr>
        <w:t xml:space="preserve"> </w:t>
      </w:r>
      <w:r w:rsidR="00807ED7" w:rsidRPr="009C0D07">
        <w:rPr>
          <w:rFonts w:ascii="Palatino Linotype" w:hAnsi="Palatino Linotype" w:cs="Arial"/>
        </w:rPr>
        <w:t xml:space="preserve">al </w:t>
      </w:r>
      <w:r w:rsidR="00A84A48" w:rsidRPr="009C0D07">
        <w:rPr>
          <w:rFonts w:ascii="Palatino Linotype" w:hAnsi="Palatino Linotype" w:cs="Arial"/>
        </w:rPr>
        <w:t>doce</w:t>
      </w:r>
      <w:r w:rsidR="00A64EAC" w:rsidRPr="009C0D07">
        <w:rPr>
          <w:rFonts w:ascii="Palatino Linotype" w:hAnsi="Palatino Linotype" w:cs="Arial"/>
        </w:rPr>
        <w:t xml:space="preserve"> </w:t>
      </w:r>
      <w:r w:rsidR="00807ED7" w:rsidRPr="009C0D07">
        <w:rPr>
          <w:rFonts w:ascii="Palatino Linotype" w:hAnsi="Palatino Linotype" w:cs="Arial"/>
        </w:rPr>
        <w:t>(</w:t>
      </w:r>
      <w:r w:rsidR="00A84A48" w:rsidRPr="009C0D07">
        <w:rPr>
          <w:rFonts w:ascii="Palatino Linotype" w:hAnsi="Palatino Linotype" w:cs="Arial"/>
        </w:rPr>
        <w:t>12</w:t>
      </w:r>
      <w:r w:rsidR="00807ED7" w:rsidRPr="009C0D07">
        <w:rPr>
          <w:rFonts w:ascii="Palatino Linotype" w:hAnsi="Palatino Linotype" w:cs="Arial"/>
        </w:rPr>
        <w:t xml:space="preserve">) de </w:t>
      </w:r>
      <w:r w:rsidR="00826768" w:rsidRPr="009C0D07">
        <w:rPr>
          <w:rFonts w:ascii="Palatino Linotype" w:hAnsi="Palatino Linotype" w:cs="Arial"/>
        </w:rPr>
        <w:t>dic</w:t>
      </w:r>
      <w:r w:rsidR="00A84A48" w:rsidRPr="009C0D07">
        <w:rPr>
          <w:rFonts w:ascii="Palatino Linotype" w:hAnsi="Palatino Linotype" w:cs="Arial"/>
        </w:rPr>
        <w:t>iembre</w:t>
      </w:r>
      <w:r w:rsidR="00807ED7" w:rsidRPr="009C0D07">
        <w:rPr>
          <w:rFonts w:ascii="Palatino Linotype" w:hAnsi="Palatino Linotype" w:cs="Arial"/>
        </w:rPr>
        <w:t xml:space="preserve"> de dos mil diecinueve;</w:t>
      </w:r>
      <w:r w:rsidR="00807ED7" w:rsidRPr="009C0D07">
        <w:rPr>
          <w:rFonts w:ascii="Palatino Linotype" w:eastAsia="Calibri" w:hAnsi="Palatino Linotype" w:cs="Arial"/>
        </w:rPr>
        <w:t xml:space="preserve"> </w:t>
      </w:r>
      <w:r w:rsidR="00807ED7" w:rsidRPr="009C0D07">
        <w:rPr>
          <w:rFonts w:ascii="Palatino Linotype" w:hAnsi="Palatino Linotype" w:cs="Arial"/>
        </w:rPr>
        <w:t xml:space="preserve">por lo que si presentó su inconformidad el día </w:t>
      </w:r>
      <w:r w:rsidR="001C1147" w:rsidRPr="009C0D07">
        <w:rPr>
          <w:rFonts w:ascii="Palatino Linotype" w:eastAsia="Calibri" w:hAnsi="Palatino Linotype" w:cs="Arial"/>
          <w:lang w:val="es-AR"/>
        </w:rPr>
        <w:t>veinti</w:t>
      </w:r>
      <w:r w:rsidR="00826768" w:rsidRPr="009C0D07">
        <w:rPr>
          <w:rFonts w:ascii="Palatino Linotype" w:eastAsia="Calibri" w:hAnsi="Palatino Linotype" w:cs="Arial"/>
          <w:lang w:val="es-AR"/>
        </w:rPr>
        <w:t xml:space="preserve">siete </w:t>
      </w:r>
      <w:r w:rsidR="00A64EAC" w:rsidRPr="009C0D07">
        <w:rPr>
          <w:rFonts w:ascii="Palatino Linotype" w:eastAsia="Calibri" w:hAnsi="Palatino Linotype" w:cs="Arial"/>
          <w:lang w:val="es-AR"/>
        </w:rPr>
        <w:t>(</w:t>
      </w:r>
      <w:r w:rsidR="001C1147" w:rsidRPr="009C0D07">
        <w:rPr>
          <w:rFonts w:ascii="Palatino Linotype" w:eastAsia="Calibri" w:hAnsi="Palatino Linotype" w:cs="Arial"/>
          <w:lang w:val="es-AR"/>
        </w:rPr>
        <w:t>2</w:t>
      </w:r>
      <w:r w:rsidR="00826768" w:rsidRPr="009C0D07">
        <w:rPr>
          <w:rFonts w:ascii="Palatino Linotype" w:eastAsia="Calibri" w:hAnsi="Palatino Linotype" w:cs="Arial"/>
          <w:lang w:val="es-AR"/>
        </w:rPr>
        <w:t>7</w:t>
      </w:r>
      <w:r w:rsidR="00A64EAC" w:rsidRPr="009C0D07">
        <w:rPr>
          <w:rFonts w:ascii="Palatino Linotype" w:hAnsi="Palatino Linotype"/>
          <w:i/>
        </w:rPr>
        <w:t xml:space="preserve">) </w:t>
      </w:r>
      <w:r w:rsidR="00A64EAC" w:rsidRPr="009C0D07">
        <w:rPr>
          <w:rFonts w:ascii="Palatino Linotype" w:hAnsi="Palatino Linotype"/>
        </w:rPr>
        <w:t xml:space="preserve">de </w:t>
      </w:r>
      <w:r w:rsidR="00826768" w:rsidRPr="009C0D07">
        <w:rPr>
          <w:rFonts w:ascii="Palatino Linotype" w:hAnsi="Palatino Linotype"/>
        </w:rPr>
        <w:t xml:space="preserve">noviembre </w:t>
      </w:r>
      <w:r w:rsidR="002E22A4" w:rsidRPr="009C0D07">
        <w:rPr>
          <w:rFonts w:ascii="Palatino Linotype" w:hAnsi="Palatino Linotype"/>
        </w:rPr>
        <w:t xml:space="preserve">de </w:t>
      </w:r>
      <w:r w:rsidR="00E91B4E" w:rsidRPr="009C0D07">
        <w:rPr>
          <w:rFonts w:ascii="Palatino Linotype" w:hAnsi="Palatino Linotype" w:cs="Arial"/>
        </w:rPr>
        <w:t>dos mil diecinueve</w:t>
      </w:r>
      <w:r w:rsidR="00807ED7" w:rsidRPr="009C0D07">
        <w:rPr>
          <w:rFonts w:ascii="Palatino Linotype" w:hAnsi="Palatino Linotype" w:cs="Arial"/>
        </w:rPr>
        <w:t xml:space="preserve">, </w:t>
      </w:r>
      <w:bookmarkStart w:id="68" w:name="_Toc495430771"/>
      <w:bookmarkStart w:id="69" w:name="_Toc517976096"/>
      <w:bookmarkStart w:id="70" w:name="_Toc458528990"/>
      <w:bookmarkStart w:id="71" w:name="_Toc473812227"/>
      <w:bookmarkEnd w:id="66"/>
      <w:bookmarkEnd w:id="67"/>
      <w:r w:rsidR="00BD051E" w:rsidRPr="009C0D07">
        <w:rPr>
          <w:rFonts w:ascii="Palatino Linotype" w:hAnsi="Palatino Linotype" w:cs="Arial"/>
          <w:color w:val="000000" w:themeColor="text1"/>
        </w:rPr>
        <w:t xml:space="preserve">éste se encuentra dentro de los márgenes temporales previstos en el artículo 178 de la </w:t>
      </w:r>
      <w:r w:rsidR="00BD051E" w:rsidRPr="009C0D07">
        <w:rPr>
          <w:rFonts w:ascii="Palatino Linotype" w:hAnsi="Palatino Linotype" w:cs="Arial"/>
          <w:b/>
          <w:color w:val="000000" w:themeColor="text1"/>
        </w:rPr>
        <w:t>Ley de Transparencia y Acceso a la Información Pública del Estado de México y Municipios.</w:t>
      </w:r>
    </w:p>
    <w:p w14:paraId="729C829B" w14:textId="77777777" w:rsidR="00BD051E" w:rsidRPr="009C0D07" w:rsidRDefault="00BD051E" w:rsidP="00BD051E">
      <w:pPr>
        <w:pStyle w:val="Prrafodelista"/>
        <w:tabs>
          <w:tab w:val="left" w:pos="567"/>
        </w:tabs>
        <w:spacing w:before="240" w:after="240" w:line="360" w:lineRule="auto"/>
        <w:ind w:left="0"/>
        <w:jc w:val="both"/>
        <w:rPr>
          <w:rFonts w:ascii="Palatino Linotype" w:hAnsi="Palatino Linotype"/>
          <w:b/>
          <w:color w:val="000000" w:themeColor="text1"/>
        </w:rPr>
      </w:pPr>
    </w:p>
    <w:bookmarkEnd w:id="68"/>
    <w:bookmarkEnd w:id="69"/>
    <w:p w14:paraId="47F13F17" w14:textId="77777777" w:rsidR="00826768" w:rsidRPr="009C0D07" w:rsidRDefault="00826768" w:rsidP="008267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C0D07">
        <w:rPr>
          <w:rFonts w:ascii="Palatino Linotype" w:hAnsi="Palatino Linotype" w:cs="Arial"/>
          <w:lang w:val="es-ES"/>
        </w:rPr>
        <w:lastRenderedPageBreak/>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9C0D07">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C0D07">
        <w:rPr>
          <w:rFonts w:ascii="Palatino Linotype" w:hAnsi="Palatino Linotype" w:cs="Arial"/>
          <w:lang w:val="es-ES_tradnl"/>
        </w:rPr>
        <w:t>artículo</w:t>
      </w:r>
      <w:r w:rsidRPr="009C0D07">
        <w:rPr>
          <w:rFonts w:ascii="Palatino Linotype" w:hAnsi="Palatino Linotype" w:cs="Arial"/>
        </w:rPr>
        <w:t xml:space="preserve"> 180 del mismo ordenamiento.</w:t>
      </w:r>
    </w:p>
    <w:p w14:paraId="0D0E1FC3" w14:textId="77777777" w:rsidR="00826768" w:rsidRPr="009C0D07" w:rsidRDefault="00826768" w:rsidP="00826768">
      <w:pPr>
        <w:pStyle w:val="Prrafodelista"/>
        <w:tabs>
          <w:tab w:val="left" w:pos="567"/>
        </w:tabs>
        <w:spacing w:line="360" w:lineRule="auto"/>
        <w:ind w:left="0"/>
        <w:jc w:val="both"/>
        <w:rPr>
          <w:rFonts w:ascii="Palatino Linotype" w:hAnsi="Palatino Linotype"/>
          <w:b/>
        </w:rPr>
      </w:pPr>
    </w:p>
    <w:p w14:paraId="71E53D79" w14:textId="77777777" w:rsidR="00826768" w:rsidRPr="009C0D07" w:rsidRDefault="00826768" w:rsidP="008267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C0D07">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2744FA9" w14:textId="77777777" w:rsidR="00826768" w:rsidRPr="009C0D07" w:rsidRDefault="00826768" w:rsidP="00826768">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320ADE2" w14:textId="77777777" w:rsidR="00826768" w:rsidRPr="009C0D07" w:rsidRDefault="00826768" w:rsidP="008267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C0D07">
        <w:rPr>
          <w:rFonts w:ascii="Palatino Linotype" w:hAnsi="Palatino Linotype" w:cs="Arial"/>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7BB8660" w14:textId="77777777" w:rsidR="00826768" w:rsidRPr="009C0D07" w:rsidRDefault="00826768" w:rsidP="00826768">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01F0876" w14:textId="77777777" w:rsidR="00826768" w:rsidRPr="009C0D07" w:rsidRDefault="00826768" w:rsidP="008267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C0D07">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1946CCF" w14:textId="77777777" w:rsidR="00826768" w:rsidRPr="009C0D07" w:rsidRDefault="00826768" w:rsidP="00826768">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61F2827" w14:textId="77777777" w:rsidR="00826768" w:rsidRPr="009C0D07" w:rsidRDefault="00826768" w:rsidP="008267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C0D07">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9C0D07">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46368814" w14:textId="77777777" w:rsidR="00BD051E" w:rsidRPr="009C0D07" w:rsidRDefault="00BD051E" w:rsidP="00B21D39">
      <w:pPr>
        <w:pStyle w:val="Prrafodelista"/>
        <w:tabs>
          <w:tab w:val="left" w:pos="567"/>
        </w:tabs>
        <w:spacing w:line="360" w:lineRule="auto"/>
        <w:ind w:left="0"/>
        <w:jc w:val="both"/>
        <w:rPr>
          <w:rFonts w:ascii="Palatino Linotype" w:hAnsi="Palatino Linotype"/>
          <w:b/>
          <w:color w:val="000000" w:themeColor="text1"/>
        </w:rPr>
      </w:pPr>
    </w:p>
    <w:p w14:paraId="6681AC91" w14:textId="4BB9891C" w:rsidR="00BD051E" w:rsidRPr="009C0D07" w:rsidRDefault="00BD051E" w:rsidP="00BD051E">
      <w:pPr>
        <w:pStyle w:val="Ttulo2"/>
        <w:spacing w:before="0"/>
        <w:rPr>
          <w:b w:val="0"/>
          <w:szCs w:val="24"/>
        </w:rPr>
      </w:pPr>
      <w:bookmarkStart w:id="72" w:name="_Toc33192140"/>
      <w:r w:rsidRPr="009C0D07">
        <w:rPr>
          <w:szCs w:val="24"/>
        </w:rPr>
        <w:lastRenderedPageBreak/>
        <w:t>TERCERO. Del planteamiento de la litis.</w:t>
      </w:r>
      <w:bookmarkEnd w:id="72"/>
    </w:p>
    <w:p w14:paraId="17C6231A" w14:textId="5F8C0A82" w:rsidR="00BD051E" w:rsidRPr="009C0D07" w:rsidRDefault="00BD051E" w:rsidP="00BD051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9C0D07">
        <w:rPr>
          <w:rFonts w:ascii="Palatino Linotype" w:hAnsi="Palatino Linotype"/>
          <w:color w:val="000000" w:themeColor="text1"/>
        </w:rPr>
        <w:t>En términos generales se manifestó la inconformidad</w:t>
      </w:r>
      <w:r w:rsidRPr="009C0D07">
        <w:rPr>
          <w:rFonts w:ascii="Palatino Linotype" w:hAnsi="Palatino Linotype"/>
          <w:b/>
          <w:color w:val="000000" w:themeColor="text1"/>
        </w:rPr>
        <w:t xml:space="preserve"> </w:t>
      </w:r>
      <w:r w:rsidRPr="009C0D07">
        <w:rPr>
          <w:rFonts w:ascii="Palatino Linotype" w:hAnsi="Palatino Linotype"/>
          <w:color w:val="000000" w:themeColor="text1"/>
        </w:rPr>
        <w:t xml:space="preserve">porque el </w:t>
      </w:r>
      <w:r w:rsidRPr="009C0D07">
        <w:rPr>
          <w:rFonts w:ascii="Palatino Linotype" w:hAnsi="Palatino Linotype"/>
          <w:b/>
          <w:color w:val="000000" w:themeColor="text1"/>
        </w:rPr>
        <w:t>SUJETO OBLIGADO</w:t>
      </w:r>
      <w:r w:rsidRPr="009C0D07">
        <w:rPr>
          <w:rFonts w:ascii="Palatino Linotype" w:hAnsi="Palatino Linotype"/>
          <w:color w:val="000000" w:themeColor="text1"/>
        </w:rPr>
        <w:t xml:space="preserve"> en </w:t>
      </w:r>
      <w:r w:rsidR="00F07A28" w:rsidRPr="009C0D07">
        <w:rPr>
          <w:rFonts w:ascii="Palatino Linotype" w:hAnsi="Palatino Linotype"/>
          <w:color w:val="000000" w:themeColor="text1"/>
        </w:rPr>
        <w:t>la</w:t>
      </w:r>
      <w:r w:rsidRPr="009C0D07">
        <w:rPr>
          <w:rFonts w:ascii="Palatino Linotype" w:hAnsi="Palatino Linotype"/>
          <w:color w:val="000000" w:themeColor="text1"/>
        </w:rPr>
        <w:t xml:space="preserve"> respuesta </w:t>
      </w:r>
      <w:r w:rsidR="00A64EAC" w:rsidRPr="009C0D07">
        <w:rPr>
          <w:rFonts w:ascii="Palatino Linotype" w:hAnsi="Palatino Linotype"/>
          <w:color w:val="000000" w:themeColor="text1"/>
        </w:rPr>
        <w:t>no se entregó la información solicitada</w:t>
      </w:r>
      <w:r w:rsidR="00F07A28" w:rsidRPr="009C0D07">
        <w:rPr>
          <w:rFonts w:ascii="Palatino Linotype" w:hAnsi="Palatino Linotype"/>
          <w:color w:val="000000" w:themeColor="text1"/>
        </w:rPr>
        <w:t xml:space="preserve">, </w:t>
      </w:r>
      <w:r w:rsidRPr="009C0D07">
        <w:rPr>
          <w:rFonts w:ascii="Palatino Linotype" w:hAnsi="Palatino Linotype" w:cs="Arial"/>
        </w:rPr>
        <w:t>por lo que se actualiza la causa</w:t>
      </w:r>
      <w:r w:rsidR="00A64EAC" w:rsidRPr="009C0D07">
        <w:rPr>
          <w:rFonts w:ascii="Palatino Linotype" w:hAnsi="Palatino Linotype" w:cs="Arial"/>
        </w:rPr>
        <w:t>l</w:t>
      </w:r>
      <w:r w:rsidRPr="009C0D07">
        <w:rPr>
          <w:rFonts w:ascii="Palatino Linotype" w:hAnsi="Palatino Linotype" w:cs="Arial"/>
        </w:rPr>
        <w:t xml:space="preserve"> de procedencia del recurso de revisión establecida en el artículo 179, </w:t>
      </w:r>
      <w:r w:rsidR="00A64EAC" w:rsidRPr="009C0D07">
        <w:rPr>
          <w:rFonts w:ascii="Palatino Linotype" w:hAnsi="Palatino Linotype" w:cs="Arial"/>
        </w:rPr>
        <w:t>fracción</w:t>
      </w:r>
      <w:r w:rsidRPr="009C0D07">
        <w:rPr>
          <w:rFonts w:ascii="Palatino Linotype" w:hAnsi="Palatino Linotype" w:cs="Arial"/>
        </w:rPr>
        <w:t xml:space="preserve"> </w:t>
      </w:r>
      <w:r w:rsidR="00A64EAC" w:rsidRPr="009C0D07">
        <w:rPr>
          <w:rFonts w:ascii="Palatino Linotype" w:hAnsi="Palatino Linotype" w:cs="Arial"/>
        </w:rPr>
        <w:t>I</w:t>
      </w:r>
      <w:r w:rsidR="00F07A28" w:rsidRPr="009C0D07">
        <w:rPr>
          <w:rFonts w:ascii="Palatino Linotype" w:hAnsi="Palatino Linotype" w:cs="Arial"/>
        </w:rPr>
        <w:t xml:space="preserve"> </w:t>
      </w:r>
      <w:r w:rsidRPr="009C0D07">
        <w:rPr>
          <w:rFonts w:ascii="Palatino Linotype" w:hAnsi="Palatino Linotype" w:cs="Arial"/>
        </w:rPr>
        <w:t xml:space="preserve">de la </w:t>
      </w:r>
      <w:r w:rsidRPr="009C0D07">
        <w:rPr>
          <w:rFonts w:ascii="Palatino Linotype" w:hAnsi="Palatino Linotype" w:cs="Arial"/>
          <w:b/>
        </w:rPr>
        <w:t>Ley de Transparencia y Acceso a la Información Pública del Estado de México y Municipios.</w:t>
      </w:r>
    </w:p>
    <w:p w14:paraId="457B534F" w14:textId="77777777" w:rsidR="00F07A28" w:rsidRPr="009C0D07" w:rsidRDefault="00F07A28" w:rsidP="00F07A28">
      <w:pPr>
        <w:pStyle w:val="Prrafodelista"/>
        <w:tabs>
          <w:tab w:val="left" w:pos="567"/>
        </w:tabs>
        <w:spacing w:before="240" w:after="240" w:line="360" w:lineRule="auto"/>
        <w:ind w:left="0"/>
        <w:jc w:val="both"/>
        <w:rPr>
          <w:rFonts w:ascii="Palatino Linotype" w:hAnsi="Palatino Linotype"/>
        </w:rPr>
      </w:pPr>
    </w:p>
    <w:p w14:paraId="753B8D65" w14:textId="0CEFE0BB" w:rsidR="00BD051E" w:rsidRPr="009C0D07" w:rsidRDefault="00BD051E" w:rsidP="00F07A2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9C0D07">
        <w:rPr>
          <w:rFonts w:ascii="Palatino Linotype" w:hAnsi="Palatino Linotype" w:cs="Arial"/>
        </w:rPr>
        <w:t xml:space="preserve">En éste caso en particular, se actualiza la </w:t>
      </w:r>
      <w:r w:rsidR="00A64EAC" w:rsidRPr="009C0D07">
        <w:rPr>
          <w:rFonts w:ascii="Palatino Linotype" w:hAnsi="Palatino Linotype" w:cs="Arial"/>
        </w:rPr>
        <w:t xml:space="preserve">fracción I </w:t>
      </w:r>
      <w:r w:rsidRPr="009C0D07">
        <w:rPr>
          <w:rFonts w:ascii="Palatino Linotype" w:hAnsi="Palatino Linotype" w:cs="Arial"/>
        </w:rPr>
        <w:t xml:space="preserve">del arábigo en cita, ya que el </w:t>
      </w:r>
      <w:r w:rsidRPr="009C0D07">
        <w:rPr>
          <w:rFonts w:ascii="Palatino Linotype" w:hAnsi="Palatino Linotype" w:cs="Arial"/>
          <w:b/>
        </w:rPr>
        <w:t>SUJETO OBLIGADO</w:t>
      </w:r>
      <w:r w:rsidRPr="009C0D07">
        <w:rPr>
          <w:rFonts w:ascii="Palatino Linotype" w:hAnsi="Palatino Linotype" w:cs="Arial"/>
        </w:rPr>
        <w:t xml:space="preserve"> no omite responder la solicitud; empero al hacerlo </w:t>
      </w:r>
      <w:r w:rsidR="00A64EAC" w:rsidRPr="009C0D07">
        <w:rPr>
          <w:rFonts w:ascii="Palatino Linotype" w:hAnsi="Palatino Linotype" w:cs="Arial"/>
        </w:rPr>
        <w:t>no hace entrega de la información solicitada</w:t>
      </w:r>
      <w:r w:rsidR="00155F3A" w:rsidRPr="009C0D07">
        <w:rPr>
          <w:rFonts w:ascii="Palatino Linotype" w:hAnsi="Palatino Linotype" w:cs="Arial"/>
        </w:rPr>
        <w:t xml:space="preserve"> argumentando medularmente que no se encuentra en posibilidad de entregar la información como lo solicita el interesado</w:t>
      </w:r>
      <w:r w:rsidR="00A64EAC" w:rsidRPr="009C0D07">
        <w:rPr>
          <w:rFonts w:ascii="Palatino Linotype" w:hAnsi="Palatino Linotype" w:cs="Arial"/>
        </w:rPr>
        <w:t>.</w:t>
      </w:r>
    </w:p>
    <w:p w14:paraId="08AC6078" w14:textId="77777777" w:rsidR="00BD051E" w:rsidRPr="009C0D07" w:rsidRDefault="00BD051E" w:rsidP="00BD051E">
      <w:pPr>
        <w:pStyle w:val="Prrafodelista"/>
        <w:tabs>
          <w:tab w:val="left" w:pos="567"/>
        </w:tabs>
        <w:spacing w:before="240" w:after="240" w:line="360" w:lineRule="auto"/>
        <w:ind w:left="0"/>
        <w:jc w:val="both"/>
        <w:rPr>
          <w:rFonts w:ascii="Palatino Linotype" w:hAnsi="Palatino Linotype"/>
        </w:rPr>
      </w:pPr>
    </w:p>
    <w:p w14:paraId="7682D60E" w14:textId="0A0AD3C4" w:rsidR="00A64EAC" w:rsidRPr="009C0D07" w:rsidRDefault="00A64EAC" w:rsidP="00E37CC8">
      <w:pPr>
        <w:pStyle w:val="Prrafodelista"/>
        <w:numPr>
          <w:ilvl w:val="0"/>
          <w:numId w:val="1"/>
        </w:numPr>
        <w:spacing w:before="240" w:after="240" w:line="360" w:lineRule="auto"/>
        <w:ind w:left="0" w:right="49" w:firstLine="0"/>
        <w:jc w:val="both"/>
        <w:rPr>
          <w:rFonts w:ascii="Palatino Linotype" w:eastAsia="Times New Roman" w:hAnsi="Palatino Linotype" w:cs="Arial"/>
          <w:i/>
          <w:iCs/>
          <w:sz w:val="22"/>
          <w:szCs w:val="22"/>
          <w:lang w:val="es-ES" w:eastAsia="es-MX"/>
        </w:rPr>
      </w:pPr>
      <w:r w:rsidRPr="009C0D07">
        <w:rPr>
          <w:rFonts w:ascii="Palatino Linotype" w:eastAsia="Calibri" w:hAnsi="Palatino Linotype" w:cs="Arial"/>
        </w:rPr>
        <w:t xml:space="preserve">Cabe señalar </w:t>
      </w:r>
      <w:r w:rsidRPr="009C0D07">
        <w:rPr>
          <w:rFonts w:ascii="Palatino Linotype" w:hAnsi="Palatino Linotype" w:cs="Arial"/>
        </w:rPr>
        <w:t xml:space="preserve">que </w:t>
      </w:r>
      <w:r w:rsidRPr="009C0D07">
        <w:rPr>
          <w:rFonts w:ascii="Palatino Linotype" w:eastAsia="Times New Roman" w:hAnsi="Palatino Linotype" w:cs="Arial"/>
          <w:lang w:val="es-ES"/>
        </w:rPr>
        <w:t>e</w:t>
      </w:r>
      <w:r w:rsidRPr="009C0D07">
        <w:rPr>
          <w:rFonts w:ascii="Palatino Linotype" w:eastAsia="Calibri" w:hAnsi="Palatino Linotype" w:cs="Arial"/>
          <w:lang w:val="es-ES"/>
        </w:rPr>
        <w:t xml:space="preserve">l </w:t>
      </w:r>
      <w:r w:rsidRPr="009C0D07">
        <w:rPr>
          <w:rFonts w:ascii="Palatino Linotype" w:hAnsi="Palatino Linotype" w:cs="Arial"/>
          <w:b/>
        </w:rPr>
        <w:t>SUJETO OBLIGADO</w:t>
      </w:r>
      <w:r w:rsidRPr="009C0D07">
        <w:rPr>
          <w:rFonts w:ascii="Palatino Linotype" w:hAnsi="Palatino Linotype" w:cs="Arial"/>
        </w:rPr>
        <w:t xml:space="preserve"> rindió su Informe justificado </w:t>
      </w:r>
      <w:r w:rsidRPr="009C0D07">
        <w:rPr>
          <w:rFonts w:ascii="Palatino Linotype" w:hAnsi="Palatino Linotype"/>
        </w:rPr>
        <w:t xml:space="preserve">para manifestar lo que a Derecho le asistiera y conviniera, </w:t>
      </w:r>
      <w:r w:rsidR="00E37CC8" w:rsidRPr="009C0D07">
        <w:rPr>
          <w:rFonts w:ascii="Palatino Linotype" w:hAnsi="Palatino Linotype"/>
        </w:rPr>
        <w:t>mismo que ya fue puesto a disposición del recurrente y será motivo de análisis en el cuerpo de la presente resolución.</w:t>
      </w:r>
    </w:p>
    <w:p w14:paraId="1DF4B288" w14:textId="77777777" w:rsidR="00E37CC8" w:rsidRPr="009C0D07" w:rsidRDefault="00E37CC8" w:rsidP="00E37CC8">
      <w:pPr>
        <w:pStyle w:val="Prrafodelista"/>
        <w:spacing w:before="240" w:after="240" w:line="360" w:lineRule="auto"/>
        <w:ind w:left="0" w:right="49"/>
        <w:jc w:val="both"/>
        <w:rPr>
          <w:rFonts w:ascii="Palatino Linotype" w:eastAsia="Times New Roman" w:hAnsi="Palatino Linotype" w:cs="Arial"/>
          <w:i/>
          <w:iCs/>
          <w:sz w:val="22"/>
          <w:szCs w:val="22"/>
          <w:lang w:val="es-ES" w:eastAsia="es-MX"/>
        </w:rPr>
      </w:pPr>
    </w:p>
    <w:p w14:paraId="6C440B70" w14:textId="232EF8D1" w:rsidR="00BD051E" w:rsidRPr="009C0D07" w:rsidRDefault="00BD051E" w:rsidP="00BD051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9C0D07">
        <w:rPr>
          <w:rFonts w:ascii="Palatino Linotype" w:eastAsia="Times New Roman" w:hAnsi="Palatino Linotype" w:cs="Arial"/>
          <w:color w:val="000000" w:themeColor="text1"/>
        </w:rPr>
        <w:t xml:space="preserve">En dichas condiciones, la </w:t>
      </w:r>
      <w:proofErr w:type="spellStart"/>
      <w:r w:rsidRPr="009C0D07">
        <w:rPr>
          <w:rFonts w:ascii="Palatino Linotype" w:eastAsia="Times New Roman" w:hAnsi="Palatino Linotype" w:cs="Arial"/>
          <w:i/>
          <w:color w:val="000000" w:themeColor="text1"/>
        </w:rPr>
        <w:t>litis</w:t>
      </w:r>
      <w:proofErr w:type="spellEnd"/>
      <w:r w:rsidRPr="009C0D07">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w:t>
      </w:r>
      <w:r w:rsidR="00AC2856" w:rsidRPr="009C0D07">
        <w:rPr>
          <w:rFonts w:ascii="Palatino Linotype" w:eastAsia="Times New Roman" w:hAnsi="Palatino Linotype" w:cs="Arial"/>
          <w:color w:val="000000" w:themeColor="text1"/>
        </w:rPr>
        <w:t xml:space="preserve"> y </w:t>
      </w:r>
      <w:r w:rsidRPr="009C0D07">
        <w:rPr>
          <w:rFonts w:ascii="Palatino Linotype" w:eastAsia="Times New Roman" w:hAnsi="Palatino Linotype" w:cs="Arial"/>
          <w:color w:val="000000" w:themeColor="text1"/>
        </w:rPr>
        <w:t xml:space="preserve">si </w:t>
      </w:r>
      <w:r w:rsidR="00CC4C57" w:rsidRPr="009C0D07">
        <w:rPr>
          <w:rFonts w:ascii="Palatino Linotype" w:eastAsia="Times New Roman" w:hAnsi="Palatino Linotype" w:cs="Arial"/>
          <w:color w:val="000000" w:themeColor="text1"/>
        </w:rPr>
        <w:t xml:space="preserve">es procedente </w:t>
      </w:r>
      <w:r w:rsidR="00CD5830" w:rsidRPr="009C0D07">
        <w:rPr>
          <w:rFonts w:ascii="Palatino Linotype" w:eastAsia="Times New Roman" w:hAnsi="Palatino Linotype" w:cs="Arial"/>
          <w:color w:val="000000" w:themeColor="text1"/>
        </w:rPr>
        <w:t xml:space="preserve">ordenar la entrega </w:t>
      </w:r>
      <w:r w:rsidR="00CC4C57" w:rsidRPr="009C0D07">
        <w:rPr>
          <w:rFonts w:ascii="Palatino Linotype" w:eastAsia="Times New Roman" w:hAnsi="Palatino Linotype" w:cs="Arial"/>
          <w:color w:val="000000" w:themeColor="text1"/>
        </w:rPr>
        <w:t xml:space="preserve">de </w:t>
      </w:r>
      <w:r w:rsidR="00CD5830" w:rsidRPr="009C0D07">
        <w:rPr>
          <w:rFonts w:ascii="Palatino Linotype" w:eastAsia="Times New Roman" w:hAnsi="Palatino Linotype" w:cs="Arial"/>
          <w:color w:val="000000" w:themeColor="text1"/>
        </w:rPr>
        <w:t xml:space="preserve">la </w:t>
      </w:r>
      <w:r w:rsidR="00CC4C57" w:rsidRPr="009C0D07">
        <w:rPr>
          <w:rFonts w:ascii="Palatino Linotype" w:eastAsia="Times New Roman" w:hAnsi="Palatino Linotype" w:cs="Arial"/>
          <w:color w:val="000000" w:themeColor="text1"/>
        </w:rPr>
        <w:t>información</w:t>
      </w:r>
      <w:r w:rsidRPr="009C0D07">
        <w:rPr>
          <w:rFonts w:ascii="Palatino Linotype" w:eastAsia="Times New Roman" w:hAnsi="Palatino Linotype" w:cs="Arial"/>
          <w:color w:val="000000" w:themeColor="text1"/>
        </w:rPr>
        <w:t>.</w:t>
      </w:r>
    </w:p>
    <w:p w14:paraId="0977C92B" w14:textId="77777777" w:rsidR="00BD051E" w:rsidRPr="009C0D07" w:rsidRDefault="00BD051E" w:rsidP="00BD051E">
      <w:pPr>
        <w:pStyle w:val="Prrafodelista"/>
        <w:spacing w:line="360" w:lineRule="auto"/>
        <w:ind w:left="0" w:right="49"/>
        <w:jc w:val="both"/>
        <w:rPr>
          <w:rFonts w:ascii="Palatino Linotype" w:hAnsi="Palatino Linotype"/>
          <w:b/>
          <w:color w:val="000000" w:themeColor="text1"/>
        </w:rPr>
      </w:pPr>
    </w:p>
    <w:p w14:paraId="536D254D" w14:textId="77777777" w:rsidR="00BD051E" w:rsidRPr="009C0D07" w:rsidRDefault="00BD051E" w:rsidP="00BD051E">
      <w:pPr>
        <w:pStyle w:val="Ttulo1"/>
        <w:rPr>
          <w:szCs w:val="24"/>
        </w:rPr>
      </w:pPr>
      <w:bookmarkStart w:id="73" w:name="_Toc492468079"/>
      <w:bookmarkStart w:id="74" w:name="_Toc2878592"/>
      <w:bookmarkStart w:id="75" w:name="_Toc3453768"/>
      <w:bookmarkStart w:id="76" w:name="_Toc21600971"/>
      <w:bookmarkStart w:id="77" w:name="_Toc33192141"/>
      <w:r w:rsidRPr="009C0D07">
        <w:rPr>
          <w:szCs w:val="24"/>
        </w:rPr>
        <w:t>CUARTO. Del estudio y resolución del asunto.</w:t>
      </w:r>
      <w:bookmarkEnd w:id="73"/>
      <w:bookmarkEnd w:id="74"/>
      <w:bookmarkEnd w:id="75"/>
      <w:bookmarkEnd w:id="76"/>
      <w:bookmarkEnd w:id="77"/>
    </w:p>
    <w:p w14:paraId="1D3CDB08" w14:textId="77777777" w:rsidR="00BD051E" w:rsidRPr="009C0D07" w:rsidRDefault="00BD051E" w:rsidP="00BD051E">
      <w:pPr>
        <w:pStyle w:val="Prrafodelista"/>
        <w:tabs>
          <w:tab w:val="left" w:pos="567"/>
        </w:tabs>
        <w:spacing w:line="360" w:lineRule="auto"/>
        <w:ind w:left="0"/>
        <w:jc w:val="both"/>
        <w:rPr>
          <w:rFonts w:ascii="Palatino Linotype" w:hAnsi="Palatino Linotype"/>
        </w:rPr>
      </w:pPr>
    </w:p>
    <w:p w14:paraId="42AB9680" w14:textId="0239AD6D" w:rsidR="00BD051E" w:rsidRPr="009C0D07" w:rsidRDefault="00BD051E" w:rsidP="00BD051E">
      <w:pPr>
        <w:pStyle w:val="Ttulo2"/>
      </w:pPr>
      <w:bookmarkStart w:id="78" w:name="_Toc495430773"/>
      <w:bookmarkStart w:id="79" w:name="_Toc521488600"/>
      <w:bookmarkStart w:id="80" w:name="_Toc3453769"/>
      <w:bookmarkStart w:id="81" w:name="_Toc21600972"/>
      <w:bookmarkStart w:id="82" w:name="_Toc33192142"/>
      <w:r w:rsidRPr="009C0D07">
        <w:lastRenderedPageBreak/>
        <w:t xml:space="preserve">I. </w:t>
      </w:r>
      <w:bookmarkEnd w:id="78"/>
      <w:r w:rsidRPr="009C0D07">
        <w:t xml:space="preserve">De la </w:t>
      </w:r>
      <w:r w:rsidR="00E85809" w:rsidRPr="009C0D07">
        <w:t xml:space="preserve">deficiencia de la </w:t>
      </w:r>
      <w:r w:rsidRPr="009C0D07">
        <w:t xml:space="preserve">respuesta </w:t>
      </w:r>
      <w:r w:rsidR="00E85809" w:rsidRPr="009C0D07">
        <w:t xml:space="preserve">enviada por </w:t>
      </w:r>
      <w:r w:rsidRPr="009C0D07">
        <w:t>el SUJETO OBLIGADO.</w:t>
      </w:r>
      <w:bookmarkEnd w:id="79"/>
      <w:bookmarkEnd w:id="80"/>
      <w:bookmarkEnd w:id="81"/>
      <w:bookmarkEnd w:id="82"/>
    </w:p>
    <w:p w14:paraId="59B04170" w14:textId="503FF3ED" w:rsidR="00852A06" w:rsidRPr="009C0D07" w:rsidRDefault="00852A06" w:rsidP="00384AD8">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9C0D07">
        <w:rPr>
          <w:rFonts w:ascii="Palatino Linotype" w:hAnsi="Palatino Linotype" w:cs="Arial"/>
        </w:rPr>
        <w:t>En primer término es necesario reiterar que</w:t>
      </w:r>
      <w:r w:rsidR="0041085F" w:rsidRPr="009C0D07">
        <w:rPr>
          <w:rFonts w:ascii="Palatino Linotype" w:hAnsi="Palatino Linotype" w:cs="Arial"/>
        </w:rPr>
        <w:t xml:space="preserve"> </w:t>
      </w:r>
      <w:r w:rsidRPr="009C0D07">
        <w:rPr>
          <w:rFonts w:ascii="Palatino Linotype" w:hAnsi="Palatino Linotype" w:cs="Arial"/>
        </w:rPr>
        <w:t xml:space="preserve">medularmente se requirió </w:t>
      </w:r>
      <w:r w:rsidR="00CD5830" w:rsidRPr="009C0D07">
        <w:rPr>
          <w:rFonts w:ascii="Palatino Linotype" w:hAnsi="Palatino Linotype" w:cs="Arial"/>
        </w:rPr>
        <w:t xml:space="preserve">lo </w:t>
      </w:r>
      <w:r w:rsidR="00384AD8" w:rsidRPr="009C0D07">
        <w:rPr>
          <w:rFonts w:ascii="Palatino Linotype" w:hAnsi="Palatino Linotype" w:cs="Arial"/>
        </w:rPr>
        <w:t>siguiente</w:t>
      </w:r>
      <w:r w:rsidRPr="009C0D07">
        <w:rPr>
          <w:rFonts w:ascii="Palatino Linotype" w:hAnsi="Palatino Linotype" w:cs="Arial"/>
        </w:rPr>
        <w:t>:</w:t>
      </w:r>
    </w:p>
    <w:p w14:paraId="5A5CAAC5" w14:textId="77777777" w:rsidR="00CD5830" w:rsidRPr="009C0D07" w:rsidRDefault="00CD5830" w:rsidP="00CD5830">
      <w:pPr>
        <w:pStyle w:val="Prrafodelista"/>
        <w:tabs>
          <w:tab w:val="left" w:pos="567"/>
        </w:tabs>
        <w:spacing w:before="240" w:after="240" w:line="360" w:lineRule="auto"/>
        <w:ind w:left="0"/>
        <w:jc w:val="both"/>
        <w:rPr>
          <w:rFonts w:ascii="Palatino Linotype" w:hAnsi="Palatino Linotype" w:cs="Arial"/>
        </w:rPr>
      </w:pPr>
    </w:p>
    <w:p w14:paraId="193262B7" w14:textId="75BB817E" w:rsidR="00E37CC8" w:rsidRPr="009C0D07" w:rsidRDefault="00CD5830" w:rsidP="007203AF">
      <w:pPr>
        <w:pStyle w:val="Prrafodelista"/>
        <w:numPr>
          <w:ilvl w:val="3"/>
          <w:numId w:val="1"/>
        </w:numPr>
        <w:tabs>
          <w:tab w:val="left" w:pos="567"/>
        </w:tabs>
        <w:spacing w:before="240" w:after="240" w:line="360" w:lineRule="auto"/>
        <w:ind w:left="567" w:right="567" w:firstLine="0"/>
        <w:jc w:val="both"/>
        <w:rPr>
          <w:rFonts w:ascii="Palatino Linotype" w:hAnsi="Palatino Linotype"/>
          <w:color w:val="000000"/>
        </w:rPr>
      </w:pPr>
      <w:r w:rsidRPr="009C0D07">
        <w:rPr>
          <w:rFonts w:ascii="Palatino Linotype" w:hAnsi="Palatino Linotype"/>
          <w:color w:val="000000"/>
        </w:rPr>
        <w:t>La información correspondiente a</w:t>
      </w:r>
      <w:r w:rsidR="00E37CC8" w:rsidRPr="009C0D07">
        <w:rPr>
          <w:rFonts w:ascii="Palatino Linotype" w:hAnsi="Palatino Linotype"/>
          <w:color w:val="000000"/>
        </w:rPr>
        <w:t xml:space="preserve"> las facturas y contratos de los bienes comprados y/o rentados </w:t>
      </w:r>
      <w:r w:rsidR="002E7FC0" w:rsidRPr="009C0D07">
        <w:rPr>
          <w:rFonts w:ascii="Palatino Linotype" w:hAnsi="Palatino Linotype"/>
          <w:color w:val="000000"/>
        </w:rPr>
        <w:t xml:space="preserve">con recursos federales y locales, </w:t>
      </w:r>
      <w:r w:rsidR="00E37CC8" w:rsidRPr="009C0D07">
        <w:rPr>
          <w:rFonts w:ascii="Palatino Linotype" w:hAnsi="Palatino Linotype"/>
          <w:color w:val="000000"/>
        </w:rPr>
        <w:t xml:space="preserve">para seguridad, </w:t>
      </w:r>
      <w:r w:rsidR="002E7FC0" w:rsidRPr="009C0D07">
        <w:rPr>
          <w:rFonts w:ascii="Palatino Linotype" w:hAnsi="Palatino Linotype"/>
          <w:color w:val="000000"/>
        </w:rPr>
        <w:t>incluidos patrullas, radios y uniformes.</w:t>
      </w:r>
    </w:p>
    <w:p w14:paraId="0C2323DE" w14:textId="0AB16ADB" w:rsidR="00CD5830" w:rsidRPr="009C0D07" w:rsidRDefault="00CD5830" w:rsidP="00E37CC8">
      <w:pPr>
        <w:pStyle w:val="Prrafodelista"/>
        <w:tabs>
          <w:tab w:val="left" w:pos="567"/>
        </w:tabs>
        <w:spacing w:before="240" w:after="240" w:line="360" w:lineRule="auto"/>
        <w:ind w:left="567" w:right="567"/>
        <w:jc w:val="both"/>
        <w:rPr>
          <w:rFonts w:ascii="Palatino Linotype" w:hAnsi="Palatino Linotype"/>
          <w:color w:val="000000"/>
        </w:rPr>
      </w:pPr>
    </w:p>
    <w:p w14:paraId="09A0FFA2" w14:textId="23EDE329" w:rsidR="00A94261" w:rsidRPr="009C0D07" w:rsidRDefault="00852A06" w:rsidP="00382121">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9C0D07">
        <w:rPr>
          <w:rFonts w:ascii="Palatino Linotype" w:eastAsia="Arial Unicode MS" w:hAnsi="Palatino Linotype" w:cs="Arial"/>
          <w:color w:val="000000" w:themeColor="text1"/>
        </w:rPr>
        <w:t xml:space="preserve">En consecuencia el </w:t>
      </w:r>
      <w:r w:rsidRPr="009C0D07">
        <w:rPr>
          <w:rFonts w:ascii="Palatino Linotype" w:eastAsia="Arial Unicode MS" w:hAnsi="Palatino Linotype" w:cs="Arial"/>
          <w:b/>
          <w:color w:val="000000" w:themeColor="text1"/>
        </w:rPr>
        <w:t>SUJETO OBLIGADO</w:t>
      </w:r>
      <w:r w:rsidRPr="009C0D07">
        <w:rPr>
          <w:rFonts w:ascii="Palatino Linotype" w:eastAsia="Arial Unicode MS" w:hAnsi="Palatino Linotype" w:cs="Arial"/>
          <w:color w:val="000000" w:themeColor="text1"/>
        </w:rPr>
        <w:t xml:space="preserve"> </w:t>
      </w:r>
      <w:r w:rsidR="007203AF" w:rsidRPr="009C0D07">
        <w:rPr>
          <w:rFonts w:ascii="Palatino Linotype" w:eastAsia="Arial Unicode MS" w:hAnsi="Palatino Linotype" w:cs="Arial"/>
          <w:color w:val="000000" w:themeColor="text1"/>
        </w:rPr>
        <w:t xml:space="preserve">a través del Tesorero Municipal </w:t>
      </w:r>
      <w:r w:rsidRPr="009C0D07">
        <w:rPr>
          <w:rFonts w:ascii="Palatino Linotype" w:eastAsia="Arial Unicode MS" w:hAnsi="Palatino Linotype" w:cs="Arial"/>
          <w:color w:val="000000" w:themeColor="text1"/>
        </w:rPr>
        <w:t xml:space="preserve">respondió </w:t>
      </w:r>
      <w:r w:rsidRPr="009C0D07">
        <w:rPr>
          <w:rFonts w:ascii="Palatino Linotype" w:eastAsia="Times New Roman" w:hAnsi="Palatino Linotype" w:cs="Arial"/>
          <w:color w:val="000000" w:themeColor="text1"/>
          <w:lang w:val="es-ES"/>
        </w:rPr>
        <w:t xml:space="preserve">a la solicitud de información </w:t>
      </w:r>
      <w:r w:rsidR="00D301C0" w:rsidRPr="009C0D07">
        <w:rPr>
          <w:rFonts w:ascii="Palatino Linotype" w:eastAsia="Times New Roman" w:hAnsi="Palatino Linotype" w:cs="Arial"/>
          <w:color w:val="000000" w:themeColor="text1"/>
          <w:lang w:val="es-ES"/>
        </w:rPr>
        <w:t xml:space="preserve">medularmente que </w:t>
      </w:r>
      <w:r w:rsidR="00D301C0" w:rsidRPr="009C0D07">
        <w:rPr>
          <w:rFonts w:ascii="Palatino Linotype" w:eastAsia="Times New Roman" w:hAnsi="Palatino Linotype" w:cs="Arial"/>
          <w:i/>
          <w:color w:val="000000" w:themeColor="text1"/>
          <w:sz w:val="22"/>
          <w:szCs w:val="22"/>
          <w:lang w:val="es-ES"/>
        </w:rPr>
        <w:t>“</w:t>
      </w:r>
      <w:r w:rsidR="007203AF" w:rsidRPr="009C0D07">
        <w:rPr>
          <w:rFonts w:ascii="Palatino Linotype" w:hAnsi="Palatino Linotype" w:cs="Arial"/>
          <w:i/>
        </w:rPr>
        <w:t>la Tesorería Municipal no se encuentra en posibilidad de entregar la información como lo solicita el interesado</w:t>
      </w:r>
      <w:r w:rsidR="00D301C0" w:rsidRPr="009C0D07">
        <w:rPr>
          <w:rFonts w:ascii="Palatino Linotype" w:eastAsia="Times New Roman" w:hAnsi="Palatino Linotype" w:cs="Arial"/>
          <w:i/>
          <w:color w:val="000000" w:themeColor="text1"/>
          <w:lang w:val="es-ES"/>
        </w:rPr>
        <w:t>”</w:t>
      </w:r>
      <w:r w:rsidR="00E85809" w:rsidRPr="009C0D07">
        <w:rPr>
          <w:rFonts w:ascii="Palatino Linotype" w:eastAsia="Times New Roman" w:hAnsi="Palatino Linotype" w:cs="Arial"/>
          <w:i/>
          <w:color w:val="000000" w:themeColor="text1"/>
          <w:lang w:val="es-ES"/>
        </w:rPr>
        <w:t>.</w:t>
      </w:r>
    </w:p>
    <w:p w14:paraId="79BEE6DE" w14:textId="77777777" w:rsidR="00E85809" w:rsidRPr="009C0D07" w:rsidRDefault="00E85809" w:rsidP="00E85809">
      <w:pPr>
        <w:pStyle w:val="Prrafodelista"/>
        <w:tabs>
          <w:tab w:val="left" w:pos="567"/>
        </w:tabs>
        <w:spacing w:before="240" w:after="240" w:line="360" w:lineRule="auto"/>
        <w:ind w:left="0"/>
        <w:jc w:val="both"/>
        <w:rPr>
          <w:rFonts w:ascii="Palatino Linotype" w:hAnsi="Palatino Linotype"/>
          <w:b/>
          <w:color w:val="000000" w:themeColor="text1"/>
        </w:rPr>
      </w:pPr>
    </w:p>
    <w:p w14:paraId="10D9E3BD" w14:textId="270AC21B" w:rsidR="003D3491" w:rsidRPr="009C0D07" w:rsidRDefault="0004352F" w:rsidP="00627226">
      <w:pPr>
        <w:pStyle w:val="Prrafodelista"/>
        <w:numPr>
          <w:ilvl w:val="0"/>
          <w:numId w:val="1"/>
        </w:numPr>
        <w:spacing w:before="240" w:after="240" w:line="360" w:lineRule="auto"/>
        <w:ind w:left="0" w:firstLine="0"/>
        <w:jc w:val="both"/>
        <w:rPr>
          <w:rFonts w:ascii="Palatino Linotype" w:hAnsi="Palatino Linotype"/>
        </w:rPr>
      </w:pPr>
      <w:r w:rsidRPr="009C0D07">
        <w:rPr>
          <w:rFonts w:ascii="Palatino Linotype" w:hAnsi="Palatino Linotype" w:cs="Arial"/>
          <w:lang w:val="es-MX"/>
        </w:rPr>
        <w:t xml:space="preserve">Sin embargo cabe destacar que </w:t>
      </w:r>
      <w:r w:rsidR="00627226" w:rsidRPr="009C0D07">
        <w:rPr>
          <w:rFonts w:ascii="Palatino Linotype" w:hAnsi="Palatino Linotype" w:cs="Arial"/>
          <w:lang w:val="es-MX"/>
        </w:rPr>
        <w:t>al realizar tales argumentos, el SUJETO OBLIGADO deja en total incertidumbre al particular al no conocer las causas o razones que conllevan a la imposibilidad de entrega.</w:t>
      </w:r>
    </w:p>
    <w:p w14:paraId="62C545DF" w14:textId="77777777" w:rsidR="00627226" w:rsidRPr="009C0D07" w:rsidRDefault="00627226" w:rsidP="00627226">
      <w:pPr>
        <w:pStyle w:val="Prrafodelista"/>
        <w:rPr>
          <w:rFonts w:ascii="Palatino Linotype" w:hAnsi="Palatino Linotype"/>
        </w:rPr>
      </w:pPr>
    </w:p>
    <w:p w14:paraId="550CE0B7" w14:textId="77777777" w:rsidR="00627226" w:rsidRPr="009C0D07" w:rsidRDefault="00627226" w:rsidP="00627226">
      <w:pPr>
        <w:numPr>
          <w:ilvl w:val="0"/>
          <w:numId w:val="1"/>
        </w:numPr>
        <w:spacing w:before="240" w:after="240" w:line="360" w:lineRule="auto"/>
        <w:ind w:left="0" w:right="49" w:firstLine="0"/>
        <w:contextualSpacing/>
        <w:jc w:val="both"/>
        <w:rPr>
          <w:rFonts w:ascii="Palatino Linotype" w:eastAsia="Calibri" w:hAnsi="Palatino Linotype" w:cs="Arial"/>
          <w:lang w:val="es-ES"/>
        </w:rPr>
      </w:pPr>
      <w:r w:rsidRPr="009C0D07">
        <w:rPr>
          <w:rFonts w:ascii="Palatino Linotype" w:eastAsia="MS Mincho" w:hAnsi="Palatino Linotype" w:cs="Times New Roman"/>
          <w:color w:val="000000"/>
        </w:rPr>
        <w:t xml:space="preserve">En ese sentido se aprecia que </w:t>
      </w:r>
      <w:r w:rsidRPr="009C0D07">
        <w:rPr>
          <w:rFonts w:ascii="Palatino Linotype" w:eastAsia="MS Mincho" w:hAnsi="Palatino Linotype" w:cs="Times New Roman"/>
        </w:rPr>
        <w:t>la información enviada mediante la respuesta no está siendo precisa, lo que implica la transgresión al derecho de acceso a la información.</w:t>
      </w:r>
    </w:p>
    <w:p w14:paraId="6A15A09F" w14:textId="77777777" w:rsidR="00627226" w:rsidRPr="009C0D07" w:rsidRDefault="00627226" w:rsidP="00627226">
      <w:pPr>
        <w:spacing w:before="240" w:line="360" w:lineRule="auto"/>
        <w:ind w:right="49"/>
        <w:contextualSpacing/>
        <w:jc w:val="both"/>
        <w:rPr>
          <w:rFonts w:ascii="Palatino Linotype" w:eastAsia="Calibri" w:hAnsi="Palatino Linotype" w:cs="Arial"/>
          <w:lang w:val="es-ES"/>
        </w:rPr>
      </w:pPr>
    </w:p>
    <w:p w14:paraId="5ABFF34A" w14:textId="77777777" w:rsidR="00627226" w:rsidRPr="009C0D07" w:rsidRDefault="00627226" w:rsidP="00627226">
      <w:pPr>
        <w:pStyle w:val="Prrafodelista"/>
        <w:numPr>
          <w:ilvl w:val="0"/>
          <w:numId w:val="1"/>
        </w:numPr>
        <w:spacing w:line="360" w:lineRule="auto"/>
        <w:ind w:left="0" w:firstLine="0"/>
        <w:jc w:val="both"/>
        <w:rPr>
          <w:rFonts w:ascii="Palatino Linotype" w:hAnsi="Palatino Linotype" w:cs="Arial"/>
        </w:rPr>
      </w:pPr>
      <w:r w:rsidRPr="009C0D07">
        <w:rPr>
          <w:rFonts w:ascii="Palatino Linotype" w:eastAsia="MS Mincho" w:hAnsi="Palatino Linotype" w:cs="Times New Roman"/>
        </w:rPr>
        <w:t>En atención a lo anterior expuesto es pertinente señalar que el párrafo primero del artículo 11 de la</w:t>
      </w:r>
      <w:r w:rsidRPr="009C0D07">
        <w:rPr>
          <w:rFonts w:ascii="Palatino Linotype" w:hAnsi="Palatino Linotype"/>
        </w:rPr>
        <w:t xml:space="preserve"> </w:t>
      </w:r>
      <w:r w:rsidRPr="009C0D07">
        <w:rPr>
          <w:rFonts w:ascii="Palatino Linotype" w:hAnsi="Palatino Linotype"/>
          <w:b/>
        </w:rPr>
        <w:t>Ley de Transparencia y Acceso a la Información Pública del Estado de México y Municipios</w:t>
      </w:r>
      <w:r w:rsidRPr="009C0D07">
        <w:rPr>
          <w:rFonts w:ascii="Palatino Linotype" w:hAnsi="Palatino Linotype"/>
        </w:rPr>
        <w:t xml:space="preserve"> , misma que dispone las formas en que </w:t>
      </w:r>
      <w:r w:rsidRPr="009C0D07">
        <w:rPr>
          <w:rFonts w:ascii="Palatino Linotype" w:hAnsi="Palatino Linotype"/>
        </w:rPr>
        <w:lastRenderedPageBreak/>
        <w:t xml:space="preserve">se habrá de generar, publicar y hacer entrega de la información al señalar que </w:t>
      </w:r>
      <w:r w:rsidRPr="009C0D07">
        <w:rPr>
          <w:rFonts w:ascii="Palatino Linotype" w:eastAsia="Calibri" w:hAnsi="Palatino Linotype" w:cs="Arial"/>
          <w:lang w:val="es-ES"/>
        </w:rPr>
        <w:t>“</w:t>
      </w:r>
      <w:r w:rsidRPr="009C0D07">
        <w:rPr>
          <w:rFonts w:ascii="Palatino Linotype" w:hAnsi="Palatino Linotype"/>
          <w:i/>
        </w:rPr>
        <w:t xml:space="preserve">En la generación, publicación y </w:t>
      </w:r>
      <w:r w:rsidRPr="009C0D07">
        <w:rPr>
          <w:rFonts w:ascii="Palatino Linotype" w:hAnsi="Palatino Linotype"/>
          <w:b/>
          <w:i/>
          <w:u w:val="single"/>
        </w:rPr>
        <w:t>entrega de información</w:t>
      </w:r>
      <w:r w:rsidRPr="009C0D07">
        <w:rPr>
          <w:rFonts w:ascii="Palatino Linotype" w:hAnsi="Palatino Linotype"/>
          <w:i/>
        </w:rPr>
        <w:t xml:space="preserve"> se deberá garantizar que ésta sea </w:t>
      </w:r>
      <w:r w:rsidRPr="009C0D07">
        <w:rPr>
          <w:rFonts w:ascii="Palatino Linotype" w:hAnsi="Palatino Linotype"/>
          <w:b/>
          <w:i/>
          <w:u w:val="single"/>
        </w:rPr>
        <w:t>accesible, actualizada, completa, congruente, confiable, verificable, veraz, integral</w:t>
      </w:r>
      <w:r w:rsidRPr="009C0D07">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D6C259A" w14:textId="77777777" w:rsidR="00627226" w:rsidRPr="009C0D07" w:rsidRDefault="00627226" w:rsidP="00E85809">
      <w:pPr>
        <w:rPr>
          <w:rFonts w:ascii="Palatino Linotype" w:eastAsia="Calibri" w:hAnsi="Palatino Linotype" w:cs="Arial"/>
          <w:u w:val="single"/>
          <w:lang w:val="es-ES"/>
        </w:rPr>
      </w:pPr>
    </w:p>
    <w:p w14:paraId="58EB4A07" w14:textId="77777777" w:rsidR="00627226" w:rsidRPr="009C0D07" w:rsidRDefault="00627226" w:rsidP="00627226">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C0D07">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9C0D07">
        <w:rPr>
          <w:rFonts w:ascii="Palatino Linotype" w:hAnsi="Palatino Linotype"/>
          <w:b/>
          <w:u w:val="single"/>
          <w:lang w:eastAsia="es-MX"/>
        </w:rPr>
        <w:t>las respuestas imprecisas</w:t>
      </w:r>
      <w:r w:rsidRPr="009C0D07">
        <w:rPr>
          <w:rFonts w:ascii="Palatino Linotype" w:hAnsi="Palatino Linotype"/>
          <w:lang w:eastAsia="es-MX"/>
        </w:rPr>
        <w:t xml:space="preserve">, incompletas, o que no corresponden a lo solicitado </w:t>
      </w:r>
      <w:r w:rsidRPr="009C0D07">
        <w:rPr>
          <w:rFonts w:ascii="Palatino Linotype" w:hAnsi="Palatino Linotype"/>
          <w:b/>
          <w:u w:val="single"/>
          <w:lang w:eastAsia="es-MX"/>
        </w:rPr>
        <w:t>generan una afectación inicial susceptible de ser reparada mediante el recurso de revisión</w:t>
      </w:r>
      <w:r w:rsidRPr="009C0D07">
        <w:rPr>
          <w:rFonts w:ascii="Palatino Linotype" w:hAnsi="Palatino Linotype"/>
          <w:lang w:eastAsia="es-MX"/>
        </w:rPr>
        <w:t>.</w:t>
      </w:r>
    </w:p>
    <w:p w14:paraId="5583DA83" w14:textId="77777777" w:rsidR="00627226" w:rsidRPr="009C0D07" w:rsidRDefault="00627226" w:rsidP="00627226">
      <w:pPr>
        <w:pStyle w:val="Prrafodelista"/>
        <w:spacing w:line="360" w:lineRule="auto"/>
        <w:ind w:left="0" w:right="49"/>
        <w:jc w:val="both"/>
        <w:rPr>
          <w:rFonts w:ascii="Palatino Linotype" w:hAnsi="Palatino Linotype"/>
          <w:color w:val="000000" w:themeColor="text1"/>
        </w:rPr>
      </w:pPr>
    </w:p>
    <w:p w14:paraId="3E62C9FA" w14:textId="1D27E9CC" w:rsidR="00627226" w:rsidRPr="009C0D07" w:rsidRDefault="00627226" w:rsidP="00627226">
      <w:pPr>
        <w:pStyle w:val="Prrafodelista"/>
        <w:numPr>
          <w:ilvl w:val="0"/>
          <w:numId w:val="1"/>
        </w:numPr>
        <w:spacing w:line="360" w:lineRule="auto"/>
        <w:ind w:left="0" w:right="49" w:firstLine="0"/>
        <w:jc w:val="both"/>
        <w:rPr>
          <w:rFonts w:ascii="Palatino Linotype" w:hAnsi="Palatino Linotype"/>
          <w:color w:val="000000" w:themeColor="text1"/>
        </w:rPr>
      </w:pPr>
      <w:r w:rsidRPr="009C0D07">
        <w:rPr>
          <w:rFonts w:ascii="Palatino Linotype" w:eastAsia="MS Mincho" w:hAnsi="Palatino Linotype" w:cs="Times New Roman"/>
          <w:color w:val="000000"/>
        </w:rPr>
        <w:t xml:space="preserve">En ese contexto, la insuficiencia de fundamentación </w:t>
      </w:r>
      <w:r w:rsidR="005636A4" w:rsidRPr="009C0D07">
        <w:rPr>
          <w:rFonts w:ascii="Palatino Linotype" w:eastAsia="MS Mincho" w:hAnsi="Palatino Linotype" w:cs="Times New Roman"/>
          <w:color w:val="000000"/>
        </w:rPr>
        <w:t xml:space="preserve">y motivación </w:t>
      </w:r>
      <w:r w:rsidRPr="009C0D07">
        <w:rPr>
          <w:rFonts w:ascii="Palatino Linotype" w:eastAsia="MS Mincho" w:hAnsi="Palatino Linotype" w:cs="Times New Roman"/>
          <w:color w:val="000000"/>
        </w:rPr>
        <w:t xml:space="preserve">se traduce en una respuesta imprecisa lo que a todas luces hace nugatorio el Derecho de acceso a la información, en ese sentido 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w:t>
      </w:r>
      <w:r w:rsidRPr="009C0D07">
        <w:rPr>
          <w:rFonts w:ascii="Palatino Linotype" w:eastAsia="MS Mincho" w:hAnsi="Palatino Linotype" w:cs="Times New Roman"/>
          <w:color w:val="000000"/>
        </w:rPr>
        <w:lastRenderedPageBreak/>
        <w:t>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C0D07">
        <w:footnoteReference w:id="1"/>
      </w:r>
    </w:p>
    <w:p w14:paraId="6EEB555B" w14:textId="77777777" w:rsidR="00627226" w:rsidRPr="009C0D07" w:rsidRDefault="00627226" w:rsidP="00627226">
      <w:pPr>
        <w:pStyle w:val="Prrafodelista"/>
        <w:spacing w:line="360" w:lineRule="auto"/>
        <w:ind w:left="0"/>
        <w:jc w:val="both"/>
        <w:rPr>
          <w:rFonts w:ascii="Palatino Linotype" w:eastAsia="MS Mincho" w:hAnsi="Palatino Linotype" w:cs="Times New Roman"/>
          <w:color w:val="000000"/>
        </w:rPr>
      </w:pPr>
    </w:p>
    <w:p w14:paraId="55368695" w14:textId="77777777" w:rsidR="00627226" w:rsidRPr="009C0D07" w:rsidRDefault="00627226" w:rsidP="00627226">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27D5EC27" w14:textId="77777777" w:rsidR="00627226" w:rsidRPr="009C0D07" w:rsidRDefault="00627226" w:rsidP="00627226">
      <w:pPr>
        <w:spacing w:line="360" w:lineRule="auto"/>
        <w:ind w:left="426"/>
        <w:contextualSpacing/>
        <w:jc w:val="both"/>
        <w:rPr>
          <w:rFonts w:ascii="Palatino Linotype" w:eastAsia="MS Mincho" w:hAnsi="Palatino Linotype" w:cs="Times New Roman"/>
          <w:color w:val="000000"/>
        </w:rPr>
      </w:pPr>
    </w:p>
    <w:p w14:paraId="54D16ED5" w14:textId="77777777" w:rsidR="00627226" w:rsidRPr="009C0D07" w:rsidRDefault="00627226" w:rsidP="00627226">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b/>
          <w:i/>
          <w:color w:val="000000"/>
          <w:sz w:val="22"/>
          <w:szCs w:val="22"/>
        </w:rPr>
        <w:t>FUNDAMENTACIÓN Y MOTIVACIÓN.</w:t>
      </w:r>
      <w:r w:rsidRPr="009C0D07">
        <w:rPr>
          <w:rFonts w:ascii="Palatino Linotype" w:eastAsia="MS Mincho" w:hAnsi="Palatino Linotype" w:cs="Times New Roman"/>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195B2FB" w14:textId="77777777" w:rsidR="00627226" w:rsidRPr="009C0D07" w:rsidRDefault="00627226" w:rsidP="00627226">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SEGUNDO TRIBUNAL COLEGIADO DEL SEXTO CIRCUITO.</w:t>
      </w:r>
    </w:p>
    <w:p w14:paraId="66FFF33D" w14:textId="77777777" w:rsidR="00627226" w:rsidRPr="009C0D07" w:rsidRDefault="00627226" w:rsidP="00627226">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Amparo directo 194/88. Bufete Industrial Construcciones, S.A. de C.V. 28 de junio de 1988. Unanimidad de votos. Ponente: Gustavo Calvillo Rangel. Secretario: Jorge Alberto González Álvarez.</w:t>
      </w:r>
    </w:p>
    <w:p w14:paraId="042363E0" w14:textId="77777777" w:rsidR="00627226" w:rsidRPr="009C0D07" w:rsidRDefault="00627226" w:rsidP="00627226">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Revisión fiscal 103/88. Instituto Mexicano del Seguro Social. 18 de octubre de 1988. Unanimidad de votos. Ponente: Arnoldo Nájera Virgen. Secretario: Alejandro </w:t>
      </w:r>
      <w:proofErr w:type="spellStart"/>
      <w:r w:rsidRPr="009C0D07">
        <w:rPr>
          <w:rFonts w:ascii="Palatino Linotype" w:eastAsia="MS Mincho" w:hAnsi="Palatino Linotype" w:cs="Times New Roman"/>
          <w:i/>
          <w:color w:val="000000"/>
          <w:sz w:val="22"/>
          <w:szCs w:val="22"/>
        </w:rPr>
        <w:t>Esponda</w:t>
      </w:r>
      <w:proofErr w:type="spellEnd"/>
      <w:r w:rsidRPr="009C0D07">
        <w:rPr>
          <w:rFonts w:ascii="Palatino Linotype" w:eastAsia="MS Mincho" w:hAnsi="Palatino Linotype" w:cs="Times New Roman"/>
          <w:i/>
          <w:color w:val="000000"/>
          <w:sz w:val="22"/>
          <w:szCs w:val="22"/>
        </w:rPr>
        <w:t xml:space="preserve"> Rincón.</w:t>
      </w:r>
    </w:p>
    <w:p w14:paraId="5CBB38DA" w14:textId="77777777" w:rsidR="00627226" w:rsidRPr="009C0D07" w:rsidRDefault="00627226" w:rsidP="00627226">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lastRenderedPageBreak/>
        <w:t xml:space="preserve">Amparo en revisión 333/88. </w:t>
      </w:r>
      <w:proofErr w:type="spellStart"/>
      <w:r w:rsidRPr="009C0D07">
        <w:rPr>
          <w:rFonts w:ascii="Palatino Linotype" w:eastAsia="MS Mincho" w:hAnsi="Palatino Linotype" w:cs="Times New Roman"/>
          <w:i/>
          <w:color w:val="000000"/>
          <w:sz w:val="22"/>
          <w:szCs w:val="22"/>
        </w:rPr>
        <w:t>Adilia</w:t>
      </w:r>
      <w:proofErr w:type="spellEnd"/>
      <w:r w:rsidRPr="009C0D07">
        <w:rPr>
          <w:rFonts w:ascii="Palatino Linotype" w:eastAsia="MS Mincho" w:hAnsi="Palatino Linotype" w:cs="Times New Roman"/>
          <w:i/>
          <w:color w:val="000000"/>
          <w:sz w:val="22"/>
          <w:szCs w:val="22"/>
        </w:rPr>
        <w:t xml:space="preserve"> Romero. 26 de octubre de 1988. Unanimidad de votos. Ponente: Arnoldo Nájera Virgen. Secretario: Enrique Crispín Campos Ramírez.</w:t>
      </w:r>
    </w:p>
    <w:p w14:paraId="1580F10B" w14:textId="77777777" w:rsidR="00627226" w:rsidRPr="009C0D07" w:rsidRDefault="00627226" w:rsidP="00627226">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Amparo en revisión 597/95. Emilio Maurer Bretón. 15 de noviembre de 1995. Unanimidad de votos. Ponente: Clementina Ramírez Moguel </w:t>
      </w:r>
      <w:proofErr w:type="spellStart"/>
      <w:r w:rsidRPr="009C0D07">
        <w:rPr>
          <w:rFonts w:ascii="Palatino Linotype" w:eastAsia="MS Mincho" w:hAnsi="Palatino Linotype" w:cs="Times New Roman"/>
          <w:i/>
          <w:color w:val="000000"/>
          <w:sz w:val="22"/>
          <w:szCs w:val="22"/>
        </w:rPr>
        <w:t>Goyzueta</w:t>
      </w:r>
      <w:proofErr w:type="spellEnd"/>
      <w:r w:rsidRPr="009C0D07">
        <w:rPr>
          <w:rFonts w:ascii="Palatino Linotype" w:eastAsia="MS Mincho" w:hAnsi="Palatino Linotype" w:cs="Times New Roman"/>
          <w:i/>
          <w:color w:val="000000"/>
          <w:sz w:val="22"/>
          <w:szCs w:val="22"/>
        </w:rPr>
        <w:t>. Secretario: Gonzalo Carrera Molina.</w:t>
      </w:r>
    </w:p>
    <w:p w14:paraId="0EABF16A" w14:textId="77777777" w:rsidR="00627226" w:rsidRPr="009C0D07" w:rsidRDefault="00627226" w:rsidP="00627226">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Amparo directo 7/96. Pedro Vicente López Miro. 21 de febrero de 1996. Unanimidad de votos. Ponente: María Eugenia Estela Martínez Cardiel. Secretario: Enrique </w:t>
      </w:r>
      <w:proofErr w:type="spellStart"/>
      <w:r w:rsidRPr="009C0D07">
        <w:rPr>
          <w:rFonts w:ascii="Palatino Linotype" w:eastAsia="MS Mincho" w:hAnsi="Palatino Linotype" w:cs="Times New Roman"/>
          <w:i/>
          <w:color w:val="000000"/>
          <w:sz w:val="22"/>
          <w:szCs w:val="22"/>
        </w:rPr>
        <w:t>Baigts</w:t>
      </w:r>
      <w:proofErr w:type="spellEnd"/>
      <w:r w:rsidRPr="009C0D07">
        <w:rPr>
          <w:rFonts w:ascii="Palatino Linotype" w:eastAsia="MS Mincho" w:hAnsi="Palatino Linotype" w:cs="Times New Roman"/>
          <w:i/>
          <w:color w:val="000000"/>
          <w:sz w:val="22"/>
          <w:szCs w:val="22"/>
        </w:rPr>
        <w:t xml:space="preserve"> Muñoz.</w:t>
      </w:r>
    </w:p>
    <w:p w14:paraId="75592EBF" w14:textId="77777777" w:rsidR="00627226" w:rsidRPr="009C0D07" w:rsidRDefault="00627226" w:rsidP="0062722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9633AE9" w14:textId="77777777" w:rsidR="00627226" w:rsidRPr="009C0D07" w:rsidRDefault="00627226" w:rsidP="00627226">
      <w:pPr>
        <w:pStyle w:val="Prrafodelista"/>
        <w:spacing w:before="240" w:after="240" w:line="360" w:lineRule="auto"/>
        <w:ind w:left="0"/>
        <w:jc w:val="both"/>
        <w:rPr>
          <w:rFonts w:ascii="Palatino Linotype" w:eastAsia="MS Mincho" w:hAnsi="Palatino Linotype" w:cs="Times New Roman"/>
          <w:color w:val="000000"/>
        </w:rPr>
      </w:pPr>
    </w:p>
    <w:p w14:paraId="6ED801A4" w14:textId="77777777" w:rsidR="00627226" w:rsidRPr="009C0D07" w:rsidRDefault="00627226" w:rsidP="0062722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79AA133" w14:textId="77777777" w:rsidR="00627226" w:rsidRPr="009C0D07" w:rsidRDefault="00627226" w:rsidP="00627226">
      <w:pPr>
        <w:pStyle w:val="Prrafodelista"/>
        <w:spacing w:line="360" w:lineRule="auto"/>
        <w:ind w:left="0" w:right="49"/>
        <w:jc w:val="both"/>
        <w:rPr>
          <w:rFonts w:ascii="Palatino Linotype" w:hAnsi="Palatino Linotype"/>
          <w:color w:val="000000" w:themeColor="text1"/>
        </w:rPr>
      </w:pPr>
    </w:p>
    <w:p w14:paraId="12270AA8" w14:textId="3AEDC326" w:rsidR="00627226" w:rsidRPr="009C0D07" w:rsidRDefault="00627226" w:rsidP="00627226">
      <w:pPr>
        <w:pStyle w:val="Prrafodelista"/>
        <w:numPr>
          <w:ilvl w:val="0"/>
          <w:numId w:val="1"/>
        </w:numPr>
        <w:spacing w:line="360" w:lineRule="auto"/>
        <w:ind w:left="0" w:right="49" w:firstLine="0"/>
        <w:jc w:val="both"/>
        <w:rPr>
          <w:rFonts w:ascii="Palatino Linotype" w:hAnsi="Palatino Linotype"/>
          <w:color w:val="000000" w:themeColor="text1"/>
        </w:rPr>
      </w:pPr>
      <w:r w:rsidRPr="009C0D07">
        <w:rPr>
          <w:rFonts w:ascii="Palatino Linotype" w:hAnsi="Palatino Linotype"/>
          <w:color w:val="000000" w:themeColor="text1"/>
        </w:rPr>
        <w:t xml:space="preserve">Por otra parte no se soslaya que en </w:t>
      </w:r>
      <w:r w:rsidR="005636A4" w:rsidRPr="009C0D07">
        <w:rPr>
          <w:rFonts w:ascii="Palatino Linotype" w:hAnsi="Palatino Linotype"/>
          <w:color w:val="000000" w:themeColor="text1"/>
        </w:rPr>
        <w:t>el acto impugnado</w:t>
      </w:r>
      <w:r w:rsidRPr="009C0D07">
        <w:rPr>
          <w:rFonts w:ascii="Palatino Linotype" w:hAnsi="Palatino Linotype"/>
          <w:color w:val="000000" w:themeColor="text1"/>
        </w:rPr>
        <w:t xml:space="preserve"> que ahora nos ocupa </w:t>
      </w:r>
      <w:r w:rsidR="005636A4" w:rsidRPr="009C0D07">
        <w:rPr>
          <w:rFonts w:ascii="Palatino Linotype" w:hAnsi="Palatino Linotype"/>
          <w:color w:val="000000" w:themeColor="text1"/>
        </w:rPr>
        <w:t xml:space="preserve">el </w:t>
      </w:r>
      <w:r w:rsidRPr="009C0D07">
        <w:rPr>
          <w:rFonts w:ascii="Palatino Linotype" w:hAnsi="Palatino Linotype"/>
          <w:color w:val="000000" w:themeColor="text1"/>
        </w:rPr>
        <w:t>particular señaló “</w:t>
      </w:r>
      <w:r w:rsidR="005636A4" w:rsidRPr="009C0D07">
        <w:rPr>
          <w:rFonts w:ascii="Palatino Linotype" w:hAnsi="Palatino Linotype"/>
          <w:i/>
          <w:color w:val="000000"/>
        </w:rPr>
        <w:t xml:space="preserve">que dicen no entregamos nada porque hay corrupción evidente y no les conviene y por ello no se atenderá la solicitud de información, porque no cumplen con la ley de transparencia del estado, a pesar de que el INFOEM ya resolvió la entrega de todo lo </w:t>
      </w:r>
      <w:r w:rsidR="005636A4" w:rsidRPr="009C0D07">
        <w:rPr>
          <w:rFonts w:ascii="Palatino Linotype" w:hAnsi="Palatino Linotype"/>
          <w:i/>
          <w:color w:val="000000"/>
        </w:rPr>
        <w:lastRenderedPageBreak/>
        <w:t>solicitado en todos los municipios</w:t>
      </w:r>
      <w:r w:rsidRPr="009C0D07">
        <w:rPr>
          <w:rFonts w:ascii="Palatino Linotype" w:hAnsi="Palatino Linotype"/>
          <w:color w:val="000000" w:themeColor="text1"/>
        </w:rPr>
        <w:t>”, por lo que c</w:t>
      </w:r>
      <w:r w:rsidRPr="009C0D07">
        <w:rPr>
          <w:rFonts w:ascii="Palatino Linotype" w:hAnsi="Palatino Linotype" w:cs="Arial"/>
        </w:rPr>
        <w:t xml:space="preserve">abe dejar en claro que esta parte en específico de </w:t>
      </w:r>
      <w:r w:rsidR="00E85809" w:rsidRPr="009C0D07">
        <w:rPr>
          <w:rFonts w:ascii="Palatino Linotype" w:hAnsi="Palatino Linotype" w:cs="Arial"/>
        </w:rPr>
        <w:t>los argumentos</w:t>
      </w:r>
      <w:r w:rsidRPr="009C0D07">
        <w:rPr>
          <w:rFonts w:ascii="Palatino Linotype" w:hAnsi="Palatino Linotype" w:cs="Arial"/>
          <w:szCs w:val="20"/>
        </w:rPr>
        <w:t xml:space="preserve"> no constituye</w:t>
      </w:r>
      <w:r w:rsidR="00E85809" w:rsidRPr="009C0D07">
        <w:rPr>
          <w:rFonts w:ascii="Palatino Linotype" w:hAnsi="Palatino Linotype" w:cs="Arial"/>
          <w:szCs w:val="20"/>
        </w:rPr>
        <w:t>n</w:t>
      </w:r>
      <w:r w:rsidRPr="009C0D07">
        <w:rPr>
          <w:rFonts w:ascii="Palatino Linotype" w:hAnsi="Palatino Linotype" w:cs="Arial"/>
          <w:szCs w:val="20"/>
        </w:rPr>
        <w:t xml:space="preserve"> un derecho de acceso a la información pública, sino más bien un derecho de expresión por versar en </w:t>
      </w:r>
      <w:r w:rsidR="005636A4" w:rsidRPr="009C0D07">
        <w:rPr>
          <w:rFonts w:ascii="Palatino Linotype" w:hAnsi="Palatino Linotype" w:cs="Arial"/>
          <w:szCs w:val="20"/>
        </w:rPr>
        <w:t>manifestaciones</w:t>
      </w:r>
      <w:r w:rsidRPr="009C0D07">
        <w:rPr>
          <w:rFonts w:ascii="Palatino Linotype" w:hAnsi="Palatino Linotype" w:cs="Arial"/>
          <w:szCs w:val="20"/>
        </w:rPr>
        <w:t xml:space="preserve"> que no tienen como propósito </w:t>
      </w:r>
      <w:r w:rsidR="005636A4" w:rsidRPr="009C0D07">
        <w:rPr>
          <w:rFonts w:ascii="Palatino Linotype" w:hAnsi="Palatino Linotype" w:cs="Arial"/>
          <w:szCs w:val="20"/>
        </w:rPr>
        <w:t xml:space="preserve">impugnar la respuesta del </w:t>
      </w:r>
      <w:r w:rsidR="005636A4" w:rsidRPr="009C0D07">
        <w:rPr>
          <w:rFonts w:ascii="Palatino Linotype" w:hAnsi="Palatino Linotype" w:cs="Arial"/>
          <w:b/>
          <w:szCs w:val="20"/>
        </w:rPr>
        <w:t>SUJETO OBLIGADO</w:t>
      </w:r>
      <w:r w:rsidRPr="009C0D07">
        <w:rPr>
          <w:rFonts w:ascii="Palatino Linotype" w:hAnsi="Palatino Linotype" w:cs="Arial"/>
          <w:szCs w:val="20"/>
        </w:rPr>
        <w:t>.</w:t>
      </w:r>
    </w:p>
    <w:p w14:paraId="7ED07C6F" w14:textId="77777777" w:rsidR="00627226" w:rsidRPr="009C0D07" w:rsidRDefault="00627226" w:rsidP="00627226">
      <w:pPr>
        <w:pStyle w:val="Prrafodelista"/>
        <w:ind w:left="0"/>
        <w:rPr>
          <w:rFonts w:ascii="Palatino Linotype" w:hAnsi="Palatino Linotype"/>
          <w:b/>
          <w:color w:val="000000" w:themeColor="text1"/>
        </w:rPr>
      </w:pPr>
    </w:p>
    <w:p w14:paraId="1F42B160" w14:textId="2FEC336A" w:rsidR="00627226" w:rsidRPr="009C0D07" w:rsidRDefault="00627226" w:rsidP="00627226">
      <w:pPr>
        <w:pStyle w:val="Prrafodelista"/>
        <w:numPr>
          <w:ilvl w:val="0"/>
          <w:numId w:val="1"/>
        </w:numPr>
        <w:spacing w:line="360" w:lineRule="auto"/>
        <w:ind w:left="0" w:right="49" w:firstLine="0"/>
        <w:jc w:val="both"/>
        <w:rPr>
          <w:rFonts w:ascii="Palatino Linotype" w:hAnsi="Palatino Linotype"/>
          <w:b/>
          <w:color w:val="000000" w:themeColor="text1"/>
        </w:rPr>
      </w:pPr>
      <w:r w:rsidRPr="009C0D07">
        <w:rPr>
          <w:rFonts w:ascii="Palatino Linotype" w:hAnsi="Palatino Linotype" w:cs="Arial"/>
          <w:szCs w:val="20"/>
        </w:rPr>
        <w:t xml:space="preserve">Lo anterior, debido a que se trata de manifestaciones subjetivas vertidos por el </w:t>
      </w:r>
      <w:r w:rsidR="005636A4" w:rsidRPr="009C0D07">
        <w:rPr>
          <w:rFonts w:ascii="Palatino Linotype" w:hAnsi="Palatino Linotype" w:cs="Arial"/>
          <w:szCs w:val="20"/>
        </w:rPr>
        <w:t>RECURRENTE</w:t>
      </w:r>
      <w:r w:rsidRPr="009C0D07">
        <w:rPr>
          <w:rFonts w:ascii="Palatino Linotype" w:hAnsi="Palatino Linotype" w:cs="Arial"/>
          <w:szCs w:val="20"/>
        </w:rPr>
        <w:t>,</w:t>
      </w:r>
      <w:r w:rsidRPr="009C0D07">
        <w:rPr>
          <w:rFonts w:ascii="Palatino Linotype" w:hAnsi="Palatino Linotype" w:cs="Arial"/>
        </w:rPr>
        <w:t xml:space="preserve"> declaraciones que no se colman con la entrega de documentos, situación que conlleva a afirmar que se está en presencia del ejercicio del derecho de expresión o bien del derecho de petición.</w:t>
      </w:r>
    </w:p>
    <w:p w14:paraId="5C9B7DE0" w14:textId="77777777" w:rsidR="00627226" w:rsidRPr="009C0D07" w:rsidRDefault="00627226" w:rsidP="00627226">
      <w:pPr>
        <w:pStyle w:val="Prrafodelista"/>
        <w:rPr>
          <w:rFonts w:ascii="Palatino Linotype" w:hAnsi="Palatino Linotype"/>
          <w:b/>
          <w:color w:val="000000" w:themeColor="text1"/>
        </w:rPr>
      </w:pPr>
    </w:p>
    <w:p w14:paraId="5438D796" w14:textId="77777777" w:rsidR="00627226" w:rsidRPr="009C0D07" w:rsidRDefault="00627226" w:rsidP="00627226">
      <w:pPr>
        <w:pStyle w:val="Prrafodelista"/>
        <w:numPr>
          <w:ilvl w:val="0"/>
          <w:numId w:val="1"/>
        </w:numPr>
        <w:spacing w:line="360" w:lineRule="auto"/>
        <w:ind w:left="0" w:right="49" w:firstLine="0"/>
        <w:jc w:val="both"/>
        <w:rPr>
          <w:rFonts w:ascii="Palatino Linotype" w:hAnsi="Palatino Linotype"/>
          <w:b/>
          <w:color w:val="000000" w:themeColor="text1"/>
        </w:rPr>
      </w:pPr>
      <w:r w:rsidRPr="009C0D07">
        <w:rPr>
          <w:rFonts w:ascii="Palatino Linotype" w:hAnsi="Palatino Linotype" w:cs="Arial"/>
        </w:rPr>
        <w:t>Así, es importante dejar en claro lo que debe entenderse por derecho de petición y por derecho de acceso a la información pública.</w:t>
      </w:r>
    </w:p>
    <w:p w14:paraId="23B36DD6" w14:textId="77777777" w:rsidR="00627226" w:rsidRPr="009C0D07" w:rsidRDefault="00627226" w:rsidP="00627226">
      <w:pPr>
        <w:pStyle w:val="Prrafodelista"/>
        <w:rPr>
          <w:rFonts w:ascii="Palatino Linotype" w:hAnsi="Palatino Linotype"/>
          <w:b/>
          <w:color w:val="000000" w:themeColor="text1"/>
        </w:rPr>
      </w:pPr>
    </w:p>
    <w:p w14:paraId="35896423" w14:textId="77777777" w:rsidR="00627226" w:rsidRPr="009C0D07" w:rsidRDefault="00627226" w:rsidP="00627226">
      <w:pPr>
        <w:pStyle w:val="Prrafodelista"/>
        <w:numPr>
          <w:ilvl w:val="0"/>
          <w:numId w:val="1"/>
        </w:numPr>
        <w:spacing w:line="360" w:lineRule="auto"/>
        <w:ind w:left="0" w:right="49" w:firstLine="0"/>
        <w:jc w:val="both"/>
        <w:rPr>
          <w:rFonts w:ascii="Palatino Linotype" w:hAnsi="Palatino Linotype"/>
          <w:b/>
          <w:color w:val="000000" w:themeColor="text1"/>
        </w:rPr>
      </w:pPr>
      <w:r w:rsidRPr="009C0D07">
        <w:rPr>
          <w:rFonts w:ascii="Palatino Linotype" w:hAnsi="Palatino Linotype" w:cs="Arial"/>
        </w:rPr>
        <w:t>Por lo que respecta a la definición de Derecho de Petición, el Maestro Ignacio Burgoa Orihuela refiere: “…</w:t>
      </w:r>
      <w:r w:rsidRPr="009C0D07">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C0D07">
        <w:rPr>
          <w:rStyle w:val="Refdenotaalpie"/>
          <w:rFonts w:ascii="Palatino Linotype" w:hAnsi="Palatino Linotype"/>
          <w:i/>
        </w:rPr>
        <w:t xml:space="preserve"> </w:t>
      </w:r>
      <w:r w:rsidRPr="009C0D07">
        <w:rPr>
          <w:rStyle w:val="Refdenotaalpie"/>
          <w:rFonts w:ascii="Palatino Linotype" w:hAnsi="Palatino Linotype"/>
          <w:i/>
        </w:rPr>
        <w:footnoteReference w:id="2"/>
      </w:r>
      <w:r w:rsidRPr="009C0D07">
        <w:rPr>
          <w:rFonts w:ascii="Palatino Linotype" w:hAnsi="Palatino Linotype"/>
          <w:i/>
        </w:rPr>
        <w:t>“</w:t>
      </w:r>
      <w:r w:rsidRPr="009C0D07">
        <w:rPr>
          <w:rFonts w:ascii="Palatino Linotype" w:hAnsi="Palatino Linotype" w:cs="Arial"/>
          <w:i/>
        </w:rPr>
        <w:t xml:space="preserve"> (Sic)</w:t>
      </w:r>
    </w:p>
    <w:p w14:paraId="72D371CC" w14:textId="77777777" w:rsidR="00627226" w:rsidRPr="009C0D07" w:rsidRDefault="00627226" w:rsidP="00627226">
      <w:pPr>
        <w:pStyle w:val="Prrafodelista"/>
        <w:rPr>
          <w:rFonts w:ascii="Palatino Linotype" w:hAnsi="Palatino Linotype"/>
          <w:b/>
          <w:color w:val="000000" w:themeColor="text1"/>
        </w:rPr>
      </w:pPr>
    </w:p>
    <w:p w14:paraId="34C18C35" w14:textId="77777777" w:rsidR="00627226" w:rsidRPr="009C0D07" w:rsidRDefault="00627226" w:rsidP="00627226">
      <w:pPr>
        <w:pStyle w:val="Prrafodelista"/>
        <w:numPr>
          <w:ilvl w:val="0"/>
          <w:numId w:val="1"/>
        </w:numPr>
        <w:spacing w:line="360" w:lineRule="auto"/>
        <w:ind w:left="0" w:right="49" w:firstLine="0"/>
        <w:jc w:val="both"/>
        <w:rPr>
          <w:rFonts w:ascii="Palatino Linotype" w:hAnsi="Palatino Linotype"/>
          <w:b/>
          <w:color w:val="000000" w:themeColor="text1"/>
        </w:rPr>
      </w:pPr>
      <w:r w:rsidRPr="009C0D07">
        <w:rPr>
          <w:rFonts w:ascii="Palatino Linotype" w:hAnsi="Palatino Linotype" w:cs="Arial"/>
        </w:rPr>
        <w:t xml:space="preserve">Por su parte, David Cienfuegos Salgado, concibe al derecho de petición como </w:t>
      </w:r>
      <w:r w:rsidRPr="009C0D07">
        <w:rPr>
          <w:rFonts w:ascii="Palatino Linotype" w:hAnsi="Palatino Linotype" w:cs="Arial"/>
          <w:i/>
        </w:rPr>
        <w:t>“el derecho de toda persona a ser escuchado por quienes ejercen el poder público.</w:t>
      </w:r>
      <w:r w:rsidRPr="009C0D07">
        <w:rPr>
          <w:rStyle w:val="Refdenotaalpie"/>
          <w:rFonts w:ascii="Palatino Linotype" w:hAnsi="Palatino Linotype"/>
          <w:i/>
        </w:rPr>
        <w:t xml:space="preserve"> </w:t>
      </w:r>
      <w:r w:rsidRPr="009C0D07">
        <w:rPr>
          <w:rStyle w:val="Refdenotaalpie"/>
          <w:rFonts w:ascii="Palatino Linotype" w:hAnsi="Palatino Linotype"/>
          <w:i/>
        </w:rPr>
        <w:footnoteReference w:id="3"/>
      </w:r>
      <w:r w:rsidRPr="009C0D07">
        <w:rPr>
          <w:rFonts w:ascii="Palatino Linotype" w:hAnsi="Palatino Linotype" w:cs="Arial"/>
          <w:i/>
        </w:rPr>
        <w:t xml:space="preserve">” (Sic) </w:t>
      </w:r>
    </w:p>
    <w:p w14:paraId="002C92B7" w14:textId="77777777" w:rsidR="00627226" w:rsidRPr="009C0D07" w:rsidRDefault="00627226" w:rsidP="00627226">
      <w:pPr>
        <w:pStyle w:val="Prrafodelista"/>
        <w:rPr>
          <w:rFonts w:ascii="Palatino Linotype" w:hAnsi="Palatino Linotype"/>
          <w:b/>
          <w:color w:val="000000" w:themeColor="text1"/>
        </w:rPr>
      </w:pPr>
    </w:p>
    <w:p w14:paraId="49053891" w14:textId="77777777" w:rsidR="00627226" w:rsidRPr="009C0D07" w:rsidRDefault="00627226" w:rsidP="00627226">
      <w:pPr>
        <w:pStyle w:val="Prrafodelista"/>
        <w:numPr>
          <w:ilvl w:val="0"/>
          <w:numId w:val="1"/>
        </w:numPr>
        <w:spacing w:line="360" w:lineRule="auto"/>
        <w:ind w:left="0" w:right="49" w:firstLine="0"/>
        <w:jc w:val="both"/>
        <w:rPr>
          <w:rFonts w:ascii="Palatino Linotype" w:hAnsi="Palatino Linotype"/>
          <w:b/>
          <w:color w:val="000000" w:themeColor="text1"/>
        </w:rPr>
      </w:pPr>
      <w:r w:rsidRPr="009C0D07">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9C0D07">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C0D07">
        <w:rPr>
          <w:rStyle w:val="Refdenotaalpie"/>
          <w:rFonts w:ascii="Palatino Linotype" w:hAnsi="Palatino Linotype"/>
          <w:i/>
        </w:rPr>
        <w:t xml:space="preserve"> </w:t>
      </w:r>
      <w:r w:rsidRPr="009C0D07">
        <w:rPr>
          <w:rStyle w:val="Refdenotaalpie"/>
          <w:rFonts w:ascii="Palatino Linotype" w:hAnsi="Palatino Linotype"/>
          <w:i/>
        </w:rPr>
        <w:footnoteReference w:id="4"/>
      </w:r>
      <w:r w:rsidRPr="009C0D07">
        <w:rPr>
          <w:rFonts w:ascii="Palatino Linotype" w:hAnsi="Palatino Linotype" w:cs="Arial"/>
          <w:i/>
        </w:rPr>
        <w:t xml:space="preserve">“(Sic) </w:t>
      </w:r>
    </w:p>
    <w:p w14:paraId="6857F475" w14:textId="77777777" w:rsidR="00627226" w:rsidRPr="009C0D07" w:rsidRDefault="00627226" w:rsidP="00627226">
      <w:pPr>
        <w:pStyle w:val="Prrafodelista"/>
        <w:rPr>
          <w:rFonts w:ascii="Palatino Linotype" w:hAnsi="Palatino Linotype"/>
          <w:b/>
          <w:color w:val="000000" w:themeColor="text1"/>
        </w:rPr>
      </w:pPr>
    </w:p>
    <w:p w14:paraId="114A164E" w14:textId="77777777" w:rsidR="00627226" w:rsidRPr="009C0D07" w:rsidRDefault="00627226" w:rsidP="00627226">
      <w:pPr>
        <w:pStyle w:val="Prrafodelista"/>
        <w:numPr>
          <w:ilvl w:val="0"/>
          <w:numId w:val="1"/>
        </w:numPr>
        <w:spacing w:line="360" w:lineRule="auto"/>
        <w:ind w:left="0" w:right="49" w:firstLine="0"/>
        <w:jc w:val="both"/>
        <w:rPr>
          <w:rFonts w:ascii="Palatino Linotype" w:hAnsi="Palatino Linotype"/>
          <w:b/>
          <w:color w:val="000000" w:themeColor="text1"/>
        </w:rPr>
      </w:pPr>
      <w:r w:rsidRPr="009C0D07">
        <w:rPr>
          <w:rFonts w:ascii="Palatino Linotype" w:eastAsia="Times New Roman" w:hAnsi="Palatino Linotype" w:cs="Arial"/>
          <w:lang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9C0D07">
        <w:rPr>
          <w:rFonts w:ascii="Palatino Linotype" w:eastAsia="Times New Roman" w:hAnsi="Palatino Linotype" w:cs="Arial"/>
          <w:lang w:eastAsia="es-MX"/>
        </w:rPr>
        <w:t>Villanueva</w:t>
      </w:r>
      <w:proofErr w:type="spellEnd"/>
      <w:r w:rsidRPr="009C0D07">
        <w:rPr>
          <w:rFonts w:ascii="Palatino Linotype" w:eastAsia="Times New Roman" w:hAnsi="Palatino Linotype" w:cs="Arial"/>
          <w:lang w:eastAsia="es-MX"/>
        </w:rPr>
        <w:t xml:space="preserve"> que dice: “</w:t>
      </w:r>
      <w:r w:rsidRPr="009C0D07">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9C0D07">
        <w:rPr>
          <w:rStyle w:val="Refdenotaalpie"/>
          <w:rFonts w:ascii="Palatino Linotype" w:eastAsia="Times New Roman" w:hAnsi="Palatino Linotype" w:cs="Arial"/>
          <w:i/>
          <w:lang w:eastAsia="es-MX"/>
        </w:rPr>
        <w:footnoteReference w:id="5"/>
      </w:r>
    </w:p>
    <w:p w14:paraId="62467418" w14:textId="77777777" w:rsidR="00627226" w:rsidRPr="009C0D07" w:rsidRDefault="00627226" w:rsidP="00627226">
      <w:pPr>
        <w:pStyle w:val="Prrafodelista"/>
        <w:rPr>
          <w:rFonts w:ascii="Palatino Linotype" w:hAnsi="Palatino Linotype"/>
          <w:b/>
          <w:color w:val="000000" w:themeColor="text1"/>
        </w:rPr>
      </w:pPr>
    </w:p>
    <w:p w14:paraId="43E09AAE" w14:textId="775D1794" w:rsidR="00627226" w:rsidRPr="009C0D07" w:rsidRDefault="00627226" w:rsidP="00627226">
      <w:pPr>
        <w:pStyle w:val="Prrafodelista"/>
        <w:numPr>
          <w:ilvl w:val="0"/>
          <w:numId w:val="1"/>
        </w:numPr>
        <w:spacing w:line="360" w:lineRule="auto"/>
        <w:ind w:left="0" w:right="49" w:firstLine="0"/>
        <w:jc w:val="both"/>
        <w:rPr>
          <w:rFonts w:ascii="Palatino Linotype" w:hAnsi="Palatino Linotype"/>
          <w:b/>
          <w:color w:val="000000" w:themeColor="text1"/>
        </w:rPr>
      </w:pPr>
      <w:r w:rsidRPr="009C0D07">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9C0D07">
        <w:rPr>
          <w:rFonts w:ascii="Palatino Linotype" w:eastAsia="Times New Roman" w:hAnsi="Palatino Linotype" w:cs="Arial"/>
          <w:color w:val="000000"/>
          <w:lang w:eastAsia="es-MX"/>
        </w:rPr>
        <w:t xml:space="preserve">la pretensión del peticionario consiste generalmente en obligar </w:t>
      </w:r>
      <w:r w:rsidRPr="009C0D07">
        <w:rPr>
          <w:rFonts w:ascii="Palatino Linotype" w:eastAsia="Times New Roman" w:hAnsi="Palatino Linotype" w:cs="Arial"/>
          <w:color w:val="000000"/>
          <w:lang w:eastAsia="es-MX"/>
        </w:rPr>
        <w:lastRenderedPageBreak/>
        <w:t xml:space="preserve">a la autoridad responsable a que actúe en el sentido de contestar lo solicitado; mientras que en el </w:t>
      </w:r>
      <w:r w:rsidRPr="009C0D07">
        <w:rPr>
          <w:rFonts w:ascii="Palatino Linotype" w:hAnsi="Palatino Linotype" w:cs="Arial"/>
          <w:bCs/>
          <w:lang w:eastAsia="es-CO"/>
        </w:rPr>
        <w:t>segundo supuesto, se encamina primordialmente a</w:t>
      </w:r>
      <w:r w:rsidRPr="009C0D07">
        <w:rPr>
          <w:rFonts w:ascii="Palatino Linotype" w:hAnsi="Palatino Linotype" w:cs="Arial"/>
        </w:rPr>
        <w:t xml:space="preserve"> permitir el </w:t>
      </w:r>
      <w:r w:rsidRPr="009C0D07">
        <w:rPr>
          <w:rFonts w:ascii="Palatino Linotype" w:hAnsi="Palatino Linotype" w:cs="Arial"/>
          <w:lang w:eastAsia="es-CO"/>
        </w:rPr>
        <w:t xml:space="preserve">acceso a datos, registros y todo tipo de información pública </w:t>
      </w:r>
      <w:r w:rsidRPr="009C0D07">
        <w:rPr>
          <w:rFonts w:ascii="Palatino Linotype" w:hAnsi="Palatino Linotype" w:cs="Arial"/>
          <w:b/>
          <w:lang w:eastAsia="es-CO"/>
        </w:rPr>
        <w:t>que conste en documentos</w:t>
      </w:r>
      <w:r w:rsidRPr="009C0D07">
        <w:rPr>
          <w:rFonts w:ascii="Palatino Linotype" w:hAnsi="Palatino Linotype" w:cs="Arial"/>
          <w:lang w:eastAsia="es-CO"/>
        </w:rPr>
        <w:t xml:space="preserve">, sea generada o se encuentre en posesión de </w:t>
      </w:r>
      <w:r w:rsidR="005636A4" w:rsidRPr="009C0D07">
        <w:rPr>
          <w:rFonts w:ascii="Palatino Linotype" w:hAnsi="Palatino Linotype" w:cs="Arial"/>
        </w:rPr>
        <w:t>la autoridad.</w:t>
      </w:r>
    </w:p>
    <w:p w14:paraId="39121E26" w14:textId="77777777" w:rsidR="003D3491" w:rsidRPr="009C0D07" w:rsidRDefault="003D3491" w:rsidP="003D3491">
      <w:pPr>
        <w:pStyle w:val="Prrafodelista"/>
        <w:tabs>
          <w:tab w:val="left" w:pos="0"/>
        </w:tabs>
        <w:spacing w:line="360" w:lineRule="auto"/>
        <w:ind w:left="0" w:right="49"/>
        <w:jc w:val="both"/>
        <w:rPr>
          <w:rFonts w:ascii="Palatino Linotype" w:eastAsia="MS Mincho" w:hAnsi="Palatino Linotype" w:cs="Times New Roman"/>
          <w:color w:val="000000"/>
        </w:rPr>
      </w:pPr>
    </w:p>
    <w:p w14:paraId="071B6EE0" w14:textId="77777777" w:rsidR="003D3491" w:rsidRPr="009C0D07" w:rsidRDefault="003D3491" w:rsidP="003D349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C0D07">
        <w:rPr>
          <w:rFonts w:ascii="Palatino Linotype" w:eastAsia="Times New Roman" w:hAnsi="Palatino Linotype"/>
        </w:rPr>
        <w:t xml:space="preserve">En este orden de ideas, la </w:t>
      </w:r>
      <w:r w:rsidRPr="009C0D07">
        <w:rPr>
          <w:rFonts w:ascii="Palatino Linotype" w:eastAsia="Times New Roman" w:hAnsi="Palatino Linotype"/>
          <w:b/>
        </w:rPr>
        <w:t xml:space="preserve">Ley de Transparencia y Acceso a la Información Pública del Estado de México y Municipios, </w:t>
      </w:r>
      <w:r w:rsidRPr="009C0D07">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9C0D07">
        <w:rPr>
          <w:rFonts w:ascii="Palatino Linotype" w:eastAsia="Times New Roman" w:hAnsi="Palatino Linotype"/>
          <w:b/>
        </w:rPr>
        <w:t xml:space="preserve"> </w:t>
      </w:r>
      <w:r w:rsidRPr="009C0D07">
        <w:rPr>
          <w:rFonts w:ascii="Palatino Linotype" w:eastAsia="Times New Roman" w:hAnsi="Palatino Linotype"/>
        </w:rPr>
        <w:t xml:space="preserve">establece que </w:t>
      </w:r>
      <w:r w:rsidRPr="009C0D07">
        <w:rPr>
          <w:rFonts w:ascii="Palatino Linotype" w:eastAsia="Times New Roman" w:hAnsi="Palatino Linotype"/>
          <w:i/>
        </w:rPr>
        <w:t xml:space="preserve">el </w:t>
      </w:r>
      <w:r w:rsidRPr="009C0D07">
        <w:rPr>
          <w:rFonts w:ascii="Palatino Linotype" w:eastAsia="Times New Roman" w:hAnsi="Palatino Linotype"/>
          <w:i/>
          <w:u w:val="single"/>
        </w:rPr>
        <w:t>recurso de revisión</w:t>
      </w:r>
      <w:r w:rsidRPr="009C0D07">
        <w:rPr>
          <w:rFonts w:ascii="Palatino Linotype" w:eastAsia="Times New Roman" w:hAnsi="Palatino Linotype"/>
          <w:i/>
        </w:rPr>
        <w:t xml:space="preserve"> es la garantía secundaria mediante la cual se pretende reparar cualquier posible afectación al derecho de acceso a la información pública</w:t>
      </w:r>
      <w:r w:rsidRPr="009C0D07">
        <w:rPr>
          <w:rFonts w:ascii="Palatino Linotype" w:eastAsia="Times New Roman" w:hAnsi="Palatino Linotype"/>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0322A57" w14:textId="77777777" w:rsidR="000259E5" w:rsidRPr="009C0D07" w:rsidRDefault="000259E5" w:rsidP="003D3491">
      <w:pPr>
        <w:pStyle w:val="Prrafodelista"/>
        <w:spacing w:before="240" w:after="240" w:line="360" w:lineRule="auto"/>
        <w:ind w:left="0" w:right="49"/>
        <w:jc w:val="both"/>
        <w:rPr>
          <w:rFonts w:ascii="Palatino Linotype" w:eastAsia="Calibri" w:hAnsi="Palatino Linotype" w:cs="Arial"/>
          <w:u w:val="single"/>
          <w:lang w:val="es-ES"/>
        </w:rPr>
      </w:pPr>
    </w:p>
    <w:p w14:paraId="1F8EEFF3" w14:textId="77777777" w:rsidR="000259E5" w:rsidRPr="009C0D07" w:rsidRDefault="000259E5" w:rsidP="000259E5">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C0D07">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las respuestas imprecisas, incompletas, o que no corresponden a lo solicitado </w:t>
      </w:r>
      <w:r w:rsidRPr="009C0D07">
        <w:rPr>
          <w:rFonts w:ascii="Palatino Linotype" w:hAnsi="Palatino Linotype"/>
          <w:b/>
          <w:u w:val="single"/>
          <w:lang w:eastAsia="es-MX"/>
        </w:rPr>
        <w:t>generan una afectación inicial susceptible de ser reparada mediante el recurso de revisión</w:t>
      </w:r>
      <w:r w:rsidRPr="009C0D07">
        <w:rPr>
          <w:rFonts w:ascii="Palatino Linotype" w:hAnsi="Palatino Linotype"/>
          <w:lang w:eastAsia="es-MX"/>
        </w:rPr>
        <w:t>.</w:t>
      </w:r>
    </w:p>
    <w:p w14:paraId="26507E0B" w14:textId="77777777" w:rsidR="0004352F" w:rsidRPr="009C0D07" w:rsidRDefault="0004352F" w:rsidP="00BC056C">
      <w:pPr>
        <w:pStyle w:val="Prrafodelista"/>
        <w:spacing w:before="240" w:after="240" w:line="360" w:lineRule="auto"/>
        <w:ind w:left="0" w:right="49"/>
        <w:jc w:val="both"/>
        <w:rPr>
          <w:rFonts w:ascii="Palatino Linotype" w:eastAsia="Calibri" w:hAnsi="Palatino Linotype" w:cs="Arial"/>
          <w:u w:val="single"/>
          <w:lang w:val="es-ES"/>
        </w:rPr>
      </w:pPr>
    </w:p>
    <w:p w14:paraId="2BAD8775" w14:textId="1A50C550" w:rsidR="00027AA6" w:rsidRPr="009C0D07" w:rsidRDefault="00027AA6" w:rsidP="00027AA6">
      <w:pPr>
        <w:pStyle w:val="Ttulo2"/>
      </w:pPr>
      <w:bookmarkStart w:id="83" w:name="_Toc33192143"/>
      <w:r w:rsidRPr="009C0D07">
        <w:lastRenderedPageBreak/>
        <w:t>II. De las atribuciones del SUJETO OBLIGADO.</w:t>
      </w:r>
      <w:bookmarkEnd w:id="83"/>
    </w:p>
    <w:p w14:paraId="3C540D28" w14:textId="77777777" w:rsidR="00027AA6" w:rsidRPr="009C0D07" w:rsidRDefault="00027AA6" w:rsidP="00027AA6">
      <w:pPr>
        <w:pStyle w:val="Prrafodelista"/>
        <w:tabs>
          <w:tab w:val="left" w:pos="567"/>
        </w:tabs>
        <w:spacing w:before="240" w:after="240" w:line="360" w:lineRule="auto"/>
        <w:ind w:left="0"/>
        <w:jc w:val="both"/>
        <w:rPr>
          <w:rFonts w:ascii="Palatino Linotype" w:hAnsi="Palatino Linotype"/>
        </w:rPr>
      </w:pPr>
    </w:p>
    <w:p w14:paraId="168DBE36" w14:textId="5977E0B2" w:rsidR="006D3940" w:rsidRPr="009C0D07" w:rsidRDefault="006D3940" w:rsidP="006D3940">
      <w:pPr>
        <w:pStyle w:val="Prrafodelista"/>
        <w:numPr>
          <w:ilvl w:val="0"/>
          <w:numId w:val="1"/>
        </w:numPr>
        <w:spacing w:line="360" w:lineRule="auto"/>
        <w:ind w:left="0" w:firstLine="0"/>
        <w:jc w:val="both"/>
        <w:rPr>
          <w:rFonts w:ascii="Times New Roman" w:eastAsia="Times New Roman" w:hAnsi="Times New Roman" w:cs="Times New Roman"/>
          <w:lang w:val="es-MX" w:eastAsia="es-MX"/>
        </w:rPr>
      </w:pPr>
      <w:r w:rsidRPr="009C0D07">
        <w:rPr>
          <w:rFonts w:ascii="Palatino Linotype" w:hAnsi="Palatino Linotype" w:cs="Arial"/>
          <w:color w:val="000000" w:themeColor="text1"/>
        </w:rPr>
        <w:t xml:space="preserve">No se soslaya que el particular en sus motivos de inconformidad también manifestó </w:t>
      </w:r>
      <w:r w:rsidRPr="009C0D07">
        <w:rPr>
          <w:rFonts w:ascii="Palatino Linotype" w:hAnsi="Palatino Linotype" w:cs="Arial"/>
          <w:i/>
          <w:color w:val="000000" w:themeColor="text1"/>
        </w:rPr>
        <w:t>“</w:t>
      </w:r>
      <w:r w:rsidRPr="009C0D07">
        <w:rPr>
          <w:rFonts w:ascii="Palatino Linotype" w:eastAsia="Times New Roman" w:hAnsi="Palatino Linotype" w:cs="Times New Roman"/>
          <w:i/>
          <w:lang w:val="es-MX" w:eastAsia="es-MX"/>
        </w:rPr>
        <w:t>para vista de la contraloría</w:t>
      </w:r>
      <w:r w:rsidRPr="009C0D07">
        <w:rPr>
          <w:rFonts w:ascii="Palatino Linotype" w:hAnsi="Palatino Linotype" w:cs="Arial"/>
          <w:i/>
          <w:color w:val="000000" w:themeColor="text1"/>
        </w:rPr>
        <w:t>”.</w:t>
      </w:r>
    </w:p>
    <w:p w14:paraId="56C6D955" w14:textId="77777777" w:rsidR="006D3940" w:rsidRPr="009C0D07" w:rsidRDefault="006D3940" w:rsidP="006D3940">
      <w:pPr>
        <w:pStyle w:val="Prrafodelista"/>
        <w:spacing w:before="240" w:after="240" w:line="360" w:lineRule="auto"/>
        <w:ind w:left="0" w:right="49"/>
        <w:jc w:val="both"/>
        <w:rPr>
          <w:rFonts w:ascii="Palatino Linotype" w:hAnsi="Palatino Linotype" w:cs="Arial"/>
          <w:color w:val="000000" w:themeColor="text1"/>
        </w:rPr>
      </w:pPr>
    </w:p>
    <w:p w14:paraId="258C892B" w14:textId="251C6067" w:rsidR="006D3940" w:rsidRPr="009C0D07" w:rsidRDefault="006D3940" w:rsidP="006D3940">
      <w:pPr>
        <w:pStyle w:val="Prrafodelista"/>
        <w:numPr>
          <w:ilvl w:val="0"/>
          <w:numId w:val="1"/>
        </w:numPr>
        <w:spacing w:before="240" w:after="240" w:line="360" w:lineRule="auto"/>
        <w:ind w:left="0" w:right="49" w:firstLine="0"/>
        <w:jc w:val="both"/>
        <w:rPr>
          <w:rFonts w:ascii="Palatino Linotype" w:hAnsi="Palatino Linotype" w:cs="Arial"/>
          <w:i/>
          <w:color w:val="000000" w:themeColor="text1"/>
        </w:rPr>
      </w:pPr>
      <w:r w:rsidRPr="009C0D07">
        <w:rPr>
          <w:rFonts w:ascii="Palatino Linotype" w:eastAsia="MS Mincho" w:hAnsi="Palatino Linotype" w:cs="Arial"/>
          <w:color w:val="000000"/>
        </w:rPr>
        <w:t xml:space="preserve">En atención a ello </w:t>
      </w:r>
      <w:r w:rsidRPr="009C0D07">
        <w:rPr>
          <w:rFonts w:ascii="Palatino Linotype" w:hAnsi="Palatino Linotype" w:cs="Arial"/>
        </w:rPr>
        <w:t xml:space="preserve">en primer término es necesario reiterar que si bien es cierto que en sus motivos de inconformidad no se adolece de la información no entregada </w:t>
      </w:r>
      <w:r w:rsidRPr="009C0D07">
        <w:rPr>
          <w:rFonts w:ascii="Palatino Linotype" w:eastAsia="Calibri" w:hAnsi="Palatino Linotype" w:cs="Arial"/>
          <w:b/>
          <w:u w:val="single"/>
          <w:lang w:val="es-ES"/>
        </w:rPr>
        <w:t>también lo es</w:t>
      </w:r>
      <w:r w:rsidRPr="009C0D07">
        <w:rPr>
          <w:rFonts w:ascii="Palatino Linotype" w:eastAsia="Calibri" w:hAnsi="Palatino Linotype" w:cs="Arial"/>
          <w:i/>
          <w:lang w:val="es-ES"/>
        </w:rPr>
        <w:t xml:space="preserve"> </w:t>
      </w:r>
      <w:r w:rsidRPr="009C0D07">
        <w:rPr>
          <w:rFonts w:ascii="Palatino Linotype" w:eastAsia="Calibri" w:hAnsi="Palatino Linotype" w:cs="Arial"/>
          <w:lang w:val="es-ES"/>
        </w:rPr>
        <w:t xml:space="preserve">que </w:t>
      </w:r>
      <w:r w:rsidRPr="009C0D07">
        <w:rPr>
          <w:rFonts w:ascii="Palatino Linotype" w:hAnsi="Palatino Linotype"/>
          <w:lang w:eastAsia="es-MX"/>
        </w:rPr>
        <w:t xml:space="preserve">resulta procedente suplir la deficiencia de la queja y asumir que se requiere la información señalada en la solicitud planteada </w:t>
      </w:r>
      <w:proofErr w:type="spellStart"/>
      <w:r w:rsidRPr="009C0D07">
        <w:rPr>
          <w:rFonts w:ascii="Palatino Linotype" w:hAnsi="Palatino Linotype"/>
          <w:lang w:eastAsia="es-MX"/>
        </w:rPr>
        <w:t>inicialemente</w:t>
      </w:r>
      <w:proofErr w:type="spellEnd"/>
      <w:r w:rsidRPr="009C0D07">
        <w:rPr>
          <w:rFonts w:ascii="Palatino Linotype" w:hAnsi="Palatino Linotype"/>
          <w:lang w:eastAsia="es-MX"/>
        </w:rPr>
        <w:t xml:space="preserve"> y que no fue colmada, en términos de la </w:t>
      </w:r>
      <w:r w:rsidRPr="009C0D07">
        <w:rPr>
          <w:rFonts w:ascii="Palatino Linotype" w:hAnsi="Palatino Linotype"/>
          <w:b/>
          <w:lang w:eastAsia="es-MX"/>
        </w:rPr>
        <w:t>Ley de Transparencia y Acceso a la Información Pública del Estado de México y Municipios</w:t>
      </w:r>
      <w:r w:rsidRPr="009C0D07">
        <w:rPr>
          <w:rFonts w:ascii="Palatino Linotype" w:hAnsi="Palatino Linotype"/>
          <w:lang w:eastAsia="es-MX"/>
        </w:rPr>
        <w:t xml:space="preserve">, concretamente en sus artículos 13, y 181 </w:t>
      </w:r>
      <w:r w:rsidR="00BC056C" w:rsidRPr="009C0D07">
        <w:rPr>
          <w:rFonts w:ascii="Palatino Linotype" w:hAnsi="Palatino Linotype"/>
          <w:lang w:eastAsia="es-MX"/>
        </w:rPr>
        <w:t xml:space="preserve">párrafo IV, </w:t>
      </w:r>
      <w:r w:rsidRPr="009C0D07">
        <w:rPr>
          <w:rFonts w:ascii="Palatino Linotype" w:hAnsi="Palatino Linotype"/>
          <w:lang w:eastAsia="es-MX"/>
        </w:rPr>
        <w:t>donde se señala el deber de este Instituto de suplir cualquier deficiencia para garantizar el derecho de acceso a la información a favor de los recurrentes sin cambiar los hechos expuestos; tal y como se lee a continuación:</w:t>
      </w:r>
    </w:p>
    <w:p w14:paraId="1B76F0B1" w14:textId="77777777" w:rsidR="006D3940" w:rsidRPr="009C0D07" w:rsidRDefault="006D3940" w:rsidP="006D3940">
      <w:pPr>
        <w:pStyle w:val="Prrafodelista"/>
        <w:shd w:val="clear" w:color="auto" w:fill="FFFFFF"/>
        <w:spacing w:line="360" w:lineRule="auto"/>
        <w:ind w:left="0"/>
        <w:jc w:val="both"/>
        <w:rPr>
          <w:rFonts w:ascii="Palatino Linotype" w:hAnsi="Palatino Linotype"/>
          <w:color w:val="000000" w:themeColor="text1"/>
        </w:rPr>
      </w:pPr>
    </w:p>
    <w:p w14:paraId="3CFC8760" w14:textId="77777777" w:rsidR="006D3940" w:rsidRPr="009C0D07" w:rsidRDefault="006D3940" w:rsidP="006D3940">
      <w:pPr>
        <w:shd w:val="clear" w:color="auto" w:fill="FFFFFF"/>
        <w:spacing w:after="240" w:line="360" w:lineRule="auto"/>
        <w:ind w:left="567" w:right="567"/>
        <w:jc w:val="both"/>
        <w:rPr>
          <w:rFonts w:ascii="Palatino Linotype" w:hAnsi="Palatino Linotype"/>
          <w:i/>
          <w:iCs/>
          <w:sz w:val="22"/>
          <w:szCs w:val="22"/>
          <w:lang w:eastAsia="es-MX"/>
        </w:rPr>
      </w:pPr>
      <w:r w:rsidRPr="009C0D07">
        <w:rPr>
          <w:rFonts w:ascii="Palatino Linotype" w:hAnsi="Palatino Linotype"/>
          <w:b/>
          <w:bCs/>
          <w:i/>
          <w:iCs/>
          <w:sz w:val="22"/>
          <w:szCs w:val="22"/>
          <w:lang w:eastAsia="es-MX"/>
        </w:rPr>
        <w:t>Artículo 13</w:t>
      </w:r>
      <w:r w:rsidRPr="009C0D07">
        <w:rPr>
          <w:rFonts w:ascii="Palatino Linotype" w:hAnsi="Palatino Linotype"/>
          <w:i/>
          <w:iCs/>
          <w:sz w:val="22"/>
          <w:szCs w:val="22"/>
          <w:lang w:eastAsia="es-MX"/>
        </w:rPr>
        <w:t>. El Instituto, en el ámbito de sus atribuciones, deberá suplir cualquier deficiencia para garantizar el ejercicio del derecho de acceso a la información.</w:t>
      </w:r>
    </w:p>
    <w:p w14:paraId="5250F91F" w14:textId="5D9954C2" w:rsidR="00BC056C" w:rsidRPr="009C0D07" w:rsidRDefault="00BC056C" w:rsidP="00BC056C">
      <w:pPr>
        <w:shd w:val="clear" w:color="auto" w:fill="FFFFFF"/>
        <w:spacing w:after="240" w:line="360" w:lineRule="auto"/>
        <w:ind w:left="567" w:right="567"/>
        <w:jc w:val="both"/>
        <w:rPr>
          <w:rFonts w:ascii="Palatino Linotype" w:hAnsi="Palatino Linotype"/>
          <w:i/>
          <w:iCs/>
          <w:sz w:val="22"/>
          <w:szCs w:val="22"/>
          <w:lang w:eastAsia="es-MX"/>
        </w:rPr>
      </w:pPr>
      <w:r w:rsidRPr="009C0D07">
        <w:rPr>
          <w:rFonts w:ascii="Palatino Linotype" w:hAnsi="Palatino Linotype"/>
          <w:i/>
          <w:iCs/>
          <w:sz w:val="22"/>
          <w:szCs w:val="22"/>
          <w:lang w:eastAsia="es-MX"/>
        </w:rPr>
        <w:t>Artículo 181…</w:t>
      </w:r>
    </w:p>
    <w:p w14:paraId="2C0B0ACF" w14:textId="5E557C01" w:rsidR="00BC056C" w:rsidRPr="009C0D07" w:rsidRDefault="00BC056C" w:rsidP="006D3940">
      <w:pPr>
        <w:shd w:val="clear" w:color="auto" w:fill="FFFFFF"/>
        <w:spacing w:after="240" w:line="360" w:lineRule="auto"/>
        <w:ind w:left="567" w:right="567"/>
        <w:jc w:val="both"/>
        <w:rPr>
          <w:rFonts w:ascii="Palatino Linotype" w:hAnsi="Palatino Linotype"/>
          <w:i/>
          <w:iCs/>
          <w:sz w:val="22"/>
          <w:szCs w:val="22"/>
          <w:lang w:eastAsia="es-MX"/>
        </w:rPr>
      </w:pPr>
      <w:r w:rsidRPr="009C0D07">
        <w:rPr>
          <w:rFonts w:ascii="Palatino Linotype" w:hAnsi="Palatino Linotype"/>
          <w:i/>
          <w:iCs/>
          <w:sz w:val="22"/>
          <w:szCs w:val="22"/>
          <w:lang w:eastAsia="es-MX"/>
        </w:rPr>
        <w:t>Durante el procedimiento deberá aplicarse la suplencia de la queja a favor del recurrente, sin cambiar los hechos expuestos, asegurándose de que las partes puedan presentar, de manera oral o escrita, los argumentos que funden y motiven sus pretensiones.</w:t>
      </w:r>
    </w:p>
    <w:p w14:paraId="0900E931" w14:textId="05E34387" w:rsidR="00BC056C" w:rsidRPr="009C0D07" w:rsidRDefault="006D3940" w:rsidP="00BC056C">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r w:rsidRPr="009C0D07">
        <w:rPr>
          <w:rFonts w:ascii="Palatino Linotype" w:hAnsi="Palatino Linotype" w:cs="Arial"/>
        </w:rPr>
        <w:lastRenderedPageBreak/>
        <w:t xml:space="preserve">Por lo tanto, como resultado de observar la solicitud de información, así como de las razones o motivos de inconformidad expuestas, el </w:t>
      </w:r>
      <w:r w:rsidRPr="009C0D07">
        <w:rPr>
          <w:rFonts w:ascii="Palatino Linotype" w:hAnsi="Palatino Linotype"/>
        </w:rPr>
        <w:t xml:space="preserve">Pleno de este Instituto como garante del derecho de acceso a la información pública en términos de lo dispuesto por los artículos 13 y 181, penúltimo párrafo de la </w:t>
      </w:r>
      <w:r w:rsidRPr="009C0D07">
        <w:rPr>
          <w:rFonts w:ascii="Palatino Linotype" w:hAnsi="Palatino Linotype"/>
          <w:b/>
        </w:rPr>
        <w:t>Ley de Transparencia y Acceso a la Información Pública del Estado de México y Municipios</w:t>
      </w:r>
      <w:r w:rsidRPr="009C0D07">
        <w:rPr>
          <w:rFonts w:ascii="Palatino Linotype" w:hAnsi="Palatino Linotype"/>
        </w:rPr>
        <w:t>, aplica la suplencia de la queja en favor del hoy recurrente, a fin de considerar que su requerimiento de información se centra en obtener</w:t>
      </w:r>
      <w:r w:rsidRPr="009C0D07">
        <w:rPr>
          <w:rFonts w:ascii="Palatino Linotype" w:hAnsi="Palatino Linotype"/>
          <w:color w:val="000000"/>
        </w:rPr>
        <w:t xml:space="preserve"> </w:t>
      </w:r>
      <w:r w:rsidR="00BC056C" w:rsidRPr="009C0D07">
        <w:rPr>
          <w:rFonts w:ascii="Palatino Linotype" w:hAnsi="Palatino Linotype" w:cs="Arial"/>
        </w:rPr>
        <w:t>l</w:t>
      </w:r>
      <w:r w:rsidR="00BC056C" w:rsidRPr="009C0D07">
        <w:rPr>
          <w:rFonts w:ascii="Palatino Linotype" w:hAnsi="Palatino Linotype"/>
          <w:color w:val="000000"/>
        </w:rPr>
        <w:t>a información correspondiente a las facturas y contratos de los bienes comprados y/o rentados en el año dos mil diecinueve por el Ayuntamiento de Atizapán de Zaragoza, con recursos federales y locales, para seguridad, incluidos patrullas, radios y uniformes.</w:t>
      </w:r>
    </w:p>
    <w:p w14:paraId="14C17F1C" w14:textId="77777777" w:rsidR="00EE2679" w:rsidRPr="009C0D07" w:rsidRDefault="00EE2679" w:rsidP="00EE2679">
      <w:pPr>
        <w:pStyle w:val="Prrafodelista"/>
        <w:spacing w:before="240" w:after="240" w:line="360" w:lineRule="auto"/>
        <w:ind w:left="0"/>
        <w:jc w:val="both"/>
        <w:rPr>
          <w:rFonts w:ascii="Palatino Linotype" w:eastAsia="MS Mincho" w:hAnsi="Palatino Linotype" w:cs="Arial"/>
          <w:color w:val="000000" w:themeColor="text1"/>
        </w:rPr>
      </w:pPr>
    </w:p>
    <w:p w14:paraId="54C48FF6" w14:textId="059DF3CC" w:rsidR="00EE2679" w:rsidRPr="009C0D07" w:rsidRDefault="00EE2679" w:rsidP="00EE2679">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bookmarkStart w:id="84" w:name="_Toc475014715"/>
      <w:bookmarkStart w:id="85" w:name="_Toc475381194"/>
      <w:bookmarkStart w:id="86" w:name="_Toc490155969"/>
      <w:bookmarkStart w:id="87" w:name="_Toc490734332"/>
      <w:bookmarkStart w:id="88" w:name="_Toc491854740"/>
      <w:bookmarkStart w:id="89" w:name="_Toc494991893"/>
      <w:bookmarkStart w:id="90" w:name="_Toc513664628"/>
      <w:r w:rsidRPr="009C0D07">
        <w:rPr>
          <w:rFonts w:ascii="Palatino Linotype" w:eastAsia="Calibri" w:hAnsi="Palatino Linotype" w:cs="Arial"/>
          <w:lang w:eastAsia="es-MX"/>
        </w:rPr>
        <w:t>E</w:t>
      </w:r>
      <w:r w:rsidR="00F4255E" w:rsidRPr="009C0D07">
        <w:rPr>
          <w:rFonts w:ascii="Palatino Linotype" w:eastAsia="Calibri" w:hAnsi="Palatino Linotype" w:cs="Arial"/>
          <w:lang w:eastAsia="es-MX"/>
        </w:rPr>
        <w:t>n atención a ello es</w:t>
      </w:r>
      <w:r w:rsidR="00AC6852" w:rsidRPr="009C0D07">
        <w:rPr>
          <w:rFonts w:ascii="Palatino Linotype" w:eastAsia="Calibri" w:hAnsi="Palatino Linotype" w:cs="Arial"/>
          <w:lang w:eastAsia="es-MX"/>
        </w:rPr>
        <w:t xml:space="preserve"> </w:t>
      </w:r>
      <w:r w:rsidRPr="009C0D07">
        <w:rPr>
          <w:rFonts w:ascii="Palatino Linotype" w:hAnsi="Palatino Linotype"/>
        </w:rPr>
        <w:t>pertinente señalar que el Sistema Nacional de Seguridad Pública otorga recursos federales a los Estados y Municipios, los cuales son destinados para un fin en específico, como la profesionalización del personal de seguridad pública; así como, su equipamiento, construcción de infraestructura física entre otros, cuyo fin radica en fortalecer la misma; tal y como, lo refiere la página oficial del Secretariado Ejecutivo del Sistema Nacional de Seguridad Publica</w:t>
      </w:r>
      <w:r w:rsidRPr="009C0D07">
        <w:rPr>
          <w:rFonts w:ascii="Palatino Linotype" w:hAnsi="Palatino Linotype"/>
          <w:vertAlign w:val="superscript"/>
        </w:rPr>
        <w:footnoteReference w:id="6"/>
      </w:r>
      <w:r w:rsidRPr="009C0D07">
        <w:rPr>
          <w:rFonts w:ascii="Palatino Linotype" w:hAnsi="Palatino Linotype"/>
        </w:rPr>
        <w:t>. Así, estos recursos federales conforman el FASP y el FORTASEG.</w:t>
      </w:r>
    </w:p>
    <w:p w14:paraId="023371C7" w14:textId="77777777" w:rsidR="00F4255E" w:rsidRPr="009C0D07" w:rsidRDefault="00F4255E" w:rsidP="00F4255E">
      <w:pPr>
        <w:pStyle w:val="Prrafodelista"/>
        <w:rPr>
          <w:rFonts w:ascii="Palatino Linotype" w:eastAsia="MS Mincho" w:hAnsi="Palatino Linotype" w:cs="Arial"/>
          <w:color w:val="000000" w:themeColor="text1"/>
        </w:rPr>
      </w:pPr>
    </w:p>
    <w:p w14:paraId="13D3BC31" w14:textId="77777777" w:rsidR="00EE2679" w:rsidRPr="009C0D07" w:rsidRDefault="00EE2679" w:rsidP="00F4255E">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r w:rsidRPr="009C0D07">
        <w:rPr>
          <w:rFonts w:ascii="Palatino Linotype" w:eastAsia="MS Mincho" w:hAnsi="Palatino Linotype" w:cs="Arial"/>
          <w:color w:val="000000"/>
        </w:rPr>
        <w:t xml:space="preserve">Es este orden de ideas, el FASP, de conformidad con el artículo 44 de la Ley de Coordinación Fiscal, se constituye con cargo a recursos federales, los cuales son determinados anualmente en el Presupuesto de Egresos de la Federación; así </w:t>
      </w:r>
      <w:r w:rsidRPr="009C0D07">
        <w:rPr>
          <w:rFonts w:ascii="Palatino Linotype" w:eastAsia="MS Mincho" w:hAnsi="Palatino Linotype" w:cs="Arial"/>
          <w:color w:val="000000"/>
        </w:rPr>
        <w:lastRenderedPageBreak/>
        <w:t xml:space="preserve">mismo, se entregan mensualmente por la Secretaría de Hacienda y Crédito Público durante los primeros diez meses del año a los Estados y a la Ciudad de México, de manera ágil y directa, como se transcribe a continuación: </w:t>
      </w:r>
    </w:p>
    <w:p w14:paraId="3CE765E3" w14:textId="77777777" w:rsidR="00EE2679" w:rsidRPr="009C0D07" w:rsidRDefault="00EE2679" w:rsidP="00AC6852">
      <w:pPr>
        <w:tabs>
          <w:tab w:val="left" w:pos="426"/>
        </w:tabs>
        <w:spacing w:line="360" w:lineRule="auto"/>
        <w:ind w:left="567" w:right="567"/>
        <w:jc w:val="center"/>
        <w:rPr>
          <w:rFonts w:ascii="Palatino Linotype" w:eastAsia="MS Mincho" w:hAnsi="Palatino Linotype" w:cs="Arial"/>
          <w:b/>
          <w:bCs/>
          <w:i/>
          <w:color w:val="000000"/>
        </w:rPr>
      </w:pPr>
      <w:r w:rsidRPr="009C0D07">
        <w:rPr>
          <w:rFonts w:ascii="Palatino Linotype" w:eastAsia="MS Mincho" w:hAnsi="Palatino Linotype" w:cs="Arial"/>
          <w:b/>
          <w:bCs/>
          <w:i/>
          <w:color w:val="000000"/>
        </w:rPr>
        <w:t>Ley de Coordinación Fiscal</w:t>
      </w:r>
    </w:p>
    <w:p w14:paraId="143C9740" w14:textId="77777777" w:rsidR="00EE2679" w:rsidRPr="009C0D07" w:rsidRDefault="00EE2679" w:rsidP="00AC6852">
      <w:pPr>
        <w:tabs>
          <w:tab w:val="left" w:pos="426"/>
          <w:tab w:val="left" w:pos="851"/>
        </w:tabs>
        <w:spacing w:line="360" w:lineRule="auto"/>
        <w:ind w:left="567" w:right="567"/>
        <w:jc w:val="both"/>
        <w:rPr>
          <w:rFonts w:ascii="Palatino Linotype" w:hAnsi="Palatino Linotype"/>
          <w:i/>
        </w:rPr>
      </w:pPr>
      <w:r w:rsidRPr="009C0D07">
        <w:rPr>
          <w:rFonts w:ascii="Palatino Linotype" w:hAnsi="Palatino Linotype"/>
          <w:b/>
          <w:bCs/>
          <w:i/>
        </w:rPr>
        <w:t>“Artículo 44.-</w:t>
      </w:r>
      <w:r w:rsidRPr="009C0D07">
        <w:rPr>
          <w:rFonts w:ascii="Palatino Linotype" w:hAnsi="Palatino Linotype"/>
          <w:i/>
        </w:rPr>
        <w:t xml:space="preserve"> […]</w:t>
      </w:r>
    </w:p>
    <w:p w14:paraId="7383274C" w14:textId="77777777" w:rsidR="00EE2679" w:rsidRPr="009C0D07" w:rsidRDefault="00EE2679" w:rsidP="00AC6852">
      <w:pPr>
        <w:tabs>
          <w:tab w:val="left" w:pos="426"/>
          <w:tab w:val="left" w:pos="851"/>
        </w:tabs>
        <w:spacing w:line="360" w:lineRule="auto"/>
        <w:ind w:left="567" w:right="567"/>
        <w:jc w:val="both"/>
        <w:rPr>
          <w:rFonts w:ascii="Palatino Linotype" w:hAnsi="Palatino Linotype"/>
          <w:i/>
        </w:rPr>
      </w:pPr>
      <w:r w:rsidRPr="009C0D07">
        <w:rPr>
          <w:rFonts w:ascii="Palatino Linotype" w:hAnsi="Palatino Linotype"/>
          <w:i/>
        </w:rPr>
        <w:t>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14:paraId="09877F88" w14:textId="77777777" w:rsidR="00EE2679" w:rsidRPr="009C0D07" w:rsidRDefault="00EE2679" w:rsidP="00AC6852">
      <w:pPr>
        <w:tabs>
          <w:tab w:val="left" w:pos="426"/>
          <w:tab w:val="left" w:pos="851"/>
        </w:tabs>
        <w:spacing w:line="360" w:lineRule="auto"/>
        <w:ind w:left="567" w:right="567"/>
        <w:jc w:val="both"/>
        <w:rPr>
          <w:rFonts w:ascii="Palatino Linotype" w:hAnsi="Palatino Linotype"/>
          <w:i/>
        </w:rPr>
      </w:pPr>
      <w:r w:rsidRPr="009C0D07">
        <w:rPr>
          <w:rFonts w:ascii="Palatino Linotype" w:hAnsi="Palatino Linotype"/>
          <w:i/>
        </w:rPr>
        <w:t xml:space="preserve">[…] </w:t>
      </w:r>
    </w:p>
    <w:p w14:paraId="2E342DB1" w14:textId="77777777" w:rsidR="00EE2679" w:rsidRPr="009C0D07" w:rsidRDefault="00EE2679" w:rsidP="00AC6852">
      <w:pPr>
        <w:tabs>
          <w:tab w:val="left" w:pos="426"/>
          <w:tab w:val="left" w:pos="851"/>
        </w:tabs>
        <w:spacing w:line="360" w:lineRule="auto"/>
        <w:ind w:left="567" w:right="567"/>
        <w:jc w:val="both"/>
        <w:rPr>
          <w:rFonts w:ascii="Palatino Linotype" w:hAnsi="Palatino Linotype"/>
          <w:i/>
        </w:rPr>
      </w:pPr>
      <w:r w:rsidRPr="009C0D07">
        <w:rPr>
          <w:rFonts w:ascii="Palatino Linotype" w:hAnsi="Palatino Linotype"/>
          <w:b/>
          <w:bCs/>
          <w:i/>
        </w:rPr>
        <w:lastRenderedPageBreak/>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w:t>
      </w:r>
      <w:r w:rsidRPr="009C0D07">
        <w:rPr>
          <w:rFonts w:ascii="Palatino Linotype" w:hAnsi="Palatino Linotype"/>
          <w:i/>
        </w:rPr>
        <w:t xml:space="preserve">;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14:paraId="22C9BC5D" w14:textId="77777777" w:rsidR="00EE2679" w:rsidRPr="009C0D07" w:rsidRDefault="00EE2679" w:rsidP="00AC6852">
      <w:pPr>
        <w:tabs>
          <w:tab w:val="left" w:pos="426"/>
          <w:tab w:val="left" w:pos="851"/>
        </w:tabs>
        <w:spacing w:line="360" w:lineRule="auto"/>
        <w:ind w:left="567" w:right="567"/>
        <w:jc w:val="both"/>
        <w:rPr>
          <w:rFonts w:ascii="Palatino Linotype" w:hAnsi="Palatino Linotype"/>
          <w:b/>
          <w:i/>
        </w:rPr>
      </w:pPr>
      <w:r w:rsidRPr="009C0D07">
        <w:rPr>
          <w:rFonts w:ascii="Palatino Linotype" w:hAnsi="Palatino Linotype"/>
          <w:b/>
          <w:bCs/>
          <w:i/>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9C0D07">
        <w:rPr>
          <w:rFonts w:ascii="Palatino Linotype" w:hAnsi="Palatino Linotype"/>
          <w:i/>
        </w:rPr>
        <w:t xml:space="preserve"> Lo anterior, en términos de la Ley General de Contabilidad Gubernamental y conforme a los formatos aprobados por el Consejo Nacional de Armonización Contable.”</w:t>
      </w:r>
      <w:r w:rsidRPr="009C0D07">
        <w:rPr>
          <w:rFonts w:ascii="Palatino Linotype" w:hAnsi="Palatino Linotype"/>
          <w:b/>
          <w:i/>
        </w:rPr>
        <w:t>(Énfasis añadido)</w:t>
      </w:r>
    </w:p>
    <w:p w14:paraId="304C0631" w14:textId="77777777" w:rsidR="00EE2679" w:rsidRPr="009C0D07" w:rsidRDefault="00EE2679" w:rsidP="00F4255E">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color w:val="000000"/>
        </w:rPr>
      </w:pPr>
      <w:r w:rsidRPr="009C0D07">
        <w:rPr>
          <w:rFonts w:ascii="Palatino Linotype" w:hAnsi="Palatino Linotype"/>
        </w:rPr>
        <w:t xml:space="preserve">Expuesto </w:t>
      </w:r>
      <w:r w:rsidRPr="009C0D07">
        <w:rPr>
          <w:rFonts w:ascii="Palatino Linotype" w:eastAsia="MS Mincho" w:hAnsi="Palatino Linotype" w:cs="Arial"/>
          <w:color w:val="000000"/>
        </w:rPr>
        <w:t xml:space="preserve">lo anterior se advierte que corresponde a la Secretaría de Hacienda y Crédito Público entregar a las Entidades Federativas el FASP, el cual se enterará mensualmente durante los primeros diez meses del año, de tal manera que los Estados y la Ciudad de México deberán </w:t>
      </w:r>
      <w:r w:rsidRPr="009C0D07">
        <w:rPr>
          <w:rFonts w:ascii="Palatino Linotype" w:eastAsia="MS Mincho" w:hAnsi="Palatino Linotype" w:cs="Arial"/>
          <w:b/>
          <w:bCs/>
          <w:color w:val="000000"/>
        </w:rPr>
        <w:t xml:space="preserve">reportar trimestralmente </w:t>
      </w:r>
      <w:r w:rsidRPr="009C0D07">
        <w:rPr>
          <w:rFonts w:ascii="Palatino Linotype" w:eastAsia="MS Mincho" w:hAnsi="Palatino Linotype" w:cs="Arial"/>
          <w:color w:val="000000"/>
        </w:rPr>
        <w:t xml:space="preserve">el ejercicio de los </w:t>
      </w:r>
      <w:r w:rsidRPr="009C0D07">
        <w:rPr>
          <w:rFonts w:ascii="Palatino Linotype" w:eastAsia="MS Mincho" w:hAnsi="Palatino Linotype" w:cs="Arial"/>
          <w:color w:val="000000"/>
        </w:rPr>
        <w:lastRenderedPageBreak/>
        <w:t>recursos del Fondo y el avance en el cumplimiento de las metas; así como, las modificaciones o adecuaciones realizadas a las asignaciones establecidas.</w:t>
      </w:r>
    </w:p>
    <w:p w14:paraId="38AE814A" w14:textId="77777777" w:rsidR="00F4255E" w:rsidRPr="009C0D07" w:rsidRDefault="00F4255E" w:rsidP="00F4255E">
      <w:pPr>
        <w:pStyle w:val="Prrafodelista"/>
        <w:tabs>
          <w:tab w:val="left" w:pos="426"/>
        </w:tabs>
        <w:spacing w:before="100" w:beforeAutospacing="1" w:after="100" w:afterAutospacing="1" w:line="360" w:lineRule="auto"/>
        <w:ind w:left="0"/>
        <w:jc w:val="both"/>
        <w:rPr>
          <w:rFonts w:ascii="Palatino Linotype" w:eastAsia="MS Mincho" w:hAnsi="Palatino Linotype" w:cs="Arial"/>
          <w:color w:val="000000"/>
        </w:rPr>
      </w:pPr>
    </w:p>
    <w:p w14:paraId="6F96476F" w14:textId="77777777" w:rsidR="00EE2679" w:rsidRPr="009C0D07" w:rsidRDefault="00EE2679" w:rsidP="00EE2679">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color w:val="000000"/>
        </w:rPr>
      </w:pPr>
      <w:r w:rsidRPr="009C0D07">
        <w:rPr>
          <w:rFonts w:ascii="Palatino Linotype" w:eastAsia="MS Mincho" w:hAnsi="Palatino Linotype" w:cs="Arial"/>
          <w:color w:val="000000"/>
        </w:rPr>
        <w:t xml:space="preserve">Ahora bien, de conformidad con las cláusulas tercera y cuarta del </w:t>
      </w:r>
      <w:r w:rsidRPr="009C0D07">
        <w:rPr>
          <w:rFonts w:ascii="Palatino Linotype" w:hAnsi="Palatino Linotype"/>
        </w:rPr>
        <w:t>Convenio de Coordinación que en el marco del Sistema Nacional de Seguridad Pública, celebran el Secretariado Ejecutivo del Sistema Nacional de Seguridad Pública y el Estado de México, relativo al Fondo de Aportaciones para la Seguridad Pública de los Estados y del Distrito Federal (FASP) 2019,</w:t>
      </w:r>
      <w:r w:rsidRPr="009C0D07">
        <w:rPr>
          <w:vertAlign w:val="superscript"/>
        </w:rPr>
        <w:footnoteReference w:id="7"/>
      </w:r>
      <w:r w:rsidRPr="009C0D07">
        <w:rPr>
          <w:rFonts w:ascii="Palatino Linotype" w:hAnsi="Palatino Linotype"/>
        </w:rPr>
        <w:t xml:space="preserve"> se advierte lo siguiente:</w:t>
      </w:r>
    </w:p>
    <w:p w14:paraId="733F7205"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w:t>
      </w:r>
      <w:r w:rsidRPr="009C0D07">
        <w:rPr>
          <w:rFonts w:ascii="Palatino Linotype" w:hAnsi="Palatino Linotype"/>
          <w:b/>
          <w:i/>
        </w:rPr>
        <w:t>TERCERA. COMPROMISOS DE “LA ENTIDAD FEDERATIVA</w:t>
      </w:r>
      <w:r w:rsidRPr="009C0D07">
        <w:rPr>
          <w:rFonts w:ascii="Palatino Linotype" w:hAnsi="Palatino Linotype"/>
          <w:i/>
        </w:rPr>
        <w:t xml:space="preserve">”. </w:t>
      </w:r>
    </w:p>
    <w:p w14:paraId="64061E07"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I. Cumplir con lo señalado en el artículo 7, fracción IX del Presupuesto de Egresos de la Federación para el Ejercicio Fiscal 2019, la normativa en materia presupuestaria; la “Ley General”; la Ley de Coordinación Fiscal; los Criterios Generales para la Administración y Ejercicio de los Recursos del Fondo de Aportaciones para la Seguridad Pública de los Estados y del Distrito Federal (FASP) y demás disposiciones aplicables. </w:t>
      </w:r>
    </w:p>
    <w:p w14:paraId="59BAE841"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II. </w:t>
      </w:r>
      <w:r w:rsidRPr="009C0D07">
        <w:rPr>
          <w:rFonts w:ascii="Palatino Linotype" w:hAnsi="Palatino Linotype"/>
          <w:b/>
          <w:i/>
        </w:rPr>
        <w:t xml:space="preserve">Establecer dos cuentas bancarias productivas específicas, una para la administración de los recursos federales del “FASP” con los rendimientos que generen y otra para la aportación de “LA ENTIDAD FEDERATIVA”, de conformidad con lo dispuesto en el artículo 69 de la Ley General de Contabilidad Gubernamental, para efectos de su </w:t>
      </w:r>
      <w:r w:rsidRPr="009C0D07">
        <w:rPr>
          <w:rFonts w:ascii="Palatino Linotype" w:hAnsi="Palatino Linotype"/>
          <w:b/>
          <w:i/>
        </w:rPr>
        <w:lastRenderedPageBreak/>
        <w:t>fiscalización, los cuales no podrán ser transferidos a otras cuentas que no permitan identificar su aplicación, destino y rendimientos.</w:t>
      </w:r>
      <w:r w:rsidRPr="009C0D07">
        <w:rPr>
          <w:rFonts w:ascii="Palatino Linotype" w:hAnsi="Palatino Linotype"/>
          <w:i/>
        </w:rPr>
        <w:t xml:space="preserve"> </w:t>
      </w:r>
    </w:p>
    <w:p w14:paraId="726CED29"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III. Registrar los recursos que por el “FASP” reciba en su respectivo presupuesto y deberán distinguirse de los recursos aportados por “LA ENTIDAD FEDERATIVA”, e informar para efectos de la cuenta pública local, así como presentar los demás informes previstos en la legislación local y federal. </w:t>
      </w:r>
    </w:p>
    <w:p w14:paraId="57D33F25"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IV. Aplicar los recursos del “FASP” conforme al principio de anualidad previsto en el artículo 7, fracción IX, párrafo tercero del Presupuesto de Egresos de la Federación para el Ejercicio Fiscal 2019. </w:t>
      </w:r>
    </w:p>
    <w:p w14:paraId="5E2A5504"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V. De conformidad con el artículo 17 de la Ley de Disciplina Financiera de las Entidades Federativas y los Municipios, reintegrar a la Tesorería de la Federación a más tardar el 15 de enero de 2020, los recursos del “FASP” con los rendimientos financieros generados que al 31 de diciembre del ejercicio fiscal 2019, no hayan sido devengados por sus entes públicos o no estén comprometidos en los términos previstos en el artículo 4, fracciones XIV y XV de la Ley General de Contabilidad Gubernamental, así como cubrir los pagos respectivos a más tardar durante el primer trimestre del ejercicio fiscal 2020, con los recursos del “FASP” que al 31 de diciembre del ejercicio fiscal 2019 se hayan comprometido o devengados pero que no hayan sido pagados, debiendo reintegrar los recursos remanentes a la Tesorería de la Federación a más tardar dentro de los 15 días naturales siguientes una vez cumplido el plazo referido. </w:t>
      </w:r>
    </w:p>
    <w:p w14:paraId="190C6DD8"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VI. Ejercer los recursos del “FASP” y estatales para el cumplimiento de las metas convenidas en el Anexo Técnico, observando lo previsto en el artículo 45 de la </w:t>
      </w:r>
      <w:r w:rsidRPr="009C0D07">
        <w:rPr>
          <w:rFonts w:ascii="Palatino Linotype" w:hAnsi="Palatino Linotype"/>
          <w:i/>
        </w:rPr>
        <w:lastRenderedPageBreak/>
        <w:t xml:space="preserve">Ley de Coordinación Fiscal y los Criterios Generales para la Administración y Ejercicio de los Recursos del Fondo de Aportaciones para la Seguridad Pública de los Estados y del Distrito Federal (FASP). </w:t>
      </w:r>
    </w:p>
    <w:p w14:paraId="0CDEC6D2"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VII. Orientar las acciones del personal policial a la búsqueda de personas desaparecidas y no localizadas, y esclarecer los hechos, así como para prevenir, investigar, sancionar y erradicar los delitos en materia de desaparición forzada de personas y desaparición cometida por particulares, así como los delitos vinculados que establece la Ley General en Materia de Desaparición Forzada de Personas, Desaparición Cometida por Particulares y del Sistema Nacional de Búsqueda de Personas, en materia de su competencia atendiendo a lo dispuesto por los artículos 24 y 25 de dicho ordenamiento. VIII. Remitir al Centro Nacional de Prevención del Delito y Participación Ciudadana de “EL SECRETARIADO” el Programa de Prevención del Delito de Tortura, de conformidad con lo establecido por el artículo 62 de la Ley General para Prevenir, Investigar y Sancionar la Tortura y otros Tratos o Penas Crueles, Inhumanos o Degradantes. </w:t>
      </w:r>
    </w:p>
    <w:p w14:paraId="597E277A"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IX. Desarrollar e implementar, en el ámbito de su competencia, Medidas de Prevención, así como investigar y sancionar las agresiones de las que sean objeto las personas defensoras de derechos humanos y periodistas, de conformidad con los artículos 34, 41 y 44 de la Ley para la Protección de Personas Defensoras de Derechos Humanos y Periodistas. </w:t>
      </w:r>
    </w:p>
    <w:p w14:paraId="57BD4E35" w14:textId="77777777" w:rsidR="00EE2679" w:rsidRPr="009C0D07" w:rsidRDefault="00EE2679" w:rsidP="00AC6852">
      <w:pPr>
        <w:tabs>
          <w:tab w:val="left" w:pos="426"/>
        </w:tabs>
        <w:spacing w:line="360" w:lineRule="auto"/>
        <w:ind w:left="567" w:right="567"/>
        <w:jc w:val="both"/>
        <w:rPr>
          <w:rFonts w:ascii="Palatino Linotype" w:hAnsi="Palatino Linotype"/>
          <w:b/>
          <w:i/>
        </w:rPr>
      </w:pPr>
      <w:r w:rsidRPr="009C0D07">
        <w:rPr>
          <w:rFonts w:ascii="Palatino Linotype" w:hAnsi="Palatino Linotype"/>
          <w:i/>
        </w:rPr>
        <w:t xml:space="preserve">X. </w:t>
      </w:r>
      <w:r w:rsidRPr="009C0D07">
        <w:rPr>
          <w:rFonts w:ascii="Palatino Linotype" w:hAnsi="Palatino Linotype"/>
          <w:b/>
          <w:i/>
        </w:rPr>
        <w:t xml:space="preserve">Informar mensual y trimestralmente a “EL SECRETARIADO” a través de la Dirección General de Vinculación y Seguimiento </w:t>
      </w:r>
      <w:r w:rsidRPr="009C0D07">
        <w:rPr>
          <w:rFonts w:ascii="Palatino Linotype" w:hAnsi="Palatino Linotype"/>
          <w:i/>
        </w:rPr>
        <w:t xml:space="preserve">sobre las </w:t>
      </w:r>
      <w:r w:rsidRPr="009C0D07">
        <w:rPr>
          <w:rFonts w:ascii="Palatino Linotype" w:hAnsi="Palatino Linotype"/>
          <w:b/>
          <w:i/>
          <w:u w:val="single"/>
        </w:rPr>
        <w:t xml:space="preserve">acciones realizadas con base en el presente Convenio, así como los </w:t>
      </w:r>
      <w:r w:rsidRPr="009C0D07">
        <w:rPr>
          <w:rFonts w:ascii="Palatino Linotype" w:hAnsi="Palatino Linotype"/>
          <w:b/>
          <w:i/>
          <w:u w:val="single"/>
        </w:rPr>
        <w:lastRenderedPageBreak/>
        <w:t>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9C0D07">
        <w:rPr>
          <w:rFonts w:ascii="Palatino Linotype" w:hAnsi="Palatino Linotype"/>
          <w:i/>
        </w:rPr>
        <w:t xml:space="preserve">. </w:t>
      </w:r>
      <w:r w:rsidRPr="009C0D07">
        <w:rPr>
          <w:rFonts w:ascii="Palatino Linotype" w:hAnsi="Palatino Linotype"/>
          <w:b/>
          <w:i/>
        </w:rPr>
        <w:t>El Gobernador de “LA ENTIDAD FEDERATIVA” deberá designar a un Servidor Público con competencia y nivel de decisión, como responsable de verificar y proporcionar a “EL SECRETARIADO” los informes mensuales y trimestrales sobre los movimientos que presenten las cuentas bancarias productivas específicas del Financiamiento Conjunto, el ejercicio de los recursos y avance en el cumplimiento de los objetivos, metas, indicadores y porcentajes de inversión de los proyectos establecidos en el Anexo Técnico, así como el destino y resultados obtenidos de la aplicación de los recursos.</w:t>
      </w:r>
    </w:p>
    <w:p w14:paraId="146E2DC2" w14:textId="77777777" w:rsidR="00EE2679" w:rsidRPr="009C0D07" w:rsidRDefault="00EE2679" w:rsidP="00AC6852">
      <w:pPr>
        <w:tabs>
          <w:tab w:val="left" w:pos="426"/>
        </w:tabs>
        <w:spacing w:line="360" w:lineRule="auto"/>
        <w:ind w:left="567" w:right="567"/>
        <w:jc w:val="both"/>
        <w:rPr>
          <w:rFonts w:ascii="Palatino Linotype" w:hAnsi="Palatino Linotype"/>
          <w:b/>
          <w:i/>
        </w:rPr>
      </w:pPr>
      <w:r w:rsidRPr="009C0D07">
        <w:rPr>
          <w:rFonts w:ascii="Palatino Linotype" w:hAnsi="Palatino Linotype"/>
          <w:i/>
        </w:rPr>
        <w:t xml:space="preserve">XI. Enviar adjunto a su informe trimestral, </w:t>
      </w:r>
      <w:r w:rsidRPr="009C0D07">
        <w:rPr>
          <w:rFonts w:ascii="Palatino Linotype" w:hAnsi="Palatino Linotype"/>
          <w:b/>
          <w:i/>
        </w:rPr>
        <w:t xml:space="preserve">copia de los estados de cuenta mensuales correspondiente a cada una de las cuentas informadas ante “EL SECRETARIADO”. </w:t>
      </w:r>
    </w:p>
    <w:p w14:paraId="61DE3188"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XII. Incorporar en el sistema de seguimiento que opere “EL SECRETARIADO”, la información conforme a los Criterios Generales para la Administración y Ejercicio de los Recursos del Fondo de Aportaciones para la Seguridad Pública de los Estados y del Distrito Federal (FASP). </w:t>
      </w:r>
    </w:p>
    <w:p w14:paraId="241F283E"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XIII. Entregar a “EL SECRETARIADO” la información que solicite en los términos, plazos y formatos que al efecto establezca. </w:t>
      </w:r>
    </w:p>
    <w:p w14:paraId="5A579356" w14:textId="77777777" w:rsidR="00EE2679" w:rsidRPr="009C0D07" w:rsidRDefault="00EE2679" w:rsidP="00AC6852">
      <w:pPr>
        <w:tabs>
          <w:tab w:val="left" w:pos="426"/>
        </w:tabs>
        <w:spacing w:line="360" w:lineRule="auto"/>
        <w:ind w:left="567" w:right="567"/>
        <w:jc w:val="both"/>
        <w:rPr>
          <w:rFonts w:ascii="Palatino Linotype" w:hAnsi="Palatino Linotype"/>
          <w:b/>
          <w:i/>
        </w:rPr>
      </w:pPr>
      <w:r w:rsidRPr="009C0D07">
        <w:rPr>
          <w:rFonts w:ascii="Palatino Linotype" w:hAnsi="Palatino Linotype"/>
          <w:i/>
        </w:rPr>
        <w:lastRenderedPageBreak/>
        <w:t xml:space="preserve">XIV. </w:t>
      </w:r>
      <w:r w:rsidRPr="009C0D07">
        <w:rPr>
          <w:rFonts w:ascii="Palatino Linotype" w:hAnsi="Palatino Linotype"/>
          <w:b/>
          <w:i/>
        </w:rPr>
        <w:t xml:space="preserve">Publicar en su página de Internet, el avance en el ejercicio de los recursos que le fueron asignados, para transparentar el ejercicio de los mismos, en términos de los artículos 48 de la Ley de Coordinación Fiscal y 77 de la Ley General de Contabilidad Gubernamental. </w:t>
      </w:r>
    </w:p>
    <w:p w14:paraId="6CBC28A6"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XV. Financiar con recursos propios las acciones no previstas en el artículo 45 de la Ley de Coordinación Fiscal. </w:t>
      </w:r>
    </w:p>
    <w:p w14:paraId="0970636A"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XVI. Abstenerse de adquirir para el uso de sus instituciones policiales, uniformes o vehículos con colores, 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celebrada el 18 de diciembre de 2015; en caso contrario, se podrían actualizar los supuestos previstos en el artículo 250 bis 1, fracciones II y IV del Código Penal Federal. </w:t>
      </w:r>
    </w:p>
    <w:p w14:paraId="37A29DC5"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XVII.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 en cumplimiento al Acuerdo 09/XXXIX/15 del Consejo Nacional de Seguridad Pública. XVIII. De conformidad con lo dispuesto en los artículos 7, fracción X, de la “Ley General” y 40, fracción </w:t>
      </w:r>
    </w:p>
    <w:p w14:paraId="748B543F"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VIII, de la Ley General para Prevenir y Sancionar los Delitos en Materia de Secuestro, Reglamentaria de la fracción XXI, del artículo 73 de la Constitución </w:t>
      </w:r>
      <w:r w:rsidRPr="009C0D07">
        <w:rPr>
          <w:rFonts w:ascii="Palatino Linotype" w:hAnsi="Palatino Linotype"/>
          <w:i/>
        </w:rPr>
        <w:lastRenderedPageBreak/>
        <w:t xml:space="preserve">Política de los Estados Unidos Mexicanos, realizar cuando así se requiera, las acciones y operativos de manera conjunta con las Instituciones de Seguridad Pública federales y, en su caso, municipales, para el cumplimiento de los fines de la seguridad pública, en cuyo caso, se podrán firmar los convenios específicos conforme a las disposiciones aplicables. </w:t>
      </w:r>
    </w:p>
    <w:p w14:paraId="202BF23E"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XIX. Colaborar y participar en términos de la normativa aplicable, en operativos conjuntos con las autoridades competentes, y </w:t>
      </w:r>
    </w:p>
    <w:p w14:paraId="50F90A04" w14:textId="77777777" w:rsidR="00EE2679" w:rsidRPr="009C0D07" w:rsidRDefault="00EE2679" w:rsidP="00AC6852">
      <w:pPr>
        <w:tabs>
          <w:tab w:val="left" w:pos="426"/>
        </w:tabs>
        <w:spacing w:line="360" w:lineRule="auto"/>
        <w:ind w:left="567" w:right="567"/>
        <w:jc w:val="both"/>
        <w:rPr>
          <w:rFonts w:ascii="Palatino Linotype" w:hAnsi="Palatino Linotype"/>
          <w:i/>
        </w:rPr>
      </w:pPr>
      <w:r w:rsidRPr="009C0D07">
        <w:rPr>
          <w:rFonts w:ascii="Palatino Linotype" w:hAnsi="Palatino Linotype"/>
          <w:i/>
        </w:rPr>
        <w:t xml:space="preserve">XX. Apoyar a través del Secretariado Ejecutivo del Sistema Estatal de Seguridad Pública a “EL SECRETARIADO” en el desarrollo de las visitas y acciones de verificación sobre la aplicación de los recursos del “FASP”. </w:t>
      </w:r>
    </w:p>
    <w:p w14:paraId="7D021EF4" w14:textId="77777777" w:rsidR="00EE2679" w:rsidRPr="009C0D07" w:rsidRDefault="00EE2679" w:rsidP="00AC6852">
      <w:pPr>
        <w:tabs>
          <w:tab w:val="left" w:pos="426"/>
        </w:tabs>
        <w:spacing w:line="360" w:lineRule="auto"/>
        <w:ind w:left="567" w:right="567"/>
        <w:jc w:val="both"/>
        <w:rPr>
          <w:rFonts w:ascii="Palatino Linotype" w:hAnsi="Palatino Linotype"/>
          <w:b/>
          <w:i/>
        </w:rPr>
      </w:pPr>
      <w:r w:rsidRPr="009C0D07">
        <w:rPr>
          <w:rFonts w:ascii="Palatino Linotype" w:hAnsi="Palatino Linotype"/>
          <w:b/>
          <w:i/>
        </w:rPr>
        <w:t>CUARTA.</w:t>
      </w:r>
      <w:r w:rsidRPr="009C0D07">
        <w:rPr>
          <w:rFonts w:ascii="Palatino Linotype" w:hAnsi="Palatino Linotype"/>
          <w:i/>
        </w:rPr>
        <w:t xml:space="preserve"> OPERACIÓN Y SEGUIMIENTO. Por parte de “EL SECRETARIADO”, el o la titular de la Dirección General de Vinculación y Seguimiento será el responsable de coordinar la operación y seguimiento del “FASP”. </w:t>
      </w:r>
      <w:r w:rsidRPr="009C0D07">
        <w:rPr>
          <w:rFonts w:ascii="Palatino Linotype" w:hAnsi="Palatino Linotype"/>
          <w:b/>
          <w:i/>
        </w:rPr>
        <w:t xml:space="preserve">Por parte de “LA ENTIDAD FEDERATIVA”, </w:t>
      </w:r>
      <w:r w:rsidRPr="009C0D07">
        <w:rPr>
          <w:rFonts w:ascii="Palatino Linotype" w:hAnsi="Palatino Linotype"/>
          <w:b/>
          <w:i/>
          <w:u w:val="single"/>
        </w:rPr>
        <w:t>el o la titular del Secretariado Ejecutivo del Sistema Estatal de Seguridad Pública</w:t>
      </w:r>
      <w:r w:rsidRPr="009C0D07">
        <w:rPr>
          <w:rFonts w:ascii="Palatino Linotype" w:hAnsi="Palatino Linotype"/>
          <w:b/>
          <w:i/>
        </w:rPr>
        <w:t xml:space="preserve">, será el responsable de los informes mensuales y trimestrales que se deban rendir a “EL SECRETARIADO” en términos de la fracción X de la cláusula Tercera de este Convenio.” </w:t>
      </w:r>
    </w:p>
    <w:p w14:paraId="556A7F3C" w14:textId="77777777" w:rsidR="00EE2679" w:rsidRPr="009C0D07" w:rsidRDefault="00EE2679" w:rsidP="00AC6852">
      <w:pPr>
        <w:tabs>
          <w:tab w:val="left" w:pos="426"/>
        </w:tabs>
        <w:spacing w:line="360" w:lineRule="auto"/>
        <w:ind w:left="567" w:right="567"/>
        <w:jc w:val="both"/>
        <w:rPr>
          <w:rFonts w:ascii="Palatino Linotype" w:hAnsi="Palatino Linotype"/>
        </w:rPr>
      </w:pPr>
      <w:r w:rsidRPr="009C0D07">
        <w:rPr>
          <w:rFonts w:ascii="Palatino Linotype" w:hAnsi="Palatino Linotype"/>
        </w:rPr>
        <w:t>(Énfasis añadido)</w:t>
      </w:r>
    </w:p>
    <w:p w14:paraId="719FFFBA" w14:textId="77777777" w:rsidR="00EE2679" w:rsidRPr="009C0D07" w:rsidRDefault="00EE2679" w:rsidP="00AC6852">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rPr>
      </w:pPr>
      <w:r w:rsidRPr="009C0D07">
        <w:rPr>
          <w:rFonts w:ascii="Palatino Linotype" w:hAnsi="Palatino Linotype"/>
        </w:rPr>
        <w:t xml:space="preserve">Atento a lo anterior, se advierte que corresponde al titular del </w:t>
      </w:r>
      <w:r w:rsidRPr="009C0D07">
        <w:rPr>
          <w:rFonts w:ascii="Palatino Linotype" w:hAnsi="Palatino Linotype"/>
          <w:u w:val="single"/>
        </w:rPr>
        <w:t>Secretariado Ejecutivo del Sistema Estatal de Seguridad Pública</w:t>
      </w:r>
      <w:r w:rsidRPr="009C0D07">
        <w:rPr>
          <w:rFonts w:ascii="Palatino Linotype" w:hAnsi="Palatino Linotype"/>
        </w:rPr>
        <w:t>, informar mensual y trimestralmente al  Secretariado Nacional, a través de la Dirección General de Vinculación y Seguimiento</w:t>
      </w:r>
      <w:r w:rsidRPr="009C0D07">
        <w:rPr>
          <w:rFonts w:ascii="Palatino Linotype" w:hAnsi="Palatino Linotype"/>
          <w:i/>
        </w:rPr>
        <w:t xml:space="preserve"> </w:t>
      </w:r>
      <w:r w:rsidRPr="009C0D07">
        <w:rPr>
          <w:rFonts w:ascii="Palatino Linotype" w:hAnsi="Palatino Linotype"/>
        </w:rPr>
        <w:t xml:space="preserve">sobre las acciones realizadas; así como, los movimientos </w:t>
      </w:r>
      <w:r w:rsidRPr="009C0D07">
        <w:rPr>
          <w:rFonts w:ascii="Palatino Linotype" w:hAnsi="Palatino Linotype"/>
        </w:rPr>
        <w:lastRenderedPageBreak/>
        <w:t>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p>
    <w:p w14:paraId="0AACB5E4" w14:textId="77777777" w:rsidR="00AC6852" w:rsidRPr="009C0D07" w:rsidRDefault="00AC6852" w:rsidP="00AC6852">
      <w:pPr>
        <w:pStyle w:val="Prrafodelista"/>
        <w:tabs>
          <w:tab w:val="left" w:pos="426"/>
        </w:tabs>
        <w:spacing w:before="100" w:beforeAutospacing="1" w:after="100" w:afterAutospacing="1" w:line="360" w:lineRule="auto"/>
        <w:ind w:left="0"/>
        <w:jc w:val="both"/>
        <w:rPr>
          <w:rFonts w:ascii="Palatino Linotype" w:hAnsi="Palatino Linotype"/>
        </w:rPr>
      </w:pPr>
    </w:p>
    <w:p w14:paraId="22228818" w14:textId="1791D315" w:rsidR="00EE2679" w:rsidRPr="009C0D07" w:rsidRDefault="00EE2679" w:rsidP="00EE2679">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rPr>
      </w:pPr>
      <w:r w:rsidRPr="009C0D07">
        <w:rPr>
          <w:rFonts w:ascii="Palatino Linotype" w:hAnsi="Palatino Linotype"/>
        </w:rPr>
        <w:t xml:space="preserve">Al respecto, se destaca que en los documentos normativos que rigen el funcionamiento y evaluación del FASP desde el año 2019, se advierten mecanismos de evaluación que implican la comprobación de los recursos otorgados; por lo tanto, es claro que la información solicitada por </w:t>
      </w:r>
      <w:r w:rsidRPr="009C0D07">
        <w:rPr>
          <w:rFonts w:ascii="Palatino Linotype" w:hAnsi="Palatino Linotype"/>
          <w:b/>
        </w:rPr>
        <w:t xml:space="preserve">EL RECURRENTE, </w:t>
      </w:r>
      <w:r w:rsidRPr="009C0D07">
        <w:rPr>
          <w:rFonts w:ascii="Palatino Linotype" w:hAnsi="Palatino Linotype"/>
        </w:rPr>
        <w:t xml:space="preserve">específicamente al destino de los recursos del 1 de enero al 21 de octubre de 2019, debe obrar en los archivos del </w:t>
      </w:r>
      <w:r w:rsidRPr="009C0D07">
        <w:rPr>
          <w:rFonts w:ascii="Palatino Linotype" w:hAnsi="Palatino Linotype"/>
          <w:b/>
        </w:rPr>
        <w:t xml:space="preserve">SUJETO OBLIGADO, </w:t>
      </w:r>
      <w:r w:rsidRPr="009C0D07">
        <w:rPr>
          <w:rFonts w:ascii="Palatino Linotype" w:hAnsi="Palatino Linotype"/>
        </w:rPr>
        <w:t>tanto que éste asumió poseerla, al remitir a la liga electrónica de la misma</w:t>
      </w:r>
      <w:r w:rsidR="00AC6852" w:rsidRPr="009C0D07">
        <w:rPr>
          <w:rFonts w:ascii="Palatino Linotype" w:hAnsi="Palatino Linotype"/>
        </w:rPr>
        <w:t>.</w:t>
      </w:r>
    </w:p>
    <w:p w14:paraId="505B8A85" w14:textId="77777777" w:rsidR="00AC6852" w:rsidRPr="009C0D07" w:rsidRDefault="00AC6852" w:rsidP="00AC6852">
      <w:pPr>
        <w:pStyle w:val="Prrafodelista"/>
        <w:rPr>
          <w:rFonts w:ascii="Palatino Linotype" w:hAnsi="Palatino Linotype"/>
        </w:rPr>
      </w:pPr>
    </w:p>
    <w:p w14:paraId="21CBCE92" w14:textId="547942E1" w:rsidR="00EE2679" w:rsidRPr="009C0D07" w:rsidRDefault="00EE2679" w:rsidP="00EE2679">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rPr>
      </w:pPr>
      <w:r w:rsidRPr="009C0D07">
        <w:rPr>
          <w:rFonts w:ascii="Palatino Linotype" w:hAnsi="Palatino Linotype"/>
        </w:rPr>
        <w:t>Ahora bien, en lo que respecta al FORTASEG</w:t>
      </w:r>
      <w:r w:rsidRPr="009C0D07">
        <w:rPr>
          <w:rStyle w:val="Refdenotaalpie"/>
          <w:rFonts w:ascii="Palatino Linotype" w:hAnsi="Palatino Linotype"/>
        </w:rPr>
        <w:footnoteReference w:id="8"/>
      </w:r>
      <w:r w:rsidRPr="009C0D07">
        <w:rPr>
          <w:rFonts w:ascii="Palatino Linotype" w:hAnsi="Palatino Linotype"/>
        </w:rPr>
        <w:t xml:space="preserve">, este es un subsidio que se otorga a los Municipios, y en su caso a los estados cuando éstos ejercen la función de seguridad pública en lugar de los primeros o coordinados con ellos. De acuerdo con los </w:t>
      </w:r>
      <w:r w:rsidRPr="009C0D07">
        <w:rPr>
          <w:rFonts w:ascii="Palatino Linotype" w:hAnsi="Palatino Linotype"/>
          <w:bCs/>
        </w:rPr>
        <w:t xml:space="preserve">Lineamientos para el Otorgamiento del Subsidio para el Fortalecimiento del Desempeño en Materia de Seguridad Pública a los Municipios y Demarcaciones Territoriales de la Ciudad de México y, en su caso, a las Entidades Federativas que </w:t>
      </w:r>
      <w:r w:rsidRPr="009C0D07">
        <w:rPr>
          <w:rFonts w:ascii="Palatino Linotype" w:hAnsi="Palatino Linotype"/>
          <w:bCs/>
        </w:rPr>
        <w:lastRenderedPageBreak/>
        <w:t>ejerzan de manera directa o coordinada la Función para el Ejercicio Fiscal 2019</w:t>
      </w:r>
      <w:r w:rsidRPr="009C0D07">
        <w:rPr>
          <w:rFonts w:ascii="Palatino Linotype" w:hAnsi="Palatino Linotype"/>
        </w:rPr>
        <w:t>, el objetivo del FORTASEG es apoyar el fortalecimiento del desempeño en materia de seguridad pública a los beneficiarios mediante la profesionalización, la certificación y el equipamiento de los elementos policiales de las instituciones de seguridad pública, así como el fortalecimiento tecnológico, de equipo e infraestructura de las inst</w:t>
      </w:r>
      <w:r w:rsidR="00AC6852" w:rsidRPr="009C0D07">
        <w:rPr>
          <w:rFonts w:ascii="Palatino Linotype" w:hAnsi="Palatino Linotype"/>
        </w:rPr>
        <w:t>ituciones de seguridad pública.</w:t>
      </w:r>
    </w:p>
    <w:p w14:paraId="4B078223" w14:textId="77777777" w:rsidR="00AC6852" w:rsidRPr="009C0D07" w:rsidRDefault="00AC6852" w:rsidP="00AC6852">
      <w:pPr>
        <w:pStyle w:val="Prrafodelista"/>
        <w:rPr>
          <w:rFonts w:ascii="Palatino Linotype" w:hAnsi="Palatino Linotype"/>
        </w:rPr>
      </w:pPr>
    </w:p>
    <w:p w14:paraId="22C08651" w14:textId="566C1B90" w:rsidR="00EE2679" w:rsidRPr="009C0D07" w:rsidRDefault="00EE2679" w:rsidP="00EE2679">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rPr>
      </w:pPr>
      <w:r w:rsidRPr="009C0D07">
        <w:rPr>
          <w:rFonts w:ascii="Palatino Linotype" w:eastAsia="MS Mincho" w:hAnsi="Palatino Linotype" w:cs="Arial"/>
          <w:color w:val="000000"/>
        </w:rPr>
        <w:t xml:space="preserve">De esta forma, los lineamientos antes mencionados, establecen que los recursos federales del FORTASEG no son </w:t>
      </w:r>
      <w:proofErr w:type="spellStart"/>
      <w:r w:rsidRPr="009C0D07">
        <w:rPr>
          <w:rFonts w:ascii="Palatino Linotype" w:eastAsia="MS Mincho" w:hAnsi="Palatino Linotype" w:cs="Arial"/>
          <w:color w:val="000000"/>
        </w:rPr>
        <w:t>regularizables</w:t>
      </w:r>
      <w:proofErr w:type="spellEnd"/>
      <w:r w:rsidRPr="009C0D07">
        <w:rPr>
          <w:rFonts w:ascii="Palatino Linotype" w:eastAsia="MS Mincho" w:hAnsi="Palatino Linotype" w:cs="Arial"/>
          <w:color w:val="000000"/>
        </w:rPr>
        <w:t xml:space="preserve">, son parcialmente concursables y </w:t>
      </w:r>
      <w:r w:rsidRPr="009C0D07">
        <w:rPr>
          <w:rFonts w:ascii="Palatino Linotype" w:eastAsia="MS Mincho" w:hAnsi="Palatino Linotype" w:cs="Arial"/>
          <w:b/>
          <w:bCs/>
          <w:color w:val="000000"/>
        </w:rPr>
        <w:t xml:space="preserve">no pierden su carácter de federal al ser ministrados a los beneficiarios; </w:t>
      </w:r>
      <w:r w:rsidRPr="009C0D07">
        <w:rPr>
          <w:rFonts w:ascii="Palatino Linotype" w:eastAsia="MS Mincho" w:hAnsi="Palatino Linotype" w:cs="Arial"/>
          <w:color w:val="000000"/>
        </w:rPr>
        <w:t xml:space="preserve">por lo que, su </w:t>
      </w:r>
      <w:r w:rsidRPr="009C0D07">
        <w:rPr>
          <w:rFonts w:ascii="Palatino Linotype" w:eastAsia="MS Mincho" w:hAnsi="Palatino Linotype" w:cs="Arial"/>
          <w:b/>
          <w:bCs/>
          <w:color w:val="000000"/>
        </w:rPr>
        <w:t xml:space="preserve">administración, ejercicio, seguimiento, verificación y evaluación </w:t>
      </w:r>
      <w:r w:rsidRPr="009C0D07">
        <w:rPr>
          <w:rFonts w:ascii="Palatino Linotype" w:eastAsia="MS Mincho" w:hAnsi="Palatino Linotype" w:cs="Arial"/>
          <w:color w:val="000000"/>
        </w:rPr>
        <w:t xml:space="preserve">se sujetará a lo dispuesto por el Presupuesto de Egresos de la Federación para el Ejercicio Fiscal 2019, asimismo establece que cualquier comunicado relacionado con los recursos del FORTASEG que realicen los beneficiarios al Secretariado Ejecutivo, deberá estar dirigido a la </w:t>
      </w:r>
      <w:r w:rsidRPr="009C0D07">
        <w:rPr>
          <w:rFonts w:ascii="Palatino Linotype" w:eastAsia="MS Mincho" w:hAnsi="Palatino Linotype" w:cs="Arial"/>
          <w:b/>
          <w:bCs/>
          <w:color w:val="000000"/>
        </w:rPr>
        <w:t>Dirección de Vinculación y Seguimiento</w:t>
      </w:r>
      <w:r w:rsidRPr="009C0D07">
        <w:rPr>
          <w:rFonts w:ascii="Palatino Linotype" w:eastAsia="MS Mincho" w:hAnsi="Palatino Linotype" w:cs="Arial"/>
          <w:color w:val="000000"/>
        </w:rPr>
        <w:t xml:space="preserve">; así, los </w:t>
      </w:r>
      <w:r w:rsidRPr="009C0D07">
        <w:rPr>
          <w:rFonts w:ascii="Palatino Linotype" w:eastAsia="MS Mincho" w:hAnsi="Palatino Linotype" w:cs="Arial"/>
          <w:b/>
          <w:bCs/>
          <w:color w:val="000000"/>
        </w:rPr>
        <w:t xml:space="preserve">“beneficiarios” </w:t>
      </w:r>
      <w:r w:rsidRPr="009C0D07">
        <w:rPr>
          <w:rFonts w:ascii="Palatino Linotype" w:eastAsia="MS Mincho" w:hAnsi="Palatino Linotype" w:cs="Arial"/>
          <w:color w:val="000000"/>
        </w:rPr>
        <w:t>son los Municipios y alcaldías de la Ciudad de México y, en su caso, a las entidades federativas que ejerzan de manera directa o coordinada la función de seguridad pública en el ámbito municipal, que hayan sido seleccionados para acceder al FORTASEG.</w:t>
      </w:r>
    </w:p>
    <w:p w14:paraId="63EF44DF" w14:textId="77777777" w:rsidR="00AC6852" w:rsidRPr="009C0D07" w:rsidRDefault="00AC6852" w:rsidP="00AC6852">
      <w:pPr>
        <w:pStyle w:val="Prrafodelista"/>
        <w:rPr>
          <w:rFonts w:ascii="Palatino Linotype" w:hAnsi="Palatino Linotype"/>
        </w:rPr>
      </w:pPr>
    </w:p>
    <w:p w14:paraId="4EED8BA5" w14:textId="77777777" w:rsidR="00EE2679" w:rsidRPr="009C0D07" w:rsidRDefault="00EE2679" w:rsidP="00EE2679">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rPr>
      </w:pPr>
      <w:r w:rsidRPr="009C0D07">
        <w:rPr>
          <w:rFonts w:ascii="Palatino Linotype" w:eastAsia="MS Mincho" w:hAnsi="Palatino Linotype" w:cs="Arial"/>
          <w:color w:val="000000"/>
        </w:rPr>
        <w:t>De la misma manera, los citados lineamientos establecen que los beneficiarios del FORTASEG, de acuerdo con su artículo 38 tendrán las siguientes obligaciones:</w:t>
      </w:r>
    </w:p>
    <w:p w14:paraId="0A1317F4" w14:textId="77777777" w:rsidR="00EE2679" w:rsidRPr="009C0D07" w:rsidRDefault="00EE2679" w:rsidP="00AC6852">
      <w:pPr>
        <w:spacing w:line="360" w:lineRule="auto"/>
        <w:ind w:left="567" w:right="567"/>
        <w:jc w:val="both"/>
        <w:rPr>
          <w:rFonts w:ascii="Palatino Linotype" w:eastAsia="MS Mincho" w:hAnsi="Palatino Linotype" w:cs="Arial"/>
          <w:b/>
          <w:bCs/>
          <w:i/>
          <w:color w:val="000000"/>
          <w:sz w:val="22"/>
          <w:szCs w:val="22"/>
        </w:rPr>
      </w:pPr>
      <w:r w:rsidRPr="009C0D07">
        <w:rPr>
          <w:rFonts w:ascii="Palatino Linotype" w:eastAsia="MS Mincho" w:hAnsi="Palatino Linotype" w:cs="Arial"/>
          <w:b/>
          <w:bCs/>
          <w:i/>
          <w:color w:val="000000"/>
          <w:sz w:val="22"/>
          <w:szCs w:val="22"/>
        </w:rPr>
        <w:t>“Artículo 38. Son obligaciones de los Beneficiarios del FORTASEG, las siguientes:</w:t>
      </w:r>
    </w:p>
    <w:p w14:paraId="198AAB68" w14:textId="77777777" w:rsidR="00EE2679" w:rsidRPr="009C0D07" w:rsidRDefault="00EE2679" w:rsidP="00AC6852">
      <w:pPr>
        <w:spacing w:line="360" w:lineRule="auto"/>
        <w:ind w:left="567"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lastRenderedPageBreak/>
        <w:t>I. Destinar los recursos del FORTASEG y de coparticipación para el cumplimiento de las metas convenidas, con base en lo establecido en los Lineamientos, los Convenios, Anexos Técnicos y demás normativa aplicable;</w:t>
      </w:r>
    </w:p>
    <w:p w14:paraId="77DE7E5C" w14:textId="77777777" w:rsidR="00EE2679" w:rsidRPr="009C0D07" w:rsidRDefault="00EE2679" w:rsidP="00AC6852">
      <w:pPr>
        <w:spacing w:line="360" w:lineRule="auto"/>
        <w:ind w:left="567"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II. Establecer cuentas bancarias productivas específicas generadoras de rendimientos financieros y abierta por los Beneficiarios para la administración de los recursos, debiendo ser independiente la cuenta bancaria productiva específica en la que se administran los recursos del FORTASEG y en la que se administran los recursos de coparticipación, no pudiendo ser consideradas como tales aquellas cuentas que representen riesgos para los recursos;</w:t>
      </w:r>
    </w:p>
    <w:p w14:paraId="2DA27780" w14:textId="77777777" w:rsidR="00EE2679" w:rsidRPr="009C0D07" w:rsidRDefault="00EE2679" w:rsidP="00AC6852">
      <w:pPr>
        <w:spacing w:line="360" w:lineRule="auto"/>
        <w:ind w:left="567" w:right="567"/>
        <w:jc w:val="both"/>
        <w:rPr>
          <w:rFonts w:ascii="Palatino Linotype" w:eastAsia="MS Mincho" w:hAnsi="Palatino Linotype" w:cs="Arial"/>
          <w:b/>
          <w:bCs/>
          <w:i/>
          <w:color w:val="000000"/>
          <w:sz w:val="22"/>
          <w:szCs w:val="22"/>
        </w:rPr>
      </w:pPr>
      <w:r w:rsidRPr="009C0D07">
        <w:rPr>
          <w:rFonts w:ascii="Palatino Linotype" w:eastAsia="MS Mincho" w:hAnsi="Palatino Linotype" w:cs="Arial"/>
          <w:b/>
          <w:bCs/>
          <w:i/>
          <w:color w:val="000000"/>
          <w:sz w:val="22"/>
          <w:szCs w:val="22"/>
        </w:rPr>
        <w:t>III. Registrar los avances físico-financieros mensuales a través del Sistema que establezca el Secretariado Ejecutivo y presentar el informe trimestral a la Dirección General de Vinculación y Seguimiento, en un plazo no mayor a diez (10) días hábiles posteriores a la conclusión del trimestre correspondiente, conforme a los formatos de avance en la aplicación de los recursos del FORTASEG y de coparticipación que establezca el Secretariado Ejecutivo, debidamente suscritos por las autoridades competentes, los cuales contendrán como mínimo la información siguiente:</w:t>
      </w:r>
    </w:p>
    <w:p w14:paraId="4CCF2884" w14:textId="77777777" w:rsidR="00EE2679" w:rsidRPr="009C0D07" w:rsidRDefault="00EE2679" w:rsidP="00AC6852">
      <w:pPr>
        <w:spacing w:line="360" w:lineRule="auto"/>
        <w:ind w:left="567" w:right="567"/>
        <w:jc w:val="both"/>
        <w:rPr>
          <w:rFonts w:ascii="Palatino Linotype" w:eastAsia="MS Mincho" w:hAnsi="Palatino Linotype" w:cs="Arial"/>
          <w:b/>
          <w:bCs/>
          <w:i/>
          <w:color w:val="000000"/>
          <w:sz w:val="22"/>
          <w:szCs w:val="22"/>
        </w:rPr>
      </w:pPr>
      <w:r w:rsidRPr="009C0D07">
        <w:rPr>
          <w:rFonts w:ascii="Palatino Linotype" w:eastAsia="MS Mincho" w:hAnsi="Palatino Linotype" w:cs="Arial"/>
          <w:b/>
          <w:bCs/>
          <w:i/>
          <w:color w:val="000000"/>
          <w:sz w:val="22"/>
          <w:szCs w:val="22"/>
        </w:rPr>
        <w:t>a) Datos sobre los recursos del FORTASEG y de coparticipación comprometidos, devengados y pagados a la fecha de corte del periodo que corresponda, y</w:t>
      </w:r>
    </w:p>
    <w:p w14:paraId="42522093" w14:textId="77777777" w:rsidR="00EE2679" w:rsidRPr="009C0D07" w:rsidRDefault="00EE2679" w:rsidP="00AC6852">
      <w:pPr>
        <w:spacing w:line="360" w:lineRule="auto"/>
        <w:ind w:left="567" w:right="567"/>
        <w:jc w:val="both"/>
        <w:rPr>
          <w:rFonts w:ascii="Palatino Linotype" w:eastAsia="MS Mincho" w:hAnsi="Palatino Linotype" w:cs="Arial"/>
          <w:b/>
          <w:bCs/>
          <w:i/>
          <w:color w:val="000000"/>
          <w:sz w:val="22"/>
          <w:szCs w:val="22"/>
        </w:rPr>
      </w:pPr>
      <w:r w:rsidRPr="009C0D07">
        <w:rPr>
          <w:rFonts w:ascii="Palatino Linotype" w:eastAsia="MS Mincho" w:hAnsi="Palatino Linotype" w:cs="Arial"/>
          <w:b/>
          <w:bCs/>
          <w:i/>
          <w:color w:val="000000"/>
          <w:sz w:val="22"/>
          <w:szCs w:val="22"/>
        </w:rPr>
        <w:t>b) Disponibilidad presupuestal y financiera del FORTASEG y de la coparticipación con la que cuenten a la fecha de corte del reporte.</w:t>
      </w:r>
    </w:p>
    <w:p w14:paraId="63B89253" w14:textId="77777777" w:rsidR="00EE2679" w:rsidRPr="009C0D07" w:rsidRDefault="00EE2679" w:rsidP="00AC6852">
      <w:pPr>
        <w:spacing w:line="360" w:lineRule="auto"/>
        <w:ind w:left="567" w:right="567"/>
        <w:jc w:val="both"/>
        <w:rPr>
          <w:rFonts w:ascii="Palatino Linotype" w:eastAsia="MS Mincho" w:hAnsi="Palatino Linotype" w:cs="Arial"/>
          <w:b/>
          <w:bCs/>
          <w:i/>
          <w:color w:val="000000"/>
          <w:sz w:val="22"/>
          <w:szCs w:val="22"/>
        </w:rPr>
      </w:pPr>
      <w:r w:rsidRPr="009C0D07">
        <w:rPr>
          <w:rFonts w:ascii="Palatino Linotype" w:eastAsia="MS Mincho" w:hAnsi="Palatino Linotype" w:cs="Arial"/>
          <w:b/>
          <w:bCs/>
          <w:i/>
          <w:color w:val="000000"/>
          <w:sz w:val="22"/>
          <w:szCs w:val="22"/>
        </w:rPr>
        <w:t>IV. Informar y acreditar a través del medio que establezca el Secretariado Ejecutivo, el cumplimiento de las metas convenidas y, en su caso, la recepción de recursos en especie en un plazo no mayor a diez (10) días hábiles;</w:t>
      </w:r>
    </w:p>
    <w:p w14:paraId="3AD25BB6" w14:textId="77777777" w:rsidR="00EE2679" w:rsidRPr="009C0D07" w:rsidRDefault="00EE2679" w:rsidP="00AC6852">
      <w:pPr>
        <w:spacing w:line="360" w:lineRule="auto"/>
        <w:ind w:left="567" w:right="567"/>
        <w:jc w:val="both"/>
        <w:rPr>
          <w:rFonts w:ascii="Palatino Linotype" w:eastAsia="MS Mincho" w:hAnsi="Palatino Linotype" w:cs="Arial"/>
          <w:b/>
          <w:bCs/>
          <w:i/>
          <w:color w:val="000000"/>
          <w:sz w:val="22"/>
          <w:szCs w:val="22"/>
        </w:rPr>
      </w:pPr>
      <w:r w:rsidRPr="009C0D07">
        <w:rPr>
          <w:rFonts w:ascii="Palatino Linotype" w:eastAsia="MS Mincho" w:hAnsi="Palatino Linotype" w:cs="Arial"/>
          <w:b/>
          <w:bCs/>
          <w:i/>
          <w:color w:val="000000"/>
          <w:sz w:val="22"/>
          <w:szCs w:val="22"/>
        </w:rPr>
        <w:lastRenderedPageBreak/>
        <w:t>V. Atender en tiempo y forma las solicitudes de información que realice el Secretariado Ejecutivo sobre la administración y avances de los recursos del FORTASEG, así como permitir llevar a cabo las visitas y acciones de verificación sobre su aplicación que estime pertinentes, dando el acceso a equipo, material, información, registros y documentos requeridos para ejecutar el seguimiento de las acciones realizadas con el FORTASEG;</w:t>
      </w:r>
    </w:p>
    <w:p w14:paraId="33151BA0" w14:textId="77777777" w:rsidR="00EE2679" w:rsidRPr="009C0D07" w:rsidRDefault="00EE2679" w:rsidP="00AC6852">
      <w:pPr>
        <w:spacing w:line="360" w:lineRule="auto"/>
        <w:ind w:left="567"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VI. Cancelar la documentación comprobatoria original del gasto con la leyenda "Operado FORTASEG 2019", o como se establezca en las disposiciones locales, identificándose con el nombre de FORTASEG y reportarla al Secretariado Ejecutivo a través del Sistema establecido para este fin;</w:t>
      </w:r>
    </w:p>
    <w:p w14:paraId="4BD1A00B" w14:textId="77777777" w:rsidR="00EE2679" w:rsidRPr="009C0D07" w:rsidRDefault="00EE2679" w:rsidP="00AC6852">
      <w:pPr>
        <w:spacing w:line="360" w:lineRule="auto"/>
        <w:ind w:left="567"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VII. Acreditar, previo al ejercicio de los recursos, la propiedad legal del (de los) predio (s) de las acciones de infraestructura, así como obtener de la Dirección General de Apoyo Técnico del Secretariado Ejecutivo, la opinión favorable respecto del expediente técnico, mismos que deberán ser entregados al Secretariado Ejecutivo a más tardar el 30 de abril de 2019 para la opinión respectiva; en caso de que sean presentados con posterioridad a la fecha señalada, serán desechados;</w:t>
      </w:r>
    </w:p>
    <w:p w14:paraId="43F59472" w14:textId="77777777" w:rsidR="00EE2679" w:rsidRPr="009C0D07" w:rsidRDefault="00EE2679" w:rsidP="00AC6852">
      <w:pPr>
        <w:spacing w:line="360" w:lineRule="auto"/>
        <w:ind w:left="567" w:right="567"/>
        <w:jc w:val="both"/>
        <w:rPr>
          <w:rFonts w:ascii="Palatino Linotype" w:eastAsia="MS Mincho" w:hAnsi="Palatino Linotype" w:cs="Arial"/>
          <w:i/>
          <w:color w:val="000000"/>
          <w:sz w:val="22"/>
          <w:szCs w:val="22"/>
        </w:rPr>
      </w:pPr>
      <w:r w:rsidRPr="009C0D07">
        <w:rPr>
          <w:rFonts w:ascii="Palatino Linotype" w:eastAsia="MS Mincho" w:hAnsi="Palatino Linotype" w:cs="Arial"/>
          <w:b/>
          <w:bCs/>
          <w:i/>
          <w:color w:val="000000"/>
          <w:sz w:val="22"/>
          <w:szCs w:val="22"/>
        </w:rPr>
        <w:t>VIII. Obtener de las Áreas Técnicas del Secretariado Ejecutivo, de conformidad con la normativa aplicable, los dictámenes, observaciones u opiniones técnicas que en su caso se requieran para la realización de las metas convenidas en los Anexos Técnicos</w:t>
      </w:r>
      <w:r w:rsidRPr="009C0D07">
        <w:rPr>
          <w:rFonts w:ascii="Palatino Linotype" w:eastAsia="MS Mincho" w:hAnsi="Palatino Linotype" w:cs="Arial"/>
          <w:i/>
          <w:color w:val="000000"/>
          <w:sz w:val="22"/>
          <w:szCs w:val="22"/>
        </w:rPr>
        <w:t>. Las solicitudes de validación de cursos de capacitación deberán presentarse a más tardar el 15 de octubre de 2019; en caso de ser presentadas con posterioridad a la fecha señalada, serán desechadas por el área técnica. Los cursos que se realicen sin contar con dicha validación, no computarán en la acreditación del cumplimiento de metas;</w:t>
      </w:r>
    </w:p>
    <w:p w14:paraId="3F4CBA12" w14:textId="77777777" w:rsidR="00EE2679" w:rsidRPr="009C0D07" w:rsidRDefault="00EE2679" w:rsidP="00AC6852">
      <w:pPr>
        <w:spacing w:line="360" w:lineRule="auto"/>
        <w:ind w:left="567"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lastRenderedPageBreak/>
        <w:t>IX. Cumplir con los Lineamientos Generales de Evaluación del Desempeño referidos en los artículos 43 y 49 de los Lineamientos, que para tal efecto emita la Dirección General de Planeación del Secretariado Ejecutivo;</w:t>
      </w:r>
    </w:p>
    <w:p w14:paraId="7D8B2A83" w14:textId="77777777" w:rsidR="00EE2679" w:rsidRPr="009C0D07" w:rsidRDefault="00EE2679" w:rsidP="00AC6852">
      <w:pPr>
        <w:tabs>
          <w:tab w:val="left" w:pos="567"/>
        </w:tabs>
        <w:spacing w:line="360" w:lineRule="auto"/>
        <w:ind w:left="567" w:right="567"/>
        <w:jc w:val="both"/>
        <w:rPr>
          <w:rFonts w:ascii="Palatino Linotype" w:eastAsia="MS Mincho" w:hAnsi="Palatino Linotype" w:cs="Arial"/>
          <w:b/>
          <w:bCs/>
          <w:i/>
          <w:color w:val="000000"/>
          <w:sz w:val="22"/>
          <w:szCs w:val="22"/>
        </w:rPr>
      </w:pPr>
      <w:r w:rsidRPr="009C0D07">
        <w:rPr>
          <w:rFonts w:ascii="Palatino Linotype" w:eastAsia="MS Mincho" w:hAnsi="Palatino Linotype" w:cs="Arial"/>
          <w:b/>
          <w:bCs/>
          <w:i/>
          <w:color w:val="000000"/>
          <w:sz w:val="22"/>
          <w:szCs w:val="22"/>
        </w:rPr>
        <w:t>X. Informar por oficio al Secretariado Ejecutivo, el cambio que realice sobre la designación de la o el servidor público, enlace del FORTASEG;</w:t>
      </w:r>
    </w:p>
    <w:p w14:paraId="5EEAEBF5" w14:textId="77777777" w:rsidR="00EE2679" w:rsidRPr="009C0D07" w:rsidRDefault="00EE2679" w:rsidP="00AC6852">
      <w:pPr>
        <w:spacing w:line="360" w:lineRule="auto"/>
        <w:ind w:left="567"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XI. Colaborar y participar en términos de la normativa aplicable, en operativos conjuntos con las autoridades competentes, y</w:t>
      </w:r>
    </w:p>
    <w:p w14:paraId="756B0652" w14:textId="77777777" w:rsidR="00EE2679" w:rsidRPr="009C0D07" w:rsidRDefault="00EE2679" w:rsidP="00AC6852">
      <w:pPr>
        <w:spacing w:line="360" w:lineRule="auto"/>
        <w:ind w:left="567" w:right="567"/>
        <w:jc w:val="both"/>
        <w:rPr>
          <w:rFonts w:ascii="Palatino Linotype" w:hAnsi="Palatino Linotype"/>
          <w:b/>
          <w:i/>
          <w:sz w:val="22"/>
          <w:szCs w:val="22"/>
        </w:rPr>
      </w:pPr>
      <w:r w:rsidRPr="009C0D07">
        <w:rPr>
          <w:rFonts w:ascii="Palatino Linotype" w:eastAsia="MS Mincho" w:hAnsi="Palatino Linotype" w:cs="Arial"/>
          <w:i/>
          <w:color w:val="000000"/>
          <w:sz w:val="22"/>
          <w:szCs w:val="22"/>
        </w:rPr>
        <w:t>XII. Las demás establecidas en el Convenio, Anexo Técnico y las disposiciones aplicables.”</w:t>
      </w:r>
      <w:r w:rsidRPr="009C0D07">
        <w:rPr>
          <w:rFonts w:ascii="Palatino Linotype" w:hAnsi="Palatino Linotype"/>
          <w:b/>
          <w:i/>
          <w:sz w:val="22"/>
          <w:szCs w:val="22"/>
        </w:rPr>
        <w:t xml:space="preserve"> </w:t>
      </w:r>
    </w:p>
    <w:p w14:paraId="25DE5C58" w14:textId="77777777" w:rsidR="00EE2679" w:rsidRPr="009C0D07" w:rsidRDefault="00EE2679" w:rsidP="00AC6852">
      <w:pPr>
        <w:spacing w:line="360" w:lineRule="auto"/>
        <w:ind w:left="567" w:right="567"/>
        <w:jc w:val="both"/>
        <w:rPr>
          <w:rFonts w:ascii="Palatino Linotype" w:hAnsi="Palatino Linotype"/>
          <w:sz w:val="22"/>
          <w:szCs w:val="22"/>
        </w:rPr>
      </w:pPr>
      <w:r w:rsidRPr="009C0D07">
        <w:rPr>
          <w:rFonts w:ascii="Palatino Linotype" w:hAnsi="Palatino Linotype"/>
          <w:sz w:val="22"/>
          <w:szCs w:val="22"/>
        </w:rPr>
        <w:t>(Énfasis añadido)</w:t>
      </w:r>
    </w:p>
    <w:p w14:paraId="5E896CD1" w14:textId="17DAF061" w:rsidR="00EE2679" w:rsidRPr="009C0D07" w:rsidRDefault="00EE2679" w:rsidP="00AC6852">
      <w:pPr>
        <w:pStyle w:val="Prrafodelista"/>
        <w:numPr>
          <w:ilvl w:val="0"/>
          <w:numId w:val="1"/>
        </w:numPr>
        <w:tabs>
          <w:tab w:val="left" w:pos="851"/>
        </w:tabs>
        <w:spacing w:before="100" w:beforeAutospacing="1" w:after="100" w:afterAutospacing="1" w:line="360" w:lineRule="auto"/>
        <w:ind w:left="0" w:right="49" w:firstLine="0"/>
        <w:jc w:val="both"/>
        <w:rPr>
          <w:rFonts w:ascii="Palatino Linotype" w:eastAsia="MS Mincho" w:hAnsi="Palatino Linotype" w:cs="Arial"/>
          <w:i/>
          <w:color w:val="000000"/>
        </w:rPr>
      </w:pPr>
      <w:r w:rsidRPr="009C0D07">
        <w:rPr>
          <w:rFonts w:ascii="Palatino Linotype" w:eastAsia="MS Mincho" w:hAnsi="Palatino Linotype" w:cs="Arial"/>
          <w:color w:val="000000"/>
        </w:rPr>
        <w:t>Hecho lo anterior, se indica que los beneficiarios son los encargados de reportar y presentar el informe trimestral a la Dirección General de Vinculación y Seguimiento, los avances y aplicación de los recursos del FORTASEG, los cuales contendrán la información relativa a los datos sobre los recursos devengados y pagados, así como su disponibilidad presupuestal y financiera con la que cuenten a la fecha del reporte, del mismo modo, informarán y acreditarán el cumplimiento de las metas convenidas, permitirán llevar a cabo las visitas y acciones de verificación sobre su aplicación, dando acceso a equipo, material, información registro y documentos para ejecutar el seguimiento de las accio</w:t>
      </w:r>
      <w:r w:rsidR="00AC6852" w:rsidRPr="009C0D07">
        <w:rPr>
          <w:rFonts w:ascii="Palatino Linotype" w:eastAsia="MS Mincho" w:hAnsi="Palatino Linotype" w:cs="Arial"/>
          <w:color w:val="000000"/>
        </w:rPr>
        <w:t>nes realizadas con el FORTASEG.</w:t>
      </w:r>
    </w:p>
    <w:p w14:paraId="5BEDE7F6" w14:textId="77777777" w:rsidR="00AC6852" w:rsidRPr="009C0D07" w:rsidRDefault="00AC6852" w:rsidP="00AC6852">
      <w:pPr>
        <w:pStyle w:val="Prrafodelista"/>
        <w:tabs>
          <w:tab w:val="left" w:pos="851"/>
        </w:tabs>
        <w:spacing w:before="100" w:beforeAutospacing="1" w:after="100" w:afterAutospacing="1" w:line="360" w:lineRule="auto"/>
        <w:ind w:left="0" w:right="49"/>
        <w:jc w:val="both"/>
        <w:rPr>
          <w:rFonts w:ascii="Palatino Linotype" w:eastAsia="MS Mincho" w:hAnsi="Palatino Linotype" w:cs="Arial"/>
          <w:color w:val="000000"/>
        </w:rPr>
      </w:pPr>
    </w:p>
    <w:p w14:paraId="59206764" w14:textId="77777777" w:rsidR="00EE2679" w:rsidRPr="009C0D07" w:rsidRDefault="00EE2679" w:rsidP="00AC6852">
      <w:pPr>
        <w:pStyle w:val="Prrafodelista"/>
        <w:numPr>
          <w:ilvl w:val="0"/>
          <w:numId w:val="1"/>
        </w:numPr>
        <w:tabs>
          <w:tab w:val="left" w:pos="851"/>
        </w:tabs>
        <w:spacing w:before="100" w:beforeAutospacing="1" w:after="100" w:afterAutospacing="1" w:line="360" w:lineRule="auto"/>
        <w:ind w:left="0" w:right="49" w:firstLine="0"/>
        <w:jc w:val="both"/>
        <w:rPr>
          <w:rFonts w:ascii="Palatino Linotype" w:eastAsia="MS Mincho" w:hAnsi="Palatino Linotype" w:cs="Arial"/>
          <w:i/>
          <w:color w:val="000000"/>
        </w:rPr>
      </w:pPr>
      <w:r w:rsidRPr="009C0D07">
        <w:rPr>
          <w:rFonts w:ascii="Palatino Linotype" w:eastAsia="MS Mincho" w:hAnsi="Palatino Linotype" w:cs="Arial"/>
          <w:color w:val="000000"/>
        </w:rPr>
        <w:t>Por otra parte, las Entidades Federativas tienen las obligaciones conferidas en el artículo 39 de los Lineamientos en cita y consisten en las siguientes:</w:t>
      </w:r>
    </w:p>
    <w:p w14:paraId="4B2B3C85" w14:textId="77777777" w:rsidR="00EE2679" w:rsidRPr="009C0D07" w:rsidRDefault="00EE2679" w:rsidP="00AC6852">
      <w:pPr>
        <w:spacing w:line="360" w:lineRule="auto"/>
        <w:ind w:left="567" w:right="567"/>
        <w:jc w:val="both"/>
        <w:rPr>
          <w:rFonts w:ascii="Palatino Linotype" w:eastAsia="MS Mincho" w:hAnsi="Palatino Linotype" w:cs="Arial"/>
          <w:i/>
          <w:color w:val="000000"/>
        </w:rPr>
      </w:pPr>
      <w:r w:rsidRPr="009C0D07">
        <w:rPr>
          <w:rFonts w:ascii="Palatino Linotype" w:eastAsia="MS Mincho" w:hAnsi="Palatino Linotype" w:cs="Arial"/>
          <w:i/>
          <w:color w:val="000000"/>
        </w:rPr>
        <w:lastRenderedPageBreak/>
        <w:t>“</w:t>
      </w:r>
      <w:r w:rsidRPr="009C0D07">
        <w:rPr>
          <w:rFonts w:ascii="Palatino Linotype" w:eastAsia="MS Mincho" w:hAnsi="Palatino Linotype" w:cs="Arial"/>
          <w:b/>
          <w:i/>
          <w:color w:val="000000"/>
        </w:rPr>
        <w:t>Artículo 39.</w:t>
      </w:r>
      <w:r w:rsidRPr="009C0D07">
        <w:rPr>
          <w:rFonts w:ascii="Palatino Linotype" w:eastAsia="MS Mincho" w:hAnsi="Palatino Linotype" w:cs="Arial"/>
          <w:i/>
          <w:color w:val="000000"/>
        </w:rPr>
        <w:t xml:space="preserve"> Son obligaciones de las entidades federativas las siguientes:</w:t>
      </w:r>
    </w:p>
    <w:p w14:paraId="54BDA84F" w14:textId="77777777" w:rsidR="00EE2679" w:rsidRPr="009C0D07" w:rsidRDefault="00EE2679" w:rsidP="00AC6852">
      <w:pPr>
        <w:spacing w:line="360" w:lineRule="auto"/>
        <w:ind w:left="567" w:right="567"/>
        <w:jc w:val="both"/>
        <w:rPr>
          <w:rFonts w:ascii="Palatino Linotype" w:eastAsia="MS Mincho" w:hAnsi="Palatino Linotype" w:cs="Arial"/>
          <w:i/>
          <w:color w:val="000000"/>
        </w:rPr>
      </w:pPr>
      <w:r w:rsidRPr="009C0D07">
        <w:rPr>
          <w:rFonts w:ascii="Palatino Linotype" w:eastAsia="MS Mincho" w:hAnsi="Palatino Linotype" w:cs="Arial"/>
          <w:i/>
          <w:color w:val="000000"/>
        </w:rPr>
        <w:t>I. Entregar a la Dirección General de Vinculación y Seguimiento a más tardar el día de la concertación a que sean convocados sus municipios o alcaldías Beneficiarios, los documentos que a continuación se señalan:</w:t>
      </w:r>
    </w:p>
    <w:p w14:paraId="0AEED16B" w14:textId="77777777" w:rsidR="00EE2679" w:rsidRPr="009C0D07" w:rsidRDefault="00EE2679" w:rsidP="00AC6852">
      <w:pPr>
        <w:spacing w:line="360" w:lineRule="auto"/>
        <w:ind w:left="567" w:right="567"/>
        <w:jc w:val="both"/>
        <w:rPr>
          <w:rFonts w:ascii="Palatino Linotype" w:eastAsia="MS Mincho" w:hAnsi="Palatino Linotype" w:cs="Arial"/>
          <w:i/>
          <w:color w:val="000000"/>
        </w:rPr>
      </w:pPr>
      <w:r w:rsidRPr="009C0D07">
        <w:rPr>
          <w:rFonts w:ascii="Palatino Linotype" w:eastAsia="MS Mincho" w:hAnsi="Palatino Linotype" w:cs="Arial"/>
          <w:i/>
          <w:color w:val="000000"/>
        </w:rPr>
        <w:t>a) Carta original de la institución bancaria que acredite la apertura de una cuenta bancaria productiva específica para la recepción y administración de los recursos del "FORTASEG", la cual deberá contener como mínimo nombre del beneficiario, número de cuenta y Clave Bancaria Estandarizada (CLABE) con 18 posiciones;</w:t>
      </w:r>
    </w:p>
    <w:p w14:paraId="06E4ACDF" w14:textId="77777777" w:rsidR="00EE2679" w:rsidRPr="009C0D07" w:rsidRDefault="00EE2679" w:rsidP="00AC6852">
      <w:pPr>
        <w:spacing w:line="360" w:lineRule="auto"/>
        <w:ind w:left="567" w:right="567"/>
        <w:jc w:val="both"/>
        <w:rPr>
          <w:rFonts w:ascii="Palatino Linotype" w:eastAsia="MS Mincho" w:hAnsi="Palatino Linotype" w:cs="Arial"/>
          <w:i/>
          <w:color w:val="000000"/>
        </w:rPr>
      </w:pPr>
      <w:r w:rsidRPr="009C0D07">
        <w:rPr>
          <w:rFonts w:ascii="Palatino Linotype" w:eastAsia="MS Mincho" w:hAnsi="Palatino Linotype" w:cs="Arial"/>
          <w:i/>
          <w:color w:val="000000"/>
        </w:rPr>
        <w:t>b) Copia de la Cédula de Identificación Fiscal de la entidad federativa, expedida por el Servicio de Administración Tributaria;</w:t>
      </w:r>
    </w:p>
    <w:p w14:paraId="0DC8A6EE" w14:textId="77777777" w:rsidR="00EE2679" w:rsidRPr="009C0D07" w:rsidRDefault="00EE2679" w:rsidP="00AC6852">
      <w:pPr>
        <w:spacing w:line="360" w:lineRule="auto"/>
        <w:ind w:left="567" w:right="567"/>
        <w:jc w:val="both"/>
        <w:rPr>
          <w:rFonts w:ascii="Palatino Linotype" w:eastAsia="MS Mincho" w:hAnsi="Palatino Linotype" w:cs="Arial"/>
          <w:i/>
          <w:color w:val="000000"/>
        </w:rPr>
      </w:pPr>
      <w:r w:rsidRPr="009C0D07">
        <w:rPr>
          <w:rFonts w:ascii="Palatino Linotype" w:eastAsia="MS Mincho" w:hAnsi="Palatino Linotype" w:cs="Arial"/>
          <w:i/>
          <w:color w:val="000000"/>
        </w:rPr>
        <w:t>c) Constancia de domicilio fiscal, y</w:t>
      </w:r>
    </w:p>
    <w:p w14:paraId="65B8A99D" w14:textId="77777777" w:rsidR="00EE2679" w:rsidRPr="009C0D07" w:rsidRDefault="00EE2679" w:rsidP="00AC6852">
      <w:pPr>
        <w:spacing w:line="360" w:lineRule="auto"/>
        <w:ind w:left="567" w:right="567"/>
        <w:jc w:val="both"/>
        <w:rPr>
          <w:rFonts w:ascii="Palatino Linotype" w:eastAsia="MS Mincho" w:hAnsi="Palatino Linotype" w:cs="Arial"/>
          <w:i/>
          <w:color w:val="000000"/>
        </w:rPr>
      </w:pPr>
      <w:r w:rsidRPr="009C0D07">
        <w:rPr>
          <w:rFonts w:ascii="Palatino Linotype" w:eastAsia="MS Mincho" w:hAnsi="Palatino Linotype" w:cs="Arial"/>
          <w:i/>
          <w:color w:val="000000"/>
        </w:rPr>
        <w:t>d) Copia del oficio de designación o nombramiento de las o los servidores públicos responsables del manejo de la cuenta bancaria productiva específica.</w:t>
      </w:r>
    </w:p>
    <w:p w14:paraId="784FCBDE" w14:textId="77777777" w:rsidR="00EE2679" w:rsidRPr="009C0D07" w:rsidRDefault="00EE2679" w:rsidP="00AC6852">
      <w:pPr>
        <w:tabs>
          <w:tab w:val="left" w:pos="567"/>
        </w:tabs>
        <w:spacing w:line="360" w:lineRule="auto"/>
        <w:ind w:left="567" w:right="567"/>
        <w:jc w:val="both"/>
        <w:rPr>
          <w:rFonts w:ascii="Palatino Linotype" w:eastAsia="MS Mincho" w:hAnsi="Palatino Linotype" w:cs="Arial"/>
          <w:i/>
          <w:color w:val="000000"/>
        </w:rPr>
      </w:pPr>
      <w:r w:rsidRPr="009C0D07">
        <w:rPr>
          <w:rFonts w:ascii="Palatino Linotype" w:eastAsia="MS Mincho" w:hAnsi="Palatino Linotype" w:cs="Arial"/>
          <w:i/>
          <w:color w:val="000000"/>
        </w:rPr>
        <w:t xml:space="preserve">II. </w:t>
      </w:r>
      <w:r w:rsidRPr="009C0D07">
        <w:rPr>
          <w:rFonts w:ascii="Palatino Linotype" w:eastAsia="MS Mincho" w:hAnsi="Palatino Linotype" w:cs="Arial"/>
          <w:b/>
          <w:bCs/>
          <w:i/>
          <w:color w:val="000000"/>
        </w:rPr>
        <w:t>Transferir los recursos del FORTASEG correspondientes a los Beneficiarios</w:t>
      </w:r>
      <w:r w:rsidRPr="009C0D07">
        <w:rPr>
          <w:rFonts w:ascii="Palatino Linotype" w:eastAsia="MS Mincho" w:hAnsi="Palatino Linotype" w:cs="Arial"/>
          <w:i/>
          <w:color w:val="000000"/>
        </w:rPr>
        <w:t xml:space="preserve">, incluyendo los rendimientos financieros, en los términos de las disposiciones aplicables, en un plazo no mayor a cinco (5) días hábiles a partir de su recepción, </w:t>
      </w:r>
      <w:r w:rsidRPr="009C0D07">
        <w:rPr>
          <w:rFonts w:ascii="Palatino Linotype" w:eastAsia="MS Mincho" w:hAnsi="Palatino Linotype" w:cs="Arial"/>
          <w:b/>
          <w:bCs/>
          <w:i/>
          <w:color w:val="000000"/>
        </w:rPr>
        <w:t>debiendo entregar a la Dirección General de Vinculación y Seguimiento copia de los comprobantes de las transferencias, dentro del plazo de cinco (5) días hábiles siguientes a la transferencia</w:t>
      </w:r>
      <w:r w:rsidRPr="009C0D07">
        <w:rPr>
          <w:rFonts w:ascii="Palatino Linotype" w:eastAsia="MS Mincho" w:hAnsi="Palatino Linotype" w:cs="Arial"/>
          <w:i/>
          <w:color w:val="000000"/>
        </w:rPr>
        <w:t>;</w:t>
      </w:r>
    </w:p>
    <w:p w14:paraId="284CE9B4" w14:textId="77777777" w:rsidR="00EE2679" w:rsidRPr="009C0D07" w:rsidRDefault="00EE2679" w:rsidP="00AC6852">
      <w:pPr>
        <w:spacing w:line="360" w:lineRule="auto"/>
        <w:ind w:left="567" w:right="567"/>
        <w:jc w:val="both"/>
        <w:rPr>
          <w:rFonts w:ascii="Palatino Linotype" w:eastAsia="MS Mincho" w:hAnsi="Palatino Linotype" w:cs="Arial"/>
          <w:i/>
          <w:color w:val="000000"/>
        </w:rPr>
      </w:pPr>
      <w:r w:rsidRPr="009C0D07">
        <w:rPr>
          <w:rFonts w:ascii="Palatino Linotype" w:eastAsia="MS Mincho" w:hAnsi="Palatino Linotype" w:cs="Arial"/>
          <w:i/>
          <w:color w:val="000000"/>
        </w:rPr>
        <w:t>III. Coordinarse con los Beneficiarios y las áreas técnicas de la entidad federativa para la integración de la propuesta de inversión;</w:t>
      </w:r>
    </w:p>
    <w:p w14:paraId="29AE6127" w14:textId="77777777" w:rsidR="00EE2679" w:rsidRPr="009C0D07" w:rsidRDefault="00EE2679" w:rsidP="00AC6852">
      <w:pPr>
        <w:spacing w:line="360" w:lineRule="auto"/>
        <w:ind w:left="567" w:right="567"/>
        <w:jc w:val="both"/>
        <w:rPr>
          <w:rFonts w:ascii="Palatino Linotype" w:eastAsia="MS Mincho" w:hAnsi="Palatino Linotype" w:cs="Arial"/>
          <w:b/>
          <w:bCs/>
          <w:i/>
          <w:color w:val="000000"/>
        </w:rPr>
      </w:pPr>
      <w:r w:rsidRPr="009C0D07">
        <w:rPr>
          <w:rFonts w:ascii="Palatino Linotype" w:eastAsia="MS Mincho" w:hAnsi="Palatino Linotype" w:cs="Arial"/>
          <w:b/>
          <w:bCs/>
          <w:i/>
          <w:color w:val="000000"/>
        </w:rPr>
        <w:lastRenderedPageBreak/>
        <w:t>IV. Remitir a la Dirección General de Vinculación y Seguimiento el recibo de ministraciones de los recursos del FORTASEG, en los términos que para tal efecto se establezcan;</w:t>
      </w:r>
    </w:p>
    <w:p w14:paraId="21D1E8F1" w14:textId="77777777" w:rsidR="00EE2679" w:rsidRPr="009C0D07" w:rsidRDefault="00EE2679" w:rsidP="00AC6852">
      <w:pPr>
        <w:spacing w:line="360" w:lineRule="auto"/>
        <w:ind w:left="567" w:right="567"/>
        <w:jc w:val="both"/>
        <w:rPr>
          <w:rFonts w:ascii="Palatino Linotype" w:eastAsia="MS Mincho" w:hAnsi="Palatino Linotype" w:cs="Arial"/>
          <w:i/>
          <w:color w:val="000000"/>
        </w:rPr>
      </w:pPr>
      <w:r w:rsidRPr="009C0D07">
        <w:rPr>
          <w:rFonts w:ascii="Palatino Linotype" w:eastAsia="MS Mincho" w:hAnsi="Palatino Linotype" w:cs="Arial"/>
          <w:i/>
          <w:color w:val="000000"/>
        </w:rPr>
        <w:t>V. Dar cumplimiento a las obligaciones a las que se refiere el artículo 38 de los Lineamientos cuando sean Beneficiarios del FORTASEG, y</w:t>
      </w:r>
    </w:p>
    <w:p w14:paraId="0CE21BE1" w14:textId="77777777" w:rsidR="00EE2679" w:rsidRPr="009C0D07" w:rsidRDefault="00EE2679" w:rsidP="00AC6852">
      <w:pPr>
        <w:spacing w:line="360" w:lineRule="auto"/>
        <w:ind w:left="567" w:right="567"/>
        <w:jc w:val="both"/>
        <w:rPr>
          <w:rFonts w:ascii="Palatino Linotype" w:hAnsi="Palatino Linotype"/>
          <w:b/>
          <w:i/>
        </w:rPr>
      </w:pPr>
      <w:r w:rsidRPr="009C0D07">
        <w:rPr>
          <w:rFonts w:ascii="Palatino Linotype" w:eastAsia="MS Mincho" w:hAnsi="Palatino Linotype" w:cs="Arial"/>
          <w:i/>
          <w:color w:val="000000"/>
        </w:rPr>
        <w:t>VI. Las demás referidas en el Convenio, Anexo Técnico y las disposiciones aplicables.”</w:t>
      </w:r>
      <w:r w:rsidRPr="009C0D07">
        <w:rPr>
          <w:rFonts w:ascii="Palatino Linotype" w:hAnsi="Palatino Linotype"/>
          <w:b/>
          <w:i/>
        </w:rPr>
        <w:t xml:space="preserve"> </w:t>
      </w:r>
    </w:p>
    <w:p w14:paraId="59542E4D" w14:textId="77777777" w:rsidR="00EE2679" w:rsidRPr="009C0D07" w:rsidRDefault="00EE2679" w:rsidP="00AC6852">
      <w:pPr>
        <w:spacing w:line="360" w:lineRule="auto"/>
        <w:ind w:left="567" w:right="567"/>
        <w:jc w:val="both"/>
        <w:rPr>
          <w:rFonts w:ascii="Palatino Linotype" w:hAnsi="Palatino Linotype"/>
          <w:b/>
          <w:i/>
        </w:rPr>
      </w:pPr>
      <w:r w:rsidRPr="009C0D07">
        <w:rPr>
          <w:rFonts w:ascii="Palatino Linotype" w:hAnsi="Palatino Linotype"/>
          <w:b/>
          <w:i/>
        </w:rPr>
        <w:t>…</w:t>
      </w:r>
    </w:p>
    <w:p w14:paraId="0D811638" w14:textId="77777777" w:rsidR="00EE2679" w:rsidRPr="009C0D07" w:rsidRDefault="00EE2679" w:rsidP="00AC6852">
      <w:pPr>
        <w:spacing w:line="360" w:lineRule="auto"/>
        <w:ind w:left="567" w:right="567"/>
        <w:jc w:val="both"/>
        <w:rPr>
          <w:rFonts w:ascii="Palatino Linotype" w:hAnsi="Palatino Linotype"/>
        </w:rPr>
      </w:pPr>
      <w:r w:rsidRPr="009C0D07">
        <w:rPr>
          <w:rFonts w:ascii="Palatino Linotype" w:hAnsi="Palatino Linotype"/>
        </w:rPr>
        <w:t>(Énfasis añadido)</w:t>
      </w:r>
    </w:p>
    <w:p w14:paraId="2C3E1872" w14:textId="77777777" w:rsidR="00EE2679" w:rsidRPr="009C0D07" w:rsidRDefault="00EE2679" w:rsidP="00AC6852">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color w:val="000000"/>
        </w:rPr>
      </w:pPr>
      <w:r w:rsidRPr="009C0D07">
        <w:rPr>
          <w:rFonts w:ascii="Palatino Linotype" w:eastAsia="MS Mincho" w:hAnsi="Palatino Linotype" w:cs="Arial"/>
          <w:color w:val="000000"/>
        </w:rPr>
        <w:t>Indicado lo anterior, se aprecia que las Entidades Federativas deben realizar la transferencia de los recursos del FORTASEG a los beneficiarios y entregar con ello los comprobantes de la misma, de igual forma, deberán remitir a la Dirección General de Vinculación y Seguimiento el recibo de ministraciones de los recursos.</w:t>
      </w:r>
    </w:p>
    <w:p w14:paraId="4FF2CF82" w14:textId="77777777" w:rsidR="00AC6852" w:rsidRPr="009C0D07" w:rsidRDefault="00AC6852" w:rsidP="00AC6852">
      <w:pPr>
        <w:pStyle w:val="Prrafodelista"/>
        <w:tabs>
          <w:tab w:val="left" w:pos="426"/>
        </w:tabs>
        <w:spacing w:before="100" w:beforeAutospacing="1" w:after="100" w:afterAutospacing="1" w:line="360" w:lineRule="auto"/>
        <w:ind w:left="0"/>
        <w:jc w:val="both"/>
        <w:rPr>
          <w:rFonts w:ascii="Palatino Linotype" w:eastAsia="MS Mincho" w:hAnsi="Palatino Linotype" w:cs="Arial"/>
          <w:color w:val="000000"/>
        </w:rPr>
      </w:pPr>
    </w:p>
    <w:p w14:paraId="653C866F" w14:textId="77777777" w:rsidR="00EE2679" w:rsidRPr="009C0D07" w:rsidRDefault="00EE2679" w:rsidP="00EE2679">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color w:val="000000"/>
        </w:rPr>
      </w:pPr>
      <w:r w:rsidRPr="009C0D07">
        <w:rPr>
          <w:rFonts w:ascii="Palatino Linotype" w:eastAsia="MS Mincho" w:hAnsi="Palatino Linotype" w:cs="Arial"/>
          <w:color w:val="000000"/>
        </w:rPr>
        <w:t>Aunado a lo anterior, el Convenio del Programa de Fortalecimiento para la Seguridad FORTASEG 2019</w:t>
      </w:r>
      <w:r w:rsidRPr="009C0D07">
        <w:rPr>
          <w:vertAlign w:val="superscript"/>
        </w:rPr>
        <w:footnoteReference w:id="9"/>
      </w:r>
      <w:r w:rsidRPr="009C0D07">
        <w:rPr>
          <w:rFonts w:ascii="Palatino Linotype" w:eastAsia="MS Mincho" w:hAnsi="Palatino Linotype" w:cs="Arial"/>
          <w:color w:val="000000"/>
        </w:rPr>
        <w:t xml:space="preserve"> celebrado por el Secretariado Ejecutivo del Sistema Nacional de Seguridad Pública, el Estado de México y los Municipios del Estado de México, establece que:</w:t>
      </w:r>
    </w:p>
    <w:p w14:paraId="5DFE32EE" w14:textId="77777777" w:rsidR="00EE2679" w:rsidRPr="009C0D07" w:rsidRDefault="00EE2679" w:rsidP="00AC6852">
      <w:pPr>
        <w:tabs>
          <w:tab w:val="left" w:pos="567"/>
        </w:tabs>
        <w:spacing w:line="360" w:lineRule="auto"/>
        <w:ind w:left="567" w:right="567"/>
        <w:jc w:val="center"/>
        <w:rPr>
          <w:rFonts w:ascii="Palatino Linotype" w:hAnsi="Palatino Linotype"/>
          <w:i/>
          <w:sz w:val="22"/>
          <w:szCs w:val="22"/>
        </w:rPr>
      </w:pPr>
      <w:r w:rsidRPr="009C0D07">
        <w:rPr>
          <w:rFonts w:ascii="Palatino Linotype" w:hAnsi="Palatino Linotype"/>
          <w:i/>
          <w:sz w:val="22"/>
          <w:szCs w:val="22"/>
        </w:rPr>
        <w:t>“CLÁUSULAS</w:t>
      </w:r>
    </w:p>
    <w:p w14:paraId="7BF4AFCC" w14:textId="77777777" w:rsidR="00EE2679" w:rsidRPr="009C0D07" w:rsidRDefault="00EE2679" w:rsidP="00AC6852">
      <w:pPr>
        <w:tabs>
          <w:tab w:val="left" w:pos="567"/>
          <w:tab w:val="left" w:pos="851"/>
        </w:tabs>
        <w:spacing w:line="360" w:lineRule="auto"/>
        <w:ind w:left="851" w:right="567"/>
        <w:jc w:val="both"/>
        <w:rPr>
          <w:rFonts w:ascii="Palatino Linotype" w:hAnsi="Palatino Linotype"/>
          <w:b/>
          <w:bCs/>
          <w:i/>
          <w:sz w:val="22"/>
          <w:szCs w:val="22"/>
        </w:rPr>
      </w:pPr>
      <w:r w:rsidRPr="009C0D07">
        <w:rPr>
          <w:rFonts w:ascii="Palatino Linotype" w:hAnsi="Palatino Linotype"/>
          <w:i/>
          <w:sz w:val="22"/>
          <w:szCs w:val="22"/>
        </w:rPr>
        <w:lastRenderedPageBreak/>
        <w:t xml:space="preserve">PRIMERA. - OBJETO Y NATURALEZA DE LOS RECURSOS. </w:t>
      </w:r>
      <w:r w:rsidRPr="009C0D07">
        <w:rPr>
          <w:rFonts w:ascii="Palatino Linotype" w:hAnsi="Palatino Linotype"/>
          <w:b/>
          <w:bCs/>
          <w:i/>
          <w:sz w:val="22"/>
          <w:szCs w:val="22"/>
        </w:rPr>
        <w:t xml:space="preserve">El presente “CONVENIO” tiene por objeto que “EL SECRETARIADO” transfiera recursos presupuestarios federales del “FORTASEG” a “LOS BENEFICIARIOS”, </w:t>
      </w:r>
      <w:r w:rsidRPr="009C0D07">
        <w:rPr>
          <w:rFonts w:ascii="Palatino Linotype" w:hAnsi="Palatino Linotype"/>
          <w:b/>
          <w:bCs/>
          <w:i/>
          <w:sz w:val="22"/>
          <w:szCs w:val="22"/>
          <w:u w:val="single"/>
        </w:rPr>
        <w:t>por conducto de la Secretaría de Finanzas</w:t>
      </w:r>
      <w:r w:rsidRPr="009C0D07">
        <w:rPr>
          <w:rFonts w:ascii="Palatino Linotype" w:hAnsi="Palatino Linotype"/>
          <w:b/>
          <w:bCs/>
          <w:i/>
          <w:sz w:val="22"/>
          <w:szCs w:val="22"/>
        </w:rPr>
        <w:t xml:space="preserve"> de “LA ENTIDAD FEDERATIVA”, con la finalidad de fortalecer el desempeño de sus funciones en materia de seguridad pública que realizan de manera directa “LOS BENEFICIARIOS”, conforme lo dispuesto por el artículo 8 del “PRESUPUESTO DE EGRESOS” y “LOS LINEAMIENTOS”</w:t>
      </w:r>
    </w:p>
    <w:p w14:paraId="75090F0E" w14:textId="77777777" w:rsidR="00EE2679" w:rsidRPr="009C0D07" w:rsidRDefault="00EE2679" w:rsidP="00AC6852">
      <w:pPr>
        <w:tabs>
          <w:tab w:val="left" w:pos="567"/>
          <w:tab w:val="left" w:pos="851"/>
        </w:tabs>
        <w:spacing w:line="360" w:lineRule="auto"/>
        <w:ind w:left="851" w:right="567"/>
        <w:jc w:val="both"/>
        <w:rPr>
          <w:rFonts w:ascii="Palatino Linotype" w:hAnsi="Palatino Linotype"/>
          <w:i/>
          <w:sz w:val="22"/>
          <w:szCs w:val="22"/>
        </w:rPr>
      </w:pPr>
    </w:p>
    <w:p w14:paraId="7793864A" w14:textId="77777777" w:rsidR="00EE2679" w:rsidRPr="009C0D07" w:rsidRDefault="00EE2679" w:rsidP="00AC6852">
      <w:pPr>
        <w:tabs>
          <w:tab w:val="left" w:pos="567"/>
          <w:tab w:val="left" w:pos="851"/>
        </w:tabs>
        <w:spacing w:line="360" w:lineRule="auto"/>
        <w:ind w:left="851" w:right="567"/>
        <w:jc w:val="both"/>
        <w:rPr>
          <w:rFonts w:ascii="Palatino Linotype" w:hAnsi="Palatino Linotype"/>
          <w:i/>
          <w:sz w:val="22"/>
          <w:szCs w:val="22"/>
        </w:rPr>
      </w:pPr>
      <w:r w:rsidRPr="009C0D07">
        <w:rPr>
          <w:rFonts w:ascii="Palatino Linotype" w:hAnsi="Palatino Linotype"/>
          <w:i/>
          <w:sz w:val="22"/>
          <w:szCs w:val="22"/>
        </w:rPr>
        <w:t xml:space="preserve">Los recursos transferidos del “FORTASEG” no son </w:t>
      </w:r>
      <w:proofErr w:type="spellStart"/>
      <w:r w:rsidRPr="009C0D07">
        <w:rPr>
          <w:rFonts w:ascii="Palatino Linotype" w:hAnsi="Palatino Linotype"/>
          <w:i/>
          <w:sz w:val="22"/>
          <w:szCs w:val="22"/>
        </w:rPr>
        <w:t>regularizables</w:t>
      </w:r>
      <w:proofErr w:type="spellEnd"/>
      <w:r w:rsidRPr="009C0D07">
        <w:rPr>
          <w:rFonts w:ascii="Palatino Linotype" w:hAnsi="Palatino Linotype"/>
          <w:i/>
          <w:sz w:val="22"/>
          <w:szCs w:val="22"/>
        </w:rPr>
        <w:t xml:space="preserve">, son parcialmente concursables y no pierden el carácter federal al ser transferidos y por ello “LA ENTIDAD FEDERATIVA” y “LOS BENEFICIARIOS” liberan a “EL SECRETARIADO” de la obligación de ministrarlos en ejercicios fiscales Miércoles 17 de abril de 2019 DIARIO OFICIAL (Primera Sección) subsecuentes, aún y cuando los requieran para complementar las acciones derivadas del presente “CONVENIO”, o para cubrir cualquier otro concepto vinculado con el objeto del mismo, conforme lo previsto en el “PRESUPUESTO DE EGRESOS”. </w:t>
      </w:r>
    </w:p>
    <w:p w14:paraId="7193CEF9" w14:textId="77777777" w:rsidR="00EE2679" w:rsidRPr="009C0D07" w:rsidRDefault="00EE2679" w:rsidP="00AC6852">
      <w:pPr>
        <w:tabs>
          <w:tab w:val="left" w:pos="567"/>
          <w:tab w:val="left" w:pos="851"/>
        </w:tabs>
        <w:spacing w:line="360" w:lineRule="auto"/>
        <w:ind w:left="851"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w:t>
      </w:r>
    </w:p>
    <w:p w14:paraId="4E781DAB" w14:textId="77777777" w:rsidR="00EE2679" w:rsidRPr="009C0D07" w:rsidRDefault="00EE2679" w:rsidP="00AC6852">
      <w:pPr>
        <w:tabs>
          <w:tab w:val="left" w:pos="567"/>
          <w:tab w:val="left" w:pos="851"/>
        </w:tabs>
        <w:spacing w:line="360" w:lineRule="auto"/>
        <w:ind w:left="851"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 xml:space="preserve">TERCERA. - </w:t>
      </w:r>
      <w:r w:rsidRPr="009C0D07">
        <w:rPr>
          <w:rFonts w:ascii="Palatino Linotype" w:eastAsia="MS Mincho" w:hAnsi="Palatino Linotype" w:cs="Arial"/>
          <w:b/>
          <w:bCs/>
          <w:i/>
          <w:color w:val="000000"/>
          <w:sz w:val="22"/>
          <w:szCs w:val="22"/>
        </w:rPr>
        <w:t>OBLIGACIONES DE “LOS BENEFICIARIOS”.</w:t>
      </w:r>
      <w:r w:rsidRPr="009C0D07">
        <w:rPr>
          <w:rFonts w:ascii="Palatino Linotype" w:eastAsia="MS Mincho" w:hAnsi="Palatino Linotype" w:cs="Arial"/>
          <w:i/>
          <w:color w:val="000000"/>
          <w:sz w:val="22"/>
          <w:szCs w:val="22"/>
        </w:rPr>
        <w:t xml:space="preserve"> Además de las señaladas en “LOS LINEAMIENTOS”, tendrán las siguientes:</w:t>
      </w:r>
    </w:p>
    <w:p w14:paraId="711702A8" w14:textId="77777777" w:rsidR="00EE2679" w:rsidRPr="009C0D07" w:rsidRDefault="00EE2679" w:rsidP="00AC6852">
      <w:pPr>
        <w:tabs>
          <w:tab w:val="left" w:pos="567"/>
          <w:tab w:val="left" w:pos="851"/>
        </w:tabs>
        <w:spacing w:line="360" w:lineRule="auto"/>
        <w:ind w:left="851"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w:t>
      </w:r>
    </w:p>
    <w:p w14:paraId="1ACDE98F" w14:textId="77777777" w:rsidR="00EE2679" w:rsidRPr="009C0D07" w:rsidRDefault="00EE2679" w:rsidP="00AC6852">
      <w:pPr>
        <w:tabs>
          <w:tab w:val="left" w:pos="567"/>
          <w:tab w:val="left" w:pos="851"/>
        </w:tabs>
        <w:spacing w:line="360" w:lineRule="auto"/>
        <w:ind w:left="851" w:right="567"/>
        <w:jc w:val="both"/>
        <w:rPr>
          <w:rFonts w:ascii="Palatino Linotype" w:eastAsia="MS Mincho" w:hAnsi="Palatino Linotype" w:cs="Arial"/>
          <w:b/>
          <w:bCs/>
          <w:i/>
          <w:color w:val="000000"/>
          <w:sz w:val="22"/>
          <w:szCs w:val="22"/>
          <w:u w:val="single"/>
        </w:rPr>
      </w:pPr>
      <w:r w:rsidRPr="009C0D07">
        <w:rPr>
          <w:rFonts w:ascii="Palatino Linotype" w:eastAsia="MS Mincho" w:hAnsi="Palatino Linotype" w:cs="Arial"/>
          <w:i/>
          <w:color w:val="000000"/>
          <w:sz w:val="22"/>
          <w:szCs w:val="22"/>
        </w:rPr>
        <w:t xml:space="preserve">I. </w:t>
      </w:r>
      <w:r w:rsidRPr="009C0D07">
        <w:rPr>
          <w:rFonts w:ascii="Palatino Linotype" w:eastAsia="MS Mincho" w:hAnsi="Palatino Linotype" w:cs="Arial"/>
          <w:b/>
          <w:bCs/>
          <w:i/>
          <w:color w:val="000000"/>
          <w:sz w:val="22"/>
          <w:szCs w:val="22"/>
          <w:u w:val="single"/>
        </w:rPr>
        <w:t>Informar mensual y trimestralmente a</w:t>
      </w:r>
      <w:r w:rsidRPr="009C0D07">
        <w:rPr>
          <w:rFonts w:ascii="Palatino Linotype" w:eastAsia="MS Mincho" w:hAnsi="Palatino Linotype" w:cs="Arial"/>
          <w:b/>
          <w:bCs/>
          <w:i/>
          <w:color w:val="000000"/>
          <w:sz w:val="22"/>
          <w:szCs w:val="22"/>
        </w:rPr>
        <w:t xml:space="preserve"> “EL SECRETARIADO” a través de la Dirección General de Vinculación y Seguimiento sobre las </w:t>
      </w:r>
      <w:r w:rsidRPr="009C0D07">
        <w:rPr>
          <w:rFonts w:ascii="Palatino Linotype" w:eastAsia="MS Mincho" w:hAnsi="Palatino Linotype" w:cs="Arial"/>
          <w:b/>
          <w:bCs/>
          <w:i/>
          <w:color w:val="000000"/>
          <w:sz w:val="22"/>
          <w:szCs w:val="22"/>
          <w:u w:val="single"/>
        </w:rPr>
        <w:t>acciones realizadas</w:t>
      </w:r>
      <w:r w:rsidRPr="009C0D07">
        <w:rPr>
          <w:rFonts w:ascii="Palatino Linotype" w:eastAsia="MS Mincho" w:hAnsi="Palatino Linotype" w:cs="Arial"/>
          <w:b/>
          <w:bCs/>
          <w:i/>
          <w:color w:val="000000"/>
          <w:sz w:val="22"/>
          <w:szCs w:val="22"/>
        </w:rPr>
        <w:t xml:space="preserve"> con base en el presente Convenio, así como </w:t>
      </w:r>
      <w:r w:rsidRPr="009C0D07">
        <w:rPr>
          <w:rFonts w:ascii="Palatino Linotype" w:eastAsia="MS Mincho" w:hAnsi="Palatino Linotype" w:cs="Arial"/>
          <w:b/>
          <w:bCs/>
          <w:i/>
          <w:color w:val="000000"/>
          <w:sz w:val="22"/>
          <w:szCs w:val="22"/>
          <w:u w:val="single"/>
        </w:rPr>
        <w:t xml:space="preserve">los movimientos que presenten las cuentas bancarias específicas productivas, la situación en el ejercicio de los recursos y su destino, considerando el avance presupuestal y </w:t>
      </w:r>
      <w:r w:rsidRPr="009C0D07">
        <w:rPr>
          <w:rFonts w:ascii="Palatino Linotype" w:eastAsia="MS Mincho" w:hAnsi="Palatino Linotype" w:cs="Arial"/>
          <w:b/>
          <w:bCs/>
          <w:i/>
          <w:color w:val="000000"/>
          <w:sz w:val="22"/>
          <w:szCs w:val="22"/>
          <w:u w:val="single"/>
        </w:rPr>
        <w:lastRenderedPageBreak/>
        <w:t>de cumplimiento de metas por Programa y las acciones efectuadas con rendimientos financieros, diferenciando para tal efecto el gasto comprometido, devengado, ejercido y pagado</w:t>
      </w:r>
      <w:r w:rsidRPr="009C0D07">
        <w:rPr>
          <w:rFonts w:ascii="Palatino Linotype" w:eastAsia="MS Mincho" w:hAnsi="Palatino Linotype" w:cs="Arial"/>
          <w:b/>
          <w:bCs/>
          <w:i/>
          <w:color w:val="000000"/>
          <w:sz w:val="22"/>
          <w:szCs w:val="22"/>
        </w:rPr>
        <w:t xml:space="preserve">. </w:t>
      </w:r>
      <w:r w:rsidRPr="009C0D07">
        <w:rPr>
          <w:rFonts w:ascii="Palatino Linotype" w:eastAsia="MS Mincho" w:hAnsi="Palatino Linotype" w:cs="Arial"/>
          <w:b/>
          <w:i/>
          <w:color w:val="000000"/>
          <w:sz w:val="22"/>
          <w:szCs w:val="22"/>
        </w:rPr>
        <w:t>Los Presidentes y las Presidentas Municipales de “LOS BENEFICIARIOS” deberán designar cada uno por oficio a un Servidor Público con competencia y nivel de decisión, como responsable</w:t>
      </w:r>
      <w:r w:rsidRPr="009C0D07">
        <w:rPr>
          <w:rFonts w:ascii="Palatino Linotype" w:eastAsia="MS Mincho" w:hAnsi="Palatino Linotype" w:cs="Arial"/>
          <w:i/>
          <w:color w:val="000000"/>
          <w:sz w:val="22"/>
          <w:szCs w:val="22"/>
        </w:rPr>
        <w:t xml:space="preserve"> de </w:t>
      </w:r>
      <w:r w:rsidRPr="009C0D07">
        <w:rPr>
          <w:rFonts w:ascii="Palatino Linotype" w:eastAsia="MS Mincho" w:hAnsi="Palatino Linotype" w:cs="Arial"/>
          <w:b/>
          <w:bCs/>
          <w:i/>
          <w:color w:val="000000"/>
          <w:sz w:val="22"/>
          <w:szCs w:val="22"/>
        </w:rPr>
        <w:t xml:space="preserve">proporcionar a “EL SECRETARIADO” </w:t>
      </w:r>
      <w:r w:rsidRPr="009C0D07">
        <w:rPr>
          <w:rFonts w:ascii="Palatino Linotype" w:eastAsia="MS Mincho" w:hAnsi="Palatino Linotype" w:cs="Arial"/>
          <w:b/>
          <w:bCs/>
          <w:i/>
          <w:color w:val="000000"/>
          <w:sz w:val="22"/>
          <w:szCs w:val="22"/>
          <w:u w:val="single"/>
        </w:rPr>
        <w:t>los informes mensuales y trimestrales sobre los movimientos que presenten las cuentas bancarias productivas específicas, el ejercicio de los recursos y avance en el cumplimiento de los objetivos, metas, indicadores y porcentajes de inversión de los proyectos</w:t>
      </w:r>
      <w:r w:rsidRPr="009C0D07">
        <w:rPr>
          <w:rFonts w:ascii="Palatino Linotype" w:eastAsia="MS Mincho" w:hAnsi="Palatino Linotype" w:cs="Arial"/>
          <w:i/>
          <w:color w:val="000000"/>
          <w:sz w:val="22"/>
          <w:szCs w:val="22"/>
        </w:rPr>
        <w:t xml:space="preserve"> establecidos en el Anexo Técnico respectivo del presente “CONVENIO”, así como </w:t>
      </w:r>
      <w:r w:rsidRPr="009C0D07">
        <w:rPr>
          <w:rFonts w:ascii="Palatino Linotype" w:eastAsia="MS Mincho" w:hAnsi="Palatino Linotype" w:cs="Arial"/>
          <w:b/>
          <w:bCs/>
          <w:i/>
          <w:color w:val="000000"/>
          <w:sz w:val="22"/>
          <w:szCs w:val="22"/>
          <w:u w:val="single"/>
        </w:rPr>
        <w:t>el destino y resultados obtenidos de la aplicación de los recursos.</w:t>
      </w:r>
    </w:p>
    <w:p w14:paraId="6885D69B" w14:textId="77777777" w:rsidR="00EE2679" w:rsidRPr="009C0D07" w:rsidRDefault="00EE2679" w:rsidP="00AC6852">
      <w:pPr>
        <w:tabs>
          <w:tab w:val="left" w:pos="567"/>
          <w:tab w:val="left" w:pos="851"/>
        </w:tabs>
        <w:spacing w:line="360" w:lineRule="auto"/>
        <w:ind w:left="851"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 xml:space="preserve">J. </w:t>
      </w:r>
      <w:r w:rsidRPr="009C0D07">
        <w:rPr>
          <w:rFonts w:ascii="Palatino Linotype" w:eastAsia="MS Mincho" w:hAnsi="Palatino Linotype" w:cs="Arial"/>
          <w:b/>
          <w:bCs/>
          <w:i/>
          <w:color w:val="000000"/>
          <w:sz w:val="22"/>
          <w:szCs w:val="22"/>
          <w:u w:val="single"/>
        </w:rPr>
        <w:t xml:space="preserve">Informar mensual y trimestralmente al Secretariado Ejecutivo del Sistema Estatal de Seguridad Pública </w:t>
      </w:r>
      <w:r w:rsidRPr="009C0D07">
        <w:rPr>
          <w:rFonts w:ascii="Palatino Linotype" w:eastAsia="MS Mincho" w:hAnsi="Palatino Linotype" w:cs="Arial"/>
          <w:b/>
          <w:bCs/>
          <w:i/>
          <w:color w:val="000000"/>
          <w:sz w:val="22"/>
          <w:szCs w:val="22"/>
        </w:rPr>
        <w:t>de “LA ENTIDAD FEDERATIVA”, sobre las acciones realizadas con base en el presente “CONVENIO</w:t>
      </w:r>
      <w:r w:rsidRPr="009C0D07">
        <w:rPr>
          <w:rFonts w:ascii="Palatino Linotype" w:eastAsia="MS Mincho" w:hAnsi="Palatino Linotype" w:cs="Arial"/>
          <w:i/>
          <w:color w:val="000000"/>
          <w:sz w:val="22"/>
          <w:szCs w:val="22"/>
        </w:rPr>
        <w:t>”;</w:t>
      </w:r>
    </w:p>
    <w:p w14:paraId="7186F955" w14:textId="77777777" w:rsidR="00EE2679" w:rsidRPr="009C0D07" w:rsidRDefault="00EE2679" w:rsidP="00AC6852">
      <w:pPr>
        <w:tabs>
          <w:tab w:val="left" w:pos="567"/>
          <w:tab w:val="left" w:pos="851"/>
        </w:tabs>
        <w:spacing w:line="360" w:lineRule="auto"/>
        <w:ind w:left="851"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L. Entregar a “EL SECRETARIADO” toda la información que solicite en los términos, plazos y formatos que al efecto establezca;</w:t>
      </w:r>
    </w:p>
    <w:p w14:paraId="621829D6" w14:textId="77777777" w:rsidR="00EE2679" w:rsidRPr="009C0D07" w:rsidRDefault="00EE2679" w:rsidP="00AC6852">
      <w:pPr>
        <w:tabs>
          <w:tab w:val="left" w:pos="567"/>
          <w:tab w:val="left" w:pos="851"/>
        </w:tabs>
        <w:spacing w:line="360" w:lineRule="auto"/>
        <w:ind w:left="851"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w:t>
      </w:r>
    </w:p>
    <w:p w14:paraId="5409EF9A" w14:textId="77777777" w:rsidR="00EE2679" w:rsidRPr="009C0D07" w:rsidRDefault="00EE2679" w:rsidP="00AC6852">
      <w:pPr>
        <w:tabs>
          <w:tab w:val="left" w:pos="567"/>
          <w:tab w:val="left" w:pos="851"/>
        </w:tabs>
        <w:spacing w:line="360" w:lineRule="auto"/>
        <w:ind w:left="851" w:right="567"/>
        <w:jc w:val="both"/>
        <w:rPr>
          <w:rFonts w:ascii="Palatino Linotype" w:hAnsi="Palatino Linotype"/>
          <w:i/>
          <w:sz w:val="22"/>
          <w:szCs w:val="22"/>
        </w:rPr>
      </w:pPr>
      <w:r w:rsidRPr="009C0D07">
        <w:rPr>
          <w:rFonts w:ascii="Palatino Linotype" w:hAnsi="Palatino Linotype"/>
          <w:i/>
          <w:sz w:val="22"/>
          <w:szCs w:val="22"/>
        </w:rPr>
        <w:t xml:space="preserve">CUARTA. - </w:t>
      </w:r>
      <w:r w:rsidRPr="009C0D07">
        <w:rPr>
          <w:rFonts w:ascii="Palatino Linotype" w:hAnsi="Palatino Linotype"/>
          <w:b/>
          <w:bCs/>
          <w:i/>
          <w:sz w:val="22"/>
          <w:szCs w:val="22"/>
        </w:rPr>
        <w:t>OBLIGACIONES DE “LA ENTIDAD FEDERATIVA”.</w:t>
      </w:r>
      <w:r w:rsidRPr="009C0D07">
        <w:rPr>
          <w:rFonts w:ascii="Palatino Linotype" w:hAnsi="Palatino Linotype"/>
          <w:i/>
          <w:sz w:val="22"/>
          <w:szCs w:val="22"/>
        </w:rPr>
        <w:t xml:space="preserve"> Además de las señaladas en “LOS LINEAMIENTOS” y otras previstas en los ordenamientos jurídicos aplicables, las siguientes: </w:t>
      </w:r>
    </w:p>
    <w:p w14:paraId="1C39C043" w14:textId="77777777" w:rsidR="00EE2679" w:rsidRPr="009C0D07" w:rsidRDefault="00EE2679" w:rsidP="00AC6852">
      <w:pPr>
        <w:tabs>
          <w:tab w:val="left" w:pos="567"/>
          <w:tab w:val="left" w:pos="851"/>
        </w:tabs>
        <w:spacing w:line="360" w:lineRule="auto"/>
        <w:ind w:left="851" w:right="567"/>
        <w:jc w:val="both"/>
        <w:rPr>
          <w:rFonts w:ascii="Palatino Linotype" w:hAnsi="Palatino Linotype"/>
          <w:i/>
          <w:sz w:val="22"/>
          <w:szCs w:val="22"/>
        </w:rPr>
      </w:pPr>
      <w:r w:rsidRPr="009C0D07">
        <w:rPr>
          <w:rFonts w:ascii="Palatino Linotype" w:hAnsi="Palatino Linotype"/>
          <w:b/>
          <w:bCs/>
          <w:i/>
          <w:sz w:val="22"/>
          <w:szCs w:val="22"/>
        </w:rPr>
        <w:t xml:space="preserve">A. </w:t>
      </w:r>
      <w:r w:rsidRPr="009C0D07">
        <w:rPr>
          <w:rFonts w:ascii="Palatino Linotype" w:hAnsi="Palatino Linotype"/>
          <w:b/>
          <w:bCs/>
          <w:i/>
          <w:sz w:val="22"/>
          <w:szCs w:val="22"/>
          <w:u w:val="single"/>
        </w:rPr>
        <w:t>Establecer una cuenta bancaria productiva específica para la administración de los recursos del “FORTASEG</w:t>
      </w:r>
      <w:r w:rsidRPr="009C0D07">
        <w:rPr>
          <w:rFonts w:ascii="Palatino Linotype" w:hAnsi="Palatino Linotype"/>
          <w:b/>
          <w:bCs/>
          <w:i/>
          <w:sz w:val="22"/>
          <w:szCs w:val="22"/>
        </w:rPr>
        <w:t>”</w:t>
      </w:r>
      <w:r w:rsidRPr="009C0D07">
        <w:rPr>
          <w:rFonts w:ascii="Palatino Linotype" w:hAnsi="Palatino Linotype"/>
          <w:i/>
          <w:sz w:val="22"/>
          <w:szCs w:val="22"/>
        </w:rPr>
        <w:t>, de conformidad con lo dispuesto en el artículo 69 de la Ley General de Contabilidad Gubernamental;</w:t>
      </w:r>
    </w:p>
    <w:p w14:paraId="6E919198" w14:textId="77777777" w:rsidR="00EE2679" w:rsidRPr="009C0D07" w:rsidRDefault="00EE2679" w:rsidP="00AC6852">
      <w:pPr>
        <w:tabs>
          <w:tab w:val="left" w:pos="567"/>
          <w:tab w:val="left" w:pos="851"/>
        </w:tabs>
        <w:spacing w:line="360" w:lineRule="auto"/>
        <w:ind w:left="851" w:right="567"/>
        <w:jc w:val="both"/>
        <w:rPr>
          <w:rFonts w:ascii="Palatino Linotype" w:eastAsia="MS Mincho" w:hAnsi="Palatino Linotype" w:cs="Arial"/>
          <w:b/>
          <w:bCs/>
          <w:i/>
          <w:color w:val="000000"/>
          <w:sz w:val="22"/>
          <w:szCs w:val="22"/>
        </w:rPr>
      </w:pPr>
      <w:r w:rsidRPr="009C0D07">
        <w:rPr>
          <w:rFonts w:ascii="Palatino Linotype" w:eastAsia="MS Mincho" w:hAnsi="Palatino Linotype" w:cs="Arial"/>
          <w:b/>
          <w:bCs/>
          <w:i/>
          <w:color w:val="000000"/>
          <w:sz w:val="22"/>
          <w:szCs w:val="22"/>
        </w:rPr>
        <w:lastRenderedPageBreak/>
        <w:t>B. Entregar a “LOS BENEFICIARIOS” el monto total del “FORTASEG”, incluyendo sus rendimientos financieros, a más tardar dentro de los cinco días hábiles posteriores a que reciba los recursos de la Federación;</w:t>
      </w:r>
    </w:p>
    <w:p w14:paraId="618B6A74" w14:textId="77777777" w:rsidR="00EE2679" w:rsidRPr="009C0D07" w:rsidRDefault="00EE2679" w:rsidP="00AC6852">
      <w:pPr>
        <w:tabs>
          <w:tab w:val="left" w:pos="567"/>
          <w:tab w:val="left" w:pos="851"/>
        </w:tabs>
        <w:spacing w:line="360" w:lineRule="auto"/>
        <w:ind w:left="851" w:right="567"/>
        <w:jc w:val="both"/>
        <w:rPr>
          <w:rFonts w:ascii="Palatino Linotype" w:eastAsia="MS Mincho" w:hAnsi="Palatino Linotype" w:cs="Arial"/>
          <w:i/>
          <w:color w:val="000000"/>
          <w:sz w:val="22"/>
          <w:szCs w:val="22"/>
        </w:rPr>
      </w:pPr>
      <w:r w:rsidRPr="009C0D07">
        <w:rPr>
          <w:rFonts w:ascii="Palatino Linotype" w:eastAsia="MS Mincho" w:hAnsi="Palatino Linotype" w:cs="Arial"/>
          <w:i/>
          <w:color w:val="000000"/>
          <w:sz w:val="22"/>
          <w:szCs w:val="22"/>
        </w:rPr>
        <w:t>[…]</w:t>
      </w:r>
    </w:p>
    <w:p w14:paraId="3C7FD642" w14:textId="370642A9" w:rsidR="00EE2679" w:rsidRPr="009C0D07" w:rsidRDefault="00EE2679" w:rsidP="00AC6852">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bCs/>
        </w:rPr>
      </w:pPr>
      <w:r w:rsidRPr="009C0D07">
        <w:rPr>
          <w:rFonts w:ascii="Palatino Linotype" w:eastAsia="MS Mincho" w:hAnsi="Palatino Linotype" w:cs="Arial"/>
        </w:rPr>
        <w:t xml:space="preserve">Expuesto lo anterior, se desprende que corresponde a la Secretaría de Finanzas entregar el monto destinado por parte del FORTASEG a cada beneficiario, </w:t>
      </w:r>
      <w:r w:rsidRPr="009C0D07">
        <w:rPr>
          <w:rFonts w:ascii="Palatino Linotype" w:eastAsia="MS Mincho" w:hAnsi="Palatino Linotype" w:cs="Arial"/>
          <w:bCs/>
        </w:rPr>
        <w:t xml:space="preserve">siendo </w:t>
      </w:r>
      <w:r w:rsidRPr="009C0D07">
        <w:rPr>
          <w:rFonts w:ascii="Palatino Linotype" w:eastAsia="MS Mincho" w:hAnsi="Palatino Linotype" w:cs="Arial"/>
          <w:bCs/>
          <w:u w:val="single"/>
        </w:rPr>
        <w:t>los municipios</w:t>
      </w:r>
      <w:r w:rsidRPr="009C0D07">
        <w:rPr>
          <w:rFonts w:ascii="Palatino Linotype" w:eastAsia="MS Mincho" w:hAnsi="Palatino Linotype" w:cs="Arial"/>
          <w:bCs/>
        </w:rPr>
        <w:t xml:space="preserve"> los que deberán de informar y proporcionar al Secretariado toda la información relativa a la erogación y ejercicio de los recursos recibidos, de tal forma que </w:t>
      </w:r>
      <w:r w:rsidRPr="009C0D07">
        <w:rPr>
          <w:rFonts w:ascii="Palatino Linotype" w:eastAsia="MS Mincho" w:hAnsi="Palatino Linotype" w:cs="Arial"/>
          <w:b/>
          <w:bCs/>
        </w:rPr>
        <w:t>EL SUJETO OBLIGADO</w:t>
      </w:r>
      <w:r w:rsidRPr="009C0D07">
        <w:rPr>
          <w:rFonts w:ascii="Palatino Linotype" w:eastAsia="MS Mincho" w:hAnsi="Palatino Linotype" w:cs="Arial"/>
          <w:bCs/>
        </w:rPr>
        <w:t xml:space="preserve"> es competente para conocer de este programa, en cuanto a lo solicitado por el particular, aunado a que se insiste, que al remitir a la liga electrónica de la página del ayuntamiento donde se encuentra la información, la misma</w:t>
      </w:r>
      <w:r w:rsidR="00AC6852" w:rsidRPr="009C0D07">
        <w:rPr>
          <w:rFonts w:ascii="Palatino Linotype" w:eastAsia="MS Mincho" w:hAnsi="Palatino Linotype" w:cs="Arial"/>
          <w:bCs/>
        </w:rPr>
        <w:t xml:space="preserve"> obra en sus archivos.</w:t>
      </w:r>
    </w:p>
    <w:p w14:paraId="0CBE426D" w14:textId="77777777" w:rsidR="00AC6852" w:rsidRPr="009C0D07" w:rsidRDefault="00AC6852" w:rsidP="00AC6852">
      <w:pPr>
        <w:pStyle w:val="Prrafodelista"/>
        <w:tabs>
          <w:tab w:val="left" w:pos="426"/>
        </w:tabs>
        <w:spacing w:before="100" w:beforeAutospacing="1" w:after="100" w:afterAutospacing="1" w:line="360" w:lineRule="auto"/>
        <w:ind w:left="0"/>
        <w:jc w:val="both"/>
        <w:rPr>
          <w:rFonts w:ascii="Palatino Linotype" w:eastAsia="MS Mincho" w:hAnsi="Palatino Linotype" w:cs="Arial"/>
          <w:bCs/>
        </w:rPr>
      </w:pPr>
    </w:p>
    <w:p w14:paraId="0F4B6DF5" w14:textId="77777777" w:rsidR="00EE2679" w:rsidRPr="009C0D07" w:rsidRDefault="00EE2679" w:rsidP="00EE2679">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MS Mincho" w:hAnsi="Palatino Linotype" w:cs="Arial"/>
          <w:bCs/>
        </w:rPr>
      </w:pPr>
      <w:r w:rsidRPr="009C0D07">
        <w:rPr>
          <w:rFonts w:ascii="Palatino Linotype" w:hAnsi="Palatino Linotype"/>
        </w:rPr>
        <w:t xml:space="preserve">Una vez dicho lo anterior, este Instituto advirtió que, respecto a la ejecución de los recursos estatales destinados a la materia de seguridad, </w:t>
      </w:r>
      <w:r w:rsidRPr="009C0D07">
        <w:rPr>
          <w:rFonts w:ascii="Palatino Linotype" w:hAnsi="Palatino Linotype"/>
          <w:b/>
        </w:rPr>
        <w:t>EL SUJETO OBLIGADO</w:t>
      </w:r>
      <w:r w:rsidRPr="009C0D07">
        <w:rPr>
          <w:rFonts w:ascii="Palatino Linotype" w:hAnsi="Palatino Linotype"/>
        </w:rPr>
        <w:t xml:space="preserve">, no se pronunció al respecto en su respuesta proporcionada, razón por la cual, es importante </w:t>
      </w:r>
      <w:r w:rsidRPr="009C0D07">
        <w:rPr>
          <w:rFonts w:ascii="Palatino Linotype" w:hAnsi="Palatino Linotype" w:cs="Arial"/>
          <w:lang w:val="es-ES"/>
        </w:rPr>
        <w:t>traer a contexto lo estipulado en los artículos 1, 2 y 3 de la Ley General de Contabilidad Gubernamental, que a la letra dice:</w:t>
      </w:r>
    </w:p>
    <w:p w14:paraId="5BC60A86" w14:textId="77777777" w:rsidR="00EE2679" w:rsidRPr="009C0D07" w:rsidRDefault="00EE2679" w:rsidP="00EE2679">
      <w:pPr>
        <w:spacing w:line="360" w:lineRule="auto"/>
        <w:jc w:val="both"/>
        <w:rPr>
          <w:rFonts w:ascii="Palatino Linotype" w:hAnsi="Palatino Linotype" w:cs="Arial"/>
          <w:lang w:val="es-ES"/>
        </w:rPr>
      </w:pPr>
    </w:p>
    <w:p w14:paraId="578E8B33" w14:textId="77777777" w:rsidR="00EE2679" w:rsidRPr="009C0D07" w:rsidRDefault="00EE2679" w:rsidP="00AC6852">
      <w:pPr>
        <w:spacing w:line="360" w:lineRule="auto"/>
        <w:ind w:left="567" w:right="567"/>
        <w:jc w:val="both"/>
        <w:rPr>
          <w:rFonts w:ascii="Palatino Linotype" w:hAnsi="Palatino Linotype" w:cs="Arial"/>
          <w:i/>
          <w:sz w:val="22"/>
          <w:szCs w:val="22"/>
          <w:lang w:val="es-ES"/>
        </w:rPr>
      </w:pPr>
      <w:r w:rsidRPr="009C0D07">
        <w:rPr>
          <w:rFonts w:ascii="Palatino Linotype" w:hAnsi="Palatino Linotype" w:cs="Arial"/>
          <w:i/>
          <w:sz w:val="22"/>
          <w:szCs w:val="22"/>
          <w:lang w:val="es-ES"/>
        </w:rPr>
        <w:t>“</w:t>
      </w:r>
      <w:r w:rsidRPr="009C0D07">
        <w:rPr>
          <w:rFonts w:ascii="Palatino Linotype" w:hAnsi="Palatino Linotype" w:cs="Arial"/>
          <w:b/>
          <w:i/>
          <w:sz w:val="22"/>
          <w:szCs w:val="22"/>
          <w:lang w:val="es-ES"/>
        </w:rPr>
        <w:t>Artículo 1.-</w:t>
      </w:r>
      <w:r w:rsidRPr="009C0D07">
        <w:rPr>
          <w:rFonts w:ascii="Palatino Linotype" w:hAnsi="Palatino Linotype" w:cs="Arial"/>
          <w:i/>
          <w:sz w:val="22"/>
          <w:szCs w:val="22"/>
          <w:lang w:val="es-ES"/>
        </w:rPr>
        <w:t xml:space="preserve"> </w:t>
      </w:r>
      <w:r w:rsidRPr="009C0D07">
        <w:rPr>
          <w:rFonts w:ascii="Palatino Linotype" w:hAnsi="Palatino Linotype" w:cs="Arial"/>
          <w:b/>
          <w:i/>
          <w:sz w:val="22"/>
          <w:szCs w:val="22"/>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14:paraId="127EF92C" w14:textId="77777777" w:rsidR="00EE2679" w:rsidRPr="009C0D07" w:rsidRDefault="00EE2679" w:rsidP="00AC6852">
      <w:pPr>
        <w:spacing w:line="360" w:lineRule="auto"/>
        <w:ind w:left="567" w:right="567"/>
        <w:jc w:val="both"/>
        <w:rPr>
          <w:rFonts w:ascii="Palatino Linotype" w:hAnsi="Palatino Linotype" w:cs="Arial"/>
          <w:i/>
          <w:sz w:val="22"/>
          <w:szCs w:val="22"/>
          <w:lang w:val="es-ES"/>
        </w:rPr>
      </w:pPr>
      <w:r w:rsidRPr="009C0D07">
        <w:rPr>
          <w:rFonts w:ascii="Palatino Linotype" w:hAnsi="Palatino Linotype" w:cs="Arial"/>
          <w:b/>
          <w:i/>
          <w:sz w:val="22"/>
          <w:szCs w:val="22"/>
          <w:lang w:val="es-ES"/>
        </w:rPr>
        <w:lastRenderedPageBreak/>
        <w:t>La presente Ley es de observancia obligatoria para</w:t>
      </w:r>
      <w:r w:rsidRPr="009C0D07">
        <w:rPr>
          <w:rFonts w:ascii="Palatino Linotype" w:hAnsi="Palatino Linotype" w:cs="Arial"/>
          <w:i/>
          <w:sz w:val="22"/>
          <w:szCs w:val="22"/>
          <w:lang w:val="es-ES"/>
        </w:rPr>
        <w:t xml:space="preserve"> los poderes Ejecutivo, Legislativo y Judicial de la Federación, los estados y el Distrito Federal; </w:t>
      </w:r>
      <w:r w:rsidRPr="009C0D07">
        <w:rPr>
          <w:rFonts w:ascii="Palatino Linotype" w:hAnsi="Palatino Linotype" w:cs="Arial"/>
          <w:b/>
          <w:i/>
          <w:sz w:val="22"/>
          <w:szCs w:val="22"/>
          <w:lang w:val="es-ES"/>
        </w:rPr>
        <w:t>los ayuntamientos de los municipios</w:t>
      </w:r>
      <w:r w:rsidRPr="009C0D07">
        <w:rPr>
          <w:rFonts w:ascii="Palatino Linotype" w:hAnsi="Palatino Linotype" w:cs="Arial"/>
          <w:i/>
          <w:sz w:val="22"/>
          <w:szCs w:val="22"/>
          <w:lang w:val="es-ES"/>
        </w:rPr>
        <w:t xml:space="preserve">; los órganos político administrativos de las demarcaciones territoriales del Distrito Federal; </w:t>
      </w:r>
      <w:r w:rsidRPr="009C0D07">
        <w:rPr>
          <w:rFonts w:ascii="Palatino Linotype" w:hAnsi="Palatino Linotype" w:cs="Arial"/>
          <w:b/>
          <w:i/>
          <w:sz w:val="22"/>
          <w:szCs w:val="22"/>
          <w:lang w:val="es-ES"/>
        </w:rPr>
        <w:t>las entidades de la administración pública</w:t>
      </w:r>
      <w:r w:rsidRPr="009C0D07">
        <w:rPr>
          <w:rFonts w:ascii="Palatino Linotype" w:hAnsi="Palatino Linotype" w:cs="Arial"/>
          <w:i/>
          <w:sz w:val="22"/>
          <w:szCs w:val="22"/>
          <w:lang w:val="es-ES"/>
        </w:rPr>
        <w:t xml:space="preserve"> paraestatal, ya sean federales, estatales o </w:t>
      </w:r>
      <w:r w:rsidRPr="009C0D07">
        <w:rPr>
          <w:rFonts w:ascii="Palatino Linotype" w:hAnsi="Palatino Linotype" w:cs="Arial"/>
          <w:b/>
          <w:i/>
          <w:sz w:val="22"/>
          <w:szCs w:val="22"/>
          <w:lang w:val="es-ES"/>
        </w:rPr>
        <w:t>municipales</w:t>
      </w:r>
      <w:r w:rsidRPr="009C0D07">
        <w:rPr>
          <w:rFonts w:ascii="Palatino Linotype" w:hAnsi="Palatino Linotype" w:cs="Arial"/>
          <w:i/>
          <w:sz w:val="22"/>
          <w:szCs w:val="22"/>
          <w:lang w:val="es-ES"/>
        </w:rPr>
        <w:t xml:space="preserve"> y los órganos autónomos federales y estatales.</w:t>
      </w:r>
    </w:p>
    <w:p w14:paraId="2C29D810" w14:textId="77777777" w:rsidR="00EE2679" w:rsidRPr="009C0D07" w:rsidRDefault="00EE2679" w:rsidP="00AC6852">
      <w:pPr>
        <w:spacing w:line="360" w:lineRule="auto"/>
        <w:ind w:left="567" w:right="567"/>
        <w:jc w:val="both"/>
        <w:rPr>
          <w:rFonts w:ascii="Palatino Linotype" w:hAnsi="Palatino Linotype" w:cs="Arial"/>
          <w:i/>
          <w:sz w:val="22"/>
          <w:szCs w:val="22"/>
          <w:lang w:val="es-ES"/>
        </w:rPr>
      </w:pPr>
      <w:r w:rsidRPr="009C0D07">
        <w:rPr>
          <w:rFonts w:ascii="Palatino Linotype" w:hAnsi="Palatino Linotype" w:cs="Arial"/>
          <w:b/>
          <w:i/>
          <w:sz w:val="22"/>
          <w:szCs w:val="22"/>
          <w:lang w:val="es-ES"/>
        </w:rPr>
        <w:t>Los gobiernos estatales deberán coordinarse con los municipales para que éstos armonicen su contabilidad con base en las disposiciones de esta Ley</w:t>
      </w:r>
      <w:r w:rsidRPr="009C0D07">
        <w:rPr>
          <w:rFonts w:ascii="Palatino Linotype" w:hAnsi="Palatino Linotype" w:cs="Arial"/>
          <w:i/>
          <w:sz w:val="22"/>
          <w:szCs w:val="22"/>
          <w:lang w:val="es-ES"/>
        </w:rPr>
        <w:t>. El Gobierno del Distrito Federal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14:paraId="5C52B7CD" w14:textId="77777777" w:rsidR="00EE2679" w:rsidRPr="009C0D07" w:rsidRDefault="00EE2679" w:rsidP="00AC6852">
      <w:pPr>
        <w:spacing w:line="360" w:lineRule="auto"/>
        <w:ind w:left="567" w:right="567"/>
        <w:jc w:val="both"/>
        <w:rPr>
          <w:rFonts w:ascii="Palatino Linotype" w:hAnsi="Palatino Linotype" w:cs="Arial"/>
          <w:b/>
          <w:i/>
          <w:sz w:val="22"/>
          <w:szCs w:val="22"/>
          <w:lang w:val="es-ES"/>
        </w:rPr>
      </w:pPr>
      <w:r w:rsidRPr="009C0D07">
        <w:rPr>
          <w:rFonts w:ascii="Palatino Linotype" w:hAnsi="Palatino Linotype" w:cs="Arial"/>
          <w:b/>
          <w:i/>
          <w:sz w:val="22"/>
          <w:szCs w:val="22"/>
          <w:lang w:val="es-ES"/>
        </w:rPr>
        <w:t>Artículo 2.-</w:t>
      </w:r>
      <w:r w:rsidRPr="009C0D07">
        <w:rPr>
          <w:rFonts w:ascii="Palatino Linotype" w:hAnsi="Palatino Linotype" w:cs="Arial"/>
          <w:i/>
          <w:sz w:val="22"/>
          <w:szCs w:val="22"/>
          <w:lang w:val="es-ES"/>
        </w:rPr>
        <w:t xml:space="preserve"> </w:t>
      </w:r>
      <w:r w:rsidRPr="009C0D07">
        <w:rPr>
          <w:rFonts w:ascii="Palatino Linotype" w:hAnsi="Palatino Linotype" w:cs="Arial"/>
          <w:b/>
          <w:i/>
          <w:sz w:val="22"/>
          <w:szCs w:val="22"/>
          <w:lang w:val="es-ES"/>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14:paraId="6C621314" w14:textId="77777777" w:rsidR="00EE2679" w:rsidRPr="009C0D07" w:rsidRDefault="00EE2679" w:rsidP="00AC6852">
      <w:pPr>
        <w:spacing w:line="360" w:lineRule="auto"/>
        <w:ind w:left="567" w:right="567"/>
        <w:jc w:val="both"/>
        <w:rPr>
          <w:rFonts w:ascii="Palatino Linotype" w:hAnsi="Palatino Linotype" w:cs="Arial"/>
          <w:i/>
          <w:sz w:val="22"/>
          <w:szCs w:val="22"/>
          <w:lang w:val="es-ES"/>
        </w:rPr>
      </w:pPr>
      <w:r w:rsidRPr="009C0D07">
        <w:rPr>
          <w:rFonts w:ascii="Palatino Linotype" w:hAnsi="Palatino Linotype" w:cs="Arial"/>
          <w:i/>
          <w:sz w:val="22"/>
          <w:szCs w:val="22"/>
          <w:lang w:val="es-ES"/>
        </w:rPr>
        <w:t>Los entes públicos deberán seguir las mejores prácticas contables nacionales e internacionales en apoyo a las tareas de planeación financiera, control de recursos, análisis y fiscalización.</w:t>
      </w:r>
    </w:p>
    <w:p w14:paraId="0982DDC8" w14:textId="77777777" w:rsidR="00EE2679" w:rsidRPr="009C0D07" w:rsidRDefault="00EE2679" w:rsidP="00AC6852">
      <w:pPr>
        <w:spacing w:line="360" w:lineRule="auto"/>
        <w:ind w:left="567" w:right="567"/>
        <w:jc w:val="both"/>
        <w:rPr>
          <w:rFonts w:ascii="Palatino Linotype" w:hAnsi="Palatino Linotype" w:cs="Arial"/>
          <w:i/>
          <w:sz w:val="22"/>
          <w:szCs w:val="22"/>
          <w:lang w:val="es-ES"/>
        </w:rPr>
      </w:pPr>
      <w:r w:rsidRPr="009C0D07">
        <w:rPr>
          <w:rFonts w:ascii="Palatino Linotype" w:hAnsi="Palatino Linotype" w:cs="Arial"/>
          <w:b/>
          <w:i/>
          <w:sz w:val="22"/>
          <w:szCs w:val="22"/>
          <w:lang w:val="es-ES"/>
        </w:rPr>
        <w:t>Artículo 3.-</w:t>
      </w:r>
      <w:r w:rsidRPr="009C0D07">
        <w:rPr>
          <w:rFonts w:ascii="Palatino Linotype" w:hAnsi="Palatino Linotype" w:cs="Arial"/>
          <w:i/>
          <w:sz w:val="22"/>
          <w:szCs w:val="22"/>
          <w:lang w:val="es-ES"/>
        </w:rPr>
        <w:t xml:space="preserve"> </w:t>
      </w:r>
      <w:r w:rsidRPr="009C0D07">
        <w:rPr>
          <w:rFonts w:ascii="Palatino Linotype" w:hAnsi="Palatino Linotype" w:cs="Arial"/>
          <w:b/>
          <w:i/>
          <w:sz w:val="22"/>
          <w:szCs w:val="22"/>
          <w:lang w:val="es-ES"/>
        </w:rPr>
        <w:t>La contabilidad gubernamental determinará la valuación del patrimonio del Estado y su expresión en los estados financieros</w:t>
      </w:r>
      <w:r w:rsidRPr="009C0D07">
        <w:rPr>
          <w:rFonts w:ascii="Palatino Linotype" w:hAnsi="Palatino Linotype" w:cs="Arial"/>
          <w:i/>
          <w:sz w:val="22"/>
          <w:szCs w:val="22"/>
          <w:lang w:val="es-ES"/>
        </w:rPr>
        <w:t xml:space="preserve">.” </w:t>
      </w:r>
    </w:p>
    <w:p w14:paraId="7C82EA57" w14:textId="77777777" w:rsidR="00EE2679" w:rsidRPr="009C0D07" w:rsidRDefault="00EE2679" w:rsidP="00AC6852">
      <w:pPr>
        <w:spacing w:line="360" w:lineRule="auto"/>
        <w:ind w:left="567" w:right="567"/>
        <w:jc w:val="both"/>
        <w:rPr>
          <w:rFonts w:ascii="Palatino Linotype" w:hAnsi="Palatino Linotype" w:cs="Arial"/>
          <w:b/>
          <w:i/>
          <w:lang w:val="es-ES"/>
        </w:rPr>
      </w:pPr>
      <w:r w:rsidRPr="009C0D07">
        <w:rPr>
          <w:rFonts w:ascii="Palatino Linotype" w:hAnsi="Palatino Linotype" w:cs="Arial"/>
          <w:b/>
          <w:i/>
          <w:sz w:val="22"/>
          <w:szCs w:val="22"/>
          <w:lang w:val="es-ES"/>
        </w:rPr>
        <w:t>(Énfasis añadido)</w:t>
      </w:r>
      <w:r w:rsidRPr="009C0D07">
        <w:rPr>
          <w:rFonts w:ascii="Palatino Linotype" w:hAnsi="Palatino Linotype" w:cs="Arial"/>
          <w:b/>
          <w:i/>
          <w:sz w:val="22"/>
          <w:szCs w:val="22"/>
          <w:lang w:val="es-ES"/>
        </w:rPr>
        <w:cr/>
      </w:r>
    </w:p>
    <w:p w14:paraId="4564FDA5" w14:textId="77777777" w:rsidR="00EE2679" w:rsidRPr="009C0D07" w:rsidRDefault="00EE2679" w:rsidP="00AC6852">
      <w:pPr>
        <w:pStyle w:val="Prrafodelista"/>
        <w:numPr>
          <w:ilvl w:val="0"/>
          <w:numId w:val="1"/>
        </w:numPr>
        <w:spacing w:line="360" w:lineRule="auto"/>
        <w:ind w:left="0" w:right="49" w:firstLine="0"/>
        <w:jc w:val="both"/>
        <w:rPr>
          <w:rFonts w:ascii="Palatino Linotype" w:hAnsi="Palatino Linotype" w:cs="Arial"/>
          <w:lang w:val="es-ES"/>
        </w:rPr>
      </w:pPr>
      <w:r w:rsidRPr="009C0D07">
        <w:rPr>
          <w:rFonts w:ascii="Palatino Linotype" w:hAnsi="Palatino Linotype" w:cs="Arial"/>
          <w:lang w:val="es-ES"/>
        </w:rPr>
        <w:lastRenderedPageBreak/>
        <w:t xml:space="preserve">De la misma forma, este ordenamiento jurídico sustenta las bases para el  CLASIFICADOR POR OBJETO DEL GASTO (CAPÍTULO, CONCEPTO Y PARTIDA GENÉRICA), publicado en el Diario Oficial de la Federación el 9 de diciembre de 2009, el cual constituye un instrumento para una mejor identificación, mayor congruencia y generalidad a las partidas, el cual tiene la finalidad de establecer las bases para que los gobiernos: Federal, de las Entidades Federativas y Municipales, cumplan con las obligaciones que les impone el artículo cuarto transitorio de la Ley General de Contabilidad Gubernamental, consistente, en que </w:t>
      </w:r>
      <w:r w:rsidRPr="009C0D07">
        <w:rPr>
          <w:rFonts w:ascii="Palatino Linotype" w:hAnsi="Palatino Linotype"/>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9C0D07">
        <w:rPr>
          <w:rFonts w:ascii="Palatino Linotype" w:hAnsi="Palatino Linotype" w:cs="Arial"/>
          <w:lang w:val="es-ES"/>
        </w:rPr>
        <w:t>. Lo anterior en el entendido de que los entes públicos de cada nivel de gobierno deberán realizar las acciones necesarias para cumplir con dichas obligaciones.</w:t>
      </w:r>
    </w:p>
    <w:p w14:paraId="16C6A1EC" w14:textId="77777777" w:rsidR="00AC6852" w:rsidRPr="009C0D07" w:rsidRDefault="00AC6852" w:rsidP="00AC6852">
      <w:pPr>
        <w:pStyle w:val="Prrafodelista"/>
        <w:spacing w:line="360" w:lineRule="auto"/>
        <w:ind w:left="0" w:right="49"/>
        <w:jc w:val="both"/>
        <w:rPr>
          <w:rFonts w:ascii="Palatino Linotype" w:hAnsi="Palatino Linotype" w:cs="Arial"/>
          <w:lang w:val="es-ES"/>
        </w:rPr>
      </w:pPr>
    </w:p>
    <w:p w14:paraId="5C5D37CE" w14:textId="77777777" w:rsidR="00EE2679" w:rsidRPr="009C0D07" w:rsidRDefault="00EE2679" w:rsidP="00EE2679">
      <w:pPr>
        <w:pStyle w:val="Prrafodelista"/>
        <w:numPr>
          <w:ilvl w:val="0"/>
          <w:numId w:val="1"/>
        </w:numPr>
        <w:spacing w:line="360" w:lineRule="auto"/>
        <w:ind w:left="0" w:right="49" w:firstLine="0"/>
        <w:jc w:val="both"/>
        <w:rPr>
          <w:rFonts w:ascii="Palatino Linotype" w:hAnsi="Palatino Linotype" w:cs="Arial"/>
          <w:lang w:val="es-ES"/>
        </w:rPr>
      </w:pPr>
      <w:r w:rsidRPr="009C0D07">
        <w:rPr>
          <w:rFonts w:ascii="Palatino Linotype" w:hAnsi="Palatino Linotype" w:cs="Arial"/>
          <w:lang w:val="es-ES"/>
        </w:rPr>
        <w:t>De esta manera, la estructura del Clasificador por Objeto del Gasto está diseñado con un nivel de desagregación que permite que sus cuentas faciliten el registro único de todas las transacciones con incidencia económica-financiera; es por ello, que la armonización se realiza al tercer dígito que corresponde a la partida genérica formándose la siguiente estructura:</w:t>
      </w:r>
    </w:p>
    <w:p w14:paraId="7F32CC19" w14:textId="77777777" w:rsidR="00EE2679" w:rsidRPr="009C0D07" w:rsidRDefault="00EE2679" w:rsidP="00AC6852">
      <w:pPr>
        <w:spacing w:line="360" w:lineRule="auto"/>
        <w:ind w:left="567" w:right="49"/>
        <w:jc w:val="both"/>
        <w:rPr>
          <w:rFonts w:ascii="Palatino Linotype" w:hAnsi="Palatino Linotype" w:cs="Arial"/>
          <w:lang w:val="es-ES"/>
        </w:rPr>
      </w:pPr>
      <w:r w:rsidRPr="009C0D07">
        <w:rPr>
          <w:noProof/>
          <w:sz w:val="20"/>
          <w:szCs w:val="20"/>
          <w:lang w:val="es-MX" w:eastAsia="es-MX"/>
        </w:rPr>
        <w:lastRenderedPageBreak/>
        <mc:AlternateContent>
          <mc:Choice Requires="wps">
            <w:drawing>
              <wp:anchor distT="0" distB="0" distL="114300" distR="114300" simplePos="0" relativeHeight="251661312" behindDoc="0" locked="0" layoutInCell="1" allowOverlap="1" wp14:anchorId="36BD081D" wp14:editId="0CED21CC">
                <wp:simplePos x="0" y="0"/>
                <wp:positionH relativeFrom="column">
                  <wp:posOffset>2425065</wp:posOffset>
                </wp:positionH>
                <wp:positionV relativeFrom="paragraph">
                  <wp:posOffset>266700</wp:posOffset>
                </wp:positionV>
                <wp:extent cx="2389031" cy="590550"/>
                <wp:effectExtent l="57150" t="38100" r="68580" b="95250"/>
                <wp:wrapNone/>
                <wp:docPr id="9" name="Rectángulo 9"/>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09159C" id="Rectángulo 9" o:spid="_x0000_s1026" style="position:absolute;margin-left:190.95pt;margin-top:21pt;width:188.1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JarQIAAFEFAAAOAAAAZHJzL2Uyb0RvYy54bWysVMFu2zAMvQ/YPwi6r06TeG2CJkXQIsOA&#10;oi2aDj0rshwbkCVNUuJ0f7Nv2Y/tUXbadN1pWA4OKVLk4yOpi8t9o9lO+VBbM+OnJwPOlJG2qM1m&#10;xr89Lj+dcxaiMIXQ1qgZf1aBX84/frho3VQNbWV1oTxDEBOmrZvxKkY3zbIgK9WIcGKdMjCW1jci&#10;QvWbrPCiRfRGZ8PB4HPWWl84b6UKAafXnZHPU/yyVDLelWVQkekZB7aYvj591/TN5hdiuvHCVbXs&#10;YYh/QNGI2iDpS6hrEQXb+vpdqKaW3gZbxhNpm8yWZS1VqgHVnA7+qGZVCadSLSAnuBeawv8LK293&#10;957VxYxPODOiQYseQNqvn2az1ZZNiKDWhSn8Vu7e91qASNXuS9/QP+pg+0Tq8wupah+ZxOFwdD4Z&#10;jE45k7Dlk0GeJ9az19vOh/hF2YaRMOMe+ROXYncTIjLC9eBCyYxd1lqnxmnDWmQ4z89yxBeYn1KL&#10;CLFxqCiYDWdCbzCYMvoUMlhdF3SdAgW/WV9pz3YCw7FcDvCjcpHujRvlvhah6vySqXfThsKoNGaA&#10;mpjYRuVXVdGytd76BwEY4xSYFTUVNxxRFiiYwTxZoHkbn+pYpXYTf+/AUQRco3OhXSU6KKOcDnvE&#10;XS0JvT1gSNoRvIw62fWOpLUtntF8ZE+tC04ua9R6I0K8Fx5rAGhY7XiHT6ktmLa9xFll/Y+/nZM/&#10;phNWzlqsFbrwfSu84kx/NZjbyel4THuYlHF+NqTyjy3rY4vZNlcWzcH0AF0SyT/qg1h62zzhBVhQ&#10;VpiEkcjd9btXrmK37nhDpFoskht2z4l4Y1ZOUnDilbr8uH8S3vVjGDHAt/awgiD+7TR2vnTT2MU2&#10;2rJOo/rKK8gnBXub2tC/MfQwHOvJ6/UlnP8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CTdQJa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9C0D07">
        <w:rPr>
          <w:noProof/>
          <w:sz w:val="20"/>
          <w:szCs w:val="20"/>
          <w:lang w:val="es-MX" w:eastAsia="es-MX"/>
        </w:rPr>
        <w:drawing>
          <wp:inline distT="0" distB="0" distL="0" distR="0" wp14:anchorId="003639BF" wp14:editId="57868BB2">
            <wp:extent cx="4805463" cy="13238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588" t="36171" r="34315" b="52961"/>
                    <a:stretch/>
                  </pic:blipFill>
                  <pic:spPr bwMode="auto">
                    <a:xfrm>
                      <a:off x="0" y="0"/>
                      <a:ext cx="4906969" cy="1351864"/>
                    </a:xfrm>
                    <a:prstGeom prst="rect">
                      <a:avLst/>
                    </a:prstGeom>
                    <a:ln>
                      <a:noFill/>
                    </a:ln>
                    <a:extLst>
                      <a:ext uri="{53640926-AAD7-44D8-BBD7-CCE9431645EC}">
                        <a14:shadowObscured xmlns:a14="http://schemas.microsoft.com/office/drawing/2010/main"/>
                      </a:ext>
                    </a:extLst>
                  </pic:spPr>
                </pic:pic>
              </a:graphicData>
            </a:graphic>
          </wp:inline>
        </w:drawing>
      </w:r>
    </w:p>
    <w:p w14:paraId="5FAA067A" w14:textId="77777777" w:rsidR="003A0C03" w:rsidRPr="009C0D07" w:rsidRDefault="003A0C03" w:rsidP="00AC6852">
      <w:pPr>
        <w:spacing w:line="360" w:lineRule="auto"/>
        <w:ind w:left="567" w:right="49"/>
        <w:jc w:val="both"/>
        <w:rPr>
          <w:rFonts w:ascii="Palatino Linotype" w:hAnsi="Palatino Linotype" w:cs="Arial"/>
          <w:lang w:val="es-ES"/>
        </w:rPr>
      </w:pPr>
    </w:p>
    <w:p w14:paraId="5ACCDB5C" w14:textId="77777777" w:rsidR="00EE2679" w:rsidRPr="009C0D07" w:rsidRDefault="00EE2679" w:rsidP="003A0C03">
      <w:pPr>
        <w:pStyle w:val="Prrafodelista"/>
        <w:numPr>
          <w:ilvl w:val="0"/>
          <w:numId w:val="1"/>
        </w:numPr>
        <w:spacing w:line="360" w:lineRule="auto"/>
        <w:ind w:left="0" w:firstLine="0"/>
        <w:jc w:val="both"/>
        <w:rPr>
          <w:rFonts w:ascii="Palatino Linotype" w:hAnsi="Palatino Linotype" w:cs="Arial"/>
          <w:u w:val="single"/>
          <w:lang w:val="es-ES"/>
        </w:rPr>
      </w:pPr>
      <w:r w:rsidRPr="009C0D07">
        <w:rPr>
          <w:rFonts w:ascii="Palatino Linotype" w:hAnsi="Palatino Linotype" w:cs="Arial"/>
          <w:lang w:val="es-ES"/>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capítulo y </w:t>
      </w:r>
      <w:r w:rsidRPr="009C0D07">
        <w:rPr>
          <w:rFonts w:ascii="Palatino Linotype" w:hAnsi="Palatino Linotype" w:cs="Arial"/>
          <w:b/>
          <w:i/>
          <w:u w:val="single"/>
          <w:lang w:val="es-ES"/>
        </w:rPr>
        <w:t>la partida es el nivel de agregación más específico en el cual se describen las expresiones concretas y detalladas de los bienes y servicios que se adquieren y se compone de:</w:t>
      </w:r>
    </w:p>
    <w:p w14:paraId="5F8595C5" w14:textId="77777777" w:rsidR="003A0C03" w:rsidRPr="009C0D07" w:rsidRDefault="003A0C03" w:rsidP="003A0C03">
      <w:pPr>
        <w:pStyle w:val="Prrafodelista"/>
        <w:spacing w:line="360" w:lineRule="auto"/>
        <w:ind w:left="0"/>
        <w:jc w:val="both"/>
        <w:rPr>
          <w:rFonts w:ascii="Palatino Linotype" w:hAnsi="Palatino Linotype" w:cs="Arial"/>
          <w:u w:val="single"/>
          <w:lang w:val="es-ES"/>
        </w:rPr>
      </w:pPr>
    </w:p>
    <w:p w14:paraId="00083111" w14:textId="77777777" w:rsidR="00EE2679" w:rsidRPr="009C0D07" w:rsidRDefault="00EE2679" w:rsidP="00EE2679">
      <w:pPr>
        <w:spacing w:line="360" w:lineRule="auto"/>
        <w:ind w:left="360"/>
        <w:jc w:val="both"/>
        <w:rPr>
          <w:rFonts w:ascii="Palatino Linotype" w:hAnsi="Palatino Linotype" w:cs="Arial"/>
          <w:b/>
          <w:lang w:val="es-ES"/>
        </w:rPr>
      </w:pPr>
      <w:r w:rsidRPr="009C0D07">
        <w:rPr>
          <w:rFonts w:ascii="Palatino Linotype" w:hAnsi="Palatino Linotype" w:cs="Arial"/>
          <w:b/>
          <w:lang w:val="es-ES"/>
        </w:rPr>
        <w:t>a) Partida Genérica</w:t>
      </w:r>
    </w:p>
    <w:p w14:paraId="554F0814" w14:textId="77777777" w:rsidR="00EE2679" w:rsidRPr="009C0D07" w:rsidRDefault="00EE2679" w:rsidP="00EE2679">
      <w:pPr>
        <w:spacing w:line="360" w:lineRule="auto"/>
        <w:ind w:left="360"/>
        <w:jc w:val="both"/>
        <w:rPr>
          <w:rFonts w:ascii="Palatino Linotype" w:hAnsi="Palatino Linotype" w:cs="Arial"/>
          <w:b/>
          <w:lang w:val="es-ES"/>
        </w:rPr>
      </w:pPr>
      <w:r w:rsidRPr="009C0D07">
        <w:rPr>
          <w:rFonts w:ascii="Palatino Linotype" w:hAnsi="Palatino Linotype" w:cs="Arial"/>
          <w:b/>
          <w:lang w:val="es-ES"/>
        </w:rPr>
        <w:t>b) Partida Específica</w:t>
      </w:r>
    </w:p>
    <w:p w14:paraId="22CF9E3B" w14:textId="77777777" w:rsidR="003A0C03" w:rsidRPr="009C0D07" w:rsidRDefault="003A0C03" w:rsidP="00EE2679">
      <w:pPr>
        <w:spacing w:line="360" w:lineRule="auto"/>
        <w:ind w:left="360"/>
        <w:jc w:val="both"/>
        <w:rPr>
          <w:rFonts w:ascii="Palatino Linotype" w:hAnsi="Palatino Linotype" w:cs="Arial"/>
          <w:b/>
          <w:lang w:val="es-ES"/>
        </w:rPr>
      </w:pPr>
    </w:p>
    <w:p w14:paraId="53F5DC3B" w14:textId="239DC704" w:rsidR="00EE2679" w:rsidRPr="009C0D07" w:rsidRDefault="00EE2679" w:rsidP="003A0C03">
      <w:pPr>
        <w:pStyle w:val="Prrafodelista"/>
        <w:numPr>
          <w:ilvl w:val="0"/>
          <w:numId w:val="1"/>
        </w:numPr>
        <w:spacing w:line="360" w:lineRule="auto"/>
        <w:ind w:left="0" w:firstLine="0"/>
        <w:jc w:val="both"/>
        <w:rPr>
          <w:rFonts w:ascii="Palatino Linotype" w:hAnsi="Palatino Linotype" w:cs="Arial"/>
          <w:lang w:val="es-ES"/>
        </w:rPr>
      </w:pPr>
      <w:r w:rsidRPr="009C0D07">
        <w:rPr>
          <w:rFonts w:ascii="Palatino Linotype" w:hAnsi="Palatino Linotype" w:cs="Arial"/>
          <w:b/>
          <w:i/>
          <w:lang w:val="es-ES"/>
        </w:rPr>
        <w:t>La Partida Genérica</w:t>
      </w:r>
      <w:r w:rsidRPr="009C0D07">
        <w:rPr>
          <w:rFonts w:ascii="Palatino Linotype" w:hAnsi="Palatino Linotype" w:cs="Arial"/>
          <w:lang w:val="es-ES"/>
        </w:rPr>
        <w:t xml:space="preserve"> se refiere al tercer dígito, el cual logrará la armonización a todos los niveles de gobierno.</w:t>
      </w:r>
    </w:p>
    <w:p w14:paraId="59D4F220" w14:textId="77777777" w:rsidR="003A0C03" w:rsidRPr="009C0D07" w:rsidRDefault="003A0C03" w:rsidP="003A0C03">
      <w:pPr>
        <w:pStyle w:val="Prrafodelista"/>
        <w:spacing w:line="360" w:lineRule="auto"/>
        <w:ind w:left="0"/>
        <w:jc w:val="both"/>
        <w:rPr>
          <w:rFonts w:ascii="Palatino Linotype" w:hAnsi="Palatino Linotype" w:cs="Arial"/>
          <w:lang w:val="es-ES"/>
        </w:rPr>
      </w:pPr>
    </w:p>
    <w:p w14:paraId="1A0E994E" w14:textId="77777777" w:rsidR="00EE2679" w:rsidRPr="009C0D07" w:rsidRDefault="00EE2679" w:rsidP="00EE2679">
      <w:pPr>
        <w:pStyle w:val="Prrafodelista"/>
        <w:numPr>
          <w:ilvl w:val="0"/>
          <w:numId w:val="1"/>
        </w:numPr>
        <w:spacing w:line="360" w:lineRule="auto"/>
        <w:ind w:left="0" w:firstLine="0"/>
        <w:jc w:val="both"/>
        <w:rPr>
          <w:rFonts w:ascii="Palatino Linotype" w:hAnsi="Palatino Linotype" w:cs="Arial"/>
          <w:lang w:val="es-ES"/>
        </w:rPr>
      </w:pPr>
      <w:r w:rsidRPr="009C0D07">
        <w:rPr>
          <w:rFonts w:ascii="Palatino Linotype" w:hAnsi="Palatino Linotype" w:cs="Arial"/>
          <w:b/>
          <w:i/>
          <w:lang w:val="es-ES"/>
        </w:rPr>
        <w:t>La Partida Específica</w:t>
      </w:r>
      <w:r w:rsidRPr="009C0D07">
        <w:rPr>
          <w:rFonts w:ascii="Palatino Linotype" w:hAnsi="Palatino Linotype" w:cs="Arial"/>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w:t>
      </w:r>
      <w:r w:rsidRPr="009C0D07">
        <w:rPr>
          <w:rFonts w:ascii="Palatino Linotype" w:hAnsi="Palatino Linotype" w:cs="Arial"/>
          <w:lang w:val="es-ES"/>
        </w:rPr>
        <w:lastRenderedPageBreak/>
        <w:t>concepto y partida genérica), con el fin de mantener la armonización con el Plan de Cuentas.</w:t>
      </w:r>
      <w:r w:rsidRPr="009C0D07">
        <w:rPr>
          <w:rFonts w:ascii="Palatino Linotype" w:hAnsi="Palatino Linotype" w:cs="Arial"/>
          <w:lang w:val="es-ES"/>
        </w:rPr>
        <w:cr/>
      </w:r>
    </w:p>
    <w:p w14:paraId="5DF2821B" w14:textId="77777777" w:rsidR="003A0C03" w:rsidRPr="009C0D07" w:rsidRDefault="003A0C03" w:rsidP="003A0C03">
      <w:pPr>
        <w:pStyle w:val="Prrafodelista"/>
        <w:rPr>
          <w:rFonts w:ascii="Palatino Linotype" w:hAnsi="Palatino Linotype" w:cs="Arial"/>
          <w:lang w:val="es-ES"/>
        </w:rPr>
      </w:pPr>
    </w:p>
    <w:p w14:paraId="3D1BFEF5" w14:textId="77777777" w:rsidR="00EE2679" w:rsidRPr="009C0D07" w:rsidRDefault="00EE2679" w:rsidP="00EE2679">
      <w:pPr>
        <w:pStyle w:val="Prrafodelista"/>
        <w:numPr>
          <w:ilvl w:val="0"/>
          <w:numId w:val="1"/>
        </w:numPr>
        <w:spacing w:line="360" w:lineRule="auto"/>
        <w:ind w:left="0" w:firstLine="0"/>
        <w:jc w:val="both"/>
        <w:rPr>
          <w:rFonts w:ascii="Palatino Linotype" w:hAnsi="Palatino Linotype" w:cs="Arial"/>
          <w:lang w:val="es-ES"/>
        </w:rPr>
      </w:pPr>
      <w:r w:rsidRPr="009C0D07">
        <w:rPr>
          <w:rFonts w:ascii="Palatino Linotype" w:hAnsi="Palatino Linotype" w:cs="Arial"/>
          <w:lang w:val="es-ES"/>
        </w:rPr>
        <w:t>En este mismo orden de ideas, la Relación de Capítulos, Conceptos y Partidas Genéricas, en lo que interesa, son las siguientes:</w:t>
      </w:r>
    </w:p>
    <w:p w14:paraId="261B4E8E" w14:textId="77777777" w:rsidR="003A0C03" w:rsidRPr="009C0D07" w:rsidRDefault="003A0C03" w:rsidP="003A0C03">
      <w:pPr>
        <w:pStyle w:val="Prrafodelista"/>
        <w:spacing w:line="360" w:lineRule="auto"/>
        <w:ind w:left="0"/>
        <w:jc w:val="both"/>
        <w:rPr>
          <w:rFonts w:ascii="Palatino Linotype" w:hAnsi="Palatino Linotype" w:cs="Arial"/>
          <w:lang w:val="es-ES"/>
        </w:rPr>
      </w:pPr>
    </w:p>
    <w:p w14:paraId="7610CAA0" w14:textId="77777777" w:rsidR="00EE2679" w:rsidRPr="009C0D07" w:rsidRDefault="00EE2679" w:rsidP="003A0C03">
      <w:pPr>
        <w:spacing w:line="360" w:lineRule="auto"/>
        <w:ind w:left="567" w:right="567"/>
        <w:jc w:val="both"/>
        <w:rPr>
          <w:rFonts w:ascii="Palatino Linotype" w:hAnsi="Palatino Linotype" w:cs="Arial"/>
          <w:lang w:val="es-ES"/>
        </w:rPr>
      </w:pPr>
      <w:r w:rsidRPr="009C0D07">
        <w:rPr>
          <w:rFonts w:ascii="Arial" w:hAnsi="Arial" w:cs="Arial"/>
          <w:noProof/>
          <w:sz w:val="18"/>
          <w:szCs w:val="18"/>
          <w:lang w:val="es-MX" w:eastAsia="es-MX"/>
        </w:rPr>
        <mc:AlternateContent>
          <mc:Choice Requires="wps">
            <w:drawing>
              <wp:anchor distT="0" distB="0" distL="114300" distR="114300" simplePos="0" relativeHeight="251662336" behindDoc="0" locked="0" layoutInCell="1" allowOverlap="1" wp14:anchorId="570CC38D" wp14:editId="650F677C">
                <wp:simplePos x="0" y="0"/>
                <wp:positionH relativeFrom="margin">
                  <wp:posOffset>388742</wp:posOffset>
                </wp:positionH>
                <wp:positionV relativeFrom="paragraph">
                  <wp:posOffset>17442</wp:posOffset>
                </wp:positionV>
                <wp:extent cx="4786008" cy="1333500"/>
                <wp:effectExtent l="57150" t="38100" r="71755" b="95250"/>
                <wp:wrapNone/>
                <wp:docPr id="10" name="Rectángulo 10"/>
                <wp:cNvGraphicFramePr/>
                <a:graphic xmlns:a="http://schemas.openxmlformats.org/drawingml/2006/main">
                  <a:graphicData uri="http://schemas.microsoft.com/office/word/2010/wordprocessingShape">
                    <wps:wsp>
                      <wps:cNvSpPr/>
                      <wps:spPr>
                        <a:xfrm>
                          <a:off x="0" y="0"/>
                          <a:ext cx="4786008" cy="1333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5D930" id="Rectángulo 10" o:spid="_x0000_s1026" style="position:absolute;margin-left:30.6pt;margin-top:1.35pt;width:376.85pt;height:1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1vrgIAAFQFAAAOAAAAZHJzL2Uyb0RvYy54bWysVNtu2zAMfR+wfxD0vtq5tV1QpwhaZBhQ&#10;tEHToc+KLF8AWdIkOU73N/uW/diOZCdN1z0Ny4NDitQheUjq6nrfSLIT1tVaZXR0llIiFNd5rcqM&#10;fntafbqkxHmmcia1Ehl9EY5eLz5+uOrMXIx1pWUuLAGIcvPOZLTy3syTxPFKNMydaSMUjIW2DfNQ&#10;bZnklnVAb2QyTtPzpNM2N1Zz4RxOb3sjXUT8ohDcPxSFE57IjCI3H782frfhmyyu2Ly0zFQ1H9Jg&#10;/5BFw2qFoEeoW+YZaW39DqqpudVOF/6M6ybRRVFzEWtANaP0j2o2FTMi1gJynDnS5P4fLL/frS2p&#10;c/QO9CjWoEePYO3XT1W2UhOcgqLOuDk8N2ZtB81BDPXuC9uEf1RC9pHWlyOtYu8Jx+H04vI8TTEI&#10;HLbRZDKZpRE1eb1urPNfhG5IEDJqkUGkk+3unEdIuB5cQjSlV7WUsXdSkS6j48vZxQwBGEaokMxD&#10;bAyKcqqkhMkSs8m9jZBOyzoP1wOQs+X2RlqyY5iP1SrFL9SLcG/cQuxb5qreL5oGN6kCjIiThlQj&#10;Fa0XdlPlHdnK1j4ypDGNwCSvQ3HjSYgCBWM4ixZoVvvn2lex44HAd8kFBFwL50yaivWpBCqPGfe1&#10;xOz1IYeonaSXhFb2zQvSVucv6D+ix945w1c1ar1jzq+ZxSYgNWy3f8CnkBpM60GipNL2x9/Ogz8G&#10;FFZKOmwWuvC9ZVZQIr8qjO7n0XQKWB+V6exiHMo/tWxPLaptbjSaM8I7YngUg7+XB7GwunnGI7AM&#10;UWFiiiN23+9BufH9xuMZ4WK5jG5YP8P8ndoYHsADr6HLT/tnZs0whh4TfK8PWwji305j7xtuKr1s&#10;vS7qOKqvvIL8oGB1YxuGZya8Dad69Hp9DBe/AQAA//8DAFBLAwQUAAYACAAAACEAJy+3Zt4AAAAI&#10;AQAADwAAAGRycy9kb3ducmV2LnhtbEyPwU7DMBBE70j8g7VI3KiTCJUkxKkKAtQDPVAqcXXiJUmx&#10;11HstuHvWU5wnJ3R7JtqNTsrTjiFwZOCdJGAQGq9GahTsH9/vslBhKjJaOsJFXxjgFV9eVHp0vgz&#10;veFpFzvBJRRKraCPcSylDG2PToeFH5HY+/ST05Hl1Ekz6TOXOyuzJFlKpwfiD70e8bHH9mt3dAps&#10;0WwOL+v9Id9sn+z48BFeY5ErdX01r+9BRJzjXxh+8RkdamZq/JFMEFbBMs04qSC7A8F2nt4WIBrW&#10;KV9kXcn/A+ofAAAA//8DAFBLAQItABQABgAIAAAAIQC2gziS/gAAAOEBAAATAAAAAAAAAAAAAAAA&#10;AAAAAABbQ29udGVudF9UeXBlc10ueG1sUEsBAi0AFAAGAAgAAAAhADj9If/WAAAAlAEAAAsAAAAA&#10;AAAAAAAAAAAALwEAAF9yZWxzLy5yZWxzUEsBAi0AFAAGAAgAAAAhAIBoPW+uAgAAVAUAAA4AAAAA&#10;AAAAAAAAAAAALgIAAGRycy9lMm9Eb2MueG1sUEsBAi0AFAAGAAgAAAAhACcvt2beAAAACAEAAA8A&#10;AAAAAAAAAAAAAAAACAUAAGRycy9kb3ducmV2LnhtbFBLBQYAAAAABAAEAPMAAAATBgAAAAA=&#10;" filled="f" strokecolor="red" strokeweight="2.25pt">
                <v:shadow on="t" color="black" opacity="22937f" origin=",.5" offset="0,.63889mm"/>
                <w10:wrap anchorx="margin"/>
              </v:rect>
            </w:pict>
          </mc:Fallback>
        </mc:AlternateContent>
      </w:r>
      <w:r w:rsidRPr="009C0D07">
        <w:rPr>
          <w:noProof/>
          <w:lang w:val="es-MX" w:eastAsia="es-MX"/>
        </w:rPr>
        <w:drawing>
          <wp:inline distT="0" distB="0" distL="0" distR="0" wp14:anchorId="432FA6C9" wp14:editId="6D6E4D8A">
            <wp:extent cx="4844374" cy="1333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841" t="47359" r="61846" b="38639"/>
                    <a:stretch/>
                  </pic:blipFill>
                  <pic:spPr bwMode="auto">
                    <a:xfrm>
                      <a:off x="0" y="0"/>
                      <a:ext cx="4849533" cy="1334920"/>
                    </a:xfrm>
                    <a:prstGeom prst="rect">
                      <a:avLst/>
                    </a:prstGeom>
                    <a:ln>
                      <a:noFill/>
                    </a:ln>
                    <a:extLst>
                      <a:ext uri="{53640926-AAD7-44D8-BBD7-CCE9431645EC}">
                        <a14:shadowObscured xmlns:a14="http://schemas.microsoft.com/office/drawing/2010/main"/>
                      </a:ext>
                    </a:extLst>
                  </pic:spPr>
                </pic:pic>
              </a:graphicData>
            </a:graphic>
          </wp:inline>
        </w:drawing>
      </w:r>
    </w:p>
    <w:p w14:paraId="7D3A6338" w14:textId="77777777" w:rsidR="00EE2679" w:rsidRPr="009C0D07" w:rsidRDefault="00EE2679" w:rsidP="003A0C03">
      <w:pPr>
        <w:spacing w:line="360" w:lineRule="auto"/>
        <w:ind w:left="567"/>
        <w:jc w:val="both"/>
        <w:rPr>
          <w:rFonts w:ascii="Palatino Linotype" w:hAnsi="Palatino Linotype" w:cs="Arial"/>
          <w:lang w:val="es-ES"/>
        </w:rPr>
      </w:pPr>
      <w:r w:rsidRPr="009C0D07">
        <w:rPr>
          <w:rFonts w:ascii="Arial" w:hAnsi="Arial" w:cs="Arial"/>
          <w:noProof/>
          <w:sz w:val="18"/>
          <w:szCs w:val="18"/>
          <w:lang w:val="es-MX" w:eastAsia="es-MX"/>
        </w:rPr>
        <mc:AlternateContent>
          <mc:Choice Requires="wps">
            <w:drawing>
              <wp:anchor distT="0" distB="0" distL="114300" distR="114300" simplePos="0" relativeHeight="251663360" behindDoc="0" locked="0" layoutInCell="1" allowOverlap="1" wp14:anchorId="24D2FD9A" wp14:editId="4D57BFA2">
                <wp:simplePos x="0" y="0"/>
                <wp:positionH relativeFrom="margin">
                  <wp:posOffset>432297</wp:posOffset>
                </wp:positionH>
                <wp:positionV relativeFrom="paragraph">
                  <wp:posOffset>1809363</wp:posOffset>
                </wp:positionV>
                <wp:extent cx="4543425" cy="42862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4543425"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A85A5" id="Rectángulo 17" o:spid="_x0000_s1026" style="position:absolute;margin-left:34.05pt;margin-top:142.45pt;width:357.7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9EqwIAAFMFAAAOAAAAZHJzL2Uyb0RvYy54bWysVEtu2zAQ3RfoHQjuG9mOnI8ROzASuCgQ&#10;JEGcIusxRVkCKJIlacvpbXqWXiyPlOI4TVdFtaDmx/m8meHF5a5RbCudr42e8uHRgDOphSlqvZ7y&#10;74+LL2ec+UC6IGW0nPJn6fnl7POni9ZO5MhURhXSMTjRftLaKa9CsJMs86KSDfkjY6WGsjSuoQDW&#10;rbPCUQvvjcpGg8FJ1hpXWGeE9B7S607JZ8l/WUoR7srSy8DUlCO3kE6XzlU8s9kFTdaObFWLPg36&#10;hywaqjWC7l1dUyC2cfUHV00tnPGmDEfCNJkpy1rIVAOqGQ7+qGZZkZWpFoDj7R4m///citvtvWN1&#10;gd6dcqapQY8egNrvX3q9UYZBCoha6yewXNp713MeZKx3V7om/lEJ2yVYn/ewyl1gAsJ8nB/nozFn&#10;Arp8dHYCGm6yt9vW+fBVmoZFYsodEkho0vbGh8701SQG02ZRKwU5TZRmLXI/H4zRXUGYoFJRANlY&#10;1OT1mjNSa4ymCC659EbVRbweb3u3Xl0px7aE8VgsBvj6zN6ZxdjX5KvOLql6M6WjG5kGDalGxmyC&#10;dMuqaNlKbdwDIY08OWZFHYsbHccoYDCF46QB50x4qkOVGh7x+5Bc9IBrUU7KVtSlcjyOwg6gvpaE&#10;6z6HxB2kl8VOdr2L1MoUz2g/oqfWeSsWNWq9IR/uyWERkBqWO9zhKJUB0qanOKuM+/k3ebTHfELL&#10;WYvFQhd+bMhJztQ3jck9H+Y53IbE5OPTUSz/ULM61OhNc2XQnCGeESsSGe2DeiVLZ5onvAHzGBUq&#10;0gKxu373zFXoFh6viJDzeTLD9lkKN3ppRXQecY1dftw9kbP9GAYM8K15XUIA/34aO9t4U5v5Jpiy&#10;TqP6hivAjww2N7Whf2Xi03DIJ6u3t3D2AgAA//8DAFBLAwQUAAYACAAAACEA3Tw8x+EAAAAKAQAA&#10;DwAAAGRycy9kb3ducmV2LnhtbEyPy07DMBBF90j8gzVI7KjzKKkJmVSABKjsaMuCnRu7SUg8DrHb&#10;pn+PWcFydI/uPVMsJ9Ozox5dawkhnkXANFVWtVQjbDfPNwKY85KU7C1phLN2sCwvLwqZK3uid31c&#10;+5qFEnK5RGi8H3LOXdVoI93MDppCtrejkT6cY83VKE+h3PQ8iaKMG9lSWGjkoJ8aXXXrg0F4e9yv&#10;upfX6aOLv7/O0eaThMxSxOur6eEemNeT/4PhVz+oQxmcdvZAyrEeIRNxIBESMb8DFoCFSDNgO4T0&#10;NpkDLwv+/4XyBwAA//8DAFBLAQItABQABgAIAAAAIQC2gziS/gAAAOEBAAATAAAAAAAAAAAAAAAA&#10;AAAAAABbQ29udGVudF9UeXBlc10ueG1sUEsBAi0AFAAGAAgAAAAhADj9If/WAAAAlAEAAAsAAAAA&#10;AAAAAAAAAAAALwEAAF9yZWxzLy5yZWxzUEsBAi0AFAAGAAgAAAAhAGKRj0SrAgAAUwUAAA4AAAAA&#10;AAAAAAAAAAAALgIAAGRycy9lMm9Eb2MueG1sUEsBAi0AFAAGAAgAAAAhAN08PMfhAAAACgEAAA8A&#10;AAAAAAAAAAAAAAAABQUAAGRycy9kb3ducmV2LnhtbFBLBQYAAAAABAAEAPMAAAATBgAAAAA=&#10;" filled="f" strokecolor="red" strokeweight="1.5pt">
                <v:shadow on="t" color="black" opacity="22937f" origin=",.5" offset="0,.63889mm"/>
                <w10:wrap anchorx="margin"/>
              </v:rect>
            </w:pict>
          </mc:Fallback>
        </mc:AlternateContent>
      </w:r>
      <w:r w:rsidRPr="009C0D07">
        <w:rPr>
          <w:noProof/>
          <w:lang w:val="es-MX" w:eastAsia="es-MX"/>
        </w:rPr>
        <w:drawing>
          <wp:inline distT="0" distB="0" distL="0" distR="0" wp14:anchorId="3A5F76A7" wp14:editId="35910586">
            <wp:extent cx="4843780" cy="2170252"/>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196" t="25559" r="58215" b="49964"/>
                    <a:stretch/>
                  </pic:blipFill>
                  <pic:spPr bwMode="auto">
                    <a:xfrm>
                      <a:off x="0" y="0"/>
                      <a:ext cx="4867146" cy="2180721"/>
                    </a:xfrm>
                    <a:prstGeom prst="rect">
                      <a:avLst/>
                    </a:prstGeom>
                    <a:ln>
                      <a:noFill/>
                    </a:ln>
                    <a:extLst>
                      <a:ext uri="{53640926-AAD7-44D8-BBD7-CCE9431645EC}">
                        <a14:shadowObscured xmlns:a14="http://schemas.microsoft.com/office/drawing/2010/main"/>
                      </a:ext>
                    </a:extLst>
                  </pic:spPr>
                </pic:pic>
              </a:graphicData>
            </a:graphic>
          </wp:inline>
        </w:drawing>
      </w:r>
    </w:p>
    <w:p w14:paraId="43FD485D" w14:textId="7C789316" w:rsidR="00EE2679" w:rsidRPr="009C0D07" w:rsidRDefault="003A0C03" w:rsidP="003A0C03">
      <w:pPr>
        <w:spacing w:line="360" w:lineRule="auto"/>
        <w:ind w:left="567"/>
        <w:jc w:val="both"/>
        <w:rPr>
          <w:rFonts w:ascii="Palatino Linotype" w:hAnsi="Palatino Linotype" w:cs="Arial"/>
          <w:lang w:val="es-ES"/>
        </w:rPr>
      </w:pPr>
      <w:r w:rsidRPr="009C0D07">
        <w:rPr>
          <w:noProof/>
          <w:lang w:val="es-MX" w:eastAsia="es-MX"/>
        </w:rPr>
        <w:lastRenderedPageBreak/>
        <mc:AlternateContent>
          <mc:Choice Requires="wps">
            <w:drawing>
              <wp:anchor distT="0" distB="0" distL="114300" distR="114300" simplePos="0" relativeHeight="251667456" behindDoc="0" locked="0" layoutInCell="1" allowOverlap="1" wp14:anchorId="713FA6DE" wp14:editId="001F01C3">
                <wp:simplePos x="0" y="0"/>
                <wp:positionH relativeFrom="margin">
                  <wp:align>left</wp:align>
                </wp:positionH>
                <wp:positionV relativeFrom="paragraph">
                  <wp:posOffset>5124855</wp:posOffset>
                </wp:positionV>
                <wp:extent cx="5153025" cy="57150"/>
                <wp:effectExtent l="38100" t="38100" r="66675" b="95250"/>
                <wp:wrapNone/>
                <wp:docPr id="22" name="Conector recto 22"/>
                <wp:cNvGraphicFramePr/>
                <a:graphic xmlns:a="http://schemas.openxmlformats.org/drawingml/2006/main">
                  <a:graphicData uri="http://schemas.microsoft.com/office/word/2010/wordprocessingShape">
                    <wps:wsp>
                      <wps:cNvCnPr/>
                      <wps:spPr>
                        <a:xfrm>
                          <a:off x="0" y="0"/>
                          <a:ext cx="5153025" cy="57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3583CE" id="Conector recto 22" o:spid="_x0000_s1026" style="position:absolute;z-index:251667456;visibility:visible;mso-wrap-style:square;mso-wrap-distance-left:9pt;mso-wrap-distance-top:0;mso-wrap-distance-right:9pt;mso-wrap-distance-bottom:0;mso-position-horizontal:left;mso-position-horizontal-relative:margin;mso-position-vertical:absolute;mso-position-vertical-relative:text" from="0,403.55pt" to="405.75pt,4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SsuwEAAMUDAAAOAAAAZHJzL2Uyb0RvYy54bWysU9uO0zAQfUfiHyy/b3NZBVDUdB+6ghcE&#10;FZcP8DrjxpJvGpsm/XvGbptFgLQS4sXO2HPOzDmebB8Wa9gJMGrvBt5sas7AST9qdxz492/v795x&#10;FpNwozDewcDPEPnD7vWr7Rx6aP3kzQjIiMTFfg4Dn1IKfVVFOYEVceMDOLpUHq1IFOKxGlHMxG5N&#10;1db1m2r2OAb0EmKk08fLJd8VfqVAps9KRUjMDJx6S2XFsj7ltdptRX9EESYtr22If+jCCu2o6Er1&#10;KJJgP1D/QWW1RB+9ShvpbeWV0hKKBlLT1L+p+TqJAEULmRPDalP8f7Ty0+mATI8Db1vOnLD0Rnt6&#10;KZk8MswbowtyaQ6xp+S9O+A1iuGAWfKi0OadxLClOHtenYUlMUmHXdPd123HmaS77m3TFeerZ3DA&#10;mD6Atyx/DNxol4WLXpw+xkQFKfWWQkFu5lK+fKWzgZxs3BdQJIYKtgVdxgj2BtlJ0AAIKcGlJssh&#10;vpKdYUobswLrl4HX/AyFMmIruHkZvCJKZe/SCrbaefwbQVpuLatL/s2Bi+5swZMfz+VhijU0K0Xh&#10;da7zMP4aF/jz37f7CQAA//8DAFBLAwQUAAYACAAAACEAokhFTtsAAAAIAQAADwAAAGRycy9kb3du&#10;cmV2LnhtbEyPvU7EMBCEeyTewVokOs5xJEIIcU4ICYmSCxSUTrzkh3ht2b5L7u3xVdDNalYz39T7&#10;zSzshD5MliSIXQYMqbd6okHC58frXQksREVaLZZQwhkD7Jvrq1pV2q50wFMbB5ZCKFRKwhijqzgP&#10;/YhGhZ11SMn7tt6omE4/cO3VmsLNwvMsK7hRE6WGUTl8GbH/aY9Gwpfv5vztvLrczkX7ODvM3w8o&#10;5e3N9vwELOIW/57hgp/QoUlMnT2SDmyRkIZECWX2IIAluxTiHlh3EYUA3tT8/4DmFwAA//8DAFBL&#10;AQItABQABgAIAAAAIQC2gziS/gAAAOEBAAATAAAAAAAAAAAAAAAAAAAAAABbQ29udGVudF9UeXBl&#10;c10ueG1sUEsBAi0AFAAGAAgAAAAhADj9If/WAAAAlAEAAAsAAAAAAAAAAAAAAAAALwEAAF9yZWxz&#10;Ly5yZWxzUEsBAi0AFAAGAAgAAAAhAGbYRKy7AQAAxQMAAA4AAAAAAAAAAAAAAAAALgIAAGRycy9l&#10;Mm9Eb2MueG1sUEsBAi0AFAAGAAgAAAAhAKJIRU7bAAAACAEAAA8AAAAAAAAAAAAAAAAAFQQAAGRy&#10;cy9kb3ducmV2LnhtbFBLBQYAAAAABAAEAPMAAAAdBQAAAAA=&#10;" strokecolor="#4f81bd [3204]" strokeweight="2pt">
                <v:shadow on="t" color="black" opacity="24903f" origin=",.5" offset="0,.55556mm"/>
                <w10:wrap anchorx="margin"/>
              </v:line>
            </w:pict>
          </mc:Fallback>
        </mc:AlternateContent>
      </w:r>
      <w:r w:rsidRPr="009C0D07">
        <w:rPr>
          <w:noProof/>
          <w:lang w:val="es-MX" w:eastAsia="es-MX"/>
        </w:rPr>
        <mc:AlternateContent>
          <mc:Choice Requires="wps">
            <w:drawing>
              <wp:anchor distT="0" distB="0" distL="114300" distR="114300" simplePos="0" relativeHeight="251666432" behindDoc="0" locked="0" layoutInCell="1" allowOverlap="1" wp14:anchorId="1B9B86F2" wp14:editId="0BEA3ED9">
                <wp:simplePos x="0" y="0"/>
                <wp:positionH relativeFrom="page">
                  <wp:align>center</wp:align>
                </wp:positionH>
                <wp:positionV relativeFrom="paragraph">
                  <wp:posOffset>3085897</wp:posOffset>
                </wp:positionV>
                <wp:extent cx="4610100" cy="28575"/>
                <wp:effectExtent l="38100" t="38100" r="76200" b="85725"/>
                <wp:wrapNone/>
                <wp:docPr id="21" name="Conector recto 21"/>
                <wp:cNvGraphicFramePr/>
                <a:graphic xmlns:a="http://schemas.openxmlformats.org/drawingml/2006/main">
                  <a:graphicData uri="http://schemas.microsoft.com/office/word/2010/wordprocessingShape">
                    <wps:wsp>
                      <wps:cNvCnPr/>
                      <wps:spPr>
                        <a:xfrm>
                          <a:off x="0" y="0"/>
                          <a:ext cx="4610100"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3E9F1" id="Conector recto 21" o:spid="_x0000_s1026" style="position:absolute;z-index:251666432;visibility:visible;mso-wrap-style:square;mso-wrap-distance-left:9pt;mso-wrap-distance-top:0;mso-wrap-distance-right:9pt;mso-wrap-distance-bottom:0;mso-position-horizontal:center;mso-position-horizontal-relative:page;mso-position-vertical:absolute;mso-position-vertical-relative:text" from="0,243pt" to="363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YqugEAAMUDAAAOAAAAZHJzL2Uyb0RvYy54bWysU8tu2zAQvBfoPxC8x3ogSQPBcg4O2kvR&#10;Gn18AEMtLQJ8Ycla8t93SdlK0RYIUPRCityd2Z3havs4W8NOgFF71/NmU3MGTvpBu2PPv397f/PA&#10;WUzCDcJ4Bz0/Q+SPu7dvtlPooPWjNwMgIxIXuyn0fEwpdFUV5QhWxI0P4CioPFqR6IjHakAxEbs1&#10;VVvX99XkcQjoJcRIt09LkO8Kv1Ig02elIiRmek69pbJiWZ/zWu22ojuiCKOWlzbEP3RhhXZUdKV6&#10;EkmwH6j/oLJaoo9epY30tvJKaQlFA6lp6t/UfB1FgKKFzIlhtSn+P1r56XRApoeetw1nTlh6oz29&#10;lEweGeaNUYBcmkLsKHnvDng5xXDALHlWaPNOYthcnD2vzsKcmKTL2/uG5NEDSIq1D3fv7jJn9QIO&#10;GNMH8Jblj54b7bJw0YnTx5iW1GsK4XIzS/nylc4GcrJxX0CRGCrYFnQZI9gbZCdBAyCkBJeKHCpd&#10;sjNMaWNWYP068JKfoVBGbAU3r4NXRKnsXVrBVjuPfyNI87VlteRfHVh0Zwue/XAuD1OsoVkp5l7m&#10;Og/jr+cCf/n7dj8BAAD//wMAUEsDBBQABgAIAAAAIQDG4mKz2wAAAAgBAAAPAAAAZHJzL2Rvd25y&#10;ZXYueG1sTI9LT8MwEITvSPwHa5G4UQcLQpvGqRASEkeacuDoxEsejR+y3Sb992xPcJvdWc1+U+4W&#10;M7Ezhjg4K+FxlQFD2zo92E7C1+H9YQ0sJmW1mpxFCReMsKtub0pVaDfbPZ7r1DEKsbFQEvqUfMF5&#10;bHs0Kq6cR0vejwtGJRpDx3VQM4WbiYssy7lRg6UPvfL41mN7rE9GwndoRvFxmb1wY15vRo/ic49S&#10;3t8tr1tgCZf0dwxXfEKHipgad7I6skkCFUkSntY5CbJfxFU0tNlkz8Crkv8vUP0CAAD//wMAUEsB&#10;Ai0AFAAGAAgAAAAhALaDOJL+AAAA4QEAABMAAAAAAAAAAAAAAAAAAAAAAFtDb250ZW50X1R5cGVz&#10;XS54bWxQSwECLQAUAAYACAAAACEAOP0h/9YAAACUAQAACwAAAAAAAAAAAAAAAAAvAQAAX3JlbHMv&#10;LnJlbHNQSwECLQAUAAYACAAAACEAMLI2KroBAADFAwAADgAAAAAAAAAAAAAAAAAuAgAAZHJzL2Uy&#10;b0RvYy54bWxQSwECLQAUAAYACAAAACEAxuJis9sAAAAIAQAADwAAAAAAAAAAAAAAAAAUBAAAZHJz&#10;L2Rvd25yZXYueG1sUEsFBgAAAAAEAAQA8wAAABwFAAAAAA==&#10;" strokecolor="#4f81bd [3204]" strokeweight="2pt">
                <v:shadow on="t" color="black" opacity="24903f" origin=",.5" offset="0,.55556mm"/>
                <w10:wrap anchorx="page"/>
              </v:line>
            </w:pict>
          </mc:Fallback>
        </mc:AlternateContent>
      </w:r>
      <w:r w:rsidRPr="009C0D07">
        <w:rPr>
          <w:noProof/>
          <w:lang w:val="es-MX" w:eastAsia="es-MX"/>
        </w:rPr>
        <mc:AlternateContent>
          <mc:Choice Requires="wps">
            <w:drawing>
              <wp:anchor distT="0" distB="0" distL="114300" distR="114300" simplePos="0" relativeHeight="251665408" behindDoc="0" locked="0" layoutInCell="1" allowOverlap="1" wp14:anchorId="3A93D3C0" wp14:editId="38AF9A9E">
                <wp:simplePos x="0" y="0"/>
                <wp:positionH relativeFrom="margin">
                  <wp:align>center</wp:align>
                </wp:positionH>
                <wp:positionV relativeFrom="paragraph">
                  <wp:posOffset>837794</wp:posOffset>
                </wp:positionV>
                <wp:extent cx="4419600" cy="9525"/>
                <wp:effectExtent l="38100" t="38100" r="76200" b="85725"/>
                <wp:wrapNone/>
                <wp:docPr id="20" name="Conector recto 20"/>
                <wp:cNvGraphicFramePr/>
                <a:graphic xmlns:a="http://schemas.openxmlformats.org/drawingml/2006/main">
                  <a:graphicData uri="http://schemas.microsoft.com/office/word/2010/wordprocessingShape">
                    <wps:wsp>
                      <wps:cNvCnPr/>
                      <wps:spPr>
                        <a:xfrm flipV="1">
                          <a:off x="0" y="0"/>
                          <a:ext cx="44196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588F26" id="Conector recto 20" o:spid="_x0000_s1026" style="position:absolute;flip:y;z-index:251665408;visibility:visible;mso-wrap-style:square;mso-wrap-distance-left:9pt;mso-wrap-distance-top:0;mso-wrap-distance-right:9pt;mso-wrap-distance-bottom:0;mso-position-horizontal:center;mso-position-horizontal-relative:margin;mso-position-vertical:absolute;mso-position-vertical-relative:text" from="0,65.95pt" to="348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cwgEAAM4DAAAOAAAAZHJzL2Uyb0RvYy54bWysU02P0zAQvSPxHyzfadJod8VGTffQFVwQ&#10;VMBy9zrjxpK/NDZN+u8ZO2lAgEBCXBzbM+/NvOfJ7mGyhp0Bo/au49tNzRk46XvtTh1/+vzm1WvO&#10;YhKuF8Y76PgFIn/Yv3yxG0MLjR+86QEZkbjYjqHjQ0qhraooB7AibnwAR0Hl0YpERzxVPYqR2K2p&#10;mrq+q0aPfUAvIUa6fZyDfF/4lQKZPigVITHTceotlRXL+pzXar8T7QlFGLRc2hD/0IUV2lHRlepR&#10;JMG+ov6FymqJPnqVNtLbyiulJRQNpGZb/6Tm0yACFC1kTgyrTfH/0cr35yMy3Xe8IXucsPRGB3op&#10;mTwyzB9GAXJpDLGl5IM74nKK4YhZ8qTQMmV0+EIDUEwgWWwqHl9Wj2FKTNLlzc32/q6mWpJi97fN&#10;bSavZpbMFjCmt+Aty5uOG+2yA6IV53cxzanXFMLlruY+yi5dDORk4z6CIlVUrynoMk9wMMjOgiZB&#10;SAkubZfSJTvDlDZmBdZ/By75GQpl1lbw7MMfq66IUtm7tIKtdh5/Vz1N15bVnH91YNadLXj2/aW8&#10;ULGGhqaYuwx4nsofzwX+/TfcfwMAAP//AwBQSwMEFAAGAAgAAAAhANw/IGrcAAAACAEAAA8AAABk&#10;cnMvZG93bnJldi54bWxMj81OwzAQhO9IvIO1SNyo0xZZNMSpWqTCiQMtElc3XpII/0T2tk15erYn&#10;etxvRrMz1XL0Thwx5T4GDdNJAQJDE20fWg2fu83DE4hMJljjYkANZ8ywrG9vKlPaeAofeNxSKzgk&#10;5NJo6IiGUsrcdOhNnsQBA2vfMXlDfKZW2mROHO6dnBWFkt70gT90ZsCXDpuf7cFrSCqfXzdf72/r&#10;HRVqNVvbwf2S1vd34+oZBOFI/2a41OfqUHOnfTwEm4XTwEOI6Xy6AMGyWigm+wuZP4KsK3k9oP4D&#10;AAD//wMAUEsBAi0AFAAGAAgAAAAhALaDOJL+AAAA4QEAABMAAAAAAAAAAAAAAAAAAAAAAFtDb250&#10;ZW50X1R5cGVzXS54bWxQSwECLQAUAAYACAAAACEAOP0h/9YAAACUAQAACwAAAAAAAAAAAAAAAAAv&#10;AQAAX3JlbHMvLnJlbHNQSwECLQAUAAYACAAAACEAgTktXMIBAADOAwAADgAAAAAAAAAAAAAAAAAu&#10;AgAAZHJzL2Uyb0RvYy54bWxQSwECLQAUAAYACAAAACEA3D8gatwAAAAIAQAADwAAAAAAAAAAAAAA&#10;AAAcBAAAZHJzL2Rvd25yZXYueG1sUEsFBgAAAAAEAAQA8wAAACUFAAAAAA==&#10;" strokecolor="#4f81bd [3204]" strokeweight="2pt">
                <v:shadow on="t" color="black" opacity="24903f" origin=",.5" offset="0,.55556mm"/>
                <w10:wrap anchorx="margin"/>
              </v:line>
            </w:pict>
          </mc:Fallback>
        </mc:AlternateContent>
      </w:r>
      <w:r w:rsidR="00EE2679" w:rsidRPr="009C0D07">
        <w:rPr>
          <w:noProof/>
          <w:lang w:val="es-MX" w:eastAsia="es-MX"/>
        </w:rPr>
        <mc:AlternateContent>
          <mc:Choice Requires="wps">
            <w:drawing>
              <wp:anchor distT="0" distB="0" distL="114300" distR="114300" simplePos="0" relativeHeight="251664384" behindDoc="0" locked="0" layoutInCell="1" allowOverlap="1" wp14:anchorId="32A5D832" wp14:editId="1F63C272">
                <wp:simplePos x="0" y="0"/>
                <wp:positionH relativeFrom="column">
                  <wp:posOffset>367664</wp:posOffset>
                </wp:positionH>
                <wp:positionV relativeFrom="paragraph">
                  <wp:posOffset>6410325</wp:posOffset>
                </wp:positionV>
                <wp:extent cx="2771775" cy="19050"/>
                <wp:effectExtent l="38100" t="38100" r="66675" b="95250"/>
                <wp:wrapNone/>
                <wp:docPr id="19" name="Conector recto 19"/>
                <wp:cNvGraphicFramePr/>
                <a:graphic xmlns:a="http://schemas.openxmlformats.org/drawingml/2006/main">
                  <a:graphicData uri="http://schemas.microsoft.com/office/word/2010/wordprocessingShape">
                    <wps:wsp>
                      <wps:cNvCnPr/>
                      <wps:spPr>
                        <a:xfrm flipV="1">
                          <a:off x="0" y="0"/>
                          <a:ext cx="2771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A4BC8" id="Conector recto 19"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8.95pt,504.75pt" to="247.2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xQEAAM8DAAAOAAAAZHJzL2Uyb0RvYy54bWysU8tu2zAQvBfIPxC815IMpG4Eyzk4aC5F&#10;a/R1Z6ilRYAvLFlL/vsuKVsN0qIFil4oPnZmd2ZX2/vJGnYCjNq7jjermjNw0vfaHTv+9cu71285&#10;i0m4XhjvoONniPx+d/NqO4YW1n7wpgdkROJiO4aODymFtqqiHMCKuPIBHD0qj1YkOuKx6lGMxG5N&#10;ta7rN9XosQ/oJcRItw/zI98VfqVApo9KRUjMdJxqS2XFsj7ltdptRXtEEQYtL2WIf6jCCu0o6UL1&#10;IJJg31H/QmW1RB+9SivpbeWV0hKKBlLT1C/UfB5EgKKFzIlhsSn+P1r54XRApnvq3R1nTljq0Z46&#10;JZNHhvnD6IFcGkNsKXjvDng5xXDALHlSaJkyOnwjkmICyWJT8fi8eAxTYpIu15tNs9nccibprbmr&#10;b0sPqpkm0wWM6RG8ZXnTcaNdtkC04vQ+JkpNodcQOuSy5kLKLp0N5GDjPoEiWTlhQZeBgr1BdhI0&#10;CkJKcKnJwoivRGeY0sYswPrvwEt8hkIZtgU8G/HHrAuiZPYuLWCrncffZU/TtWQ1x18dmHVnC558&#10;fy4tKtbQ1BSFlwnPY/n8XOA//8PdDwAAAP//AwBQSwMEFAAGAAgAAAAhAHvR58PhAAAADAEAAA8A&#10;AABkcnMvZG93bnJldi54bWxMj8FOwzAMhu9IvENkJG4sWdUW2jWdNqTBicM2JK5Zk7UViVM12dbx&#10;9HgnOPr3p9+fq+XkLDubMfQeJcxnApjBxuseWwmf+83TC7AQFWplPRoJVxNgWd/fVarU/oJbc97F&#10;llEJhlJJ6GIcSs5D0xmnwswPBml39KNTkcax5XpUFyp3lidC5NypHulCpwbz2pnme3dyEsY8XN82&#10;Xx/v630U+SpZ68H+RCkfH6bVAlg0U/yD4aZP6lCT08GfUAdmJWTPBZGUC1FkwIhIizQFdrhF8yQD&#10;Xlf8/xP1LwAAAP//AwBQSwECLQAUAAYACAAAACEAtoM4kv4AAADhAQAAEwAAAAAAAAAAAAAAAAAA&#10;AAAAW0NvbnRlbnRfVHlwZXNdLnhtbFBLAQItABQABgAIAAAAIQA4/SH/1gAAAJQBAAALAAAAAAAA&#10;AAAAAAAAAC8BAABfcmVscy8ucmVsc1BLAQItABQABgAIAAAAIQBh+vsUxQEAAM8DAAAOAAAAAAAA&#10;AAAAAAAAAC4CAABkcnMvZTJvRG9jLnhtbFBLAQItABQABgAIAAAAIQB70efD4QAAAAwBAAAPAAAA&#10;AAAAAAAAAAAAAB8EAABkcnMvZG93bnJldi54bWxQSwUGAAAAAAQABADzAAAALQUAAAAA&#10;" strokecolor="#4f81bd [3204]" strokeweight="2pt">
                <v:shadow on="t" color="black" opacity="24903f" origin=",.5" offset="0,.55556mm"/>
              </v:line>
            </w:pict>
          </mc:Fallback>
        </mc:AlternateContent>
      </w:r>
      <w:r w:rsidR="00EE2679" w:rsidRPr="009C0D07">
        <w:rPr>
          <w:noProof/>
          <w:lang w:val="es-MX" w:eastAsia="es-MX"/>
        </w:rPr>
        <w:drawing>
          <wp:inline distT="0" distB="0" distL="0" distR="0" wp14:anchorId="51273F71" wp14:editId="06E842AC">
            <wp:extent cx="4844374" cy="7115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854" t="14032" r="58393" b="25746"/>
                    <a:stretch/>
                  </pic:blipFill>
                  <pic:spPr bwMode="auto">
                    <a:xfrm>
                      <a:off x="0" y="0"/>
                      <a:ext cx="4848827" cy="7121715"/>
                    </a:xfrm>
                    <a:prstGeom prst="rect">
                      <a:avLst/>
                    </a:prstGeom>
                    <a:ln>
                      <a:noFill/>
                    </a:ln>
                    <a:extLst>
                      <a:ext uri="{53640926-AAD7-44D8-BBD7-CCE9431645EC}">
                        <a14:shadowObscured xmlns:a14="http://schemas.microsoft.com/office/drawing/2010/main"/>
                      </a:ext>
                    </a:extLst>
                  </pic:spPr>
                </pic:pic>
              </a:graphicData>
            </a:graphic>
          </wp:inline>
        </w:drawing>
      </w:r>
    </w:p>
    <w:p w14:paraId="66CDFCB6" w14:textId="77777777" w:rsidR="00EE2679" w:rsidRPr="009C0D07" w:rsidRDefault="00EE2679" w:rsidP="00EE2679">
      <w:pPr>
        <w:spacing w:after="101" w:line="240" w:lineRule="exact"/>
        <w:jc w:val="both"/>
        <w:rPr>
          <w:rFonts w:ascii="Arial" w:hAnsi="Arial" w:cs="Arial"/>
          <w:b/>
          <w:sz w:val="18"/>
          <w:szCs w:val="28"/>
        </w:rPr>
      </w:pPr>
    </w:p>
    <w:p w14:paraId="0764C5A9" w14:textId="77777777" w:rsidR="00EE2679" w:rsidRPr="009C0D07" w:rsidRDefault="00EE2679" w:rsidP="003A0C03">
      <w:pPr>
        <w:pStyle w:val="Prrafodelista"/>
        <w:numPr>
          <w:ilvl w:val="0"/>
          <w:numId w:val="1"/>
        </w:numPr>
        <w:spacing w:line="360" w:lineRule="auto"/>
        <w:ind w:left="0" w:firstLine="0"/>
        <w:jc w:val="both"/>
        <w:rPr>
          <w:rFonts w:ascii="Palatino Linotype" w:hAnsi="Palatino Linotype" w:cs="Arial"/>
          <w:lang w:val="es-ES"/>
        </w:rPr>
      </w:pPr>
      <w:r w:rsidRPr="009C0D07">
        <w:rPr>
          <w:rFonts w:ascii="Palatino Linotype" w:hAnsi="Palatino Linotype" w:cs="Arial"/>
          <w:lang w:val="es-ES"/>
        </w:rPr>
        <w:t xml:space="preserve">En esta tesitura, es claro que </w:t>
      </w:r>
      <w:r w:rsidRPr="009C0D07">
        <w:rPr>
          <w:rFonts w:ascii="Palatino Linotype" w:hAnsi="Palatino Linotype" w:cs="Arial"/>
          <w:b/>
          <w:lang w:val="es-ES"/>
        </w:rPr>
        <w:t>EL SUJETO OBLIGADO</w:t>
      </w:r>
      <w:r w:rsidRPr="009C0D07">
        <w:rPr>
          <w:rFonts w:ascii="Palatino Linotype" w:hAnsi="Palatino Linotype" w:cs="Arial"/>
          <w:lang w:val="es-ES"/>
        </w:rPr>
        <w:t xml:space="preserve">, cuenta con varias partidas presupuestales específicas destinadas en materia de seguridad pública; de igual manera el DECRETO NÚMERO 17.- POR EL QUE SE APRUEBA EL PRESUPUESTO DE EGRESOS DEL GOBIERNO DEL ESTADO DE MÉXICO, PARA EL EJERCICIO FISCAL 2019, publicado en el Periódico Oficial del Estado de México,” Gaceta de Gobierno” en fecha 31 de diciembre de 2018, establece que el </w:t>
      </w:r>
      <w:r w:rsidRPr="009C0D07">
        <w:rPr>
          <w:rFonts w:ascii="Palatino Linotype" w:hAnsi="Palatino Linotype"/>
        </w:rPr>
        <w:t>Presupuesto de Egresos del ejercicio fiscal 2019 está orientado a satisfacer las necesidades sociales de interés colectivo, atendiendo al Plan de Desarrollo del Estado de México vigente y se distribuye en distintos pilares, ejes transversales y fondos, contemplando el de la SEGURIDAD, tal como se advierte a continuación.</w:t>
      </w:r>
    </w:p>
    <w:p w14:paraId="586245ED" w14:textId="77777777" w:rsidR="003A0C03" w:rsidRPr="009C0D07" w:rsidRDefault="003A0C03" w:rsidP="003A0C03">
      <w:pPr>
        <w:pStyle w:val="Prrafodelista"/>
        <w:spacing w:line="360" w:lineRule="auto"/>
        <w:ind w:left="0"/>
        <w:jc w:val="both"/>
        <w:rPr>
          <w:rFonts w:ascii="Palatino Linotype" w:hAnsi="Palatino Linotype" w:cs="Arial"/>
          <w:lang w:val="es-ES"/>
        </w:rPr>
      </w:pPr>
    </w:p>
    <w:p w14:paraId="3FFF9B51" w14:textId="77777777" w:rsidR="00EE2679" w:rsidRPr="009C0D07" w:rsidRDefault="00EE2679" w:rsidP="003A0C03">
      <w:pPr>
        <w:spacing w:line="360" w:lineRule="auto"/>
        <w:ind w:left="567"/>
        <w:jc w:val="both"/>
        <w:rPr>
          <w:rFonts w:ascii="Palatino Linotype" w:hAnsi="Palatino Linotype"/>
        </w:rPr>
      </w:pPr>
      <w:r w:rsidRPr="009C0D07">
        <w:rPr>
          <w:noProof/>
          <w:lang w:val="es-MX" w:eastAsia="es-MX"/>
        </w:rPr>
        <mc:AlternateContent>
          <mc:Choice Requires="wps">
            <w:drawing>
              <wp:anchor distT="0" distB="0" distL="114300" distR="114300" simplePos="0" relativeHeight="251668480" behindDoc="0" locked="0" layoutInCell="1" allowOverlap="1" wp14:anchorId="157F5EEC" wp14:editId="526940BA">
                <wp:simplePos x="0" y="0"/>
                <wp:positionH relativeFrom="column">
                  <wp:posOffset>729614</wp:posOffset>
                </wp:positionH>
                <wp:positionV relativeFrom="paragraph">
                  <wp:posOffset>2383790</wp:posOffset>
                </wp:positionV>
                <wp:extent cx="2009775" cy="19050"/>
                <wp:effectExtent l="38100" t="38100" r="66675" b="95250"/>
                <wp:wrapNone/>
                <wp:docPr id="24" name="Conector recto 24"/>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4FBB9A" id="Conector recto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7.45pt,187.7pt" to="215.7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PQvAEAAMUDAAAOAAAAZHJzL2Uyb0RvYy54bWysU01v2zAMvRfYfxB0X2wH69oacXpIsV6K&#10;NWi7H6DKVCxAX6C02Pn3pZTEHbYBBYZdJFPkI/ke6dXtZA3bA0btXcebRc0ZOOl77XYd//Hy7fM1&#10;ZzEJ1wvjHXT8AJHfrj9drMbQwtIP3vSAjJK42I6h40NKoa2qKAewIi58AEdO5dGKRCbuqh7FSNmt&#10;qZZ1/bUaPfYBvYQY6fXu6OTrkl8pkOlRqQiJmY5Tb6mcWM7XfFbrlWh3KMKg5akN8Q9dWKEdFZ1T&#10;3Ykk2E/Uf6SyWqKPXqWF9LbySmkJhQOxaerf2DwPIkDhQuLEMMsU/19a+X2/Rab7ji+/cOaEpRlt&#10;aFIyeWSYL0YOUmkMsaXgjdviyYphi5nypNDmm8iwqSh7mJWFKTFJjzSqm6urS84k+Zqb+rIoX72D&#10;A8Z0D96y/NFxo10mLlqxf4iJClLoOYSM3MyxfPlKBwM52LgnUEQmFyzoskawMcj2ghZASAkuNZkO&#10;5SvRGaa0MTOw/hh4is9QKCs2g5uPwTOiVPYuzWCrnce/JUjTuWV1jD8rcOSdJXj1/aEMpkhDu1IY&#10;nvY6L+OvdoG//33rNwAAAP//AwBQSwMEFAAGAAgAAAAhAPRfinTeAAAACwEAAA8AAABkcnMvZG93&#10;bnJldi54bWxMj0tPwzAQhO9I/AdrkbhRJ2kobYhTISQkjjRw4OjESx7ED9luk/57tid629kdzX5T&#10;7hc9sRP6MFgjIF0lwNC0Vg2mE/D1+fawBRaiNEpO1qCAMwbYV7c3pSyUnc0BT3XsGIWYUEgBfYyu&#10;4Dy0PWoZVtahoduP9VpGkr7jysuZwvXEsyTZcC0HQx966fC1x/a3PmoB374Zs/fz7DI7burd6DD7&#10;OKAQ93fLyzOwiEv8N8MFn9ChIqbGHo0KbCKd5juyClg/PebAyJGvUxqay2abA69Kft2h+gMAAP//&#10;AwBQSwECLQAUAAYACAAAACEAtoM4kv4AAADhAQAAEwAAAAAAAAAAAAAAAAAAAAAAW0NvbnRlbnRf&#10;VHlwZXNdLnhtbFBLAQItABQABgAIAAAAIQA4/SH/1gAAAJQBAAALAAAAAAAAAAAAAAAAAC8BAABf&#10;cmVscy8ucmVsc1BLAQItABQABgAIAAAAIQBikrPQvAEAAMUDAAAOAAAAAAAAAAAAAAAAAC4CAABk&#10;cnMvZTJvRG9jLnhtbFBLAQItABQABgAIAAAAIQD0X4p03gAAAAsBAAAPAAAAAAAAAAAAAAAAABYE&#10;AABkcnMvZG93bnJldi54bWxQSwUGAAAAAAQABADzAAAAIQUAAAAA&#10;" strokecolor="#4f81bd [3204]" strokeweight="2pt">
                <v:shadow on="t" color="black" opacity="24903f" origin=",.5" offset="0,.55556mm"/>
              </v:line>
            </w:pict>
          </mc:Fallback>
        </mc:AlternateContent>
      </w:r>
      <w:r w:rsidRPr="009C0D07">
        <w:rPr>
          <w:noProof/>
          <w:lang w:val="es-MX" w:eastAsia="es-MX"/>
        </w:rPr>
        <w:drawing>
          <wp:inline distT="0" distB="0" distL="0" distR="0" wp14:anchorId="2AE4F3DE" wp14:editId="3183C6D1">
            <wp:extent cx="4854102" cy="2619375"/>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260" t="18410" r="32409" b="68371"/>
                    <a:stretch/>
                  </pic:blipFill>
                  <pic:spPr bwMode="auto">
                    <a:xfrm>
                      <a:off x="0" y="0"/>
                      <a:ext cx="4860001" cy="2622558"/>
                    </a:xfrm>
                    <a:prstGeom prst="rect">
                      <a:avLst/>
                    </a:prstGeom>
                    <a:ln>
                      <a:noFill/>
                    </a:ln>
                    <a:extLst>
                      <a:ext uri="{53640926-AAD7-44D8-BBD7-CCE9431645EC}">
                        <a14:shadowObscured xmlns:a14="http://schemas.microsoft.com/office/drawing/2010/main"/>
                      </a:ext>
                    </a:extLst>
                  </pic:spPr>
                </pic:pic>
              </a:graphicData>
            </a:graphic>
          </wp:inline>
        </w:drawing>
      </w:r>
    </w:p>
    <w:p w14:paraId="276F041D" w14:textId="77777777" w:rsidR="003A0C03" w:rsidRPr="009C0D07" w:rsidRDefault="003A0C03" w:rsidP="003A0C03">
      <w:pPr>
        <w:spacing w:line="360" w:lineRule="auto"/>
        <w:ind w:left="567"/>
        <w:jc w:val="both"/>
        <w:rPr>
          <w:rFonts w:ascii="Palatino Linotype" w:hAnsi="Palatino Linotype"/>
        </w:rPr>
      </w:pPr>
    </w:p>
    <w:p w14:paraId="4BF651BC" w14:textId="3FB3E97E" w:rsidR="00EE2679" w:rsidRPr="009C0D07" w:rsidRDefault="00EE2679" w:rsidP="003A0C03">
      <w:pPr>
        <w:pStyle w:val="Prrafodelista"/>
        <w:numPr>
          <w:ilvl w:val="0"/>
          <w:numId w:val="1"/>
        </w:numPr>
        <w:spacing w:line="360" w:lineRule="auto"/>
        <w:ind w:left="0" w:firstLine="0"/>
        <w:jc w:val="both"/>
        <w:rPr>
          <w:rFonts w:ascii="Palatino Linotype" w:hAnsi="Palatino Linotype" w:cs="Arial"/>
          <w:lang w:eastAsia="es-MX"/>
        </w:rPr>
      </w:pPr>
      <w:r w:rsidRPr="009C0D07">
        <w:rPr>
          <w:rFonts w:ascii="Palatino Linotype" w:hAnsi="Palatino Linotype" w:cs="Arial"/>
          <w:lang w:eastAsia="es-MX"/>
        </w:rPr>
        <w:t xml:space="preserve">Entonces, al tratarse de procedimientos adquisitivos, es importante dejar claro que la Ley de Contratación Pública del Estado de México y Municipios, tiene </w:t>
      </w:r>
      <w:r w:rsidRPr="009C0D07">
        <w:rPr>
          <w:rFonts w:ascii="Palatino Linotype" w:hAnsi="Palatino Linotype" w:cs="Arial"/>
          <w:lang w:eastAsia="es-MX"/>
        </w:rPr>
        <w:lastRenderedPageBreak/>
        <w:t xml:space="preserve">por objeto regular los actos relativos a la planeación, programación, </w:t>
      </w:r>
      <w:proofErr w:type="spellStart"/>
      <w:r w:rsidRPr="009C0D07">
        <w:rPr>
          <w:rFonts w:ascii="Palatino Linotype" w:hAnsi="Palatino Linotype" w:cs="Arial"/>
          <w:lang w:eastAsia="es-MX"/>
        </w:rPr>
        <w:t>presupuestación</w:t>
      </w:r>
      <w:proofErr w:type="spellEnd"/>
      <w:r w:rsidRPr="009C0D07">
        <w:rPr>
          <w:rFonts w:ascii="Palatino Linotype" w:hAnsi="Palatino Linotype" w:cs="Arial"/>
          <w:lang w:eastAsia="es-MX"/>
        </w:rPr>
        <w:t>, ejecución y control de la adquisición, enajenación y arrendamiento de bienes, y la contratación de servicios de cualquier naturaleza, que realicen los Ayuntamiento</w:t>
      </w:r>
      <w:r w:rsidR="003A0C03" w:rsidRPr="009C0D07">
        <w:rPr>
          <w:rFonts w:ascii="Palatino Linotype" w:hAnsi="Palatino Linotype" w:cs="Arial"/>
          <w:lang w:eastAsia="es-MX"/>
        </w:rPr>
        <w:t>s de los Municipios del Estado.</w:t>
      </w:r>
    </w:p>
    <w:p w14:paraId="4EF96E1C" w14:textId="77777777" w:rsidR="003A0C03" w:rsidRPr="009C0D07" w:rsidRDefault="003A0C03" w:rsidP="003A0C03">
      <w:pPr>
        <w:pStyle w:val="Prrafodelista"/>
        <w:spacing w:line="360" w:lineRule="auto"/>
        <w:ind w:left="0"/>
        <w:jc w:val="both"/>
        <w:rPr>
          <w:rFonts w:ascii="Palatino Linotype" w:hAnsi="Palatino Linotype" w:cs="Arial"/>
          <w:lang w:eastAsia="es-MX"/>
        </w:rPr>
      </w:pPr>
    </w:p>
    <w:p w14:paraId="43AA74EF" w14:textId="74359FA0" w:rsidR="00EE2679" w:rsidRPr="009C0D07" w:rsidRDefault="00EE2679" w:rsidP="00EE2679">
      <w:pPr>
        <w:pStyle w:val="Prrafodelista"/>
        <w:numPr>
          <w:ilvl w:val="0"/>
          <w:numId w:val="1"/>
        </w:numPr>
        <w:spacing w:line="360" w:lineRule="auto"/>
        <w:ind w:left="0" w:firstLine="0"/>
        <w:jc w:val="both"/>
        <w:rPr>
          <w:rFonts w:ascii="Palatino Linotype" w:hAnsi="Palatino Linotype" w:cs="Arial"/>
          <w:lang w:eastAsia="es-MX"/>
        </w:rPr>
      </w:pPr>
      <w:r w:rsidRPr="009C0D07">
        <w:rPr>
          <w:rFonts w:ascii="Palatino Linotype" w:hAnsi="Palatino Linotype" w:cs="Arial"/>
          <w:lang w:eastAsia="es-MX"/>
        </w:rPr>
        <w:t>Así las cosas, tenemos que para la substanciación de los procedimientos de adquisiciones y servicios se integran comités los cuales son Órganos colegiados que tienen facultades de opinión, esto con la finalidad de auxiliar en este caso a los Ayuntamientos, para tomar una decisión, apegada al interés y beneficio público y social. Entre las funciones de los Comités de Adquisiciones y de Servicio</w:t>
      </w:r>
      <w:r w:rsidR="003A0C03" w:rsidRPr="009C0D07">
        <w:rPr>
          <w:rFonts w:ascii="Palatino Linotype" w:hAnsi="Palatino Linotype" w:cs="Arial"/>
          <w:lang w:eastAsia="es-MX"/>
        </w:rPr>
        <w:t>s se encuentran las siguientes:</w:t>
      </w:r>
    </w:p>
    <w:p w14:paraId="0C64058D" w14:textId="77777777" w:rsidR="003A0C03" w:rsidRPr="009C0D07" w:rsidRDefault="003A0C03" w:rsidP="003A0C03">
      <w:pPr>
        <w:pStyle w:val="Prrafodelista"/>
        <w:spacing w:line="360" w:lineRule="auto"/>
        <w:ind w:left="0"/>
        <w:jc w:val="both"/>
        <w:rPr>
          <w:rFonts w:ascii="Palatino Linotype" w:hAnsi="Palatino Linotype" w:cs="Arial"/>
          <w:lang w:eastAsia="es-MX"/>
        </w:rPr>
      </w:pPr>
    </w:p>
    <w:p w14:paraId="7D54D448" w14:textId="77777777" w:rsidR="00EE2679" w:rsidRPr="009C0D07" w:rsidRDefault="00EE2679" w:rsidP="003A0C03">
      <w:pPr>
        <w:spacing w:line="360" w:lineRule="auto"/>
        <w:ind w:left="567" w:right="567"/>
        <w:jc w:val="both"/>
        <w:rPr>
          <w:rFonts w:ascii="Palatino Linotype" w:hAnsi="Palatino Linotype" w:cs="Arial"/>
          <w:lang w:eastAsia="es-MX"/>
        </w:rPr>
      </w:pPr>
      <w:r w:rsidRPr="009C0D07">
        <w:rPr>
          <w:rFonts w:ascii="Palatino Linotype" w:hAnsi="Palatino Linotype" w:cs="Arial"/>
          <w:lang w:eastAsia="es-MX"/>
        </w:rPr>
        <w:t xml:space="preserve">-Dictaminar sobre la procedencia de los casos de excepción al procedimiento de licitación pública. </w:t>
      </w:r>
    </w:p>
    <w:p w14:paraId="3A60B7BB" w14:textId="77777777" w:rsidR="00EE2679" w:rsidRPr="009C0D07" w:rsidRDefault="00EE2679" w:rsidP="003A0C03">
      <w:pPr>
        <w:spacing w:line="360" w:lineRule="auto"/>
        <w:ind w:left="567" w:right="567"/>
        <w:jc w:val="both"/>
        <w:rPr>
          <w:rFonts w:ascii="Palatino Linotype" w:hAnsi="Palatino Linotype" w:cs="Arial"/>
          <w:lang w:eastAsia="es-MX"/>
        </w:rPr>
      </w:pPr>
      <w:r w:rsidRPr="009C0D07">
        <w:rPr>
          <w:rFonts w:ascii="Palatino Linotype" w:hAnsi="Palatino Linotype" w:cs="Arial"/>
          <w:lang w:eastAsia="es-MX"/>
        </w:rPr>
        <w:t xml:space="preserve">-Participar en los procedimientos de licitación, invitación restringida y adjudicación directa, hasta dejarlos en estado de dictar el fallo correspondiente, incluidos los que tengan que desahogarse bajo la modalidad de subasta inversa. </w:t>
      </w:r>
    </w:p>
    <w:p w14:paraId="2B75583A" w14:textId="77777777" w:rsidR="00EE2679" w:rsidRPr="009C0D07" w:rsidRDefault="00EE2679" w:rsidP="003A0C03">
      <w:pPr>
        <w:spacing w:line="360" w:lineRule="auto"/>
        <w:ind w:left="567" w:right="567"/>
        <w:jc w:val="both"/>
        <w:rPr>
          <w:rFonts w:ascii="Palatino Linotype" w:hAnsi="Palatino Linotype" w:cs="Arial"/>
          <w:lang w:eastAsia="es-MX"/>
        </w:rPr>
      </w:pPr>
      <w:r w:rsidRPr="009C0D07">
        <w:rPr>
          <w:rFonts w:ascii="Palatino Linotype" w:hAnsi="Palatino Linotype" w:cs="Arial"/>
          <w:lang w:eastAsia="es-MX"/>
        </w:rPr>
        <w:t xml:space="preserve">-Emitir los dictámenes de adjudicación. </w:t>
      </w:r>
    </w:p>
    <w:p w14:paraId="4FC673FF" w14:textId="77777777" w:rsidR="00EE2679" w:rsidRPr="009C0D07" w:rsidRDefault="00EE2679" w:rsidP="003A0C03">
      <w:pPr>
        <w:pStyle w:val="Sinespaciado"/>
        <w:ind w:left="567" w:right="567"/>
        <w:rPr>
          <w:lang w:eastAsia="es-MX"/>
        </w:rPr>
      </w:pPr>
      <w:r w:rsidRPr="009C0D07">
        <w:rPr>
          <w:lang w:eastAsia="es-MX"/>
        </w:rPr>
        <w:t xml:space="preserve">  </w:t>
      </w:r>
    </w:p>
    <w:p w14:paraId="6BAFF81D" w14:textId="77777777" w:rsidR="003A0C03" w:rsidRPr="009C0D07" w:rsidRDefault="003A0C03" w:rsidP="003A0C03">
      <w:pPr>
        <w:pStyle w:val="Sinespaciado"/>
        <w:ind w:right="567"/>
        <w:rPr>
          <w:lang w:eastAsia="es-MX"/>
        </w:rPr>
      </w:pPr>
    </w:p>
    <w:p w14:paraId="0B5CF00E" w14:textId="77777777" w:rsidR="00EE2679" w:rsidRPr="009C0D07" w:rsidRDefault="00EE2679" w:rsidP="003A0C03">
      <w:pPr>
        <w:pStyle w:val="Prrafodelista"/>
        <w:numPr>
          <w:ilvl w:val="0"/>
          <w:numId w:val="1"/>
        </w:numPr>
        <w:spacing w:line="360" w:lineRule="auto"/>
        <w:ind w:left="0" w:firstLine="0"/>
        <w:jc w:val="both"/>
        <w:rPr>
          <w:rFonts w:ascii="Palatino Linotype" w:hAnsi="Palatino Linotype" w:cs="Arial"/>
          <w:lang w:eastAsia="es-MX"/>
        </w:rPr>
      </w:pPr>
      <w:r w:rsidRPr="009C0D07">
        <w:rPr>
          <w:rFonts w:ascii="Palatino Linotype" w:hAnsi="Palatino Linotype" w:cs="Arial"/>
          <w:lang w:eastAsia="es-MX"/>
        </w:rPr>
        <w:t xml:space="preserve">Por otro lado, tenemos que, por cada acto administrativo de esta naturaleza, se tendrá que dejar constancia de los actos, a efecto de que se le dé formalidad y </w:t>
      </w:r>
      <w:r w:rsidRPr="009C0D07">
        <w:rPr>
          <w:rFonts w:ascii="Palatino Linotype" w:hAnsi="Palatino Linotype" w:cs="Arial"/>
          <w:lang w:eastAsia="es-MX"/>
        </w:rPr>
        <w:lastRenderedPageBreak/>
        <w:t>sustento, todo ello conforme a derecho, como nos dice el artículo 39 de la Ley de Contratación que se señala a continuación:</w:t>
      </w:r>
    </w:p>
    <w:p w14:paraId="7167F911" w14:textId="77777777" w:rsidR="003A0C03" w:rsidRPr="009C0D07" w:rsidRDefault="003A0C03" w:rsidP="003A0C03">
      <w:pPr>
        <w:pStyle w:val="Prrafodelista"/>
        <w:spacing w:line="360" w:lineRule="auto"/>
        <w:ind w:left="0"/>
        <w:jc w:val="both"/>
        <w:rPr>
          <w:rFonts w:ascii="Palatino Linotype" w:hAnsi="Palatino Linotype" w:cs="Arial"/>
          <w:lang w:eastAsia="es-MX"/>
        </w:rPr>
      </w:pPr>
    </w:p>
    <w:p w14:paraId="07720A94" w14:textId="77777777" w:rsidR="00EE2679" w:rsidRPr="009C0D07" w:rsidRDefault="00EE2679" w:rsidP="003A0C03">
      <w:pPr>
        <w:spacing w:line="360" w:lineRule="auto"/>
        <w:ind w:left="709" w:right="814"/>
        <w:jc w:val="both"/>
        <w:rPr>
          <w:rFonts w:ascii="Palatino Linotype" w:hAnsi="Palatino Linotype" w:cs="Arial"/>
          <w:i/>
          <w:lang w:eastAsia="es-MX"/>
        </w:rPr>
      </w:pPr>
      <w:r w:rsidRPr="009C0D07">
        <w:rPr>
          <w:rFonts w:ascii="Palatino Linotype" w:hAnsi="Palatino Linotype" w:cs="Arial"/>
          <w:i/>
          <w:lang w:eastAsia="es-MX"/>
        </w:rPr>
        <w:t>“</w:t>
      </w:r>
      <w:r w:rsidRPr="009C0D07">
        <w:rPr>
          <w:rFonts w:ascii="Palatino Linotype" w:hAnsi="Palatino Linotype" w:cs="Arial"/>
          <w:b/>
          <w:i/>
          <w:lang w:eastAsia="es-MX"/>
        </w:rPr>
        <w:t>Artículo 39</w:t>
      </w:r>
      <w:r w:rsidRPr="009C0D07">
        <w:rPr>
          <w:rFonts w:ascii="Palatino Linotype" w:hAnsi="Palatino Linotype" w:cs="Arial"/>
          <w:i/>
          <w:lang w:eastAsia="es-MX"/>
        </w:rPr>
        <w:t xml:space="preserve">.- Para cada uno de los actos del procedimiento adquisitivo se levantará el acta respectiva, la cual será firmada por los participantes, sin que la falta de firma de alguno de ellos invalide su contenido y efectos.” </w:t>
      </w:r>
    </w:p>
    <w:p w14:paraId="3D0C79CD" w14:textId="77777777" w:rsidR="00EE2679" w:rsidRPr="009C0D07" w:rsidRDefault="00EE2679" w:rsidP="003A0C03">
      <w:pPr>
        <w:pStyle w:val="Sinespaciado"/>
        <w:spacing w:line="360" w:lineRule="auto"/>
        <w:rPr>
          <w:lang w:eastAsia="es-MX"/>
        </w:rPr>
      </w:pPr>
    </w:p>
    <w:p w14:paraId="22A9837E" w14:textId="2D60D2AA" w:rsidR="00EE2679" w:rsidRPr="009C0D07" w:rsidRDefault="00EE2679" w:rsidP="003A0C03">
      <w:pPr>
        <w:pStyle w:val="Prrafodelista"/>
        <w:numPr>
          <w:ilvl w:val="0"/>
          <w:numId w:val="1"/>
        </w:numPr>
        <w:spacing w:line="360" w:lineRule="auto"/>
        <w:ind w:left="0" w:firstLine="0"/>
        <w:jc w:val="both"/>
        <w:rPr>
          <w:rFonts w:ascii="Palatino Linotype" w:hAnsi="Palatino Linotype" w:cs="Arial"/>
          <w:lang w:eastAsia="es-MX"/>
        </w:rPr>
      </w:pPr>
      <w:r w:rsidRPr="009C0D07">
        <w:rPr>
          <w:rFonts w:ascii="Palatino Linotype" w:hAnsi="Palatino Linotype" w:cs="Arial"/>
          <w:lang w:eastAsia="es-MX"/>
        </w:rPr>
        <w:t xml:space="preserve">Por ello se advierte que </w:t>
      </w:r>
      <w:r w:rsidRPr="009C0D07">
        <w:rPr>
          <w:rFonts w:ascii="Palatino Linotype" w:hAnsi="Palatino Linotype" w:cs="Arial"/>
          <w:b/>
          <w:lang w:eastAsia="es-MX"/>
        </w:rPr>
        <w:t>EL SUJETO OBLIGADO</w:t>
      </w:r>
      <w:r w:rsidRPr="009C0D07">
        <w:rPr>
          <w:rFonts w:ascii="Palatino Linotype" w:hAnsi="Palatino Linotype" w:cs="Arial"/>
          <w:lang w:eastAsia="es-MX"/>
        </w:rPr>
        <w:t>, necesariamente debe contar con las actas y expedientes respectivos de las adquisiciones, que deben obrar en sus archivos y también en su sistema electrónico IPOMEX.</w:t>
      </w:r>
    </w:p>
    <w:p w14:paraId="3ED97FFA" w14:textId="77777777" w:rsidR="003A0C03" w:rsidRPr="009C0D07" w:rsidRDefault="003A0C03" w:rsidP="003A0C03">
      <w:pPr>
        <w:pStyle w:val="Prrafodelista"/>
        <w:spacing w:line="360" w:lineRule="auto"/>
        <w:ind w:left="0"/>
        <w:jc w:val="both"/>
        <w:rPr>
          <w:rFonts w:ascii="Palatino Linotype" w:hAnsi="Palatino Linotype" w:cs="Arial"/>
          <w:lang w:eastAsia="es-MX"/>
        </w:rPr>
      </w:pPr>
    </w:p>
    <w:p w14:paraId="427EC243" w14:textId="77777777" w:rsidR="00EE2679" w:rsidRPr="009C0D07" w:rsidRDefault="00EE2679" w:rsidP="00EE2679">
      <w:pPr>
        <w:pStyle w:val="Prrafodelista"/>
        <w:numPr>
          <w:ilvl w:val="0"/>
          <w:numId w:val="1"/>
        </w:numPr>
        <w:spacing w:line="360" w:lineRule="auto"/>
        <w:ind w:left="0" w:firstLine="0"/>
        <w:jc w:val="both"/>
        <w:rPr>
          <w:rFonts w:ascii="Palatino Linotype" w:hAnsi="Palatino Linotype" w:cs="Arial"/>
          <w:lang w:eastAsia="es-MX"/>
        </w:rPr>
      </w:pPr>
      <w:r w:rsidRPr="009C0D07">
        <w:rPr>
          <w:rFonts w:ascii="Palatino Linotype" w:hAnsi="Palatino Linotype" w:cs="Arial"/>
          <w:lang w:eastAsia="es-MX"/>
        </w:rPr>
        <w:t>De lo antes precisado, claramente se puede advertir que la unidad administrativa encargada de contar con la información relativa a adquisiciones, arrendamientos o servicios es la Dirección General de Administración, la cual tiene dentro de sus facultades y obligaciones la conocer de la planeación, organización, programación y ejecución de los procedimientos de adquisiciones y servicios en sus diferentes modalidades y etapas (adjudicación directa, invitación restringida y licitación pública) tanto de bienes, arrendamientos o prestaciones de servicios, respectivamente.</w:t>
      </w:r>
    </w:p>
    <w:p w14:paraId="1D9BF12F" w14:textId="77777777" w:rsidR="003A0C03" w:rsidRPr="009C0D07" w:rsidRDefault="003A0C03" w:rsidP="003A0C03">
      <w:pPr>
        <w:pStyle w:val="Prrafodelista"/>
        <w:rPr>
          <w:rFonts w:ascii="Palatino Linotype" w:hAnsi="Palatino Linotype" w:cs="Arial"/>
          <w:lang w:eastAsia="es-MX"/>
        </w:rPr>
      </w:pPr>
    </w:p>
    <w:p w14:paraId="62220F31" w14:textId="77777777" w:rsidR="00EE2679" w:rsidRPr="009C0D07" w:rsidRDefault="00EE2679" w:rsidP="00EE2679">
      <w:pPr>
        <w:pStyle w:val="Prrafodelista"/>
        <w:numPr>
          <w:ilvl w:val="0"/>
          <w:numId w:val="1"/>
        </w:numPr>
        <w:spacing w:line="360" w:lineRule="auto"/>
        <w:ind w:left="0" w:firstLine="0"/>
        <w:jc w:val="both"/>
        <w:rPr>
          <w:rFonts w:ascii="Palatino Linotype" w:hAnsi="Palatino Linotype" w:cs="Arial"/>
          <w:lang w:eastAsia="es-MX"/>
        </w:rPr>
      </w:pPr>
      <w:r w:rsidRPr="009C0D07">
        <w:rPr>
          <w:rFonts w:ascii="Palatino Linotype" w:hAnsi="Palatino Linotype" w:cs="Arial"/>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sus fracciones XXIX y XXXII, que a la letra dice:</w:t>
      </w:r>
    </w:p>
    <w:p w14:paraId="4FADA5D7" w14:textId="77777777" w:rsidR="00EE2679" w:rsidRPr="009C0D07" w:rsidRDefault="00EE2679" w:rsidP="00EE2679">
      <w:pPr>
        <w:spacing w:line="360" w:lineRule="auto"/>
        <w:jc w:val="both"/>
        <w:rPr>
          <w:rFonts w:ascii="Palatino Linotype" w:hAnsi="Palatino Linotype" w:cs="Arial"/>
          <w:lang w:eastAsia="es-MX"/>
        </w:rPr>
      </w:pPr>
    </w:p>
    <w:p w14:paraId="53BFF72E"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w:t>
      </w:r>
      <w:r w:rsidRPr="009C0D07">
        <w:rPr>
          <w:rFonts w:ascii="Palatino Linotype" w:hAnsi="Palatino Linotype" w:cs="Arial"/>
          <w:b/>
          <w:i/>
          <w:sz w:val="22"/>
          <w:szCs w:val="22"/>
          <w:lang w:eastAsia="es-MX"/>
        </w:rPr>
        <w:t>Artículo 92</w:t>
      </w:r>
      <w:r w:rsidRPr="009C0D07">
        <w:rPr>
          <w:rFonts w:ascii="Palatino Linotype" w:hAnsi="Palatino Linotype" w:cs="Arial"/>
          <w:i/>
          <w:sz w:val="22"/>
          <w:szCs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67A83E5"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w:t>
      </w:r>
    </w:p>
    <w:p w14:paraId="2522960D"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b/>
          <w:i/>
          <w:sz w:val="22"/>
          <w:szCs w:val="22"/>
          <w:lang w:eastAsia="es-MX"/>
        </w:rPr>
        <w:t>XXIX.</w:t>
      </w:r>
      <w:r w:rsidRPr="009C0D07">
        <w:rPr>
          <w:rFonts w:ascii="Palatino Linotype" w:hAnsi="Palatino Linotype" w:cs="Arial"/>
          <w:i/>
          <w:sz w:val="22"/>
          <w:szCs w:val="22"/>
          <w:lang w:eastAsia="es-MX"/>
        </w:rPr>
        <w:t xml:space="preserve"> La información sobre los procesos y resultados sobre procedimientos de adjudicación directa, invitación restringida y licitación de cualquier naturaleza, incluyendo la versión pública del </w:t>
      </w:r>
      <w:r w:rsidRPr="009C0D07">
        <w:rPr>
          <w:rFonts w:ascii="Palatino Linotype" w:hAnsi="Palatino Linotype" w:cs="Arial"/>
          <w:b/>
          <w:i/>
          <w:sz w:val="22"/>
          <w:szCs w:val="22"/>
          <w:lang w:eastAsia="es-MX"/>
        </w:rPr>
        <w:t>expediente respectivo y de los contratos celebrados</w:t>
      </w:r>
      <w:r w:rsidRPr="009C0D07">
        <w:rPr>
          <w:rFonts w:ascii="Palatino Linotype" w:hAnsi="Palatino Linotype" w:cs="Arial"/>
          <w:i/>
          <w:sz w:val="22"/>
          <w:szCs w:val="22"/>
          <w:lang w:eastAsia="es-MX"/>
        </w:rPr>
        <w:t xml:space="preserve">, que deberán contener, por los menos, lo siguiente: </w:t>
      </w:r>
    </w:p>
    <w:p w14:paraId="3AE32A7E" w14:textId="77777777" w:rsidR="00EE2679" w:rsidRPr="009C0D07" w:rsidRDefault="00EE2679" w:rsidP="003A0C03">
      <w:pPr>
        <w:pStyle w:val="Prrafodelista"/>
        <w:numPr>
          <w:ilvl w:val="0"/>
          <w:numId w:val="28"/>
        </w:numPr>
        <w:spacing w:line="360" w:lineRule="auto"/>
        <w:ind w:left="567" w:right="567"/>
        <w:contextualSpacing w:val="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De licitaciones públicas o procedimientos de invitación restringida: </w:t>
      </w:r>
    </w:p>
    <w:p w14:paraId="37E1FF56" w14:textId="77777777" w:rsidR="00EE2679" w:rsidRPr="009C0D07" w:rsidRDefault="00EE2679" w:rsidP="003A0C03">
      <w:pPr>
        <w:pStyle w:val="Prrafodelista"/>
        <w:spacing w:line="360" w:lineRule="auto"/>
        <w:ind w:left="567" w:right="567"/>
        <w:jc w:val="both"/>
        <w:rPr>
          <w:rFonts w:ascii="Palatino Linotype" w:hAnsi="Palatino Linotype" w:cs="Arial"/>
          <w:i/>
          <w:sz w:val="22"/>
          <w:szCs w:val="22"/>
          <w:lang w:eastAsia="es-MX"/>
        </w:rPr>
      </w:pPr>
    </w:p>
    <w:p w14:paraId="740D5EBB"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1) La convocatoria o invitación emitida, así como los fundamentos legales aplicados para llevarla a cabo; </w:t>
      </w:r>
    </w:p>
    <w:p w14:paraId="3FF819A1" w14:textId="77777777" w:rsidR="00EE2679" w:rsidRPr="009C0D07" w:rsidRDefault="00EE2679" w:rsidP="003A0C03">
      <w:pPr>
        <w:spacing w:line="360" w:lineRule="auto"/>
        <w:ind w:left="567" w:right="567" w:firstLine="70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2) Los nombres de los participantes o invitados; </w:t>
      </w:r>
    </w:p>
    <w:p w14:paraId="2BFC0C55" w14:textId="77777777" w:rsidR="00EE2679" w:rsidRPr="009C0D07" w:rsidRDefault="00EE2679" w:rsidP="003A0C03">
      <w:pPr>
        <w:spacing w:line="360" w:lineRule="auto"/>
        <w:ind w:left="567" w:right="567" w:firstLine="70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3) El nombre del ganador y las razones que lo justifican; </w:t>
      </w:r>
    </w:p>
    <w:p w14:paraId="7F71E05B" w14:textId="77777777" w:rsidR="00EE2679" w:rsidRPr="009C0D07" w:rsidRDefault="00EE2679" w:rsidP="003A0C03">
      <w:pPr>
        <w:spacing w:line="360" w:lineRule="auto"/>
        <w:ind w:left="567" w:right="567" w:firstLine="70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4) El área solicitante y la responsable de su ejecución; </w:t>
      </w:r>
    </w:p>
    <w:p w14:paraId="4EB90E33" w14:textId="77777777" w:rsidR="00EE2679" w:rsidRPr="009C0D07" w:rsidRDefault="00EE2679" w:rsidP="003A0C03">
      <w:pPr>
        <w:spacing w:line="360" w:lineRule="auto"/>
        <w:ind w:left="567" w:right="567" w:firstLine="708"/>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5) Las convocatorias e invitaciones emitidas; </w:t>
      </w:r>
    </w:p>
    <w:p w14:paraId="2C62A035" w14:textId="77777777" w:rsidR="00EE2679" w:rsidRPr="009C0D07" w:rsidRDefault="00EE2679" w:rsidP="003A0C03">
      <w:pPr>
        <w:spacing w:line="360" w:lineRule="auto"/>
        <w:ind w:left="567" w:right="567" w:firstLine="70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6) Los dictámenes y fallo de adjudicación; </w:t>
      </w:r>
    </w:p>
    <w:p w14:paraId="5EA8D763" w14:textId="77777777" w:rsidR="00EE2679" w:rsidRPr="009C0D07" w:rsidRDefault="00EE2679" w:rsidP="003A0C03">
      <w:pPr>
        <w:spacing w:line="360" w:lineRule="auto"/>
        <w:ind w:left="567" w:right="567" w:firstLine="70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7) El contrato y, en su caso, sus anexos; </w:t>
      </w:r>
    </w:p>
    <w:p w14:paraId="0E5BCB68"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8) Los mecanismos de vigilancia y supervisión, incluyendo en su caso, los estudios de impacto urbano y ambiental, según corresponda; </w:t>
      </w:r>
    </w:p>
    <w:p w14:paraId="72971178"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9) La partida presupuestal, de conformidad con el clasificador por objeto del gasto, en el caso de ser aplicable; </w:t>
      </w:r>
    </w:p>
    <w:p w14:paraId="28862DBE"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lastRenderedPageBreak/>
        <w:t xml:space="preserve">10) Origen de los recursos especificando si son federales, estatales o municipales, así como el tipo de fondo de participación o aportación respectiva; </w:t>
      </w:r>
    </w:p>
    <w:p w14:paraId="3E95A352"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11) Los convenios modificatorios que, en su caso, sean firmados, precisando el objeto y la fecha de celebración; </w:t>
      </w:r>
    </w:p>
    <w:p w14:paraId="0DA75DB4"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12) Los informes de avance físico y financiero sobre las obras o servicios contratados; </w:t>
      </w:r>
    </w:p>
    <w:p w14:paraId="68C27EDB" w14:textId="77777777" w:rsidR="00EE2679" w:rsidRPr="009C0D07" w:rsidRDefault="00EE2679" w:rsidP="003A0C03">
      <w:pPr>
        <w:spacing w:line="360" w:lineRule="auto"/>
        <w:ind w:left="567" w:right="567" w:firstLine="70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13) El convenio de terminación; y </w:t>
      </w:r>
    </w:p>
    <w:p w14:paraId="088987CE" w14:textId="77777777" w:rsidR="00EE2679" w:rsidRPr="009C0D07" w:rsidRDefault="00EE2679" w:rsidP="003A0C03">
      <w:pPr>
        <w:spacing w:line="360" w:lineRule="auto"/>
        <w:ind w:left="567" w:right="567" w:firstLine="70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14) El finiquito. </w:t>
      </w:r>
    </w:p>
    <w:p w14:paraId="1F2BA10F" w14:textId="77777777" w:rsidR="00EE2679" w:rsidRPr="009C0D07" w:rsidRDefault="00EE2679" w:rsidP="003A0C03">
      <w:pPr>
        <w:pStyle w:val="Prrafodelista"/>
        <w:numPr>
          <w:ilvl w:val="0"/>
          <w:numId w:val="28"/>
        </w:numPr>
        <w:spacing w:line="360" w:lineRule="auto"/>
        <w:ind w:left="567" w:right="567"/>
        <w:contextualSpacing w:val="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De las adjudicaciones directas: </w:t>
      </w:r>
    </w:p>
    <w:p w14:paraId="67CE9144" w14:textId="77777777" w:rsidR="00EE2679" w:rsidRPr="009C0D07" w:rsidRDefault="00EE2679" w:rsidP="003A0C03">
      <w:pPr>
        <w:pStyle w:val="Prrafodelista"/>
        <w:spacing w:line="360" w:lineRule="auto"/>
        <w:ind w:left="567" w:right="567"/>
        <w:jc w:val="both"/>
        <w:rPr>
          <w:rFonts w:ascii="Palatino Linotype" w:hAnsi="Palatino Linotype" w:cs="Arial"/>
          <w:i/>
          <w:sz w:val="22"/>
          <w:szCs w:val="22"/>
          <w:lang w:eastAsia="es-MX"/>
        </w:rPr>
      </w:pPr>
    </w:p>
    <w:p w14:paraId="7AA7CF37" w14:textId="77777777" w:rsidR="00EE2679" w:rsidRPr="009C0D07" w:rsidRDefault="00EE2679" w:rsidP="003A0C03">
      <w:pPr>
        <w:spacing w:line="360" w:lineRule="auto"/>
        <w:ind w:left="567" w:right="567" w:firstLine="36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1) La propuesta enviada por el participante; </w:t>
      </w:r>
    </w:p>
    <w:p w14:paraId="12C5784E" w14:textId="77777777" w:rsidR="00EE2679" w:rsidRPr="009C0D07" w:rsidRDefault="00EE2679" w:rsidP="003A0C03">
      <w:pPr>
        <w:spacing w:line="360" w:lineRule="auto"/>
        <w:ind w:left="567" w:right="567" w:firstLine="36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2) Los motivos y fundamentos legales aplicados para llevarla a cabo; </w:t>
      </w:r>
    </w:p>
    <w:p w14:paraId="3CA4FD9C" w14:textId="77777777" w:rsidR="00EE2679" w:rsidRPr="009C0D07" w:rsidRDefault="00EE2679" w:rsidP="003A0C03">
      <w:pPr>
        <w:spacing w:line="360" w:lineRule="auto"/>
        <w:ind w:left="567" w:right="567" w:firstLine="36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3) La autorización del ejercicio de la opción; </w:t>
      </w:r>
    </w:p>
    <w:p w14:paraId="20A22922"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4) En su caso, las cotizaciones consideradas, especificando los nombres de los proveedores y sus montos; </w:t>
      </w:r>
    </w:p>
    <w:p w14:paraId="0810C091" w14:textId="77777777" w:rsidR="00EE2679" w:rsidRPr="009C0D07" w:rsidRDefault="00EE2679" w:rsidP="003A0C03">
      <w:pPr>
        <w:spacing w:line="360" w:lineRule="auto"/>
        <w:ind w:left="567" w:right="567" w:firstLine="36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5) El nombre de la persona física o jurídica colectiva adjudicada; </w:t>
      </w:r>
    </w:p>
    <w:p w14:paraId="05B82B88" w14:textId="77777777" w:rsidR="00EE2679" w:rsidRPr="009C0D07" w:rsidRDefault="00EE2679" w:rsidP="003A0C03">
      <w:pPr>
        <w:spacing w:line="360" w:lineRule="auto"/>
        <w:ind w:left="567" w:right="567" w:firstLine="36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6) La unidad administrativa solicitante y la responsable de su ejecución; </w:t>
      </w:r>
    </w:p>
    <w:p w14:paraId="056AC45F"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7) El número, fecha, el monto del contrato y el plazo de entrega o de ejecución de los servicios u obra; </w:t>
      </w:r>
    </w:p>
    <w:p w14:paraId="6BFC1A52" w14:textId="77777777" w:rsidR="00EE2679" w:rsidRPr="009C0D07" w:rsidRDefault="00EE2679" w:rsidP="003A0C03">
      <w:pPr>
        <w:spacing w:line="360" w:lineRule="auto"/>
        <w:ind w:left="567" w:right="567"/>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8) Los mecanismos de vigilancia y supervisión, incluyendo, en su caso, los estudios de impacto urbano y ambiental, según corresponda; </w:t>
      </w:r>
    </w:p>
    <w:p w14:paraId="418AA344" w14:textId="77777777" w:rsidR="00EE2679" w:rsidRPr="009C0D07" w:rsidRDefault="00EE2679" w:rsidP="003A0C03">
      <w:pPr>
        <w:spacing w:line="360" w:lineRule="auto"/>
        <w:ind w:left="567" w:right="567" w:firstLine="36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9) Los informes de avance sobre las obras o servicios contratados; </w:t>
      </w:r>
    </w:p>
    <w:p w14:paraId="7EA63BB2" w14:textId="77777777" w:rsidR="00EE2679" w:rsidRPr="009C0D07" w:rsidRDefault="00EE2679" w:rsidP="003A0C03">
      <w:pPr>
        <w:spacing w:line="360" w:lineRule="auto"/>
        <w:ind w:left="567" w:right="567" w:firstLine="36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 xml:space="preserve">10) El convenio de terminación; y </w:t>
      </w:r>
    </w:p>
    <w:p w14:paraId="4A4D0D41" w14:textId="77777777" w:rsidR="00EE2679" w:rsidRPr="009C0D07" w:rsidRDefault="00EE2679" w:rsidP="003A0C03">
      <w:pPr>
        <w:spacing w:line="360" w:lineRule="auto"/>
        <w:ind w:left="567" w:right="567" w:firstLine="36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11) El finiquito.</w:t>
      </w:r>
    </w:p>
    <w:p w14:paraId="09025E8B" w14:textId="77777777" w:rsidR="00EE2679" w:rsidRPr="009C0D07" w:rsidRDefault="00EE2679" w:rsidP="003A0C03">
      <w:pPr>
        <w:spacing w:line="360" w:lineRule="auto"/>
        <w:ind w:left="567" w:right="567" w:firstLine="360"/>
        <w:jc w:val="both"/>
        <w:rPr>
          <w:rFonts w:ascii="Palatino Linotype" w:hAnsi="Palatino Linotype" w:cs="Arial"/>
          <w:i/>
          <w:sz w:val="22"/>
          <w:szCs w:val="22"/>
          <w:lang w:eastAsia="es-MX"/>
        </w:rPr>
      </w:pPr>
      <w:r w:rsidRPr="009C0D07">
        <w:rPr>
          <w:rFonts w:ascii="Palatino Linotype" w:hAnsi="Palatino Linotype" w:cs="Arial"/>
          <w:i/>
          <w:sz w:val="22"/>
          <w:szCs w:val="22"/>
          <w:lang w:eastAsia="es-MX"/>
        </w:rPr>
        <w:t>(…)”</w:t>
      </w:r>
    </w:p>
    <w:p w14:paraId="3AF1AB80" w14:textId="77777777" w:rsidR="00EE2679" w:rsidRPr="009C0D07" w:rsidRDefault="00EE2679" w:rsidP="003A0C03">
      <w:pPr>
        <w:spacing w:line="360" w:lineRule="auto"/>
        <w:ind w:left="567" w:right="567"/>
        <w:jc w:val="both"/>
        <w:rPr>
          <w:rFonts w:ascii="Palatino Linotype" w:hAnsi="Palatino Linotype" w:cs="Arial"/>
          <w:b/>
          <w:i/>
          <w:sz w:val="22"/>
          <w:szCs w:val="22"/>
          <w:lang w:eastAsia="es-MX"/>
        </w:rPr>
      </w:pPr>
      <w:r w:rsidRPr="009C0D07">
        <w:rPr>
          <w:rFonts w:ascii="Palatino Linotype" w:hAnsi="Palatino Linotype" w:cs="Arial"/>
          <w:b/>
          <w:i/>
          <w:sz w:val="22"/>
          <w:szCs w:val="22"/>
          <w:lang w:eastAsia="es-MX"/>
        </w:rPr>
        <w:t>(Énfasis añadido)</w:t>
      </w:r>
    </w:p>
    <w:p w14:paraId="644D1F65" w14:textId="77777777" w:rsidR="00EE2679" w:rsidRPr="009C0D07" w:rsidRDefault="00EE2679" w:rsidP="00EE2679">
      <w:pPr>
        <w:pStyle w:val="Prrafodelista"/>
        <w:spacing w:line="360" w:lineRule="auto"/>
        <w:ind w:left="0"/>
        <w:jc w:val="both"/>
        <w:rPr>
          <w:rFonts w:ascii="Palatino Linotype" w:eastAsia="Calibri" w:hAnsi="Palatino Linotype" w:cs="Arial"/>
          <w:lang w:eastAsia="es-MX"/>
        </w:rPr>
      </w:pPr>
    </w:p>
    <w:p w14:paraId="7DBA53FB" w14:textId="6810C694" w:rsidR="00EE2679" w:rsidRPr="009C0D07" w:rsidRDefault="00EE2679" w:rsidP="003A0C03">
      <w:pPr>
        <w:pStyle w:val="Prrafodelista"/>
        <w:numPr>
          <w:ilvl w:val="0"/>
          <w:numId w:val="1"/>
        </w:numPr>
        <w:spacing w:line="360" w:lineRule="auto"/>
        <w:ind w:left="0" w:firstLine="0"/>
        <w:jc w:val="both"/>
        <w:rPr>
          <w:rFonts w:ascii="Palatino Linotype" w:hAnsi="Palatino Linotype" w:cs="Arial"/>
          <w:sz w:val="28"/>
        </w:rPr>
      </w:pPr>
      <w:r w:rsidRPr="009C0D07">
        <w:rPr>
          <w:rFonts w:ascii="Palatino Linotype" w:hAnsi="Palatino Linotype" w:cs="Arial"/>
          <w:lang w:eastAsia="es-MX"/>
        </w:rPr>
        <w:lastRenderedPageBreak/>
        <w:t>Sirven de sustento y base los artículos 35, 36, 37, 38 de la Ley de Contratación Pública del Estado de México y M</w:t>
      </w:r>
      <w:r w:rsidR="003A0C03" w:rsidRPr="009C0D07">
        <w:rPr>
          <w:rFonts w:ascii="Palatino Linotype" w:hAnsi="Palatino Linotype" w:cs="Arial"/>
          <w:lang w:eastAsia="es-MX"/>
        </w:rPr>
        <w:t>unicipios, que a la letra dice:</w:t>
      </w:r>
    </w:p>
    <w:p w14:paraId="2EB4C5B0" w14:textId="77777777" w:rsidR="003A0C03" w:rsidRPr="009C0D07" w:rsidRDefault="003A0C03" w:rsidP="003A0C03">
      <w:pPr>
        <w:pStyle w:val="Prrafodelista"/>
        <w:spacing w:line="360" w:lineRule="auto"/>
        <w:ind w:left="0"/>
        <w:jc w:val="both"/>
        <w:rPr>
          <w:rFonts w:ascii="Palatino Linotype" w:hAnsi="Palatino Linotype" w:cs="Arial"/>
          <w:sz w:val="28"/>
        </w:rPr>
      </w:pPr>
    </w:p>
    <w:p w14:paraId="7034D2C5"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b/>
          <w:i/>
          <w:sz w:val="22"/>
          <w:szCs w:val="22"/>
        </w:rPr>
        <w:t>Artículo 35.-</w:t>
      </w:r>
      <w:r w:rsidRPr="009C0D07">
        <w:rPr>
          <w:rFonts w:ascii="Palatino Linotype" w:hAnsi="Palatino Linotype"/>
          <w:i/>
          <w:sz w:val="22"/>
          <w:szCs w:val="22"/>
        </w:rPr>
        <w:t xml:space="preserve"> En los procedimientos de licitación pública se observará lo siguiente: </w:t>
      </w:r>
    </w:p>
    <w:p w14:paraId="3586C2E2"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I. El acto de presentación y apertura de propuestas se llevará a cabo por el servidor público que designe la convocante, conforme al procedimiento que se establezca en el reglamento de esta Ley. </w:t>
      </w:r>
    </w:p>
    <w:p w14:paraId="0DEF2090"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29C0DA3A"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6680B976"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IV. Las convocantes podrán modificar los plazos y términos establecidos en la convocatoria o en las bases de licitación, hasta cinco días hábiles anteriores a la fecha de la celebración del acto de presentación y apertura de propuestas. </w:t>
      </w:r>
    </w:p>
    <w:p w14:paraId="7357CE43"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V. Las modificaciones no podrán limitar el número de licitantes, sustituir o variar sustancialmente los bienes o servicios convocados originalmente, ni adicionar otros distintos. </w:t>
      </w:r>
    </w:p>
    <w:p w14:paraId="0A90DDD9"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VI. Las modificaciones a la convocatoria o a las bases se harán del conocimiento de los interesados hasta tres días hábiles antes de la fecha señalada para el acto de presentación y apertura de propuestas. </w:t>
      </w:r>
    </w:p>
    <w:p w14:paraId="729B8AE5"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VII. Se emitirá el fallo dentro de los 15 días hábiles siguientes a la publicación de la convocatoria. VIII. Los licitantes se podrán registrar hasta el día y la hora fijados para el acto de presentación y apertura de propuestas. </w:t>
      </w:r>
    </w:p>
    <w:p w14:paraId="542C74D1"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b/>
          <w:i/>
          <w:sz w:val="22"/>
          <w:szCs w:val="22"/>
        </w:rPr>
        <w:lastRenderedPageBreak/>
        <w:t>Artículo 36.-</w:t>
      </w:r>
      <w:r w:rsidRPr="009C0D07">
        <w:rPr>
          <w:rFonts w:ascii="Palatino Linotype" w:hAnsi="Palatino Linotype"/>
          <w:i/>
          <w:sz w:val="22"/>
          <w:szCs w:val="22"/>
        </w:rPr>
        <w:t xml:space="preserve"> El acto de presentación y apertura de propuestas se celebrará de manera pública y en presencia de todos los oferentes, en la forma siguiente: </w:t>
      </w:r>
    </w:p>
    <w:p w14:paraId="488A590E"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I. Los licitantes presentarán, por escrito y en sobre cerrado por separado, sus propuestas técnica y económica, así como los demás documentos requeridos en las bases de la licitación. </w:t>
      </w:r>
    </w:p>
    <w:p w14:paraId="7E8753D6"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II. La apertura de propuestas podrá efectuarse cuando se haya presentado una propuesta cuando menos. </w:t>
      </w:r>
    </w:p>
    <w:p w14:paraId="28A82C35"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III.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14:paraId="56B4C3A5"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IV. Se procederá a la apertura de las propuestas económicas de los licitantes cuyas propuestas técnicas fueron aceptadas cuantitativamente. </w:t>
      </w:r>
    </w:p>
    <w:p w14:paraId="6FC27B56"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V. Se desecharán las propuestas económicas que cuantitativamente no cumplan con cualquiera de los requisitos establecidos en las bases de la licitación, poniéndolas a disposición del interesado. </w:t>
      </w:r>
    </w:p>
    <w:p w14:paraId="13028FC0"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VI.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14:paraId="645175D1"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VII.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14:paraId="2421AE31"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lastRenderedPageBreak/>
        <w:t xml:space="preserve">VIII. 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14:paraId="3B244A6B"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El reglamento de esta Ley establecerá los criterios para la evaluación de las propuestas, así como el procedimiento para los actos de presentación y apertura de propuestas y de fallo. </w:t>
      </w:r>
    </w:p>
    <w:p w14:paraId="7A47C2AF"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En este supuesto, la propuesta deberá ser firmada por el representante común que, para ese acto, haya sido designado por el grupo de personas, ya sea autógrafamente o por los medios de identificación electrónica autorizados por la Ley de Medios Electrónicos. </w:t>
      </w:r>
    </w:p>
    <w:p w14:paraId="2E04AF48"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 </w:t>
      </w:r>
    </w:p>
    <w:p w14:paraId="04C532CE"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i/>
          <w:sz w:val="22"/>
          <w:szCs w:val="22"/>
        </w:rPr>
        <w:t xml:space="preserve">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 </w:t>
      </w:r>
    </w:p>
    <w:p w14:paraId="1C3AAD8E"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b/>
          <w:i/>
          <w:sz w:val="22"/>
          <w:szCs w:val="22"/>
        </w:rPr>
        <w:t>Artículo 37.-</w:t>
      </w:r>
      <w:r w:rsidRPr="009C0D07">
        <w:rPr>
          <w:rFonts w:ascii="Palatino Linotype" w:hAnsi="Palatino Linotype"/>
          <w:i/>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w:t>
      </w:r>
      <w:r w:rsidRPr="009C0D07">
        <w:rPr>
          <w:rFonts w:ascii="Palatino Linotype" w:hAnsi="Palatino Linotype"/>
          <w:i/>
          <w:sz w:val="22"/>
          <w:szCs w:val="22"/>
        </w:rPr>
        <w:lastRenderedPageBreak/>
        <w:t xml:space="preserve">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14:paraId="1220D437" w14:textId="77777777" w:rsidR="00EE2679" w:rsidRPr="009C0D07" w:rsidRDefault="00EE2679" w:rsidP="003A0C03">
      <w:pPr>
        <w:spacing w:line="360" w:lineRule="auto"/>
        <w:ind w:left="567" w:right="567"/>
        <w:jc w:val="both"/>
        <w:rPr>
          <w:rFonts w:ascii="Palatino Linotype" w:hAnsi="Palatino Linotype"/>
          <w:i/>
          <w:sz w:val="22"/>
          <w:szCs w:val="22"/>
        </w:rPr>
      </w:pPr>
      <w:r w:rsidRPr="009C0D07">
        <w:rPr>
          <w:rFonts w:ascii="Palatino Linotype" w:hAnsi="Palatino Linotype"/>
          <w:b/>
          <w:i/>
          <w:sz w:val="22"/>
          <w:szCs w:val="22"/>
        </w:rPr>
        <w:t>Artículo 38.-</w:t>
      </w:r>
      <w:r w:rsidRPr="009C0D07">
        <w:rPr>
          <w:rFonts w:ascii="Palatino Linotype" w:hAnsi="Palatino Linotype"/>
          <w:i/>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14:paraId="1079FB3B" w14:textId="77777777" w:rsidR="00EE2679" w:rsidRPr="009C0D07" w:rsidRDefault="00EE2679" w:rsidP="003A0C03">
      <w:pPr>
        <w:spacing w:line="360" w:lineRule="auto"/>
        <w:ind w:left="567" w:right="567"/>
        <w:jc w:val="both"/>
        <w:rPr>
          <w:rFonts w:ascii="Palatino Linotype" w:hAnsi="Palatino Linotype" w:cs="Arial"/>
          <w:i/>
          <w:sz w:val="22"/>
          <w:szCs w:val="22"/>
        </w:rPr>
      </w:pPr>
      <w:r w:rsidRPr="009C0D07">
        <w:rPr>
          <w:rFonts w:ascii="Palatino Linotype" w:hAnsi="Palatino Linotype"/>
          <w:i/>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p>
    <w:p w14:paraId="32A7B138" w14:textId="77777777" w:rsidR="00EE2679" w:rsidRPr="009C0D07" w:rsidRDefault="00EE2679" w:rsidP="00EE2679">
      <w:pPr>
        <w:spacing w:line="360" w:lineRule="auto"/>
        <w:jc w:val="both"/>
        <w:rPr>
          <w:rFonts w:ascii="Palatino Linotype" w:hAnsi="Palatino Linotype" w:cs="Arial"/>
          <w:lang w:eastAsia="es-MX"/>
        </w:rPr>
      </w:pPr>
    </w:p>
    <w:p w14:paraId="66468051" w14:textId="160B1520" w:rsidR="00EE2679" w:rsidRPr="009C0D07" w:rsidRDefault="00EE2679" w:rsidP="003A0C03">
      <w:pPr>
        <w:pStyle w:val="Prrafodelista"/>
        <w:numPr>
          <w:ilvl w:val="0"/>
          <w:numId w:val="1"/>
        </w:numPr>
        <w:spacing w:line="360" w:lineRule="auto"/>
        <w:ind w:left="0" w:firstLine="0"/>
        <w:jc w:val="both"/>
        <w:rPr>
          <w:rFonts w:ascii="Palatino Linotype" w:hAnsi="Palatino Linotype" w:cs="Arial"/>
        </w:rPr>
      </w:pPr>
      <w:r w:rsidRPr="009C0D07">
        <w:rPr>
          <w:rFonts w:ascii="Palatino Linotype" w:hAnsi="Palatino Linotype" w:cs="Arial"/>
        </w:rPr>
        <w:t xml:space="preserve">De tales circunstancias </w:t>
      </w:r>
      <w:r w:rsidRPr="009C0D07">
        <w:rPr>
          <w:rFonts w:ascii="Palatino Linotype" w:hAnsi="Palatino Linotype" w:cs="Arial"/>
          <w:lang w:eastAsia="es-MX"/>
        </w:rPr>
        <w:t xml:space="preserve">se aduce que, </w:t>
      </w:r>
      <w:r w:rsidR="003A0C03" w:rsidRPr="009C0D07">
        <w:rPr>
          <w:rFonts w:ascii="Palatino Linotype" w:hAnsi="Palatino Linotype" w:cs="Arial"/>
          <w:lang w:eastAsia="es-MX"/>
        </w:rPr>
        <w:t>el</w:t>
      </w:r>
      <w:r w:rsidRPr="009C0D07">
        <w:rPr>
          <w:rFonts w:ascii="Palatino Linotype" w:hAnsi="Palatino Linotype" w:cs="Arial"/>
          <w:lang w:eastAsia="es-MX"/>
        </w:rPr>
        <w:t xml:space="preserve"> </w:t>
      </w:r>
      <w:r w:rsidRPr="009C0D07">
        <w:rPr>
          <w:rFonts w:ascii="Palatino Linotype" w:hAnsi="Palatino Linotype" w:cs="Arial"/>
          <w:b/>
          <w:lang w:eastAsia="es-MX"/>
        </w:rPr>
        <w:t>SUJETO OBLIGADO</w:t>
      </w:r>
      <w:r w:rsidRPr="009C0D07">
        <w:rPr>
          <w:rFonts w:ascii="Palatino Linotype" w:hAnsi="Palatino Linotype" w:cs="Arial"/>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recursos financieros de la misma naturaleza, por lo que se considera procedente la entr</w:t>
      </w:r>
      <w:r w:rsidR="003A0C03" w:rsidRPr="009C0D07">
        <w:rPr>
          <w:rFonts w:ascii="Palatino Linotype" w:hAnsi="Palatino Linotype" w:cs="Arial"/>
          <w:lang w:eastAsia="es-MX"/>
        </w:rPr>
        <w:t>ega de la información faltante.</w:t>
      </w:r>
    </w:p>
    <w:p w14:paraId="636DE762" w14:textId="77777777" w:rsidR="003A0C03" w:rsidRPr="009C0D07" w:rsidRDefault="003A0C03" w:rsidP="003A0C03">
      <w:pPr>
        <w:pStyle w:val="Prrafodelista"/>
        <w:spacing w:line="360" w:lineRule="auto"/>
        <w:ind w:left="0"/>
        <w:jc w:val="both"/>
        <w:rPr>
          <w:rFonts w:ascii="Palatino Linotype" w:hAnsi="Palatino Linotype" w:cs="Arial"/>
        </w:rPr>
      </w:pPr>
    </w:p>
    <w:p w14:paraId="05288DA2" w14:textId="6B109E5C" w:rsidR="00EE2679" w:rsidRPr="009C0D07" w:rsidRDefault="00EE2679" w:rsidP="003A0C03">
      <w:pPr>
        <w:pStyle w:val="Prrafodelista"/>
        <w:numPr>
          <w:ilvl w:val="0"/>
          <w:numId w:val="1"/>
        </w:numPr>
        <w:spacing w:line="360" w:lineRule="auto"/>
        <w:ind w:left="0" w:firstLine="0"/>
        <w:jc w:val="both"/>
        <w:rPr>
          <w:rFonts w:ascii="Palatino Linotype" w:hAnsi="Palatino Linotype" w:cs="Arial"/>
        </w:rPr>
      </w:pPr>
      <w:r w:rsidRPr="009C0D07">
        <w:rPr>
          <w:rFonts w:ascii="Palatino Linotype" w:hAnsi="Palatino Linotype" w:cs="Arial"/>
        </w:rPr>
        <w:t xml:space="preserve">Todas estas observaciones se relacionan también con las facturas de los gastos hechos, solicitados por </w:t>
      </w:r>
      <w:r w:rsidR="003A0C03" w:rsidRPr="009C0D07">
        <w:rPr>
          <w:rFonts w:ascii="Palatino Linotype" w:hAnsi="Palatino Linotype" w:cs="Arial"/>
        </w:rPr>
        <w:t>el particular</w:t>
      </w:r>
      <w:r w:rsidRPr="009C0D07">
        <w:rPr>
          <w:rFonts w:ascii="Palatino Linotype" w:hAnsi="Palatino Linotype" w:cs="Arial"/>
        </w:rPr>
        <w:t xml:space="preserve">, </w:t>
      </w:r>
      <w:r w:rsidRPr="009C0D07">
        <w:rPr>
          <w:rFonts w:ascii="Palatino Linotype" w:hAnsi="Palatino Linotype"/>
        </w:rPr>
        <w:t xml:space="preserve">es decir, la documentación comprobatoria de las erogaciones realizadas en ejercicio del presupuesto municipal, entendido éste como </w:t>
      </w:r>
      <w:r w:rsidRPr="009C0D07">
        <w:rPr>
          <w:rFonts w:ascii="Palatino Linotype" w:hAnsi="Palatino Linotype"/>
          <w:b/>
        </w:rPr>
        <w:t>Presupuesto Ejercido</w:t>
      </w:r>
      <w:r w:rsidRPr="009C0D07">
        <w:rPr>
          <w:rFonts w:ascii="Palatino Linotype" w:hAnsi="Palatino Linotype"/>
        </w:rPr>
        <w:t xml:space="preserve">, que según el Glosario de Términos más </w:t>
      </w:r>
      <w:r w:rsidRPr="009C0D07">
        <w:rPr>
          <w:rFonts w:ascii="Palatino Linotype" w:hAnsi="Palatino Linotype"/>
        </w:rPr>
        <w:lastRenderedPageBreak/>
        <w:t xml:space="preserve">Usuales en la Administración Pública Federal de la Secretaría de Hacienda y Crédito Público se define como: </w:t>
      </w:r>
    </w:p>
    <w:p w14:paraId="7FCE3E1D" w14:textId="77777777" w:rsidR="00EE2679" w:rsidRPr="009C0D07" w:rsidRDefault="00EE2679" w:rsidP="00EE2679">
      <w:pPr>
        <w:spacing w:line="360" w:lineRule="auto"/>
        <w:ind w:left="851" w:right="900"/>
        <w:jc w:val="both"/>
        <w:rPr>
          <w:rFonts w:ascii="Palatino Linotype" w:hAnsi="Palatino Linotype"/>
          <w:i/>
          <w:sz w:val="16"/>
          <w:szCs w:val="16"/>
        </w:rPr>
      </w:pPr>
    </w:p>
    <w:p w14:paraId="2631DC91" w14:textId="77777777" w:rsidR="00EE2679" w:rsidRPr="009C0D07" w:rsidRDefault="00EE2679" w:rsidP="00EE2679">
      <w:pPr>
        <w:ind w:left="851" w:right="900"/>
        <w:jc w:val="both"/>
        <w:rPr>
          <w:rFonts w:ascii="Palatino Linotype" w:hAnsi="Palatino Linotype"/>
          <w:i/>
        </w:rPr>
      </w:pPr>
      <w:r w:rsidRPr="009C0D07">
        <w:rPr>
          <w:rFonts w:ascii="Palatino Linotype" w:hAnsi="Palatino Linotype"/>
          <w:i/>
        </w:rPr>
        <w:t>“</w:t>
      </w:r>
      <w:r w:rsidRPr="009C0D07">
        <w:rPr>
          <w:rFonts w:ascii="Palatino Linotype" w:hAnsi="Palatino Linotype"/>
          <w:b/>
          <w:i/>
        </w:rPr>
        <w:t>PRESUPUESTO EJERCIDO</w:t>
      </w:r>
      <w:r w:rsidRPr="009C0D07">
        <w:rPr>
          <w:rFonts w:ascii="Palatino Linotype" w:hAnsi="Palatino Linotype"/>
          <w:i/>
        </w:rPr>
        <w:t>.</w:t>
      </w:r>
    </w:p>
    <w:p w14:paraId="61E76E3B" w14:textId="77777777" w:rsidR="00EE2679" w:rsidRPr="009C0D07" w:rsidRDefault="00EE2679" w:rsidP="00EE2679">
      <w:pPr>
        <w:ind w:left="851" w:right="900"/>
        <w:jc w:val="both"/>
        <w:rPr>
          <w:rFonts w:ascii="Palatino Linotype" w:hAnsi="Palatino Linotype"/>
          <w:i/>
        </w:rPr>
      </w:pPr>
      <w:r w:rsidRPr="009C0D07">
        <w:rPr>
          <w:rFonts w:ascii="Palatino Linotype" w:hAnsi="Palatino Linotype"/>
          <w:i/>
        </w:rPr>
        <w:t>Importe de las erogaciones realizadas respaldado por los documentos comprobatorios (</w:t>
      </w:r>
      <w:r w:rsidRPr="009C0D07">
        <w:rPr>
          <w:rFonts w:ascii="Palatino Linotype" w:hAnsi="Palatino Linotype"/>
          <w:i/>
          <w:u w:val="single"/>
        </w:rPr>
        <w:t>facturas</w:t>
      </w:r>
      <w:r w:rsidRPr="009C0D07">
        <w:rPr>
          <w:rFonts w:ascii="Palatino Linotype" w:hAnsi="Palatino Linotype"/>
          <w:i/>
        </w:rPr>
        <w:t>, notas, nominas, etc.) presentados a la dependencia o entidad una vez autorizadas para su pago, con cargo al presupuesto autorizado.”</w:t>
      </w:r>
    </w:p>
    <w:p w14:paraId="067CB92F" w14:textId="77777777" w:rsidR="00EE2679" w:rsidRPr="009C0D07" w:rsidRDefault="00EE2679" w:rsidP="00EE2679">
      <w:pPr>
        <w:spacing w:line="360" w:lineRule="auto"/>
        <w:jc w:val="both"/>
        <w:rPr>
          <w:rFonts w:ascii="Palatino Linotype" w:hAnsi="Palatino Linotype" w:cs="Arial"/>
        </w:rPr>
      </w:pPr>
    </w:p>
    <w:p w14:paraId="79D8FB30" w14:textId="2A390246" w:rsidR="00EE2679" w:rsidRPr="009C0D07" w:rsidRDefault="00EE2679" w:rsidP="003A0C03">
      <w:pPr>
        <w:pStyle w:val="Prrafodelista"/>
        <w:numPr>
          <w:ilvl w:val="0"/>
          <w:numId w:val="1"/>
        </w:numPr>
        <w:spacing w:line="360" w:lineRule="auto"/>
        <w:ind w:left="0" w:firstLine="0"/>
        <w:jc w:val="both"/>
        <w:rPr>
          <w:rFonts w:ascii="Palatino Linotype" w:eastAsia="Calibri" w:hAnsi="Palatino Linotype" w:cs="Arial"/>
        </w:rPr>
      </w:pPr>
      <w:r w:rsidRPr="009C0D07">
        <w:rPr>
          <w:rFonts w:ascii="Palatino Linotype" w:eastAsia="Calibri" w:hAnsi="Palatino Linotype" w:cs="Arial"/>
        </w:rPr>
        <w:t>Al respecto, cabe señalar que en términos del artículo 129, de la Constitución Política del Estado Libre y Soberano de México, l</w:t>
      </w:r>
      <w:r w:rsidRPr="009C0D07">
        <w:rPr>
          <w:rFonts w:ascii="Palatino Linotype" w:eastAsia="Calibri"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ello </w:t>
      </w:r>
      <w:r w:rsidRPr="009C0D07">
        <w:rPr>
          <w:rFonts w:ascii="Palatino Linotype" w:eastAsia="Calibri" w:hAnsi="Palatino Linotype" w:cs="Arial"/>
        </w:rPr>
        <w:t>en el cumplimiento a los principio</w:t>
      </w:r>
      <w:r w:rsidR="003A0C03" w:rsidRPr="009C0D07">
        <w:rPr>
          <w:rFonts w:ascii="Palatino Linotype" w:eastAsia="Calibri" w:hAnsi="Palatino Linotype" w:cs="Arial"/>
        </w:rPr>
        <w:t>s que rigen la función pública.</w:t>
      </w:r>
    </w:p>
    <w:p w14:paraId="6F5A4D6F" w14:textId="77777777" w:rsidR="003A0C03" w:rsidRPr="009C0D07" w:rsidRDefault="003A0C03" w:rsidP="003A0C03">
      <w:pPr>
        <w:pStyle w:val="Prrafodelista"/>
        <w:spacing w:line="360" w:lineRule="auto"/>
        <w:ind w:left="0"/>
        <w:jc w:val="both"/>
        <w:rPr>
          <w:rFonts w:ascii="Palatino Linotype" w:eastAsia="Calibri" w:hAnsi="Palatino Linotype" w:cs="Arial"/>
        </w:rPr>
      </w:pPr>
    </w:p>
    <w:p w14:paraId="14296CB5" w14:textId="77777777" w:rsidR="00EE2679" w:rsidRPr="009C0D07" w:rsidRDefault="00EE2679" w:rsidP="003A0C03">
      <w:pPr>
        <w:pStyle w:val="Prrafodelista"/>
        <w:numPr>
          <w:ilvl w:val="0"/>
          <w:numId w:val="1"/>
        </w:numPr>
        <w:spacing w:line="360" w:lineRule="auto"/>
        <w:ind w:left="0" w:firstLine="0"/>
        <w:jc w:val="both"/>
        <w:rPr>
          <w:rFonts w:ascii="Palatino Linotype" w:eastAsia="Calibri" w:hAnsi="Palatino Linotype" w:cs="Arial"/>
        </w:rPr>
      </w:pPr>
      <w:r w:rsidRPr="009C0D07">
        <w:rPr>
          <w:rFonts w:ascii="Palatino Linotype" w:eastAsia="Calibri" w:hAnsi="Palatino Linotype" w:cs="Arial"/>
          <w:color w:val="000000"/>
        </w:rPr>
        <w:t>Asimismo, dispone que todos los pagos se harán mediante orden escrita en la que se expresará la partida del presupuesto a cargo de la cual se realizan.</w:t>
      </w:r>
    </w:p>
    <w:p w14:paraId="648E345C" w14:textId="77777777" w:rsidR="003A0C03" w:rsidRPr="009C0D07" w:rsidRDefault="003A0C03" w:rsidP="003A0C03">
      <w:pPr>
        <w:pStyle w:val="Prrafodelista"/>
        <w:rPr>
          <w:rFonts w:ascii="Palatino Linotype" w:eastAsia="Calibri" w:hAnsi="Palatino Linotype" w:cs="Arial"/>
        </w:rPr>
      </w:pPr>
    </w:p>
    <w:p w14:paraId="5F4F1A09" w14:textId="153FFA26" w:rsidR="00EE2679" w:rsidRPr="009C0D07" w:rsidRDefault="00EE2679" w:rsidP="003A0C03">
      <w:pPr>
        <w:pStyle w:val="Prrafodelista"/>
        <w:numPr>
          <w:ilvl w:val="0"/>
          <w:numId w:val="1"/>
        </w:numPr>
        <w:spacing w:line="360" w:lineRule="auto"/>
        <w:ind w:left="0" w:firstLine="0"/>
        <w:jc w:val="both"/>
        <w:rPr>
          <w:rFonts w:ascii="Palatino Linotype" w:eastAsia="Calibri" w:hAnsi="Palatino Linotype" w:cs="Arial"/>
        </w:rPr>
      </w:pPr>
      <w:r w:rsidRPr="009C0D07">
        <w:rPr>
          <w:rFonts w:ascii="Palatino Linotype" w:eastAsia="Calibri" w:hAnsi="Palatino Linotype" w:cs="Arial"/>
          <w:color w:val="000000"/>
        </w:rPr>
        <w:t>Al mismo tiempo, los artículos 31, fracción XVIII y 95, fracciones I y IV, de la</w:t>
      </w:r>
      <w:r w:rsidRPr="009C0D07">
        <w:rPr>
          <w:rFonts w:ascii="Palatino Linotype" w:eastAsia="Calibri" w:hAnsi="Palatino Linotype" w:cs="Arial"/>
          <w:b/>
          <w:i/>
          <w:color w:val="000000"/>
        </w:rPr>
        <w:t xml:space="preserve"> </w:t>
      </w:r>
      <w:r w:rsidRPr="009C0D07">
        <w:rPr>
          <w:rFonts w:ascii="Palatino Linotype" w:eastAsia="Calibri" w:hAnsi="Palatino Linotype" w:cs="Arial"/>
          <w:color w:val="000000"/>
        </w:rPr>
        <w:t>Ley Orgánica Municipal del Estado de México prevén</w:t>
      </w:r>
      <w:r w:rsidRPr="009C0D07">
        <w:rPr>
          <w:rFonts w:ascii="Palatino Linotype" w:eastAsia="Calibri" w:hAnsi="Palatino Linotype" w:cs="Arial"/>
        </w:rPr>
        <w:t xml:space="preserv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2085694F" w14:textId="77777777" w:rsidR="003A0C03" w:rsidRPr="009C0D07" w:rsidRDefault="003A0C03" w:rsidP="003A0C03">
      <w:pPr>
        <w:pStyle w:val="Prrafodelista"/>
        <w:rPr>
          <w:rFonts w:ascii="Palatino Linotype" w:eastAsia="Calibri" w:hAnsi="Palatino Linotype" w:cs="Arial"/>
        </w:rPr>
      </w:pPr>
    </w:p>
    <w:p w14:paraId="78A6AF72" w14:textId="77777777" w:rsidR="00EE2679" w:rsidRPr="009C0D07" w:rsidRDefault="00EE2679" w:rsidP="003A0C03">
      <w:pPr>
        <w:pStyle w:val="Prrafodelista"/>
        <w:numPr>
          <w:ilvl w:val="0"/>
          <w:numId w:val="1"/>
        </w:numPr>
        <w:spacing w:line="360" w:lineRule="auto"/>
        <w:ind w:left="0" w:firstLine="0"/>
        <w:jc w:val="both"/>
        <w:rPr>
          <w:rFonts w:ascii="Palatino Linotype" w:eastAsia="Calibri" w:hAnsi="Palatino Linotype" w:cs="Arial"/>
        </w:rPr>
      </w:pPr>
      <w:r w:rsidRPr="009C0D07">
        <w:rPr>
          <w:rFonts w:ascii="Palatino Linotype" w:eastAsia="Calibri" w:hAnsi="Palatino Linotype" w:cs="Arial"/>
          <w:color w:val="000000"/>
        </w:rPr>
        <w:lastRenderedPageBreak/>
        <w:t xml:space="preserve">Adicionalmente, es pertinente considerar lo dispuesto en los artículos </w:t>
      </w:r>
      <w:r w:rsidRPr="009C0D07">
        <w:rPr>
          <w:rFonts w:ascii="Palatino Linotype" w:eastAsia="Calibri" w:hAnsi="Palatino Linotype" w:cs="Arial"/>
        </w:rPr>
        <w:t xml:space="preserve">342, 343, 344 y 345, del Código Financiero del Estado de México y Municipios, los cuales disponen, concretamente el sistema y las políticas que deben seguirse para llevar el registro contable y presupuestal de las operaciones financieras que llevan a cabo los Municipios del Estado de México; que el registro contable del efecto patrimonial y presupuestal de las operaciones financieras que realice el Municipio se realizará conforme al sistema y a las disposiciones que se aprueben en materia de planeación, programación, </w:t>
      </w:r>
      <w:proofErr w:type="spellStart"/>
      <w:r w:rsidRPr="009C0D07">
        <w:rPr>
          <w:rFonts w:ascii="Palatino Linotype" w:eastAsia="Calibri" w:hAnsi="Palatino Linotype" w:cs="Arial"/>
        </w:rPr>
        <w:t>presupuestación</w:t>
      </w:r>
      <w:proofErr w:type="spellEnd"/>
      <w:r w:rsidRPr="009C0D07">
        <w:rPr>
          <w:rFonts w:ascii="Palatino Linotype" w:eastAsia="Calibri" w:hAnsi="Palatino Linotype" w:cs="Arial"/>
        </w:rPr>
        <w:t>, evaluación y contabilidad gubernamental.</w:t>
      </w:r>
    </w:p>
    <w:p w14:paraId="74ECEB2F" w14:textId="77777777" w:rsidR="003A0C03" w:rsidRPr="009C0D07" w:rsidRDefault="003A0C03" w:rsidP="003A0C03">
      <w:pPr>
        <w:pStyle w:val="Prrafodelista"/>
        <w:rPr>
          <w:rFonts w:ascii="Palatino Linotype" w:eastAsia="Calibri" w:hAnsi="Palatino Linotype" w:cs="Arial"/>
        </w:rPr>
      </w:pPr>
    </w:p>
    <w:p w14:paraId="466AF0C5" w14:textId="77777777" w:rsidR="00EE2679" w:rsidRPr="009C0D07" w:rsidRDefault="00EE2679" w:rsidP="003A0C03">
      <w:pPr>
        <w:pStyle w:val="Prrafodelista"/>
        <w:numPr>
          <w:ilvl w:val="0"/>
          <w:numId w:val="1"/>
        </w:numPr>
        <w:spacing w:line="360" w:lineRule="auto"/>
        <w:ind w:left="0" w:firstLine="0"/>
        <w:jc w:val="both"/>
        <w:rPr>
          <w:rFonts w:ascii="Palatino Linotype" w:eastAsia="Calibri" w:hAnsi="Palatino Linotype" w:cs="Arial"/>
        </w:rPr>
      </w:pPr>
      <w:r w:rsidRPr="009C0D07">
        <w:rPr>
          <w:rFonts w:ascii="Palatino Linotype" w:eastAsia="Calibri" w:hAnsi="Palatino Linotype" w:cs="Arial"/>
        </w:rPr>
        <w:t>Asimismo, los preceptos legales citados señalan que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14:paraId="2CA52DF1" w14:textId="77777777" w:rsidR="003A0C03" w:rsidRPr="009C0D07" w:rsidRDefault="003A0C03" w:rsidP="003A0C03">
      <w:pPr>
        <w:pStyle w:val="Prrafodelista"/>
        <w:rPr>
          <w:rFonts w:ascii="Palatino Linotype" w:eastAsia="Calibri" w:hAnsi="Palatino Linotype" w:cs="Arial"/>
        </w:rPr>
      </w:pPr>
    </w:p>
    <w:p w14:paraId="1103777B" w14:textId="77777777" w:rsidR="00EE2679" w:rsidRPr="009C0D07" w:rsidRDefault="00EE2679" w:rsidP="003A0C03">
      <w:pPr>
        <w:pStyle w:val="Prrafodelista"/>
        <w:numPr>
          <w:ilvl w:val="0"/>
          <w:numId w:val="1"/>
        </w:numPr>
        <w:spacing w:line="360" w:lineRule="auto"/>
        <w:ind w:left="0" w:firstLine="0"/>
        <w:jc w:val="both"/>
        <w:rPr>
          <w:rFonts w:ascii="Palatino Linotype" w:eastAsia="Calibri" w:hAnsi="Palatino Linotype" w:cs="Arial"/>
        </w:rPr>
      </w:pPr>
      <w:r w:rsidRPr="009C0D07">
        <w:rPr>
          <w:rFonts w:ascii="Palatino Linotype" w:eastAsia="Calibri" w:hAnsi="Palatino Linotype" w:cs="Arial"/>
          <w:color w:val="000000"/>
        </w:rPr>
        <w:t>Cabe destacar, que el ordenamiento legal en cita establece que todo registro contable y presupuestal deberá estar soportado con los documentos comprobatorios originales, como son las facturas,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w:t>
      </w:r>
    </w:p>
    <w:p w14:paraId="59B36323" w14:textId="77777777" w:rsidR="003A0C03" w:rsidRPr="009C0D07" w:rsidRDefault="003A0C03" w:rsidP="003A0C03">
      <w:pPr>
        <w:pStyle w:val="Prrafodelista"/>
        <w:rPr>
          <w:rFonts w:ascii="Palatino Linotype" w:eastAsia="Calibri" w:hAnsi="Palatino Linotype" w:cs="Arial"/>
        </w:rPr>
      </w:pPr>
    </w:p>
    <w:p w14:paraId="4AFB7D4B" w14:textId="77777777" w:rsidR="00EE2679" w:rsidRPr="009C0D07" w:rsidRDefault="00EE2679" w:rsidP="003A0C03">
      <w:pPr>
        <w:pStyle w:val="Prrafodelista"/>
        <w:numPr>
          <w:ilvl w:val="0"/>
          <w:numId w:val="1"/>
        </w:numPr>
        <w:spacing w:line="360" w:lineRule="auto"/>
        <w:ind w:left="0" w:firstLine="0"/>
        <w:jc w:val="both"/>
        <w:rPr>
          <w:rFonts w:ascii="Palatino Linotype" w:eastAsia="Calibri" w:hAnsi="Palatino Linotype" w:cs="Arial"/>
        </w:rPr>
      </w:pPr>
      <w:r w:rsidRPr="009C0D07">
        <w:rPr>
          <w:rFonts w:ascii="Palatino Linotype" w:hAnsi="Palatino Linotype" w:cs="Arial"/>
          <w:color w:val="000000" w:themeColor="text1"/>
        </w:rPr>
        <w:lastRenderedPageBreak/>
        <w:t xml:space="preserve">Por lo que conviene recordar, que le compete a la </w:t>
      </w:r>
      <w:r w:rsidRPr="009C0D07">
        <w:rPr>
          <w:rFonts w:ascii="Palatino Linotype" w:hAnsi="Palatino Linotype"/>
          <w:color w:val="000000" w:themeColor="text1"/>
        </w:rPr>
        <w:t xml:space="preserve">Dirección de Seguridad Pública y Vialidad </w:t>
      </w:r>
      <w:r w:rsidRPr="009C0D07">
        <w:rPr>
          <w:rFonts w:ascii="Palatino Linotype" w:hAnsi="Palatino Linotype" w:cs="Arial"/>
          <w:color w:val="000000" w:themeColor="text1"/>
        </w:rPr>
        <w:t xml:space="preserve">la función de seguridad pública, a fin de </w:t>
      </w:r>
      <w:r w:rsidRPr="009C0D07">
        <w:rPr>
          <w:rFonts w:ascii="Palatino Linotype" w:hAnsi="Palatino Linotype"/>
          <w:color w:val="000000" w:themeColor="text1"/>
        </w:rPr>
        <w:t>garantizar el orden público y la paz social, así como la prevención social de la comisión de cualquier delito, inhibiendo las conductas antisociales, siempre con estricto apego y respeto de los derechos humanos y de las disposiciones jurídicas vigentes de carácter federal, estatal y municipal; de igual manera impulsando la cultura vial, controlando, organizando y ejecutando las actividades en dicha materia en las diversas vialidades de jurisdicción municipal, de conformidad con el Libro Octavo del Código Administrativo del Estado de México y demás disposiciones jurídicas aplicables.</w:t>
      </w:r>
    </w:p>
    <w:p w14:paraId="6D887915" w14:textId="77777777" w:rsidR="003A0C03" w:rsidRPr="009C0D07" w:rsidRDefault="003A0C03" w:rsidP="003A0C03">
      <w:pPr>
        <w:pStyle w:val="Prrafodelista"/>
        <w:rPr>
          <w:rFonts w:ascii="Palatino Linotype" w:eastAsia="Calibri" w:hAnsi="Palatino Linotype" w:cs="Arial"/>
        </w:rPr>
      </w:pPr>
    </w:p>
    <w:p w14:paraId="56F81B22" w14:textId="54B9E97E" w:rsidR="00EE2679" w:rsidRPr="009C0D07" w:rsidRDefault="00EE2679" w:rsidP="003A0C03">
      <w:pPr>
        <w:pStyle w:val="Prrafodelista"/>
        <w:numPr>
          <w:ilvl w:val="0"/>
          <w:numId w:val="1"/>
        </w:numPr>
        <w:spacing w:line="360" w:lineRule="auto"/>
        <w:ind w:left="0" w:firstLine="0"/>
        <w:jc w:val="both"/>
        <w:rPr>
          <w:rFonts w:ascii="Palatino Linotype" w:eastAsia="Calibri" w:hAnsi="Palatino Linotype" w:cs="Arial"/>
        </w:rPr>
      </w:pPr>
      <w:r w:rsidRPr="009C0D07">
        <w:rPr>
          <w:rFonts w:ascii="Palatino Linotype" w:hAnsi="Palatino Linotype" w:cs="Arial"/>
          <w:color w:val="000000" w:themeColor="text1"/>
        </w:rPr>
        <w:t xml:space="preserve">Ahora bien, </w:t>
      </w:r>
      <w:r w:rsidR="003A0C03" w:rsidRPr="009C0D07">
        <w:rPr>
          <w:rFonts w:ascii="Palatino Linotype" w:hAnsi="Palatino Linotype" w:cs="Arial"/>
          <w:color w:val="000000" w:themeColor="text1"/>
        </w:rPr>
        <w:t xml:space="preserve">el SUJETO OBLIGADO deberá poner especial cuidado, </w:t>
      </w:r>
      <w:r w:rsidRPr="009C0D07">
        <w:rPr>
          <w:rFonts w:ascii="Palatino Linotype" w:hAnsi="Palatino Linotype" w:cs="Arial"/>
          <w:color w:val="000000" w:themeColor="text1"/>
        </w:rPr>
        <w:t xml:space="preserve">atendiendo el requerimiento de información y el marco normativo analizado, cabe decir que en términos del artículo 34 de la Ley que Regula el Uso de Tecnologías de la Información y Comunicación para la Seguridad Pública del Estado de México, toda la información recabada por las instituciones de seguridad pública se considera reservada cuando </w:t>
      </w:r>
      <w:r w:rsidRPr="009C0D07">
        <w:rPr>
          <w:rFonts w:ascii="Palatino Linotype" w:hAnsi="Palatino Linotype" w:cs="Arial"/>
          <w:color w:val="000000" w:themeColor="text1"/>
          <w:u w:val="single"/>
        </w:rPr>
        <w:t>su divulgación implique la revelación</w:t>
      </w:r>
      <w:r w:rsidRPr="009C0D07">
        <w:rPr>
          <w:rFonts w:ascii="Palatino Linotype" w:hAnsi="Palatino Linotype" w:cs="Arial"/>
          <w:color w:val="000000" w:themeColor="text1"/>
        </w:rPr>
        <w:t xml:space="preserve"> de normas, procedimientos, métodos, fuentes, </w:t>
      </w:r>
      <w:r w:rsidRPr="009C0D07">
        <w:rPr>
          <w:rFonts w:ascii="Palatino Linotype" w:hAnsi="Palatino Linotype" w:cs="Arial"/>
          <w:color w:val="000000" w:themeColor="text1"/>
          <w:u w:val="single"/>
        </w:rPr>
        <w:t>especificaciones técnicas</w:t>
      </w:r>
      <w:r w:rsidRPr="009C0D07">
        <w:rPr>
          <w:rFonts w:ascii="Palatino Linotype" w:hAnsi="Palatino Linotype" w:cs="Arial"/>
          <w:color w:val="000000" w:themeColor="text1"/>
        </w:rPr>
        <w:t xml:space="preserve">, </w:t>
      </w:r>
      <w:r w:rsidRPr="009C0D07">
        <w:rPr>
          <w:rFonts w:ascii="Palatino Linotype" w:hAnsi="Palatino Linotype" w:cs="Arial"/>
          <w:color w:val="000000" w:themeColor="text1"/>
          <w:u w:val="single"/>
        </w:rPr>
        <w:t>sistemas, tecnología o equipos útiles para la prevención o el combate a la delincuencia o cuando se pueda actualizar o potenciar una amenaza a la seguridad pública</w:t>
      </w:r>
      <w:r w:rsidR="003A0C03" w:rsidRPr="009C0D07">
        <w:rPr>
          <w:rFonts w:ascii="Palatino Linotype" w:hAnsi="Palatino Linotype" w:cs="Arial"/>
          <w:color w:val="000000" w:themeColor="text1"/>
        </w:rPr>
        <w:t>.</w:t>
      </w:r>
    </w:p>
    <w:p w14:paraId="7C7F121F" w14:textId="77777777" w:rsidR="003A0C03" w:rsidRPr="009C0D07" w:rsidRDefault="003A0C03" w:rsidP="003A0C03">
      <w:pPr>
        <w:pStyle w:val="Prrafodelista"/>
        <w:rPr>
          <w:rFonts w:ascii="Palatino Linotype" w:eastAsia="Calibri" w:hAnsi="Palatino Linotype" w:cs="Arial"/>
        </w:rPr>
      </w:pPr>
    </w:p>
    <w:p w14:paraId="1AB0749E" w14:textId="02096F32" w:rsidR="00E86D77" w:rsidRPr="009C0D07" w:rsidRDefault="003A0C03" w:rsidP="00E86D77">
      <w:pPr>
        <w:pStyle w:val="Prrafodelista"/>
        <w:numPr>
          <w:ilvl w:val="0"/>
          <w:numId w:val="1"/>
        </w:numPr>
        <w:spacing w:before="240" w:after="240" w:line="360" w:lineRule="auto"/>
        <w:ind w:left="0" w:firstLine="0"/>
        <w:jc w:val="both"/>
        <w:rPr>
          <w:rFonts w:ascii="Palatino Linotype" w:hAnsi="Palatino Linotype"/>
        </w:rPr>
      </w:pPr>
      <w:r w:rsidRPr="009C0D07">
        <w:rPr>
          <w:rFonts w:ascii="Palatino Linotype" w:eastAsia="Calibri" w:hAnsi="Palatino Linotype" w:cs="Arial"/>
        </w:rPr>
        <w:t xml:space="preserve">Finalmente no se soslaya que el </w:t>
      </w:r>
      <w:r w:rsidRPr="009C0D07">
        <w:rPr>
          <w:rFonts w:ascii="Palatino Linotype" w:eastAsia="Calibri" w:hAnsi="Palatino Linotype" w:cs="Arial"/>
          <w:b/>
        </w:rPr>
        <w:t>SUJETO OBLIGADO</w:t>
      </w:r>
      <w:r w:rsidRPr="009C0D07">
        <w:rPr>
          <w:rFonts w:ascii="Palatino Linotype" w:eastAsia="Calibri" w:hAnsi="Palatino Linotype" w:cs="Arial"/>
        </w:rPr>
        <w:t xml:space="preserve"> </w:t>
      </w:r>
      <w:r w:rsidR="00E86D77" w:rsidRPr="009C0D07">
        <w:rPr>
          <w:rFonts w:ascii="Palatino Linotype" w:hAnsi="Palatino Linotype"/>
        </w:rPr>
        <w:t xml:space="preserve">mediante su informe justificado asumió generar, administrar o poseer la información solicitada, dado que en su respuesta señala que no está obligado a procesar la información y a través de </w:t>
      </w:r>
      <w:r w:rsidR="00E86D77" w:rsidRPr="009C0D07">
        <w:rPr>
          <w:rFonts w:ascii="Palatino Linotype" w:hAnsi="Palatino Linotype"/>
        </w:rPr>
        <w:lastRenderedPageBreak/>
        <w:t>su informe justificado la pone a disposición del particular vía in situ es decir consulta directa.</w:t>
      </w:r>
    </w:p>
    <w:p w14:paraId="74E542D5" w14:textId="77777777" w:rsidR="00E86D77" w:rsidRPr="009C0D07" w:rsidRDefault="00E86D77" w:rsidP="00E86D77">
      <w:pPr>
        <w:pStyle w:val="Prrafodelista"/>
        <w:rPr>
          <w:rFonts w:ascii="Palatino Linotype" w:hAnsi="Palatino Linotype"/>
        </w:rPr>
      </w:pPr>
    </w:p>
    <w:p w14:paraId="4A383D45" w14:textId="54D95D6A" w:rsidR="00E86D77" w:rsidRPr="009C0D07" w:rsidRDefault="00094466" w:rsidP="00E86D77">
      <w:pPr>
        <w:pStyle w:val="Ttulo1"/>
        <w:rPr>
          <w:b w:val="0"/>
        </w:rPr>
      </w:pPr>
      <w:bookmarkStart w:id="91" w:name="_Toc33192144"/>
      <w:r w:rsidRPr="009C0D07">
        <w:t xml:space="preserve">III. </w:t>
      </w:r>
      <w:r w:rsidR="00E86D77" w:rsidRPr="009C0D07">
        <w:t>De la procedencia del cambio de modalidad a consulta directa “in situ”</w:t>
      </w:r>
      <w:bookmarkEnd w:id="91"/>
    </w:p>
    <w:p w14:paraId="6A9353FC" w14:textId="77777777" w:rsidR="00E86D77" w:rsidRPr="009C0D07" w:rsidRDefault="00E86D77" w:rsidP="00E86D77">
      <w:pPr>
        <w:pStyle w:val="Prrafodelista"/>
        <w:tabs>
          <w:tab w:val="left" w:pos="426"/>
        </w:tabs>
        <w:spacing w:line="360" w:lineRule="auto"/>
        <w:ind w:left="0"/>
        <w:jc w:val="both"/>
        <w:rPr>
          <w:rFonts w:ascii="Palatino Linotype" w:eastAsia="Times New Roman" w:hAnsi="Palatino Linotype"/>
        </w:rPr>
      </w:pPr>
    </w:p>
    <w:p w14:paraId="3109D52C" w14:textId="653064F6" w:rsidR="00E86D77" w:rsidRPr="009C0D07" w:rsidRDefault="00E86D77" w:rsidP="00E86D77">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Times New Roman" w:hAnsi="Palatino Linotype"/>
        </w:rPr>
        <w:t>Precisado lo anterior, resulta procedente analizar el cambio de modalidad de entrega de la información a consulta directa o “</w:t>
      </w:r>
      <w:r w:rsidRPr="009C0D07">
        <w:rPr>
          <w:rFonts w:ascii="Palatino Linotype" w:eastAsia="Times New Roman" w:hAnsi="Palatino Linotype"/>
          <w:i/>
        </w:rPr>
        <w:t>in situ</w:t>
      </w:r>
      <w:r w:rsidRPr="009C0D07">
        <w:rPr>
          <w:rFonts w:ascii="Palatino Linotype" w:eastAsia="Times New Roman" w:hAnsi="Palatino Linotype"/>
        </w:rPr>
        <w:t xml:space="preserve">” que requirió el </w:t>
      </w:r>
      <w:r w:rsidRPr="009C0D07">
        <w:rPr>
          <w:rFonts w:ascii="Palatino Linotype" w:eastAsia="Times New Roman" w:hAnsi="Palatino Linotype"/>
          <w:b/>
        </w:rPr>
        <w:t>SUJETO OBLIGADO</w:t>
      </w:r>
      <w:r w:rsidRPr="009C0D07">
        <w:rPr>
          <w:rFonts w:ascii="Palatino Linotype" w:eastAsia="Times New Roman" w:hAnsi="Palatino Linotype"/>
        </w:rPr>
        <w:t xml:space="preserve"> mediante el Sistema de Acceso a la Información Mexiquense (SAIMEX), </w:t>
      </w:r>
      <w:r w:rsidR="00FF7D2C" w:rsidRPr="009C0D07">
        <w:rPr>
          <w:rFonts w:ascii="Palatino Linotype" w:eastAsia="Times New Roman" w:hAnsi="Palatino Linotype"/>
        </w:rPr>
        <w:t>en fecha seis</w:t>
      </w:r>
      <w:r w:rsidRPr="009C0D07">
        <w:rPr>
          <w:rFonts w:ascii="Palatino Linotype" w:eastAsia="Times New Roman" w:hAnsi="Palatino Linotype"/>
        </w:rPr>
        <w:t xml:space="preserve"> (</w:t>
      </w:r>
      <w:r w:rsidR="00FF7D2C" w:rsidRPr="009C0D07">
        <w:rPr>
          <w:rFonts w:ascii="Palatino Linotype" w:eastAsia="Times New Roman" w:hAnsi="Palatino Linotype"/>
        </w:rPr>
        <w:t>06</w:t>
      </w:r>
      <w:r w:rsidRPr="009C0D07">
        <w:rPr>
          <w:rFonts w:ascii="Palatino Linotype" w:eastAsia="Times New Roman" w:hAnsi="Palatino Linotype"/>
        </w:rPr>
        <w:t xml:space="preserve">) de </w:t>
      </w:r>
      <w:r w:rsidR="00FF7D2C" w:rsidRPr="009C0D07">
        <w:rPr>
          <w:rFonts w:ascii="Palatino Linotype" w:eastAsia="Times New Roman" w:hAnsi="Palatino Linotype"/>
        </w:rPr>
        <w:t>dic</w:t>
      </w:r>
      <w:r w:rsidRPr="009C0D07">
        <w:rPr>
          <w:rFonts w:ascii="Palatino Linotype" w:eastAsia="Times New Roman" w:hAnsi="Palatino Linotype"/>
        </w:rPr>
        <w:t>iembre de dos mil diecinueve.</w:t>
      </w:r>
    </w:p>
    <w:p w14:paraId="47B3A566" w14:textId="77777777" w:rsidR="00FF7D2C" w:rsidRPr="009C0D07" w:rsidRDefault="00FF7D2C" w:rsidP="00FF7D2C">
      <w:pPr>
        <w:pStyle w:val="Prrafodelista"/>
        <w:tabs>
          <w:tab w:val="left" w:pos="426"/>
        </w:tabs>
        <w:spacing w:line="360" w:lineRule="auto"/>
        <w:ind w:left="0"/>
        <w:jc w:val="both"/>
        <w:rPr>
          <w:rFonts w:ascii="Palatino Linotype" w:eastAsia="Times New Roman" w:hAnsi="Palatino Linotype"/>
        </w:rPr>
      </w:pPr>
    </w:p>
    <w:p w14:paraId="39AF551A" w14:textId="4408DE14" w:rsidR="00E86D77" w:rsidRPr="009C0D07" w:rsidRDefault="00E86D77" w:rsidP="00FF7D2C">
      <w:pPr>
        <w:pStyle w:val="Prrafodelista"/>
        <w:numPr>
          <w:ilvl w:val="0"/>
          <w:numId w:val="1"/>
        </w:numPr>
        <w:tabs>
          <w:tab w:val="left" w:pos="426"/>
        </w:tabs>
        <w:spacing w:line="360" w:lineRule="auto"/>
        <w:ind w:left="0" w:firstLine="0"/>
        <w:jc w:val="both"/>
        <w:rPr>
          <w:rFonts w:ascii="Palatino Linotype" w:eastAsia="Times New Roman" w:hAnsi="Palatino Linotype"/>
          <w:color w:val="0D0D0D" w:themeColor="text1" w:themeTint="F2"/>
        </w:rPr>
      </w:pPr>
      <w:r w:rsidRPr="009C0D07">
        <w:rPr>
          <w:rFonts w:ascii="Palatino Linotype" w:eastAsia="Times New Roman" w:hAnsi="Palatino Linotype"/>
        </w:rPr>
        <w:t>De</w:t>
      </w:r>
      <w:r w:rsidR="00FF7D2C" w:rsidRPr="009C0D07">
        <w:rPr>
          <w:rFonts w:ascii="Palatino Linotype" w:eastAsia="Times New Roman" w:hAnsi="Palatino Linotype"/>
        </w:rPr>
        <w:t xml:space="preserve"> las manifestaciones realizadas </w:t>
      </w:r>
      <w:r w:rsidRPr="009C0D07">
        <w:rPr>
          <w:rFonts w:ascii="Palatino Linotype" w:eastAsia="Times New Roman" w:hAnsi="Palatino Linotype"/>
        </w:rPr>
        <w:t xml:space="preserve">en término generales, </w:t>
      </w:r>
      <w:r w:rsidR="00FF7D2C" w:rsidRPr="009C0D07">
        <w:rPr>
          <w:rFonts w:ascii="Palatino Linotype" w:eastAsia="Times New Roman" w:hAnsi="Palatino Linotype"/>
        </w:rPr>
        <w:t>el Ayuntamiento de Atizapán de Zaragoza en términos generales</w:t>
      </w:r>
      <w:r w:rsidRPr="009C0D07">
        <w:rPr>
          <w:rFonts w:ascii="Palatino Linotype" w:eastAsia="Times New Roman" w:hAnsi="Palatino Linotype"/>
        </w:rPr>
        <w:t xml:space="preserve"> refirió una imposibilidad </w:t>
      </w:r>
      <w:r w:rsidR="00FF7D2C" w:rsidRPr="009C0D07">
        <w:rPr>
          <w:rFonts w:ascii="Palatino Linotype" w:eastAsia="Times New Roman" w:hAnsi="Palatino Linotype"/>
        </w:rPr>
        <w:t xml:space="preserve">técnica, </w:t>
      </w:r>
      <w:r w:rsidRPr="009C0D07">
        <w:rPr>
          <w:rFonts w:ascii="Palatino Linotype" w:eastAsia="Times New Roman" w:hAnsi="Palatino Linotype"/>
        </w:rPr>
        <w:t xml:space="preserve">y humana para entregar la información solicitada a través del Sistema de Acceso a la Información Mexiquense (SAIMEX); asimismo, el </w:t>
      </w:r>
      <w:r w:rsidRPr="009C0D07">
        <w:rPr>
          <w:rFonts w:ascii="Palatino Linotype" w:eastAsia="Times New Roman" w:hAnsi="Palatino Linotype"/>
          <w:b/>
        </w:rPr>
        <w:t>SUJETO OBLIGADO</w:t>
      </w:r>
      <w:r w:rsidRPr="009C0D07">
        <w:rPr>
          <w:rFonts w:ascii="Palatino Linotype" w:eastAsia="Times New Roman" w:hAnsi="Palatino Linotype"/>
        </w:rPr>
        <w:t xml:space="preserve"> informó </w:t>
      </w:r>
      <w:r w:rsidR="00FF7D2C" w:rsidRPr="009C0D07">
        <w:rPr>
          <w:rFonts w:ascii="Palatino Linotype" w:eastAsia="Times New Roman" w:hAnsi="Palatino Linotype"/>
        </w:rPr>
        <w:t xml:space="preserve">que </w:t>
      </w:r>
      <w:r w:rsidR="00FF7D2C" w:rsidRPr="009C0D07">
        <w:rPr>
          <w:rFonts w:ascii="Palatino Linotype" w:eastAsia="Times New Roman" w:hAnsi="Palatino Linotype"/>
          <w:color w:val="0D0D0D" w:themeColor="text1" w:themeTint="F2"/>
        </w:rPr>
        <w:t>“</w:t>
      </w:r>
      <w:r w:rsidR="00FF7D2C" w:rsidRPr="009C0D07">
        <w:rPr>
          <w:rFonts w:ascii="Palatino Linotype" w:hAnsi="Palatino Linotype" w:cs="Arial"/>
          <w:i/>
          <w:color w:val="0D0D0D" w:themeColor="text1" w:themeTint="F2"/>
          <w:sz w:val="22"/>
          <w:szCs w:val="22"/>
        </w:rPr>
        <w:t>SE SOLICITÓ EL CAMBIO DE MODALIDAD, MISMA QUE FUE APROBADA POR EL ÁREA DE INFORMÁTICA DEL INFOEM, DERIVADO DE QUE NO SE CUENTA CON LOS RECURSOS MATERIALES, TÉCNICOS Y HUMANOS NI CON LA CAPACIDAD PARA PODERLA ENVIAR YA QUE CONTIENE UN PESO QU EXCEDE LA CAPACIDAD DE GB, POR LO ANTERIOR MENTE EXPUESTO LE INFORMO QUE PUEDE ACUDIR A LA UNIDAD DE TRANSPARENCIA DE LUNES A VIERNES DE 09:00 A 18:00 HORAS EN DÍAS HÁBILES UBICADA EN BLVD. ADOLFO LÓPEZ MATEOS N° 91, COL. EL POTRERO ATIZAPÁN DE ZARAGOZA TEL: 36 22 27 64, PARA PONER A DISPOSICIÓN LO SOLICITADO GRACIAS.</w:t>
      </w:r>
      <w:r w:rsidR="00FF7D2C" w:rsidRPr="009C0D07">
        <w:rPr>
          <w:rFonts w:ascii="Palatino Linotype" w:eastAsia="Times New Roman" w:hAnsi="Palatino Linotype"/>
          <w:color w:val="0D0D0D" w:themeColor="text1" w:themeTint="F2"/>
        </w:rPr>
        <w:t>”</w:t>
      </w:r>
    </w:p>
    <w:p w14:paraId="1660A30F" w14:textId="77777777" w:rsidR="00E86D77" w:rsidRPr="009C0D07" w:rsidRDefault="00E86D77" w:rsidP="00E86D77">
      <w:pPr>
        <w:pStyle w:val="Prrafodelista"/>
        <w:tabs>
          <w:tab w:val="left" w:pos="426"/>
        </w:tabs>
        <w:spacing w:line="360" w:lineRule="auto"/>
        <w:ind w:left="0"/>
        <w:jc w:val="both"/>
        <w:rPr>
          <w:rFonts w:ascii="Palatino Linotype" w:eastAsia="Times New Roman" w:hAnsi="Palatino Linotype"/>
        </w:rPr>
      </w:pPr>
    </w:p>
    <w:p w14:paraId="77B49C07" w14:textId="73216CF8" w:rsidR="00A82CD1" w:rsidRPr="009C0D07" w:rsidRDefault="00E86D77" w:rsidP="00D87FB0">
      <w:pPr>
        <w:pStyle w:val="Prrafodelista"/>
        <w:numPr>
          <w:ilvl w:val="0"/>
          <w:numId w:val="1"/>
        </w:numPr>
        <w:tabs>
          <w:tab w:val="left" w:pos="426"/>
        </w:tabs>
        <w:spacing w:line="360" w:lineRule="auto"/>
        <w:ind w:left="0" w:firstLine="0"/>
        <w:jc w:val="both"/>
        <w:rPr>
          <w:rFonts w:ascii="Palatino Linotype" w:eastAsia="Times New Roman" w:hAnsi="Palatino Linotype"/>
          <w:i/>
        </w:rPr>
      </w:pPr>
      <w:r w:rsidRPr="009C0D07">
        <w:rPr>
          <w:rFonts w:ascii="Palatino Linotype" w:eastAsia="Times New Roman" w:hAnsi="Palatino Linotype"/>
        </w:rPr>
        <w:lastRenderedPageBreak/>
        <w:t xml:space="preserve">Así, </w:t>
      </w:r>
      <w:r w:rsidR="00A82CD1" w:rsidRPr="009C0D07">
        <w:rPr>
          <w:rFonts w:ascii="Palatino Linotype" w:eastAsia="Times New Roman" w:hAnsi="Palatino Linotype"/>
        </w:rPr>
        <w:t xml:space="preserve">mismo adjuntó el oficio número INFOEM/DI/659/2019 SIGNADO POR LA Directora de Informática de éste Instituto, a través del cual </w:t>
      </w:r>
      <w:r w:rsidR="00D87FB0" w:rsidRPr="009C0D07">
        <w:rPr>
          <w:rFonts w:ascii="Palatino Linotype" w:eastAsia="Times New Roman" w:hAnsi="Palatino Linotype"/>
        </w:rPr>
        <w:t>se informa al SUJETO OBLIGADO "</w:t>
      </w:r>
      <w:r w:rsidR="00D87FB0" w:rsidRPr="009C0D07">
        <w:rPr>
          <w:rFonts w:ascii="Palatino Linotype" w:hAnsi="Palatino Linotype"/>
          <w:i/>
        </w:rPr>
        <w:t>A</w:t>
      </w:r>
      <w:r w:rsidR="00D87FB0" w:rsidRPr="009C0D07">
        <w:rPr>
          <w:rFonts w:ascii="Palatino Linotype" w:eastAsia="Times New Roman" w:hAnsi="Palatino Linotype"/>
          <w:i/>
        </w:rPr>
        <w:t xml:space="preserve">l respecto me permito comunicarle a Usted que dicha incidencia ha quedado registrada en la bitácora de incidencias, toda vez que, trata de subir aproximadamente 25000 fojas, lo cual sobrepasa las capacidades técnicas del sistema </w:t>
      </w:r>
      <w:proofErr w:type="spellStart"/>
      <w:r w:rsidR="00D87FB0" w:rsidRPr="009C0D07">
        <w:rPr>
          <w:rFonts w:ascii="Palatino Linotype" w:eastAsia="Times New Roman" w:hAnsi="Palatino Linotype"/>
          <w:i/>
        </w:rPr>
        <w:t>Saimex</w:t>
      </w:r>
      <w:proofErr w:type="spellEnd"/>
      <w:r w:rsidR="00D87FB0" w:rsidRPr="009C0D07">
        <w:rPr>
          <w:rFonts w:ascii="Palatino Linotype" w:eastAsia="Times New Roman" w:hAnsi="Palatino Linotype"/>
          <w:i/>
        </w:rPr>
        <w:t>"</w:t>
      </w:r>
    </w:p>
    <w:p w14:paraId="3B9099F2" w14:textId="77777777" w:rsidR="00A82CD1" w:rsidRPr="009C0D07" w:rsidRDefault="00A82CD1" w:rsidP="00A82CD1">
      <w:pPr>
        <w:pStyle w:val="Prrafodelista"/>
        <w:rPr>
          <w:rFonts w:ascii="Palatino Linotype" w:eastAsia="Times New Roman" w:hAnsi="Palatino Linotype"/>
        </w:rPr>
      </w:pPr>
    </w:p>
    <w:p w14:paraId="145C3D69" w14:textId="3ADA69DD" w:rsidR="00E86D77" w:rsidRPr="009C0D07" w:rsidRDefault="00A82CD1" w:rsidP="00FF7D2C">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Times New Roman" w:hAnsi="Palatino Linotype"/>
        </w:rPr>
        <w:t xml:space="preserve">Por lo que </w:t>
      </w:r>
      <w:r w:rsidR="00E86D77" w:rsidRPr="009C0D07">
        <w:rPr>
          <w:rFonts w:ascii="Palatino Linotype" w:eastAsia="Times New Roman" w:hAnsi="Palatino Linotype"/>
        </w:rPr>
        <w:t xml:space="preserve">del análisis al cambio de modalidad de referencia se advierte la imposibilidad técnica, del </w:t>
      </w:r>
      <w:r w:rsidR="00E86D77" w:rsidRPr="009C0D07">
        <w:rPr>
          <w:rFonts w:ascii="Palatino Linotype" w:eastAsia="Times New Roman" w:hAnsi="Palatino Linotype"/>
          <w:b/>
        </w:rPr>
        <w:t>SUJETO OBLIGADO</w:t>
      </w:r>
      <w:r w:rsidR="00E86D77" w:rsidRPr="009C0D07">
        <w:rPr>
          <w:rFonts w:ascii="Palatino Linotype" w:eastAsia="Times New Roman" w:hAnsi="Palatino Linotype"/>
        </w:rPr>
        <w:t xml:space="preserve"> para atender las solicitudes de información que nos ocupan, en la modalidad elegida por la particular; en virtud del volumen de la información, por lo cual, con el objeto de satisfacer el acceso a la información solicitada por </w:t>
      </w:r>
      <w:r w:rsidRPr="009C0D07">
        <w:rPr>
          <w:rFonts w:ascii="Palatino Linotype" w:eastAsia="Times New Roman" w:hAnsi="Palatino Linotype"/>
        </w:rPr>
        <w:t>el</w:t>
      </w:r>
      <w:r w:rsidR="00E86D77" w:rsidRPr="009C0D07">
        <w:rPr>
          <w:rFonts w:ascii="Palatino Linotype" w:eastAsia="Times New Roman" w:hAnsi="Palatino Linotype"/>
        </w:rPr>
        <w:t xml:space="preserve"> hoy recurrente, se considera procedente el cambio de modalidad señalado, con base en los siguientes argumentos.</w:t>
      </w:r>
    </w:p>
    <w:p w14:paraId="4BEA5BCF" w14:textId="77777777" w:rsidR="00FF7D2C" w:rsidRPr="009C0D07" w:rsidRDefault="00FF7D2C" w:rsidP="00FF7D2C">
      <w:pPr>
        <w:pStyle w:val="Prrafodelista"/>
        <w:rPr>
          <w:rFonts w:ascii="Palatino Linotype" w:eastAsia="Times New Roman" w:hAnsi="Palatino Linotype"/>
        </w:rPr>
      </w:pPr>
    </w:p>
    <w:p w14:paraId="457BFC87" w14:textId="3B2245B7" w:rsidR="00E86D77" w:rsidRPr="009C0D07" w:rsidRDefault="00E86D77" w:rsidP="00FF7D2C">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Times New Roman" w:hAnsi="Palatino Linotype"/>
        </w:rPr>
        <w:t xml:space="preserve">Aunado a que, derivado del tipo de información que requirió la particular, la cual versa sobre diversos temas, </w:t>
      </w:r>
      <w:r w:rsidRPr="009C0D07">
        <w:rPr>
          <w:rFonts w:ascii="Palatino Linotype" w:eastAsia="Calibri" w:hAnsi="Palatino Linotype" w:cs="Tahoma"/>
          <w:bCs/>
          <w:iCs/>
          <w:lang w:eastAsia="es-ES_tradnl"/>
        </w:rPr>
        <w:t xml:space="preserve">así como de la atención que el </w:t>
      </w:r>
      <w:r w:rsidRPr="009C0D07">
        <w:rPr>
          <w:rFonts w:ascii="Palatino Linotype" w:eastAsia="Calibri" w:hAnsi="Palatino Linotype" w:cs="Tahoma"/>
          <w:b/>
          <w:bCs/>
          <w:iCs/>
          <w:lang w:eastAsia="es-ES_tradnl"/>
        </w:rPr>
        <w:t>SUJETO OBLIGADO</w:t>
      </w:r>
      <w:r w:rsidRPr="009C0D07">
        <w:rPr>
          <w:rFonts w:ascii="Palatino Linotype" w:eastAsia="Calibri" w:hAnsi="Palatino Linotype" w:cs="Tahoma"/>
          <w:bCs/>
          <w:iCs/>
          <w:lang w:eastAsia="es-ES_tradnl"/>
        </w:rPr>
        <w:t xml:space="preserve"> está realizando de otras solicitudes de información y recursos de revisión, adicional a las limitantes de las capacidades técnicas, y humanas, es que se configura la necesidad </w:t>
      </w:r>
      <w:r w:rsidR="00A82CD1" w:rsidRPr="009C0D07">
        <w:rPr>
          <w:rFonts w:ascii="Palatino Linotype" w:eastAsia="Calibri" w:hAnsi="Palatino Linotype" w:cs="Tahoma"/>
          <w:bCs/>
          <w:iCs/>
          <w:lang w:eastAsia="es-ES_tradnl"/>
        </w:rPr>
        <w:t xml:space="preserve">de </w:t>
      </w:r>
      <w:r w:rsidRPr="009C0D07">
        <w:rPr>
          <w:rFonts w:ascii="Palatino Linotype" w:eastAsia="Calibri" w:hAnsi="Palatino Linotype" w:cs="Tahoma"/>
          <w:bCs/>
          <w:iCs/>
          <w:lang w:eastAsia="es-ES_tradnl"/>
        </w:rPr>
        <w:t>dicho cambio de modalidad.</w:t>
      </w:r>
    </w:p>
    <w:p w14:paraId="17881DF7" w14:textId="77777777" w:rsidR="00A82CD1" w:rsidRPr="009C0D07" w:rsidRDefault="00A82CD1" w:rsidP="00A82CD1">
      <w:pPr>
        <w:pStyle w:val="Prrafodelista"/>
        <w:rPr>
          <w:rFonts w:ascii="Palatino Linotype" w:eastAsia="Times New Roman" w:hAnsi="Palatino Linotype"/>
        </w:rPr>
      </w:pPr>
    </w:p>
    <w:p w14:paraId="7BEBA01F" w14:textId="77777777" w:rsidR="00E86D77" w:rsidRPr="009C0D07" w:rsidRDefault="00E86D77" w:rsidP="00A82CD1">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Times New Roman" w:hAnsi="Palatino Linotype"/>
        </w:rPr>
        <w:t xml:space="preserve">Ante ello, resulta conveniente agregar que si bien en el artículo 155 fracción V de la Ley de Transparencia y Acceso a la Información Pública del Estado de México y Municipios se precisa que para presentar una solicitud, el particular podrá señalar </w:t>
      </w:r>
      <w:r w:rsidRPr="009C0D07">
        <w:rPr>
          <w:rFonts w:ascii="Palatino Linotype" w:eastAsia="Times New Roman" w:hAnsi="Palatino Linotype"/>
          <w:b/>
        </w:rPr>
        <w:t>la modalidad en la que prefiere se otorgue el acceso a la información</w:t>
      </w:r>
      <w:r w:rsidRPr="009C0D07">
        <w:rPr>
          <w:rFonts w:ascii="Palatino Linotype" w:eastAsia="Times New Roman" w:hAnsi="Palatino Linotype"/>
        </w:rPr>
        <w:t xml:space="preserve">, la cual podrá ser verbal, siempre y cuando sea para fines de orientación, mediante consulta </w:t>
      </w:r>
      <w:r w:rsidRPr="009C0D07">
        <w:rPr>
          <w:rFonts w:ascii="Palatino Linotype" w:eastAsia="Times New Roman" w:hAnsi="Palatino Linotype"/>
        </w:rPr>
        <w:lastRenderedPageBreak/>
        <w:t>directa, mediante la expedición de copias simples o certificadas o la reproducción en cualquier otro medio, incluidos los electrónicos, lo cierto es que cuando la misma no pueda ser proporcionada por la vía requerida, los Sujetos Obligado deberán ofrecer otra modalidad de entrega, la cual puede ser mediante consulta directa u otras que la Ley en mérito señala.</w:t>
      </w:r>
    </w:p>
    <w:p w14:paraId="26CFCF4B" w14:textId="77777777" w:rsidR="00A82CD1" w:rsidRPr="009C0D07" w:rsidRDefault="00A82CD1" w:rsidP="00A82CD1">
      <w:pPr>
        <w:pStyle w:val="Prrafodelista"/>
        <w:rPr>
          <w:rFonts w:ascii="Palatino Linotype" w:eastAsia="Times New Roman" w:hAnsi="Palatino Linotype"/>
        </w:rPr>
      </w:pPr>
    </w:p>
    <w:p w14:paraId="3017D8B3" w14:textId="77777777" w:rsidR="00E86D77" w:rsidRPr="009C0D07" w:rsidRDefault="00E86D77" w:rsidP="00A82CD1">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Times New Roman" w:hAnsi="Palatino Linotype"/>
        </w:rPr>
        <w:t xml:space="preserve">Robustece lo anterior el artículo 158 de la Ley de Transparencia y Acceso a la Información Pública del Estado de México y Municipios, el cual dispone que de manera excepcional, cuando de manera fundada y motivada lo determine el </w:t>
      </w:r>
      <w:r w:rsidRPr="009C0D07">
        <w:rPr>
          <w:rFonts w:ascii="Palatino Linotype" w:eastAsia="Times New Roman" w:hAnsi="Palatino Linotype"/>
          <w:b/>
        </w:rPr>
        <w:t>SUJETO OBLIGADO</w:t>
      </w:r>
      <w:r w:rsidRPr="009C0D07">
        <w:rPr>
          <w:rFonts w:ascii="Palatino Linotype" w:eastAsia="Times New Roman" w:hAnsi="Palatino Linotype"/>
        </w:rPr>
        <w:t>, en los casos en que la entrega de la información que se encuentre a su disposición sobrepase las capacidades técnicas del mismo, para cumplir con la solicitud, se podrá poner a disposición del solicitante la información en consulta directa.</w:t>
      </w:r>
    </w:p>
    <w:p w14:paraId="6700BF8E" w14:textId="77777777" w:rsidR="00A82CD1" w:rsidRPr="009C0D07" w:rsidRDefault="00A82CD1" w:rsidP="00A82CD1">
      <w:pPr>
        <w:pStyle w:val="Prrafodelista"/>
        <w:rPr>
          <w:rFonts w:ascii="Palatino Linotype" w:eastAsia="Times New Roman" w:hAnsi="Palatino Linotype"/>
        </w:rPr>
      </w:pPr>
    </w:p>
    <w:p w14:paraId="60AC51B1" w14:textId="77777777" w:rsidR="00E86D77" w:rsidRPr="009C0D07" w:rsidRDefault="00E86D77" w:rsidP="00A82CD1">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Times New Roman" w:hAnsi="Palatino Linotype"/>
        </w:rPr>
        <w:t xml:space="preserve">Asimismo, el artículo 164 de la Ley de Transparencia en mérito prevé que el acceso se dará en la modalidad de entrega, y, en su caso, de envío elegidos por el solicitante; sin embargo también se establece que cuando la información no pueda entregarse o enviarse en la modalidad elegida, el </w:t>
      </w:r>
      <w:r w:rsidRPr="009C0D07">
        <w:rPr>
          <w:rFonts w:ascii="Palatino Linotype" w:eastAsia="Times New Roman" w:hAnsi="Palatino Linotype"/>
          <w:b/>
        </w:rPr>
        <w:t>SUJETO OBLIGADO</w:t>
      </w:r>
      <w:r w:rsidRPr="009C0D07">
        <w:rPr>
          <w:rFonts w:ascii="Palatino Linotype" w:eastAsia="Times New Roman" w:hAnsi="Palatino Linotype"/>
        </w:rPr>
        <w:t xml:space="preserve"> deberá ofrecer otra u otras modalidades de entrega, fundando y motivando en cualquier caso la necesidad de ofrecer otro tipo de entrega.</w:t>
      </w:r>
    </w:p>
    <w:p w14:paraId="4D63CB72" w14:textId="77777777" w:rsidR="00A82CD1" w:rsidRPr="009C0D07" w:rsidRDefault="00A82CD1" w:rsidP="00A82CD1">
      <w:pPr>
        <w:pStyle w:val="Prrafodelista"/>
        <w:rPr>
          <w:rFonts w:ascii="Palatino Linotype" w:eastAsia="Times New Roman" w:hAnsi="Palatino Linotype"/>
        </w:rPr>
      </w:pPr>
    </w:p>
    <w:p w14:paraId="5F5C8860" w14:textId="77777777" w:rsidR="00E86D77" w:rsidRPr="009C0D07" w:rsidRDefault="00E86D77" w:rsidP="00A82CD1">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Times New Roman" w:hAnsi="Palatino Linotype"/>
        </w:rPr>
        <w:t xml:space="preserve">Por tanto, de los argumentos vertidos, si bien la entrega de la información los Sujetos Obligados se encuentran constreñidos a garantizarla, en la medida de lo posible, en la forma solicitada por los particulares, lo cierto es que la propia </w:t>
      </w:r>
      <w:r w:rsidRPr="009C0D07">
        <w:rPr>
          <w:rFonts w:ascii="Palatino Linotype" w:eastAsia="Times New Roman" w:hAnsi="Palatino Linotype"/>
        </w:rPr>
        <w:lastRenderedPageBreak/>
        <w:t>normatividad establece supuestos de excepción en los cuales es procedente el cambio de modalidad de entrega de la información, siempre y cuando se acredite la existencia de un impedimento justificado para atenderla en la vía requerida y, a su vez se ofrezca otra modalidad de entrega de la misma, señalando para ello las reglas a seguir para que la información sea proporcionada como lo es el caso de la consulta directa.</w:t>
      </w:r>
    </w:p>
    <w:p w14:paraId="05E39B78" w14:textId="77777777" w:rsidR="00A82CD1" w:rsidRPr="009C0D07" w:rsidRDefault="00A82CD1" w:rsidP="00A82CD1">
      <w:pPr>
        <w:pStyle w:val="Prrafodelista"/>
        <w:rPr>
          <w:rFonts w:ascii="Palatino Linotype" w:eastAsia="Times New Roman" w:hAnsi="Palatino Linotype"/>
        </w:rPr>
      </w:pPr>
    </w:p>
    <w:p w14:paraId="2BFD38DD" w14:textId="6DEB30DB" w:rsidR="00E86D77" w:rsidRPr="009C0D07" w:rsidRDefault="00E86D77" w:rsidP="00A82CD1">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Calibri" w:hAnsi="Palatino Linotype" w:cs="Tahoma"/>
          <w:bCs/>
          <w:szCs w:val="22"/>
          <w:lang w:val="es-ES" w:eastAsia="en-US"/>
        </w:rPr>
        <w:t xml:space="preserve">Por ende, de los argumentos señalados en concatenación con los documentos remitidos en </w:t>
      </w:r>
      <w:r w:rsidR="00D87FB0" w:rsidRPr="009C0D07">
        <w:rPr>
          <w:rFonts w:ascii="Palatino Linotype" w:eastAsia="Calibri" w:hAnsi="Palatino Linotype" w:cs="Tahoma"/>
          <w:bCs/>
          <w:szCs w:val="22"/>
          <w:lang w:val="es-ES" w:eastAsia="en-US"/>
        </w:rPr>
        <w:t>el informe justificado</w:t>
      </w:r>
      <w:r w:rsidRPr="009C0D07">
        <w:rPr>
          <w:rFonts w:ascii="Palatino Linotype" w:eastAsia="Calibri" w:hAnsi="Palatino Linotype" w:cs="Tahoma"/>
          <w:bCs/>
          <w:szCs w:val="22"/>
          <w:lang w:val="es-ES" w:eastAsia="en-US"/>
        </w:rPr>
        <w:t xml:space="preserve">, se tiene que </w:t>
      </w:r>
      <w:r w:rsidR="00D87FB0" w:rsidRPr="009C0D07">
        <w:rPr>
          <w:rFonts w:ascii="Palatino Linotype" w:eastAsia="Calibri" w:hAnsi="Palatino Linotype" w:cs="Tahoma"/>
          <w:bCs/>
          <w:szCs w:val="22"/>
          <w:lang w:val="es-ES" w:eastAsia="en-US"/>
        </w:rPr>
        <w:t xml:space="preserve">si bien es cierto que </w:t>
      </w:r>
      <w:r w:rsidRPr="009C0D07">
        <w:rPr>
          <w:rFonts w:ascii="Palatino Linotype" w:eastAsia="Calibri" w:hAnsi="Palatino Linotype" w:cs="Tahoma"/>
          <w:bCs/>
          <w:szCs w:val="22"/>
          <w:lang w:val="es-ES" w:eastAsia="en-US"/>
        </w:rPr>
        <w:t xml:space="preserve">el </w:t>
      </w:r>
      <w:r w:rsidRPr="009C0D07">
        <w:rPr>
          <w:rFonts w:ascii="Palatino Linotype" w:eastAsia="Calibri" w:hAnsi="Palatino Linotype" w:cs="Tahoma"/>
          <w:b/>
          <w:bCs/>
          <w:szCs w:val="22"/>
          <w:lang w:val="es-ES" w:eastAsia="en-US"/>
        </w:rPr>
        <w:t>SUJETO OBLIGADO</w:t>
      </w:r>
      <w:r w:rsidRPr="009C0D07">
        <w:rPr>
          <w:rFonts w:ascii="Palatino Linotype" w:eastAsia="Calibri" w:hAnsi="Palatino Linotype" w:cs="Tahoma"/>
          <w:bCs/>
          <w:szCs w:val="22"/>
          <w:lang w:val="es-ES" w:eastAsia="en-US"/>
        </w:rPr>
        <w:t xml:space="preserve">, fundó, motivo y justificó </w:t>
      </w:r>
      <w:r w:rsidR="00D87FB0" w:rsidRPr="009C0D07">
        <w:rPr>
          <w:rFonts w:ascii="Palatino Linotype" w:eastAsia="Calibri" w:hAnsi="Palatino Linotype" w:cs="Tahoma"/>
          <w:bCs/>
          <w:szCs w:val="22"/>
          <w:lang w:val="es-ES" w:eastAsia="en-US"/>
        </w:rPr>
        <w:t xml:space="preserve">debidamente </w:t>
      </w:r>
      <w:r w:rsidRPr="009C0D07">
        <w:rPr>
          <w:rFonts w:ascii="Palatino Linotype" w:eastAsia="Calibri" w:hAnsi="Palatino Linotype" w:cs="Tahoma"/>
          <w:bCs/>
          <w:szCs w:val="22"/>
          <w:lang w:val="es-ES" w:eastAsia="en-US"/>
        </w:rPr>
        <w:t xml:space="preserve">la imposibilidad de entregar documentos en formato electrónico a través del SAIMEX, </w:t>
      </w:r>
      <w:r w:rsidR="00D87FB0" w:rsidRPr="009C0D07">
        <w:rPr>
          <w:rFonts w:ascii="Palatino Linotype" w:eastAsia="Calibri" w:hAnsi="Palatino Linotype" w:cs="Tahoma"/>
          <w:bCs/>
          <w:szCs w:val="22"/>
          <w:lang w:val="es-ES" w:eastAsia="en-US"/>
        </w:rPr>
        <w:t>también lo es que</w:t>
      </w:r>
      <w:r w:rsidRPr="009C0D07">
        <w:rPr>
          <w:rFonts w:ascii="Palatino Linotype" w:eastAsia="Calibri" w:hAnsi="Palatino Linotype" w:cs="Tahoma"/>
          <w:bCs/>
          <w:szCs w:val="22"/>
          <w:lang w:val="es-ES" w:eastAsia="en-US"/>
        </w:rPr>
        <w:t xml:space="preserve"> </w:t>
      </w:r>
      <w:r w:rsidR="00D87FB0" w:rsidRPr="009C0D07">
        <w:rPr>
          <w:rFonts w:ascii="Palatino Linotype" w:eastAsia="Calibri" w:hAnsi="Palatino Linotype" w:cs="Tahoma"/>
          <w:bCs/>
          <w:szCs w:val="22"/>
          <w:lang w:val="es-ES" w:eastAsia="en-US"/>
        </w:rPr>
        <w:t>no es dable ordenar la entrega de la información en la modalidad elegida pues nuestra plataforma no soporta las 25,000 hojas referidas por el particular, lo que se traduce en una incapacidad técnica</w:t>
      </w:r>
      <w:r w:rsidRPr="009C0D07">
        <w:rPr>
          <w:rFonts w:ascii="Palatino Linotype" w:eastAsia="Calibri" w:hAnsi="Palatino Linotype" w:cs="Tahoma"/>
          <w:bCs/>
          <w:szCs w:val="22"/>
          <w:lang w:val="es-ES" w:eastAsia="en-US"/>
        </w:rPr>
        <w:t>.</w:t>
      </w:r>
    </w:p>
    <w:p w14:paraId="5CF64DF2" w14:textId="77777777" w:rsidR="00D87FB0" w:rsidRPr="009C0D07" w:rsidRDefault="00D87FB0" w:rsidP="00D87FB0">
      <w:pPr>
        <w:pStyle w:val="Prrafodelista"/>
        <w:rPr>
          <w:rFonts w:ascii="Palatino Linotype" w:eastAsia="Times New Roman" w:hAnsi="Palatino Linotype"/>
        </w:rPr>
      </w:pPr>
    </w:p>
    <w:p w14:paraId="2456EE2E" w14:textId="110213DE" w:rsidR="00E86D77" w:rsidRPr="009C0D07" w:rsidRDefault="00D87FB0" w:rsidP="00D87FB0">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Times New Roman" w:hAnsi="Palatino Linotype"/>
        </w:rPr>
        <w:t>En</w:t>
      </w:r>
      <w:r w:rsidR="00E86D77" w:rsidRPr="009C0D07">
        <w:rPr>
          <w:rFonts w:ascii="Palatino Linotype" w:eastAsia="Times New Roman" w:hAnsi="Palatino Linotype"/>
        </w:rPr>
        <w:t xml:space="preserve"> ese tenor, para que la Consulta directa pueda ser efectuada por la particular, el </w:t>
      </w:r>
      <w:r w:rsidR="00E86D77" w:rsidRPr="009C0D07">
        <w:rPr>
          <w:rFonts w:ascii="Palatino Linotype" w:eastAsia="Times New Roman" w:hAnsi="Palatino Linotype"/>
          <w:b/>
        </w:rPr>
        <w:t>SUJETO OBLIGADO</w:t>
      </w:r>
      <w:r w:rsidR="00E86D77" w:rsidRPr="009C0D07">
        <w:rPr>
          <w:rFonts w:ascii="Palatino Linotype" w:eastAsia="Times New Roman" w:hAnsi="Palatino Linotype"/>
        </w:rPr>
        <w:t xml:space="preserve"> deberá informar a la particular tal y como lo indico en su oficio, </w:t>
      </w:r>
      <w:r w:rsidR="00E86D77" w:rsidRPr="009C0D07">
        <w:rPr>
          <w:rFonts w:ascii="Palatino Linotype" w:hAnsi="Palatino Linotype"/>
          <w:color w:val="222222"/>
          <w:shd w:val="clear" w:color="auto" w:fill="FFFFFF"/>
        </w:rPr>
        <w:t>el domicilio al cual deberá acudir, el nombre de la dependencia o área respectiva, los días y horarios de atención en los cuales podrá consultar la información, la forma y procedimiento a seguir, así como el periodo durante el cual quedará a su disposición la información, conforme a lo dispuesto por el artículo 166 de la Ley de Transparencia y Acceso a la Información Pública del Estado de México y Municipios.</w:t>
      </w:r>
    </w:p>
    <w:p w14:paraId="68ED7792" w14:textId="77777777" w:rsidR="00E05995" w:rsidRPr="009C0D07" w:rsidRDefault="00E05995" w:rsidP="00E05995">
      <w:pPr>
        <w:pStyle w:val="Prrafodelista"/>
        <w:rPr>
          <w:rFonts w:ascii="Palatino Linotype" w:eastAsia="Times New Roman" w:hAnsi="Palatino Linotype"/>
        </w:rPr>
      </w:pPr>
    </w:p>
    <w:p w14:paraId="050AED91" w14:textId="2AC5AD5B" w:rsidR="00E86D77" w:rsidRPr="009C0D07" w:rsidRDefault="00E86D77" w:rsidP="00E05995">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9C0D07">
        <w:rPr>
          <w:rFonts w:ascii="Palatino Linotype" w:eastAsia="Times New Roman" w:hAnsi="Palatino Linotype"/>
        </w:rPr>
        <w:lastRenderedPageBreak/>
        <w:t xml:space="preserve">Asimismo, de lo expuesto por el </w:t>
      </w:r>
      <w:r w:rsidRPr="009C0D07">
        <w:rPr>
          <w:rFonts w:ascii="Palatino Linotype" w:eastAsia="Times New Roman" w:hAnsi="Palatino Linotype"/>
          <w:b/>
        </w:rPr>
        <w:t>SUJETO OBLIGADO</w:t>
      </w:r>
      <w:r w:rsidRPr="009C0D07">
        <w:rPr>
          <w:rFonts w:ascii="Palatino Linotype" w:eastAsia="Times New Roman" w:hAnsi="Palatino Linotype"/>
        </w:rPr>
        <w:t xml:space="preserve"> se tiene que, por cuanto hace al presente asunto, este pretende satisfacer todas y cada una de las solicitudes de información interpuestas por la particular; sin embargo, por el cúmulo de información que representa, aunado al impedimento para subir al SAIMEX la información requerida por falta de las capacidades ya precisadas con anterioridad, es que le resulta viable solicitar el cambio de modalidad a consulta directa a este Órgano Garante; cambio que resulta procedente por cumplir con la hipótesis jurídica prevista en la norma.</w:t>
      </w:r>
    </w:p>
    <w:p w14:paraId="080EEB27" w14:textId="77777777" w:rsidR="00E05995" w:rsidRPr="009C0D07" w:rsidRDefault="00E05995" w:rsidP="00E05995">
      <w:pPr>
        <w:pStyle w:val="Prrafodelista"/>
        <w:rPr>
          <w:rFonts w:ascii="Palatino Linotype" w:eastAsia="Times New Roman" w:hAnsi="Palatino Linotype"/>
        </w:rPr>
      </w:pPr>
    </w:p>
    <w:p w14:paraId="265BB0D7" w14:textId="77777777" w:rsidR="00E05995" w:rsidRPr="009C0D07" w:rsidRDefault="00E05995" w:rsidP="00E05995">
      <w:pPr>
        <w:pStyle w:val="Ttulo2"/>
        <w:rPr>
          <w:szCs w:val="24"/>
        </w:rPr>
      </w:pPr>
      <w:bookmarkStart w:id="92" w:name="_Toc465246434"/>
      <w:bookmarkStart w:id="93" w:name="_Toc8823932"/>
      <w:bookmarkStart w:id="94" w:name="_Toc30093947"/>
      <w:bookmarkStart w:id="95" w:name="_Toc31995276"/>
      <w:bookmarkStart w:id="96" w:name="_Toc33192145"/>
      <w:r w:rsidRPr="009C0D07">
        <w:rPr>
          <w:szCs w:val="24"/>
        </w:rPr>
        <w:t>QUINTO. De la versión pública.</w:t>
      </w:r>
      <w:bookmarkEnd w:id="92"/>
      <w:bookmarkEnd w:id="93"/>
      <w:bookmarkEnd w:id="94"/>
      <w:bookmarkEnd w:id="95"/>
      <w:bookmarkEnd w:id="96"/>
    </w:p>
    <w:p w14:paraId="269BFE6D" w14:textId="77777777" w:rsidR="00E05995" w:rsidRPr="009C0D07" w:rsidRDefault="00E05995" w:rsidP="00E05995">
      <w:pPr>
        <w:spacing w:line="360" w:lineRule="auto"/>
        <w:rPr>
          <w:rFonts w:ascii="Palatino Linotype" w:hAnsi="Palatino Linotype"/>
        </w:rPr>
      </w:pPr>
    </w:p>
    <w:p w14:paraId="497C58AA" w14:textId="77777777" w:rsidR="00E05995" w:rsidRPr="009C0D07" w:rsidRDefault="00E05995" w:rsidP="00E05995">
      <w:pPr>
        <w:pStyle w:val="Prrafodelista"/>
        <w:numPr>
          <w:ilvl w:val="0"/>
          <w:numId w:val="1"/>
        </w:numPr>
        <w:spacing w:line="360" w:lineRule="auto"/>
        <w:ind w:left="0" w:firstLine="0"/>
        <w:jc w:val="both"/>
        <w:rPr>
          <w:rFonts w:ascii="Palatino Linotype" w:hAnsi="Palatino Linotype" w:cs="Arial"/>
          <w:i/>
          <w:color w:val="000000" w:themeColor="text1"/>
          <w:sz w:val="22"/>
          <w:szCs w:val="22"/>
        </w:rPr>
      </w:pPr>
      <w:r w:rsidRPr="009C0D07">
        <w:rPr>
          <w:rFonts w:ascii="Palatino Linotype" w:eastAsia="Calibri" w:hAnsi="Palatino Linotype" w:cs="Arial"/>
          <w:color w:val="000000" w:themeColor="text1"/>
          <w:lang w:val="es-ES" w:eastAsia="es-MX"/>
        </w:rPr>
        <w:t xml:space="preserve">Es de señalar, que por lo que hace a las versiones públicas, el </w:t>
      </w:r>
      <w:r w:rsidRPr="009C0D07">
        <w:rPr>
          <w:rFonts w:ascii="Palatino Linotype" w:eastAsia="Calibri" w:hAnsi="Palatino Linotype" w:cs="Arial"/>
          <w:b/>
          <w:color w:val="000000" w:themeColor="text1"/>
          <w:lang w:val="es-ES" w:eastAsia="es-MX"/>
        </w:rPr>
        <w:t>SUJETO OBLIGADO</w:t>
      </w:r>
      <w:r w:rsidRPr="009C0D07">
        <w:rPr>
          <w:rFonts w:ascii="Palatino Linotype" w:eastAsia="Calibri" w:hAnsi="Palatino Linotype" w:cs="Arial"/>
          <w:color w:val="000000" w:themeColor="text1"/>
          <w:lang w:val="es-ES" w:eastAsia="es-MX"/>
        </w:rPr>
        <w:t xml:space="preserve"> debe cumplir con las formalidades exigidas en la Ley, por lo que </w:t>
      </w:r>
      <w:r w:rsidRPr="009C0D07">
        <w:rPr>
          <w:rFonts w:ascii="Palatino Linotype" w:eastAsia="Times New Roman" w:hAnsi="Palatino Linotype" w:cs="Arial"/>
          <w:color w:val="000000" w:themeColor="text1"/>
          <w:lang w:eastAsia="es-MX"/>
        </w:rPr>
        <w:t xml:space="preserve">para tal efecto emitirá el </w:t>
      </w:r>
      <w:r w:rsidRPr="009C0D07">
        <w:rPr>
          <w:rFonts w:ascii="Palatino Linotype" w:eastAsia="Calibri" w:hAnsi="Palatino Linotype" w:cs="Arial"/>
          <w:color w:val="000000" w:themeColor="text1"/>
          <w:lang w:val="es-ES" w:eastAsia="es-MX"/>
        </w:rPr>
        <w:t>Acuerdo del Comité de Transparencia en términos de los artículos 49 fracción</w:t>
      </w:r>
      <w:r w:rsidRPr="009C0D07">
        <w:rPr>
          <w:rFonts w:ascii="Palatino Linotype" w:eastAsia="Calibri" w:hAnsi="Palatino Linotype" w:cs="Arial"/>
          <w:bCs/>
          <w:color w:val="000000" w:themeColor="text1"/>
        </w:rPr>
        <w:t xml:space="preserve"> VIII,</w:t>
      </w:r>
      <w:r w:rsidRPr="009C0D07">
        <w:rPr>
          <w:rFonts w:ascii="Palatino Linotype" w:eastAsia="Calibri" w:hAnsi="Palatino Linotype" w:cs="Arial"/>
          <w:color w:val="000000" w:themeColor="text1"/>
          <w:lang w:val="es-ES" w:eastAsia="es-MX"/>
        </w:rPr>
        <w:t xml:space="preserve"> 122</w:t>
      </w:r>
      <w:r w:rsidRPr="009C0D07">
        <w:rPr>
          <w:rFonts w:cs="Times New Roman"/>
          <w:vertAlign w:val="superscript"/>
          <w:lang w:val="es-ES" w:eastAsia="es-MX"/>
        </w:rPr>
        <w:footnoteReference w:id="10"/>
      </w:r>
      <w:r w:rsidRPr="009C0D07">
        <w:rPr>
          <w:rFonts w:ascii="Palatino Linotype" w:eastAsia="Calibri" w:hAnsi="Palatino Linotype" w:cs="Arial"/>
          <w:color w:val="000000" w:themeColor="text1"/>
          <w:lang w:val="es-ES" w:eastAsia="es-MX"/>
        </w:rPr>
        <w:t>, 135</w:t>
      </w:r>
      <w:r w:rsidRPr="009C0D07">
        <w:rPr>
          <w:rFonts w:cs="Times New Roman"/>
          <w:vertAlign w:val="superscript"/>
          <w:lang w:val="es-ES" w:eastAsia="es-MX"/>
        </w:rPr>
        <w:footnoteReference w:id="11"/>
      </w:r>
      <w:r w:rsidRPr="009C0D07">
        <w:rPr>
          <w:rFonts w:ascii="Palatino Linotype" w:eastAsia="Calibri" w:hAnsi="Palatino Linotype" w:cs="Arial"/>
          <w:color w:val="000000" w:themeColor="text1"/>
          <w:lang w:val="es-ES" w:eastAsia="es-MX"/>
        </w:rPr>
        <w:t xml:space="preserve"> y 149 de la </w:t>
      </w:r>
      <w:r w:rsidRPr="009C0D07">
        <w:rPr>
          <w:rFonts w:ascii="Palatino Linotype" w:eastAsia="Calibri" w:hAnsi="Palatino Linotype" w:cs="Arial"/>
          <w:b/>
          <w:color w:val="000000" w:themeColor="text1"/>
          <w:lang w:val="es-ES" w:eastAsia="es-MX"/>
        </w:rPr>
        <w:t>Ley de Transparencia y Acceso a la Información Pública del Estado de México y Municipios</w:t>
      </w:r>
      <w:r w:rsidRPr="009C0D07">
        <w:rPr>
          <w:rFonts w:ascii="Palatino Linotype" w:eastAsia="Calibri" w:hAnsi="Palatino Linotype" w:cs="Arial"/>
          <w:color w:val="000000" w:themeColor="text1"/>
          <w:lang w:val="es-ES" w:eastAsia="es-MX"/>
        </w:rPr>
        <w:t xml:space="preserve">, con el cual sustentara </w:t>
      </w:r>
      <w:r w:rsidRPr="009C0D07">
        <w:rPr>
          <w:rFonts w:ascii="Palatino Linotype" w:eastAsia="Calibri" w:hAnsi="Palatino Linotype" w:cs="Arial"/>
          <w:color w:val="000000" w:themeColor="text1"/>
          <w:lang w:val="es-ES" w:eastAsia="es-MX"/>
        </w:rPr>
        <w:lastRenderedPageBreak/>
        <w:t>de forma fundada y motivada la clasificación de datos y con ello la "versión pública" de los documentos materia de la solicitud.</w:t>
      </w:r>
    </w:p>
    <w:p w14:paraId="42624D05"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50319BCC"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 xml:space="preserve">La </w:t>
      </w:r>
      <w:r w:rsidRPr="009C0D07">
        <w:rPr>
          <w:rFonts w:ascii="Palatino Linotype" w:eastAsia="MS Mincho" w:hAnsi="Palatino Linotype" w:cs="Times New Roman"/>
          <w:b/>
          <w:color w:val="000000"/>
          <w:u w:val="single"/>
        </w:rPr>
        <w:t>clasificación total o parcial</w:t>
      </w:r>
      <w:r w:rsidRPr="009C0D07">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9C0D07">
        <w:footnoteReference w:id="12"/>
      </w:r>
      <w:r w:rsidRPr="009C0D07">
        <w:rPr>
          <w:rFonts w:ascii="Palatino Linotype" w:eastAsia="MS Mincho" w:hAnsi="Palatino Linotype" w:cs="Times New Roman"/>
          <w:color w:val="000000"/>
        </w:rPr>
        <w:t xml:space="preserve"> aunque cualquier límite o </w:t>
      </w:r>
      <w:r w:rsidRPr="009C0D07">
        <w:rPr>
          <w:rFonts w:ascii="Palatino Linotype" w:eastAsia="MS Mincho" w:hAnsi="Palatino Linotype" w:cs="Times New Roman"/>
          <w:color w:val="000000"/>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C0D07">
        <w:footnoteReference w:id="13"/>
      </w:r>
      <w:r w:rsidRPr="009C0D07">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A32B8EE" w14:textId="77777777" w:rsidR="00E05995" w:rsidRPr="009C0D07" w:rsidRDefault="00E05995" w:rsidP="00E05995">
      <w:pPr>
        <w:pStyle w:val="Prrafodelista"/>
        <w:spacing w:line="360" w:lineRule="auto"/>
        <w:ind w:left="0"/>
        <w:jc w:val="both"/>
        <w:rPr>
          <w:rFonts w:ascii="Palatino Linotype" w:eastAsia="MS Mincho" w:hAnsi="Palatino Linotype" w:cs="Times New Roman"/>
          <w:color w:val="000000"/>
        </w:rPr>
      </w:pPr>
    </w:p>
    <w:p w14:paraId="26ED3171" w14:textId="77777777" w:rsidR="00E05995" w:rsidRPr="009C0D07" w:rsidRDefault="00E05995" w:rsidP="00E05995">
      <w:pPr>
        <w:pStyle w:val="Ttulo2"/>
      </w:pPr>
      <w:bookmarkStart w:id="97" w:name="_Toc500422379"/>
      <w:bookmarkStart w:id="98" w:name="_Toc504070607"/>
      <w:bookmarkStart w:id="99" w:name="_Toc505173986"/>
      <w:bookmarkStart w:id="100" w:name="_Toc8823933"/>
      <w:bookmarkStart w:id="101" w:name="_Toc30093948"/>
      <w:bookmarkStart w:id="102" w:name="_Toc31995277"/>
      <w:bookmarkStart w:id="103" w:name="_Toc33192146"/>
      <w:r w:rsidRPr="009C0D07">
        <w:t>I. Requisitos previos</w:t>
      </w:r>
      <w:bookmarkEnd w:id="97"/>
      <w:r w:rsidRPr="009C0D07">
        <w:t>.</w:t>
      </w:r>
      <w:bookmarkEnd w:id="98"/>
      <w:bookmarkEnd w:id="99"/>
      <w:bookmarkEnd w:id="100"/>
      <w:bookmarkEnd w:id="101"/>
      <w:bookmarkEnd w:id="102"/>
      <w:bookmarkEnd w:id="103"/>
    </w:p>
    <w:p w14:paraId="748E919E" w14:textId="77777777" w:rsidR="00E05995" w:rsidRPr="009C0D07" w:rsidRDefault="00E05995" w:rsidP="00E05995">
      <w:pPr>
        <w:spacing w:line="360" w:lineRule="auto"/>
        <w:ind w:left="360"/>
        <w:contextualSpacing/>
        <w:jc w:val="both"/>
        <w:rPr>
          <w:rFonts w:ascii="Palatino Linotype" w:eastAsia="MS Mincho" w:hAnsi="Palatino Linotype" w:cs="Times New Roman"/>
          <w:color w:val="000000"/>
        </w:rPr>
      </w:pPr>
    </w:p>
    <w:p w14:paraId="1C7544E0" w14:textId="77777777" w:rsidR="00E05995" w:rsidRPr="009C0D07" w:rsidRDefault="00E05995" w:rsidP="00E05995">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9C0D07">
        <w:rPr>
          <w:rFonts w:ascii="Palatino Linotype" w:eastAsia="MS Mincho" w:hAnsi="Palatino Linotype" w:cs="Times New Roman"/>
          <w:color w:val="000000"/>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9DFFD32" w14:textId="77777777" w:rsidR="00E05995" w:rsidRPr="009C0D07" w:rsidRDefault="00E05995" w:rsidP="00E05995">
      <w:pPr>
        <w:pStyle w:val="Prrafodelista"/>
        <w:spacing w:line="360" w:lineRule="auto"/>
        <w:ind w:left="0"/>
        <w:jc w:val="both"/>
        <w:rPr>
          <w:rFonts w:ascii="Palatino Linotype" w:eastAsia="MS Mincho" w:hAnsi="Palatino Linotype" w:cs="Times New Roman"/>
          <w:color w:val="000000"/>
        </w:rPr>
      </w:pPr>
    </w:p>
    <w:p w14:paraId="01014D5F" w14:textId="77777777" w:rsidR="00E05995" w:rsidRPr="009C0D07" w:rsidRDefault="00E05995" w:rsidP="00E05995">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A01DFB3" w14:textId="77777777" w:rsidR="00E05995" w:rsidRPr="009C0D07" w:rsidRDefault="00E05995" w:rsidP="00E05995">
      <w:pPr>
        <w:pStyle w:val="Prrafodelista"/>
        <w:spacing w:line="360" w:lineRule="auto"/>
        <w:ind w:left="0"/>
        <w:jc w:val="both"/>
        <w:rPr>
          <w:rFonts w:ascii="Palatino Linotype" w:eastAsia="MS Mincho" w:hAnsi="Palatino Linotype" w:cs="Times New Roman"/>
          <w:color w:val="000000"/>
        </w:rPr>
      </w:pPr>
    </w:p>
    <w:p w14:paraId="24EF939F" w14:textId="77777777" w:rsidR="00E05995" w:rsidRPr="009C0D07" w:rsidRDefault="00E05995" w:rsidP="00E05995">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5FF0595" w14:textId="77777777" w:rsidR="00E05995" w:rsidRPr="009C0D07" w:rsidRDefault="00E05995" w:rsidP="00E05995">
      <w:pPr>
        <w:pStyle w:val="Prrafodelista"/>
        <w:spacing w:line="360" w:lineRule="auto"/>
        <w:ind w:left="0"/>
        <w:jc w:val="both"/>
        <w:rPr>
          <w:rFonts w:ascii="Palatino Linotype" w:eastAsia="MS Mincho" w:hAnsi="Palatino Linotype" w:cs="Times New Roman"/>
          <w:color w:val="000000"/>
        </w:rPr>
      </w:pPr>
    </w:p>
    <w:p w14:paraId="7385D38B" w14:textId="77777777" w:rsidR="00E05995" w:rsidRPr="009C0D07" w:rsidRDefault="00E05995" w:rsidP="00E05995">
      <w:pPr>
        <w:pStyle w:val="Ttulo2"/>
      </w:pPr>
      <w:bookmarkStart w:id="104" w:name="_Toc500422380"/>
      <w:bookmarkStart w:id="105" w:name="_Toc504070608"/>
      <w:bookmarkStart w:id="106" w:name="_Toc505173987"/>
      <w:bookmarkStart w:id="107" w:name="_Toc8823934"/>
      <w:bookmarkStart w:id="108" w:name="_Toc30093949"/>
      <w:bookmarkStart w:id="109" w:name="_Toc31995278"/>
      <w:bookmarkStart w:id="110" w:name="_Toc33192147"/>
      <w:r w:rsidRPr="009C0D07">
        <w:lastRenderedPageBreak/>
        <w:t xml:space="preserve">II. </w:t>
      </w:r>
      <w:r w:rsidRPr="009C0D07">
        <w:rPr>
          <w:rFonts w:eastAsia="MS Mincho" w:cs="Times New Roman"/>
          <w:color w:val="000000"/>
          <w:szCs w:val="24"/>
        </w:rPr>
        <w:t>Supuestos de clasificación</w:t>
      </w:r>
      <w:bookmarkEnd w:id="104"/>
      <w:r w:rsidRPr="009C0D07">
        <w:rPr>
          <w:rFonts w:eastAsia="MS Mincho" w:cs="Times New Roman"/>
          <w:color w:val="000000"/>
          <w:szCs w:val="24"/>
        </w:rPr>
        <w:t>.</w:t>
      </w:r>
      <w:bookmarkEnd w:id="105"/>
      <w:bookmarkEnd w:id="106"/>
      <w:bookmarkEnd w:id="107"/>
      <w:bookmarkEnd w:id="108"/>
      <w:bookmarkEnd w:id="109"/>
      <w:bookmarkEnd w:id="110"/>
    </w:p>
    <w:p w14:paraId="70117CB5"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69EA2210"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5629B8D2"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19A4378B" w14:textId="77777777" w:rsidR="00E05995" w:rsidRPr="009C0D07" w:rsidRDefault="00E05995" w:rsidP="00E0599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I. Se refiera a la información privada y los datos personales concernientes a una persona física o jurídico colectiva identificada o identificable; </w:t>
      </w:r>
    </w:p>
    <w:p w14:paraId="4BF38E83" w14:textId="77777777" w:rsidR="00E05995" w:rsidRPr="009C0D07" w:rsidRDefault="00E05995" w:rsidP="00E0599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59AF0836" w14:textId="77777777" w:rsidR="00E05995" w:rsidRPr="009C0D07" w:rsidRDefault="00E05995" w:rsidP="00E0599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III. La que presenten los particulares a los sujetos obligados, de conformidad con lo dispuesto por las leyes o los tratados internacionales. </w:t>
      </w:r>
    </w:p>
    <w:p w14:paraId="2ADAEA8B" w14:textId="77777777" w:rsidR="00E05995" w:rsidRPr="009C0D07" w:rsidRDefault="00E05995" w:rsidP="00E0599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2B6491B1" w14:textId="77777777" w:rsidR="00E05995" w:rsidRPr="009C0D07" w:rsidRDefault="00E05995" w:rsidP="00E05995">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No se considerará confidencial la información que se encuentre en los registros públicos o en fuentes de acceso público, ni tampoco la que sea considerada por la presente ley como información pública. </w:t>
      </w:r>
    </w:p>
    <w:p w14:paraId="4C35F9CF"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DBD511E"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72DDBA58"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9C0D07">
        <w:footnoteReference w:id="14"/>
      </w:r>
      <w:r w:rsidRPr="009C0D07">
        <w:rPr>
          <w:rFonts w:ascii="Palatino Linotype" w:eastAsia="MS Mincho" w:hAnsi="Palatino Linotype" w:cs="Times New Roman"/>
          <w:color w:val="000000"/>
        </w:rPr>
        <w:t xml:space="preserve"> para acreditar que el supuesto de hecho corresponde estrictamente con la hipótesis jurídica. Esto también lo debe de realizar el servidor público habilitado y el titular del área que administra la información.</w:t>
      </w:r>
    </w:p>
    <w:p w14:paraId="3F42C8FD"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0025780B"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lastRenderedPageBreak/>
        <w:t>Una vez hecho lo anterior, se remite la información al Titular de la Unidad de Transparencia, con el acuerdo de clasificación correspondiente, para que sea sometido al conocimiento del Comité de Transparencia.</w:t>
      </w:r>
    </w:p>
    <w:p w14:paraId="387AE137" w14:textId="77777777" w:rsidR="00E05995" w:rsidRPr="009C0D07" w:rsidRDefault="00E05995" w:rsidP="00E05995">
      <w:pPr>
        <w:pStyle w:val="Ttulo2"/>
      </w:pPr>
      <w:bookmarkStart w:id="111" w:name="_Toc500422381"/>
      <w:bookmarkStart w:id="112" w:name="_Toc504070609"/>
      <w:bookmarkStart w:id="113" w:name="_Toc505173988"/>
      <w:bookmarkStart w:id="114" w:name="_Toc8823935"/>
      <w:bookmarkStart w:id="115" w:name="_Toc30093950"/>
      <w:bookmarkStart w:id="116" w:name="_Toc31995279"/>
      <w:bookmarkStart w:id="117" w:name="_Toc33192148"/>
      <w:r w:rsidRPr="009C0D07">
        <w:t>III. La intervención del Comité de Transparencia.</w:t>
      </w:r>
      <w:bookmarkEnd w:id="111"/>
      <w:bookmarkEnd w:id="112"/>
      <w:bookmarkEnd w:id="113"/>
      <w:bookmarkEnd w:id="114"/>
      <w:bookmarkEnd w:id="115"/>
      <w:bookmarkEnd w:id="116"/>
      <w:bookmarkEnd w:id="117"/>
    </w:p>
    <w:p w14:paraId="5D1EBCB1" w14:textId="77777777" w:rsidR="00E05995" w:rsidRPr="009C0D07" w:rsidRDefault="00E05995" w:rsidP="00E05995">
      <w:pPr>
        <w:pStyle w:val="Ttulo3"/>
        <w:rPr>
          <w:rFonts w:ascii="Palatino Linotype" w:hAnsi="Palatino Linotype"/>
          <w:b/>
          <w:color w:val="000000" w:themeColor="text1"/>
          <w:szCs w:val="26"/>
          <w:lang w:val="es-MX" w:eastAsia="en-US"/>
        </w:rPr>
      </w:pPr>
      <w:bookmarkStart w:id="118" w:name="_Toc500422382"/>
      <w:bookmarkStart w:id="119" w:name="_Toc504070610"/>
      <w:bookmarkStart w:id="120" w:name="_Toc505173989"/>
      <w:bookmarkStart w:id="121" w:name="_Toc8823936"/>
      <w:bookmarkStart w:id="122" w:name="_Toc30093951"/>
      <w:bookmarkStart w:id="123" w:name="_Toc31995280"/>
      <w:bookmarkStart w:id="124" w:name="_Toc33192149"/>
      <w:r w:rsidRPr="009C0D07">
        <w:rPr>
          <w:rFonts w:ascii="Palatino Linotype" w:hAnsi="Palatino Linotype"/>
          <w:b/>
          <w:color w:val="000000" w:themeColor="text1"/>
          <w:szCs w:val="26"/>
          <w:lang w:val="es-MX" w:eastAsia="en-US"/>
        </w:rPr>
        <w:t>A. Formalidades para emitir el acuerdo de clasificación.</w:t>
      </w:r>
      <w:bookmarkEnd w:id="118"/>
      <w:bookmarkEnd w:id="119"/>
      <w:bookmarkEnd w:id="120"/>
      <w:bookmarkEnd w:id="121"/>
      <w:bookmarkEnd w:id="122"/>
      <w:bookmarkEnd w:id="123"/>
      <w:bookmarkEnd w:id="124"/>
    </w:p>
    <w:p w14:paraId="7F39C5FD" w14:textId="77777777" w:rsidR="00E05995" w:rsidRPr="009C0D07" w:rsidRDefault="00E05995" w:rsidP="00E05995">
      <w:pPr>
        <w:pStyle w:val="Prrafodelista"/>
        <w:spacing w:line="360" w:lineRule="auto"/>
        <w:ind w:left="0"/>
        <w:jc w:val="both"/>
        <w:rPr>
          <w:rFonts w:ascii="Palatino Linotype" w:eastAsia="MS Mincho" w:hAnsi="Palatino Linotype" w:cs="Times New Roman"/>
          <w:color w:val="000000"/>
        </w:rPr>
      </w:pPr>
    </w:p>
    <w:p w14:paraId="666D6621"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DF3FD7F"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6450AE20"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9C0D07">
        <w:rPr>
          <w:rFonts w:ascii="Palatino Linotype" w:eastAsia="MS Mincho" w:hAnsi="Palatino Linotype" w:cs="Times New Roman"/>
          <w:color w:val="000000"/>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634FC49"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39BF3D42"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89DE46A" w14:textId="77777777" w:rsidR="00E05995" w:rsidRPr="009C0D07" w:rsidRDefault="00E05995" w:rsidP="00E05995">
      <w:pPr>
        <w:pStyle w:val="Prrafodelista"/>
        <w:spacing w:line="360" w:lineRule="auto"/>
        <w:ind w:left="0"/>
        <w:jc w:val="both"/>
        <w:rPr>
          <w:rFonts w:ascii="Palatino Linotype" w:eastAsia="MS Mincho" w:hAnsi="Palatino Linotype" w:cs="Times New Roman"/>
          <w:color w:val="000000"/>
        </w:rPr>
      </w:pPr>
    </w:p>
    <w:p w14:paraId="5C50B5BC" w14:textId="77777777" w:rsidR="00E05995" w:rsidRPr="009C0D07" w:rsidRDefault="00E05995" w:rsidP="00E05995">
      <w:pPr>
        <w:pStyle w:val="Ttulo3"/>
        <w:rPr>
          <w:rFonts w:ascii="Palatino Linotype" w:hAnsi="Palatino Linotype"/>
          <w:b/>
          <w:color w:val="000000" w:themeColor="text1"/>
        </w:rPr>
      </w:pPr>
      <w:bookmarkStart w:id="125" w:name="_Toc500422383"/>
      <w:bookmarkStart w:id="126" w:name="_Toc504070611"/>
      <w:bookmarkStart w:id="127" w:name="_Toc505173990"/>
      <w:bookmarkStart w:id="128" w:name="_Toc8823937"/>
      <w:bookmarkStart w:id="129" w:name="_Toc30093952"/>
      <w:bookmarkStart w:id="130" w:name="_Toc31995281"/>
      <w:bookmarkStart w:id="131" w:name="_Toc33192150"/>
      <w:r w:rsidRPr="009C0D07">
        <w:rPr>
          <w:rFonts w:ascii="Palatino Linotype" w:hAnsi="Palatino Linotype"/>
          <w:b/>
          <w:color w:val="000000" w:themeColor="text1"/>
        </w:rPr>
        <w:t>B. Requisitos de fondo del acuerdo de clasificación.</w:t>
      </w:r>
      <w:bookmarkEnd w:id="125"/>
      <w:bookmarkEnd w:id="126"/>
      <w:bookmarkEnd w:id="127"/>
      <w:bookmarkEnd w:id="128"/>
      <w:bookmarkEnd w:id="129"/>
      <w:bookmarkEnd w:id="130"/>
      <w:bookmarkEnd w:id="131"/>
    </w:p>
    <w:p w14:paraId="1F58D79F"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9C0D07">
        <w:rPr>
          <w:rFonts w:ascii="Palatino Linotype" w:eastAsia="MS Mincho" w:hAnsi="Palatino Linotype" w:cs="Times New Roman"/>
          <w:color w:val="000000"/>
        </w:rPr>
        <w:lastRenderedPageBreak/>
        <w:t>prueba, para justificar las restricciones, corresponde a los sujetos obligados, por lo que deberán fundar y motivar debidamente la clasificación.</w:t>
      </w:r>
    </w:p>
    <w:p w14:paraId="2E54BEF0"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042DBE4E"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9EA63E4"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60070C73"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9C0D07">
        <w:rPr>
          <w:rFonts w:ascii="Palatino Linotype" w:eastAsia="MS Mincho" w:hAnsi="Palatino Linotype" w:cs="Times New Roman"/>
          <w:color w:val="000000"/>
        </w:rPr>
        <w:lastRenderedPageBreak/>
        <w:t>del análisis de las pruebas, lo cual se debe exteriorizar en una argumentación o juicio de hecho....”</w:t>
      </w:r>
      <w:r w:rsidRPr="009C0D07">
        <w:footnoteReference w:id="15"/>
      </w:r>
    </w:p>
    <w:p w14:paraId="097583D4" w14:textId="77777777" w:rsidR="00E05995" w:rsidRPr="009C0D07" w:rsidRDefault="00E05995" w:rsidP="00E05995">
      <w:pPr>
        <w:pStyle w:val="Prrafodelista"/>
        <w:spacing w:line="360" w:lineRule="auto"/>
        <w:ind w:left="0"/>
        <w:jc w:val="both"/>
        <w:rPr>
          <w:rFonts w:ascii="Palatino Linotype" w:eastAsia="MS Mincho" w:hAnsi="Palatino Linotype" w:cs="Times New Roman"/>
          <w:color w:val="000000"/>
        </w:rPr>
      </w:pPr>
    </w:p>
    <w:p w14:paraId="7C4F0CA4" w14:textId="77777777" w:rsidR="00E05995" w:rsidRPr="009C0D07" w:rsidRDefault="00E05995" w:rsidP="00E05995">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7FA4EB5B" w14:textId="77777777" w:rsidR="00E05995" w:rsidRPr="009C0D07" w:rsidRDefault="00E05995" w:rsidP="00E05995">
      <w:pPr>
        <w:spacing w:line="360" w:lineRule="auto"/>
        <w:ind w:left="426"/>
        <w:contextualSpacing/>
        <w:jc w:val="both"/>
        <w:rPr>
          <w:rFonts w:ascii="Palatino Linotype" w:eastAsia="MS Mincho" w:hAnsi="Palatino Linotype" w:cs="Times New Roman"/>
          <w:color w:val="000000"/>
        </w:rPr>
      </w:pPr>
    </w:p>
    <w:p w14:paraId="74E604F5" w14:textId="77777777" w:rsidR="00E05995" w:rsidRPr="009C0D07" w:rsidRDefault="00E05995" w:rsidP="00E05995">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b/>
          <w:i/>
          <w:color w:val="000000"/>
          <w:sz w:val="22"/>
          <w:szCs w:val="22"/>
        </w:rPr>
        <w:t>FUNDAMENTACIÓN Y MOTIVACIÓN.</w:t>
      </w:r>
      <w:r w:rsidRPr="009C0D07">
        <w:rPr>
          <w:rFonts w:ascii="Palatino Linotype" w:eastAsia="MS Mincho" w:hAnsi="Palatino Linotype" w:cs="Times New Roman"/>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759116F" w14:textId="77777777" w:rsidR="00E05995" w:rsidRPr="009C0D07" w:rsidRDefault="00E05995" w:rsidP="00E05995">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SEGUNDO TRIBUNAL COLEGIADO DEL SEXTO CIRCUITO.</w:t>
      </w:r>
    </w:p>
    <w:p w14:paraId="6EFE8E7C" w14:textId="77777777" w:rsidR="00E05995" w:rsidRPr="009C0D07" w:rsidRDefault="00E05995" w:rsidP="00E05995">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Amparo directo 194/88. Bufete Industrial Construcciones, S.A. de C.V. 28 de junio de 1988. Unanimidad de votos. Ponente: Gustavo Calvillo Rangel. Secretario: Jorge Alberto González Álvarez.</w:t>
      </w:r>
    </w:p>
    <w:p w14:paraId="36AD2FF8" w14:textId="77777777" w:rsidR="00E05995" w:rsidRPr="009C0D07" w:rsidRDefault="00E05995" w:rsidP="00E05995">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Revisión fiscal 103/88. Instituto Mexicano del Seguro Social. 18 de octubre de 1988. Unanimidad de votos. Ponente: Arnoldo Nájera Virgen. Secretario: Alejandro </w:t>
      </w:r>
      <w:proofErr w:type="spellStart"/>
      <w:r w:rsidRPr="009C0D07">
        <w:rPr>
          <w:rFonts w:ascii="Palatino Linotype" w:eastAsia="MS Mincho" w:hAnsi="Palatino Linotype" w:cs="Times New Roman"/>
          <w:i/>
          <w:color w:val="000000"/>
          <w:sz w:val="22"/>
          <w:szCs w:val="22"/>
        </w:rPr>
        <w:t>Esponda</w:t>
      </w:r>
      <w:proofErr w:type="spellEnd"/>
      <w:r w:rsidRPr="009C0D07">
        <w:rPr>
          <w:rFonts w:ascii="Palatino Linotype" w:eastAsia="MS Mincho" w:hAnsi="Palatino Linotype" w:cs="Times New Roman"/>
          <w:i/>
          <w:color w:val="000000"/>
          <w:sz w:val="22"/>
          <w:szCs w:val="22"/>
        </w:rPr>
        <w:t xml:space="preserve"> Rincón.</w:t>
      </w:r>
    </w:p>
    <w:p w14:paraId="2D161FED" w14:textId="77777777" w:rsidR="00E05995" w:rsidRPr="009C0D07" w:rsidRDefault="00E05995" w:rsidP="00E05995">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Amparo en revisión 333/88. </w:t>
      </w:r>
      <w:proofErr w:type="spellStart"/>
      <w:r w:rsidRPr="009C0D07">
        <w:rPr>
          <w:rFonts w:ascii="Palatino Linotype" w:eastAsia="MS Mincho" w:hAnsi="Palatino Linotype" w:cs="Times New Roman"/>
          <w:i/>
          <w:color w:val="000000"/>
          <w:sz w:val="22"/>
          <w:szCs w:val="22"/>
        </w:rPr>
        <w:t>Adilia</w:t>
      </w:r>
      <w:proofErr w:type="spellEnd"/>
      <w:r w:rsidRPr="009C0D07">
        <w:rPr>
          <w:rFonts w:ascii="Palatino Linotype" w:eastAsia="MS Mincho" w:hAnsi="Palatino Linotype" w:cs="Times New Roman"/>
          <w:i/>
          <w:color w:val="000000"/>
          <w:sz w:val="22"/>
          <w:szCs w:val="22"/>
        </w:rPr>
        <w:t xml:space="preserve"> Romero. 26 de octubre de 1988. Unanimidad de votos. Ponente: Arnoldo Nájera Virgen. Secretario: Enrique Crispín Campos Ramírez.</w:t>
      </w:r>
    </w:p>
    <w:p w14:paraId="44D390FA" w14:textId="77777777" w:rsidR="00E05995" w:rsidRPr="009C0D07" w:rsidRDefault="00E05995" w:rsidP="00E05995">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lastRenderedPageBreak/>
        <w:t xml:space="preserve">Amparo en revisión 597/95. Emilio Maurer Bretón. 15 de noviembre de 1995. Unanimidad de votos. Ponente: Clementina Ramírez Moguel </w:t>
      </w:r>
      <w:proofErr w:type="spellStart"/>
      <w:r w:rsidRPr="009C0D07">
        <w:rPr>
          <w:rFonts w:ascii="Palatino Linotype" w:eastAsia="MS Mincho" w:hAnsi="Palatino Linotype" w:cs="Times New Roman"/>
          <w:i/>
          <w:color w:val="000000"/>
          <w:sz w:val="22"/>
          <w:szCs w:val="22"/>
        </w:rPr>
        <w:t>Goyzueta</w:t>
      </w:r>
      <w:proofErr w:type="spellEnd"/>
      <w:r w:rsidRPr="009C0D07">
        <w:rPr>
          <w:rFonts w:ascii="Palatino Linotype" w:eastAsia="MS Mincho" w:hAnsi="Palatino Linotype" w:cs="Times New Roman"/>
          <w:i/>
          <w:color w:val="000000"/>
          <w:sz w:val="22"/>
          <w:szCs w:val="22"/>
        </w:rPr>
        <w:t>. Secretario: Gonzalo Carrera Molina.</w:t>
      </w:r>
    </w:p>
    <w:p w14:paraId="036DA469" w14:textId="77777777" w:rsidR="00E05995" w:rsidRPr="009C0D07" w:rsidRDefault="00E05995" w:rsidP="00E05995">
      <w:pPr>
        <w:spacing w:line="360" w:lineRule="auto"/>
        <w:ind w:left="851" w:right="618"/>
        <w:contextualSpacing/>
        <w:jc w:val="both"/>
        <w:rPr>
          <w:rFonts w:ascii="Palatino Linotype" w:eastAsia="MS Mincho" w:hAnsi="Palatino Linotype" w:cs="Times New Roman"/>
          <w:i/>
          <w:color w:val="000000"/>
          <w:sz w:val="22"/>
          <w:szCs w:val="22"/>
        </w:rPr>
      </w:pPr>
      <w:r w:rsidRPr="009C0D07">
        <w:rPr>
          <w:rFonts w:ascii="Palatino Linotype" w:eastAsia="MS Mincho" w:hAnsi="Palatino Linotype" w:cs="Times New Roman"/>
          <w:i/>
          <w:color w:val="000000"/>
          <w:sz w:val="22"/>
          <w:szCs w:val="22"/>
        </w:rPr>
        <w:t xml:space="preserve">Amparo directo 7/96. Pedro Vicente López Miro. 21 de febrero de 1996. Unanimidad de votos. Ponente: María Eugenia Estela Martínez Cardiel. Secretario: Enrique </w:t>
      </w:r>
      <w:proofErr w:type="spellStart"/>
      <w:r w:rsidRPr="009C0D07">
        <w:rPr>
          <w:rFonts w:ascii="Palatino Linotype" w:eastAsia="MS Mincho" w:hAnsi="Palatino Linotype" w:cs="Times New Roman"/>
          <w:i/>
          <w:color w:val="000000"/>
          <w:sz w:val="22"/>
          <w:szCs w:val="22"/>
        </w:rPr>
        <w:t>Baigts</w:t>
      </w:r>
      <w:proofErr w:type="spellEnd"/>
      <w:r w:rsidRPr="009C0D07">
        <w:rPr>
          <w:rFonts w:ascii="Palatino Linotype" w:eastAsia="MS Mincho" w:hAnsi="Palatino Linotype" w:cs="Times New Roman"/>
          <w:i/>
          <w:color w:val="000000"/>
          <w:sz w:val="22"/>
          <w:szCs w:val="22"/>
        </w:rPr>
        <w:t xml:space="preserve"> Muñoz.</w:t>
      </w:r>
    </w:p>
    <w:p w14:paraId="2048FE9A"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B5C251A"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0908110B"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5828820"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4BACDEC9"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41EB9079" w14:textId="77777777" w:rsidR="00E05995" w:rsidRPr="009C0D07" w:rsidRDefault="00E05995" w:rsidP="00E05995">
      <w:pPr>
        <w:pStyle w:val="Prrafodelista"/>
        <w:spacing w:line="360" w:lineRule="auto"/>
        <w:ind w:left="0"/>
        <w:jc w:val="both"/>
        <w:rPr>
          <w:rFonts w:ascii="Palatino Linotype" w:eastAsia="MS Mincho" w:hAnsi="Palatino Linotype" w:cs="Times New Roman"/>
          <w:color w:val="000000"/>
        </w:rPr>
      </w:pPr>
    </w:p>
    <w:p w14:paraId="0512486E" w14:textId="77777777" w:rsidR="00E05995" w:rsidRPr="009C0D07" w:rsidRDefault="00E05995" w:rsidP="00E05995">
      <w:pPr>
        <w:pStyle w:val="Ttulo4"/>
        <w:jc w:val="both"/>
        <w:rPr>
          <w:rFonts w:ascii="Palatino Linotype" w:hAnsi="Palatino Linotype"/>
          <w:b/>
          <w:i w:val="0"/>
        </w:rPr>
      </w:pPr>
      <w:r w:rsidRPr="009C0D07">
        <w:rPr>
          <w:rFonts w:ascii="Palatino Linotype" w:hAnsi="Palatino Linotype"/>
          <w:b/>
          <w:i w:val="0"/>
          <w:color w:val="000000" w:themeColor="text1"/>
        </w:rPr>
        <w:lastRenderedPageBreak/>
        <w:t>a) Condiciones especiales de la clasificación de la información como confidencial.</w:t>
      </w:r>
    </w:p>
    <w:p w14:paraId="2971489A"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9FB0EF6" w14:textId="77777777" w:rsidR="00E05995" w:rsidRPr="009C0D07" w:rsidRDefault="00E05995" w:rsidP="00E05995">
      <w:pPr>
        <w:spacing w:line="360" w:lineRule="auto"/>
        <w:ind w:left="851" w:right="333"/>
        <w:jc w:val="both"/>
        <w:rPr>
          <w:rFonts w:ascii="Palatino Linotype" w:eastAsia="MS Mincho" w:hAnsi="Palatino Linotype" w:cs="Times New Roman"/>
          <w:i/>
          <w:color w:val="000000"/>
        </w:rPr>
      </w:pPr>
      <w:r w:rsidRPr="009C0D07">
        <w:rPr>
          <w:rFonts w:ascii="Palatino Linotype" w:eastAsia="MS Mincho" w:hAnsi="Palatino Linotype" w:cs="Times New Roman"/>
          <w:i/>
          <w:color w:val="000000"/>
        </w:rPr>
        <w:t>I. La información se encuentre en registros públicos o fuentes de acceso público;</w:t>
      </w:r>
    </w:p>
    <w:p w14:paraId="2F79FD76" w14:textId="77777777" w:rsidR="00E05995" w:rsidRPr="009C0D07" w:rsidRDefault="00E05995" w:rsidP="00E05995">
      <w:pPr>
        <w:spacing w:line="360" w:lineRule="auto"/>
        <w:ind w:left="851" w:right="333"/>
        <w:jc w:val="both"/>
        <w:rPr>
          <w:rFonts w:ascii="Palatino Linotype" w:eastAsia="MS Mincho" w:hAnsi="Palatino Linotype" w:cs="Times New Roman"/>
          <w:i/>
          <w:color w:val="000000"/>
        </w:rPr>
      </w:pPr>
      <w:r w:rsidRPr="009C0D07">
        <w:rPr>
          <w:rFonts w:ascii="Palatino Linotype" w:eastAsia="MS Mincho" w:hAnsi="Palatino Linotype" w:cs="Times New Roman"/>
          <w:i/>
          <w:color w:val="000000"/>
        </w:rPr>
        <w:t>II. Por Ley tenga el carácter de pública;</w:t>
      </w:r>
    </w:p>
    <w:p w14:paraId="75FD68B6" w14:textId="77777777" w:rsidR="00E05995" w:rsidRPr="009C0D07" w:rsidRDefault="00E05995" w:rsidP="00E05995">
      <w:pPr>
        <w:spacing w:line="360" w:lineRule="auto"/>
        <w:ind w:left="851" w:right="333"/>
        <w:jc w:val="both"/>
        <w:rPr>
          <w:rFonts w:ascii="Palatino Linotype" w:eastAsia="MS Mincho" w:hAnsi="Palatino Linotype" w:cs="Times New Roman"/>
          <w:i/>
          <w:color w:val="000000"/>
        </w:rPr>
      </w:pPr>
      <w:r w:rsidRPr="009C0D07">
        <w:rPr>
          <w:rFonts w:ascii="Palatino Linotype" w:eastAsia="MS Mincho" w:hAnsi="Palatino Linotype" w:cs="Times New Roman"/>
          <w:i/>
          <w:color w:val="000000"/>
        </w:rPr>
        <w:t xml:space="preserve">III. Exista una orden judicial; </w:t>
      </w:r>
    </w:p>
    <w:p w14:paraId="15A70DF3" w14:textId="77777777" w:rsidR="00E05995" w:rsidRPr="009C0D07" w:rsidRDefault="00E05995" w:rsidP="00E05995">
      <w:pPr>
        <w:spacing w:line="360" w:lineRule="auto"/>
        <w:ind w:left="851" w:right="333"/>
        <w:jc w:val="both"/>
        <w:rPr>
          <w:rFonts w:ascii="Palatino Linotype" w:eastAsia="MS Mincho" w:hAnsi="Palatino Linotype" w:cs="Times New Roman"/>
          <w:i/>
          <w:color w:val="000000"/>
        </w:rPr>
      </w:pPr>
      <w:r w:rsidRPr="009C0D07">
        <w:rPr>
          <w:rFonts w:ascii="Palatino Linotype" w:eastAsia="MS Mincho" w:hAnsi="Palatino Linotype" w:cs="Times New Roman"/>
          <w:i/>
          <w:color w:val="000000"/>
        </w:rPr>
        <w:t xml:space="preserve">IV. Por razones de seguridad pública, o para proteger los derechos de terceros, se requiera su publicación; o </w:t>
      </w:r>
    </w:p>
    <w:p w14:paraId="44CED242" w14:textId="77777777" w:rsidR="00E05995" w:rsidRPr="009C0D07" w:rsidRDefault="00E05995" w:rsidP="00E05995">
      <w:pPr>
        <w:spacing w:line="360" w:lineRule="auto"/>
        <w:ind w:left="851" w:right="333"/>
        <w:jc w:val="both"/>
        <w:rPr>
          <w:rFonts w:ascii="Palatino Linotype" w:eastAsia="MS Mincho" w:hAnsi="Palatino Linotype" w:cs="Times New Roman"/>
          <w:i/>
          <w:color w:val="000000"/>
        </w:rPr>
      </w:pPr>
      <w:r w:rsidRPr="009C0D07">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D65038B"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3745D5F8"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0D2E6935"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MS Mincho" w:hAnsi="Palatino Linotype" w:cs="Times New Roman"/>
          <w:color w:val="000000"/>
        </w:rPr>
        <w:t xml:space="preserve">Pero si la información que se pretende clasificar como confidencial no se encuentra en los supuestos antes señalados y es posible, se deberá consultar al </w:t>
      </w:r>
      <w:r w:rsidRPr="009C0D07">
        <w:rPr>
          <w:rFonts w:ascii="Palatino Linotype" w:eastAsia="MS Mincho" w:hAnsi="Palatino Linotype" w:cs="Times New Roman"/>
          <w:color w:val="000000"/>
        </w:rPr>
        <w:lastRenderedPageBreak/>
        <w:t>titular de los datos si permite o no el acceso. De no ser posible, la realización de la consulta, procede, fundando y motivando, la clasificación.</w:t>
      </w:r>
    </w:p>
    <w:p w14:paraId="4886CF20"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76C4D34A" w14:textId="77777777" w:rsidR="00E05995" w:rsidRPr="009C0D07" w:rsidRDefault="00E05995" w:rsidP="00E0599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C0D07">
        <w:rPr>
          <w:rFonts w:ascii="Palatino Linotype" w:eastAsia="Times New Roman" w:hAnsi="Palatino Linotype" w:cs="Arial"/>
          <w:color w:val="222222"/>
          <w:lang w:val="es-ES" w:eastAsia="es-MX"/>
        </w:rPr>
        <w:t xml:space="preserve">Lo anterior, es de suma importancia, ya que los </w:t>
      </w:r>
      <w:r w:rsidRPr="009C0D07">
        <w:rPr>
          <w:rFonts w:ascii="Palatino Linotype" w:eastAsia="Times New Roman" w:hAnsi="Palatino Linotype" w:cs="Arial"/>
          <w:b/>
          <w:color w:val="222222"/>
          <w:lang w:val="es-ES" w:eastAsia="es-MX"/>
        </w:rPr>
        <w:t>SUJETOS OBLIGADOS</w:t>
      </w:r>
      <w:r w:rsidRPr="009C0D07">
        <w:rPr>
          <w:rFonts w:ascii="Palatino Linotype" w:eastAsia="Times New Roman" w:hAnsi="Palatino Linotype" w:cs="Arial"/>
          <w:color w:val="222222"/>
          <w:lang w:val="es-ES" w:eastAsia="es-MX"/>
        </w:rPr>
        <w:t>, deben proteger los datos personales que consten en las documentales que entregan, toda vez que es su responsabilidad elaborar las versiones públicas de la información en ellos contenida y a su vez los documentos que se ponen a la vista, en ese sentido, todos los documentos que proporcionan desde su respuesta, en su informe o en alcance al mismo hasta el cumplimiento de la resolución misma, deben de ser revisados y analizados con detenimiento para que en caso de contener información susceptible de ser clasificada, se elaboren las versiones públicas correspondientes tal y como lo dispone la normatividad aplicable, de tal manera que en una correcta ponderación del derecho al acceso a la información pública y el derecho a la protección de datos personales ambos prevalezcan.</w:t>
      </w:r>
    </w:p>
    <w:p w14:paraId="77EAC7D3" w14:textId="77777777" w:rsidR="00E05995" w:rsidRPr="009C0D07" w:rsidRDefault="00E05995" w:rsidP="00E05995">
      <w:pPr>
        <w:pStyle w:val="Prrafodelista"/>
        <w:spacing w:before="240" w:after="240" w:line="360" w:lineRule="auto"/>
        <w:ind w:left="0"/>
        <w:jc w:val="both"/>
        <w:rPr>
          <w:rFonts w:ascii="Palatino Linotype" w:eastAsia="MS Mincho" w:hAnsi="Palatino Linotype" w:cs="Times New Roman"/>
          <w:color w:val="000000"/>
        </w:rPr>
      </w:pPr>
    </w:p>
    <w:p w14:paraId="210AF8CD" w14:textId="30A2C6E4" w:rsidR="002E3DA0" w:rsidRPr="009C0D07" w:rsidRDefault="00E05995" w:rsidP="00E05995">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9C0D07">
        <w:rPr>
          <w:rFonts w:ascii="Palatino Linotype" w:hAnsi="Palatino Linotype"/>
          <w:color w:val="000000" w:themeColor="text1"/>
          <w:lang w:val="es-ES" w:eastAsia="es-MX"/>
        </w:rPr>
        <w:t xml:space="preserve">Por lo anteriormente expuesto y fundado, este </w:t>
      </w:r>
      <w:r w:rsidRPr="009C0D07">
        <w:rPr>
          <w:rFonts w:ascii="Palatino Linotype" w:hAnsi="Palatino Linotype"/>
          <w:b/>
          <w:bCs/>
          <w:color w:val="000000" w:themeColor="text1"/>
          <w:lang w:val="es-ES" w:eastAsia="es-MX"/>
        </w:rPr>
        <w:t>ÓRGANO GARANTE</w:t>
      </w:r>
      <w:r w:rsidRPr="009C0D07">
        <w:rPr>
          <w:rFonts w:ascii="Palatino Linotype" w:hAnsi="Palatino Linotype"/>
          <w:color w:val="000000" w:themeColor="text1"/>
          <w:lang w:val="es-ES" w:eastAsia="es-MX"/>
        </w:rPr>
        <w:t xml:space="preserve"> emite los siguientes:</w:t>
      </w:r>
    </w:p>
    <w:p w14:paraId="6FB4E7BA" w14:textId="1C21B762" w:rsidR="00E05995" w:rsidRPr="009C0D07" w:rsidRDefault="00E05995" w:rsidP="00E05995">
      <w:pPr>
        <w:pStyle w:val="Prrafodelista"/>
        <w:shd w:val="clear" w:color="auto" w:fill="FFFFFF"/>
        <w:spacing w:line="360" w:lineRule="auto"/>
        <w:ind w:left="0"/>
        <w:jc w:val="both"/>
        <w:rPr>
          <w:rFonts w:ascii="Palatino Linotype" w:hAnsi="Palatino Linotype"/>
          <w:color w:val="000000" w:themeColor="text1"/>
        </w:rPr>
      </w:pPr>
      <w:r w:rsidRPr="009C0D07">
        <w:rPr>
          <w:rFonts w:ascii="Palatino Linotype" w:hAnsi="Palatino Linotype"/>
          <w:noProof/>
          <w:color w:val="000000" w:themeColor="text1"/>
          <w:lang w:val="es-MX" w:eastAsia="es-MX"/>
        </w:rPr>
        <mc:AlternateContent>
          <mc:Choice Requires="wps">
            <w:drawing>
              <wp:anchor distT="0" distB="0" distL="114300" distR="114300" simplePos="0" relativeHeight="251669504" behindDoc="0" locked="0" layoutInCell="1" allowOverlap="1" wp14:anchorId="5484E0D9" wp14:editId="6001CE7E">
                <wp:simplePos x="0" y="0"/>
                <wp:positionH relativeFrom="column">
                  <wp:posOffset>66277</wp:posOffset>
                </wp:positionH>
                <wp:positionV relativeFrom="paragraph">
                  <wp:posOffset>24243</wp:posOffset>
                </wp:positionV>
                <wp:extent cx="5445457" cy="1774209"/>
                <wp:effectExtent l="38100" t="38100" r="41275" b="111760"/>
                <wp:wrapNone/>
                <wp:docPr id="7" name="Conector recto de flecha 7"/>
                <wp:cNvGraphicFramePr/>
                <a:graphic xmlns:a="http://schemas.openxmlformats.org/drawingml/2006/main">
                  <a:graphicData uri="http://schemas.microsoft.com/office/word/2010/wordprocessingShape">
                    <wps:wsp>
                      <wps:cNvCnPr/>
                      <wps:spPr>
                        <a:xfrm>
                          <a:off x="0" y="0"/>
                          <a:ext cx="5445457" cy="177420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621AB5" id="_x0000_t32" coordsize="21600,21600" o:spt="32" o:oned="t" path="m,l21600,21600e" filled="f">
                <v:path arrowok="t" fillok="f" o:connecttype="none"/>
                <o:lock v:ext="edit" shapetype="t"/>
              </v:shapetype>
              <v:shape id="Conector recto de flecha 7" o:spid="_x0000_s1026" type="#_x0000_t32" style="position:absolute;margin-left:5.2pt;margin-top:1.9pt;width:428.8pt;height:13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Ye3AEAAAYEAAAOAAAAZHJzL2Uyb0RvYy54bWysU8uuEzEM3SPxD1H2dKZVS6Hq9C56gQ2C&#10;iscH5GacTqS85Jg+/h4n0zsXAQIJsXFePrbPsbO9u3gnToDZxtDJ+ayVAoKOvQ3HTn798vbFKyky&#10;qdArFwN08gpZ3u2eP9ue0wYWcYiuBxQcJOTNOXVyIEqbpsl6AK/yLCYI/GgiekV8xGPTozpzdO+a&#10;Rdu+bM4R+4RRQ858ez8+yl2Nbwxo+mhMBhKuk1wbVYvVPhTb7LZqc0SVBqtvZah/qMIrGzjpFOpe&#10;kRLf0P4SyluNMUdDMx19E42xGioHZjNvf2LzeVAJKhcWJ6dJpvz/wuoPpwMK23dyLUVQnlu050Zp&#10;iiiwLKIHYRzoQYl1Ueuc8oZB+3DA2ymnAxbqF4O+rExKXKrC10lhuJDQfLlaLlfLFafS/DZfr5eL&#10;9nWJ2jzBE2Z6B9GLsulkJlT2OBBXNZY1rzqr0/tMI/ARUHK7UCwp696EXtA1MR9Cq8LRwS1PcWkK&#10;i7HuuqOrgxH+CQyrwZUuapo6h7B3KE6KJ0hpDYHmUyT2LjBjnZuA7d+BN/8ChTqjE3gk98esE6Jm&#10;joEmsLch4u+y0+WxZDP6Pyow8i4SPMT+WjtapeFhqz25fYwyzT+eK/zp++6+AwAA//8DAFBLAwQU&#10;AAYACAAAACEAMrACPtkAAAAIAQAADwAAAGRycy9kb3ducmV2LnhtbEyPzU7DMBCE70i8g7VI3KhD&#10;WkVRiFMhpN5pC/dtsvlR43VkO2n69iwnOI5mNPNNuV/tqBbyYXBs4HWTgCKuXTNwZ+DrfHjJQYWI&#10;3ODomAzcKcC+enwosWjcjY+0nGKnpIRDgQb6GKdC61D3ZDFs3EQsXuu8xSjSd7rxeJNyO+o0STJt&#10;cWBZ6HGij57q62m2Bj4P9ZKFdj6e28zfv+cd4nVFY56f1vc3UJHW+BeGX3xBh0qYLm7mJqhRdLKT&#10;pIGtHBA7z3K5djGQ5tsUdFXq/weqHwAAAP//AwBQSwECLQAUAAYACAAAACEAtoM4kv4AAADhAQAA&#10;EwAAAAAAAAAAAAAAAAAAAAAAW0NvbnRlbnRfVHlwZXNdLnhtbFBLAQItABQABgAIAAAAIQA4/SH/&#10;1gAAAJQBAAALAAAAAAAAAAAAAAAAAC8BAABfcmVscy8ucmVsc1BLAQItABQABgAIAAAAIQAWvXYe&#10;3AEAAAYEAAAOAAAAAAAAAAAAAAAAAC4CAABkcnMvZTJvRG9jLnhtbFBLAQItABQABgAIAAAAIQAy&#10;sAI+2QAAAAgBAAAPAAAAAAAAAAAAAAAAADYEAABkcnMvZG93bnJldi54bWxQSwUGAAAAAAQABADz&#10;AAAAPAUAAAAA&#10;" strokecolor="#4f81bd [3204]" strokeweight="2pt">
                <v:stroke endarrow="block"/>
                <v:shadow on="t" color="black" opacity="24903f" origin=",.5" offset="0,.55556mm"/>
              </v:shape>
            </w:pict>
          </mc:Fallback>
        </mc:AlternateContent>
      </w:r>
    </w:p>
    <w:p w14:paraId="5B08FD09" w14:textId="77777777" w:rsidR="00E05995" w:rsidRPr="009C0D07" w:rsidRDefault="00E05995" w:rsidP="00E05995">
      <w:pPr>
        <w:pStyle w:val="Prrafodelista"/>
        <w:shd w:val="clear" w:color="auto" w:fill="FFFFFF"/>
        <w:spacing w:line="360" w:lineRule="auto"/>
        <w:ind w:left="0"/>
        <w:jc w:val="both"/>
        <w:rPr>
          <w:rFonts w:ascii="Palatino Linotype" w:hAnsi="Palatino Linotype"/>
          <w:color w:val="000000" w:themeColor="text1"/>
        </w:rPr>
      </w:pPr>
    </w:p>
    <w:p w14:paraId="2FEA8782" w14:textId="77777777" w:rsidR="00E05995" w:rsidRPr="009C0D07" w:rsidRDefault="00E05995" w:rsidP="00E05995">
      <w:pPr>
        <w:pStyle w:val="Prrafodelista"/>
        <w:shd w:val="clear" w:color="auto" w:fill="FFFFFF"/>
        <w:spacing w:line="360" w:lineRule="auto"/>
        <w:ind w:left="0"/>
        <w:jc w:val="both"/>
        <w:rPr>
          <w:rFonts w:ascii="Palatino Linotype" w:hAnsi="Palatino Linotype"/>
          <w:color w:val="000000" w:themeColor="text1"/>
        </w:rPr>
      </w:pPr>
    </w:p>
    <w:p w14:paraId="535D6157" w14:textId="77777777" w:rsidR="00E05995" w:rsidRPr="009C0D07" w:rsidRDefault="00E05995" w:rsidP="00E05995">
      <w:pPr>
        <w:pStyle w:val="Prrafodelista"/>
        <w:shd w:val="clear" w:color="auto" w:fill="FFFFFF"/>
        <w:spacing w:line="360" w:lineRule="auto"/>
        <w:ind w:left="0"/>
        <w:jc w:val="both"/>
        <w:rPr>
          <w:rFonts w:ascii="Palatino Linotype" w:hAnsi="Palatino Linotype"/>
          <w:color w:val="000000" w:themeColor="text1"/>
        </w:rPr>
      </w:pPr>
    </w:p>
    <w:p w14:paraId="406C1BA6" w14:textId="77777777" w:rsidR="00E05995" w:rsidRPr="009C0D07" w:rsidRDefault="00E05995" w:rsidP="00E05995">
      <w:pPr>
        <w:pStyle w:val="Prrafodelista"/>
        <w:shd w:val="clear" w:color="auto" w:fill="FFFFFF"/>
        <w:spacing w:line="360" w:lineRule="auto"/>
        <w:ind w:left="0"/>
        <w:jc w:val="both"/>
        <w:rPr>
          <w:rFonts w:ascii="Palatino Linotype" w:hAnsi="Palatino Linotype"/>
          <w:color w:val="000000" w:themeColor="text1"/>
        </w:rPr>
      </w:pPr>
    </w:p>
    <w:p w14:paraId="73370EB3" w14:textId="77777777" w:rsidR="002C38C9" w:rsidRPr="009C0D07" w:rsidRDefault="002C38C9" w:rsidP="002C38C9">
      <w:pPr>
        <w:pStyle w:val="Ttulo1"/>
        <w:spacing w:line="360" w:lineRule="auto"/>
        <w:ind w:left="2912"/>
        <w:rPr>
          <w:rFonts w:eastAsia="Calibri"/>
          <w:color w:val="auto"/>
          <w:szCs w:val="24"/>
          <w:lang w:val="es-ES" w:eastAsia="es-ES"/>
        </w:rPr>
      </w:pPr>
      <w:bookmarkStart w:id="132" w:name="_Toc33192151"/>
      <w:r w:rsidRPr="009C0D07">
        <w:rPr>
          <w:rFonts w:eastAsia="Calibri"/>
          <w:color w:val="auto"/>
          <w:szCs w:val="24"/>
          <w:lang w:val="es-ES" w:eastAsia="es-ES"/>
        </w:rPr>
        <w:lastRenderedPageBreak/>
        <w:t>R E S O L U T I V O S</w:t>
      </w:r>
      <w:bookmarkEnd w:id="84"/>
      <w:bookmarkEnd w:id="85"/>
      <w:bookmarkEnd w:id="86"/>
      <w:bookmarkEnd w:id="87"/>
      <w:bookmarkEnd w:id="88"/>
      <w:bookmarkEnd w:id="89"/>
      <w:bookmarkEnd w:id="90"/>
      <w:bookmarkEnd w:id="132"/>
    </w:p>
    <w:p w14:paraId="134DB3CB" w14:textId="77777777" w:rsidR="00445F8F" w:rsidRPr="009C0D07" w:rsidRDefault="00445F8F" w:rsidP="00445F8F">
      <w:pPr>
        <w:rPr>
          <w:lang w:val="es-ES"/>
        </w:rPr>
      </w:pPr>
    </w:p>
    <w:p w14:paraId="11E87A06" w14:textId="4E213A95" w:rsidR="007A3379" w:rsidRPr="009C0D07" w:rsidRDefault="007A3379" w:rsidP="007A3379">
      <w:pPr>
        <w:spacing w:line="360" w:lineRule="auto"/>
        <w:jc w:val="both"/>
        <w:rPr>
          <w:rFonts w:ascii="Palatino Linotype" w:hAnsi="Palatino Linotype" w:cs="Arial"/>
          <w:bCs/>
          <w:lang w:eastAsia="es-MX"/>
        </w:rPr>
      </w:pPr>
      <w:r w:rsidRPr="009C0D07">
        <w:rPr>
          <w:rFonts w:ascii="Palatino Linotype" w:eastAsia="Times New Roman" w:hAnsi="Palatino Linotype" w:cs="Arial"/>
          <w:b/>
        </w:rPr>
        <w:t xml:space="preserve">PRIMERO. </w:t>
      </w:r>
      <w:r w:rsidRPr="009C0D07">
        <w:rPr>
          <w:rFonts w:ascii="Palatino Linotype" w:eastAsia="Times New Roman" w:hAnsi="Palatino Linotype" w:cs="Arial"/>
        </w:rPr>
        <w:t>Resultan fundadas las</w:t>
      </w:r>
      <w:r w:rsidRPr="009C0D07">
        <w:rPr>
          <w:rFonts w:ascii="Palatino Linotype" w:eastAsia="Times New Roman" w:hAnsi="Palatino Linotype" w:cs="Arial"/>
          <w:b/>
        </w:rPr>
        <w:t xml:space="preserve"> </w:t>
      </w:r>
      <w:r w:rsidRPr="009C0D07">
        <w:rPr>
          <w:rFonts w:ascii="Palatino Linotype" w:eastAsia="Times New Roman" w:hAnsi="Palatino Linotype" w:cs="Arial"/>
          <w:lang w:val="es-ES"/>
        </w:rPr>
        <w:t xml:space="preserve">razones o motivos de inconformidad hechos valer </w:t>
      </w:r>
      <w:r w:rsidRPr="009C0D07">
        <w:rPr>
          <w:rFonts w:ascii="Palatino Linotype" w:eastAsia="Calibri" w:hAnsi="Palatino Linotype" w:cs="Arial"/>
          <w:lang w:val="es-ES"/>
        </w:rPr>
        <w:t xml:space="preserve">en el recurso de revisión </w:t>
      </w:r>
      <w:r w:rsidR="00206E7D" w:rsidRPr="009C0D07">
        <w:rPr>
          <w:rFonts w:ascii="Palatino Linotype" w:hAnsi="Palatino Linotype" w:cs="Arial"/>
          <w:b/>
          <w:bCs/>
        </w:rPr>
        <w:t>08973/INFOEM/IP/RR/2019</w:t>
      </w:r>
      <w:r w:rsidRPr="009C0D07">
        <w:rPr>
          <w:rFonts w:ascii="Palatino Linotype" w:hAnsi="Palatino Linotype" w:cs="Arial"/>
          <w:b/>
          <w:bCs/>
        </w:rPr>
        <w:t xml:space="preserve"> </w:t>
      </w:r>
      <w:r w:rsidRPr="009C0D07">
        <w:rPr>
          <w:rFonts w:ascii="Palatino Linotype" w:hAnsi="Palatino Linotype" w:cs="Arial"/>
          <w:bCs/>
          <w:lang w:eastAsia="es-MX"/>
        </w:rPr>
        <w:t xml:space="preserve">en términos de los </w:t>
      </w:r>
      <w:r w:rsidRPr="009C0D07">
        <w:rPr>
          <w:rFonts w:ascii="Palatino Linotype" w:hAnsi="Palatino Linotype" w:cs="Arial"/>
          <w:b/>
          <w:bCs/>
          <w:lang w:eastAsia="es-MX"/>
        </w:rPr>
        <w:t xml:space="preserve">Considerandos CUARTO y QUINTO </w:t>
      </w:r>
      <w:r w:rsidRPr="009C0D07">
        <w:rPr>
          <w:rFonts w:ascii="Palatino Linotype" w:hAnsi="Palatino Linotype" w:cs="Arial"/>
          <w:bCs/>
          <w:lang w:eastAsia="es-MX"/>
        </w:rPr>
        <w:t>de la presente resolución.</w:t>
      </w:r>
    </w:p>
    <w:p w14:paraId="1E9DFF24" w14:textId="5A4AA171" w:rsidR="007A3379" w:rsidRPr="009C0D07" w:rsidRDefault="007A3379" w:rsidP="007A3379">
      <w:pPr>
        <w:spacing w:before="240" w:after="240" w:line="360" w:lineRule="auto"/>
        <w:jc w:val="both"/>
        <w:rPr>
          <w:rFonts w:ascii="Palatino Linotype" w:eastAsia="Calibri" w:hAnsi="Palatino Linotype" w:cs="Arial"/>
          <w:lang w:val="es-ES"/>
        </w:rPr>
      </w:pPr>
      <w:r w:rsidRPr="009C0D07">
        <w:rPr>
          <w:rFonts w:ascii="Palatino Linotype" w:hAnsi="Palatino Linotype"/>
          <w:b/>
        </w:rPr>
        <w:t>SEGUNDO.</w:t>
      </w:r>
      <w:r w:rsidRPr="009C0D07">
        <w:rPr>
          <w:rStyle w:val="Ttulo2Car"/>
          <w:b w:val="0"/>
        </w:rPr>
        <w:t xml:space="preserve"> </w:t>
      </w:r>
      <w:r w:rsidRPr="009C0D07">
        <w:rPr>
          <w:rFonts w:ascii="Palatino Linotype" w:eastAsia="Calibri" w:hAnsi="Palatino Linotype" w:cs="Arial"/>
          <w:lang w:val="es-ES"/>
        </w:rPr>
        <w:t>Se</w:t>
      </w:r>
      <w:r w:rsidRPr="009C0D07">
        <w:rPr>
          <w:rFonts w:ascii="Palatino Linotype" w:eastAsia="Calibri" w:hAnsi="Palatino Linotype" w:cs="Arial"/>
          <w:b/>
          <w:lang w:val="es-ES"/>
        </w:rPr>
        <w:t xml:space="preserve"> REVOCA </w:t>
      </w:r>
      <w:r w:rsidRPr="009C0D07">
        <w:rPr>
          <w:rFonts w:ascii="Palatino Linotype" w:eastAsia="Calibri" w:hAnsi="Palatino Linotype" w:cs="Arial"/>
          <w:lang w:val="es-ES"/>
        </w:rPr>
        <w:t>la respuesta emitida por el</w:t>
      </w:r>
      <w:r w:rsidRPr="009C0D07">
        <w:rPr>
          <w:rFonts w:ascii="Palatino Linotype" w:eastAsia="Calibri" w:hAnsi="Palatino Linotype" w:cs="Arial"/>
          <w:b/>
          <w:lang w:val="es-ES"/>
        </w:rPr>
        <w:t xml:space="preserve"> </w:t>
      </w:r>
      <w:r w:rsidR="00206E7D" w:rsidRPr="009C0D07">
        <w:rPr>
          <w:rFonts w:ascii="Palatino Linotype" w:hAnsi="Palatino Linotype" w:cs="Arial"/>
          <w:b/>
        </w:rPr>
        <w:t>Ayuntamiento de Atizapán de Zaragoza</w:t>
      </w:r>
      <w:r w:rsidRPr="009C0D07">
        <w:rPr>
          <w:rFonts w:ascii="Palatino Linotype" w:hAnsi="Palatino Linotype" w:cs="Arial"/>
          <w:b/>
        </w:rPr>
        <w:t xml:space="preserve"> </w:t>
      </w:r>
      <w:r w:rsidRPr="009C0D07">
        <w:rPr>
          <w:rFonts w:ascii="Palatino Linotype" w:hAnsi="Palatino Linotype"/>
          <w:bCs/>
        </w:rPr>
        <w:t>y se</w:t>
      </w:r>
      <w:r w:rsidRPr="009C0D07">
        <w:rPr>
          <w:rFonts w:ascii="Palatino Linotype" w:hAnsi="Palatino Linotype"/>
          <w:b/>
          <w:bCs/>
        </w:rPr>
        <w:t xml:space="preserve"> ORDENA</w:t>
      </w:r>
      <w:r w:rsidRPr="009C0D07">
        <w:rPr>
          <w:rFonts w:ascii="Palatino Linotype" w:eastAsia="Times New Roman" w:hAnsi="Palatino Linotype" w:cs="Arial"/>
          <w:lang w:val="es-ES"/>
        </w:rPr>
        <w:t xml:space="preserve"> </w:t>
      </w:r>
      <w:r w:rsidRPr="009C0D07">
        <w:rPr>
          <w:rFonts w:ascii="Palatino Linotype" w:eastAsia="Calibri" w:hAnsi="Palatino Linotype" w:cs="Arial"/>
          <w:lang w:val="es-ES"/>
        </w:rPr>
        <w:t>entregar</w:t>
      </w:r>
      <w:r w:rsidR="00FA6650">
        <w:rPr>
          <w:rFonts w:ascii="Palatino Linotype" w:eastAsia="Calibri" w:hAnsi="Palatino Linotype" w:cs="Arial"/>
          <w:lang w:val="es-ES"/>
        </w:rPr>
        <w:t xml:space="preserve"> en consulta directa, </w:t>
      </w:r>
      <w:r w:rsidRPr="009C0D07">
        <w:rPr>
          <w:rFonts w:ascii="Palatino Linotype" w:hAnsi="Palatino Linotype" w:cs="Arial"/>
        </w:rPr>
        <w:t xml:space="preserve">en </w:t>
      </w:r>
      <w:r w:rsidRPr="009C0D07">
        <w:rPr>
          <w:rFonts w:ascii="Palatino Linotype" w:hAnsi="Palatino Linotype" w:cs="Arial"/>
          <w:b/>
        </w:rPr>
        <w:t>versión pública</w:t>
      </w:r>
      <w:r w:rsidRPr="009C0D07">
        <w:rPr>
          <w:rFonts w:ascii="Palatino Linotype" w:eastAsia="Calibri" w:hAnsi="Palatino Linotype" w:cs="Arial"/>
          <w:lang w:val="es-ES"/>
        </w:rPr>
        <w:t>, la siguiente información:</w:t>
      </w:r>
    </w:p>
    <w:p w14:paraId="470CC8BB" w14:textId="2E198E22" w:rsidR="00C00255" w:rsidRPr="009C0D07" w:rsidRDefault="00BC056C" w:rsidP="00802928">
      <w:pPr>
        <w:pStyle w:val="Prrafodelista"/>
        <w:numPr>
          <w:ilvl w:val="3"/>
          <w:numId w:val="1"/>
        </w:numPr>
        <w:tabs>
          <w:tab w:val="left" w:pos="567"/>
        </w:tabs>
        <w:spacing w:before="240" w:after="240" w:line="360" w:lineRule="auto"/>
        <w:ind w:left="567" w:right="567" w:firstLine="0"/>
        <w:jc w:val="both"/>
        <w:rPr>
          <w:rFonts w:ascii="Palatino Linotype" w:hAnsi="Palatino Linotype" w:cs="Arial"/>
          <w:b/>
        </w:rPr>
      </w:pPr>
      <w:r w:rsidRPr="009C0D07">
        <w:rPr>
          <w:rFonts w:ascii="Palatino Linotype" w:hAnsi="Palatino Linotype" w:cs="Arial"/>
          <w:b/>
        </w:rPr>
        <w:t>L</w:t>
      </w:r>
      <w:r w:rsidRPr="009C0D07">
        <w:rPr>
          <w:rFonts w:ascii="Palatino Linotype" w:hAnsi="Palatino Linotype"/>
          <w:b/>
          <w:color w:val="000000"/>
        </w:rPr>
        <w:t xml:space="preserve">a información correspondiente a las facturas y contratos de los bienes comprados y/o rentados </w:t>
      </w:r>
      <w:r w:rsidR="00F4255E" w:rsidRPr="009C0D07">
        <w:rPr>
          <w:rFonts w:ascii="Palatino Linotype" w:hAnsi="Palatino Linotype"/>
          <w:b/>
          <w:color w:val="000000"/>
        </w:rPr>
        <w:t xml:space="preserve">del uno (01) de enero al </w:t>
      </w:r>
      <w:r w:rsidR="00F4255E" w:rsidRPr="009C0D07">
        <w:rPr>
          <w:rFonts w:ascii="Palatino Linotype" w:eastAsia="Calibri" w:hAnsi="Palatino Linotype" w:cs="Arial"/>
          <w:b/>
          <w:color w:val="000000" w:themeColor="text1"/>
          <w:lang w:val="es-ES"/>
        </w:rPr>
        <w:t>veintiuno (21) de octubre de dos mil diecinueve</w:t>
      </w:r>
      <w:r w:rsidR="00F4255E" w:rsidRPr="009C0D07">
        <w:rPr>
          <w:rFonts w:ascii="Palatino Linotype" w:hAnsi="Palatino Linotype"/>
          <w:b/>
          <w:color w:val="000000"/>
        </w:rPr>
        <w:t xml:space="preserve"> </w:t>
      </w:r>
      <w:r w:rsidRPr="009C0D07">
        <w:rPr>
          <w:rFonts w:ascii="Palatino Linotype" w:hAnsi="Palatino Linotype"/>
          <w:b/>
          <w:color w:val="000000"/>
        </w:rPr>
        <w:t>por el Ayuntamiento de Atizapán de Zaragoza, con recursos federales y locales, para seguridad, incluidos patrullas, radios y uniformes</w:t>
      </w:r>
      <w:r w:rsidR="00045745" w:rsidRPr="009C0D07">
        <w:rPr>
          <w:rFonts w:ascii="Palatino Linotype" w:hAnsi="Palatino Linotype" w:cs="Arial"/>
          <w:b/>
        </w:rPr>
        <w:t>.</w:t>
      </w:r>
    </w:p>
    <w:p w14:paraId="454CF2DF" w14:textId="5404AD45" w:rsidR="007A3379" w:rsidRPr="009C0D07" w:rsidRDefault="007A3379" w:rsidP="001B37D2">
      <w:pPr>
        <w:spacing w:line="360" w:lineRule="auto"/>
        <w:jc w:val="both"/>
        <w:rPr>
          <w:rFonts w:ascii="Palatino Linotype" w:hAnsi="Palatino Linotype"/>
          <w:szCs w:val="22"/>
        </w:rPr>
      </w:pPr>
      <w:r w:rsidRPr="009C0D0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045745" w:rsidRPr="009C0D07">
        <w:rPr>
          <w:rFonts w:ascii="Palatino Linotype" w:eastAsia="Times New Roman" w:hAnsi="Palatino Linotype" w:cs="Times New Roman"/>
        </w:rPr>
        <w:t>l recurrente</w:t>
      </w:r>
      <w:r w:rsidRPr="009C0D07">
        <w:rPr>
          <w:rFonts w:ascii="Palatino Linotype" w:hAnsi="Palatino Linotype"/>
          <w:szCs w:val="22"/>
        </w:rPr>
        <w:t>.</w:t>
      </w:r>
    </w:p>
    <w:p w14:paraId="6F40021D" w14:textId="77777777" w:rsidR="00AC6852" w:rsidRPr="009C0D07" w:rsidRDefault="00AC6852" w:rsidP="00AC6852">
      <w:pPr>
        <w:spacing w:line="360" w:lineRule="auto"/>
        <w:ind w:right="567"/>
        <w:jc w:val="both"/>
        <w:rPr>
          <w:rFonts w:ascii="Palatino Linotype" w:hAnsi="Palatino Linotype"/>
          <w:szCs w:val="22"/>
        </w:rPr>
      </w:pPr>
    </w:p>
    <w:p w14:paraId="362820BB" w14:textId="2F7C5A56" w:rsidR="00F4255E" w:rsidRPr="009C0D07" w:rsidRDefault="00F4255E" w:rsidP="001B37D2">
      <w:pPr>
        <w:spacing w:line="360" w:lineRule="auto"/>
        <w:jc w:val="both"/>
        <w:rPr>
          <w:rFonts w:ascii="Palatino Linotype" w:eastAsia="Calibri" w:hAnsi="Palatino Linotype" w:cs="Arial"/>
          <w:lang w:val="es-ES"/>
        </w:rPr>
      </w:pPr>
      <w:r w:rsidRPr="009C0D07">
        <w:rPr>
          <w:rFonts w:ascii="Palatino Linotype" w:hAnsi="Palatino Linotype" w:cs="Arial"/>
          <w:color w:val="263238"/>
        </w:rPr>
        <w:t xml:space="preserve">Asimismo se ordena al Sujeto Obligado que haga del conocimiento del recurrente, el periodo durante el cual quedará a su disposición la documentación conforme a lo </w:t>
      </w:r>
      <w:r w:rsidRPr="009C0D07">
        <w:rPr>
          <w:rFonts w:ascii="Palatino Linotype" w:hAnsi="Palatino Linotype" w:cs="Arial"/>
          <w:color w:val="263238"/>
        </w:rPr>
        <w:lastRenderedPageBreak/>
        <w:t>dispuesto por el artículo 166 de la Ley de Transparencia y Acceso a la Información Pública del Estado de México y Municipios de aplicación supletoria.</w:t>
      </w:r>
    </w:p>
    <w:p w14:paraId="0A41D7D6" w14:textId="77777777" w:rsidR="007A3379" w:rsidRPr="009C0D07" w:rsidRDefault="007A3379" w:rsidP="007A3379">
      <w:pPr>
        <w:shd w:val="clear" w:color="auto" w:fill="FFFFFF"/>
        <w:tabs>
          <w:tab w:val="left" w:pos="567"/>
        </w:tabs>
        <w:spacing w:line="360" w:lineRule="auto"/>
        <w:ind w:left="567" w:right="567"/>
        <w:jc w:val="both"/>
        <w:rPr>
          <w:rFonts w:ascii="Palatino Linotype" w:eastAsia="Times New Roman" w:hAnsi="Palatino Linotype" w:cs="Arial"/>
          <w:color w:val="222222"/>
          <w:lang w:val="es-ES" w:eastAsia="es-MX"/>
        </w:rPr>
      </w:pPr>
    </w:p>
    <w:p w14:paraId="0AAA7337" w14:textId="77777777" w:rsidR="007A3379" w:rsidRPr="009C0D07" w:rsidRDefault="007A3379" w:rsidP="007A3379">
      <w:pPr>
        <w:tabs>
          <w:tab w:val="left" w:pos="8080"/>
        </w:tabs>
        <w:spacing w:line="360" w:lineRule="auto"/>
        <w:ind w:right="49"/>
        <w:contextualSpacing/>
        <w:jc w:val="both"/>
        <w:rPr>
          <w:rFonts w:ascii="Palatino Linotype" w:eastAsia="Palatino Linotype" w:hAnsi="Palatino Linotype" w:cs="Palatino Linotype"/>
          <w:b/>
        </w:rPr>
      </w:pPr>
      <w:r w:rsidRPr="009C0D07">
        <w:rPr>
          <w:rFonts w:ascii="Palatino Linotype" w:eastAsia="Palatino Linotype" w:hAnsi="Palatino Linotype" w:cs="Palatino Linotype"/>
          <w:b/>
        </w:rPr>
        <w:t xml:space="preserve">TERCERO. Notifíquese </w:t>
      </w:r>
      <w:r w:rsidRPr="009C0D07">
        <w:rPr>
          <w:rFonts w:ascii="Palatino Linotype" w:eastAsia="Palatino Linotype" w:hAnsi="Palatino Linotype" w:cs="Palatino Linotype"/>
        </w:rPr>
        <w:t xml:space="preserve">al Titular de la Unidad de Transparencia del </w:t>
      </w:r>
      <w:r w:rsidRPr="009C0D07">
        <w:rPr>
          <w:rFonts w:ascii="Palatino Linotype" w:eastAsia="Palatino Linotype" w:hAnsi="Palatino Linotype" w:cs="Palatino Linotype"/>
          <w:b/>
        </w:rPr>
        <w:t>SUJETO OBLIGADO</w:t>
      </w:r>
      <w:r w:rsidRPr="009C0D0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C0D0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812B3F6" w14:textId="77777777" w:rsidR="007A3379" w:rsidRPr="009C0D07" w:rsidRDefault="007A3379" w:rsidP="007A3379">
      <w:pPr>
        <w:shd w:val="clear" w:color="auto" w:fill="FFFFFF"/>
        <w:spacing w:line="360" w:lineRule="auto"/>
        <w:jc w:val="both"/>
        <w:rPr>
          <w:rFonts w:ascii="Palatino Linotype" w:eastAsia="Times New Roman" w:hAnsi="Palatino Linotype" w:cs="Arial"/>
          <w:b/>
        </w:rPr>
      </w:pPr>
    </w:p>
    <w:p w14:paraId="108EB9F0" w14:textId="6345DAA7" w:rsidR="007A3379" w:rsidRPr="009C0D07" w:rsidRDefault="007A3379" w:rsidP="007A3379">
      <w:pPr>
        <w:shd w:val="clear" w:color="auto" w:fill="FFFFFF"/>
        <w:spacing w:line="360" w:lineRule="auto"/>
        <w:jc w:val="both"/>
        <w:rPr>
          <w:rFonts w:ascii="Palatino Linotype" w:hAnsi="Palatino Linotype"/>
        </w:rPr>
      </w:pPr>
      <w:r w:rsidRPr="009C0D07">
        <w:rPr>
          <w:rFonts w:ascii="Palatino Linotype" w:eastAsia="Times New Roman" w:hAnsi="Palatino Linotype" w:cs="Arial"/>
          <w:b/>
        </w:rPr>
        <w:t xml:space="preserve">CUARTO. </w:t>
      </w:r>
      <w:r w:rsidRPr="009C0D07">
        <w:rPr>
          <w:rFonts w:ascii="Palatino Linotype" w:eastAsia="Times New Roman" w:hAnsi="Palatino Linotype" w:cs="Times New Roman"/>
          <w:b/>
          <w:bCs/>
          <w:color w:val="222222"/>
          <w:lang w:val="es-ES"/>
        </w:rPr>
        <w:t>Notifíquese a</w:t>
      </w:r>
      <w:r w:rsidRPr="009C0D07">
        <w:rPr>
          <w:rFonts w:ascii="Palatino Linotype" w:hAnsi="Palatino Linotype"/>
          <w:b/>
        </w:rPr>
        <w:t xml:space="preserve"> </w:t>
      </w:r>
      <w:r w:rsidR="00045745" w:rsidRPr="009C0D07">
        <w:rPr>
          <w:rFonts w:ascii="Palatino Linotype" w:eastAsia="Times New Roman" w:hAnsi="Palatino Linotype" w:cs="Times New Roman"/>
          <w:b/>
        </w:rPr>
        <w:t xml:space="preserve">la parte recurrente </w:t>
      </w:r>
      <w:r w:rsidRPr="009C0D07">
        <w:rPr>
          <w:rFonts w:ascii="Palatino Linotype" w:hAnsi="Palatino Linotype"/>
        </w:rPr>
        <w:t>la presente resolución</w:t>
      </w:r>
      <w:r w:rsidR="00802928" w:rsidRPr="009C0D07">
        <w:rPr>
          <w:rFonts w:ascii="Palatino Linotype" w:hAnsi="Palatino Linotype"/>
        </w:rPr>
        <w:t>.</w:t>
      </w:r>
    </w:p>
    <w:p w14:paraId="4E7FF04C" w14:textId="77777777" w:rsidR="007A3379" w:rsidRPr="009C0D07" w:rsidRDefault="007A3379" w:rsidP="007A3379">
      <w:pPr>
        <w:shd w:val="clear" w:color="auto" w:fill="FFFFFF"/>
        <w:spacing w:line="360" w:lineRule="auto"/>
        <w:jc w:val="both"/>
        <w:rPr>
          <w:rFonts w:ascii="Palatino Linotype" w:hAnsi="Palatino Linotype"/>
        </w:rPr>
      </w:pPr>
    </w:p>
    <w:p w14:paraId="1D3271B9" w14:textId="12608145" w:rsidR="007A3379" w:rsidRPr="009C0D07" w:rsidRDefault="007A3379" w:rsidP="007A3379">
      <w:pPr>
        <w:shd w:val="clear" w:color="auto" w:fill="FFFFFF"/>
        <w:spacing w:line="360" w:lineRule="auto"/>
        <w:jc w:val="both"/>
        <w:rPr>
          <w:rFonts w:ascii="Palatino Linotype" w:eastAsia="MS Mincho" w:hAnsi="Palatino Linotype" w:cs="Times New Roman"/>
          <w:lang w:val="es-ES"/>
        </w:rPr>
      </w:pPr>
      <w:r w:rsidRPr="009C0D07">
        <w:rPr>
          <w:rFonts w:ascii="Palatino Linotype" w:eastAsia="MS Mincho" w:hAnsi="Palatino Linotype" w:cs="Times New Roman"/>
          <w:b/>
          <w:lang w:val="es-MX"/>
        </w:rPr>
        <w:t>QUINTO.</w:t>
      </w:r>
      <w:r w:rsidRPr="009C0D07">
        <w:rPr>
          <w:rFonts w:ascii="Palatino Linotype" w:eastAsia="MS Mincho" w:hAnsi="Palatino Linotype" w:cs="Times New Roman"/>
          <w:lang w:val="es-MX"/>
        </w:rPr>
        <w:t xml:space="preserve"> </w:t>
      </w:r>
      <w:r w:rsidR="00045745" w:rsidRPr="009C0D07">
        <w:rPr>
          <w:rFonts w:ascii="Palatino Linotype" w:eastAsia="MS Mincho" w:hAnsi="Palatino Linotype" w:cs="Times New Roman"/>
          <w:lang w:val="es-ES"/>
        </w:rPr>
        <w:t xml:space="preserve">Se hace del conocimiento del recurrente </w:t>
      </w:r>
      <w:r w:rsidRPr="009C0D07">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9C0D07">
        <w:rPr>
          <w:rFonts w:ascii="Palatino Linotype" w:eastAsia="MS Mincho" w:hAnsi="Palatino Linotype" w:cs="Times New Roman"/>
          <w:bCs/>
          <w:lang w:val="es-ES"/>
        </w:rPr>
        <w:t>vía juicio de amparo</w:t>
      </w:r>
      <w:r w:rsidRPr="009C0D07">
        <w:rPr>
          <w:rFonts w:ascii="Palatino Linotype" w:eastAsia="MS Mincho" w:hAnsi="Palatino Linotype" w:cs="Times New Roman"/>
          <w:lang w:val="es-ES"/>
        </w:rPr>
        <w:t xml:space="preserve"> en los términos de las leyes aplicables.</w:t>
      </w:r>
    </w:p>
    <w:p w14:paraId="223BD30E" w14:textId="77777777" w:rsidR="002C38C9" w:rsidRPr="009C0D07" w:rsidRDefault="002C38C9" w:rsidP="002C38C9">
      <w:pPr>
        <w:spacing w:line="360" w:lineRule="auto"/>
        <w:rPr>
          <w:rFonts w:ascii="Palatino Linotype" w:hAnsi="Palatino Linotype"/>
          <w:lang w:val="es-ES"/>
        </w:rPr>
      </w:pPr>
    </w:p>
    <w:bookmarkEnd w:id="1"/>
    <w:bookmarkEnd w:id="2"/>
    <w:bookmarkEnd w:id="70"/>
    <w:bookmarkEnd w:id="71"/>
    <w:p w14:paraId="11846E65" w14:textId="2BEE65B7" w:rsidR="00151FD7" w:rsidRPr="009C0D07" w:rsidRDefault="00151FD7" w:rsidP="00151FD7">
      <w:pPr>
        <w:spacing w:line="360" w:lineRule="auto"/>
        <w:jc w:val="both"/>
        <w:rPr>
          <w:rFonts w:ascii="Palatino Linotype" w:hAnsi="Palatino Linotype"/>
        </w:rPr>
      </w:pPr>
      <w:r w:rsidRPr="009C0D07">
        <w:rPr>
          <w:rFonts w:ascii="Palatino Linotype" w:hAnsi="Palatino Linotype" w:cs="Arial"/>
        </w:rPr>
        <w:t>ASÍ LO RESUELVE, POR UNANIMIDAD DE VOTOS, EL PLENO DEL</w:t>
      </w:r>
      <w:r w:rsidRPr="009C0D07">
        <w:rPr>
          <w:rFonts w:ascii="Palatino Linotype" w:eastAsia="Arial Unicode MS" w:hAnsi="Palatino Linotype" w:cs="Arial"/>
        </w:rPr>
        <w:t xml:space="preserve"> INSTITUTO DE TRANSPARENCIA, ACCESO A LA INFORMACIÓN PÚBLICA Y PROTECCIÓN DE DATOS PERSONALES DEL ESTADO DE MÉXICO Y MUNICIPIOS</w:t>
      </w:r>
      <w:r w:rsidRPr="009C0D07">
        <w:rPr>
          <w:rFonts w:ascii="Palatino Linotype" w:hAnsi="Palatino Linotype" w:cs="Arial"/>
        </w:rPr>
        <w:t xml:space="preserve">, CONFORMADO POR LOS COMISIONADOS ZULEMA MARTÍNEZ SÁNCHEZ, </w:t>
      </w:r>
      <w:r w:rsidR="002E5192" w:rsidRPr="002E5192">
        <w:rPr>
          <w:rFonts w:ascii="Palatino Linotype" w:hAnsi="Palatino Linotype" w:cs="Arial"/>
        </w:rPr>
        <w:t>EVA ABAID YAPUR CON AUSENCIA JUSTIFICADA</w:t>
      </w:r>
      <w:r w:rsidRPr="009C0D07">
        <w:rPr>
          <w:rFonts w:ascii="Palatino Linotype" w:hAnsi="Palatino Linotype" w:cs="Arial"/>
        </w:rPr>
        <w:t xml:space="preserve">, </w:t>
      </w:r>
      <w:r w:rsidRPr="009C0D07">
        <w:rPr>
          <w:rFonts w:ascii="Palatino Linotype" w:hAnsi="Palatino Linotype" w:cs="Arial"/>
        </w:rPr>
        <w:lastRenderedPageBreak/>
        <w:t xml:space="preserve">JOSÉ GUADALUPE LUNA HERNÁNDEZ, JAVIER MARTÍNEZ CRUZ Y LUIS GUSTAVO PARRA NORIEGA, EN LA </w:t>
      </w:r>
      <w:r w:rsidR="009C0D07">
        <w:rPr>
          <w:rFonts w:ascii="Palatino Linotype" w:hAnsi="Palatino Linotype" w:cs="Arial"/>
        </w:rPr>
        <w:t>SEXTA</w:t>
      </w:r>
      <w:r w:rsidRPr="009C0D07">
        <w:rPr>
          <w:rFonts w:ascii="Palatino Linotype" w:hAnsi="Palatino Linotype" w:cs="Arial"/>
        </w:rPr>
        <w:t xml:space="preserve"> SESIÓN ORDINARIA CELEBRADA EL </w:t>
      </w:r>
      <w:r w:rsidR="009C0D07">
        <w:rPr>
          <w:rFonts w:ascii="Palatino Linotype" w:eastAsia="Times New Roman" w:hAnsi="Palatino Linotype" w:cs="Arial"/>
          <w:color w:val="000000"/>
          <w:lang w:eastAsia="es-MX"/>
        </w:rPr>
        <w:t>DIECINUEVE</w:t>
      </w:r>
      <w:r w:rsidRPr="009C0D07">
        <w:rPr>
          <w:rFonts w:ascii="Palatino Linotype" w:eastAsia="Times New Roman" w:hAnsi="Palatino Linotype" w:cs="Arial"/>
          <w:color w:val="000000"/>
          <w:lang w:eastAsia="es-MX"/>
        </w:rPr>
        <w:t xml:space="preserve"> DE </w:t>
      </w:r>
      <w:r w:rsidR="009C0D07">
        <w:rPr>
          <w:rFonts w:ascii="Palatino Linotype" w:eastAsia="Times New Roman" w:hAnsi="Palatino Linotype" w:cs="Arial"/>
          <w:color w:val="000000"/>
          <w:lang w:eastAsia="es-MX"/>
        </w:rPr>
        <w:t>FEBRERO</w:t>
      </w:r>
      <w:r w:rsidRPr="009C0D07">
        <w:rPr>
          <w:rFonts w:ascii="Palatino Linotype" w:eastAsia="Times New Roman" w:hAnsi="Palatino Linotype" w:cs="Arial"/>
          <w:color w:val="000000"/>
          <w:lang w:eastAsia="es-MX"/>
        </w:rPr>
        <w:t xml:space="preserve"> DE</w:t>
      </w:r>
      <w:r w:rsidRPr="009C0D07">
        <w:rPr>
          <w:rFonts w:ascii="Palatino Linotype" w:hAnsi="Palatino Linotype" w:cs="Arial"/>
        </w:rPr>
        <w:t xml:space="preserve"> DOS MIL </w:t>
      </w:r>
      <w:r w:rsidR="009C0D07">
        <w:rPr>
          <w:rFonts w:ascii="Palatino Linotype" w:hAnsi="Palatino Linotype" w:cs="Arial"/>
        </w:rPr>
        <w:t>VEINTE</w:t>
      </w:r>
      <w:r w:rsidRPr="009C0D07">
        <w:rPr>
          <w:rFonts w:ascii="Palatino Linotype" w:hAnsi="Palatino Linotype" w:cs="Arial"/>
        </w:rPr>
        <w:t>, ANTE EL SECRETARIO TÉCNICO DEL PLENO, ALEXIS TAPIA RAMÍREZ.</w:t>
      </w:r>
    </w:p>
    <w:p w14:paraId="44323424" w14:textId="280BF87A" w:rsidR="00273B0A" w:rsidRPr="009C0D07" w:rsidRDefault="00273B0A" w:rsidP="00273B0A">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9C0D07" w14:paraId="281526A4" w14:textId="77777777" w:rsidTr="00551D75">
        <w:trPr>
          <w:jc w:val="center"/>
        </w:trPr>
        <w:tc>
          <w:tcPr>
            <w:tcW w:w="10368" w:type="dxa"/>
            <w:gridSpan w:val="2"/>
          </w:tcPr>
          <w:tbl>
            <w:tblPr>
              <w:tblW w:w="10240" w:type="dxa"/>
              <w:jc w:val="center"/>
              <w:tblLayout w:type="fixed"/>
              <w:tblLook w:val="04A0" w:firstRow="1" w:lastRow="0" w:firstColumn="1" w:lastColumn="0" w:noHBand="0" w:noVBand="1"/>
            </w:tblPr>
            <w:tblGrid>
              <w:gridCol w:w="5182"/>
              <w:gridCol w:w="5058"/>
            </w:tblGrid>
            <w:tr w:rsidR="00273B0A" w:rsidRPr="009C0D07" w14:paraId="45B7804C" w14:textId="77777777" w:rsidTr="00273B0A">
              <w:trPr>
                <w:jc w:val="center"/>
              </w:trPr>
              <w:tc>
                <w:tcPr>
                  <w:tcW w:w="10240" w:type="dxa"/>
                  <w:gridSpan w:val="2"/>
                  <w:shd w:val="clear" w:color="auto" w:fill="auto"/>
                </w:tcPr>
                <w:p w14:paraId="40F55BAD" w14:textId="77777777" w:rsidR="00273B0A" w:rsidRPr="009C0D07" w:rsidRDefault="00273B0A" w:rsidP="009C0D07">
                  <w:pPr>
                    <w:spacing w:line="0" w:lineRule="atLeast"/>
                    <w:rPr>
                      <w:rFonts w:ascii="Palatino Linotype" w:hAnsi="Palatino Linotype" w:cs="Arial"/>
                      <w:b/>
                    </w:rPr>
                  </w:pPr>
                </w:p>
                <w:p w14:paraId="1FCAC701"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b/>
                    </w:rPr>
                    <w:t>Zulema Martínez Sánchez</w:t>
                  </w:r>
                </w:p>
                <w:p w14:paraId="41412BF5"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rPr>
                    <w:t>Comisionada Presidenta</w:t>
                  </w:r>
                </w:p>
                <w:p w14:paraId="7C40317D"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b/>
                    </w:rPr>
                    <w:t xml:space="preserve">(RÚBRICA) </w:t>
                  </w:r>
                </w:p>
              </w:tc>
            </w:tr>
            <w:tr w:rsidR="00273B0A" w:rsidRPr="009C0D07" w14:paraId="0B6282FF" w14:textId="77777777" w:rsidTr="00273B0A">
              <w:trPr>
                <w:jc w:val="center"/>
              </w:trPr>
              <w:tc>
                <w:tcPr>
                  <w:tcW w:w="5182" w:type="dxa"/>
                  <w:shd w:val="clear" w:color="auto" w:fill="auto"/>
                </w:tcPr>
                <w:p w14:paraId="2BC1AF10" w14:textId="77777777" w:rsidR="00273B0A" w:rsidRPr="009C0D07" w:rsidRDefault="00273B0A" w:rsidP="00551D75">
                  <w:pPr>
                    <w:spacing w:line="0" w:lineRule="atLeast"/>
                    <w:jc w:val="center"/>
                    <w:rPr>
                      <w:rFonts w:ascii="Palatino Linotype" w:hAnsi="Palatino Linotype" w:cs="Arial"/>
                      <w:b/>
                    </w:rPr>
                  </w:pPr>
                </w:p>
                <w:p w14:paraId="4065CF48" w14:textId="77777777" w:rsidR="00273B0A" w:rsidRPr="009C0D07" w:rsidRDefault="00273B0A" w:rsidP="00551D75">
                  <w:pPr>
                    <w:spacing w:line="0" w:lineRule="atLeast"/>
                    <w:rPr>
                      <w:rFonts w:ascii="Palatino Linotype" w:hAnsi="Palatino Linotype" w:cs="Arial"/>
                      <w:b/>
                    </w:rPr>
                  </w:pPr>
                </w:p>
                <w:p w14:paraId="1CCDC829" w14:textId="77777777" w:rsidR="00273B0A" w:rsidRPr="009C0D07" w:rsidRDefault="00273B0A" w:rsidP="00551D75">
                  <w:pPr>
                    <w:spacing w:line="0" w:lineRule="atLeast"/>
                    <w:jc w:val="center"/>
                    <w:rPr>
                      <w:rFonts w:ascii="Palatino Linotype" w:hAnsi="Palatino Linotype" w:cs="Arial"/>
                      <w:b/>
                    </w:rPr>
                  </w:pPr>
                </w:p>
                <w:p w14:paraId="1D849FEB"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b/>
                    </w:rPr>
                    <w:t xml:space="preserve">Eva </w:t>
                  </w:r>
                  <w:proofErr w:type="spellStart"/>
                  <w:r w:rsidRPr="009C0D07">
                    <w:rPr>
                      <w:rFonts w:ascii="Palatino Linotype" w:hAnsi="Palatino Linotype" w:cs="Arial"/>
                      <w:b/>
                    </w:rPr>
                    <w:t>Abaid</w:t>
                  </w:r>
                  <w:proofErr w:type="spellEnd"/>
                  <w:r w:rsidRPr="009C0D07">
                    <w:rPr>
                      <w:rFonts w:ascii="Palatino Linotype" w:hAnsi="Palatino Linotype" w:cs="Arial"/>
                      <w:b/>
                    </w:rPr>
                    <w:t xml:space="preserve"> </w:t>
                  </w:r>
                  <w:proofErr w:type="spellStart"/>
                  <w:r w:rsidRPr="009C0D07">
                    <w:rPr>
                      <w:rFonts w:ascii="Palatino Linotype" w:hAnsi="Palatino Linotype" w:cs="Arial"/>
                      <w:b/>
                    </w:rPr>
                    <w:t>Yapur</w:t>
                  </w:r>
                  <w:proofErr w:type="spellEnd"/>
                </w:p>
                <w:p w14:paraId="03F7B7BE" w14:textId="77777777" w:rsidR="00273B0A" w:rsidRPr="009C0D07" w:rsidRDefault="00273B0A" w:rsidP="00551D75">
                  <w:pPr>
                    <w:spacing w:line="0" w:lineRule="atLeast"/>
                    <w:jc w:val="center"/>
                    <w:rPr>
                      <w:rFonts w:ascii="Palatino Linotype" w:hAnsi="Palatino Linotype" w:cs="Arial"/>
                    </w:rPr>
                  </w:pPr>
                  <w:r w:rsidRPr="009C0D07">
                    <w:rPr>
                      <w:rFonts w:ascii="Palatino Linotype" w:hAnsi="Palatino Linotype" w:cs="Arial"/>
                    </w:rPr>
                    <w:t>Comisionada</w:t>
                  </w:r>
                </w:p>
                <w:p w14:paraId="51509E6F" w14:textId="4D129553" w:rsidR="00273B0A" w:rsidRPr="009C0D07" w:rsidRDefault="00273B0A" w:rsidP="002E5192">
                  <w:pPr>
                    <w:spacing w:line="0" w:lineRule="atLeast"/>
                    <w:jc w:val="center"/>
                    <w:rPr>
                      <w:rFonts w:ascii="Palatino Linotype" w:hAnsi="Palatino Linotype" w:cs="Arial"/>
                      <w:b/>
                    </w:rPr>
                  </w:pPr>
                  <w:r w:rsidRPr="009C0D07">
                    <w:rPr>
                      <w:rFonts w:ascii="Palatino Linotype" w:hAnsi="Palatino Linotype" w:cs="Arial"/>
                      <w:b/>
                    </w:rPr>
                    <w:t>(</w:t>
                  </w:r>
                  <w:r w:rsidR="002E5192">
                    <w:rPr>
                      <w:rFonts w:ascii="Palatino Linotype" w:hAnsi="Palatino Linotype" w:cs="Arial"/>
                      <w:b/>
                    </w:rPr>
                    <w:t>AUSENCIA JUSTIFICADA</w:t>
                  </w:r>
                  <w:r w:rsidRPr="009C0D07">
                    <w:rPr>
                      <w:rFonts w:ascii="Palatino Linotype" w:hAnsi="Palatino Linotype" w:cs="Arial"/>
                      <w:b/>
                    </w:rPr>
                    <w:t>)</w:t>
                  </w:r>
                </w:p>
              </w:tc>
              <w:tc>
                <w:tcPr>
                  <w:tcW w:w="5058" w:type="dxa"/>
                  <w:shd w:val="clear" w:color="auto" w:fill="auto"/>
                </w:tcPr>
                <w:p w14:paraId="1CDADAD3" w14:textId="77777777" w:rsidR="00273B0A" w:rsidRPr="009C0D07" w:rsidRDefault="00273B0A" w:rsidP="00551D75">
                  <w:pPr>
                    <w:spacing w:line="0" w:lineRule="atLeast"/>
                    <w:jc w:val="center"/>
                    <w:rPr>
                      <w:rFonts w:ascii="Palatino Linotype" w:hAnsi="Palatino Linotype" w:cs="Arial"/>
                      <w:b/>
                    </w:rPr>
                  </w:pPr>
                </w:p>
                <w:p w14:paraId="1309839B" w14:textId="77777777" w:rsidR="00273B0A" w:rsidRPr="009C0D07" w:rsidRDefault="00273B0A" w:rsidP="00551D75">
                  <w:pPr>
                    <w:spacing w:line="0" w:lineRule="atLeast"/>
                    <w:rPr>
                      <w:rFonts w:ascii="Palatino Linotype" w:hAnsi="Palatino Linotype" w:cs="Arial"/>
                      <w:b/>
                    </w:rPr>
                  </w:pPr>
                </w:p>
                <w:p w14:paraId="6F0A9890" w14:textId="77777777" w:rsidR="00273B0A" w:rsidRPr="009C0D07" w:rsidRDefault="00273B0A" w:rsidP="00551D75">
                  <w:pPr>
                    <w:spacing w:line="0" w:lineRule="atLeast"/>
                    <w:jc w:val="center"/>
                    <w:rPr>
                      <w:rFonts w:ascii="Palatino Linotype" w:hAnsi="Palatino Linotype" w:cs="Arial"/>
                      <w:b/>
                    </w:rPr>
                  </w:pPr>
                </w:p>
                <w:p w14:paraId="048BC28E"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b/>
                    </w:rPr>
                    <w:t>José Guadalupe Luna Hernández</w:t>
                  </w:r>
                </w:p>
                <w:p w14:paraId="00B366FB" w14:textId="77777777" w:rsidR="00273B0A" w:rsidRPr="009C0D07" w:rsidRDefault="00273B0A" w:rsidP="00551D75">
                  <w:pPr>
                    <w:spacing w:line="0" w:lineRule="atLeast"/>
                    <w:jc w:val="center"/>
                    <w:rPr>
                      <w:rFonts w:ascii="Palatino Linotype" w:hAnsi="Palatino Linotype" w:cs="Arial"/>
                    </w:rPr>
                  </w:pPr>
                  <w:r w:rsidRPr="009C0D07">
                    <w:rPr>
                      <w:rFonts w:ascii="Palatino Linotype" w:hAnsi="Palatino Linotype" w:cs="Arial"/>
                    </w:rPr>
                    <w:t>Comisionado</w:t>
                  </w:r>
                </w:p>
                <w:p w14:paraId="7D8250CB"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b/>
                    </w:rPr>
                    <w:t>(RÚBRICA)</w:t>
                  </w:r>
                </w:p>
              </w:tc>
            </w:tr>
            <w:tr w:rsidR="00273B0A" w:rsidRPr="009C0D07" w14:paraId="79CD4A7F" w14:textId="77777777" w:rsidTr="00273B0A">
              <w:trPr>
                <w:jc w:val="center"/>
              </w:trPr>
              <w:tc>
                <w:tcPr>
                  <w:tcW w:w="5182" w:type="dxa"/>
                  <w:shd w:val="clear" w:color="auto" w:fill="auto"/>
                </w:tcPr>
                <w:p w14:paraId="5D482A68" w14:textId="77777777" w:rsidR="00273B0A" w:rsidRPr="009C0D07" w:rsidRDefault="00273B0A" w:rsidP="00551D75">
                  <w:pPr>
                    <w:spacing w:line="0" w:lineRule="atLeast"/>
                    <w:jc w:val="center"/>
                    <w:rPr>
                      <w:rFonts w:ascii="Palatino Linotype" w:hAnsi="Palatino Linotype" w:cs="Arial"/>
                      <w:b/>
                    </w:rPr>
                  </w:pPr>
                </w:p>
                <w:p w14:paraId="348FB358" w14:textId="77777777" w:rsidR="00273B0A" w:rsidRDefault="00273B0A" w:rsidP="00273B0A">
                  <w:pPr>
                    <w:spacing w:line="0" w:lineRule="atLeast"/>
                    <w:ind w:left="635"/>
                    <w:rPr>
                      <w:rFonts w:ascii="Palatino Linotype" w:hAnsi="Palatino Linotype" w:cs="Arial"/>
                      <w:b/>
                    </w:rPr>
                  </w:pPr>
                </w:p>
                <w:p w14:paraId="3565F690" w14:textId="77777777" w:rsidR="009C0D07" w:rsidRPr="009C0D07" w:rsidRDefault="009C0D07" w:rsidP="00273B0A">
                  <w:pPr>
                    <w:spacing w:line="0" w:lineRule="atLeast"/>
                    <w:ind w:left="635"/>
                    <w:rPr>
                      <w:rFonts w:ascii="Palatino Linotype" w:hAnsi="Palatino Linotype" w:cs="Arial"/>
                      <w:b/>
                    </w:rPr>
                  </w:pPr>
                </w:p>
                <w:p w14:paraId="07E00F76" w14:textId="77777777" w:rsidR="00273B0A" w:rsidRPr="009C0D07" w:rsidRDefault="00273B0A" w:rsidP="00551D75">
                  <w:pPr>
                    <w:spacing w:line="0" w:lineRule="atLeast"/>
                    <w:jc w:val="center"/>
                    <w:rPr>
                      <w:rFonts w:ascii="Palatino Linotype" w:hAnsi="Palatino Linotype" w:cs="Arial"/>
                      <w:b/>
                    </w:rPr>
                  </w:pPr>
                </w:p>
                <w:p w14:paraId="39BDE933"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b/>
                    </w:rPr>
                    <w:t>Javier Martínez Cruz</w:t>
                  </w:r>
                </w:p>
                <w:p w14:paraId="45A8205F" w14:textId="77777777" w:rsidR="00273B0A" w:rsidRPr="009C0D07" w:rsidRDefault="00273B0A" w:rsidP="00551D75">
                  <w:pPr>
                    <w:spacing w:line="0" w:lineRule="atLeast"/>
                    <w:jc w:val="center"/>
                    <w:rPr>
                      <w:rFonts w:ascii="Palatino Linotype" w:hAnsi="Palatino Linotype" w:cs="Arial"/>
                    </w:rPr>
                  </w:pPr>
                  <w:r w:rsidRPr="009C0D07">
                    <w:rPr>
                      <w:rFonts w:ascii="Palatino Linotype" w:hAnsi="Palatino Linotype" w:cs="Arial"/>
                    </w:rPr>
                    <w:t>Comisionado</w:t>
                  </w:r>
                </w:p>
                <w:p w14:paraId="5DEEA3FE" w14:textId="77777777" w:rsidR="00273B0A" w:rsidRPr="009C0D07" w:rsidRDefault="00273B0A" w:rsidP="00551D75">
                  <w:pPr>
                    <w:spacing w:line="0" w:lineRule="atLeast"/>
                    <w:jc w:val="center"/>
                    <w:rPr>
                      <w:rFonts w:ascii="Palatino Linotype" w:hAnsi="Palatino Linotype" w:cs="Arial"/>
                    </w:rPr>
                  </w:pPr>
                  <w:r w:rsidRPr="009C0D07">
                    <w:rPr>
                      <w:rFonts w:ascii="Palatino Linotype" w:hAnsi="Palatino Linotype" w:cs="Arial"/>
                      <w:b/>
                    </w:rPr>
                    <w:t>(RÚBRICA)</w:t>
                  </w:r>
                </w:p>
              </w:tc>
              <w:tc>
                <w:tcPr>
                  <w:tcW w:w="5058" w:type="dxa"/>
                  <w:shd w:val="clear" w:color="auto" w:fill="auto"/>
                </w:tcPr>
                <w:p w14:paraId="27162C0E" w14:textId="77777777" w:rsidR="00273B0A" w:rsidRPr="009C0D07" w:rsidRDefault="00273B0A" w:rsidP="00551D75">
                  <w:pPr>
                    <w:spacing w:line="0" w:lineRule="atLeast"/>
                    <w:jc w:val="center"/>
                    <w:rPr>
                      <w:rFonts w:ascii="Palatino Linotype" w:hAnsi="Palatino Linotype" w:cs="Arial"/>
                      <w:b/>
                    </w:rPr>
                  </w:pPr>
                </w:p>
                <w:p w14:paraId="18A4D454" w14:textId="77777777" w:rsidR="00273B0A" w:rsidRPr="009C0D07" w:rsidRDefault="00273B0A" w:rsidP="00551D75">
                  <w:pPr>
                    <w:spacing w:line="0" w:lineRule="atLeast"/>
                    <w:jc w:val="center"/>
                    <w:rPr>
                      <w:rFonts w:ascii="Palatino Linotype" w:hAnsi="Palatino Linotype" w:cs="Arial"/>
                      <w:b/>
                    </w:rPr>
                  </w:pPr>
                </w:p>
                <w:p w14:paraId="067259AF" w14:textId="77777777" w:rsidR="00273B0A" w:rsidRDefault="00273B0A" w:rsidP="00551D75">
                  <w:pPr>
                    <w:spacing w:line="0" w:lineRule="atLeast"/>
                    <w:rPr>
                      <w:rFonts w:ascii="Palatino Linotype" w:hAnsi="Palatino Linotype" w:cs="Arial"/>
                      <w:b/>
                    </w:rPr>
                  </w:pPr>
                </w:p>
                <w:p w14:paraId="23B0CB2E" w14:textId="77777777" w:rsidR="009C0D07" w:rsidRPr="009C0D07" w:rsidRDefault="009C0D07" w:rsidP="00551D75">
                  <w:pPr>
                    <w:spacing w:line="0" w:lineRule="atLeast"/>
                    <w:rPr>
                      <w:rFonts w:ascii="Palatino Linotype" w:hAnsi="Palatino Linotype" w:cs="Arial"/>
                      <w:b/>
                    </w:rPr>
                  </w:pPr>
                </w:p>
                <w:p w14:paraId="6BE746C5"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b/>
                    </w:rPr>
                    <w:t>Luis Gustavo Parra Noriega</w:t>
                  </w:r>
                </w:p>
                <w:p w14:paraId="2292D640" w14:textId="77777777" w:rsidR="00273B0A" w:rsidRPr="009C0D07" w:rsidRDefault="00273B0A" w:rsidP="00551D75">
                  <w:pPr>
                    <w:spacing w:line="0" w:lineRule="atLeast"/>
                    <w:jc w:val="center"/>
                    <w:rPr>
                      <w:rFonts w:ascii="Palatino Linotype" w:hAnsi="Palatino Linotype" w:cs="Arial"/>
                    </w:rPr>
                  </w:pPr>
                  <w:r w:rsidRPr="009C0D07">
                    <w:rPr>
                      <w:rFonts w:ascii="Palatino Linotype" w:hAnsi="Palatino Linotype" w:cs="Arial"/>
                    </w:rPr>
                    <w:t>Comisionado</w:t>
                  </w:r>
                </w:p>
                <w:p w14:paraId="76321144"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b/>
                    </w:rPr>
                    <w:t>(RÚBRICA)</w:t>
                  </w:r>
                </w:p>
              </w:tc>
            </w:tr>
            <w:tr w:rsidR="00273B0A" w:rsidRPr="009C0D07" w14:paraId="2B4DC956" w14:textId="77777777" w:rsidTr="00273B0A">
              <w:trPr>
                <w:jc w:val="center"/>
              </w:trPr>
              <w:tc>
                <w:tcPr>
                  <w:tcW w:w="10240" w:type="dxa"/>
                  <w:gridSpan w:val="2"/>
                  <w:shd w:val="clear" w:color="auto" w:fill="auto"/>
                </w:tcPr>
                <w:p w14:paraId="53AFE073" w14:textId="77777777" w:rsidR="00273B0A" w:rsidRDefault="00273B0A" w:rsidP="00551D75">
                  <w:pPr>
                    <w:tabs>
                      <w:tab w:val="left" w:pos="3720"/>
                    </w:tabs>
                    <w:spacing w:line="0" w:lineRule="atLeast"/>
                    <w:rPr>
                      <w:rFonts w:ascii="Palatino Linotype" w:hAnsi="Palatino Linotype" w:cs="Arial"/>
                      <w:b/>
                    </w:rPr>
                  </w:pPr>
                  <w:r w:rsidRPr="009C0D07">
                    <w:rPr>
                      <w:rFonts w:ascii="Palatino Linotype" w:hAnsi="Palatino Linotype" w:cs="Arial"/>
                      <w:b/>
                    </w:rPr>
                    <w:tab/>
                  </w:r>
                </w:p>
                <w:p w14:paraId="506F6785" w14:textId="77777777" w:rsidR="009C0D07" w:rsidRPr="009C0D07" w:rsidRDefault="009C0D07" w:rsidP="00551D75">
                  <w:pPr>
                    <w:tabs>
                      <w:tab w:val="left" w:pos="3720"/>
                    </w:tabs>
                    <w:spacing w:line="0" w:lineRule="atLeast"/>
                    <w:rPr>
                      <w:rFonts w:ascii="Palatino Linotype" w:hAnsi="Palatino Linotype" w:cs="Arial"/>
                      <w:b/>
                    </w:rPr>
                  </w:pPr>
                </w:p>
                <w:p w14:paraId="18930C7D" w14:textId="77777777" w:rsidR="00273B0A" w:rsidRPr="009C0D07" w:rsidRDefault="00273B0A" w:rsidP="00551D75">
                  <w:pPr>
                    <w:spacing w:line="0" w:lineRule="atLeast"/>
                    <w:jc w:val="center"/>
                    <w:rPr>
                      <w:rFonts w:ascii="Palatino Linotype" w:hAnsi="Palatino Linotype" w:cs="Arial"/>
                      <w:b/>
                    </w:rPr>
                  </w:pPr>
                </w:p>
                <w:p w14:paraId="5C52D66C" w14:textId="77777777" w:rsidR="00273B0A" w:rsidRPr="009C0D07" w:rsidRDefault="00273B0A" w:rsidP="00551D75">
                  <w:pPr>
                    <w:spacing w:line="0" w:lineRule="atLeast"/>
                    <w:jc w:val="center"/>
                    <w:rPr>
                      <w:rFonts w:ascii="Palatino Linotype" w:hAnsi="Palatino Linotype" w:cs="Arial"/>
                      <w:b/>
                    </w:rPr>
                  </w:pPr>
                  <w:r w:rsidRPr="009C0D07">
                    <w:rPr>
                      <w:rFonts w:ascii="Palatino Linotype" w:hAnsi="Palatino Linotype" w:cs="Arial"/>
                      <w:b/>
                    </w:rPr>
                    <w:t>Alexis Tapia Ramírez</w:t>
                  </w:r>
                </w:p>
                <w:p w14:paraId="70F8E438" w14:textId="77777777" w:rsidR="00273B0A" w:rsidRPr="009C0D07" w:rsidRDefault="00273B0A" w:rsidP="00551D75">
                  <w:pPr>
                    <w:spacing w:line="0" w:lineRule="atLeast"/>
                    <w:jc w:val="center"/>
                    <w:rPr>
                      <w:rFonts w:ascii="Palatino Linotype" w:hAnsi="Palatino Linotype" w:cs="Arial"/>
                    </w:rPr>
                  </w:pPr>
                  <w:r w:rsidRPr="009C0D07">
                    <w:rPr>
                      <w:rFonts w:ascii="Palatino Linotype" w:hAnsi="Palatino Linotype" w:cs="Arial"/>
                    </w:rPr>
                    <w:t>Secretario Técnico del Pleno</w:t>
                  </w:r>
                </w:p>
                <w:p w14:paraId="17582345" w14:textId="77777777" w:rsidR="00273B0A" w:rsidRPr="009C0D07" w:rsidRDefault="00273B0A" w:rsidP="00551D75">
                  <w:pPr>
                    <w:spacing w:line="0" w:lineRule="atLeast"/>
                    <w:jc w:val="center"/>
                    <w:rPr>
                      <w:rFonts w:ascii="Palatino Linotype" w:hAnsi="Palatino Linotype" w:cs="Arial"/>
                    </w:rPr>
                  </w:pPr>
                  <w:r w:rsidRPr="009C0D07">
                    <w:rPr>
                      <w:rFonts w:ascii="Palatino Linotype" w:hAnsi="Palatino Linotype" w:cs="Arial"/>
                      <w:b/>
                    </w:rPr>
                    <w:t>(RÚBRICA)</w:t>
                  </w:r>
                  <w:r w:rsidRPr="009C0D07">
                    <w:rPr>
                      <w:rFonts w:ascii="Palatino Linotype" w:hAnsi="Palatino Linotype" w:cs="Arial"/>
                    </w:rPr>
                    <w:t xml:space="preserve"> </w:t>
                  </w:r>
                </w:p>
              </w:tc>
            </w:tr>
          </w:tbl>
          <w:p w14:paraId="6231B5B7" w14:textId="77777777" w:rsidR="00273B0A" w:rsidRPr="009C0D07" w:rsidRDefault="00273B0A" w:rsidP="00551D75">
            <w:pPr>
              <w:jc w:val="both"/>
              <w:rPr>
                <w:rFonts w:ascii="Palatino Linotype" w:hAnsi="Palatino Linotype" w:cs="Arial"/>
                <w:lang w:val="es-ES"/>
              </w:rPr>
            </w:pPr>
          </w:p>
        </w:tc>
      </w:tr>
      <w:tr w:rsidR="00273B0A" w:rsidRPr="009C0D07" w14:paraId="4F7F64F5" w14:textId="77777777" w:rsidTr="00551D75">
        <w:trPr>
          <w:jc w:val="center"/>
        </w:trPr>
        <w:tc>
          <w:tcPr>
            <w:tcW w:w="5184" w:type="dxa"/>
            <w:hideMark/>
          </w:tcPr>
          <w:p w14:paraId="4E783067" w14:textId="77777777" w:rsidR="00273B0A" w:rsidRPr="009C0D07" w:rsidRDefault="00273B0A" w:rsidP="00551D75">
            <w:pPr>
              <w:jc w:val="both"/>
              <w:rPr>
                <w:rFonts w:ascii="Palatino Linotype" w:hAnsi="Palatino Linotype" w:cs="Arial"/>
                <w:lang w:val="es-ES"/>
              </w:rPr>
            </w:pPr>
          </w:p>
        </w:tc>
        <w:tc>
          <w:tcPr>
            <w:tcW w:w="5184" w:type="dxa"/>
          </w:tcPr>
          <w:p w14:paraId="73E5BC8D" w14:textId="77777777" w:rsidR="00273B0A" w:rsidRPr="009C0D07" w:rsidRDefault="00273B0A" w:rsidP="00551D75">
            <w:pPr>
              <w:jc w:val="center"/>
              <w:rPr>
                <w:rFonts w:ascii="Palatino Linotype" w:hAnsi="Palatino Linotype" w:cs="Arial"/>
                <w:b/>
              </w:rPr>
            </w:pPr>
          </w:p>
        </w:tc>
      </w:tr>
    </w:tbl>
    <w:p w14:paraId="0CFE34E2" w14:textId="59252D9A" w:rsidR="007914E4" w:rsidRPr="00964322" w:rsidRDefault="00273B0A" w:rsidP="004E1461">
      <w:pPr>
        <w:tabs>
          <w:tab w:val="left" w:pos="567"/>
        </w:tabs>
        <w:spacing w:before="240" w:after="240" w:line="360" w:lineRule="auto"/>
        <w:jc w:val="both"/>
        <w:rPr>
          <w:rFonts w:ascii="Palatino Linotype" w:hAnsi="Palatino Linotype" w:cs="Arial"/>
          <w:sz w:val="22"/>
          <w:szCs w:val="22"/>
          <w:lang w:val="es-MX"/>
        </w:rPr>
      </w:pPr>
      <w:r w:rsidRPr="009C0D07">
        <w:rPr>
          <w:rFonts w:ascii="Palatino Linotype" w:eastAsia="Times New Roman" w:hAnsi="Palatino Linotype" w:cs="Arial"/>
          <w:sz w:val="22"/>
          <w:szCs w:val="22"/>
          <w:lang w:val="es-MX"/>
        </w:rPr>
        <w:t xml:space="preserve">Esta hoja corresponde a la resolución de </w:t>
      </w:r>
      <w:r w:rsidR="009C0D07">
        <w:rPr>
          <w:rFonts w:ascii="Palatino Linotype" w:eastAsia="Times New Roman" w:hAnsi="Palatino Linotype" w:cs="Arial"/>
          <w:sz w:val="22"/>
          <w:szCs w:val="22"/>
          <w:lang w:val="es-MX"/>
        </w:rPr>
        <w:t xml:space="preserve">diecinueve (19) de febrero </w:t>
      </w:r>
      <w:r w:rsidRPr="009C0D07">
        <w:rPr>
          <w:rFonts w:ascii="Palatino Linotype" w:eastAsia="Times New Roman" w:hAnsi="Palatino Linotype" w:cs="Arial"/>
          <w:sz w:val="22"/>
          <w:szCs w:val="22"/>
          <w:lang w:val="es-MX"/>
        </w:rPr>
        <w:t xml:space="preserve"> de dos mil  </w:t>
      </w:r>
      <w:r w:rsidR="009C0D07">
        <w:rPr>
          <w:rFonts w:ascii="Palatino Linotype" w:eastAsia="Times New Roman" w:hAnsi="Palatino Linotype" w:cs="Arial"/>
          <w:sz w:val="22"/>
          <w:szCs w:val="22"/>
          <w:lang w:val="es-MX"/>
        </w:rPr>
        <w:t>veinte</w:t>
      </w:r>
      <w:r w:rsidRPr="009C0D07">
        <w:rPr>
          <w:rFonts w:ascii="Palatino Linotype" w:eastAsia="Times New Roman" w:hAnsi="Palatino Linotype" w:cs="Arial"/>
          <w:sz w:val="22"/>
          <w:szCs w:val="22"/>
          <w:lang w:val="es-MX"/>
        </w:rPr>
        <w:t xml:space="preserve">, emitida en el recurso de revisión </w:t>
      </w:r>
      <w:r w:rsidR="00206E7D" w:rsidRPr="009C0D07">
        <w:rPr>
          <w:rFonts w:ascii="Palatino Linotype" w:hAnsi="Palatino Linotype" w:cs="Arial"/>
          <w:b/>
          <w:bCs/>
          <w:sz w:val="22"/>
          <w:szCs w:val="22"/>
          <w:lang w:val="es-MX" w:eastAsia="es-MX"/>
        </w:rPr>
        <w:t>08973/INFOEM/IP/RR/2019</w:t>
      </w:r>
      <w:r w:rsidR="00417E0F" w:rsidRPr="009C0D07">
        <w:rPr>
          <w:rFonts w:ascii="Palatino Linotype" w:hAnsi="Palatino Linotype" w:cs="Arial"/>
          <w:b/>
          <w:bCs/>
          <w:sz w:val="22"/>
          <w:szCs w:val="22"/>
          <w:lang w:val="es-MX" w:eastAsia="es-MX"/>
        </w:rPr>
        <w:t>.</w:t>
      </w:r>
    </w:p>
    <w:sectPr w:rsidR="007914E4" w:rsidRPr="00964322" w:rsidSect="00F801DD">
      <w:headerReference w:type="default" r:id="rId23"/>
      <w:footerReference w:type="default" r:id="rId24"/>
      <w:headerReference w:type="first" r:id="rId25"/>
      <w:footerReference w:type="first" r:id="rId2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923DA" w14:textId="77777777" w:rsidR="00E91A66" w:rsidRDefault="00E91A66" w:rsidP="00587366">
      <w:r>
        <w:separator/>
      </w:r>
    </w:p>
    <w:p w14:paraId="12C136DE" w14:textId="77777777" w:rsidR="00E91A66" w:rsidRDefault="00E91A66"/>
  </w:endnote>
  <w:endnote w:type="continuationSeparator" w:id="0">
    <w:p w14:paraId="779BCA7B" w14:textId="77777777" w:rsidR="00E91A66" w:rsidRDefault="00E91A66" w:rsidP="00587366">
      <w:r>
        <w:continuationSeparator/>
      </w:r>
    </w:p>
    <w:p w14:paraId="2EB3D1C9" w14:textId="77777777" w:rsidR="00E91A66" w:rsidRDefault="00E91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A31117" w:rsidRDefault="00A31117"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234CC">
              <w:rPr>
                <w:rFonts w:ascii="Palatino Linotype" w:hAnsi="Palatino Linotype"/>
                <w:b/>
                <w:bCs/>
                <w:noProof/>
                <w:sz w:val="22"/>
                <w:szCs w:val="20"/>
              </w:rPr>
              <w:t>74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234CC">
              <w:rPr>
                <w:rFonts w:ascii="Palatino Linotype" w:hAnsi="Palatino Linotype"/>
                <w:b/>
                <w:bCs/>
                <w:noProof/>
                <w:sz w:val="22"/>
                <w:szCs w:val="20"/>
              </w:rPr>
              <w:t>76</w:t>
            </w:r>
            <w:r w:rsidRPr="00883450">
              <w:rPr>
                <w:rFonts w:ascii="Palatino Linotype" w:hAnsi="Palatino Linotype"/>
                <w:b/>
                <w:bCs/>
                <w:sz w:val="22"/>
                <w:szCs w:val="20"/>
              </w:rPr>
              <w:fldChar w:fldCharType="end"/>
            </w:r>
          </w:p>
          <w:p w14:paraId="187818B4" w14:textId="42E0FFCB" w:rsidR="00A31117" w:rsidRDefault="006234CC" w:rsidP="00985DA6">
            <w:pPr>
              <w:pStyle w:val="Piedepgina"/>
              <w:rPr>
                <w:rFonts w:ascii="Palatino Linotype" w:hAnsi="Palatino Linotype"/>
                <w:sz w:val="28"/>
              </w:rPr>
            </w:pPr>
          </w:p>
        </w:sdtContent>
      </w:sdt>
    </w:sdtContent>
  </w:sdt>
  <w:p w14:paraId="1AED78E8" w14:textId="77777777" w:rsidR="00A31117" w:rsidRDefault="00A311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31117" w:rsidRPr="00883450" w:rsidRDefault="00A311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234CC" w:rsidRPr="006234C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234CC" w:rsidRPr="006234CC">
      <w:rPr>
        <w:rFonts w:ascii="Palatino Linotype" w:hAnsi="Palatino Linotype"/>
        <w:noProof/>
        <w:sz w:val="22"/>
        <w:szCs w:val="22"/>
        <w:lang w:val="es-ES"/>
      </w:rPr>
      <w:t>76</w:t>
    </w:r>
    <w:r w:rsidRPr="00883450">
      <w:rPr>
        <w:rFonts w:ascii="Palatino Linotype" w:hAnsi="Palatino Linotype"/>
        <w:sz w:val="22"/>
        <w:szCs w:val="22"/>
      </w:rPr>
      <w:fldChar w:fldCharType="end"/>
    </w:r>
  </w:p>
  <w:p w14:paraId="5F5C4865" w14:textId="77777777" w:rsidR="00A31117" w:rsidRPr="00883450" w:rsidRDefault="00A31117">
    <w:pPr>
      <w:pStyle w:val="Piedepgina"/>
      <w:rPr>
        <w:rFonts w:ascii="Palatino Linotype" w:hAnsi="Palatino Linotype"/>
        <w:sz w:val="22"/>
        <w:szCs w:val="22"/>
      </w:rPr>
    </w:pPr>
  </w:p>
  <w:p w14:paraId="2E09EA83" w14:textId="77777777" w:rsidR="00A31117" w:rsidRDefault="00A311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469DE" w14:textId="77777777" w:rsidR="00E91A66" w:rsidRDefault="00E91A66" w:rsidP="00587366">
      <w:r>
        <w:separator/>
      </w:r>
    </w:p>
    <w:p w14:paraId="3E0E56AB" w14:textId="77777777" w:rsidR="00E91A66" w:rsidRDefault="00E91A66"/>
  </w:footnote>
  <w:footnote w:type="continuationSeparator" w:id="0">
    <w:p w14:paraId="2887B708" w14:textId="77777777" w:rsidR="00E91A66" w:rsidRDefault="00E91A66" w:rsidP="00587366">
      <w:r>
        <w:continuationSeparator/>
      </w:r>
    </w:p>
    <w:p w14:paraId="798568F2" w14:textId="77777777" w:rsidR="00E91A66" w:rsidRDefault="00E91A66"/>
  </w:footnote>
  <w:footnote w:id="1">
    <w:p w14:paraId="6B330599" w14:textId="77777777" w:rsidR="00A31117" w:rsidRPr="00034B44" w:rsidRDefault="00A31117" w:rsidP="00627226">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2">
    <w:p w14:paraId="1F6AB01A" w14:textId="77777777" w:rsidR="00A31117" w:rsidRPr="00E70844" w:rsidRDefault="00A31117" w:rsidP="00627226">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5AF2901D" w14:textId="77777777" w:rsidR="00A31117" w:rsidRPr="009064F6" w:rsidRDefault="00A31117" w:rsidP="00627226">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268F8AFE" w14:textId="77777777" w:rsidR="00A31117" w:rsidRPr="00E70844" w:rsidRDefault="00A31117" w:rsidP="00627226">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6BD3FFAC" w14:textId="77777777" w:rsidR="00A31117" w:rsidRPr="00E70844" w:rsidRDefault="00A31117" w:rsidP="00627226">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VILLANUEVA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3F045BAD" w14:textId="77777777" w:rsidR="00A31117" w:rsidRPr="00CE236E" w:rsidRDefault="00A31117" w:rsidP="00627226">
      <w:pPr>
        <w:pStyle w:val="Textonotapie"/>
        <w:jc w:val="both"/>
        <w:rPr>
          <w:rFonts w:ascii="Arial" w:hAnsi="Arial" w:cs="Arial"/>
          <w:sz w:val="16"/>
          <w:szCs w:val="16"/>
        </w:rPr>
      </w:pPr>
    </w:p>
  </w:footnote>
  <w:footnote w:id="6">
    <w:p w14:paraId="51BB4968" w14:textId="77777777" w:rsidR="00A31117" w:rsidRDefault="00A31117" w:rsidP="00EE2679">
      <w:pPr>
        <w:pStyle w:val="Textonotapie"/>
        <w:jc w:val="both"/>
      </w:pPr>
      <w:r>
        <w:rPr>
          <w:rStyle w:val="Refdenotaalpie"/>
        </w:rPr>
        <w:footnoteRef/>
      </w:r>
      <w:r w:rsidRPr="00BE0220">
        <w:rPr>
          <w:rFonts w:ascii="Palatino Linotype" w:hAnsi="Palatino Linotype"/>
        </w:rPr>
        <w:t xml:space="preserve"> Consultable en; </w:t>
      </w:r>
      <w:hyperlink r:id="rId1" w:history="1">
        <w:r w:rsidRPr="00BE0220">
          <w:rPr>
            <w:rStyle w:val="Hipervnculo"/>
            <w:rFonts w:ascii="Palatino Linotype" w:hAnsi="Palatino Linotype"/>
          </w:rPr>
          <w:t>https://www.gob.mx/sesnsp/acciones-y-programas/fondos-y-subsidios</w:t>
        </w:r>
      </w:hyperlink>
    </w:p>
  </w:footnote>
  <w:footnote w:id="7">
    <w:p w14:paraId="18FBF3A6" w14:textId="77777777" w:rsidR="00A31117" w:rsidRPr="00A75F35" w:rsidRDefault="00A31117" w:rsidP="00EE2679">
      <w:pPr>
        <w:pStyle w:val="Textonotapie"/>
        <w:rPr>
          <w:rFonts w:ascii="Palatino Linotype" w:hAnsi="Palatino Linotype"/>
          <w:sz w:val="16"/>
          <w:szCs w:val="16"/>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Pr>
          <w:rFonts w:ascii="Palatino Linotype" w:hAnsi="Palatino Linotype"/>
          <w:sz w:val="16"/>
          <w:szCs w:val="16"/>
        </w:rPr>
        <w:t xml:space="preserve">Disponible en la página electrónica: </w:t>
      </w:r>
      <w:r w:rsidRPr="00A75F35">
        <w:rPr>
          <w:rFonts w:ascii="Palatino Linotype" w:hAnsi="Palatino Linotype"/>
          <w:sz w:val="16"/>
          <w:szCs w:val="16"/>
        </w:rPr>
        <w:t>https://www.gob.mx/cms/uploads/attachment/file/455365/CONVENIO_FASP_2019-ESTADO_DE_M_XICO-19-04-19.pdf</w:t>
      </w:r>
    </w:p>
  </w:footnote>
  <w:footnote w:id="8">
    <w:p w14:paraId="14BEEB1E" w14:textId="77777777" w:rsidR="00A31117" w:rsidRDefault="00A31117" w:rsidP="00EE2679">
      <w:pPr>
        <w:pStyle w:val="Textonotapie"/>
        <w:jc w:val="both"/>
      </w:pPr>
      <w:r>
        <w:rPr>
          <w:rStyle w:val="Refdenotaalpie"/>
        </w:rPr>
        <w:footnoteRef/>
      </w:r>
      <w:r>
        <w:t xml:space="preserve"> </w:t>
      </w:r>
      <w:r w:rsidRPr="00823FCE">
        <w:rPr>
          <w:rFonts w:ascii="Palatino Linotype" w:hAnsi="Palatino Linotype"/>
        </w:rPr>
        <w:t>El Subsidio para la Seguridad en los Municipios (SUBSEMUN) se reestructuró y a partir del ejercicio 2016 se convierte en el Subsidio para el Fortalecimiento del desempeño en materia de Seguridad Pública (FORTASEG)</w:t>
      </w:r>
      <w:r>
        <w:rPr>
          <w:rFonts w:ascii="Palatino Linotype" w:hAnsi="Palatino Linotype"/>
        </w:rPr>
        <w:t>; así el segundo de los nombrados retoma los principios básicos del SUBSEMUN creado en 2008</w:t>
      </w:r>
      <w:r w:rsidRPr="00823FCE">
        <w:rPr>
          <w:rFonts w:ascii="Palatino Linotype" w:hAnsi="Palatino Linotype"/>
        </w:rPr>
        <w:t>.</w:t>
      </w:r>
    </w:p>
  </w:footnote>
  <w:footnote w:id="9">
    <w:p w14:paraId="7B4EA022" w14:textId="77777777" w:rsidR="00A31117" w:rsidRDefault="00A31117" w:rsidP="00EE2679">
      <w:pPr>
        <w:pStyle w:val="Textonotapie"/>
        <w:jc w:val="both"/>
        <w:rPr>
          <w:rFonts w:ascii="Palatino Linotype" w:hAnsi="Palatino Linotype"/>
        </w:rPr>
      </w:pPr>
      <w:r w:rsidRPr="00F85572">
        <w:rPr>
          <w:rStyle w:val="Refdenotaalpie"/>
          <w:rFonts w:ascii="Palatino Linotype" w:hAnsi="Palatino Linotype"/>
        </w:rPr>
        <w:footnoteRef/>
      </w:r>
      <w:r w:rsidRPr="00F85572">
        <w:rPr>
          <w:rFonts w:ascii="Palatino Linotype" w:hAnsi="Palatino Linotype"/>
        </w:rPr>
        <w:t xml:space="preserve"> Consultable en</w:t>
      </w:r>
      <w:r>
        <w:rPr>
          <w:rFonts w:ascii="Palatino Linotype" w:hAnsi="Palatino Linotype"/>
        </w:rPr>
        <w:t>:</w:t>
      </w:r>
    </w:p>
    <w:p w14:paraId="12622813" w14:textId="77777777" w:rsidR="00A31117" w:rsidRPr="00F85572" w:rsidRDefault="00A31117" w:rsidP="00EE2679">
      <w:pPr>
        <w:pStyle w:val="Textonotapie"/>
        <w:jc w:val="both"/>
        <w:rPr>
          <w:rFonts w:ascii="Palatino Linotype" w:hAnsi="Palatino Linotype"/>
        </w:rPr>
      </w:pPr>
      <w:r w:rsidRPr="00F85572">
        <w:rPr>
          <w:rFonts w:ascii="Palatino Linotype" w:hAnsi="Palatino Linotype"/>
        </w:rPr>
        <w:t xml:space="preserve"> </w:t>
      </w:r>
      <w:hyperlink r:id="rId2" w:history="1">
        <w:r w:rsidRPr="00F85572">
          <w:rPr>
            <w:rStyle w:val="Hipervnculo"/>
            <w:rFonts w:ascii="Palatino Linotype" w:hAnsi="Palatino Linotype"/>
          </w:rPr>
          <w:t>https://www.gob.mx/cms/uploads/attachment/file/454683/CONVENIO_FORTASEG_2019-ESTADO_DE_M_XICO-17-04-19.pdf</w:t>
        </w:r>
      </w:hyperlink>
    </w:p>
  </w:footnote>
  <w:footnote w:id="10">
    <w:p w14:paraId="0BA8AFE2" w14:textId="77777777" w:rsidR="00A31117" w:rsidRPr="00446878" w:rsidRDefault="00A31117" w:rsidP="00E05995">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sidRPr="00446878">
        <w:rPr>
          <w:rFonts w:asciiTheme="majorHAnsi" w:hAnsiTheme="majorHAnsi" w:cs="Arial"/>
          <w:b/>
          <w:bCs/>
          <w:sz w:val="20"/>
          <w:szCs w:val="20"/>
        </w:rPr>
        <w:t xml:space="preserve">Artículo 122. </w:t>
      </w:r>
      <w:r w:rsidRPr="00446878">
        <w:rPr>
          <w:rFonts w:asciiTheme="majorHAnsi" w:hAnsiTheme="majorHAnsi"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1702626" w14:textId="77777777" w:rsidR="00A31117" w:rsidRPr="00446878" w:rsidRDefault="00A31117" w:rsidP="00E05995">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267470B9" w14:textId="77777777" w:rsidR="00A31117" w:rsidRPr="00446878" w:rsidRDefault="00A31117" w:rsidP="00E05995">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5C1538C8" w14:textId="77777777" w:rsidR="00A31117" w:rsidRPr="00446878" w:rsidRDefault="00A31117" w:rsidP="00E05995">
      <w:pPr>
        <w:autoSpaceDE w:val="0"/>
        <w:autoSpaceDN w:val="0"/>
        <w:adjustRightInd w:val="0"/>
        <w:spacing w:line="276" w:lineRule="auto"/>
        <w:jc w:val="both"/>
        <w:rPr>
          <w:rFonts w:asciiTheme="majorHAnsi" w:hAnsiTheme="majorHAnsi"/>
          <w:sz w:val="20"/>
          <w:szCs w:val="20"/>
        </w:rPr>
      </w:pPr>
    </w:p>
  </w:footnote>
  <w:footnote w:id="11">
    <w:p w14:paraId="353026C0" w14:textId="77777777" w:rsidR="00A31117" w:rsidRPr="00446878" w:rsidRDefault="00A31117" w:rsidP="00E05995">
      <w:pPr>
        <w:autoSpaceDE w:val="0"/>
        <w:autoSpaceDN w:val="0"/>
        <w:adjustRightInd w:val="0"/>
        <w:spacing w:line="276" w:lineRule="auto"/>
        <w:jc w:val="both"/>
        <w:rPr>
          <w:rFonts w:asciiTheme="majorHAnsi" w:hAnsiTheme="majorHAnsi" w:cs="Arial"/>
          <w:sz w:val="20"/>
          <w:szCs w:val="20"/>
        </w:rPr>
      </w:pPr>
      <w:r w:rsidRPr="00446878">
        <w:rPr>
          <w:rStyle w:val="Refdenotaalpie"/>
          <w:rFonts w:asciiTheme="majorHAnsi" w:hAnsiTheme="majorHAnsi"/>
          <w:sz w:val="20"/>
          <w:szCs w:val="20"/>
        </w:rPr>
        <w:footnoteRef/>
      </w:r>
      <w:r w:rsidRPr="00446878">
        <w:rPr>
          <w:rFonts w:asciiTheme="majorHAnsi" w:hAnsiTheme="majorHAnsi"/>
          <w:sz w:val="20"/>
          <w:szCs w:val="20"/>
        </w:rPr>
        <w:t xml:space="preserve"> </w:t>
      </w:r>
      <w:r w:rsidRPr="00446878">
        <w:rPr>
          <w:rFonts w:asciiTheme="majorHAnsi" w:hAnsiTheme="majorHAnsi" w:cs="Arial"/>
          <w:b/>
          <w:sz w:val="20"/>
          <w:szCs w:val="20"/>
        </w:rPr>
        <w:t>Artículo 135.</w:t>
      </w:r>
      <w:r w:rsidRPr="0044687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2">
    <w:p w14:paraId="134B6247" w14:textId="77777777" w:rsidR="00A31117" w:rsidRPr="00426457" w:rsidRDefault="00A31117" w:rsidP="00E05995">
      <w:pPr>
        <w:pStyle w:val="Textonotapie"/>
        <w:spacing w:line="360" w:lineRule="auto"/>
        <w:jc w:val="both"/>
        <w:rPr>
          <w:sz w:val="18"/>
          <w:szCs w:val="18"/>
        </w:rPr>
      </w:pPr>
      <w:r w:rsidRPr="00426457">
        <w:rPr>
          <w:rStyle w:val="Refdenotaalpie"/>
          <w:sz w:val="14"/>
        </w:rPr>
        <w:footnoteRef/>
      </w:r>
      <w:r w:rsidRPr="00426457">
        <w:rPr>
          <w:sz w:val="14"/>
          <w:lang w:val="es-ES"/>
        </w:rPr>
        <w:t xml:space="preserve"> </w:t>
      </w:r>
      <w:r w:rsidRPr="00426457">
        <w:rPr>
          <w:b/>
          <w:sz w:val="18"/>
          <w:szCs w:val="18"/>
        </w:rPr>
        <w:t>RESTRICCIONES A LOS DERECHOS FUNDAMENTALES. ELEMENTOS QUE EL JUEZ CONSTITUCIONAL DEBE TOMAR EN CUENTA PARA CONSIDERARLAS VÁLIDAS.</w:t>
      </w:r>
      <w:r w:rsidRPr="00426457">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4E05FF0E" w14:textId="77777777" w:rsidR="00A31117" w:rsidRPr="00426457" w:rsidRDefault="00A31117" w:rsidP="00E05995">
      <w:pPr>
        <w:pStyle w:val="Textonotapie"/>
        <w:spacing w:line="360" w:lineRule="auto"/>
        <w:jc w:val="both"/>
        <w:rPr>
          <w:sz w:val="18"/>
          <w:szCs w:val="18"/>
        </w:rPr>
      </w:pPr>
      <w:r w:rsidRPr="00426457">
        <w:rPr>
          <w:sz w:val="18"/>
          <w:szCs w:val="18"/>
        </w:rPr>
        <w:t xml:space="preserve">1a./J. 2/2012 (9a.). Primera Sala. Decima Época. Semanario Judicial de la Federación y su Gaceta. Libro V, Febrero de 2012, Pág. 533.  </w:t>
      </w:r>
    </w:p>
  </w:footnote>
  <w:footnote w:id="13">
    <w:p w14:paraId="57169DF1" w14:textId="77777777" w:rsidR="00A31117" w:rsidRPr="00426457" w:rsidRDefault="00A31117" w:rsidP="00E05995">
      <w:pPr>
        <w:pStyle w:val="Textonotapie"/>
        <w:spacing w:line="360" w:lineRule="auto"/>
        <w:jc w:val="both"/>
        <w:rPr>
          <w:sz w:val="18"/>
          <w:szCs w:val="18"/>
          <w:lang w:val="es-ES"/>
        </w:rPr>
      </w:pPr>
      <w:r w:rsidRPr="00426457">
        <w:rPr>
          <w:rStyle w:val="Refdenotaalpie"/>
          <w:sz w:val="18"/>
          <w:szCs w:val="18"/>
        </w:rPr>
        <w:footnoteRef/>
      </w:r>
      <w:r w:rsidRPr="00426457">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426457">
        <w:rPr>
          <w:i/>
          <w:sz w:val="18"/>
          <w:szCs w:val="18"/>
        </w:rPr>
        <w:t>Marco jurídico interamericano sobre el derecho a la libertad de expresión</w:t>
      </w:r>
      <w:r w:rsidRPr="00426457">
        <w:rPr>
          <w:sz w:val="18"/>
          <w:szCs w:val="18"/>
        </w:rPr>
        <w:t xml:space="preserve">. Párr. 67. </w:t>
      </w:r>
    </w:p>
  </w:footnote>
  <w:footnote w:id="14">
    <w:p w14:paraId="19B608EF" w14:textId="77777777" w:rsidR="00A31117" w:rsidRPr="00034B44" w:rsidRDefault="00A31117" w:rsidP="00E0599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7817F41" w14:textId="77777777" w:rsidR="00A31117" w:rsidRPr="00034B44" w:rsidRDefault="00A31117" w:rsidP="00E0599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DFBD6ED" w14:textId="77777777" w:rsidR="00A31117" w:rsidRPr="00034B44" w:rsidRDefault="00A31117" w:rsidP="00E0599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5">
    <w:p w14:paraId="017114BF" w14:textId="77777777" w:rsidR="00A31117" w:rsidRPr="00034B44" w:rsidRDefault="00A31117" w:rsidP="00E0599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A31117" w:rsidRDefault="00A31117">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31117" w:rsidRPr="00E84957" w14:paraId="07F2896E" w14:textId="77777777" w:rsidTr="003116A6">
      <w:trPr>
        <w:trHeight w:val="138"/>
        <w:jc w:val="right"/>
      </w:trPr>
      <w:tc>
        <w:tcPr>
          <w:tcW w:w="2552" w:type="dxa"/>
          <w:vAlign w:val="center"/>
        </w:tcPr>
        <w:p w14:paraId="4A5B1974" w14:textId="77777777" w:rsidR="00A31117" w:rsidRPr="00E84957" w:rsidRDefault="00A31117"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9CBC9A5" w:rsidR="00A31117" w:rsidRPr="002D0ECC" w:rsidRDefault="00A31117" w:rsidP="00D17209">
          <w:pPr>
            <w:pStyle w:val="Encabezado"/>
            <w:jc w:val="right"/>
            <w:rPr>
              <w:rFonts w:ascii="Palatino Linotype" w:hAnsi="Palatino Linotype"/>
              <w:b/>
              <w:sz w:val="20"/>
              <w:szCs w:val="20"/>
            </w:rPr>
          </w:pPr>
          <w:r>
            <w:rPr>
              <w:rFonts w:ascii="Palatino Linotype" w:hAnsi="Palatino Linotype" w:cs="Arial"/>
              <w:b/>
              <w:bCs/>
              <w:sz w:val="20"/>
              <w:szCs w:val="20"/>
              <w:lang w:eastAsia="es-MX"/>
            </w:rPr>
            <w:t>08973/INFOEM/IP/RR/2019</w:t>
          </w:r>
        </w:p>
      </w:tc>
    </w:tr>
    <w:tr w:rsidR="00A31117" w:rsidRPr="00E84957" w14:paraId="095EB01B" w14:textId="77777777" w:rsidTr="003116A6">
      <w:trPr>
        <w:trHeight w:val="321"/>
        <w:jc w:val="right"/>
      </w:trPr>
      <w:tc>
        <w:tcPr>
          <w:tcW w:w="2552" w:type="dxa"/>
          <w:vAlign w:val="center"/>
        </w:tcPr>
        <w:p w14:paraId="6E000A51" w14:textId="4DA3E277" w:rsidR="00A31117" w:rsidRPr="00E84957" w:rsidRDefault="00A31117"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417589A" w14:textId="77777777" w:rsidR="00A31117" w:rsidRDefault="00A31117" w:rsidP="00D17209">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0EAEC39F" w:rsidR="00A31117" w:rsidRPr="00740719" w:rsidRDefault="00A31117" w:rsidP="00D17209">
          <w:pPr>
            <w:pStyle w:val="Encabezado"/>
            <w:jc w:val="right"/>
            <w:rPr>
              <w:rFonts w:ascii="Palatino Linotype" w:hAnsi="Palatino Linotype"/>
              <w:b/>
              <w:sz w:val="18"/>
              <w:szCs w:val="18"/>
            </w:rPr>
          </w:pPr>
          <w:r>
            <w:rPr>
              <w:rFonts w:ascii="Palatino Linotype" w:hAnsi="Palatino Linotype"/>
              <w:b/>
              <w:sz w:val="20"/>
              <w:szCs w:val="20"/>
            </w:rPr>
            <w:t>Atizapán de Zaragoza</w:t>
          </w:r>
        </w:p>
      </w:tc>
    </w:tr>
    <w:tr w:rsidR="00A31117" w:rsidRPr="00E84957" w14:paraId="14F3CE0D" w14:textId="77777777" w:rsidTr="003116A6">
      <w:trPr>
        <w:trHeight w:val="321"/>
        <w:jc w:val="right"/>
      </w:trPr>
      <w:tc>
        <w:tcPr>
          <w:tcW w:w="2552" w:type="dxa"/>
          <w:vAlign w:val="center"/>
        </w:tcPr>
        <w:p w14:paraId="12248485" w14:textId="081B3348" w:rsidR="00A31117" w:rsidRPr="00E84957" w:rsidRDefault="00A31117"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A31117" w:rsidRPr="002D0ECC" w:rsidRDefault="00A31117"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A31117" w:rsidRDefault="00A31117" w:rsidP="00587366">
    <w:pPr>
      <w:pStyle w:val="Encabezado"/>
    </w:pPr>
  </w:p>
  <w:p w14:paraId="01FCACBC" w14:textId="77777777" w:rsidR="00A31117" w:rsidRDefault="00A311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31117" w:rsidRDefault="00A31117"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A31117" w:rsidRPr="00182113" w14:paraId="665387B4" w14:textId="77777777" w:rsidTr="000B5D79">
      <w:trPr>
        <w:trHeight w:val="138"/>
      </w:trPr>
      <w:tc>
        <w:tcPr>
          <w:tcW w:w="2532" w:type="dxa"/>
          <w:vAlign w:val="center"/>
        </w:tcPr>
        <w:p w14:paraId="01509DD6" w14:textId="77777777" w:rsidR="00A31117" w:rsidRPr="00182113" w:rsidRDefault="00A3111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A31117" w:rsidRPr="00182113" w:rsidRDefault="00A31117" w:rsidP="000B5D79">
          <w:pPr>
            <w:pStyle w:val="Encabezado"/>
            <w:jc w:val="center"/>
            <w:rPr>
              <w:rFonts w:ascii="Palatino Linotype" w:hAnsi="Palatino Linotype"/>
              <w:b/>
              <w:sz w:val="22"/>
              <w:szCs w:val="22"/>
            </w:rPr>
          </w:pPr>
        </w:p>
      </w:tc>
      <w:tc>
        <w:tcPr>
          <w:tcW w:w="3261" w:type="dxa"/>
          <w:vAlign w:val="center"/>
        </w:tcPr>
        <w:p w14:paraId="4FAE21CD" w14:textId="44E491A8" w:rsidR="00A31117" w:rsidRPr="00182113" w:rsidRDefault="00A31117" w:rsidP="00D17209">
          <w:pPr>
            <w:pStyle w:val="Encabezado"/>
            <w:rPr>
              <w:rFonts w:ascii="Palatino Linotype" w:hAnsi="Palatino Linotype"/>
              <w:b/>
              <w:sz w:val="22"/>
              <w:szCs w:val="22"/>
            </w:rPr>
          </w:pPr>
          <w:r>
            <w:rPr>
              <w:rFonts w:ascii="Palatino Linotype" w:hAnsi="Palatino Linotype" w:cs="Arial"/>
              <w:b/>
              <w:bCs/>
              <w:sz w:val="20"/>
              <w:szCs w:val="20"/>
              <w:lang w:eastAsia="es-MX"/>
            </w:rPr>
            <w:t>08973/INFOEM/IP/RR/2019</w:t>
          </w:r>
        </w:p>
      </w:tc>
    </w:tr>
    <w:tr w:rsidR="00A31117" w:rsidRPr="00182113" w14:paraId="78C9F2F4" w14:textId="77777777" w:rsidTr="000B5D79">
      <w:trPr>
        <w:trHeight w:val="227"/>
      </w:trPr>
      <w:tc>
        <w:tcPr>
          <w:tcW w:w="2532" w:type="dxa"/>
          <w:vAlign w:val="center"/>
        </w:tcPr>
        <w:p w14:paraId="2D89FED3" w14:textId="77777777" w:rsidR="00A31117" w:rsidRPr="00182113" w:rsidRDefault="00A3111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A31117" w:rsidRPr="00182113" w:rsidRDefault="00A31117" w:rsidP="000B5D79">
          <w:pPr>
            <w:pStyle w:val="Encabezado"/>
            <w:jc w:val="center"/>
            <w:rPr>
              <w:rFonts w:ascii="Palatino Linotype" w:hAnsi="Palatino Linotype"/>
              <w:b/>
              <w:sz w:val="22"/>
              <w:szCs w:val="22"/>
            </w:rPr>
          </w:pPr>
        </w:p>
      </w:tc>
      <w:tc>
        <w:tcPr>
          <w:tcW w:w="3261" w:type="dxa"/>
          <w:vAlign w:val="center"/>
        </w:tcPr>
        <w:p w14:paraId="36D086A3" w14:textId="339C8888" w:rsidR="00A31117" w:rsidRPr="00F801DD" w:rsidRDefault="00A31117" w:rsidP="000B5D79">
          <w:pPr>
            <w:pStyle w:val="Encabezado"/>
            <w:rPr>
              <w:rFonts w:ascii="Palatino Linotype" w:hAnsi="Palatino Linotype"/>
              <w:b/>
              <w:sz w:val="20"/>
              <w:szCs w:val="20"/>
            </w:rPr>
          </w:pPr>
          <w:r w:rsidRPr="00A31117">
            <w:rPr>
              <w:rFonts w:ascii="Palatino Linotype" w:hAnsi="Palatino Linotype"/>
              <w:b/>
              <w:sz w:val="20"/>
              <w:szCs w:val="20"/>
              <w:highlight w:val="black"/>
            </w:rPr>
            <w:t>-------------------</w:t>
          </w:r>
        </w:p>
      </w:tc>
    </w:tr>
    <w:tr w:rsidR="00A31117" w:rsidRPr="00182113" w14:paraId="1A862673" w14:textId="77777777" w:rsidTr="000B5D79">
      <w:trPr>
        <w:trHeight w:val="232"/>
      </w:trPr>
      <w:tc>
        <w:tcPr>
          <w:tcW w:w="2532" w:type="dxa"/>
          <w:vAlign w:val="center"/>
        </w:tcPr>
        <w:p w14:paraId="767A6F60" w14:textId="77777777" w:rsidR="00A31117" w:rsidRPr="00182113" w:rsidRDefault="00A3111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A31117" w:rsidRPr="00182113" w:rsidRDefault="00A31117" w:rsidP="000B5D79">
          <w:pPr>
            <w:pStyle w:val="Encabezado"/>
            <w:jc w:val="center"/>
            <w:rPr>
              <w:rFonts w:ascii="Palatino Linotype" w:hAnsi="Palatino Linotype"/>
              <w:b/>
              <w:sz w:val="22"/>
              <w:szCs w:val="22"/>
            </w:rPr>
          </w:pPr>
        </w:p>
      </w:tc>
      <w:tc>
        <w:tcPr>
          <w:tcW w:w="3261" w:type="dxa"/>
          <w:vAlign w:val="center"/>
        </w:tcPr>
        <w:p w14:paraId="47B49AC1" w14:textId="77777777" w:rsidR="00A31117" w:rsidRDefault="00A31117" w:rsidP="00D17209">
          <w:pPr>
            <w:pStyle w:val="Encabezado"/>
            <w:rPr>
              <w:rFonts w:ascii="Palatino Linotype" w:hAnsi="Palatino Linotype"/>
              <w:b/>
              <w:sz w:val="20"/>
              <w:szCs w:val="20"/>
            </w:rPr>
          </w:pPr>
          <w:r>
            <w:rPr>
              <w:rFonts w:ascii="Palatino Linotype" w:hAnsi="Palatino Linotype"/>
              <w:b/>
              <w:sz w:val="20"/>
              <w:szCs w:val="20"/>
            </w:rPr>
            <w:t xml:space="preserve">Ayuntamiento de </w:t>
          </w:r>
        </w:p>
        <w:p w14:paraId="3FC8EF03" w14:textId="76A1B733" w:rsidR="00A31117" w:rsidRPr="00114C6B" w:rsidRDefault="00A31117" w:rsidP="00D17209">
          <w:pPr>
            <w:pStyle w:val="Encabezado"/>
            <w:rPr>
              <w:rFonts w:ascii="Palatino Linotype" w:hAnsi="Palatino Linotype"/>
              <w:b/>
              <w:sz w:val="20"/>
              <w:szCs w:val="20"/>
            </w:rPr>
          </w:pPr>
          <w:r>
            <w:rPr>
              <w:rFonts w:ascii="Palatino Linotype" w:hAnsi="Palatino Linotype"/>
              <w:b/>
              <w:sz w:val="20"/>
              <w:szCs w:val="20"/>
            </w:rPr>
            <w:t>Atizapán de Zaragoza</w:t>
          </w:r>
        </w:p>
      </w:tc>
    </w:tr>
    <w:tr w:rsidR="00A31117" w:rsidRPr="00182113" w14:paraId="4416531B" w14:textId="77777777" w:rsidTr="000B5D79">
      <w:trPr>
        <w:trHeight w:val="320"/>
      </w:trPr>
      <w:tc>
        <w:tcPr>
          <w:tcW w:w="2532" w:type="dxa"/>
          <w:vAlign w:val="center"/>
        </w:tcPr>
        <w:p w14:paraId="277DD3E2" w14:textId="7989BCC5" w:rsidR="00A31117" w:rsidRPr="00182113" w:rsidRDefault="00A3111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A31117" w:rsidRPr="00182113" w:rsidRDefault="00A31117" w:rsidP="000B5D79">
          <w:pPr>
            <w:pStyle w:val="Encabezado"/>
            <w:jc w:val="center"/>
            <w:rPr>
              <w:rFonts w:ascii="Palatino Linotype" w:hAnsi="Palatino Linotype"/>
              <w:b/>
              <w:sz w:val="22"/>
              <w:szCs w:val="22"/>
            </w:rPr>
          </w:pPr>
        </w:p>
      </w:tc>
      <w:tc>
        <w:tcPr>
          <w:tcW w:w="3261" w:type="dxa"/>
          <w:vAlign w:val="center"/>
        </w:tcPr>
        <w:p w14:paraId="3BD70CE4" w14:textId="61A13249" w:rsidR="00A31117" w:rsidRPr="00182113" w:rsidRDefault="00A31117"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A31117" w:rsidRDefault="00A31117">
    <w:pPr>
      <w:pStyle w:val="Encabezado"/>
    </w:pPr>
  </w:p>
  <w:p w14:paraId="2C496126" w14:textId="77777777" w:rsidR="00A31117" w:rsidRDefault="00A311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CE5478"/>
    <w:multiLevelType w:val="hybridMultilevel"/>
    <w:tmpl w:val="85C2C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B06DF4"/>
    <w:multiLevelType w:val="hybridMultilevel"/>
    <w:tmpl w:val="FDEA9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DE2301"/>
    <w:multiLevelType w:val="hybridMultilevel"/>
    <w:tmpl w:val="45960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926AFB"/>
    <w:multiLevelType w:val="hybridMultilevel"/>
    <w:tmpl w:val="DFDCA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9"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0" w15:restartNumberingAfterBreak="0">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FE0124"/>
    <w:multiLevelType w:val="hybridMultilevel"/>
    <w:tmpl w:val="EB581F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2C0AA6"/>
    <w:multiLevelType w:val="hybridMultilevel"/>
    <w:tmpl w:val="881C1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3915F3"/>
    <w:multiLevelType w:val="hybridMultilevel"/>
    <w:tmpl w:val="84786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474C20"/>
    <w:multiLevelType w:val="hybridMultilevel"/>
    <w:tmpl w:val="4FB2E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65925B1A"/>
    <w:multiLevelType w:val="hybridMultilevel"/>
    <w:tmpl w:val="6644D2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073C33"/>
    <w:multiLevelType w:val="hybridMultilevel"/>
    <w:tmpl w:val="7CEE4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2573ED0"/>
    <w:multiLevelType w:val="hybridMultilevel"/>
    <w:tmpl w:val="D4D8E6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6A566B"/>
    <w:multiLevelType w:val="hybridMultilevel"/>
    <w:tmpl w:val="1674C33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770136A0"/>
    <w:multiLevelType w:val="hybridMultilevel"/>
    <w:tmpl w:val="346EE50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2827CC0">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6"/>
  </w:num>
  <w:num w:numId="2">
    <w:abstractNumId w:val="9"/>
  </w:num>
  <w:num w:numId="3">
    <w:abstractNumId w:val="5"/>
  </w:num>
  <w:num w:numId="4">
    <w:abstractNumId w:val="6"/>
  </w:num>
  <w:num w:numId="5">
    <w:abstractNumId w:val="19"/>
  </w:num>
  <w:num w:numId="6">
    <w:abstractNumId w:val="11"/>
  </w:num>
  <w:num w:numId="7">
    <w:abstractNumId w:val="30"/>
  </w:num>
  <w:num w:numId="8">
    <w:abstractNumId w:val="37"/>
  </w:num>
  <w:num w:numId="9">
    <w:abstractNumId w:val="26"/>
  </w:num>
  <w:num w:numId="10">
    <w:abstractNumId w:val="1"/>
  </w:num>
  <w:num w:numId="11">
    <w:abstractNumId w:val="29"/>
  </w:num>
  <w:num w:numId="12">
    <w:abstractNumId w:val="23"/>
  </w:num>
  <w:num w:numId="13">
    <w:abstractNumId w:val="2"/>
  </w:num>
  <w:num w:numId="14">
    <w:abstractNumId w:val="17"/>
  </w:num>
  <w:num w:numId="15">
    <w:abstractNumId w:val="14"/>
  </w:num>
  <w:num w:numId="16">
    <w:abstractNumId w:val="35"/>
  </w:num>
  <w:num w:numId="17">
    <w:abstractNumId w:val="15"/>
  </w:num>
  <w:num w:numId="18">
    <w:abstractNumId w:val="0"/>
  </w:num>
  <w:num w:numId="19">
    <w:abstractNumId w:val="39"/>
  </w:num>
  <w:num w:numId="20">
    <w:abstractNumId w:val="8"/>
  </w:num>
  <w:num w:numId="21">
    <w:abstractNumId w:val="20"/>
  </w:num>
  <w:num w:numId="22">
    <w:abstractNumId w:val="12"/>
  </w:num>
  <w:num w:numId="23">
    <w:abstractNumId w:val="38"/>
  </w:num>
  <w:num w:numId="24">
    <w:abstractNumId w:val="31"/>
  </w:num>
  <w:num w:numId="25">
    <w:abstractNumId w:val="16"/>
  </w:num>
  <w:num w:numId="26">
    <w:abstractNumId w:val="33"/>
  </w:num>
  <w:num w:numId="27">
    <w:abstractNumId w:val="10"/>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
  </w:num>
  <w:num w:numId="31">
    <w:abstractNumId w:val="28"/>
  </w:num>
  <w:num w:numId="32">
    <w:abstractNumId w:val="24"/>
  </w:num>
  <w:num w:numId="33">
    <w:abstractNumId w:val="3"/>
  </w:num>
  <w:num w:numId="34">
    <w:abstractNumId w:val="27"/>
  </w:num>
  <w:num w:numId="35">
    <w:abstractNumId w:val="21"/>
  </w:num>
  <w:num w:numId="36">
    <w:abstractNumId w:val="13"/>
  </w:num>
  <w:num w:numId="37">
    <w:abstractNumId w:val="7"/>
  </w:num>
  <w:num w:numId="38">
    <w:abstractNumId w:val="22"/>
  </w:num>
  <w:num w:numId="39">
    <w:abstractNumId w:val="32"/>
  </w:num>
  <w:num w:numId="40">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FF1"/>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17152"/>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59E5"/>
    <w:rsid w:val="0002623B"/>
    <w:rsid w:val="00027AA6"/>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352F"/>
    <w:rsid w:val="00045745"/>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6FF"/>
    <w:rsid w:val="00054A7C"/>
    <w:rsid w:val="00055B29"/>
    <w:rsid w:val="00055FF9"/>
    <w:rsid w:val="00056A79"/>
    <w:rsid w:val="000616D2"/>
    <w:rsid w:val="00061822"/>
    <w:rsid w:val="00062AC3"/>
    <w:rsid w:val="000634AC"/>
    <w:rsid w:val="00064750"/>
    <w:rsid w:val="00064822"/>
    <w:rsid w:val="00064B95"/>
    <w:rsid w:val="0007139C"/>
    <w:rsid w:val="000725E0"/>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46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2ED"/>
    <w:rsid w:val="000C05FA"/>
    <w:rsid w:val="000C09CB"/>
    <w:rsid w:val="000C0DC5"/>
    <w:rsid w:val="000C0FB1"/>
    <w:rsid w:val="000C10B9"/>
    <w:rsid w:val="000C210B"/>
    <w:rsid w:val="000C4A8E"/>
    <w:rsid w:val="000C555C"/>
    <w:rsid w:val="000C5A04"/>
    <w:rsid w:val="000C741C"/>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4B9"/>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09F5"/>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5F3A"/>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B01"/>
    <w:rsid w:val="00173B92"/>
    <w:rsid w:val="00174CB1"/>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37D2"/>
    <w:rsid w:val="001B53A0"/>
    <w:rsid w:val="001B57F2"/>
    <w:rsid w:val="001B5F70"/>
    <w:rsid w:val="001B6C18"/>
    <w:rsid w:val="001C0C2E"/>
    <w:rsid w:val="001C1147"/>
    <w:rsid w:val="001C13B1"/>
    <w:rsid w:val="001C16B6"/>
    <w:rsid w:val="001C1C2A"/>
    <w:rsid w:val="001C1FFF"/>
    <w:rsid w:val="001C572C"/>
    <w:rsid w:val="001C5CBD"/>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14BE"/>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6E7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B1"/>
    <w:rsid w:val="002345FF"/>
    <w:rsid w:val="00234D76"/>
    <w:rsid w:val="00235620"/>
    <w:rsid w:val="002366A2"/>
    <w:rsid w:val="00236932"/>
    <w:rsid w:val="00237428"/>
    <w:rsid w:val="0023784D"/>
    <w:rsid w:val="0023797E"/>
    <w:rsid w:val="00237F61"/>
    <w:rsid w:val="002419CB"/>
    <w:rsid w:val="00241C95"/>
    <w:rsid w:val="00241CB1"/>
    <w:rsid w:val="00242056"/>
    <w:rsid w:val="00243063"/>
    <w:rsid w:val="00243AA0"/>
    <w:rsid w:val="00243E9C"/>
    <w:rsid w:val="00244FB1"/>
    <w:rsid w:val="0024535A"/>
    <w:rsid w:val="002456AF"/>
    <w:rsid w:val="002466A2"/>
    <w:rsid w:val="0024739F"/>
    <w:rsid w:val="002479E3"/>
    <w:rsid w:val="00250DF8"/>
    <w:rsid w:val="002519B8"/>
    <w:rsid w:val="00252174"/>
    <w:rsid w:val="00252BD0"/>
    <w:rsid w:val="00252C4D"/>
    <w:rsid w:val="002545BF"/>
    <w:rsid w:val="00256D77"/>
    <w:rsid w:val="00260323"/>
    <w:rsid w:val="00261001"/>
    <w:rsid w:val="00261BB3"/>
    <w:rsid w:val="00261DA1"/>
    <w:rsid w:val="002632B3"/>
    <w:rsid w:val="00264510"/>
    <w:rsid w:val="00264D14"/>
    <w:rsid w:val="002651CA"/>
    <w:rsid w:val="00265381"/>
    <w:rsid w:val="00265A4A"/>
    <w:rsid w:val="002665BD"/>
    <w:rsid w:val="00267441"/>
    <w:rsid w:val="00267487"/>
    <w:rsid w:val="00267710"/>
    <w:rsid w:val="00267B3D"/>
    <w:rsid w:val="00270AB9"/>
    <w:rsid w:val="00271318"/>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2FBF"/>
    <w:rsid w:val="002A48BE"/>
    <w:rsid w:val="002A4FB7"/>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2A4"/>
    <w:rsid w:val="002E289E"/>
    <w:rsid w:val="002E2E98"/>
    <w:rsid w:val="002E3C8D"/>
    <w:rsid w:val="002E3DA0"/>
    <w:rsid w:val="002E41F0"/>
    <w:rsid w:val="002E4871"/>
    <w:rsid w:val="002E5192"/>
    <w:rsid w:val="002E5B3F"/>
    <w:rsid w:val="002E6A53"/>
    <w:rsid w:val="002E6E73"/>
    <w:rsid w:val="002E74CE"/>
    <w:rsid w:val="002E7D78"/>
    <w:rsid w:val="002E7FC0"/>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67A"/>
    <w:rsid w:val="0037475B"/>
    <w:rsid w:val="00375C69"/>
    <w:rsid w:val="003773A4"/>
    <w:rsid w:val="00377556"/>
    <w:rsid w:val="00380950"/>
    <w:rsid w:val="003819B3"/>
    <w:rsid w:val="00381A79"/>
    <w:rsid w:val="00382121"/>
    <w:rsid w:val="003830A0"/>
    <w:rsid w:val="0038315E"/>
    <w:rsid w:val="00383318"/>
    <w:rsid w:val="0038394F"/>
    <w:rsid w:val="00383C5E"/>
    <w:rsid w:val="00384233"/>
    <w:rsid w:val="003848C2"/>
    <w:rsid w:val="00384AD8"/>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0C03"/>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3491"/>
    <w:rsid w:val="003D4544"/>
    <w:rsid w:val="003D46D0"/>
    <w:rsid w:val="003D5EE4"/>
    <w:rsid w:val="003D7850"/>
    <w:rsid w:val="003E0B0F"/>
    <w:rsid w:val="003E167A"/>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5138"/>
    <w:rsid w:val="00407CCB"/>
    <w:rsid w:val="0041085F"/>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4435"/>
    <w:rsid w:val="00444CFD"/>
    <w:rsid w:val="00444F82"/>
    <w:rsid w:val="00445F8F"/>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6F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2AFF"/>
    <w:rsid w:val="004B31A6"/>
    <w:rsid w:val="004B3B1A"/>
    <w:rsid w:val="004B40BF"/>
    <w:rsid w:val="004B4396"/>
    <w:rsid w:val="004B4A7B"/>
    <w:rsid w:val="004B57A3"/>
    <w:rsid w:val="004B5AC8"/>
    <w:rsid w:val="004B607D"/>
    <w:rsid w:val="004B64D1"/>
    <w:rsid w:val="004B6F5C"/>
    <w:rsid w:val="004B7B21"/>
    <w:rsid w:val="004C00C8"/>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0B2F"/>
    <w:rsid w:val="005010B6"/>
    <w:rsid w:val="0050190F"/>
    <w:rsid w:val="005019F7"/>
    <w:rsid w:val="00501BB6"/>
    <w:rsid w:val="005037B4"/>
    <w:rsid w:val="00504811"/>
    <w:rsid w:val="00504B5E"/>
    <w:rsid w:val="00505B93"/>
    <w:rsid w:val="00505CFF"/>
    <w:rsid w:val="0051069C"/>
    <w:rsid w:val="005114D1"/>
    <w:rsid w:val="00511BD2"/>
    <w:rsid w:val="00511DF4"/>
    <w:rsid w:val="005122A8"/>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5F2"/>
    <w:rsid w:val="00525B47"/>
    <w:rsid w:val="00525F9D"/>
    <w:rsid w:val="00526172"/>
    <w:rsid w:val="00526369"/>
    <w:rsid w:val="005263C4"/>
    <w:rsid w:val="00526E75"/>
    <w:rsid w:val="005273EF"/>
    <w:rsid w:val="00530693"/>
    <w:rsid w:val="00530C99"/>
    <w:rsid w:val="00530E3B"/>
    <w:rsid w:val="00531016"/>
    <w:rsid w:val="005311FA"/>
    <w:rsid w:val="00532551"/>
    <w:rsid w:val="0053513D"/>
    <w:rsid w:val="0053583C"/>
    <w:rsid w:val="00540029"/>
    <w:rsid w:val="00540F3C"/>
    <w:rsid w:val="005419B4"/>
    <w:rsid w:val="00542B3A"/>
    <w:rsid w:val="00544EC9"/>
    <w:rsid w:val="00545E6A"/>
    <w:rsid w:val="00546084"/>
    <w:rsid w:val="005508E5"/>
    <w:rsid w:val="00550F81"/>
    <w:rsid w:val="00551714"/>
    <w:rsid w:val="00551D75"/>
    <w:rsid w:val="005520BF"/>
    <w:rsid w:val="005527B6"/>
    <w:rsid w:val="00554431"/>
    <w:rsid w:val="00555C32"/>
    <w:rsid w:val="00556814"/>
    <w:rsid w:val="00557D6A"/>
    <w:rsid w:val="00562474"/>
    <w:rsid w:val="005636A4"/>
    <w:rsid w:val="00563BDC"/>
    <w:rsid w:val="00563FE5"/>
    <w:rsid w:val="00564721"/>
    <w:rsid w:val="0056598A"/>
    <w:rsid w:val="005660F0"/>
    <w:rsid w:val="005664C4"/>
    <w:rsid w:val="0056692A"/>
    <w:rsid w:val="00566997"/>
    <w:rsid w:val="00566F85"/>
    <w:rsid w:val="00567154"/>
    <w:rsid w:val="00570139"/>
    <w:rsid w:val="00570A27"/>
    <w:rsid w:val="00570A2E"/>
    <w:rsid w:val="005720DF"/>
    <w:rsid w:val="00572195"/>
    <w:rsid w:val="00572B55"/>
    <w:rsid w:val="00573665"/>
    <w:rsid w:val="0057438B"/>
    <w:rsid w:val="005743D0"/>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597A"/>
    <w:rsid w:val="005C5DC5"/>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4A3"/>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230"/>
    <w:rsid w:val="0060753C"/>
    <w:rsid w:val="00611107"/>
    <w:rsid w:val="006116DE"/>
    <w:rsid w:val="00611894"/>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4CC"/>
    <w:rsid w:val="0062357F"/>
    <w:rsid w:val="0062365A"/>
    <w:rsid w:val="006238D2"/>
    <w:rsid w:val="0062416F"/>
    <w:rsid w:val="00625557"/>
    <w:rsid w:val="0062622B"/>
    <w:rsid w:val="00627226"/>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2CAD"/>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993"/>
    <w:rsid w:val="00692B64"/>
    <w:rsid w:val="00693427"/>
    <w:rsid w:val="00693495"/>
    <w:rsid w:val="00693EF3"/>
    <w:rsid w:val="00694432"/>
    <w:rsid w:val="00694CAC"/>
    <w:rsid w:val="00694D07"/>
    <w:rsid w:val="006950EE"/>
    <w:rsid w:val="0069518A"/>
    <w:rsid w:val="00696990"/>
    <w:rsid w:val="006969CA"/>
    <w:rsid w:val="00696EF8"/>
    <w:rsid w:val="006A1EE9"/>
    <w:rsid w:val="006A1FD4"/>
    <w:rsid w:val="006A2B11"/>
    <w:rsid w:val="006A3A04"/>
    <w:rsid w:val="006A40FF"/>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B77BE"/>
    <w:rsid w:val="006C078E"/>
    <w:rsid w:val="006C2A0E"/>
    <w:rsid w:val="006C341B"/>
    <w:rsid w:val="006C34A4"/>
    <w:rsid w:val="006C3B64"/>
    <w:rsid w:val="006C49B4"/>
    <w:rsid w:val="006C50C2"/>
    <w:rsid w:val="006C563A"/>
    <w:rsid w:val="006C6868"/>
    <w:rsid w:val="006C7573"/>
    <w:rsid w:val="006C7A33"/>
    <w:rsid w:val="006C7BFE"/>
    <w:rsid w:val="006D0309"/>
    <w:rsid w:val="006D083C"/>
    <w:rsid w:val="006D158E"/>
    <w:rsid w:val="006D223D"/>
    <w:rsid w:val="006D27EF"/>
    <w:rsid w:val="006D3940"/>
    <w:rsid w:val="006D453F"/>
    <w:rsid w:val="006D45A3"/>
    <w:rsid w:val="006D473F"/>
    <w:rsid w:val="006D4B87"/>
    <w:rsid w:val="006D52D1"/>
    <w:rsid w:val="006E007E"/>
    <w:rsid w:val="006E1056"/>
    <w:rsid w:val="006E1FA7"/>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0CAB"/>
    <w:rsid w:val="007114F2"/>
    <w:rsid w:val="0071231D"/>
    <w:rsid w:val="007127CA"/>
    <w:rsid w:val="007127D3"/>
    <w:rsid w:val="007129CF"/>
    <w:rsid w:val="0071459F"/>
    <w:rsid w:val="007150D6"/>
    <w:rsid w:val="00715525"/>
    <w:rsid w:val="00716D44"/>
    <w:rsid w:val="007179E1"/>
    <w:rsid w:val="00717B59"/>
    <w:rsid w:val="007203AF"/>
    <w:rsid w:val="007207BB"/>
    <w:rsid w:val="00720926"/>
    <w:rsid w:val="00721767"/>
    <w:rsid w:val="00721F66"/>
    <w:rsid w:val="00722530"/>
    <w:rsid w:val="00723247"/>
    <w:rsid w:val="007237BF"/>
    <w:rsid w:val="00724054"/>
    <w:rsid w:val="0072483C"/>
    <w:rsid w:val="00725463"/>
    <w:rsid w:val="007257CE"/>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0A87"/>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77D0A"/>
    <w:rsid w:val="007805E0"/>
    <w:rsid w:val="0078099A"/>
    <w:rsid w:val="00780DDE"/>
    <w:rsid w:val="0078136D"/>
    <w:rsid w:val="00783320"/>
    <w:rsid w:val="007839E7"/>
    <w:rsid w:val="00784F9C"/>
    <w:rsid w:val="00785E0C"/>
    <w:rsid w:val="0078619D"/>
    <w:rsid w:val="00786828"/>
    <w:rsid w:val="00786841"/>
    <w:rsid w:val="00787364"/>
    <w:rsid w:val="00790520"/>
    <w:rsid w:val="00790598"/>
    <w:rsid w:val="00790804"/>
    <w:rsid w:val="007908A0"/>
    <w:rsid w:val="007914E4"/>
    <w:rsid w:val="007918F9"/>
    <w:rsid w:val="0079378F"/>
    <w:rsid w:val="007940E8"/>
    <w:rsid w:val="00795745"/>
    <w:rsid w:val="00797148"/>
    <w:rsid w:val="007A1118"/>
    <w:rsid w:val="007A1303"/>
    <w:rsid w:val="007A2C34"/>
    <w:rsid w:val="007A3379"/>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2928"/>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130"/>
    <w:rsid w:val="0082653B"/>
    <w:rsid w:val="00826768"/>
    <w:rsid w:val="00826AAA"/>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A06"/>
    <w:rsid w:val="00852BB9"/>
    <w:rsid w:val="00854F1E"/>
    <w:rsid w:val="008560F4"/>
    <w:rsid w:val="0085624E"/>
    <w:rsid w:val="0085625E"/>
    <w:rsid w:val="00856E44"/>
    <w:rsid w:val="00857422"/>
    <w:rsid w:val="008601A5"/>
    <w:rsid w:val="008615F9"/>
    <w:rsid w:val="00862B5A"/>
    <w:rsid w:val="00862DB1"/>
    <w:rsid w:val="008637BA"/>
    <w:rsid w:val="008647CD"/>
    <w:rsid w:val="00864B22"/>
    <w:rsid w:val="00864B40"/>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41D"/>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396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88"/>
    <w:rsid w:val="008E7A93"/>
    <w:rsid w:val="008F12E6"/>
    <w:rsid w:val="008F1B10"/>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059"/>
    <w:rsid w:val="0091154D"/>
    <w:rsid w:val="0091369F"/>
    <w:rsid w:val="009145A9"/>
    <w:rsid w:val="00915245"/>
    <w:rsid w:val="00915778"/>
    <w:rsid w:val="00915C84"/>
    <w:rsid w:val="009164D0"/>
    <w:rsid w:val="009164DD"/>
    <w:rsid w:val="00916840"/>
    <w:rsid w:val="00917B05"/>
    <w:rsid w:val="009204FF"/>
    <w:rsid w:val="00920F93"/>
    <w:rsid w:val="00921F7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AE7"/>
    <w:rsid w:val="00941B55"/>
    <w:rsid w:val="00943598"/>
    <w:rsid w:val="00943C67"/>
    <w:rsid w:val="00943E93"/>
    <w:rsid w:val="00944729"/>
    <w:rsid w:val="00944E99"/>
    <w:rsid w:val="00946F09"/>
    <w:rsid w:val="0094711A"/>
    <w:rsid w:val="009479FB"/>
    <w:rsid w:val="00947B51"/>
    <w:rsid w:val="00947C76"/>
    <w:rsid w:val="00950808"/>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86102"/>
    <w:rsid w:val="00990314"/>
    <w:rsid w:val="00991076"/>
    <w:rsid w:val="009924D5"/>
    <w:rsid w:val="0099409F"/>
    <w:rsid w:val="0099482D"/>
    <w:rsid w:val="00994E5A"/>
    <w:rsid w:val="00995311"/>
    <w:rsid w:val="0099752D"/>
    <w:rsid w:val="009A11F0"/>
    <w:rsid w:val="009A1E1D"/>
    <w:rsid w:val="009A25A6"/>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0D07"/>
    <w:rsid w:val="009C113B"/>
    <w:rsid w:val="009C1E0F"/>
    <w:rsid w:val="009C3553"/>
    <w:rsid w:val="009C501E"/>
    <w:rsid w:val="009C5511"/>
    <w:rsid w:val="009C5718"/>
    <w:rsid w:val="009C573B"/>
    <w:rsid w:val="009C661B"/>
    <w:rsid w:val="009C69B3"/>
    <w:rsid w:val="009C77B3"/>
    <w:rsid w:val="009C7FA2"/>
    <w:rsid w:val="009D12E0"/>
    <w:rsid w:val="009D1BD9"/>
    <w:rsid w:val="009D340E"/>
    <w:rsid w:val="009D4727"/>
    <w:rsid w:val="009D4D4F"/>
    <w:rsid w:val="009D542A"/>
    <w:rsid w:val="009D61D9"/>
    <w:rsid w:val="009D76F0"/>
    <w:rsid w:val="009E011D"/>
    <w:rsid w:val="009E1584"/>
    <w:rsid w:val="009E1C30"/>
    <w:rsid w:val="009E4306"/>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24D9"/>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117"/>
    <w:rsid w:val="00A31FB2"/>
    <w:rsid w:val="00A325D3"/>
    <w:rsid w:val="00A3276A"/>
    <w:rsid w:val="00A32959"/>
    <w:rsid w:val="00A3313A"/>
    <w:rsid w:val="00A34054"/>
    <w:rsid w:val="00A3443E"/>
    <w:rsid w:val="00A349D2"/>
    <w:rsid w:val="00A3543C"/>
    <w:rsid w:val="00A35DAF"/>
    <w:rsid w:val="00A376F4"/>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123"/>
    <w:rsid w:val="00A547F4"/>
    <w:rsid w:val="00A558E6"/>
    <w:rsid w:val="00A572BC"/>
    <w:rsid w:val="00A575AA"/>
    <w:rsid w:val="00A5798D"/>
    <w:rsid w:val="00A57F5F"/>
    <w:rsid w:val="00A60016"/>
    <w:rsid w:val="00A607ED"/>
    <w:rsid w:val="00A60F1F"/>
    <w:rsid w:val="00A60FB9"/>
    <w:rsid w:val="00A61E11"/>
    <w:rsid w:val="00A62A60"/>
    <w:rsid w:val="00A63B88"/>
    <w:rsid w:val="00A64EAC"/>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39F"/>
    <w:rsid w:val="00A75EE4"/>
    <w:rsid w:val="00A76BEE"/>
    <w:rsid w:val="00A770CD"/>
    <w:rsid w:val="00A77CCE"/>
    <w:rsid w:val="00A77E4A"/>
    <w:rsid w:val="00A8029E"/>
    <w:rsid w:val="00A80550"/>
    <w:rsid w:val="00A80EF4"/>
    <w:rsid w:val="00A81509"/>
    <w:rsid w:val="00A82724"/>
    <w:rsid w:val="00A82CD1"/>
    <w:rsid w:val="00A84A48"/>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261"/>
    <w:rsid w:val="00A94982"/>
    <w:rsid w:val="00A94D69"/>
    <w:rsid w:val="00A9576E"/>
    <w:rsid w:val="00A97EE2"/>
    <w:rsid w:val="00AA0660"/>
    <w:rsid w:val="00AA0C1B"/>
    <w:rsid w:val="00AA13C2"/>
    <w:rsid w:val="00AA218B"/>
    <w:rsid w:val="00AA223A"/>
    <w:rsid w:val="00AA22A7"/>
    <w:rsid w:val="00AA23F6"/>
    <w:rsid w:val="00AA2A0A"/>
    <w:rsid w:val="00AA2EC9"/>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2856"/>
    <w:rsid w:val="00AC36D2"/>
    <w:rsid w:val="00AC3F55"/>
    <w:rsid w:val="00AC3F60"/>
    <w:rsid w:val="00AC4137"/>
    <w:rsid w:val="00AC4933"/>
    <w:rsid w:val="00AC547F"/>
    <w:rsid w:val="00AC61A6"/>
    <w:rsid w:val="00AC6585"/>
    <w:rsid w:val="00AC6747"/>
    <w:rsid w:val="00AC6852"/>
    <w:rsid w:val="00AC7118"/>
    <w:rsid w:val="00AD070E"/>
    <w:rsid w:val="00AD08CF"/>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D39"/>
    <w:rsid w:val="00B235B5"/>
    <w:rsid w:val="00B23A7C"/>
    <w:rsid w:val="00B23CBF"/>
    <w:rsid w:val="00B2441C"/>
    <w:rsid w:val="00B25275"/>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0ACE"/>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1674"/>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56C"/>
    <w:rsid w:val="00BC09E5"/>
    <w:rsid w:val="00BC0DA6"/>
    <w:rsid w:val="00BC13F7"/>
    <w:rsid w:val="00BC25C5"/>
    <w:rsid w:val="00BC2AAB"/>
    <w:rsid w:val="00BC3150"/>
    <w:rsid w:val="00BC4E4B"/>
    <w:rsid w:val="00BC5BA0"/>
    <w:rsid w:val="00BC69B7"/>
    <w:rsid w:val="00BC755B"/>
    <w:rsid w:val="00BD051E"/>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5EF4"/>
    <w:rsid w:val="00BF6D83"/>
    <w:rsid w:val="00C00017"/>
    <w:rsid w:val="00C00255"/>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04"/>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5E3C"/>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E96"/>
    <w:rsid w:val="00C733E9"/>
    <w:rsid w:val="00C7354D"/>
    <w:rsid w:val="00C73C25"/>
    <w:rsid w:val="00C74F56"/>
    <w:rsid w:val="00C750A0"/>
    <w:rsid w:val="00C76080"/>
    <w:rsid w:val="00C76204"/>
    <w:rsid w:val="00C76498"/>
    <w:rsid w:val="00C76908"/>
    <w:rsid w:val="00C776E5"/>
    <w:rsid w:val="00C80542"/>
    <w:rsid w:val="00C80991"/>
    <w:rsid w:val="00C80BE8"/>
    <w:rsid w:val="00C80EFB"/>
    <w:rsid w:val="00C81097"/>
    <w:rsid w:val="00C82422"/>
    <w:rsid w:val="00C83A91"/>
    <w:rsid w:val="00C84A05"/>
    <w:rsid w:val="00C851D9"/>
    <w:rsid w:val="00C85B3C"/>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5F"/>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4C57"/>
    <w:rsid w:val="00CC5686"/>
    <w:rsid w:val="00CC5FB0"/>
    <w:rsid w:val="00CC6748"/>
    <w:rsid w:val="00CC75C5"/>
    <w:rsid w:val="00CD10E5"/>
    <w:rsid w:val="00CD1D4E"/>
    <w:rsid w:val="00CD3360"/>
    <w:rsid w:val="00CD3580"/>
    <w:rsid w:val="00CD39B5"/>
    <w:rsid w:val="00CD4082"/>
    <w:rsid w:val="00CD5830"/>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42A"/>
    <w:rsid w:val="00D0686D"/>
    <w:rsid w:val="00D06C36"/>
    <w:rsid w:val="00D10089"/>
    <w:rsid w:val="00D11B56"/>
    <w:rsid w:val="00D12A22"/>
    <w:rsid w:val="00D13690"/>
    <w:rsid w:val="00D13CD2"/>
    <w:rsid w:val="00D143D7"/>
    <w:rsid w:val="00D1644D"/>
    <w:rsid w:val="00D16490"/>
    <w:rsid w:val="00D16EEC"/>
    <w:rsid w:val="00D17209"/>
    <w:rsid w:val="00D1727F"/>
    <w:rsid w:val="00D172C0"/>
    <w:rsid w:val="00D216FA"/>
    <w:rsid w:val="00D23509"/>
    <w:rsid w:val="00D24E56"/>
    <w:rsid w:val="00D250C4"/>
    <w:rsid w:val="00D25359"/>
    <w:rsid w:val="00D26A4E"/>
    <w:rsid w:val="00D270E2"/>
    <w:rsid w:val="00D2734A"/>
    <w:rsid w:val="00D273F8"/>
    <w:rsid w:val="00D301C0"/>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0CBC"/>
    <w:rsid w:val="00D521BF"/>
    <w:rsid w:val="00D5273B"/>
    <w:rsid w:val="00D53A58"/>
    <w:rsid w:val="00D53DA0"/>
    <w:rsid w:val="00D547D2"/>
    <w:rsid w:val="00D549D9"/>
    <w:rsid w:val="00D5594A"/>
    <w:rsid w:val="00D55B7A"/>
    <w:rsid w:val="00D573A8"/>
    <w:rsid w:val="00D57969"/>
    <w:rsid w:val="00D57990"/>
    <w:rsid w:val="00D60043"/>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87FB0"/>
    <w:rsid w:val="00D9132D"/>
    <w:rsid w:val="00D91522"/>
    <w:rsid w:val="00D9298F"/>
    <w:rsid w:val="00D92AAF"/>
    <w:rsid w:val="00D9384D"/>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5052"/>
    <w:rsid w:val="00DB6CC6"/>
    <w:rsid w:val="00DB747A"/>
    <w:rsid w:val="00DB75A1"/>
    <w:rsid w:val="00DB7EEC"/>
    <w:rsid w:val="00DC0C55"/>
    <w:rsid w:val="00DC0C9A"/>
    <w:rsid w:val="00DC1000"/>
    <w:rsid w:val="00DC10FA"/>
    <w:rsid w:val="00DC121D"/>
    <w:rsid w:val="00DC2347"/>
    <w:rsid w:val="00DC3181"/>
    <w:rsid w:val="00DC34B2"/>
    <w:rsid w:val="00DC38AC"/>
    <w:rsid w:val="00DC4246"/>
    <w:rsid w:val="00DC4550"/>
    <w:rsid w:val="00DC4B8C"/>
    <w:rsid w:val="00DC4FE1"/>
    <w:rsid w:val="00DC62F6"/>
    <w:rsid w:val="00DC6AEA"/>
    <w:rsid w:val="00DC6FF3"/>
    <w:rsid w:val="00DC77CE"/>
    <w:rsid w:val="00DD03D3"/>
    <w:rsid w:val="00DD11C6"/>
    <w:rsid w:val="00DD16BF"/>
    <w:rsid w:val="00DD25E2"/>
    <w:rsid w:val="00DD2628"/>
    <w:rsid w:val="00DD4546"/>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66F3"/>
    <w:rsid w:val="00DF7384"/>
    <w:rsid w:val="00E00510"/>
    <w:rsid w:val="00E0068A"/>
    <w:rsid w:val="00E007C2"/>
    <w:rsid w:val="00E00812"/>
    <w:rsid w:val="00E01739"/>
    <w:rsid w:val="00E01CE3"/>
    <w:rsid w:val="00E02777"/>
    <w:rsid w:val="00E028C6"/>
    <w:rsid w:val="00E03246"/>
    <w:rsid w:val="00E03C0E"/>
    <w:rsid w:val="00E04848"/>
    <w:rsid w:val="00E057B0"/>
    <w:rsid w:val="00E05995"/>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63FD"/>
    <w:rsid w:val="00E37CC8"/>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57CC6"/>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5809"/>
    <w:rsid w:val="00E863D2"/>
    <w:rsid w:val="00E866E1"/>
    <w:rsid w:val="00E86D77"/>
    <w:rsid w:val="00E86EF4"/>
    <w:rsid w:val="00E86F2F"/>
    <w:rsid w:val="00E875D4"/>
    <w:rsid w:val="00E87C8A"/>
    <w:rsid w:val="00E90F63"/>
    <w:rsid w:val="00E916C4"/>
    <w:rsid w:val="00E91722"/>
    <w:rsid w:val="00E91A66"/>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26F"/>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0867"/>
    <w:rsid w:val="00ED188B"/>
    <w:rsid w:val="00ED1E03"/>
    <w:rsid w:val="00ED24E7"/>
    <w:rsid w:val="00ED25C2"/>
    <w:rsid w:val="00ED27E8"/>
    <w:rsid w:val="00ED3F83"/>
    <w:rsid w:val="00ED49B6"/>
    <w:rsid w:val="00EE107C"/>
    <w:rsid w:val="00EE2679"/>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74A"/>
    <w:rsid w:val="00EF285F"/>
    <w:rsid w:val="00EF58D4"/>
    <w:rsid w:val="00EF5E91"/>
    <w:rsid w:val="00EF6658"/>
    <w:rsid w:val="00EF71D8"/>
    <w:rsid w:val="00EF740B"/>
    <w:rsid w:val="00EF74B6"/>
    <w:rsid w:val="00EF75CD"/>
    <w:rsid w:val="00EF7758"/>
    <w:rsid w:val="00F008C9"/>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A28"/>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55E"/>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67F17"/>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A93"/>
    <w:rsid w:val="00F81D39"/>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6650"/>
    <w:rsid w:val="00FA71CA"/>
    <w:rsid w:val="00FA73DD"/>
    <w:rsid w:val="00FB095B"/>
    <w:rsid w:val="00FB0DEC"/>
    <w:rsid w:val="00FB104E"/>
    <w:rsid w:val="00FB13C2"/>
    <w:rsid w:val="00FB160F"/>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7D4"/>
    <w:rsid w:val="00FD3E87"/>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6E1"/>
    <w:rsid w:val="00FF502B"/>
    <w:rsid w:val="00FF5310"/>
    <w:rsid w:val="00FF5374"/>
    <w:rsid w:val="00FF5C73"/>
    <w:rsid w:val="00FF5EE9"/>
    <w:rsid w:val="00FF69AB"/>
    <w:rsid w:val="00FF7D2C"/>
    <w:rsid w:val="00FF7F7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063299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2603615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378091958">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6458217">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22158624">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33610646">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1264151">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28143.page" TargetMode="External"/><Relationship Id="rId13" Type="http://schemas.openxmlformats.org/officeDocument/2006/relationships/hyperlink" Target="https://www.saimex.org.mx/saimex/solicitud/downloadAttach/828148.page"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828147.page" TargetMode="External"/><Relationship Id="rId17" Type="http://schemas.openxmlformats.org/officeDocument/2006/relationships/image" Target="media/image2.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843417.pag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28146.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843417.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828145.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828144.page" TargetMode="Externa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b.mx/cms/uploads/attachment/file/454683/CONVENIO_FORTASEG_2019-ESTADO_DE_M_XICO-17-04-19.pdf" TargetMode="External"/><Relationship Id="rId1" Type="http://schemas.openxmlformats.org/officeDocument/2006/relationships/hyperlink" Target="https://www.gob.mx/sesnsp/acciones-y-programas/fondos-y-subsidi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AD085-D253-4302-BD25-47D21AAA9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76</Pages>
  <Words>15744</Words>
  <Characters>86594</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9</cp:revision>
  <cp:lastPrinted>2020-02-25T02:21:00Z</cp:lastPrinted>
  <dcterms:created xsi:type="dcterms:W3CDTF">2020-02-14T00:29:00Z</dcterms:created>
  <dcterms:modified xsi:type="dcterms:W3CDTF">2020-05-29T20:35:00Z</dcterms:modified>
</cp:coreProperties>
</file>