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5DCA3" w14:textId="1F2B7D7E" w:rsidR="00994396" w:rsidRPr="00AD50F9" w:rsidRDefault="00994396" w:rsidP="000A4DC8">
      <w:pPr>
        <w:spacing w:line="360" w:lineRule="auto"/>
        <w:jc w:val="both"/>
        <w:rPr>
          <w:rFonts w:ascii="Palatino Linotype" w:hAnsi="Palatino Linotype" w:cs="Tahoma"/>
          <w:sz w:val="22"/>
          <w:szCs w:val="22"/>
        </w:rPr>
      </w:pPr>
      <w:r w:rsidRPr="00AD50F9">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F7003">
        <w:rPr>
          <w:rFonts w:ascii="Palatino Linotype" w:hAnsi="Palatino Linotype" w:cs="Tahoma"/>
          <w:bCs/>
          <w:sz w:val="22"/>
          <w:szCs w:val="22"/>
        </w:rPr>
        <w:t>dos de octubre</w:t>
      </w:r>
      <w:r w:rsidRPr="00AD50F9">
        <w:rPr>
          <w:rFonts w:ascii="Palatino Linotype" w:hAnsi="Palatino Linotype" w:cs="Tahoma"/>
          <w:bCs/>
          <w:sz w:val="22"/>
          <w:szCs w:val="22"/>
        </w:rPr>
        <w:t xml:space="preserve"> de dos mil </w:t>
      </w:r>
      <w:r w:rsidR="00D34402" w:rsidRPr="00AD50F9">
        <w:rPr>
          <w:rFonts w:ascii="Palatino Linotype" w:hAnsi="Palatino Linotype" w:cs="Tahoma"/>
          <w:bCs/>
          <w:sz w:val="22"/>
          <w:szCs w:val="22"/>
        </w:rPr>
        <w:t>diecinueve</w:t>
      </w:r>
      <w:r w:rsidRPr="00AD50F9">
        <w:rPr>
          <w:rFonts w:ascii="Palatino Linotype" w:hAnsi="Palatino Linotype" w:cs="Tahoma"/>
          <w:bCs/>
          <w:sz w:val="22"/>
          <w:szCs w:val="22"/>
        </w:rPr>
        <w:t>.</w:t>
      </w:r>
    </w:p>
    <w:p w14:paraId="0D2E2891" w14:textId="77777777" w:rsidR="00B31222" w:rsidRPr="00AD50F9" w:rsidRDefault="00B31222" w:rsidP="000A4DC8">
      <w:pPr>
        <w:spacing w:line="360" w:lineRule="auto"/>
        <w:rPr>
          <w:rFonts w:ascii="Palatino Linotype" w:hAnsi="Palatino Linotype" w:cs="Tahoma"/>
          <w:bCs/>
          <w:sz w:val="22"/>
          <w:szCs w:val="22"/>
        </w:rPr>
      </w:pPr>
    </w:p>
    <w:p w14:paraId="3ED703DD" w14:textId="3D3196F8" w:rsidR="00B31222" w:rsidRPr="00AD50F9" w:rsidRDefault="00994396" w:rsidP="000A4DC8">
      <w:pPr>
        <w:spacing w:line="360" w:lineRule="auto"/>
        <w:jc w:val="both"/>
        <w:rPr>
          <w:rFonts w:ascii="Palatino Linotype" w:hAnsi="Palatino Linotype" w:cs="Tahoma"/>
          <w:bCs/>
          <w:sz w:val="22"/>
          <w:szCs w:val="22"/>
        </w:rPr>
      </w:pPr>
      <w:r w:rsidRPr="00AD50F9">
        <w:rPr>
          <w:rFonts w:ascii="Palatino Linotype" w:hAnsi="Palatino Linotype" w:cs="Tahoma"/>
          <w:b/>
          <w:bCs/>
          <w:color w:val="0D0D0D" w:themeColor="text1" w:themeTint="F2"/>
          <w:sz w:val="22"/>
          <w:szCs w:val="22"/>
        </w:rPr>
        <w:t>VISTO</w:t>
      </w:r>
      <w:r w:rsidR="00F41B19" w:rsidRPr="00AD50F9">
        <w:rPr>
          <w:rFonts w:ascii="Palatino Linotype" w:hAnsi="Palatino Linotype" w:cs="Tahoma"/>
          <w:b/>
          <w:bCs/>
          <w:color w:val="0D0D0D" w:themeColor="text1" w:themeTint="F2"/>
          <w:sz w:val="22"/>
          <w:szCs w:val="22"/>
        </w:rPr>
        <w:t xml:space="preserve"> </w:t>
      </w:r>
      <w:r w:rsidR="001171BD" w:rsidRPr="00AD50F9">
        <w:rPr>
          <w:rFonts w:ascii="Palatino Linotype" w:hAnsi="Palatino Linotype" w:cs="Tahoma"/>
          <w:bCs/>
          <w:color w:val="0D0D0D" w:themeColor="text1" w:themeTint="F2"/>
          <w:sz w:val="22"/>
          <w:szCs w:val="22"/>
        </w:rPr>
        <w:t>el expediente</w:t>
      </w:r>
      <w:r w:rsidR="0019389B" w:rsidRPr="00AD50F9">
        <w:rPr>
          <w:rFonts w:ascii="Palatino Linotype" w:hAnsi="Palatino Linotype" w:cs="Tahoma"/>
          <w:bCs/>
          <w:color w:val="0D0D0D" w:themeColor="text1" w:themeTint="F2"/>
          <w:sz w:val="22"/>
          <w:szCs w:val="22"/>
        </w:rPr>
        <w:t xml:space="preserve"> conformado </w:t>
      </w:r>
      <w:r w:rsidR="00422869" w:rsidRPr="00AD50F9">
        <w:rPr>
          <w:rFonts w:ascii="Palatino Linotype" w:hAnsi="Palatino Linotype" w:cs="Tahoma"/>
          <w:bCs/>
          <w:color w:val="0D0D0D" w:themeColor="text1" w:themeTint="F2"/>
          <w:sz w:val="22"/>
          <w:szCs w:val="22"/>
        </w:rPr>
        <w:t xml:space="preserve">con motivo del Recurso de Revisión </w:t>
      </w:r>
      <w:r w:rsidR="00D34402" w:rsidRPr="00AD50F9">
        <w:rPr>
          <w:rFonts w:ascii="Palatino Linotype" w:hAnsi="Palatino Linotype" w:cs="Tahoma"/>
          <w:bCs/>
          <w:color w:val="0D0D0D" w:themeColor="text1" w:themeTint="F2"/>
          <w:sz w:val="22"/>
          <w:szCs w:val="22"/>
        </w:rPr>
        <w:t>0</w:t>
      </w:r>
      <w:r w:rsidR="00CF7003">
        <w:rPr>
          <w:rFonts w:ascii="Palatino Linotype" w:hAnsi="Palatino Linotype" w:cs="Tahoma"/>
          <w:bCs/>
          <w:color w:val="0D0D0D" w:themeColor="text1" w:themeTint="F2"/>
          <w:sz w:val="22"/>
          <w:szCs w:val="22"/>
        </w:rPr>
        <w:t>6366</w:t>
      </w:r>
      <w:r w:rsidR="00D34402" w:rsidRPr="00AD50F9">
        <w:rPr>
          <w:rFonts w:ascii="Palatino Linotype" w:hAnsi="Palatino Linotype" w:cs="Tahoma"/>
          <w:bCs/>
          <w:color w:val="0D0D0D" w:themeColor="text1" w:themeTint="F2"/>
          <w:sz w:val="22"/>
          <w:szCs w:val="22"/>
        </w:rPr>
        <w:t>/INFOEM/IP/RR/2019</w:t>
      </w:r>
      <w:r w:rsidR="00422869" w:rsidRPr="00AD50F9">
        <w:rPr>
          <w:rFonts w:ascii="Palatino Linotype" w:hAnsi="Palatino Linotype" w:cs="Tahoma"/>
          <w:bCs/>
          <w:color w:val="0D0D0D" w:themeColor="text1" w:themeTint="F2"/>
          <w:sz w:val="22"/>
          <w:szCs w:val="22"/>
        </w:rPr>
        <w:t xml:space="preserve">, </w:t>
      </w:r>
      <w:r w:rsidR="00127757" w:rsidRPr="00AD50F9">
        <w:rPr>
          <w:rFonts w:ascii="Palatino Linotype" w:hAnsi="Palatino Linotype" w:cs="Tahoma"/>
          <w:bCs/>
          <w:color w:val="0D0D0D" w:themeColor="text1" w:themeTint="F2"/>
          <w:sz w:val="22"/>
          <w:szCs w:val="22"/>
        </w:rPr>
        <w:t xml:space="preserve">interpuesto por </w:t>
      </w:r>
      <w:r w:rsidR="00714B73" w:rsidRPr="00714B73">
        <w:rPr>
          <w:rFonts w:ascii="Palatino Linotype" w:hAnsi="Palatino Linotype" w:cs="Tahoma"/>
          <w:b/>
          <w:bCs/>
          <w:color w:val="0D0D0D" w:themeColor="text1" w:themeTint="F2"/>
          <w:sz w:val="22"/>
          <w:szCs w:val="22"/>
          <w:highlight w:val="black"/>
        </w:rPr>
        <w:t>XXXXXXXXXXXXXXXXXXX</w:t>
      </w:r>
      <w:r w:rsidRPr="00AD50F9">
        <w:rPr>
          <w:rFonts w:ascii="Palatino Linotype" w:hAnsi="Palatino Linotype" w:cs="Tahoma"/>
          <w:bCs/>
          <w:color w:val="0D0D0D" w:themeColor="text1" w:themeTint="F2"/>
          <w:sz w:val="22"/>
          <w:szCs w:val="22"/>
        </w:rPr>
        <w:t xml:space="preserve">, en lo sucesivo </w:t>
      </w:r>
      <w:r w:rsidR="00D34402" w:rsidRPr="00AD50F9">
        <w:rPr>
          <w:rFonts w:ascii="Palatino Linotype" w:hAnsi="Palatino Linotype" w:cs="Tahoma"/>
          <w:bCs/>
          <w:color w:val="0D0D0D" w:themeColor="text1" w:themeTint="F2"/>
          <w:sz w:val="22"/>
          <w:szCs w:val="22"/>
        </w:rPr>
        <w:t>R</w:t>
      </w:r>
      <w:r w:rsidRPr="00AD50F9">
        <w:rPr>
          <w:rFonts w:ascii="Palatino Linotype" w:hAnsi="Palatino Linotype" w:cs="Tahoma"/>
          <w:bCs/>
          <w:color w:val="0D0D0D" w:themeColor="text1" w:themeTint="F2"/>
          <w:sz w:val="22"/>
          <w:szCs w:val="22"/>
        </w:rPr>
        <w:t xml:space="preserve">ecurrente o </w:t>
      </w:r>
      <w:r w:rsidR="00D34402" w:rsidRPr="00AD50F9">
        <w:rPr>
          <w:rFonts w:ascii="Palatino Linotype" w:hAnsi="Palatino Linotype" w:cs="Tahoma"/>
          <w:bCs/>
          <w:color w:val="0D0D0D" w:themeColor="text1" w:themeTint="F2"/>
          <w:sz w:val="22"/>
          <w:szCs w:val="22"/>
        </w:rPr>
        <w:t>P</w:t>
      </w:r>
      <w:r w:rsidRPr="00AD50F9">
        <w:rPr>
          <w:rFonts w:ascii="Palatino Linotype" w:hAnsi="Palatino Linotype" w:cs="Tahoma"/>
          <w:bCs/>
          <w:color w:val="0D0D0D" w:themeColor="text1" w:themeTint="F2"/>
          <w:sz w:val="22"/>
          <w:szCs w:val="22"/>
        </w:rPr>
        <w:t>articular,</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en contra de la respuesta</w:t>
      </w:r>
      <w:bookmarkStart w:id="0" w:name="_GoBack"/>
      <w:bookmarkEnd w:id="0"/>
      <w:r w:rsidR="00DC1594" w:rsidRPr="00AD50F9">
        <w:rPr>
          <w:rFonts w:ascii="Palatino Linotype" w:hAnsi="Palatino Linotype" w:cs="Tahoma"/>
          <w:bCs/>
          <w:color w:val="0D0D0D" w:themeColor="text1" w:themeTint="F2"/>
          <w:sz w:val="22"/>
          <w:szCs w:val="22"/>
        </w:rPr>
        <w:t xml:space="preserve"> del </w:t>
      </w:r>
      <w:r w:rsidR="002A0FB8" w:rsidRPr="00AD50F9">
        <w:rPr>
          <w:rFonts w:ascii="Palatino Linotype" w:hAnsi="Palatino Linotype" w:cs="Tahoma"/>
          <w:bCs/>
          <w:color w:val="0D0D0D" w:themeColor="text1" w:themeTint="F2"/>
          <w:sz w:val="22"/>
          <w:szCs w:val="22"/>
        </w:rPr>
        <w:t>Sujeto Obligado</w:t>
      </w:r>
      <w:r w:rsidR="002060B4" w:rsidRPr="00AD50F9">
        <w:rPr>
          <w:rFonts w:ascii="Palatino Linotype" w:hAnsi="Palatino Linotype" w:cs="Tahoma"/>
          <w:bCs/>
          <w:color w:val="0D0D0D" w:themeColor="text1" w:themeTint="F2"/>
          <w:sz w:val="22"/>
          <w:szCs w:val="22"/>
        </w:rPr>
        <w:t>,</w:t>
      </w:r>
      <w:r w:rsidR="00F41B19" w:rsidRPr="00AD50F9">
        <w:rPr>
          <w:rFonts w:ascii="Palatino Linotype" w:hAnsi="Palatino Linotype" w:cs="Tahoma"/>
          <w:bCs/>
          <w:color w:val="0D0D0D" w:themeColor="text1" w:themeTint="F2"/>
          <w:sz w:val="22"/>
          <w:szCs w:val="22"/>
        </w:rPr>
        <w:t xml:space="preserve"> </w:t>
      </w:r>
      <w:r w:rsidR="00CF7003">
        <w:rPr>
          <w:rFonts w:ascii="Palatino Linotype" w:hAnsi="Palatino Linotype" w:cs="Tahoma"/>
          <w:b/>
          <w:bCs/>
          <w:color w:val="0D0D0D" w:themeColor="text1" w:themeTint="F2"/>
          <w:sz w:val="22"/>
          <w:szCs w:val="22"/>
        </w:rPr>
        <w:t>Secretaría de Desarrollo Urbano y Metropolitano</w:t>
      </w:r>
      <w:r w:rsidR="00DC1594" w:rsidRPr="00AD50F9">
        <w:rPr>
          <w:rFonts w:ascii="Palatino Linotype" w:hAnsi="Palatino Linotype" w:cs="Tahoma"/>
          <w:bCs/>
          <w:color w:val="0D0D0D" w:themeColor="text1" w:themeTint="F2"/>
          <w:sz w:val="22"/>
          <w:szCs w:val="22"/>
        </w:rPr>
        <w:t xml:space="preserve">, </w:t>
      </w:r>
      <w:r w:rsidR="00422869" w:rsidRPr="00AD50F9">
        <w:rPr>
          <w:rFonts w:ascii="Palatino Linotype" w:hAnsi="Palatino Linotype" w:cs="Tahoma"/>
          <w:bCs/>
          <w:color w:val="0D0D0D" w:themeColor="text1" w:themeTint="F2"/>
          <w:sz w:val="22"/>
          <w:szCs w:val="22"/>
        </w:rPr>
        <w:t xml:space="preserve">se emite la presente Resolución, </w:t>
      </w:r>
      <w:r w:rsidR="00DC1594" w:rsidRPr="00AD50F9">
        <w:rPr>
          <w:rFonts w:ascii="Palatino Linotype" w:hAnsi="Palatino Linotype" w:cs="Tahoma"/>
          <w:bCs/>
          <w:color w:val="0D0D0D" w:themeColor="text1" w:themeTint="F2"/>
          <w:sz w:val="22"/>
          <w:szCs w:val="22"/>
        </w:rPr>
        <w:t>con base en</w:t>
      </w:r>
      <w:r w:rsidR="00F41B19" w:rsidRPr="00AD50F9">
        <w:rPr>
          <w:rFonts w:ascii="Palatino Linotype" w:hAnsi="Palatino Linotype" w:cs="Tahoma"/>
          <w:bCs/>
          <w:color w:val="0D0D0D" w:themeColor="text1" w:themeTint="F2"/>
          <w:sz w:val="22"/>
          <w:szCs w:val="22"/>
        </w:rPr>
        <w:t xml:space="preserve"> </w:t>
      </w:r>
      <w:r w:rsidR="00DC1594" w:rsidRPr="00AD50F9">
        <w:rPr>
          <w:rFonts w:ascii="Palatino Linotype" w:hAnsi="Palatino Linotype" w:cs="Tahoma"/>
          <w:bCs/>
          <w:color w:val="0D0D0D" w:themeColor="text1" w:themeTint="F2"/>
          <w:sz w:val="22"/>
          <w:szCs w:val="22"/>
        </w:rPr>
        <w:t xml:space="preserve">los </w:t>
      </w:r>
      <w:r w:rsidR="006C1B1D" w:rsidRPr="00AD50F9">
        <w:rPr>
          <w:rFonts w:ascii="Palatino Linotype" w:hAnsi="Palatino Linotype" w:cs="Tahoma"/>
          <w:bCs/>
          <w:color w:val="0D0D0D" w:themeColor="text1" w:themeTint="F2"/>
          <w:sz w:val="22"/>
          <w:szCs w:val="22"/>
        </w:rPr>
        <w:t>A</w:t>
      </w:r>
      <w:r w:rsidR="00DC1594" w:rsidRPr="00AD50F9">
        <w:rPr>
          <w:rFonts w:ascii="Palatino Linotype" w:hAnsi="Palatino Linotype" w:cs="Tahoma"/>
          <w:bCs/>
          <w:color w:val="0D0D0D" w:themeColor="text1" w:themeTint="F2"/>
          <w:sz w:val="22"/>
          <w:szCs w:val="22"/>
        </w:rPr>
        <w:t xml:space="preserve">ntecedentes y </w:t>
      </w:r>
      <w:r w:rsidR="002A0FB8" w:rsidRPr="00AD50F9">
        <w:rPr>
          <w:rFonts w:ascii="Palatino Linotype" w:hAnsi="Palatino Linotype" w:cs="Tahoma"/>
          <w:bCs/>
          <w:color w:val="0D0D0D" w:themeColor="text1" w:themeTint="F2"/>
          <w:sz w:val="22"/>
          <w:szCs w:val="22"/>
        </w:rPr>
        <w:t>C</w:t>
      </w:r>
      <w:r w:rsidR="002A0FB8" w:rsidRPr="00AD50F9">
        <w:rPr>
          <w:rFonts w:ascii="Palatino Linotype" w:hAnsi="Palatino Linotype" w:cs="Tahoma"/>
          <w:bCs/>
          <w:sz w:val="22"/>
          <w:szCs w:val="22"/>
        </w:rPr>
        <w:t xml:space="preserve">onsiderandos </w:t>
      </w:r>
      <w:r w:rsidR="00DC1594" w:rsidRPr="00AD50F9">
        <w:rPr>
          <w:rFonts w:ascii="Palatino Linotype" w:hAnsi="Palatino Linotype" w:cs="Tahoma"/>
          <w:bCs/>
          <w:sz w:val="22"/>
          <w:szCs w:val="22"/>
        </w:rPr>
        <w:t>que a continuación se exponen</w:t>
      </w:r>
      <w:r w:rsidR="00B31222" w:rsidRPr="00AD50F9">
        <w:rPr>
          <w:rFonts w:ascii="Palatino Linotype" w:hAnsi="Palatino Linotype" w:cs="Tahoma"/>
          <w:bCs/>
          <w:sz w:val="22"/>
          <w:szCs w:val="22"/>
        </w:rPr>
        <w:t>:</w:t>
      </w:r>
    </w:p>
    <w:p w14:paraId="59BC102C" w14:textId="77777777" w:rsidR="00735915" w:rsidRPr="00AD50F9" w:rsidRDefault="00735915" w:rsidP="000A4DC8">
      <w:pPr>
        <w:spacing w:line="360" w:lineRule="auto"/>
        <w:rPr>
          <w:rFonts w:ascii="Palatino Linotype" w:hAnsi="Palatino Linotype" w:cs="Tahoma"/>
          <w:sz w:val="22"/>
          <w:szCs w:val="22"/>
        </w:rPr>
      </w:pPr>
    </w:p>
    <w:p w14:paraId="1EC54E7D" w14:textId="77777777" w:rsidR="00B31222" w:rsidRPr="00AD50F9" w:rsidRDefault="00B31222" w:rsidP="000A4DC8">
      <w:pPr>
        <w:tabs>
          <w:tab w:val="center" w:pos="4522"/>
          <w:tab w:val="left" w:pos="7245"/>
        </w:tabs>
        <w:spacing w:line="360" w:lineRule="auto"/>
        <w:jc w:val="center"/>
        <w:rPr>
          <w:rFonts w:ascii="Palatino Linotype" w:hAnsi="Palatino Linotype" w:cs="Tahoma"/>
          <w:b/>
          <w:sz w:val="22"/>
          <w:szCs w:val="22"/>
        </w:rPr>
      </w:pPr>
      <w:r w:rsidRPr="00AD50F9">
        <w:rPr>
          <w:rFonts w:ascii="Palatino Linotype" w:hAnsi="Palatino Linotype" w:cs="Tahoma"/>
          <w:b/>
          <w:sz w:val="22"/>
          <w:szCs w:val="22"/>
        </w:rPr>
        <w:t>ANTECEDENTES:</w:t>
      </w:r>
    </w:p>
    <w:p w14:paraId="1260D779" w14:textId="77777777" w:rsidR="00B31222" w:rsidRPr="00AD50F9" w:rsidRDefault="00B31222" w:rsidP="000A4DC8">
      <w:pPr>
        <w:pStyle w:val="Prrafodelista"/>
        <w:tabs>
          <w:tab w:val="left" w:pos="567"/>
        </w:tabs>
        <w:spacing w:line="360" w:lineRule="auto"/>
        <w:ind w:left="0"/>
        <w:contextualSpacing w:val="0"/>
        <w:jc w:val="both"/>
        <w:rPr>
          <w:rFonts w:ascii="Palatino Linotype" w:hAnsi="Palatino Linotype" w:cs="Tahoma"/>
          <w:szCs w:val="22"/>
        </w:rPr>
      </w:pPr>
    </w:p>
    <w:p w14:paraId="2836EA11" w14:textId="77777777" w:rsidR="00DC1594" w:rsidRPr="00AD50F9" w:rsidRDefault="00B31222"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 Presentación de la</w:t>
      </w:r>
      <w:r w:rsidR="00D01F75" w:rsidRPr="00AD50F9">
        <w:rPr>
          <w:rFonts w:ascii="Palatino Linotype" w:hAnsi="Palatino Linotype" w:cs="Tahoma"/>
          <w:b/>
          <w:szCs w:val="22"/>
        </w:rPr>
        <w:t>s</w:t>
      </w:r>
      <w:r w:rsidRPr="00AD50F9">
        <w:rPr>
          <w:rFonts w:ascii="Palatino Linotype" w:hAnsi="Palatino Linotype" w:cs="Tahoma"/>
          <w:b/>
          <w:szCs w:val="22"/>
        </w:rPr>
        <w:t xml:space="preserve"> solicitud</w:t>
      </w:r>
      <w:r w:rsidR="00D01F75" w:rsidRPr="00AD50F9">
        <w:rPr>
          <w:rFonts w:ascii="Palatino Linotype" w:hAnsi="Palatino Linotype" w:cs="Tahoma"/>
          <w:b/>
          <w:szCs w:val="22"/>
        </w:rPr>
        <w:t>es</w:t>
      </w:r>
      <w:r w:rsidRPr="00AD50F9">
        <w:rPr>
          <w:rFonts w:ascii="Palatino Linotype" w:hAnsi="Palatino Linotype" w:cs="Tahoma"/>
          <w:b/>
          <w:szCs w:val="22"/>
        </w:rPr>
        <w:t xml:space="preserve"> de información. </w:t>
      </w:r>
    </w:p>
    <w:p w14:paraId="5DBE4EFD" w14:textId="77777777" w:rsidR="00DC1594" w:rsidRPr="00AD50F9" w:rsidRDefault="00DC1594" w:rsidP="000A4DC8">
      <w:pPr>
        <w:pStyle w:val="Prrafodelista"/>
        <w:tabs>
          <w:tab w:val="left" w:pos="567"/>
        </w:tabs>
        <w:spacing w:line="360" w:lineRule="auto"/>
        <w:ind w:left="0"/>
        <w:contextualSpacing w:val="0"/>
        <w:jc w:val="both"/>
        <w:rPr>
          <w:rFonts w:ascii="Palatino Linotype" w:hAnsi="Palatino Linotype" w:cs="Tahoma"/>
          <w:szCs w:val="22"/>
        </w:rPr>
      </w:pPr>
    </w:p>
    <w:p w14:paraId="68E91E51" w14:textId="1FD311A3" w:rsidR="00B31222" w:rsidRPr="00AD50F9" w:rsidRDefault="00AA417B" w:rsidP="000A4DC8">
      <w:pPr>
        <w:pStyle w:val="Prrafodelista"/>
        <w:tabs>
          <w:tab w:val="left" w:pos="567"/>
        </w:tabs>
        <w:spacing w:line="360" w:lineRule="auto"/>
        <w:ind w:left="0"/>
        <w:contextualSpacing w:val="0"/>
        <w:jc w:val="both"/>
        <w:rPr>
          <w:rFonts w:ascii="Palatino Linotype" w:hAnsi="Palatino Linotype" w:cs="Tahoma"/>
          <w:szCs w:val="22"/>
        </w:rPr>
      </w:pPr>
      <w:r w:rsidRPr="00AD50F9">
        <w:rPr>
          <w:rFonts w:ascii="Palatino Linotype" w:hAnsi="Palatino Linotype" w:cs="Tahoma"/>
          <w:szCs w:val="22"/>
        </w:rPr>
        <w:t>Con fecha</w:t>
      </w:r>
      <w:r w:rsidR="00F41B19" w:rsidRPr="00AD50F9">
        <w:rPr>
          <w:rFonts w:ascii="Palatino Linotype" w:hAnsi="Palatino Linotype" w:cs="Tahoma"/>
          <w:szCs w:val="22"/>
        </w:rPr>
        <w:t xml:space="preserve"> </w:t>
      </w:r>
      <w:r w:rsidR="00CF7003">
        <w:rPr>
          <w:rFonts w:ascii="Palatino Linotype" w:hAnsi="Palatino Linotype" w:cs="Tahoma"/>
          <w:szCs w:val="22"/>
        </w:rPr>
        <w:t>cuatro de julio</w:t>
      </w:r>
      <w:r w:rsidR="00D34402" w:rsidRPr="00AD50F9">
        <w:rPr>
          <w:rFonts w:ascii="Palatino Linotype" w:hAnsi="Palatino Linotype" w:cs="Tahoma"/>
          <w:szCs w:val="22"/>
        </w:rPr>
        <w:t xml:space="preserve"> de dos mil diecinueve</w:t>
      </w:r>
      <w:r w:rsidR="00B31222" w:rsidRPr="00AD50F9">
        <w:rPr>
          <w:rFonts w:ascii="Palatino Linotype" w:hAnsi="Palatino Linotype" w:cs="Tahoma"/>
          <w:szCs w:val="22"/>
        </w:rPr>
        <w:t xml:space="preserve">, </w:t>
      </w:r>
      <w:r w:rsidR="007E68AE">
        <w:rPr>
          <w:rFonts w:ascii="Palatino Linotype" w:hAnsi="Palatino Linotype" w:cs="Tahoma"/>
          <w:szCs w:val="22"/>
        </w:rPr>
        <w:t xml:space="preserve">el </w:t>
      </w:r>
      <w:r w:rsidR="00D34402" w:rsidRPr="00AD50F9">
        <w:rPr>
          <w:rFonts w:ascii="Palatino Linotype" w:hAnsi="Palatino Linotype" w:cs="Tahoma"/>
          <w:szCs w:val="22"/>
        </w:rPr>
        <w:t>P</w:t>
      </w:r>
      <w:r w:rsidR="00B31222" w:rsidRPr="00AD50F9">
        <w:rPr>
          <w:rFonts w:ascii="Palatino Linotype" w:hAnsi="Palatino Linotype" w:cs="Tahoma"/>
          <w:szCs w:val="22"/>
        </w:rPr>
        <w:t xml:space="preserve">articular </w:t>
      </w:r>
      <w:r w:rsidR="001171BD" w:rsidRPr="00AD50F9">
        <w:rPr>
          <w:rFonts w:ascii="Palatino Linotype" w:hAnsi="Palatino Linotype" w:cs="Tahoma"/>
          <w:szCs w:val="22"/>
        </w:rPr>
        <w:t xml:space="preserve">presentó solicitud de acceso a la información pública a través del Sistema de Acceso a la Información Mexiquense </w:t>
      </w:r>
      <w:r w:rsidR="004100AA" w:rsidRPr="00AD50F9">
        <w:rPr>
          <w:rFonts w:ascii="Palatino Linotype" w:hAnsi="Palatino Linotype" w:cs="Tahoma"/>
          <w:szCs w:val="22"/>
          <w:lang w:val="es-ES"/>
        </w:rPr>
        <w:t>(SAIMEX)</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ante </w:t>
      </w:r>
      <w:r w:rsidR="006B5EAD">
        <w:rPr>
          <w:rFonts w:ascii="Palatino Linotype" w:hAnsi="Palatino Linotype" w:cs="Tahoma"/>
          <w:szCs w:val="22"/>
        </w:rPr>
        <w:t>la</w:t>
      </w:r>
      <w:r w:rsidR="000C27CA" w:rsidRPr="00AD50F9">
        <w:rPr>
          <w:rFonts w:ascii="Palatino Linotype" w:hAnsi="Palatino Linotype" w:cs="Tahoma"/>
          <w:szCs w:val="22"/>
        </w:rPr>
        <w:t xml:space="preserve"> </w:t>
      </w:r>
      <w:r w:rsidR="00CF7003">
        <w:rPr>
          <w:rFonts w:ascii="Palatino Linotype" w:hAnsi="Palatino Linotype" w:cs="Tahoma"/>
          <w:szCs w:val="22"/>
        </w:rPr>
        <w:t>Secretaría de Desarrollo Urbano y Metropolitano</w:t>
      </w:r>
      <w:r w:rsidR="00B31222" w:rsidRPr="00AD50F9">
        <w:rPr>
          <w:rFonts w:ascii="Palatino Linotype" w:hAnsi="Palatino Linotype" w:cs="Tahoma"/>
          <w:szCs w:val="22"/>
        </w:rPr>
        <w:t xml:space="preserve">, </w:t>
      </w:r>
      <w:r w:rsidR="00C55151" w:rsidRPr="00AD50F9">
        <w:rPr>
          <w:rFonts w:ascii="Palatino Linotype" w:hAnsi="Palatino Linotype" w:cs="Tahoma"/>
          <w:szCs w:val="22"/>
        </w:rPr>
        <w:t xml:space="preserve">mediante </w:t>
      </w:r>
      <w:r w:rsidR="001171BD" w:rsidRPr="00AD50F9">
        <w:rPr>
          <w:rFonts w:ascii="Palatino Linotype" w:hAnsi="Palatino Linotype" w:cs="Tahoma"/>
          <w:szCs w:val="22"/>
        </w:rPr>
        <w:t>el cual requirió</w:t>
      </w:r>
      <w:r w:rsidR="00B31222" w:rsidRPr="00AD50F9">
        <w:rPr>
          <w:rFonts w:ascii="Palatino Linotype" w:hAnsi="Palatino Linotype" w:cs="Tahoma"/>
          <w:szCs w:val="22"/>
        </w:rPr>
        <w:t>:</w:t>
      </w:r>
    </w:p>
    <w:p w14:paraId="523D0488" w14:textId="77777777" w:rsidR="00637179" w:rsidRPr="00AD50F9" w:rsidRDefault="00637179" w:rsidP="000A4DC8">
      <w:pPr>
        <w:pStyle w:val="Prrafodelista"/>
        <w:tabs>
          <w:tab w:val="left" w:pos="567"/>
        </w:tabs>
        <w:spacing w:line="360" w:lineRule="auto"/>
        <w:ind w:left="0"/>
        <w:contextualSpacing w:val="0"/>
        <w:jc w:val="both"/>
        <w:rPr>
          <w:rFonts w:ascii="Palatino Linotype" w:hAnsi="Palatino Linotype" w:cs="Tahoma"/>
          <w:szCs w:val="22"/>
        </w:rPr>
      </w:pPr>
    </w:p>
    <w:p w14:paraId="09E3BFF5" w14:textId="77777777" w:rsidR="00D01F75" w:rsidRPr="007359E2" w:rsidRDefault="00D01F75" w:rsidP="000A4DC8">
      <w:pPr>
        <w:tabs>
          <w:tab w:val="left" w:pos="4667"/>
        </w:tabs>
        <w:spacing w:line="360" w:lineRule="auto"/>
        <w:ind w:left="567" w:right="567"/>
        <w:jc w:val="both"/>
        <w:rPr>
          <w:rFonts w:ascii="Palatino Linotype" w:hAnsi="Palatino Linotype" w:cs="Tahoma"/>
          <w:b/>
          <w:bCs/>
          <w:i/>
        </w:rPr>
      </w:pPr>
      <w:r w:rsidRPr="007359E2">
        <w:rPr>
          <w:rFonts w:ascii="Palatino Linotype" w:hAnsi="Palatino Linotype" w:cs="Tahoma"/>
          <w:b/>
          <w:bCs/>
          <w:i/>
        </w:rPr>
        <w:t>“DESCRIPCIÓN CLARA Y PRECISA DE LA INFORMACIÓN SOLICITADA</w:t>
      </w:r>
    </w:p>
    <w:p w14:paraId="0147D8B9" w14:textId="1C84495B" w:rsidR="00D01F75" w:rsidRPr="007359E2" w:rsidRDefault="001B0B2B" w:rsidP="000A4DC8">
      <w:pPr>
        <w:tabs>
          <w:tab w:val="left" w:pos="4667"/>
        </w:tabs>
        <w:spacing w:line="360" w:lineRule="auto"/>
        <w:ind w:left="567" w:right="567"/>
        <w:jc w:val="both"/>
        <w:rPr>
          <w:rFonts w:ascii="Palatino Linotype" w:hAnsi="Palatino Linotype" w:cs="Tahoma"/>
          <w:bCs/>
          <w:i/>
        </w:rPr>
      </w:pPr>
      <w:r w:rsidRPr="001B0B2B">
        <w:rPr>
          <w:rFonts w:ascii="Palatino Linotype" w:hAnsi="Palatino Linotype" w:cs="Tahoma"/>
          <w:bCs/>
          <w:i/>
        </w:rPr>
        <w:t>Se me informe si la Unidad Económica de Alto Impacto con denominacion o razon social Restaurante Bar La Chinampa, ubicada en Av. Cuauhtémoc numero 89, colonia Maravillas, Municipio de Nezahualcoyotl, C. P. 57410, cuenta con el Dictamen de Factibilidad o Dictamen Único de Factibilidad, en caso afirmativo, se me informe el Área Administrativa que expidio dicho Dictamen, fecha de vigencia o fecha de expedición asi como la duración de la vigencia de dicho Dictamen además, se me informe del o los procedimiento administrativos de vigilancia que debe observar la autoridad competente y las Unidades Económicas de Alto Impacto sobre su cumplimiento, negación o cancelación o similar sobre el Dictamen en comento.</w:t>
      </w:r>
      <w:r w:rsidR="00D01F75" w:rsidRPr="007359E2">
        <w:rPr>
          <w:rFonts w:ascii="Palatino Linotype" w:hAnsi="Palatino Linotype" w:cs="Tahoma"/>
          <w:bCs/>
          <w:i/>
        </w:rPr>
        <w:t>” (Sic.)</w:t>
      </w:r>
    </w:p>
    <w:p w14:paraId="2CEFBD0D" w14:textId="77777777" w:rsidR="00D01F75" w:rsidRPr="007359E2" w:rsidRDefault="00D01F75"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
          <w:bCs/>
          <w:i/>
        </w:rPr>
        <w:lastRenderedPageBreak/>
        <w:t>“MODALIDAD DE ENTREGA</w:t>
      </w:r>
    </w:p>
    <w:p w14:paraId="043460E3" w14:textId="77777777" w:rsidR="00D01F75" w:rsidRPr="007359E2" w:rsidRDefault="00E64BD9" w:rsidP="000A4DC8">
      <w:pPr>
        <w:tabs>
          <w:tab w:val="left" w:pos="4667"/>
        </w:tabs>
        <w:spacing w:line="360" w:lineRule="auto"/>
        <w:ind w:left="567" w:right="567"/>
        <w:jc w:val="both"/>
        <w:rPr>
          <w:rFonts w:ascii="Palatino Linotype" w:hAnsi="Palatino Linotype" w:cs="Tahoma"/>
          <w:bCs/>
          <w:i/>
        </w:rPr>
      </w:pPr>
      <w:r w:rsidRPr="007359E2">
        <w:rPr>
          <w:rFonts w:ascii="Palatino Linotype" w:hAnsi="Palatino Linotype" w:cs="Tahoma"/>
          <w:bCs/>
          <w:i/>
        </w:rPr>
        <w:t>A través del SAIMEX</w:t>
      </w:r>
      <w:r w:rsidR="00D01F75" w:rsidRPr="007359E2">
        <w:rPr>
          <w:rFonts w:ascii="Palatino Linotype" w:hAnsi="Palatino Linotype" w:cs="Tahoma"/>
          <w:bCs/>
          <w:i/>
        </w:rPr>
        <w:t>”</w:t>
      </w:r>
    </w:p>
    <w:p w14:paraId="64784789" w14:textId="77777777" w:rsidR="008E3677" w:rsidRDefault="008E3677" w:rsidP="000A4DC8">
      <w:pPr>
        <w:pStyle w:val="Prrafodelista"/>
        <w:tabs>
          <w:tab w:val="left" w:pos="567"/>
        </w:tabs>
        <w:spacing w:line="360" w:lineRule="auto"/>
        <w:ind w:left="0"/>
        <w:contextualSpacing w:val="0"/>
        <w:jc w:val="both"/>
        <w:rPr>
          <w:rFonts w:ascii="Palatino Linotype" w:hAnsi="Palatino Linotype" w:cs="Tahoma"/>
          <w:b/>
          <w:szCs w:val="22"/>
        </w:rPr>
      </w:pPr>
    </w:p>
    <w:p w14:paraId="0056011E" w14:textId="77777777" w:rsidR="00AA5A86" w:rsidRDefault="006C1B1D" w:rsidP="000A4DC8">
      <w:pPr>
        <w:pStyle w:val="Prrafodelista"/>
        <w:tabs>
          <w:tab w:val="left" w:pos="567"/>
        </w:tabs>
        <w:spacing w:line="360" w:lineRule="auto"/>
        <w:ind w:left="0"/>
        <w:contextualSpacing w:val="0"/>
        <w:jc w:val="both"/>
        <w:rPr>
          <w:rFonts w:ascii="Palatino Linotype" w:hAnsi="Palatino Linotype" w:cs="Tahoma"/>
          <w:b/>
          <w:szCs w:val="22"/>
        </w:rPr>
      </w:pPr>
      <w:r w:rsidRPr="00AD50F9">
        <w:rPr>
          <w:rFonts w:ascii="Palatino Linotype" w:hAnsi="Palatino Linotype" w:cs="Tahoma"/>
          <w:b/>
          <w:szCs w:val="22"/>
        </w:rPr>
        <w:t>II</w:t>
      </w:r>
      <w:r w:rsidR="00C55151" w:rsidRPr="00AD50F9">
        <w:rPr>
          <w:rFonts w:ascii="Palatino Linotype" w:hAnsi="Palatino Linotype" w:cs="Tahoma"/>
          <w:b/>
          <w:szCs w:val="22"/>
        </w:rPr>
        <w:t>.</w:t>
      </w:r>
      <w:r w:rsidR="00D34402" w:rsidRPr="00AD50F9">
        <w:rPr>
          <w:rFonts w:ascii="Palatino Linotype" w:hAnsi="Palatino Linotype" w:cs="Tahoma"/>
          <w:b/>
          <w:szCs w:val="22"/>
        </w:rPr>
        <w:t xml:space="preserve"> </w:t>
      </w:r>
      <w:r w:rsidR="00AA5A86" w:rsidRPr="00AD50F9">
        <w:rPr>
          <w:rFonts w:ascii="Palatino Linotype" w:hAnsi="Palatino Linotype" w:cs="Tahoma"/>
          <w:b/>
          <w:szCs w:val="22"/>
        </w:rPr>
        <w:t>Respuesta del Sujeto Obligado.</w:t>
      </w:r>
    </w:p>
    <w:p w14:paraId="7CF69D90" w14:textId="77777777" w:rsidR="006C60F9" w:rsidRPr="00AD50F9" w:rsidRDefault="006C60F9" w:rsidP="000A4DC8">
      <w:pPr>
        <w:pStyle w:val="Prrafodelista"/>
        <w:tabs>
          <w:tab w:val="left" w:pos="567"/>
        </w:tabs>
        <w:spacing w:line="360" w:lineRule="auto"/>
        <w:ind w:left="0"/>
        <w:contextualSpacing w:val="0"/>
        <w:jc w:val="both"/>
        <w:rPr>
          <w:rFonts w:ascii="Palatino Linotype" w:hAnsi="Palatino Linotype" w:cs="Tahoma"/>
          <w:b/>
          <w:szCs w:val="22"/>
        </w:rPr>
      </w:pPr>
    </w:p>
    <w:p w14:paraId="247469BF" w14:textId="7E523B4D" w:rsidR="00E5668B" w:rsidRDefault="00E43A0F" w:rsidP="008E3677">
      <w:pPr>
        <w:autoSpaceDE w:val="0"/>
        <w:autoSpaceDN w:val="0"/>
        <w:adjustRightInd w:val="0"/>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Con fecha </w:t>
      </w:r>
      <w:r w:rsidR="0068292C">
        <w:rPr>
          <w:rFonts w:ascii="Palatino Linotype" w:hAnsi="Palatino Linotype" w:cs="Tahoma"/>
          <w:sz w:val="22"/>
          <w:szCs w:val="22"/>
        </w:rPr>
        <w:t>diecinueve de julio</w:t>
      </w:r>
      <w:r w:rsidR="00D34402" w:rsidRPr="00AD50F9">
        <w:rPr>
          <w:rFonts w:ascii="Palatino Linotype" w:hAnsi="Palatino Linotype" w:cs="Tahoma"/>
          <w:sz w:val="22"/>
          <w:szCs w:val="22"/>
        </w:rPr>
        <w:t xml:space="preserve"> de dos mil diecinueve</w:t>
      </w:r>
      <w:r w:rsidRPr="00AD50F9">
        <w:rPr>
          <w:rFonts w:ascii="Palatino Linotype" w:hAnsi="Palatino Linotype" w:cs="Tahoma"/>
          <w:sz w:val="22"/>
          <w:szCs w:val="22"/>
        </w:rPr>
        <w:t xml:space="preserve">, </w:t>
      </w:r>
      <w:r w:rsidR="004A6ECB" w:rsidRPr="00AD50F9">
        <w:rPr>
          <w:rFonts w:ascii="Palatino Linotype" w:hAnsi="Palatino Linotype" w:cs="Tahoma"/>
          <w:sz w:val="22"/>
          <w:szCs w:val="22"/>
        </w:rPr>
        <w:t xml:space="preserve">la </w:t>
      </w:r>
      <w:r w:rsidR="006B5EAD">
        <w:rPr>
          <w:rFonts w:ascii="Palatino Linotype" w:hAnsi="Palatino Linotype" w:cs="Tahoma"/>
          <w:sz w:val="22"/>
          <w:szCs w:val="22"/>
        </w:rPr>
        <w:t>Unidad de Transparencia de la</w:t>
      </w:r>
      <w:r w:rsidRPr="00AD50F9">
        <w:rPr>
          <w:rFonts w:ascii="Palatino Linotype" w:hAnsi="Palatino Linotype" w:cs="Tahoma"/>
          <w:sz w:val="22"/>
          <w:szCs w:val="22"/>
        </w:rPr>
        <w:t xml:space="preserve"> </w:t>
      </w:r>
      <w:r w:rsidR="00CF7003">
        <w:rPr>
          <w:rFonts w:ascii="Palatino Linotype" w:hAnsi="Palatino Linotype" w:cs="Tahoma"/>
          <w:sz w:val="22"/>
          <w:szCs w:val="22"/>
        </w:rPr>
        <w:t>Secretaría de Desarrollo Urbano y Metropolitano</w:t>
      </w:r>
      <w:r w:rsidRPr="00AD50F9">
        <w:rPr>
          <w:rFonts w:ascii="Palatino Linotype" w:hAnsi="Palatino Linotype" w:cs="Tahoma"/>
          <w:sz w:val="22"/>
          <w:szCs w:val="22"/>
        </w:rPr>
        <w:t xml:space="preserve"> notificó </w:t>
      </w:r>
      <w:r w:rsidR="00944DFE">
        <w:rPr>
          <w:rFonts w:ascii="Palatino Linotype" w:hAnsi="Palatino Linotype" w:cs="Tahoma"/>
          <w:sz w:val="22"/>
          <w:szCs w:val="22"/>
        </w:rPr>
        <w:t>al</w:t>
      </w:r>
      <w:r w:rsidRPr="00AD50F9">
        <w:rPr>
          <w:rFonts w:ascii="Palatino Linotype" w:hAnsi="Palatino Linotype" w:cs="Tahoma"/>
          <w:sz w:val="22"/>
          <w:szCs w:val="22"/>
        </w:rPr>
        <w:t xml:space="preserve"> </w:t>
      </w:r>
      <w:r w:rsidR="00D34402" w:rsidRPr="00AD50F9">
        <w:rPr>
          <w:rFonts w:ascii="Palatino Linotype" w:hAnsi="Palatino Linotype" w:cs="Tahoma"/>
          <w:sz w:val="22"/>
          <w:szCs w:val="22"/>
        </w:rPr>
        <w:t>Solicitante</w:t>
      </w:r>
      <w:r w:rsidRPr="00AD50F9">
        <w:rPr>
          <w:rFonts w:ascii="Palatino Linotype" w:hAnsi="Palatino Linotype" w:cs="Tahoma"/>
          <w:sz w:val="22"/>
          <w:szCs w:val="22"/>
        </w:rPr>
        <w:t>, mediante el Sistema de Acceso a la Información Me</w:t>
      </w:r>
      <w:r w:rsidR="003C5C01" w:rsidRPr="00AD50F9">
        <w:rPr>
          <w:rFonts w:ascii="Palatino Linotype" w:hAnsi="Palatino Linotype" w:cs="Tahoma"/>
          <w:sz w:val="22"/>
          <w:szCs w:val="22"/>
        </w:rPr>
        <w:t>xiquense (SAIMEX), la respuesta, a través del oficio</w:t>
      </w:r>
      <w:r w:rsidR="00E5668B">
        <w:rPr>
          <w:rFonts w:ascii="Palatino Linotype" w:hAnsi="Palatino Linotype" w:cs="Tahoma"/>
          <w:sz w:val="22"/>
          <w:szCs w:val="22"/>
        </w:rPr>
        <w:t xml:space="preserve"> </w:t>
      </w:r>
      <w:r w:rsidR="00367C61">
        <w:rPr>
          <w:rFonts w:ascii="Palatino Linotype" w:hAnsi="Palatino Linotype" w:cs="Tahoma"/>
          <w:sz w:val="22"/>
          <w:szCs w:val="22"/>
        </w:rPr>
        <w:t xml:space="preserve">número </w:t>
      </w:r>
      <w:r w:rsidR="00C518BD">
        <w:rPr>
          <w:rFonts w:ascii="Palatino Linotype" w:hAnsi="Palatino Linotype" w:cs="Tahoma"/>
          <w:sz w:val="22"/>
          <w:szCs w:val="22"/>
        </w:rPr>
        <w:t>21200002000000S/436/2019</w:t>
      </w:r>
      <w:r w:rsidR="00367C61">
        <w:rPr>
          <w:rFonts w:ascii="Palatino Linotype" w:hAnsi="Palatino Linotype" w:cs="Tahoma"/>
          <w:sz w:val="22"/>
          <w:szCs w:val="22"/>
        </w:rPr>
        <w:t xml:space="preserve">, </w:t>
      </w:r>
      <w:r w:rsidR="00C518BD">
        <w:rPr>
          <w:rFonts w:ascii="Palatino Linotype" w:hAnsi="Palatino Linotype" w:cs="Tahoma"/>
          <w:sz w:val="22"/>
          <w:szCs w:val="22"/>
        </w:rPr>
        <w:t>de la misma fecha de recepción</w:t>
      </w:r>
      <w:r w:rsidR="00367C61">
        <w:rPr>
          <w:rFonts w:ascii="Palatino Linotype" w:hAnsi="Palatino Linotype" w:cs="Tahoma"/>
          <w:sz w:val="22"/>
          <w:szCs w:val="22"/>
        </w:rPr>
        <w:t xml:space="preserve">, suscrito por el </w:t>
      </w:r>
      <w:r w:rsidR="00C518BD">
        <w:rPr>
          <w:rFonts w:ascii="Palatino Linotype" w:hAnsi="Palatino Linotype" w:cs="Tahoma"/>
          <w:sz w:val="22"/>
          <w:szCs w:val="22"/>
        </w:rPr>
        <w:t>Responsable de la Unida de Transparencia del Ente Recurrido y dirigido al Particular</w:t>
      </w:r>
      <w:r w:rsidR="00367C61">
        <w:rPr>
          <w:rFonts w:ascii="Palatino Linotype" w:hAnsi="Palatino Linotype" w:cs="Tahoma"/>
          <w:sz w:val="22"/>
          <w:szCs w:val="22"/>
        </w:rPr>
        <w:t>, cuyo contenido es el siguiente:</w:t>
      </w:r>
    </w:p>
    <w:p w14:paraId="7AC4B039" w14:textId="77777777" w:rsidR="008E3677" w:rsidRDefault="008E3677" w:rsidP="008E3677">
      <w:pPr>
        <w:autoSpaceDE w:val="0"/>
        <w:autoSpaceDN w:val="0"/>
        <w:adjustRightInd w:val="0"/>
        <w:spacing w:line="360" w:lineRule="auto"/>
        <w:jc w:val="both"/>
        <w:rPr>
          <w:rFonts w:ascii="Palatino Linotype" w:hAnsi="Palatino Linotype" w:cs="Tahoma"/>
          <w:sz w:val="22"/>
          <w:szCs w:val="22"/>
        </w:rPr>
      </w:pPr>
    </w:p>
    <w:p w14:paraId="0E53149A" w14:textId="750E736B" w:rsidR="008E3677" w:rsidRDefault="008E3677"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3193F412" w14:textId="12159C7F" w:rsidR="00C518BD" w:rsidRDefault="00C518BD" w:rsidP="00C518BD">
      <w:pPr>
        <w:autoSpaceDE w:val="0"/>
        <w:autoSpaceDN w:val="0"/>
        <w:adjustRightInd w:val="0"/>
        <w:spacing w:line="360" w:lineRule="auto"/>
        <w:ind w:left="567" w:right="567"/>
        <w:jc w:val="both"/>
        <w:rPr>
          <w:rFonts w:ascii="Palatino Linotype" w:hAnsi="Palatino Linotype" w:cs="Tahoma"/>
          <w:bCs/>
          <w:i/>
        </w:rPr>
      </w:pPr>
      <w:r w:rsidRPr="00C518BD">
        <w:rPr>
          <w:rFonts w:ascii="Palatino Linotype" w:hAnsi="Palatino Linotype" w:cs="Tahoma"/>
          <w:bCs/>
          <w:i/>
        </w:rPr>
        <w:t>Me permito informar a Usted que su solicitud fue turnada para su atención a la Servidora Pública Habilitada,</w:t>
      </w:r>
      <w:r>
        <w:rPr>
          <w:rFonts w:ascii="Palatino Linotype" w:hAnsi="Palatino Linotype" w:cs="Tahoma"/>
          <w:bCs/>
          <w:i/>
        </w:rPr>
        <w:t xml:space="preserve"> </w:t>
      </w:r>
      <w:r w:rsidRPr="00C518BD">
        <w:rPr>
          <w:rFonts w:ascii="Palatino Linotype" w:hAnsi="Palatino Linotype" w:cs="Tahoma"/>
          <w:bCs/>
          <w:i/>
        </w:rPr>
        <w:t>Lic. Ana Laura Martínez Moreno, Directora General de Operación Urbana; siendo ésta de su ámbito de</w:t>
      </w:r>
      <w:r>
        <w:rPr>
          <w:rFonts w:ascii="Palatino Linotype" w:hAnsi="Palatino Linotype" w:cs="Tahoma"/>
          <w:bCs/>
          <w:i/>
        </w:rPr>
        <w:t xml:space="preserve"> </w:t>
      </w:r>
      <w:r w:rsidRPr="00C518BD">
        <w:rPr>
          <w:rFonts w:ascii="Palatino Linotype" w:hAnsi="Palatino Linotype" w:cs="Tahoma"/>
          <w:bCs/>
          <w:i/>
        </w:rPr>
        <w:t>competencia y quien da contestación en los términos siguientes:</w:t>
      </w:r>
    </w:p>
    <w:p w14:paraId="62217C24" w14:textId="77777777" w:rsidR="00C518BD" w:rsidRDefault="00C518BD" w:rsidP="00C518BD">
      <w:pPr>
        <w:autoSpaceDE w:val="0"/>
        <w:autoSpaceDN w:val="0"/>
        <w:adjustRightInd w:val="0"/>
        <w:spacing w:line="360" w:lineRule="auto"/>
        <w:ind w:left="567" w:right="567"/>
        <w:jc w:val="both"/>
        <w:rPr>
          <w:rFonts w:ascii="Palatino Linotype" w:hAnsi="Palatino Linotype" w:cs="Tahoma"/>
          <w:bCs/>
          <w:i/>
        </w:rPr>
      </w:pPr>
    </w:p>
    <w:p w14:paraId="46205486" w14:textId="77777777" w:rsidR="00C518BD" w:rsidRDefault="00C518BD" w:rsidP="00C518BD">
      <w:pPr>
        <w:autoSpaceDE w:val="0"/>
        <w:autoSpaceDN w:val="0"/>
        <w:adjustRightInd w:val="0"/>
        <w:spacing w:line="360" w:lineRule="auto"/>
        <w:ind w:left="794" w:right="794"/>
        <w:jc w:val="both"/>
        <w:rPr>
          <w:rFonts w:ascii="Palatino Linotype" w:hAnsi="Palatino Linotype" w:cs="Tahoma"/>
          <w:b/>
          <w:bCs/>
          <w:i/>
          <w:iCs/>
        </w:rPr>
      </w:pPr>
      <w:r w:rsidRPr="00C518BD">
        <w:rPr>
          <w:rFonts w:ascii="Palatino Linotype" w:hAnsi="Palatino Linotype" w:cs="Tahoma"/>
          <w:b/>
          <w:bCs/>
          <w:i/>
          <w:iCs/>
        </w:rPr>
        <w:t>Dirección General de Operación Urbana:</w:t>
      </w:r>
    </w:p>
    <w:p w14:paraId="107F7BB7" w14:textId="1818F8F5" w:rsidR="00C518BD" w:rsidRPr="00C518BD" w:rsidRDefault="00C518BD" w:rsidP="00C518BD">
      <w:pPr>
        <w:autoSpaceDE w:val="0"/>
        <w:autoSpaceDN w:val="0"/>
        <w:adjustRightInd w:val="0"/>
        <w:spacing w:line="360" w:lineRule="auto"/>
        <w:ind w:left="794" w:right="794"/>
        <w:jc w:val="both"/>
        <w:rPr>
          <w:rFonts w:ascii="Palatino Linotype" w:hAnsi="Palatino Linotype" w:cs="Tahoma"/>
          <w:b/>
          <w:bCs/>
          <w:i/>
          <w:iCs/>
        </w:rPr>
      </w:pPr>
      <w:r>
        <w:rPr>
          <w:rFonts w:ascii="Palatino Linotype" w:hAnsi="Palatino Linotype" w:cs="Tahoma"/>
          <w:b/>
          <w:bCs/>
          <w:i/>
          <w:iCs/>
        </w:rPr>
        <w:t>…</w:t>
      </w:r>
    </w:p>
    <w:p w14:paraId="6367463C" w14:textId="00A5EBC6" w:rsidR="00C518BD" w:rsidRDefault="00C518BD" w:rsidP="00C518BD">
      <w:pPr>
        <w:autoSpaceDE w:val="0"/>
        <w:autoSpaceDN w:val="0"/>
        <w:adjustRightInd w:val="0"/>
        <w:spacing w:line="360" w:lineRule="auto"/>
        <w:ind w:left="794" w:right="794"/>
        <w:jc w:val="both"/>
        <w:rPr>
          <w:rFonts w:ascii="Palatino Linotype" w:hAnsi="Palatino Linotype" w:cs="Tahoma"/>
          <w:bCs/>
          <w:i/>
          <w:iCs/>
        </w:rPr>
      </w:pPr>
      <w:r w:rsidRPr="00C518BD">
        <w:rPr>
          <w:rFonts w:ascii="Palatino Linotype" w:hAnsi="Palatino Linotype" w:cs="Tahoma"/>
          <w:bCs/>
          <w:i/>
          <w:iCs/>
        </w:rPr>
        <w:t>Al respecto, y derivado de la respuesta emitida por la Subdirección de Dictámenes</w:t>
      </w:r>
      <w:r>
        <w:rPr>
          <w:rFonts w:ascii="Palatino Linotype" w:hAnsi="Palatino Linotype" w:cs="Tahoma"/>
          <w:bCs/>
          <w:i/>
          <w:iCs/>
        </w:rPr>
        <w:t xml:space="preserve"> </w:t>
      </w:r>
      <w:r w:rsidRPr="00C518BD">
        <w:rPr>
          <w:rFonts w:ascii="Palatino Linotype" w:hAnsi="Palatino Linotype" w:cs="Tahoma"/>
          <w:bCs/>
          <w:i/>
          <w:iCs/>
        </w:rPr>
        <w:t xml:space="preserve">Urbanos, dependiente de esta Dirección General de Operación Urbana, informo </w:t>
      </w:r>
      <w:r w:rsidRPr="00C518BD">
        <w:rPr>
          <w:rFonts w:ascii="Palatino Linotype" w:hAnsi="Palatino Linotype" w:cs="Tahoma"/>
          <w:bCs/>
          <w:i/>
        </w:rPr>
        <w:t xml:space="preserve">a </w:t>
      </w:r>
      <w:r w:rsidRPr="00C518BD">
        <w:rPr>
          <w:rFonts w:ascii="Palatino Linotype" w:hAnsi="Palatino Linotype" w:cs="Tahoma"/>
          <w:bCs/>
          <w:i/>
          <w:iCs/>
        </w:rPr>
        <w:t>usted:</w:t>
      </w:r>
      <w:r>
        <w:rPr>
          <w:rFonts w:ascii="Palatino Linotype" w:hAnsi="Palatino Linotype" w:cs="Tahoma"/>
          <w:bCs/>
          <w:i/>
          <w:iCs/>
        </w:rPr>
        <w:t xml:space="preserve"> </w:t>
      </w:r>
      <w:r w:rsidRPr="00C518BD">
        <w:rPr>
          <w:rFonts w:ascii="Palatino Linotype" w:hAnsi="Palatino Linotype" w:cs="Tahoma"/>
          <w:bCs/>
          <w:i/>
          <w:iCs/>
        </w:rPr>
        <w:t>que derivado del Decreto número 331, por el que se expide la Ley que crea la Comisión</w:t>
      </w:r>
      <w:r>
        <w:rPr>
          <w:rFonts w:ascii="Palatino Linotype" w:hAnsi="Palatino Linotype" w:cs="Tahoma"/>
          <w:bCs/>
          <w:i/>
          <w:iCs/>
        </w:rPr>
        <w:t xml:space="preserve"> </w:t>
      </w:r>
      <w:r w:rsidRPr="00C518BD">
        <w:rPr>
          <w:rFonts w:ascii="Palatino Linotype" w:hAnsi="Palatino Linotype" w:cs="Tahoma"/>
          <w:bCs/>
          <w:i/>
          <w:iCs/>
        </w:rPr>
        <w:t>de Factibilidad del Estado de México publicado en el Periódico Oficial Gaceta De</w:t>
      </w:r>
      <w:r>
        <w:rPr>
          <w:rFonts w:ascii="Palatino Linotype" w:hAnsi="Palatino Linotype" w:cs="Tahoma"/>
          <w:bCs/>
          <w:i/>
          <w:iCs/>
        </w:rPr>
        <w:t xml:space="preserve"> </w:t>
      </w:r>
      <w:r w:rsidRPr="00C518BD">
        <w:rPr>
          <w:rFonts w:ascii="Palatino Linotype" w:hAnsi="Palatino Linotype" w:cs="Tahoma"/>
          <w:bCs/>
          <w:i/>
          <w:iCs/>
        </w:rPr>
        <w:t>Gobierno de fecha 17 de septiembre de 2018, y del Acuerdo del Secretario de Justicia y</w:t>
      </w:r>
      <w:r>
        <w:rPr>
          <w:rFonts w:ascii="Palatino Linotype" w:hAnsi="Palatino Linotype" w:cs="Tahoma"/>
          <w:bCs/>
          <w:i/>
          <w:iCs/>
        </w:rPr>
        <w:t xml:space="preserve"> </w:t>
      </w:r>
      <w:r w:rsidRPr="00C518BD">
        <w:rPr>
          <w:rFonts w:ascii="Palatino Linotype" w:hAnsi="Palatino Linotype" w:cs="Tahoma"/>
          <w:bCs/>
          <w:i/>
          <w:iCs/>
        </w:rPr>
        <w:t>Derechos Humanos del Ejecutivo Estatal, por el que inicia funciones y entra en operación</w:t>
      </w:r>
      <w:r>
        <w:rPr>
          <w:rFonts w:ascii="Palatino Linotype" w:hAnsi="Palatino Linotype" w:cs="Tahoma"/>
          <w:bCs/>
          <w:i/>
          <w:iCs/>
        </w:rPr>
        <w:t xml:space="preserve"> </w:t>
      </w:r>
      <w:r w:rsidRPr="00C518BD">
        <w:rPr>
          <w:rFonts w:ascii="Palatino Linotype" w:hAnsi="Palatino Linotype" w:cs="Tahoma"/>
          <w:bCs/>
          <w:i/>
          <w:iCs/>
        </w:rPr>
        <w:t>el Órgano Administrativo Desconcentrado denominado Comisión de Factibilidad del</w:t>
      </w:r>
      <w:r>
        <w:rPr>
          <w:rFonts w:ascii="Palatino Linotype" w:hAnsi="Palatino Linotype" w:cs="Tahoma"/>
          <w:bCs/>
          <w:i/>
          <w:iCs/>
        </w:rPr>
        <w:t xml:space="preserve"> </w:t>
      </w:r>
      <w:r w:rsidRPr="00C518BD">
        <w:rPr>
          <w:rFonts w:ascii="Palatino Linotype" w:hAnsi="Palatino Linotype" w:cs="Tahoma"/>
          <w:bCs/>
          <w:i/>
          <w:iCs/>
        </w:rPr>
        <w:t>Estado de México publicado en el Periódico Oficial Gaceta de Gobierno de fecha 11 de</w:t>
      </w:r>
      <w:r>
        <w:rPr>
          <w:rFonts w:ascii="Palatino Linotype" w:hAnsi="Palatino Linotype" w:cs="Tahoma"/>
          <w:bCs/>
          <w:i/>
          <w:iCs/>
        </w:rPr>
        <w:t xml:space="preserve"> </w:t>
      </w:r>
      <w:r w:rsidRPr="00C518BD">
        <w:rPr>
          <w:rFonts w:ascii="Palatino Linotype" w:hAnsi="Palatino Linotype" w:cs="Tahoma"/>
          <w:bCs/>
          <w:i/>
          <w:iCs/>
        </w:rPr>
        <w:t>Junio de 2019, al respecto informo a usted, que el día 02 de julio del presente año se</w:t>
      </w:r>
      <w:r>
        <w:rPr>
          <w:rFonts w:ascii="Palatino Linotype" w:hAnsi="Palatino Linotype" w:cs="Tahoma"/>
          <w:bCs/>
          <w:i/>
          <w:iCs/>
        </w:rPr>
        <w:t xml:space="preserve"> </w:t>
      </w:r>
      <w:r w:rsidRPr="00C518BD">
        <w:rPr>
          <w:rFonts w:ascii="Palatino Linotype" w:hAnsi="Palatino Linotype" w:cs="Tahoma"/>
          <w:bCs/>
          <w:i/>
          <w:iCs/>
        </w:rPr>
        <w:t xml:space="preserve">realizó la correspondiente entrega de expedientes a la </w:t>
      </w:r>
      <w:r w:rsidRPr="00C518BD">
        <w:rPr>
          <w:rFonts w:ascii="Palatino Linotype" w:hAnsi="Palatino Linotype" w:cs="Tahoma"/>
          <w:bCs/>
          <w:i/>
          <w:iCs/>
        </w:rPr>
        <w:lastRenderedPageBreak/>
        <w:t>Comisión de Factibilidad del</w:t>
      </w:r>
      <w:r>
        <w:rPr>
          <w:rFonts w:ascii="Palatino Linotype" w:hAnsi="Palatino Linotype" w:cs="Tahoma"/>
          <w:bCs/>
          <w:i/>
          <w:iCs/>
        </w:rPr>
        <w:t xml:space="preserve"> </w:t>
      </w:r>
      <w:r w:rsidRPr="00C518BD">
        <w:rPr>
          <w:rFonts w:ascii="Palatino Linotype" w:hAnsi="Palatino Linotype" w:cs="Tahoma"/>
          <w:bCs/>
          <w:i/>
          <w:iCs/>
        </w:rPr>
        <w:t>Estado de México, por lo que no se cuenta con el acervo del archivo y no se está en</w:t>
      </w:r>
      <w:r>
        <w:rPr>
          <w:rFonts w:ascii="Palatino Linotype" w:hAnsi="Palatino Linotype" w:cs="Tahoma"/>
          <w:bCs/>
          <w:i/>
          <w:iCs/>
        </w:rPr>
        <w:t xml:space="preserve"> </w:t>
      </w:r>
      <w:r w:rsidRPr="00C518BD">
        <w:rPr>
          <w:rFonts w:ascii="Palatino Linotype" w:hAnsi="Palatino Linotype" w:cs="Tahoma"/>
          <w:bCs/>
          <w:i/>
          <w:iCs/>
        </w:rPr>
        <w:t>posibilidad de emitir la información solicitada.</w:t>
      </w:r>
    </w:p>
    <w:p w14:paraId="7852B94F" w14:textId="77777777" w:rsidR="00C518BD" w:rsidRPr="00C518BD" w:rsidRDefault="00C518BD" w:rsidP="00C518BD">
      <w:pPr>
        <w:autoSpaceDE w:val="0"/>
        <w:autoSpaceDN w:val="0"/>
        <w:adjustRightInd w:val="0"/>
        <w:spacing w:line="360" w:lineRule="auto"/>
        <w:ind w:left="794" w:right="794"/>
        <w:jc w:val="both"/>
        <w:rPr>
          <w:rFonts w:ascii="Palatino Linotype" w:hAnsi="Palatino Linotype" w:cs="Tahoma"/>
          <w:bCs/>
          <w:i/>
          <w:iCs/>
        </w:rPr>
      </w:pPr>
    </w:p>
    <w:p w14:paraId="39A46046" w14:textId="3242BF81" w:rsidR="00C518BD" w:rsidRDefault="00C518BD" w:rsidP="00C518BD">
      <w:pPr>
        <w:autoSpaceDE w:val="0"/>
        <w:autoSpaceDN w:val="0"/>
        <w:adjustRightInd w:val="0"/>
        <w:spacing w:line="360" w:lineRule="auto"/>
        <w:ind w:left="794" w:right="794"/>
        <w:jc w:val="both"/>
        <w:rPr>
          <w:rFonts w:ascii="Palatino Linotype" w:hAnsi="Palatino Linotype" w:cs="Tahoma"/>
          <w:bCs/>
          <w:i/>
          <w:iCs/>
        </w:rPr>
      </w:pPr>
      <w:r w:rsidRPr="00C518BD">
        <w:rPr>
          <w:rFonts w:ascii="Palatino Linotype" w:hAnsi="Palatino Linotype" w:cs="Tahoma"/>
          <w:bCs/>
          <w:i/>
          <w:iCs/>
        </w:rPr>
        <w:t>Lo anterior, de acuerdo a lo establecido en el Artículo 12 de la Ley de Transparencia y</w:t>
      </w:r>
      <w:r>
        <w:rPr>
          <w:rFonts w:ascii="Palatino Linotype" w:hAnsi="Palatino Linotype" w:cs="Tahoma"/>
          <w:bCs/>
          <w:i/>
          <w:iCs/>
        </w:rPr>
        <w:t xml:space="preserve"> </w:t>
      </w:r>
      <w:r w:rsidRPr="00C518BD">
        <w:rPr>
          <w:rFonts w:ascii="Palatino Linotype" w:hAnsi="Palatino Linotype" w:cs="Tahoma"/>
          <w:bCs/>
          <w:i/>
          <w:iCs/>
        </w:rPr>
        <w:t>Acceso a la Información Pública del Estado de México y Municipios que a la letra dice:</w:t>
      </w:r>
    </w:p>
    <w:p w14:paraId="0233D481" w14:textId="77777777" w:rsidR="005E539D" w:rsidRDefault="005E539D" w:rsidP="00C518BD">
      <w:pPr>
        <w:autoSpaceDE w:val="0"/>
        <w:autoSpaceDN w:val="0"/>
        <w:adjustRightInd w:val="0"/>
        <w:spacing w:line="360" w:lineRule="auto"/>
        <w:ind w:left="794" w:right="794"/>
        <w:jc w:val="both"/>
        <w:rPr>
          <w:rFonts w:ascii="Palatino Linotype" w:hAnsi="Palatino Linotype" w:cs="Tahoma"/>
          <w:bCs/>
          <w:i/>
          <w:iCs/>
        </w:rPr>
      </w:pPr>
    </w:p>
    <w:p w14:paraId="196C0719" w14:textId="1CE65925" w:rsidR="005E539D" w:rsidRDefault="005E539D" w:rsidP="005E539D">
      <w:pPr>
        <w:autoSpaceDE w:val="0"/>
        <w:autoSpaceDN w:val="0"/>
        <w:adjustRightInd w:val="0"/>
        <w:spacing w:line="360" w:lineRule="auto"/>
        <w:ind w:left="794" w:right="794"/>
        <w:jc w:val="center"/>
        <w:rPr>
          <w:rFonts w:ascii="Palatino Linotype" w:hAnsi="Palatino Linotype" w:cs="Tahoma"/>
          <w:bCs/>
          <w:i/>
          <w:iCs/>
        </w:rPr>
      </w:pPr>
      <w:r>
        <w:rPr>
          <w:rFonts w:ascii="Palatino Linotype" w:hAnsi="Palatino Linotype" w:cs="Tahoma"/>
          <w:bCs/>
          <w:i/>
          <w:iCs/>
        </w:rPr>
        <w:t>[Se reproduce el artículo 12 de la Ley referida]</w:t>
      </w:r>
    </w:p>
    <w:p w14:paraId="4BF696EA" w14:textId="77777777" w:rsidR="005E539D" w:rsidRDefault="005E539D" w:rsidP="005E539D">
      <w:pPr>
        <w:autoSpaceDE w:val="0"/>
        <w:autoSpaceDN w:val="0"/>
        <w:adjustRightInd w:val="0"/>
        <w:spacing w:line="360" w:lineRule="auto"/>
        <w:ind w:left="794" w:right="794"/>
        <w:jc w:val="both"/>
        <w:rPr>
          <w:rFonts w:ascii="Palatino Linotype" w:hAnsi="Palatino Linotype" w:cs="Tahoma"/>
          <w:bCs/>
          <w:i/>
          <w:iCs/>
        </w:rPr>
      </w:pPr>
    </w:p>
    <w:p w14:paraId="4E086ADF" w14:textId="3A8FA4A3" w:rsidR="005E539D" w:rsidRDefault="005E539D" w:rsidP="005E539D">
      <w:pPr>
        <w:autoSpaceDE w:val="0"/>
        <w:autoSpaceDN w:val="0"/>
        <w:adjustRightInd w:val="0"/>
        <w:spacing w:line="360" w:lineRule="auto"/>
        <w:ind w:left="794" w:right="794"/>
        <w:jc w:val="both"/>
        <w:rPr>
          <w:rFonts w:ascii="Palatino Linotype" w:hAnsi="Palatino Linotype" w:cs="Tahoma"/>
          <w:bCs/>
          <w:i/>
        </w:rPr>
      </w:pPr>
      <w:r w:rsidRPr="005E539D">
        <w:rPr>
          <w:rFonts w:ascii="Palatino Linotype" w:hAnsi="Palatino Linotype" w:cs="Tahoma"/>
          <w:bCs/>
          <w:i/>
          <w:iCs/>
        </w:rPr>
        <w:t xml:space="preserve">Por lo anterior, </w:t>
      </w:r>
      <w:r w:rsidRPr="005E539D">
        <w:rPr>
          <w:rFonts w:ascii="Palatino Linotype" w:hAnsi="Palatino Linotype" w:cs="Tahoma"/>
          <w:bCs/>
          <w:i/>
        </w:rPr>
        <w:t xml:space="preserve">se </w:t>
      </w:r>
      <w:r w:rsidRPr="005E539D">
        <w:rPr>
          <w:rFonts w:ascii="Palatino Linotype" w:hAnsi="Palatino Linotype" w:cs="Tahoma"/>
          <w:bCs/>
          <w:i/>
          <w:iCs/>
        </w:rPr>
        <w:t>le sugiere amablemente al peticionario, dirija su solicitud a la</w:t>
      </w:r>
      <w:r>
        <w:rPr>
          <w:rFonts w:ascii="Palatino Linotype" w:hAnsi="Palatino Linotype" w:cs="Tahoma"/>
          <w:bCs/>
          <w:i/>
          <w:iCs/>
        </w:rPr>
        <w:t xml:space="preserve"> </w:t>
      </w:r>
      <w:r w:rsidRPr="005E539D">
        <w:rPr>
          <w:rFonts w:ascii="Palatino Linotype" w:hAnsi="Palatino Linotype" w:cs="Tahoma"/>
          <w:bCs/>
          <w:i/>
          <w:iCs/>
        </w:rPr>
        <w:t>Comisión de Factibilidad del Estado de México, dependiente de la Secretada de Justicia</w:t>
      </w:r>
      <w:r>
        <w:rPr>
          <w:rFonts w:ascii="Palatino Linotype" w:hAnsi="Palatino Linotype" w:cs="Tahoma"/>
          <w:bCs/>
          <w:i/>
          <w:iCs/>
        </w:rPr>
        <w:t xml:space="preserve"> </w:t>
      </w:r>
      <w:r w:rsidRPr="005E539D">
        <w:rPr>
          <w:rFonts w:ascii="Palatino Linotype" w:hAnsi="Palatino Linotype" w:cs="Tahoma"/>
          <w:bCs/>
          <w:i/>
          <w:iCs/>
        </w:rPr>
        <w:t>y Derechos Humanos oficinas ubicadas en Diego Rivera No. 224, Colonia Industrial,</w:t>
      </w:r>
      <w:r>
        <w:rPr>
          <w:rFonts w:ascii="Palatino Linotype" w:hAnsi="Palatino Linotype" w:cs="Tahoma"/>
          <w:bCs/>
          <w:i/>
          <w:iCs/>
        </w:rPr>
        <w:t xml:space="preserve"> </w:t>
      </w:r>
      <w:r w:rsidRPr="005E539D">
        <w:rPr>
          <w:rFonts w:ascii="Palatino Linotype" w:hAnsi="Palatino Linotype" w:cs="Tahoma"/>
          <w:bCs/>
          <w:i/>
          <w:iCs/>
        </w:rPr>
        <w:t>Santiago Miltepec, Toluca Estado de México, para que puedan atender su petición</w:t>
      </w:r>
      <w:r>
        <w:rPr>
          <w:rFonts w:ascii="Palatino Linotype" w:hAnsi="Palatino Linotype" w:cs="Tahoma"/>
          <w:bCs/>
          <w:i/>
          <w:iCs/>
        </w:rPr>
        <w:t>.</w:t>
      </w:r>
    </w:p>
    <w:p w14:paraId="483E6524" w14:textId="77777777" w:rsidR="00C518BD" w:rsidRDefault="00C518BD" w:rsidP="008E3677">
      <w:pPr>
        <w:autoSpaceDE w:val="0"/>
        <w:autoSpaceDN w:val="0"/>
        <w:adjustRightInd w:val="0"/>
        <w:spacing w:line="360" w:lineRule="auto"/>
        <w:ind w:left="567" w:right="567"/>
        <w:jc w:val="both"/>
        <w:rPr>
          <w:rFonts w:ascii="Palatino Linotype" w:hAnsi="Palatino Linotype" w:cs="Tahoma"/>
          <w:bCs/>
          <w:i/>
        </w:rPr>
      </w:pPr>
    </w:p>
    <w:p w14:paraId="1CBAF577" w14:textId="4B84A4A8" w:rsidR="00C518BD" w:rsidRDefault="005E539D" w:rsidP="005E539D">
      <w:pPr>
        <w:autoSpaceDE w:val="0"/>
        <w:autoSpaceDN w:val="0"/>
        <w:adjustRightInd w:val="0"/>
        <w:spacing w:line="360" w:lineRule="auto"/>
        <w:ind w:left="567" w:right="567"/>
        <w:jc w:val="both"/>
        <w:rPr>
          <w:rFonts w:ascii="Palatino Linotype" w:hAnsi="Palatino Linotype" w:cs="Tahoma"/>
          <w:bCs/>
          <w:i/>
        </w:rPr>
      </w:pPr>
      <w:r w:rsidRPr="005E539D">
        <w:rPr>
          <w:rFonts w:ascii="Palatino Linotype" w:hAnsi="Palatino Linotype" w:cs="Tahoma"/>
          <w:bCs/>
          <w:i/>
        </w:rPr>
        <w:t>En todo caso, es menester señalar que esta Unidad de Transparencia, no tiene elementos para</w:t>
      </w:r>
      <w:r>
        <w:rPr>
          <w:rFonts w:ascii="Palatino Linotype" w:hAnsi="Palatino Linotype" w:cs="Tahoma"/>
          <w:bCs/>
          <w:i/>
        </w:rPr>
        <w:t xml:space="preserve"> </w:t>
      </w:r>
      <w:r w:rsidRPr="005E539D">
        <w:rPr>
          <w:rFonts w:ascii="Palatino Linotype" w:hAnsi="Palatino Linotype" w:cs="Tahoma"/>
          <w:bCs/>
          <w:i/>
        </w:rPr>
        <w:t>argumentar lo contrario a lo señalado por la Servidora Pública Habilitada de la Dirección General de</w:t>
      </w:r>
      <w:r>
        <w:rPr>
          <w:rFonts w:ascii="Palatino Linotype" w:hAnsi="Palatino Linotype" w:cs="Tahoma"/>
          <w:bCs/>
          <w:i/>
        </w:rPr>
        <w:t xml:space="preserve"> </w:t>
      </w:r>
      <w:r w:rsidRPr="005E539D">
        <w:rPr>
          <w:rFonts w:ascii="Palatino Linotype" w:hAnsi="Palatino Linotype" w:cs="Tahoma"/>
          <w:bCs/>
          <w:i/>
        </w:rPr>
        <w:t>Operación Urbana, por lo que se da por sentado, que lo declarado por dicha Dirección, es válido y</w:t>
      </w:r>
      <w:r>
        <w:rPr>
          <w:rFonts w:ascii="Palatino Linotype" w:hAnsi="Palatino Linotype" w:cs="Tahoma"/>
          <w:bCs/>
          <w:i/>
        </w:rPr>
        <w:t xml:space="preserve"> </w:t>
      </w:r>
      <w:r w:rsidRPr="005E539D">
        <w:rPr>
          <w:rFonts w:ascii="Palatino Linotype" w:hAnsi="Palatino Linotype" w:cs="Tahoma"/>
          <w:bCs/>
          <w:i/>
        </w:rPr>
        <w:t>cierto en todos sus términos.</w:t>
      </w:r>
    </w:p>
    <w:p w14:paraId="466ED458" w14:textId="3B3292E8" w:rsidR="008E3677" w:rsidRPr="00E5668B" w:rsidRDefault="008E3677" w:rsidP="008E3677">
      <w:pPr>
        <w:autoSpaceDE w:val="0"/>
        <w:autoSpaceDN w:val="0"/>
        <w:adjustRightInd w:val="0"/>
        <w:spacing w:line="360" w:lineRule="auto"/>
        <w:ind w:left="567" w:right="567"/>
        <w:jc w:val="both"/>
        <w:rPr>
          <w:rFonts w:ascii="Palatino Linotype" w:hAnsi="Palatino Linotype" w:cs="Tahoma"/>
          <w:bCs/>
          <w:i/>
        </w:rPr>
      </w:pPr>
      <w:r>
        <w:rPr>
          <w:rFonts w:ascii="Palatino Linotype" w:hAnsi="Palatino Linotype" w:cs="Tahoma"/>
          <w:bCs/>
          <w:i/>
        </w:rPr>
        <w:t>…”</w:t>
      </w:r>
    </w:p>
    <w:p w14:paraId="21099011" w14:textId="77777777" w:rsidR="004A6ECB" w:rsidRDefault="004A6ECB" w:rsidP="000A4DC8">
      <w:pPr>
        <w:autoSpaceDE w:val="0"/>
        <w:autoSpaceDN w:val="0"/>
        <w:adjustRightInd w:val="0"/>
        <w:spacing w:line="360" w:lineRule="auto"/>
        <w:jc w:val="both"/>
        <w:rPr>
          <w:rFonts w:ascii="Palatino Linotype" w:hAnsi="Palatino Linotype" w:cs="Tahoma"/>
          <w:bCs/>
          <w:sz w:val="22"/>
          <w:szCs w:val="22"/>
        </w:rPr>
      </w:pPr>
    </w:p>
    <w:p w14:paraId="3AADA7AF" w14:textId="38AFF01A" w:rsidR="005E539D" w:rsidRDefault="005E539D" w:rsidP="000A4DC8">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Tahoma"/>
          <w:bCs/>
          <w:sz w:val="22"/>
          <w:szCs w:val="22"/>
        </w:rPr>
        <w:t>El Sujeto Obligado adjuntó la digitalización del oficio con número 21200005A/1577/2019, del quince de julio del dos mil diecinueve, suscrito por la Directora General de Operación Urbana y dirigido al Jefe de la Unidad de Información, Planeación, Programación y Evaluación</w:t>
      </w:r>
      <w:r w:rsidR="004A54BF">
        <w:rPr>
          <w:rFonts w:ascii="Palatino Linotype" w:hAnsi="Palatino Linotype" w:cs="Tahoma"/>
          <w:bCs/>
          <w:sz w:val="22"/>
          <w:szCs w:val="22"/>
        </w:rPr>
        <w:t>, ambos</w:t>
      </w:r>
      <w:r>
        <w:rPr>
          <w:rFonts w:ascii="Palatino Linotype" w:hAnsi="Palatino Linotype" w:cs="Tahoma"/>
          <w:bCs/>
          <w:sz w:val="22"/>
          <w:szCs w:val="22"/>
        </w:rPr>
        <w:t xml:space="preserve"> de la Secretaría de Desarrollo Urbano y Metropolitano</w:t>
      </w:r>
      <w:r w:rsidR="004A54BF">
        <w:rPr>
          <w:rFonts w:ascii="Palatino Linotype" w:hAnsi="Palatino Linotype" w:cs="Tahoma"/>
          <w:bCs/>
          <w:sz w:val="22"/>
          <w:szCs w:val="22"/>
        </w:rPr>
        <w:t xml:space="preserve">, cuyo contenido está referido en el diverso </w:t>
      </w:r>
      <w:r w:rsidR="004A54BF" w:rsidRPr="004A54BF">
        <w:rPr>
          <w:rFonts w:ascii="Palatino Linotype" w:hAnsi="Palatino Linotype" w:cs="Tahoma"/>
          <w:bCs/>
          <w:sz w:val="22"/>
          <w:szCs w:val="22"/>
        </w:rPr>
        <w:t>21200002000000S/436/2019</w:t>
      </w:r>
      <w:r>
        <w:rPr>
          <w:rFonts w:ascii="Palatino Linotype" w:hAnsi="Palatino Linotype" w:cs="Tahoma"/>
          <w:bCs/>
          <w:sz w:val="22"/>
          <w:szCs w:val="22"/>
        </w:rPr>
        <w:t>.</w:t>
      </w:r>
    </w:p>
    <w:p w14:paraId="3306B892" w14:textId="77777777" w:rsidR="005E539D" w:rsidRPr="005E539D" w:rsidRDefault="005E539D" w:rsidP="000A4DC8">
      <w:pPr>
        <w:autoSpaceDE w:val="0"/>
        <w:autoSpaceDN w:val="0"/>
        <w:adjustRightInd w:val="0"/>
        <w:spacing w:line="360" w:lineRule="auto"/>
        <w:jc w:val="both"/>
        <w:rPr>
          <w:rFonts w:ascii="Palatino Linotype" w:hAnsi="Palatino Linotype" w:cs="Tahoma"/>
          <w:bCs/>
          <w:sz w:val="22"/>
          <w:szCs w:val="22"/>
        </w:rPr>
      </w:pPr>
    </w:p>
    <w:p w14:paraId="06E8A130" w14:textId="77777777" w:rsidR="00587F23" w:rsidRPr="00AD50F9" w:rsidRDefault="0030032A" w:rsidP="000A4DC8">
      <w:pPr>
        <w:autoSpaceDE w:val="0"/>
        <w:autoSpaceDN w:val="0"/>
        <w:adjustRightInd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III</w:t>
      </w:r>
      <w:r w:rsidR="00AA5A86" w:rsidRPr="00AD50F9">
        <w:rPr>
          <w:rFonts w:ascii="Palatino Linotype" w:hAnsi="Palatino Linotype" w:cs="Tahoma"/>
          <w:b/>
          <w:sz w:val="22"/>
          <w:szCs w:val="22"/>
        </w:rPr>
        <w:t xml:space="preserve">. </w:t>
      </w:r>
      <w:r w:rsidR="004100AA" w:rsidRPr="00AD50F9">
        <w:rPr>
          <w:rFonts w:ascii="Palatino Linotype" w:hAnsi="Palatino Linotype" w:cs="Tahoma"/>
          <w:b/>
          <w:sz w:val="22"/>
          <w:szCs w:val="22"/>
        </w:rPr>
        <w:t>Interposición</w:t>
      </w:r>
      <w:r w:rsidR="00C459A9" w:rsidRPr="00AD50F9">
        <w:rPr>
          <w:rFonts w:ascii="Palatino Linotype" w:hAnsi="Palatino Linotype" w:cs="Tahoma"/>
          <w:b/>
          <w:sz w:val="22"/>
          <w:szCs w:val="22"/>
        </w:rPr>
        <w:t xml:space="preserve"> del Recurso de R</w:t>
      </w:r>
      <w:r w:rsidR="00C25238" w:rsidRPr="00AD50F9">
        <w:rPr>
          <w:rFonts w:ascii="Palatino Linotype" w:hAnsi="Palatino Linotype" w:cs="Tahoma"/>
          <w:b/>
          <w:sz w:val="22"/>
          <w:szCs w:val="22"/>
        </w:rPr>
        <w:t xml:space="preserve">evisión. </w:t>
      </w:r>
    </w:p>
    <w:p w14:paraId="257C6D14" w14:textId="77777777" w:rsidR="00587F23" w:rsidRPr="00AD50F9" w:rsidRDefault="00587F23" w:rsidP="000A4DC8">
      <w:pPr>
        <w:autoSpaceDE w:val="0"/>
        <w:autoSpaceDN w:val="0"/>
        <w:adjustRightInd w:val="0"/>
        <w:spacing w:line="360" w:lineRule="auto"/>
        <w:jc w:val="both"/>
        <w:rPr>
          <w:rFonts w:ascii="Palatino Linotype" w:hAnsi="Palatino Linotype" w:cs="Tahoma"/>
          <w:b/>
          <w:sz w:val="22"/>
          <w:szCs w:val="22"/>
        </w:rPr>
      </w:pPr>
    </w:p>
    <w:p w14:paraId="75B37C90" w14:textId="63987633" w:rsidR="004A54BF" w:rsidRPr="00683F29" w:rsidRDefault="004A54BF" w:rsidP="004A54BF">
      <w:pPr>
        <w:widowControl w:val="0"/>
        <w:autoSpaceDE w:val="0"/>
        <w:autoSpaceDN w:val="0"/>
        <w:adjustRightInd w:val="0"/>
        <w:spacing w:line="360" w:lineRule="auto"/>
        <w:jc w:val="both"/>
        <w:rPr>
          <w:rFonts w:ascii="Palatino Linotype" w:hAnsi="Palatino Linotype" w:cs="Tahoma"/>
          <w:sz w:val="22"/>
          <w:szCs w:val="22"/>
        </w:rPr>
      </w:pPr>
      <w:r w:rsidRPr="00683F29">
        <w:rPr>
          <w:rFonts w:ascii="Palatino Linotype" w:hAnsi="Palatino Linotype" w:cs="Tahoma"/>
          <w:sz w:val="22"/>
          <w:szCs w:val="22"/>
        </w:rPr>
        <w:t xml:space="preserve">Con fecha </w:t>
      </w:r>
      <w:r>
        <w:rPr>
          <w:rFonts w:ascii="Palatino Linotype" w:hAnsi="Palatino Linotype" w:cs="Tahoma"/>
          <w:sz w:val="22"/>
          <w:szCs w:val="22"/>
        </w:rPr>
        <w:t>veintinueve de julio</w:t>
      </w:r>
      <w:r w:rsidRPr="00683F29">
        <w:rPr>
          <w:rFonts w:ascii="Palatino Linotype" w:hAnsi="Palatino Linotype" w:cs="Tahoma"/>
          <w:sz w:val="22"/>
          <w:szCs w:val="22"/>
        </w:rPr>
        <w:t xml:space="preserve"> de dos mil diecinueve, se recibió en este Instituto, a través del </w:t>
      </w:r>
      <w:r w:rsidRPr="00683F29">
        <w:rPr>
          <w:rFonts w:ascii="Palatino Linotype" w:hAnsi="Palatino Linotype" w:cs="Tahoma"/>
          <w:sz w:val="22"/>
          <w:szCs w:val="22"/>
          <w:lang w:val="es-ES"/>
        </w:rPr>
        <w:lastRenderedPageBreak/>
        <w:t>Sistema de Acceso a la Información Mexiquense (SAIMEX)</w:t>
      </w:r>
      <w:r w:rsidRPr="00683F29">
        <w:rPr>
          <w:rFonts w:ascii="Palatino Linotype" w:hAnsi="Palatino Linotype" w:cs="Tahoma"/>
          <w:sz w:val="22"/>
          <w:szCs w:val="22"/>
        </w:rPr>
        <w:t xml:space="preserve">, Recurso de Revisión interpuesto por la parte Recurrente, lo anterior, ya que si bien, se presentó Medio de Impugnación el </w:t>
      </w:r>
      <w:r w:rsidR="00E60F40">
        <w:rPr>
          <w:rFonts w:ascii="Palatino Linotype" w:hAnsi="Palatino Linotype" w:cs="Tahoma"/>
          <w:sz w:val="22"/>
          <w:szCs w:val="22"/>
        </w:rPr>
        <w:t xml:space="preserve">veinte </w:t>
      </w:r>
      <w:r w:rsidRPr="00683F29">
        <w:rPr>
          <w:rFonts w:ascii="Palatino Linotype" w:hAnsi="Palatino Linotype" w:cs="Tahoma"/>
          <w:sz w:val="22"/>
          <w:szCs w:val="22"/>
        </w:rPr>
        <w:t>de ese mes y año, también lo es, que fue inhábil</w:t>
      </w:r>
      <w:r w:rsidRPr="00683F29">
        <w:rPr>
          <w:rFonts w:ascii="Palatino Linotype" w:hAnsi="Palatino Linotype" w:cs="Tahoma"/>
          <w:bCs/>
          <w:sz w:val="22"/>
          <w:szCs w:val="22"/>
          <w:lang w:val="es-ES"/>
        </w:rPr>
        <w:t xml:space="preserve">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r>
        <w:rPr>
          <w:rFonts w:ascii="Palatino Linotype" w:hAnsi="Palatino Linotype" w:cs="Tahoma"/>
          <w:bCs/>
          <w:sz w:val="22"/>
          <w:szCs w:val="22"/>
          <w:lang w:val="es-ES"/>
        </w:rPr>
        <w:t>;</w:t>
      </w:r>
      <w:r w:rsidRPr="00683F29">
        <w:rPr>
          <w:rFonts w:ascii="Palatino Linotype" w:hAnsi="Palatino Linotype" w:cs="Tahoma"/>
          <w:sz w:val="22"/>
          <w:szCs w:val="22"/>
        </w:rPr>
        <w:t xml:space="preserve"> en contra de la respuesta emitida por el Sujeto Obligado a la solicitud de acceso a la información en los siguientes términos:</w:t>
      </w:r>
    </w:p>
    <w:p w14:paraId="6758D14F" w14:textId="77777777" w:rsidR="00C25238" w:rsidRPr="00AD50F9" w:rsidRDefault="00C25238" w:rsidP="000A4DC8">
      <w:pPr>
        <w:autoSpaceDE w:val="0"/>
        <w:autoSpaceDN w:val="0"/>
        <w:adjustRightInd w:val="0"/>
        <w:spacing w:line="360" w:lineRule="auto"/>
        <w:jc w:val="both"/>
        <w:rPr>
          <w:rFonts w:ascii="Palatino Linotype" w:hAnsi="Palatino Linotype" w:cs="Tahoma"/>
          <w:bCs/>
          <w:sz w:val="22"/>
          <w:szCs w:val="22"/>
        </w:rPr>
      </w:pPr>
    </w:p>
    <w:p w14:paraId="5562A362" w14:textId="77777777" w:rsidR="00C25238" w:rsidRPr="002E0E9C" w:rsidRDefault="00B727C5" w:rsidP="000A4DC8">
      <w:pPr>
        <w:tabs>
          <w:tab w:val="left" w:pos="4667"/>
        </w:tabs>
        <w:spacing w:line="360" w:lineRule="auto"/>
        <w:ind w:left="567" w:right="567"/>
        <w:jc w:val="both"/>
        <w:rPr>
          <w:rFonts w:ascii="Palatino Linotype" w:hAnsi="Palatino Linotype" w:cs="Tahoma"/>
          <w:bCs/>
          <w:i/>
        </w:rPr>
      </w:pPr>
      <w:r w:rsidRPr="002E0E9C">
        <w:rPr>
          <w:rFonts w:ascii="Palatino Linotype" w:hAnsi="Palatino Linotype" w:cs="Tahoma"/>
          <w:b/>
          <w:bCs/>
          <w:i/>
        </w:rPr>
        <w:t>“</w:t>
      </w:r>
      <w:r w:rsidR="00C25238" w:rsidRPr="002E0E9C">
        <w:rPr>
          <w:rFonts w:ascii="Palatino Linotype" w:hAnsi="Palatino Linotype" w:cs="Tahoma"/>
          <w:b/>
          <w:bCs/>
          <w:i/>
        </w:rPr>
        <w:t>ACTO IMPUGNADO</w:t>
      </w:r>
    </w:p>
    <w:p w14:paraId="4422BEB8" w14:textId="0F98837E" w:rsidR="00CD3A5D" w:rsidRDefault="00E60F40" w:rsidP="000A4DC8">
      <w:pPr>
        <w:autoSpaceDE w:val="0"/>
        <w:autoSpaceDN w:val="0"/>
        <w:adjustRightInd w:val="0"/>
        <w:spacing w:line="360" w:lineRule="auto"/>
        <w:ind w:left="567" w:right="567"/>
        <w:jc w:val="both"/>
        <w:rPr>
          <w:rFonts w:ascii="Palatino Linotype" w:hAnsi="Palatino Linotype" w:cs="Tahoma"/>
          <w:i/>
        </w:rPr>
      </w:pPr>
      <w:r w:rsidRPr="00E60F40">
        <w:rPr>
          <w:rFonts w:ascii="Palatino Linotype" w:hAnsi="Palatino Linotype" w:cs="Tahoma"/>
          <w:i/>
        </w:rPr>
        <w:t>Que en la respuesta dada, se manifesta que han transferido archivos cuando en la plataforma lnfoem/Saimex no se cuenta con la opcion de solicitar la informacion a la Comision citada ademas, continua siendo señalado en la Cédula de Registro del Trámite o Servicio, a la Secretaría de Desarrollo Urbano y Metropolitano como responsable de la emision del Certificado, es entendible que el trámite se actualce a una Comisión sin embargo, hay una negativa por proporcionar la informacion solicitada ya que se respondio parcialmente, siendo incongruente con la informacion publica sobre los trámites y responsables, cuando la intención es legitima para obtener informacion de la dependencia que generó y procesó la información, lo anterior continua señalado en la información pública de la liga siguiente: http://sistemas2.edomex.gob.mx/TramitesyServicios/Tramite?tram=1549&amp;cont=0</w:t>
      </w:r>
      <w:r>
        <w:rPr>
          <w:rFonts w:ascii="Palatino Linotype" w:hAnsi="Palatino Linotype" w:cs="Tahoma"/>
          <w:i/>
        </w:rPr>
        <w:t>,</w:t>
      </w:r>
      <w:r w:rsidRPr="00E60F40">
        <w:rPr>
          <w:rFonts w:ascii="Palatino Linotype" w:hAnsi="Palatino Linotype" w:cs="Tahoma"/>
          <w:i/>
        </w:rPr>
        <w:t xml:space="preserve"> adicionalmente no hay certeza de que se hayan transferido archivos precisamente el 2 de julio</w:t>
      </w:r>
      <w:r w:rsidR="00B727C5" w:rsidRPr="002E0E9C">
        <w:rPr>
          <w:rFonts w:ascii="Palatino Linotype" w:hAnsi="Palatino Linotype" w:cs="Tahoma"/>
          <w:i/>
        </w:rPr>
        <w:t>”</w:t>
      </w:r>
      <w:r w:rsidR="00092475" w:rsidRPr="002E0E9C">
        <w:rPr>
          <w:rFonts w:ascii="Palatino Linotype" w:hAnsi="Palatino Linotype" w:cs="Tahoma"/>
          <w:i/>
        </w:rPr>
        <w:t xml:space="preserve"> (Sic.)</w:t>
      </w:r>
    </w:p>
    <w:p w14:paraId="2C6A9C5D" w14:textId="77777777" w:rsidR="00892E6A" w:rsidRPr="002E0E9C" w:rsidRDefault="00892E6A" w:rsidP="000A4DC8">
      <w:pPr>
        <w:autoSpaceDE w:val="0"/>
        <w:autoSpaceDN w:val="0"/>
        <w:adjustRightInd w:val="0"/>
        <w:spacing w:line="360" w:lineRule="auto"/>
        <w:ind w:left="567" w:right="567"/>
        <w:jc w:val="both"/>
        <w:rPr>
          <w:rFonts w:ascii="Palatino Linotype" w:hAnsi="Palatino Linotype" w:cs="Tahoma"/>
          <w:i/>
        </w:rPr>
      </w:pPr>
    </w:p>
    <w:p w14:paraId="5E2C8F1C" w14:textId="77777777" w:rsidR="00C25238" w:rsidRPr="002E0E9C" w:rsidRDefault="00B727C5" w:rsidP="000A4DC8">
      <w:pPr>
        <w:autoSpaceDE w:val="0"/>
        <w:autoSpaceDN w:val="0"/>
        <w:adjustRightInd w:val="0"/>
        <w:spacing w:line="360" w:lineRule="auto"/>
        <w:ind w:left="567" w:right="567"/>
        <w:jc w:val="both"/>
        <w:rPr>
          <w:rFonts w:ascii="Palatino Linotype" w:hAnsi="Palatino Linotype" w:cs="Tahoma"/>
          <w:b/>
          <w:i/>
        </w:rPr>
      </w:pPr>
      <w:r w:rsidRPr="002E0E9C">
        <w:rPr>
          <w:rFonts w:ascii="Palatino Linotype" w:hAnsi="Palatino Linotype" w:cs="Tahoma"/>
          <w:b/>
          <w:i/>
        </w:rPr>
        <w:t>“</w:t>
      </w:r>
      <w:r w:rsidR="00C25238" w:rsidRPr="002E0E9C">
        <w:rPr>
          <w:rFonts w:ascii="Palatino Linotype" w:hAnsi="Palatino Linotype" w:cs="Tahoma"/>
          <w:b/>
          <w:i/>
        </w:rPr>
        <w:t>RAZONES O MOTIVOS DE LA INCONFORMIDAD</w:t>
      </w:r>
    </w:p>
    <w:p w14:paraId="6E7B1124" w14:textId="1E150248" w:rsidR="00B31222" w:rsidRDefault="00E60F40" w:rsidP="000A4DC8">
      <w:pPr>
        <w:autoSpaceDE w:val="0"/>
        <w:autoSpaceDN w:val="0"/>
        <w:adjustRightInd w:val="0"/>
        <w:spacing w:line="360" w:lineRule="auto"/>
        <w:ind w:left="567" w:right="567"/>
        <w:jc w:val="both"/>
        <w:rPr>
          <w:rFonts w:ascii="Palatino Linotype" w:hAnsi="Palatino Linotype" w:cs="Tahoma"/>
          <w:i/>
        </w:rPr>
      </w:pPr>
      <w:r w:rsidRPr="00E60F40">
        <w:rPr>
          <w:rFonts w:ascii="Palatino Linotype" w:hAnsi="Palatino Linotype" w:cs="Tahoma"/>
          <w:i/>
        </w:rPr>
        <w:t>Incongruencia en la forma de rastrear y solicitar información</w:t>
      </w:r>
      <w:r w:rsidR="00B727C5" w:rsidRPr="002E0E9C">
        <w:rPr>
          <w:rFonts w:ascii="Palatino Linotype" w:hAnsi="Palatino Linotype" w:cs="Tahoma"/>
          <w:i/>
        </w:rPr>
        <w:t>”</w:t>
      </w:r>
      <w:r w:rsidR="006C1B1D" w:rsidRPr="002E0E9C">
        <w:rPr>
          <w:rFonts w:ascii="Palatino Linotype" w:hAnsi="Palatino Linotype" w:cs="Tahoma"/>
          <w:i/>
        </w:rPr>
        <w:t xml:space="preserve"> (Sic.)</w:t>
      </w:r>
    </w:p>
    <w:p w14:paraId="08CD08E9" w14:textId="77777777" w:rsidR="000B7978" w:rsidRPr="002E0E9C" w:rsidRDefault="000B7978" w:rsidP="000A4DC8">
      <w:pPr>
        <w:autoSpaceDE w:val="0"/>
        <w:autoSpaceDN w:val="0"/>
        <w:adjustRightInd w:val="0"/>
        <w:spacing w:line="360" w:lineRule="auto"/>
        <w:ind w:left="567" w:right="567"/>
        <w:jc w:val="both"/>
        <w:rPr>
          <w:rFonts w:ascii="Palatino Linotype" w:hAnsi="Palatino Linotype" w:cs="Tahoma"/>
          <w:i/>
        </w:rPr>
      </w:pPr>
    </w:p>
    <w:p w14:paraId="737916C4" w14:textId="77777777" w:rsidR="00B31222" w:rsidRPr="00AD50F9" w:rsidRDefault="00BE4843" w:rsidP="000A4DC8">
      <w:pPr>
        <w:spacing w:line="360" w:lineRule="auto"/>
        <w:jc w:val="both"/>
        <w:rPr>
          <w:rFonts w:ascii="Palatino Linotype" w:eastAsia="Batang" w:hAnsi="Palatino Linotype" w:cs="Tahoma"/>
          <w:b/>
          <w:bCs/>
          <w:sz w:val="22"/>
          <w:szCs w:val="22"/>
        </w:rPr>
      </w:pPr>
      <w:r w:rsidRPr="00AD50F9">
        <w:rPr>
          <w:rFonts w:ascii="Palatino Linotype" w:hAnsi="Palatino Linotype" w:cs="Tahoma"/>
          <w:b/>
          <w:sz w:val="22"/>
          <w:szCs w:val="22"/>
        </w:rPr>
        <w:t>I</w:t>
      </w:r>
      <w:r w:rsidR="0030032A" w:rsidRPr="00AD50F9">
        <w:rPr>
          <w:rFonts w:ascii="Palatino Linotype" w:hAnsi="Palatino Linotype" w:cs="Tahoma"/>
          <w:b/>
          <w:sz w:val="22"/>
          <w:szCs w:val="22"/>
        </w:rPr>
        <w:t>V</w:t>
      </w:r>
      <w:r w:rsidR="00B31222"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 xml:space="preserve">Trámite del </w:t>
      </w:r>
      <w:r w:rsidR="00C459A9" w:rsidRPr="00AD50F9">
        <w:rPr>
          <w:rFonts w:ascii="Palatino Linotype" w:hAnsi="Palatino Linotype" w:cs="Tahoma"/>
          <w:b/>
          <w:sz w:val="22"/>
          <w:szCs w:val="22"/>
        </w:rPr>
        <w:t>Recurso de Revisión</w:t>
      </w:r>
      <w:r w:rsidR="00AE489D" w:rsidRPr="00AD50F9">
        <w:rPr>
          <w:rFonts w:ascii="Palatino Linotype" w:hAnsi="Palatino Linotype" w:cs="Tahoma"/>
          <w:b/>
          <w:sz w:val="22"/>
          <w:szCs w:val="22"/>
        </w:rPr>
        <w:t xml:space="preserve"> </w:t>
      </w:r>
      <w:r w:rsidR="00B31222" w:rsidRPr="00AD50F9">
        <w:rPr>
          <w:rFonts w:ascii="Palatino Linotype" w:eastAsia="Batang" w:hAnsi="Palatino Linotype" w:cs="Tahoma"/>
          <w:b/>
          <w:bCs/>
          <w:sz w:val="22"/>
          <w:szCs w:val="22"/>
        </w:rPr>
        <w:t>ante el Instituto</w:t>
      </w:r>
      <w:r w:rsidR="00E445DA" w:rsidRPr="00AD50F9">
        <w:rPr>
          <w:rFonts w:ascii="Palatino Linotype" w:eastAsia="Batang" w:hAnsi="Palatino Linotype" w:cs="Tahoma"/>
          <w:b/>
          <w:bCs/>
          <w:sz w:val="22"/>
          <w:szCs w:val="22"/>
        </w:rPr>
        <w:t>.</w:t>
      </w:r>
    </w:p>
    <w:p w14:paraId="3D446386" w14:textId="55C02A38" w:rsidR="00BE4843" w:rsidRPr="00AD50F9" w:rsidRDefault="00A90F9B" w:rsidP="000A4DC8">
      <w:pPr>
        <w:spacing w:line="360" w:lineRule="auto"/>
        <w:jc w:val="both"/>
        <w:rPr>
          <w:rFonts w:ascii="Palatino Linotype" w:eastAsia="Batang" w:hAnsi="Palatino Linotype" w:cs="Tahoma"/>
          <w:bCs/>
          <w:sz w:val="22"/>
          <w:szCs w:val="22"/>
        </w:rPr>
      </w:pPr>
      <w:r w:rsidRPr="00AD50F9">
        <w:rPr>
          <w:rFonts w:ascii="Palatino Linotype" w:eastAsia="Batang" w:hAnsi="Palatino Linotype" w:cs="Tahoma"/>
          <w:b/>
          <w:bCs/>
          <w:sz w:val="22"/>
          <w:szCs w:val="22"/>
        </w:rPr>
        <w:lastRenderedPageBreak/>
        <w:t xml:space="preserve">a) </w:t>
      </w:r>
      <w:r w:rsidR="00B31222" w:rsidRPr="00AD50F9">
        <w:rPr>
          <w:rFonts w:ascii="Palatino Linotype" w:eastAsia="Batang" w:hAnsi="Palatino Linotype" w:cs="Tahoma"/>
          <w:b/>
          <w:bCs/>
          <w:sz w:val="22"/>
          <w:szCs w:val="22"/>
        </w:rPr>
        <w:t xml:space="preserve">Turno del </w:t>
      </w:r>
      <w:r w:rsidR="00C459A9" w:rsidRPr="00AD50F9">
        <w:rPr>
          <w:rFonts w:ascii="Palatino Linotype" w:hAnsi="Palatino Linotype" w:cs="Tahoma"/>
          <w:b/>
          <w:sz w:val="22"/>
          <w:szCs w:val="22"/>
        </w:rPr>
        <w:t>Recurso de Revisión</w:t>
      </w:r>
      <w:r w:rsidRPr="00AD50F9">
        <w:rPr>
          <w:rFonts w:ascii="Palatino Linotype" w:eastAsia="Batang" w:hAnsi="Palatino Linotype" w:cs="Tahoma"/>
          <w:b/>
          <w:bCs/>
          <w:sz w:val="22"/>
          <w:szCs w:val="22"/>
        </w:rPr>
        <w:t>.</w:t>
      </w:r>
      <w:r w:rsidR="00AE489D" w:rsidRPr="00AD50F9">
        <w:rPr>
          <w:rFonts w:ascii="Palatino Linotype" w:eastAsia="Batang" w:hAnsi="Palatino Linotype" w:cs="Tahoma"/>
          <w:b/>
          <w:bCs/>
          <w:sz w:val="22"/>
          <w:szCs w:val="22"/>
        </w:rPr>
        <w:t xml:space="preserve"> </w:t>
      </w:r>
      <w:r w:rsidR="00BE4843" w:rsidRPr="00AD50F9">
        <w:rPr>
          <w:rFonts w:ascii="Palatino Linotype" w:eastAsia="Batang" w:hAnsi="Palatino Linotype" w:cs="Tahoma"/>
          <w:bCs/>
          <w:sz w:val="22"/>
          <w:szCs w:val="22"/>
        </w:rPr>
        <w:t xml:space="preserve">El </w:t>
      </w:r>
      <w:r w:rsidR="00E60F40">
        <w:rPr>
          <w:rFonts w:ascii="Palatino Linotype" w:eastAsia="Batang" w:hAnsi="Palatino Linotype" w:cs="Tahoma"/>
          <w:bCs/>
          <w:sz w:val="22"/>
          <w:szCs w:val="22"/>
        </w:rPr>
        <w:t>veintinueve de julio</w:t>
      </w:r>
      <w:r w:rsidR="0030032A" w:rsidRPr="00AD50F9">
        <w:rPr>
          <w:rFonts w:ascii="Palatino Linotype" w:eastAsia="Batang" w:hAnsi="Palatino Linotype" w:cs="Tahoma"/>
          <w:bCs/>
          <w:sz w:val="22"/>
          <w:szCs w:val="22"/>
        </w:rPr>
        <w:t xml:space="preserve"> de dos mil diecinueve</w:t>
      </w:r>
      <w:r w:rsidR="00BE4843" w:rsidRPr="00AD50F9">
        <w:rPr>
          <w:rFonts w:ascii="Palatino Linotype" w:eastAsia="Batang" w:hAnsi="Palatino Linotype" w:cs="Tahoma"/>
          <w:bCs/>
          <w:sz w:val="22"/>
          <w:szCs w:val="22"/>
        </w:rPr>
        <w:t xml:space="preserve">, el </w:t>
      </w:r>
      <w:r w:rsidR="00BE4843" w:rsidRPr="00AD50F9">
        <w:rPr>
          <w:rFonts w:ascii="Palatino Linotype" w:hAnsi="Palatino Linotype" w:cs="Tahoma"/>
          <w:sz w:val="22"/>
          <w:szCs w:val="22"/>
          <w:lang w:val="es-ES"/>
        </w:rPr>
        <w:t>Sistema de Acceso a la Información Mexiquense (SAIMEX),</w:t>
      </w:r>
      <w:r w:rsidR="00BE4843" w:rsidRPr="00AD50F9">
        <w:rPr>
          <w:rFonts w:ascii="Palatino Linotype" w:eastAsia="Batang" w:hAnsi="Palatino Linotype" w:cs="Tahoma"/>
          <w:bCs/>
          <w:sz w:val="22"/>
          <w:szCs w:val="22"/>
        </w:rPr>
        <w:t xml:space="preserve"> asignó el número de expediente </w:t>
      </w:r>
      <w:r w:rsidR="00D34402" w:rsidRPr="00AD50F9">
        <w:rPr>
          <w:rFonts w:ascii="Palatino Linotype" w:eastAsia="Batang" w:hAnsi="Palatino Linotype" w:cs="Tahoma"/>
          <w:bCs/>
          <w:sz w:val="22"/>
          <w:szCs w:val="22"/>
        </w:rPr>
        <w:t>0</w:t>
      </w:r>
      <w:r w:rsidR="00CF7003">
        <w:rPr>
          <w:rFonts w:ascii="Palatino Linotype" w:eastAsia="Batang" w:hAnsi="Palatino Linotype" w:cs="Tahoma"/>
          <w:bCs/>
          <w:sz w:val="22"/>
          <w:szCs w:val="22"/>
        </w:rPr>
        <w:t>6366</w:t>
      </w:r>
      <w:r w:rsidR="00D34402" w:rsidRPr="00AD50F9">
        <w:rPr>
          <w:rFonts w:ascii="Palatino Linotype" w:eastAsia="Batang" w:hAnsi="Palatino Linotype" w:cs="Tahoma"/>
          <w:bCs/>
          <w:sz w:val="22"/>
          <w:szCs w:val="22"/>
        </w:rPr>
        <w:t>/INFOEM/IP/RR/2019</w:t>
      </w:r>
      <w:r w:rsidR="00BE4843" w:rsidRPr="00AD50F9">
        <w:rPr>
          <w:rFonts w:ascii="Palatino Linotype" w:eastAsia="Batang" w:hAnsi="Palatino Linotype" w:cs="Tahoma"/>
          <w:bCs/>
          <w:sz w:val="22"/>
          <w:szCs w:val="22"/>
        </w:rPr>
        <w:t>,</w:t>
      </w:r>
      <w:r w:rsidR="00AE489D" w:rsidRPr="00AD50F9">
        <w:rPr>
          <w:rFonts w:ascii="Palatino Linotype" w:eastAsia="Batang" w:hAnsi="Palatino Linotype" w:cs="Tahoma"/>
          <w:bCs/>
          <w:sz w:val="22"/>
          <w:szCs w:val="22"/>
        </w:rPr>
        <w:t xml:space="preserve"> </w:t>
      </w:r>
      <w:r w:rsidR="00BE4843" w:rsidRPr="00AD50F9">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03AAD650" w14:textId="77777777" w:rsidR="00BE4843" w:rsidRPr="00AD50F9" w:rsidRDefault="00BE4843" w:rsidP="000A4DC8">
      <w:pPr>
        <w:spacing w:line="360" w:lineRule="auto"/>
        <w:ind w:left="708"/>
        <w:jc w:val="both"/>
        <w:rPr>
          <w:rFonts w:ascii="Palatino Linotype" w:eastAsia="Batang" w:hAnsi="Palatino Linotype" w:cs="Tahoma"/>
          <w:bCs/>
          <w:sz w:val="22"/>
          <w:szCs w:val="22"/>
        </w:rPr>
      </w:pPr>
    </w:p>
    <w:p w14:paraId="4BEC6B3E" w14:textId="58641F77" w:rsidR="00B31222" w:rsidRPr="00AD50F9" w:rsidRDefault="00625DFB" w:rsidP="000A4DC8">
      <w:pPr>
        <w:spacing w:line="360" w:lineRule="auto"/>
        <w:jc w:val="both"/>
        <w:rPr>
          <w:rFonts w:ascii="Palatino Linotype" w:hAnsi="Palatino Linotype" w:cs="Tahoma"/>
          <w:bCs/>
          <w:sz w:val="22"/>
          <w:szCs w:val="22"/>
        </w:rPr>
      </w:pPr>
      <w:r w:rsidRPr="00AD50F9">
        <w:rPr>
          <w:rFonts w:ascii="Palatino Linotype" w:eastAsia="Batang" w:hAnsi="Palatino Linotype" w:cs="Tahoma"/>
          <w:b/>
          <w:bCs/>
          <w:sz w:val="22"/>
          <w:szCs w:val="22"/>
        </w:rPr>
        <w:t>b</w:t>
      </w:r>
      <w:r w:rsidR="009F46DC" w:rsidRPr="00AD50F9">
        <w:rPr>
          <w:rFonts w:ascii="Palatino Linotype" w:eastAsia="Batang" w:hAnsi="Palatino Linotype" w:cs="Tahoma"/>
          <w:b/>
          <w:bCs/>
          <w:sz w:val="22"/>
          <w:szCs w:val="22"/>
        </w:rPr>
        <w:t xml:space="preserve">) </w:t>
      </w:r>
      <w:r w:rsidR="00B31222" w:rsidRPr="00AD50F9">
        <w:rPr>
          <w:rFonts w:ascii="Palatino Linotype" w:eastAsia="Batang" w:hAnsi="Palatino Linotype" w:cs="Tahoma"/>
          <w:b/>
          <w:bCs/>
          <w:sz w:val="22"/>
          <w:szCs w:val="22"/>
        </w:rPr>
        <w:t>Admisión del</w:t>
      </w:r>
      <w:r w:rsidR="00AE489D" w:rsidRPr="00AD50F9">
        <w:rPr>
          <w:rFonts w:ascii="Palatino Linotype" w:eastAsia="Batang" w:hAnsi="Palatino Linotype" w:cs="Tahoma"/>
          <w:b/>
          <w:bCs/>
          <w:sz w:val="22"/>
          <w:szCs w:val="22"/>
        </w:rPr>
        <w:t xml:space="preserve"> </w:t>
      </w:r>
      <w:r w:rsidR="00C459A9" w:rsidRPr="00AD50F9">
        <w:rPr>
          <w:rFonts w:ascii="Palatino Linotype" w:hAnsi="Palatino Linotype" w:cs="Tahoma"/>
          <w:b/>
          <w:sz w:val="22"/>
          <w:szCs w:val="22"/>
        </w:rPr>
        <w:t>Recurso de Revisión</w:t>
      </w:r>
      <w:r w:rsidR="00B31222" w:rsidRPr="00AD50F9">
        <w:rPr>
          <w:rFonts w:ascii="Palatino Linotype" w:eastAsia="Batang" w:hAnsi="Palatino Linotype" w:cs="Tahoma"/>
          <w:b/>
          <w:bCs/>
          <w:sz w:val="22"/>
          <w:szCs w:val="22"/>
          <w:lang w:val="es-ES_tradnl"/>
        </w:rPr>
        <w:t xml:space="preserve">. </w:t>
      </w:r>
      <w:r w:rsidR="00BE4843" w:rsidRPr="00AD50F9">
        <w:rPr>
          <w:rFonts w:ascii="Palatino Linotype" w:eastAsia="Batang" w:hAnsi="Palatino Linotype" w:cs="Tahoma"/>
          <w:bCs/>
          <w:sz w:val="22"/>
          <w:szCs w:val="22"/>
          <w:lang w:val="es-ES_tradnl"/>
        </w:rPr>
        <w:t xml:space="preserve">El </w:t>
      </w:r>
      <w:r w:rsidR="004C28E4">
        <w:rPr>
          <w:rFonts w:ascii="Palatino Linotype" w:eastAsia="Batang" w:hAnsi="Palatino Linotype" w:cs="Tahoma"/>
          <w:bCs/>
          <w:sz w:val="22"/>
          <w:szCs w:val="22"/>
          <w:lang w:val="es-ES_tradnl"/>
        </w:rPr>
        <w:t>dos de agosto</w:t>
      </w:r>
      <w:r w:rsidR="0030032A" w:rsidRPr="00AD50F9">
        <w:rPr>
          <w:rFonts w:ascii="Palatino Linotype" w:eastAsia="Batang" w:hAnsi="Palatino Linotype" w:cs="Tahoma"/>
          <w:bCs/>
          <w:sz w:val="22"/>
          <w:szCs w:val="22"/>
          <w:lang w:val="es-ES_tradnl"/>
        </w:rPr>
        <w:t xml:space="preserve"> de dos mil diecinueve</w:t>
      </w:r>
      <w:r w:rsidR="00BE4843" w:rsidRPr="00AD50F9">
        <w:rPr>
          <w:rFonts w:ascii="Palatino Linotype" w:eastAsia="Batang" w:hAnsi="Palatino Linotype" w:cs="Tahoma"/>
          <w:bCs/>
          <w:sz w:val="22"/>
          <w:szCs w:val="22"/>
          <w:lang w:val="es-ES_tradnl"/>
        </w:rPr>
        <w:t xml:space="preserve">, se acordó la admisión del Recurso de Revisión interpuesto por </w:t>
      </w:r>
      <w:r w:rsidR="00944DFE">
        <w:rPr>
          <w:rFonts w:ascii="Palatino Linotype" w:eastAsia="Batang" w:hAnsi="Palatino Linotype" w:cs="Tahoma"/>
          <w:bCs/>
          <w:sz w:val="22"/>
          <w:szCs w:val="22"/>
          <w:lang w:val="es-ES_tradnl"/>
        </w:rPr>
        <w:t xml:space="preserve">el </w:t>
      </w:r>
      <w:r w:rsidR="00BE4843" w:rsidRPr="00AD50F9">
        <w:rPr>
          <w:rFonts w:ascii="Palatino Linotype" w:eastAsia="Batang" w:hAnsi="Palatino Linotype" w:cs="Tahoma"/>
          <w:bCs/>
          <w:sz w:val="22"/>
          <w:szCs w:val="22"/>
          <w:lang w:val="es-ES_tradnl"/>
        </w:rPr>
        <w:t xml:space="preserve">Recurrente en contra del </w:t>
      </w:r>
      <w:r w:rsidR="00141895" w:rsidRPr="00AD50F9">
        <w:rPr>
          <w:rFonts w:ascii="Palatino Linotype" w:eastAsia="Batang" w:hAnsi="Palatino Linotype" w:cs="Tahoma"/>
          <w:bCs/>
          <w:sz w:val="22"/>
          <w:szCs w:val="22"/>
          <w:lang w:val="es-ES_tradnl"/>
        </w:rPr>
        <w:t>Sujeto Obligado</w:t>
      </w:r>
      <w:r w:rsidR="00BE4843" w:rsidRPr="00AD50F9">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47DAFB7F" w14:textId="77777777" w:rsidR="0061115C" w:rsidRPr="00AD50F9" w:rsidRDefault="0061115C" w:rsidP="000A4DC8">
      <w:pPr>
        <w:spacing w:line="360" w:lineRule="auto"/>
        <w:jc w:val="both"/>
        <w:rPr>
          <w:rFonts w:ascii="Palatino Linotype" w:hAnsi="Palatino Linotype" w:cs="Tahoma"/>
          <w:bCs/>
          <w:sz w:val="22"/>
          <w:szCs w:val="22"/>
        </w:rPr>
      </w:pPr>
    </w:p>
    <w:p w14:paraId="36EF0609" w14:textId="7D34EC26" w:rsidR="003D5FF4" w:rsidRPr="00AD50F9" w:rsidRDefault="004406CF" w:rsidP="000A4DC8">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c</w:t>
      </w:r>
      <w:r w:rsidR="00B31222" w:rsidRPr="00AD50F9">
        <w:rPr>
          <w:rFonts w:ascii="Palatino Linotype" w:hAnsi="Palatino Linotype" w:cs="Tahoma"/>
          <w:b/>
          <w:sz w:val="22"/>
          <w:szCs w:val="22"/>
        </w:rPr>
        <w:t xml:space="preserve">) </w:t>
      </w:r>
      <w:r w:rsidR="00BE4843" w:rsidRPr="00AD50F9">
        <w:rPr>
          <w:rFonts w:ascii="Palatino Linotype" w:hAnsi="Palatino Linotype" w:cs="Tahoma"/>
          <w:b/>
          <w:sz w:val="22"/>
          <w:szCs w:val="22"/>
        </w:rPr>
        <w:t xml:space="preserve">Informe justificado del Sujeto Obligado. </w:t>
      </w:r>
      <w:r w:rsidR="00BE4843" w:rsidRPr="00AD50F9">
        <w:rPr>
          <w:rFonts w:ascii="Palatino Linotype" w:hAnsi="Palatino Linotype" w:cs="Tahoma"/>
          <w:sz w:val="22"/>
          <w:szCs w:val="22"/>
        </w:rPr>
        <w:t xml:space="preserve">El </w:t>
      </w:r>
      <w:r w:rsidR="004C28E4">
        <w:rPr>
          <w:rFonts w:ascii="Palatino Linotype" w:hAnsi="Palatino Linotype" w:cs="Tahoma"/>
          <w:sz w:val="22"/>
          <w:szCs w:val="22"/>
        </w:rPr>
        <w:t>dos de agosto</w:t>
      </w:r>
      <w:r w:rsidR="0030032A" w:rsidRPr="00AD50F9">
        <w:rPr>
          <w:rFonts w:ascii="Palatino Linotype" w:hAnsi="Palatino Linotype" w:cs="Tahoma"/>
          <w:sz w:val="22"/>
          <w:szCs w:val="22"/>
        </w:rPr>
        <w:t xml:space="preserve"> de dos mil diecinueve</w:t>
      </w:r>
      <w:r w:rsidR="003D5FF4" w:rsidRPr="00AD50F9">
        <w:rPr>
          <w:rFonts w:ascii="Palatino Linotype" w:hAnsi="Palatino Linotype" w:cs="Tahoma"/>
          <w:sz w:val="22"/>
          <w:szCs w:val="22"/>
        </w:rPr>
        <w:t xml:space="preserve">, </w:t>
      </w:r>
      <w:r w:rsidR="003D5FF4" w:rsidRPr="00AD50F9">
        <w:rPr>
          <w:rFonts w:ascii="Palatino Linotype" w:hAnsi="Palatino Linotype" w:cs="Tahoma"/>
          <w:sz w:val="22"/>
          <w:szCs w:val="22"/>
          <w:lang w:val="es-ES_tradnl"/>
        </w:rPr>
        <w:t xml:space="preserve">se recibió a través del </w:t>
      </w:r>
      <w:r w:rsidR="003D5FF4" w:rsidRPr="00AD50F9">
        <w:rPr>
          <w:rFonts w:ascii="Palatino Linotype" w:hAnsi="Palatino Linotype" w:cs="Tahoma"/>
          <w:sz w:val="22"/>
          <w:szCs w:val="22"/>
        </w:rPr>
        <w:t>Sistema de Acceso a la Información Mexiquense</w:t>
      </w:r>
      <w:r w:rsidR="003D5FF4" w:rsidRPr="00AD50F9">
        <w:rPr>
          <w:rFonts w:ascii="Palatino Linotype" w:hAnsi="Palatino Linotype" w:cs="Tahoma"/>
          <w:sz w:val="22"/>
          <w:szCs w:val="22"/>
          <w:lang w:val="es-ES_tradnl"/>
        </w:rPr>
        <w:t xml:space="preserve">, </w:t>
      </w:r>
      <w:r w:rsidR="004C28E4">
        <w:rPr>
          <w:rFonts w:ascii="Palatino Linotype" w:hAnsi="Palatino Linotype" w:cs="Tahoma"/>
          <w:bCs/>
          <w:iCs/>
          <w:sz w:val="22"/>
          <w:szCs w:val="22"/>
        </w:rPr>
        <w:t>el Informe J</w:t>
      </w:r>
      <w:r w:rsidR="003D5FF4" w:rsidRPr="00AD50F9">
        <w:rPr>
          <w:rFonts w:ascii="Palatino Linotype" w:hAnsi="Palatino Linotype" w:cs="Tahoma"/>
          <w:bCs/>
          <w:iCs/>
          <w:sz w:val="22"/>
          <w:szCs w:val="22"/>
        </w:rPr>
        <w:t>ustificado</w:t>
      </w:r>
      <w:r w:rsidR="00776811" w:rsidRPr="00AD50F9">
        <w:rPr>
          <w:rFonts w:ascii="Palatino Linotype" w:hAnsi="Palatino Linotype" w:cs="Tahoma"/>
          <w:bCs/>
          <w:iCs/>
          <w:sz w:val="22"/>
          <w:szCs w:val="22"/>
        </w:rPr>
        <w:t xml:space="preserve"> </w:t>
      </w:r>
      <w:r w:rsidR="00D933F2">
        <w:rPr>
          <w:rFonts w:ascii="Palatino Linotype" w:hAnsi="Palatino Linotype" w:cs="Tahoma"/>
          <w:bCs/>
          <w:iCs/>
          <w:sz w:val="22"/>
          <w:szCs w:val="22"/>
        </w:rPr>
        <w:t>sin número</w:t>
      </w:r>
      <w:r w:rsidR="00776811" w:rsidRPr="00AD50F9">
        <w:rPr>
          <w:rFonts w:ascii="Palatino Linotype" w:hAnsi="Palatino Linotype" w:cs="Tahoma"/>
          <w:bCs/>
          <w:iCs/>
          <w:sz w:val="22"/>
          <w:szCs w:val="22"/>
        </w:rPr>
        <w:t>,</w:t>
      </w:r>
      <w:r w:rsidR="00D933F2">
        <w:rPr>
          <w:rFonts w:ascii="Palatino Linotype" w:hAnsi="Palatino Linotype" w:cs="Tahoma"/>
          <w:bCs/>
          <w:iCs/>
          <w:sz w:val="22"/>
          <w:szCs w:val="22"/>
        </w:rPr>
        <w:t xml:space="preserve"> de la misma fecha de recepción</w:t>
      </w:r>
      <w:r w:rsidR="006D56C2">
        <w:rPr>
          <w:rFonts w:ascii="Palatino Linotype" w:hAnsi="Palatino Linotype" w:cs="Tahoma"/>
          <w:bCs/>
          <w:iCs/>
          <w:sz w:val="22"/>
          <w:szCs w:val="22"/>
        </w:rPr>
        <w:t>,</w:t>
      </w:r>
      <w:r w:rsidR="00776811" w:rsidRPr="00AD50F9">
        <w:rPr>
          <w:rFonts w:ascii="Palatino Linotype" w:hAnsi="Palatino Linotype" w:cs="Tahoma"/>
          <w:bCs/>
          <w:iCs/>
          <w:sz w:val="22"/>
          <w:szCs w:val="22"/>
        </w:rPr>
        <w:t xml:space="preserve"> suscrito por </w:t>
      </w:r>
      <w:r w:rsidR="004C28E4">
        <w:rPr>
          <w:rFonts w:ascii="Palatino Linotype" w:hAnsi="Palatino Linotype" w:cs="Tahoma"/>
          <w:bCs/>
          <w:iCs/>
          <w:sz w:val="22"/>
          <w:szCs w:val="22"/>
        </w:rPr>
        <w:t>el Responsable</w:t>
      </w:r>
      <w:r w:rsidR="00D933F2">
        <w:rPr>
          <w:rFonts w:ascii="Palatino Linotype" w:hAnsi="Palatino Linotype" w:cs="Tahoma"/>
          <w:bCs/>
          <w:iCs/>
          <w:sz w:val="22"/>
          <w:szCs w:val="22"/>
        </w:rPr>
        <w:t xml:space="preserve"> de la Unidad de Transparencia </w:t>
      </w:r>
      <w:r w:rsidR="003D5FF4" w:rsidRPr="00AD50F9">
        <w:rPr>
          <w:rFonts w:ascii="Palatino Linotype" w:hAnsi="Palatino Linotype" w:cs="Tahoma"/>
          <w:bCs/>
          <w:iCs/>
          <w:sz w:val="22"/>
          <w:szCs w:val="22"/>
        </w:rPr>
        <w:t>de</w:t>
      </w:r>
      <w:r w:rsidR="006B5EAD">
        <w:rPr>
          <w:rFonts w:ascii="Palatino Linotype" w:hAnsi="Palatino Linotype" w:cs="Tahoma"/>
          <w:bCs/>
          <w:iCs/>
          <w:sz w:val="22"/>
          <w:szCs w:val="22"/>
        </w:rPr>
        <w:t xml:space="preserve"> </w:t>
      </w:r>
      <w:r w:rsidR="003D5FF4" w:rsidRPr="00AD50F9">
        <w:rPr>
          <w:rFonts w:ascii="Palatino Linotype" w:hAnsi="Palatino Linotype" w:cs="Tahoma"/>
          <w:bCs/>
          <w:iCs/>
          <w:sz w:val="22"/>
          <w:szCs w:val="22"/>
        </w:rPr>
        <w:t>l</w:t>
      </w:r>
      <w:r w:rsidR="006B5EAD">
        <w:rPr>
          <w:rFonts w:ascii="Palatino Linotype" w:hAnsi="Palatino Linotype" w:cs="Tahoma"/>
          <w:bCs/>
          <w:iCs/>
          <w:sz w:val="22"/>
          <w:szCs w:val="22"/>
        </w:rPr>
        <w:t>a</w:t>
      </w:r>
      <w:r w:rsidR="003D5FF4" w:rsidRPr="00AD50F9">
        <w:rPr>
          <w:rFonts w:ascii="Palatino Linotype" w:hAnsi="Palatino Linotype" w:cs="Tahoma"/>
          <w:bCs/>
          <w:iCs/>
          <w:sz w:val="22"/>
          <w:szCs w:val="22"/>
        </w:rPr>
        <w:t xml:space="preserve"> </w:t>
      </w:r>
      <w:r w:rsidR="00CF7003">
        <w:rPr>
          <w:rFonts w:ascii="Palatino Linotype" w:hAnsi="Palatino Linotype" w:cs="Tahoma"/>
          <w:bCs/>
          <w:iCs/>
          <w:sz w:val="22"/>
          <w:szCs w:val="22"/>
        </w:rPr>
        <w:t>Secretaría de Desarrollo Urbano y Metropolitano</w:t>
      </w:r>
      <w:r w:rsidR="00776811" w:rsidRPr="00AD50F9">
        <w:rPr>
          <w:rFonts w:ascii="Palatino Linotype" w:hAnsi="Palatino Linotype" w:cs="Tahoma"/>
          <w:bCs/>
          <w:iCs/>
          <w:sz w:val="22"/>
          <w:szCs w:val="22"/>
        </w:rPr>
        <w:t xml:space="preserve"> y dirigido al Comisionado Ponente</w:t>
      </w:r>
      <w:r w:rsidR="003D5FF4" w:rsidRPr="00AD50F9">
        <w:rPr>
          <w:rFonts w:ascii="Palatino Linotype" w:hAnsi="Palatino Linotype" w:cs="Tahoma"/>
          <w:sz w:val="22"/>
          <w:szCs w:val="22"/>
        </w:rPr>
        <w:t>, que en su parte medular menciona lo siguiente:</w:t>
      </w:r>
    </w:p>
    <w:p w14:paraId="0AC76B61" w14:textId="77777777" w:rsidR="00175CEB" w:rsidRPr="00AD50F9" w:rsidRDefault="00175CEB" w:rsidP="000A4DC8">
      <w:pPr>
        <w:spacing w:line="360" w:lineRule="auto"/>
        <w:jc w:val="both"/>
        <w:rPr>
          <w:rFonts w:ascii="Palatino Linotype" w:hAnsi="Palatino Linotype" w:cs="Tahoma"/>
          <w:sz w:val="22"/>
          <w:szCs w:val="22"/>
        </w:rPr>
      </w:pPr>
    </w:p>
    <w:p w14:paraId="1F6F0F21" w14:textId="77777777" w:rsidR="003D5FF4" w:rsidRDefault="003D5FF4" w:rsidP="000A4DC8">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0BD3CC75" w14:textId="0128D7C1" w:rsidR="00083A00" w:rsidRPr="00311C33" w:rsidRDefault="00083A00" w:rsidP="00083A00">
      <w:pPr>
        <w:spacing w:line="360" w:lineRule="auto"/>
        <w:ind w:left="567" w:right="567"/>
        <w:jc w:val="both"/>
        <w:rPr>
          <w:rFonts w:ascii="Palatino Linotype" w:hAnsi="Palatino Linotype" w:cs="Tahoma"/>
          <w:i/>
        </w:rPr>
      </w:pPr>
      <w:r w:rsidRPr="00083A00">
        <w:rPr>
          <w:rFonts w:ascii="Palatino Linotype" w:hAnsi="Palatino Linotype" w:cs="Tahoma"/>
          <w:i/>
        </w:rPr>
        <w:t>6.- Mediante oficio el Servidor Público Habilitado de la Dirección General de Operación Urbana, hace del</w:t>
      </w:r>
      <w:r>
        <w:rPr>
          <w:rFonts w:ascii="Palatino Linotype" w:hAnsi="Palatino Linotype" w:cs="Tahoma"/>
          <w:i/>
        </w:rPr>
        <w:t xml:space="preserve"> </w:t>
      </w:r>
      <w:r w:rsidRPr="00083A00">
        <w:rPr>
          <w:rFonts w:ascii="Palatino Linotype" w:hAnsi="Palatino Linotype" w:cs="Tahoma"/>
          <w:i/>
        </w:rPr>
        <w:t>conocimiento a esta Unidad de Transparencia, lo siguiente:</w:t>
      </w:r>
    </w:p>
    <w:p w14:paraId="10CBBF7E" w14:textId="77777777" w:rsidR="00083A00" w:rsidRPr="00083A00" w:rsidRDefault="00083A00" w:rsidP="00083A00">
      <w:pPr>
        <w:spacing w:line="360" w:lineRule="auto"/>
        <w:ind w:left="794" w:right="794"/>
        <w:jc w:val="both"/>
        <w:rPr>
          <w:rFonts w:ascii="Palatino Linotype" w:hAnsi="Palatino Linotype" w:cs="Tahoma"/>
          <w:b/>
          <w:bCs/>
          <w:i/>
        </w:rPr>
      </w:pPr>
      <w:r w:rsidRPr="00083A00">
        <w:rPr>
          <w:rFonts w:ascii="Palatino Linotype" w:hAnsi="Palatino Linotype" w:cs="Tahoma"/>
          <w:b/>
          <w:bCs/>
          <w:i/>
        </w:rPr>
        <w:t>INFORME JUSTIFICADO:</w:t>
      </w:r>
    </w:p>
    <w:p w14:paraId="563E0F81" w14:textId="3D515775" w:rsidR="00083A00" w:rsidRDefault="00083A00" w:rsidP="00083A00">
      <w:pPr>
        <w:spacing w:line="360" w:lineRule="auto"/>
        <w:ind w:left="794" w:right="794"/>
        <w:jc w:val="both"/>
        <w:rPr>
          <w:rFonts w:ascii="Palatino Linotype" w:hAnsi="Palatino Linotype" w:cs="Tahoma"/>
          <w:i/>
        </w:rPr>
      </w:pPr>
      <w:r w:rsidRPr="00083A00">
        <w:rPr>
          <w:rFonts w:ascii="Palatino Linotype" w:hAnsi="Palatino Linotype" w:cs="Tahoma"/>
          <w:i/>
        </w:rPr>
        <w:t>Se solicita, tener los siguientes argumentos de hecho y derecho que a continuación se detallan,</w:t>
      </w:r>
      <w:r>
        <w:rPr>
          <w:rFonts w:ascii="Palatino Linotype" w:hAnsi="Palatino Linotype" w:cs="Tahoma"/>
          <w:i/>
        </w:rPr>
        <w:t xml:space="preserve"> </w:t>
      </w:r>
      <w:r w:rsidRPr="00083A00">
        <w:rPr>
          <w:rFonts w:ascii="Palatino Linotype" w:hAnsi="Palatino Linotype" w:cs="Tahoma"/>
          <w:i/>
        </w:rPr>
        <w:t xml:space="preserve">como informe justificado de parte del presente Sujeto Obligado, respecto de la inconformidad </w:t>
      </w:r>
      <w:r w:rsidRPr="00083A00">
        <w:rPr>
          <w:rFonts w:ascii="Palatino Linotype" w:hAnsi="Palatino Linotype" w:cs="Tahoma"/>
          <w:i/>
        </w:rPr>
        <w:lastRenderedPageBreak/>
        <w:t>a la</w:t>
      </w:r>
      <w:r>
        <w:rPr>
          <w:rFonts w:ascii="Palatino Linotype" w:hAnsi="Palatino Linotype" w:cs="Tahoma"/>
          <w:i/>
        </w:rPr>
        <w:t xml:space="preserve"> </w:t>
      </w:r>
      <w:r w:rsidRPr="00083A00">
        <w:rPr>
          <w:rFonts w:ascii="Palatino Linotype" w:hAnsi="Palatino Linotype" w:cs="Tahoma"/>
          <w:i/>
        </w:rPr>
        <w:t>respuesta de la solicitud de información pública con número de folio 000140/SEDUM/IP/2019;</w:t>
      </w:r>
      <w:r>
        <w:rPr>
          <w:rFonts w:ascii="Palatino Linotype" w:hAnsi="Palatino Linotype" w:cs="Tahoma"/>
          <w:i/>
        </w:rPr>
        <w:t xml:space="preserve"> </w:t>
      </w:r>
      <w:r w:rsidRPr="00083A00">
        <w:rPr>
          <w:rFonts w:ascii="Palatino Linotype" w:hAnsi="Palatino Linotype" w:cs="Tahoma"/>
          <w:i/>
        </w:rPr>
        <w:t>contestando el supuesto agravio cometido en contra de la solicitante, al tenor siguiente:</w:t>
      </w:r>
    </w:p>
    <w:p w14:paraId="7494E8E2" w14:textId="77777777" w:rsidR="00083A00" w:rsidRPr="00083A00" w:rsidRDefault="00083A00" w:rsidP="00083A00">
      <w:pPr>
        <w:spacing w:line="360" w:lineRule="auto"/>
        <w:ind w:left="794" w:right="794"/>
        <w:jc w:val="both"/>
        <w:rPr>
          <w:rFonts w:ascii="Palatino Linotype" w:hAnsi="Palatino Linotype" w:cs="Tahoma"/>
          <w:i/>
        </w:rPr>
      </w:pPr>
    </w:p>
    <w:p w14:paraId="16E9CAC7" w14:textId="65F35013" w:rsidR="00083A00" w:rsidRDefault="00083A00" w:rsidP="00083A00">
      <w:pPr>
        <w:spacing w:line="360" w:lineRule="auto"/>
        <w:ind w:left="794" w:right="794"/>
        <w:jc w:val="both"/>
        <w:rPr>
          <w:rFonts w:ascii="Palatino Linotype" w:hAnsi="Palatino Linotype" w:cs="Tahoma"/>
          <w:i/>
        </w:rPr>
      </w:pPr>
      <w:r w:rsidRPr="00083A00">
        <w:rPr>
          <w:rFonts w:ascii="Palatino Linotype" w:hAnsi="Palatino Linotype" w:cs="Tahoma"/>
          <w:i/>
        </w:rPr>
        <w:t>En primer término es de señalar con respecto al pronunciamiento del solicitante que dentro de la</w:t>
      </w:r>
      <w:r>
        <w:rPr>
          <w:rFonts w:ascii="Palatino Linotype" w:hAnsi="Palatino Linotype" w:cs="Tahoma"/>
          <w:i/>
        </w:rPr>
        <w:t xml:space="preserve"> </w:t>
      </w:r>
      <w:r w:rsidRPr="00083A00">
        <w:rPr>
          <w:rFonts w:ascii="Palatino Linotype" w:hAnsi="Palatino Linotype" w:cs="Tahoma"/>
          <w:i/>
        </w:rPr>
        <w:t>plataforma lnfoem/Saimex de solicitud de información, no se encuentra dada de alta a la Comisión</w:t>
      </w:r>
      <w:r>
        <w:rPr>
          <w:rFonts w:ascii="Palatino Linotype" w:hAnsi="Palatino Linotype" w:cs="Tahoma"/>
          <w:i/>
        </w:rPr>
        <w:t xml:space="preserve"> </w:t>
      </w:r>
      <w:r w:rsidRPr="00083A00">
        <w:rPr>
          <w:rFonts w:ascii="Palatino Linotype" w:hAnsi="Palatino Linotype" w:cs="Tahoma"/>
          <w:i/>
        </w:rPr>
        <w:t>de Factibilidad del Estado de México, y derivado de ello el solicitante refiere que le causa agravio</w:t>
      </w:r>
      <w:r>
        <w:rPr>
          <w:rFonts w:ascii="Palatino Linotype" w:hAnsi="Palatino Linotype" w:cs="Tahoma"/>
          <w:i/>
        </w:rPr>
        <w:t xml:space="preserve"> </w:t>
      </w:r>
      <w:r w:rsidRPr="00083A00">
        <w:rPr>
          <w:rFonts w:ascii="Palatino Linotype" w:hAnsi="Palatino Linotype" w:cs="Tahoma"/>
          <w:i/>
        </w:rPr>
        <w:t>en virtud de que se coarta su derecho de petición; al respecto es de señalar que dicha situación no</w:t>
      </w:r>
      <w:r>
        <w:rPr>
          <w:rFonts w:ascii="Palatino Linotype" w:hAnsi="Palatino Linotype" w:cs="Tahoma"/>
          <w:i/>
        </w:rPr>
        <w:t xml:space="preserve"> </w:t>
      </w:r>
      <w:r w:rsidRPr="00083A00">
        <w:rPr>
          <w:rFonts w:ascii="Palatino Linotype" w:hAnsi="Palatino Linotype" w:cs="Tahoma"/>
          <w:i/>
        </w:rPr>
        <w:t>es una causa imputable al sujeto obligado y que en razón del inicio de funciones de la Comisión de</w:t>
      </w:r>
      <w:r>
        <w:rPr>
          <w:rFonts w:ascii="Palatino Linotype" w:hAnsi="Palatino Linotype" w:cs="Tahoma"/>
          <w:i/>
        </w:rPr>
        <w:t xml:space="preserve"> </w:t>
      </w:r>
      <w:r w:rsidRPr="00083A00">
        <w:rPr>
          <w:rFonts w:ascii="Palatino Linotype" w:hAnsi="Palatino Linotype" w:cs="Tahoma"/>
          <w:i/>
        </w:rPr>
        <w:t>Factibilidad del Estado de México, en breve el Instituto de Transparencia, Acceso a la Información</w:t>
      </w:r>
      <w:r>
        <w:rPr>
          <w:rFonts w:ascii="Palatino Linotype" w:hAnsi="Palatino Linotype" w:cs="Tahoma"/>
          <w:i/>
        </w:rPr>
        <w:t xml:space="preserve"> </w:t>
      </w:r>
      <w:r w:rsidRPr="00083A00">
        <w:rPr>
          <w:rFonts w:ascii="Palatino Linotype" w:hAnsi="Palatino Linotype" w:cs="Tahoma"/>
          <w:i/>
        </w:rPr>
        <w:t>Pública y Protección de Datos Personales del Estado de México actualizara la plataforma</w:t>
      </w:r>
      <w:r>
        <w:rPr>
          <w:rFonts w:ascii="Palatino Linotype" w:hAnsi="Palatino Linotype" w:cs="Tahoma"/>
          <w:i/>
        </w:rPr>
        <w:t xml:space="preserve"> </w:t>
      </w:r>
      <w:r w:rsidRPr="00083A00">
        <w:rPr>
          <w:rFonts w:ascii="Palatino Linotype" w:hAnsi="Palatino Linotype" w:cs="Tahoma"/>
          <w:i/>
        </w:rPr>
        <w:t>lnfoem/Saimex, para la solicitud de información a dicho Órgano Desconcentrado.</w:t>
      </w:r>
    </w:p>
    <w:p w14:paraId="4253E582" w14:textId="77777777" w:rsidR="00083A00" w:rsidRDefault="00083A00" w:rsidP="00083A00">
      <w:pPr>
        <w:spacing w:line="360" w:lineRule="auto"/>
        <w:ind w:left="794" w:right="794"/>
        <w:jc w:val="both"/>
        <w:rPr>
          <w:rFonts w:ascii="Palatino Linotype" w:hAnsi="Palatino Linotype" w:cs="Tahoma"/>
          <w:i/>
        </w:rPr>
      </w:pPr>
    </w:p>
    <w:p w14:paraId="02B31A31" w14:textId="1EA07AAC" w:rsidR="00083A00" w:rsidRPr="00083A00" w:rsidRDefault="00083A00" w:rsidP="00083A00">
      <w:pPr>
        <w:spacing w:line="360" w:lineRule="auto"/>
        <w:ind w:left="794" w:right="794"/>
        <w:jc w:val="both"/>
        <w:rPr>
          <w:rFonts w:ascii="Palatino Linotype" w:hAnsi="Palatino Linotype" w:cs="Tahoma"/>
          <w:i/>
        </w:rPr>
      </w:pPr>
      <w:r w:rsidRPr="00083A00">
        <w:rPr>
          <w:rFonts w:ascii="Palatino Linotype" w:hAnsi="Palatino Linotype" w:cs="Tahoma"/>
          <w:i/>
        </w:rPr>
        <w:t>En el mismo rubro, el peticionario señala que continua como responsable en el Registro Estatal de</w:t>
      </w:r>
      <w:r>
        <w:rPr>
          <w:rFonts w:ascii="Palatino Linotype" w:hAnsi="Palatino Linotype" w:cs="Tahoma"/>
          <w:i/>
        </w:rPr>
        <w:t xml:space="preserve"> </w:t>
      </w:r>
      <w:r w:rsidRPr="00083A00">
        <w:rPr>
          <w:rFonts w:ascii="Palatino Linotype" w:hAnsi="Palatino Linotype" w:cs="Tahoma"/>
          <w:i/>
        </w:rPr>
        <w:t>Trámites y Servicios para la emisión del Dictamen Único de Factibilidad, la Secretaría de</w:t>
      </w:r>
    </w:p>
    <w:p w14:paraId="238D3744" w14:textId="2D56B532" w:rsidR="00083A00" w:rsidRDefault="00083A00" w:rsidP="00083A00">
      <w:pPr>
        <w:spacing w:line="360" w:lineRule="auto"/>
        <w:ind w:left="794" w:right="794"/>
        <w:jc w:val="both"/>
        <w:rPr>
          <w:rFonts w:ascii="Palatino Linotype" w:hAnsi="Palatino Linotype" w:cs="Tahoma"/>
          <w:i/>
        </w:rPr>
      </w:pPr>
      <w:r w:rsidRPr="00083A00">
        <w:rPr>
          <w:rFonts w:ascii="Palatino Linotype" w:hAnsi="Palatino Linotype" w:cs="Tahoma"/>
          <w:i/>
        </w:rPr>
        <w:t>Desarrollo Urbano y Metropolitano; por lo que en este sentido me permito manifestar que</w:t>
      </w:r>
      <w:r>
        <w:rPr>
          <w:rFonts w:ascii="Palatino Linotype" w:hAnsi="Palatino Linotype" w:cs="Tahoma"/>
          <w:i/>
        </w:rPr>
        <w:t xml:space="preserve"> </w:t>
      </w:r>
      <w:r w:rsidRPr="00083A00">
        <w:rPr>
          <w:rFonts w:ascii="Palatino Linotype" w:hAnsi="Palatino Linotype" w:cs="Tahoma"/>
          <w:i/>
        </w:rPr>
        <w:t>actualmente se está siguiendo el proceso ante la Comisión Estatal de Mejora Regulatoria para dar</w:t>
      </w:r>
      <w:r>
        <w:rPr>
          <w:rFonts w:ascii="Palatino Linotype" w:hAnsi="Palatino Linotype" w:cs="Tahoma"/>
          <w:i/>
        </w:rPr>
        <w:t xml:space="preserve"> </w:t>
      </w:r>
      <w:r w:rsidRPr="00083A00">
        <w:rPr>
          <w:rFonts w:ascii="Palatino Linotype" w:hAnsi="Palatino Linotype" w:cs="Tahoma"/>
          <w:i/>
        </w:rPr>
        <w:t>de baja el trámite referente a la emisión del Dictamen Único de Factibilidad.</w:t>
      </w:r>
    </w:p>
    <w:p w14:paraId="7272019F" w14:textId="77777777" w:rsidR="00083A00" w:rsidRPr="00083A00" w:rsidRDefault="00083A00" w:rsidP="00083A00">
      <w:pPr>
        <w:spacing w:line="360" w:lineRule="auto"/>
        <w:ind w:left="794" w:right="794"/>
        <w:jc w:val="both"/>
        <w:rPr>
          <w:rFonts w:ascii="Palatino Linotype" w:hAnsi="Palatino Linotype" w:cs="Tahoma"/>
          <w:i/>
        </w:rPr>
      </w:pPr>
    </w:p>
    <w:p w14:paraId="4439D804" w14:textId="62C4C7E4" w:rsidR="00083A00" w:rsidRDefault="00083A00" w:rsidP="00083A00">
      <w:pPr>
        <w:spacing w:line="360" w:lineRule="auto"/>
        <w:ind w:left="794" w:right="794"/>
        <w:jc w:val="both"/>
        <w:rPr>
          <w:rFonts w:ascii="Palatino Linotype" w:hAnsi="Palatino Linotype" w:cs="Tahoma"/>
          <w:i/>
        </w:rPr>
      </w:pPr>
      <w:r w:rsidRPr="00083A00">
        <w:rPr>
          <w:rFonts w:ascii="Palatino Linotype" w:hAnsi="Palatino Linotype" w:cs="Tahoma"/>
          <w:i/>
        </w:rPr>
        <w:t>Para sustentar lo anterior, se hace de su conocimiento que mediante Acuerdo tomado en la</w:t>
      </w:r>
      <w:r>
        <w:rPr>
          <w:rFonts w:ascii="Palatino Linotype" w:hAnsi="Palatino Linotype" w:cs="Tahoma"/>
          <w:i/>
        </w:rPr>
        <w:t xml:space="preserve"> </w:t>
      </w:r>
      <w:r w:rsidRPr="00083A00">
        <w:rPr>
          <w:rFonts w:ascii="Palatino Linotype" w:hAnsi="Palatino Linotype" w:cs="Tahoma"/>
          <w:i/>
        </w:rPr>
        <w:t>Vigésima Novena Sesión Ordinaria del Comité Interno de Mejora Regulatoria de la Secretaria de</w:t>
      </w:r>
      <w:r>
        <w:rPr>
          <w:rFonts w:ascii="Palatino Linotype" w:hAnsi="Palatino Linotype" w:cs="Tahoma"/>
          <w:i/>
        </w:rPr>
        <w:t xml:space="preserve"> </w:t>
      </w:r>
      <w:r w:rsidRPr="00083A00">
        <w:rPr>
          <w:rFonts w:ascii="Palatino Linotype" w:hAnsi="Palatino Linotype" w:cs="Tahoma"/>
          <w:i/>
        </w:rPr>
        <w:t>Desarrollo Urbano y Metropolitano de fecha veintiocho de junio del año dos mil diecinueve, se</w:t>
      </w:r>
      <w:r>
        <w:rPr>
          <w:rFonts w:ascii="Palatino Linotype" w:hAnsi="Palatino Linotype" w:cs="Tahoma"/>
          <w:i/>
        </w:rPr>
        <w:t xml:space="preserve"> </w:t>
      </w:r>
      <w:r w:rsidRPr="00083A00">
        <w:rPr>
          <w:rFonts w:ascii="Palatino Linotype" w:hAnsi="Palatino Linotype" w:cs="Tahoma"/>
          <w:i/>
        </w:rPr>
        <w:t>tomó el acuerdo SEDUYM/CIMR/S0/029/AG/002/2019 que a la letra señala:</w:t>
      </w:r>
    </w:p>
    <w:p w14:paraId="32354F4B" w14:textId="77777777" w:rsidR="00083A00" w:rsidRPr="00083A00" w:rsidRDefault="00083A00" w:rsidP="00083A00">
      <w:pPr>
        <w:spacing w:line="360" w:lineRule="auto"/>
        <w:ind w:left="794" w:right="794"/>
        <w:jc w:val="both"/>
        <w:rPr>
          <w:rFonts w:ascii="Palatino Linotype" w:hAnsi="Palatino Linotype" w:cs="Tahoma"/>
          <w:i/>
        </w:rPr>
      </w:pPr>
    </w:p>
    <w:p w14:paraId="279888B1" w14:textId="65F1B9DD" w:rsidR="00083A00" w:rsidRPr="00083A00" w:rsidRDefault="00083A00" w:rsidP="00083A00">
      <w:pPr>
        <w:spacing w:line="360" w:lineRule="auto"/>
        <w:ind w:left="794" w:right="794"/>
        <w:jc w:val="both"/>
        <w:rPr>
          <w:rFonts w:ascii="Palatino Linotype" w:hAnsi="Palatino Linotype" w:cs="Tahoma"/>
          <w:b/>
          <w:i/>
          <w:iCs/>
        </w:rPr>
      </w:pPr>
      <w:r w:rsidRPr="00083A00">
        <w:rPr>
          <w:rFonts w:ascii="Palatino Linotype" w:hAnsi="Palatino Linotype" w:cs="Tahoma"/>
          <w:b/>
          <w:i/>
          <w:iCs/>
        </w:rPr>
        <w:t>‘Dar de baja el trámite denominado Dictamen Único de Factibilidad’, ‘DUF’ ante la Dirección General de la Comisión Estatal de Mejora Regulatoria en el registro Estatal de Trámites y Servicios (RETYS) Sistema de consulta en el Portal Ciudadano del Gobierno del Estado de México.</w:t>
      </w:r>
    </w:p>
    <w:p w14:paraId="6DB42DE0" w14:textId="20016DCE" w:rsidR="00083A00" w:rsidRDefault="00083A00" w:rsidP="00083A00">
      <w:pPr>
        <w:spacing w:line="360" w:lineRule="auto"/>
        <w:ind w:left="794" w:right="794"/>
        <w:jc w:val="both"/>
        <w:rPr>
          <w:rFonts w:ascii="Palatino Linotype" w:hAnsi="Palatino Linotype" w:cs="Tahoma"/>
          <w:i/>
        </w:rPr>
      </w:pPr>
      <w:r w:rsidRPr="00083A00">
        <w:rPr>
          <w:rFonts w:ascii="Palatino Linotype" w:hAnsi="Palatino Linotype" w:cs="Tahoma"/>
          <w:i/>
        </w:rPr>
        <w:lastRenderedPageBreak/>
        <w:t>Puntualizando, se tiene que seguir el procedimiento establecido en la Ley Para la Mejora</w:t>
      </w:r>
      <w:r>
        <w:rPr>
          <w:rFonts w:ascii="Palatino Linotype" w:hAnsi="Palatino Linotype" w:cs="Tahoma"/>
          <w:i/>
        </w:rPr>
        <w:t xml:space="preserve"> </w:t>
      </w:r>
      <w:r w:rsidRPr="00083A00">
        <w:rPr>
          <w:rFonts w:ascii="Palatino Linotype" w:hAnsi="Palatino Linotype" w:cs="Tahoma"/>
          <w:i/>
        </w:rPr>
        <w:t>Regulatoria del Estado de México y Municipios, para dar de baja el trámite, y de igual forma se</w:t>
      </w:r>
      <w:r>
        <w:rPr>
          <w:rFonts w:ascii="Palatino Linotype" w:hAnsi="Palatino Linotype" w:cs="Tahoma"/>
          <w:i/>
        </w:rPr>
        <w:t xml:space="preserve"> </w:t>
      </w:r>
      <w:r w:rsidRPr="00083A00">
        <w:rPr>
          <w:rFonts w:ascii="Palatino Linotype" w:hAnsi="Palatino Linotype" w:cs="Tahoma"/>
          <w:i/>
        </w:rPr>
        <w:t>tendrá que hacer lo conducente para dar de alta dicho trámite para la dependencia que hoy</w:t>
      </w:r>
      <w:r>
        <w:rPr>
          <w:rFonts w:ascii="Palatino Linotype" w:hAnsi="Palatino Linotype" w:cs="Tahoma"/>
          <w:i/>
        </w:rPr>
        <w:t xml:space="preserve"> </w:t>
      </w:r>
      <w:r w:rsidRPr="00083A00">
        <w:rPr>
          <w:rFonts w:ascii="Palatino Linotype" w:hAnsi="Palatino Linotype" w:cs="Tahoma"/>
          <w:i/>
        </w:rPr>
        <w:t>detenta las facultdes para la emisión del Dictamen Único de Factibilidad, y en esos términos, la</w:t>
      </w:r>
      <w:r>
        <w:rPr>
          <w:rFonts w:ascii="Palatino Linotype" w:hAnsi="Palatino Linotype" w:cs="Tahoma"/>
          <w:i/>
        </w:rPr>
        <w:t xml:space="preserve"> </w:t>
      </w:r>
      <w:r w:rsidRPr="00083A00">
        <w:rPr>
          <w:rFonts w:ascii="Palatino Linotype" w:hAnsi="Palatino Linotype" w:cs="Tahoma"/>
          <w:i/>
        </w:rPr>
        <w:t>Secretaría de Desarrollo Urbano y Metropolitano se encuentra realizando las gestiones necesarias</w:t>
      </w:r>
      <w:r>
        <w:rPr>
          <w:rFonts w:ascii="Palatino Linotype" w:hAnsi="Palatino Linotype" w:cs="Tahoma"/>
          <w:i/>
        </w:rPr>
        <w:t xml:space="preserve"> </w:t>
      </w:r>
      <w:r w:rsidRPr="00083A00">
        <w:rPr>
          <w:rFonts w:ascii="Palatino Linotype" w:hAnsi="Palatino Linotype" w:cs="Tahoma"/>
          <w:i/>
        </w:rPr>
        <w:t>para dar de baja dicho trámite, ya que a partir del día tres de julio del año dos mil diecinueve, ya no</w:t>
      </w:r>
      <w:r>
        <w:rPr>
          <w:rFonts w:ascii="Palatino Linotype" w:hAnsi="Palatino Linotype" w:cs="Tahoma"/>
          <w:i/>
        </w:rPr>
        <w:t xml:space="preserve"> </w:t>
      </w:r>
      <w:r w:rsidRPr="00083A00">
        <w:rPr>
          <w:rFonts w:ascii="Palatino Linotype" w:hAnsi="Palatino Linotype" w:cs="Tahoma"/>
          <w:i/>
        </w:rPr>
        <w:t>emite Dictámenes Únicos de Factibilidad.</w:t>
      </w:r>
    </w:p>
    <w:p w14:paraId="71DE2A8F" w14:textId="77777777" w:rsidR="00083A00" w:rsidRPr="00083A00" w:rsidRDefault="00083A00" w:rsidP="00083A00">
      <w:pPr>
        <w:spacing w:line="360" w:lineRule="auto"/>
        <w:ind w:left="794" w:right="794"/>
        <w:jc w:val="both"/>
        <w:rPr>
          <w:rFonts w:ascii="Palatino Linotype" w:hAnsi="Palatino Linotype" w:cs="Tahoma"/>
          <w:i/>
        </w:rPr>
      </w:pPr>
    </w:p>
    <w:p w14:paraId="1C52E366" w14:textId="07143436" w:rsidR="00083A00" w:rsidRPr="00083A00" w:rsidRDefault="00083A00" w:rsidP="00083A00">
      <w:pPr>
        <w:spacing w:line="360" w:lineRule="auto"/>
        <w:ind w:left="794" w:right="794"/>
        <w:jc w:val="both"/>
        <w:rPr>
          <w:rFonts w:ascii="Palatino Linotype" w:hAnsi="Palatino Linotype" w:cs="Tahoma"/>
          <w:i/>
        </w:rPr>
      </w:pPr>
      <w:r w:rsidRPr="00083A00">
        <w:rPr>
          <w:rFonts w:ascii="Palatino Linotype" w:hAnsi="Palatino Linotype" w:cs="Tahoma"/>
          <w:i/>
        </w:rPr>
        <w:t>Referente al agravio que señala el peticionario en relación a la negativa de dar la información, ya</w:t>
      </w:r>
      <w:r w:rsidR="008619CF">
        <w:rPr>
          <w:rFonts w:ascii="Palatino Linotype" w:hAnsi="Palatino Linotype" w:cs="Tahoma"/>
          <w:i/>
        </w:rPr>
        <w:t xml:space="preserve"> </w:t>
      </w:r>
      <w:r w:rsidRPr="00083A00">
        <w:rPr>
          <w:rFonts w:ascii="Palatino Linotype" w:hAnsi="Palatino Linotype" w:cs="Tahoma"/>
          <w:i/>
        </w:rPr>
        <w:t>que no tiene la certeza de que esté funcionando y se hayan transferido los expedientes a la</w:t>
      </w:r>
    </w:p>
    <w:p w14:paraId="56FF1EC2" w14:textId="0F196A49" w:rsidR="00083A00" w:rsidRDefault="00083A00" w:rsidP="00083A00">
      <w:pPr>
        <w:spacing w:line="360" w:lineRule="auto"/>
        <w:ind w:left="794" w:right="794"/>
        <w:jc w:val="both"/>
        <w:rPr>
          <w:rFonts w:ascii="Palatino Linotype" w:hAnsi="Palatino Linotype" w:cs="Tahoma"/>
          <w:i/>
        </w:rPr>
      </w:pPr>
      <w:r w:rsidRPr="00083A00">
        <w:rPr>
          <w:rFonts w:ascii="Palatino Linotype" w:hAnsi="Palatino Linotype" w:cs="Tahoma"/>
          <w:i/>
        </w:rPr>
        <w:t>Comisión de Factibilidad del Estado de México, me permito realizar los siguientes argumentos que</w:t>
      </w:r>
      <w:r w:rsidR="008619CF">
        <w:rPr>
          <w:rFonts w:ascii="Palatino Linotype" w:hAnsi="Palatino Linotype" w:cs="Tahoma"/>
          <w:i/>
        </w:rPr>
        <w:t xml:space="preserve"> </w:t>
      </w:r>
      <w:r w:rsidRPr="00083A00">
        <w:rPr>
          <w:rFonts w:ascii="Palatino Linotype" w:hAnsi="Palatino Linotype" w:cs="Tahoma"/>
          <w:i/>
        </w:rPr>
        <w:t>otorgaran la certeza jurídica al solicitante respecto que la actual Comisión ya cuenta con toda</w:t>
      </w:r>
      <w:r w:rsidR="008619CF">
        <w:rPr>
          <w:rFonts w:ascii="Palatino Linotype" w:hAnsi="Palatino Linotype" w:cs="Tahoma"/>
          <w:i/>
        </w:rPr>
        <w:t xml:space="preserve"> </w:t>
      </w:r>
      <w:r w:rsidRPr="00083A00">
        <w:rPr>
          <w:rFonts w:ascii="Palatino Linotype" w:hAnsi="Palatino Linotype" w:cs="Tahoma"/>
          <w:i/>
        </w:rPr>
        <w:t>información que le permite desarrollar las atribuciones y facultades que le confiere la Legislación</w:t>
      </w:r>
      <w:r w:rsidR="008619CF">
        <w:rPr>
          <w:rFonts w:ascii="Palatino Linotype" w:hAnsi="Palatino Linotype" w:cs="Tahoma"/>
          <w:i/>
        </w:rPr>
        <w:t xml:space="preserve"> </w:t>
      </w:r>
      <w:r w:rsidRPr="00083A00">
        <w:rPr>
          <w:rFonts w:ascii="Palatino Linotype" w:hAnsi="Palatino Linotype" w:cs="Tahoma"/>
          <w:i/>
        </w:rPr>
        <w:t>Estatal vigente.</w:t>
      </w:r>
    </w:p>
    <w:p w14:paraId="2A28AE30" w14:textId="77777777" w:rsidR="008619CF" w:rsidRDefault="008619CF" w:rsidP="00083A00">
      <w:pPr>
        <w:spacing w:line="360" w:lineRule="auto"/>
        <w:ind w:left="794" w:right="794"/>
        <w:jc w:val="both"/>
        <w:rPr>
          <w:rFonts w:ascii="Palatino Linotype" w:hAnsi="Palatino Linotype" w:cs="Tahoma"/>
          <w:i/>
        </w:rPr>
      </w:pPr>
    </w:p>
    <w:p w14:paraId="5162D689" w14:textId="77777777" w:rsidR="008619CF" w:rsidRPr="008619CF" w:rsidRDefault="008619CF" w:rsidP="008619CF">
      <w:pPr>
        <w:spacing w:line="360" w:lineRule="auto"/>
        <w:ind w:left="794" w:right="794"/>
        <w:jc w:val="both"/>
        <w:rPr>
          <w:rFonts w:ascii="Palatino Linotype" w:hAnsi="Palatino Linotype" w:cs="Tahoma"/>
          <w:i/>
        </w:rPr>
      </w:pPr>
      <w:r w:rsidRPr="008619CF">
        <w:rPr>
          <w:rFonts w:ascii="Palatino Linotype" w:hAnsi="Palatino Linotype" w:cs="Tahoma"/>
          <w:i/>
        </w:rPr>
        <w:t>Mediante Decreto de la H LIX Legislatura del Estado de México, se expide la Ley que crea la</w:t>
      </w:r>
    </w:p>
    <w:p w14:paraId="75AF37AF" w14:textId="4B9CCE3A" w:rsidR="008619CF" w:rsidRDefault="008619CF" w:rsidP="008619CF">
      <w:pPr>
        <w:spacing w:line="360" w:lineRule="auto"/>
        <w:ind w:left="794" w:right="794"/>
        <w:jc w:val="both"/>
        <w:rPr>
          <w:rFonts w:ascii="Palatino Linotype" w:hAnsi="Palatino Linotype" w:cs="Tahoma"/>
          <w:i/>
        </w:rPr>
      </w:pPr>
      <w:r w:rsidRPr="008619CF">
        <w:rPr>
          <w:rFonts w:ascii="Palatino Linotype" w:hAnsi="Palatino Linotype" w:cs="Tahoma"/>
          <w:i/>
        </w:rPr>
        <w:t>Comisión de Factibilidad del Estado de México, que da vida jurídica al Órgano Desconcentrado de</w:t>
      </w:r>
      <w:r>
        <w:rPr>
          <w:rFonts w:ascii="Palatino Linotype" w:hAnsi="Palatino Linotype" w:cs="Tahoma"/>
          <w:i/>
        </w:rPr>
        <w:t xml:space="preserve"> </w:t>
      </w:r>
      <w:r w:rsidRPr="008619CF">
        <w:rPr>
          <w:rFonts w:ascii="Palatino Linotype" w:hAnsi="Palatino Linotype" w:cs="Tahoma"/>
          <w:i/>
        </w:rPr>
        <w:t>la Secretaría de Justicia y Derechos Humanos con autonomía técnica y operativa en el ejercicio de</w:t>
      </w:r>
      <w:r>
        <w:rPr>
          <w:rFonts w:ascii="Palatino Linotype" w:hAnsi="Palatino Linotype" w:cs="Tahoma"/>
          <w:i/>
        </w:rPr>
        <w:t xml:space="preserve"> </w:t>
      </w:r>
      <w:r w:rsidRPr="008619CF">
        <w:rPr>
          <w:rFonts w:ascii="Palatino Linotype" w:hAnsi="Palatino Linotype" w:cs="Tahoma"/>
          <w:i/>
        </w:rPr>
        <w:t>sus atribuciones, responsable de la emisión del Dictamen Único de Factibilidad.</w:t>
      </w:r>
    </w:p>
    <w:p w14:paraId="59A0700B" w14:textId="77777777" w:rsidR="008619CF" w:rsidRDefault="008619CF" w:rsidP="008619CF">
      <w:pPr>
        <w:spacing w:line="360" w:lineRule="auto"/>
        <w:ind w:left="794" w:right="794"/>
        <w:jc w:val="both"/>
        <w:rPr>
          <w:rFonts w:ascii="Palatino Linotype" w:hAnsi="Palatino Linotype" w:cs="Tahoma"/>
          <w:i/>
        </w:rPr>
      </w:pPr>
    </w:p>
    <w:p w14:paraId="7AF74230" w14:textId="44016477" w:rsidR="008619CF" w:rsidRDefault="008619CF" w:rsidP="008619CF">
      <w:pPr>
        <w:spacing w:line="360" w:lineRule="auto"/>
        <w:ind w:left="794" w:right="794"/>
        <w:jc w:val="both"/>
        <w:rPr>
          <w:rFonts w:ascii="Palatino Linotype" w:hAnsi="Palatino Linotype" w:cs="Tahoma"/>
          <w:i/>
        </w:rPr>
      </w:pPr>
      <w:r w:rsidRPr="008619CF">
        <w:rPr>
          <w:rFonts w:ascii="Palatino Linotype" w:hAnsi="Palatino Linotype" w:cs="Tahoma"/>
          <w:i/>
        </w:rPr>
        <w:t xml:space="preserve">Así mismo, el </w:t>
      </w:r>
      <w:r w:rsidRPr="008619CF">
        <w:rPr>
          <w:rFonts w:ascii="Palatino Linotype" w:hAnsi="Palatino Linotype" w:cs="Tahoma"/>
          <w:b/>
          <w:i/>
        </w:rPr>
        <w:t>ARTICULO CUARTO TRANSITORIO</w:t>
      </w:r>
      <w:r w:rsidRPr="008619CF">
        <w:rPr>
          <w:rFonts w:ascii="Palatino Linotype" w:hAnsi="Palatino Linotype" w:cs="Tahoma"/>
          <w:i/>
        </w:rPr>
        <w:t xml:space="preserve"> del Decreto referido señala textualmente:</w:t>
      </w:r>
    </w:p>
    <w:p w14:paraId="09C76A7A" w14:textId="77777777" w:rsidR="008619CF" w:rsidRDefault="008619CF" w:rsidP="008619CF">
      <w:pPr>
        <w:spacing w:line="360" w:lineRule="auto"/>
        <w:ind w:left="794" w:right="794"/>
        <w:jc w:val="both"/>
        <w:rPr>
          <w:rFonts w:ascii="Palatino Linotype" w:hAnsi="Palatino Linotype" w:cs="Tahoma"/>
          <w:i/>
        </w:rPr>
      </w:pPr>
    </w:p>
    <w:p w14:paraId="09946307" w14:textId="48FADC2E" w:rsidR="008619CF" w:rsidRDefault="008619CF" w:rsidP="008619CF">
      <w:pPr>
        <w:spacing w:line="360" w:lineRule="auto"/>
        <w:ind w:left="794" w:right="794"/>
        <w:jc w:val="both"/>
        <w:rPr>
          <w:rFonts w:ascii="Palatino Linotype" w:hAnsi="Palatino Linotype" w:cs="Tahoma"/>
          <w:i/>
        </w:rPr>
      </w:pPr>
      <w:r>
        <w:rPr>
          <w:rFonts w:ascii="Palatino Linotype" w:hAnsi="Palatino Linotype" w:cs="Tahoma"/>
          <w:i/>
          <w:iCs/>
        </w:rPr>
        <w:t>‘</w:t>
      </w:r>
      <w:r w:rsidRPr="008619CF">
        <w:rPr>
          <w:rFonts w:ascii="Palatino Linotype" w:hAnsi="Palatino Linotype" w:cs="Tahoma"/>
          <w:i/>
          <w:iCs/>
        </w:rPr>
        <w:t xml:space="preserve">CUARTO. Los procedimientos y demás </w:t>
      </w:r>
      <w:r w:rsidRPr="008619CF">
        <w:rPr>
          <w:rFonts w:ascii="Palatino Linotype" w:hAnsi="Palatino Linotype" w:cs="Tahoma"/>
          <w:i/>
        </w:rPr>
        <w:t xml:space="preserve">actos </w:t>
      </w:r>
      <w:r w:rsidRPr="008619CF">
        <w:rPr>
          <w:rFonts w:ascii="Palatino Linotype" w:hAnsi="Palatino Linotype" w:cs="Tahoma"/>
          <w:i/>
          <w:iCs/>
        </w:rPr>
        <w:t>que se encuentren en trámite al momento de la entrada en</w:t>
      </w:r>
      <w:r>
        <w:rPr>
          <w:rFonts w:ascii="Palatino Linotype" w:hAnsi="Palatino Linotype" w:cs="Tahoma"/>
          <w:i/>
          <w:iCs/>
        </w:rPr>
        <w:t xml:space="preserve"> </w:t>
      </w:r>
      <w:r w:rsidRPr="008619CF">
        <w:rPr>
          <w:rFonts w:ascii="Palatino Linotype" w:hAnsi="Palatino Linotype" w:cs="Tahoma"/>
          <w:i/>
          <w:iCs/>
        </w:rPr>
        <w:t>vigor del presente Decreto, serán atendidos, en el ámbito de sus respectivas competencias, por la Comisión</w:t>
      </w:r>
      <w:r>
        <w:rPr>
          <w:rFonts w:ascii="Palatino Linotype" w:hAnsi="Palatino Linotype" w:cs="Tahoma"/>
          <w:i/>
          <w:iCs/>
        </w:rPr>
        <w:t xml:space="preserve"> </w:t>
      </w:r>
      <w:r w:rsidRPr="008619CF">
        <w:rPr>
          <w:rFonts w:ascii="Palatino Linotype" w:hAnsi="Palatino Linotype" w:cs="Tahoma"/>
          <w:i/>
          <w:iCs/>
        </w:rPr>
        <w:t>Estatal de Factibilidad y el Instituto de Verificación Administrativa del Estado de México, de conformidad con</w:t>
      </w:r>
      <w:r>
        <w:rPr>
          <w:rFonts w:ascii="Palatino Linotype" w:hAnsi="Palatino Linotype" w:cs="Tahoma"/>
          <w:i/>
          <w:iCs/>
        </w:rPr>
        <w:t xml:space="preserve"> </w:t>
      </w:r>
      <w:r w:rsidRPr="008619CF">
        <w:rPr>
          <w:rFonts w:ascii="Palatino Linotype" w:hAnsi="Palatino Linotype" w:cs="Tahoma"/>
          <w:i/>
          <w:iCs/>
        </w:rPr>
        <w:t xml:space="preserve">la legislación vigente al momento </w:t>
      </w:r>
      <w:r w:rsidRPr="008619CF">
        <w:rPr>
          <w:rFonts w:ascii="Palatino Linotype" w:hAnsi="Palatino Linotype" w:cs="Tahoma"/>
          <w:i/>
          <w:iCs/>
        </w:rPr>
        <w:lastRenderedPageBreak/>
        <w:t>de su presentación, hasta en tanto se encuentre en operaciones el órgano</w:t>
      </w:r>
      <w:r>
        <w:rPr>
          <w:rFonts w:ascii="Palatino Linotype" w:hAnsi="Palatino Linotype" w:cs="Tahoma"/>
          <w:i/>
          <w:iCs/>
        </w:rPr>
        <w:t xml:space="preserve"> </w:t>
      </w:r>
      <w:r w:rsidRPr="008619CF">
        <w:rPr>
          <w:rFonts w:ascii="Palatino Linotype" w:hAnsi="Palatino Linotype" w:cs="Tahoma"/>
          <w:i/>
          <w:iCs/>
        </w:rPr>
        <w:t>desconcentrado correspondiente.</w:t>
      </w:r>
    </w:p>
    <w:p w14:paraId="424C70E9" w14:textId="77777777" w:rsidR="008619CF" w:rsidRDefault="008619CF" w:rsidP="008619CF">
      <w:pPr>
        <w:spacing w:line="360" w:lineRule="auto"/>
        <w:ind w:left="794" w:right="794"/>
        <w:jc w:val="both"/>
        <w:rPr>
          <w:rFonts w:ascii="Palatino Linotype" w:hAnsi="Palatino Linotype" w:cs="Tahoma"/>
          <w:i/>
        </w:rPr>
      </w:pPr>
    </w:p>
    <w:p w14:paraId="5ADDAC7F" w14:textId="13E097F0" w:rsidR="008619CF" w:rsidRDefault="008619CF" w:rsidP="008619CF">
      <w:pPr>
        <w:spacing w:line="360" w:lineRule="auto"/>
        <w:ind w:left="794" w:right="794"/>
        <w:jc w:val="both"/>
        <w:rPr>
          <w:rFonts w:ascii="Palatino Linotype" w:hAnsi="Palatino Linotype" w:cs="Tahoma"/>
          <w:i/>
          <w:iCs/>
        </w:rPr>
      </w:pPr>
      <w:r w:rsidRPr="008619CF">
        <w:rPr>
          <w:rFonts w:ascii="Palatino Linotype" w:hAnsi="Palatino Linotype" w:cs="Tahoma"/>
          <w:i/>
          <w:iCs/>
        </w:rPr>
        <w:t xml:space="preserve">Tratándose de </w:t>
      </w:r>
      <w:r w:rsidRPr="008619CF">
        <w:rPr>
          <w:rFonts w:ascii="Palatino Linotype" w:hAnsi="Palatino Linotype" w:cs="Tahoma"/>
          <w:i/>
        </w:rPr>
        <w:t xml:space="preserve">las </w:t>
      </w:r>
      <w:r w:rsidRPr="008619CF">
        <w:rPr>
          <w:rFonts w:ascii="Palatino Linotype" w:hAnsi="Palatino Linotype" w:cs="Tahoma"/>
          <w:i/>
          <w:iCs/>
        </w:rPr>
        <w:t xml:space="preserve">solicitudes pendientes de renovación de Dictamen Único de Factibilidad, </w:t>
      </w:r>
      <w:r w:rsidRPr="008619CF">
        <w:rPr>
          <w:rFonts w:ascii="Palatino Linotype" w:hAnsi="Palatino Linotype" w:cs="Tahoma"/>
          <w:i/>
        </w:rPr>
        <w:t xml:space="preserve">los </w:t>
      </w:r>
      <w:r w:rsidRPr="008619CF">
        <w:rPr>
          <w:rFonts w:ascii="Palatino Linotype" w:hAnsi="Palatino Linotype" w:cs="Tahoma"/>
          <w:i/>
          <w:iCs/>
        </w:rPr>
        <w:t>particulares</w:t>
      </w:r>
      <w:r>
        <w:rPr>
          <w:rFonts w:ascii="Palatino Linotype" w:hAnsi="Palatino Linotype" w:cs="Tahoma"/>
          <w:i/>
          <w:iCs/>
        </w:rPr>
        <w:t xml:space="preserve"> </w:t>
      </w:r>
      <w:r w:rsidRPr="008619CF">
        <w:rPr>
          <w:rFonts w:ascii="Palatino Linotype" w:hAnsi="Palatino Linotype" w:cs="Tahoma"/>
          <w:i/>
        </w:rPr>
        <w:t xml:space="preserve">se </w:t>
      </w:r>
      <w:r w:rsidRPr="008619CF">
        <w:rPr>
          <w:rFonts w:ascii="Palatino Linotype" w:hAnsi="Palatino Linotype" w:cs="Tahoma"/>
          <w:i/>
          <w:iCs/>
        </w:rPr>
        <w:t xml:space="preserve">podrán acoger a </w:t>
      </w:r>
      <w:r w:rsidR="00654ABB">
        <w:rPr>
          <w:rFonts w:ascii="Palatino Linotype" w:hAnsi="Palatino Linotype" w:cs="Tahoma"/>
          <w:i/>
        </w:rPr>
        <w:t>l</w:t>
      </w:r>
      <w:r w:rsidRPr="008619CF">
        <w:rPr>
          <w:rFonts w:ascii="Palatino Linotype" w:hAnsi="Palatino Linotype" w:cs="Tahoma"/>
          <w:i/>
        </w:rPr>
        <w:t xml:space="preserve">os </w:t>
      </w:r>
      <w:r w:rsidRPr="008619CF">
        <w:rPr>
          <w:rFonts w:ascii="Palatino Linotype" w:hAnsi="Palatino Linotype" w:cs="Tahoma"/>
          <w:i/>
          <w:iCs/>
        </w:rPr>
        <w:t xml:space="preserve">beneficios que otorgan </w:t>
      </w:r>
      <w:r w:rsidR="008570E8">
        <w:rPr>
          <w:rFonts w:ascii="Palatino Linotype" w:hAnsi="Palatino Linotype" w:cs="Tahoma"/>
          <w:i/>
          <w:iCs/>
        </w:rPr>
        <w:t>l</w:t>
      </w:r>
      <w:r w:rsidRPr="008619CF">
        <w:rPr>
          <w:rFonts w:ascii="Palatino Linotype" w:hAnsi="Palatino Linotype" w:cs="Tahoma"/>
          <w:i/>
        </w:rPr>
        <w:t xml:space="preserve">as </w:t>
      </w:r>
      <w:r w:rsidRPr="008619CF">
        <w:rPr>
          <w:rFonts w:ascii="Palatino Linotype" w:hAnsi="Palatino Linotype" w:cs="Tahoma"/>
          <w:i/>
          <w:iCs/>
        </w:rPr>
        <w:t>disposiciones adicionadas y reformadas mediante el</w:t>
      </w:r>
      <w:r>
        <w:rPr>
          <w:rFonts w:ascii="Palatino Linotype" w:hAnsi="Palatino Linotype" w:cs="Tahoma"/>
          <w:i/>
          <w:iCs/>
        </w:rPr>
        <w:t xml:space="preserve"> </w:t>
      </w:r>
      <w:r w:rsidRPr="008619CF">
        <w:rPr>
          <w:rFonts w:ascii="Palatino Linotype" w:hAnsi="Palatino Linotype" w:cs="Tahoma"/>
          <w:i/>
          <w:iCs/>
        </w:rPr>
        <w:t xml:space="preserve">presente Decreto, cuando </w:t>
      </w:r>
      <w:r w:rsidRPr="008619CF">
        <w:rPr>
          <w:rFonts w:ascii="Palatino Linotype" w:hAnsi="Palatino Linotype" w:cs="Tahoma"/>
          <w:i/>
        </w:rPr>
        <w:t xml:space="preserve">se </w:t>
      </w:r>
      <w:r w:rsidRPr="008619CF">
        <w:rPr>
          <w:rFonts w:ascii="Palatino Linotype" w:hAnsi="Palatino Linotype" w:cs="Tahoma"/>
          <w:i/>
          <w:iCs/>
        </w:rPr>
        <w:t>hace referencia al carácter permanente del referido Dictamen.</w:t>
      </w:r>
    </w:p>
    <w:p w14:paraId="04868465" w14:textId="77777777" w:rsidR="008619CF" w:rsidRDefault="008619CF" w:rsidP="008619CF">
      <w:pPr>
        <w:spacing w:line="360" w:lineRule="auto"/>
        <w:ind w:left="794" w:right="794"/>
        <w:jc w:val="both"/>
        <w:rPr>
          <w:rFonts w:ascii="Palatino Linotype" w:hAnsi="Palatino Linotype" w:cs="Tahoma"/>
          <w:i/>
          <w:iCs/>
        </w:rPr>
      </w:pPr>
    </w:p>
    <w:p w14:paraId="3791B6FD" w14:textId="130C9A4F" w:rsidR="008619CF" w:rsidRDefault="008619CF" w:rsidP="008619CF">
      <w:pPr>
        <w:spacing w:line="360" w:lineRule="auto"/>
        <w:ind w:left="794" w:right="794"/>
        <w:jc w:val="both"/>
        <w:rPr>
          <w:rFonts w:ascii="Palatino Linotype" w:hAnsi="Palatino Linotype" w:cs="Tahoma"/>
          <w:i/>
          <w:iCs/>
        </w:rPr>
      </w:pPr>
      <w:r w:rsidRPr="008619CF">
        <w:rPr>
          <w:rFonts w:ascii="Palatino Linotype" w:hAnsi="Palatino Linotype" w:cs="Tahoma"/>
          <w:i/>
          <w:iCs/>
        </w:rPr>
        <w:t>Para efectos del párrafo anterior, la Secretaría Técnica de la Comisión Estatal de Factibilidad deberá</w:t>
      </w:r>
      <w:r>
        <w:rPr>
          <w:rFonts w:ascii="Palatino Linotype" w:hAnsi="Palatino Linotype" w:cs="Tahoma"/>
          <w:i/>
          <w:iCs/>
        </w:rPr>
        <w:t xml:space="preserve"> </w:t>
      </w:r>
      <w:r w:rsidRPr="008619CF">
        <w:rPr>
          <w:rFonts w:ascii="Palatino Linotype" w:hAnsi="Palatino Linotype" w:cs="Tahoma"/>
          <w:i/>
          <w:iCs/>
        </w:rPr>
        <w:t xml:space="preserve">remitir a la </w:t>
      </w:r>
      <w:r w:rsidRPr="008619CF">
        <w:rPr>
          <w:rFonts w:ascii="Palatino Linotype" w:hAnsi="Palatino Linotype" w:cs="Tahoma"/>
          <w:i/>
        </w:rPr>
        <w:t xml:space="preserve">o </w:t>
      </w:r>
      <w:r w:rsidRPr="008619CF">
        <w:rPr>
          <w:rFonts w:ascii="Palatino Linotype" w:hAnsi="Palatino Linotype" w:cs="Tahoma"/>
          <w:i/>
          <w:iCs/>
        </w:rPr>
        <w:t>al Titular de la Dirección General de la Comisión de Factibilidad del Estado de México, en</w:t>
      </w:r>
      <w:r>
        <w:rPr>
          <w:rFonts w:ascii="Palatino Linotype" w:hAnsi="Palatino Linotype" w:cs="Tahoma"/>
          <w:i/>
          <w:iCs/>
        </w:rPr>
        <w:t xml:space="preserve"> </w:t>
      </w:r>
      <w:r w:rsidRPr="008619CF">
        <w:rPr>
          <w:rFonts w:ascii="Palatino Linotype" w:hAnsi="Palatino Linotype" w:cs="Tahoma"/>
          <w:i/>
          <w:iCs/>
        </w:rPr>
        <w:t>un plazo no mayor a quince días hábiles, contados a partir de que entre en operaciones el órgano</w:t>
      </w:r>
      <w:r>
        <w:rPr>
          <w:rFonts w:ascii="Palatino Linotype" w:hAnsi="Palatino Linotype" w:cs="Tahoma"/>
          <w:i/>
          <w:iCs/>
        </w:rPr>
        <w:t xml:space="preserve"> </w:t>
      </w:r>
      <w:r w:rsidRPr="008619CF">
        <w:rPr>
          <w:rFonts w:ascii="Palatino Linotype" w:hAnsi="Palatino Linotype" w:cs="Tahoma"/>
          <w:i/>
          <w:iCs/>
        </w:rPr>
        <w:t>desconcentrado correspondiente, los expedientes relacionados con solicitudes de Dictamen Único de</w:t>
      </w:r>
      <w:r>
        <w:rPr>
          <w:rFonts w:ascii="Palatino Linotype" w:hAnsi="Palatino Linotype" w:cs="Tahoma"/>
          <w:i/>
          <w:iCs/>
        </w:rPr>
        <w:t xml:space="preserve"> </w:t>
      </w:r>
      <w:r w:rsidRPr="008619CF">
        <w:rPr>
          <w:rFonts w:ascii="Palatino Linotype" w:hAnsi="Palatino Linotype" w:cs="Tahoma"/>
          <w:i/>
          <w:iCs/>
        </w:rPr>
        <w:t>Factibilidad que obren en sus archivos.</w:t>
      </w:r>
      <w:r w:rsidR="00DB1409">
        <w:rPr>
          <w:rFonts w:ascii="Palatino Linotype" w:hAnsi="Palatino Linotype" w:cs="Tahoma"/>
          <w:i/>
          <w:iCs/>
        </w:rPr>
        <w:t>’</w:t>
      </w:r>
    </w:p>
    <w:p w14:paraId="6588822B" w14:textId="77777777" w:rsidR="00DB1409" w:rsidRDefault="00DB1409" w:rsidP="008619CF">
      <w:pPr>
        <w:spacing w:line="360" w:lineRule="auto"/>
        <w:ind w:left="794" w:right="794"/>
        <w:jc w:val="both"/>
        <w:rPr>
          <w:rFonts w:ascii="Palatino Linotype" w:hAnsi="Palatino Linotype" w:cs="Tahoma"/>
          <w:i/>
          <w:iCs/>
        </w:rPr>
      </w:pPr>
    </w:p>
    <w:p w14:paraId="52E146C0" w14:textId="77777777" w:rsidR="00DB1409" w:rsidRPr="00DB1409" w:rsidRDefault="00DB1409" w:rsidP="00DB1409">
      <w:pPr>
        <w:spacing w:line="360" w:lineRule="auto"/>
        <w:ind w:left="794" w:right="794"/>
        <w:jc w:val="both"/>
        <w:rPr>
          <w:rFonts w:ascii="Palatino Linotype" w:hAnsi="Palatino Linotype" w:cs="Tahoma"/>
          <w:i/>
        </w:rPr>
      </w:pPr>
      <w:r w:rsidRPr="00DB1409">
        <w:rPr>
          <w:rFonts w:ascii="Palatino Linotype" w:hAnsi="Palatino Linotype" w:cs="Tahoma"/>
          <w:i/>
        </w:rPr>
        <w:t>Ahora bien, mediante Acuerdo del Secretario de Justicia y Derechos Humanos del Ejecutivo</w:t>
      </w:r>
    </w:p>
    <w:p w14:paraId="176B9CE4" w14:textId="56E2DE90" w:rsidR="00DB1409" w:rsidRDefault="00DB1409" w:rsidP="00DB1409">
      <w:pPr>
        <w:spacing w:line="360" w:lineRule="auto"/>
        <w:ind w:left="794" w:right="794"/>
        <w:jc w:val="both"/>
        <w:rPr>
          <w:rFonts w:ascii="Palatino Linotype" w:hAnsi="Palatino Linotype" w:cs="Tahoma"/>
          <w:i/>
        </w:rPr>
      </w:pPr>
      <w:r w:rsidRPr="00DB1409">
        <w:rPr>
          <w:rFonts w:ascii="Palatino Linotype" w:hAnsi="Palatino Linotype" w:cs="Tahoma"/>
          <w:i/>
        </w:rPr>
        <w:t>Estatal por el que se inicia funciones y entra en operación el órgano administrativo desconcentrado</w:t>
      </w:r>
      <w:r>
        <w:rPr>
          <w:rFonts w:ascii="Palatino Linotype" w:hAnsi="Palatino Linotype" w:cs="Tahoma"/>
          <w:i/>
        </w:rPr>
        <w:t xml:space="preserve"> </w:t>
      </w:r>
      <w:r w:rsidRPr="00DB1409">
        <w:rPr>
          <w:rFonts w:ascii="Palatino Linotype" w:hAnsi="Palatino Linotype" w:cs="Tahoma"/>
          <w:i/>
        </w:rPr>
        <w:t>denominado Comisión de Factibilidad del Estado de México, publicado en el Periódico Oficial</w:t>
      </w:r>
      <w:r>
        <w:rPr>
          <w:rFonts w:ascii="Palatino Linotype" w:hAnsi="Palatino Linotype" w:cs="Tahoma"/>
          <w:i/>
        </w:rPr>
        <w:t xml:space="preserve"> ‘</w:t>
      </w:r>
      <w:r w:rsidRPr="00DB1409">
        <w:rPr>
          <w:rFonts w:ascii="Palatino Linotype" w:hAnsi="Palatino Linotype" w:cs="Tahoma"/>
          <w:i/>
        </w:rPr>
        <w:t>Gaceta del Gobierno</w:t>
      </w:r>
      <w:r>
        <w:rPr>
          <w:rFonts w:ascii="Palatino Linotype" w:hAnsi="Palatino Linotype" w:cs="Tahoma"/>
          <w:i/>
        </w:rPr>
        <w:t>’</w:t>
      </w:r>
      <w:r w:rsidRPr="00DB1409">
        <w:rPr>
          <w:rFonts w:ascii="Palatino Linotype" w:hAnsi="Palatino Linotype" w:cs="Tahoma"/>
          <w:i/>
        </w:rPr>
        <w:t xml:space="preserve"> del Estado de México en fecha once de Junio de dos mil diecinueve, se</w:t>
      </w:r>
      <w:r>
        <w:rPr>
          <w:rFonts w:ascii="Palatino Linotype" w:hAnsi="Palatino Linotype" w:cs="Tahoma"/>
          <w:i/>
        </w:rPr>
        <w:t xml:space="preserve"> </w:t>
      </w:r>
      <w:r w:rsidRPr="00DB1409">
        <w:rPr>
          <w:rFonts w:ascii="Palatino Linotype" w:hAnsi="Palatino Linotype" w:cs="Tahoma"/>
          <w:i/>
        </w:rPr>
        <w:t>establece con meridiana claridad los términos para la entrega de expedientes por parte de la</w:t>
      </w:r>
      <w:r>
        <w:rPr>
          <w:rFonts w:ascii="Palatino Linotype" w:hAnsi="Palatino Linotype" w:cs="Tahoma"/>
          <w:i/>
        </w:rPr>
        <w:t xml:space="preserve"> </w:t>
      </w:r>
      <w:r w:rsidRPr="00DB1409">
        <w:rPr>
          <w:rFonts w:ascii="Palatino Linotype" w:hAnsi="Palatino Linotype" w:cs="Tahoma"/>
          <w:i/>
        </w:rPr>
        <w:t>Comisión Estatal de Factibilidad, en acatamiento a lo establecido en el Decreto 331 anteriormente</w:t>
      </w:r>
      <w:r>
        <w:rPr>
          <w:rFonts w:ascii="Palatino Linotype" w:hAnsi="Palatino Linotype" w:cs="Tahoma"/>
          <w:i/>
        </w:rPr>
        <w:t xml:space="preserve"> </w:t>
      </w:r>
      <w:r w:rsidRPr="00DB1409">
        <w:rPr>
          <w:rFonts w:ascii="Palatino Linotype" w:hAnsi="Palatino Linotype" w:cs="Tahoma"/>
          <w:i/>
        </w:rPr>
        <w:t>referido; haciendo del conocimiento de ese Instituto para mejor proveer, los Artículos que para el</w:t>
      </w:r>
      <w:r>
        <w:rPr>
          <w:rFonts w:ascii="Palatino Linotype" w:hAnsi="Palatino Linotype" w:cs="Tahoma"/>
          <w:i/>
        </w:rPr>
        <w:t xml:space="preserve"> </w:t>
      </w:r>
      <w:r w:rsidRPr="00DB1409">
        <w:rPr>
          <w:rFonts w:ascii="Palatino Linotype" w:hAnsi="Palatino Linotype" w:cs="Tahoma"/>
          <w:i/>
        </w:rPr>
        <w:t>presente asunto interesan, mismos que a saber son:</w:t>
      </w:r>
    </w:p>
    <w:p w14:paraId="58811593" w14:textId="77777777" w:rsidR="00DB1409" w:rsidRPr="00DB1409" w:rsidRDefault="00DB1409" w:rsidP="00DB1409">
      <w:pPr>
        <w:spacing w:line="360" w:lineRule="auto"/>
        <w:ind w:left="794" w:right="794"/>
        <w:jc w:val="both"/>
        <w:rPr>
          <w:rFonts w:ascii="Palatino Linotype" w:hAnsi="Palatino Linotype" w:cs="Tahoma"/>
          <w:i/>
        </w:rPr>
      </w:pPr>
    </w:p>
    <w:p w14:paraId="36A394D1" w14:textId="0845AD8A" w:rsidR="00DB1409" w:rsidRDefault="00DB1409" w:rsidP="00DB1409">
      <w:pPr>
        <w:spacing w:line="360" w:lineRule="auto"/>
        <w:ind w:left="794" w:right="794"/>
        <w:jc w:val="both"/>
        <w:rPr>
          <w:rFonts w:ascii="Palatino Linotype" w:hAnsi="Palatino Linotype" w:cs="Tahoma"/>
          <w:i/>
          <w:iCs/>
        </w:rPr>
      </w:pPr>
      <w:r w:rsidRPr="00DB1409">
        <w:rPr>
          <w:rFonts w:ascii="Palatino Linotype" w:hAnsi="Palatino Linotype" w:cs="Tahoma"/>
          <w:b/>
          <w:i/>
          <w:iCs/>
        </w:rPr>
        <w:t>ARTÍCULO PRIMERO.</w:t>
      </w:r>
      <w:r w:rsidRPr="00DB1409">
        <w:rPr>
          <w:rFonts w:ascii="Palatino Linotype" w:hAnsi="Palatino Linotype" w:cs="Tahoma"/>
          <w:i/>
          <w:iCs/>
        </w:rPr>
        <w:t xml:space="preserve"> El órgano administrativo desconcentrado de la Secretaría de Justicia y Derechos</w:t>
      </w:r>
      <w:r w:rsidR="00A469EE">
        <w:rPr>
          <w:rFonts w:ascii="Palatino Linotype" w:hAnsi="Palatino Linotype" w:cs="Tahoma"/>
          <w:i/>
          <w:iCs/>
        </w:rPr>
        <w:t xml:space="preserve"> </w:t>
      </w:r>
      <w:r w:rsidRPr="00DB1409">
        <w:rPr>
          <w:rFonts w:ascii="Palatino Linotype" w:hAnsi="Palatino Linotype" w:cs="Tahoma"/>
          <w:i/>
          <w:iCs/>
        </w:rPr>
        <w:t>Humanos denominado Comisión de Factibilidad del Estado de México inicia funciones y entra en operación,</w:t>
      </w:r>
      <w:r w:rsidR="00A469EE">
        <w:rPr>
          <w:rFonts w:ascii="Palatino Linotype" w:hAnsi="Palatino Linotype" w:cs="Tahoma"/>
          <w:i/>
          <w:iCs/>
        </w:rPr>
        <w:t xml:space="preserve"> </w:t>
      </w:r>
      <w:r w:rsidRPr="00DB1409">
        <w:rPr>
          <w:rFonts w:ascii="Palatino Linotype" w:hAnsi="Palatino Linotype" w:cs="Tahoma"/>
          <w:i/>
          <w:iCs/>
        </w:rPr>
        <w:t>de conformidad con la Ley que crea la Comisión de Factibilidad del Estado de México.</w:t>
      </w:r>
    </w:p>
    <w:p w14:paraId="741F4818" w14:textId="77777777" w:rsidR="00A469EE" w:rsidRPr="00DB1409" w:rsidRDefault="00A469EE" w:rsidP="00DB1409">
      <w:pPr>
        <w:spacing w:line="360" w:lineRule="auto"/>
        <w:ind w:left="794" w:right="794"/>
        <w:jc w:val="both"/>
        <w:rPr>
          <w:rFonts w:ascii="Palatino Linotype" w:hAnsi="Palatino Linotype" w:cs="Tahoma"/>
          <w:i/>
          <w:iCs/>
        </w:rPr>
      </w:pPr>
    </w:p>
    <w:p w14:paraId="093D1343" w14:textId="69722E7A" w:rsidR="00DB1409" w:rsidRDefault="00DB1409" w:rsidP="00DB1409">
      <w:pPr>
        <w:spacing w:line="360" w:lineRule="auto"/>
        <w:ind w:left="794" w:right="794"/>
        <w:jc w:val="both"/>
        <w:rPr>
          <w:rFonts w:ascii="Palatino Linotype" w:hAnsi="Palatino Linotype" w:cs="Tahoma"/>
          <w:i/>
          <w:iCs/>
        </w:rPr>
      </w:pPr>
      <w:r w:rsidRPr="00A469EE">
        <w:rPr>
          <w:rFonts w:ascii="Palatino Linotype" w:hAnsi="Palatino Linotype" w:cs="Tahoma"/>
          <w:b/>
          <w:i/>
          <w:iCs/>
        </w:rPr>
        <w:lastRenderedPageBreak/>
        <w:t>ARTÍCULO SEGUNDO.</w:t>
      </w:r>
      <w:r w:rsidRPr="00DB1409">
        <w:rPr>
          <w:rFonts w:ascii="Palatino Linotype" w:hAnsi="Palatino Linotype" w:cs="Tahoma"/>
          <w:i/>
          <w:iCs/>
        </w:rPr>
        <w:t xml:space="preserve"> La Comisión de Factibilidad del Estado de México deberá recibir en un plazo, no</w:t>
      </w:r>
      <w:r w:rsidR="00A469EE">
        <w:rPr>
          <w:rFonts w:ascii="Palatino Linotype" w:hAnsi="Palatino Linotype" w:cs="Tahoma"/>
          <w:i/>
          <w:iCs/>
        </w:rPr>
        <w:t xml:space="preserve"> </w:t>
      </w:r>
      <w:r w:rsidRPr="00DB1409">
        <w:rPr>
          <w:rFonts w:ascii="Palatino Linotype" w:hAnsi="Palatino Linotype" w:cs="Tahoma"/>
          <w:i/>
          <w:iCs/>
        </w:rPr>
        <w:t xml:space="preserve">mayor a quince días hábiles, </w:t>
      </w:r>
      <w:r w:rsidR="00A469EE">
        <w:rPr>
          <w:rFonts w:ascii="Palatino Linotype" w:hAnsi="Palatino Linotype" w:cs="Tahoma"/>
          <w:i/>
        </w:rPr>
        <w:t>l</w:t>
      </w:r>
      <w:r w:rsidRPr="00DB1409">
        <w:rPr>
          <w:rFonts w:ascii="Palatino Linotype" w:hAnsi="Palatino Linotype" w:cs="Tahoma"/>
          <w:i/>
        </w:rPr>
        <w:t xml:space="preserve">os </w:t>
      </w:r>
      <w:r w:rsidRPr="00DB1409">
        <w:rPr>
          <w:rFonts w:ascii="Palatino Linotype" w:hAnsi="Palatino Linotype" w:cs="Tahoma"/>
          <w:i/>
          <w:iCs/>
        </w:rPr>
        <w:t xml:space="preserve">expedientes relacionados con </w:t>
      </w:r>
      <w:r w:rsidR="00A469EE">
        <w:rPr>
          <w:rFonts w:ascii="Palatino Linotype" w:hAnsi="Palatino Linotype" w:cs="Tahoma"/>
          <w:i/>
        </w:rPr>
        <w:t>l</w:t>
      </w:r>
      <w:r w:rsidRPr="00DB1409">
        <w:rPr>
          <w:rFonts w:ascii="Palatino Linotype" w:hAnsi="Palatino Linotype" w:cs="Tahoma"/>
          <w:i/>
        </w:rPr>
        <w:t xml:space="preserve">as </w:t>
      </w:r>
      <w:r w:rsidRPr="00DB1409">
        <w:rPr>
          <w:rFonts w:ascii="Palatino Linotype" w:hAnsi="Palatino Linotype" w:cs="Tahoma"/>
          <w:i/>
          <w:iCs/>
        </w:rPr>
        <w:t>solicitudes de Dictamen Único de</w:t>
      </w:r>
      <w:r w:rsidR="00A469EE">
        <w:rPr>
          <w:rFonts w:ascii="Palatino Linotype" w:hAnsi="Palatino Linotype" w:cs="Tahoma"/>
          <w:i/>
          <w:iCs/>
        </w:rPr>
        <w:t xml:space="preserve"> </w:t>
      </w:r>
      <w:r w:rsidRPr="00DB1409">
        <w:rPr>
          <w:rFonts w:ascii="Palatino Linotype" w:hAnsi="Palatino Linotype" w:cs="Tahoma"/>
          <w:i/>
          <w:iCs/>
        </w:rPr>
        <w:t xml:space="preserve">Factibilidad que obren en </w:t>
      </w:r>
      <w:r w:rsidR="00A469EE">
        <w:rPr>
          <w:rFonts w:ascii="Palatino Linotype" w:hAnsi="Palatino Linotype" w:cs="Tahoma"/>
          <w:i/>
        </w:rPr>
        <w:t>l</w:t>
      </w:r>
      <w:r w:rsidRPr="00DB1409">
        <w:rPr>
          <w:rFonts w:ascii="Palatino Linotype" w:hAnsi="Palatino Linotype" w:cs="Tahoma"/>
          <w:i/>
        </w:rPr>
        <w:t xml:space="preserve">os </w:t>
      </w:r>
      <w:r w:rsidRPr="00DB1409">
        <w:rPr>
          <w:rFonts w:ascii="Palatino Linotype" w:hAnsi="Palatino Linotype" w:cs="Tahoma"/>
          <w:i/>
          <w:iCs/>
        </w:rPr>
        <w:t>archivos de la Secretaría Técnica de la Comisión Estatal de Factibilidad, en</w:t>
      </w:r>
      <w:r w:rsidR="00A469EE">
        <w:rPr>
          <w:rFonts w:ascii="Palatino Linotype" w:hAnsi="Palatino Linotype" w:cs="Tahoma"/>
          <w:i/>
          <w:iCs/>
        </w:rPr>
        <w:t xml:space="preserve"> </w:t>
      </w:r>
      <w:r w:rsidRPr="00DB1409">
        <w:rPr>
          <w:rFonts w:ascii="Palatino Linotype" w:hAnsi="Palatino Linotype" w:cs="Tahoma"/>
          <w:i/>
          <w:iCs/>
        </w:rPr>
        <w:t>términos del Decreto 331 de la "LIX" Legislatura del Estado de México.</w:t>
      </w:r>
    </w:p>
    <w:p w14:paraId="5C6DF1C9" w14:textId="77777777" w:rsidR="00A469EE" w:rsidRPr="00DB1409" w:rsidRDefault="00A469EE" w:rsidP="00DB1409">
      <w:pPr>
        <w:spacing w:line="360" w:lineRule="auto"/>
        <w:ind w:left="794" w:right="794"/>
        <w:jc w:val="both"/>
        <w:rPr>
          <w:rFonts w:ascii="Palatino Linotype" w:hAnsi="Palatino Linotype" w:cs="Tahoma"/>
          <w:i/>
          <w:iCs/>
        </w:rPr>
      </w:pPr>
    </w:p>
    <w:p w14:paraId="40F691AC" w14:textId="414F3216" w:rsidR="00DB1409" w:rsidRDefault="00DB1409" w:rsidP="00DB1409">
      <w:pPr>
        <w:spacing w:line="360" w:lineRule="auto"/>
        <w:ind w:left="794" w:right="794"/>
        <w:jc w:val="both"/>
        <w:rPr>
          <w:rFonts w:ascii="Palatino Linotype" w:hAnsi="Palatino Linotype" w:cs="Tahoma"/>
          <w:i/>
          <w:iCs/>
        </w:rPr>
      </w:pPr>
      <w:r w:rsidRPr="00A469EE">
        <w:rPr>
          <w:rFonts w:ascii="Palatino Linotype" w:hAnsi="Palatino Linotype" w:cs="Tahoma"/>
          <w:b/>
          <w:i/>
          <w:iCs/>
        </w:rPr>
        <w:t>ARTÍCULO TERCERO.</w:t>
      </w:r>
      <w:r w:rsidRPr="00DB1409">
        <w:rPr>
          <w:rFonts w:ascii="Palatino Linotype" w:hAnsi="Palatino Linotype" w:cs="Tahoma"/>
          <w:i/>
          <w:iCs/>
        </w:rPr>
        <w:t xml:space="preserve"> </w:t>
      </w:r>
      <w:r w:rsidRPr="00DB1409">
        <w:rPr>
          <w:rFonts w:ascii="Palatino Linotype" w:hAnsi="Palatino Linotype" w:cs="Tahoma"/>
          <w:i/>
        </w:rPr>
        <w:t xml:space="preserve">Los asuntos </w:t>
      </w:r>
      <w:r w:rsidRPr="00DB1409">
        <w:rPr>
          <w:rFonts w:ascii="Palatino Linotype" w:hAnsi="Palatino Linotype" w:cs="Tahoma"/>
          <w:i/>
          <w:iCs/>
        </w:rPr>
        <w:t>y procedimientos respecto del trámite del Dictamen Único de</w:t>
      </w:r>
      <w:r w:rsidR="00A469EE">
        <w:rPr>
          <w:rFonts w:ascii="Palatino Linotype" w:hAnsi="Palatino Linotype" w:cs="Tahoma"/>
          <w:i/>
          <w:iCs/>
        </w:rPr>
        <w:t xml:space="preserve"> </w:t>
      </w:r>
      <w:r w:rsidRPr="00DB1409">
        <w:rPr>
          <w:rFonts w:ascii="Palatino Linotype" w:hAnsi="Palatino Linotype" w:cs="Tahoma"/>
          <w:i/>
          <w:iCs/>
        </w:rPr>
        <w:t xml:space="preserve">Factibilidad que </w:t>
      </w:r>
      <w:r w:rsidRPr="00DB1409">
        <w:rPr>
          <w:rFonts w:ascii="Palatino Linotype" w:hAnsi="Palatino Linotype" w:cs="Tahoma"/>
          <w:i/>
        </w:rPr>
        <w:t xml:space="preserve">se </w:t>
      </w:r>
      <w:r w:rsidRPr="00DB1409">
        <w:rPr>
          <w:rFonts w:ascii="Palatino Linotype" w:hAnsi="Palatino Linotype" w:cs="Tahoma"/>
          <w:i/>
          <w:iCs/>
        </w:rPr>
        <w:t xml:space="preserve">hayan iniciado ante la Secretaría Técnica de la Comisión Estatal de Factibilidad adscrita </w:t>
      </w:r>
      <w:r w:rsidRPr="00DB1409">
        <w:rPr>
          <w:rFonts w:ascii="Palatino Linotype" w:hAnsi="Palatino Linotype" w:cs="Tahoma"/>
          <w:i/>
        </w:rPr>
        <w:t>a</w:t>
      </w:r>
      <w:r w:rsidR="00A469EE">
        <w:rPr>
          <w:rFonts w:ascii="Palatino Linotype" w:hAnsi="Palatino Linotype" w:cs="Tahoma"/>
          <w:i/>
        </w:rPr>
        <w:t xml:space="preserve"> </w:t>
      </w:r>
      <w:r w:rsidRPr="00DB1409">
        <w:rPr>
          <w:rFonts w:ascii="Palatino Linotype" w:hAnsi="Palatino Linotype" w:cs="Tahoma"/>
          <w:i/>
          <w:iCs/>
        </w:rPr>
        <w:t>la Secretaría de Desarrollo Urbano y Metropolitano, antes de la entrada en vigor del presente Acuerdo,</w:t>
      </w:r>
      <w:r w:rsidR="00A469EE">
        <w:rPr>
          <w:rFonts w:ascii="Palatino Linotype" w:hAnsi="Palatino Linotype" w:cs="Tahoma"/>
          <w:i/>
          <w:iCs/>
        </w:rPr>
        <w:t xml:space="preserve"> </w:t>
      </w:r>
      <w:r w:rsidRPr="00DB1409">
        <w:rPr>
          <w:rFonts w:ascii="Palatino Linotype" w:hAnsi="Palatino Linotype" w:cs="Tahoma"/>
          <w:i/>
          <w:iCs/>
        </w:rPr>
        <w:t xml:space="preserve">continuarán </w:t>
      </w:r>
      <w:r w:rsidRPr="00DB1409">
        <w:rPr>
          <w:rFonts w:ascii="Palatino Linotype" w:hAnsi="Palatino Linotype" w:cs="Tahoma"/>
          <w:i/>
        </w:rPr>
        <w:t xml:space="preserve">su </w:t>
      </w:r>
      <w:r w:rsidRPr="00DB1409">
        <w:rPr>
          <w:rFonts w:ascii="Palatino Linotype" w:hAnsi="Palatino Linotype" w:cs="Tahoma"/>
          <w:i/>
          <w:iCs/>
        </w:rPr>
        <w:t>trámite ante la Comisión de Factibilidad del Estado de México.</w:t>
      </w:r>
    </w:p>
    <w:p w14:paraId="16415647" w14:textId="77777777" w:rsidR="00A469EE" w:rsidRDefault="00A469EE" w:rsidP="00DB1409">
      <w:pPr>
        <w:spacing w:line="360" w:lineRule="auto"/>
        <w:ind w:left="794" w:right="794"/>
        <w:jc w:val="both"/>
        <w:rPr>
          <w:rFonts w:ascii="Palatino Linotype" w:hAnsi="Palatino Linotype" w:cs="Tahoma"/>
          <w:i/>
        </w:rPr>
      </w:pPr>
    </w:p>
    <w:p w14:paraId="6C930880" w14:textId="77777777" w:rsidR="00A469EE" w:rsidRDefault="00A469EE" w:rsidP="00A469EE">
      <w:pPr>
        <w:spacing w:line="360" w:lineRule="auto"/>
        <w:ind w:left="794" w:right="794"/>
        <w:jc w:val="both"/>
        <w:rPr>
          <w:rFonts w:ascii="Palatino Linotype" w:hAnsi="Palatino Linotype" w:cs="Tahoma"/>
          <w:b/>
          <w:i/>
        </w:rPr>
      </w:pPr>
      <w:r w:rsidRPr="00A469EE">
        <w:rPr>
          <w:rFonts w:ascii="Palatino Linotype" w:hAnsi="Palatino Linotype" w:cs="Tahoma"/>
          <w:b/>
          <w:i/>
        </w:rPr>
        <w:t>TRANSITORIOS</w:t>
      </w:r>
    </w:p>
    <w:p w14:paraId="3CA01EF2" w14:textId="37E4585C" w:rsidR="00A469EE" w:rsidRPr="00A469EE" w:rsidRDefault="00A469EE" w:rsidP="00A469EE">
      <w:pPr>
        <w:spacing w:line="360" w:lineRule="auto"/>
        <w:ind w:left="794" w:right="794"/>
        <w:jc w:val="both"/>
        <w:rPr>
          <w:rFonts w:ascii="Palatino Linotype" w:hAnsi="Palatino Linotype" w:cs="Tahoma"/>
          <w:b/>
          <w:i/>
        </w:rPr>
      </w:pPr>
      <w:r>
        <w:rPr>
          <w:rFonts w:ascii="Palatino Linotype" w:hAnsi="Palatino Linotype" w:cs="Tahoma"/>
          <w:b/>
          <w:i/>
        </w:rPr>
        <w:t>…</w:t>
      </w:r>
    </w:p>
    <w:p w14:paraId="7DE0FAFB" w14:textId="0623376E" w:rsidR="00A469EE" w:rsidRDefault="00A469EE" w:rsidP="00A469EE">
      <w:pPr>
        <w:spacing w:line="360" w:lineRule="auto"/>
        <w:ind w:left="794" w:right="794"/>
        <w:jc w:val="both"/>
        <w:rPr>
          <w:rFonts w:ascii="Palatino Linotype" w:hAnsi="Palatino Linotype" w:cs="Tahoma"/>
          <w:i/>
          <w:iCs/>
        </w:rPr>
      </w:pPr>
      <w:r w:rsidRPr="00A469EE">
        <w:rPr>
          <w:rFonts w:ascii="Palatino Linotype" w:hAnsi="Palatino Linotype" w:cs="Tahoma"/>
          <w:b/>
          <w:i/>
          <w:iCs/>
        </w:rPr>
        <w:t>SEGUNDO.</w:t>
      </w:r>
      <w:r w:rsidRPr="00A469EE">
        <w:rPr>
          <w:rFonts w:ascii="Palatino Linotype" w:hAnsi="Palatino Linotype" w:cs="Tahoma"/>
          <w:i/>
          <w:iCs/>
        </w:rPr>
        <w:t xml:space="preserve"> El presente Acuerdo entrará en vigor al día siguiente de </w:t>
      </w:r>
      <w:r w:rsidRPr="00A469EE">
        <w:rPr>
          <w:rFonts w:ascii="Palatino Linotype" w:hAnsi="Palatino Linotype" w:cs="Tahoma"/>
          <w:i/>
        </w:rPr>
        <w:t xml:space="preserve">su </w:t>
      </w:r>
      <w:r w:rsidRPr="00A469EE">
        <w:rPr>
          <w:rFonts w:ascii="Palatino Linotype" w:hAnsi="Palatino Linotype" w:cs="Tahoma"/>
          <w:i/>
          <w:iCs/>
        </w:rPr>
        <w:t>publicación en el Periódico Oficial</w:t>
      </w:r>
      <w:r>
        <w:rPr>
          <w:rFonts w:ascii="Palatino Linotype" w:hAnsi="Palatino Linotype" w:cs="Tahoma"/>
          <w:i/>
          <w:iCs/>
        </w:rPr>
        <w:t xml:space="preserve"> </w:t>
      </w:r>
      <w:r w:rsidRPr="00A469EE">
        <w:rPr>
          <w:rFonts w:ascii="Palatino Linotype" w:hAnsi="Palatino Linotype" w:cs="Tahoma"/>
          <w:i/>
        </w:rPr>
        <w:t xml:space="preserve">"Gaceta </w:t>
      </w:r>
      <w:r w:rsidRPr="00A469EE">
        <w:rPr>
          <w:rFonts w:ascii="Palatino Linotype" w:hAnsi="Palatino Linotype" w:cs="Tahoma"/>
          <w:i/>
          <w:iCs/>
        </w:rPr>
        <w:t>del Gobierno".</w:t>
      </w:r>
    </w:p>
    <w:p w14:paraId="101235FB" w14:textId="77777777" w:rsidR="00A469EE" w:rsidRPr="00A469EE" w:rsidRDefault="00A469EE" w:rsidP="00A469EE">
      <w:pPr>
        <w:spacing w:line="360" w:lineRule="auto"/>
        <w:ind w:left="794" w:right="794"/>
        <w:jc w:val="both"/>
        <w:rPr>
          <w:rFonts w:ascii="Palatino Linotype" w:hAnsi="Palatino Linotype" w:cs="Tahoma"/>
          <w:i/>
          <w:iCs/>
        </w:rPr>
      </w:pPr>
    </w:p>
    <w:p w14:paraId="6397A4ED" w14:textId="561B1199" w:rsidR="00A469EE" w:rsidRDefault="00A469EE" w:rsidP="00A469EE">
      <w:pPr>
        <w:spacing w:line="360" w:lineRule="auto"/>
        <w:ind w:left="794" w:right="794"/>
        <w:jc w:val="both"/>
        <w:rPr>
          <w:rFonts w:ascii="Palatino Linotype" w:hAnsi="Palatino Linotype" w:cs="Tahoma"/>
          <w:i/>
        </w:rPr>
      </w:pPr>
      <w:r w:rsidRPr="00A469EE">
        <w:rPr>
          <w:rFonts w:ascii="Palatino Linotype" w:hAnsi="Palatino Linotype" w:cs="Tahoma"/>
          <w:i/>
        </w:rPr>
        <w:t>Con lo trascrito con anterioridad, se da certeza de lo siguiente; el Acuerdo del Secretario de</w:t>
      </w:r>
      <w:r>
        <w:rPr>
          <w:rFonts w:ascii="Palatino Linotype" w:hAnsi="Palatino Linotype" w:cs="Tahoma"/>
          <w:i/>
        </w:rPr>
        <w:t xml:space="preserve"> </w:t>
      </w:r>
      <w:r w:rsidRPr="00A469EE">
        <w:rPr>
          <w:rFonts w:ascii="Palatino Linotype" w:hAnsi="Palatino Linotype" w:cs="Tahoma"/>
          <w:i/>
        </w:rPr>
        <w:t>Justicia y Derechos Humanos, suerte efectos jurídicos el día doce de junio de dos mil diecinueve;</w:t>
      </w:r>
      <w:r>
        <w:rPr>
          <w:rFonts w:ascii="Palatino Linotype" w:hAnsi="Palatino Linotype" w:cs="Tahoma"/>
          <w:i/>
        </w:rPr>
        <w:t xml:space="preserve"> </w:t>
      </w:r>
      <w:r w:rsidRPr="00A469EE">
        <w:rPr>
          <w:rFonts w:ascii="Palatino Linotype" w:hAnsi="Palatino Linotype" w:cs="Tahoma"/>
          <w:i/>
        </w:rPr>
        <w:t>a partir de ese momento se tuvieron los quince días para la entrega de expedientes por parte de la</w:t>
      </w:r>
      <w:r>
        <w:rPr>
          <w:rFonts w:ascii="Palatino Linotype" w:hAnsi="Palatino Linotype" w:cs="Tahoma"/>
          <w:i/>
        </w:rPr>
        <w:t xml:space="preserve"> </w:t>
      </w:r>
      <w:r w:rsidRPr="00A469EE">
        <w:rPr>
          <w:rFonts w:ascii="Palatino Linotype" w:hAnsi="Palatino Linotype" w:cs="Tahoma"/>
          <w:i/>
        </w:rPr>
        <w:t>Comisión Estatal de Factibilidad, mismo que feneció el día dos de julio del año dos mil diecinueve</w:t>
      </w:r>
      <w:r>
        <w:rPr>
          <w:rFonts w:ascii="Palatino Linotype" w:hAnsi="Palatino Linotype" w:cs="Tahoma"/>
          <w:i/>
        </w:rPr>
        <w:t xml:space="preserve"> </w:t>
      </w:r>
      <w:r w:rsidRPr="00A469EE">
        <w:rPr>
          <w:rFonts w:ascii="Palatino Linotype" w:hAnsi="Palatino Linotype" w:cs="Tahoma"/>
          <w:i/>
        </w:rPr>
        <w:t>en cumplimiento tanto al Decreto 331 de la LIX Legislatura, como al referido Acuerdo.</w:t>
      </w:r>
    </w:p>
    <w:p w14:paraId="677EF877" w14:textId="77777777" w:rsidR="00A469EE" w:rsidRDefault="00A469EE" w:rsidP="00A469EE">
      <w:pPr>
        <w:spacing w:line="360" w:lineRule="auto"/>
        <w:ind w:left="794" w:right="794"/>
        <w:jc w:val="both"/>
        <w:rPr>
          <w:rFonts w:ascii="Palatino Linotype" w:hAnsi="Palatino Linotype" w:cs="Tahoma"/>
          <w:i/>
        </w:rPr>
      </w:pPr>
    </w:p>
    <w:p w14:paraId="0D0EDDED" w14:textId="7D5C665E" w:rsidR="00A469EE" w:rsidRDefault="00A469EE" w:rsidP="00A469EE">
      <w:pPr>
        <w:spacing w:line="360" w:lineRule="auto"/>
        <w:ind w:left="794" w:right="794"/>
        <w:jc w:val="both"/>
        <w:rPr>
          <w:rFonts w:ascii="Palatino Linotype" w:hAnsi="Palatino Linotype" w:cs="Tahoma"/>
          <w:i/>
        </w:rPr>
      </w:pPr>
      <w:r w:rsidRPr="00A469EE">
        <w:rPr>
          <w:rFonts w:ascii="Palatino Linotype" w:hAnsi="Palatino Linotype" w:cs="Tahoma"/>
          <w:i/>
        </w:rPr>
        <w:t>Una vez, que se otorgan los elementos jurídicos que dan certeza a la actuación de esta autoridad</w:t>
      </w:r>
      <w:r>
        <w:rPr>
          <w:rFonts w:ascii="Palatino Linotype" w:hAnsi="Palatino Linotype" w:cs="Tahoma"/>
          <w:i/>
        </w:rPr>
        <w:t xml:space="preserve"> </w:t>
      </w:r>
      <w:r w:rsidRPr="00A469EE">
        <w:rPr>
          <w:rFonts w:ascii="Palatino Linotype" w:hAnsi="Palatino Linotype" w:cs="Tahoma"/>
          <w:i/>
        </w:rPr>
        <w:t>en calidad de sujeto obligado, es de señalar que no existe Incongruencia en la forma de</w:t>
      </w:r>
      <w:r>
        <w:rPr>
          <w:rFonts w:ascii="Palatino Linotype" w:hAnsi="Palatino Linotype" w:cs="Tahoma"/>
          <w:i/>
        </w:rPr>
        <w:t xml:space="preserve"> </w:t>
      </w:r>
      <w:r w:rsidRPr="00A469EE">
        <w:rPr>
          <w:rFonts w:ascii="Palatino Linotype" w:hAnsi="Palatino Linotype" w:cs="Tahoma"/>
          <w:i/>
        </w:rPr>
        <w:t>rastrear y solicitar información, simplemente las Dependencias involucradas, incluyendo ese</w:t>
      </w:r>
      <w:r>
        <w:rPr>
          <w:rFonts w:ascii="Palatino Linotype" w:hAnsi="Palatino Linotype" w:cs="Tahoma"/>
          <w:i/>
        </w:rPr>
        <w:t xml:space="preserve"> </w:t>
      </w:r>
      <w:r w:rsidRPr="00A469EE">
        <w:rPr>
          <w:rFonts w:ascii="Palatino Linotype" w:hAnsi="Palatino Linotype" w:cs="Tahoma"/>
          <w:i/>
        </w:rPr>
        <w:t>Instituto, se encuentran en el proceso de actualización de sus plataformas; y no como</w:t>
      </w:r>
      <w:r>
        <w:rPr>
          <w:rFonts w:ascii="Palatino Linotype" w:hAnsi="Palatino Linotype" w:cs="Tahoma"/>
          <w:i/>
        </w:rPr>
        <w:t xml:space="preserve"> </w:t>
      </w:r>
      <w:r w:rsidRPr="00A469EE">
        <w:rPr>
          <w:rFonts w:ascii="Palatino Linotype" w:hAnsi="Palatino Linotype" w:cs="Tahoma"/>
          <w:i/>
        </w:rPr>
        <w:t>erróneamente lo refiere el peticionario, se niega la información; de igual forma, el solicitante</w:t>
      </w:r>
      <w:r>
        <w:rPr>
          <w:rFonts w:ascii="Palatino Linotype" w:hAnsi="Palatino Linotype" w:cs="Tahoma"/>
          <w:i/>
        </w:rPr>
        <w:t xml:space="preserve"> </w:t>
      </w:r>
      <w:r w:rsidRPr="00A469EE">
        <w:rPr>
          <w:rFonts w:ascii="Palatino Linotype" w:hAnsi="Palatino Linotype" w:cs="Tahoma"/>
          <w:i/>
        </w:rPr>
        <w:lastRenderedPageBreak/>
        <w:t>podrá acudir en el intervalo de actualización, a la ventanilla de información de la Secreta</w:t>
      </w:r>
      <w:r>
        <w:rPr>
          <w:rFonts w:ascii="Palatino Linotype" w:hAnsi="Palatino Linotype" w:cs="Tahoma"/>
          <w:i/>
        </w:rPr>
        <w:t>rí</w:t>
      </w:r>
      <w:r w:rsidRPr="00A469EE">
        <w:rPr>
          <w:rFonts w:ascii="Palatino Linotype" w:hAnsi="Palatino Linotype" w:cs="Tahoma"/>
          <w:i/>
        </w:rPr>
        <w:t>a</w:t>
      </w:r>
      <w:r>
        <w:rPr>
          <w:rFonts w:ascii="Palatino Linotype" w:hAnsi="Palatino Linotype" w:cs="Tahoma"/>
          <w:i/>
        </w:rPr>
        <w:t xml:space="preserve"> </w:t>
      </w:r>
      <w:r w:rsidRPr="00A469EE">
        <w:rPr>
          <w:rFonts w:ascii="Palatino Linotype" w:hAnsi="Palatino Linotype" w:cs="Tahoma"/>
          <w:i/>
        </w:rPr>
        <w:t>de Justicia y Derechos Humanos, ya que la Comisión de Factibilidad del Estado de México</w:t>
      </w:r>
      <w:r>
        <w:rPr>
          <w:rFonts w:ascii="Palatino Linotype" w:hAnsi="Palatino Linotype" w:cs="Tahoma"/>
          <w:i/>
        </w:rPr>
        <w:t xml:space="preserve"> </w:t>
      </w:r>
      <w:r w:rsidRPr="00A469EE">
        <w:rPr>
          <w:rFonts w:ascii="Palatino Linotype" w:hAnsi="Palatino Linotype" w:cs="Tahoma"/>
          <w:i/>
        </w:rPr>
        <w:t>es un órgano desconcentrado de dicha Secretaría.</w:t>
      </w:r>
    </w:p>
    <w:p w14:paraId="5CD030A3" w14:textId="77777777" w:rsidR="00A469EE" w:rsidRDefault="00A469EE" w:rsidP="00A469EE">
      <w:pPr>
        <w:spacing w:line="360" w:lineRule="auto"/>
        <w:ind w:left="794" w:right="794"/>
        <w:jc w:val="both"/>
        <w:rPr>
          <w:rFonts w:ascii="Palatino Linotype" w:hAnsi="Palatino Linotype" w:cs="Tahoma"/>
          <w:i/>
        </w:rPr>
      </w:pPr>
    </w:p>
    <w:p w14:paraId="25054DBD" w14:textId="0FCE3B51" w:rsidR="00A469EE" w:rsidRDefault="00A469EE" w:rsidP="00A469EE">
      <w:pPr>
        <w:spacing w:line="360" w:lineRule="auto"/>
        <w:ind w:left="794" w:right="794"/>
        <w:jc w:val="both"/>
        <w:rPr>
          <w:rFonts w:ascii="Palatino Linotype" w:hAnsi="Palatino Linotype" w:cs="Tahoma"/>
          <w:i/>
        </w:rPr>
      </w:pPr>
      <w:r w:rsidRPr="00A469EE">
        <w:rPr>
          <w:rFonts w:ascii="Palatino Linotype" w:hAnsi="Palatino Linotype" w:cs="Tahoma"/>
          <w:i/>
        </w:rPr>
        <w:t>Se emiten los anteriores argumentos y consideraciones de hecho y derecho para que puedan ser</w:t>
      </w:r>
      <w:r>
        <w:rPr>
          <w:rFonts w:ascii="Palatino Linotype" w:hAnsi="Palatino Linotype" w:cs="Tahoma"/>
          <w:i/>
        </w:rPr>
        <w:t xml:space="preserve"> </w:t>
      </w:r>
      <w:r w:rsidRPr="00A469EE">
        <w:rPr>
          <w:rFonts w:ascii="Palatino Linotype" w:hAnsi="Palatino Linotype" w:cs="Tahoma"/>
          <w:i/>
        </w:rPr>
        <w:t>considerados como informe justificado por parte del Sujeto Obligado, que contienen las directrices</w:t>
      </w:r>
      <w:r>
        <w:rPr>
          <w:rFonts w:ascii="Palatino Linotype" w:hAnsi="Palatino Linotype" w:cs="Tahoma"/>
          <w:i/>
        </w:rPr>
        <w:t xml:space="preserve"> </w:t>
      </w:r>
      <w:r w:rsidRPr="00A469EE">
        <w:rPr>
          <w:rFonts w:ascii="Palatino Linotype" w:hAnsi="Palatino Linotype" w:cs="Tahoma"/>
          <w:i/>
        </w:rPr>
        <w:t>marcadas como:</w:t>
      </w:r>
    </w:p>
    <w:p w14:paraId="75C6558F" w14:textId="77777777" w:rsidR="00A469EE" w:rsidRPr="00A469EE" w:rsidRDefault="00A469EE" w:rsidP="00A469EE">
      <w:pPr>
        <w:spacing w:line="360" w:lineRule="auto"/>
        <w:ind w:left="794" w:right="794"/>
        <w:jc w:val="both"/>
        <w:rPr>
          <w:rFonts w:ascii="Palatino Linotype" w:hAnsi="Palatino Linotype" w:cs="Tahoma"/>
          <w:i/>
        </w:rPr>
      </w:pPr>
    </w:p>
    <w:p w14:paraId="2771FC2B" w14:textId="3D498F4D" w:rsidR="00A469EE" w:rsidRDefault="00A469EE" w:rsidP="00A469EE">
      <w:pPr>
        <w:spacing w:line="360" w:lineRule="auto"/>
        <w:ind w:left="794" w:right="794"/>
        <w:jc w:val="both"/>
        <w:rPr>
          <w:rFonts w:ascii="Palatino Linotype" w:hAnsi="Palatino Linotype" w:cs="Tahoma"/>
          <w:i/>
        </w:rPr>
      </w:pPr>
      <w:r w:rsidRPr="00A469EE">
        <w:rPr>
          <w:rFonts w:ascii="Palatino Linotype" w:hAnsi="Palatino Linotype" w:cs="Tahoma"/>
          <w:i/>
        </w:rPr>
        <w:t>a) Las razones, motivos o causas que considere pertinentes para en su caso desvirtuar los</w:t>
      </w:r>
      <w:r>
        <w:rPr>
          <w:rFonts w:ascii="Palatino Linotype" w:hAnsi="Palatino Linotype" w:cs="Tahoma"/>
          <w:i/>
        </w:rPr>
        <w:t xml:space="preserve"> </w:t>
      </w:r>
      <w:r w:rsidRPr="00A469EE">
        <w:rPr>
          <w:rFonts w:ascii="Palatino Linotype" w:hAnsi="Palatino Linotype" w:cs="Tahoma"/>
          <w:i/>
        </w:rPr>
        <w:t>argumentos que está proporcionando el particular en la interposición del recurso de</w:t>
      </w:r>
      <w:r>
        <w:rPr>
          <w:rFonts w:ascii="Palatino Linotype" w:hAnsi="Palatino Linotype" w:cs="Tahoma"/>
          <w:i/>
        </w:rPr>
        <w:t xml:space="preserve"> </w:t>
      </w:r>
      <w:r w:rsidRPr="00A469EE">
        <w:rPr>
          <w:rFonts w:ascii="Palatino Linotype" w:hAnsi="Palatino Linotype" w:cs="Tahoma"/>
          <w:i/>
        </w:rPr>
        <w:t>revisión.</w:t>
      </w:r>
    </w:p>
    <w:p w14:paraId="4A0B3F82" w14:textId="77777777" w:rsidR="00A469EE" w:rsidRPr="00A469EE" w:rsidRDefault="00A469EE" w:rsidP="00A469EE">
      <w:pPr>
        <w:spacing w:line="360" w:lineRule="auto"/>
        <w:ind w:left="794" w:right="794"/>
        <w:jc w:val="both"/>
        <w:rPr>
          <w:rFonts w:ascii="Palatino Linotype" w:hAnsi="Palatino Linotype" w:cs="Tahoma"/>
          <w:i/>
        </w:rPr>
      </w:pPr>
    </w:p>
    <w:p w14:paraId="39E6CD3C" w14:textId="4F65B6C6" w:rsidR="00A469EE" w:rsidRDefault="00A469EE" w:rsidP="00A469EE">
      <w:pPr>
        <w:spacing w:line="360" w:lineRule="auto"/>
        <w:ind w:left="794" w:right="794"/>
        <w:jc w:val="both"/>
        <w:rPr>
          <w:rFonts w:ascii="Palatino Linotype" w:hAnsi="Palatino Linotype" w:cs="Tahoma"/>
          <w:i/>
        </w:rPr>
      </w:pPr>
      <w:r w:rsidRPr="00A469EE">
        <w:rPr>
          <w:rFonts w:ascii="Palatino Linotype" w:hAnsi="Palatino Linotype" w:cs="Tahoma"/>
          <w:i/>
        </w:rPr>
        <w:t>b) Si con la información adicional que está proporcionando el particular en su recurso de</w:t>
      </w:r>
      <w:r>
        <w:rPr>
          <w:rFonts w:ascii="Palatino Linotype" w:hAnsi="Palatino Linotype" w:cs="Tahoma"/>
          <w:i/>
        </w:rPr>
        <w:t xml:space="preserve"> </w:t>
      </w:r>
      <w:r w:rsidRPr="00A469EE">
        <w:rPr>
          <w:rFonts w:ascii="Palatino Linotype" w:hAnsi="Palatino Linotype" w:cs="Tahoma"/>
          <w:i/>
        </w:rPr>
        <w:t>revisión, su área tiene elementos para proporcionarle la información que solicita, la haga</w:t>
      </w:r>
      <w:r w:rsidR="008B6F7A">
        <w:rPr>
          <w:rFonts w:ascii="Palatino Linotype" w:hAnsi="Palatino Linotype" w:cs="Tahoma"/>
          <w:i/>
        </w:rPr>
        <w:t xml:space="preserve"> </w:t>
      </w:r>
      <w:r w:rsidRPr="00A469EE">
        <w:rPr>
          <w:rFonts w:ascii="Palatino Linotype" w:hAnsi="Palatino Linotype" w:cs="Tahoma"/>
          <w:i/>
        </w:rPr>
        <w:t>del conocimiento en dicho informe justificado. (Sic)</w:t>
      </w:r>
    </w:p>
    <w:p w14:paraId="2214E899" w14:textId="77777777" w:rsidR="00083A00" w:rsidRDefault="00083A00" w:rsidP="000A4DC8">
      <w:pPr>
        <w:spacing w:line="360" w:lineRule="auto"/>
        <w:ind w:left="567" w:right="567"/>
        <w:jc w:val="both"/>
        <w:rPr>
          <w:rFonts w:ascii="Palatino Linotype" w:hAnsi="Palatino Linotype" w:cs="Tahoma"/>
          <w:i/>
        </w:rPr>
      </w:pPr>
    </w:p>
    <w:p w14:paraId="0C21B947" w14:textId="35A9BA84" w:rsidR="008B6F7A" w:rsidRDefault="008B6F7A" w:rsidP="008B6F7A">
      <w:pPr>
        <w:spacing w:line="360" w:lineRule="auto"/>
        <w:ind w:left="567" w:right="567"/>
        <w:jc w:val="both"/>
        <w:rPr>
          <w:rFonts w:ascii="Palatino Linotype" w:hAnsi="Palatino Linotype" w:cs="Tahoma"/>
          <w:i/>
        </w:rPr>
      </w:pPr>
      <w:r w:rsidRPr="008B6F7A">
        <w:rPr>
          <w:rFonts w:ascii="Palatino Linotype" w:hAnsi="Palatino Linotype" w:cs="Tahoma"/>
          <w:i/>
        </w:rPr>
        <w:t>Finalmente, solicito a Usted tener por presentado en tiempo y forma el informe justificado y ratificar los</w:t>
      </w:r>
      <w:r>
        <w:rPr>
          <w:rFonts w:ascii="Palatino Linotype" w:hAnsi="Palatino Linotype" w:cs="Tahoma"/>
          <w:i/>
        </w:rPr>
        <w:t xml:space="preserve"> </w:t>
      </w:r>
      <w:r w:rsidRPr="008B6F7A">
        <w:rPr>
          <w:rFonts w:ascii="Palatino Linotype" w:hAnsi="Palatino Linotype" w:cs="Tahoma"/>
          <w:i/>
        </w:rPr>
        <w:t>términos en que se dio atención a la solicitud con número de folio 00140/SEDUM/ IP/2019.</w:t>
      </w:r>
    </w:p>
    <w:p w14:paraId="255DD07F" w14:textId="77777777" w:rsidR="003D5FF4" w:rsidRPr="00311C33" w:rsidRDefault="003D5FF4" w:rsidP="000A4DC8">
      <w:pPr>
        <w:spacing w:line="360" w:lineRule="auto"/>
        <w:ind w:left="567" w:right="567"/>
        <w:jc w:val="both"/>
        <w:rPr>
          <w:rFonts w:ascii="Palatino Linotype" w:hAnsi="Palatino Linotype" w:cs="Tahoma"/>
          <w:i/>
        </w:rPr>
      </w:pPr>
      <w:r w:rsidRPr="00311C33">
        <w:rPr>
          <w:rFonts w:ascii="Palatino Linotype" w:hAnsi="Palatino Linotype" w:cs="Tahoma"/>
          <w:i/>
        </w:rPr>
        <w:t>…”</w:t>
      </w:r>
    </w:p>
    <w:p w14:paraId="1B146816" w14:textId="77777777" w:rsidR="003D5FF4" w:rsidRDefault="003D5FF4" w:rsidP="000A4DC8">
      <w:pPr>
        <w:spacing w:line="360" w:lineRule="auto"/>
        <w:jc w:val="both"/>
        <w:rPr>
          <w:rFonts w:ascii="Palatino Linotype" w:hAnsi="Palatino Linotype" w:cs="Tahoma"/>
          <w:sz w:val="22"/>
          <w:szCs w:val="22"/>
        </w:rPr>
      </w:pPr>
    </w:p>
    <w:p w14:paraId="67059E49" w14:textId="401EDBBF" w:rsidR="008B6F7A" w:rsidRPr="008B6F7A" w:rsidRDefault="008B6F7A" w:rsidP="008B6F7A">
      <w:pPr>
        <w:widowControl w:val="0"/>
        <w:spacing w:line="360" w:lineRule="auto"/>
        <w:jc w:val="both"/>
        <w:rPr>
          <w:rFonts w:ascii="Palatino Linotype" w:hAnsi="Palatino Linotype" w:cs="Tahoma"/>
          <w:bCs/>
          <w:sz w:val="22"/>
          <w:szCs w:val="22"/>
        </w:rPr>
      </w:pPr>
      <w:r w:rsidRPr="008B6F7A">
        <w:rPr>
          <w:rFonts w:ascii="Palatino Linotype" w:hAnsi="Palatino Linotype" w:cs="Tahoma"/>
          <w:bCs/>
          <w:sz w:val="22"/>
          <w:szCs w:val="22"/>
        </w:rPr>
        <w:t>El Sujeto Obligado adjuntó la digitalización del oficio con número 21200005A/</w:t>
      </w:r>
      <w:r>
        <w:rPr>
          <w:rFonts w:ascii="Palatino Linotype" w:hAnsi="Palatino Linotype" w:cs="Tahoma"/>
          <w:bCs/>
          <w:sz w:val="22"/>
          <w:szCs w:val="22"/>
        </w:rPr>
        <w:t>1696</w:t>
      </w:r>
      <w:r w:rsidRPr="008B6F7A">
        <w:rPr>
          <w:rFonts w:ascii="Palatino Linotype" w:hAnsi="Palatino Linotype" w:cs="Tahoma"/>
          <w:bCs/>
          <w:sz w:val="22"/>
          <w:szCs w:val="22"/>
        </w:rPr>
        <w:t>/2019</w:t>
      </w:r>
      <w:r>
        <w:rPr>
          <w:rFonts w:ascii="Palatino Linotype" w:hAnsi="Palatino Linotype" w:cs="Tahoma"/>
          <w:bCs/>
          <w:sz w:val="22"/>
          <w:szCs w:val="22"/>
        </w:rPr>
        <w:t>, del veintinueve</w:t>
      </w:r>
      <w:r w:rsidRPr="008B6F7A">
        <w:rPr>
          <w:rFonts w:ascii="Palatino Linotype" w:hAnsi="Palatino Linotype" w:cs="Tahoma"/>
          <w:bCs/>
          <w:sz w:val="22"/>
          <w:szCs w:val="22"/>
        </w:rPr>
        <w:t xml:space="preserve"> de julio del dos mil diecinueve, suscrito por la Directora General de Operación Urbana y dirigido al Jefe de la Unidad de Información, Planeación, Programación y Evaluación, ambos de la Secretaría de Desarrollo Urbano y Metropolitano, cuyo contenido </w:t>
      </w:r>
      <w:r w:rsidR="006F164A">
        <w:rPr>
          <w:rFonts w:ascii="Palatino Linotype" w:hAnsi="Palatino Linotype" w:cs="Tahoma"/>
          <w:bCs/>
          <w:sz w:val="22"/>
          <w:szCs w:val="22"/>
        </w:rPr>
        <w:t>se encuentra en el Informe Justificado previamente referido</w:t>
      </w:r>
      <w:r w:rsidRPr="008B6F7A">
        <w:rPr>
          <w:rFonts w:ascii="Palatino Linotype" w:hAnsi="Palatino Linotype" w:cs="Tahoma"/>
          <w:bCs/>
          <w:sz w:val="22"/>
          <w:szCs w:val="22"/>
        </w:rPr>
        <w:t>.</w:t>
      </w:r>
    </w:p>
    <w:p w14:paraId="420E94DE" w14:textId="77777777" w:rsidR="005C6916" w:rsidRDefault="005C6916" w:rsidP="000A4DC8">
      <w:pPr>
        <w:widowControl w:val="0"/>
        <w:spacing w:line="360" w:lineRule="auto"/>
        <w:jc w:val="both"/>
        <w:rPr>
          <w:rFonts w:ascii="Palatino Linotype" w:hAnsi="Palatino Linotype" w:cs="Tahoma"/>
          <w:b/>
          <w:sz w:val="22"/>
          <w:szCs w:val="22"/>
        </w:rPr>
      </w:pPr>
    </w:p>
    <w:p w14:paraId="7B166DD5" w14:textId="13707CE5" w:rsidR="006F164A" w:rsidRDefault="0061115C" w:rsidP="000A4DC8">
      <w:pPr>
        <w:widowControl w:val="0"/>
        <w:spacing w:line="360" w:lineRule="auto"/>
        <w:jc w:val="both"/>
        <w:rPr>
          <w:rFonts w:ascii="Palatino Linotype" w:hAnsi="Palatino Linotype" w:cs="Tahoma"/>
          <w:b/>
          <w:sz w:val="22"/>
          <w:szCs w:val="22"/>
        </w:rPr>
      </w:pPr>
      <w:r w:rsidRPr="00AD50F9">
        <w:rPr>
          <w:rFonts w:ascii="Palatino Linotype" w:hAnsi="Palatino Linotype" w:cs="Tahoma"/>
          <w:b/>
          <w:sz w:val="22"/>
          <w:szCs w:val="22"/>
        </w:rPr>
        <w:t xml:space="preserve">d) </w:t>
      </w:r>
      <w:r w:rsidR="006F164A" w:rsidRPr="00AD50F9">
        <w:rPr>
          <w:rFonts w:ascii="Palatino Linotype" w:hAnsi="Palatino Linotype" w:cs="Tahoma"/>
          <w:b/>
          <w:bCs/>
          <w:sz w:val="22"/>
          <w:szCs w:val="22"/>
          <w:lang w:val="es-ES"/>
        </w:rPr>
        <w:t>Ampliación del plazo para resolver</w:t>
      </w:r>
      <w:r w:rsidR="006F164A">
        <w:rPr>
          <w:rFonts w:ascii="Palatino Linotype" w:hAnsi="Palatino Linotype" w:cs="Tahoma"/>
          <w:b/>
          <w:bCs/>
          <w:sz w:val="22"/>
          <w:szCs w:val="22"/>
          <w:lang w:val="es-ES"/>
        </w:rPr>
        <w:t>.</w:t>
      </w:r>
      <w:r w:rsidR="006F164A" w:rsidRPr="00AD50F9">
        <w:rPr>
          <w:rFonts w:ascii="Palatino Linotype" w:hAnsi="Palatino Linotype" w:cs="Tahoma"/>
          <w:b/>
          <w:bCs/>
          <w:sz w:val="22"/>
          <w:szCs w:val="22"/>
          <w:lang w:val="es-ES"/>
        </w:rPr>
        <w:t> </w:t>
      </w:r>
      <w:r w:rsidR="006F164A" w:rsidRPr="00AD50F9">
        <w:rPr>
          <w:rFonts w:ascii="Palatino Linotype" w:hAnsi="Palatino Linotype" w:cs="Tahoma"/>
          <w:sz w:val="22"/>
          <w:szCs w:val="22"/>
          <w:lang w:val="es-ES"/>
        </w:rPr>
        <w:t xml:space="preserve">El </w:t>
      </w:r>
      <w:r w:rsidR="006F164A">
        <w:rPr>
          <w:rFonts w:ascii="Palatino Linotype" w:hAnsi="Palatino Linotype" w:cs="Tahoma"/>
          <w:sz w:val="22"/>
          <w:szCs w:val="22"/>
          <w:lang w:val="es-ES"/>
        </w:rPr>
        <w:t>doce de septiembre</w:t>
      </w:r>
      <w:r w:rsidR="006F164A" w:rsidRPr="00AD50F9">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w:t>
      </w:r>
      <w:r w:rsidR="006F164A" w:rsidRPr="00AD50F9">
        <w:rPr>
          <w:rFonts w:ascii="Palatino Linotype" w:hAnsi="Palatino Linotype" w:cs="Tahoma"/>
          <w:sz w:val="22"/>
          <w:szCs w:val="22"/>
          <w:lang w:val="es-ES"/>
        </w:rPr>
        <w:lastRenderedPageBreak/>
        <w:t xml:space="preserve">acordó ampliar por un periodo de quince días hábiles, el plazo para resolver los recursos de revisión que nos ocupan; acto que fue notificado a las partes, mediante el Sistema de Acceso a la Información Mexiquense (SAIMEX), </w:t>
      </w:r>
      <w:r w:rsidR="006F164A">
        <w:rPr>
          <w:rFonts w:ascii="Palatino Linotype" w:hAnsi="Palatino Linotype" w:cs="Tahoma"/>
          <w:sz w:val="22"/>
          <w:szCs w:val="22"/>
          <w:lang w:val="es-ES"/>
        </w:rPr>
        <w:t>el veintinueve del mismo mes y año</w:t>
      </w:r>
      <w:r w:rsidR="006F164A" w:rsidRPr="00AD50F9">
        <w:rPr>
          <w:rFonts w:ascii="Palatino Linotype" w:hAnsi="Palatino Linotype" w:cs="Tahoma"/>
          <w:sz w:val="22"/>
          <w:szCs w:val="22"/>
          <w:lang w:val="es-ES"/>
        </w:rPr>
        <w:t>.</w:t>
      </w:r>
    </w:p>
    <w:p w14:paraId="2A8AE3F7" w14:textId="77777777" w:rsidR="006F164A" w:rsidRDefault="006F164A" w:rsidP="000A4DC8">
      <w:pPr>
        <w:widowControl w:val="0"/>
        <w:spacing w:line="360" w:lineRule="auto"/>
        <w:jc w:val="both"/>
        <w:rPr>
          <w:rFonts w:ascii="Palatino Linotype" w:hAnsi="Palatino Linotype" w:cs="Tahoma"/>
          <w:b/>
          <w:sz w:val="22"/>
          <w:szCs w:val="22"/>
        </w:rPr>
      </w:pPr>
    </w:p>
    <w:p w14:paraId="78E9E68F" w14:textId="7E2FACBE" w:rsidR="002F16C1" w:rsidRPr="00AD50F9" w:rsidRDefault="006F164A" w:rsidP="000A4DC8">
      <w:pPr>
        <w:widowControl w:val="0"/>
        <w:spacing w:line="360" w:lineRule="auto"/>
        <w:jc w:val="both"/>
        <w:rPr>
          <w:rFonts w:ascii="Palatino Linotype" w:hAnsi="Palatino Linotype" w:cs="Tahoma"/>
          <w:sz w:val="22"/>
          <w:szCs w:val="22"/>
          <w:lang w:val="es-ES"/>
        </w:rPr>
      </w:pPr>
      <w:r w:rsidRPr="006F164A">
        <w:rPr>
          <w:rFonts w:ascii="Palatino Linotype" w:hAnsi="Palatino Linotype" w:cs="Tahoma"/>
          <w:b/>
          <w:bCs/>
          <w:sz w:val="22"/>
          <w:szCs w:val="22"/>
          <w:lang w:val="es-ES"/>
        </w:rPr>
        <w:t xml:space="preserve">e) </w:t>
      </w:r>
      <w:r w:rsidR="002F16C1" w:rsidRPr="00AD50F9">
        <w:rPr>
          <w:rFonts w:ascii="Palatino Linotype" w:hAnsi="Palatino Linotype" w:cs="Tahoma"/>
          <w:b/>
          <w:sz w:val="22"/>
          <w:szCs w:val="22"/>
        </w:rPr>
        <w:t xml:space="preserve">Vista del Informe Justificado: </w:t>
      </w:r>
      <w:r w:rsidR="002F16C1" w:rsidRPr="00AD50F9">
        <w:rPr>
          <w:rFonts w:ascii="Palatino Linotype" w:hAnsi="Palatino Linotype" w:cs="Tahoma"/>
          <w:sz w:val="22"/>
          <w:szCs w:val="22"/>
        </w:rPr>
        <w:t>El</w:t>
      </w:r>
      <w:r w:rsidR="00F83D15">
        <w:rPr>
          <w:rFonts w:ascii="Palatino Linotype" w:hAnsi="Palatino Linotype" w:cs="Tahoma"/>
          <w:sz w:val="22"/>
          <w:szCs w:val="22"/>
        </w:rPr>
        <w:t xml:space="preserve"> </w:t>
      </w:r>
      <w:r w:rsidR="00AD32C4">
        <w:rPr>
          <w:rFonts w:ascii="Palatino Linotype" w:hAnsi="Palatino Linotype" w:cs="Tahoma"/>
          <w:sz w:val="22"/>
          <w:szCs w:val="22"/>
        </w:rPr>
        <w:t>d</w:t>
      </w:r>
      <w:r>
        <w:rPr>
          <w:rFonts w:ascii="Palatino Linotype" w:hAnsi="Palatino Linotype" w:cs="Tahoma"/>
          <w:sz w:val="22"/>
          <w:szCs w:val="22"/>
        </w:rPr>
        <w:t>ieciocho</w:t>
      </w:r>
      <w:r w:rsidR="00AD32C4">
        <w:rPr>
          <w:rFonts w:ascii="Palatino Linotype" w:hAnsi="Palatino Linotype" w:cs="Tahoma"/>
          <w:sz w:val="22"/>
          <w:szCs w:val="22"/>
        </w:rPr>
        <w:t xml:space="preserve"> de septiembre</w:t>
      </w:r>
      <w:r w:rsidR="000F4F79">
        <w:rPr>
          <w:rFonts w:ascii="Palatino Linotype" w:hAnsi="Palatino Linotype" w:cs="Tahoma"/>
          <w:sz w:val="22"/>
          <w:szCs w:val="22"/>
        </w:rPr>
        <w:t xml:space="preserve"> </w:t>
      </w:r>
      <w:r w:rsidR="002F16C1" w:rsidRPr="00AD50F9">
        <w:rPr>
          <w:rFonts w:ascii="Palatino Linotype" w:hAnsi="Palatino Linotype" w:cs="Tahoma"/>
          <w:sz w:val="22"/>
          <w:szCs w:val="22"/>
        </w:rPr>
        <w:t xml:space="preserve">de dos mil diecinueve, se dictó acuerdo mediante el cual </w:t>
      </w:r>
      <w:r w:rsidR="002F16C1" w:rsidRPr="00AD50F9">
        <w:rPr>
          <w:rFonts w:ascii="Palatino Linotype" w:hAnsi="Palatino Linotype" w:cs="Tahoma"/>
          <w:b/>
          <w:sz w:val="22"/>
          <w:szCs w:val="22"/>
        </w:rPr>
        <w:t xml:space="preserve">se pusieron a la vista </w:t>
      </w:r>
      <w:r w:rsidR="00944DFE">
        <w:rPr>
          <w:rFonts w:ascii="Palatino Linotype" w:hAnsi="Palatino Linotype" w:cs="Tahoma"/>
          <w:b/>
          <w:sz w:val="22"/>
          <w:szCs w:val="22"/>
        </w:rPr>
        <w:t>del</w:t>
      </w:r>
      <w:r w:rsidR="002F16C1" w:rsidRPr="00AD50F9">
        <w:rPr>
          <w:rFonts w:ascii="Palatino Linotype" w:hAnsi="Palatino Linotype" w:cs="Tahoma"/>
          <w:b/>
          <w:sz w:val="22"/>
          <w:szCs w:val="22"/>
        </w:rPr>
        <w:t xml:space="preserve"> Particular </w:t>
      </w:r>
      <w:r w:rsidR="002F16C1">
        <w:rPr>
          <w:rFonts w:ascii="Palatino Linotype" w:hAnsi="Palatino Linotype" w:cs="Tahoma"/>
          <w:b/>
          <w:sz w:val="22"/>
          <w:szCs w:val="22"/>
        </w:rPr>
        <w:t>el Informe Justificado</w:t>
      </w:r>
      <w:r w:rsidR="002F16C1" w:rsidRPr="00AD50F9">
        <w:rPr>
          <w:rFonts w:ascii="Palatino Linotype" w:hAnsi="Palatino Linotype" w:cs="Tahoma"/>
          <w:sz w:val="22"/>
          <w:szCs w:val="22"/>
        </w:rPr>
        <w:t xml:space="preserve"> entregado por el Sujeto Obligado, así como los documentos adjuntos, por haber </w:t>
      </w:r>
      <w:r w:rsidR="002F16C1">
        <w:rPr>
          <w:rFonts w:ascii="Palatino Linotype" w:hAnsi="Palatino Linotype" w:cs="Tahoma"/>
          <w:sz w:val="22"/>
          <w:szCs w:val="22"/>
        </w:rPr>
        <w:t>ratificado</w:t>
      </w:r>
      <w:r w:rsidR="002F16C1" w:rsidRPr="00AD50F9">
        <w:rPr>
          <w:rFonts w:ascii="Palatino Linotype" w:hAnsi="Palatino Linotype" w:cs="Tahoma"/>
          <w:sz w:val="22"/>
          <w:szCs w:val="22"/>
        </w:rPr>
        <w:t xml:space="preserve"> su respuesta inicial, el cual fue notificado a las partes</w:t>
      </w:r>
      <w:r w:rsidR="00F83D15">
        <w:rPr>
          <w:rFonts w:ascii="Palatino Linotype" w:hAnsi="Palatino Linotype" w:cs="Tahoma"/>
          <w:sz w:val="22"/>
          <w:szCs w:val="22"/>
        </w:rPr>
        <w:t xml:space="preserve"> el mismo días</w:t>
      </w:r>
      <w:r w:rsidR="002F16C1" w:rsidRPr="00AD50F9">
        <w:rPr>
          <w:rFonts w:ascii="Palatino Linotype" w:hAnsi="Palatino Linotype" w:cs="Tahoma"/>
          <w:sz w:val="22"/>
          <w:szCs w:val="22"/>
        </w:rPr>
        <w:t xml:space="preserve">, a través del Sistema de Acceso a la Información Mexiquense (SAIMEX). </w:t>
      </w:r>
      <w:r w:rsidR="002F16C1" w:rsidRPr="00AD50F9">
        <w:rPr>
          <w:rFonts w:ascii="Palatino Linotype" w:hAnsi="Palatino Linotype" w:cs="Tahoma"/>
          <w:b/>
          <w:sz w:val="22"/>
          <w:szCs w:val="22"/>
        </w:rPr>
        <w:t>No obstante</w:t>
      </w:r>
      <w:r w:rsidR="002F16C1" w:rsidRPr="00AD50F9">
        <w:rPr>
          <w:rFonts w:ascii="Palatino Linotype" w:hAnsi="Palatino Linotype" w:cs="Tahoma"/>
          <w:b/>
          <w:bCs/>
          <w:iCs/>
          <w:sz w:val="22"/>
          <w:szCs w:val="22"/>
          <w:lang w:val="es-ES_tradnl"/>
        </w:rPr>
        <w:t xml:space="preserve">, </w:t>
      </w:r>
      <w:r w:rsidR="00944DFE">
        <w:rPr>
          <w:rFonts w:ascii="Palatino Linotype" w:hAnsi="Palatino Linotype" w:cs="Tahoma"/>
          <w:b/>
          <w:bCs/>
          <w:iCs/>
          <w:sz w:val="22"/>
          <w:szCs w:val="22"/>
          <w:lang w:val="es-ES_tradnl"/>
        </w:rPr>
        <w:t>el</w:t>
      </w:r>
      <w:r w:rsidR="002F16C1" w:rsidRPr="00AD50F9">
        <w:rPr>
          <w:rFonts w:ascii="Palatino Linotype" w:hAnsi="Palatino Linotype" w:cs="Tahoma"/>
          <w:b/>
          <w:bCs/>
          <w:iCs/>
          <w:sz w:val="22"/>
          <w:szCs w:val="22"/>
          <w:lang w:val="es-ES_tradnl"/>
        </w:rPr>
        <w:t xml:space="preserve"> Recurrente omitió realizar manifestación alguna que a su derecho conviniera y asistiera</w:t>
      </w:r>
      <w:r w:rsidR="002F16C1" w:rsidRPr="00AD50F9">
        <w:rPr>
          <w:rFonts w:ascii="Palatino Linotype" w:hAnsi="Palatino Linotype" w:cs="Tahoma"/>
          <w:b/>
          <w:bCs/>
          <w:iCs/>
          <w:sz w:val="22"/>
          <w:szCs w:val="22"/>
        </w:rPr>
        <w:t>.</w:t>
      </w:r>
    </w:p>
    <w:p w14:paraId="47C7F944" w14:textId="77777777" w:rsidR="006F164A" w:rsidRDefault="006F164A" w:rsidP="000A4DC8">
      <w:pPr>
        <w:widowControl w:val="0"/>
        <w:spacing w:line="360" w:lineRule="auto"/>
        <w:jc w:val="both"/>
        <w:rPr>
          <w:rFonts w:ascii="Palatino Linotype" w:hAnsi="Palatino Linotype" w:cs="Tahoma"/>
          <w:sz w:val="22"/>
          <w:szCs w:val="22"/>
          <w:lang w:val="es-ES"/>
        </w:rPr>
      </w:pPr>
    </w:p>
    <w:p w14:paraId="7E74FBB0" w14:textId="44F525E3" w:rsidR="00B31222" w:rsidRPr="00AD50F9" w:rsidRDefault="00B81D4A" w:rsidP="000A4DC8">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AD32C4">
        <w:rPr>
          <w:rFonts w:ascii="Palatino Linotype" w:hAnsi="Palatino Linotype" w:cs="Tahoma"/>
          <w:b/>
          <w:sz w:val="22"/>
          <w:szCs w:val="22"/>
        </w:rPr>
        <w:t xml:space="preserve">) </w:t>
      </w:r>
      <w:r w:rsidR="00B31222" w:rsidRPr="00AD50F9">
        <w:rPr>
          <w:rFonts w:ascii="Palatino Linotype" w:hAnsi="Palatino Linotype" w:cs="Tahoma"/>
          <w:b/>
          <w:sz w:val="22"/>
          <w:szCs w:val="22"/>
        </w:rPr>
        <w:t>Cierre de instrucción</w:t>
      </w:r>
      <w:r w:rsidR="008E5077" w:rsidRPr="00AD50F9">
        <w:rPr>
          <w:rFonts w:ascii="Palatino Linotype" w:hAnsi="Palatino Linotype" w:cs="Tahoma"/>
          <w:b/>
          <w:sz w:val="22"/>
          <w:szCs w:val="22"/>
        </w:rPr>
        <w:t>.</w:t>
      </w:r>
      <w:r w:rsidR="00B31222" w:rsidRPr="00AD50F9">
        <w:rPr>
          <w:rFonts w:ascii="Palatino Linotype" w:hAnsi="Palatino Linotype" w:cs="Tahoma"/>
          <w:sz w:val="22"/>
          <w:szCs w:val="22"/>
        </w:rPr>
        <w:t xml:space="preserve"> El </w:t>
      </w:r>
      <w:r w:rsidR="0032702D">
        <w:rPr>
          <w:rFonts w:ascii="Palatino Linotype" w:hAnsi="Palatino Linotype" w:cs="Tahoma"/>
          <w:sz w:val="22"/>
          <w:szCs w:val="22"/>
        </w:rPr>
        <w:t>veinticinco</w:t>
      </w:r>
      <w:r w:rsidR="00AD32C4">
        <w:rPr>
          <w:rFonts w:ascii="Palatino Linotype" w:hAnsi="Palatino Linotype" w:cs="Tahoma"/>
          <w:sz w:val="22"/>
          <w:szCs w:val="22"/>
        </w:rPr>
        <w:t xml:space="preserve"> de septiembre</w:t>
      </w:r>
      <w:r w:rsidR="00AF4C29" w:rsidRPr="00AD50F9">
        <w:rPr>
          <w:rFonts w:ascii="Palatino Linotype" w:hAnsi="Palatino Linotype" w:cs="Tahoma"/>
          <w:sz w:val="22"/>
          <w:szCs w:val="22"/>
        </w:rPr>
        <w:t xml:space="preserve"> de dos mil diecinueve</w:t>
      </w:r>
      <w:r w:rsidR="00B31222" w:rsidRPr="00AD50F9">
        <w:rPr>
          <w:rFonts w:ascii="Palatino Linotype" w:hAnsi="Palatino Linotype" w:cs="Tahoma"/>
          <w:sz w:val="22"/>
          <w:szCs w:val="22"/>
        </w:rPr>
        <w:t>, al no existir diligencias pendientes por desahogar, se emitió el acuerdo por medio del cual se declaró cerrada la instrucción</w:t>
      </w:r>
      <w:r w:rsidR="008839DA" w:rsidRPr="00AD50F9">
        <w:rPr>
          <w:rFonts w:ascii="Palatino Linotype" w:hAnsi="Palatino Linotype" w:cs="Tahoma"/>
          <w:sz w:val="22"/>
          <w:szCs w:val="22"/>
        </w:rPr>
        <w:t xml:space="preserve"> y se determinó</w:t>
      </w:r>
      <w:r w:rsidR="00CF43D5" w:rsidRPr="00AD50F9">
        <w:rPr>
          <w:rFonts w:ascii="Palatino Linotype" w:hAnsi="Palatino Linotype" w:cs="Tahoma"/>
          <w:sz w:val="22"/>
          <w:szCs w:val="22"/>
        </w:rPr>
        <w:t xml:space="preserve"> </w:t>
      </w:r>
      <w:r w:rsidR="008839DA" w:rsidRPr="00AD50F9">
        <w:rPr>
          <w:rFonts w:ascii="Palatino Linotype" w:hAnsi="Palatino Linotype" w:cs="Tahoma"/>
          <w:sz w:val="22"/>
          <w:szCs w:val="22"/>
        </w:rPr>
        <w:t xml:space="preserve">pasar </w:t>
      </w:r>
      <w:r w:rsidR="00B31222" w:rsidRPr="00AD50F9">
        <w:rPr>
          <w:rFonts w:ascii="Palatino Linotype" w:hAnsi="Palatino Linotype" w:cs="Tahoma"/>
          <w:sz w:val="22"/>
          <w:szCs w:val="22"/>
        </w:rPr>
        <w:t>el expediente a resolución, en términos de lo dispuesto en los artículos 1</w:t>
      </w:r>
      <w:r w:rsidR="0048519E" w:rsidRPr="00AD50F9">
        <w:rPr>
          <w:rFonts w:ascii="Palatino Linotype" w:hAnsi="Palatino Linotype" w:cs="Tahoma"/>
          <w:sz w:val="22"/>
          <w:szCs w:val="22"/>
        </w:rPr>
        <w:t>85</w:t>
      </w:r>
      <w:r w:rsidR="00B31222" w:rsidRPr="00AD50F9">
        <w:rPr>
          <w:rFonts w:ascii="Palatino Linotype" w:hAnsi="Palatino Linotype" w:cs="Tahoma"/>
          <w:sz w:val="22"/>
          <w:szCs w:val="22"/>
        </w:rPr>
        <w:t xml:space="preserve">, fracciones VI y VIII de la Ley </w:t>
      </w:r>
      <w:r w:rsidR="0048519E" w:rsidRPr="00AD50F9">
        <w:rPr>
          <w:rFonts w:ascii="Palatino Linotype" w:hAnsi="Palatino Linotype" w:cs="Tahoma"/>
          <w:sz w:val="22"/>
          <w:szCs w:val="22"/>
        </w:rPr>
        <w:t>de Transparencia y Acceso a la Información Pública del Estado de México y Municipios</w:t>
      </w:r>
      <w:r w:rsidR="00B31222" w:rsidRPr="00AD50F9">
        <w:rPr>
          <w:rFonts w:ascii="Palatino Linotype" w:hAnsi="Palatino Linotype" w:cs="Tahoma"/>
          <w:sz w:val="22"/>
          <w:szCs w:val="22"/>
        </w:rPr>
        <w:t xml:space="preserve">, mismo que fue notificado a las partes </w:t>
      </w:r>
      <w:r w:rsidR="0048519E" w:rsidRPr="00AD50F9">
        <w:rPr>
          <w:rFonts w:ascii="Palatino Linotype" w:hAnsi="Palatino Linotype" w:cs="Tahoma"/>
          <w:sz w:val="22"/>
          <w:szCs w:val="22"/>
        </w:rPr>
        <w:t xml:space="preserve">el mismo día, a través del </w:t>
      </w:r>
      <w:r w:rsidR="000313A7" w:rsidRPr="00AD50F9">
        <w:rPr>
          <w:rFonts w:ascii="Palatino Linotype" w:hAnsi="Palatino Linotype" w:cs="Tahoma"/>
          <w:sz w:val="22"/>
          <w:szCs w:val="22"/>
          <w:lang w:val="es-ES"/>
        </w:rPr>
        <w:t>Sistema de Acceso a la Información Mexiquense (SAIMEX)</w:t>
      </w:r>
      <w:r w:rsidR="006A026A" w:rsidRPr="00AD50F9">
        <w:rPr>
          <w:rFonts w:ascii="Palatino Linotype" w:hAnsi="Palatino Linotype" w:cs="Tahoma"/>
          <w:sz w:val="22"/>
          <w:szCs w:val="22"/>
        </w:rPr>
        <w:t>.</w:t>
      </w:r>
    </w:p>
    <w:p w14:paraId="68E88579" w14:textId="77777777" w:rsidR="00B31222" w:rsidRPr="00AD50F9" w:rsidRDefault="00B31222" w:rsidP="000A4DC8">
      <w:pPr>
        <w:spacing w:line="360" w:lineRule="auto"/>
        <w:jc w:val="both"/>
        <w:rPr>
          <w:rFonts w:ascii="Palatino Linotype" w:hAnsi="Palatino Linotype" w:cs="Tahoma"/>
          <w:b/>
          <w:sz w:val="22"/>
          <w:szCs w:val="22"/>
        </w:rPr>
      </w:pPr>
    </w:p>
    <w:p w14:paraId="3B555A95" w14:textId="77777777" w:rsidR="004F2D88" w:rsidRPr="00AD50F9" w:rsidRDefault="004F2D88" w:rsidP="000A4DC8">
      <w:pPr>
        <w:spacing w:line="360" w:lineRule="auto"/>
        <w:jc w:val="both"/>
        <w:rPr>
          <w:rFonts w:ascii="Palatino Linotype" w:hAnsi="Palatino Linotype" w:cs="Tahoma"/>
          <w:color w:val="000000"/>
          <w:sz w:val="22"/>
          <w:szCs w:val="22"/>
        </w:rPr>
      </w:pPr>
      <w:r w:rsidRPr="00AD50F9">
        <w:rPr>
          <w:rFonts w:ascii="Palatino Linotype" w:hAnsi="Palatino Linotype" w:cs="Tahoma"/>
          <w:color w:val="000000"/>
          <w:sz w:val="22"/>
          <w:szCs w:val="22"/>
        </w:rPr>
        <w:t xml:space="preserve">En </w:t>
      </w:r>
      <w:r w:rsidR="00367F82" w:rsidRPr="00AD50F9">
        <w:rPr>
          <w:rFonts w:ascii="Palatino Linotype" w:hAnsi="Palatino Linotype" w:cs="Tahoma"/>
          <w:color w:val="000000"/>
          <w:sz w:val="22"/>
          <w:szCs w:val="22"/>
        </w:rPr>
        <w:t>razón de que fue debidamente su</w:t>
      </w:r>
      <w:r w:rsidRPr="00AD50F9">
        <w:rPr>
          <w:rFonts w:ascii="Palatino Linotype" w:hAnsi="Palatino Linotype" w:cs="Tahoma"/>
          <w:color w:val="000000"/>
          <w:sz w:val="22"/>
          <w:szCs w:val="22"/>
        </w:rPr>
        <w:t xml:space="preserve">stanciado el expediente </w:t>
      </w:r>
      <w:r w:rsidR="00367F82" w:rsidRPr="00AD50F9">
        <w:rPr>
          <w:rFonts w:ascii="Palatino Linotype" w:hAnsi="Palatino Linotype" w:cs="Tahoma"/>
          <w:color w:val="000000"/>
          <w:sz w:val="22"/>
          <w:szCs w:val="22"/>
        </w:rPr>
        <w:t xml:space="preserve">electrónico </w:t>
      </w:r>
      <w:r w:rsidRPr="00AD50F9">
        <w:rPr>
          <w:rFonts w:ascii="Palatino Linotype" w:hAnsi="Palatino Linotype" w:cs="Tahoma"/>
          <w:color w:val="000000"/>
          <w:sz w:val="22"/>
          <w:szCs w:val="22"/>
        </w:rPr>
        <w:t>y no exist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dilige</w:t>
      </w:r>
      <w:r w:rsidR="00367F82" w:rsidRPr="00AD50F9">
        <w:rPr>
          <w:rFonts w:ascii="Palatino Linotype" w:hAnsi="Palatino Linotype" w:cs="Tahoma"/>
          <w:color w:val="000000"/>
          <w:sz w:val="22"/>
          <w:szCs w:val="22"/>
        </w:rPr>
        <w:t xml:space="preserve">ncia pendiente de desahogo, se </w:t>
      </w:r>
      <w:r w:rsidRPr="00AD50F9">
        <w:rPr>
          <w:rFonts w:ascii="Palatino Linotype" w:hAnsi="Palatino Linotype" w:cs="Tahoma"/>
          <w:color w:val="000000"/>
          <w:sz w:val="22"/>
          <w:szCs w:val="22"/>
        </w:rPr>
        <w:t>emit</w:t>
      </w:r>
      <w:r w:rsidR="00367F82" w:rsidRPr="00AD50F9">
        <w:rPr>
          <w:rFonts w:ascii="Palatino Linotype" w:hAnsi="Palatino Linotype" w:cs="Tahoma"/>
          <w:color w:val="000000"/>
          <w:sz w:val="22"/>
          <w:szCs w:val="22"/>
        </w:rPr>
        <w:t>e</w:t>
      </w:r>
      <w:r w:rsidRPr="00AD50F9">
        <w:rPr>
          <w:rFonts w:ascii="Palatino Linotype" w:hAnsi="Palatino Linotype" w:cs="Tahoma"/>
          <w:color w:val="000000"/>
          <w:sz w:val="22"/>
          <w:szCs w:val="22"/>
        </w:rPr>
        <w:t xml:space="preserve"> la resolución que conforme a Derecho proceda, de acuerdo a l</w:t>
      </w:r>
      <w:r w:rsidR="009A620E" w:rsidRPr="00AD50F9">
        <w:rPr>
          <w:rFonts w:ascii="Palatino Linotype" w:hAnsi="Palatino Linotype" w:cs="Tahoma"/>
          <w:color w:val="000000"/>
          <w:sz w:val="22"/>
          <w:szCs w:val="22"/>
        </w:rPr>
        <w:t>o</w:t>
      </w:r>
      <w:r w:rsidRPr="00AD50F9">
        <w:rPr>
          <w:rFonts w:ascii="Palatino Linotype" w:hAnsi="Palatino Linotype" w:cs="Tahoma"/>
          <w:color w:val="000000"/>
          <w:sz w:val="22"/>
          <w:szCs w:val="22"/>
        </w:rPr>
        <w:t xml:space="preserve">s siguientes: </w:t>
      </w:r>
    </w:p>
    <w:p w14:paraId="5480E7FC" w14:textId="77777777" w:rsidR="00A56F39" w:rsidRPr="00AD50F9" w:rsidRDefault="00A56F39" w:rsidP="000A4DC8">
      <w:pPr>
        <w:spacing w:line="360" w:lineRule="auto"/>
        <w:jc w:val="center"/>
        <w:rPr>
          <w:rFonts w:ascii="Palatino Linotype" w:hAnsi="Palatino Linotype" w:cs="Tahoma"/>
          <w:b/>
          <w:sz w:val="22"/>
          <w:szCs w:val="22"/>
        </w:rPr>
      </w:pPr>
    </w:p>
    <w:p w14:paraId="705090ED" w14:textId="77777777" w:rsidR="004F2D88" w:rsidRPr="00AD50F9" w:rsidRDefault="009A620E" w:rsidP="000A4DC8">
      <w:pPr>
        <w:spacing w:line="360" w:lineRule="auto"/>
        <w:jc w:val="center"/>
        <w:rPr>
          <w:rFonts w:ascii="Palatino Linotype" w:hAnsi="Palatino Linotype" w:cs="Tahoma"/>
          <w:b/>
          <w:sz w:val="22"/>
          <w:szCs w:val="22"/>
          <w:lang w:val="es-ES"/>
        </w:rPr>
      </w:pPr>
      <w:r w:rsidRPr="00AD50F9">
        <w:rPr>
          <w:rFonts w:ascii="Palatino Linotype" w:hAnsi="Palatino Linotype" w:cs="Tahoma"/>
          <w:b/>
          <w:sz w:val="22"/>
          <w:szCs w:val="22"/>
          <w:lang w:val="es-ES"/>
        </w:rPr>
        <w:t>CONSIDERANDOS</w:t>
      </w:r>
      <w:r w:rsidR="004F2D88" w:rsidRPr="00AD50F9">
        <w:rPr>
          <w:rFonts w:ascii="Palatino Linotype" w:hAnsi="Palatino Linotype" w:cs="Tahoma"/>
          <w:b/>
          <w:sz w:val="22"/>
          <w:szCs w:val="22"/>
          <w:lang w:val="es-ES"/>
        </w:rPr>
        <w:t>:</w:t>
      </w:r>
    </w:p>
    <w:p w14:paraId="3CDB921C" w14:textId="77777777" w:rsidR="000B7978" w:rsidRDefault="000B7978" w:rsidP="000A4DC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45F8E124" w14:textId="77777777" w:rsidR="00B64641" w:rsidRPr="00AD50F9" w:rsidRDefault="00B64641" w:rsidP="000A4DC8">
      <w:pPr>
        <w:autoSpaceDE w:val="0"/>
        <w:autoSpaceDN w:val="0"/>
        <w:adjustRightInd w:val="0"/>
        <w:spacing w:line="360" w:lineRule="auto"/>
        <w:jc w:val="both"/>
        <w:rPr>
          <w:rFonts w:ascii="Palatino Linotype" w:hAnsi="Palatino Linotype" w:cs="Tahoma"/>
          <w:b/>
          <w:sz w:val="22"/>
          <w:szCs w:val="22"/>
          <w:lang w:val="es-ES"/>
        </w:rPr>
      </w:pPr>
      <w:r w:rsidRPr="00AD50F9">
        <w:rPr>
          <w:rFonts w:ascii="Palatino Linotype" w:eastAsia="Calibri" w:hAnsi="Palatino Linotype" w:cs="Tahoma"/>
          <w:b/>
          <w:color w:val="000000"/>
          <w:sz w:val="22"/>
          <w:szCs w:val="22"/>
          <w:lang w:val="es-ES" w:eastAsia="es-MX"/>
        </w:rPr>
        <w:t>PRIMER</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Competencia.</w:t>
      </w:r>
    </w:p>
    <w:p w14:paraId="77E1F4A5" w14:textId="77777777" w:rsidR="00B727C5" w:rsidRPr="00AD50F9" w:rsidRDefault="00B727C5" w:rsidP="000A4DC8">
      <w:pPr>
        <w:autoSpaceDE w:val="0"/>
        <w:autoSpaceDN w:val="0"/>
        <w:adjustRightInd w:val="0"/>
        <w:spacing w:line="360" w:lineRule="auto"/>
        <w:jc w:val="both"/>
        <w:rPr>
          <w:rFonts w:ascii="Palatino Linotype" w:hAnsi="Palatino Linotype" w:cs="Tahoma"/>
          <w:sz w:val="22"/>
          <w:szCs w:val="22"/>
          <w:lang w:val="es-ES"/>
        </w:rPr>
      </w:pPr>
    </w:p>
    <w:p w14:paraId="32736497" w14:textId="1BCDF07E" w:rsidR="00CD1770" w:rsidRPr="00AD50F9" w:rsidRDefault="00CD1770" w:rsidP="000A4DC8">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w:t>
      </w:r>
      <w:r w:rsidR="00B843E4">
        <w:rPr>
          <w:rFonts w:ascii="Palatino Linotype" w:hAnsi="Palatino Linotype" w:cs="Tahoma"/>
          <w:sz w:val="22"/>
          <w:szCs w:val="22"/>
          <w:shd w:val="clear" w:color="auto" w:fill="FFFFFF"/>
        </w:rPr>
        <w:t xml:space="preserve"> segundo</w:t>
      </w:r>
      <w:r w:rsidRPr="00AD50F9">
        <w:rPr>
          <w:rFonts w:ascii="Palatino Linotype" w:hAnsi="Palatino Linotype" w:cs="Tahoma"/>
          <w:sz w:val="22"/>
          <w:szCs w:val="22"/>
          <w:shd w:val="clear" w:color="auto" w:fill="FFFFFF"/>
        </w:rPr>
        <w:t xml:space="preserve">, vigésimo </w:t>
      </w:r>
      <w:r w:rsidR="00B843E4">
        <w:rPr>
          <w:rFonts w:ascii="Palatino Linotype" w:hAnsi="Palatino Linotype" w:cs="Tahoma"/>
          <w:sz w:val="22"/>
          <w:szCs w:val="22"/>
          <w:shd w:val="clear" w:color="auto" w:fill="FFFFFF"/>
        </w:rPr>
        <w:t>tercero</w:t>
      </w:r>
      <w:r w:rsidRPr="00AD50F9">
        <w:rPr>
          <w:rFonts w:ascii="Palatino Linotype" w:hAnsi="Palatino Linotype" w:cs="Tahoma"/>
          <w:sz w:val="22"/>
          <w:szCs w:val="22"/>
          <w:shd w:val="clear" w:color="auto" w:fill="FFFFFF"/>
        </w:rPr>
        <w:t xml:space="preserve"> y vigésimo </w:t>
      </w:r>
      <w:r w:rsidR="00B843E4">
        <w:rPr>
          <w:rFonts w:ascii="Palatino Linotype" w:hAnsi="Palatino Linotype" w:cs="Tahoma"/>
          <w:sz w:val="22"/>
          <w:szCs w:val="22"/>
          <w:shd w:val="clear" w:color="auto" w:fill="FFFFFF"/>
        </w:rPr>
        <w:t>cuarto</w:t>
      </w:r>
      <w:r w:rsidRPr="00AD50F9">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FE6B812" w14:textId="77777777" w:rsidR="00B727C5" w:rsidRDefault="00B727C5" w:rsidP="000A4DC8">
      <w:pPr>
        <w:spacing w:line="360" w:lineRule="auto"/>
        <w:jc w:val="both"/>
        <w:rPr>
          <w:rFonts w:ascii="Palatino Linotype" w:eastAsia="Calibri" w:hAnsi="Palatino Linotype" w:cs="Tahoma"/>
          <w:bCs/>
          <w:color w:val="000000"/>
          <w:sz w:val="22"/>
          <w:szCs w:val="22"/>
          <w:lang w:val="es-ES" w:eastAsia="es-ES_tradnl"/>
        </w:rPr>
      </w:pPr>
    </w:p>
    <w:p w14:paraId="21303B65" w14:textId="77777777" w:rsidR="00436FD3" w:rsidRPr="00AD50F9" w:rsidRDefault="004F2D88" w:rsidP="000A4DC8">
      <w:pPr>
        <w:autoSpaceDE w:val="0"/>
        <w:autoSpaceDN w:val="0"/>
        <w:adjustRightInd w:val="0"/>
        <w:spacing w:line="360" w:lineRule="auto"/>
        <w:jc w:val="both"/>
        <w:rPr>
          <w:rFonts w:ascii="Palatino Linotype" w:hAnsi="Palatino Linotype" w:cs="Tahoma"/>
          <w:sz w:val="22"/>
          <w:szCs w:val="22"/>
          <w:lang w:val="es-ES"/>
        </w:rPr>
      </w:pPr>
      <w:r w:rsidRPr="00AD50F9">
        <w:rPr>
          <w:rFonts w:ascii="Palatino Linotype" w:eastAsia="Calibri" w:hAnsi="Palatino Linotype" w:cs="Tahoma"/>
          <w:b/>
          <w:color w:val="000000"/>
          <w:sz w:val="22"/>
          <w:szCs w:val="22"/>
          <w:lang w:val="es-ES" w:eastAsia="es-MX"/>
        </w:rPr>
        <w:t>SEGUND</w:t>
      </w:r>
      <w:r w:rsidR="002241A6" w:rsidRPr="00AD50F9">
        <w:rPr>
          <w:rFonts w:ascii="Palatino Linotype" w:eastAsia="Calibri" w:hAnsi="Palatino Linotype" w:cs="Tahoma"/>
          <w:b/>
          <w:color w:val="000000"/>
          <w:sz w:val="22"/>
          <w:szCs w:val="22"/>
          <w:lang w:val="es-ES" w:eastAsia="es-MX"/>
        </w:rPr>
        <w:t>O</w:t>
      </w:r>
      <w:r w:rsidRPr="00AD50F9">
        <w:rPr>
          <w:rFonts w:ascii="Palatino Linotype" w:eastAsia="Calibri" w:hAnsi="Palatino Linotype" w:cs="Tahoma"/>
          <w:color w:val="000000"/>
          <w:sz w:val="22"/>
          <w:szCs w:val="22"/>
          <w:lang w:val="es-ES" w:eastAsia="es-MX"/>
        </w:rPr>
        <w:t xml:space="preserve">. </w:t>
      </w:r>
      <w:r w:rsidRPr="00AD50F9">
        <w:rPr>
          <w:rFonts w:ascii="Palatino Linotype" w:hAnsi="Palatino Linotype" w:cs="Tahoma"/>
          <w:b/>
          <w:sz w:val="22"/>
          <w:szCs w:val="22"/>
          <w:lang w:val="es-ES"/>
        </w:rPr>
        <w:t>Metodología de estudio.</w:t>
      </w:r>
    </w:p>
    <w:p w14:paraId="526355A7" w14:textId="77777777" w:rsidR="00303CAD" w:rsidRPr="00AD50F9" w:rsidRDefault="00303CAD" w:rsidP="000A4DC8">
      <w:pPr>
        <w:autoSpaceDE w:val="0"/>
        <w:autoSpaceDN w:val="0"/>
        <w:adjustRightInd w:val="0"/>
        <w:spacing w:line="360" w:lineRule="auto"/>
        <w:jc w:val="both"/>
        <w:rPr>
          <w:rFonts w:ascii="Palatino Linotype" w:hAnsi="Palatino Linotype" w:cs="Tahoma"/>
          <w:sz w:val="22"/>
          <w:szCs w:val="22"/>
          <w:lang w:val="es-ES"/>
        </w:rPr>
      </w:pPr>
    </w:p>
    <w:p w14:paraId="47D9B7D7"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66E9A96"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lang w:val="es-ES"/>
        </w:rPr>
        <w:t> </w:t>
      </w:r>
    </w:p>
    <w:p w14:paraId="5C2D1A0C" w14:textId="63EC831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el presente caso, </w:t>
      </w:r>
      <w:r w:rsidRPr="00AD50F9">
        <w:rPr>
          <w:rFonts w:ascii="Palatino Linotype" w:hAnsi="Palatino Linotype" w:cs="Tahoma"/>
          <w:b/>
          <w:bCs/>
          <w:sz w:val="22"/>
          <w:szCs w:val="22"/>
        </w:rPr>
        <w:t>no se actualiza ninguna de las causales de improcedencia</w:t>
      </w:r>
      <w:r w:rsidRPr="00AD50F9">
        <w:rPr>
          <w:rFonts w:ascii="Palatino Linotype" w:hAnsi="Palatino Linotype" w:cs="Tahoma"/>
          <w:sz w:val="22"/>
          <w:szCs w:val="22"/>
        </w:rPr>
        <w:t xml:space="preserve"> establecidas en el ordenamiento jurídico previamente señalado, toda vez que: el recurso fue presentado </w:t>
      </w:r>
      <w:r w:rsidRPr="00AD50F9">
        <w:rPr>
          <w:rFonts w:ascii="Palatino Linotype" w:hAnsi="Palatino Linotype" w:cs="Tahoma"/>
          <w:sz w:val="22"/>
          <w:szCs w:val="22"/>
        </w:rPr>
        <w:lastRenderedPageBreak/>
        <w:t xml:space="preserve">dentro del plazo establecido en el artículo 178 de la Ley la materia; además, que este Instituto no tiene conocimiento de que se encuentre en trámite algún medio de defensa presentado por </w:t>
      </w:r>
      <w:r w:rsidR="00944DFE">
        <w:rPr>
          <w:rFonts w:ascii="Palatino Linotype" w:hAnsi="Palatino Linotype" w:cs="Tahoma"/>
          <w:sz w:val="22"/>
          <w:szCs w:val="22"/>
        </w:rPr>
        <w:t>el R</w:t>
      </w:r>
      <w:r w:rsidRPr="00AD50F9">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494D28FB" w14:textId="77777777" w:rsidR="00A56F39" w:rsidRPr="00AD50F9" w:rsidRDefault="00A56F39" w:rsidP="000A4DC8">
      <w:pPr>
        <w:spacing w:line="360" w:lineRule="auto"/>
        <w:jc w:val="both"/>
        <w:rPr>
          <w:rFonts w:ascii="Palatino Linotype" w:hAnsi="Palatino Linotype" w:cs="Tahoma"/>
          <w:sz w:val="22"/>
          <w:szCs w:val="22"/>
        </w:rPr>
      </w:pPr>
    </w:p>
    <w:p w14:paraId="049C9FF4" w14:textId="21237CB1" w:rsidR="008845FD" w:rsidRPr="00BC72AA" w:rsidRDefault="008845FD" w:rsidP="008845FD">
      <w:pPr>
        <w:spacing w:line="360" w:lineRule="auto"/>
        <w:jc w:val="both"/>
        <w:rPr>
          <w:rFonts w:ascii="Palatino Linotype" w:hAnsi="Palatino Linotype" w:cs="Tahoma"/>
          <w:sz w:val="22"/>
          <w:szCs w:val="22"/>
          <w:lang w:val="es-ES"/>
        </w:rPr>
      </w:pPr>
      <w:r w:rsidRPr="00BC72AA">
        <w:rPr>
          <w:rFonts w:ascii="Palatino Linotype" w:hAnsi="Palatino Linotype" w:cs="Tahoma"/>
          <w:sz w:val="22"/>
          <w:szCs w:val="22"/>
        </w:rPr>
        <w:t xml:space="preserve">Asimismo, se actualizan las causales de procedencia del recurso de revisión señalada en el artículo 179, fracción </w:t>
      </w:r>
      <w:r w:rsidR="00BB2B79">
        <w:rPr>
          <w:rFonts w:ascii="Palatino Linotype" w:hAnsi="Palatino Linotype" w:cs="Tahoma"/>
          <w:sz w:val="22"/>
          <w:szCs w:val="22"/>
        </w:rPr>
        <w:t>IV</w:t>
      </w:r>
      <w:r w:rsidRPr="00BC72AA">
        <w:rPr>
          <w:rFonts w:ascii="Palatino Linotype" w:hAnsi="Palatino Linotype" w:cs="Tahoma"/>
          <w:sz w:val="22"/>
          <w:szCs w:val="22"/>
        </w:rPr>
        <w:t xml:space="preserve">, de la Ley en cita, </w:t>
      </w:r>
      <w:r w:rsidRPr="00BC72AA">
        <w:rPr>
          <w:rFonts w:ascii="Palatino Linotype" w:eastAsia="Calibri" w:hAnsi="Palatino Linotype" w:cs="Tahoma"/>
          <w:color w:val="000000"/>
          <w:sz w:val="22"/>
          <w:szCs w:val="22"/>
          <w:lang w:eastAsia="es-MX"/>
        </w:rPr>
        <w:t xml:space="preserve">pues la parte Recurrente se inconformó </w:t>
      </w:r>
      <w:r>
        <w:rPr>
          <w:rFonts w:ascii="Palatino Linotype" w:hAnsi="Palatino Linotype" w:cs="Tahoma"/>
          <w:sz w:val="22"/>
          <w:szCs w:val="22"/>
          <w:lang w:val="es-ES"/>
        </w:rPr>
        <w:t xml:space="preserve">con la </w:t>
      </w:r>
      <w:r w:rsidR="00BB2B79">
        <w:rPr>
          <w:rFonts w:ascii="Palatino Linotype" w:hAnsi="Palatino Linotype" w:cs="Tahoma"/>
          <w:sz w:val="22"/>
          <w:szCs w:val="22"/>
          <w:lang w:val="es-ES"/>
        </w:rPr>
        <w:t>incompetencia manifestada por el Sujeto Obligado</w:t>
      </w:r>
      <w:r>
        <w:rPr>
          <w:rFonts w:ascii="Palatino Linotype" w:hAnsi="Palatino Linotype" w:cs="Tahoma"/>
          <w:sz w:val="22"/>
          <w:szCs w:val="22"/>
          <w:lang w:val="es-ES"/>
        </w:rPr>
        <w:t>.</w:t>
      </w:r>
    </w:p>
    <w:p w14:paraId="58E3DB6D" w14:textId="77777777" w:rsidR="00A56F39" w:rsidRDefault="00A56F39" w:rsidP="000A4DC8">
      <w:pPr>
        <w:spacing w:line="360" w:lineRule="auto"/>
        <w:jc w:val="both"/>
        <w:rPr>
          <w:rFonts w:ascii="Palatino Linotype" w:hAnsi="Palatino Linotype" w:cs="Tahoma"/>
          <w:sz w:val="22"/>
          <w:szCs w:val="22"/>
          <w:lang w:val="es-ES"/>
        </w:rPr>
      </w:pPr>
      <w:r w:rsidRPr="00AD50F9">
        <w:rPr>
          <w:rFonts w:ascii="Palatino Linotype" w:hAnsi="Palatino Linotype" w:cs="Tahoma"/>
          <w:sz w:val="22"/>
          <w:szCs w:val="22"/>
          <w:lang w:val="es-ES"/>
        </w:rPr>
        <w:t> </w:t>
      </w:r>
    </w:p>
    <w:p w14:paraId="3865BA04"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Causales de sobreseimiento.</w:t>
      </w:r>
    </w:p>
    <w:p w14:paraId="319E07FE"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 </w:t>
      </w:r>
    </w:p>
    <w:p w14:paraId="16A55B44" w14:textId="77777777" w:rsidR="00A56F39" w:rsidRPr="00AD50F9" w:rsidRDefault="00A56F39"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ser de previo y especial pronunciamiento, este Instituto analiza si se actualiza alguna causal de sobreseimiento.</w:t>
      </w:r>
    </w:p>
    <w:p w14:paraId="60AAF7D3" w14:textId="77777777" w:rsidR="00A56F39" w:rsidRPr="00AD50F9" w:rsidRDefault="00A56F39" w:rsidP="000A4DC8">
      <w:pPr>
        <w:spacing w:line="360" w:lineRule="auto"/>
        <w:jc w:val="both"/>
        <w:rPr>
          <w:rFonts w:ascii="Palatino Linotype" w:hAnsi="Palatino Linotype" w:cs="Tahoma"/>
          <w:sz w:val="22"/>
          <w:szCs w:val="22"/>
        </w:rPr>
      </w:pPr>
    </w:p>
    <w:p w14:paraId="57188BB0" w14:textId="15DCB3D5" w:rsidR="002050B4" w:rsidRPr="002050B4" w:rsidRDefault="002050B4" w:rsidP="002050B4">
      <w:pPr>
        <w:spacing w:line="360" w:lineRule="auto"/>
        <w:jc w:val="both"/>
        <w:rPr>
          <w:rFonts w:ascii="Palatino Linotype" w:hAnsi="Palatino Linotype" w:cs="Tahoma"/>
          <w:sz w:val="22"/>
          <w:szCs w:val="22"/>
        </w:rPr>
      </w:pPr>
      <w:r w:rsidRPr="002050B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944DFE">
        <w:rPr>
          <w:rFonts w:ascii="Palatino Linotype" w:hAnsi="Palatino Linotype" w:cs="Tahoma"/>
          <w:sz w:val="22"/>
          <w:szCs w:val="22"/>
        </w:rPr>
        <w:t xml:space="preserve">el </w:t>
      </w:r>
      <w:r w:rsidRPr="002050B4">
        <w:rPr>
          <w:rFonts w:ascii="Palatino Linotype" w:hAnsi="Palatino Linotype" w:cs="Tahoma"/>
          <w:sz w:val="22"/>
          <w:szCs w:val="22"/>
        </w:rPr>
        <w:t>Recurrente se haya desistido del recurso, haya fallecido, sobreviniera alguna causal de improcedencia, que el Sujeto Obligado hubiese modificado o revocado el acto impugnado o bien, haya quedado sin materia.</w:t>
      </w:r>
    </w:p>
    <w:p w14:paraId="4DC14DAD" w14:textId="77777777" w:rsidR="002050B4" w:rsidRPr="000B3953" w:rsidRDefault="002050B4" w:rsidP="000A4DC8">
      <w:pPr>
        <w:spacing w:line="360" w:lineRule="auto"/>
        <w:jc w:val="both"/>
        <w:rPr>
          <w:rFonts w:ascii="Palatino Linotype" w:hAnsi="Palatino Linotype" w:cs="Tahoma"/>
          <w:b/>
          <w:sz w:val="22"/>
          <w:szCs w:val="22"/>
          <w:lang w:val="es-ES"/>
        </w:rPr>
      </w:pPr>
    </w:p>
    <w:p w14:paraId="7208D55A" w14:textId="77777777" w:rsidR="004F2AC0" w:rsidRDefault="004F2AC0" w:rsidP="000A4DC8">
      <w:pPr>
        <w:spacing w:line="360" w:lineRule="auto"/>
        <w:jc w:val="both"/>
        <w:rPr>
          <w:rFonts w:ascii="Palatino Linotype" w:hAnsi="Palatino Linotype" w:cs="Tahoma"/>
          <w:b/>
          <w:sz w:val="22"/>
          <w:szCs w:val="22"/>
          <w:lang w:val="es-ES"/>
        </w:rPr>
      </w:pPr>
      <w:r w:rsidRPr="00D00D35">
        <w:rPr>
          <w:rFonts w:ascii="Palatino Linotype" w:hAnsi="Palatino Linotype" w:cs="Tahoma"/>
          <w:sz w:val="22"/>
          <w:szCs w:val="22"/>
        </w:rPr>
        <w:t>En ese orden de ideas, toda vez que no ha quedado por completo sin materia el Recurso de Revisión</w:t>
      </w:r>
      <w:r>
        <w:rPr>
          <w:rFonts w:ascii="Palatino Linotype" w:hAnsi="Palatino Linotype" w:cs="Tahoma"/>
          <w:sz w:val="22"/>
          <w:szCs w:val="22"/>
        </w:rPr>
        <w:t>, se considera procedente entrar al fondo del presente asunto, al no quedar sin materia.</w:t>
      </w:r>
    </w:p>
    <w:p w14:paraId="5744C1E4" w14:textId="77777777" w:rsidR="0025469C" w:rsidRDefault="00F02171" w:rsidP="000A4DC8">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lastRenderedPageBreak/>
        <w:t>TERCER</w:t>
      </w:r>
      <w:r w:rsidR="002241A6" w:rsidRPr="00AD50F9">
        <w:rPr>
          <w:rFonts w:ascii="Palatino Linotype" w:eastAsia="Calibri" w:hAnsi="Palatino Linotype" w:cs="Tahoma"/>
          <w:b/>
          <w:iCs/>
          <w:sz w:val="22"/>
          <w:szCs w:val="22"/>
          <w:lang w:val="es-ES" w:eastAsia="es-ES_tradnl"/>
        </w:rPr>
        <w:t>O</w:t>
      </w:r>
      <w:r w:rsidRPr="00AD50F9">
        <w:rPr>
          <w:rFonts w:ascii="Palatino Linotype" w:eastAsia="Calibri" w:hAnsi="Palatino Linotype" w:cs="Tahoma"/>
          <w:b/>
          <w:iCs/>
          <w:sz w:val="22"/>
          <w:szCs w:val="22"/>
          <w:lang w:val="es-ES" w:eastAsia="es-ES_tradnl"/>
        </w:rPr>
        <w:t xml:space="preserve">. </w:t>
      </w:r>
      <w:r w:rsidR="0025469C" w:rsidRPr="00AD50F9">
        <w:rPr>
          <w:rFonts w:ascii="Palatino Linotype" w:eastAsia="Calibri" w:hAnsi="Palatino Linotype" w:cs="Tahoma"/>
          <w:b/>
          <w:iCs/>
          <w:sz w:val="22"/>
          <w:szCs w:val="22"/>
          <w:lang w:val="es-ES" w:eastAsia="es-ES_tradnl"/>
        </w:rPr>
        <w:t xml:space="preserve">Determinación </w:t>
      </w:r>
      <w:r w:rsidR="009617D3" w:rsidRPr="00AD50F9">
        <w:rPr>
          <w:rFonts w:ascii="Palatino Linotype" w:eastAsia="Calibri" w:hAnsi="Palatino Linotype" w:cs="Tahoma"/>
          <w:b/>
          <w:iCs/>
          <w:sz w:val="22"/>
          <w:szCs w:val="22"/>
          <w:lang w:val="es-ES" w:eastAsia="es-ES_tradnl"/>
        </w:rPr>
        <w:t xml:space="preserve">de la </w:t>
      </w:r>
      <w:r w:rsidR="00CF4012" w:rsidRPr="00AD50F9">
        <w:rPr>
          <w:rFonts w:ascii="Palatino Linotype" w:eastAsia="Calibri" w:hAnsi="Palatino Linotype" w:cs="Tahoma"/>
          <w:b/>
          <w:iCs/>
          <w:sz w:val="22"/>
          <w:szCs w:val="22"/>
          <w:lang w:val="es-ES" w:eastAsia="es-ES_tradnl"/>
        </w:rPr>
        <w:t>Controversia</w:t>
      </w:r>
      <w:r w:rsidRPr="00AD50F9">
        <w:rPr>
          <w:rFonts w:ascii="Palatino Linotype" w:eastAsia="Calibri" w:hAnsi="Palatino Linotype" w:cs="Tahoma"/>
          <w:b/>
          <w:iCs/>
          <w:sz w:val="22"/>
          <w:szCs w:val="22"/>
          <w:lang w:val="es-ES" w:eastAsia="es-ES_tradnl"/>
        </w:rPr>
        <w:t xml:space="preserve">. </w:t>
      </w:r>
    </w:p>
    <w:p w14:paraId="69736552" w14:textId="77777777" w:rsidR="00BB2B79" w:rsidRPr="00AD50F9" w:rsidRDefault="00BB2B79" w:rsidP="000A4DC8">
      <w:pPr>
        <w:tabs>
          <w:tab w:val="left" w:pos="4962"/>
        </w:tabs>
        <w:spacing w:line="360" w:lineRule="auto"/>
        <w:jc w:val="both"/>
        <w:rPr>
          <w:rFonts w:ascii="Palatino Linotype" w:eastAsia="Calibri" w:hAnsi="Palatino Linotype" w:cs="Tahoma"/>
          <w:b/>
          <w:iCs/>
          <w:sz w:val="22"/>
          <w:szCs w:val="22"/>
          <w:lang w:val="es-ES" w:eastAsia="es-ES_tradnl"/>
        </w:rPr>
      </w:pPr>
    </w:p>
    <w:p w14:paraId="4053605E" w14:textId="77777777" w:rsidR="0091055D" w:rsidRDefault="00F02171" w:rsidP="000A4DC8">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AD50F9">
        <w:rPr>
          <w:rFonts w:ascii="Palatino Linotype" w:eastAsia="Calibri" w:hAnsi="Palatino Linotype" w:cs="Tahoma"/>
          <w:iCs/>
          <w:sz w:val="22"/>
          <w:szCs w:val="22"/>
          <w:lang w:val="es-ES" w:eastAsia="es-ES_tradnl"/>
        </w:rPr>
        <w:t>lo siguiente:</w:t>
      </w:r>
    </w:p>
    <w:p w14:paraId="0B02DE86" w14:textId="77777777" w:rsidR="00BB2B79" w:rsidRPr="00AD50F9" w:rsidRDefault="00BB2B79" w:rsidP="000A4DC8">
      <w:pPr>
        <w:tabs>
          <w:tab w:val="left" w:pos="4962"/>
        </w:tabs>
        <w:spacing w:line="360" w:lineRule="auto"/>
        <w:jc w:val="both"/>
        <w:rPr>
          <w:rFonts w:ascii="Palatino Linotype" w:eastAsia="Calibri" w:hAnsi="Palatino Linotype" w:cs="Tahoma"/>
          <w:iCs/>
          <w:sz w:val="22"/>
          <w:szCs w:val="22"/>
          <w:lang w:val="es-ES" w:eastAsia="es-ES_tradnl"/>
        </w:rPr>
      </w:pPr>
    </w:p>
    <w:p w14:paraId="44DDF0AA" w14:textId="2FE6AF07" w:rsidR="00C52F50" w:rsidRDefault="000507B3" w:rsidP="001C3829">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w:t>
      </w:r>
      <w:r w:rsidR="00057250">
        <w:rPr>
          <w:rFonts w:ascii="Palatino Linotype" w:eastAsia="Calibri" w:hAnsi="Palatino Linotype" w:cs="Tahoma"/>
          <w:iCs/>
          <w:sz w:val="22"/>
          <w:szCs w:val="22"/>
          <w:lang w:val="es-ES" w:eastAsia="es-ES_tradnl"/>
        </w:rPr>
        <w:t xml:space="preserve"> P</w:t>
      </w:r>
      <w:r w:rsidR="0092073B" w:rsidRPr="00AD50F9">
        <w:rPr>
          <w:rFonts w:ascii="Palatino Linotype" w:eastAsia="Calibri" w:hAnsi="Palatino Linotype" w:cs="Tahoma"/>
          <w:iCs/>
          <w:sz w:val="22"/>
          <w:szCs w:val="22"/>
          <w:lang w:val="es-ES" w:eastAsia="es-ES_tradnl"/>
        </w:rPr>
        <w:t>articular, solicitó</w:t>
      </w:r>
      <w:r>
        <w:rPr>
          <w:rFonts w:ascii="Palatino Linotype" w:eastAsia="Calibri" w:hAnsi="Palatino Linotype" w:cs="Tahoma"/>
          <w:iCs/>
          <w:sz w:val="22"/>
          <w:szCs w:val="22"/>
          <w:lang w:val="es-ES" w:eastAsia="es-ES_tradnl"/>
        </w:rPr>
        <w:t xml:space="preserve"> </w:t>
      </w:r>
      <w:r w:rsidR="00BB2B79">
        <w:rPr>
          <w:rFonts w:ascii="Palatino Linotype" w:eastAsia="Calibri" w:hAnsi="Palatino Linotype" w:cs="Tahoma"/>
          <w:iCs/>
          <w:sz w:val="22"/>
          <w:szCs w:val="22"/>
          <w:lang w:val="es-ES" w:eastAsia="es-ES_tradnl"/>
        </w:rPr>
        <w:t>conocer</w:t>
      </w:r>
      <w:r w:rsidR="001C3829">
        <w:rPr>
          <w:rFonts w:ascii="Palatino Linotype" w:eastAsia="Calibri" w:hAnsi="Palatino Linotype" w:cs="Tahoma"/>
          <w:iCs/>
          <w:sz w:val="22"/>
          <w:szCs w:val="22"/>
          <w:lang w:val="es-ES" w:eastAsia="es-ES_tradnl"/>
        </w:rPr>
        <w:t xml:space="preserve"> si e</w:t>
      </w:r>
      <w:r w:rsidR="00BB2B79">
        <w:rPr>
          <w:rFonts w:ascii="Palatino Linotype" w:eastAsia="Calibri" w:hAnsi="Palatino Linotype" w:cs="Tahoma"/>
          <w:iCs/>
          <w:sz w:val="22"/>
          <w:szCs w:val="22"/>
          <w:lang w:val="es-ES" w:eastAsia="es-ES_tradnl"/>
        </w:rPr>
        <w:t>l Restaurante Bar La Chinampa</w:t>
      </w:r>
      <w:r w:rsidR="001C3829">
        <w:rPr>
          <w:rFonts w:ascii="Palatino Linotype" w:eastAsia="Calibri" w:hAnsi="Palatino Linotype" w:cs="Tahoma"/>
          <w:iCs/>
          <w:sz w:val="22"/>
          <w:szCs w:val="22"/>
          <w:lang w:val="es-ES" w:eastAsia="es-ES_tradnl"/>
        </w:rPr>
        <w:t xml:space="preserve"> </w:t>
      </w:r>
      <w:r w:rsidR="00C52F50" w:rsidRPr="001C3829">
        <w:rPr>
          <w:rFonts w:ascii="Palatino Linotype" w:eastAsia="Calibri" w:hAnsi="Palatino Linotype" w:cs="Tahoma"/>
          <w:iCs/>
          <w:sz w:val="22"/>
          <w:szCs w:val="22"/>
          <w:lang w:val="es-ES" w:eastAsia="es-ES_tradnl"/>
        </w:rPr>
        <w:t xml:space="preserve">cuenta con el Dictamen Único de Factibilidad, en caso afirmativo, </w:t>
      </w:r>
      <w:r w:rsidR="001C3829">
        <w:rPr>
          <w:rFonts w:ascii="Palatino Linotype" w:eastAsia="Calibri" w:hAnsi="Palatino Linotype" w:cs="Tahoma"/>
          <w:iCs/>
          <w:sz w:val="22"/>
          <w:szCs w:val="22"/>
          <w:lang w:val="es-ES" w:eastAsia="es-ES_tradnl"/>
        </w:rPr>
        <w:t>requirió lo siguiente:</w:t>
      </w:r>
    </w:p>
    <w:p w14:paraId="3FD57410" w14:textId="77777777" w:rsidR="001C3829" w:rsidRDefault="001C3829" w:rsidP="001C3829">
      <w:pPr>
        <w:tabs>
          <w:tab w:val="left" w:pos="4962"/>
        </w:tabs>
        <w:spacing w:line="360" w:lineRule="auto"/>
        <w:jc w:val="both"/>
        <w:rPr>
          <w:rFonts w:ascii="Palatino Linotype" w:eastAsia="Calibri" w:hAnsi="Palatino Linotype" w:cs="Tahoma"/>
          <w:iCs/>
          <w:sz w:val="22"/>
          <w:szCs w:val="22"/>
          <w:lang w:val="es-ES" w:eastAsia="es-ES_tradnl"/>
        </w:rPr>
      </w:pPr>
    </w:p>
    <w:p w14:paraId="7AD25F74" w14:textId="6EF52E8F" w:rsidR="001C3829" w:rsidRDefault="001C3829" w:rsidP="001C3829">
      <w:pPr>
        <w:pStyle w:val="Prrafodelista"/>
        <w:numPr>
          <w:ilvl w:val="0"/>
          <w:numId w:val="24"/>
        </w:numPr>
        <w:tabs>
          <w:tab w:val="left" w:pos="4962"/>
        </w:tabs>
        <w:spacing w:line="360" w:lineRule="auto"/>
        <w:jc w:val="both"/>
        <w:rPr>
          <w:rFonts w:ascii="Palatino Linotype" w:eastAsia="Calibri" w:hAnsi="Palatino Linotype" w:cs="Tahoma"/>
          <w:iCs/>
          <w:sz w:val="24"/>
          <w:szCs w:val="22"/>
          <w:lang w:val="es-ES" w:eastAsia="es-ES_tradnl"/>
        </w:rPr>
      </w:pPr>
      <w:r>
        <w:rPr>
          <w:rFonts w:ascii="Palatino Linotype" w:eastAsia="Calibri" w:hAnsi="Palatino Linotype" w:cs="Tahoma"/>
          <w:iCs/>
          <w:sz w:val="24"/>
          <w:szCs w:val="22"/>
          <w:lang w:val="es-ES" w:eastAsia="es-ES_tradnl"/>
        </w:rPr>
        <w:t>Unidad administrativa que lo expidió;</w:t>
      </w:r>
    </w:p>
    <w:p w14:paraId="4F0829C5" w14:textId="249D3CB2" w:rsidR="001C3829" w:rsidRDefault="001C3829" w:rsidP="001C3829">
      <w:pPr>
        <w:pStyle w:val="Prrafodelista"/>
        <w:numPr>
          <w:ilvl w:val="0"/>
          <w:numId w:val="24"/>
        </w:numPr>
        <w:tabs>
          <w:tab w:val="left" w:pos="4962"/>
        </w:tabs>
        <w:spacing w:line="360" w:lineRule="auto"/>
        <w:jc w:val="both"/>
        <w:rPr>
          <w:rFonts w:ascii="Palatino Linotype" w:eastAsia="Calibri" w:hAnsi="Palatino Linotype" w:cs="Tahoma"/>
          <w:iCs/>
          <w:sz w:val="24"/>
          <w:szCs w:val="22"/>
          <w:lang w:val="es-ES" w:eastAsia="es-ES_tradnl"/>
        </w:rPr>
      </w:pPr>
      <w:r>
        <w:rPr>
          <w:rFonts w:ascii="Palatino Linotype" w:eastAsia="Calibri" w:hAnsi="Palatino Linotype" w:cs="Tahoma"/>
          <w:iCs/>
          <w:sz w:val="24"/>
          <w:szCs w:val="22"/>
          <w:lang w:val="es-ES" w:eastAsia="es-ES_tradnl"/>
        </w:rPr>
        <w:t>Vigencia o fecha de expedición;</w:t>
      </w:r>
    </w:p>
    <w:p w14:paraId="3F2E39B4" w14:textId="3DB2BA20" w:rsidR="001C3829" w:rsidRDefault="001C3829" w:rsidP="001C3829">
      <w:pPr>
        <w:pStyle w:val="Prrafodelista"/>
        <w:numPr>
          <w:ilvl w:val="0"/>
          <w:numId w:val="24"/>
        </w:numPr>
        <w:tabs>
          <w:tab w:val="left" w:pos="4962"/>
        </w:tabs>
        <w:spacing w:line="360" w:lineRule="auto"/>
        <w:jc w:val="both"/>
        <w:rPr>
          <w:rFonts w:ascii="Palatino Linotype" w:eastAsia="Calibri" w:hAnsi="Palatino Linotype" w:cs="Tahoma"/>
          <w:iCs/>
          <w:sz w:val="24"/>
          <w:szCs w:val="22"/>
          <w:lang w:val="es-ES" w:eastAsia="es-ES_tradnl"/>
        </w:rPr>
      </w:pPr>
      <w:r>
        <w:rPr>
          <w:rFonts w:ascii="Palatino Linotype" w:eastAsia="Calibri" w:hAnsi="Palatino Linotype" w:cs="Tahoma"/>
          <w:iCs/>
          <w:sz w:val="24"/>
          <w:szCs w:val="22"/>
          <w:lang w:val="es-ES" w:eastAsia="es-ES_tradnl"/>
        </w:rPr>
        <w:t>Duración, y</w:t>
      </w:r>
    </w:p>
    <w:p w14:paraId="062B1434" w14:textId="701FD26F" w:rsidR="001C3829" w:rsidRPr="001C3829" w:rsidRDefault="001C3829" w:rsidP="001C3829">
      <w:pPr>
        <w:pStyle w:val="Prrafodelista"/>
        <w:numPr>
          <w:ilvl w:val="0"/>
          <w:numId w:val="24"/>
        </w:numPr>
        <w:tabs>
          <w:tab w:val="left" w:pos="4962"/>
        </w:tabs>
        <w:spacing w:line="360" w:lineRule="auto"/>
        <w:jc w:val="both"/>
        <w:rPr>
          <w:rFonts w:ascii="Palatino Linotype" w:eastAsia="Calibri" w:hAnsi="Palatino Linotype" w:cs="Tahoma"/>
          <w:iCs/>
          <w:sz w:val="24"/>
          <w:szCs w:val="22"/>
          <w:lang w:val="es-ES" w:eastAsia="es-ES_tradnl"/>
        </w:rPr>
      </w:pPr>
      <w:r>
        <w:rPr>
          <w:rFonts w:ascii="Palatino Linotype" w:eastAsia="Calibri" w:hAnsi="Palatino Linotype" w:cs="Tahoma"/>
          <w:iCs/>
          <w:sz w:val="24"/>
          <w:szCs w:val="22"/>
          <w:lang w:val="es-ES" w:eastAsia="es-ES_tradnl"/>
        </w:rPr>
        <w:t>Los procedimientos administrativos de vigilancia llevados a cabo ante dicha unidad económica de alto impacto.</w:t>
      </w:r>
    </w:p>
    <w:p w14:paraId="71689DC5" w14:textId="77777777" w:rsidR="000F2EBF" w:rsidRPr="00AD50F9" w:rsidRDefault="000F2EBF" w:rsidP="000A4DC8">
      <w:pPr>
        <w:tabs>
          <w:tab w:val="left" w:pos="4962"/>
        </w:tabs>
        <w:spacing w:line="360" w:lineRule="auto"/>
        <w:jc w:val="both"/>
        <w:rPr>
          <w:rFonts w:ascii="Palatino Linotype" w:eastAsia="Calibri" w:hAnsi="Palatino Linotype" w:cs="Tahoma"/>
          <w:iCs/>
          <w:sz w:val="22"/>
          <w:szCs w:val="22"/>
          <w:lang w:val="es-ES" w:eastAsia="es-ES_tradnl"/>
        </w:rPr>
      </w:pPr>
    </w:p>
    <w:p w14:paraId="17F6662B" w14:textId="6B9F72CF" w:rsidR="001C3829" w:rsidRPr="001C3829" w:rsidRDefault="007343FD" w:rsidP="00D542C5">
      <w:pPr>
        <w:tabs>
          <w:tab w:val="left" w:pos="4962"/>
        </w:tabs>
        <w:spacing w:line="360" w:lineRule="auto"/>
        <w:jc w:val="both"/>
        <w:rPr>
          <w:rFonts w:ascii="Palatino Linotype" w:eastAsia="Calibri" w:hAnsi="Palatino Linotype" w:cs="Tahoma"/>
          <w:bCs/>
          <w:iCs/>
          <w:sz w:val="22"/>
          <w:szCs w:val="22"/>
          <w:lang w:eastAsia="es-ES_tradnl"/>
        </w:rPr>
      </w:pPr>
      <w:r w:rsidRPr="00AD50F9">
        <w:rPr>
          <w:rFonts w:ascii="Palatino Linotype" w:eastAsia="Calibri" w:hAnsi="Palatino Linotype" w:cs="Tahoma"/>
          <w:iCs/>
          <w:sz w:val="22"/>
          <w:szCs w:val="22"/>
          <w:lang w:val="es-ES" w:eastAsia="es-ES_tradnl"/>
        </w:rPr>
        <w:t>En respuesta</w:t>
      </w:r>
      <w:r w:rsidR="000A5058" w:rsidRPr="00AD50F9">
        <w:rPr>
          <w:rFonts w:ascii="Palatino Linotype" w:eastAsia="Calibri" w:hAnsi="Palatino Linotype" w:cs="Tahoma"/>
          <w:iCs/>
          <w:sz w:val="22"/>
          <w:szCs w:val="22"/>
          <w:lang w:val="es-ES" w:eastAsia="es-ES_tradnl"/>
        </w:rPr>
        <w:t xml:space="preserve">, </w:t>
      </w:r>
      <w:r w:rsidR="00241116" w:rsidRPr="00AD50F9">
        <w:rPr>
          <w:rFonts w:ascii="Palatino Linotype" w:eastAsia="Calibri" w:hAnsi="Palatino Linotype" w:cs="Tahoma"/>
          <w:iCs/>
          <w:sz w:val="22"/>
          <w:szCs w:val="22"/>
          <w:lang w:val="es-ES" w:eastAsia="es-ES_tradnl"/>
        </w:rPr>
        <w:t>el Sujeto Obligado</w:t>
      </w:r>
      <w:r w:rsidR="00172B4A">
        <w:rPr>
          <w:rFonts w:ascii="Palatino Linotype" w:eastAsia="Calibri" w:hAnsi="Palatino Linotype" w:cs="Tahoma"/>
          <w:iCs/>
          <w:sz w:val="22"/>
          <w:szCs w:val="22"/>
          <w:lang w:val="es-ES" w:eastAsia="es-ES_tradnl"/>
        </w:rPr>
        <w:t xml:space="preserve">, a través de la </w:t>
      </w:r>
      <w:r w:rsidR="001C3829">
        <w:rPr>
          <w:rFonts w:ascii="Palatino Linotype" w:eastAsia="Calibri" w:hAnsi="Palatino Linotype" w:cs="Tahoma"/>
          <w:iCs/>
          <w:sz w:val="22"/>
          <w:szCs w:val="22"/>
          <w:lang w:val="es-ES" w:eastAsia="es-ES_tradnl"/>
        </w:rPr>
        <w:t>Dirección General de Operación Urbana</w:t>
      </w:r>
      <w:r w:rsidR="00172B4A">
        <w:rPr>
          <w:rFonts w:ascii="Palatino Linotype" w:eastAsia="Calibri" w:hAnsi="Palatino Linotype" w:cs="Tahoma"/>
          <w:iCs/>
          <w:sz w:val="22"/>
          <w:szCs w:val="22"/>
          <w:lang w:val="es-ES" w:eastAsia="es-ES_tradnl"/>
        </w:rPr>
        <w:t xml:space="preserve">, </w:t>
      </w:r>
      <w:r w:rsidR="001C3829">
        <w:rPr>
          <w:rFonts w:ascii="Palatino Linotype" w:eastAsia="Calibri" w:hAnsi="Palatino Linotype" w:cs="Tahoma"/>
          <w:iCs/>
          <w:sz w:val="22"/>
          <w:szCs w:val="22"/>
          <w:lang w:val="es-ES" w:eastAsia="es-ES_tradnl"/>
        </w:rPr>
        <w:t xml:space="preserve">se declaró incompetente para conocer de la información requerida, al señalar </w:t>
      </w:r>
      <w:r w:rsidR="00D542C5" w:rsidRPr="00D542C5">
        <w:rPr>
          <w:rFonts w:ascii="Palatino Linotype" w:eastAsia="Calibri" w:hAnsi="Palatino Linotype" w:cs="Tahoma"/>
          <w:iCs/>
          <w:sz w:val="24"/>
          <w:szCs w:val="22"/>
          <w:lang w:val="es-ES" w:eastAsia="es-ES_tradnl"/>
        </w:rPr>
        <w:t>q</w:t>
      </w:r>
      <w:r w:rsidR="00E44D33" w:rsidRPr="00D542C5">
        <w:rPr>
          <w:rFonts w:ascii="Palatino Linotype" w:eastAsia="Calibri" w:hAnsi="Palatino Linotype" w:cs="Tahoma"/>
          <w:bCs/>
          <w:iCs/>
          <w:sz w:val="22"/>
          <w:szCs w:val="22"/>
          <w:lang w:eastAsia="es-ES_tradnl"/>
        </w:rPr>
        <w:t xml:space="preserve">ue conforme al Decreto número 331, que expide la Ley que crea la Comisión de Factibilidad del Estado de México y el Acuerdo del Secretario de Justicia y Derechos Humanos del Ejecutivo Estatal por el que inicia funciones y entra en operación el Órgano Administrativo Desconcentrado denominado Comisión de Factibilidad del Estado de México, el dos de julio de dos mil diecinueve, se realizó </w:t>
      </w:r>
      <w:r w:rsidR="00D542C5" w:rsidRPr="00D542C5">
        <w:rPr>
          <w:rFonts w:ascii="Palatino Linotype" w:eastAsia="Calibri" w:hAnsi="Palatino Linotype" w:cs="Tahoma"/>
          <w:bCs/>
          <w:iCs/>
          <w:sz w:val="22"/>
          <w:szCs w:val="22"/>
          <w:lang w:eastAsia="es-ES_tradnl"/>
        </w:rPr>
        <w:t xml:space="preserve">la entrega de expedientes a la Comisión de Factibilidad del Estado de México, </w:t>
      </w:r>
      <w:r w:rsidR="00D542C5" w:rsidRPr="00D542C5">
        <w:rPr>
          <w:rFonts w:ascii="Palatino Linotype" w:eastAsia="Calibri" w:hAnsi="Palatino Linotype" w:cs="Tahoma"/>
          <w:b/>
          <w:bCs/>
          <w:iCs/>
          <w:sz w:val="22"/>
          <w:szCs w:val="22"/>
          <w:lang w:eastAsia="es-ES_tradnl"/>
        </w:rPr>
        <w:t>por lo cual, no contaba con el acervo del archivo.</w:t>
      </w:r>
    </w:p>
    <w:p w14:paraId="3258B979" w14:textId="77777777" w:rsidR="00084B3D" w:rsidRPr="00AD50F9" w:rsidRDefault="00084B3D" w:rsidP="000A4DC8">
      <w:pPr>
        <w:tabs>
          <w:tab w:val="left" w:pos="4962"/>
        </w:tabs>
        <w:spacing w:line="360" w:lineRule="auto"/>
        <w:jc w:val="both"/>
        <w:rPr>
          <w:rFonts w:ascii="Palatino Linotype" w:eastAsia="Calibri" w:hAnsi="Palatino Linotype" w:cs="Tahoma"/>
          <w:iCs/>
          <w:sz w:val="22"/>
          <w:szCs w:val="22"/>
          <w:lang w:val="es-ES" w:eastAsia="es-ES_tradnl"/>
        </w:rPr>
      </w:pPr>
    </w:p>
    <w:p w14:paraId="56AE194C" w14:textId="08AA6898" w:rsidR="002050B4" w:rsidRDefault="00533B79" w:rsidP="000A4DC8">
      <w:pPr>
        <w:tabs>
          <w:tab w:val="left" w:pos="4962"/>
        </w:tabs>
        <w:spacing w:line="360" w:lineRule="auto"/>
        <w:jc w:val="both"/>
        <w:rPr>
          <w:rFonts w:ascii="Palatino Linotype" w:hAnsi="Palatino Linotype" w:cs="Tahoma"/>
          <w:sz w:val="22"/>
          <w:szCs w:val="22"/>
          <w:lang w:val="es-ES"/>
        </w:rPr>
      </w:pPr>
      <w:r w:rsidRPr="00AD50F9">
        <w:rPr>
          <w:rFonts w:ascii="Palatino Linotype" w:eastAsia="Calibri" w:hAnsi="Palatino Linotype" w:cs="Tahoma"/>
          <w:iCs/>
          <w:sz w:val="22"/>
          <w:szCs w:val="22"/>
          <w:lang w:val="es-ES" w:eastAsia="es-ES_tradnl"/>
        </w:rPr>
        <w:t xml:space="preserve">Inconforme con lo </w:t>
      </w:r>
      <w:r w:rsidR="00EF2C2D" w:rsidRPr="00AD50F9">
        <w:rPr>
          <w:rFonts w:ascii="Palatino Linotype" w:eastAsia="Calibri" w:hAnsi="Palatino Linotype" w:cs="Tahoma"/>
          <w:iCs/>
          <w:sz w:val="22"/>
          <w:szCs w:val="22"/>
          <w:lang w:val="es-ES" w:eastAsia="es-ES_tradnl"/>
        </w:rPr>
        <w:t>anterior</w:t>
      </w:r>
      <w:r w:rsidRPr="00AD50F9">
        <w:rPr>
          <w:rFonts w:ascii="Palatino Linotype" w:eastAsia="Calibri" w:hAnsi="Palatino Linotype" w:cs="Tahoma"/>
          <w:iCs/>
          <w:sz w:val="22"/>
          <w:szCs w:val="22"/>
          <w:lang w:val="es-ES" w:eastAsia="es-ES_tradnl"/>
        </w:rPr>
        <w:t xml:space="preserve">, </w:t>
      </w:r>
      <w:r w:rsidR="002B1E0B">
        <w:rPr>
          <w:rFonts w:ascii="Palatino Linotype" w:eastAsia="Calibri" w:hAnsi="Palatino Linotype" w:cs="Tahoma"/>
          <w:iCs/>
          <w:sz w:val="22"/>
          <w:szCs w:val="22"/>
          <w:lang w:val="es-ES" w:eastAsia="es-ES_tradnl"/>
        </w:rPr>
        <w:t>el Solicitante</w:t>
      </w:r>
      <w:r w:rsidRPr="00AD50F9">
        <w:rPr>
          <w:rFonts w:ascii="Palatino Linotype" w:eastAsia="Calibri" w:hAnsi="Palatino Linotype" w:cs="Tahoma"/>
          <w:iCs/>
          <w:sz w:val="22"/>
          <w:szCs w:val="22"/>
          <w:lang w:val="es-ES" w:eastAsia="es-ES_tradnl"/>
        </w:rPr>
        <w:t xml:space="preserve"> interpuso </w:t>
      </w:r>
      <w:r w:rsidR="00983EDC" w:rsidRPr="00AD50F9">
        <w:rPr>
          <w:rFonts w:ascii="Palatino Linotype" w:eastAsia="Calibri" w:hAnsi="Palatino Linotype" w:cs="Tahoma"/>
          <w:iCs/>
          <w:sz w:val="22"/>
          <w:szCs w:val="22"/>
          <w:lang w:val="es-ES" w:eastAsia="es-ES_tradnl"/>
        </w:rPr>
        <w:t>Recurso de R</w:t>
      </w:r>
      <w:r w:rsidRPr="00AD50F9">
        <w:rPr>
          <w:rFonts w:ascii="Palatino Linotype" w:eastAsia="Calibri" w:hAnsi="Palatino Linotype" w:cs="Tahoma"/>
          <w:iCs/>
          <w:sz w:val="22"/>
          <w:szCs w:val="22"/>
          <w:lang w:val="es-ES" w:eastAsia="es-ES_tradnl"/>
        </w:rPr>
        <w:t xml:space="preserve">evisión, </w:t>
      </w:r>
      <w:r w:rsidR="00D95B5F" w:rsidRPr="00AD50F9">
        <w:rPr>
          <w:rFonts w:ascii="Palatino Linotype" w:eastAsia="Calibri" w:hAnsi="Palatino Linotype" w:cs="Tahoma"/>
          <w:iCs/>
          <w:sz w:val="22"/>
          <w:szCs w:val="22"/>
          <w:lang w:val="es-ES" w:eastAsia="es-ES_tradnl"/>
        </w:rPr>
        <w:t xml:space="preserve">en donde se agravió </w:t>
      </w:r>
      <w:r w:rsidR="00D542C5">
        <w:rPr>
          <w:rFonts w:ascii="Palatino Linotype" w:eastAsia="Calibri" w:hAnsi="Palatino Linotype" w:cs="Tahoma"/>
          <w:iCs/>
          <w:sz w:val="22"/>
          <w:szCs w:val="22"/>
          <w:lang w:eastAsia="es-ES_tradnl"/>
        </w:rPr>
        <w:t>incompetencia manifestada por el Ente Recurrido</w:t>
      </w:r>
      <w:r w:rsidR="00E75577" w:rsidRPr="00E75577">
        <w:rPr>
          <w:rFonts w:ascii="Palatino Linotype" w:eastAsia="Calibri" w:hAnsi="Palatino Linotype" w:cs="Tahoma"/>
          <w:iCs/>
          <w:sz w:val="22"/>
          <w:szCs w:val="22"/>
          <w:lang w:eastAsia="es-ES_tradnl"/>
        </w:rPr>
        <w:t xml:space="preserve">, </w:t>
      </w:r>
      <w:r w:rsidR="00386279">
        <w:rPr>
          <w:rFonts w:ascii="Palatino Linotype" w:eastAsia="Calibri" w:hAnsi="Palatino Linotype" w:cs="Tahoma"/>
          <w:iCs/>
          <w:sz w:val="22"/>
          <w:szCs w:val="22"/>
          <w:lang w:eastAsia="es-ES_tradnl"/>
        </w:rPr>
        <w:t xml:space="preserve">al precisar que </w:t>
      </w:r>
      <w:r w:rsidR="00D542C5">
        <w:rPr>
          <w:rFonts w:ascii="Palatino Linotype" w:eastAsia="Calibri" w:hAnsi="Palatino Linotype" w:cs="Tahoma"/>
          <w:iCs/>
          <w:sz w:val="22"/>
          <w:szCs w:val="22"/>
          <w:lang w:eastAsia="es-ES_tradnl"/>
        </w:rPr>
        <w:t xml:space="preserve">no había certeza de que se haya transferido </w:t>
      </w:r>
      <w:r w:rsidR="0067417F">
        <w:rPr>
          <w:rFonts w:ascii="Palatino Linotype" w:eastAsia="Calibri" w:hAnsi="Palatino Linotype" w:cs="Tahoma"/>
          <w:iCs/>
          <w:sz w:val="22"/>
          <w:szCs w:val="22"/>
          <w:lang w:eastAsia="es-ES_tradnl"/>
        </w:rPr>
        <w:t>los archivos de los Dictámenes Únicos de Factibilidad</w:t>
      </w:r>
      <w:r w:rsidR="00E75577" w:rsidRPr="00E75577">
        <w:rPr>
          <w:rFonts w:ascii="Palatino Linotype" w:eastAsia="Calibri" w:hAnsi="Palatino Linotype" w:cs="Tahoma"/>
          <w:iCs/>
          <w:sz w:val="22"/>
          <w:szCs w:val="22"/>
          <w:lang w:eastAsia="es-ES_tradnl"/>
        </w:rPr>
        <w:t xml:space="preserve">, en términos del </w:t>
      </w:r>
      <w:r w:rsidR="00E75577" w:rsidRPr="00E75577">
        <w:rPr>
          <w:rFonts w:ascii="Palatino Linotype" w:eastAsia="Calibri" w:hAnsi="Palatino Linotype" w:cs="Tahoma"/>
          <w:iCs/>
          <w:sz w:val="22"/>
          <w:szCs w:val="22"/>
          <w:lang w:eastAsia="es-ES_tradnl"/>
        </w:rPr>
        <w:lastRenderedPageBreak/>
        <w:t>artículo 179, fracción IX, de la Ley de Transparencia y Acceso a la Información Pública del Estado de México y Municipios.</w:t>
      </w:r>
      <w:r w:rsidR="00386279">
        <w:rPr>
          <w:rFonts w:ascii="Palatino Linotype" w:eastAsia="Calibri" w:hAnsi="Palatino Linotype" w:cs="Tahoma"/>
          <w:iCs/>
          <w:sz w:val="22"/>
          <w:szCs w:val="22"/>
          <w:lang w:eastAsia="es-ES_tradnl"/>
        </w:rPr>
        <w:t xml:space="preserve"> </w:t>
      </w:r>
      <w:r w:rsidR="00601E59" w:rsidRPr="00AD50F9">
        <w:rPr>
          <w:rFonts w:ascii="Palatino Linotype" w:hAnsi="Palatino Linotype" w:cs="Tahoma"/>
          <w:sz w:val="22"/>
          <w:szCs w:val="22"/>
          <w:lang w:val="es-ES"/>
        </w:rPr>
        <w:t>Así las cosas, una vez admitido y notificado el Recurso de Revisión a las partes, el Ente Recurrid</w:t>
      </w:r>
      <w:r w:rsidR="002462FD">
        <w:rPr>
          <w:rFonts w:ascii="Palatino Linotype" w:hAnsi="Palatino Linotype" w:cs="Tahoma"/>
          <w:sz w:val="22"/>
          <w:szCs w:val="22"/>
          <w:lang w:val="es-ES"/>
        </w:rPr>
        <w:t>o</w:t>
      </w:r>
      <w:r w:rsidR="00386279">
        <w:rPr>
          <w:rFonts w:ascii="Palatino Linotype" w:hAnsi="Palatino Linotype" w:cs="Tahoma"/>
          <w:sz w:val="22"/>
          <w:szCs w:val="22"/>
          <w:lang w:val="es-ES"/>
        </w:rPr>
        <w:t xml:space="preserve"> ratificó su respuesta inicial, </w:t>
      </w:r>
      <w:r w:rsidR="0067417F">
        <w:rPr>
          <w:rFonts w:ascii="Palatino Linotype" w:hAnsi="Palatino Linotype" w:cs="Tahoma"/>
          <w:sz w:val="22"/>
          <w:szCs w:val="22"/>
          <w:lang w:val="es-ES"/>
        </w:rPr>
        <w:t>al señalar lo siguiente:</w:t>
      </w:r>
    </w:p>
    <w:p w14:paraId="0C7B36C9" w14:textId="77777777" w:rsidR="0067417F" w:rsidRDefault="0067417F" w:rsidP="000A4DC8">
      <w:pPr>
        <w:tabs>
          <w:tab w:val="left" w:pos="4962"/>
        </w:tabs>
        <w:spacing w:line="360" w:lineRule="auto"/>
        <w:jc w:val="both"/>
        <w:rPr>
          <w:rFonts w:ascii="Palatino Linotype" w:hAnsi="Palatino Linotype" w:cs="Tahoma"/>
          <w:sz w:val="22"/>
          <w:szCs w:val="22"/>
          <w:lang w:val="es-ES"/>
        </w:rPr>
      </w:pPr>
    </w:p>
    <w:p w14:paraId="6DF16CE5" w14:textId="10D2A410" w:rsidR="0067417F" w:rsidRDefault="0067417F" w:rsidP="0067417F">
      <w:pPr>
        <w:pStyle w:val="Prrafodelista"/>
        <w:numPr>
          <w:ilvl w:val="0"/>
          <w:numId w:val="26"/>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el trámite denominado “Dictamen Único de Factibilidad”, estaba en proceso de darse de baja, ante la Comisión Estatal de Mejora Regulatoria.</w:t>
      </w:r>
    </w:p>
    <w:p w14:paraId="21F766E8" w14:textId="6B687A63" w:rsidR="00654ABB" w:rsidRDefault="00654ABB" w:rsidP="0067417F">
      <w:pPr>
        <w:pStyle w:val="Prrafodelista"/>
        <w:numPr>
          <w:ilvl w:val="0"/>
          <w:numId w:val="26"/>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la Comisión de Factibilidad del Estado de México era un órgano desconcentrado de la Secretaría de Justicia y Derechos Humanos, con autonomía técnica y operativa, responsable del Dictamen Único de Factibilidad.</w:t>
      </w:r>
    </w:p>
    <w:p w14:paraId="39BB8EF7" w14:textId="563D3DDC" w:rsidR="00654ABB" w:rsidRDefault="00A83359" w:rsidP="0067417F">
      <w:pPr>
        <w:pStyle w:val="Prrafodelista"/>
        <w:numPr>
          <w:ilvl w:val="0"/>
          <w:numId w:val="26"/>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conforme a los ordenamientos jurídicos precisados en respuesta, se tenía hasta el dos de julio de dos mil diecinueve, para remitir los expedientes de las solicitudes pendientes de renovación de Dictamen Único de Factibilidad.</w:t>
      </w:r>
    </w:p>
    <w:p w14:paraId="5D878C6B" w14:textId="140B2ABC" w:rsidR="00BC49F1" w:rsidRPr="0067417F" w:rsidRDefault="00BC49F1" w:rsidP="0067417F">
      <w:pPr>
        <w:pStyle w:val="Prrafodelista"/>
        <w:numPr>
          <w:ilvl w:val="0"/>
          <w:numId w:val="26"/>
        </w:numPr>
        <w:tabs>
          <w:tab w:val="left" w:pos="4962"/>
        </w:tabs>
        <w:spacing w:line="360" w:lineRule="auto"/>
        <w:jc w:val="both"/>
        <w:rPr>
          <w:rFonts w:ascii="Palatino Linotype" w:hAnsi="Palatino Linotype" w:cs="Tahoma"/>
          <w:szCs w:val="22"/>
          <w:lang w:val="es-ES"/>
        </w:rPr>
      </w:pPr>
      <w:r>
        <w:rPr>
          <w:rFonts w:ascii="Palatino Linotype" w:hAnsi="Palatino Linotype" w:cs="Tahoma"/>
          <w:szCs w:val="22"/>
          <w:lang w:val="es-ES"/>
        </w:rPr>
        <w:t>Que los procedimientos y asuntos, respecto al trámite del Dictamen Único de Factibilidad que se hayan iniciado ante la Comisión Estatal de Factibilidad, continuarán su trámite</w:t>
      </w:r>
    </w:p>
    <w:p w14:paraId="70B629E0" w14:textId="77777777" w:rsidR="000A5A4E" w:rsidRDefault="000A5A4E" w:rsidP="000A4DC8">
      <w:pPr>
        <w:tabs>
          <w:tab w:val="left" w:pos="4962"/>
        </w:tabs>
        <w:spacing w:line="360" w:lineRule="auto"/>
        <w:jc w:val="both"/>
        <w:rPr>
          <w:rFonts w:ascii="Palatino Linotype" w:hAnsi="Palatino Linotype" w:cs="Tahoma"/>
          <w:sz w:val="22"/>
          <w:szCs w:val="22"/>
          <w:lang w:val="es-ES"/>
        </w:rPr>
      </w:pPr>
    </w:p>
    <w:p w14:paraId="16641240" w14:textId="7C2DCEED" w:rsidR="00526575" w:rsidRPr="00AD50F9" w:rsidRDefault="00526575" w:rsidP="000A4DC8">
      <w:pPr>
        <w:spacing w:line="360" w:lineRule="auto"/>
        <w:ind w:right="-93"/>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Lo anterior, se desprende de las documentales que obran en el expediente de referencia, materia de la presente resolución, consistentes en: la solicitud de acceso a la información con número de folio </w:t>
      </w:r>
      <w:r w:rsidR="00CF7003">
        <w:rPr>
          <w:rFonts w:ascii="Palatino Linotype" w:eastAsia="Calibri" w:hAnsi="Palatino Linotype" w:cs="Tahoma"/>
          <w:bCs/>
          <w:sz w:val="22"/>
          <w:szCs w:val="22"/>
          <w:lang w:eastAsia="en-US"/>
        </w:rPr>
        <w:t>00140/SEDUM/IP/2019</w:t>
      </w:r>
      <w:r w:rsidRPr="00AD50F9">
        <w:rPr>
          <w:rFonts w:ascii="Palatino Linotype" w:eastAsia="Calibri" w:hAnsi="Palatino Linotype" w:cs="Tahoma"/>
          <w:bCs/>
          <w:sz w:val="22"/>
          <w:szCs w:val="22"/>
          <w:lang w:eastAsia="en-US"/>
        </w:rPr>
        <w:t>;</w:t>
      </w:r>
      <w:r w:rsidR="00534258"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 xml:space="preserve">la respuesta proporcionada por el </w:t>
      </w:r>
      <w:r w:rsidR="00CF7003">
        <w:rPr>
          <w:rFonts w:ascii="Palatino Linotype" w:eastAsia="Calibri" w:hAnsi="Palatino Linotype" w:cs="Tahoma"/>
          <w:bCs/>
          <w:sz w:val="22"/>
          <w:szCs w:val="22"/>
          <w:lang w:eastAsia="en-US"/>
        </w:rPr>
        <w:t>Secretaría de Desarrollo Urbano y Metropolitano</w:t>
      </w:r>
      <w:r w:rsidR="00534258" w:rsidRPr="00AD50F9">
        <w:rPr>
          <w:rFonts w:ascii="Palatino Linotype" w:eastAsia="Calibri" w:hAnsi="Palatino Linotype" w:cs="Tahoma"/>
          <w:bCs/>
          <w:sz w:val="22"/>
          <w:szCs w:val="22"/>
          <w:lang w:eastAsia="en-US"/>
        </w:rPr>
        <w:t>;</w:t>
      </w:r>
      <w:r w:rsidR="00B31FDB"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eastAsia="en-US"/>
        </w:rPr>
        <w:t>el escrito recursal</w:t>
      </w:r>
      <w:r w:rsidR="00E733A6">
        <w:rPr>
          <w:rFonts w:ascii="Palatino Linotype" w:eastAsia="Calibri" w:hAnsi="Palatino Linotype" w:cs="Tahoma"/>
          <w:bCs/>
          <w:sz w:val="22"/>
          <w:szCs w:val="22"/>
          <w:lang w:eastAsia="en-US"/>
        </w:rPr>
        <w:t>,</w:t>
      </w:r>
      <w:r w:rsidR="00150E21" w:rsidRPr="00AD50F9">
        <w:rPr>
          <w:rFonts w:ascii="Palatino Linotype" w:eastAsia="Calibri" w:hAnsi="Palatino Linotype" w:cs="Tahoma"/>
          <w:bCs/>
          <w:sz w:val="22"/>
          <w:szCs w:val="22"/>
          <w:lang w:eastAsia="en-US"/>
        </w:rPr>
        <w:t xml:space="preserve"> el Informe Justificado emitido por el Sujeto Obligado</w:t>
      </w:r>
      <w:r w:rsidR="00974A6E">
        <w:rPr>
          <w:rFonts w:ascii="Palatino Linotype" w:eastAsia="Calibri" w:hAnsi="Palatino Linotype" w:cs="Tahoma"/>
          <w:bCs/>
          <w:sz w:val="22"/>
          <w:szCs w:val="22"/>
          <w:lang w:eastAsia="en-US"/>
        </w:rPr>
        <w:t xml:space="preserve"> y sus anexos</w:t>
      </w:r>
      <w:r w:rsidR="00E733A6">
        <w:rPr>
          <w:rFonts w:ascii="Palatino Linotype" w:eastAsia="Calibri" w:hAnsi="Palatino Linotype" w:cs="Tahoma"/>
          <w:bCs/>
          <w:sz w:val="22"/>
          <w:szCs w:val="22"/>
          <w:lang w:eastAsia="en-US"/>
        </w:rPr>
        <w:t xml:space="preserve"> y las manifestaciones realizadas por el Particular</w:t>
      </w:r>
      <w:r w:rsidRPr="00AD50F9">
        <w:rPr>
          <w:rFonts w:ascii="Palatino Linotype" w:eastAsia="Calibri" w:hAnsi="Palatino Linotype" w:cs="Tahoma"/>
          <w:bCs/>
          <w:sz w:val="22"/>
          <w:szCs w:val="22"/>
          <w:lang w:eastAsia="en-US"/>
        </w:rPr>
        <w:t>; instrumentales que se toman en cuenta a efecto de resolver el presente medio de impugnación, conforme a lo dispuesto por el artículo 185, fracción IV, de la Ley de Transparencia y Acceso a la Información Pública del Estado de México y Municipios.</w:t>
      </w:r>
    </w:p>
    <w:p w14:paraId="181CD3FB" w14:textId="77777777" w:rsidR="00FF05B9" w:rsidRDefault="00FF05B9" w:rsidP="000A4DC8">
      <w:pPr>
        <w:spacing w:line="360" w:lineRule="auto"/>
        <w:ind w:right="-93"/>
        <w:jc w:val="both"/>
        <w:rPr>
          <w:rFonts w:ascii="Palatino Linotype" w:eastAsia="Calibri" w:hAnsi="Palatino Linotype" w:cs="Tahoma"/>
          <w:bCs/>
          <w:sz w:val="22"/>
          <w:szCs w:val="22"/>
          <w:lang w:eastAsia="en-US"/>
        </w:rPr>
      </w:pPr>
    </w:p>
    <w:p w14:paraId="24FCF68A" w14:textId="77777777" w:rsidR="00D200AB" w:rsidRPr="00AD50F9" w:rsidRDefault="009617D3" w:rsidP="000A4DC8">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lastRenderedPageBreak/>
        <w:t>CUART</w:t>
      </w:r>
      <w:r w:rsidR="002241A6" w:rsidRPr="00AD50F9">
        <w:rPr>
          <w:rFonts w:ascii="Palatino Linotype" w:hAnsi="Palatino Linotype" w:cs="Tahoma"/>
          <w:b/>
          <w:sz w:val="22"/>
          <w:szCs w:val="22"/>
          <w:lang w:val="es-ES"/>
        </w:rPr>
        <w:t>O</w:t>
      </w:r>
      <w:r w:rsidRPr="00AD50F9">
        <w:rPr>
          <w:rFonts w:ascii="Palatino Linotype" w:hAnsi="Palatino Linotype" w:cs="Tahoma"/>
          <w:b/>
          <w:sz w:val="22"/>
          <w:szCs w:val="22"/>
          <w:lang w:val="es-ES"/>
        </w:rPr>
        <w:t xml:space="preserve">. </w:t>
      </w:r>
      <w:r w:rsidR="00D200AB" w:rsidRPr="00AD50F9">
        <w:rPr>
          <w:rFonts w:ascii="Palatino Linotype" w:hAnsi="Palatino Linotype" w:cs="Tahoma"/>
          <w:b/>
          <w:sz w:val="22"/>
          <w:szCs w:val="22"/>
        </w:rPr>
        <w:t>Marco normativo aplicable en materia de transparencia y acceso a la información pública.</w:t>
      </w:r>
    </w:p>
    <w:p w14:paraId="178AC202" w14:textId="77777777" w:rsidR="008A4356" w:rsidRDefault="008A4356" w:rsidP="000A4DC8">
      <w:pPr>
        <w:spacing w:line="360" w:lineRule="auto"/>
        <w:contextualSpacing/>
        <w:jc w:val="both"/>
        <w:rPr>
          <w:rFonts w:ascii="Palatino Linotype" w:hAnsi="Palatino Linotype" w:cs="Tahoma"/>
          <w:sz w:val="22"/>
          <w:szCs w:val="22"/>
        </w:rPr>
      </w:pPr>
    </w:p>
    <w:p w14:paraId="41419135" w14:textId="77777777" w:rsidR="00D200AB" w:rsidRPr="00AD50F9" w:rsidRDefault="00D200AB" w:rsidP="000A4DC8">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B6C66DD" w14:textId="77777777" w:rsidR="00D200AB" w:rsidRPr="00AD50F9" w:rsidRDefault="00D200AB" w:rsidP="000A4DC8">
      <w:pPr>
        <w:spacing w:line="360" w:lineRule="auto"/>
        <w:contextualSpacing/>
        <w:jc w:val="both"/>
        <w:rPr>
          <w:rFonts w:ascii="Palatino Linotype" w:hAnsi="Palatino Linotype" w:cs="Tahoma"/>
          <w:sz w:val="22"/>
          <w:szCs w:val="22"/>
        </w:rPr>
      </w:pPr>
    </w:p>
    <w:p w14:paraId="58B2E022"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14D6CDD" w14:textId="77777777" w:rsidR="00D200AB" w:rsidRPr="00AD50F9" w:rsidRDefault="00D200AB" w:rsidP="000A4DC8">
      <w:pPr>
        <w:spacing w:line="360" w:lineRule="auto"/>
        <w:jc w:val="both"/>
        <w:rPr>
          <w:rFonts w:ascii="Palatino Linotype" w:hAnsi="Palatino Linotype" w:cs="Tahoma"/>
          <w:sz w:val="22"/>
          <w:szCs w:val="22"/>
        </w:rPr>
      </w:pPr>
    </w:p>
    <w:p w14:paraId="7256456E"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2B2836B" w14:textId="77777777" w:rsidR="00D200AB" w:rsidRPr="00AD50F9" w:rsidRDefault="00D200AB" w:rsidP="000A4DC8">
      <w:pPr>
        <w:spacing w:line="360" w:lineRule="auto"/>
        <w:jc w:val="both"/>
        <w:rPr>
          <w:rFonts w:ascii="Palatino Linotype" w:hAnsi="Palatino Linotype" w:cs="Tahoma"/>
          <w:sz w:val="22"/>
          <w:szCs w:val="22"/>
        </w:rPr>
      </w:pPr>
    </w:p>
    <w:p w14:paraId="4568A6D1"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AD47F02" w14:textId="77777777" w:rsidR="00D200AB" w:rsidRPr="00AD50F9" w:rsidRDefault="00D200AB" w:rsidP="000A4DC8">
      <w:pPr>
        <w:spacing w:line="360" w:lineRule="auto"/>
        <w:jc w:val="both"/>
        <w:rPr>
          <w:rFonts w:ascii="Palatino Linotype" w:hAnsi="Palatino Linotype" w:cs="Tahoma"/>
          <w:sz w:val="22"/>
          <w:szCs w:val="22"/>
        </w:rPr>
      </w:pPr>
    </w:p>
    <w:p w14:paraId="25195CD3"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Por su parte, la Ley de Transparencia y Acceso a la Información Pública del Estado de México y Municipios (Reglamentaria del artículo 5° de la Constitución Local), establece lo siguiente:</w:t>
      </w:r>
    </w:p>
    <w:p w14:paraId="590AD01C" w14:textId="77777777" w:rsidR="00D200AB" w:rsidRPr="00AD50F9" w:rsidRDefault="00D200AB" w:rsidP="000A4DC8">
      <w:pPr>
        <w:spacing w:line="360" w:lineRule="auto"/>
        <w:jc w:val="both"/>
        <w:rPr>
          <w:rFonts w:ascii="Palatino Linotype" w:hAnsi="Palatino Linotype" w:cs="Tahoma"/>
          <w:sz w:val="22"/>
          <w:szCs w:val="22"/>
        </w:rPr>
      </w:pPr>
    </w:p>
    <w:p w14:paraId="0EDEAAA0"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0F44778C" w14:textId="77777777" w:rsidR="00D200AB" w:rsidRPr="00AD50F9" w:rsidRDefault="00D200AB" w:rsidP="000A4DC8">
      <w:pPr>
        <w:spacing w:line="360" w:lineRule="auto"/>
        <w:jc w:val="both"/>
        <w:rPr>
          <w:rFonts w:ascii="Palatino Linotype" w:hAnsi="Palatino Linotype" w:cs="Tahoma"/>
          <w:sz w:val="22"/>
          <w:szCs w:val="22"/>
        </w:rPr>
      </w:pPr>
    </w:p>
    <w:p w14:paraId="50AAEAE8"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4802B733" w14:textId="77777777" w:rsidR="00D200AB" w:rsidRPr="00AD50F9" w:rsidRDefault="00D200AB" w:rsidP="000A4DC8">
      <w:pPr>
        <w:spacing w:line="360" w:lineRule="auto"/>
        <w:jc w:val="both"/>
        <w:rPr>
          <w:rFonts w:ascii="Palatino Linotype" w:hAnsi="Palatino Linotype" w:cs="Tahoma"/>
          <w:sz w:val="22"/>
          <w:szCs w:val="22"/>
        </w:rPr>
      </w:pPr>
    </w:p>
    <w:p w14:paraId="2B3AEF1A" w14:textId="77777777" w:rsidR="00D200AB" w:rsidRPr="00AD50F9" w:rsidRDefault="00D200AB" w:rsidP="000A4DC8">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F38E8B" w14:textId="77777777" w:rsidR="00D200AB" w:rsidRDefault="00D200AB" w:rsidP="000A4DC8">
      <w:pPr>
        <w:spacing w:line="360" w:lineRule="auto"/>
        <w:jc w:val="both"/>
        <w:rPr>
          <w:rFonts w:ascii="Palatino Linotype" w:hAnsi="Palatino Linotype" w:cs="Tahoma"/>
          <w:sz w:val="22"/>
          <w:szCs w:val="22"/>
        </w:rPr>
      </w:pPr>
    </w:p>
    <w:p w14:paraId="447B74E3" w14:textId="77777777" w:rsidR="007876CF" w:rsidRDefault="00D200AB" w:rsidP="000A4DC8">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 xml:space="preserve">QUINTO. </w:t>
      </w:r>
      <w:r w:rsidR="009617D3" w:rsidRPr="00AD50F9">
        <w:rPr>
          <w:rFonts w:ascii="Palatino Linotype" w:hAnsi="Palatino Linotype" w:cs="Tahoma"/>
          <w:b/>
          <w:sz w:val="22"/>
          <w:szCs w:val="22"/>
          <w:lang w:val="es-ES"/>
        </w:rPr>
        <w:t>Estudio de Fondo.</w:t>
      </w:r>
    </w:p>
    <w:p w14:paraId="1F8198EB" w14:textId="77777777" w:rsidR="00E719CE" w:rsidRDefault="00E719CE" w:rsidP="000A4DC8">
      <w:pPr>
        <w:spacing w:line="360" w:lineRule="auto"/>
        <w:ind w:right="-93"/>
        <w:jc w:val="both"/>
        <w:rPr>
          <w:rFonts w:ascii="Palatino Linotype" w:hAnsi="Palatino Linotype" w:cs="Tahoma"/>
          <w:b/>
          <w:sz w:val="22"/>
          <w:szCs w:val="22"/>
          <w:lang w:val="es-ES"/>
        </w:rPr>
      </w:pPr>
    </w:p>
    <w:p w14:paraId="459C28E8" w14:textId="2FC8BF46" w:rsidR="003D09C3" w:rsidRDefault="003D09C3" w:rsidP="003D09C3">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Expuestas las posturas de las partes, se procede analizar </w:t>
      </w:r>
      <w:r w:rsidR="00E719CE">
        <w:rPr>
          <w:rFonts w:ascii="Palatino Linotype" w:hAnsi="Palatino Linotype" w:cs="Tahoma"/>
          <w:sz w:val="22"/>
          <w:szCs w:val="22"/>
          <w:lang w:val="es-ES"/>
        </w:rPr>
        <w:t>la incompetencia manifestada por el Sujeto O</w:t>
      </w:r>
      <w:r w:rsidR="00A44354">
        <w:rPr>
          <w:rFonts w:ascii="Palatino Linotype" w:hAnsi="Palatino Linotype" w:cs="Tahoma"/>
          <w:sz w:val="22"/>
          <w:szCs w:val="22"/>
          <w:lang w:val="es-ES"/>
        </w:rPr>
        <w:t>bligado, para conocer de la información del Dictamen Único de Factibilidad de la unidad económica de alto impacto, señalada en la solicitud de información.</w:t>
      </w:r>
    </w:p>
    <w:p w14:paraId="36B22007" w14:textId="77777777" w:rsidR="00E719CE" w:rsidRDefault="00E719CE" w:rsidP="003D09C3">
      <w:pPr>
        <w:spacing w:line="360" w:lineRule="auto"/>
        <w:ind w:right="-93"/>
        <w:jc w:val="both"/>
        <w:rPr>
          <w:rFonts w:ascii="Palatino Linotype" w:hAnsi="Palatino Linotype" w:cs="Tahoma"/>
          <w:sz w:val="22"/>
          <w:szCs w:val="22"/>
          <w:lang w:val="es-ES"/>
        </w:rPr>
      </w:pPr>
    </w:p>
    <w:p w14:paraId="42159853" w14:textId="77777777" w:rsidR="00A44354" w:rsidRPr="00A44354" w:rsidRDefault="00A44354" w:rsidP="00A44354">
      <w:pPr>
        <w:spacing w:line="360" w:lineRule="auto"/>
        <w:jc w:val="both"/>
        <w:rPr>
          <w:rFonts w:ascii="Palatino Linotype" w:hAnsi="Palatino Linotype" w:cs="Tahoma"/>
          <w:b/>
          <w:sz w:val="22"/>
          <w:szCs w:val="22"/>
        </w:rPr>
      </w:pPr>
      <w:r w:rsidRPr="00A44354">
        <w:rPr>
          <w:rFonts w:ascii="Palatino Linotype" w:hAnsi="Palatino Linotype" w:cs="Tahoma"/>
          <w:sz w:val="22"/>
          <w:szCs w:val="22"/>
        </w:rPr>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A44354">
        <w:rPr>
          <w:rFonts w:ascii="Palatino Linotype" w:hAnsi="Palatino Linotype" w:cs="Tahoma"/>
          <w:b/>
          <w:sz w:val="22"/>
          <w:szCs w:val="22"/>
        </w:rPr>
        <w:t>cuando la misma no sea competencia del sujeto obligado ante el cual se formule la solicitud de acceso.</w:t>
      </w:r>
    </w:p>
    <w:p w14:paraId="51816D4F" w14:textId="77777777" w:rsidR="00A44354" w:rsidRPr="00A44354" w:rsidRDefault="00A44354" w:rsidP="00A44354">
      <w:pPr>
        <w:spacing w:line="360" w:lineRule="auto"/>
        <w:jc w:val="both"/>
        <w:rPr>
          <w:rFonts w:ascii="Palatino Linotype" w:hAnsi="Palatino Linotype" w:cs="Tahoma"/>
          <w:sz w:val="22"/>
          <w:szCs w:val="22"/>
        </w:rPr>
      </w:pPr>
    </w:p>
    <w:p w14:paraId="6D4B62A3" w14:textId="77777777" w:rsidR="00A44354" w:rsidRPr="00A44354" w:rsidRDefault="00A44354" w:rsidP="00A44354">
      <w:pPr>
        <w:spacing w:line="360" w:lineRule="auto"/>
        <w:jc w:val="both"/>
        <w:rPr>
          <w:rFonts w:ascii="Palatino Linotype" w:hAnsi="Palatino Linotype" w:cs="Tahoma"/>
          <w:sz w:val="22"/>
          <w:szCs w:val="22"/>
        </w:rPr>
      </w:pPr>
      <w:r w:rsidRPr="00A44354">
        <w:rPr>
          <w:rFonts w:ascii="Palatino Linotype" w:hAnsi="Palatino Linotype" w:cs="Tahoma"/>
          <w:sz w:val="22"/>
          <w:szCs w:val="22"/>
        </w:rPr>
        <w:t xml:space="preserve">Asimismo, que los Comités de Transparencia tienen entre sus atribuciones confirmar, modificar o revocar la </w:t>
      </w:r>
      <w:r w:rsidRPr="00A44354">
        <w:rPr>
          <w:rFonts w:ascii="Palatino Linotype" w:hAnsi="Palatino Linotype" w:cs="Tahoma"/>
          <w:b/>
          <w:sz w:val="22"/>
          <w:szCs w:val="22"/>
        </w:rPr>
        <w:t>declaración de incompetencia</w:t>
      </w:r>
      <w:r w:rsidRPr="00A44354">
        <w:rPr>
          <w:rFonts w:ascii="Palatino Linotype" w:hAnsi="Palatino Linotype" w:cs="Tahoma"/>
          <w:sz w:val="22"/>
          <w:szCs w:val="22"/>
        </w:rPr>
        <w:t xml:space="preserve"> que realicen los titulares de las unidades administrativas.</w:t>
      </w:r>
    </w:p>
    <w:p w14:paraId="0013F97C" w14:textId="77777777" w:rsidR="00A44354" w:rsidRPr="00A44354" w:rsidRDefault="00A44354" w:rsidP="00A44354">
      <w:pPr>
        <w:spacing w:line="360" w:lineRule="auto"/>
        <w:jc w:val="both"/>
        <w:rPr>
          <w:rFonts w:ascii="Palatino Linotype" w:hAnsi="Palatino Linotype" w:cs="Tahoma"/>
          <w:sz w:val="22"/>
          <w:szCs w:val="22"/>
        </w:rPr>
      </w:pPr>
    </w:p>
    <w:p w14:paraId="1956BDAD" w14:textId="77777777" w:rsidR="00A44354" w:rsidRPr="00A44354" w:rsidRDefault="00A44354" w:rsidP="00A44354">
      <w:pPr>
        <w:spacing w:line="360" w:lineRule="auto"/>
        <w:jc w:val="both"/>
        <w:rPr>
          <w:rFonts w:ascii="Palatino Linotype" w:hAnsi="Palatino Linotype" w:cs="Tahoma"/>
          <w:sz w:val="22"/>
          <w:szCs w:val="22"/>
        </w:rPr>
      </w:pPr>
      <w:r w:rsidRPr="00A44354">
        <w:rPr>
          <w:rFonts w:ascii="Palatino Linotype" w:hAnsi="Palatino Linotype" w:cs="Tahoma"/>
          <w:sz w:val="22"/>
          <w:szCs w:val="22"/>
        </w:rPr>
        <w:t xml:space="preserve">Asimismo, cuando las Unidades de Transparencia determinen </w:t>
      </w:r>
      <w:r w:rsidRPr="00A44354">
        <w:rPr>
          <w:rFonts w:ascii="Palatino Linotype" w:hAnsi="Palatino Linotype" w:cs="Tahoma"/>
          <w:b/>
          <w:sz w:val="22"/>
          <w:szCs w:val="22"/>
        </w:rPr>
        <w:t>la notoria incompetencia</w:t>
      </w:r>
      <w:r w:rsidRPr="00A44354">
        <w:rPr>
          <w:rFonts w:ascii="Palatino Linotype" w:hAnsi="Palatino Linotype" w:cs="Tahoma"/>
          <w:sz w:val="22"/>
          <w:szCs w:val="22"/>
        </w:rPr>
        <w:t xml:space="preserve"> por parte de los sujetos obligados deberán comunicar al solicitante la misma dentro de los tres días posteriores a la recepción de la solicitud.</w:t>
      </w:r>
    </w:p>
    <w:p w14:paraId="2FB74F18" w14:textId="77777777" w:rsidR="00A44354" w:rsidRPr="00A44354" w:rsidRDefault="00A44354" w:rsidP="00A44354">
      <w:pPr>
        <w:spacing w:line="360" w:lineRule="auto"/>
        <w:jc w:val="both"/>
        <w:rPr>
          <w:rFonts w:ascii="Palatino Linotype" w:hAnsi="Palatino Linotype" w:cs="Tahoma"/>
          <w:sz w:val="22"/>
          <w:szCs w:val="22"/>
        </w:rPr>
      </w:pPr>
    </w:p>
    <w:p w14:paraId="26622A86" w14:textId="77777777" w:rsidR="00A44354" w:rsidRPr="00A44354" w:rsidRDefault="00A44354" w:rsidP="00A44354">
      <w:pPr>
        <w:spacing w:line="360" w:lineRule="auto"/>
        <w:jc w:val="both"/>
        <w:rPr>
          <w:rFonts w:ascii="Palatino Linotype" w:hAnsi="Palatino Linotype" w:cs="Arial"/>
          <w:bCs/>
          <w:sz w:val="22"/>
          <w:szCs w:val="22"/>
        </w:rPr>
      </w:pPr>
      <w:r w:rsidRPr="00A44354">
        <w:rPr>
          <w:rFonts w:ascii="Palatino Linotype" w:hAnsi="Palatino Linotype" w:cs="Tahoma"/>
          <w:sz w:val="22"/>
          <w:szCs w:val="22"/>
        </w:rPr>
        <w:t>Como se logra observar, si bien la Ley de la materia, prevé el supuesto de incompetencia para que los sujetos obligados den atención a solitudes de información, también lo es, que no se precisa en que consiste dicho concepto; sobre dicha situación</w:t>
      </w:r>
      <w:r w:rsidRPr="00A44354">
        <w:rPr>
          <w:rFonts w:ascii="Palatino Linotype" w:hAnsi="Palatino Linotype" w:cs="Tahoma"/>
          <w:sz w:val="22"/>
          <w:szCs w:val="22"/>
          <w:lang w:val="es-ES_tradnl"/>
        </w:rPr>
        <w:t>,</w:t>
      </w:r>
      <w:r w:rsidRPr="00A44354">
        <w:rPr>
          <w:rFonts w:ascii="Palatino Linotype" w:hAnsi="Palatino Linotype" w:cs="Arial"/>
          <w:sz w:val="22"/>
          <w:szCs w:val="22"/>
        </w:rPr>
        <w:t xml:space="preserve"> </w:t>
      </w:r>
      <w:r w:rsidRPr="00A44354">
        <w:rPr>
          <w:rFonts w:ascii="Palatino Linotype" w:hAnsi="Palatino Linotype" w:cs="Arial"/>
          <w:bCs/>
          <w:sz w:val="22"/>
          <w:szCs w:val="22"/>
        </w:rPr>
        <w:t>según Cabanellas, Guillermo (1993), en el “Diccionario Jurídico Elemental” (p. 32 y 161), precisó los siguientes conceptos:</w:t>
      </w:r>
    </w:p>
    <w:p w14:paraId="1F062009" w14:textId="77777777" w:rsidR="00A44354" w:rsidRPr="00A44354" w:rsidRDefault="00A44354" w:rsidP="00A44354">
      <w:pPr>
        <w:spacing w:line="360" w:lineRule="auto"/>
        <w:jc w:val="both"/>
        <w:rPr>
          <w:rFonts w:ascii="Palatino Linotype" w:hAnsi="Palatino Linotype" w:cs="Arial"/>
          <w:bCs/>
          <w:sz w:val="22"/>
          <w:szCs w:val="22"/>
        </w:rPr>
      </w:pPr>
    </w:p>
    <w:p w14:paraId="4907CC71" w14:textId="77777777" w:rsidR="00A44354" w:rsidRPr="00A44354" w:rsidRDefault="00A44354" w:rsidP="00A44354">
      <w:pPr>
        <w:numPr>
          <w:ilvl w:val="0"/>
          <w:numId w:val="27"/>
        </w:numPr>
        <w:spacing w:line="360" w:lineRule="auto"/>
        <w:contextualSpacing/>
        <w:jc w:val="both"/>
        <w:rPr>
          <w:rFonts w:ascii="Palatino Linotype" w:hAnsi="Palatino Linotype" w:cs="Arial"/>
          <w:bCs/>
          <w:sz w:val="22"/>
          <w:szCs w:val="22"/>
        </w:rPr>
      </w:pPr>
      <w:r w:rsidRPr="00A44354">
        <w:rPr>
          <w:rFonts w:ascii="Palatino Linotype" w:hAnsi="Palatino Linotype" w:cs="Arial"/>
          <w:b/>
          <w:bCs/>
          <w:sz w:val="22"/>
          <w:szCs w:val="22"/>
        </w:rPr>
        <w:t xml:space="preserve">Competencia: </w:t>
      </w:r>
      <w:r w:rsidRPr="00A44354">
        <w:rPr>
          <w:rFonts w:ascii="Palatino Linotype" w:hAnsi="Palatino Linotype" w:cs="Arial"/>
          <w:bCs/>
          <w:sz w:val="22"/>
          <w:szCs w:val="22"/>
        </w:rPr>
        <w:t>La capacidad de una autoridad para conocer sobre una materia o asunto.</w:t>
      </w:r>
    </w:p>
    <w:p w14:paraId="4B3AD65A" w14:textId="77777777" w:rsidR="00A44354" w:rsidRPr="00A44354" w:rsidRDefault="00A44354" w:rsidP="00A44354">
      <w:pPr>
        <w:spacing w:line="360" w:lineRule="auto"/>
        <w:ind w:left="780"/>
        <w:contextualSpacing/>
        <w:jc w:val="both"/>
        <w:rPr>
          <w:rFonts w:ascii="Palatino Linotype" w:hAnsi="Palatino Linotype" w:cs="Arial"/>
          <w:bCs/>
          <w:sz w:val="22"/>
          <w:szCs w:val="22"/>
        </w:rPr>
      </w:pPr>
    </w:p>
    <w:p w14:paraId="2B3E2997" w14:textId="77777777" w:rsidR="00A44354" w:rsidRPr="00A44354" w:rsidRDefault="00A44354" w:rsidP="00A44354">
      <w:pPr>
        <w:numPr>
          <w:ilvl w:val="0"/>
          <w:numId w:val="27"/>
        </w:numPr>
        <w:spacing w:line="360" w:lineRule="auto"/>
        <w:contextualSpacing/>
        <w:jc w:val="both"/>
        <w:rPr>
          <w:rFonts w:ascii="Palatino Linotype" w:hAnsi="Palatino Linotype" w:cs="Arial"/>
          <w:bCs/>
          <w:sz w:val="22"/>
          <w:szCs w:val="22"/>
        </w:rPr>
      </w:pPr>
      <w:r w:rsidRPr="00A44354">
        <w:rPr>
          <w:rFonts w:ascii="Palatino Linotype" w:hAnsi="Palatino Linotype" w:cs="Arial"/>
          <w:b/>
          <w:bCs/>
          <w:sz w:val="22"/>
          <w:szCs w:val="22"/>
        </w:rPr>
        <w:t>Incompetencia:</w:t>
      </w:r>
      <w:r w:rsidRPr="00A44354">
        <w:rPr>
          <w:rFonts w:ascii="Palatino Linotype" w:hAnsi="Palatino Linotype" w:cs="Arial"/>
          <w:bCs/>
          <w:sz w:val="22"/>
          <w:szCs w:val="22"/>
        </w:rPr>
        <w:t xml:space="preserve"> Falta de Competencia.</w:t>
      </w:r>
    </w:p>
    <w:p w14:paraId="0ACE591B" w14:textId="77777777" w:rsidR="00A44354" w:rsidRPr="00A44354" w:rsidRDefault="00A44354" w:rsidP="00A44354">
      <w:pPr>
        <w:spacing w:line="360" w:lineRule="auto"/>
        <w:jc w:val="both"/>
        <w:rPr>
          <w:rFonts w:ascii="Palatino Linotype" w:hAnsi="Palatino Linotype" w:cs="Arial"/>
          <w:sz w:val="22"/>
          <w:szCs w:val="22"/>
        </w:rPr>
      </w:pPr>
    </w:p>
    <w:p w14:paraId="293D0CB8" w14:textId="77777777" w:rsidR="00A44354" w:rsidRPr="00A44354" w:rsidRDefault="00A44354" w:rsidP="00A44354">
      <w:pPr>
        <w:spacing w:line="360" w:lineRule="auto"/>
        <w:jc w:val="both"/>
        <w:rPr>
          <w:rFonts w:ascii="Palatino Linotype" w:hAnsi="Palatino Linotype" w:cs="Tahoma"/>
          <w:sz w:val="22"/>
          <w:szCs w:val="22"/>
        </w:rPr>
      </w:pPr>
      <w:r w:rsidRPr="00A44354">
        <w:rPr>
          <w:rFonts w:ascii="Palatino Linotype" w:hAnsi="Palatino Linotype" w:cs="Tahoma"/>
          <w:sz w:val="22"/>
          <w:szCs w:val="22"/>
          <w:lang w:val="es-ES_tradnl"/>
        </w:rPr>
        <w:t xml:space="preserve">Por lo que, </w:t>
      </w:r>
      <w:r w:rsidRPr="00A44354">
        <w:rPr>
          <w:rFonts w:ascii="Palatino Linotype" w:hAnsi="Palatino Linotype" w:cs="Tahoma"/>
          <w:b/>
          <w:sz w:val="22"/>
          <w:szCs w:val="22"/>
          <w:lang w:val="es-ES_tradnl"/>
        </w:rPr>
        <w:t>la incompetencia</w:t>
      </w:r>
      <w:r w:rsidRPr="00A44354">
        <w:rPr>
          <w:rFonts w:ascii="Palatino Linotype" w:hAnsi="Palatino Linotype" w:cs="Tahoma"/>
          <w:sz w:val="22"/>
          <w:szCs w:val="22"/>
          <w:lang w:val="es-ES_tradnl"/>
        </w:rPr>
        <w:t>, radica en la incapacidad de una autoridad para conocer de un tema o asunto; en el mismo sentido, conviene traer a cuenta tesis</w:t>
      </w:r>
      <w:r w:rsidRPr="00A44354">
        <w:rPr>
          <w:rFonts w:ascii="Palatino Linotype" w:hAnsi="Palatino Linotype" w:cs="Tahoma"/>
          <w:sz w:val="22"/>
          <w:szCs w:val="22"/>
        </w:rPr>
        <w:t xml:space="preserve"> aislada número III.2o.P.11 K, publicada en el Semanario Judicial de la Federación y su Gaceta, Novena Época, Tomo XV, Mayo de 2002, Pág. 1243, ya que precisa lo siguiente: </w:t>
      </w:r>
    </w:p>
    <w:p w14:paraId="261DB341" w14:textId="77777777" w:rsidR="00A44354" w:rsidRPr="00A44354" w:rsidRDefault="00A44354" w:rsidP="00A44354">
      <w:pPr>
        <w:spacing w:line="360" w:lineRule="auto"/>
        <w:jc w:val="both"/>
        <w:rPr>
          <w:rFonts w:ascii="Palatino Linotype" w:hAnsi="Palatino Linotype" w:cs="Tahoma"/>
          <w:sz w:val="22"/>
          <w:szCs w:val="22"/>
          <w:lang w:val="es-ES_tradnl"/>
        </w:rPr>
      </w:pPr>
    </w:p>
    <w:p w14:paraId="5C72983B" w14:textId="77777777" w:rsidR="00A44354" w:rsidRPr="00A44354" w:rsidRDefault="00A44354" w:rsidP="00A44354">
      <w:pPr>
        <w:spacing w:line="360" w:lineRule="auto"/>
        <w:ind w:left="567" w:right="567"/>
        <w:jc w:val="both"/>
        <w:rPr>
          <w:rFonts w:ascii="Palatino Linotype" w:hAnsi="Palatino Linotype" w:cs="Tahoma"/>
          <w:i/>
          <w:lang w:val="es-ES_tradnl"/>
        </w:rPr>
      </w:pPr>
      <w:r w:rsidRPr="00A44354">
        <w:rPr>
          <w:rFonts w:ascii="Palatino Linotype" w:hAnsi="Palatino Linotype" w:cs="Tahoma"/>
          <w:b/>
          <w:bCs/>
          <w:i/>
          <w:lang w:val="es-ES_tradnl"/>
        </w:rPr>
        <w:t xml:space="preserve">“LEGITIMACIÓN DE FUNCIONARIOS PÚBLICOS. LOS TRIBUNALES DE AMPARO, POR ESTAR VINCULADOS CON EL CONCEPTO DE COMPETENCIA A QUE SE </w:t>
      </w:r>
      <w:r w:rsidRPr="00A44354">
        <w:rPr>
          <w:rFonts w:ascii="Palatino Linotype" w:hAnsi="Palatino Linotype" w:cs="Tahoma"/>
          <w:b/>
          <w:bCs/>
          <w:i/>
          <w:lang w:val="es-ES_tradnl"/>
        </w:rPr>
        <w:lastRenderedPageBreak/>
        <w:t xml:space="preserve">REFIERE EL ARTÍCULO 16 CONSTITUCIONAL, NO PUEDEN CONOCER DE AQUÉLLA. </w:t>
      </w:r>
      <w:r w:rsidRPr="00A44354">
        <w:rPr>
          <w:rFonts w:ascii="Palatino Linotype" w:hAnsi="Palatino Linotype" w:cs="Tahoma"/>
          <w:i/>
          <w:lang w:val="es-ES_tradnl"/>
        </w:rPr>
        <w:t>El artículo </w:t>
      </w:r>
      <w:hyperlink r:id="rId8" w:history="1">
        <w:r w:rsidRPr="00A44354">
          <w:rPr>
            <w:rFonts w:ascii="Palatino Linotype" w:hAnsi="Palatino Linotype" w:cs="Tahoma"/>
            <w:i/>
            <w:color w:val="0563C1" w:themeColor="hyperlink"/>
            <w:u w:val="single"/>
            <w:lang w:val="es-ES_tradnl"/>
          </w:rPr>
          <w:t>16 constitucional</w:t>
        </w:r>
      </w:hyperlink>
      <w:r w:rsidRPr="00A44354">
        <w:rPr>
          <w:rFonts w:ascii="Palatino Linotype"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3347048C" w14:textId="77777777" w:rsidR="00A44354" w:rsidRPr="00A44354" w:rsidRDefault="00A44354" w:rsidP="00A44354">
      <w:pPr>
        <w:spacing w:line="360" w:lineRule="auto"/>
        <w:jc w:val="both"/>
        <w:rPr>
          <w:rFonts w:ascii="Palatino Linotype" w:hAnsi="Palatino Linotype" w:cs="Tahoma"/>
          <w:sz w:val="22"/>
          <w:szCs w:val="22"/>
          <w:lang w:val="es-ES_tradnl"/>
        </w:rPr>
      </w:pPr>
    </w:p>
    <w:p w14:paraId="46864507" w14:textId="77777777" w:rsidR="00A44354" w:rsidRPr="00A44354" w:rsidRDefault="00A44354" w:rsidP="00A44354">
      <w:pPr>
        <w:spacing w:line="360" w:lineRule="auto"/>
        <w:jc w:val="both"/>
        <w:rPr>
          <w:rFonts w:ascii="Palatino Linotype" w:hAnsi="Palatino Linotype" w:cs="Tahoma"/>
          <w:sz w:val="22"/>
          <w:szCs w:val="22"/>
        </w:rPr>
      </w:pPr>
      <w:r w:rsidRPr="00A44354">
        <w:rPr>
          <w:rFonts w:ascii="Palatino Linotype" w:hAnsi="Palatino Linotype" w:cs="Tahoma"/>
          <w:sz w:val="22"/>
          <w:szCs w:val="22"/>
          <w:lang w:val="es-ES_tradnl"/>
        </w:rPr>
        <w:t xml:space="preserve">De la misma manera, resulta necesario traer a colación, el </w:t>
      </w:r>
      <w:r w:rsidRPr="00A44354">
        <w:rPr>
          <w:rFonts w:ascii="Palatino Linotype" w:hAnsi="Palatino Linotype" w:cs="Tahoma"/>
          <w:sz w:val="22"/>
          <w:szCs w:val="22"/>
          <w:lang w:val="es-ES"/>
        </w:rPr>
        <w:t xml:space="preserve">Criterio 13/17, </w:t>
      </w:r>
      <w:r w:rsidRPr="00A44354">
        <w:rPr>
          <w:rFonts w:ascii="Palatino Linotype" w:hAnsi="Palatino Linotype" w:cs="Tahoma"/>
          <w:sz w:val="22"/>
          <w:szCs w:val="22"/>
        </w:rPr>
        <w:t xml:space="preserve">emitido por el Instituto Nacional de Transparencia, Acceso a la Información y Protección de Datos Personales, que dispone lo siguiente: </w:t>
      </w:r>
    </w:p>
    <w:p w14:paraId="2812F30A" w14:textId="77777777" w:rsidR="00A44354" w:rsidRPr="00A44354" w:rsidRDefault="00A44354" w:rsidP="00A44354">
      <w:pPr>
        <w:spacing w:line="360" w:lineRule="auto"/>
        <w:jc w:val="both"/>
        <w:rPr>
          <w:rFonts w:ascii="Palatino Linotype" w:hAnsi="Palatino Linotype" w:cs="Tahoma"/>
          <w:sz w:val="22"/>
          <w:szCs w:val="22"/>
        </w:rPr>
      </w:pPr>
    </w:p>
    <w:p w14:paraId="7A0283C5" w14:textId="77777777" w:rsidR="00A44354" w:rsidRPr="00A44354" w:rsidRDefault="00A44354" w:rsidP="00A44354">
      <w:pPr>
        <w:spacing w:line="360" w:lineRule="auto"/>
        <w:ind w:left="567" w:right="567"/>
        <w:jc w:val="both"/>
        <w:rPr>
          <w:rFonts w:ascii="Palatino Linotype" w:hAnsi="Palatino Linotype" w:cs="Tahoma"/>
          <w:i/>
        </w:rPr>
      </w:pPr>
      <w:r w:rsidRPr="00A44354">
        <w:rPr>
          <w:rFonts w:ascii="Palatino Linotype" w:hAnsi="Palatino Linotype" w:cs="Tahoma"/>
          <w:i/>
        </w:rPr>
        <w:t>“</w:t>
      </w:r>
      <w:r w:rsidRPr="00A44354">
        <w:rPr>
          <w:rFonts w:ascii="Palatino Linotype" w:hAnsi="Palatino Linotype" w:cs="Tahoma"/>
          <w:b/>
          <w:bCs/>
          <w:i/>
        </w:rPr>
        <w:t xml:space="preserve">Incompetencia. </w:t>
      </w:r>
      <w:r w:rsidRPr="00A44354">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4D862529" w14:textId="77777777" w:rsidR="00A44354" w:rsidRPr="00A44354" w:rsidRDefault="00A44354" w:rsidP="00A44354">
      <w:pPr>
        <w:spacing w:line="360" w:lineRule="auto"/>
        <w:jc w:val="both"/>
        <w:rPr>
          <w:rFonts w:ascii="Palatino Linotype" w:hAnsi="Palatino Linotype" w:cs="Tahoma"/>
          <w:sz w:val="22"/>
          <w:szCs w:val="22"/>
          <w:lang w:val="es-ES_tradnl"/>
        </w:rPr>
      </w:pPr>
    </w:p>
    <w:p w14:paraId="2E4C74D5" w14:textId="77777777" w:rsidR="00A44354" w:rsidRPr="00A44354" w:rsidRDefault="00A44354" w:rsidP="00A44354">
      <w:pPr>
        <w:spacing w:line="360" w:lineRule="auto"/>
        <w:jc w:val="both"/>
        <w:rPr>
          <w:rFonts w:ascii="Palatino Linotype" w:hAnsi="Palatino Linotype" w:cs="Tahoma"/>
          <w:sz w:val="22"/>
          <w:szCs w:val="22"/>
          <w:lang w:val="es-ES_tradnl"/>
        </w:rPr>
      </w:pPr>
      <w:r w:rsidRPr="00A44354">
        <w:rPr>
          <w:rFonts w:ascii="Palatino Linotype" w:hAnsi="Palatino Linotype" w:cs="Tahoma"/>
          <w:sz w:val="22"/>
          <w:szCs w:val="22"/>
          <w:lang w:val="es-ES_tradnl"/>
        </w:rPr>
        <w:t xml:space="preserve">En tal virtud, la </w:t>
      </w:r>
      <w:r w:rsidRPr="00A44354">
        <w:rPr>
          <w:rFonts w:ascii="Palatino Linotype" w:hAnsi="Palatino Linotype" w:cs="Tahoma"/>
          <w:b/>
          <w:sz w:val="22"/>
          <w:szCs w:val="22"/>
          <w:lang w:val="es-ES_tradnl"/>
        </w:rPr>
        <w:t xml:space="preserve">incompetencia </w:t>
      </w:r>
      <w:r w:rsidRPr="00A44354">
        <w:rPr>
          <w:rFonts w:ascii="Palatino Linotype" w:hAnsi="Palatino Linotype" w:cs="Tahoma"/>
          <w:sz w:val="22"/>
          <w:szCs w:val="22"/>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462AC82D" w14:textId="77777777" w:rsidR="00A44354" w:rsidRPr="00A44354" w:rsidRDefault="00A44354" w:rsidP="00A44354">
      <w:pPr>
        <w:spacing w:line="360" w:lineRule="auto"/>
        <w:jc w:val="both"/>
        <w:rPr>
          <w:rFonts w:ascii="Palatino Linotype" w:hAnsi="Palatino Linotype" w:cs="Tahoma"/>
          <w:sz w:val="22"/>
          <w:szCs w:val="22"/>
          <w:lang w:val="es-ES_tradnl"/>
        </w:rPr>
      </w:pPr>
    </w:p>
    <w:p w14:paraId="724E340C" w14:textId="77777777" w:rsidR="00A44354" w:rsidRPr="00A44354" w:rsidRDefault="00A44354" w:rsidP="00A44354">
      <w:pPr>
        <w:spacing w:line="360" w:lineRule="auto"/>
        <w:jc w:val="both"/>
        <w:rPr>
          <w:rFonts w:ascii="Palatino Linotype" w:hAnsi="Palatino Linotype" w:cs="Tahoma"/>
          <w:sz w:val="22"/>
          <w:szCs w:val="22"/>
          <w:lang w:val="es-ES_tradnl"/>
        </w:rPr>
      </w:pPr>
      <w:r w:rsidRPr="00A44354">
        <w:rPr>
          <w:rFonts w:ascii="Palatino Linotype" w:hAnsi="Palatino Linotype" w:cs="Tahoma"/>
          <w:sz w:val="22"/>
          <w:szCs w:val="22"/>
          <w:lang w:val="es-ES_tradnl"/>
        </w:rPr>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599FB6C4" w14:textId="3BDA7B45" w:rsidR="005B0444" w:rsidRDefault="005B0444" w:rsidP="003D09C3">
      <w:pPr>
        <w:spacing w:line="360" w:lineRule="auto"/>
        <w:ind w:right="-93"/>
        <w:jc w:val="both"/>
        <w:rPr>
          <w:rFonts w:ascii="Palatino Linotype" w:hAnsi="Palatino Linotype" w:cs="Tahoma"/>
          <w:sz w:val="22"/>
          <w:szCs w:val="22"/>
        </w:rPr>
      </w:pPr>
      <w:r w:rsidRPr="005B0444">
        <w:rPr>
          <w:rFonts w:ascii="Palatino Linotype" w:hAnsi="Palatino Linotype" w:cs="Tahoma"/>
          <w:sz w:val="22"/>
          <w:szCs w:val="22"/>
        </w:rPr>
        <w:lastRenderedPageBreak/>
        <w:t>Por tanto, a continuación, se analiza si en la especie, el Ente Recurrido cuenta con atribuciones para conocer sobre la información requerida;</w:t>
      </w:r>
      <w:r w:rsidR="00D44651" w:rsidRPr="00D44651">
        <w:rPr>
          <w:rFonts w:ascii="Palatino Linotype" w:hAnsi="Palatino Linotype" w:cs="Tahoma"/>
          <w:sz w:val="22"/>
          <w:szCs w:val="22"/>
        </w:rPr>
        <w:t xml:space="preserve"> para ello, es necesario traer a colación, </w:t>
      </w:r>
      <w:r w:rsidR="00375D7D">
        <w:rPr>
          <w:rFonts w:ascii="Palatino Linotype" w:hAnsi="Palatino Linotype" w:cs="Tahoma"/>
          <w:sz w:val="22"/>
          <w:szCs w:val="22"/>
        </w:rPr>
        <w:t>el artículo</w:t>
      </w:r>
      <w:r w:rsidR="00D44651">
        <w:rPr>
          <w:rFonts w:ascii="Palatino Linotype" w:hAnsi="Palatino Linotype" w:cs="Tahoma"/>
          <w:sz w:val="22"/>
          <w:szCs w:val="22"/>
        </w:rPr>
        <w:t xml:space="preserve"> 8, fracción III y 10 del Reglamento Interior de la Secretaría de Desarrollo </w:t>
      </w:r>
      <w:r w:rsidR="00A031FA">
        <w:rPr>
          <w:rFonts w:ascii="Palatino Linotype" w:hAnsi="Palatino Linotype" w:cs="Tahoma"/>
          <w:sz w:val="22"/>
          <w:szCs w:val="22"/>
        </w:rPr>
        <w:t>Urbano, establece que el Sujeto Obligado cuenta con la Dirección General de Operación Urbana, encarga de elaborar los dictámenes que le correspondan en razón de sus atribuciones.</w:t>
      </w:r>
    </w:p>
    <w:p w14:paraId="47B7C934" w14:textId="77777777" w:rsidR="00375D7D" w:rsidRDefault="00375D7D" w:rsidP="003D09C3">
      <w:pPr>
        <w:spacing w:line="360" w:lineRule="auto"/>
        <w:ind w:right="-93"/>
        <w:jc w:val="both"/>
        <w:rPr>
          <w:rFonts w:ascii="Palatino Linotype" w:hAnsi="Palatino Linotype" w:cs="Tahoma"/>
          <w:sz w:val="22"/>
          <w:szCs w:val="22"/>
        </w:rPr>
      </w:pPr>
    </w:p>
    <w:p w14:paraId="70AEA023" w14:textId="32B56978" w:rsidR="00375D7D" w:rsidRDefault="00375D7D" w:rsidP="003D09C3">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Para lograr lo anterior, contara dicha área, con la Subdirección de Dictámenes Urbanos, </w:t>
      </w:r>
      <w:r w:rsidR="0056222B">
        <w:rPr>
          <w:rFonts w:ascii="Palatino Linotype" w:hAnsi="Palatino Linotype" w:cs="Tahoma"/>
          <w:sz w:val="22"/>
          <w:szCs w:val="22"/>
        </w:rPr>
        <w:t>encargada de elaborar los dictámenes especiales y técnicos que señalan los planes de desarrollo municipal, de conformidad con el apartado VII. Objetivo y Funciones por Unidad Administrativa</w:t>
      </w:r>
      <w:r w:rsidR="002F7FB0">
        <w:rPr>
          <w:rFonts w:ascii="Palatino Linotype" w:hAnsi="Palatino Linotype" w:cs="Tahoma"/>
          <w:sz w:val="22"/>
          <w:szCs w:val="22"/>
        </w:rPr>
        <w:t xml:space="preserve">, del Manual General de Organización de la Secretaría de Desarrollo Urbano y Metropolitano, publicado en el Periódico Oficial </w:t>
      </w:r>
      <w:r w:rsidR="002F7FB0" w:rsidRPr="002F7FB0">
        <w:rPr>
          <w:rFonts w:ascii="Palatino Linotype" w:hAnsi="Palatino Linotype" w:cs="Tahoma"/>
          <w:i/>
          <w:sz w:val="22"/>
          <w:szCs w:val="22"/>
        </w:rPr>
        <w:t>“</w:t>
      </w:r>
      <w:r w:rsidR="002F7FB0">
        <w:rPr>
          <w:rFonts w:ascii="Palatino Linotype" w:hAnsi="Palatino Linotype" w:cs="Tahoma"/>
          <w:i/>
          <w:sz w:val="22"/>
          <w:szCs w:val="22"/>
        </w:rPr>
        <w:t>Gaceta del Gobierno</w:t>
      </w:r>
      <w:r w:rsidR="002F7FB0" w:rsidRPr="002F7FB0">
        <w:rPr>
          <w:rFonts w:ascii="Palatino Linotype" w:hAnsi="Palatino Linotype" w:cs="Tahoma"/>
          <w:i/>
          <w:sz w:val="22"/>
          <w:szCs w:val="22"/>
        </w:rPr>
        <w:t>”</w:t>
      </w:r>
      <w:r w:rsidR="002F7FB0">
        <w:rPr>
          <w:rFonts w:ascii="Palatino Linotype" w:hAnsi="Palatino Linotype" w:cs="Tahoma"/>
          <w:i/>
          <w:sz w:val="22"/>
          <w:szCs w:val="22"/>
        </w:rPr>
        <w:t xml:space="preserve">, </w:t>
      </w:r>
      <w:r w:rsidR="002F7FB0">
        <w:rPr>
          <w:rFonts w:ascii="Palatino Linotype" w:hAnsi="Palatino Linotype" w:cs="Tahoma"/>
          <w:sz w:val="22"/>
          <w:szCs w:val="22"/>
        </w:rPr>
        <w:t>el seis de junio de dos mil dieciséis.</w:t>
      </w:r>
    </w:p>
    <w:p w14:paraId="3F3A17F2" w14:textId="77777777" w:rsidR="002F7FB0" w:rsidRDefault="002F7FB0" w:rsidP="003D09C3">
      <w:pPr>
        <w:spacing w:line="360" w:lineRule="auto"/>
        <w:ind w:right="-93"/>
        <w:jc w:val="both"/>
        <w:rPr>
          <w:rFonts w:ascii="Palatino Linotype" w:hAnsi="Palatino Linotype" w:cs="Tahoma"/>
          <w:sz w:val="22"/>
          <w:szCs w:val="22"/>
        </w:rPr>
      </w:pPr>
    </w:p>
    <w:p w14:paraId="749BF02A" w14:textId="6AA74D70" w:rsidR="002F7FB0" w:rsidRPr="00645AB8" w:rsidRDefault="002F7FB0" w:rsidP="003D09C3">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En ese orden de ideas, se localizó en el Portal de Información Pública Mexiquense del Ente Recurrido, del dos mil dieciocho (consultado en la página electrónica </w:t>
      </w:r>
      <w:hyperlink r:id="rId9" w:history="1">
        <w:r w:rsidRPr="002F7FB0">
          <w:rPr>
            <w:rStyle w:val="Hipervnculo"/>
            <w:rFonts w:ascii="Palatino Linotype" w:hAnsi="Palatino Linotype" w:cs="Tahoma"/>
            <w:sz w:val="22"/>
            <w:szCs w:val="22"/>
          </w:rPr>
          <w:t>https://www.ipomex.org.mx/ipo3/lgt/indice/SEDUM/art_92_xxiii/0.web</w:t>
        </w:r>
      </w:hyperlink>
      <w:r>
        <w:rPr>
          <w:rFonts w:ascii="Palatino Linotype" w:hAnsi="Palatino Linotype" w:cs="Tahoma"/>
          <w:sz w:val="22"/>
          <w:szCs w:val="22"/>
        </w:rPr>
        <w:t>, el veinticuatro de septiembre de dos mil diecinueve, a las diecisiete horas), la fracción XXIII Servicios requisitos para acceder a ellos,</w:t>
      </w:r>
      <w:r w:rsidR="00645AB8">
        <w:rPr>
          <w:rFonts w:ascii="Palatino Linotype" w:hAnsi="Palatino Linotype" w:cs="Tahoma"/>
          <w:sz w:val="22"/>
          <w:szCs w:val="22"/>
        </w:rPr>
        <w:t xml:space="preserve"> que contiene el servicio denominado </w:t>
      </w:r>
      <w:r w:rsidR="00645AB8" w:rsidRPr="00645AB8">
        <w:rPr>
          <w:rFonts w:ascii="Palatino Linotype" w:hAnsi="Palatino Linotype" w:cs="Tahoma"/>
          <w:b/>
          <w:sz w:val="22"/>
          <w:szCs w:val="22"/>
        </w:rPr>
        <w:t>“Dictamen Único de Factibilidad”, que es necesario para obtener la licencia, entre otras cosas, de Funcionamiento</w:t>
      </w:r>
      <w:r w:rsidR="00645AB8">
        <w:rPr>
          <w:rFonts w:ascii="Palatino Linotype" w:hAnsi="Palatino Linotype" w:cs="Tahoma"/>
          <w:sz w:val="22"/>
          <w:szCs w:val="22"/>
        </w:rPr>
        <w:t>,</w:t>
      </w:r>
      <w:r w:rsidR="00645AB8">
        <w:rPr>
          <w:rFonts w:ascii="Palatino Linotype" w:hAnsi="Palatino Linotype" w:cs="Tahoma"/>
          <w:b/>
          <w:sz w:val="22"/>
          <w:szCs w:val="22"/>
        </w:rPr>
        <w:t xml:space="preserve"> </w:t>
      </w:r>
      <w:r w:rsidR="00645AB8">
        <w:rPr>
          <w:rFonts w:ascii="Palatino Linotype" w:hAnsi="Palatino Linotype" w:cs="Tahoma"/>
          <w:sz w:val="22"/>
          <w:szCs w:val="22"/>
        </w:rPr>
        <w:t xml:space="preserve">llevado a cabo por la </w:t>
      </w:r>
      <w:r w:rsidR="00645AB8" w:rsidRPr="00645AB8">
        <w:rPr>
          <w:rFonts w:ascii="Palatino Linotype" w:hAnsi="Palatino Linotype" w:cs="Tahoma"/>
          <w:b/>
          <w:sz w:val="22"/>
          <w:szCs w:val="22"/>
        </w:rPr>
        <w:t>Subdirección de Dictámenes Urbanos</w:t>
      </w:r>
      <w:r w:rsidR="00645AB8">
        <w:rPr>
          <w:rFonts w:ascii="Palatino Linotype" w:hAnsi="Palatino Linotype" w:cs="Tahoma"/>
          <w:b/>
          <w:sz w:val="22"/>
          <w:szCs w:val="22"/>
        </w:rPr>
        <w:t xml:space="preserve">, </w:t>
      </w:r>
      <w:r w:rsidR="00645AB8">
        <w:rPr>
          <w:rFonts w:ascii="Palatino Linotype" w:hAnsi="Palatino Linotype" w:cs="Tahoma"/>
          <w:sz w:val="22"/>
          <w:szCs w:val="22"/>
        </w:rPr>
        <w:t xml:space="preserve">adscrita a la Dirección General de Operación </w:t>
      </w:r>
      <w:r w:rsidR="003B0A05">
        <w:rPr>
          <w:rFonts w:ascii="Palatino Linotype" w:hAnsi="Palatino Linotype" w:cs="Tahoma"/>
          <w:sz w:val="22"/>
          <w:szCs w:val="22"/>
        </w:rPr>
        <w:t>Urbana</w:t>
      </w:r>
      <w:r w:rsidR="00645AB8">
        <w:rPr>
          <w:rFonts w:ascii="Palatino Linotype" w:hAnsi="Palatino Linotype" w:cs="Tahoma"/>
          <w:sz w:val="22"/>
          <w:szCs w:val="22"/>
        </w:rPr>
        <w:t>.</w:t>
      </w:r>
    </w:p>
    <w:p w14:paraId="2046FC0F" w14:textId="77777777" w:rsidR="00A031FA" w:rsidRDefault="00A031FA" w:rsidP="003D09C3">
      <w:pPr>
        <w:spacing w:line="360" w:lineRule="auto"/>
        <w:ind w:right="-93"/>
        <w:jc w:val="both"/>
        <w:rPr>
          <w:rFonts w:ascii="Palatino Linotype" w:hAnsi="Palatino Linotype" w:cs="Tahoma"/>
          <w:sz w:val="22"/>
          <w:szCs w:val="22"/>
        </w:rPr>
      </w:pPr>
    </w:p>
    <w:p w14:paraId="6B91A168" w14:textId="634D424E" w:rsidR="003B0A05" w:rsidRDefault="003B0A05" w:rsidP="003D09C3">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Como se logra observar, en primera instancia la Secretaría de Desarrollo Urbano y Metropolitano, si cuenta con competencia para conocer de la información referente a los Dictámenes Únicos de Factibilidad, conforme a la normatividad previamente señalada.</w:t>
      </w:r>
    </w:p>
    <w:p w14:paraId="17383B72" w14:textId="77777777" w:rsidR="003B0A05" w:rsidRDefault="003B0A05" w:rsidP="003D09C3">
      <w:pPr>
        <w:spacing w:line="360" w:lineRule="auto"/>
        <w:ind w:right="-93"/>
        <w:jc w:val="both"/>
        <w:rPr>
          <w:rFonts w:ascii="Palatino Linotype" w:hAnsi="Palatino Linotype" w:cs="Tahoma"/>
          <w:sz w:val="22"/>
          <w:szCs w:val="22"/>
          <w:lang w:val="es-ES"/>
        </w:rPr>
      </w:pPr>
    </w:p>
    <w:p w14:paraId="25F58587" w14:textId="2B434505" w:rsidR="003B0A05" w:rsidRDefault="003B0A05" w:rsidP="003D09C3">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ES"/>
        </w:rPr>
        <w:lastRenderedPageBreak/>
        <w:t xml:space="preserve">Sin embargo, </w:t>
      </w:r>
      <w:r w:rsidR="007854ED">
        <w:rPr>
          <w:rFonts w:ascii="Palatino Linotype" w:hAnsi="Palatino Linotype" w:cs="Tahoma"/>
          <w:sz w:val="22"/>
          <w:szCs w:val="22"/>
          <w:lang w:val="es-ES"/>
        </w:rPr>
        <w:t xml:space="preserve">resulta necesario traer a colación la Ley que crea la Comisión de Factibilidad del Estado de México, </w:t>
      </w:r>
      <w:r w:rsidR="007854ED" w:rsidRPr="007854ED">
        <w:rPr>
          <w:rFonts w:ascii="Palatino Linotype" w:hAnsi="Palatino Linotype" w:cs="Tahoma"/>
          <w:sz w:val="22"/>
          <w:szCs w:val="22"/>
        </w:rPr>
        <w:t>publicad</w:t>
      </w:r>
      <w:r w:rsidR="007854ED">
        <w:rPr>
          <w:rFonts w:ascii="Palatino Linotype" w:hAnsi="Palatino Linotype" w:cs="Tahoma"/>
          <w:sz w:val="22"/>
          <w:szCs w:val="22"/>
        </w:rPr>
        <w:t>a</w:t>
      </w:r>
      <w:r w:rsidR="007854ED" w:rsidRPr="007854ED">
        <w:rPr>
          <w:rFonts w:ascii="Palatino Linotype" w:hAnsi="Palatino Linotype" w:cs="Tahoma"/>
          <w:sz w:val="22"/>
          <w:szCs w:val="22"/>
        </w:rPr>
        <w:t xml:space="preserve"> en el Periódico Oficial </w:t>
      </w:r>
      <w:r w:rsidR="007854ED" w:rsidRPr="007854ED">
        <w:rPr>
          <w:rFonts w:ascii="Palatino Linotype" w:hAnsi="Palatino Linotype" w:cs="Tahoma"/>
          <w:i/>
          <w:sz w:val="22"/>
          <w:szCs w:val="22"/>
        </w:rPr>
        <w:t xml:space="preserve">“Gaceta del Gobierno”, </w:t>
      </w:r>
      <w:r w:rsidR="007854ED" w:rsidRPr="007854ED">
        <w:rPr>
          <w:rFonts w:ascii="Palatino Linotype" w:hAnsi="Palatino Linotype" w:cs="Tahoma"/>
          <w:sz w:val="22"/>
          <w:szCs w:val="22"/>
        </w:rPr>
        <w:t xml:space="preserve">el </w:t>
      </w:r>
      <w:r w:rsidR="007854ED">
        <w:rPr>
          <w:rFonts w:ascii="Palatino Linotype" w:hAnsi="Palatino Linotype" w:cs="Tahoma"/>
          <w:sz w:val="22"/>
          <w:szCs w:val="22"/>
        </w:rPr>
        <w:t>diecisiete de septiembre de dos mil dieciocho</w:t>
      </w:r>
      <w:r w:rsidR="004D5758">
        <w:rPr>
          <w:rFonts w:ascii="Palatino Linotype" w:hAnsi="Palatino Linotype" w:cs="Tahoma"/>
          <w:sz w:val="22"/>
          <w:szCs w:val="22"/>
        </w:rPr>
        <w:t>, que establece lo siguiente:</w:t>
      </w:r>
    </w:p>
    <w:p w14:paraId="4EBB9EAB" w14:textId="77777777" w:rsidR="004D5758" w:rsidRDefault="004D5758" w:rsidP="003D09C3">
      <w:pPr>
        <w:spacing w:line="360" w:lineRule="auto"/>
        <w:ind w:right="-93"/>
        <w:jc w:val="both"/>
        <w:rPr>
          <w:rFonts w:ascii="Palatino Linotype" w:hAnsi="Palatino Linotype" w:cs="Tahoma"/>
          <w:sz w:val="22"/>
          <w:szCs w:val="22"/>
        </w:rPr>
      </w:pPr>
    </w:p>
    <w:p w14:paraId="0EC2D566" w14:textId="3D8F8EB8" w:rsidR="004D5758" w:rsidRPr="00080C44" w:rsidRDefault="004D5758" w:rsidP="004D5758">
      <w:pPr>
        <w:pStyle w:val="Prrafodelista"/>
        <w:numPr>
          <w:ilvl w:val="0"/>
          <w:numId w:val="28"/>
        </w:numPr>
        <w:spacing w:line="360" w:lineRule="auto"/>
        <w:ind w:right="-93"/>
        <w:jc w:val="both"/>
        <w:rPr>
          <w:rFonts w:ascii="Palatino Linotype" w:hAnsi="Palatino Linotype" w:cs="Tahoma"/>
          <w:b/>
          <w:szCs w:val="22"/>
          <w:lang w:val="es-ES"/>
        </w:rPr>
      </w:pPr>
      <w:r w:rsidRPr="004D5758">
        <w:rPr>
          <w:rFonts w:ascii="Palatino Linotype" w:hAnsi="Palatino Linotype" w:cs="Tahoma"/>
          <w:b/>
          <w:szCs w:val="22"/>
          <w:lang w:val="es-ES"/>
        </w:rPr>
        <w:t>(Artículo 1°)</w:t>
      </w:r>
      <w:r>
        <w:rPr>
          <w:rFonts w:ascii="Palatino Linotype" w:hAnsi="Palatino Linotype" w:cs="Tahoma"/>
          <w:b/>
          <w:szCs w:val="22"/>
          <w:lang w:val="es-ES"/>
        </w:rPr>
        <w:t xml:space="preserve">: </w:t>
      </w:r>
      <w:r>
        <w:rPr>
          <w:rFonts w:ascii="Palatino Linotype" w:hAnsi="Palatino Linotype" w:cs="Tahoma"/>
          <w:szCs w:val="22"/>
          <w:lang w:val="es-ES"/>
        </w:rPr>
        <w:t xml:space="preserve">Que la Comisión de Factibilidad del Estado de México, es un órgano desconcentrado de la Secretaría de Justicia y Derechos Humanos, con autonomía técnica </w:t>
      </w:r>
      <w:r w:rsidR="009259CD">
        <w:rPr>
          <w:rFonts w:ascii="Palatino Linotype" w:hAnsi="Palatino Linotype" w:cs="Tahoma"/>
          <w:szCs w:val="22"/>
          <w:lang w:val="es-ES"/>
        </w:rPr>
        <w:t>y operativa.</w:t>
      </w:r>
    </w:p>
    <w:p w14:paraId="01C3BA97" w14:textId="77777777" w:rsidR="00080C44" w:rsidRPr="009259CD" w:rsidRDefault="00080C44" w:rsidP="00080C44">
      <w:pPr>
        <w:pStyle w:val="Prrafodelista"/>
        <w:spacing w:line="360" w:lineRule="auto"/>
        <w:ind w:right="-93"/>
        <w:jc w:val="both"/>
        <w:rPr>
          <w:rFonts w:ascii="Palatino Linotype" w:hAnsi="Palatino Linotype" w:cs="Tahoma"/>
          <w:b/>
          <w:szCs w:val="22"/>
          <w:lang w:val="es-ES"/>
        </w:rPr>
      </w:pPr>
    </w:p>
    <w:p w14:paraId="5AFD2C0B" w14:textId="4CD9DE2A" w:rsidR="009259CD" w:rsidRPr="004D5758" w:rsidRDefault="009259CD" w:rsidP="004D5758">
      <w:pPr>
        <w:pStyle w:val="Prrafodelista"/>
        <w:numPr>
          <w:ilvl w:val="0"/>
          <w:numId w:val="28"/>
        </w:numPr>
        <w:spacing w:line="360" w:lineRule="auto"/>
        <w:ind w:right="-93"/>
        <w:jc w:val="both"/>
        <w:rPr>
          <w:rFonts w:ascii="Palatino Linotype" w:hAnsi="Palatino Linotype" w:cs="Tahoma"/>
          <w:b/>
          <w:szCs w:val="22"/>
          <w:lang w:val="es-ES"/>
        </w:rPr>
      </w:pPr>
      <w:r>
        <w:rPr>
          <w:rFonts w:ascii="Palatino Linotype" w:hAnsi="Palatino Linotype" w:cs="Tahoma"/>
          <w:b/>
          <w:szCs w:val="22"/>
          <w:lang w:val="es-ES"/>
        </w:rPr>
        <w:t xml:space="preserve">(Artículo 4°): </w:t>
      </w:r>
      <w:r>
        <w:rPr>
          <w:rFonts w:ascii="Palatino Linotype" w:hAnsi="Palatino Linotype" w:cs="Tahoma"/>
          <w:szCs w:val="22"/>
          <w:lang w:val="es-ES"/>
        </w:rPr>
        <w:t>Dicha Comisión será la encargada de atender y resolver</w:t>
      </w:r>
      <w:r w:rsidR="00080C44">
        <w:rPr>
          <w:rFonts w:ascii="Palatino Linotype" w:hAnsi="Palatino Linotype" w:cs="Tahoma"/>
          <w:szCs w:val="22"/>
          <w:lang w:val="es-ES"/>
        </w:rPr>
        <w:t xml:space="preserve"> de manera permanente e integral las solicitudes de Dictamen Único de Factibilidad; así como, recibir, analizar, requerir e integrar la documentación de los proyectos para verificar la procedencia de dicho dictamen, así como, crear y actualizar de manera semanal el registro de las unidades económicas que cuenten con el Dictamen.</w:t>
      </w:r>
    </w:p>
    <w:p w14:paraId="30A0B8F2" w14:textId="77777777" w:rsidR="00E719CE" w:rsidRDefault="00E719CE" w:rsidP="003D09C3">
      <w:pPr>
        <w:spacing w:line="360" w:lineRule="auto"/>
        <w:ind w:right="-93"/>
        <w:jc w:val="both"/>
        <w:rPr>
          <w:rFonts w:ascii="Palatino Linotype" w:hAnsi="Palatino Linotype" w:cs="Tahoma"/>
          <w:sz w:val="22"/>
          <w:szCs w:val="22"/>
          <w:lang w:val="es-ES"/>
        </w:rPr>
      </w:pPr>
    </w:p>
    <w:p w14:paraId="0C2BA9AE" w14:textId="41CC7671" w:rsidR="00404A85" w:rsidRDefault="00404A85"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Además, el cuarto transitorio de dicha Ley, establece lo siguiente:</w:t>
      </w:r>
    </w:p>
    <w:p w14:paraId="5BE8AF21" w14:textId="77777777" w:rsidR="00404A85" w:rsidRDefault="00404A85" w:rsidP="000A4DC8">
      <w:pPr>
        <w:spacing w:line="360" w:lineRule="auto"/>
        <w:ind w:right="-93"/>
        <w:jc w:val="both"/>
        <w:rPr>
          <w:rFonts w:ascii="Palatino Linotype" w:hAnsi="Palatino Linotype" w:cs="Tahoma"/>
          <w:sz w:val="22"/>
          <w:szCs w:val="22"/>
          <w:lang w:val="es-ES"/>
        </w:rPr>
      </w:pPr>
    </w:p>
    <w:p w14:paraId="3D0DDA87" w14:textId="77777777" w:rsidR="003D1070" w:rsidRDefault="00E21FA2" w:rsidP="00E21FA2">
      <w:pPr>
        <w:spacing w:line="360" w:lineRule="auto"/>
        <w:ind w:left="567" w:right="567"/>
        <w:jc w:val="both"/>
        <w:rPr>
          <w:rFonts w:ascii="Palatino Linotype" w:hAnsi="Palatino Linotype" w:cs="Tahoma"/>
          <w:i/>
        </w:rPr>
      </w:pPr>
      <w:r w:rsidRPr="00E21FA2">
        <w:rPr>
          <w:rFonts w:ascii="Palatino Linotype" w:hAnsi="Palatino Linotype" w:cs="Tahoma"/>
          <w:b/>
          <w:i/>
        </w:rPr>
        <w:t xml:space="preserve">“CUARTO. </w:t>
      </w:r>
      <w:r w:rsidRPr="00E21FA2">
        <w:rPr>
          <w:rFonts w:ascii="Palatino Linotype" w:hAnsi="Palatino Linotype" w:cs="Tahoma"/>
          <w:i/>
        </w:rPr>
        <w:t>Los procedimientos y demás actos que se encuentren en trámite al momento de la entrada en vigor del presente Decreto, serán atendidos, en el ámbito de sus respectivas competencias, por la Comisión Estatal de Factibilidad y el Instituto de Verificación Administrativa del Estado de México, de conformidad con la legislación vigente al momento de su presentación, hasta en tanto se encuentre en operaciones el órgano desconcentrado correspondiente.</w:t>
      </w:r>
    </w:p>
    <w:p w14:paraId="2DA42D4B" w14:textId="77777777" w:rsidR="003D1070" w:rsidRDefault="003D1070" w:rsidP="00E21FA2">
      <w:pPr>
        <w:spacing w:line="360" w:lineRule="auto"/>
        <w:ind w:left="567" w:right="567"/>
        <w:jc w:val="both"/>
        <w:rPr>
          <w:rFonts w:ascii="Palatino Linotype" w:hAnsi="Palatino Linotype" w:cs="Tahoma"/>
          <w:i/>
        </w:rPr>
      </w:pPr>
    </w:p>
    <w:p w14:paraId="0E6A6B71" w14:textId="77777777" w:rsidR="003D1070" w:rsidRDefault="00E21FA2" w:rsidP="00E21FA2">
      <w:pPr>
        <w:spacing w:line="360" w:lineRule="auto"/>
        <w:ind w:left="567" w:right="567"/>
        <w:jc w:val="both"/>
        <w:rPr>
          <w:rFonts w:ascii="Palatino Linotype" w:hAnsi="Palatino Linotype" w:cs="Tahoma"/>
          <w:i/>
        </w:rPr>
      </w:pPr>
      <w:r w:rsidRPr="00E21FA2">
        <w:rPr>
          <w:rFonts w:ascii="Palatino Linotype" w:hAnsi="Palatino Linotype" w:cs="Tahoma"/>
          <w:i/>
        </w:rPr>
        <w:t xml:space="preserve"> Tratándose de las solicitudes pendientes de renovación de Dictamen Único de Factibilidad, los particulares se podrán acoger a los beneficios que otorgan las disposiciones adicionadas y reformadas mediante el presente Decreto, cuando se hace referencia al carácter permanente del referido Dictamen. </w:t>
      </w:r>
    </w:p>
    <w:p w14:paraId="158326EE" w14:textId="77777777" w:rsidR="003D1070" w:rsidRDefault="003D1070" w:rsidP="00E21FA2">
      <w:pPr>
        <w:spacing w:line="360" w:lineRule="auto"/>
        <w:ind w:left="567" w:right="567"/>
        <w:jc w:val="both"/>
        <w:rPr>
          <w:rFonts w:ascii="Palatino Linotype" w:hAnsi="Palatino Linotype" w:cs="Tahoma"/>
          <w:i/>
        </w:rPr>
      </w:pPr>
    </w:p>
    <w:p w14:paraId="08937C47" w14:textId="23A895AF" w:rsidR="00404A85" w:rsidRPr="00E21FA2" w:rsidRDefault="00E21FA2" w:rsidP="00E21FA2">
      <w:pPr>
        <w:spacing w:line="360" w:lineRule="auto"/>
        <w:ind w:left="567" w:right="567"/>
        <w:jc w:val="both"/>
        <w:rPr>
          <w:rFonts w:ascii="Palatino Linotype" w:hAnsi="Palatino Linotype" w:cs="Tahoma"/>
          <w:i/>
          <w:lang w:val="es-ES"/>
        </w:rPr>
      </w:pPr>
      <w:r w:rsidRPr="00E21FA2">
        <w:rPr>
          <w:rFonts w:ascii="Palatino Linotype" w:hAnsi="Palatino Linotype" w:cs="Tahoma"/>
          <w:i/>
        </w:rPr>
        <w:lastRenderedPageBreak/>
        <w:t>Para efectos del párrafo anterior, la Secretaría Técnica de la Comisión Estatal de Factibilidad deberá remitir a la o al Titular de la Dirección General de la Comisión de Factibilidad del Estado de México, en un plazo no mayor a quince días hábiles, contados a partir de que entre en operaciones el órgano desconcentrado correspondiente, los expedientes relacionados con solicitudes de Dictamen Único de Factibilidad que obren en sus archivos.</w:t>
      </w:r>
      <w:r>
        <w:rPr>
          <w:rFonts w:ascii="Palatino Linotype" w:hAnsi="Palatino Linotype" w:cs="Tahoma"/>
          <w:i/>
        </w:rPr>
        <w:t>”</w:t>
      </w:r>
    </w:p>
    <w:p w14:paraId="0219416C" w14:textId="77777777" w:rsidR="00404A85" w:rsidRDefault="00404A85" w:rsidP="000A4DC8">
      <w:pPr>
        <w:spacing w:line="360" w:lineRule="auto"/>
        <w:ind w:right="-93"/>
        <w:jc w:val="both"/>
        <w:rPr>
          <w:rFonts w:ascii="Palatino Linotype" w:hAnsi="Palatino Linotype" w:cs="Tahoma"/>
          <w:b/>
          <w:sz w:val="22"/>
          <w:szCs w:val="22"/>
          <w:lang w:val="es-ES"/>
        </w:rPr>
      </w:pPr>
    </w:p>
    <w:p w14:paraId="7971CF29" w14:textId="360594A9" w:rsidR="00E21FA2" w:rsidRDefault="003D1070"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 xml:space="preserve">Por otra parte, resulta necesario traer colación, el Acuerdo del Secretario de Justicia y Derechos Humanos del Ejecutivo Estatal, por el que inicia funciones y entra en operación el Órgano Administrativo Desconcentrado </w:t>
      </w:r>
      <w:r w:rsidR="00866CEA">
        <w:rPr>
          <w:rFonts w:ascii="Palatino Linotype" w:hAnsi="Palatino Linotype" w:cs="Tahoma"/>
          <w:sz w:val="22"/>
          <w:szCs w:val="22"/>
          <w:lang w:val="es-ES"/>
        </w:rPr>
        <w:t>denominando</w:t>
      </w:r>
      <w:r>
        <w:rPr>
          <w:rFonts w:ascii="Palatino Linotype" w:hAnsi="Palatino Linotype" w:cs="Tahoma"/>
          <w:sz w:val="22"/>
          <w:szCs w:val="22"/>
          <w:lang w:val="es-ES"/>
        </w:rPr>
        <w:t xml:space="preserve"> Comisión </w:t>
      </w:r>
      <w:r w:rsidR="00866CEA">
        <w:rPr>
          <w:rFonts w:ascii="Palatino Linotype" w:hAnsi="Palatino Linotype" w:cs="Tahoma"/>
          <w:sz w:val="22"/>
          <w:szCs w:val="22"/>
          <w:lang w:val="es-ES"/>
        </w:rPr>
        <w:t>d</w:t>
      </w:r>
      <w:r>
        <w:rPr>
          <w:rFonts w:ascii="Palatino Linotype" w:hAnsi="Palatino Linotype" w:cs="Tahoma"/>
          <w:sz w:val="22"/>
          <w:szCs w:val="22"/>
          <w:lang w:val="es-ES"/>
        </w:rPr>
        <w:t>e Factibilidad</w:t>
      </w:r>
      <w:r w:rsidR="00866CEA">
        <w:rPr>
          <w:rFonts w:ascii="Palatino Linotype" w:hAnsi="Palatino Linotype" w:cs="Tahoma"/>
          <w:sz w:val="22"/>
          <w:szCs w:val="22"/>
          <w:lang w:val="es-ES"/>
        </w:rPr>
        <w:t xml:space="preserve"> del Estado de México</w:t>
      </w:r>
      <w:r w:rsidR="005420B4">
        <w:rPr>
          <w:rFonts w:ascii="Palatino Linotype" w:hAnsi="Palatino Linotype" w:cs="Tahoma"/>
          <w:sz w:val="22"/>
          <w:szCs w:val="22"/>
          <w:lang w:val="es-ES"/>
        </w:rPr>
        <w:t>, publicado en</w:t>
      </w:r>
      <w:r w:rsidR="005420B4" w:rsidRPr="005420B4">
        <w:rPr>
          <w:rFonts w:ascii="Palatino Linotype" w:hAnsi="Palatino Linotype" w:cs="Tahoma"/>
          <w:sz w:val="22"/>
          <w:szCs w:val="22"/>
        </w:rPr>
        <w:t xml:space="preserve"> el Periódico Oficial </w:t>
      </w:r>
      <w:r w:rsidR="005420B4" w:rsidRPr="005420B4">
        <w:rPr>
          <w:rFonts w:ascii="Palatino Linotype" w:hAnsi="Palatino Linotype" w:cs="Tahoma"/>
          <w:i/>
          <w:sz w:val="22"/>
          <w:szCs w:val="22"/>
        </w:rPr>
        <w:t xml:space="preserve">“Gaceta del Gobierno”, </w:t>
      </w:r>
      <w:r w:rsidR="005420B4" w:rsidRPr="005420B4">
        <w:rPr>
          <w:rFonts w:ascii="Palatino Linotype" w:hAnsi="Palatino Linotype" w:cs="Tahoma"/>
          <w:sz w:val="22"/>
          <w:szCs w:val="22"/>
        </w:rPr>
        <w:t xml:space="preserve">el </w:t>
      </w:r>
      <w:r w:rsidR="005420B4">
        <w:rPr>
          <w:rFonts w:ascii="Palatino Linotype" w:hAnsi="Palatino Linotype" w:cs="Tahoma"/>
          <w:sz w:val="22"/>
          <w:szCs w:val="22"/>
        </w:rPr>
        <w:t xml:space="preserve">once de </w:t>
      </w:r>
      <w:r w:rsidR="00526050">
        <w:rPr>
          <w:rFonts w:ascii="Palatino Linotype" w:hAnsi="Palatino Linotype" w:cs="Tahoma"/>
          <w:sz w:val="22"/>
          <w:szCs w:val="22"/>
        </w:rPr>
        <w:t>junio de dos mil diecinueve</w:t>
      </w:r>
      <w:r w:rsidR="00866CEA">
        <w:rPr>
          <w:rFonts w:ascii="Palatino Linotype" w:hAnsi="Palatino Linotype" w:cs="Tahoma"/>
          <w:sz w:val="22"/>
          <w:szCs w:val="22"/>
          <w:lang w:val="es-ES"/>
        </w:rPr>
        <w:t>, que establece lo siguiente:</w:t>
      </w:r>
    </w:p>
    <w:p w14:paraId="3D4194B2" w14:textId="77777777" w:rsidR="00866CEA" w:rsidRDefault="00866CEA" w:rsidP="007439BA">
      <w:pPr>
        <w:spacing w:line="360" w:lineRule="auto"/>
        <w:ind w:right="-93"/>
        <w:jc w:val="both"/>
        <w:rPr>
          <w:rFonts w:ascii="Palatino Linotype" w:hAnsi="Palatino Linotype" w:cs="Tahoma"/>
          <w:sz w:val="22"/>
          <w:szCs w:val="22"/>
          <w:lang w:val="es-ES"/>
        </w:rPr>
      </w:pPr>
    </w:p>
    <w:p w14:paraId="17F24B2E" w14:textId="617683D4" w:rsidR="00866CEA" w:rsidRDefault="00866CEA" w:rsidP="007439BA">
      <w:pPr>
        <w:pStyle w:val="Prrafodelista"/>
        <w:numPr>
          <w:ilvl w:val="0"/>
          <w:numId w:val="30"/>
        </w:numPr>
        <w:spacing w:line="360" w:lineRule="auto"/>
        <w:ind w:right="-93"/>
        <w:jc w:val="both"/>
        <w:rPr>
          <w:rFonts w:ascii="Palatino Linotype" w:hAnsi="Palatino Linotype" w:cs="Tahoma"/>
          <w:b/>
          <w:szCs w:val="22"/>
          <w:lang w:val="es-ES"/>
        </w:rPr>
      </w:pPr>
      <w:r w:rsidRPr="00866CEA">
        <w:rPr>
          <w:rFonts w:ascii="Palatino Linotype" w:hAnsi="Palatino Linotype" w:cs="Tahoma"/>
          <w:b/>
          <w:szCs w:val="22"/>
          <w:lang w:val="es-ES"/>
        </w:rPr>
        <w:t>(Artículo P</w:t>
      </w:r>
      <w:r w:rsidR="007439BA">
        <w:rPr>
          <w:rFonts w:ascii="Palatino Linotype" w:hAnsi="Palatino Linotype" w:cs="Tahoma"/>
          <w:b/>
          <w:szCs w:val="22"/>
          <w:lang w:val="es-ES"/>
        </w:rPr>
        <w:t>rimero</w:t>
      </w:r>
      <w:r w:rsidRPr="00866CEA">
        <w:rPr>
          <w:rFonts w:ascii="Palatino Linotype" w:hAnsi="Palatino Linotype" w:cs="Tahoma"/>
          <w:b/>
          <w:szCs w:val="22"/>
          <w:lang w:val="es-ES"/>
        </w:rPr>
        <w:t>):</w:t>
      </w:r>
      <w:r w:rsidR="007439BA">
        <w:rPr>
          <w:rFonts w:ascii="Palatino Linotype" w:hAnsi="Palatino Linotype" w:cs="Tahoma"/>
          <w:b/>
          <w:szCs w:val="22"/>
          <w:lang w:val="es-ES"/>
        </w:rPr>
        <w:t xml:space="preserve"> </w:t>
      </w:r>
      <w:r w:rsidR="007439BA">
        <w:rPr>
          <w:rFonts w:ascii="Palatino Linotype" w:hAnsi="Palatino Linotype" w:cs="Tahoma"/>
          <w:szCs w:val="22"/>
          <w:lang w:val="es-ES"/>
        </w:rPr>
        <w:t>La Comisión de Factibilidad del Estado de México inicia funciones y entra en operación.</w:t>
      </w:r>
    </w:p>
    <w:p w14:paraId="787CC334" w14:textId="77777777" w:rsidR="007439BA" w:rsidRPr="007439BA" w:rsidRDefault="007439BA" w:rsidP="007439BA">
      <w:pPr>
        <w:spacing w:line="360" w:lineRule="auto"/>
        <w:ind w:left="360" w:right="-93"/>
        <w:jc w:val="both"/>
        <w:rPr>
          <w:rFonts w:ascii="Palatino Linotype" w:hAnsi="Palatino Linotype" w:cs="Tahoma"/>
          <w:b/>
          <w:szCs w:val="22"/>
          <w:lang w:val="es-ES"/>
        </w:rPr>
      </w:pPr>
    </w:p>
    <w:p w14:paraId="326E22F4" w14:textId="19FEB90B" w:rsidR="007439BA" w:rsidRDefault="007439BA" w:rsidP="00AA32EA">
      <w:pPr>
        <w:pStyle w:val="Prrafodelista"/>
        <w:numPr>
          <w:ilvl w:val="0"/>
          <w:numId w:val="30"/>
        </w:numPr>
        <w:spacing w:line="360" w:lineRule="auto"/>
        <w:jc w:val="both"/>
        <w:rPr>
          <w:rFonts w:ascii="Palatino Linotype" w:hAnsi="Palatino Linotype" w:cs="Tahoma"/>
          <w:b/>
          <w:szCs w:val="22"/>
          <w:lang w:val="es-ES"/>
        </w:rPr>
      </w:pPr>
      <w:r w:rsidRPr="007439BA">
        <w:rPr>
          <w:rFonts w:ascii="Palatino Linotype" w:hAnsi="Palatino Linotype" w:cs="Tahoma"/>
          <w:b/>
          <w:szCs w:val="22"/>
          <w:lang w:val="es-ES"/>
        </w:rPr>
        <w:t xml:space="preserve">(Artículo </w:t>
      </w:r>
      <w:r>
        <w:rPr>
          <w:rFonts w:ascii="Palatino Linotype" w:hAnsi="Palatino Linotype" w:cs="Tahoma"/>
          <w:b/>
          <w:szCs w:val="22"/>
          <w:lang w:val="es-ES"/>
        </w:rPr>
        <w:t>Segundo):</w:t>
      </w:r>
      <w:r w:rsidR="00AA32EA">
        <w:rPr>
          <w:rFonts w:ascii="Palatino Linotype" w:hAnsi="Palatino Linotype" w:cs="Tahoma"/>
          <w:b/>
          <w:szCs w:val="22"/>
          <w:lang w:val="es-ES"/>
        </w:rPr>
        <w:t xml:space="preserve"> </w:t>
      </w:r>
      <w:r w:rsidR="00AA32EA">
        <w:rPr>
          <w:rFonts w:ascii="Palatino Linotype" w:hAnsi="Palatino Linotype" w:cs="Tahoma"/>
          <w:szCs w:val="22"/>
          <w:lang w:val="es-ES"/>
        </w:rPr>
        <w:t xml:space="preserve">Dicho ente deberá recibir en un plazo, no mayor a quince días hábiles, los expedientes relacionados con las solicitudes del Dictamen Único de Factibilidad </w:t>
      </w:r>
      <w:r w:rsidR="00AA32EA" w:rsidRPr="00AA32EA">
        <w:rPr>
          <w:rFonts w:ascii="Palatino Linotype" w:hAnsi="Palatino Linotype" w:cs="Tahoma"/>
          <w:szCs w:val="22"/>
        </w:rPr>
        <w:t>que obren en los archivos de la Secretaría Técnica de la Comisión Estatal de Factibilidad</w:t>
      </w:r>
      <w:r w:rsidR="00AA32EA">
        <w:rPr>
          <w:rFonts w:ascii="Palatino Linotype" w:hAnsi="Palatino Linotype" w:cs="Tahoma"/>
          <w:szCs w:val="22"/>
        </w:rPr>
        <w:t>, adscrita a la Secretaría de Desarrollo Urbano y Metropolitano.</w:t>
      </w:r>
    </w:p>
    <w:p w14:paraId="652421A1" w14:textId="77777777" w:rsidR="007439BA" w:rsidRPr="007439BA" w:rsidRDefault="007439BA" w:rsidP="007439BA">
      <w:pPr>
        <w:pStyle w:val="Prrafodelista"/>
        <w:rPr>
          <w:rFonts w:ascii="Palatino Linotype" w:hAnsi="Palatino Linotype" w:cs="Tahoma"/>
          <w:b/>
          <w:szCs w:val="22"/>
          <w:lang w:val="es-ES"/>
        </w:rPr>
      </w:pPr>
    </w:p>
    <w:p w14:paraId="66F3EB7C" w14:textId="17DF0DD4" w:rsidR="007439BA" w:rsidRDefault="007439BA" w:rsidP="007439BA">
      <w:pPr>
        <w:pStyle w:val="Prrafodelista"/>
        <w:numPr>
          <w:ilvl w:val="0"/>
          <w:numId w:val="30"/>
        </w:numPr>
        <w:spacing w:line="360" w:lineRule="auto"/>
        <w:ind w:right="-93"/>
        <w:jc w:val="both"/>
        <w:rPr>
          <w:rFonts w:ascii="Palatino Linotype" w:hAnsi="Palatino Linotype" w:cs="Tahoma"/>
          <w:b/>
          <w:szCs w:val="22"/>
          <w:lang w:val="es-ES"/>
        </w:rPr>
      </w:pPr>
      <w:r w:rsidRPr="00866CEA">
        <w:rPr>
          <w:rFonts w:ascii="Palatino Linotype" w:hAnsi="Palatino Linotype" w:cs="Tahoma"/>
          <w:b/>
          <w:szCs w:val="22"/>
          <w:lang w:val="es-ES"/>
        </w:rPr>
        <w:t xml:space="preserve">(Artículo </w:t>
      </w:r>
      <w:r>
        <w:rPr>
          <w:rFonts w:ascii="Palatino Linotype" w:hAnsi="Palatino Linotype" w:cs="Tahoma"/>
          <w:b/>
          <w:szCs w:val="22"/>
          <w:lang w:val="es-ES"/>
        </w:rPr>
        <w:t>Tercero</w:t>
      </w:r>
      <w:r w:rsidRPr="00866CEA">
        <w:rPr>
          <w:rFonts w:ascii="Palatino Linotype" w:hAnsi="Palatino Linotype" w:cs="Tahoma"/>
          <w:b/>
          <w:szCs w:val="22"/>
          <w:lang w:val="es-ES"/>
        </w:rPr>
        <w:t>):</w:t>
      </w:r>
      <w:r w:rsidR="00AA32EA">
        <w:rPr>
          <w:rFonts w:ascii="Palatino Linotype" w:hAnsi="Palatino Linotype" w:cs="Tahoma"/>
          <w:b/>
          <w:szCs w:val="22"/>
          <w:lang w:val="es-ES"/>
        </w:rPr>
        <w:t xml:space="preserve"> </w:t>
      </w:r>
      <w:r w:rsidR="00B2535A">
        <w:rPr>
          <w:rFonts w:ascii="Palatino Linotype" w:hAnsi="Palatino Linotype" w:cs="Tahoma"/>
          <w:szCs w:val="22"/>
          <w:lang w:val="es-ES"/>
        </w:rPr>
        <w:t xml:space="preserve">Los asuntos y procedimientos respecto del trámite del Dictamen Único de Factibilidad </w:t>
      </w:r>
      <w:r w:rsidR="00B2535A" w:rsidRPr="00B2535A">
        <w:rPr>
          <w:rFonts w:ascii="Palatino Linotype" w:hAnsi="Palatino Linotype" w:cs="Tahoma"/>
          <w:szCs w:val="22"/>
        </w:rPr>
        <w:t xml:space="preserve">que se hayan iniciado ante la Comisión Estatal de Factibilidad adscrita </w:t>
      </w:r>
      <w:r w:rsidR="005420B4">
        <w:rPr>
          <w:rFonts w:ascii="Palatino Linotype" w:hAnsi="Palatino Linotype" w:cs="Tahoma"/>
          <w:szCs w:val="22"/>
        </w:rPr>
        <w:t>al Ente Recurrido</w:t>
      </w:r>
      <w:r w:rsidR="00B2535A" w:rsidRPr="00B2535A">
        <w:rPr>
          <w:rFonts w:ascii="Palatino Linotype" w:hAnsi="Palatino Linotype" w:cs="Tahoma"/>
          <w:szCs w:val="22"/>
        </w:rPr>
        <w:t>, antes de la entrada en vigor del presente Acuerdo, continuarán su trámite ante la Comisión de Factibilidad del Estado de México</w:t>
      </w:r>
      <w:r w:rsidR="005420B4">
        <w:rPr>
          <w:rFonts w:ascii="Palatino Linotype" w:hAnsi="Palatino Linotype" w:cs="Tahoma"/>
          <w:szCs w:val="22"/>
        </w:rPr>
        <w:t>.</w:t>
      </w:r>
    </w:p>
    <w:p w14:paraId="445363B6" w14:textId="77777777" w:rsidR="007439BA" w:rsidRPr="007439BA" w:rsidRDefault="007439BA" w:rsidP="007439BA">
      <w:pPr>
        <w:pStyle w:val="Prrafodelista"/>
        <w:rPr>
          <w:rFonts w:ascii="Palatino Linotype" w:hAnsi="Palatino Linotype" w:cs="Tahoma"/>
          <w:b/>
          <w:szCs w:val="22"/>
          <w:lang w:val="es-ES"/>
        </w:rPr>
      </w:pPr>
    </w:p>
    <w:p w14:paraId="369DE078" w14:textId="6F749A11" w:rsidR="007439BA" w:rsidRPr="007439BA" w:rsidRDefault="007439BA" w:rsidP="007439BA">
      <w:pPr>
        <w:pStyle w:val="Prrafodelista"/>
        <w:numPr>
          <w:ilvl w:val="0"/>
          <w:numId w:val="30"/>
        </w:numPr>
        <w:spacing w:line="360" w:lineRule="auto"/>
        <w:rPr>
          <w:rFonts w:ascii="Palatino Linotype" w:hAnsi="Palatino Linotype" w:cs="Tahoma"/>
          <w:b/>
          <w:szCs w:val="22"/>
          <w:lang w:val="es-ES"/>
        </w:rPr>
      </w:pPr>
      <w:r w:rsidRPr="007439BA">
        <w:rPr>
          <w:rFonts w:ascii="Palatino Linotype" w:hAnsi="Palatino Linotype" w:cs="Tahoma"/>
          <w:b/>
          <w:szCs w:val="22"/>
          <w:lang w:val="es-ES"/>
        </w:rPr>
        <w:t>(</w:t>
      </w:r>
      <w:r>
        <w:rPr>
          <w:rFonts w:ascii="Palatino Linotype" w:hAnsi="Palatino Linotype" w:cs="Tahoma"/>
          <w:b/>
          <w:szCs w:val="22"/>
          <w:lang w:val="es-ES"/>
        </w:rPr>
        <w:t>Segundo Transitorio</w:t>
      </w:r>
      <w:r w:rsidRPr="007439BA">
        <w:rPr>
          <w:rFonts w:ascii="Palatino Linotype" w:hAnsi="Palatino Linotype" w:cs="Tahoma"/>
          <w:b/>
          <w:szCs w:val="22"/>
          <w:lang w:val="es-ES"/>
        </w:rPr>
        <w:t>):</w:t>
      </w:r>
      <w:r w:rsidR="005420B4">
        <w:rPr>
          <w:rFonts w:ascii="Palatino Linotype" w:hAnsi="Palatino Linotype" w:cs="Tahoma"/>
          <w:b/>
          <w:szCs w:val="22"/>
          <w:lang w:val="es-ES"/>
        </w:rPr>
        <w:t xml:space="preserve"> </w:t>
      </w:r>
      <w:r w:rsidR="005420B4">
        <w:rPr>
          <w:rFonts w:ascii="Palatino Linotype" w:hAnsi="Palatino Linotype" w:cs="Tahoma"/>
          <w:szCs w:val="22"/>
          <w:lang w:val="es-ES"/>
        </w:rPr>
        <w:t>El acuerdo entrará en vigor al día siguiente de su publicación en el Periódico Oficial “Gaceta de Gobierno”.</w:t>
      </w:r>
    </w:p>
    <w:p w14:paraId="447647FA" w14:textId="78F0AE16" w:rsidR="003D1070" w:rsidRDefault="00526050"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lastRenderedPageBreak/>
        <w:t>Conforme a la normatividad citada, se colige</w:t>
      </w:r>
      <w:r w:rsidR="004F2E4B">
        <w:rPr>
          <w:rFonts w:ascii="Palatino Linotype" w:hAnsi="Palatino Linotype" w:cs="Tahoma"/>
          <w:sz w:val="22"/>
          <w:szCs w:val="22"/>
          <w:lang w:val="es-ES"/>
        </w:rPr>
        <w:t>, respecto a la Comisión de Factibilidad del Estado de México,</w:t>
      </w:r>
      <w:r>
        <w:rPr>
          <w:rFonts w:ascii="Palatino Linotype" w:hAnsi="Palatino Linotype" w:cs="Tahoma"/>
          <w:sz w:val="22"/>
          <w:szCs w:val="22"/>
          <w:lang w:val="es-ES"/>
        </w:rPr>
        <w:t xml:space="preserve"> lo siguiente:</w:t>
      </w:r>
    </w:p>
    <w:p w14:paraId="348ED29A" w14:textId="77777777" w:rsidR="00526050" w:rsidRDefault="00526050" w:rsidP="000A4DC8">
      <w:pPr>
        <w:spacing w:line="360" w:lineRule="auto"/>
        <w:ind w:right="-93"/>
        <w:jc w:val="both"/>
        <w:rPr>
          <w:rFonts w:ascii="Palatino Linotype" w:hAnsi="Palatino Linotype" w:cs="Tahoma"/>
          <w:sz w:val="22"/>
          <w:szCs w:val="22"/>
          <w:lang w:val="es-ES"/>
        </w:rPr>
      </w:pPr>
    </w:p>
    <w:p w14:paraId="6632384F" w14:textId="0FBF6282" w:rsidR="00526050" w:rsidRDefault="004F2E4B" w:rsidP="00526050">
      <w:pPr>
        <w:pStyle w:val="Prrafodelista"/>
        <w:numPr>
          <w:ilvl w:val="0"/>
          <w:numId w:val="31"/>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Que inicio funciones, el doce de junio de dos mil diecinueve;</w:t>
      </w:r>
    </w:p>
    <w:p w14:paraId="727B526A" w14:textId="0CFDD8B0" w:rsidR="004F2E4B" w:rsidRDefault="004F2E4B" w:rsidP="00526050">
      <w:pPr>
        <w:pStyle w:val="Prrafodelista"/>
        <w:numPr>
          <w:ilvl w:val="0"/>
          <w:numId w:val="31"/>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Que es un órgano desconcentrado de la Secretaría de Justicia y Derechos Humanos;</w:t>
      </w:r>
    </w:p>
    <w:p w14:paraId="016E9708" w14:textId="62BD07C3" w:rsidR="004F2E4B" w:rsidRDefault="000231B7" w:rsidP="00526050">
      <w:pPr>
        <w:pStyle w:val="Prrafodelista"/>
        <w:numPr>
          <w:ilvl w:val="0"/>
          <w:numId w:val="31"/>
        </w:numPr>
        <w:spacing w:line="360" w:lineRule="auto"/>
        <w:ind w:right="-93"/>
        <w:jc w:val="both"/>
        <w:rPr>
          <w:rFonts w:ascii="Palatino Linotype" w:hAnsi="Palatino Linotype" w:cs="Tahoma"/>
          <w:szCs w:val="22"/>
          <w:lang w:val="es-ES"/>
        </w:rPr>
      </w:pPr>
      <w:r>
        <w:rPr>
          <w:rFonts w:ascii="Palatino Linotype" w:hAnsi="Palatino Linotype" w:cs="Tahoma"/>
          <w:szCs w:val="22"/>
          <w:lang w:val="es-ES"/>
        </w:rPr>
        <w:t>Que es la encarga de ver todas las cuestiones relacionadas con la tramitación y emisión del Dictamen Único de Factibilidad, así como, llevar el registro de las unidades económicas que cuenten con este;</w:t>
      </w:r>
    </w:p>
    <w:p w14:paraId="605383EF" w14:textId="44C642DC" w:rsidR="000231B7" w:rsidRPr="003638C4" w:rsidRDefault="000231B7" w:rsidP="00526050">
      <w:pPr>
        <w:pStyle w:val="Prrafodelista"/>
        <w:numPr>
          <w:ilvl w:val="0"/>
          <w:numId w:val="31"/>
        </w:numPr>
        <w:spacing w:line="360" w:lineRule="auto"/>
        <w:ind w:right="-93"/>
        <w:jc w:val="both"/>
        <w:rPr>
          <w:rFonts w:ascii="Palatino Linotype" w:hAnsi="Palatino Linotype" w:cs="Tahoma"/>
          <w:b/>
          <w:szCs w:val="22"/>
          <w:lang w:val="es-ES"/>
        </w:rPr>
      </w:pPr>
      <w:r w:rsidRPr="003638C4">
        <w:rPr>
          <w:rFonts w:ascii="Palatino Linotype" w:hAnsi="Palatino Linotype" w:cs="Tahoma"/>
          <w:b/>
          <w:szCs w:val="22"/>
          <w:lang w:val="es-ES"/>
        </w:rPr>
        <w:t>Que los asuntos y procedimientos de trámite de dicho documento, que hayan iniciado en la Secretaría de Desarrollo Urbano, a partir del dos de junio de dos mil diecinueve,  continuarían su trámite ante dicho órgano desconcen</w:t>
      </w:r>
      <w:r w:rsidR="003638C4">
        <w:rPr>
          <w:rFonts w:ascii="Palatino Linotype" w:hAnsi="Palatino Linotype" w:cs="Tahoma"/>
          <w:b/>
          <w:szCs w:val="22"/>
          <w:lang w:val="es-ES"/>
        </w:rPr>
        <w:t>trado, y</w:t>
      </w:r>
    </w:p>
    <w:p w14:paraId="08DF9CDC" w14:textId="22DA80F0" w:rsidR="000231B7" w:rsidRPr="003638C4" w:rsidRDefault="000231B7" w:rsidP="00526050">
      <w:pPr>
        <w:pStyle w:val="Prrafodelista"/>
        <w:numPr>
          <w:ilvl w:val="0"/>
          <w:numId w:val="31"/>
        </w:numPr>
        <w:spacing w:line="360" w:lineRule="auto"/>
        <w:ind w:right="-93"/>
        <w:jc w:val="both"/>
        <w:rPr>
          <w:rFonts w:ascii="Palatino Linotype" w:hAnsi="Palatino Linotype" w:cs="Tahoma"/>
          <w:b/>
          <w:szCs w:val="22"/>
          <w:lang w:val="es-ES"/>
        </w:rPr>
      </w:pPr>
      <w:r w:rsidRPr="003638C4">
        <w:rPr>
          <w:rFonts w:ascii="Palatino Linotype" w:hAnsi="Palatino Linotype" w:cs="Tahoma"/>
          <w:b/>
          <w:szCs w:val="22"/>
          <w:lang w:val="es-ES"/>
        </w:rPr>
        <w:t>Que a partir de la fecha antes mencionada, el Sujeto Obligado tenía quince días</w:t>
      </w:r>
      <w:r w:rsidR="00C21F35" w:rsidRPr="003638C4">
        <w:rPr>
          <w:rFonts w:ascii="Palatino Linotype" w:hAnsi="Palatino Linotype" w:cs="Tahoma"/>
          <w:b/>
          <w:szCs w:val="22"/>
          <w:lang w:val="es-ES"/>
        </w:rPr>
        <w:t xml:space="preserve"> hábiles para remitir todos los expedientes relacionados con las solicitudes del Dictamen Único de Factibilidad.</w:t>
      </w:r>
    </w:p>
    <w:p w14:paraId="4C099168" w14:textId="72784817" w:rsidR="003638C4" w:rsidRDefault="003638C4" w:rsidP="000A4DC8">
      <w:pPr>
        <w:spacing w:line="360" w:lineRule="auto"/>
        <w:ind w:right="-93"/>
        <w:jc w:val="both"/>
        <w:rPr>
          <w:rFonts w:ascii="Palatino Linotype" w:hAnsi="Palatino Linotype" w:cs="Tahoma"/>
          <w:sz w:val="22"/>
          <w:szCs w:val="22"/>
          <w:lang w:val="es-ES"/>
        </w:rPr>
      </w:pPr>
    </w:p>
    <w:p w14:paraId="42194C77" w14:textId="6BCB1027" w:rsidR="00BC5E24" w:rsidRPr="007F0BDF" w:rsidRDefault="003638C4" w:rsidP="00BC5E24">
      <w:pPr>
        <w:spacing w:line="360" w:lineRule="auto"/>
        <w:ind w:right="-93"/>
        <w:jc w:val="both"/>
        <w:rPr>
          <w:rFonts w:ascii="Palatino Linotype" w:hAnsi="Palatino Linotype" w:cs="Tahoma"/>
          <w:sz w:val="22"/>
          <w:szCs w:val="22"/>
        </w:rPr>
      </w:pPr>
      <w:r>
        <w:rPr>
          <w:rFonts w:ascii="Palatino Linotype" w:hAnsi="Palatino Linotype" w:cs="Tahoma"/>
          <w:sz w:val="22"/>
          <w:szCs w:val="22"/>
          <w:lang w:val="es-ES"/>
        </w:rPr>
        <w:t>Ahora bien, en Respuesta el área del Ente Recurrido, que tenía atribuciones para conocer de los dictámenes únicos de factibilidad,</w:t>
      </w:r>
      <w:r w:rsidR="005A45C1">
        <w:rPr>
          <w:rFonts w:ascii="Palatino Linotype" w:hAnsi="Palatino Linotype" w:cs="Tahoma"/>
          <w:sz w:val="22"/>
          <w:szCs w:val="22"/>
          <w:lang w:val="es-ES"/>
        </w:rPr>
        <w:t xml:space="preserve"> a saber, la Subdirección de Dictámenes Urbanos, precisó que el dos de julio del dos mil diecinueve, </w:t>
      </w:r>
      <w:r w:rsidR="005A45C1">
        <w:rPr>
          <w:rFonts w:ascii="Palatino Linotype" w:hAnsi="Palatino Linotype" w:cs="Tahoma"/>
          <w:b/>
          <w:sz w:val="22"/>
          <w:szCs w:val="22"/>
          <w:lang w:val="es-ES"/>
        </w:rPr>
        <w:t>realizó la entrega a la Comisión de Factibilidad del Estado de México, de todos los expedientes de solicitudes de los multicitados dictámenes y por lo tanto, no contaba con la información en sus archivos.</w:t>
      </w:r>
      <w:r w:rsidR="00BC5E24">
        <w:rPr>
          <w:rFonts w:ascii="Palatino Linotype" w:hAnsi="Palatino Linotype" w:cs="Tahoma"/>
          <w:b/>
          <w:sz w:val="22"/>
          <w:szCs w:val="22"/>
          <w:lang w:val="es-ES"/>
        </w:rPr>
        <w:t xml:space="preserve"> </w:t>
      </w:r>
      <w:r w:rsidR="00BC5E24">
        <w:rPr>
          <w:rFonts w:ascii="Palatino Linotype" w:eastAsia="Calibri" w:hAnsi="Palatino Linotype" w:cs="Tahoma"/>
          <w:bCs/>
          <w:sz w:val="22"/>
          <w:szCs w:val="22"/>
          <w:lang w:eastAsia="en-US"/>
        </w:rPr>
        <w:t xml:space="preserve">Al respecto, cabe señalar que </w:t>
      </w:r>
      <w:r w:rsidR="00BC5E24" w:rsidRPr="007F0BDF">
        <w:rPr>
          <w:rFonts w:ascii="Palatino Linotype" w:hAnsi="Palatino Linotype" w:cs="Tahoma"/>
          <w:sz w:val="22"/>
          <w:szCs w:val="22"/>
        </w:rPr>
        <w:t>este Instituto</w:t>
      </w:r>
      <w:r w:rsidR="00BC5E24">
        <w:rPr>
          <w:rFonts w:ascii="Palatino Linotype" w:hAnsi="Palatino Linotype" w:cs="Tahoma"/>
          <w:sz w:val="22"/>
          <w:szCs w:val="22"/>
        </w:rPr>
        <w:t>,</w:t>
      </w:r>
      <w:r w:rsidR="00BC5E24" w:rsidRPr="007F0BDF">
        <w:rPr>
          <w:rFonts w:ascii="Palatino Linotype" w:hAnsi="Palatino Linotype" w:cs="Tahoma"/>
          <w:sz w:val="22"/>
          <w:szCs w:val="22"/>
        </w:rPr>
        <w:t xml:space="preserve"> no tiene atribuciones para pronunciarse sobre la veracidad de la información. Apoya lo anterior, el Criterio histórico 31/10</w:t>
      </w:r>
      <w:r w:rsidR="00BC5E24">
        <w:rPr>
          <w:rFonts w:ascii="Palatino Linotype" w:hAnsi="Palatino Linotype" w:cs="Tahoma"/>
          <w:sz w:val="22"/>
          <w:szCs w:val="22"/>
        </w:rPr>
        <w:t xml:space="preserve">, emitido por el Pleno del entonces </w:t>
      </w:r>
      <w:r w:rsidR="00BC5E24" w:rsidRPr="007218D9">
        <w:rPr>
          <w:rFonts w:ascii="Palatino Linotype" w:hAnsi="Palatino Linotype" w:cs="Tahoma"/>
          <w:sz w:val="22"/>
          <w:szCs w:val="22"/>
        </w:rPr>
        <w:t>Instituto Federal de Acceso a la Información y Protección de Datos</w:t>
      </w:r>
      <w:r w:rsidR="00BC5E24" w:rsidRPr="007F0BDF">
        <w:rPr>
          <w:rFonts w:ascii="Palatino Linotype" w:hAnsi="Palatino Linotype" w:cs="Tahoma"/>
          <w:sz w:val="22"/>
          <w:szCs w:val="22"/>
        </w:rPr>
        <w:t>, que a continuación se cita:</w:t>
      </w:r>
    </w:p>
    <w:p w14:paraId="5F9758C8" w14:textId="77777777" w:rsidR="00BC5E24" w:rsidRPr="007F0BDF" w:rsidRDefault="00BC5E24" w:rsidP="00BC5E24">
      <w:pPr>
        <w:spacing w:line="360" w:lineRule="auto"/>
        <w:jc w:val="both"/>
        <w:rPr>
          <w:rFonts w:ascii="Palatino Linotype" w:hAnsi="Palatino Linotype" w:cs="Tahoma"/>
          <w:sz w:val="22"/>
          <w:szCs w:val="22"/>
        </w:rPr>
      </w:pPr>
    </w:p>
    <w:p w14:paraId="4C35CB8B" w14:textId="77777777" w:rsidR="00BC5E24" w:rsidRPr="007F0BDF" w:rsidRDefault="00BC5E24" w:rsidP="00BC5E24">
      <w:pPr>
        <w:spacing w:line="360" w:lineRule="auto"/>
        <w:ind w:left="567" w:right="567"/>
        <w:jc w:val="both"/>
        <w:rPr>
          <w:rFonts w:ascii="Palatino Linotype" w:hAnsi="Palatino Linotype" w:cs="Tahoma"/>
          <w:i/>
        </w:rPr>
      </w:pPr>
      <w:r w:rsidRPr="007F0BDF">
        <w:rPr>
          <w:rFonts w:ascii="Palatino Linotype" w:hAnsi="Palatino Linotype" w:cs="Tahoma"/>
          <w:b/>
          <w:i/>
        </w:rPr>
        <w:t xml:space="preserve">“El Instituto Federal de Acceso a la Información y Protección de Datos </w:t>
      </w:r>
      <w:r w:rsidRPr="007F0BDF">
        <w:rPr>
          <w:rFonts w:ascii="Palatino Linotype" w:hAnsi="Palatino Linotype" w:cs="Tahoma"/>
          <w:b/>
          <w:i/>
          <w:u w:val="single"/>
        </w:rPr>
        <w:t xml:space="preserve">no cuenta con facultades para pronunciarse respecto de la veracidad de los documentos proporcionados </w:t>
      </w:r>
      <w:r w:rsidRPr="007F0BDF">
        <w:rPr>
          <w:rFonts w:ascii="Palatino Linotype" w:hAnsi="Palatino Linotype" w:cs="Tahoma"/>
          <w:b/>
          <w:i/>
          <w:u w:val="single"/>
        </w:rPr>
        <w:lastRenderedPageBreak/>
        <w:t xml:space="preserve">por los sujetos obligados. </w:t>
      </w:r>
      <w:r w:rsidRPr="007F0BDF">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6CE79FF" w14:textId="77777777" w:rsidR="00BC5E24" w:rsidRDefault="00BC5E24" w:rsidP="00BC5E24">
      <w:pPr>
        <w:spacing w:line="360" w:lineRule="auto"/>
        <w:ind w:right="-93"/>
        <w:jc w:val="both"/>
        <w:rPr>
          <w:rFonts w:ascii="Palatino Linotype" w:hAnsi="Palatino Linotype" w:cs="Tahoma"/>
          <w:sz w:val="22"/>
          <w:szCs w:val="22"/>
          <w:lang w:val="es-ES"/>
        </w:rPr>
      </w:pPr>
    </w:p>
    <w:p w14:paraId="0B72A188" w14:textId="1CBF5C27" w:rsidR="003638C4" w:rsidRPr="00B55225" w:rsidRDefault="00CA0F86"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Conforme a lo anterior, se advierte que a la fecha de la solicitud de información (cuatro de julio de dos mil diecinueve), la Comisión de Factibilidad del Estado de México</w:t>
      </w:r>
      <w:r w:rsidR="00B55225">
        <w:rPr>
          <w:rFonts w:ascii="Palatino Linotype" w:hAnsi="Palatino Linotype" w:cs="Tahoma"/>
          <w:sz w:val="22"/>
          <w:szCs w:val="22"/>
          <w:lang w:val="es-ES"/>
        </w:rPr>
        <w:t xml:space="preserve">, </w:t>
      </w:r>
      <w:r w:rsidR="00B55225" w:rsidRPr="00B55225">
        <w:rPr>
          <w:rFonts w:ascii="Palatino Linotype" w:hAnsi="Palatino Linotype" w:cs="Tahoma"/>
          <w:b/>
          <w:sz w:val="22"/>
          <w:szCs w:val="22"/>
          <w:lang w:val="es-ES"/>
        </w:rPr>
        <w:t>ya se encontraba en funciones</w:t>
      </w:r>
      <w:r w:rsidR="00B55225">
        <w:rPr>
          <w:rFonts w:ascii="Palatino Linotype" w:hAnsi="Palatino Linotype" w:cs="Tahoma"/>
          <w:b/>
          <w:sz w:val="22"/>
          <w:szCs w:val="22"/>
          <w:lang w:val="es-ES"/>
        </w:rPr>
        <w:t xml:space="preserve">, contaba con todos los expedientes de solicitudes de Dictamen Único de Factibilidad, que </w:t>
      </w:r>
      <w:r w:rsidR="005A75F7">
        <w:rPr>
          <w:rFonts w:ascii="Palatino Linotype" w:hAnsi="Palatino Linotype" w:cs="Tahoma"/>
          <w:b/>
          <w:sz w:val="22"/>
          <w:szCs w:val="22"/>
          <w:lang w:val="es-ES"/>
        </w:rPr>
        <w:t>tenía la Secretaría de Desarrollo Urbano y realizaba el trámite de emisión, renovación o revocación de los mismos.</w:t>
      </w:r>
    </w:p>
    <w:p w14:paraId="695B4DE2" w14:textId="77777777" w:rsidR="005A45C1" w:rsidRDefault="005A45C1" w:rsidP="000A4DC8">
      <w:pPr>
        <w:spacing w:line="360" w:lineRule="auto"/>
        <w:ind w:right="-93"/>
        <w:jc w:val="both"/>
        <w:rPr>
          <w:rFonts w:ascii="Palatino Linotype" w:hAnsi="Palatino Linotype" w:cs="Tahoma"/>
          <w:b/>
          <w:sz w:val="22"/>
          <w:szCs w:val="22"/>
          <w:lang w:val="es-ES"/>
        </w:rPr>
      </w:pPr>
    </w:p>
    <w:p w14:paraId="5285E203" w14:textId="343C8F17" w:rsidR="00470DD0" w:rsidRPr="005877D2" w:rsidRDefault="00470DD0" w:rsidP="000A4DC8">
      <w:pPr>
        <w:spacing w:line="360" w:lineRule="auto"/>
        <w:ind w:right="-93"/>
        <w:jc w:val="both"/>
        <w:rPr>
          <w:rFonts w:ascii="Palatino Linotype" w:hAnsi="Palatino Linotype" w:cs="Tahoma"/>
          <w:sz w:val="22"/>
          <w:szCs w:val="22"/>
          <w:lang w:val="es-ES"/>
        </w:rPr>
      </w:pPr>
      <w:r>
        <w:rPr>
          <w:rFonts w:ascii="Palatino Linotype" w:hAnsi="Palatino Linotype" w:cs="Tahoma"/>
          <w:sz w:val="22"/>
          <w:szCs w:val="22"/>
          <w:lang w:val="es-ES"/>
        </w:rPr>
        <w:t>Conforme a lo anterior, se considera que si bien, la Secretaría de Desarrollo Urbano y Metropolitano</w:t>
      </w:r>
      <w:r w:rsidR="005552AB">
        <w:rPr>
          <w:rFonts w:ascii="Palatino Linotype" w:hAnsi="Palatino Linotype" w:cs="Tahoma"/>
          <w:sz w:val="22"/>
          <w:szCs w:val="22"/>
          <w:lang w:val="es-ES"/>
        </w:rPr>
        <w:t>,</w:t>
      </w:r>
      <w:r>
        <w:rPr>
          <w:rFonts w:ascii="Palatino Linotype" w:hAnsi="Palatino Linotype" w:cs="Tahoma"/>
          <w:sz w:val="22"/>
          <w:szCs w:val="22"/>
          <w:lang w:val="es-ES"/>
        </w:rPr>
        <w:t xml:space="preserve"> antes </w:t>
      </w:r>
      <w:r w:rsidR="005552AB">
        <w:rPr>
          <w:rFonts w:ascii="Palatino Linotype" w:hAnsi="Palatino Linotype" w:cs="Tahoma"/>
          <w:sz w:val="22"/>
          <w:szCs w:val="22"/>
          <w:lang w:val="es-ES"/>
        </w:rPr>
        <w:t xml:space="preserve">doce de junio de dos mil diecinueve, tenía las atribuciones para emitir los dictámenes únicos de factibilidad y contaba en sus archivos con toda la información relacionada con estos, lo cierto es que a la fecha de la solicitud (cuatro de julio de dos mil diecinueve), </w:t>
      </w:r>
      <w:r w:rsidR="005877D2">
        <w:rPr>
          <w:rFonts w:ascii="Palatino Linotype" w:hAnsi="Palatino Linotype" w:cs="Tahoma"/>
          <w:sz w:val="22"/>
          <w:szCs w:val="22"/>
          <w:lang w:val="es-ES"/>
        </w:rPr>
        <w:t xml:space="preserve">es </w:t>
      </w:r>
      <w:r w:rsidR="005877D2">
        <w:rPr>
          <w:rFonts w:ascii="Palatino Linotype" w:hAnsi="Palatino Linotype" w:cs="Tahoma"/>
          <w:b/>
          <w:sz w:val="22"/>
          <w:szCs w:val="22"/>
          <w:lang w:val="es-ES"/>
        </w:rPr>
        <w:t xml:space="preserve">incompetente para conocer de la misma, </w:t>
      </w:r>
      <w:r w:rsidR="005877D2">
        <w:rPr>
          <w:rFonts w:ascii="Palatino Linotype" w:hAnsi="Palatino Linotype" w:cs="Tahoma"/>
          <w:sz w:val="22"/>
          <w:szCs w:val="22"/>
          <w:lang w:val="es-ES"/>
        </w:rPr>
        <w:t xml:space="preserve">pues con la entrada en funciones de la Comisión de Factibilidad del Estado de México, </w:t>
      </w:r>
      <w:r w:rsidR="00387141">
        <w:rPr>
          <w:rFonts w:ascii="Palatino Linotype" w:hAnsi="Palatino Linotype" w:cs="Tahoma"/>
          <w:sz w:val="22"/>
          <w:szCs w:val="22"/>
          <w:lang w:val="es-ES"/>
        </w:rPr>
        <w:t xml:space="preserve">todos los expedientes de las solicitudes de dichos dictámenes que había tramitado </w:t>
      </w:r>
      <w:r w:rsidR="00AD7ECE">
        <w:rPr>
          <w:rFonts w:ascii="Palatino Linotype" w:hAnsi="Palatino Linotype" w:cs="Tahoma"/>
          <w:sz w:val="22"/>
          <w:szCs w:val="22"/>
          <w:lang w:val="es-ES"/>
        </w:rPr>
        <w:t>y las funciones con las contaba el Ente Recurrido, fueron traspasadas el órgano desconcentrado de la Secretaría de Justicia y Derechos Humanos.</w:t>
      </w:r>
    </w:p>
    <w:p w14:paraId="753C656D" w14:textId="77777777" w:rsidR="00470DD0" w:rsidRDefault="00470DD0" w:rsidP="000A4DC8">
      <w:pPr>
        <w:spacing w:line="360" w:lineRule="auto"/>
        <w:ind w:right="-93"/>
        <w:jc w:val="both"/>
        <w:rPr>
          <w:rFonts w:ascii="Palatino Linotype" w:hAnsi="Palatino Linotype" w:cs="Tahoma"/>
          <w:b/>
          <w:sz w:val="22"/>
          <w:szCs w:val="22"/>
          <w:lang w:val="es-ES"/>
        </w:rPr>
      </w:pPr>
    </w:p>
    <w:p w14:paraId="290C0CB9" w14:textId="3909D106" w:rsidR="00470DD0" w:rsidRDefault="00AD7ECE" w:rsidP="000A4DC8">
      <w:pPr>
        <w:spacing w:line="360" w:lineRule="auto"/>
        <w:ind w:right="-93"/>
        <w:jc w:val="both"/>
        <w:rPr>
          <w:rFonts w:ascii="Palatino Linotype" w:hAnsi="Palatino Linotype" w:cs="Tahoma"/>
          <w:b/>
          <w:sz w:val="22"/>
          <w:szCs w:val="22"/>
          <w:lang w:val="es-ES"/>
        </w:rPr>
      </w:pPr>
      <w:r w:rsidRPr="00352AC6">
        <w:rPr>
          <w:rFonts w:ascii="Palatino Linotype" w:hAnsi="Palatino Linotype" w:cs="Tahoma"/>
          <w:b/>
          <w:sz w:val="22"/>
          <w:szCs w:val="22"/>
          <w:lang w:val="es-ES"/>
        </w:rPr>
        <w:lastRenderedPageBreak/>
        <w:t xml:space="preserve">En otro orden de ideas, al cuatro de julio de dos mil diecinueve (fecha de la solicitud), el Sujeto Obligado </w:t>
      </w:r>
      <w:r w:rsidRPr="00352AC6">
        <w:rPr>
          <w:rFonts w:ascii="Palatino Linotype" w:hAnsi="Palatino Linotype" w:cs="Tahoma"/>
          <w:b/>
          <w:sz w:val="22"/>
          <w:szCs w:val="22"/>
          <w:u w:val="single"/>
          <w:lang w:val="es-ES"/>
        </w:rPr>
        <w:t>carecía de atribuciones</w:t>
      </w:r>
      <w:r w:rsidRPr="00352AC6">
        <w:rPr>
          <w:rFonts w:ascii="Palatino Linotype" w:hAnsi="Palatino Linotype" w:cs="Tahoma"/>
          <w:b/>
          <w:sz w:val="22"/>
          <w:szCs w:val="22"/>
          <w:lang w:val="es-ES"/>
        </w:rPr>
        <w:t xml:space="preserve"> para conocer de la información requerida y los documentos elaborados en su momento, ya no obraban en sus archivos</w:t>
      </w:r>
      <w:r w:rsidR="00352AC6">
        <w:rPr>
          <w:rFonts w:ascii="Palatino Linotype" w:hAnsi="Palatino Linotype" w:cs="Tahoma"/>
          <w:b/>
          <w:sz w:val="22"/>
          <w:szCs w:val="22"/>
          <w:lang w:val="es-ES"/>
        </w:rPr>
        <w:t>.</w:t>
      </w:r>
    </w:p>
    <w:p w14:paraId="4E50CE14" w14:textId="77777777" w:rsidR="00470DD0" w:rsidRDefault="00470DD0" w:rsidP="000A4DC8">
      <w:pPr>
        <w:spacing w:line="360" w:lineRule="auto"/>
        <w:ind w:right="-93"/>
        <w:jc w:val="both"/>
        <w:rPr>
          <w:rFonts w:ascii="Palatino Linotype" w:hAnsi="Palatino Linotype" w:cs="Tahoma"/>
          <w:b/>
          <w:sz w:val="22"/>
          <w:szCs w:val="22"/>
          <w:lang w:val="es-ES"/>
        </w:rPr>
      </w:pPr>
    </w:p>
    <w:p w14:paraId="73EA0622" w14:textId="77777777" w:rsidR="00AA4A98" w:rsidRDefault="00470DD0" w:rsidP="00470DD0">
      <w:pPr>
        <w:spacing w:line="360" w:lineRule="auto"/>
        <w:jc w:val="both"/>
        <w:rPr>
          <w:rFonts w:ascii="Palatino Linotype" w:hAnsi="Palatino Linotype" w:cs="Tahoma"/>
          <w:bCs/>
          <w:iCs/>
          <w:sz w:val="22"/>
          <w:szCs w:val="22"/>
        </w:rPr>
      </w:pPr>
      <w:r w:rsidRPr="00E269CA">
        <w:rPr>
          <w:rFonts w:ascii="Palatino Linotype" w:hAnsi="Palatino Linotype" w:cs="Tahoma"/>
          <w:bCs/>
          <w:iCs/>
          <w:sz w:val="22"/>
          <w:szCs w:val="22"/>
        </w:rPr>
        <w:t xml:space="preserve">Así, se concluye que </w:t>
      </w:r>
      <w:r w:rsidRPr="00E269CA">
        <w:rPr>
          <w:rFonts w:ascii="Palatino Linotype" w:hAnsi="Palatino Linotype" w:cs="Tahoma"/>
          <w:b/>
          <w:bCs/>
          <w:iCs/>
          <w:sz w:val="22"/>
          <w:szCs w:val="22"/>
        </w:rPr>
        <w:t xml:space="preserve">el Ente Recurrido </w:t>
      </w:r>
      <w:r w:rsidR="00352AC6">
        <w:rPr>
          <w:rFonts w:ascii="Palatino Linotype" w:hAnsi="Palatino Linotype" w:cs="Tahoma"/>
          <w:b/>
          <w:bCs/>
          <w:iCs/>
          <w:sz w:val="22"/>
          <w:szCs w:val="22"/>
        </w:rPr>
        <w:t>resulta</w:t>
      </w:r>
      <w:r w:rsidRPr="00E269CA">
        <w:rPr>
          <w:rFonts w:ascii="Palatino Linotype" w:hAnsi="Palatino Linotype" w:cs="Tahoma"/>
          <w:b/>
          <w:bCs/>
          <w:iCs/>
          <w:sz w:val="22"/>
          <w:szCs w:val="22"/>
        </w:rPr>
        <w:t xml:space="preserve"> incompetente</w:t>
      </w:r>
      <w:r w:rsidRPr="00E269CA">
        <w:rPr>
          <w:rFonts w:ascii="Palatino Linotype" w:hAnsi="Palatino Linotype" w:cs="Tahoma"/>
          <w:bCs/>
          <w:iCs/>
          <w:sz w:val="22"/>
          <w:szCs w:val="22"/>
        </w:rPr>
        <w:t xml:space="preserve"> para conocer de la información requerida </w:t>
      </w:r>
      <w:r w:rsidR="00352AC6">
        <w:rPr>
          <w:rFonts w:ascii="Palatino Linotype" w:hAnsi="Palatino Linotype" w:cs="Tahoma"/>
          <w:bCs/>
          <w:iCs/>
          <w:sz w:val="22"/>
          <w:szCs w:val="22"/>
        </w:rPr>
        <w:t xml:space="preserve">respecto al Dictamen Único de Factibilidad de la unidad económica de alto impacto, señalada en la solicitud de información; sin embargo, este Instituto considera que la incompetencia no es </w:t>
      </w:r>
      <w:r w:rsidR="00352AC6">
        <w:rPr>
          <w:rFonts w:ascii="Palatino Linotype" w:hAnsi="Palatino Linotype" w:cs="Tahoma"/>
          <w:b/>
          <w:bCs/>
          <w:iCs/>
          <w:sz w:val="22"/>
          <w:szCs w:val="22"/>
        </w:rPr>
        <w:t xml:space="preserve">notoria, </w:t>
      </w:r>
      <w:r w:rsidR="00352AC6">
        <w:rPr>
          <w:rFonts w:ascii="Palatino Linotype" w:hAnsi="Palatino Linotype" w:cs="Tahoma"/>
          <w:bCs/>
          <w:iCs/>
          <w:sz w:val="22"/>
          <w:szCs w:val="22"/>
        </w:rPr>
        <w:t xml:space="preserve">pues como se precisó, en su momento </w:t>
      </w:r>
      <w:r w:rsidR="00AA4A98">
        <w:rPr>
          <w:rFonts w:ascii="Palatino Linotype" w:hAnsi="Palatino Linotype" w:cs="Tahoma"/>
          <w:bCs/>
          <w:iCs/>
          <w:sz w:val="22"/>
          <w:szCs w:val="22"/>
        </w:rPr>
        <w:t xml:space="preserve">la Secretaría de Desarrollo Urbano y Metropolitano contaba con las funciones necesarias para conocer de lo requerido; aunado, a que </w:t>
      </w:r>
      <w:r>
        <w:rPr>
          <w:rFonts w:ascii="Palatino Linotype" w:hAnsi="Palatino Linotype" w:cs="Tahoma"/>
          <w:bCs/>
          <w:iCs/>
          <w:sz w:val="22"/>
          <w:szCs w:val="22"/>
        </w:rPr>
        <w:t xml:space="preserve">no se declaró </w:t>
      </w:r>
      <w:r w:rsidR="00AA4A98">
        <w:rPr>
          <w:rFonts w:ascii="Palatino Linotype" w:hAnsi="Palatino Linotype" w:cs="Tahoma"/>
          <w:bCs/>
          <w:iCs/>
          <w:sz w:val="22"/>
          <w:szCs w:val="22"/>
        </w:rPr>
        <w:t>dicha situación</w:t>
      </w:r>
      <w:r>
        <w:rPr>
          <w:rFonts w:ascii="Palatino Linotype" w:hAnsi="Palatino Linotype" w:cs="Tahoma"/>
          <w:bCs/>
          <w:iCs/>
          <w:sz w:val="22"/>
          <w:szCs w:val="22"/>
        </w:rPr>
        <w:t>, dentro de plazo establecido en el diverso 167 del ordenamiento referido, es decir, dentro de los tres días siguientes a l</w:t>
      </w:r>
      <w:r w:rsidR="00AA4A98">
        <w:rPr>
          <w:rFonts w:ascii="Palatino Linotype" w:hAnsi="Palatino Linotype" w:cs="Tahoma"/>
          <w:bCs/>
          <w:iCs/>
          <w:sz w:val="22"/>
          <w:szCs w:val="22"/>
        </w:rPr>
        <w:t>a presentación de la solicitud.</w:t>
      </w:r>
    </w:p>
    <w:p w14:paraId="6416F348" w14:textId="77777777" w:rsidR="00AA4A98" w:rsidRDefault="00AA4A98" w:rsidP="00470DD0">
      <w:pPr>
        <w:spacing w:line="360" w:lineRule="auto"/>
        <w:jc w:val="both"/>
        <w:rPr>
          <w:rFonts w:ascii="Palatino Linotype" w:hAnsi="Palatino Linotype" w:cs="Tahoma"/>
          <w:bCs/>
          <w:iCs/>
          <w:sz w:val="22"/>
          <w:szCs w:val="22"/>
        </w:rPr>
      </w:pPr>
    </w:p>
    <w:p w14:paraId="0B0C15E5" w14:textId="6BF0E55F" w:rsidR="000802C3" w:rsidRDefault="000802C3" w:rsidP="00470DD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Por otra parte, en respuesta y durante la substanciación del medio de impugnación, se advierte que el Ente Recurrido, orientó de manera correcta al Solicitante, ante que ente era procedente su solicitud de información, a saber, a la Comisión de Factibilidad del Estado de México, adscrita a la </w:t>
      </w:r>
      <w:r w:rsidRPr="00380ADC">
        <w:rPr>
          <w:rFonts w:ascii="Palatino Linotype" w:hAnsi="Palatino Linotype" w:cs="Tahoma"/>
          <w:b/>
          <w:bCs/>
          <w:iCs/>
          <w:sz w:val="22"/>
          <w:szCs w:val="22"/>
        </w:rPr>
        <w:t>Secretaría de Justicia y Derechos Humanos (Sujeto Obligado de las Leyes de transparencia);</w:t>
      </w:r>
      <w:r>
        <w:rPr>
          <w:rFonts w:ascii="Palatino Linotype" w:hAnsi="Palatino Linotype" w:cs="Tahoma"/>
          <w:bCs/>
          <w:iCs/>
          <w:sz w:val="22"/>
          <w:szCs w:val="22"/>
        </w:rPr>
        <w:t xml:space="preserve"> por lo que, se dejan a salvo los derechos de este a que presente su requerimiento </w:t>
      </w:r>
      <w:r w:rsidR="00380ADC">
        <w:rPr>
          <w:rFonts w:ascii="Palatino Linotype" w:hAnsi="Palatino Linotype" w:cs="Tahoma"/>
          <w:bCs/>
          <w:iCs/>
          <w:sz w:val="22"/>
          <w:szCs w:val="22"/>
        </w:rPr>
        <w:t>informativo a dicha Secretaría.</w:t>
      </w:r>
    </w:p>
    <w:p w14:paraId="69B0B5C6" w14:textId="77777777" w:rsidR="000802C3" w:rsidRDefault="000802C3" w:rsidP="00470DD0">
      <w:pPr>
        <w:spacing w:line="360" w:lineRule="auto"/>
        <w:jc w:val="both"/>
        <w:rPr>
          <w:rFonts w:ascii="Palatino Linotype" w:hAnsi="Palatino Linotype" w:cs="Tahoma"/>
          <w:bCs/>
          <w:iCs/>
          <w:sz w:val="22"/>
          <w:szCs w:val="22"/>
        </w:rPr>
      </w:pPr>
    </w:p>
    <w:p w14:paraId="3F239131" w14:textId="19622307" w:rsidR="00470DD0" w:rsidRDefault="00380ADC" w:rsidP="00470DD0">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tales circunstancias</w:t>
      </w:r>
      <w:r w:rsidR="00AA4A98">
        <w:rPr>
          <w:rFonts w:ascii="Palatino Linotype" w:hAnsi="Palatino Linotype" w:cs="Tahoma"/>
          <w:bCs/>
          <w:iCs/>
          <w:sz w:val="22"/>
          <w:szCs w:val="22"/>
        </w:rPr>
        <w:t>, este</w:t>
      </w:r>
      <w:r w:rsidR="00470DD0">
        <w:rPr>
          <w:rFonts w:ascii="Palatino Linotype" w:hAnsi="Palatino Linotype" w:cs="Tahoma"/>
          <w:bCs/>
          <w:iCs/>
          <w:sz w:val="22"/>
          <w:szCs w:val="22"/>
        </w:rPr>
        <w:t xml:space="preserve"> Instituto considera</w:t>
      </w:r>
      <w:r>
        <w:rPr>
          <w:rFonts w:ascii="Palatino Linotype" w:hAnsi="Palatino Linotype" w:cs="Tahoma"/>
          <w:bCs/>
          <w:iCs/>
          <w:sz w:val="22"/>
          <w:szCs w:val="22"/>
        </w:rPr>
        <w:t xml:space="preserve"> que toda vez, que en el presente caso, no es notoria la incompetencia de la</w:t>
      </w:r>
      <w:r w:rsidRPr="00380ADC">
        <w:rPr>
          <w:rFonts w:ascii="Palatino Linotype" w:hAnsi="Palatino Linotype" w:cs="Tahoma"/>
          <w:bCs/>
          <w:iCs/>
          <w:sz w:val="22"/>
          <w:szCs w:val="22"/>
        </w:rPr>
        <w:t xml:space="preserve"> Secretaría de Desarrollo Urbano y Metropolitano</w:t>
      </w:r>
      <w:r w:rsidR="00ED1DD8">
        <w:rPr>
          <w:rFonts w:ascii="Palatino Linotype" w:hAnsi="Palatino Linotype" w:cs="Tahoma"/>
          <w:bCs/>
          <w:iCs/>
          <w:sz w:val="22"/>
          <w:szCs w:val="22"/>
        </w:rPr>
        <w:t xml:space="preserve">, el agravio hecho valer por el ahora Recurrente es </w:t>
      </w:r>
      <w:r w:rsidR="00ED1DD8">
        <w:rPr>
          <w:rFonts w:ascii="Palatino Linotype" w:hAnsi="Palatino Linotype" w:cs="Tahoma"/>
          <w:b/>
          <w:bCs/>
          <w:iCs/>
          <w:sz w:val="22"/>
          <w:szCs w:val="22"/>
        </w:rPr>
        <w:t xml:space="preserve">PARCIALMENTE FUNDADO y </w:t>
      </w:r>
      <w:r>
        <w:rPr>
          <w:rFonts w:ascii="Palatino Linotype" w:hAnsi="Palatino Linotype" w:cs="Tahoma"/>
          <w:bCs/>
          <w:iCs/>
          <w:sz w:val="22"/>
          <w:szCs w:val="22"/>
        </w:rPr>
        <w:t>lo</w:t>
      </w:r>
      <w:r w:rsidR="00ED1DD8">
        <w:rPr>
          <w:rFonts w:ascii="Palatino Linotype" w:hAnsi="Palatino Linotype" w:cs="Tahoma"/>
          <w:bCs/>
          <w:iCs/>
          <w:sz w:val="22"/>
          <w:szCs w:val="22"/>
        </w:rPr>
        <w:t xml:space="preserve"> </w:t>
      </w:r>
      <w:r w:rsidR="00470DD0">
        <w:rPr>
          <w:rFonts w:ascii="Palatino Linotype" w:hAnsi="Palatino Linotype" w:cs="Tahoma"/>
          <w:bCs/>
          <w:iCs/>
          <w:sz w:val="22"/>
          <w:szCs w:val="22"/>
        </w:rPr>
        <w:t>procedente ordenar la entrega del Acuerdo emitido por el Comité de Transparencia</w:t>
      </w:r>
      <w:r w:rsidR="000802C3">
        <w:rPr>
          <w:rFonts w:ascii="Palatino Linotype" w:hAnsi="Palatino Linotype" w:cs="Tahoma"/>
          <w:bCs/>
          <w:iCs/>
          <w:sz w:val="22"/>
          <w:szCs w:val="22"/>
        </w:rPr>
        <w:t>, a efecto de confirme</w:t>
      </w:r>
      <w:r w:rsidR="00470DD0">
        <w:rPr>
          <w:rFonts w:ascii="Palatino Linotype" w:hAnsi="Palatino Linotype" w:cs="Tahoma"/>
          <w:bCs/>
          <w:iCs/>
          <w:sz w:val="22"/>
          <w:szCs w:val="22"/>
        </w:rPr>
        <w:t xml:space="preserve"> la incompetencia para conocer </w:t>
      </w:r>
      <w:r w:rsidR="000802C3">
        <w:rPr>
          <w:rFonts w:ascii="Palatino Linotype" w:hAnsi="Palatino Linotype" w:cs="Tahoma"/>
          <w:bCs/>
          <w:iCs/>
          <w:sz w:val="22"/>
          <w:szCs w:val="22"/>
        </w:rPr>
        <w:t xml:space="preserve">la información requerida, con el fin de </w:t>
      </w:r>
      <w:r>
        <w:rPr>
          <w:rFonts w:ascii="Palatino Linotype" w:hAnsi="Palatino Linotype" w:cs="Tahoma"/>
          <w:bCs/>
          <w:iCs/>
          <w:sz w:val="22"/>
          <w:szCs w:val="22"/>
        </w:rPr>
        <w:t xml:space="preserve">darle certeza al ahora </w:t>
      </w:r>
      <w:r>
        <w:rPr>
          <w:rFonts w:ascii="Palatino Linotype" w:hAnsi="Palatino Linotype" w:cs="Tahoma"/>
          <w:bCs/>
          <w:iCs/>
          <w:sz w:val="22"/>
          <w:szCs w:val="22"/>
        </w:rPr>
        <w:lastRenderedPageBreak/>
        <w:t xml:space="preserve">Recurrente, que al cuatro de julio de dos mil diecinueve, carecía de atribuciones para </w:t>
      </w:r>
      <w:r w:rsidR="00ED1DD8">
        <w:rPr>
          <w:rFonts w:ascii="Palatino Linotype" w:hAnsi="Palatino Linotype" w:cs="Tahoma"/>
          <w:bCs/>
          <w:iCs/>
          <w:sz w:val="22"/>
          <w:szCs w:val="22"/>
        </w:rPr>
        <w:t>conocer de cualquier información relacionada con los dictámenes únicos de factibilidad.</w:t>
      </w:r>
    </w:p>
    <w:p w14:paraId="01A1B3C6" w14:textId="77777777" w:rsidR="005A45C1" w:rsidRPr="005A45C1" w:rsidRDefault="005A45C1" w:rsidP="000A4DC8">
      <w:pPr>
        <w:spacing w:line="360" w:lineRule="auto"/>
        <w:ind w:right="-93"/>
        <w:jc w:val="both"/>
        <w:rPr>
          <w:rFonts w:ascii="Palatino Linotype" w:hAnsi="Palatino Linotype" w:cs="Tahoma"/>
          <w:b/>
          <w:sz w:val="22"/>
          <w:szCs w:val="22"/>
          <w:lang w:val="es-ES"/>
        </w:rPr>
      </w:pPr>
    </w:p>
    <w:p w14:paraId="39359590" w14:textId="77777777" w:rsidR="003D79D0" w:rsidRDefault="003D79D0" w:rsidP="003D79D0">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Pr="00EC2AFA">
        <w:rPr>
          <w:rFonts w:ascii="Palatino Linotype" w:hAnsi="Palatino Linotype" w:cs="Tahoma"/>
          <w:b/>
          <w:sz w:val="22"/>
          <w:szCs w:val="22"/>
        </w:rPr>
        <w:t xml:space="preserve">. Decisión. </w:t>
      </w:r>
    </w:p>
    <w:p w14:paraId="57B7826A" w14:textId="77777777" w:rsidR="003D79D0" w:rsidRDefault="003D79D0" w:rsidP="003D79D0">
      <w:pPr>
        <w:spacing w:line="360" w:lineRule="auto"/>
        <w:ind w:right="-93"/>
        <w:jc w:val="both"/>
        <w:rPr>
          <w:rFonts w:ascii="Palatino Linotype" w:hAnsi="Palatino Linotype" w:cs="Tahoma"/>
          <w:b/>
          <w:sz w:val="22"/>
          <w:szCs w:val="22"/>
        </w:rPr>
      </w:pPr>
    </w:p>
    <w:p w14:paraId="4C4ECDFF" w14:textId="54181647" w:rsidR="003B1AFD" w:rsidRDefault="003D79D0" w:rsidP="003D79D0">
      <w:pPr>
        <w:spacing w:line="360" w:lineRule="auto"/>
        <w:ind w:right="-93"/>
        <w:jc w:val="both"/>
        <w:rPr>
          <w:rFonts w:ascii="Palatino Linotype" w:hAnsi="Palatino Linotype" w:cs="Tahoma"/>
          <w:sz w:val="22"/>
          <w:szCs w:val="22"/>
          <w:lang w:val="es-ES"/>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MODIFICAR</w:t>
      </w:r>
      <w:r w:rsidRPr="00E93C8B">
        <w:rPr>
          <w:rFonts w:ascii="Palatino Linotype" w:hAnsi="Palatino Linotype" w:cs="Tahoma"/>
          <w:b/>
          <w:sz w:val="22"/>
          <w:szCs w:val="22"/>
        </w:rPr>
        <w:t xml:space="preserve"> </w:t>
      </w:r>
      <w:r w:rsidRPr="00E93C8B">
        <w:rPr>
          <w:rFonts w:ascii="Palatino Linotype" w:hAnsi="Palatino Linotype" w:cs="Tahoma"/>
          <w:sz w:val="22"/>
          <w:szCs w:val="22"/>
        </w:rPr>
        <w:t xml:space="preserve">la respuesta otorgada por </w:t>
      </w:r>
      <w:r w:rsidR="006B5EAD">
        <w:rPr>
          <w:rFonts w:ascii="Palatino Linotype" w:hAnsi="Palatino Linotype" w:cs="Tahoma"/>
          <w:sz w:val="22"/>
          <w:szCs w:val="22"/>
        </w:rPr>
        <w:t>la</w:t>
      </w:r>
      <w:r w:rsidRPr="00EC2AFA">
        <w:rPr>
          <w:rFonts w:ascii="Palatino Linotype" w:hAnsi="Palatino Linotype" w:cs="Tahoma"/>
          <w:sz w:val="22"/>
          <w:szCs w:val="22"/>
        </w:rPr>
        <w:t xml:space="preserve"> </w:t>
      </w:r>
      <w:r w:rsidR="00CF7003">
        <w:rPr>
          <w:rFonts w:ascii="Palatino Linotype" w:hAnsi="Palatino Linotype" w:cs="Tahoma"/>
          <w:sz w:val="22"/>
          <w:szCs w:val="22"/>
        </w:rPr>
        <w:t>Secretaría de Desarrollo Urbano y Metropolitano</w:t>
      </w:r>
      <w:r>
        <w:rPr>
          <w:rFonts w:ascii="Palatino Linotype" w:hAnsi="Palatino Linotype" w:cs="Tahoma"/>
          <w:sz w:val="22"/>
          <w:szCs w:val="22"/>
        </w:rPr>
        <w:t xml:space="preserve">, </w:t>
      </w:r>
      <w:r w:rsidRPr="003D79D0">
        <w:rPr>
          <w:rFonts w:ascii="Palatino Linotype" w:hAnsi="Palatino Linotype" w:cs="Tahoma"/>
          <w:sz w:val="22"/>
          <w:szCs w:val="22"/>
        </w:rPr>
        <w:t>a efecto de que</w:t>
      </w:r>
      <w:r>
        <w:rPr>
          <w:rFonts w:ascii="Palatino Linotype" w:hAnsi="Palatino Linotype" w:cs="Tahoma"/>
          <w:sz w:val="22"/>
          <w:szCs w:val="22"/>
        </w:rPr>
        <w:t xml:space="preserve">, entregue </w:t>
      </w:r>
      <w:r w:rsidRPr="003D79D0">
        <w:rPr>
          <w:rFonts w:ascii="Palatino Linotype" w:hAnsi="Palatino Linotype" w:cs="Tahoma"/>
          <w:sz w:val="22"/>
          <w:szCs w:val="22"/>
        </w:rPr>
        <w:t xml:space="preserve">a través del </w:t>
      </w:r>
      <w:r w:rsidRPr="003D79D0">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lo siguiente:</w:t>
      </w:r>
    </w:p>
    <w:p w14:paraId="14F92E8B" w14:textId="77777777" w:rsidR="003D79D0" w:rsidRDefault="003D79D0" w:rsidP="003D79D0">
      <w:pPr>
        <w:spacing w:line="360" w:lineRule="auto"/>
        <w:ind w:right="-93"/>
        <w:jc w:val="both"/>
        <w:rPr>
          <w:rFonts w:ascii="Palatino Linotype" w:hAnsi="Palatino Linotype" w:cs="Tahoma"/>
          <w:sz w:val="22"/>
          <w:szCs w:val="22"/>
          <w:lang w:val="es-ES"/>
        </w:rPr>
      </w:pPr>
    </w:p>
    <w:p w14:paraId="493113D8" w14:textId="57A8E359" w:rsidR="007D48B8" w:rsidRPr="007D48B8" w:rsidRDefault="00012882" w:rsidP="00F21B29">
      <w:pPr>
        <w:numPr>
          <w:ilvl w:val="0"/>
          <w:numId w:val="33"/>
        </w:numPr>
        <w:shd w:val="clear" w:color="auto" w:fill="FFFFFF" w:themeFill="background1"/>
        <w:spacing w:line="360" w:lineRule="auto"/>
        <w:jc w:val="both"/>
        <w:rPr>
          <w:rFonts w:ascii="Palatino Linotype" w:hAnsi="Palatino Linotype" w:cs="Tahoma"/>
          <w:bCs/>
          <w:iCs/>
          <w:sz w:val="22"/>
          <w:szCs w:val="22"/>
        </w:rPr>
      </w:pPr>
      <w:r w:rsidRPr="007D48B8">
        <w:rPr>
          <w:rFonts w:ascii="Palatino Linotype" w:hAnsi="Palatino Linotype" w:cs="Tahoma"/>
          <w:iCs/>
          <w:sz w:val="22"/>
          <w:szCs w:val="22"/>
        </w:rPr>
        <w:t xml:space="preserve">El acuerdo </w:t>
      </w:r>
      <w:r w:rsidR="007D48B8" w:rsidRPr="007D48B8">
        <w:rPr>
          <w:rFonts w:ascii="Palatino Linotype" w:hAnsi="Palatino Linotype" w:cs="Tahoma"/>
          <w:iCs/>
          <w:sz w:val="22"/>
          <w:szCs w:val="22"/>
        </w:rPr>
        <w:t xml:space="preserve">emitido por </w:t>
      </w:r>
      <w:r w:rsidRPr="007D48B8">
        <w:rPr>
          <w:rFonts w:ascii="Palatino Linotype" w:hAnsi="Palatino Linotype" w:cs="Tahoma"/>
          <w:iCs/>
          <w:sz w:val="22"/>
          <w:szCs w:val="22"/>
        </w:rPr>
        <w:t xml:space="preserve">el Comité de Transparencia, donde confirme la </w:t>
      </w:r>
      <w:r w:rsidR="007D48B8" w:rsidRPr="007D48B8">
        <w:rPr>
          <w:rFonts w:ascii="Palatino Linotype" w:hAnsi="Palatino Linotype" w:cs="Tahoma"/>
          <w:bCs/>
          <w:iCs/>
          <w:sz w:val="22"/>
          <w:szCs w:val="22"/>
        </w:rPr>
        <w:t xml:space="preserve">incompetencia para conocer </w:t>
      </w:r>
      <w:r w:rsidR="007D48B8">
        <w:rPr>
          <w:rFonts w:ascii="Palatino Linotype" w:hAnsi="Palatino Linotype" w:cs="Tahoma"/>
          <w:bCs/>
          <w:iCs/>
          <w:sz w:val="22"/>
          <w:szCs w:val="22"/>
        </w:rPr>
        <w:t xml:space="preserve">sobre la emisión del </w:t>
      </w:r>
      <w:r w:rsidR="00774322">
        <w:rPr>
          <w:rFonts w:ascii="Palatino Linotype" w:hAnsi="Palatino Linotype" w:cs="Tahoma"/>
          <w:bCs/>
          <w:iCs/>
          <w:sz w:val="22"/>
          <w:szCs w:val="22"/>
        </w:rPr>
        <w:t>Dictamen</w:t>
      </w:r>
      <w:r w:rsidR="007D48B8">
        <w:rPr>
          <w:rFonts w:ascii="Palatino Linotype" w:hAnsi="Palatino Linotype" w:cs="Tahoma"/>
          <w:bCs/>
          <w:iCs/>
          <w:sz w:val="22"/>
          <w:szCs w:val="22"/>
        </w:rPr>
        <w:t xml:space="preserve"> Único de Factibilidad</w:t>
      </w:r>
      <w:r w:rsidR="00774322">
        <w:rPr>
          <w:rFonts w:ascii="Palatino Linotype" w:hAnsi="Palatino Linotype" w:cs="Tahoma"/>
          <w:bCs/>
          <w:iCs/>
          <w:sz w:val="22"/>
          <w:szCs w:val="22"/>
        </w:rPr>
        <w:t xml:space="preserve"> al Restaurante Bar La Chinampa (unidad económica de alto impacto) y toda la información relacionada con dicho documento.</w:t>
      </w:r>
    </w:p>
    <w:p w14:paraId="0E975504" w14:textId="77777777" w:rsidR="00985CC8" w:rsidRDefault="00985CC8" w:rsidP="00985CC8">
      <w:pPr>
        <w:pStyle w:val="Prrafodelista"/>
        <w:spacing w:line="360" w:lineRule="auto"/>
        <w:ind w:left="1134"/>
        <w:jc w:val="both"/>
        <w:rPr>
          <w:rFonts w:ascii="Palatino Linotype" w:hAnsi="Palatino Linotype" w:cs="Tahoma"/>
          <w:iCs/>
          <w:szCs w:val="22"/>
          <w:lang w:val="es-ES"/>
        </w:rPr>
      </w:pPr>
    </w:p>
    <w:p w14:paraId="729A1857" w14:textId="77777777" w:rsidR="00536006" w:rsidRPr="00AD50F9" w:rsidRDefault="00536006" w:rsidP="000A4DC8">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1CA4B11A" w14:textId="77777777" w:rsidR="00536006" w:rsidRPr="00AD50F9" w:rsidRDefault="00536006" w:rsidP="000A4DC8">
      <w:pPr>
        <w:spacing w:line="360" w:lineRule="auto"/>
        <w:jc w:val="both"/>
        <w:rPr>
          <w:rFonts w:ascii="Palatino Linotype" w:eastAsia="Calibri" w:hAnsi="Palatino Linotype" w:cs="Tahoma"/>
          <w:bCs/>
          <w:sz w:val="22"/>
          <w:szCs w:val="22"/>
          <w:lang w:eastAsia="en-US"/>
        </w:rPr>
      </w:pPr>
    </w:p>
    <w:p w14:paraId="752AF0B5" w14:textId="77777777" w:rsidR="00536006" w:rsidRPr="00AD50F9" w:rsidRDefault="00536006" w:rsidP="000A4DC8">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0B614DC9" w14:textId="77777777" w:rsidR="00536006" w:rsidRDefault="00536006" w:rsidP="000A4DC8">
      <w:pPr>
        <w:spacing w:line="360" w:lineRule="auto"/>
        <w:jc w:val="center"/>
        <w:rPr>
          <w:rFonts w:ascii="Palatino Linotype" w:hAnsi="Palatino Linotype" w:cs="Tahoma"/>
          <w:b/>
          <w:bCs/>
          <w:sz w:val="22"/>
          <w:szCs w:val="22"/>
        </w:rPr>
      </w:pPr>
    </w:p>
    <w:p w14:paraId="101AF627" w14:textId="32C1A945" w:rsidR="00536006" w:rsidRPr="00AD50F9" w:rsidRDefault="00536006" w:rsidP="000A4DC8">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sidR="006E78A5">
        <w:rPr>
          <w:rFonts w:ascii="Palatino Linotype" w:hAnsi="Palatino Linotype" w:cs="Tahoma"/>
          <w:b/>
          <w:sz w:val="22"/>
          <w:szCs w:val="22"/>
        </w:rPr>
        <w:t xml:space="preserve">MODIFICA </w:t>
      </w:r>
      <w:r w:rsidRPr="00AD50F9">
        <w:rPr>
          <w:rFonts w:ascii="Palatino Linotype" w:hAnsi="Palatino Linotype" w:cs="Tahoma"/>
          <w:sz w:val="22"/>
          <w:szCs w:val="22"/>
        </w:rPr>
        <w:t xml:space="preserve">la respuesta entregada por el Sujeto Obligado a la solicitud de información con número </w:t>
      </w:r>
      <w:r w:rsidR="00CF7003">
        <w:rPr>
          <w:rFonts w:ascii="Palatino Linotype" w:hAnsi="Palatino Linotype" w:cs="Tahoma"/>
          <w:bCs/>
          <w:iCs/>
          <w:sz w:val="22"/>
          <w:szCs w:val="22"/>
        </w:rPr>
        <w:t>00140/SEDUM/IP/2019</w:t>
      </w:r>
      <w:r w:rsidRPr="00AD50F9">
        <w:rPr>
          <w:rFonts w:ascii="Palatino Linotype" w:hAnsi="Palatino Linotype" w:cs="Tahoma"/>
          <w:sz w:val="22"/>
          <w:szCs w:val="22"/>
        </w:rPr>
        <w:t>, por resultar</w:t>
      </w:r>
      <w:r w:rsidR="006E78A5">
        <w:rPr>
          <w:rFonts w:ascii="Palatino Linotype" w:hAnsi="Palatino Linotype" w:cs="Tahoma"/>
          <w:sz w:val="22"/>
          <w:szCs w:val="22"/>
        </w:rPr>
        <w:t xml:space="preserve"> </w:t>
      </w:r>
      <w:r w:rsidR="006E78A5">
        <w:rPr>
          <w:rFonts w:ascii="Palatino Linotype" w:hAnsi="Palatino Linotype" w:cs="Tahoma"/>
          <w:b/>
          <w:sz w:val="22"/>
          <w:szCs w:val="22"/>
        </w:rPr>
        <w:t>PARCIALMENTE</w:t>
      </w:r>
      <w:r w:rsidR="0036164E" w:rsidRPr="00AD50F9">
        <w:rPr>
          <w:rFonts w:ascii="Palatino Linotype" w:hAnsi="Palatino Linotype" w:cs="Tahoma"/>
          <w:sz w:val="22"/>
          <w:szCs w:val="22"/>
        </w:rPr>
        <w:t xml:space="preserve"> </w:t>
      </w:r>
      <w:r w:rsidR="00D55411">
        <w:rPr>
          <w:rFonts w:ascii="Palatino Linotype" w:hAnsi="Palatino Linotype" w:cs="Tahoma"/>
          <w:b/>
          <w:sz w:val="22"/>
          <w:szCs w:val="22"/>
        </w:rPr>
        <w:t>FUNDADOS</w:t>
      </w:r>
      <w:r w:rsidRPr="00AD50F9">
        <w:rPr>
          <w:rFonts w:ascii="Palatino Linotype" w:hAnsi="Palatino Linotype" w:cs="Tahoma"/>
          <w:sz w:val="22"/>
          <w:szCs w:val="22"/>
        </w:rPr>
        <w:t xml:space="preserve"> </w:t>
      </w:r>
      <w:r w:rsidR="00D55411">
        <w:rPr>
          <w:rFonts w:ascii="Palatino Linotype" w:hAnsi="Palatino Linotype" w:cs="Tahoma"/>
          <w:sz w:val="22"/>
          <w:szCs w:val="22"/>
        </w:rPr>
        <w:t>los</w:t>
      </w:r>
      <w:r w:rsidRPr="00AD50F9">
        <w:rPr>
          <w:rFonts w:ascii="Palatino Linotype" w:hAnsi="Palatino Linotype" w:cs="Tahoma"/>
          <w:sz w:val="22"/>
          <w:szCs w:val="22"/>
        </w:rPr>
        <w:t xml:space="preserve"> motivo</w:t>
      </w:r>
      <w:r w:rsidR="00D55411">
        <w:rPr>
          <w:rFonts w:ascii="Palatino Linotype" w:hAnsi="Palatino Linotype" w:cs="Tahoma"/>
          <w:sz w:val="22"/>
          <w:szCs w:val="22"/>
        </w:rPr>
        <w:t>s</w:t>
      </w:r>
      <w:r w:rsidRPr="00AD50F9">
        <w:rPr>
          <w:rFonts w:ascii="Palatino Linotype" w:hAnsi="Palatino Linotype" w:cs="Tahoma"/>
          <w:sz w:val="22"/>
          <w:szCs w:val="22"/>
        </w:rPr>
        <w:t xml:space="preserve"> de inconformidad vertido</w:t>
      </w:r>
      <w:r w:rsidR="00D55411">
        <w:rPr>
          <w:rFonts w:ascii="Palatino Linotype" w:hAnsi="Palatino Linotype" w:cs="Tahoma"/>
          <w:sz w:val="22"/>
          <w:szCs w:val="22"/>
        </w:rPr>
        <w:t>s</w:t>
      </w:r>
      <w:r w:rsidRPr="00AD50F9">
        <w:rPr>
          <w:rFonts w:ascii="Palatino Linotype" w:hAnsi="Palatino Linotype" w:cs="Tahoma"/>
          <w:sz w:val="22"/>
          <w:szCs w:val="22"/>
        </w:rPr>
        <w:t xml:space="preserve"> por </w:t>
      </w:r>
      <w:r w:rsidR="006E78A5">
        <w:rPr>
          <w:rFonts w:ascii="Palatino Linotype" w:hAnsi="Palatino Linotype" w:cs="Tahoma"/>
          <w:sz w:val="22"/>
          <w:szCs w:val="22"/>
        </w:rPr>
        <w:t>el</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561F149" w14:textId="77777777" w:rsidR="00536006" w:rsidRPr="00AD50F9" w:rsidRDefault="00536006" w:rsidP="000A4DC8">
      <w:pPr>
        <w:spacing w:line="360" w:lineRule="auto"/>
        <w:jc w:val="both"/>
        <w:rPr>
          <w:rFonts w:ascii="Palatino Linotype" w:hAnsi="Palatino Linotype" w:cs="Tahoma"/>
          <w:sz w:val="22"/>
          <w:szCs w:val="22"/>
        </w:rPr>
      </w:pPr>
    </w:p>
    <w:p w14:paraId="4467E2C9" w14:textId="32D07815" w:rsidR="00944DFE" w:rsidRDefault="00536006" w:rsidP="00944DFE">
      <w:pPr>
        <w:tabs>
          <w:tab w:val="left" w:pos="4962"/>
        </w:tabs>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lastRenderedPageBreak/>
        <w:t xml:space="preserve">SEGUNDO. </w:t>
      </w:r>
      <w:r w:rsidR="00944DFE" w:rsidRPr="00AD50F9">
        <w:rPr>
          <w:rFonts w:ascii="Palatino Linotype" w:eastAsia="Calibri" w:hAnsi="Palatino Linotype" w:cs="Tahoma"/>
          <w:bCs/>
          <w:sz w:val="22"/>
          <w:szCs w:val="22"/>
          <w:lang w:eastAsia="en-US"/>
        </w:rPr>
        <w:t xml:space="preserve">Se </w:t>
      </w:r>
      <w:r w:rsidR="00944DFE" w:rsidRPr="00AD50F9">
        <w:rPr>
          <w:rFonts w:ascii="Palatino Linotype" w:eastAsia="Calibri" w:hAnsi="Palatino Linotype" w:cs="Tahoma"/>
          <w:b/>
          <w:bCs/>
          <w:sz w:val="22"/>
          <w:szCs w:val="22"/>
          <w:lang w:eastAsia="en-US"/>
        </w:rPr>
        <w:t>ORDENA</w:t>
      </w:r>
      <w:r w:rsidR="00944DFE" w:rsidRPr="00AD50F9">
        <w:rPr>
          <w:rFonts w:ascii="Palatino Linotype" w:eastAsia="Calibri" w:hAnsi="Palatino Linotype" w:cs="Tahoma"/>
          <w:bCs/>
          <w:sz w:val="22"/>
          <w:szCs w:val="22"/>
          <w:lang w:eastAsia="en-US"/>
        </w:rPr>
        <w:t xml:space="preserve"> </w:t>
      </w:r>
      <w:r w:rsidR="00944DFE" w:rsidRPr="00AD50F9">
        <w:rPr>
          <w:rFonts w:ascii="Palatino Linotype" w:eastAsia="Calibri" w:hAnsi="Palatino Linotype" w:cs="Tahoma"/>
          <w:bCs/>
          <w:sz w:val="22"/>
          <w:szCs w:val="22"/>
          <w:lang w:val="es-ES_tradnl" w:eastAsia="en-US"/>
        </w:rPr>
        <w:t xml:space="preserve">al Sujeto Obligado </w:t>
      </w:r>
      <w:r w:rsidR="00944DFE" w:rsidRPr="00AD50F9">
        <w:rPr>
          <w:rFonts w:ascii="Palatino Linotype" w:eastAsia="Calibri" w:hAnsi="Palatino Linotype" w:cs="Tahoma"/>
          <w:bCs/>
          <w:sz w:val="22"/>
          <w:szCs w:val="22"/>
          <w:lang w:eastAsia="en-US"/>
        </w:rPr>
        <w:t>a efecto de que entregue, a través del Sistema de Acceso a la Información Mexiquense (SAIMEX), lo siguiente:</w:t>
      </w:r>
    </w:p>
    <w:p w14:paraId="401F317B" w14:textId="77777777" w:rsidR="0019729D" w:rsidRPr="00AD50F9" w:rsidRDefault="0019729D" w:rsidP="00944DFE">
      <w:pPr>
        <w:tabs>
          <w:tab w:val="left" w:pos="4962"/>
        </w:tabs>
        <w:spacing w:line="360" w:lineRule="auto"/>
        <w:jc w:val="both"/>
        <w:rPr>
          <w:rFonts w:ascii="Palatino Linotype" w:eastAsia="Calibri" w:hAnsi="Palatino Linotype" w:cs="Tahoma"/>
          <w:bCs/>
          <w:sz w:val="22"/>
          <w:szCs w:val="22"/>
          <w:lang w:eastAsia="en-US"/>
        </w:rPr>
      </w:pPr>
    </w:p>
    <w:p w14:paraId="646CF2A0" w14:textId="04CBCCA5" w:rsidR="00F21B29" w:rsidRPr="00F21B29" w:rsidRDefault="00F21B29" w:rsidP="00F21B29">
      <w:pPr>
        <w:numPr>
          <w:ilvl w:val="0"/>
          <w:numId w:val="33"/>
        </w:numPr>
        <w:spacing w:line="360" w:lineRule="auto"/>
        <w:jc w:val="both"/>
        <w:rPr>
          <w:rFonts w:ascii="Palatino Linotype" w:hAnsi="Palatino Linotype" w:cs="Tahoma"/>
          <w:bCs/>
          <w:iCs/>
          <w:sz w:val="22"/>
          <w:szCs w:val="22"/>
          <w:lang w:eastAsia="es-MX"/>
        </w:rPr>
      </w:pPr>
      <w:r w:rsidRPr="00F21B29">
        <w:rPr>
          <w:rFonts w:ascii="Palatino Linotype" w:hAnsi="Palatino Linotype" w:cs="Tahoma"/>
          <w:iCs/>
          <w:sz w:val="22"/>
          <w:szCs w:val="22"/>
          <w:lang w:eastAsia="es-MX"/>
        </w:rPr>
        <w:t xml:space="preserve">El acuerdo emitido por el Comité de Transparencia, donde confirme la </w:t>
      </w:r>
      <w:r w:rsidRPr="00F21B29">
        <w:rPr>
          <w:rFonts w:ascii="Palatino Linotype" w:hAnsi="Palatino Linotype" w:cs="Tahoma"/>
          <w:bCs/>
          <w:iCs/>
          <w:sz w:val="22"/>
          <w:szCs w:val="22"/>
          <w:lang w:eastAsia="es-MX"/>
        </w:rPr>
        <w:t xml:space="preserve">incompetencia para conocer sobre la emisión del Dictamen Único de Factibilidad </w:t>
      </w:r>
      <w:r>
        <w:rPr>
          <w:rFonts w:ascii="Palatino Linotype" w:hAnsi="Palatino Linotype" w:cs="Tahoma"/>
          <w:bCs/>
          <w:iCs/>
          <w:sz w:val="22"/>
          <w:szCs w:val="22"/>
          <w:lang w:eastAsia="es-MX"/>
        </w:rPr>
        <w:t xml:space="preserve">a la </w:t>
      </w:r>
      <w:r w:rsidRPr="00F21B29">
        <w:rPr>
          <w:rFonts w:ascii="Palatino Linotype" w:hAnsi="Palatino Linotype" w:cs="Tahoma"/>
          <w:bCs/>
          <w:iCs/>
          <w:sz w:val="22"/>
          <w:szCs w:val="22"/>
          <w:lang w:eastAsia="es-MX"/>
        </w:rPr>
        <w:t>unidad económica de alto impacto</w:t>
      </w:r>
      <w:r>
        <w:rPr>
          <w:rFonts w:ascii="Palatino Linotype" w:hAnsi="Palatino Linotype" w:cs="Tahoma"/>
          <w:bCs/>
          <w:iCs/>
          <w:sz w:val="22"/>
          <w:szCs w:val="22"/>
          <w:lang w:eastAsia="es-MX"/>
        </w:rPr>
        <w:t>, precisada en la solicitud</w:t>
      </w:r>
      <w:r w:rsidRPr="00F21B29">
        <w:rPr>
          <w:rFonts w:ascii="Palatino Linotype" w:hAnsi="Palatino Linotype" w:cs="Tahoma"/>
          <w:bCs/>
          <w:iCs/>
          <w:sz w:val="22"/>
          <w:szCs w:val="22"/>
          <w:lang w:eastAsia="es-MX"/>
        </w:rPr>
        <w:t xml:space="preserve"> y toda la información relacionada con dicho documento.</w:t>
      </w:r>
    </w:p>
    <w:p w14:paraId="0382AFFD" w14:textId="77777777" w:rsidR="0019729D" w:rsidRPr="0019729D" w:rsidRDefault="0019729D" w:rsidP="0019729D">
      <w:pPr>
        <w:spacing w:line="360" w:lineRule="auto"/>
        <w:jc w:val="both"/>
        <w:rPr>
          <w:rFonts w:ascii="Palatino Linotype" w:hAnsi="Palatino Linotype" w:cs="Tahoma"/>
          <w:sz w:val="22"/>
          <w:szCs w:val="22"/>
          <w:lang w:val="es-ES" w:eastAsia="es-MX"/>
        </w:rPr>
      </w:pPr>
    </w:p>
    <w:p w14:paraId="414D8557" w14:textId="77777777" w:rsidR="00536006" w:rsidRPr="00AD50F9" w:rsidRDefault="00536006" w:rsidP="000A4DC8">
      <w:pPr>
        <w:spacing w:line="360" w:lineRule="auto"/>
        <w:jc w:val="both"/>
        <w:rPr>
          <w:rFonts w:ascii="Palatino Linotype" w:hAnsi="Palatino Linotype" w:cs="Tahoma"/>
          <w:i/>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60144ED" w14:textId="77777777" w:rsidR="00536006" w:rsidRPr="00AD50F9" w:rsidRDefault="00536006" w:rsidP="000A4DC8">
      <w:pPr>
        <w:shd w:val="clear" w:color="auto" w:fill="FFFFFF" w:themeFill="background1"/>
        <w:spacing w:line="360" w:lineRule="auto"/>
        <w:jc w:val="both"/>
        <w:rPr>
          <w:rFonts w:ascii="Palatino Linotype" w:eastAsia="Calibri" w:hAnsi="Palatino Linotype" w:cs="Tahoma"/>
          <w:sz w:val="22"/>
          <w:szCs w:val="22"/>
          <w:lang w:eastAsia="es-MX"/>
        </w:rPr>
      </w:pPr>
    </w:p>
    <w:p w14:paraId="09BE2EA3" w14:textId="0C2F743A" w:rsidR="00536006" w:rsidRDefault="00536006" w:rsidP="000A4DC8">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w:t>
      </w:r>
      <w:r w:rsidR="00944DFE">
        <w:rPr>
          <w:rFonts w:ascii="Palatino Linotype" w:hAnsi="Palatino Linotype" w:cs="Tahoma"/>
          <w:sz w:val="22"/>
          <w:szCs w:val="22"/>
        </w:rPr>
        <w:t>al</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81FF76B" w14:textId="77777777" w:rsidR="00944DFE" w:rsidRPr="00AD50F9" w:rsidRDefault="00944DFE" w:rsidP="000A4DC8">
      <w:pPr>
        <w:shd w:val="clear" w:color="auto" w:fill="FFFFFF" w:themeFill="background1"/>
        <w:spacing w:line="360" w:lineRule="auto"/>
        <w:jc w:val="both"/>
        <w:rPr>
          <w:rFonts w:ascii="Palatino Linotype" w:hAnsi="Palatino Linotype" w:cs="Tahoma"/>
          <w:sz w:val="22"/>
          <w:szCs w:val="22"/>
        </w:rPr>
      </w:pPr>
    </w:p>
    <w:p w14:paraId="088B8E10" w14:textId="706BFCC1" w:rsidR="000B7978" w:rsidRPr="00F012DF" w:rsidRDefault="000B7978" w:rsidP="000B797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w:t>
      </w:r>
      <w:r w:rsidR="004D1E4A">
        <w:rPr>
          <w:rFonts w:ascii="Palatino Linotype" w:eastAsia="Calibri" w:hAnsi="Palatino Linotype" w:cs="Tahoma"/>
          <w:bCs/>
          <w:sz w:val="22"/>
          <w:szCs w:val="22"/>
          <w:lang w:val="es-ES_tradnl" w:eastAsia="en-US"/>
        </w:rPr>
        <w:t xml:space="preserve">CON VOTO PARTICULAR </w:t>
      </w:r>
      <w:r w:rsidRPr="00F012DF">
        <w:rPr>
          <w:rFonts w:ascii="Palatino Linotype" w:eastAsia="Calibri" w:hAnsi="Palatino Linotype" w:cs="Tahoma"/>
          <w:bCs/>
          <w:sz w:val="22"/>
          <w:szCs w:val="22"/>
          <w:lang w:val="es-ES_tradnl" w:eastAsia="en-US"/>
        </w:rPr>
        <w:t xml:space="preserve">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w:t>
      </w:r>
      <w:r w:rsidRPr="00F012DF">
        <w:rPr>
          <w:rFonts w:ascii="Palatino Linotype" w:eastAsia="Calibri" w:hAnsi="Palatino Linotype" w:cs="Tahoma"/>
          <w:bCs/>
          <w:sz w:val="22"/>
          <w:szCs w:val="22"/>
          <w:lang w:val="es-ES_tradnl" w:eastAsia="en-US"/>
        </w:rPr>
        <w:lastRenderedPageBreak/>
        <w:t xml:space="preserve">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6CD5C0AB" w14:textId="77777777" w:rsidR="000B7978" w:rsidRPr="00F012DF" w:rsidRDefault="000B7978" w:rsidP="000B7978">
      <w:pPr>
        <w:spacing w:line="360" w:lineRule="auto"/>
        <w:ind w:right="-93"/>
        <w:jc w:val="both"/>
        <w:rPr>
          <w:rFonts w:ascii="Palatino Linotype" w:eastAsia="Calibri" w:hAnsi="Palatino Linotype" w:cs="Tahoma"/>
          <w:bCs/>
          <w:sz w:val="22"/>
          <w:szCs w:val="22"/>
          <w:lang w:eastAsia="en-US"/>
        </w:rPr>
      </w:pPr>
    </w:p>
    <w:p w14:paraId="3B75DFEB"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360AC6C3"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5A1930CE" wp14:editId="137226F4">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6188811"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628C2B4"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4C24BA8" w14:textId="77777777" w:rsidR="000B7978" w:rsidRPr="00DA1AD1" w:rsidRDefault="000B7978" w:rsidP="000B7978">
                            <w:pPr>
                              <w:jc w:val="center"/>
                              <w:rPr>
                                <w:rFonts w:ascii="Palatino Linotype" w:hAnsi="Palatino Linotype"/>
                                <w:b/>
                                <w:sz w:val="22"/>
                                <w:szCs w:val="24"/>
                              </w:rPr>
                            </w:pPr>
                            <w:r w:rsidRPr="00DA1AD1">
                              <w:rPr>
                                <w:rFonts w:ascii="Palatino Linotype" w:hAnsi="Palatino Linotype"/>
                                <w:b/>
                                <w:sz w:val="22"/>
                                <w:szCs w:val="24"/>
                              </w:rPr>
                              <w:t>(Rúbrica)</w:t>
                            </w:r>
                          </w:p>
                          <w:p w14:paraId="4CDD44D2" w14:textId="77777777" w:rsidR="000B7978" w:rsidRPr="00016AF3" w:rsidRDefault="000B7978" w:rsidP="000B7978">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30CE"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q6cnwIAANkFAAAOAAAAZHJzL2Uyb0RvYy54bWysVNtOGzEQfa/Uf7D8XjYJCYWIDUqDqCpF&#10;gAoVz47XTixsj2s72U2/vmPv5gJFlaj6smt7ztzOXC6vGqPJRvigwJa0f9KjRFgOlbLLkv54vPl0&#10;TkmIzFZMgxUl3YpAryYfP1zWbiwGsAJdCU/QiA3j2pV0FaMbF0XgK2FYOAEnLAoleMMiXv2yqDyr&#10;0brRxaDXOytq8JXzwEUI+HrdCukk25dS8HgnZRCR6JJibDF/ff4u0reYXLLx0jO3UrwLg/1DFIYp&#10;i073pq5ZZGTt1R+mjOIeAsh4wsEUIKXiIueA2fR7r7J5WDEnci5ITnB7msL/M8tvN/eeqKqkQ0os&#10;M1ii2ZpVHkglSBRNBDJMJNUujBH74BAdmy/QYLFzwsHNgT8HhBRHmFYhIDqR0khv0h/TJaiIddju&#10;uUcXhOPjYDTqD09RxFF23rs4G4yS3+Kg7XyIXwUYkg4l9VjbHAHbzENsoTtIchZAq+pGaZ0vqZ/E&#10;THuyYdgJOvY74y9Q2pK6pGeno16b2l8sLJZvWMBgtU3uRO68LqxES8tEPsWtFgmj7XchkflMyBsx&#10;Ms6F3ceZ0QklMaP3KHb4Q1TvUW7zQI3sGWzcKxtlwbcsvaS2et4RI1t81xihzTtREJtFk1suVzi9&#10;LKDaYmN5aOczOH6jsMhzFuI98ziQ2Be4ZOIdfqQGLBJ0J0pW4H+99Z7wOCcopaTGAS9p+LlmXlCi&#10;v1mcoIv+cJg2Qr4MR58HePHHksWxxK7NDLBz+rjOHM/HhI96d5QezBPuomnyiiJmOfouadwdZ7Fd&#10;O7jLuJhOMwh3gGNxbh8c381TauHH5ol51/V5GsJb2K0CNn7V7i021cfCdB1BqjwLB1Y7/nF/5Gnq&#10;dl1aUMf3jDps5MlvAAAA//8DAFBLAwQUAAYACAAAACEAhLwY/doAAAAHAQAADwAAAGRycy9kb3du&#10;cmV2LnhtbEyPwU7DMBBE70j8g7VI3KidEBUI2VQICTgiSpE4uvGSRI3XUeym4e9ZTnAczWjmTbVZ&#10;/KBmmmIfGCFbGVDETXA9twi796erW1AxWXZ2CEwI3xRhU5+fVbZ04cRvNG9Tq6SEY2kRupTGUuvY&#10;dORtXIWRWLyvMHmbRE6tdpM9SbkfdG7MWnvbsyx0dqTHjprD9ugRgtl9uOx1ftF03X+acZ0fUvaM&#10;eHmxPNyDSrSkvzD84gs61MK0D0d2UQ0IciQh5KYAJW5hMjmyl1hxcwe6rvR//voHAAD//wMAUEsB&#10;Ai0AFAAGAAgAAAAhALaDOJL+AAAA4QEAABMAAAAAAAAAAAAAAAAAAAAAAFtDb250ZW50X1R5cGVz&#10;XS54bWxQSwECLQAUAAYACAAAACEAOP0h/9YAAACUAQAACwAAAAAAAAAAAAAAAAAvAQAAX3JlbHMv&#10;LnJlbHNQSwECLQAUAAYACAAAACEApw6unJ8CAADZBQAADgAAAAAAAAAAAAAAAAAuAgAAZHJzL2Uy&#10;b0RvYy54bWxQSwECLQAUAAYACAAAACEAhLwY/doAAAAHAQAADwAAAAAAAAAAAAAAAAD5BAAAZHJz&#10;L2Rvd25yZXYueG1sUEsFBgAAAAAEAAQA8wAAAAAGAAAAAA==&#10;" fillcolor="white [3201]" strokecolor="white [3212]" strokeweight=".5pt">
                <v:path arrowok="t"/>
                <v:textbox>
                  <w:txbxContent>
                    <w:p w14:paraId="16188811"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4628C2B4"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24C24BA8" w14:textId="77777777" w:rsidR="000B7978" w:rsidRPr="00DA1AD1" w:rsidRDefault="000B7978" w:rsidP="000B7978">
                      <w:pPr>
                        <w:jc w:val="center"/>
                        <w:rPr>
                          <w:rFonts w:ascii="Palatino Linotype" w:hAnsi="Palatino Linotype"/>
                          <w:b/>
                          <w:sz w:val="22"/>
                          <w:szCs w:val="24"/>
                        </w:rPr>
                      </w:pPr>
                      <w:r w:rsidRPr="00DA1AD1">
                        <w:rPr>
                          <w:rFonts w:ascii="Palatino Linotype" w:hAnsi="Palatino Linotype"/>
                          <w:b/>
                          <w:sz w:val="22"/>
                          <w:szCs w:val="24"/>
                        </w:rPr>
                        <w:t>(Rúbrica)</w:t>
                      </w:r>
                    </w:p>
                    <w:p w14:paraId="4CDD44D2" w14:textId="77777777" w:rsidR="000B7978" w:rsidRPr="00016AF3" w:rsidRDefault="000B7978" w:rsidP="000B7978">
                      <w:pPr>
                        <w:jc w:val="center"/>
                        <w:rPr>
                          <w:rFonts w:ascii="Palatino Linotype" w:hAnsi="Palatino Linotype"/>
                          <w:b/>
                          <w:sz w:val="24"/>
                          <w:szCs w:val="24"/>
                        </w:rPr>
                      </w:pPr>
                    </w:p>
                  </w:txbxContent>
                </v:textbox>
                <w10:wrap anchorx="margin"/>
              </v:shape>
            </w:pict>
          </mc:Fallback>
        </mc:AlternateContent>
      </w:r>
    </w:p>
    <w:p w14:paraId="5677E6D4"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50DF3180"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1D7AD737"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4E90A073" w14:textId="77777777" w:rsidR="000B7978" w:rsidRPr="00F012DF" w:rsidRDefault="000B7978" w:rsidP="000B7978">
      <w:pPr>
        <w:spacing w:line="360" w:lineRule="auto"/>
        <w:ind w:right="-93"/>
        <w:jc w:val="both"/>
        <w:rPr>
          <w:rFonts w:ascii="Palatino Linotype" w:eastAsia="Calibri" w:hAnsi="Palatino Linotype" w:cs="Tahoma"/>
          <w:b/>
          <w:bCs/>
          <w:sz w:val="22"/>
          <w:szCs w:val="22"/>
          <w:lang w:eastAsia="en-US"/>
        </w:rPr>
      </w:pPr>
    </w:p>
    <w:p w14:paraId="418783F3" w14:textId="42BF82D9" w:rsidR="000B7978" w:rsidRPr="00F012DF" w:rsidRDefault="000B7978" w:rsidP="000B7978">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D4D297F" wp14:editId="343DB239">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A60F7E"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0AD4180"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B66E1F" w14:textId="77777777" w:rsidR="000B7978" w:rsidRPr="00DA1AD1" w:rsidRDefault="000B7978" w:rsidP="000B7978">
                            <w:pPr>
                              <w:jc w:val="center"/>
                              <w:rPr>
                                <w:rFonts w:ascii="Palatino Linotype" w:hAnsi="Palatino Linotype"/>
                                <w:b/>
                                <w:sz w:val="22"/>
                                <w:szCs w:val="24"/>
                              </w:rPr>
                            </w:pPr>
                            <w:r w:rsidRPr="00DA1AD1">
                              <w:rPr>
                                <w:rFonts w:ascii="Palatino Linotype" w:hAnsi="Palatino Linotype"/>
                                <w:b/>
                                <w:sz w:val="22"/>
                                <w:szCs w:val="24"/>
                              </w:rPr>
                              <w:t>(Rúbrica)</w:t>
                            </w:r>
                          </w:p>
                          <w:p w14:paraId="1EAB4B98" w14:textId="77777777" w:rsidR="000B7978" w:rsidRPr="00DA1AD1" w:rsidRDefault="000B7978" w:rsidP="000B7978">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D297F"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JnwIAANsFAAAOAAAAZHJzL2Uyb0RvYy54bWysVFtP2zAUfp+0/2D5faQ3aFc1RV0R06QK&#10;0GDi2XXsNsL28Wy3Sffrd+wkpTCkiWkvjp3zndt3LrPLWiuyF86XYHLaP+tRIgyHojSbnP54uP40&#10;ocQHZgqmwIicHoSnl/OPH2aVnYoBbEEVwhE0Yvy0sjndhmCnWeb5Vmjmz8AKg0IJTrOAT7fJCscq&#10;tK5VNuj1LrIKXGEdcOE9/r1qhHSe7EspeLiV0otAVE4xtpBOl851PLP5jE03jtltydsw2D9EoVlp&#10;0OnR1BULjOxc+YcpXXIHHmQ446AzkLLkIuWA2fR7r7K53zIrUi5IjrdHmvz/M8tv9neOlEVOh+eU&#10;GKaxRssdKxyQQpAg6gAEJUhTZf0U0fcW8aH+AjWWO6Xs7Qr4k0dIdoJpFDyiIy21dDp+MWGCiliJ&#10;w5F99EE4/hxMer3hOYo4ysbji+F4Ev1mz9rW+fBVgCbxklOH1U0RsP3KhwbaQaIzD6osrkul0iN2&#10;lFgqR/YMe0GFfmv8BUoZUuX0IobxNwvrzRsWMFhloqZIvdeGFWlpmEi3cFAiYpT5LiRynwh5I0bG&#10;uTDHOBM6oiRm9B7FFv8c1XuUmzxQI3kGE47KujTgGpZeUls8dcTIBt82hm/yjhSEel2npht1nbWG&#10;4oCN5aCZUG/5dYlFXjEf7pjDkcS+wDUTbvGQCrBI0N4o2YL79db/iMdJQSklFY54Tv3PHXOCEvXN&#10;4Ax97o9GcSekx+h8PMCHO5WsTyVmp5eAndPHhWZ5ukZ8UN1VOtCPuI0W0SuKmOHoO6ehuy5Ds3hw&#10;m3GxWCQQbgHLwsrcW97NU2zhh/qROdv2eZzCG+iWAZu+avcGG+tjYLELIMs0C5HnhtWWf9wgaZra&#10;bRdX1Ok7oZ538vw3AAAA//8DAFBLAwQUAAYACAAAACEA2loMe9wAAAAJAQAADwAAAGRycy9kb3du&#10;cmV2LnhtbEyPy07DMBBF90j9B2uQ2FE7SV+EOFWFBCwRbZFYuvGQRI3HUeym4e8ZVrA8uld3zhTb&#10;yXVixCG0njQkcwUCqfK2pVrD8fB8vwERoiFrOk+o4RsDbMvZTWFy66/0juM+1oJHKORGQxNjn0sZ&#10;qgadCXPfI3H25QdnIuNQSzuYK4+7TqZKraQzLfGFxvT41GB13l+cBq+OHzZ5G18lZu2n6lfpOSYv&#10;Wt/dTrtHEBGn+FeGX31Wh5KdTv5CNohOw2K9yLjKwRIE5w/JkvnEnGYbkGUh/39Q/gAAAP//AwBQ&#10;SwECLQAUAAYACAAAACEAtoM4kv4AAADhAQAAEwAAAAAAAAAAAAAAAAAAAAAAW0NvbnRlbnRfVHlw&#10;ZXNdLnhtbFBLAQItABQABgAIAAAAIQA4/SH/1gAAAJQBAAALAAAAAAAAAAAAAAAAAC8BAABfcmVs&#10;cy8ucmVsc1BLAQItABQABgAIAAAAIQAhSiBJnwIAANsFAAAOAAAAAAAAAAAAAAAAAC4CAABkcnMv&#10;ZTJvRG9jLnhtbFBLAQItABQABgAIAAAAIQDaWgx73AAAAAkBAAAPAAAAAAAAAAAAAAAAAPkEAABk&#10;cnMvZG93bnJldi54bWxQSwUGAAAAAAQABADzAAAAAgYAAAAA&#10;" fillcolor="white [3201]" strokecolor="white [3212]" strokeweight=".5pt">
                <v:path arrowok="t"/>
                <v:textbox>
                  <w:txbxContent>
                    <w:p w14:paraId="5FA60F7E"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0AD4180"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1B66E1F" w14:textId="77777777" w:rsidR="000B7978" w:rsidRPr="00DA1AD1" w:rsidRDefault="000B7978" w:rsidP="000B7978">
                      <w:pPr>
                        <w:jc w:val="center"/>
                        <w:rPr>
                          <w:rFonts w:ascii="Palatino Linotype" w:hAnsi="Palatino Linotype"/>
                          <w:b/>
                          <w:sz w:val="22"/>
                          <w:szCs w:val="24"/>
                        </w:rPr>
                      </w:pPr>
                      <w:r w:rsidRPr="00DA1AD1">
                        <w:rPr>
                          <w:rFonts w:ascii="Palatino Linotype" w:hAnsi="Palatino Linotype"/>
                          <w:b/>
                          <w:sz w:val="22"/>
                          <w:szCs w:val="24"/>
                        </w:rPr>
                        <w:t>(Rúbrica)</w:t>
                      </w:r>
                    </w:p>
                    <w:p w14:paraId="1EAB4B98" w14:textId="77777777" w:rsidR="000B7978" w:rsidRPr="00DA1AD1" w:rsidRDefault="000B7978" w:rsidP="000B7978">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3DEAFA51" wp14:editId="7A91C572">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C7FCB44" w14:textId="77777777" w:rsidR="000B7978" w:rsidRPr="00DA1AD1" w:rsidRDefault="000B7978" w:rsidP="000B797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DA5C502"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B83C2FF" w14:textId="77777777" w:rsidR="000B7978" w:rsidRPr="00DA1AD1" w:rsidRDefault="000B7978" w:rsidP="000B7978">
                            <w:pPr>
                              <w:jc w:val="center"/>
                              <w:rPr>
                                <w:rFonts w:ascii="Palatino Linotype" w:hAnsi="Palatino Linotype"/>
                                <w:b/>
                                <w:sz w:val="22"/>
                                <w:szCs w:val="24"/>
                              </w:rPr>
                            </w:pPr>
                            <w:r w:rsidRPr="00DA1AD1">
                              <w:rPr>
                                <w:rFonts w:ascii="Palatino Linotype" w:hAnsi="Palatino Linotype"/>
                                <w:b/>
                                <w:sz w:val="22"/>
                                <w:szCs w:val="24"/>
                              </w:rPr>
                              <w:t>(Rúbrica)</w:t>
                            </w:r>
                          </w:p>
                          <w:p w14:paraId="28DC6397" w14:textId="77777777" w:rsidR="000B7978" w:rsidRPr="00DA1AD1" w:rsidRDefault="000B7978" w:rsidP="000B7978">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AFA51"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b1ogIAANkFAAAOAAAAZHJzL2Uyb0RvYy54bWysVFtP2zAUfp+0/2D5faQtLYyIFHVFTJMq&#10;QCsTz65jtxaOj2e7Tbpfv2MnKYWhSUx7ceyc79y+c7m8aipNdsJ5Baagw5MBJcJwKJVZF/THw82n&#10;z5T4wEzJNBhR0L3w9Gr68cNlbXMxgg3oUjiCRozPa1vQTQg2zzLPN6Ji/gSsMCiU4CoW8OnWWelY&#10;jdYrnY0Gg7OsBldaB1x4j3+vWyGdJvtSCh7upPQiEF1QjC2k06VzFc9sesnytWN2o3gXBvuHKCqm&#10;DDo9mLpmgZGtU3+YqhR34EGGEw5VBlIqLlIOmM1w8Cqb5YZZkXJBcrw90OT/n1l+u7t3RJUFnVBi&#10;WIUlmm9Z6YCUggTRBCCTSFJtfY7YpUV0aL5Ag8VOCXu7AP7kEZIdYVoFj+hISiNdFb+YLkFFrMP+&#10;wD26IDxauxifDgco4ig7n4zG58lv9qxtnQ9fBVQkXgrqsLYpArZb+BD9s7yHRGcetCpvlNbpEftJ&#10;zLUjO4adoMMwJoUaL1DakLqgZ6eTQZvaXyys1m9YQHvaRHcidV4XVqSlZSLdwl6LiNHmu5DIfCLk&#10;jRgZ58Ic4kzoiJKY0XsUO/xzVO9RbvNAjeQZTDgoV8qAa1l6SW351BMjW3zXGL7NO1IQmlWTWu60&#10;76wVlHtsLAftfHrLbxQWecF8uGcOBxL7ApdMuMNDasAiQXejZAPu11v/Ix7nBKWU1DjgBfU/t8wJ&#10;SvQ3gxN0MRyP40ZIj/HkfIQPdyxZHUvMtpoDds4Q15nl6RrxQfdX6aB6xF00i15RxAxH3wUN/XUe&#10;2rWDu4yL2SyBcAdYFhZmaXk/T7GFH5pH5mzX53EIb6FfBSx/1e4tNtbHwGwbQKo0C5HnltWOf9wf&#10;qeG7XRcX1PE7oZ438vQ3AAAA//8DAFBLAwQUAAYACAAAACEAElMeo9gAAAAGAQAADwAAAGRycy9k&#10;b3ducmV2LnhtbEyPwU7DMAyG70i8Q2QkbixphyooTSeEBBwR25A4Zo1pqzVO1XhdeXvMCY6ff+v3&#10;52qzhEHNOKU+koVsZUAhNdH31FrY755v7kAlduTdEAktfGOCTX15UbnSxzO947zlVkkJpdJZ6JjH&#10;UuvUdBhcWsURSbKvOAXHglOr/eTOUh4GnRtT6OB6kgudG/Gpw+a4PQUL0ew/fPY2v2pc959mLPIj&#10;Zy/WXl8tjw+gGBf+W4ZffVGHWpwO8UQ+qcGCPMIyvQcl4doUwgfh3NyCriv9X7/+AQAA//8DAFBL&#10;AQItABQABgAIAAAAIQC2gziS/gAAAOEBAAATAAAAAAAAAAAAAAAAAAAAAABbQ29udGVudF9UeXBl&#10;c10ueG1sUEsBAi0AFAAGAAgAAAAhADj9If/WAAAAlAEAAAsAAAAAAAAAAAAAAAAALwEAAF9yZWxz&#10;Ly5yZWxzUEsBAi0AFAAGAAgAAAAhABZe5vWiAgAA2QUAAA4AAAAAAAAAAAAAAAAALgIAAGRycy9l&#10;Mm9Eb2MueG1sUEsBAi0AFAAGAAgAAAAhABJTHqPYAAAABgEAAA8AAAAAAAAAAAAAAAAA/AQAAGRy&#10;cy9kb3ducmV2LnhtbFBLBQYAAAAABAAEAPMAAAABBgAAAAA=&#10;" fillcolor="white [3201]" strokecolor="white [3212]" strokeweight=".5pt">
                <v:path arrowok="t"/>
                <v:textbox>
                  <w:txbxContent>
                    <w:p w14:paraId="2C7FCB44" w14:textId="77777777" w:rsidR="000B7978" w:rsidRPr="00DA1AD1" w:rsidRDefault="000B7978" w:rsidP="000B7978">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3DA5C502"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1B83C2FF" w14:textId="77777777" w:rsidR="000B7978" w:rsidRPr="00DA1AD1" w:rsidRDefault="000B7978" w:rsidP="000B7978">
                      <w:pPr>
                        <w:jc w:val="center"/>
                        <w:rPr>
                          <w:rFonts w:ascii="Palatino Linotype" w:hAnsi="Palatino Linotype"/>
                          <w:b/>
                          <w:sz w:val="22"/>
                          <w:szCs w:val="24"/>
                        </w:rPr>
                      </w:pPr>
                      <w:r w:rsidRPr="00DA1AD1">
                        <w:rPr>
                          <w:rFonts w:ascii="Palatino Linotype" w:hAnsi="Palatino Linotype"/>
                          <w:b/>
                          <w:sz w:val="22"/>
                          <w:szCs w:val="24"/>
                        </w:rPr>
                        <w:t>(Rúbrica)</w:t>
                      </w:r>
                    </w:p>
                    <w:p w14:paraId="28DC6397" w14:textId="77777777" w:rsidR="000B7978" w:rsidRPr="00DA1AD1" w:rsidRDefault="000B7978" w:rsidP="000B7978">
                      <w:pPr>
                        <w:jc w:val="center"/>
                        <w:rPr>
                          <w:sz w:val="18"/>
                        </w:rPr>
                      </w:pPr>
                    </w:p>
                  </w:txbxContent>
                </v:textbox>
                <w10:wrap anchorx="margin"/>
              </v:shape>
            </w:pict>
          </mc:Fallback>
        </mc:AlternateContent>
      </w:r>
    </w:p>
    <w:p w14:paraId="06DDE336" w14:textId="77777777" w:rsidR="000B7978" w:rsidRPr="00F012DF" w:rsidRDefault="000B7978" w:rsidP="000B7978">
      <w:pPr>
        <w:spacing w:line="360" w:lineRule="auto"/>
        <w:ind w:right="-93"/>
        <w:jc w:val="both"/>
        <w:rPr>
          <w:rFonts w:ascii="Palatino Linotype" w:eastAsia="Calibri" w:hAnsi="Palatino Linotype" w:cs="Tahoma"/>
          <w:b/>
          <w:bCs/>
          <w:sz w:val="22"/>
          <w:szCs w:val="22"/>
          <w:lang w:eastAsia="en-US"/>
        </w:rPr>
      </w:pPr>
    </w:p>
    <w:p w14:paraId="0962519B"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1BE1699F"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5C1AF708"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7EA51EE5" w14:textId="77777777" w:rsidR="000B7978" w:rsidRDefault="000B7978" w:rsidP="000B7978">
      <w:pPr>
        <w:spacing w:line="360" w:lineRule="auto"/>
        <w:ind w:right="-93"/>
        <w:jc w:val="both"/>
        <w:rPr>
          <w:rFonts w:ascii="Palatino Linotype" w:eastAsia="Calibri" w:hAnsi="Palatino Linotype" w:cs="Tahoma"/>
          <w:b/>
          <w:bCs/>
          <w:sz w:val="22"/>
          <w:szCs w:val="22"/>
          <w:lang w:eastAsia="en-US"/>
        </w:rPr>
      </w:pPr>
    </w:p>
    <w:p w14:paraId="319DC916" w14:textId="77777777" w:rsidR="000B7978" w:rsidRPr="00F012DF" w:rsidRDefault="000B7978" w:rsidP="000B7978">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4550A651" wp14:editId="42094DAA">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E55F1D" w14:textId="77777777" w:rsidR="000B7978" w:rsidRPr="00DA1AD1" w:rsidRDefault="000B7978" w:rsidP="000B797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F7EAB68"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982A6C0" w14:textId="77777777" w:rsidR="000B7978" w:rsidRPr="00DA1AD1" w:rsidRDefault="000B7978" w:rsidP="000B7978">
                            <w:pPr>
                              <w:jc w:val="center"/>
                              <w:rPr>
                                <w:rFonts w:ascii="Palatino Linotype" w:hAnsi="Palatino Linotype"/>
                                <w:b/>
                                <w:sz w:val="18"/>
                              </w:rPr>
                            </w:pPr>
                            <w:r w:rsidRPr="00DA1AD1">
                              <w:rPr>
                                <w:rFonts w:ascii="Palatino Linotype" w:hAnsi="Palatino Linotype"/>
                                <w:b/>
                                <w:sz w:val="22"/>
                                <w:szCs w:val="24"/>
                              </w:rPr>
                              <w:t>(Rúbrica)</w:t>
                            </w:r>
                          </w:p>
                          <w:p w14:paraId="4443D1CA" w14:textId="77777777" w:rsidR="000B7978" w:rsidRDefault="000B7978" w:rsidP="000B79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0A651"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6roQ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Vi7U4p&#10;MazCGi22rHRASkGCaAKQi8hSbf0UwfcW4aH5DA1qpIy9XQJ/8gjJjjCtgkd0ZKWRropfzJegIhZi&#10;fyAfXRCOP/N8Mh5NzijhKJvko/HwPPrNnrWt8+GLgIrES0EdFjdFwHZLH1poD4nOPGhV3iit0yM2&#10;lFhoR3YMW0GHYWf8BUobUhd0fHo2aFP7i4XV+g0LGKw20Z1IrdeFFWlpmUi3sNciYrT5LiRSnwh5&#10;I0bGuTCHOBM6oiRm9B7FDv8c1XuU2zxQI3kGEw7KlTLgWpZeUls+9cTIFt81hm/zjhSEZtWknsv7&#10;zlpBucfGctAOqLf8RmGRl8yHO+ZwIrFlcMuEWzykBiwSdDdKNuB+vfU/4nFQUEpJjRNeUP9zy5yg&#10;RH81OEIXw9EoroT0GJ1Ncny4Y8nqWGK21QKwc4a4zyxP14gPur9KB9UjLqN59IoiZjj6Lmjor4vQ&#10;7h1cZlzM5wmES8CysDT3lvfzFFv4oXlkznZ9HofwG/S7gE1ftXuLjfUxMN8GkCrNQuS5ZbXjHxdI&#10;mqZu2cUNdfxOqOeVPPsN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A16roQIAANoFAAAOAAAAAAAAAAAAAAAAAC4CAABkcnMv&#10;ZTJvRG9jLnhtbFBLAQItABQABgAIAAAAIQBKKZtS2gAAAAUBAAAPAAAAAAAAAAAAAAAAAPsEAABk&#10;cnMvZG93bnJldi54bWxQSwUGAAAAAAQABADzAAAAAgYAAAAA&#10;" fillcolor="white [3201]" strokecolor="white [3212]" strokeweight=".5pt">
                <v:path arrowok="t"/>
                <v:textbox>
                  <w:txbxContent>
                    <w:p w14:paraId="29E55F1D" w14:textId="77777777" w:rsidR="000B7978" w:rsidRPr="00DA1AD1" w:rsidRDefault="000B7978" w:rsidP="000B7978">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5F7EAB68"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982A6C0" w14:textId="77777777" w:rsidR="000B7978" w:rsidRPr="00DA1AD1" w:rsidRDefault="000B7978" w:rsidP="000B7978">
                      <w:pPr>
                        <w:jc w:val="center"/>
                        <w:rPr>
                          <w:rFonts w:ascii="Palatino Linotype" w:hAnsi="Palatino Linotype"/>
                          <w:b/>
                          <w:sz w:val="18"/>
                        </w:rPr>
                      </w:pPr>
                      <w:r w:rsidRPr="00DA1AD1">
                        <w:rPr>
                          <w:rFonts w:ascii="Palatino Linotype" w:hAnsi="Palatino Linotype"/>
                          <w:b/>
                          <w:sz w:val="22"/>
                          <w:szCs w:val="24"/>
                        </w:rPr>
                        <w:t>(Rúbrica)</w:t>
                      </w:r>
                    </w:p>
                    <w:p w14:paraId="4443D1CA" w14:textId="77777777" w:rsidR="000B7978" w:rsidRDefault="000B7978" w:rsidP="000B7978"/>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79F53D3C" wp14:editId="503B15C4">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8D41B81"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C301DFE"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FB9C79" w14:textId="77777777" w:rsidR="000B7978" w:rsidRPr="00DA1AD1" w:rsidRDefault="000B7978" w:rsidP="000B797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53D3C"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0bnw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lKrN0Z&#10;JZrVWKPFlpUWSCmIF60HMgksNcZNEXxnEO7br9CiRszYmSXwR4eQ7AiTFByiAyuttHX4Yr4EFbEQ&#10;+wP56IJw/DnMT0/HAxRxlI0n+WgyDn6zZ21jnf8moCbhUlCLxY0RsN3S+QTtIcGZA1WVV5VS8REa&#10;SiyUJTuGraB83hl/gVKaNOj89GyQUvuLhdX6DQsYrNLBnYit14UVaElMxJvfKxEwSv8QEqmPhLwR&#10;I+Nc6EOcER1QEjN6j2KHf47qPcopD9SInkH7g3JdabCJpZfUlo89MTLhu8ZwKe9AgW9Xbeq5vrNW&#10;UO6xsSykAXWGX1VY5CVz/pZZnEjsC9wy/gYPqQCLBN2Nkg3Y32/9D3gcFJRS0uCEF9T92jIrKFHf&#10;NY7Ql3w0CishPkZnn4f4sMeS1bFEb+sFYOfkuM8Mj9eA96q/Sgv1Ay6jefCKIqY5+i6o768Ln/YO&#10;LjMu5vMIwiVgmF/qO8P7eQotfN8+MGu6Pg9DeA39LmDTV+2esKE+GuZbD7KKsxB4Tqx2/OMCidPU&#10;LbuwoY7fEfW8kmdPAAAA//8DAFBLAwQUAAYACAAAACEAssvzD9gAAAAGAQAADwAAAGRycy9kb3du&#10;cmV2LnhtbEyPwU7DMAyG70i8Q2QkbizpispUmk4ICTgixpA4eo1pqzVO1WRdeXvMCY6ff+v352q7&#10;+EHNNMU+sIVsZUARN8H13FrYvz/dbEDFhOxwCEwWvinCtr68qLB04cxvNO9Sq6SEY4kWupTGUuvY&#10;dOQxrsJILNlXmDwmwanVbsKzlPtBr40ptMee5UKHIz121Bx3J28hmP2Hy17nF015/2nGYn1M2bO1&#10;11fLwz2oREv6W4ZffVGHWpwO4cQuqsGCPJJkegtKwjwvhA/CZnMHuq70f/36BwAA//8DAFBLAQIt&#10;ABQABgAIAAAAIQC2gziS/gAAAOEBAAATAAAAAAAAAAAAAAAAAAAAAABbQ29udGVudF9UeXBlc10u&#10;eG1sUEsBAi0AFAAGAAgAAAAhADj9If/WAAAAlAEAAAsAAAAAAAAAAAAAAAAALwEAAF9yZWxzLy5y&#10;ZWxzUEsBAi0AFAAGAAgAAAAhAFJ7jRufAgAA2gUAAA4AAAAAAAAAAAAAAAAALgIAAGRycy9lMm9E&#10;b2MueG1sUEsBAi0AFAAGAAgAAAAhALLL8w/YAAAABgEAAA8AAAAAAAAAAAAAAAAA+QQAAGRycy9k&#10;b3ducmV2LnhtbFBLBQYAAAAABAAEAPMAAAD+BQAAAAA=&#10;" fillcolor="white [3201]" strokecolor="white [3212]" strokeweight=".5pt">
                <v:path arrowok="t"/>
                <v:textbox>
                  <w:txbxContent>
                    <w:p w14:paraId="78D41B81"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7C301DFE"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FB9C79" w14:textId="77777777" w:rsidR="000B7978" w:rsidRPr="00DA1AD1" w:rsidRDefault="000B7978" w:rsidP="000B7978">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0D38200C" w14:textId="77777777" w:rsidR="000B7978" w:rsidRPr="00F012DF" w:rsidRDefault="000B7978" w:rsidP="000B7978">
      <w:pPr>
        <w:spacing w:line="360" w:lineRule="auto"/>
        <w:ind w:right="-93"/>
        <w:jc w:val="both"/>
        <w:rPr>
          <w:rFonts w:ascii="Palatino Linotype" w:eastAsia="Calibri" w:hAnsi="Palatino Linotype" w:cs="Tahoma"/>
          <w:bCs/>
          <w:sz w:val="22"/>
          <w:szCs w:val="22"/>
          <w:lang w:eastAsia="en-US"/>
        </w:rPr>
      </w:pPr>
    </w:p>
    <w:p w14:paraId="1183CAE5" w14:textId="77777777" w:rsidR="000B7978" w:rsidRDefault="000B7978" w:rsidP="000B7978">
      <w:pPr>
        <w:spacing w:line="360" w:lineRule="auto"/>
        <w:ind w:right="-93"/>
        <w:jc w:val="both"/>
        <w:rPr>
          <w:rFonts w:ascii="Palatino Linotype" w:eastAsia="Calibri" w:hAnsi="Palatino Linotype" w:cs="Tahoma"/>
          <w:bCs/>
          <w:sz w:val="22"/>
          <w:szCs w:val="22"/>
          <w:lang w:eastAsia="en-US"/>
        </w:rPr>
      </w:pPr>
    </w:p>
    <w:p w14:paraId="080B76A1" w14:textId="77777777" w:rsidR="000B7978" w:rsidRDefault="000B7978" w:rsidP="000B7978">
      <w:pPr>
        <w:spacing w:line="360" w:lineRule="auto"/>
        <w:ind w:right="-93"/>
        <w:jc w:val="both"/>
        <w:rPr>
          <w:rFonts w:ascii="Palatino Linotype" w:eastAsia="Calibri" w:hAnsi="Palatino Linotype" w:cs="Tahoma"/>
          <w:bCs/>
          <w:sz w:val="22"/>
          <w:szCs w:val="22"/>
          <w:lang w:eastAsia="en-US"/>
        </w:rPr>
      </w:pPr>
    </w:p>
    <w:p w14:paraId="480B9021" w14:textId="77777777" w:rsidR="000B7978" w:rsidRDefault="000B7978" w:rsidP="000B7978">
      <w:pPr>
        <w:spacing w:line="360" w:lineRule="auto"/>
        <w:ind w:right="-93"/>
        <w:jc w:val="both"/>
        <w:rPr>
          <w:rFonts w:ascii="Palatino Linotype" w:eastAsia="Calibri" w:hAnsi="Palatino Linotype" w:cs="Tahoma"/>
          <w:bCs/>
          <w:sz w:val="22"/>
          <w:szCs w:val="22"/>
          <w:lang w:eastAsia="en-US"/>
        </w:rPr>
      </w:pPr>
    </w:p>
    <w:p w14:paraId="1F9F4063" w14:textId="77777777" w:rsidR="000B7978" w:rsidRDefault="000B7978" w:rsidP="000B7978">
      <w:pPr>
        <w:spacing w:line="360" w:lineRule="auto"/>
        <w:ind w:right="-93"/>
        <w:jc w:val="both"/>
        <w:rPr>
          <w:rFonts w:ascii="Palatino Linotype" w:eastAsia="Calibri" w:hAnsi="Palatino Linotype" w:cs="Tahoma"/>
          <w:bCs/>
          <w:sz w:val="22"/>
          <w:szCs w:val="22"/>
          <w:lang w:eastAsia="en-US"/>
        </w:rPr>
      </w:pPr>
    </w:p>
    <w:p w14:paraId="685E5C8F" w14:textId="77777777" w:rsidR="000B7978" w:rsidRDefault="000B7978" w:rsidP="000B7978">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05BEDA7F" wp14:editId="05D0E8E5">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BAEA9E5" w14:textId="77777777" w:rsidR="000B7978" w:rsidRPr="00DA1AD1" w:rsidRDefault="000B7978" w:rsidP="000B797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6B88B29"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0BF7CFC" w14:textId="77777777" w:rsidR="000B7978" w:rsidRDefault="000B7978" w:rsidP="000B7978">
                            <w:pPr>
                              <w:jc w:val="center"/>
                              <w:rPr>
                                <w:rFonts w:ascii="Palatino Linotype" w:hAnsi="Palatino Linotype"/>
                                <w:b/>
                                <w:sz w:val="22"/>
                                <w:szCs w:val="24"/>
                              </w:rPr>
                            </w:pPr>
                            <w:r w:rsidRPr="00DA1AD1">
                              <w:rPr>
                                <w:rFonts w:ascii="Palatino Linotype" w:hAnsi="Palatino Linotype"/>
                                <w:b/>
                                <w:sz w:val="22"/>
                                <w:szCs w:val="24"/>
                              </w:rPr>
                              <w:t>(Rúbrica)</w:t>
                            </w:r>
                          </w:p>
                          <w:p w14:paraId="2D2AA843" w14:textId="77777777" w:rsidR="000B7978" w:rsidRDefault="000B7978" w:rsidP="000B7978">
                            <w:pPr>
                              <w:jc w:val="center"/>
                              <w:rPr>
                                <w:rFonts w:ascii="Palatino Linotype" w:hAnsi="Palatino Linotype"/>
                                <w:b/>
                                <w:sz w:val="22"/>
                                <w:szCs w:val="24"/>
                              </w:rPr>
                            </w:pPr>
                          </w:p>
                          <w:p w14:paraId="5885EE93" w14:textId="77777777" w:rsidR="000B7978" w:rsidRPr="00DA1AD1" w:rsidRDefault="000B7978" w:rsidP="000B7978">
                            <w:pPr>
                              <w:jc w:val="center"/>
                              <w:rPr>
                                <w:rFonts w:ascii="Palatino Linotype" w:hAnsi="Palatino Linotype"/>
                                <w:b/>
                                <w:sz w:val="22"/>
                                <w:szCs w:val="24"/>
                              </w:rPr>
                            </w:pPr>
                          </w:p>
                          <w:p w14:paraId="251E6E3F" w14:textId="77777777" w:rsidR="000B7978" w:rsidRPr="00DA1AD1" w:rsidRDefault="000B7978" w:rsidP="000B7978">
                            <w:pPr>
                              <w:jc w:val="center"/>
                              <w:rPr>
                                <w:rFonts w:ascii="Palatino Linotype" w:hAnsi="Palatino Linotype"/>
                                <w:sz w:val="22"/>
                                <w:szCs w:val="24"/>
                              </w:rPr>
                            </w:pPr>
                          </w:p>
                          <w:p w14:paraId="1B782F7F" w14:textId="77777777" w:rsidR="000B7978" w:rsidRPr="00EF2FC0" w:rsidRDefault="000B7978" w:rsidP="000B7978">
                            <w:pPr>
                              <w:jc w:val="center"/>
                              <w:rPr>
                                <w:rFonts w:ascii="Palatino Linotype" w:hAnsi="Palatino Linotype"/>
                                <w:sz w:val="24"/>
                                <w:szCs w:val="24"/>
                              </w:rPr>
                            </w:pPr>
                          </w:p>
                          <w:p w14:paraId="6CC2CEFC" w14:textId="77777777" w:rsidR="000B7978" w:rsidRDefault="000B7978" w:rsidP="000B79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EDA7F"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KRngIAANQ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umbak1&#10;FAfsKAtpNJ3h1yVWd8mcv2MWZxF7BfeLv8VDKsDqQHujZAv291v/Ax5HBKWU1DjbOXW/dswKStR3&#10;jcPzpT8chmUQH8PRZIAPeypZn0r0rloAtkwfN5nh8RrwXnVXaaF6wDU0D15RxDRH3zn13XXh08bB&#10;NcbFfB5BOP6G+aVeGd4NUujd++aBWdM2eBi/G+i2AJu+6vOEDYXRMN95kGUcgkBwYrUlHldHHKN2&#10;zYXddPqOqOdlPHsCAAD//wMAUEsDBBQABgAIAAAAIQBUHwvz3AAAAAkBAAAPAAAAZHJzL2Rvd25y&#10;ZXYueG1sTI/BTsMwEETvSPyDtUjcqO0UQhviVAgJOCJKkTi68ZJEjddR7Kbh71lO9Dh6o9m35Wb2&#10;vZhwjF0gA3qhQCDVwXXUGNh9PN+sQMRkydk+EBr4wQib6vKitIULJ3rHaZsawSMUC2ugTWkopIx1&#10;i97GRRiQmH2H0dvEcWykG+2Jx30vM6Vy6W1HfKG1Az61WB+2R28gqN2n02/Tq8Rl96WGPDsk/WLM&#10;9dX8+AAi4Zz+y/Cnz+pQsdM+HMlF0RtY5vqWqwxyEMxXd/drEHvOOluDrEp5/kH1CwAA//8DAFBL&#10;AQItABQABgAIAAAAIQC2gziS/gAAAOEBAAATAAAAAAAAAAAAAAAAAAAAAABbQ29udGVudF9UeXBl&#10;c10ueG1sUEsBAi0AFAAGAAgAAAAhADj9If/WAAAAlAEAAAsAAAAAAAAAAAAAAAAALwEAAF9yZWxz&#10;Ly5yZWxzUEsBAi0AFAAGAAgAAAAhAIXMApGeAgAA1AUAAA4AAAAAAAAAAAAAAAAALgIAAGRycy9l&#10;Mm9Eb2MueG1sUEsBAi0AFAAGAAgAAAAhAFQfC/PcAAAACQEAAA8AAAAAAAAAAAAAAAAA+AQAAGRy&#10;cy9kb3ducmV2LnhtbFBLBQYAAAAABAAEAPMAAAABBgAAAAA=&#10;" fillcolor="white [3201]" strokecolor="white [3212]" strokeweight=".5pt">
                <v:path arrowok="t"/>
                <v:textbox>
                  <w:txbxContent>
                    <w:p w14:paraId="3BAEA9E5" w14:textId="77777777" w:rsidR="000B7978" w:rsidRPr="00DA1AD1" w:rsidRDefault="000B7978" w:rsidP="000B7978">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36B88B29" w14:textId="77777777" w:rsidR="000B7978" w:rsidRPr="00DA1AD1" w:rsidRDefault="000B7978" w:rsidP="000B7978">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60BF7CFC" w14:textId="77777777" w:rsidR="000B7978" w:rsidRDefault="000B7978" w:rsidP="000B7978">
                      <w:pPr>
                        <w:jc w:val="center"/>
                        <w:rPr>
                          <w:rFonts w:ascii="Palatino Linotype" w:hAnsi="Palatino Linotype"/>
                          <w:b/>
                          <w:sz w:val="22"/>
                          <w:szCs w:val="24"/>
                        </w:rPr>
                      </w:pPr>
                      <w:r w:rsidRPr="00DA1AD1">
                        <w:rPr>
                          <w:rFonts w:ascii="Palatino Linotype" w:hAnsi="Palatino Linotype"/>
                          <w:b/>
                          <w:sz w:val="22"/>
                          <w:szCs w:val="24"/>
                        </w:rPr>
                        <w:t>(Rúbrica)</w:t>
                      </w:r>
                    </w:p>
                    <w:p w14:paraId="2D2AA843" w14:textId="77777777" w:rsidR="000B7978" w:rsidRDefault="000B7978" w:rsidP="000B7978">
                      <w:pPr>
                        <w:jc w:val="center"/>
                        <w:rPr>
                          <w:rFonts w:ascii="Palatino Linotype" w:hAnsi="Palatino Linotype"/>
                          <w:b/>
                          <w:sz w:val="22"/>
                          <w:szCs w:val="24"/>
                        </w:rPr>
                      </w:pPr>
                    </w:p>
                    <w:p w14:paraId="5885EE93" w14:textId="77777777" w:rsidR="000B7978" w:rsidRPr="00DA1AD1" w:rsidRDefault="000B7978" w:rsidP="000B7978">
                      <w:pPr>
                        <w:jc w:val="center"/>
                        <w:rPr>
                          <w:rFonts w:ascii="Palatino Linotype" w:hAnsi="Palatino Linotype"/>
                          <w:b/>
                          <w:sz w:val="22"/>
                          <w:szCs w:val="24"/>
                        </w:rPr>
                      </w:pPr>
                    </w:p>
                    <w:p w14:paraId="251E6E3F" w14:textId="77777777" w:rsidR="000B7978" w:rsidRPr="00DA1AD1" w:rsidRDefault="000B7978" w:rsidP="000B7978">
                      <w:pPr>
                        <w:jc w:val="center"/>
                        <w:rPr>
                          <w:rFonts w:ascii="Palatino Linotype" w:hAnsi="Palatino Linotype"/>
                          <w:sz w:val="22"/>
                          <w:szCs w:val="24"/>
                        </w:rPr>
                      </w:pPr>
                    </w:p>
                    <w:p w14:paraId="1B782F7F" w14:textId="77777777" w:rsidR="000B7978" w:rsidRPr="00EF2FC0" w:rsidRDefault="000B7978" w:rsidP="000B7978">
                      <w:pPr>
                        <w:jc w:val="center"/>
                        <w:rPr>
                          <w:rFonts w:ascii="Palatino Linotype" w:hAnsi="Palatino Linotype"/>
                          <w:sz w:val="24"/>
                          <w:szCs w:val="24"/>
                        </w:rPr>
                      </w:pPr>
                    </w:p>
                    <w:p w14:paraId="6CC2CEFC" w14:textId="77777777" w:rsidR="000B7978" w:rsidRDefault="000B7978" w:rsidP="000B7978"/>
                  </w:txbxContent>
                </v:textbox>
                <w10:wrap anchorx="page"/>
              </v:shape>
            </w:pict>
          </mc:Fallback>
        </mc:AlternateContent>
      </w:r>
    </w:p>
    <w:p w14:paraId="0711D476" w14:textId="77777777" w:rsidR="000B7978" w:rsidRDefault="000B7978" w:rsidP="000B7978">
      <w:pPr>
        <w:tabs>
          <w:tab w:val="left" w:pos="8931"/>
        </w:tabs>
        <w:spacing w:line="360" w:lineRule="auto"/>
        <w:ind w:right="-93"/>
        <w:jc w:val="both"/>
        <w:rPr>
          <w:rFonts w:ascii="Palatino Linotype" w:eastAsia="Calibri" w:hAnsi="Palatino Linotype" w:cs="Tahoma"/>
          <w:sz w:val="22"/>
          <w:szCs w:val="22"/>
          <w:lang w:eastAsia="en-US"/>
        </w:rPr>
      </w:pPr>
    </w:p>
    <w:p w14:paraId="521065AB" w14:textId="77777777" w:rsidR="000B7978" w:rsidRDefault="000B7978" w:rsidP="000B7978"/>
    <w:p w14:paraId="65FAB44E" w14:textId="77777777" w:rsidR="00B843E4" w:rsidRDefault="00B843E4" w:rsidP="000A4DC8">
      <w:pPr>
        <w:tabs>
          <w:tab w:val="left" w:pos="8931"/>
        </w:tabs>
        <w:spacing w:line="360" w:lineRule="auto"/>
        <w:ind w:right="-93"/>
        <w:jc w:val="both"/>
        <w:rPr>
          <w:rFonts w:ascii="Palatino Linotype" w:eastAsia="Calibri" w:hAnsi="Palatino Linotype" w:cs="Tahoma"/>
          <w:sz w:val="22"/>
          <w:szCs w:val="22"/>
          <w:lang w:eastAsia="en-US"/>
        </w:rPr>
      </w:pPr>
    </w:p>
    <w:p w14:paraId="1B17134C" w14:textId="74DAEEC0" w:rsidR="00536006" w:rsidRPr="008A4356" w:rsidRDefault="00536006" w:rsidP="000A4DC8">
      <w:pPr>
        <w:tabs>
          <w:tab w:val="left" w:pos="8931"/>
        </w:tabs>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sz w:val="22"/>
          <w:szCs w:val="22"/>
          <w:lang w:eastAsia="en-US"/>
        </w:rPr>
        <w:t xml:space="preserve">Esta foja corresponde a la resolución de fecha </w:t>
      </w:r>
      <w:r w:rsidR="00CF7003">
        <w:rPr>
          <w:rFonts w:ascii="Palatino Linotype" w:eastAsia="Calibri" w:hAnsi="Palatino Linotype" w:cs="Tahoma"/>
          <w:sz w:val="22"/>
          <w:szCs w:val="22"/>
          <w:lang w:eastAsia="en-US"/>
        </w:rPr>
        <w:t>dos de octubre</w:t>
      </w:r>
      <w:r w:rsidRPr="00AD50F9">
        <w:rPr>
          <w:rFonts w:ascii="Palatino Linotype" w:eastAsia="Calibri" w:hAnsi="Palatino Linotype" w:cs="Tahoma"/>
          <w:sz w:val="22"/>
          <w:szCs w:val="22"/>
          <w:lang w:eastAsia="en-US"/>
        </w:rPr>
        <w:t xml:space="preserve"> de dos</w:t>
      </w:r>
      <w:r w:rsidR="00B843E4">
        <w:rPr>
          <w:rFonts w:ascii="Palatino Linotype" w:eastAsia="Calibri" w:hAnsi="Palatino Linotype" w:cs="Tahoma"/>
          <w:sz w:val="22"/>
          <w:szCs w:val="22"/>
          <w:lang w:eastAsia="en-US"/>
        </w:rPr>
        <w:t xml:space="preserve"> mil diecinueve, emitida en el R</w:t>
      </w:r>
      <w:r w:rsidRPr="00AD50F9">
        <w:rPr>
          <w:rFonts w:ascii="Palatino Linotype" w:eastAsia="Calibri" w:hAnsi="Palatino Linotype" w:cs="Tahoma"/>
          <w:sz w:val="22"/>
          <w:szCs w:val="22"/>
          <w:lang w:eastAsia="en-US"/>
        </w:rPr>
        <w:t xml:space="preserve">ecurso de </w:t>
      </w:r>
      <w:r w:rsidR="00B843E4">
        <w:rPr>
          <w:rFonts w:ascii="Palatino Linotype" w:eastAsia="Calibri" w:hAnsi="Palatino Linotype" w:cs="Tahoma"/>
          <w:sz w:val="22"/>
          <w:szCs w:val="22"/>
          <w:lang w:eastAsia="en-US"/>
        </w:rPr>
        <w:t>R</w:t>
      </w:r>
      <w:r w:rsidRPr="00AD50F9">
        <w:rPr>
          <w:rFonts w:ascii="Palatino Linotype" w:eastAsia="Calibri" w:hAnsi="Palatino Linotype" w:cs="Tahoma"/>
          <w:sz w:val="22"/>
          <w:szCs w:val="22"/>
          <w:lang w:eastAsia="en-US"/>
        </w:rPr>
        <w:t xml:space="preserve">evisión número </w:t>
      </w:r>
      <w:r w:rsidRPr="00AD50F9">
        <w:rPr>
          <w:rFonts w:ascii="Palatino Linotype" w:eastAsia="Calibri" w:hAnsi="Palatino Linotype" w:cs="Tahoma"/>
          <w:b/>
          <w:bCs/>
          <w:sz w:val="22"/>
          <w:szCs w:val="22"/>
          <w:lang w:eastAsia="en-US"/>
        </w:rPr>
        <w:t>0</w:t>
      </w:r>
      <w:r w:rsidR="00CF7003">
        <w:rPr>
          <w:rFonts w:ascii="Palatino Linotype" w:eastAsia="Calibri" w:hAnsi="Palatino Linotype" w:cs="Tahoma"/>
          <w:b/>
          <w:bCs/>
          <w:sz w:val="22"/>
          <w:szCs w:val="22"/>
          <w:lang w:eastAsia="en-US"/>
        </w:rPr>
        <w:t>6366</w:t>
      </w:r>
      <w:r w:rsidRPr="00AD50F9">
        <w:rPr>
          <w:rFonts w:ascii="Palatino Linotype" w:eastAsia="Calibri" w:hAnsi="Palatino Linotype" w:cs="Tahoma"/>
          <w:b/>
          <w:bCs/>
          <w:sz w:val="22"/>
          <w:szCs w:val="22"/>
          <w:lang w:eastAsia="en-US"/>
        </w:rPr>
        <w:t>/INFOEM/IP/RR/2019</w:t>
      </w:r>
      <w:r w:rsidRPr="00AD50F9">
        <w:rPr>
          <w:rFonts w:ascii="Palatino Linotype" w:eastAsia="Calibri" w:hAnsi="Palatino Linotype" w:cs="Tahoma"/>
          <w:bCs/>
          <w:sz w:val="22"/>
          <w:szCs w:val="22"/>
          <w:lang w:eastAsia="en-US"/>
        </w:rPr>
        <w:t>.</w:t>
      </w:r>
    </w:p>
    <w:sectPr w:rsidR="00536006" w:rsidRPr="008A4356" w:rsidSect="00DB7E5F">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3D2AE" w14:textId="77777777" w:rsidR="00E376D0" w:rsidRDefault="00E376D0" w:rsidP="00B31222">
      <w:r>
        <w:separator/>
      </w:r>
    </w:p>
  </w:endnote>
  <w:endnote w:type="continuationSeparator" w:id="0">
    <w:p w14:paraId="79AB6D6F" w14:textId="77777777" w:rsidR="00E376D0" w:rsidRDefault="00E376D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5F3B126B" w14:textId="77777777" w:rsidR="000231B7" w:rsidRDefault="000231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4B73">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4B73">
              <w:rPr>
                <w:b/>
                <w:bCs/>
                <w:noProof/>
              </w:rPr>
              <w:t>28</w:t>
            </w:r>
            <w:r>
              <w:rPr>
                <w:b/>
                <w:bCs/>
                <w:sz w:val="24"/>
                <w:szCs w:val="24"/>
              </w:rPr>
              <w:fldChar w:fldCharType="end"/>
            </w:r>
          </w:p>
        </w:sdtContent>
      </w:sdt>
    </w:sdtContent>
  </w:sdt>
  <w:p w14:paraId="783E849C" w14:textId="77777777" w:rsidR="000231B7" w:rsidRDefault="000231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257F244" w14:textId="77777777" w:rsidR="000231B7" w:rsidRDefault="000231B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14B7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14B73">
              <w:rPr>
                <w:b/>
                <w:bCs/>
                <w:noProof/>
              </w:rPr>
              <w:t>28</w:t>
            </w:r>
            <w:r>
              <w:rPr>
                <w:b/>
                <w:bCs/>
                <w:sz w:val="24"/>
                <w:szCs w:val="24"/>
              </w:rPr>
              <w:fldChar w:fldCharType="end"/>
            </w:r>
          </w:p>
        </w:sdtContent>
      </w:sdt>
    </w:sdtContent>
  </w:sdt>
  <w:p w14:paraId="52F5CF74" w14:textId="77777777" w:rsidR="000231B7" w:rsidRDefault="000231B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5126C" w14:textId="77777777" w:rsidR="00E376D0" w:rsidRDefault="00E376D0" w:rsidP="00B31222">
      <w:r>
        <w:separator/>
      </w:r>
    </w:p>
  </w:footnote>
  <w:footnote w:type="continuationSeparator" w:id="0">
    <w:p w14:paraId="2EB3D489" w14:textId="77777777" w:rsidR="00E376D0" w:rsidRDefault="00E376D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0231B7" w:rsidRPr="005C106F" w14:paraId="35720ED2" w14:textId="77777777" w:rsidTr="00202DB8">
      <w:trPr>
        <w:trHeight w:val="1435"/>
      </w:trPr>
      <w:tc>
        <w:tcPr>
          <w:tcW w:w="2835" w:type="dxa"/>
          <w:shd w:val="clear" w:color="auto" w:fill="auto"/>
        </w:tcPr>
        <w:p w14:paraId="64271C59" w14:textId="77777777" w:rsidR="000231B7" w:rsidRPr="005C106F" w:rsidRDefault="000231B7" w:rsidP="00EF4A64">
          <w:pPr>
            <w:tabs>
              <w:tab w:val="right" w:pos="4273"/>
            </w:tabs>
            <w:rPr>
              <w:rFonts w:ascii="Garamond" w:eastAsia="Calibri" w:hAnsi="Garamond"/>
              <w:sz w:val="16"/>
              <w:szCs w:val="16"/>
              <w:lang w:eastAsia="en-US"/>
            </w:rPr>
          </w:pPr>
        </w:p>
      </w:tc>
      <w:tc>
        <w:tcPr>
          <w:tcW w:w="6733" w:type="dxa"/>
          <w:shd w:val="clear" w:color="auto" w:fill="auto"/>
        </w:tcPr>
        <w:p w14:paraId="4B7762D7" w14:textId="77777777" w:rsidR="000231B7" w:rsidRDefault="000231B7"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0231B7" w14:paraId="3D504A82" w14:textId="77777777" w:rsidTr="00FF46FD">
            <w:trPr>
              <w:trHeight w:val="144"/>
            </w:trPr>
            <w:tc>
              <w:tcPr>
                <w:tcW w:w="2727" w:type="dxa"/>
              </w:tcPr>
              <w:p w14:paraId="3E17AA26" w14:textId="77777777" w:rsidR="000231B7" w:rsidRPr="00FF46FD" w:rsidRDefault="000231B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Recurso de Revisión:</w:t>
                </w:r>
              </w:p>
            </w:tc>
            <w:tc>
              <w:tcPr>
                <w:tcW w:w="3509" w:type="dxa"/>
              </w:tcPr>
              <w:p w14:paraId="2CE737B1" w14:textId="24BD81D9" w:rsidR="000231B7" w:rsidRPr="00FF46FD" w:rsidRDefault="000231B7" w:rsidP="00E43A0F">
                <w:pPr>
                  <w:tabs>
                    <w:tab w:val="right" w:pos="8838"/>
                  </w:tabs>
                  <w:ind w:left="-28" w:right="171"/>
                  <w:jc w:val="both"/>
                  <w:rPr>
                    <w:rFonts w:ascii="Palatino Linotype" w:eastAsia="Calibri" w:hAnsi="Palatino Linotype" w:cs="Tahoma"/>
                    <w:bCs/>
                    <w:sz w:val="24"/>
                    <w:szCs w:val="24"/>
                    <w:lang w:eastAsia="en-US"/>
                  </w:rPr>
                </w:pPr>
                <w:r>
                  <w:rPr>
                    <w:rFonts w:ascii="Palatino Linotype" w:eastAsia="Calibri" w:hAnsi="Palatino Linotype" w:cs="Tahoma"/>
                    <w:bCs/>
                    <w:sz w:val="24"/>
                    <w:szCs w:val="24"/>
                    <w:lang w:eastAsia="en-US"/>
                  </w:rPr>
                  <w:t>06366/INFOEM/IP/RR/2019</w:t>
                </w:r>
              </w:p>
            </w:tc>
          </w:tr>
          <w:tr w:rsidR="000231B7" w14:paraId="4271964A" w14:textId="77777777" w:rsidTr="00FF46FD">
            <w:trPr>
              <w:trHeight w:val="283"/>
            </w:trPr>
            <w:tc>
              <w:tcPr>
                <w:tcW w:w="2727" w:type="dxa"/>
              </w:tcPr>
              <w:p w14:paraId="4C472276" w14:textId="77777777" w:rsidR="000231B7" w:rsidRPr="00FF46FD" w:rsidRDefault="000231B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Sujeto Obligado:</w:t>
                </w:r>
              </w:p>
            </w:tc>
            <w:tc>
              <w:tcPr>
                <w:tcW w:w="3509" w:type="dxa"/>
              </w:tcPr>
              <w:p w14:paraId="6001DC69" w14:textId="4CE721C5" w:rsidR="000231B7" w:rsidRPr="00FF46FD" w:rsidRDefault="000231B7" w:rsidP="00E43A0F">
                <w:pPr>
                  <w:tabs>
                    <w:tab w:val="left" w:pos="2834"/>
                    <w:tab w:val="right" w:pos="8838"/>
                  </w:tabs>
                  <w:ind w:right="171"/>
                  <w:jc w:val="both"/>
                  <w:rPr>
                    <w:rFonts w:ascii="Palatino Linotype" w:eastAsia="Calibri" w:hAnsi="Palatino Linotype" w:cs="Tahoma"/>
                    <w:b/>
                    <w:sz w:val="24"/>
                    <w:szCs w:val="24"/>
                    <w:lang w:val="es-MX" w:eastAsia="en-US"/>
                  </w:rPr>
                </w:pPr>
                <w:r>
                  <w:rPr>
                    <w:rFonts w:ascii="Palatino Linotype" w:eastAsia="Calibri" w:hAnsi="Palatino Linotype" w:cs="Tahoma"/>
                    <w:sz w:val="24"/>
                    <w:szCs w:val="24"/>
                    <w:lang w:val="es-MX" w:eastAsia="en-US"/>
                  </w:rPr>
                  <w:t>Secretaría de Desarrollo Urbano y Metropolitano</w:t>
                </w:r>
              </w:p>
            </w:tc>
          </w:tr>
          <w:tr w:rsidR="000231B7" w14:paraId="406E8C79" w14:textId="77777777" w:rsidTr="00FF46FD">
            <w:trPr>
              <w:trHeight w:val="283"/>
            </w:trPr>
            <w:tc>
              <w:tcPr>
                <w:tcW w:w="2727" w:type="dxa"/>
              </w:tcPr>
              <w:p w14:paraId="1A9F6F2D" w14:textId="77777777" w:rsidR="000231B7" w:rsidRPr="00FF46FD" w:rsidRDefault="000231B7" w:rsidP="00E43A0F">
                <w:pPr>
                  <w:tabs>
                    <w:tab w:val="right" w:pos="8838"/>
                  </w:tabs>
                  <w:ind w:right="-105"/>
                  <w:rPr>
                    <w:rFonts w:ascii="Palatino Linotype" w:eastAsia="Calibri" w:hAnsi="Palatino Linotype" w:cs="Tahoma"/>
                    <w:b/>
                    <w:sz w:val="24"/>
                    <w:szCs w:val="24"/>
                    <w:lang w:val="es-MX" w:eastAsia="en-US"/>
                  </w:rPr>
                </w:pPr>
                <w:r w:rsidRPr="00FF46FD">
                  <w:rPr>
                    <w:rFonts w:ascii="Palatino Linotype" w:eastAsia="Calibri" w:hAnsi="Palatino Linotype" w:cs="Tahoma"/>
                    <w:b/>
                    <w:sz w:val="24"/>
                    <w:szCs w:val="24"/>
                    <w:lang w:val="es-MX" w:eastAsia="en-US"/>
                  </w:rPr>
                  <w:t>Comisionado Ponente:</w:t>
                </w:r>
              </w:p>
            </w:tc>
            <w:tc>
              <w:tcPr>
                <w:tcW w:w="3509" w:type="dxa"/>
              </w:tcPr>
              <w:p w14:paraId="4CD5CC7C" w14:textId="77777777" w:rsidR="000231B7" w:rsidRDefault="000231B7" w:rsidP="00E43A0F">
                <w:pPr>
                  <w:tabs>
                    <w:tab w:val="right" w:pos="8838"/>
                  </w:tabs>
                  <w:ind w:right="171"/>
                  <w:jc w:val="both"/>
                  <w:rPr>
                    <w:rFonts w:ascii="Palatino Linotype" w:eastAsia="Calibri" w:hAnsi="Palatino Linotype" w:cs="Tahoma"/>
                    <w:sz w:val="24"/>
                    <w:szCs w:val="24"/>
                    <w:lang w:val="es-MX" w:eastAsia="en-US"/>
                  </w:rPr>
                </w:pPr>
                <w:r w:rsidRPr="00FF46FD">
                  <w:rPr>
                    <w:rFonts w:ascii="Palatino Linotype" w:eastAsia="Calibri" w:hAnsi="Palatino Linotype" w:cs="Tahoma"/>
                    <w:sz w:val="24"/>
                    <w:szCs w:val="24"/>
                    <w:lang w:val="es-MX" w:eastAsia="en-US"/>
                  </w:rPr>
                  <w:t>Luis Gustavo Parra Noriega</w:t>
                </w:r>
              </w:p>
              <w:p w14:paraId="7178C01A" w14:textId="77777777" w:rsidR="000231B7" w:rsidRPr="00FF46FD" w:rsidRDefault="000231B7" w:rsidP="00E43A0F">
                <w:pPr>
                  <w:tabs>
                    <w:tab w:val="right" w:pos="8838"/>
                  </w:tabs>
                  <w:ind w:right="171"/>
                  <w:jc w:val="both"/>
                  <w:rPr>
                    <w:rFonts w:ascii="Palatino Linotype" w:eastAsia="Calibri" w:hAnsi="Palatino Linotype" w:cs="Tahoma"/>
                    <w:b/>
                    <w:sz w:val="24"/>
                    <w:szCs w:val="24"/>
                    <w:lang w:val="es-MX" w:eastAsia="en-US"/>
                  </w:rPr>
                </w:pPr>
              </w:p>
            </w:tc>
          </w:tr>
        </w:tbl>
        <w:p w14:paraId="6C0FCE81" w14:textId="77777777" w:rsidR="000231B7" w:rsidRPr="005C106F" w:rsidRDefault="000231B7" w:rsidP="005743D2">
          <w:pPr>
            <w:tabs>
              <w:tab w:val="right" w:pos="8838"/>
            </w:tabs>
            <w:ind w:left="-28"/>
            <w:jc w:val="both"/>
            <w:rPr>
              <w:rFonts w:ascii="Arial" w:eastAsia="Calibri" w:hAnsi="Arial" w:cs="Arial"/>
              <w:b/>
              <w:sz w:val="22"/>
              <w:szCs w:val="22"/>
              <w:lang w:eastAsia="en-US"/>
            </w:rPr>
          </w:pPr>
        </w:p>
      </w:tc>
    </w:tr>
  </w:tbl>
  <w:p w14:paraId="73AF4DC0" w14:textId="77777777" w:rsidR="000231B7" w:rsidRPr="00443C6B" w:rsidRDefault="000231B7"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35" w:type="dxa"/>
      <w:tblLayout w:type="fixed"/>
      <w:tblLook w:val="04A0" w:firstRow="1" w:lastRow="0" w:firstColumn="1" w:lastColumn="0" w:noHBand="0" w:noVBand="1"/>
    </w:tblPr>
    <w:tblGrid>
      <w:gridCol w:w="3402"/>
      <w:gridCol w:w="6733"/>
    </w:tblGrid>
    <w:tr w:rsidR="000231B7" w:rsidRPr="00330DA7" w14:paraId="56A6FEA1" w14:textId="77777777" w:rsidTr="00E66CB9">
      <w:trPr>
        <w:trHeight w:val="1435"/>
      </w:trPr>
      <w:tc>
        <w:tcPr>
          <w:tcW w:w="3402" w:type="dxa"/>
          <w:shd w:val="clear" w:color="auto" w:fill="auto"/>
        </w:tcPr>
        <w:p w14:paraId="68A238F7" w14:textId="77777777" w:rsidR="000231B7" w:rsidRPr="00330DA7" w:rsidRDefault="000231B7"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231B7" w:rsidRPr="00330DA7" w14:paraId="5B69F0DA" w14:textId="77777777" w:rsidTr="001171BD">
            <w:trPr>
              <w:trHeight w:val="144"/>
            </w:trPr>
            <w:tc>
              <w:tcPr>
                <w:tcW w:w="2727" w:type="dxa"/>
              </w:tcPr>
              <w:p w14:paraId="32705BB6" w14:textId="77777777" w:rsidR="000231B7" w:rsidRPr="00330DA7" w:rsidRDefault="000231B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Recurso de Revisión:</w:t>
                </w:r>
              </w:p>
            </w:tc>
            <w:tc>
              <w:tcPr>
                <w:tcW w:w="3402" w:type="dxa"/>
              </w:tcPr>
              <w:p w14:paraId="1B7B11E3" w14:textId="32951596" w:rsidR="000231B7" w:rsidRPr="00330DA7" w:rsidRDefault="000231B7" w:rsidP="00844CB5">
                <w:pPr>
                  <w:tabs>
                    <w:tab w:val="right" w:pos="8838"/>
                  </w:tabs>
                  <w:ind w:left="-74" w:right="-105"/>
                  <w:jc w:val="both"/>
                  <w:rPr>
                    <w:rFonts w:ascii="Palatino Linotype" w:eastAsia="Calibri" w:hAnsi="Palatino Linotype" w:cs="Tahoma"/>
                    <w:bCs/>
                    <w:sz w:val="22"/>
                    <w:szCs w:val="22"/>
                    <w:lang w:eastAsia="en-US"/>
                  </w:rPr>
                </w:pPr>
                <w:r w:rsidRPr="00330DA7">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6366</w:t>
                </w:r>
                <w:r w:rsidRPr="00330DA7">
                  <w:rPr>
                    <w:rFonts w:ascii="Palatino Linotype" w:eastAsia="Calibri" w:hAnsi="Palatino Linotype" w:cs="Tahoma"/>
                    <w:bCs/>
                    <w:sz w:val="22"/>
                    <w:szCs w:val="22"/>
                    <w:lang w:eastAsia="en-US"/>
                  </w:rPr>
                  <w:t>/INFOEM/IP/RR/2019</w:t>
                </w:r>
              </w:p>
            </w:tc>
          </w:tr>
          <w:tr w:rsidR="000231B7" w:rsidRPr="00330DA7" w14:paraId="6523CC8C" w14:textId="77777777" w:rsidTr="001171BD">
            <w:trPr>
              <w:trHeight w:val="144"/>
            </w:trPr>
            <w:tc>
              <w:tcPr>
                <w:tcW w:w="2727" w:type="dxa"/>
              </w:tcPr>
              <w:p w14:paraId="0A49CEAA" w14:textId="77777777" w:rsidR="000231B7" w:rsidRPr="00330DA7" w:rsidRDefault="000231B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Recurrente:</w:t>
                </w:r>
              </w:p>
            </w:tc>
            <w:tc>
              <w:tcPr>
                <w:tcW w:w="3402" w:type="dxa"/>
              </w:tcPr>
              <w:p w14:paraId="4C89FFB6" w14:textId="072ED2CF" w:rsidR="000231B7" w:rsidRPr="00330DA7" w:rsidRDefault="00714B73" w:rsidP="00844CB5">
                <w:pPr>
                  <w:tabs>
                    <w:tab w:val="left" w:pos="3122"/>
                    <w:tab w:val="right" w:pos="8838"/>
                  </w:tabs>
                  <w:ind w:left="-74" w:right="-105"/>
                  <w:jc w:val="both"/>
                  <w:rPr>
                    <w:rFonts w:ascii="Palatino Linotype" w:eastAsia="Calibri" w:hAnsi="Palatino Linotype" w:cs="Tahoma"/>
                    <w:sz w:val="22"/>
                    <w:szCs w:val="22"/>
                    <w:lang w:val="es-MX" w:eastAsia="en-US"/>
                  </w:rPr>
                </w:pPr>
                <w:r w:rsidRPr="00714B73">
                  <w:rPr>
                    <w:rFonts w:ascii="Palatino Linotype" w:eastAsia="Calibri" w:hAnsi="Palatino Linotype" w:cs="Tahoma"/>
                    <w:sz w:val="22"/>
                    <w:szCs w:val="22"/>
                    <w:highlight w:val="black"/>
                    <w:lang w:val="es-MX" w:eastAsia="en-US"/>
                  </w:rPr>
                  <w:t>XXXXXXXXXXXXXXXXXX</w:t>
                </w:r>
              </w:p>
            </w:tc>
          </w:tr>
          <w:tr w:rsidR="000231B7" w:rsidRPr="00330DA7" w14:paraId="12468C58" w14:textId="77777777" w:rsidTr="001171BD">
            <w:trPr>
              <w:trHeight w:val="283"/>
            </w:trPr>
            <w:tc>
              <w:tcPr>
                <w:tcW w:w="2727" w:type="dxa"/>
              </w:tcPr>
              <w:p w14:paraId="296AF220" w14:textId="77777777" w:rsidR="000231B7" w:rsidRPr="00330DA7" w:rsidRDefault="000231B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Sujeto Obligado:</w:t>
                </w:r>
              </w:p>
            </w:tc>
            <w:tc>
              <w:tcPr>
                <w:tcW w:w="3402" w:type="dxa"/>
              </w:tcPr>
              <w:p w14:paraId="06D7723F" w14:textId="65432C8A" w:rsidR="000231B7" w:rsidRPr="00330DA7" w:rsidRDefault="000231B7" w:rsidP="00844CB5">
                <w:pPr>
                  <w:tabs>
                    <w:tab w:val="left" w:pos="2834"/>
                    <w:tab w:val="right" w:pos="8838"/>
                  </w:tabs>
                  <w:ind w:left="-74" w:right="-105"/>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Secretaría de Desarrollo Urbano y Metropolitano</w:t>
                </w:r>
              </w:p>
            </w:tc>
          </w:tr>
          <w:tr w:rsidR="000231B7" w:rsidRPr="00330DA7" w14:paraId="2A6135F2" w14:textId="77777777" w:rsidTr="001171BD">
            <w:trPr>
              <w:trHeight w:val="283"/>
            </w:trPr>
            <w:tc>
              <w:tcPr>
                <w:tcW w:w="2727" w:type="dxa"/>
              </w:tcPr>
              <w:p w14:paraId="3782BAF3" w14:textId="77777777" w:rsidR="000231B7" w:rsidRPr="00330DA7" w:rsidRDefault="000231B7" w:rsidP="00844CB5">
                <w:pPr>
                  <w:tabs>
                    <w:tab w:val="right" w:pos="8838"/>
                  </w:tabs>
                  <w:ind w:left="-74" w:right="-105"/>
                  <w:rPr>
                    <w:rFonts w:ascii="Palatino Linotype" w:eastAsia="Calibri" w:hAnsi="Palatino Linotype" w:cs="Tahoma"/>
                    <w:b/>
                    <w:sz w:val="22"/>
                    <w:szCs w:val="22"/>
                    <w:lang w:val="es-MX" w:eastAsia="en-US"/>
                  </w:rPr>
                </w:pPr>
                <w:r w:rsidRPr="00330DA7">
                  <w:rPr>
                    <w:rFonts w:ascii="Palatino Linotype" w:eastAsia="Calibri" w:hAnsi="Palatino Linotype" w:cs="Tahoma"/>
                    <w:b/>
                    <w:sz w:val="22"/>
                    <w:szCs w:val="22"/>
                    <w:lang w:val="es-MX" w:eastAsia="en-US"/>
                  </w:rPr>
                  <w:t>Comisionado Ponente:</w:t>
                </w:r>
              </w:p>
            </w:tc>
            <w:tc>
              <w:tcPr>
                <w:tcW w:w="3402" w:type="dxa"/>
              </w:tcPr>
              <w:p w14:paraId="74DFB580" w14:textId="77777777" w:rsidR="000231B7" w:rsidRDefault="000231B7" w:rsidP="00844CB5">
                <w:pPr>
                  <w:tabs>
                    <w:tab w:val="right" w:pos="8838"/>
                  </w:tabs>
                  <w:ind w:left="-74" w:right="-105"/>
                  <w:jc w:val="both"/>
                  <w:rPr>
                    <w:rFonts w:ascii="Palatino Linotype" w:eastAsia="Calibri" w:hAnsi="Palatino Linotype" w:cs="Tahoma"/>
                    <w:sz w:val="22"/>
                    <w:szCs w:val="22"/>
                    <w:lang w:val="es-MX" w:eastAsia="en-US"/>
                  </w:rPr>
                </w:pPr>
                <w:r w:rsidRPr="00330DA7">
                  <w:rPr>
                    <w:rFonts w:ascii="Palatino Linotype" w:eastAsia="Calibri" w:hAnsi="Palatino Linotype" w:cs="Tahoma"/>
                    <w:sz w:val="22"/>
                    <w:szCs w:val="22"/>
                    <w:lang w:val="es-MX" w:eastAsia="en-US"/>
                  </w:rPr>
                  <w:t>Luis Gustavo Parra Noriega</w:t>
                </w:r>
              </w:p>
              <w:p w14:paraId="2D4AD1D9" w14:textId="77777777" w:rsidR="000231B7" w:rsidRPr="00330DA7" w:rsidRDefault="000231B7" w:rsidP="00844CB5">
                <w:pPr>
                  <w:tabs>
                    <w:tab w:val="right" w:pos="8838"/>
                  </w:tabs>
                  <w:ind w:left="-74" w:right="-105"/>
                  <w:jc w:val="both"/>
                  <w:rPr>
                    <w:rFonts w:ascii="Palatino Linotype" w:eastAsia="Calibri" w:hAnsi="Palatino Linotype" w:cs="Tahoma"/>
                    <w:b/>
                    <w:sz w:val="22"/>
                    <w:szCs w:val="22"/>
                    <w:lang w:val="es-MX" w:eastAsia="en-US"/>
                  </w:rPr>
                </w:pPr>
              </w:p>
            </w:tc>
          </w:tr>
        </w:tbl>
        <w:p w14:paraId="6E5F3CA9" w14:textId="77777777" w:rsidR="000231B7" w:rsidRPr="00330DA7" w:rsidRDefault="000231B7" w:rsidP="00DB7E5F">
          <w:pPr>
            <w:tabs>
              <w:tab w:val="right" w:pos="8838"/>
            </w:tabs>
            <w:ind w:left="-28"/>
            <w:jc w:val="both"/>
            <w:rPr>
              <w:rFonts w:ascii="Arial" w:eastAsia="Calibri" w:hAnsi="Arial" w:cs="Arial"/>
              <w:b/>
              <w:sz w:val="22"/>
              <w:szCs w:val="22"/>
              <w:lang w:eastAsia="en-US"/>
            </w:rPr>
          </w:pPr>
        </w:p>
      </w:tc>
    </w:tr>
  </w:tbl>
  <w:p w14:paraId="5F833B3B" w14:textId="77777777" w:rsidR="000231B7" w:rsidRPr="00330DA7" w:rsidRDefault="000231B7"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16624A5"/>
    <w:multiLevelType w:val="hybridMultilevel"/>
    <w:tmpl w:val="EC7264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6C359E"/>
    <w:multiLevelType w:val="hybridMultilevel"/>
    <w:tmpl w:val="52FAB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496680"/>
    <w:multiLevelType w:val="hybridMultilevel"/>
    <w:tmpl w:val="0526E9F6"/>
    <w:lvl w:ilvl="0" w:tplc="080A0017">
      <w:start w:val="1"/>
      <w:numFmt w:val="lowerLetter"/>
      <w:lvlText w:val="%1)"/>
      <w:lvlJc w:val="left"/>
      <w:pPr>
        <w:ind w:left="1211"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92F46C0"/>
    <w:multiLevelType w:val="hybridMultilevel"/>
    <w:tmpl w:val="EE641A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01693E"/>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E2715B"/>
    <w:multiLevelType w:val="hybridMultilevel"/>
    <w:tmpl w:val="99E20FC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DAD78B1"/>
    <w:multiLevelType w:val="hybridMultilevel"/>
    <w:tmpl w:val="E642F2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FA63655"/>
    <w:multiLevelType w:val="hybridMultilevel"/>
    <w:tmpl w:val="1CFC4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BF5FF5"/>
    <w:multiLevelType w:val="hybridMultilevel"/>
    <w:tmpl w:val="21541E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6313B11"/>
    <w:multiLevelType w:val="hybridMultilevel"/>
    <w:tmpl w:val="7D26A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6C25C37"/>
    <w:multiLevelType w:val="hybridMultilevel"/>
    <w:tmpl w:val="8A60F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17199F"/>
    <w:multiLevelType w:val="hybridMultilevel"/>
    <w:tmpl w:val="46F0E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3A7FCA"/>
    <w:multiLevelType w:val="hybridMultilevel"/>
    <w:tmpl w:val="543C1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900783"/>
    <w:multiLevelType w:val="hybridMultilevel"/>
    <w:tmpl w:val="D62E3A04"/>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540DE4"/>
    <w:multiLevelType w:val="hybridMultilevel"/>
    <w:tmpl w:val="763448D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15:restartNumberingAfterBreak="0">
    <w:nsid w:val="5E221141"/>
    <w:multiLevelType w:val="hybridMultilevel"/>
    <w:tmpl w:val="3836E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D5617F"/>
    <w:multiLevelType w:val="hybridMultilevel"/>
    <w:tmpl w:val="444EC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FE81A16"/>
    <w:multiLevelType w:val="hybridMultilevel"/>
    <w:tmpl w:val="01D83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41653F"/>
    <w:multiLevelType w:val="hybridMultilevel"/>
    <w:tmpl w:val="F6E2C0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EA2500"/>
    <w:multiLevelType w:val="hybridMultilevel"/>
    <w:tmpl w:val="5456B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2B91BB1"/>
    <w:multiLevelType w:val="hybridMultilevel"/>
    <w:tmpl w:val="1032B3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4C65C1F"/>
    <w:multiLevelType w:val="hybridMultilevel"/>
    <w:tmpl w:val="99C00B8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6F1B3B7C"/>
    <w:multiLevelType w:val="hybridMultilevel"/>
    <w:tmpl w:val="6BA8A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A315C8"/>
    <w:multiLevelType w:val="hybridMultilevel"/>
    <w:tmpl w:val="B038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9B15575"/>
    <w:multiLevelType w:val="hybridMultilevel"/>
    <w:tmpl w:val="3D9CF798"/>
    <w:lvl w:ilvl="0" w:tplc="080A0015">
      <w:start w:val="1"/>
      <w:numFmt w:val="upp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11"/>
  </w:num>
  <w:num w:numId="3">
    <w:abstractNumId w:val="18"/>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2"/>
  </w:num>
  <w:num w:numId="7">
    <w:abstractNumId w:val="25"/>
  </w:num>
  <w:num w:numId="8">
    <w:abstractNumId w:val="2"/>
  </w:num>
  <w:num w:numId="9">
    <w:abstractNumId w:val="17"/>
  </w:num>
  <w:num w:numId="10">
    <w:abstractNumId w:val="32"/>
  </w:num>
  <w:num w:numId="11">
    <w:abstractNumId w:val="4"/>
  </w:num>
  <w:num w:numId="12">
    <w:abstractNumId w:val="19"/>
  </w:num>
  <w:num w:numId="13">
    <w:abstractNumId w:val="21"/>
  </w:num>
  <w:num w:numId="14">
    <w:abstractNumId w:val="24"/>
  </w:num>
  <w:num w:numId="15">
    <w:abstractNumId w:val="23"/>
  </w:num>
  <w:num w:numId="16">
    <w:abstractNumId w:val="5"/>
  </w:num>
  <w:num w:numId="17">
    <w:abstractNumId w:val="13"/>
  </w:num>
  <w:num w:numId="18">
    <w:abstractNumId w:val="16"/>
  </w:num>
  <w:num w:numId="19">
    <w:abstractNumId w:val="9"/>
  </w:num>
  <w:num w:numId="20">
    <w:abstractNumId w:val="10"/>
  </w:num>
  <w:num w:numId="21">
    <w:abstractNumId w:val="28"/>
  </w:num>
  <w:num w:numId="22">
    <w:abstractNumId w:val="3"/>
  </w:num>
  <w:num w:numId="23">
    <w:abstractNumId w:val="1"/>
  </w:num>
  <w:num w:numId="24">
    <w:abstractNumId w:val="31"/>
  </w:num>
  <w:num w:numId="25">
    <w:abstractNumId w:val="27"/>
  </w:num>
  <w:num w:numId="26">
    <w:abstractNumId w:val="26"/>
  </w:num>
  <w:num w:numId="27">
    <w:abstractNumId w:val="20"/>
  </w:num>
  <w:num w:numId="28">
    <w:abstractNumId w:val="7"/>
  </w:num>
  <w:num w:numId="29">
    <w:abstractNumId w:val="30"/>
  </w:num>
  <w:num w:numId="30">
    <w:abstractNumId w:val="15"/>
  </w:num>
  <w:num w:numId="31">
    <w:abstractNumId w:val="8"/>
  </w:num>
  <w:num w:numId="32">
    <w:abstractNumId w:val="6"/>
  </w:num>
  <w:num w:numId="3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E2D"/>
    <w:rsid w:val="000016AD"/>
    <w:rsid w:val="000027EB"/>
    <w:rsid w:val="0000485A"/>
    <w:rsid w:val="00006543"/>
    <w:rsid w:val="00012882"/>
    <w:rsid w:val="0001398B"/>
    <w:rsid w:val="00013A19"/>
    <w:rsid w:val="00014465"/>
    <w:rsid w:val="000148B9"/>
    <w:rsid w:val="00015FB8"/>
    <w:rsid w:val="00017858"/>
    <w:rsid w:val="00017D26"/>
    <w:rsid w:val="00020818"/>
    <w:rsid w:val="000212E5"/>
    <w:rsid w:val="00021C64"/>
    <w:rsid w:val="000231B7"/>
    <w:rsid w:val="000237AD"/>
    <w:rsid w:val="00023ACB"/>
    <w:rsid w:val="000241C5"/>
    <w:rsid w:val="00024D74"/>
    <w:rsid w:val="00025F5D"/>
    <w:rsid w:val="00030990"/>
    <w:rsid w:val="0003118E"/>
    <w:rsid w:val="000313A7"/>
    <w:rsid w:val="00032F5B"/>
    <w:rsid w:val="00034E9D"/>
    <w:rsid w:val="00035F9E"/>
    <w:rsid w:val="000373BC"/>
    <w:rsid w:val="000378BC"/>
    <w:rsid w:val="00037B34"/>
    <w:rsid w:val="00037E5B"/>
    <w:rsid w:val="00037F4B"/>
    <w:rsid w:val="000415F1"/>
    <w:rsid w:val="00043C4B"/>
    <w:rsid w:val="0004646B"/>
    <w:rsid w:val="000507B3"/>
    <w:rsid w:val="000528E6"/>
    <w:rsid w:val="00057250"/>
    <w:rsid w:val="00057C67"/>
    <w:rsid w:val="0006017B"/>
    <w:rsid w:val="000620E1"/>
    <w:rsid w:val="00064855"/>
    <w:rsid w:val="00071A4A"/>
    <w:rsid w:val="000758B2"/>
    <w:rsid w:val="00075940"/>
    <w:rsid w:val="000802C3"/>
    <w:rsid w:val="00080C44"/>
    <w:rsid w:val="000813B0"/>
    <w:rsid w:val="0008148B"/>
    <w:rsid w:val="000818FA"/>
    <w:rsid w:val="00083A00"/>
    <w:rsid w:val="00084B3D"/>
    <w:rsid w:val="00091A5D"/>
    <w:rsid w:val="00092475"/>
    <w:rsid w:val="00096408"/>
    <w:rsid w:val="00097211"/>
    <w:rsid w:val="000A0518"/>
    <w:rsid w:val="000A0861"/>
    <w:rsid w:val="000A20A4"/>
    <w:rsid w:val="000A4DC8"/>
    <w:rsid w:val="000A5058"/>
    <w:rsid w:val="000A5A4E"/>
    <w:rsid w:val="000A7211"/>
    <w:rsid w:val="000A776C"/>
    <w:rsid w:val="000B1D37"/>
    <w:rsid w:val="000B2C93"/>
    <w:rsid w:val="000B36DD"/>
    <w:rsid w:val="000B3953"/>
    <w:rsid w:val="000B5711"/>
    <w:rsid w:val="000B6020"/>
    <w:rsid w:val="000B7978"/>
    <w:rsid w:val="000C2283"/>
    <w:rsid w:val="000C27CA"/>
    <w:rsid w:val="000C563E"/>
    <w:rsid w:val="000C59CB"/>
    <w:rsid w:val="000D0B08"/>
    <w:rsid w:val="000D1DDF"/>
    <w:rsid w:val="000D2A27"/>
    <w:rsid w:val="000D62EF"/>
    <w:rsid w:val="000E0BEA"/>
    <w:rsid w:val="000E67B9"/>
    <w:rsid w:val="000E6E8B"/>
    <w:rsid w:val="000F24C8"/>
    <w:rsid w:val="000F2EBF"/>
    <w:rsid w:val="000F3DA0"/>
    <w:rsid w:val="000F4183"/>
    <w:rsid w:val="000F4876"/>
    <w:rsid w:val="000F4F79"/>
    <w:rsid w:val="000F555D"/>
    <w:rsid w:val="000F6834"/>
    <w:rsid w:val="000F76AB"/>
    <w:rsid w:val="000F7A45"/>
    <w:rsid w:val="000F7FD8"/>
    <w:rsid w:val="00100BAC"/>
    <w:rsid w:val="001017B7"/>
    <w:rsid w:val="001034C6"/>
    <w:rsid w:val="001049B0"/>
    <w:rsid w:val="00104ADB"/>
    <w:rsid w:val="001057BC"/>
    <w:rsid w:val="00105B12"/>
    <w:rsid w:val="00107D2F"/>
    <w:rsid w:val="001133D5"/>
    <w:rsid w:val="00114068"/>
    <w:rsid w:val="001150E9"/>
    <w:rsid w:val="001160CC"/>
    <w:rsid w:val="001166C8"/>
    <w:rsid w:val="001171BD"/>
    <w:rsid w:val="001221B8"/>
    <w:rsid w:val="00122397"/>
    <w:rsid w:val="00127757"/>
    <w:rsid w:val="001279BF"/>
    <w:rsid w:val="00132A80"/>
    <w:rsid w:val="00132F95"/>
    <w:rsid w:val="001332F8"/>
    <w:rsid w:val="00134409"/>
    <w:rsid w:val="0013647C"/>
    <w:rsid w:val="0013791C"/>
    <w:rsid w:val="00137B8F"/>
    <w:rsid w:val="00140F2A"/>
    <w:rsid w:val="00141192"/>
    <w:rsid w:val="00141895"/>
    <w:rsid w:val="00141C50"/>
    <w:rsid w:val="0014307A"/>
    <w:rsid w:val="00144D0B"/>
    <w:rsid w:val="00145F62"/>
    <w:rsid w:val="00147566"/>
    <w:rsid w:val="00147666"/>
    <w:rsid w:val="00147887"/>
    <w:rsid w:val="00150852"/>
    <w:rsid w:val="00150E21"/>
    <w:rsid w:val="00151053"/>
    <w:rsid w:val="00151C31"/>
    <w:rsid w:val="00151FBB"/>
    <w:rsid w:val="0015381E"/>
    <w:rsid w:val="00155F96"/>
    <w:rsid w:val="00156408"/>
    <w:rsid w:val="00156A6B"/>
    <w:rsid w:val="00161DF9"/>
    <w:rsid w:val="00162383"/>
    <w:rsid w:val="00162CCE"/>
    <w:rsid w:val="00164D72"/>
    <w:rsid w:val="00165891"/>
    <w:rsid w:val="0016639C"/>
    <w:rsid w:val="00170545"/>
    <w:rsid w:val="00171ADD"/>
    <w:rsid w:val="00172B4A"/>
    <w:rsid w:val="0017459B"/>
    <w:rsid w:val="00175CEB"/>
    <w:rsid w:val="00176367"/>
    <w:rsid w:val="00182D6C"/>
    <w:rsid w:val="00182DCE"/>
    <w:rsid w:val="00182F0F"/>
    <w:rsid w:val="00183D24"/>
    <w:rsid w:val="001851A6"/>
    <w:rsid w:val="001875A7"/>
    <w:rsid w:val="001879E1"/>
    <w:rsid w:val="0019389B"/>
    <w:rsid w:val="00196522"/>
    <w:rsid w:val="0019729D"/>
    <w:rsid w:val="00197F06"/>
    <w:rsid w:val="001A1B94"/>
    <w:rsid w:val="001A22F5"/>
    <w:rsid w:val="001A4B83"/>
    <w:rsid w:val="001A7FD2"/>
    <w:rsid w:val="001B0B2B"/>
    <w:rsid w:val="001B107D"/>
    <w:rsid w:val="001B1D04"/>
    <w:rsid w:val="001B2CD9"/>
    <w:rsid w:val="001B38FF"/>
    <w:rsid w:val="001B3EB6"/>
    <w:rsid w:val="001B62A0"/>
    <w:rsid w:val="001C17B0"/>
    <w:rsid w:val="001C282F"/>
    <w:rsid w:val="001C3829"/>
    <w:rsid w:val="001C471C"/>
    <w:rsid w:val="001C6970"/>
    <w:rsid w:val="001D0086"/>
    <w:rsid w:val="001D0094"/>
    <w:rsid w:val="001D67AC"/>
    <w:rsid w:val="001D7012"/>
    <w:rsid w:val="001D7BD2"/>
    <w:rsid w:val="001E2A4D"/>
    <w:rsid w:val="001E53C2"/>
    <w:rsid w:val="001E5A07"/>
    <w:rsid w:val="001E6FC5"/>
    <w:rsid w:val="001F0E9C"/>
    <w:rsid w:val="001F0EB8"/>
    <w:rsid w:val="001F1540"/>
    <w:rsid w:val="001F5AEF"/>
    <w:rsid w:val="001F652C"/>
    <w:rsid w:val="001F67A5"/>
    <w:rsid w:val="001F698C"/>
    <w:rsid w:val="001F78D9"/>
    <w:rsid w:val="00202DB8"/>
    <w:rsid w:val="0020444D"/>
    <w:rsid w:val="002050B4"/>
    <w:rsid w:val="002060B4"/>
    <w:rsid w:val="00207736"/>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28C4"/>
    <w:rsid w:val="00236863"/>
    <w:rsid w:val="00237C1F"/>
    <w:rsid w:val="00237D0D"/>
    <w:rsid w:val="00241116"/>
    <w:rsid w:val="002433A4"/>
    <w:rsid w:val="002435DC"/>
    <w:rsid w:val="002462FD"/>
    <w:rsid w:val="00246501"/>
    <w:rsid w:val="00247B17"/>
    <w:rsid w:val="00250389"/>
    <w:rsid w:val="00251FF7"/>
    <w:rsid w:val="00252669"/>
    <w:rsid w:val="00254209"/>
    <w:rsid w:val="00254288"/>
    <w:rsid w:val="0025469C"/>
    <w:rsid w:val="002579CE"/>
    <w:rsid w:val="00260FEC"/>
    <w:rsid w:val="00261DD6"/>
    <w:rsid w:val="00264EA3"/>
    <w:rsid w:val="002657E2"/>
    <w:rsid w:val="002717EA"/>
    <w:rsid w:val="00271E0B"/>
    <w:rsid w:val="002727CC"/>
    <w:rsid w:val="00273679"/>
    <w:rsid w:val="00274621"/>
    <w:rsid w:val="00275CC4"/>
    <w:rsid w:val="00281A35"/>
    <w:rsid w:val="00281AD9"/>
    <w:rsid w:val="00283814"/>
    <w:rsid w:val="00284486"/>
    <w:rsid w:val="00285118"/>
    <w:rsid w:val="00285644"/>
    <w:rsid w:val="0028581E"/>
    <w:rsid w:val="00287034"/>
    <w:rsid w:val="002916B7"/>
    <w:rsid w:val="0029344F"/>
    <w:rsid w:val="00293491"/>
    <w:rsid w:val="00293BA5"/>
    <w:rsid w:val="00295A3A"/>
    <w:rsid w:val="00295F1E"/>
    <w:rsid w:val="00295F53"/>
    <w:rsid w:val="002A0FB8"/>
    <w:rsid w:val="002A1B97"/>
    <w:rsid w:val="002A57D2"/>
    <w:rsid w:val="002A5DA0"/>
    <w:rsid w:val="002A6193"/>
    <w:rsid w:val="002A66CD"/>
    <w:rsid w:val="002A7BD4"/>
    <w:rsid w:val="002A7F32"/>
    <w:rsid w:val="002B03E7"/>
    <w:rsid w:val="002B1BCD"/>
    <w:rsid w:val="002B1E0B"/>
    <w:rsid w:val="002B20A1"/>
    <w:rsid w:val="002B226E"/>
    <w:rsid w:val="002B4558"/>
    <w:rsid w:val="002B46D4"/>
    <w:rsid w:val="002B54CF"/>
    <w:rsid w:val="002B68EA"/>
    <w:rsid w:val="002C06E4"/>
    <w:rsid w:val="002C09F5"/>
    <w:rsid w:val="002C4046"/>
    <w:rsid w:val="002C458A"/>
    <w:rsid w:val="002C500F"/>
    <w:rsid w:val="002D0FF9"/>
    <w:rsid w:val="002D1BE4"/>
    <w:rsid w:val="002D1D6C"/>
    <w:rsid w:val="002D2235"/>
    <w:rsid w:val="002D7D58"/>
    <w:rsid w:val="002E0E9C"/>
    <w:rsid w:val="002E2418"/>
    <w:rsid w:val="002E5015"/>
    <w:rsid w:val="002E7ACF"/>
    <w:rsid w:val="002F0638"/>
    <w:rsid w:val="002F0C1A"/>
    <w:rsid w:val="002F0CE9"/>
    <w:rsid w:val="002F16C1"/>
    <w:rsid w:val="002F3BD0"/>
    <w:rsid w:val="002F5373"/>
    <w:rsid w:val="002F58D8"/>
    <w:rsid w:val="002F7FB0"/>
    <w:rsid w:val="0030032A"/>
    <w:rsid w:val="00300A0B"/>
    <w:rsid w:val="00301F46"/>
    <w:rsid w:val="003034AB"/>
    <w:rsid w:val="00303CAD"/>
    <w:rsid w:val="00303E71"/>
    <w:rsid w:val="003047C6"/>
    <w:rsid w:val="00304E7C"/>
    <w:rsid w:val="00305B33"/>
    <w:rsid w:val="00306418"/>
    <w:rsid w:val="003100F3"/>
    <w:rsid w:val="00310C11"/>
    <w:rsid w:val="00311C33"/>
    <w:rsid w:val="00311D8B"/>
    <w:rsid w:val="00312042"/>
    <w:rsid w:val="00312456"/>
    <w:rsid w:val="00312B7D"/>
    <w:rsid w:val="0031312D"/>
    <w:rsid w:val="003137CA"/>
    <w:rsid w:val="00314030"/>
    <w:rsid w:val="00316600"/>
    <w:rsid w:val="003172EC"/>
    <w:rsid w:val="0032170B"/>
    <w:rsid w:val="00323325"/>
    <w:rsid w:val="003243B0"/>
    <w:rsid w:val="00325EC0"/>
    <w:rsid w:val="00327017"/>
    <w:rsid w:val="0032702D"/>
    <w:rsid w:val="00330729"/>
    <w:rsid w:val="00330DA7"/>
    <w:rsid w:val="003340EC"/>
    <w:rsid w:val="003350FF"/>
    <w:rsid w:val="0034057C"/>
    <w:rsid w:val="00350142"/>
    <w:rsid w:val="00350D3D"/>
    <w:rsid w:val="00352AC6"/>
    <w:rsid w:val="00353B6D"/>
    <w:rsid w:val="003548CF"/>
    <w:rsid w:val="00354920"/>
    <w:rsid w:val="00355DC6"/>
    <w:rsid w:val="00357700"/>
    <w:rsid w:val="00357E00"/>
    <w:rsid w:val="003604D7"/>
    <w:rsid w:val="00361176"/>
    <w:rsid w:val="0036164E"/>
    <w:rsid w:val="0036351E"/>
    <w:rsid w:val="00363615"/>
    <w:rsid w:val="003638C4"/>
    <w:rsid w:val="00364521"/>
    <w:rsid w:val="00365026"/>
    <w:rsid w:val="00367C61"/>
    <w:rsid w:val="00367F82"/>
    <w:rsid w:val="00370CB0"/>
    <w:rsid w:val="00372803"/>
    <w:rsid w:val="00373387"/>
    <w:rsid w:val="003749EC"/>
    <w:rsid w:val="003756AF"/>
    <w:rsid w:val="00375815"/>
    <w:rsid w:val="00375D7D"/>
    <w:rsid w:val="00380441"/>
    <w:rsid w:val="00380ADC"/>
    <w:rsid w:val="00381447"/>
    <w:rsid w:val="0038168C"/>
    <w:rsid w:val="00382696"/>
    <w:rsid w:val="0038358D"/>
    <w:rsid w:val="0038438A"/>
    <w:rsid w:val="00386279"/>
    <w:rsid w:val="003864D2"/>
    <w:rsid w:val="00387141"/>
    <w:rsid w:val="00390249"/>
    <w:rsid w:val="00390BF8"/>
    <w:rsid w:val="0039109D"/>
    <w:rsid w:val="00392877"/>
    <w:rsid w:val="00392E12"/>
    <w:rsid w:val="00394D7E"/>
    <w:rsid w:val="003956E9"/>
    <w:rsid w:val="003965EC"/>
    <w:rsid w:val="00396BA0"/>
    <w:rsid w:val="003A0E17"/>
    <w:rsid w:val="003A1568"/>
    <w:rsid w:val="003A1AF3"/>
    <w:rsid w:val="003A24F5"/>
    <w:rsid w:val="003A357E"/>
    <w:rsid w:val="003A6E62"/>
    <w:rsid w:val="003A78B5"/>
    <w:rsid w:val="003A7BE8"/>
    <w:rsid w:val="003A7C85"/>
    <w:rsid w:val="003A7FBE"/>
    <w:rsid w:val="003B0A05"/>
    <w:rsid w:val="003B0D09"/>
    <w:rsid w:val="003B165A"/>
    <w:rsid w:val="003B1A7B"/>
    <w:rsid w:val="003B1AFD"/>
    <w:rsid w:val="003B2140"/>
    <w:rsid w:val="003B5AD4"/>
    <w:rsid w:val="003B5D41"/>
    <w:rsid w:val="003B6BEF"/>
    <w:rsid w:val="003C0AFA"/>
    <w:rsid w:val="003C15CD"/>
    <w:rsid w:val="003C1B21"/>
    <w:rsid w:val="003C28B8"/>
    <w:rsid w:val="003C5C01"/>
    <w:rsid w:val="003C6934"/>
    <w:rsid w:val="003C7FD0"/>
    <w:rsid w:val="003D0268"/>
    <w:rsid w:val="003D09C3"/>
    <w:rsid w:val="003D1070"/>
    <w:rsid w:val="003D1A43"/>
    <w:rsid w:val="003D1A64"/>
    <w:rsid w:val="003D23BA"/>
    <w:rsid w:val="003D4AFD"/>
    <w:rsid w:val="003D5D84"/>
    <w:rsid w:val="003D5FF4"/>
    <w:rsid w:val="003D624F"/>
    <w:rsid w:val="003D75E8"/>
    <w:rsid w:val="003D79D0"/>
    <w:rsid w:val="003E31E5"/>
    <w:rsid w:val="003E32ED"/>
    <w:rsid w:val="003E3A39"/>
    <w:rsid w:val="003E3B3A"/>
    <w:rsid w:val="003E58C9"/>
    <w:rsid w:val="003E68B5"/>
    <w:rsid w:val="003F0A0B"/>
    <w:rsid w:val="003F0DFC"/>
    <w:rsid w:val="003F2343"/>
    <w:rsid w:val="003F3A2F"/>
    <w:rsid w:val="003F43E4"/>
    <w:rsid w:val="003F650B"/>
    <w:rsid w:val="004004E9"/>
    <w:rsid w:val="004021DB"/>
    <w:rsid w:val="0040362D"/>
    <w:rsid w:val="00404A85"/>
    <w:rsid w:val="004052C5"/>
    <w:rsid w:val="004059FB"/>
    <w:rsid w:val="0040704E"/>
    <w:rsid w:val="00407A93"/>
    <w:rsid w:val="00410051"/>
    <w:rsid w:val="004100AA"/>
    <w:rsid w:val="00410CD2"/>
    <w:rsid w:val="00412203"/>
    <w:rsid w:val="0041473D"/>
    <w:rsid w:val="00414F9B"/>
    <w:rsid w:val="0041623E"/>
    <w:rsid w:val="00417DE3"/>
    <w:rsid w:val="00420B07"/>
    <w:rsid w:val="00422869"/>
    <w:rsid w:val="00422E63"/>
    <w:rsid w:val="00423AAD"/>
    <w:rsid w:val="00423D2F"/>
    <w:rsid w:val="00423F48"/>
    <w:rsid w:val="00424AE6"/>
    <w:rsid w:val="00426448"/>
    <w:rsid w:val="00426613"/>
    <w:rsid w:val="00426919"/>
    <w:rsid w:val="00426ABC"/>
    <w:rsid w:val="00427457"/>
    <w:rsid w:val="004321C5"/>
    <w:rsid w:val="0043257A"/>
    <w:rsid w:val="004339FC"/>
    <w:rsid w:val="00434202"/>
    <w:rsid w:val="00436FD3"/>
    <w:rsid w:val="004406CF"/>
    <w:rsid w:val="004416D9"/>
    <w:rsid w:val="00441804"/>
    <w:rsid w:val="004435B4"/>
    <w:rsid w:val="0044550A"/>
    <w:rsid w:val="00447E1E"/>
    <w:rsid w:val="00447F7D"/>
    <w:rsid w:val="004579C8"/>
    <w:rsid w:val="00460032"/>
    <w:rsid w:val="0046048A"/>
    <w:rsid w:val="00466346"/>
    <w:rsid w:val="004702B0"/>
    <w:rsid w:val="0047093E"/>
    <w:rsid w:val="00470DD0"/>
    <w:rsid w:val="004722F9"/>
    <w:rsid w:val="004751D6"/>
    <w:rsid w:val="00475E6B"/>
    <w:rsid w:val="00477DBA"/>
    <w:rsid w:val="00477E20"/>
    <w:rsid w:val="00480BB8"/>
    <w:rsid w:val="00481D51"/>
    <w:rsid w:val="0048519E"/>
    <w:rsid w:val="00485EC7"/>
    <w:rsid w:val="004860BD"/>
    <w:rsid w:val="00487192"/>
    <w:rsid w:val="00487430"/>
    <w:rsid w:val="004A0A7B"/>
    <w:rsid w:val="004A0BB0"/>
    <w:rsid w:val="004A260B"/>
    <w:rsid w:val="004A26CD"/>
    <w:rsid w:val="004A2C97"/>
    <w:rsid w:val="004A3584"/>
    <w:rsid w:val="004A359D"/>
    <w:rsid w:val="004A466C"/>
    <w:rsid w:val="004A5121"/>
    <w:rsid w:val="004A54BF"/>
    <w:rsid w:val="004A577A"/>
    <w:rsid w:val="004A5780"/>
    <w:rsid w:val="004A6ECB"/>
    <w:rsid w:val="004A7990"/>
    <w:rsid w:val="004B1796"/>
    <w:rsid w:val="004B591D"/>
    <w:rsid w:val="004B7542"/>
    <w:rsid w:val="004B769A"/>
    <w:rsid w:val="004B7DB2"/>
    <w:rsid w:val="004C14AC"/>
    <w:rsid w:val="004C28E4"/>
    <w:rsid w:val="004C4ACC"/>
    <w:rsid w:val="004C5096"/>
    <w:rsid w:val="004C6F68"/>
    <w:rsid w:val="004C7E83"/>
    <w:rsid w:val="004D1E4A"/>
    <w:rsid w:val="004D2B43"/>
    <w:rsid w:val="004D5606"/>
    <w:rsid w:val="004D5758"/>
    <w:rsid w:val="004D583C"/>
    <w:rsid w:val="004D5DB3"/>
    <w:rsid w:val="004E0D6F"/>
    <w:rsid w:val="004E2FC6"/>
    <w:rsid w:val="004E345F"/>
    <w:rsid w:val="004E3BBA"/>
    <w:rsid w:val="004E401B"/>
    <w:rsid w:val="004E41C7"/>
    <w:rsid w:val="004E7DB7"/>
    <w:rsid w:val="004F1390"/>
    <w:rsid w:val="004F2AC0"/>
    <w:rsid w:val="004F2D88"/>
    <w:rsid w:val="004F2E4B"/>
    <w:rsid w:val="004F3D21"/>
    <w:rsid w:val="004F60EF"/>
    <w:rsid w:val="00502827"/>
    <w:rsid w:val="00505869"/>
    <w:rsid w:val="00506F53"/>
    <w:rsid w:val="005070C3"/>
    <w:rsid w:val="0051276F"/>
    <w:rsid w:val="005130AC"/>
    <w:rsid w:val="00514071"/>
    <w:rsid w:val="005166B5"/>
    <w:rsid w:val="005220BE"/>
    <w:rsid w:val="00526050"/>
    <w:rsid w:val="00526575"/>
    <w:rsid w:val="00527863"/>
    <w:rsid w:val="0053306F"/>
    <w:rsid w:val="00533B79"/>
    <w:rsid w:val="00533FD4"/>
    <w:rsid w:val="00534258"/>
    <w:rsid w:val="00536006"/>
    <w:rsid w:val="00537FDB"/>
    <w:rsid w:val="005420B4"/>
    <w:rsid w:val="00542D5F"/>
    <w:rsid w:val="005435DE"/>
    <w:rsid w:val="00543AD3"/>
    <w:rsid w:val="005441AD"/>
    <w:rsid w:val="00544C28"/>
    <w:rsid w:val="00545297"/>
    <w:rsid w:val="00546769"/>
    <w:rsid w:val="00546BAE"/>
    <w:rsid w:val="00546C4E"/>
    <w:rsid w:val="00552EBD"/>
    <w:rsid w:val="00553827"/>
    <w:rsid w:val="00554C80"/>
    <w:rsid w:val="005552AB"/>
    <w:rsid w:val="00555F71"/>
    <w:rsid w:val="0056222B"/>
    <w:rsid w:val="00563BEB"/>
    <w:rsid w:val="00566849"/>
    <w:rsid w:val="00570981"/>
    <w:rsid w:val="00571012"/>
    <w:rsid w:val="005740F6"/>
    <w:rsid w:val="005743D2"/>
    <w:rsid w:val="00575905"/>
    <w:rsid w:val="005802BD"/>
    <w:rsid w:val="00580BBC"/>
    <w:rsid w:val="005814B9"/>
    <w:rsid w:val="005834ED"/>
    <w:rsid w:val="00584916"/>
    <w:rsid w:val="00586FA8"/>
    <w:rsid w:val="005877D2"/>
    <w:rsid w:val="00587F23"/>
    <w:rsid w:val="0059020C"/>
    <w:rsid w:val="00591E3A"/>
    <w:rsid w:val="00592BAB"/>
    <w:rsid w:val="00593CB4"/>
    <w:rsid w:val="00593E68"/>
    <w:rsid w:val="00594AB7"/>
    <w:rsid w:val="005A30B4"/>
    <w:rsid w:val="005A45C1"/>
    <w:rsid w:val="005A52AC"/>
    <w:rsid w:val="005A62BE"/>
    <w:rsid w:val="005A75F7"/>
    <w:rsid w:val="005B0444"/>
    <w:rsid w:val="005B08E6"/>
    <w:rsid w:val="005B0D7C"/>
    <w:rsid w:val="005B0E86"/>
    <w:rsid w:val="005B2B6B"/>
    <w:rsid w:val="005B3FE8"/>
    <w:rsid w:val="005B5CB1"/>
    <w:rsid w:val="005B6854"/>
    <w:rsid w:val="005C1943"/>
    <w:rsid w:val="005C1B17"/>
    <w:rsid w:val="005C37A0"/>
    <w:rsid w:val="005C4034"/>
    <w:rsid w:val="005C483A"/>
    <w:rsid w:val="005C5B36"/>
    <w:rsid w:val="005C651C"/>
    <w:rsid w:val="005C656A"/>
    <w:rsid w:val="005C6916"/>
    <w:rsid w:val="005D1427"/>
    <w:rsid w:val="005D22D3"/>
    <w:rsid w:val="005D4482"/>
    <w:rsid w:val="005D457F"/>
    <w:rsid w:val="005D49C8"/>
    <w:rsid w:val="005D5224"/>
    <w:rsid w:val="005D5607"/>
    <w:rsid w:val="005D6A2B"/>
    <w:rsid w:val="005D6AD9"/>
    <w:rsid w:val="005E1EE5"/>
    <w:rsid w:val="005E37E9"/>
    <w:rsid w:val="005E539D"/>
    <w:rsid w:val="005E5AD8"/>
    <w:rsid w:val="005F03DB"/>
    <w:rsid w:val="005F27DB"/>
    <w:rsid w:val="005F38CC"/>
    <w:rsid w:val="005F48F1"/>
    <w:rsid w:val="00601E59"/>
    <w:rsid w:val="00603A46"/>
    <w:rsid w:val="00606194"/>
    <w:rsid w:val="00610F36"/>
    <w:rsid w:val="0061115C"/>
    <w:rsid w:val="00611A49"/>
    <w:rsid w:val="00613017"/>
    <w:rsid w:val="00613A54"/>
    <w:rsid w:val="006158AD"/>
    <w:rsid w:val="00616189"/>
    <w:rsid w:val="0062078C"/>
    <w:rsid w:val="00620E8F"/>
    <w:rsid w:val="00621760"/>
    <w:rsid w:val="006217BB"/>
    <w:rsid w:val="00625BD5"/>
    <w:rsid w:val="00625DFB"/>
    <w:rsid w:val="006277B7"/>
    <w:rsid w:val="0063397E"/>
    <w:rsid w:val="00634D1A"/>
    <w:rsid w:val="00635073"/>
    <w:rsid w:val="00637179"/>
    <w:rsid w:val="006418ED"/>
    <w:rsid w:val="00642B13"/>
    <w:rsid w:val="006431FF"/>
    <w:rsid w:val="0064389E"/>
    <w:rsid w:val="00645358"/>
    <w:rsid w:val="00645AB8"/>
    <w:rsid w:val="00645F7D"/>
    <w:rsid w:val="00646100"/>
    <w:rsid w:val="006476CA"/>
    <w:rsid w:val="00652029"/>
    <w:rsid w:val="00654ABB"/>
    <w:rsid w:val="006552AE"/>
    <w:rsid w:val="00655773"/>
    <w:rsid w:val="006563CA"/>
    <w:rsid w:val="006578FC"/>
    <w:rsid w:val="006608AB"/>
    <w:rsid w:val="006620DA"/>
    <w:rsid w:val="00664587"/>
    <w:rsid w:val="00666886"/>
    <w:rsid w:val="00666F25"/>
    <w:rsid w:val="00667C1C"/>
    <w:rsid w:val="0067001F"/>
    <w:rsid w:val="00670A43"/>
    <w:rsid w:val="00672B98"/>
    <w:rsid w:val="00673DD4"/>
    <w:rsid w:val="0067417F"/>
    <w:rsid w:val="00674AEB"/>
    <w:rsid w:val="0067639C"/>
    <w:rsid w:val="0067655A"/>
    <w:rsid w:val="006828D8"/>
    <w:rsid w:val="0068292C"/>
    <w:rsid w:val="0068455C"/>
    <w:rsid w:val="00684887"/>
    <w:rsid w:val="006867FA"/>
    <w:rsid w:val="00693C8E"/>
    <w:rsid w:val="00695165"/>
    <w:rsid w:val="006969BA"/>
    <w:rsid w:val="00697328"/>
    <w:rsid w:val="00697FF1"/>
    <w:rsid w:val="006A026A"/>
    <w:rsid w:val="006A0425"/>
    <w:rsid w:val="006A1D62"/>
    <w:rsid w:val="006A33C2"/>
    <w:rsid w:val="006A4EAE"/>
    <w:rsid w:val="006A56C3"/>
    <w:rsid w:val="006A615D"/>
    <w:rsid w:val="006A6B88"/>
    <w:rsid w:val="006A6D7F"/>
    <w:rsid w:val="006B0298"/>
    <w:rsid w:val="006B0E83"/>
    <w:rsid w:val="006B4C89"/>
    <w:rsid w:val="006B5493"/>
    <w:rsid w:val="006B5EAD"/>
    <w:rsid w:val="006B77E2"/>
    <w:rsid w:val="006B79B9"/>
    <w:rsid w:val="006C10C0"/>
    <w:rsid w:val="006C1B1D"/>
    <w:rsid w:val="006C32BB"/>
    <w:rsid w:val="006C3747"/>
    <w:rsid w:val="006C3EF8"/>
    <w:rsid w:val="006C60F9"/>
    <w:rsid w:val="006C7760"/>
    <w:rsid w:val="006C7EEA"/>
    <w:rsid w:val="006D233A"/>
    <w:rsid w:val="006D522C"/>
    <w:rsid w:val="006D56AA"/>
    <w:rsid w:val="006D56C2"/>
    <w:rsid w:val="006D7795"/>
    <w:rsid w:val="006D7ACB"/>
    <w:rsid w:val="006E00EF"/>
    <w:rsid w:val="006E06BB"/>
    <w:rsid w:val="006E1A7A"/>
    <w:rsid w:val="006E4723"/>
    <w:rsid w:val="006E716F"/>
    <w:rsid w:val="006E78A5"/>
    <w:rsid w:val="006E7DA9"/>
    <w:rsid w:val="006E7DEE"/>
    <w:rsid w:val="006F00E7"/>
    <w:rsid w:val="006F01E7"/>
    <w:rsid w:val="006F164A"/>
    <w:rsid w:val="006F1F3A"/>
    <w:rsid w:val="006F7EB8"/>
    <w:rsid w:val="0070094A"/>
    <w:rsid w:val="00702DD7"/>
    <w:rsid w:val="007047D3"/>
    <w:rsid w:val="00705663"/>
    <w:rsid w:val="00705C40"/>
    <w:rsid w:val="007066E2"/>
    <w:rsid w:val="0071087E"/>
    <w:rsid w:val="007147C2"/>
    <w:rsid w:val="00714B73"/>
    <w:rsid w:val="007169A8"/>
    <w:rsid w:val="00721648"/>
    <w:rsid w:val="007229A1"/>
    <w:rsid w:val="00722F18"/>
    <w:rsid w:val="007235AA"/>
    <w:rsid w:val="00723E1F"/>
    <w:rsid w:val="00725E35"/>
    <w:rsid w:val="00730D35"/>
    <w:rsid w:val="00732289"/>
    <w:rsid w:val="007343FD"/>
    <w:rsid w:val="0073482A"/>
    <w:rsid w:val="00735915"/>
    <w:rsid w:val="007359E2"/>
    <w:rsid w:val="00735C21"/>
    <w:rsid w:val="0073614A"/>
    <w:rsid w:val="00736FF2"/>
    <w:rsid w:val="0074079C"/>
    <w:rsid w:val="007407E1"/>
    <w:rsid w:val="00740C8C"/>
    <w:rsid w:val="00741AC4"/>
    <w:rsid w:val="00742CA5"/>
    <w:rsid w:val="007439BA"/>
    <w:rsid w:val="007464BE"/>
    <w:rsid w:val="007513F0"/>
    <w:rsid w:val="007515BC"/>
    <w:rsid w:val="00752606"/>
    <w:rsid w:val="0075402E"/>
    <w:rsid w:val="00756D3D"/>
    <w:rsid w:val="007573B2"/>
    <w:rsid w:val="007574BB"/>
    <w:rsid w:val="0075764C"/>
    <w:rsid w:val="00762198"/>
    <w:rsid w:val="00763CE8"/>
    <w:rsid w:val="007641C8"/>
    <w:rsid w:val="0076715C"/>
    <w:rsid w:val="00770792"/>
    <w:rsid w:val="007737B5"/>
    <w:rsid w:val="00774322"/>
    <w:rsid w:val="00774FFE"/>
    <w:rsid w:val="00775638"/>
    <w:rsid w:val="00775677"/>
    <w:rsid w:val="0077599A"/>
    <w:rsid w:val="00775AB8"/>
    <w:rsid w:val="00776811"/>
    <w:rsid w:val="0077724D"/>
    <w:rsid w:val="00777353"/>
    <w:rsid w:val="007808C1"/>
    <w:rsid w:val="00780CD6"/>
    <w:rsid w:val="00781A64"/>
    <w:rsid w:val="00782EA4"/>
    <w:rsid w:val="0078444C"/>
    <w:rsid w:val="0078480D"/>
    <w:rsid w:val="00785461"/>
    <w:rsid w:val="007854ED"/>
    <w:rsid w:val="00786FF3"/>
    <w:rsid w:val="007876CF"/>
    <w:rsid w:val="00787B77"/>
    <w:rsid w:val="0079001D"/>
    <w:rsid w:val="00793090"/>
    <w:rsid w:val="00794241"/>
    <w:rsid w:val="00796F2A"/>
    <w:rsid w:val="007A0176"/>
    <w:rsid w:val="007A0F29"/>
    <w:rsid w:val="007A0F2A"/>
    <w:rsid w:val="007A2F67"/>
    <w:rsid w:val="007A3918"/>
    <w:rsid w:val="007A5398"/>
    <w:rsid w:val="007B0E89"/>
    <w:rsid w:val="007B2C38"/>
    <w:rsid w:val="007B2E54"/>
    <w:rsid w:val="007B56A8"/>
    <w:rsid w:val="007B7498"/>
    <w:rsid w:val="007B7AEE"/>
    <w:rsid w:val="007C5C9B"/>
    <w:rsid w:val="007C626F"/>
    <w:rsid w:val="007C6C24"/>
    <w:rsid w:val="007C7EB6"/>
    <w:rsid w:val="007D2F75"/>
    <w:rsid w:val="007D48B8"/>
    <w:rsid w:val="007D710E"/>
    <w:rsid w:val="007D7E3A"/>
    <w:rsid w:val="007D7EFD"/>
    <w:rsid w:val="007E07FA"/>
    <w:rsid w:val="007E0DA9"/>
    <w:rsid w:val="007E1177"/>
    <w:rsid w:val="007E22E7"/>
    <w:rsid w:val="007E2893"/>
    <w:rsid w:val="007E2F67"/>
    <w:rsid w:val="007E4232"/>
    <w:rsid w:val="007E5C74"/>
    <w:rsid w:val="007E68AE"/>
    <w:rsid w:val="007E69BB"/>
    <w:rsid w:val="007E6AAC"/>
    <w:rsid w:val="007E6AB8"/>
    <w:rsid w:val="007E7E96"/>
    <w:rsid w:val="007F2109"/>
    <w:rsid w:val="007F21C5"/>
    <w:rsid w:val="007F26EE"/>
    <w:rsid w:val="007F3EF1"/>
    <w:rsid w:val="007F44CE"/>
    <w:rsid w:val="0080056E"/>
    <w:rsid w:val="00801457"/>
    <w:rsid w:val="00801BCE"/>
    <w:rsid w:val="00801E7D"/>
    <w:rsid w:val="00802515"/>
    <w:rsid w:val="00803C2E"/>
    <w:rsid w:val="00807232"/>
    <w:rsid w:val="008125FC"/>
    <w:rsid w:val="0081283F"/>
    <w:rsid w:val="00812C0C"/>
    <w:rsid w:val="0081480A"/>
    <w:rsid w:val="008202EB"/>
    <w:rsid w:val="00820F86"/>
    <w:rsid w:val="008242C5"/>
    <w:rsid w:val="00827F88"/>
    <w:rsid w:val="00830EE7"/>
    <w:rsid w:val="008315CE"/>
    <w:rsid w:val="008336A5"/>
    <w:rsid w:val="00834C88"/>
    <w:rsid w:val="00835474"/>
    <w:rsid w:val="008373C0"/>
    <w:rsid w:val="008405A7"/>
    <w:rsid w:val="0084105A"/>
    <w:rsid w:val="0084145F"/>
    <w:rsid w:val="00841DA2"/>
    <w:rsid w:val="00841DA5"/>
    <w:rsid w:val="00844CB5"/>
    <w:rsid w:val="008458F6"/>
    <w:rsid w:val="00845AED"/>
    <w:rsid w:val="0084708E"/>
    <w:rsid w:val="00851AE4"/>
    <w:rsid w:val="00855019"/>
    <w:rsid w:val="008554B6"/>
    <w:rsid w:val="0085579D"/>
    <w:rsid w:val="0085598D"/>
    <w:rsid w:val="008570E8"/>
    <w:rsid w:val="00860FC0"/>
    <w:rsid w:val="008619CF"/>
    <w:rsid w:val="00862771"/>
    <w:rsid w:val="008648E3"/>
    <w:rsid w:val="00864D8C"/>
    <w:rsid w:val="0086682F"/>
    <w:rsid w:val="00866CEA"/>
    <w:rsid w:val="00867687"/>
    <w:rsid w:val="008704DF"/>
    <w:rsid w:val="00874748"/>
    <w:rsid w:val="00874894"/>
    <w:rsid w:val="00876F54"/>
    <w:rsid w:val="00877292"/>
    <w:rsid w:val="0087754A"/>
    <w:rsid w:val="0087766C"/>
    <w:rsid w:val="00880552"/>
    <w:rsid w:val="00881EAC"/>
    <w:rsid w:val="008839DA"/>
    <w:rsid w:val="008845FD"/>
    <w:rsid w:val="00884EE8"/>
    <w:rsid w:val="00885168"/>
    <w:rsid w:val="0089173B"/>
    <w:rsid w:val="00891E76"/>
    <w:rsid w:val="0089220F"/>
    <w:rsid w:val="00892E6A"/>
    <w:rsid w:val="008935AA"/>
    <w:rsid w:val="00893DF9"/>
    <w:rsid w:val="008963F0"/>
    <w:rsid w:val="00897444"/>
    <w:rsid w:val="008A03A5"/>
    <w:rsid w:val="008A0DF3"/>
    <w:rsid w:val="008A1B76"/>
    <w:rsid w:val="008A282C"/>
    <w:rsid w:val="008A4138"/>
    <w:rsid w:val="008A4356"/>
    <w:rsid w:val="008A5D96"/>
    <w:rsid w:val="008A6C8F"/>
    <w:rsid w:val="008B5AB3"/>
    <w:rsid w:val="008B6848"/>
    <w:rsid w:val="008B6F7A"/>
    <w:rsid w:val="008C2A71"/>
    <w:rsid w:val="008C2FA1"/>
    <w:rsid w:val="008C58DF"/>
    <w:rsid w:val="008C7F9A"/>
    <w:rsid w:val="008D1369"/>
    <w:rsid w:val="008D2C4C"/>
    <w:rsid w:val="008D59E2"/>
    <w:rsid w:val="008D7E0D"/>
    <w:rsid w:val="008D7EDB"/>
    <w:rsid w:val="008E023C"/>
    <w:rsid w:val="008E05A1"/>
    <w:rsid w:val="008E1829"/>
    <w:rsid w:val="008E1A61"/>
    <w:rsid w:val="008E2327"/>
    <w:rsid w:val="008E2D66"/>
    <w:rsid w:val="008E3677"/>
    <w:rsid w:val="008E5077"/>
    <w:rsid w:val="008E64F0"/>
    <w:rsid w:val="008E6FF3"/>
    <w:rsid w:val="008E7B05"/>
    <w:rsid w:val="008F17C7"/>
    <w:rsid w:val="008F18ED"/>
    <w:rsid w:val="008F338B"/>
    <w:rsid w:val="008F46C2"/>
    <w:rsid w:val="008F59CC"/>
    <w:rsid w:val="008F656A"/>
    <w:rsid w:val="008F7068"/>
    <w:rsid w:val="0090320A"/>
    <w:rsid w:val="0090360E"/>
    <w:rsid w:val="00903D37"/>
    <w:rsid w:val="00905F68"/>
    <w:rsid w:val="0091055D"/>
    <w:rsid w:val="00912C8C"/>
    <w:rsid w:val="00914C61"/>
    <w:rsid w:val="00917D6F"/>
    <w:rsid w:val="0092073B"/>
    <w:rsid w:val="00921B1A"/>
    <w:rsid w:val="00921B7F"/>
    <w:rsid w:val="00921DDA"/>
    <w:rsid w:val="00922DE1"/>
    <w:rsid w:val="009233BF"/>
    <w:rsid w:val="009259CD"/>
    <w:rsid w:val="0092600D"/>
    <w:rsid w:val="00930345"/>
    <w:rsid w:val="0093039D"/>
    <w:rsid w:val="00931E4F"/>
    <w:rsid w:val="0093364D"/>
    <w:rsid w:val="00934605"/>
    <w:rsid w:val="009347EA"/>
    <w:rsid w:val="00936574"/>
    <w:rsid w:val="00937EE1"/>
    <w:rsid w:val="00943BCE"/>
    <w:rsid w:val="00944DFE"/>
    <w:rsid w:val="009508A0"/>
    <w:rsid w:val="00953FF0"/>
    <w:rsid w:val="00960346"/>
    <w:rsid w:val="009612E4"/>
    <w:rsid w:val="009617D3"/>
    <w:rsid w:val="009630C2"/>
    <w:rsid w:val="0096463B"/>
    <w:rsid w:val="00967869"/>
    <w:rsid w:val="0096796E"/>
    <w:rsid w:val="00971BA7"/>
    <w:rsid w:val="00971F54"/>
    <w:rsid w:val="009725C5"/>
    <w:rsid w:val="00972AEA"/>
    <w:rsid w:val="00972B4E"/>
    <w:rsid w:val="00973F40"/>
    <w:rsid w:val="00974A6E"/>
    <w:rsid w:val="00977F28"/>
    <w:rsid w:val="00980900"/>
    <w:rsid w:val="00983EDC"/>
    <w:rsid w:val="00983EED"/>
    <w:rsid w:val="009849EF"/>
    <w:rsid w:val="00985CC8"/>
    <w:rsid w:val="00986DB7"/>
    <w:rsid w:val="009934CF"/>
    <w:rsid w:val="00994396"/>
    <w:rsid w:val="00994FB1"/>
    <w:rsid w:val="009967E1"/>
    <w:rsid w:val="009A0D75"/>
    <w:rsid w:val="009A1C71"/>
    <w:rsid w:val="009A306D"/>
    <w:rsid w:val="009A347A"/>
    <w:rsid w:val="009A620E"/>
    <w:rsid w:val="009B47CB"/>
    <w:rsid w:val="009B4E57"/>
    <w:rsid w:val="009B6452"/>
    <w:rsid w:val="009B6A6F"/>
    <w:rsid w:val="009C10CC"/>
    <w:rsid w:val="009C1AFE"/>
    <w:rsid w:val="009C3E33"/>
    <w:rsid w:val="009C4623"/>
    <w:rsid w:val="009C5650"/>
    <w:rsid w:val="009C5F24"/>
    <w:rsid w:val="009D048B"/>
    <w:rsid w:val="009D0F2C"/>
    <w:rsid w:val="009D1B5D"/>
    <w:rsid w:val="009D4395"/>
    <w:rsid w:val="009D43FE"/>
    <w:rsid w:val="009D4A02"/>
    <w:rsid w:val="009D4C55"/>
    <w:rsid w:val="009D69C6"/>
    <w:rsid w:val="009D6D88"/>
    <w:rsid w:val="009D6F70"/>
    <w:rsid w:val="009E10E1"/>
    <w:rsid w:val="009E3AC0"/>
    <w:rsid w:val="009E5419"/>
    <w:rsid w:val="009E5A6E"/>
    <w:rsid w:val="009E70E7"/>
    <w:rsid w:val="009E7995"/>
    <w:rsid w:val="009F113B"/>
    <w:rsid w:val="009F1886"/>
    <w:rsid w:val="009F25A8"/>
    <w:rsid w:val="009F46DC"/>
    <w:rsid w:val="009F65AF"/>
    <w:rsid w:val="00A01C00"/>
    <w:rsid w:val="00A02488"/>
    <w:rsid w:val="00A031FA"/>
    <w:rsid w:val="00A03A1B"/>
    <w:rsid w:val="00A06CC5"/>
    <w:rsid w:val="00A11CAD"/>
    <w:rsid w:val="00A1620D"/>
    <w:rsid w:val="00A16AC0"/>
    <w:rsid w:val="00A16DC1"/>
    <w:rsid w:val="00A232CE"/>
    <w:rsid w:val="00A23D31"/>
    <w:rsid w:val="00A24C9B"/>
    <w:rsid w:val="00A26ECD"/>
    <w:rsid w:val="00A27D2B"/>
    <w:rsid w:val="00A301A7"/>
    <w:rsid w:val="00A30C34"/>
    <w:rsid w:val="00A30FD3"/>
    <w:rsid w:val="00A34223"/>
    <w:rsid w:val="00A34F11"/>
    <w:rsid w:val="00A35E2F"/>
    <w:rsid w:val="00A35FF0"/>
    <w:rsid w:val="00A36013"/>
    <w:rsid w:val="00A37891"/>
    <w:rsid w:val="00A37F9C"/>
    <w:rsid w:val="00A40A51"/>
    <w:rsid w:val="00A415BA"/>
    <w:rsid w:val="00A422AD"/>
    <w:rsid w:val="00A44354"/>
    <w:rsid w:val="00A445A9"/>
    <w:rsid w:val="00A4594F"/>
    <w:rsid w:val="00A469EE"/>
    <w:rsid w:val="00A47916"/>
    <w:rsid w:val="00A536DA"/>
    <w:rsid w:val="00A5406C"/>
    <w:rsid w:val="00A54801"/>
    <w:rsid w:val="00A55626"/>
    <w:rsid w:val="00A5596D"/>
    <w:rsid w:val="00A56F39"/>
    <w:rsid w:val="00A571CD"/>
    <w:rsid w:val="00A57C3D"/>
    <w:rsid w:val="00A63202"/>
    <w:rsid w:val="00A6697B"/>
    <w:rsid w:val="00A703F5"/>
    <w:rsid w:val="00A719AA"/>
    <w:rsid w:val="00A73DE3"/>
    <w:rsid w:val="00A74C2D"/>
    <w:rsid w:val="00A76B34"/>
    <w:rsid w:val="00A83359"/>
    <w:rsid w:val="00A83487"/>
    <w:rsid w:val="00A8434D"/>
    <w:rsid w:val="00A84A8E"/>
    <w:rsid w:val="00A854FF"/>
    <w:rsid w:val="00A86E30"/>
    <w:rsid w:val="00A87024"/>
    <w:rsid w:val="00A87035"/>
    <w:rsid w:val="00A8745D"/>
    <w:rsid w:val="00A8785C"/>
    <w:rsid w:val="00A908DA"/>
    <w:rsid w:val="00A90F9B"/>
    <w:rsid w:val="00A911E6"/>
    <w:rsid w:val="00A92694"/>
    <w:rsid w:val="00A93072"/>
    <w:rsid w:val="00A9629C"/>
    <w:rsid w:val="00AA2289"/>
    <w:rsid w:val="00AA32EA"/>
    <w:rsid w:val="00AA35D5"/>
    <w:rsid w:val="00AA417B"/>
    <w:rsid w:val="00AA4A98"/>
    <w:rsid w:val="00AA533F"/>
    <w:rsid w:val="00AA5A86"/>
    <w:rsid w:val="00AA7787"/>
    <w:rsid w:val="00AA7F48"/>
    <w:rsid w:val="00AA7F8E"/>
    <w:rsid w:val="00AB010D"/>
    <w:rsid w:val="00AB0749"/>
    <w:rsid w:val="00AB4158"/>
    <w:rsid w:val="00AB5D4D"/>
    <w:rsid w:val="00AB6B53"/>
    <w:rsid w:val="00AB76D8"/>
    <w:rsid w:val="00AB7E6A"/>
    <w:rsid w:val="00AC017A"/>
    <w:rsid w:val="00AC1B50"/>
    <w:rsid w:val="00AC1B61"/>
    <w:rsid w:val="00AC2C6E"/>
    <w:rsid w:val="00AC5EE6"/>
    <w:rsid w:val="00AD0D24"/>
    <w:rsid w:val="00AD1923"/>
    <w:rsid w:val="00AD2611"/>
    <w:rsid w:val="00AD32C4"/>
    <w:rsid w:val="00AD3AC5"/>
    <w:rsid w:val="00AD3D57"/>
    <w:rsid w:val="00AD497C"/>
    <w:rsid w:val="00AD4B96"/>
    <w:rsid w:val="00AD50F9"/>
    <w:rsid w:val="00AD7928"/>
    <w:rsid w:val="00AD7ECE"/>
    <w:rsid w:val="00AE0B4B"/>
    <w:rsid w:val="00AE47BF"/>
    <w:rsid w:val="00AE489D"/>
    <w:rsid w:val="00AE552E"/>
    <w:rsid w:val="00AF0047"/>
    <w:rsid w:val="00AF0133"/>
    <w:rsid w:val="00AF0A77"/>
    <w:rsid w:val="00AF0FA3"/>
    <w:rsid w:val="00AF2AF4"/>
    <w:rsid w:val="00AF4895"/>
    <w:rsid w:val="00AF4C29"/>
    <w:rsid w:val="00AF4ECA"/>
    <w:rsid w:val="00AF6432"/>
    <w:rsid w:val="00AF6DED"/>
    <w:rsid w:val="00AF79BD"/>
    <w:rsid w:val="00B01191"/>
    <w:rsid w:val="00B0494C"/>
    <w:rsid w:val="00B07100"/>
    <w:rsid w:val="00B07F12"/>
    <w:rsid w:val="00B07FE3"/>
    <w:rsid w:val="00B10BAE"/>
    <w:rsid w:val="00B136B5"/>
    <w:rsid w:val="00B138B4"/>
    <w:rsid w:val="00B14154"/>
    <w:rsid w:val="00B1415B"/>
    <w:rsid w:val="00B15278"/>
    <w:rsid w:val="00B222A2"/>
    <w:rsid w:val="00B234EC"/>
    <w:rsid w:val="00B2535A"/>
    <w:rsid w:val="00B274AE"/>
    <w:rsid w:val="00B274BF"/>
    <w:rsid w:val="00B31222"/>
    <w:rsid w:val="00B318C9"/>
    <w:rsid w:val="00B31FDB"/>
    <w:rsid w:val="00B379E3"/>
    <w:rsid w:val="00B42C7F"/>
    <w:rsid w:val="00B42E81"/>
    <w:rsid w:val="00B43072"/>
    <w:rsid w:val="00B4329D"/>
    <w:rsid w:val="00B44E7F"/>
    <w:rsid w:val="00B45BEE"/>
    <w:rsid w:val="00B520F9"/>
    <w:rsid w:val="00B52812"/>
    <w:rsid w:val="00B53104"/>
    <w:rsid w:val="00B54848"/>
    <w:rsid w:val="00B5495A"/>
    <w:rsid w:val="00B55225"/>
    <w:rsid w:val="00B577A3"/>
    <w:rsid w:val="00B60DFC"/>
    <w:rsid w:val="00B6144B"/>
    <w:rsid w:val="00B6170F"/>
    <w:rsid w:val="00B64641"/>
    <w:rsid w:val="00B7262F"/>
    <w:rsid w:val="00B727C5"/>
    <w:rsid w:val="00B73FD4"/>
    <w:rsid w:val="00B74FC5"/>
    <w:rsid w:val="00B75A6C"/>
    <w:rsid w:val="00B76720"/>
    <w:rsid w:val="00B81D4A"/>
    <w:rsid w:val="00B82F2D"/>
    <w:rsid w:val="00B83E2A"/>
    <w:rsid w:val="00B83E38"/>
    <w:rsid w:val="00B843E4"/>
    <w:rsid w:val="00B85DF3"/>
    <w:rsid w:val="00B86C19"/>
    <w:rsid w:val="00B91831"/>
    <w:rsid w:val="00B92EDF"/>
    <w:rsid w:val="00B93510"/>
    <w:rsid w:val="00B93640"/>
    <w:rsid w:val="00B93E33"/>
    <w:rsid w:val="00B93FFB"/>
    <w:rsid w:val="00B954F3"/>
    <w:rsid w:val="00B95BCD"/>
    <w:rsid w:val="00B95CDC"/>
    <w:rsid w:val="00B95CE5"/>
    <w:rsid w:val="00B96107"/>
    <w:rsid w:val="00BA0D0B"/>
    <w:rsid w:val="00BA0E8D"/>
    <w:rsid w:val="00BA4CE5"/>
    <w:rsid w:val="00BA6C0C"/>
    <w:rsid w:val="00BB1CE3"/>
    <w:rsid w:val="00BB2B79"/>
    <w:rsid w:val="00BB303C"/>
    <w:rsid w:val="00BB375D"/>
    <w:rsid w:val="00BB49A0"/>
    <w:rsid w:val="00BB515F"/>
    <w:rsid w:val="00BB532B"/>
    <w:rsid w:val="00BC0924"/>
    <w:rsid w:val="00BC18C8"/>
    <w:rsid w:val="00BC1FA5"/>
    <w:rsid w:val="00BC2C0C"/>
    <w:rsid w:val="00BC49F1"/>
    <w:rsid w:val="00BC5E24"/>
    <w:rsid w:val="00BC732A"/>
    <w:rsid w:val="00BC758B"/>
    <w:rsid w:val="00BC7987"/>
    <w:rsid w:val="00BD2EAC"/>
    <w:rsid w:val="00BD3EC7"/>
    <w:rsid w:val="00BD4BB3"/>
    <w:rsid w:val="00BE17C6"/>
    <w:rsid w:val="00BE2BD3"/>
    <w:rsid w:val="00BE4843"/>
    <w:rsid w:val="00BE4865"/>
    <w:rsid w:val="00BE5595"/>
    <w:rsid w:val="00BE69BF"/>
    <w:rsid w:val="00BE725A"/>
    <w:rsid w:val="00BE73C1"/>
    <w:rsid w:val="00BE7430"/>
    <w:rsid w:val="00BE7B48"/>
    <w:rsid w:val="00BF2DCE"/>
    <w:rsid w:val="00BF3381"/>
    <w:rsid w:val="00BF5BE5"/>
    <w:rsid w:val="00BF667D"/>
    <w:rsid w:val="00C03973"/>
    <w:rsid w:val="00C05912"/>
    <w:rsid w:val="00C07B0B"/>
    <w:rsid w:val="00C10FCF"/>
    <w:rsid w:val="00C12810"/>
    <w:rsid w:val="00C138CA"/>
    <w:rsid w:val="00C16B4B"/>
    <w:rsid w:val="00C17427"/>
    <w:rsid w:val="00C20C00"/>
    <w:rsid w:val="00C210FD"/>
    <w:rsid w:val="00C21F35"/>
    <w:rsid w:val="00C22901"/>
    <w:rsid w:val="00C25238"/>
    <w:rsid w:val="00C305F2"/>
    <w:rsid w:val="00C32DF6"/>
    <w:rsid w:val="00C3345C"/>
    <w:rsid w:val="00C407E5"/>
    <w:rsid w:val="00C42DAC"/>
    <w:rsid w:val="00C4342B"/>
    <w:rsid w:val="00C459A9"/>
    <w:rsid w:val="00C477E7"/>
    <w:rsid w:val="00C502A5"/>
    <w:rsid w:val="00C518BD"/>
    <w:rsid w:val="00C521F7"/>
    <w:rsid w:val="00C52F50"/>
    <w:rsid w:val="00C53008"/>
    <w:rsid w:val="00C55151"/>
    <w:rsid w:val="00C5575D"/>
    <w:rsid w:val="00C558FF"/>
    <w:rsid w:val="00C560FA"/>
    <w:rsid w:val="00C56772"/>
    <w:rsid w:val="00C57FF9"/>
    <w:rsid w:val="00C62896"/>
    <w:rsid w:val="00C64434"/>
    <w:rsid w:val="00C64A51"/>
    <w:rsid w:val="00C64B27"/>
    <w:rsid w:val="00C65C4D"/>
    <w:rsid w:val="00C7063C"/>
    <w:rsid w:val="00C73C57"/>
    <w:rsid w:val="00C746D9"/>
    <w:rsid w:val="00C74D43"/>
    <w:rsid w:val="00C75CA7"/>
    <w:rsid w:val="00C7683D"/>
    <w:rsid w:val="00C81950"/>
    <w:rsid w:val="00C86432"/>
    <w:rsid w:val="00C86FC6"/>
    <w:rsid w:val="00C901BB"/>
    <w:rsid w:val="00C90CD3"/>
    <w:rsid w:val="00C92552"/>
    <w:rsid w:val="00C92C27"/>
    <w:rsid w:val="00C93F1B"/>
    <w:rsid w:val="00C9455B"/>
    <w:rsid w:val="00C94E14"/>
    <w:rsid w:val="00C96DFE"/>
    <w:rsid w:val="00C976D1"/>
    <w:rsid w:val="00CA0F86"/>
    <w:rsid w:val="00CA308F"/>
    <w:rsid w:val="00CA71D4"/>
    <w:rsid w:val="00CB02AC"/>
    <w:rsid w:val="00CB5D29"/>
    <w:rsid w:val="00CB675A"/>
    <w:rsid w:val="00CB6EC8"/>
    <w:rsid w:val="00CB782B"/>
    <w:rsid w:val="00CC082B"/>
    <w:rsid w:val="00CC0E77"/>
    <w:rsid w:val="00CC2092"/>
    <w:rsid w:val="00CC285C"/>
    <w:rsid w:val="00CC5595"/>
    <w:rsid w:val="00CC5E76"/>
    <w:rsid w:val="00CD1770"/>
    <w:rsid w:val="00CD3A5D"/>
    <w:rsid w:val="00CD3EB5"/>
    <w:rsid w:val="00CD5FD4"/>
    <w:rsid w:val="00CD6861"/>
    <w:rsid w:val="00CE0DCE"/>
    <w:rsid w:val="00CE1BC9"/>
    <w:rsid w:val="00CE218C"/>
    <w:rsid w:val="00CE33C1"/>
    <w:rsid w:val="00CE4839"/>
    <w:rsid w:val="00CE4DD6"/>
    <w:rsid w:val="00CE5F24"/>
    <w:rsid w:val="00CE76FF"/>
    <w:rsid w:val="00CF1CF7"/>
    <w:rsid w:val="00CF23F2"/>
    <w:rsid w:val="00CF4012"/>
    <w:rsid w:val="00CF43D5"/>
    <w:rsid w:val="00CF7003"/>
    <w:rsid w:val="00D01F75"/>
    <w:rsid w:val="00D02BC6"/>
    <w:rsid w:val="00D0310D"/>
    <w:rsid w:val="00D05803"/>
    <w:rsid w:val="00D05C7C"/>
    <w:rsid w:val="00D06906"/>
    <w:rsid w:val="00D07742"/>
    <w:rsid w:val="00D1276A"/>
    <w:rsid w:val="00D14DB7"/>
    <w:rsid w:val="00D15A9D"/>
    <w:rsid w:val="00D15ED5"/>
    <w:rsid w:val="00D16656"/>
    <w:rsid w:val="00D17D2B"/>
    <w:rsid w:val="00D200AB"/>
    <w:rsid w:val="00D26E41"/>
    <w:rsid w:val="00D31CD5"/>
    <w:rsid w:val="00D34402"/>
    <w:rsid w:val="00D348F7"/>
    <w:rsid w:val="00D3564E"/>
    <w:rsid w:val="00D36EF4"/>
    <w:rsid w:val="00D371D0"/>
    <w:rsid w:val="00D374DC"/>
    <w:rsid w:val="00D4062A"/>
    <w:rsid w:val="00D40BC3"/>
    <w:rsid w:val="00D434EC"/>
    <w:rsid w:val="00D44651"/>
    <w:rsid w:val="00D44E9D"/>
    <w:rsid w:val="00D472A7"/>
    <w:rsid w:val="00D51515"/>
    <w:rsid w:val="00D542C5"/>
    <w:rsid w:val="00D54BD5"/>
    <w:rsid w:val="00D55411"/>
    <w:rsid w:val="00D575F0"/>
    <w:rsid w:val="00D60578"/>
    <w:rsid w:val="00D61A0E"/>
    <w:rsid w:val="00D655B7"/>
    <w:rsid w:val="00D71CF9"/>
    <w:rsid w:val="00D7675E"/>
    <w:rsid w:val="00D80080"/>
    <w:rsid w:val="00D80F9D"/>
    <w:rsid w:val="00D80FFB"/>
    <w:rsid w:val="00D81BAE"/>
    <w:rsid w:val="00D84005"/>
    <w:rsid w:val="00D8428E"/>
    <w:rsid w:val="00D84B17"/>
    <w:rsid w:val="00D8507D"/>
    <w:rsid w:val="00D86735"/>
    <w:rsid w:val="00D8718E"/>
    <w:rsid w:val="00D871FB"/>
    <w:rsid w:val="00D90C9D"/>
    <w:rsid w:val="00D90E57"/>
    <w:rsid w:val="00D91910"/>
    <w:rsid w:val="00D91AA8"/>
    <w:rsid w:val="00D933F2"/>
    <w:rsid w:val="00D94420"/>
    <w:rsid w:val="00D944A6"/>
    <w:rsid w:val="00D95B5F"/>
    <w:rsid w:val="00D962CB"/>
    <w:rsid w:val="00D96FC3"/>
    <w:rsid w:val="00DA0839"/>
    <w:rsid w:val="00DA12C3"/>
    <w:rsid w:val="00DA22B5"/>
    <w:rsid w:val="00DA495D"/>
    <w:rsid w:val="00DA4F15"/>
    <w:rsid w:val="00DA5DCA"/>
    <w:rsid w:val="00DA7BA0"/>
    <w:rsid w:val="00DB1409"/>
    <w:rsid w:val="00DB42F5"/>
    <w:rsid w:val="00DB469A"/>
    <w:rsid w:val="00DB52C3"/>
    <w:rsid w:val="00DB5454"/>
    <w:rsid w:val="00DB5DA3"/>
    <w:rsid w:val="00DB7E5F"/>
    <w:rsid w:val="00DC10B0"/>
    <w:rsid w:val="00DC13AB"/>
    <w:rsid w:val="00DC1594"/>
    <w:rsid w:val="00DC2FB2"/>
    <w:rsid w:val="00DC4BCD"/>
    <w:rsid w:val="00DD05CC"/>
    <w:rsid w:val="00DD0BEC"/>
    <w:rsid w:val="00DD1107"/>
    <w:rsid w:val="00DD178F"/>
    <w:rsid w:val="00DD1FE4"/>
    <w:rsid w:val="00DD2180"/>
    <w:rsid w:val="00DD5B73"/>
    <w:rsid w:val="00DE2966"/>
    <w:rsid w:val="00DE40E0"/>
    <w:rsid w:val="00DE4107"/>
    <w:rsid w:val="00DF006E"/>
    <w:rsid w:val="00DF04ED"/>
    <w:rsid w:val="00DF0B5E"/>
    <w:rsid w:val="00DF0ED5"/>
    <w:rsid w:val="00DF72D9"/>
    <w:rsid w:val="00DF7EC8"/>
    <w:rsid w:val="00E028ED"/>
    <w:rsid w:val="00E03F42"/>
    <w:rsid w:val="00E04899"/>
    <w:rsid w:val="00E0499F"/>
    <w:rsid w:val="00E05721"/>
    <w:rsid w:val="00E104F6"/>
    <w:rsid w:val="00E10748"/>
    <w:rsid w:val="00E12F57"/>
    <w:rsid w:val="00E14282"/>
    <w:rsid w:val="00E156F2"/>
    <w:rsid w:val="00E1606D"/>
    <w:rsid w:val="00E166A1"/>
    <w:rsid w:val="00E2017D"/>
    <w:rsid w:val="00E21FA2"/>
    <w:rsid w:val="00E2250E"/>
    <w:rsid w:val="00E245F8"/>
    <w:rsid w:val="00E24BF5"/>
    <w:rsid w:val="00E275E9"/>
    <w:rsid w:val="00E27DDF"/>
    <w:rsid w:val="00E27E01"/>
    <w:rsid w:val="00E30A90"/>
    <w:rsid w:val="00E32DBA"/>
    <w:rsid w:val="00E376D0"/>
    <w:rsid w:val="00E40703"/>
    <w:rsid w:val="00E43469"/>
    <w:rsid w:val="00E4369C"/>
    <w:rsid w:val="00E43A0F"/>
    <w:rsid w:val="00E445DA"/>
    <w:rsid w:val="00E44D33"/>
    <w:rsid w:val="00E45379"/>
    <w:rsid w:val="00E465CB"/>
    <w:rsid w:val="00E47C0D"/>
    <w:rsid w:val="00E50B22"/>
    <w:rsid w:val="00E5134A"/>
    <w:rsid w:val="00E51E18"/>
    <w:rsid w:val="00E533BD"/>
    <w:rsid w:val="00E53706"/>
    <w:rsid w:val="00E5668B"/>
    <w:rsid w:val="00E57CE2"/>
    <w:rsid w:val="00E60F40"/>
    <w:rsid w:val="00E617BD"/>
    <w:rsid w:val="00E61E05"/>
    <w:rsid w:val="00E622CB"/>
    <w:rsid w:val="00E63B57"/>
    <w:rsid w:val="00E64BD9"/>
    <w:rsid w:val="00E6519C"/>
    <w:rsid w:val="00E66CB9"/>
    <w:rsid w:val="00E67E50"/>
    <w:rsid w:val="00E705B4"/>
    <w:rsid w:val="00E719CE"/>
    <w:rsid w:val="00E72967"/>
    <w:rsid w:val="00E72F58"/>
    <w:rsid w:val="00E733A6"/>
    <w:rsid w:val="00E75577"/>
    <w:rsid w:val="00E764DD"/>
    <w:rsid w:val="00E8155D"/>
    <w:rsid w:val="00E84AD7"/>
    <w:rsid w:val="00E85CC0"/>
    <w:rsid w:val="00E8724E"/>
    <w:rsid w:val="00E94EBC"/>
    <w:rsid w:val="00E96E1A"/>
    <w:rsid w:val="00EA0E04"/>
    <w:rsid w:val="00EA220D"/>
    <w:rsid w:val="00EA3156"/>
    <w:rsid w:val="00EA3E45"/>
    <w:rsid w:val="00EA40A2"/>
    <w:rsid w:val="00EA4CD5"/>
    <w:rsid w:val="00EA5D2C"/>
    <w:rsid w:val="00EA5D8E"/>
    <w:rsid w:val="00EB07CF"/>
    <w:rsid w:val="00EB32AB"/>
    <w:rsid w:val="00EB3B88"/>
    <w:rsid w:val="00EB4A90"/>
    <w:rsid w:val="00EB7EF4"/>
    <w:rsid w:val="00EC0C14"/>
    <w:rsid w:val="00EC2B42"/>
    <w:rsid w:val="00EC3B8F"/>
    <w:rsid w:val="00EC5CA0"/>
    <w:rsid w:val="00EC7372"/>
    <w:rsid w:val="00ED19D1"/>
    <w:rsid w:val="00ED1DD8"/>
    <w:rsid w:val="00ED2AC0"/>
    <w:rsid w:val="00ED30E8"/>
    <w:rsid w:val="00ED3B69"/>
    <w:rsid w:val="00ED3ECA"/>
    <w:rsid w:val="00ED3F39"/>
    <w:rsid w:val="00ED63AE"/>
    <w:rsid w:val="00ED6C96"/>
    <w:rsid w:val="00ED6CD1"/>
    <w:rsid w:val="00ED7A42"/>
    <w:rsid w:val="00EE1C59"/>
    <w:rsid w:val="00EE30CB"/>
    <w:rsid w:val="00EE467E"/>
    <w:rsid w:val="00EE5C93"/>
    <w:rsid w:val="00EE5F2E"/>
    <w:rsid w:val="00EF2227"/>
    <w:rsid w:val="00EF2C2D"/>
    <w:rsid w:val="00EF4A64"/>
    <w:rsid w:val="00F02171"/>
    <w:rsid w:val="00F033EF"/>
    <w:rsid w:val="00F03B2D"/>
    <w:rsid w:val="00F061A6"/>
    <w:rsid w:val="00F06EED"/>
    <w:rsid w:val="00F0710C"/>
    <w:rsid w:val="00F11AB3"/>
    <w:rsid w:val="00F127DB"/>
    <w:rsid w:val="00F14017"/>
    <w:rsid w:val="00F1684C"/>
    <w:rsid w:val="00F20633"/>
    <w:rsid w:val="00F21B29"/>
    <w:rsid w:val="00F2491B"/>
    <w:rsid w:val="00F25CFE"/>
    <w:rsid w:val="00F27AA9"/>
    <w:rsid w:val="00F30578"/>
    <w:rsid w:val="00F35243"/>
    <w:rsid w:val="00F36E9F"/>
    <w:rsid w:val="00F41B19"/>
    <w:rsid w:val="00F43E6E"/>
    <w:rsid w:val="00F43EBF"/>
    <w:rsid w:val="00F44423"/>
    <w:rsid w:val="00F50BE6"/>
    <w:rsid w:val="00F51236"/>
    <w:rsid w:val="00F5374C"/>
    <w:rsid w:val="00F541B8"/>
    <w:rsid w:val="00F54777"/>
    <w:rsid w:val="00F56B6D"/>
    <w:rsid w:val="00F56CC2"/>
    <w:rsid w:val="00F57B05"/>
    <w:rsid w:val="00F60BC0"/>
    <w:rsid w:val="00F61B7F"/>
    <w:rsid w:val="00F62370"/>
    <w:rsid w:val="00F628D3"/>
    <w:rsid w:val="00F62EF2"/>
    <w:rsid w:val="00F6497E"/>
    <w:rsid w:val="00F677E2"/>
    <w:rsid w:val="00F717E6"/>
    <w:rsid w:val="00F73751"/>
    <w:rsid w:val="00F75EAD"/>
    <w:rsid w:val="00F77154"/>
    <w:rsid w:val="00F80F33"/>
    <w:rsid w:val="00F80FB8"/>
    <w:rsid w:val="00F83D15"/>
    <w:rsid w:val="00F846D6"/>
    <w:rsid w:val="00F871D7"/>
    <w:rsid w:val="00F87CCD"/>
    <w:rsid w:val="00F9173A"/>
    <w:rsid w:val="00F91800"/>
    <w:rsid w:val="00F93F4E"/>
    <w:rsid w:val="00F94E99"/>
    <w:rsid w:val="00F9650A"/>
    <w:rsid w:val="00F967C7"/>
    <w:rsid w:val="00FA0437"/>
    <w:rsid w:val="00FA13B0"/>
    <w:rsid w:val="00FA233F"/>
    <w:rsid w:val="00FA2E05"/>
    <w:rsid w:val="00FA3199"/>
    <w:rsid w:val="00FA3DF0"/>
    <w:rsid w:val="00FA7D57"/>
    <w:rsid w:val="00FB0008"/>
    <w:rsid w:val="00FB071C"/>
    <w:rsid w:val="00FB1ACE"/>
    <w:rsid w:val="00FB239C"/>
    <w:rsid w:val="00FB3ABB"/>
    <w:rsid w:val="00FB3EA0"/>
    <w:rsid w:val="00FB55F4"/>
    <w:rsid w:val="00FB58D8"/>
    <w:rsid w:val="00FB5B6D"/>
    <w:rsid w:val="00FB7140"/>
    <w:rsid w:val="00FC0B63"/>
    <w:rsid w:val="00FC2209"/>
    <w:rsid w:val="00FC7531"/>
    <w:rsid w:val="00FC7A47"/>
    <w:rsid w:val="00FC7EAA"/>
    <w:rsid w:val="00FD03F3"/>
    <w:rsid w:val="00FD4A77"/>
    <w:rsid w:val="00FD4FA5"/>
    <w:rsid w:val="00FD5166"/>
    <w:rsid w:val="00FD68CD"/>
    <w:rsid w:val="00FD758C"/>
    <w:rsid w:val="00FE01F0"/>
    <w:rsid w:val="00FE13D1"/>
    <w:rsid w:val="00FF05B9"/>
    <w:rsid w:val="00FF0EB1"/>
    <w:rsid w:val="00FF456A"/>
    <w:rsid w:val="00FF46FD"/>
    <w:rsid w:val="00FF6204"/>
    <w:rsid w:val="00FF634D"/>
    <w:rsid w:val="00FF6D3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7199"/>
  <w15:docId w15:val="{B1E7C166-4A08-4C3F-A73E-B9997244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12872734">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4641768">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5989746">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0802986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7602344">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96398">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omex.org.mx/ipo3/lgt/indice/SEDUM/art_92_xxiii/0.web"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23454-1BA9-4105-8032-BA768D88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28</Pages>
  <Words>7311</Words>
  <Characters>40216</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USUARIO</cp:lastModifiedBy>
  <cp:revision>7</cp:revision>
  <cp:lastPrinted>2019-10-07T18:00:00Z</cp:lastPrinted>
  <dcterms:created xsi:type="dcterms:W3CDTF">2019-09-26T22:19:00Z</dcterms:created>
  <dcterms:modified xsi:type="dcterms:W3CDTF">2020-01-30T23:08:00Z</dcterms:modified>
</cp:coreProperties>
</file>